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1920D" w14:textId="77777777" w:rsidR="00B35F13" w:rsidRPr="00B35F13" w:rsidRDefault="00B35F13" w:rsidP="00B35F13">
      <w:pPr>
        <w:pStyle w:val="Ttulo1"/>
        <w:keepNext/>
        <w:keepLines/>
        <w:spacing w:before="240" w:after="240" w:line="240" w:lineRule="auto"/>
        <w:rPr>
          <w:rFonts w:eastAsiaTheme="majorEastAsia" w:cstheme="majorBidi"/>
          <w:color w:val="000000" w:themeColor="text1"/>
        </w:rPr>
      </w:pPr>
      <w:bookmarkStart w:id="0" w:name="_GoBack"/>
      <w:bookmarkEnd w:id="0"/>
      <w:r w:rsidRPr="00B35F13">
        <w:rPr>
          <w:rFonts w:eastAsiaTheme="majorEastAsia" w:cstheme="majorBidi"/>
          <w:color w:val="000000" w:themeColor="text1"/>
        </w:rPr>
        <w:t>VERSIÓN PÚBLICA DEL ACUERDO P/IFT/290317/164</w:t>
      </w:r>
    </w:p>
    <w:p w14:paraId="4AEA687E" w14:textId="77777777" w:rsidR="00B35F13" w:rsidRPr="005B4B17" w:rsidRDefault="00B35F13" w:rsidP="00B35F13">
      <w:pPr>
        <w:pStyle w:val="Textoindependiente"/>
        <w:spacing w:before="240" w:after="240" w:line="360" w:lineRule="auto"/>
        <w:jc w:val="center"/>
        <w:rPr>
          <w:rFonts w:ascii="ITC Avant Garde" w:hAnsi="ITC Avant Garde"/>
          <w:b/>
          <w:sz w:val="20"/>
          <w:szCs w:val="20"/>
        </w:rPr>
      </w:pPr>
      <w:r w:rsidRPr="005B4B17">
        <w:rPr>
          <w:rFonts w:ascii="ITC Avant Garde" w:hAnsi="ITC Avant Garde"/>
          <w:b/>
          <w:sz w:val="20"/>
          <w:szCs w:val="20"/>
        </w:rPr>
        <w:t>DE LA SESIÓN DEL PLENO DEL INSTITUTO FEDERAL</w:t>
      </w:r>
      <w:r>
        <w:rPr>
          <w:rFonts w:ascii="ITC Avant Garde" w:hAnsi="ITC Avant Garde"/>
          <w:b/>
          <w:sz w:val="20"/>
          <w:szCs w:val="20"/>
        </w:rPr>
        <w:t xml:space="preserve"> DE TELECOMUNICACIONES EN SU XIII</w:t>
      </w:r>
      <w:r w:rsidRPr="00BD2557">
        <w:rPr>
          <w:rFonts w:ascii="ITC Avant Garde" w:hAnsi="ITC Avant Garde"/>
          <w:b/>
          <w:sz w:val="20"/>
          <w:szCs w:val="20"/>
        </w:rPr>
        <w:t xml:space="preserve"> 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29</w:t>
      </w:r>
      <w:r w:rsidRPr="00BD2557">
        <w:rPr>
          <w:rFonts w:ascii="ITC Avant Garde" w:hAnsi="ITC Avant Garde"/>
          <w:b/>
          <w:sz w:val="20"/>
          <w:szCs w:val="20"/>
        </w:rPr>
        <w:t xml:space="preserve"> DE </w:t>
      </w:r>
      <w:r>
        <w:rPr>
          <w:rFonts w:ascii="ITC Avant Garde" w:hAnsi="ITC Avant Garde"/>
          <w:b/>
          <w:sz w:val="20"/>
          <w:szCs w:val="20"/>
        </w:rPr>
        <w:t>MARZO</w:t>
      </w:r>
      <w:r w:rsidRPr="00BD2557">
        <w:rPr>
          <w:rFonts w:ascii="ITC Avant Garde" w:hAnsi="ITC Avant Garde"/>
          <w:b/>
          <w:sz w:val="20"/>
          <w:szCs w:val="20"/>
        </w:rPr>
        <w:t xml:space="preserve"> DE 2017</w:t>
      </w:r>
      <w:r>
        <w:rPr>
          <w:rFonts w:ascii="ITC Avant Garde" w:hAnsi="ITC Avant Garde"/>
          <w:b/>
          <w:sz w:val="20"/>
          <w:szCs w:val="20"/>
        </w:rPr>
        <w:t>.</w:t>
      </w:r>
    </w:p>
    <w:p w14:paraId="3F65BF06" w14:textId="77777777" w:rsidR="008A56BB" w:rsidRPr="00B35F13" w:rsidRDefault="008A56BB" w:rsidP="00B35F13">
      <w:pPr>
        <w:pStyle w:val="Ttulo2"/>
        <w:keepNext/>
        <w:keepLines/>
        <w:spacing w:before="240" w:after="240"/>
        <w:contextualSpacing/>
        <w:jc w:val="center"/>
        <w:rPr>
          <w:rFonts w:eastAsia="Arial" w:cs="Arial"/>
          <w:bCs w:val="0"/>
          <w:smallCaps w:val="0"/>
          <w:sz w:val="21"/>
          <w:szCs w:val="21"/>
        </w:rPr>
      </w:pPr>
      <w:r w:rsidRPr="00B35F13">
        <w:rPr>
          <w:rFonts w:eastAsia="Arial" w:cs="Arial"/>
          <w:bCs w:val="0"/>
          <w:smallCaps w:val="0"/>
          <w:sz w:val="21"/>
          <w:szCs w:val="21"/>
        </w:rPr>
        <w:t>LEYENDA DE LA CLASIFICACIÓN</w:t>
      </w:r>
    </w:p>
    <w:p w14:paraId="00647E41" w14:textId="77777777" w:rsidR="00A758B9" w:rsidRPr="00B35F13" w:rsidRDefault="00A758B9" w:rsidP="00B35F13">
      <w:pPr>
        <w:pStyle w:val="Textoindependiente"/>
        <w:spacing w:after="0" w:line="360" w:lineRule="auto"/>
        <w:jc w:val="both"/>
        <w:rPr>
          <w:rFonts w:ascii="ITC Avant Garde" w:hAnsi="ITC Avant Garde"/>
          <w:sz w:val="20"/>
          <w:szCs w:val="20"/>
        </w:rPr>
      </w:pPr>
      <w:r w:rsidRPr="00B35F13">
        <w:rPr>
          <w:rFonts w:ascii="ITC Avant Garde" w:hAnsi="ITC Avant Garde"/>
          <w:b/>
          <w:sz w:val="20"/>
          <w:szCs w:val="20"/>
        </w:rPr>
        <w:t>Fecha de Clasificación:</w:t>
      </w:r>
      <w:r w:rsidRPr="00B35F13">
        <w:rPr>
          <w:rFonts w:ascii="ITC Avant Garde" w:hAnsi="ITC Avant Garde"/>
          <w:sz w:val="20"/>
          <w:szCs w:val="20"/>
        </w:rPr>
        <w:t xml:space="preserve"> 29 de marzo de 2017.</w:t>
      </w:r>
    </w:p>
    <w:p w14:paraId="1E936676" w14:textId="77777777" w:rsidR="00A758B9" w:rsidRPr="00B35F13" w:rsidRDefault="00A758B9" w:rsidP="00B35F13">
      <w:pPr>
        <w:pStyle w:val="Textoindependiente"/>
        <w:spacing w:after="0" w:line="360" w:lineRule="auto"/>
        <w:jc w:val="both"/>
        <w:rPr>
          <w:rFonts w:ascii="ITC Avant Garde" w:hAnsi="ITC Avant Garde"/>
          <w:sz w:val="20"/>
          <w:szCs w:val="20"/>
        </w:rPr>
      </w:pPr>
      <w:r w:rsidRPr="00B35F13">
        <w:rPr>
          <w:rFonts w:ascii="ITC Avant Garde" w:hAnsi="ITC Avant Garde"/>
          <w:b/>
          <w:sz w:val="20"/>
          <w:szCs w:val="20"/>
        </w:rPr>
        <w:t>Unidad Administrativa:</w:t>
      </w:r>
      <w:r w:rsidRPr="00B35F13">
        <w:rPr>
          <w:rFonts w:ascii="ITC Avant Garde" w:hAnsi="ITC Avant Garde"/>
          <w:sz w:val="20"/>
          <w:szCs w:val="20"/>
        </w:rPr>
        <w:t xml:space="preserve"> Secretaría Técnica del Pleno</w:t>
      </w:r>
    </w:p>
    <w:p w14:paraId="4BA3ABFF" w14:textId="77777777" w:rsidR="00B35F13" w:rsidRPr="00B35F13" w:rsidRDefault="00B35F13" w:rsidP="00B35F13">
      <w:pPr>
        <w:pStyle w:val="Textoindependiente"/>
        <w:spacing w:after="0" w:line="360" w:lineRule="auto"/>
        <w:jc w:val="both"/>
        <w:rPr>
          <w:rFonts w:ascii="ITC Avant Garde" w:hAnsi="ITC Avant Garde"/>
          <w:sz w:val="20"/>
          <w:szCs w:val="20"/>
        </w:rPr>
      </w:pPr>
      <w:r w:rsidRPr="00B35F13">
        <w:rPr>
          <w:rFonts w:ascii="ITC Avant Garde" w:hAnsi="ITC Avant Garde"/>
          <w:b/>
          <w:sz w:val="20"/>
          <w:szCs w:val="20"/>
        </w:rPr>
        <w:t>Clasificación:</w:t>
      </w:r>
      <w:r w:rsidRPr="00B35F13">
        <w:rPr>
          <w:rFonts w:ascii="ITC Avant Garde" w:hAnsi="ITC Avant Garde"/>
          <w:sz w:val="20"/>
          <w:szCs w:val="20"/>
        </w:rPr>
        <w:t xml:space="preserve"> Confidencial, de conformidad con los artículos 72, fracción V, inciso c), 98, fracción III y 104 de la Ley Federal de Transparencia y Acceso a la Información Pública (“LFTAIP”); 106, 107 y 110 de la Ley General de Transparencia y Acceso a la Información Pública ("LGTAIP”);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27 de abril de 2017.</w:t>
      </w:r>
    </w:p>
    <w:p w14:paraId="7213D255" w14:textId="66CFA3EE" w:rsidR="00B35F13" w:rsidRPr="00B35F13" w:rsidRDefault="00B35F13" w:rsidP="00B35F13">
      <w:pPr>
        <w:pStyle w:val="Textoindependiente"/>
        <w:spacing w:after="0" w:line="360" w:lineRule="auto"/>
        <w:jc w:val="both"/>
        <w:rPr>
          <w:rFonts w:ascii="ITC Avant Garde" w:hAnsi="ITC Avant Garde"/>
          <w:sz w:val="20"/>
          <w:szCs w:val="20"/>
        </w:rPr>
      </w:pPr>
      <w:r w:rsidRPr="00B35F13">
        <w:rPr>
          <w:rFonts w:ascii="ITC Avant Garde" w:hAnsi="ITC Avant Garde"/>
          <w:b/>
          <w:sz w:val="20"/>
          <w:szCs w:val="20"/>
        </w:rPr>
        <w:t>Núm. de Resolución:</w:t>
      </w:r>
      <w:r w:rsidRPr="00B35F13">
        <w:rPr>
          <w:rFonts w:ascii="ITC Avant Garde" w:hAnsi="ITC Avant Garde"/>
          <w:sz w:val="20"/>
          <w:szCs w:val="20"/>
        </w:rPr>
        <w:t xml:space="preserve"> P/IFT/290317/164.</w:t>
      </w:r>
    </w:p>
    <w:p w14:paraId="7D78F7CB" w14:textId="1D3C314D" w:rsidR="00B35F13" w:rsidRPr="00B35F13" w:rsidRDefault="00B35F13" w:rsidP="00B35F13">
      <w:pPr>
        <w:pStyle w:val="Textoindependiente"/>
        <w:spacing w:after="0" w:line="360" w:lineRule="auto"/>
        <w:jc w:val="both"/>
        <w:rPr>
          <w:rFonts w:ascii="ITC Avant Garde" w:eastAsia="Times New Roman" w:hAnsi="ITC Avant Garde"/>
          <w:bCs/>
          <w:color w:val="000000"/>
          <w:sz w:val="20"/>
          <w:szCs w:val="20"/>
          <w:lang w:eastAsia="es-MX"/>
        </w:rPr>
      </w:pPr>
      <w:r w:rsidRPr="00B35F13">
        <w:rPr>
          <w:rFonts w:ascii="ITC Avant Garde" w:eastAsia="Times New Roman" w:hAnsi="ITC Avant Garde"/>
          <w:b/>
          <w:bCs/>
          <w:color w:val="000000"/>
          <w:sz w:val="20"/>
          <w:szCs w:val="20"/>
          <w:lang w:eastAsia="es-MX"/>
        </w:rPr>
        <w:t>Descripción del asunto:</w:t>
      </w:r>
      <w:r w:rsidRPr="00B35F13">
        <w:rPr>
          <w:rFonts w:ascii="ITC Avant Garde" w:eastAsia="Times New Roman" w:hAnsi="ITC Avant Garde"/>
          <w:bCs/>
          <w:color w:val="000000"/>
          <w:sz w:val="20"/>
          <w:szCs w:val="20"/>
          <w:lang w:eastAsia="es-MX"/>
        </w:rPr>
        <w:t xml:space="preserve"> </w:t>
      </w:r>
      <w:r w:rsidRPr="00B35F13">
        <w:rPr>
          <w:rFonts w:ascii="ITC Avant Garde" w:hAnsi="ITC Avant Garde"/>
          <w:sz w:val="20"/>
          <w:szCs w:val="20"/>
        </w:rPr>
        <w:t>Resolución mediante la cual el Pleno del Instituto Federal de Telecomunicaciones impone una sanción derivado del procedimiento administrativo instruido en contra de la empresa Teléfonos de México, S.A.B. de C.V., por el incumplimiento al tercer párrafo de la Condición 1.9 de su título de concesión.</w:t>
      </w:r>
    </w:p>
    <w:p w14:paraId="24C71CC3" w14:textId="4D0B72DA" w:rsidR="00B35F13" w:rsidRPr="00B35F13" w:rsidRDefault="00B35F13" w:rsidP="00B35F13">
      <w:pPr>
        <w:pStyle w:val="Textoindependiente"/>
        <w:spacing w:after="0" w:line="360" w:lineRule="auto"/>
        <w:jc w:val="both"/>
        <w:rPr>
          <w:rFonts w:ascii="ITC Avant Garde" w:hAnsi="ITC Avant Garde"/>
          <w:sz w:val="20"/>
          <w:szCs w:val="20"/>
        </w:rPr>
      </w:pPr>
      <w:r w:rsidRPr="00B35F13">
        <w:rPr>
          <w:rFonts w:ascii="ITC Avant Garde" w:eastAsia="Times New Roman" w:hAnsi="ITC Avant Garde"/>
          <w:b/>
          <w:bCs/>
          <w:color w:val="000000"/>
          <w:sz w:val="20"/>
          <w:szCs w:val="20"/>
          <w:lang w:eastAsia="es-MX"/>
        </w:rPr>
        <w:t>Fundamento legal:</w:t>
      </w:r>
      <w:r w:rsidRPr="00B35F13">
        <w:rPr>
          <w:rFonts w:ascii="ITC Avant Garde" w:eastAsia="Times New Roman" w:hAnsi="ITC Avant Garde"/>
          <w:bCs/>
          <w:color w:val="000000"/>
          <w:sz w:val="20"/>
          <w:szCs w:val="20"/>
          <w:lang w:eastAsia="es-MX"/>
        </w:rPr>
        <w:t xml:space="preserve"> </w:t>
      </w:r>
      <w:r w:rsidRPr="00B35F13">
        <w:rPr>
          <w:rFonts w:ascii="ITC Avant Garde" w:hAnsi="ITC Avant Garde"/>
          <w:sz w:val="20"/>
          <w:szCs w:val="20"/>
        </w:rPr>
        <w:t xml:space="preserve">Confidencial con fundamento en el artículo 113, fracción I de la “LFTAIP” </w:t>
      </w:r>
      <w:proofErr w:type="gramStart"/>
      <w:r w:rsidRPr="00B35F13">
        <w:rPr>
          <w:rFonts w:ascii="ITC Avant Garde" w:hAnsi="ITC Avant Garde"/>
          <w:sz w:val="20"/>
          <w:szCs w:val="20"/>
        </w:rPr>
        <w:t>publicada</w:t>
      </w:r>
      <w:proofErr w:type="gramEnd"/>
      <w:r w:rsidRPr="00B35F13">
        <w:rPr>
          <w:rFonts w:ascii="ITC Avant Garde" w:hAnsi="ITC Avant Garde"/>
          <w:sz w:val="20"/>
          <w:szCs w:val="20"/>
        </w:rPr>
        <w:t xml:space="preserve"> en el Diario Oficial de la Federación (DOF) el 9 de mayo de 2016; así como el artículo 116 de la “LGTAIP”, publicada en el DOF el 4 de mayo de 2015; así como el Lineamiento Trigésimo Octavo, fracción I, II y III y Cuadragésimo, fracción I de los “LCCDIEVP”, publicado en el DOF el 15 de abril de 2016.</w:t>
      </w:r>
    </w:p>
    <w:p w14:paraId="3914DC33" w14:textId="77777777" w:rsidR="00B35F13" w:rsidRPr="00B35F13" w:rsidRDefault="00B35F13" w:rsidP="00B35F13">
      <w:pPr>
        <w:pStyle w:val="Textoindependiente"/>
        <w:spacing w:after="0" w:line="360" w:lineRule="auto"/>
        <w:jc w:val="both"/>
        <w:rPr>
          <w:rFonts w:ascii="ITC Avant Garde" w:hAnsi="ITC Avant Garde"/>
          <w:sz w:val="20"/>
          <w:szCs w:val="20"/>
        </w:rPr>
      </w:pPr>
      <w:r w:rsidRPr="00B35F13">
        <w:rPr>
          <w:rFonts w:ascii="ITC Avant Garde" w:eastAsia="Times New Roman" w:hAnsi="ITC Avant Garde"/>
          <w:b/>
          <w:bCs/>
          <w:color w:val="000000"/>
          <w:sz w:val="20"/>
          <w:szCs w:val="20"/>
          <w:lang w:eastAsia="es-MX"/>
        </w:rPr>
        <w:t>Motivación:</w:t>
      </w:r>
      <w:r w:rsidRPr="00B35F13">
        <w:rPr>
          <w:rFonts w:ascii="ITC Avant Garde" w:eastAsia="Times New Roman" w:hAnsi="ITC Avant Garde"/>
          <w:bCs/>
          <w:color w:val="000000"/>
          <w:sz w:val="20"/>
          <w:szCs w:val="20"/>
          <w:lang w:eastAsia="es-MX"/>
        </w:rPr>
        <w:t xml:space="preserve"> </w:t>
      </w:r>
      <w:r w:rsidRPr="00B35F13">
        <w:rPr>
          <w:rFonts w:ascii="ITC Avant Garde" w:hAnsi="ITC Avant Garde"/>
          <w:sz w:val="20"/>
          <w:szCs w:val="20"/>
        </w:rPr>
        <w:t>Contiene datos personales concernientes a una persona identificada o identificable, información entregada con carácter Confidencial por el solicitante, información relacionada con el patrimonio de una persona moral, así como la relacionada con secretos comerciales y de la industria.</w:t>
      </w:r>
    </w:p>
    <w:p w14:paraId="76DB2767" w14:textId="70506173" w:rsidR="00B35F13" w:rsidRPr="00B35F13" w:rsidRDefault="00B35F13" w:rsidP="00B35F13">
      <w:pPr>
        <w:pStyle w:val="Textoindependiente"/>
        <w:spacing w:after="0" w:line="360" w:lineRule="auto"/>
        <w:jc w:val="both"/>
        <w:rPr>
          <w:rFonts w:ascii="ITC Avant Garde" w:eastAsia="Times New Roman" w:hAnsi="ITC Avant Garde"/>
          <w:bCs/>
          <w:color w:val="000000"/>
          <w:sz w:val="20"/>
          <w:szCs w:val="20"/>
          <w:lang w:eastAsia="es-MX"/>
        </w:rPr>
      </w:pPr>
      <w:r w:rsidRPr="00B35F13">
        <w:rPr>
          <w:rFonts w:ascii="ITC Avant Garde" w:eastAsia="Times New Roman" w:hAnsi="ITC Avant Garde"/>
          <w:b/>
          <w:bCs/>
          <w:color w:val="000000"/>
          <w:sz w:val="20"/>
          <w:szCs w:val="20"/>
          <w:lang w:eastAsia="es-MX"/>
        </w:rPr>
        <w:t>Secciones Confidenciales:</w:t>
      </w:r>
      <w:r w:rsidRPr="00B35F13">
        <w:rPr>
          <w:rFonts w:ascii="ITC Avant Garde" w:eastAsia="Times New Roman" w:hAnsi="ITC Avant Garde"/>
          <w:bCs/>
          <w:color w:val="000000"/>
          <w:sz w:val="20"/>
          <w:szCs w:val="20"/>
          <w:lang w:eastAsia="es-MX"/>
        </w:rPr>
        <w:t xml:space="preserve"> Las </w:t>
      </w:r>
      <w:r w:rsidRPr="00B35F13">
        <w:rPr>
          <w:rFonts w:ascii="ITC Avant Garde" w:hAnsi="ITC Avant Garde"/>
          <w:sz w:val="20"/>
          <w:szCs w:val="20"/>
        </w:rPr>
        <w:t>secciones</w:t>
      </w:r>
      <w:r w:rsidRPr="00B35F13">
        <w:rPr>
          <w:rFonts w:ascii="ITC Avant Garde" w:eastAsia="Times New Roman" w:hAnsi="ITC Avant Garde"/>
          <w:bCs/>
          <w:color w:val="000000"/>
          <w:sz w:val="20"/>
          <w:szCs w:val="20"/>
          <w:lang w:eastAsia="es-MX"/>
        </w:rPr>
        <w:t xml:space="preserve"> marcadas en color azul con la inscripción que dice </w:t>
      </w:r>
      <w:r w:rsidRPr="00B35F13">
        <w:rPr>
          <w:rFonts w:ascii="ITC Avant Garde" w:eastAsia="Times New Roman" w:hAnsi="ITC Avant Garde"/>
          <w:b/>
          <w:bCs/>
          <w:color w:val="0000CC"/>
          <w:sz w:val="20"/>
          <w:szCs w:val="20"/>
          <w:lang w:eastAsia="es-MX"/>
        </w:rPr>
        <w:t>“CONFIDENCIAL POR LEY”</w:t>
      </w:r>
      <w:r w:rsidRPr="00B35F13">
        <w:rPr>
          <w:rFonts w:ascii="ITC Avant Garde" w:eastAsia="Times New Roman" w:hAnsi="ITC Avant Garde"/>
          <w:bCs/>
          <w:color w:val="000000"/>
          <w:sz w:val="20"/>
          <w:szCs w:val="20"/>
          <w:lang w:eastAsia="es-MX"/>
        </w:rPr>
        <w:t>.</w:t>
      </w:r>
    </w:p>
    <w:p w14:paraId="59E3C59E" w14:textId="77777777" w:rsidR="008A56BB" w:rsidRDefault="008A56BB" w:rsidP="0055664C">
      <w:pPr>
        <w:tabs>
          <w:tab w:val="left" w:pos="4111"/>
        </w:tabs>
        <w:spacing w:after="0" w:line="360" w:lineRule="auto"/>
        <w:ind w:right="3686"/>
        <w:rPr>
          <w:rFonts w:ascii="ITC Avant Garde" w:eastAsia="Times New Roman" w:hAnsi="ITC Avant Garde"/>
          <w:b/>
          <w:bCs/>
          <w:color w:val="000000"/>
          <w:lang w:eastAsia="es-MX"/>
        </w:rPr>
        <w:sectPr w:rsidR="008A56BB" w:rsidSect="009F3771">
          <w:footerReference w:type="default" r:id="rId8"/>
          <w:pgSz w:w="12240" w:h="15840"/>
          <w:pgMar w:top="1985" w:right="1701" w:bottom="1418" w:left="1701" w:header="709" w:footer="709" w:gutter="0"/>
          <w:cols w:space="708"/>
          <w:docGrid w:linePitch="360"/>
        </w:sectPr>
      </w:pPr>
    </w:p>
    <w:p w14:paraId="0DBC3220" w14:textId="0A1EB52E" w:rsidR="00A771EC" w:rsidRPr="002A2450" w:rsidRDefault="00A771EC" w:rsidP="00B35F13">
      <w:pPr>
        <w:pStyle w:val="Ttulo1"/>
        <w:keepNext/>
        <w:keepLines/>
        <w:spacing w:before="240" w:after="240" w:line="276" w:lineRule="auto"/>
        <w:ind w:right="4818"/>
        <w:jc w:val="both"/>
        <w:rPr>
          <w:rFonts w:eastAsia="Times New Roman"/>
          <w:b w:val="0"/>
          <w:bCs/>
          <w:color w:val="000000"/>
          <w:lang w:eastAsia="es-MX"/>
        </w:rPr>
      </w:pPr>
      <w:r w:rsidRPr="002A2450">
        <w:rPr>
          <w:rFonts w:eastAsia="Times New Roman"/>
          <w:bCs/>
          <w:color w:val="000000"/>
          <w:lang w:eastAsia="es-MX"/>
        </w:rPr>
        <w:lastRenderedPageBreak/>
        <w:t>TEL</w:t>
      </w:r>
      <w:r w:rsidR="002E5355" w:rsidRPr="002A2450">
        <w:rPr>
          <w:rFonts w:eastAsia="Times New Roman"/>
          <w:bCs/>
          <w:color w:val="000000"/>
          <w:lang w:eastAsia="es-MX"/>
        </w:rPr>
        <w:t>É</w:t>
      </w:r>
      <w:r w:rsidRPr="002A2450">
        <w:rPr>
          <w:rFonts w:eastAsia="Times New Roman"/>
          <w:bCs/>
          <w:color w:val="000000"/>
          <w:lang w:eastAsia="es-MX"/>
        </w:rPr>
        <w:t xml:space="preserve">FONOS DE </w:t>
      </w:r>
      <w:r w:rsidRPr="00B35F13">
        <w:rPr>
          <w:rFonts w:eastAsia="Times New Roman" w:cs="Times New Roman"/>
          <w:bCs/>
          <w:kern w:val="36"/>
          <w:szCs w:val="48"/>
          <w:lang w:eastAsia="es-MX"/>
        </w:rPr>
        <w:t>MÉXICO</w:t>
      </w:r>
      <w:r w:rsidRPr="002A2450">
        <w:rPr>
          <w:rFonts w:eastAsia="Times New Roman"/>
          <w:bCs/>
          <w:color w:val="000000"/>
          <w:lang w:eastAsia="es-MX"/>
        </w:rPr>
        <w:t xml:space="preserve">, S.A.B. DE C.V. </w:t>
      </w:r>
    </w:p>
    <w:p w14:paraId="50D0A2FB" w14:textId="77777777" w:rsidR="00B35F13" w:rsidRPr="0057405A" w:rsidRDefault="00074C39" w:rsidP="00B35F13">
      <w:pPr>
        <w:spacing w:before="240" w:line="360" w:lineRule="auto"/>
        <w:ind w:right="4585"/>
        <w:jc w:val="both"/>
        <w:rPr>
          <w:rFonts w:ascii="ITC Avant Garde" w:eastAsia="Times New Roman" w:hAnsi="ITC Avant Garde"/>
          <w:b/>
          <w:bCs/>
          <w:color w:val="000000"/>
          <w:lang w:eastAsia="es-MX"/>
        </w:rPr>
      </w:pPr>
      <w:r w:rsidRPr="0057405A">
        <w:rPr>
          <w:rFonts w:ascii="ITC Avant Garde" w:eastAsiaTheme="majorEastAsia" w:hAnsi="ITC Avant Garde" w:cstheme="majorBidi"/>
          <w:b/>
          <w:color w:val="0000FF"/>
          <w:szCs w:val="32"/>
        </w:rPr>
        <w:t>“CONFIDENCIAL POR LEY”</w:t>
      </w:r>
    </w:p>
    <w:p w14:paraId="6DAE0336" w14:textId="0259F9CB" w:rsidR="00B35F13" w:rsidRDefault="00A771EC"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Ciudad de México, a </w:t>
      </w:r>
      <w:r w:rsidR="00997A7E" w:rsidRPr="002A2450">
        <w:rPr>
          <w:rFonts w:ascii="ITC Avant Garde" w:eastAsia="Times New Roman" w:hAnsi="ITC Avant Garde"/>
          <w:b/>
          <w:bCs/>
          <w:color w:val="000000"/>
          <w:lang w:eastAsia="es-MX"/>
        </w:rPr>
        <w:t xml:space="preserve">veintinueve </w:t>
      </w:r>
      <w:r w:rsidRPr="002A2450">
        <w:rPr>
          <w:rFonts w:ascii="ITC Avant Garde" w:eastAsia="Times New Roman" w:hAnsi="ITC Avant Garde"/>
          <w:b/>
          <w:bCs/>
          <w:color w:val="000000"/>
          <w:lang w:eastAsia="es-MX"/>
        </w:rPr>
        <w:t xml:space="preserve">de </w:t>
      </w:r>
      <w:r w:rsidR="00310661" w:rsidRPr="002A2450">
        <w:rPr>
          <w:rFonts w:ascii="ITC Avant Garde" w:eastAsia="Times New Roman" w:hAnsi="ITC Avant Garde"/>
          <w:b/>
          <w:bCs/>
          <w:color w:val="000000"/>
          <w:lang w:eastAsia="es-MX"/>
        </w:rPr>
        <w:t xml:space="preserve">marzo </w:t>
      </w:r>
      <w:r w:rsidRPr="002A2450">
        <w:rPr>
          <w:rFonts w:ascii="ITC Avant Garde" w:eastAsia="Times New Roman" w:hAnsi="ITC Avant Garde"/>
          <w:b/>
          <w:bCs/>
          <w:color w:val="000000"/>
          <w:lang w:eastAsia="es-MX"/>
        </w:rPr>
        <w:t>de dos mil</w:t>
      </w:r>
      <w:r w:rsidR="00182EFE" w:rsidRPr="002A2450">
        <w:rPr>
          <w:rFonts w:ascii="ITC Avant Garde" w:eastAsia="Times New Roman" w:hAnsi="ITC Avant Garde"/>
          <w:b/>
          <w:bCs/>
          <w:color w:val="000000"/>
          <w:lang w:eastAsia="es-MX"/>
        </w:rPr>
        <w:t xml:space="preserve"> diecisiete</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Visto para resolver el procedimiento administrativo de imposición de sanción relativo al expediente </w:t>
      </w:r>
      <w:r w:rsidR="009E34A4">
        <w:rPr>
          <w:rFonts w:ascii="ITC Avant Garde" w:eastAsia="Times New Roman" w:hAnsi="ITC Avant Garde"/>
          <w:bCs/>
          <w:color w:val="000000"/>
          <w:lang w:eastAsia="es-MX"/>
        </w:rPr>
        <w:br/>
      </w:r>
      <w:r w:rsidRPr="002A2450">
        <w:rPr>
          <w:rFonts w:ascii="ITC Avant Garde" w:eastAsia="Times New Roman" w:hAnsi="ITC Avant Garde"/>
          <w:b/>
          <w:bCs/>
          <w:color w:val="000000"/>
          <w:lang w:eastAsia="es-MX"/>
        </w:rPr>
        <w:t>E-IFT.UC.DG-SAN.I.0235/2015</w:t>
      </w:r>
      <w:r w:rsidRPr="002A2450">
        <w:rPr>
          <w:rFonts w:ascii="ITC Avant Garde" w:eastAsia="Times New Roman" w:hAnsi="ITC Avant Garde"/>
          <w:bCs/>
          <w:color w:val="000000"/>
          <w:lang w:eastAsia="es-MX"/>
        </w:rPr>
        <w:t xml:space="preserve">, iniciado mediante acuerdo de veinticuatro de agosto de dos mil quince y notificado el veinticinco de agosto siguiente, por este Instituto Federal de Telecomunicaciones </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en adelante el “</w:t>
      </w:r>
      <w:r w:rsidRPr="002A2450">
        <w:rPr>
          <w:rFonts w:ascii="ITC Avant Garde" w:eastAsia="Times New Roman" w:hAnsi="ITC Avant Garde"/>
          <w:b/>
          <w:bCs/>
          <w:color w:val="000000"/>
          <w:lang w:eastAsia="es-MX"/>
        </w:rPr>
        <w:t>IFT” o “Instituto”)</w:t>
      </w:r>
      <w:r w:rsidRPr="002A2450">
        <w:rPr>
          <w:rFonts w:ascii="ITC Avant Garde" w:eastAsia="Times New Roman" w:hAnsi="ITC Avant Garde"/>
          <w:bCs/>
          <w:color w:val="000000"/>
          <w:lang w:eastAsia="es-MX"/>
        </w:rPr>
        <w:t xml:space="preserve">, por conducto de la Unidad de Cumplimiento, en contra de </w:t>
      </w:r>
      <w:r w:rsidRPr="002A2450">
        <w:rPr>
          <w:rFonts w:ascii="ITC Avant Garde" w:eastAsia="Times New Roman" w:hAnsi="ITC Avant Garde"/>
          <w:b/>
          <w:bCs/>
          <w:color w:val="000000"/>
          <w:lang w:eastAsia="es-MX"/>
        </w:rPr>
        <w:t>TELÉFONOS DE MÉXICO, S.A.B. DE C.V.</w:t>
      </w:r>
      <w:r w:rsidRPr="002A2450">
        <w:rPr>
          <w:rFonts w:ascii="ITC Avant Garde" w:eastAsia="Times New Roman" w:hAnsi="ITC Avant Garde"/>
          <w:bCs/>
          <w:color w:val="000000"/>
          <w:lang w:eastAsia="es-MX"/>
        </w:rPr>
        <w:t xml:space="preserve">, en lo sucesivo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por el probable incumplimiento a lo dispuesto en la </w:t>
      </w:r>
      <w:r w:rsidRPr="002A2450">
        <w:rPr>
          <w:rFonts w:ascii="ITC Avant Garde" w:eastAsia="Times New Roman" w:hAnsi="ITC Avant Garde"/>
          <w:b/>
          <w:bCs/>
          <w:color w:val="000000"/>
          <w:lang w:eastAsia="es-MX"/>
        </w:rPr>
        <w:t xml:space="preserve">condición </w:t>
      </w:r>
      <w:r w:rsidR="002E5355" w:rsidRPr="002A2450">
        <w:rPr>
          <w:rFonts w:ascii="ITC Avant Garde" w:eastAsia="Times New Roman" w:hAnsi="ITC Avant Garde"/>
          <w:b/>
          <w:bCs/>
          <w:color w:val="000000"/>
          <w:lang w:eastAsia="es-MX"/>
        </w:rPr>
        <w:t xml:space="preserve">1-9 </w:t>
      </w:r>
      <w:r w:rsidRPr="002A2450">
        <w:rPr>
          <w:rFonts w:ascii="ITC Avant Garde" w:eastAsia="Times New Roman" w:hAnsi="ITC Avant Garde"/>
          <w:b/>
          <w:bCs/>
          <w:color w:val="000000"/>
          <w:lang w:eastAsia="es-MX"/>
        </w:rPr>
        <w:t>“Distribución de Señales de Televisión” de su Título de Concesión otorgado por la Secretar</w:t>
      </w:r>
      <w:r w:rsidR="00BD1D1D" w:rsidRPr="002A2450">
        <w:rPr>
          <w:rFonts w:ascii="ITC Avant Garde" w:eastAsia="Times New Roman" w:hAnsi="ITC Avant Garde"/>
          <w:b/>
          <w:bCs/>
          <w:color w:val="000000"/>
          <w:lang w:eastAsia="es-MX"/>
        </w:rPr>
        <w:t>í</w:t>
      </w:r>
      <w:r w:rsidRPr="002A2450">
        <w:rPr>
          <w:rFonts w:ascii="ITC Avant Garde" w:eastAsia="Times New Roman" w:hAnsi="ITC Avant Garde"/>
          <w:b/>
          <w:bCs/>
          <w:color w:val="000000"/>
          <w:lang w:eastAsia="es-MX"/>
        </w:rPr>
        <w:t>a de Comunicaciones y Transportes el diez de marzo de mil novecientos setenta y seis y modificado el diez de agosto de mil novecientos noventa, para construir, instalar, mantener, operar y explotar una red del servicio público telefónico</w:t>
      </w:r>
      <w:r w:rsidR="00C425B4"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
          <w:bCs/>
          <w:color w:val="000000"/>
          <w:lang w:eastAsia="es-MX"/>
        </w:rPr>
        <w:t xml:space="preserve">en adelante </w:t>
      </w:r>
      <w:r w:rsidR="00C425B4" w:rsidRPr="002A2450">
        <w:rPr>
          <w:rFonts w:ascii="ITC Avant Garde" w:eastAsia="Times New Roman" w:hAnsi="ITC Avant Garde"/>
          <w:b/>
          <w:bCs/>
          <w:color w:val="000000"/>
          <w:lang w:eastAsia="es-MX"/>
        </w:rPr>
        <w:t xml:space="preserve">el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 Al respecto, se emite la presente resolución de acuerdo a lo siguiente</w:t>
      </w:r>
      <w:r w:rsidR="00C425B4" w:rsidRPr="002A2450">
        <w:rPr>
          <w:rFonts w:ascii="ITC Avant Garde" w:eastAsia="Times New Roman" w:hAnsi="ITC Avant Garde"/>
          <w:bCs/>
          <w:color w:val="000000"/>
          <w:lang w:eastAsia="es-MX"/>
        </w:rPr>
        <w:t>:</w:t>
      </w:r>
    </w:p>
    <w:p w14:paraId="7D7604F4" w14:textId="77777777" w:rsidR="00B35F13" w:rsidRPr="00B35F13" w:rsidRDefault="003841C1" w:rsidP="00B35F13">
      <w:pPr>
        <w:pStyle w:val="Ttulo2"/>
        <w:keepNext/>
        <w:keepLines/>
        <w:spacing w:before="240" w:after="240"/>
        <w:contextualSpacing/>
        <w:jc w:val="center"/>
        <w:rPr>
          <w:rFonts w:eastAsia="Arial" w:cs="Arial"/>
          <w:bCs w:val="0"/>
          <w:smallCaps w:val="0"/>
          <w:sz w:val="21"/>
          <w:szCs w:val="21"/>
        </w:rPr>
      </w:pPr>
      <w:bookmarkStart w:id="1" w:name="_Toc477170102"/>
      <w:r w:rsidRPr="00B35F13">
        <w:rPr>
          <w:rFonts w:eastAsia="Arial" w:cs="Arial"/>
          <w:bCs w:val="0"/>
          <w:smallCaps w:val="0"/>
          <w:sz w:val="21"/>
          <w:szCs w:val="21"/>
        </w:rPr>
        <w:t>DEFINICIONES</w:t>
      </w:r>
      <w:bookmarkEnd w:id="1"/>
    </w:p>
    <w:p w14:paraId="563DB7BF" w14:textId="77777777" w:rsidR="0004375E" w:rsidRDefault="003841C1" w:rsidP="00B35F13">
      <w:pPr>
        <w:spacing w:before="240" w:line="360" w:lineRule="auto"/>
        <w:jc w:val="both"/>
        <w:rPr>
          <w:rFonts w:ascii="ITC Avant Garde" w:hAnsi="ITC Avant Garde"/>
        </w:rPr>
        <w:sectPr w:rsidR="0004375E" w:rsidSect="009F3771">
          <w:headerReference w:type="default" r:id="rId9"/>
          <w:pgSz w:w="12240" w:h="15840"/>
          <w:pgMar w:top="1985" w:right="1701" w:bottom="1418" w:left="1701" w:header="709" w:footer="709" w:gutter="0"/>
          <w:cols w:space="708"/>
          <w:docGrid w:linePitch="360"/>
        </w:sectPr>
      </w:pPr>
      <w:r w:rsidRPr="002A2450">
        <w:rPr>
          <w:rFonts w:ascii="ITC Avant Garde" w:hAnsi="ITC Avant Garde"/>
        </w:rPr>
        <w:t xml:space="preserve">Con el objeto de precisar los términos empleados </w:t>
      </w:r>
      <w:r w:rsidR="00E111A8" w:rsidRPr="002A2450">
        <w:rPr>
          <w:rFonts w:ascii="ITC Avant Garde" w:hAnsi="ITC Avant Garde"/>
        </w:rPr>
        <w:t>y</w:t>
      </w:r>
      <w:r w:rsidRPr="002A2450">
        <w:rPr>
          <w:rFonts w:ascii="ITC Avant Garde" w:hAnsi="ITC Avant Garde"/>
        </w:rPr>
        <w:t xml:space="preserve"> la denominación de las empresas a que se </w:t>
      </w:r>
      <w:r w:rsidR="0055664C" w:rsidRPr="002A2450">
        <w:rPr>
          <w:rFonts w:ascii="ITC Avant Garde" w:hAnsi="ITC Avant Garde"/>
        </w:rPr>
        <w:t xml:space="preserve">refiere </w:t>
      </w:r>
      <w:r w:rsidR="00E111A8" w:rsidRPr="002A2450">
        <w:rPr>
          <w:rFonts w:ascii="ITC Avant Garde" w:hAnsi="ITC Avant Garde"/>
        </w:rPr>
        <w:t>la presente</w:t>
      </w:r>
      <w:r w:rsidR="008F718E" w:rsidRPr="002A2450">
        <w:rPr>
          <w:rFonts w:ascii="ITC Avant Garde" w:hAnsi="ITC Avant Garde"/>
          <w:color w:val="C00000"/>
        </w:rPr>
        <w:t xml:space="preserve"> </w:t>
      </w:r>
      <w:r w:rsidR="0055664C" w:rsidRPr="002A2450">
        <w:rPr>
          <w:rFonts w:ascii="ITC Avant Garde" w:hAnsi="ITC Avant Garde"/>
        </w:rPr>
        <w:t>Resolución</w:t>
      </w:r>
      <w:r w:rsidRPr="002A2450">
        <w:rPr>
          <w:rFonts w:ascii="ITC Avant Garde" w:hAnsi="ITC Avant Garde"/>
        </w:rPr>
        <w:t>, se estima necesario establecer las siguientes definiciones</w:t>
      </w:r>
      <w:r w:rsidR="00A217DB" w:rsidRPr="002A2450">
        <w:rPr>
          <w:rFonts w:ascii="ITC Avant Garde" w:hAnsi="ITC Avant Garde"/>
        </w:rPr>
        <w:t xml:space="preserve"> y acrónimos</w:t>
      </w:r>
      <w:r w:rsidRPr="002A2450">
        <w:rPr>
          <w:rFonts w:ascii="ITC Avant Garde" w:hAnsi="ITC Avant Garde"/>
        </w:rPr>
        <w:t>:</w:t>
      </w:r>
    </w:p>
    <w:tbl>
      <w:tblPr>
        <w:tblStyle w:val="Tablaconcuadrcula1"/>
        <w:tblW w:w="0" w:type="auto"/>
        <w:tblLook w:val="0480" w:firstRow="0" w:lastRow="0" w:firstColumn="1" w:lastColumn="0" w:noHBand="0" w:noVBand="1"/>
        <w:tblCaption w:val="Definiciones"/>
        <w:tblDescription w:val="En una tabla de 2 columnas, se proporciona del lado izquierdo los nombre scomerciales de las empresas y del lado derecho los nombres completos."/>
      </w:tblPr>
      <w:tblGrid>
        <w:gridCol w:w="4248"/>
        <w:gridCol w:w="4580"/>
      </w:tblGrid>
      <w:tr w:rsidR="00F46AC4" w:rsidRPr="002A2450" w14:paraId="1713CF6C" w14:textId="77777777" w:rsidTr="00DA1110">
        <w:trPr>
          <w:trHeight w:val="20"/>
          <w:tblHeader/>
        </w:trPr>
        <w:tc>
          <w:tcPr>
            <w:tcW w:w="4248" w:type="dxa"/>
          </w:tcPr>
          <w:p w14:paraId="69306267"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lastRenderedPageBreak/>
              <w:t>“AMÓVIL”</w:t>
            </w:r>
          </w:p>
        </w:tc>
        <w:tc>
          <w:tcPr>
            <w:tcW w:w="4580" w:type="dxa"/>
          </w:tcPr>
          <w:p w14:paraId="003BF432" w14:textId="77777777" w:rsidR="00F46AC4" w:rsidRPr="002A2450" w:rsidRDefault="00F46AC4" w:rsidP="00B35F13">
            <w:pPr>
              <w:spacing w:line="360" w:lineRule="auto"/>
              <w:rPr>
                <w:rFonts w:ascii="ITC Avant Garde" w:hAnsi="ITC Avant Garde"/>
              </w:rPr>
            </w:pPr>
            <w:r w:rsidRPr="002A2450">
              <w:rPr>
                <w:rFonts w:ascii="ITC Avant Garde" w:hAnsi="ITC Avant Garde"/>
              </w:rPr>
              <w:t>América Móvil, S.A.B. de C.V.</w:t>
            </w:r>
          </w:p>
        </w:tc>
      </w:tr>
      <w:tr w:rsidR="00F46AC4" w:rsidRPr="002A2450" w14:paraId="7F0DB644" w14:textId="77777777" w:rsidTr="00DA1110">
        <w:trPr>
          <w:trHeight w:val="20"/>
        </w:trPr>
        <w:tc>
          <w:tcPr>
            <w:tcW w:w="4248" w:type="dxa"/>
          </w:tcPr>
          <w:p w14:paraId="6E0930FC"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t>“CABLEMAS TELECOMUNICACIONES”</w:t>
            </w:r>
          </w:p>
        </w:tc>
        <w:tc>
          <w:tcPr>
            <w:tcW w:w="4580" w:type="dxa"/>
          </w:tcPr>
          <w:p w14:paraId="71A91814" w14:textId="164188DC" w:rsidR="00F46AC4" w:rsidRPr="002A2450" w:rsidRDefault="00F46AC4" w:rsidP="00B35F13">
            <w:pPr>
              <w:spacing w:line="360" w:lineRule="auto"/>
              <w:rPr>
                <w:rFonts w:ascii="ITC Avant Garde" w:hAnsi="ITC Avant Garde"/>
              </w:rPr>
            </w:pPr>
            <w:proofErr w:type="spellStart"/>
            <w:r w:rsidRPr="002A2450">
              <w:rPr>
                <w:rFonts w:ascii="ITC Avant Garde" w:hAnsi="ITC Avant Garde"/>
              </w:rPr>
              <w:t>Cablemas</w:t>
            </w:r>
            <w:proofErr w:type="spellEnd"/>
            <w:r w:rsidRPr="002A2450">
              <w:rPr>
                <w:rFonts w:ascii="ITC Avant Garde" w:hAnsi="ITC Avant Garde"/>
              </w:rPr>
              <w:t xml:space="preserve"> </w:t>
            </w:r>
            <w:r w:rsidR="001A38CD" w:rsidRPr="002A2450">
              <w:rPr>
                <w:rFonts w:ascii="ITC Avant Garde" w:hAnsi="ITC Avant Garde"/>
              </w:rPr>
              <w:t>T</w:t>
            </w:r>
            <w:r w:rsidRPr="002A2450">
              <w:rPr>
                <w:rFonts w:ascii="ITC Avant Garde" w:hAnsi="ITC Avant Garde"/>
              </w:rPr>
              <w:t>elecomunicaciones, S.A. de C.V.</w:t>
            </w:r>
          </w:p>
        </w:tc>
      </w:tr>
      <w:tr w:rsidR="00F46AC4" w:rsidRPr="002A2450" w14:paraId="1A33D777" w14:textId="77777777" w:rsidTr="00DA1110">
        <w:trPr>
          <w:trHeight w:val="20"/>
        </w:trPr>
        <w:tc>
          <w:tcPr>
            <w:tcW w:w="4248" w:type="dxa"/>
          </w:tcPr>
          <w:p w14:paraId="4C164A69"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“COFRESA”</w:t>
            </w:r>
          </w:p>
        </w:tc>
        <w:tc>
          <w:tcPr>
            <w:tcW w:w="4580" w:type="dxa"/>
          </w:tcPr>
          <w:p w14:paraId="0E3173CA" w14:textId="7EF9BE56" w:rsidR="00F46AC4" w:rsidRPr="002A2450" w:rsidRDefault="00F46AC4" w:rsidP="00B35F13">
            <w:pPr>
              <w:spacing w:line="360" w:lineRule="auto"/>
              <w:rPr>
                <w:rFonts w:ascii="ITC Avant Garde" w:hAnsi="ITC Avant Garde" w:cs="Arial"/>
              </w:rPr>
            </w:pPr>
            <w:r w:rsidRPr="002A2450">
              <w:rPr>
                <w:rFonts w:ascii="ITC Avant Garde" w:hAnsi="ITC Avant Garde" w:cs="Arial"/>
              </w:rPr>
              <w:t>Comercializadora de Frecuencias Satelitales, S. de R.L. de C.V., constituida de conformidad con las leyes de México, quien cuenta con una concesión para instalar, operar y explotar una red pública de telecomunicaciones para prestar el servicio de televisión restringida vía satélite otorgada por la Secretaría de Comunicaciones y Transportes el siete de abril de dos mil ocho</w:t>
            </w:r>
            <w:r w:rsidR="006259B0" w:rsidRPr="002A2450">
              <w:rPr>
                <w:rFonts w:ascii="ITC Avant Garde" w:hAnsi="ITC Avant Garde" w:cs="Arial"/>
              </w:rPr>
              <w:t>.</w:t>
            </w:r>
          </w:p>
        </w:tc>
      </w:tr>
      <w:tr w:rsidR="00F46AC4" w:rsidRPr="002A2450" w14:paraId="484E8AC5" w14:textId="77777777" w:rsidTr="00DA1110">
        <w:trPr>
          <w:trHeight w:val="20"/>
        </w:trPr>
        <w:tc>
          <w:tcPr>
            <w:tcW w:w="4248" w:type="dxa"/>
          </w:tcPr>
          <w:p w14:paraId="51DDA3DB"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“COMBAND DTH”</w:t>
            </w:r>
          </w:p>
        </w:tc>
        <w:tc>
          <w:tcPr>
            <w:tcW w:w="4580" w:type="dxa"/>
          </w:tcPr>
          <w:p w14:paraId="3EE3E82B" w14:textId="396237AD" w:rsidR="00F46AC4" w:rsidRPr="002A2450" w:rsidRDefault="00F46AC4" w:rsidP="00B35F13">
            <w:pPr>
              <w:spacing w:line="360" w:lineRule="auto"/>
              <w:rPr>
                <w:rFonts w:ascii="ITC Avant Garde" w:hAnsi="ITC Avant Garde" w:cs="Arial"/>
              </w:rPr>
            </w:pPr>
            <w:proofErr w:type="spellStart"/>
            <w:r w:rsidRPr="002A2450">
              <w:rPr>
                <w:rFonts w:ascii="ITC Avant Garde" w:hAnsi="ITC Avant Garde"/>
              </w:rPr>
              <w:t>Comband</w:t>
            </w:r>
            <w:proofErr w:type="spellEnd"/>
            <w:r w:rsidRPr="002A2450">
              <w:rPr>
                <w:rFonts w:ascii="ITC Avant Garde" w:hAnsi="ITC Avant Garde"/>
              </w:rPr>
              <w:t xml:space="preserve"> DTH, S.A. de C.V.</w:t>
            </w:r>
          </w:p>
        </w:tc>
      </w:tr>
      <w:tr w:rsidR="00F46AC4" w:rsidRPr="002A2450" w14:paraId="3697F563" w14:textId="77777777" w:rsidTr="00DA1110">
        <w:trPr>
          <w:trHeight w:val="20"/>
        </w:trPr>
        <w:tc>
          <w:tcPr>
            <w:tcW w:w="4248" w:type="dxa"/>
          </w:tcPr>
          <w:p w14:paraId="082E768B" w14:textId="48FDE463"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“CPE</w:t>
            </w:r>
            <w:r w:rsidR="002E5355" w:rsidRPr="002A2450">
              <w:rPr>
                <w:rFonts w:ascii="ITC Avant Garde" w:hAnsi="ITC Avant Garde" w:cs="Arial"/>
                <w:b/>
              </w:rPr>
              <w:t>U</w:t>
            </w:r>
            <w:r w:rsidRPr="002A2450">
              <w:rPr>
                <w:rFonts w:ascii="ITC Avant Garde" w:hAnsi="ITC Avant Garde" w:cs="Arial"/>
                <w:b/>
              </w:rPr>
              <w:t xml:space="preserve">M” </w:t>
            </w:r>
            <w:r w:rsidRPr="002A2450">
              <w:rPr>
                <w:rFonts w:ascii="ITC Avant Garde" w:hAnsi="ITC Avant Garde" w:cs="Arial"/>
              </w:rPr>
              <w:t>y/o</w:t>
            </w:r>
            <w:r w:rsidRPr="002A2450">
              <w:rPr>
                <w:rFonts w:ascii="ITC Avant Garde" w:hAnsi="ITC Avant Garde" w:cs="Arial"/>
                <w:b/>
              </w:rPr>
              <w:t xml:space="preserve"> “Constitución”</w:t>
            </w:r>
          </w:p>
        </w:tc>
        <w:tc>
          <w:tcPr>
            <w:tcW w:w="4580" w:type="dxa"/>
          </w:tcPr>
          <w:p w14:paraId="79867734"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Constitución Política de los Estados Unidos Mexicanos</w:t>
            </w:r>
            <w:r w:rsidR="006259B0" w:rsidRPr="002A2450">
              <w:rPr>
                <w:rFonts w:ascii="ITC Avant Garde" w:hAnsi="ITC Avant Garde" w:cs="Arial"/>
              </w:rPr>
              <w:t>.</w:t>
            </w:r>
          </w:p>
        </w:tc>
      </w:tr>
      <w:tr w:rsidR="00F46AC4" w:rsidRPr="002A2450" w14:paraId="72363D00" w14:textId="77777777" w:rsidTr="00DA1110">
        <w:trPr>
          <w:trHeight w:val="20"/>
        </w:trPr>
        <w:tc>
          <w:tcPr>
            <w:tcW w:w="4248" w:type="dxa"/>
          </w:tcPr>
          <w:p w14:paraId="7EAD953A"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“Decreto de Reforma Constitucional”</w:t>
            </w:r>
          </w:p>
        </w:tc>
        <w:tc>
          <w:tcPr>
            <w:tcW w:w="4580" w:type="dxa"/>
          </w:tcPr>
          <w:p w14:paraId="6442D019" w14:textId="77777777" w:rsidR="00F46AC4" w:rsidRPr="002A2450" w:rsidRDefault="00F46AC4" w:rsidP="00B35F13">
            <w:pPr>
              <w:spacing w:line="360" w:lineRule="auto"/>
              <w:rPr>
                <w:rFonts w:ascii="ITC Avant Garde" w:hAnsi="ITC Avant Garde" w:cs="Arial"/>
              </w:rPr>
            </w:pPr>
            <w:r w:rsidRPr="002A2450">
              <w:rPr>
                <w:rFonts w:ascii="ITC Avant Garde" w:hAnsi="ITC Avant Garde"/>
              </w:rPr>
              <w:t>Decreto por el que se reforman y adicionan diversas disposiciones de los artículos 6º, 7º, 27, 28, 73, 78, 94 y 105 de la Constitución Política de los Estados Unidos Mexicanos, en materia de telecomunicaciones</w:t>
            </w:r>
            <w:r w:rsidR="0054244B" w:rsidRPr="002A2450">
              <w:rPr>
                <w:rFonts w:ascii="ITC Avant Garde" w:hAnsi="ITC Avant Garde"/>
              </w:rPr>
              <w:t>, publicado en el Diario Oficial de la Federación el once de junio de dos mil trece.</w:t>
            </w:r>
          </w:p>
        </w:tc>
      </w:tr>
      <w:tr w:rsidR="00F46AC4" w:rsidRPr="002A2450" w14:paraId="1FA21E4B" w14:textId="77777777" w:rsidTr="00DA1110">
        <w:trPr>
          <w:trHeight w:val="20"/>
        </w:trPr>
        <w:tc>
          <w:tcPr>
            <w:tcW w:w="4248" w:type="dxa"/>
          </w:tcPr>
          <w:p w14:paraId="25CF14C0"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“DISH HOLDINGS”</w:t>
            </w:r>
          </w:p>
        </w:tc>
        <w:tc>
          <w:tcPr>
            <w:tcW w:w="4580" w:type="dxa"/>
          </w:tcPr>
          <w:p w14:paraId="145BC505" w14:textId="4E07D97C" w:rsidR="00F46AC4" w:rsidRPr="002A2450" w:rsidRDefault="00F46AC4" w:rsidP="00B35F13">
            <w:pPr>
              <w:spacing w:line="360" w:lineRule="auto"/>
              <w:rPr>
                <w:rFonts w:ascii="ITC Avant Garde" w:hAnsi="ITC Avant Garde" w:cs="Arial"/>
              </w:rPr>
            </w:pPr>
            <w:proofErr w:type="spellStart"/>
            <w:r w:rsidRPr="002A2450">
              <w:rPr>
                <w:rFonts w:ascii="ITC Avant Garde" w:hAnsi="ITC Avant Garde" w:cs="Arial"/>
              </w:rPr>
              <w:t>Dish</w:t>
            </w:r>
            <w:proofErr w:type="spellEnd"/>
            <w:r w:rsidRPr="002A2450">
              <w:rPr>
                <w:rFonts w:ascii="ITC Avant Garde" w:hAnsi="ITC Avant Garde" w:cs="Arial"/>
              </w:rPr>
              <w:t xml:space="preserve"> México Holdings S. de R.L. de C.V., constituida de conformidad con las leyes de México.</w:t>
            </w:r>
          </w:p>
        </w:tc>
      </w:tr>
      <w:tr w:rsidR="00F46AC4" w:rsidRPr="002A2450" w14:paraId="0DF39F6E" w14:textId="77777777" w:rsidTr="00DA1110">
        <w:trPr>
          <w:trHeight w:val="20"/>
        </w:trPr>
        <w:tc>
          <w:tcPr>
            <w:tcW w:w="4248" w:type="dxa"/>
          </w:tcPr>
          <w:p w14:paraId="2970F60B"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lastRenderedPageBreak/>
              <w:t>“DISH MÉXICO”</w:t>
            </w:r>
          </w:p>
        </w:tc>
        <w:tc>
          <w:tcPr>
            <w:tcW w:w="4580" w:type="dxa"/>
          </w:tcPr>
          <w:p w14:paraId="6D9BD2D1" w14:textId="16E1A66A" w:rsidR="00F46AC4" w:rsidRPr="002A2450" w:rsidRDefault="00F46AC4" w:rsidP="00B35F13">
            <w:pPr>
              <w:spacing w:line="360" w:lineRule="auto"/>
              <w:rPr>
                <w:rFonts w:ascii="ITC Avant Garde" w:hAnsi="ITC Avant Garde" w:cs="Arial"/>
              </w:rPr>
            </w:pPr>
            <w:proofErr w:type="spellStart"/>
            <w:r w:rsidRPr="002A2450">
              <w:rPr>
                <w:rFonts w:ascii="ITC Avant Garde" w:hAnsi="ITC Avant Garde" w:cs="Arial"/>
              </w:rPr>
              <w:t>Dish</w:t>
            </w:r>
            <w:proofErr w:type="spellEnd"/>
            <w:r w:rsidRPr="002A2450">
              <w:rPr>
                <w:rFonts w:ascii="ITC Avant Garde" w:hAnsi="ITC Avant Garde" w:cs="Arial"/>
              </w:rPr>
              <w:t xml:space="preserve"> México, S. de R.L. de C.V., constituida de conformidad con las leyes de México.</w:t>
            </w:r>
          </w:p>
        </w:tc>
      </w:tr>
      <w:tr w:rsidR="00F46AC4" w:rsidRPr="002A2450" w14:paraId="2880430F" w14:textId="77777777" w:rsidTr="00DA1110">
        <w:trPr>
          <w:trHeight w:val="20"/>
        </w:trPr>
        <w:tc>
          <w:tcPr>
            <w:tcW w:w="4248" w:type="dxa"/>
          </w:tcPr>
          <w:p w14:paraId="5637EA0B"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“DISH”</w:t>
            </w:r>
          </w:p>
        </w:tc>
        <w:tc>
          <w:tcPr>
            <w:tcW w:w="4580" w:type="dxa"/>
          </w:tcPr>
          <w:p w14:paraId="3A1A92D8"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Nombre comercial del servicio de televisión restringida satelital (</w:t>
            </w:r>
            <w:r w:rsidRPr="002A2450">
              <w:rPr>
                <w:rFonts w:ascii="ITC Avant Garde" w:hAnsi="ITC Avant Garde"/>
                <w:b/>
              </w:rPr>
              <w:t>“DTH”</w:t>
            </w:r>
            <w:r w:rsidRPr="002A2450">
              <w:rPr>
                <w:rFonts w:ascii="ITC Avant Garde" w:hAnsi="ITC Avant Garde" w:cs="Arial"/>
              </w:rPr>
              <w:t xml:space="preserve">) que ofrece </w:t>
            </w:r>
            <w:r w:rsidR="006259B0" w:rsidRPr="002A2450">
              <w:rPr>
                <w:rFonts w:ascii="ITC Avant Garde" w:hAnsi="ITC Avant Garde" w:cs="Arial"/>
                <w:b/>
              </w:rPr>
              <w:t>“</w:t>
            </w:r>
            <w:r w:rsidRPr="002A2450">
              <w:rPr>
                <w:rFonts w:ascii="ITC Avant Garde" w:hAnsi="ITC Avant Garde" w:cs="Arial"/>
                <w:b/>
              </w:rPr>
              <w:t>COFRESA</w:t>
            </w:r>
            <w:r w:rsidR="006259B0" w:rsidRPr="002A2450">
              <w:rPr>
                <w:rFonts w:ascii="ITC Avant Garde" w:hAnsi="ITC Avant Garde" w:cs="Arial"/>
                <w:b/>
              </w:rPr>
              <w:t>”.</w:t>
            </w:r>
          </w:p>
        </w:tc>
      </w:tr>
      <w:tr w:rsidR="00F46AC4" w:rsidRPr="002A2450" w14:paraId="5094612C" w14:textId="77777777" w:rsidTr="00DA1110">
        <w:trPr>
          <w:trHeight w:val="20"/>
        </w:trPr>
        <w:tc>
          <w:tcPr>
            <w:tcW w:w="4248" w:type="dxa"/>
          </w:tcPr>
          <w:p w14:paraId="5B996114"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“DOF”</w:t>
            </w:r>
          </w:p>
        </w:tc>
        <w:tc>
          <w:tcPr>
            <w:tcW w:w="4580" w:type="dxa"/>
          </w:tcPr>
          <w:p w14:paraId="262E12CF"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Diario Oficial de la Federación</w:t>
            </w:r>
            <w:r w:rsidR="006259B0" w:rsidRPr="002A2450">
              <w:rPr>
                <w:rFonts w:ascii="ITC Avant Garde" w:hAnsi="ITC Avant Garde" w:cs="Arial"/>
              </w:rPr>
              <w:t>.</w:t>
            </w:r>
          </w:p>
        </w:tc>
      </w:tr>
      <w:tr w:rsidR="00F46AC4" w:rsidRPr="002A2450" w14:paraId="0C143382" w14:textId="77777777" w:rsidTr="00DA1110">
        <w:trPr>
          <w:trHeight w:val="20"/>
        </w:trPr>
        <w:tc>
          <w:tcPr>
            <w:tcW w:w="4248" w:type="dxa"/>
          </w:tcPr>
          <w:p w14:paraId="6760A3E2"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“DTH”</w:t>
            </w:r>
          </w:p>
        </w:tc>
        <w:tc>
          <w:tcPr>
            <w:tcW w:w="4580" w:type="dxa"/>
          </w:tcPr>
          <w:p w14:paraId="017BF936"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Servicio de televisión restringida vía satélite</w:t>
            </w:r>
            <w:r w:rsidR="0093093E" w:rsidRPr="002A2450">
              <w:rPr>
                <w:rFonts w:ascii="ITC Avant Garde" w:hAnsi="ITC Avant Garde" w:cs="Arial"/>
              </w:rPr>
              <w:t xml:space="preserve">, </w:t>
            </w:r>
            <w:r w:rsidR="0093093E" w:rsidRPr="002A2450">
              <w:rPr>
                <w:rFonts w:ascii="ITC Avant Garde" w:eastAsia="Times New Roman" w:hAnsi="ITC Avant Garde"/>
                <w:bCs/>
                <w:lang w:eastAsia="es-MX"/>
              </w:rPr>
              <w:t xml:space="preserve">por sus siglas en inglés </w:t>
            </w:r>
            <w:proofErr w:type="spellStart"/>
            <w:r w:rsidR="0093093E" w:rsidRPr="002A2450">
              <w:rPr>
                <w:rFonts w:ascii="ITC Avant Garde" w:eastAsia="Times New Roman" w:hAnsi="ITC Avant Garde"/>
                <w:bCs/>
                <w:i/>
                <w:lang w:eastAsia="es-MX"/>
              </w:rPr>
              <w:t>direct</w:t>
            </w:r>
            <w:proofErr w:type="spellEnd"/>
            <w:r w:rsidR="0093093E" w:rsidRPr="002A2450">
              <w:rPr>
                <w:rFonts w:ascii="ITC Avant Garde" w:eastAsia="Times New Roman" w:hAnsi="ITC Avant Garde"/>
                <w:bCs/>
                <w:i/>
                <w:lang w:eastAsia="es-MX"/>
              </w:rPr>
              <w:t>-to-home</w:t>
            </w:r>
            <w:r w:rsidR="006259B0" w:rsidRPr="002A2450">
              <w:rPr>
                <w:rFonts w:ascii="ITC Avant Garde" w:hAnsi="ITC Avant Garde" w:cs="Arial"/>
              </w:rPr>
              <w:t>.</w:t>
            </w:r>
          </w:p>
        </w:tc>
      </w:tr>
      <w:tr w:rsidR="00F46AC4" w:rsidRPr="002A2450" w14:paraId="3011D644" w14:textId="77777777" w:rsidTr="00DA1110">
        <w:trPr>
          <w:trHeight w:val="20"/>
        </w:trPr>
        <w:tc>
          <w:tcPr>
            <w:tcW w:w="4248" w:type="dxa"/>
          </w:tcPr>
          <w:p w14:paraId="7E08C01D"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“ECHOSTAR CORPORATION”</w:t>
            </w:r>
          </w:p>
        </w:tc>
        <w:tc>
          <w:tcPr>
            <w:tcW w:w="4580" w:type="dxa"/>
          </w:tcPr>
          <w:p w14:paraId="30BF2597" w14:textId="69B9F36B"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EchoStar </w:t>
            </w:r>
            <w:proofErr w:type="spellStart"/>
            <w:r w:rsidRPr="002A2450">
              <w:rPr>
                <w:rFonts w:ascii="ITC Avant Garde" w:hAnsi="ITC Avant Garde" w:cs="Arial"/>
              </w:rPr>
              <w:t>Corporation</w:t>
            </w:r>
            <w:proofErr w:type="spellEnd"/>
            <w:r w:rsidRPr="002A2450">
              <w:rPr>
                <w:rFonts w:ascii="ITC Avant Garde" w:hAnsi="ITC Avant Garde" w:cs="Arial"/>
              </w:rPr>
              <w:t xml:space="preserve"> constituida de conformidad con las leyes del Estado de Nevada</w:t>
            </w:r>
            <w:r w:rsidR="0054244B" w:rsidRPr="002A2450">
              <w:rPr>
                <w:rFonts w:ascii="ITC Avant Garde" w:hAnsi="ITC Avant Garde" w:cs="Arial"/>
              </w:rPr>
              <w:t>, Estados Unidos de Norte América</w:t>
            </w:r>
            <w:r w:rsidR="006259B0" w:rsidRPr="002A2450">
              <w:rPr>
                <w:rFonts w:ascii="ITC Avant Garde" w:hAnsi="ITC Avant Garde" w:cs="Arial"/>
              </w:rPr>
              <w:t>.</w:t>
            </w:r>
          </w:p>
        </w:tc>
      </w:tr>
      <w:tr w:rsidR="00F46AC4" w:rsidRPr="002A2450" w14:paraId="331E4C16" w14:textId="77777777" w:rsidTr="00DA1110">
        <w:trPr>
          <w:trHeight w:val="20"/>
        </w:trPr>
        <w:tc>
          <w:tcPr>
            <w:tcW w:w="4248" w:type="dxa"/>
          </w:tcPr>
          <w:p w14:paraId="3755C253"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“ECHOSTAR MEXICO”</w:t>
            </w:r>
          </w:p>
        </w:tc>
        <w:tc>
          <w:tcPr>
            <w:tcW w:w="4580" w:type="dxa"/>
          </w:tcPr>
          <w:p w14:paraId="700CB8E6" w14:textId="1DBC3194"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EchoStar México Holdings </w:t>
            </w:r>
            <w:proofErr w:type="spellStart"/>
            <w:r w:rsidRPr="002A2450">
              <w:rPr>
                <w:rFonts w:ascii="ITC Avant Garde" w:hAnsi="ITC Avant Garde" w:cs="Arial"/>
              </w:rPr>
              <w:t>Corporation</w:t>
            </w:r>
            <w:proofErr w:type="spellEnd"/>
            <w:r w:rsidRPr="002A2450">
              <w:rPr>
                <w:rFonts w:ascii="ITC Avant Garde" w:hAnsi="ITC Avant Garde" w:cs="Arial"/>
              </w:rPr>
              <w:t>, constituida de conformidad con las leyes del Estado de Colorado</w:t>
            </w:r>
            <w:r w:rsidR="0054244B" w:rsidRPr="002A2450">
              <w:rPr>
                <w:rFonts w:ascii="ITC Avant Garde" w:hAnsi="ITC Avant Garde" w:cs="Arial"/>
              </w:rPr>
              <w:t>, Estados Unidos de Norte América</w:t>
            </w:r>
            <w:r w:rsidR="006259B0" w:rsidRPr="002A2450">
              <w:rPr>
                <w:rFonts w:ascii="ITC Avant Garde" w:hAnsi="ITC Avant Garde" w:cs="Arial"/>
              </w:rPr>
              <w:t>.</w:t>
            </w:r>
          </w:p>
        </w:tc>
      </w:tr>
      <w:tr w:rsidR="00F46AC4" w:rsidRPr="002A2450" w14:paraId="13EBD43D" w14:textId="77777777" w:rsidTr="00DA1110">
        <w:trPr>
          <w:trHeight w:val="20"/>
        </w:trPr>
        <w:tc>
          <w:tcPr>
            <w:tcW w:w="4248" w:type="dxa"/>
          </w:tcPr>
          <w:p w14:paraId="2C59BDA3"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“Estatuto Orgánico”</w:t>
            </w:r>
          </w:p>
        </w:tc>
        <w:tc>
          <w:tcPr>
            <w:tcW w:w="4580" w:type="dxa"/>
          </w:tcPr>
          <w:p w14:paraId="09CCE14C"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Estatuto Orgánico del Instituto</w:t>
            </w:r>
            <w:r w:rsidR="0054244B" w:rsidRPr="002A2450">
              <w:rPr>
                <w:rFonts w:ascii="ITC Avant Garde" w:hAnsi="ITC Avant Garde" w:cs="Arial"/>
              </w:rPr>
              <w:t xml:space="preserve"> Federal de Telecomunicaciones, publicado en el </w:t>
            </w:r>
            <w:r w:rsidR="0054244B" w:rsidRPr="002A2450">
              <w:rPr>
                <w:rFonts w:ascii="ITC Avant Garde" w:hAnsi="ITC Avant Garde" w:cs="Arial"/>
                <w:b/>
              </w:rPr>
              <w:t>“DOF”</w:t>
            </w:r>
            <w:r w:rsidR="0054244B" w:rsidRPr="002A2450">
              <w:rPr>
                <w:rFonts w:ascii="ITC Avant Garde" w:hAnsi="ITC Avant Garde" w:cs="Arial"/>
              </w:rPr>
              <w:t xml:space="preserve"> el cuatro de septiembre de dos mil catorce y sus modificaciones, publicadas el diecisiete de octubre de dos mil catorce y diecisiete de octubre de dos mil dieciséis en dicho medio de comunicación oficial.</w:t>
            </w:r>
          </w:p>
        </w:tc>
      </w:tr>
      <w:tr w:rsidR="00F46AC4" w:rsidRPr="002A2450" w14:paraId="7132FD65" w14:textId="77777777" w:rsidTr="00DA1110">
        <w:trPr>
          <w:trHeight w:val="20"/>
        </w:trPr>
        <w:tc>
          <w:tcPr>
            <w:tcW w:w="4248" w:type="dxa"/>
          </w:tcPr>
          <w:p w14:paraId="5939E167"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“GFMTV”</w:t>
            </w:r>
          </w:p>
        </w:tc>
        <w:tc>
          <w:tcPr>
            <w:tcW w:w="4580" w:type="dxa"/>
          </w:tcPr>
          <w:p w14:paraId="1C8923EE" w14:textId="57C6CF35"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Grupo Frecuencia Modulada Televisión, S.A. de C.V., constituida de </w:t>
            </w:r>
            <w:r w:rsidRPr="002A2450">
              <w:rPr>
                <w:rFonts w:ascii="ITC Avant Garde" w:hAnsi="ITC Avant Garde" w:cs="Arial"/>
              </w:rPr>
              <w:lastRenderedPageBreak/>
              <w:t>conformidad con las leyes de México.</w:t>
            </w:r>
          </w:p>
          <w:p w14:paraId="5434306F"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Actualmente denominada </w:t>
            </w:r>
            <w:r w:rsidRPr="002A2450">
              <w:rPr>
                <w:rFonts w:ascii="ITC Avant Garde" w:hAnsi="ITC Avant Garde" w:cs="Arial"/>
                <w:b/>
              </w:rPr>
              <w:t>Corporativo Mexicano de Frecuencias DISH, S.A. de C.V.</w:t>
            </w:r>
          </w:p>
        </w:tc>
      </w:tr>
      <w:tr w:rsidR="00F46AC4" w:rsidRPr="002A2450" w14:paraId="69DAB70E" w14:textId="77777777" w:rsidTr="00DA1110">
        <w:trPr>
          <w:trHeight w:val="20"/>
        </w:trPr>
        <w:tc>
          <w:tcPr>
            <w:tcW w:w="4248" w:type="dxa"/>
          </w:tcPr>
          <w:p w14:paraId="4C2FFB2F"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lastRenderedPageBreak/>
              <w:t>“GRUPO MVS”</w:t>
            </w:r>
          </w:p>
        </w:tc>
        <w:tc>
          <w:tcPr>
            <w:tcW w:w="4580" w:type="dxa"/>
          </w:tcPr>
          <w:p w14:paraId="67C41EB3" w14:textId="0108194C" w:rsidR="00F46AC4" w:rsidRPr="002A2450" w:rsidRDefault="00F46AC4" w:rsidP="00B35F13">
            <w:pPr>
              <w:spacing w:line="360" w:lineRule="auto"/>
              <w:rPr>
                <w:rFonts w:ascii="ITC Avant Garde" w:hAnsi="ITC Avant Garde" w:cs="Arial"/>
              </w:rPr>
            </w:pPr>
            <w:r w:rsidRPr="002A2450">
              <w:rPr>
                <w:rFonts w:ascii="ITC Avant Garde" w:hAnsi="ITC Avant Garde" w:cs="Arial"/>
              </w:rPr>
              <w:t>Grupo MVS, S.A. de C.V., constituida de conformidad con las leyes de México.</w:t>
            </w:r>
          </w:p>
        </w:tc>
      </w:tr>
      <w:tr w:rsidR="00F46AC4" w:rsidRPr="002A2450" w14:paraId="5824DBDF" w14:textId="77777777" w:rsidTr="00DA1110">
        <w:trPr>
          <w:trHeight w:val="20"/>
        </w:trPr>
        <w:tc>
          <w:tcPr>
            <w:tcW w:w="4248" w:type="dxa"/>
          </w:tcPr>
          <w:p w14:paraId="06AD81DC"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t>“GRUPO TM”</w:t>
            </w:r>
          </w:p>
        </w:tc>
        <w:tc>
          <w:tcPr>
            <w:tcW w:w="4580" w:type="dxa"/>
          </w:tcPr>
          <w:p w14:paraId="495B8C5E" w14:textId="77777777" w:rsidR="00F46AC4" w:rsidRPr="002A2450" w:rsidRDefault="00F46AC4" w:rsidP="00B35F13">
            <w:pPr>
              <w:spacing w:line="360" w:lineRule="auto"/>
              <w:rPr>
                <w:rFonts w:ascii="ITC Avant Garde" w:hAnsi="ITC Avant Garde"/>
              </w:rPr>
            </w:pPr>
            <w:r w:rsidRPr="002A2450">
              <w:rPr>
                <w:rFonts w:ascii="ITC Avant Garde" w:hAnsi="ITC Avant Garde"/>
              </w:rPr>
              <w:t>Grupo de Telecomunicaciones Mexicanas, S.A. de C.V.</w:t>
            </w:r>
          </w:p>
        </w:tc>
      </w:tr>
      <w:tr w:rsidR="00F46AC4" w:rsidRPr="002A2450" w14:paraId="06FC4A88" w14:textId="77777777" w:rsidTr="00DA1110">
        <w:trPr>
          <w:trHeight w:val="20"/>
        </w:trPr>
        <w:tc>
          <w:tcPr>
            <w:tcW w:w="4248" w:type="dxa"/>
          </w:tcPr>
          <w:p w14:paraId="1913DF2B"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 xml:space="preserve">“IFT” </w:t>
            </w:r>
            <w:r w:rsidRPr="002A2450">
              <w:rPr>
                <w:rFonts w:ascii="ITC Avant Garde" w:hAnsi="ITC Avant Garde" w:cs="Arial"/>
              </w:rPr>
              <w:t>y/o</w:t>
            </w:r>
            <w:r w:rsidRPr="002A2450">
              <w:rPr>
                <w:rFonts w:ascii="ITC Avant Garde" w:hAnsi="ITC Avant Garde" w:cs="Arial"/>
                <w:b/>
              </w:rPr>
              <w:t xml:space="preserve"> “Instituto”</w:t>
            </w:r>
          </w:p>
        </w:tc>
        <w:tc>
          <w:tcPr>
            <w:tcW w:w="4580" w:type="dxa"/>
          </w:tcPr>
          <w:p w14:paraId="2A653057"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Instituto Federal de Telecomunicaciones</w:t>
            </w:r>
          </w:p>
        </w:tc>
      </w:tr>
      <w:tr w:rsidR="00F46AC4" w:rsidRPr="002A2450" w14:paraId="30C8A4B3" w14:textId="77777777" w:rsidTr="00DA1110">
        <w:trPr>
          <w:trHeight w:val="20"/>
        </w:trPr>
        <w:tc>
          <w:tcPr>
            <w:tcW w:w="4248" w:type="dxa"/>
          </w:tcPr>
          <w:p w14:paraId="17C3FD7A"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“LFPA”</w:t>
            </w:r>
          </w:p>
        </w:tc>
        <w:tc>
          <w:tcPr>
            <w:tcW w:w="4580" w:type="dxa"/>
          </w:tcPr>
          <w:p w14:paraId="54E00264"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Ley Federal de Procedimiento Administrativo</w:t>
            </w:r>
            <w:r w:rsidR="006259B0" w:rsidRPr="002A2450">
              <w:rPr>
                <w:rFonts w:ascii="ITC Avant Garde" w:hAnsi="ITC Avant Garde" w:cs="Arial"/>
              </w:rPr>
              <w:t>.</w:t>
            </w:r>
          </w:p>
        </w:tc>
      </w:tr>
      <w:tr w:rsidR="00F46AC4" w:rsidRPr="002A2450" w14:paraId="59D87BFF" w14:textId="77777777" w:rsidTr="00DA1110">
        <w:trPr>
          <w:trHeight w:val="20"/>
        </w:trPr>
        <w:tc>
          <w:tcPr>
            <w:tcW w:w="4248" w:type="dxa"/>
          </w:tcPr>
          <w:p w14:paraId="1C632FDC" w14:textId="77777777" w:rsidR="00F46AC4" w:rsidRPr="002A2450" w:rsidRDefault="00F46AC4" w:rsidP="00B35F13">
            <w:pPr>
              <w:spacing w:line="360" w:lineRule="auto"/>
              <w:rPr>
                <w:rFonts w:ascii="ITC Avant Garde" w:hAnsi="ITC Avant Garde" w:cs="Arial"/>
                <w:b/>
              </w:rPr>
            </w:pPr>
            <w:r w:rsidRPr="002A2450">
              <w:rPr>
                <w:rFonts w:ascii="ITC Avant Garde" w:eastAsia="Times New Roman" w:hAnsi="ITC Avant Garde"/>
                <w:b/>
                <w:bCs/>
                <w:lang w:eastAsia="es-MX"/>
              </w:rPr>
              <w:t>“LFT”</w:t>
            </w:r>
          </w:p>
        </w:tc>
        <w:tc>
          <w:tcPr>
            <w:tcW w:w="4580" w:type="dxa"/>
          </w:tcPr>
          <w:p w14:paraId="242FD3AE" w14:textId="77777777" w:rsidR="00F46AC4" w:rsidRPr="002A2450" w:rsidRDefault="00F46AC4" w:rsidP="00B35F13">
            <w:pPr>
              <w:spacing w:line="360" w:lineRule="auto"/>
              <w:rPr>
                <w:rFonts w:ascii="ITC Avant Garde" w:hAnsi="ITC Avant Garde" w:cs="Arial"/>
              </w:rPr>
            </w:pPr>
            <w:r w:rsidRPr="002A2450">
              <w:rPr>
                <w:rFonts w:ascii="ITC Avant Garde" w:eastAsia="Times New Roman" w:hAnsi="ITC Avant Garde"/>
                <w:bCs/>
                <w:lang w:eastAsia="es-MX"/>
              </w:rPr>
              <w:t>Ley Federal de Telecomunicaciones</w:t>
            </w:r>
          </w:p>
        </w:tc>
      </w:tr>
      <w:tr w:rsidR="00F46AC4" w:rsidRPr="002A2450" w14:paraId="4B18B6C4" w14:textId="77777777" w:rsidTr="00DA1110">
        <w:trPr>
          <w:trHeight w:val="20"/>
        </w:trPr>
        <w:tc>
          <w:tcPr>
            <w:tcW w:w="4248" w:type="dxa"/>
          </w:tcPr>
          <w:p w14:paraId="6119D1E8"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w:t>
            </w:r>
            <w:proofErr w:type="spellStart"/>
            <w:r w:rsidRPr="002A2450">
              <w:rPr>
                <w:rFonts w:ascii="ITC Avant Garde" w:hAnsi="ITC Avant Garde" w:cs="Arial"/>
                <w:b/>
              </w:rPr>
              <w:t>LFTyR</w:t>
            </w:r>
            <w:proofErr w:type="spellEnd"/>
            <w:r w:rsidRPr="002A2450">
              <w:rPr>
                <w:rFonts w:ascii="ITC Avant Garde" w:hAnsi="ITC Avant Garde" w:cs="Arial"/>
                <w:b/>
              </w:rPr>
              <w:t>”</w:t>
            </w:r>
          </w:p>
        </w:tc>
        <w:tc>
          <w:tcPr>
            <w:tcW w:w="4580" w:type="dxa"/>
          </w:tcPr>
          <w:p w14:paraId="36969D2E"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Ley Federal de Telecomunicaciones y Radiodifusión</w:t>
            </w:r>
            <w:r w:rsidR="006259B0" w:rsidRPr="002A2450">
              <w:rPr>
                <w:rFonts w:ascii="ITC Avant Garde" w:hAnsi="ITC Avant Garde" w:cs="Arial"/>
              </w:rPr>
              <w:t>.</w:t>
            </w:r>
          </w:p>
        </w:tc>
      </w:tr>
      <w:tr w:rsidR="00F46AC4" w:rsidRPr="002A2450" w14:paraId="5C001BEF" w14:textId="77777777" w:rsidTr="00DA1110">
        <w:trPr>
          <w:trHeight w:val="20"/>
        </w:trPr>
        <w:tc>
          <w:tcPr>
            <w:tcW w:w="4248" w:type="dxa"/>
          </w:tcPr>
          <w:p w14:paraId="0E285ADE"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“LGSM”</w:t>
            </w:r>
          </w:p>
        </w:tc>
        <w:tc>
          <w:tcPr>
            <w:tcW w:w="4580" w:type="dxa"/>
          </w:tcPr>
          <w:p w14:paraId="3D32AC13"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Ley General de Sociedades Mercantiles</w:t>
            </w:r>
            <w:r w:rsidR="006259B0" w:rsidRPr="002A2450">
              <w:rPr>
                <w:rFonts w:ascii="ITC Avant Garde" w:hAnsi="ITC Avant Garde" w:cs="Arial"/>
              </w:rPr>
              <w:t>.</w:t>
            </w:r>
          </w:p>
        </w:tc>
      </w:tr>
      <w:tr w:rsidR="00F46AC4" w:rsidRPr="002A2450" w14:paraId="7979F26A" w14:textId="77777777" w:rsidTr="00DA1110">
        <w:trPr>
          <w:trHeight w:val="20"/>
        </w:trPr>
        <w:tc>
          <w:tcPr>
            <w:tcW w:w="4248" w:type="dxa"/>
          </w:tcPr>
          <w:p w14:paraId="0B3C8129"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“LVGC”</w:t>
            </w:r>
          </w:p>
        </w:tc>
        <w:tc>
          <w:tcPr>
            <w:tcW w:w="4580" w:type="dxa"/>
          </w:tcPr>
          <w:p w14:paraId="2B33B380"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Ley de Vías Generales de Comunicación</w:t>
            </w:r>
            <w:r w:rsidR="006259B0" w:rsidRPr="002A2450">
              <w:rPr>
                <w:rFonts w:ascii="ITC Avant Garde" w:hAnsi="ITC Avant Garde" w:cs="Arial"/>
              </w:rPr>
              <w:t>.</w:t>
            </w:r>
          </w:p>
        </w:tc>
      </w:tr>
      <w:tr w:rsidR="00F46AC4" w:rsidRPr="002A2450" w14:paraId="512F9208" w14:textId="77777777" w:rsidTr="00DA1110">
        <w:trPr>
          <w:trHeight w:val="20"/>
        </w:trPr>
        <w:tc>
          <w:tcPr>
            <w:tcW w:w="4248" w:type="dxa"/>
          </w:tcPr>
          <w:p w14:paraId="5655C032"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t>“MVS COMUNICACIONES”</w:t>
            </w:r>
          </w:p>
        </w:tc>
        <w:tc>
          <w:tcPr>
            <w:tcW w:w="4580" w:type="dxa"/>
          </w:tcPr>
          <w:p w14:paraId="32BB2963" w14:textId="77777777" w:rsidR="00F46AC4" w:rsidRPr="002A2450" w:rsidRDefault="00F46AC4" w:rsidP="00B35F13">
            <w:pPr>
              <w:spacing w:line="360" w:lineRule="auto"/>
              <w:rPr>
                <w:rFonts w:ascii="ITC Avant Garde" w:hAnsi="ITC Avant Garde"/>
              </w:rPr>
            </w:pPr>
            <w:r w:rsidRPr="002A2450">
              <w:rPr>
                <w:rFonts w:ascii="ITC Avant Garde" w:hAnsi="ITC Avant Garde"/>
              </w:rPr>
              <w:t>MVS Comunicaciones, S.A. de C.V.</w:t>
            </w:r>
          </w:p>
        </w:tc>
      </w:tr>
      <w:tr w:rsidR="00F46AC4" w:rsidRPr="002A2450" w14:paraId="6C1E7C1E" w14:textId="77777777" w:rsidTr="00DA1110">
        <w:trPr>
          <w:trHeight w:val="20"/>
        </w:trPr>
        <w:tc>
          <w:tcPr>
            <w:tcW w:w="4248" w:type="dxa"/>
          </w:tcPr>
          <w:p w14:paraId="2902194B"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“MVS MULTIVISIÓN”</w:t>
            </w:r>
          </w:p>
        </w:tc>
        <w:tc>
          <w:tcPr>
            <w:tcW w:w="4580" w:type="dxa"/>
          </w:tcPr>
          <w:p w14:paraId="50912AA9" w14:textId="2EBF2172"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MVS </w:t>
            </w:r>
            <w:proofErr w:type="spellStart"/>
            <w:r w:rsidRPr="002A2450">
              <w:rPr>
                <w:rFonts w:ascii="ITC Avant Garde" w:hAnsi="ITC Avant Garde" w:cs="Arial"/>
              </w:rPr>
              <w:t>Multivisión</w:t>
            </w:r>
            <w:proofErr w:type="spellEnd"/>
            <w:r w:rsidRPr="002A2450">
              <w:rPr>
                <w:rFonts w:ascii="ITC Avant Garde" w:hAnsi="ITC Avant Garde" w:cs="Arial"/>
              </w:rPr>
              <w:t>, S.A. de C.V., constituida de conformidad con las leyes de México.</w:t>
            </w:r>
          </w:p>
        </w:tc>
      </w:tr>
      <w:tr w:rsidR="00F46AC4" w:rsidRPr="002A2450" w14:paraId="6F6BEA63" w14:textId="77777777" w:rsidTr="00DA1110">
        <w:trPr>
          <w:trHeight w:val="20"/>
        </w:trPr>
        <w:tc>
          <w:tcPr>
            <w:tcW w:w="4248" w:type="dxa"/>
          </w:tcPr>
          <w:p w14:paraId="688C8C39"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rPr>
              <w:t>“</w:t>
            </w:r>
            <w:r w:rsidRPr="002A2450">
              <w:rPr>
                <w:rFonts w:ascii="ITC Avant Garde" w:hAnsi="ITC Avant Garde" w:cs="Arial"/>
                <w:b/>
              </w:rPr>
              <w:t>MVS Net</w:t>
            </w:r>
            <w:r w:rsidRPr="002A2450">
              <w:rPr>
                <w:rFonts w:ascii="ITC Avant Garde" w:hAnsi="ITC Avant Garde" w:cs="Arial"/>
              </w:rPr>
              <w:t>”</w:t>
            </w:r>
          </w:p>
        </w:tc>
        <w:tc>
          <w:tcPr>
            <w:tcW w:w="4580" w:type="dxa"/>
          </w:tcPr>
          <w:p w14:paraId="72EC5453" w14:textId="77777777" w:rsidR="00F46AC4" w:rsidRPr="002A2450" w:rsidRDefault="00F46AC4" w:rsidP="00B35F13">
            <w:pPr>
              <w:spacing w:line="360" w:lineRule="auto"/>
              <w:rPr>
                <w:rFonts w:ascii="ITC Avant Garde" w:hAnsi="ITC Avant Garde" w:cs="Arial"/>
              </w:rPr>
            </w:pPr>
            <w:r w:rsidRPr="009E34A4">
              <w:rPr>
                <w:rFonts w:ascii="ITC Avant Garde" w:hAnsi="ITC Avant Garde" w:cs="Arial"/>
              </w:rPr>
              <w:t>MVS Net, S.A. de C.V.</w:t>
            </w:r>
          </w:p>
        </w:tc>
      </w:tr>
      <w:tr w:rsidR="00F46AC4" w:rsidRPr="002A2450" w14:paraId="2B1B2210" w14:textId="77777777" w:rsidTr="00DA1110">
        <w:trPr>
          <w:trHeight w:val="20"/>
        </w:trPr>
        <w:tc>
          <w:tcPr>
            <w:tcW w:w="4248" w:type="dxa"/>
          </w:tcPr>
          <w:p w14:paraId="1A0BCA15"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t>“PEGASO PCS”</w:t>
            </w:r>
          </w:p>
        </w:tc>
        <w:tc>
          <w:tcPr>
            <w:tcW w:w="4580" w:type="dxa"/>
          </w:tcPr>
          <w:p w14:paraId="515453AE" w14:textId="77777777" w:rsidR="00F46AC4" w:rsidRPr="002A2450" w:rsidRDefault="00F46AC4" w:rsidP="00B35F13">
            <w:pPr>
              <w:spacing w:line="360" w:lineRule="auto"/>
              <w:rPr>
                <w:rFonts w:ascii="ITC Avant Garde" w:hAnsi="ITC Avant Garde"/>
              </w:rPr>
            </w:pPr>
            <w:r w:rsidRPr="002A2450">
              <w:rPr>
                <w:rFonts w:ascii="ITC Avant Garde" w:hAnsi="ITC Avant Garde"/>
              </w:rPr>
              <w:t>Pegaso PCS, S.A. de C.V.</w:t>
            </w:r>
          </w:p>
        </w:tc>
      </w:tr>
      <w:tr w:rsidR="00F46AC4" w:rsidRPr="002A2450" w14:paraId="60D45DC5" w14:textId="77777777" w:rsidTr="00DA1110">
        <w:trPr>
          <w:trHeight w:val="20"/>
        </w:trPr>
        <w:tc>
          <w:tcPr>
            <w:tcW w:w="4248" w:type="dxa"/>
          </w:tcPr>
          <w:p w14:paraId="4AF69036"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b/>
              </w:rPr>
              <w:t>“PEGASO”</w:t>
            </w:r>
          </w:p>
        </w:tc>
        <w:tc>
          <w:tcPr>
            <w:tcW w:w="4580" w:type="dxa"/>
          </w:tcPr>
          <w:p w14:paraId="70073DA2" w14:textId="77777777" w:rsidR="00F46AC4" w:rsidRPr="002A2450" w:rsidRDefault="00F46AC4" w:rsidP="00B35F13">
            <w:pPr>
              <w:spacing w:line="360" w:lineRule="auto"/>
              <w:rPr>
                <w:rFonts w:ascii="ITC Avant Garde" w:hAnsi="ITC Avant Garde" w:cs="Arial"/>
              </w:rPr>
            </w:pPr>
            <w:r w:rsidRPr="002A2450">
              <w:rPr>
                <w:rFonts w:ascii="ITC Avant Garde" w:hAnsi="ITC Avant Garde"/>
              </w:rPr>
              <w:t>Pegaso Comunicaciones y Sistemas, S.A. de C.V.</w:t>
            </w:r>
          </w:p>
        </w:tc>
      </w:tr>
      <w:tr w:rsidR="00F46AC4" w:rsidRPr="002A2450" w14:paraId="7EF25449" w14:textId="77777777" w:rsidTr="00DA1110">
        <w:trPr>
          <w:trHeight w:val="20"/>
        </w:trPr>
        <w:tc>
          <w:tcPr>
            <w:tcW w:w="4248" w:type="dxa"/>
          </w:tcPr>
          <w:p w14:paraId="4E1E3A63" w14:textId="77777777" w:rsidR="00F46AC4" w:rsidRPr="002A2450" w:rsidRDefault="00F46AC4" w:rsidP="00B35F13">
            <w:pPr>
              <w:spacing w:line="360" w:lineRule="auto"/>
              <w:rPr>
                <w:rFonts w:ascii="ITC Avant Garde" w:hAnsi="ITC Avant Garde"/>
                <w:b/>
              </w:rPr>
            </w:pPr>
            <w:r w:rsidRPr="002A2450">
              <w:rPr>
                <w:rFonts w:ascii="ITC Avant Garde" w:hAnsi="ITC Avant Garde" w:cs="Arial"/>
                <w:b/>
              </w:rPr>
              <w:t>“QUETZSAT”</w:t>
            </w:r>
          </w:p>
        </w:tc>
        <w:tc>
          <w:tcPr>
            <w:tcW w:w="4580" w:type="dxa"/>
          </w:tcPr>
          <w:p w14:paraId="78B2D069" w14:textId="77777777" w:rsidR="00F46AC4" w:rsidRPr="002A2450" w:rsidRDefault="00F46AC4" w:rsidP="00B35F13">
            <w:pPr>
              <w:spacing w:line="360" w:lineRule="auto"/>
              <w:rPr>
                <w:rFonts w:ascii="ITC Avant Garde" w:hAnsi="ITC Avant Garde"/>
              </w:rPr>
            </w:pPr>
            <w:r w:rsidRPr="009E34A4">
              <w:rPr>
                <w:rFonts w:ascii="ITC Avant Garde" w:hAnsi="ITC Avant Garde"/>
              </w:rPr>
              <w:t>QUETZSAT, S. de R.L. de C.V</w:t>
            </w:r>
            <w:r w:rsidRPr="002A2450">
              <w:rPr>
                <w:rFonts w:ascii="ITC Avant Garde" w:hAnsi="ITC Avant Garde"/>
                <w:b/>
              </w:rPr>
              <w:t>.</w:t>
            </w:r>
          </w:p>
        </w:tc>
      </w:tr>
      <w:tr w:rsidR="00F46AC4" w:rsidRPr="002A2450" w14:paraId="01CBC099" w14:textId="77777777" w:rsidTr="00DA1110">
        <w:trPr>
          <w:trHeight w:val="20"/>
        </w:trPr>
        <w:tc>
          <w:tcPr>
            <w:tcW w:w="4248" w:type="dxa"/>
          </w:tcPr>
          <w:p w14:paraId="3198765F"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“TELMEX”</w:t>
            </w:r>
          </w:p>
        </w:tc>
        <w:tc>
          <w:tcPr>
            <w:tcW w:w="4580" w:type="dxa"/>
          </w:tcPr>
          <w:p w14:paraId="4101EC1C" w14:textId="7572EC07"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Teléfonos de México, S.A.B. de C.V., constituida de conformidad con las </w:t>
            </w:r>
            <w:r w:rsidRPr="002A2450">
              <w:rPr>
                <w:rFonts w:ascii="ITC Avant Garde" w:hAnsi="ITC Avant Garde" w:cs="Arial"/>
              </w:rPr>
              <w:lastRenderedPageBreak/>
              <w:t>leyes de México, quien cuenta con Título de Concesión para construir, instalar, mantener, operar y explotar una red del servicio público telefónico, otorgada por la Secretaría de Comunicaciones y Transportes el diez de marzo de mil novecientos setenta y seis y modificada el diez de agosto de mil novecientos noventa.</w:t>
            </w:r>
          </w:p>
        </w:tc>
      </w:tr>
      <w:tr w:rsidR="00F46AC4" w:rsidRPr="002A2450" w14:paraId="4B608E95" w14:textId="77777777" w:rsidTr="00DA1110">
        <w:trPr>
          <w:trHeight w:val="20"/>
        </w:trPr>
        <w:tc>
          <w:tcPr>
            <w:tcW w:w="4248" w:type="dxa"/>
          </w:tcPr>
          <w:p w14:paraId="00A85992"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lastRenderedPageBreak/>
              <w:t>“TENINVER”</w:t>
            </w:r>
          </w:p>
        </w:tc>
        <w:tc>
          <w:tcPr>
            <w:tcW w:w="4580" w:type="dxa"/>
          </w:tcPr>
          <w:p w14:paraId="5580DB0E" w14:textId="54D5B72C" w:rsidR="00F46AC4" w:rsidRPr="002A2450" w:rsidRDefault="00F46AC4" w:rsidP="00B35F13">
            <w:pPr>
              <w:spacing w:line="360" w:lineRule="auto"/>
              <w:rPr>
                <w:rFonts w:ascii="ITC Avant Garde" w:hAnsi="ITC Avant Garde" w:cs="Arial"/>
              </w:rPr>
            </w:pPr>
            <w:proofErr w:type="spellStart"/>
            <w:r w:rsidRPr="002A2450">
              <w:rPr>
                <w:rFonts w:ascii="ITC Avant Garde" w:hAnsi="ITC Avant Garde" w:cs="Arial"/>
              </w:rPr>
              <w:t>Teninver</w:t>
            </w:r>
            <w:proofErr w:type="spellEnd"/>
            <w:r w:rsidRPr="002A2450">
              <w:rPr>
                <w:rFonts w:ascii="ITC Avant Garde" w:hAnsi="ITC Avant Garde" w:cs="Arial"/>
              </w:rPr>
              <w:t xml:space="preserve">, S.A. de C.V., constituida de conformidad con las leyes de México y subsidiaria controlada por </w:t>
            </w:r>
            <w:r w:rsidR="004624B7" w:rsidRPr="002A2450">
              <w:rPr>
                <w:rFonts w:ascii="ITC Avant Garde" w:hAnsi="ITC Avant Garde" w:cs="Arial"/>
                <w:b/>
              </w:rPr>
              <w:t>“</w:t>
            </w:r>
            <w:r w:rsidRPr="002A2450">
              <w:rPr>
                <w:rFonts w:ascii="ITC Avant Garde" w:hAnsi="ITC Avant Garde" w:cs="Arial"/>
                <w:b/>
              </w:rPr>
              <w:t>TELMEX</w:t>
            </w:r>
            <w:r w:rsidR="004624B7" w:rsidRPr="002A2450">
              <w:rPr>
                <w:rFonts w:ascii="ITC Avant Garde" w:hAnsi="ITC Avant Garde" w:cs="Arial"/>
                <w:b/>
              </w:rPr>
              <w:t>”</w:t>
            </w:r>
            <w:r w:rsidR="004624B7" w:rsidRPr="002A2450">
              <w:rPr>
                <w:rStyle w:val="Refdenotaalpie"/>
                <w:rFonts w:ascii="ITC Avant Garde" w:hAnsi="ITC Avant Garde" w:cs="Arial"/>
                <w:b/>
              </w:rPr>
              <w:footnoteReference w:id="1"/>
            </w:r>
            <w:r w:rsidRPr="002A2450">
              <w:rPr>
                <w:rFonts w:ascii="ITC Avant Garde" w:hAnsi="ITC Avant Garde" w:cs="Arial"/>
                <w:b/>
              </w:rPr>
              <w:t>.</w:t>
            </w:r>
          </w:p>
        </w:tc>
      </w:tr>
      <w:tr w:rsidR="00F46AC4" w:rsidRPr="002A2450" w14:paraId="2F519D5C" w14:textId="77777777" w:rsidTr="00DA1110">
        <w:trPr>
          <w:trHeight w:val="20"/>
        </w:trPr>
        <w:tc>
          <w:tcPr>
            <w:tcW w:w="4248" w:type="dxa"/>
          </w:tcPr>
          <w:p w14:paraId="524AC371" w14:textId="77777777" w:rsidR="00F46AC4" w:rsidRPr="002A2450" w:rsidRDefault="00F46AC4" w:rsidP="00B35F13">
            <w:pPr>
              <w:spacing w:line="360" w:lineRule="auto"/>
              <w:rPr>
                <w:rFonts w:ascii="ITC Avant Garde" w:hAnsi="ITC Avant Garde" w:cs="Arial"/>
                <w:b/>
              </w:rPr>
            </w:pPr>
            <w:r w:rsidRPr="002A2450">
              <w:rPr>
                <w:rFonts w:ascii="ITC Avant Garde" w:hAnsi="ITC Avant Garde" w:cs="Arial"/>
                <w:b/>
              </w:rPr>
              <w:t>“TÍTULO DE CONCESIÓN”</w:t>
            </w:r>
          </w:p>
        </w:tc>
        <w:tc>
          <w:tcPr>
            <w:tcW w:w="4580" w:type="dxa"/>
          </w:tcPr>
          <w:p w14:paraId="1938B3AC" w14:textId="77777777" w:rsidR="00F46AC4" w:rsidRPr="002A2450" w:rsidRDefault="00F46AC4" w:rsidP="00B35F13">
            <w:pPr>
              <w:spacing w:line="360" w:lineRule="auto"/>
              <w:rPr>
                <w:rFonts w:ascii="ITC Avant Garde" w:hAnsi="ITC Avant Garde" w:cs="Arial"/>
              </w:rPr>
            </w:pPr>
            <w:r w:rsidRPr="002A2450">
              <w:rPr>
                <w:rFonts w:ascii="ITC Avant Garde" w:hAnsi="ITC Avant Garde" w:cs="Arial"/>
              </w:rPr>
              <w:t xml:space="preserve">Título de Concesión otorgado a </w:t>
            </w:r>
            <w:r w:rsidRPr="002A2450">
              <w:rPr>
                <w:rFonts w:ascii="ITC Avant Garde" w:hAnsi="ITC Avant Garde" w:cs="Arial"/>
                <w:b/>
              </w:rPr>
              <w:t>“TELMEX”</w:t>
            </w:r>
            <w:r w:rsidRPr="002A2450">
              <w:rPr>
                <w:rFonts w:ascii="ITC Avant Garde" w:hAnsi="ITC Avant Garde" w:cs="Arial"/>
              </w:rPr>
              <w:t xml:space="preserve"> por la Secretaría de Comunicaciones y Transportes para construir, instalar, mantener, operar y explotar una red de servicio público telefónico, mismo que fue modificado el diez de agosto de mil novecientos noventa por dicha Secretaría, el cuál fue publicado en </w:t>
            </w:r>
            <w:r w:rsidRPr="002A2450">
              <w:rPr>
                <w:rFonts w:ascii="ITC Avant Garde" w:hAnsi="ITC Avant Garde" w:cs="Arial"/>
              </w:rPr>
              <w:lastRenderedPageBreak/>
              <w:t xml:space="preserve">el </w:t>
            </w:r>
            <w:r w:rsidRPr="002A2450">
              <w:rPr>
                <w:rFonts w:ascii="ITC Avant Garde" w:hAnsi="ITC Avant Garde" w:cs="Arial"/>
                <w:b/>
              </w:rPr>
              <w:t>“DOF”</w:t>
            </w:r>
            <w:r w:rsidRPr="002A2450">
              <w:rPr>
                <w:rFonts w:ascii="ITC Avant Garde" w:hAnsi="ITC Avant Garde" w:cs="Arial"/>
              </w:rPr>
              <w:t xml:space="preserve"> el diez de diciem</w:t>
            </w:r>
            <w:r w:rsidR="006259B0" w:rsidRPr="002A2450">
              <w:rPr>
                <w:rFonts w:ascii="ITC Avant Garde" w:hAnsi="ITC Avant Garde" w:cs="Arial"/>
              </w:rPr>
              <w:t>bre de mil novecientos noventa.</w:t>
            </w:r>
          </w:p>
        </w:tc>
      </w:tr>
      <w:tr w:rsidR="00F46AC4" w:rsidRPr="002A2450" w14:paraId="2441AD41" w14:textId="77777777" w:rsidTr="00DA1110">
        <w:trPr>
          <w:trHeight w:val="20"/>
        </w:trPr>
        <w:tc>
          <w:tcPr>
            <w:tcW w:w="4248" w:type="dxa"/>
          </w:tcPr>
          <w:p w14:paraId="690E9E06" w14:textId="77777777" w:rsidR="00F46AC4" w:rsidRPr="002A2450" w:rsidRDefault="00F46AC4" w:rsidP="00B35F13">
            <w:pPr>
              <w:spacing w:line="360" w:lineRule="auto"/>
              <w:rPr>
                <w:rFonts w:ascii="ITC Avant Garde" w:hAnsi="ITC Avant Garde"/>
                <w:b/>
              </w:rPr>
            </w:pPr>
            <w:r w:rsidRPr="002A2450">
              <w:rPr>
                <w:rFonts w:ascii="ITC Avant Garde" w:hAnsi="ITC Avant Garde"/>
                <w:b/>
              </w:rPr>
              <w:lastRenderedPageBreak/>
              <w:t>“TOTAL PLAY TELECOMUNICACIONES”</w:t>
            </w:r>
          </w:p>
        </w:tc>
        <w:tc>
          <w:tcPr>
            <w:tcW w:w="4580" w:type="dxa"/>
          </w:tcPr>
          <w:p w14:paraId="70D13095" w14:textId="77777777" w:rsidR="00F46AC4" w:rsidRPr="002A2450" w:rsidRDefault="00F46AC4" w:rsidP="00B35F13">
            <w:pPr>
              <w:spacing w:line="360" w:lineRule="auto"/>
              <w:rPr>
                <w:rFonts w:ascii="ITC Avant Garde" w:hAnsi="ITC Avant Garde"/>
              </w:rPr>
            </w:pPr>
            <w:r w:rsidRPr="002A2450">
              <w:rPr>
                <w:rFonts w:ascii="ITC Avant Garde" w:hAnsi="ITC Avant Garde"/>
              </w:rPr>
              <w:t>Total Play Telecomunicaciones, S.A. de C.V.</w:t>
            </w:r>
          </w:p>
        </w:tc>
      </w:tr>
    </w:tbl>
    <w:p w14:paraId="2D82C762" w14:textId="77777777" w:rsidR="00B35F13" w:rsidRPr="00B35F13" w:rsidRDefault="00A771EC" w:rsidP="00B35F13">
      <w:pPr>
        <w:pStyle w:val="Ttulo2"/>
        <w:keepNext/>
        <w:keepLines/>
        <w:spacing w:before="240" w:after="240"/>
        <w:contextualSpacing/>
        <w:jc w:val="center"/>
        <w:rPr>
          <w:rFonts w:eastAsia="Arial" w:cs="Arial"/>
          <w:bCs w:val="0"/>
          <w:smallCaps w:val="0"/>
          <w:sz w:val="21"/>
          <w:szCs w:val="21"/>
        </w:rPr>
      </w:pPr>
      <w:bookmarkStart w:id="2" w:name="_Toc477170103"/>
      <w:r w:rsidRPr="00B35F13">
        <w:rPr>
          <w:rFonts w:eastAsia="Arial" w:cs="Arial"/>
          <w:bCs w:val="0"/>
          <w:smallCaps w:val="0"/>
          <w:sz w:val="21"/>
          <w:szCs w:val="21"/>
        </w:rPr>
        <w:t>RESULTANDO</w:t>
      </w:r>
      <w:bookmarkEnd w:id="2"/>
    </w:p>
    <w:p w14:paraId="16EDF0FB" w14:textId="77777777" w:rsidR="00B35F13" w:rsidRDefault="00A771EC" w:rsidP="00B35F13">
      <w:pPr>
        <w:spacing w:before="240" w:line="360" w:lineRule="auto"/>
        <w:jc w:val="both"/>
        <w:rPr>
          <w:rFonts w:ascii="ITC Avant Garde" w:eastAsia="Times New Roman" w:hAnsi="ITC Avant Garde"/>
          <w:b/>
          <w:bCs/>
          <w:color w:val="000000"/>
          <w:lang w:eastAsia="es-MX"/>
        </w:rPr>
      </w:pPr>
      <w:bookmarkStart w:id="3" w:name="_Toc477170104"/>
      <w:r w:rsidRPr="002A2450">
        <w:rPr>
          <w:rStyle w:val="Ttulo2Car"/>
          <w:rFonts w:eastAsiaTheme="minorHAnsi"/>
        </w:rPr>
        <w:t>PRIMERO</w:t>
      </w:r>
      <w:bookmarkEnd w:id="3"/>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Mediante acuerdo de veinticuatro de agosto de dos mil quince, el Titular de la Unidad de Cumplimiento del </w:t>
      </w:r>
      <w:r w:rsidRPr="002A2450">
        <w:rPr>
          <w:rFonts w:ascii="ITC Avant Garde" w:eastAsia="Times New Roman" w:hAnsi="ITC Avant Garde"/>
          <w:b/>
          <w:bCs/>
          <w:color w:val="000000"/>
          <w:lang w:eastAsia="es-MX"/>
        </w:rPr>
        <w:t>“IFT”</w:t>
      </w:r>
      <w:r w:rsidRPr="002A2450">
        <w:rPr>
          <w:rFonts w:ascii="ITC Avant Garde" w:eastAsia="Times New Roman" w:hAnsi="ITC Avant Garde"/>
          <w:bCs/>
          <w:color w:val="000000"/>
          <w:lang w:eastAsia="es-MX"/>
        </w:rPr>
        <w:t xml:space="preserve">, inició el procedimiento administrativo de imposición de sanción en contra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por considerar el probable incumplimiento a lo dispuesto en</w:t>
      </w:r>
      <w:r w:rsidR="002B09D2" w:rsidRPr="002A2450">
        <w:rPr>
          <w:rFonts w:ascii="ITC Avant Garde" w:eastAsia="Times New Roman" w:hAnsi="ITC Avant Garde"/>
          <w:bCs/>
          <w:color w:val="000000"/>
          <w:lang w:eastAsia="es-MX"/>
        </w:rPr>
        <w:t xml:space="preserve"> el </w:t>
      </w:r>
      <w:r w:rsidR="00841FB0" w:rsidRPr="009E34A4">
        <w:rPr>
          <w:rFonts w:ascii="ITC Avant Garde" w:eastAsia="Times New Roman" w:hAnsi="ITC Avant Garde"/>
          <w:b/>
          <w:bCs/>
          <w:color w:val="000000"/>
          <w:lang w:eastAsia="es-MX"/>
        </w:rPr>
        <w:t>Tercer Párrafo</w:t>
      </w:r>
      <w:r w:rsidR="002B09D2" w:rsidRPr="002A2450">
        <w:rPr>
          <w:rFonts w:ascii="ITC Avant Garde" w:eastAsia="Times New Roman" w:hAnsi="ITC Avant Garde"/>
          <w:bCs/>
          <w:color w:val="000000"/>
          <w:lang w:eastAsia="es-MX"/>
        </w:rPr>
        <w:t xml:space="preserve"> de</w:t>
      </w:r>
      <w:r w:rsidRPr="002A2450">
        <w:rPr>
          <w:rFonts w:ascii="ITC Avant Garde" w:eastAsia="Times New Roman" w:hAnsi="ITC Avant Garde"/>
          <w:bCs/>
          <w:color w:val="000000"/>
          <w:lang w:eastAsia="es-MX"/>
        </w:rPr>
        <w:t xml:space="preserve"> la condición</w:t>
      </w:r>
      <w:r w:rsidRPr="002A2450">
        <w:rPr>
          <w:rFonts w:ascii="ITC Avant Garde" w:eastAsia="Times New Roman" w:hAnsi="ITC Avant Garde"/>
          <w:b/>
          <w:bCs/>
          <w:color w:val="000000"/>
          <w:lang w:eastAsia="es-MX"/>
        </w:rPr>
        <w:t xml:space="preserve"> 1</w:t>
      </w:r>
      <w:r w:rsidR="0055664C"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9 “Distribución de Señales de Televisión” </w:t>
      </w:r>
      <w:r w:rsidRPr="002A2450">
        <w:rPr>
          <w:rFonts w:ascii="ITC Avant Garde" w:eastAsia="Times New Roman" w:hAnsi="ITC Avant Garde"/>
          <w:bCs/>
          <w:color w:val="000000"/>
          <w:lang w:eastAsia="es-MX"/>
        </w:rPr>
        <w:t>de su</w:t>
      </w:r>
      <w:r w:rsidRPr="002A2450">
        <w:rPr>
          <w:rFonts w:ascii="ITC Avant Garde" w:eastAsia="Times New Roman" w:hAnsi="ITC Avant Garde"/>
          <w:b/>
          <w:bCs/>
          <w:color w:val="000000"/>
          <w:lang w:eastAsia="es-MX"/>
        </w:rPr>
        <w:t xml:space="preserve"> </w:t>
      </w:r>
      <w:r w:rsidR="002E5355" w:rsidRPr="002A2450">
        <w:rPr>
          <w:rFonts w:ascii="ITC Avant Garde" w:eastAsia="Times New Roman" w:hAnsi="ITC Avant Garde"/>
          <w:b/>
          <w:bCs/>
          <w:color w:val="000000"/>
          <w:lang w:eastAsia="es-MX"/>
        </w:rPr>
        <w:t xml:space="preserve">TÍTULO DE CONCESIÓN. </w:t>
      </w:r>
    </w:p>
    <w:p w14:paraId="03D4AA3C" w14:textId="77777777" w:rsidR="00B35F13" w:rsidRDefault="00A771EC" w:rsidP="00B35F13">
      <w:pPr>
        <w:spacing w:before="240" w:line="360" w:lineRule="auto"/>
        <w:jc w:val="both"/>
        <w:rPr>
          <w:rFonts w:ascii="ITC Avant Garde" w:eastAsia="Times New Roman" w:hAnsi="ITC Avant Garde"/>
          <w:bCs/>
          <w:color w:val="000000"/>
          <w:lang w:eastAsia="es-MX"/>
        </w:rPr>
      </w:pPr>
      <w:bookmarkStart w:id="4" w:name="_Toc477170105"/>
      <w:r w:rsidRPr="002A2450">
        <w:rPr>
          <w:rStyle w:val="Ttulo2Car"/>
          <w:rFonts w:eastAsiaTheme="minorHAnsi"/>
        </w:rPr>
        <w:t>SEGUNDO</w:t>
      </w:r>
      <w:bookmarkEnd w:id="4"/>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El veinticinco de agosto de dos mil quince se notificó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el acuerdo de inicio del procedimiento administrativo de imposición de sanción de veinticuatro de agosto</w:t>
      </w:r>
      <w:r w:rsidR="00717028" w:rsidRPr="002A2450">
        <w:rPr>
          <w:rFonts w:ascii="ITC Avant Garde" w:eastAsia="Times New Roman" w:hAnsi="ITC Avant Garde"/>
          <w:bCs/>
          <w:color w:val="000000"/>
          <w:lang w:eastAsia="es-MX"/>
        </w:rPr>
        <w:t xml:space="preserve"> de esa anualidad</w:t>
      </w:r>
      <w:r w:rsidRPr="002A2450">
        <w:rPr>
          <w:rFonts w:ascii="ITC Avant Garde" w:eastAsia="Times New Roman" w:hAnsi="ITC Avant Garde"/>
          <w:bCs/>
          <w:color w:val="000000"/>
          <w:lang w:eastAsia="es-MX"/>
        </w:rPr>
        <w:t xml:space="preserve">, concediéndole un plazo de quince días hábiles, contados a partir del día siguiente al que surtiera sus efectos la notificación de dicho acuerdo, para que en uso de la garantía de audiencia consagrada en el artículo 14 de la </w:t>
      </w:r>
      <w:r w:rsidRPr="002A2450">
        <w:rPr>
          <w:rFonts w:ascii="ITC Avant Garde" w:eastAsia="Times New Roman" w:hAnsi="ITC Avant Garde"/>
          <w:b/>
          <w:bCs/>
          <w:color w:val="000000"/>
          <w:lang w:eastAsia="es-MX"/>
        </w:rPr>
        <w:t>“CPEUM”</w:t>
      </w:r>
      <w:r w:rsidRPr="002A2450">
        <w:rPr>
          <w:rFonts w:ascii="ITC Avant Garde" w:eastAsia="Times New Roman" w:hAnsi="ITC Avant Garde"/>
          <w:bCs/>
          <w:color w:val="000000"/>
          <w:lang w:eastAsia="es-MX"/>
        </w:rPr>
        <w:t>, en relación con el artículo 72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de aplicación supletoria en términos del artículo 6, fracción IV y 297, primer párrafo</w:t>
      </w:r>
      <w:r w:rsidR="008F718E" w:rsidRPr="002A2450">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de la “</w:t>
      </w:r>
      <w:proofErr w:type="spellStart"/>
      <w:r w:rsidRPr="002A2450">
        <w:rPr>
          <w:rFonts w:ascii="ITC Avant Garde" w:eastAsia="Times New Roman" w:hAnsi="ITC Avant Garde"/>
          <w:b/>
          <w:bCs/>
          <w:color w:val="000000"/>
          <w:lang w:eastAsia="es-MX"/>
        </w:rPr>
        <w:t>LFTyR</w:t>
      </w:r>
      <w:proofErr w:type="spellEnd"/>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expusiera lo que a su derecho conviniera y, en su caso, aportara las pruebas con que contara. </w:t>
      </w:r>
    </w:p>
    <w:p w14:paraId="0266E55E" w14:textId="77777777" w:rsidR="00B35F13" w:rsidRDefault="00A771EC"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El término concedido a </w:t>
      </w:r>
      <w:r w:rsidRPr="002A2450">
        <w:rPr>
          <w:rFonts w:ascii="ITC Avant Garde" w:eastAsia="Times New Roman" w:hAnsi="ITC Avant Garde"/>
          <w:b/>
          <w:bCs/>
          <w:color w:val="000000"/>
          <w:lang w:eastAsia="es-MX"/>
        </w:rPr>
        <w:t xml:space="preserve">“TELMEX” </w:t>
      </w:r>
      <w:r w:rsidRPr="002A2450">
        <w:rPr>
          <w:rFonts w:ascii="ITC Avant Garde" w:hAnsi="ITC Avant Garde"/>
          <w:color w:val="000000"/>
        </w:rPr>
        <w:t>para</w:t>
      </w:r>
      <w:r w:rsidRPr="002A2450">
        <w:rPr>
          <w:rFonts w:ascii="ITC Avant Garde" w:eastAsia="Times New Roman" w:hAnsi="ITC Avant Garde"/>
          <w:bCs/>
          <w:color w:val="000000"/>
          <w:lang w:eastAsia="es-MX"/>
        </w:rPr>
        <w:t xml:space="preserve"> presentar sus manifestaciones y pruebas, corrió del veintiséis de agosto al diecisiete de septiembre de dos mil quince, </w:t>
      </w:r>
      <w:r w:rsidRPr="002A2450">
        <w:rPr>
          <w:rFonts w:ascii="ITC Avant Garde" w:eastAsia="Times New Roman" w:hAnsi="ITC Avant Garde"/>
          <w:bCs/>
          <w:lang w:eastAsia="es-MX"/>
        </w:rPr>
        <w:t xml:space="preserve">sin considerar los días veintinueve y treinta de agosto, uno, cinco, seis, doce, trece y </w:t>
      </w:r>
      <w:r w:rsidRPr="002A2450">
        <w:rPr>
          <w:rFonts w:ascii="ITC Avant Garde" w:eastAsia="Times New Roman" w:hAnsi="ITC Avant Garde"/>
          <w:bCs/>
          <w:lang w:eastAsia="es-MX"/>
        </w:rPr>
        <w:lastRenderedPageBreak/>
        <w:t>dieciséis de septiembre</w:t>
      </w:r>
      <w:r w:rsidR="003841C1" w:rsidRPr="002A2450">
        <w:rPr>
          <w:rFonts w:ascii="ITC Avant Garde" w:eastAsia="Times New Roman" w:hAnsi="ITC Avant Garde"/>
          <w:bCs/>
          <w:lang w:eastAsia="es-MX"/>
        </w:rPr>
        <w:t>,</w:t>
      </w:r>
      <w:r w:rsidRPr="002A2450">
        <w:rPr>
          <w:rFonts w:ascii="ITC Avant Garde" w:eastAsia="Times New Roman" w:hAnsi="ITC Avant Garde"/>
          <w:bCs/>
          <w:lang w:eastAsia="es-MX"/>
        </w:rPr>
        <w:t xml:space="preserve"> todos del dos mil quince</w:t>
      </w:r>
      <w:r w:rsidR="003841C1" w:rsidRPr="002A2450">
        <w:rPr>
          <w:rFonts w:ascii="ITC Avant Garde" w:eastAsia="Times New Roman" w:hAnsi="ITC Avant Garde"/>
          <w:bCs/>
          <w:lang w:eastAsia="es-MX"/>
        </w:rPr>
        <w:t>,</w:t>
      </w:r>
      <w:r w:rsidRPr="002A2450">
        <w:rPr>
          <w:rFonts w:ascii="ITC Avant Garde" w:eastAsia="Times New Roman" w:hAnsi="ITC Avant Garde"/>
          <w:bCs/>
          <w:lang w:eastAsia="es-MX"/>
        </w:rPr>
        <w:t xml:space="preserve"> por ser sábados y domingos y días inhábiles</w:t>
      </w:r>
      <w:r w:rsidR="003841C1" w:rsidRPr="002A2450">
        <w:rPr>
          <w:rStyle w:val="Refdenotaalpie"/>
          <w:rFonts w:ascii="ITC Avant Garde" w:eastAsia="Times New Roman" w:hAnsi="ITC Avant Garde"/>
          <w:bCs/>
          <w:lang w:eastAsia="es-MX"/>
        </w:rPr>
        <w:footnoteReference w:id="2"/>
      </w:r>
      <w:r w:rsidR="003841C1" w:rsidRPr="002A2450">
        <w:rPr>
          <w:rFonts w:ascii="ITC Avant Garde" w:eastAsia="Times New Roman" w:hAnsi="ITC Avant Garde"/>
          <w:bCs/>
          <w:lang w:eastAsia="es-MX"/>
        </w:rPr>
        <w:t>,</w:t>
      </w:r>
      <w:r w:rsidRPr="002A2450">
        <w:rPr>
          <w:rFonts w:ascii="ITC Avant Garde" w:eastAsia="Times New Roman" w:hAnsi="ITC Avant Garde"/>
          <w:bCs/>
          <w:lang w:eastAsia="es-MX"/>
        </w:rPr>
        <w:t xml:space="preserve"> respectivamente, </w:t>
      </w:r>
      <w:r w:rsidRPr="002A2450">
        <w:rPr>
          <w:rFonts w:ascii="ITC Avant Garde" w:eastAsia="Times New Roman" w:hAnsi="ITC Avant Garde"/>
          <w:bCs/>
          <w:color w:val="000000"/>
          <w:lang w:eastAsia="es-MX"/>
        </w:rPr>
        <w:t xml:space="preserve">en términos del artículo 28 de la </w:t>
      </w:r>
      <w:r w:rsidRPr="002A2450">
        <w:rPr>
          <w:rFonts w:ascii="ITC Avant Garde" w:eastAsia="Times New Roman" w:hAnsi="ITC Avant Garde"/>
          <w:b/>
          <w:bCs/>
          <w:color w:val="000000"/>
          <w:lang w:eastAsia="es-MX"/>
        </w:rPr>
        <w:t>“LFPA”.</w:t>
      </w:r>
    </w:p>
    <w:p w14:paraId="20A2340C" w14:textId="77777777" w:rsidR="00B35F13" w:rsidRDefault="00A771EC"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TERCERO</w:t>
      </w:r>
      <w:r w:rsidRPr="002A2450">
        <w:rPr>
          <w:rFonts w:ascii="ITC Avant Garde" w:eastAsia="Times New Roman" w:hAnsi="ITC Avant Garde"/>
          <w:bCs/>
          <w:color w:val="000000"/>
          <w:lang w:eastAsia="es-MX"/>
        </w:rPr>
        <w:t xml:space="preserve">. Mediante escrito presentado en la </w:t>
      </w:r>
      <w:r w:rsidR="000302BB" w:rsidRPr="002A2450">
        <w:rPr>
          <w:rFonts w:ascii="ITC Avant Garde" w:eastAsia="Times New Roman" w:hAnsi="ITC Avant Garde"/>
          <w:bCs/>
          <w:color w:val="000000"/>
          <w:lang w:eastAsia="es-MX"/>
        </w:rPr>
        <w:t xml:space="preserve">Oficialía </w:t>
      </w:r>
      <w:r w:rsidRPr="002A2450">
        <w:rPr>
          <w:rFonts w:ascii="ITC Avant Garde" w:eastAsia="Times New Roman" w:hAnsi="ITC Avant Garde"/>
          <w:bCs/>
          <w:color w:val="000000"/>
          <w:lang w:eastAsia="es-MX"/>
        </w:rPr>
        <w:t xml:space="preserve">de </w:t>
      </w:r>
      <w:r w:rsidR="000302BB" w:rsidRPr="002A2450">
        <w:rPr>
          <w:rFonts w:ascii="ITC Avant Garde" w:eastAsia="Times New Roman" w:hAnsi="ITC Avant Garde"/>
          <w:bCs/>
          <w:color w:val="000000"/>
          <w:lang w:eastAsia="es-MX"/>
        </w:rPr>
        <w:t xml:space="preserve">Partes </w:t>
      </w:r>
      <w:r w:rsidRPr="002A2450">
        <w:rPr>
          <w:rFonts w:ascii="ITC Avant Garde" w:eastAsia="Times New Roman" w:hAnsi="ITC Avant Garde"/>
          <w:bCs/>
          <w:color w:val="000000"/>
          <w:lang w:eastAsia="es-MX"/>
        </w:rPr>
        <w:t xml:space="preserve">de este </w:t>
      </w:r>
      <w:r w:rsidRPr="002A2450">
        <w:rPr>
          <w:rFonts w:ascii="ITC Avant Garde" w:eastAsia="Times New Roman" w:hAnsi="ITC Avant Garde"/>
          <w:b/>
          <w:bCs/>
          <w:color w:val="000000"/>
          <w:lang w:eastAsia="es-MX"/>
        </w:rPr>
        <w:t>“IFT”</w:t>
      </w:r>
      <w:r w:rsidRPr="002A2450">
        <w:rPr>
          <w:rFonts w:ascii="ITC Avant Garde" w:eastAsia="Times New Roman" w:hAnsi="ITC Avant Garde"/>
          <w:bCs/>
          <w:color w:val="000000"/>
          <w:lang w:eastAsia="es-MX"/>
        </w:rPr>
        <w:t xml:space="preserve"> el diez de septiembre de dos mil quince, el </w:t>
      </w:r>
      <w:r w:rsidRPr="002A2450">
        <w:rPr>
          <w:rFonts w:ascii="ITC Avant Garde" w:eastAsia="Times New Roman" w:hAnsi="ITC Avant Garde"/>
          <w:b/>
          <w:bCs/>
          <w:color w:val="000000"/>
          <w:lang w:eastAsia="es-MX"/>
        </w:rPr>
        <w:t>C. FRANCISCO JAVIER ISLAS MANCERA</w:t>
      </w:r>
      <w:r w:rsidRPr="002A2450">
        <w:rPr>
          <w:rFonts w:ascii="ITC Avant Garde" w:eastAsia="Times New Roman" w:hAnsi="ITC Avant Garde"/>
          <w:bCs/>
          <w:color w:val="000000"/>
          <w:lang w:eastAsia="es-MX"/>
        </w:rPr>
        <w:t xml:space="preserve"> en su carácter de apoderado general para pleitos y cobranzas y actos de administración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personalidad </w:t>
      </w:r>
      <w:r w:rsidR="003841C1" w:rsidRPr="002A2450">
        <w:rPr>
          <w:rFonts w:ascii="ITC Avant Garde" w:eastAsia="Times New Roman" w:hAnsi="ITC Avant Garde"/>
          <w:bCs/>
          <w:color w:val="000000"/>
          <w:lang w:eastAsia="es-MX"/>
        </w:rPr>
        <w:t xml:space="preserve">que acreditó en términos de la </w:t>
      </w:r>
      <w:r w:rsidRPr="002A2450">
        <w:rPr>
          <w:rFonts w:ascii="ITC Avant Garde" w:eastAsia="Times New Roman" w:hAnsi="ITC Avant Garde"/>
          <w:bCs/>
          <w:color w:val="000000"/>
          <w:lang w:eastAsia="es-MX"/>
        </w:rPr>
        <w:t>copia certi</w:t>
      </w:r>
      <w:r w:rsidR="003841C1" w:rsidRPr="002A2450">
        <w:rPr>
          <w:rFonts w:ascii="ITC Avant Garde" w:eastAsia="Times New Roman" w:hAnsi="ITC Avant Garde"/>
          <w:bCs/>
          <w:color w:val="000000"/>
          <w:lang w:eastAsia="es-MX"/>
        </w:rPr>
        <w:t>ficada de la escritura pública n</w:t>
      </w:r>
      <w:r w:rsidRPr="002A2450">
        <w:rPr>
          <w:rFonts w:ascii="ITC Avant Garde" w:eastAsia="Times New Roman" w:hAnsi="ITC Avant Garde"/>
          <w:bCs/>
          <w:color w:val="000000"/>
          <w:lang w:eastAsia="es-MX"/>
        </w:rPr>
        <w:t>úmero noventa y dos m</w:t>
      </w:r>
      <w:r w:rsidR="003841C1" w:rsidRPr="002A2450">
        <w:rPr>
          <w:rFonts w:ascii="ITC Avant Garde" w:eastAsia="Times New Roman" w:hAnsi="ITC Avant Garde"/>
          <w:bCs/>
          <w:color w:val="000000"/>
          <w:lang w:eastAsia="es-MX"/>
        </w:rPr>
        <w:t xml:space="preserve">il cuatrocientos ochenta y dos </w:t>
      </w:r>
      <w:r w:rsidRPr="002A2450">
        <w:rPr>
          <w:rFonts w:ascii="ITC Avant Garde" w:eastAsia="Times New Roman" w:hAnsi="ITC Avant Garde"/>
          <w:bCs/>
          <w:color w:val="000000"/>
          <w:lang w:eastAsia="es-MX"/>
        </w:rPr>
        <w:t>(92</w:t>
      </w:r>
      <w:r w:rsidR="003841C1"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482) de veintitrés de abril de mil novecientos noventa</w:t>
      </w:r>
      <w:r w:rsidR="00930643"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pasada </w:t>
      </w:r>
      <w:r w:rsidR="002E5355" w:rsidRPr="002A2450">
        <w:rPr>
          <w:rFonts w:ascii="ITC Avant Garde" w:eastAsia="Times New Roman" w:hAnsi="ITC Avant Garde"/>
          <w:bCs/>
          <w:color w:val="000000"/>
          <w:lang w:eastAsia="es-MX"/>
        </w:rPr>
        <w:t>a</w:t>
      </w:r>
      <w:r w:rsidRPr="002A2450">
        <w:rPr>
          <w:rFonts w:ascii="ITC Avant Garde" w:eastAsia="Times New Roman" w:hAnsi="ITC Avant Garde"/>
          <w:bCs/>
          <w:color w:val="000000"/>
          <w:lang w:eastAsia="es-MX"/>
        </w:rPr>
        <w:t xml:space="preserve">nte la fe del </w:t>
      </w:r>
      <w:r w:rsidR="003841C1" w:rsidRPr="002A2450">
        <w:rPr>
          <w:rFonts w:ascii="ITC Avant Garde" w:eastAsia="Times New Roman" w:hAnsi="ITC Avant Garde"/>
          <w:bCs/>
          <w:color w:val="000000"/>
          <w:lang w:eastAsia="es-MX"/>
        </w:rPr>
        <w:t xml:space="preserve">notario público </w:t>
      </w:r>
      <w:r w:rsidRPr="002A2450">
        <w:rPr>
          <w:rFonts w:ascii="ITC Avant Garde" w:eastAsia="Times New Roman" w:hAnsi="ITC Avant Garde"/>
          <w:bCs/>
          <w:color w:val="000000"/>
          <w:lang w:eastAsia="es-MX"/>
        </w:rPr>
        <w:t xml:space="preserve">número 54 del Distrito Federal (hoy Ciudad de México) </w:t>
      </w:r>
      <w:r w:rsidRPr="002A2450">
        <w:rPr>
          <w:rFonts w:ascii="ITC Avant Garde" w:eastAsia="Times New Roman" w:hAnsi="ITC Avant Garde"/>
          <w:b/>
          <w:bCs/>
          <w:color w:val="000000"/>
          <w:lang w:eastAsia="es-MX"/>
        </w:rPr>
        <w:t>Lic.</w:t>
      </w:r>
      <w:r w:rsidRPr="002A2450">
        <w:rPr>
          <w:rFonts w:ascii="ITC Avant Garde" w:eastAsia="Times New Roman" w:hAnsi="ITC Avant Garde"/>
          <w:bCs/>
          <w:color w:val="000000"/>
          <w:lang w:eastAsia="es-MX"/>
        </w:rPr>
        <w:t xml:space="preserve"> </w:t>
      </w:r>
      <w:r w:rsidRPr="002A2450">
        <w:rPr>
          <w:rFonts w:ascii="ITC Avant Garde" w:eastAsia="Times New Roman" w:hAnsi="ITC Avant Garde"/>
          <w:b/>
          <w:bCs/>
          <w:color w:val="000000"/>
          <w:lang w:eastAsia="es-MX"/>
        </w:rPr>
        <w:t>Homero Díaz Rodríguez</w:t>
      </w:r>
      <w:r w:rsidR="002B09D2"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señal</w:t>
      </w:r>
      <w:r w:rsidR="003841C1" w:rsidRPr="002A2450">
        <w:rPr>
          <w:rFonts w:ascii="ITC Avant Garde" w:eastAsia="Times New Roman" w:hAnsi="ITC Avant Garde"/>
          <w:bCs/>
          <w:color w:val="000000"/>
          <w:lang w:eastAsia="es-MX"/>
        </w:rPr>
        <w:t xml:space="preserve">ó domicilio para </w:t>
      </w:r>
      <w:r w:rsidRPr="002A2450">
        <w:rPr>
          <w:rFonts w:ascii="ITC Avant Garde" w:eastAsia="Times New Roman" w:hAnsi="ITC Avant Garde"/>
          <w:bCs/>
          <w:color w:val="000000"/>
          <w:lang w:eastAsia="es-MX"/>
        </w:rPr>
        <w:t>oír y recibir todo tipo de notificaciones, autoriz</w:t>
      </w:r>
      <w:r w:rsidR="003841C1"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a diversas personas para los mismos efectos y exhib</w:t>
      </w:r>
      <w:r w:rsidR="003841C1" w:rsidRPr="002A2450">
        <w:rPr>
          <w:rFonts w:ascii="ITC Avant Garde" w:eastAsia="Times New Roman" w:hAnsi="ITC Avant Garde"/>
          <w:bCs/>
          <w:color w:val="000000"/>
          <w:lang w:eastAsia="es-MX"/>
        </w:rPr>
        <w:t>ió</w:t>
      </w:r>
      <w:r w:rsidRPr="002A2450">
        <w:rPr>
          <w:rFonts w:ascii="ITC Avant Garde" w:eastAsia="Times New Roman" w:hAnsi="ITC Avant Garde"/>
          <w:bCs/>
          <w:color w:val="000000"/>
          <w:lang w:eastAsia="es-MX"/>
        </w:rPr>
        <w:t xml:space="preserve"> </w:t>
      </w:r>
      <w:r w:rsidR="003841C1" w:rsidRPr="002A2450">
        <w:rPr>
          <w:rFonts w:ascii="ITC Avant Garde" w:eastAsia="Times New Roman" w:hAnsi="ITC Avant Garde"/>
          <w:bCs/>
          <w:color w:val="000000"/>
          <w:lang w:eastAsia="es-MX"/>
        </w:rPr>
        <w:t xml:space="preserve">el </w:t>
      </w:r>
      <w:r w:rsidR="00B478F5" w:rsidRPr="002A2450">
        <w:rPr>
          <w:rFonts w:ascii="ITC Avant Garde" w:eastAsia="Times New Roman" w:hAnsi="ITC Avant Garde"/>
          <w:b/>
          <w:bCs/>
          <w:i/>
          <w:color w:val="000000"/>
          <w:lang w:eastAsia="es-MX"/>
        </w:rPr>
        <w:t>“CONVENIO DE TERMINACIÓN AL CONTRATO DE OPCIÓN, ASÍ COMO AL CONTRATO DE CONSECUENCIAS”</w:t>
      </w:r>
      <w:r w:rsidR="00B478F5" w:rsidRPr="002A2450">
        <w:rPr>
          <w:rFonts w:ascii="ITC Avant Garde" w:eastAsia="Times New Roman" w:hAnsi="ITC Avant Garde"/>
          <w:bCs/>
          <w:i/>
          <w:color w:val="000000"/>
          <w:lang w:eastAsia="es-MX"/>
        </w:rPr>
        <w:t xml:space="preserve"> </w:t>
      </w:r>
      <w:r w:rsidR="003841C1" w:rsidRPr="002A2450">
        <w:rPr>
          <w:rFonts w:ascii="ITC Avant Garde" w:eastAsia="Times New Roman" w:hAnsi="ITC Avant Garde"/>
          <w:bCs/>
          <w:color w:val="000000"/>
          <w:lang w:eastAsia="es-MX"/>
        </w:rPr>
        <w:t xml:space="preserve">celebrado </w:t>
      </w:r>
      <w:r w:rsidRPr="002A2450">
        <w:rPr>
          <w:rFonts w:ascii="ITC Avant Garde" w:eastAsia="Times New Roman" w:hAnsi="ITC Avant Garde"/>
          <w:bCs/>
          <w:color w:val="000000"/>
          <w:lang w:eastAsia="es-MX"/>
        </w:rPr>
        <w:t xml:space="preserve">entre </w:t>
      </w:r>
      <w:r w:rsidR="003841C1"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w:t>
      </w:r>
      <w:r w:rsidR="005C2120" w:rsidRPr="002A2450">
        <w:rPr>
          <w:rFonts w:ascii="ITC Avant Garde" w:eastAsia="Times New Roman" w:hAnsi="ITC Avant Garde"/>
          <w:b/>
          <w:bCs/>
          <w:color w:val="000000"/>
          <w:lang w:eastAsia="es-MX"/>
        </w:rPr>
        <w:t>“TENINVER”</w:t>
      </w:r>
      <w:r w:rsidR="004E12EB" w:rsidRPr="002A2450">
        <w:rPr>
          <w:rFonts w:ascii="ITC Avant Garde" w:eastAsia="Times New Roman" w:hAnsi="ITC Avant Garde"/>
          <w:b/>
          <w:bCs/>
          <w:color w:val="000000"/>
          <w:lang w:eastAsia="es-MX"/>
        </w:rPr>
        <w:t xml:space="preserve">, </w:t>
      </w:r>
      <w:r w:rsidR="003841C1"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DISH </w:t>
      </w:r>
      <w:r w:rsidR="003841C1" w:rsidRPr="002A2450">
        <w:rPr>
          <w:rFonts w:ascii="ITC Avant Garde" w:eastAsia="Times New Roman" w:hAnsi="ITC Avant Garde"/>
          <w:b/>
          <w:bCs/>
          <w:color w:val="000000"/>
          <w:lang w:eastAsia="es-MX"/>
        </w:rPr>
        <w:t>MÉXICO</w:t>
      </w:r>
      <w:r w:rsidR="00F03B5F" w:rsidRPr="002A2450" w:rsidDel="00F03B5F">
        <w:rPr>
          <w:rFonts w:ascii="ITC Avant Garde" w:eastAsia="Times New Roman" w:hAnsi="ITC Avant Garde"/>
          <w:b/>
          <w:bCs/>
          <w:color w:val="000000"/>
          <w:lang w:eastAsia="es-MX"/>
        </w:rPr>
        <w:t xml:space="preserve"> </w:t>
      </w:r>
      <w:r w:rsidR="003841C1" w:rsidRPr="002A2450">
        <w:rPr>
          <w:rFonts w:ascii="ITC Avant Garde" w:eastAsia="Times New Roman" w:hAnsi="ITC Avant Garde"/>
          <w:bCs/>
          <w:color w:val="000000"/>
          <w:lang w:eastAsia="es-MX"/>
        </w:rPr>
        <w:t>“</w:t>
      </w:r>
      <w:r w:rsidR="003841C1" w:rsidRPr="002A2450">
        <w:rPr>
          <w:rFonts w:ascii="ITC Avant Garde" w:eastAsia="Times New Roman" w:hAnsi="ITC Avant Garde"/>
          <w:b/>
          <w:bCs/>
          <w:color w:val="000000"/>
          <w:lang w:eastAsia="es-MX"/>
        </w:rPr>
        <w:t>DISH HOLDINGS”</w:t>
      </w:r>
      <w:r w:rsidRPr="002A2450">
        <w:rPr>
          <w:rFonts w:ascii="ITC Avant Garde" w:eastAsia="Times New Roman" w:hAnsi="ITC Avant Garde"/>
          <w:bCs/>
          <w:color w:val="000000"/>
          <w:lang w:eastAsia="es-MX"/>
        </w:rPr>
        <w:t xml:space="preserve">; </w:t>
      </w:r>
      <w:r w:rsidR="00CC49D8" w:rsidRPr="002A2450">
        <w:rPr>
          <w:rFonts w:ascii="ITC Avant Garde" w:eastAsia="Times New Roman" w:hAnsi="ITC Avant Garde"/>
          <w:b/>
          <w:bCs/>
          <w:color w:val="000000"/>
          <w:lang w:eastAsia="es-MX"/>
        </w:rPr>
        <w:t>“GFMTV”</w:t>
      </w:r>
      <w:r w:rsidR="002079AB" w:rsidRPr="002A2450">
        <w:rPr>
          <w:rFonts w:ascii="ITC Avant Garde" w:eastAsia="Times New Roman" w:hAnsi="ITC Avant Garde"/>
          <w:bCs/>
          <w:color w:val="000000"/>
          <w:lang w:eastAsia="es-MX"/>
        </w:rPr>
        <w:t xml:space="preserve">, </w:t>
      </w:r>
      <w:r w:rsidR="007A656D" w:rsidRPr="002A2450">
        <w:rPr>
          <w:rFonts w:ascii="ITC Avant Garde" w:eastAsia="Times New Roman" w:hAnsi="ITC Avant Garde"/>
          <w:b/>
          <w:bCs/>
          <w:color w:val="000000"/>
          <w:lang w:eastAsia="es-MX"/>
        </w:rPr>
        <w:t xml:space="preserve">“ECHOSTAR CORPORATION” </w:t>
      </w:r>
      <w:r w:rsidR="002079AB" w:rsidRPr="002A2450">
        <w:rPr>
          <w:rFonts w:ascii="ITC Avant Garde" w:eastAsia="Times New Roman" w:hAnsi="ITC Avant Garde"/>
          <w:bCs/>
          <w:color w:val="000000"/>
          <w:lang w:eastAsia="es-MX"/>
        </w:rPr>
        <w:t>y</w:t>
      </w:r>
      <w:r w:rsidRPr="002A2450">
        <w:rPr>
          <w:rFonts w:ascii="ITC Avant Garde" w:eastAsia="Times New Roman" w:hAnsi="ITC Avant Garde"/>
          <w:bCs/>
          <w:color w:val="000000"/>
          <w:lang w:eastAsia="es-MX"/>
        </w:rPr>
        <w:t xml:space="preserve"> </w:t>
      </w:r>
      <w:r w:rsidR="00533B47" w:rsidRPr="002A2450">
        <w:rPr>
          <w:rFonts w:ascii="ITC Avant Garde" w:eastAsia="Times New Roman" w:hAnsi="ITC Avant Garde"/>
          <w:b/>
          <w:bCs/>
          <w:color w:val="000000"/>
          <w:lang w:eastAsia="es-MX"/>
        </w:rPr>
        <w:t>“ECHOSTAR MÉXICO”</w:t>
      </w:r>
      <w:r w:rsidRPr="002A2450">
        <w:rPr>
          <w:rFonts w:ascii="ITC Avant Garde" w:eastAsia="Times New Roman" w:hAnsi="ITC Avant Garde"/>
          <w:bCs/>
          <w:color w:val="000000"/>
          <w:lang w:eastAsia="es-MX"/>
        </w:rPr>
        <w:t xml:space="preserve">, </w:t>
      </w:r>
      <w:r w:rsidR="00533B47" w:rsidRPr="002A2450">
        <w:rPr>
          <w:rFonts w:ascii="ITC Avant Garde" w:eastAsia="Times New Roman" w:hAnsi="ITC Avant Garde"/>
          <w:bCs/>
          <w:color w:val="000000"/>
          <w:lang w:eastAsia="es-MX"/>
        </w:rPr>
        <w:t xml:space="preserve">en el idioma inglés, </w:t>
      </w:r>
      <w:r w:rsidRPr="002A2450">
        <w:rPr>
          <w:rFonts w:ascii="ITC Avant Garde" w:eastAsia="Times New Roman" w:hAnsi="ITC Avant Garde"/>
          <w:bCs/>
          <w:color w:val="000000"/>
          <w:lang w:eastAsia="es-MX"/>
        </w:rPr>
        <w:t xml:space="preserve">con su respectiva traducción </w:t>
      </w:r>
      <w:r w:rsidR="00533B47" w:rsidRPr="002A2450">
        <w:rPr>
          <w:rFonts w:ascii="ITC Avant Garde" w:eastAsia="Times New Roman" w:hAnsi="ITC Avant Garde"/>
          <w:bCs/>
          <w:color w:val="000000"/>
          <w:lang w:eastAsia="es-MX"/>
        </w:rPr>
        <w:t xml:space="preserve">al </w:t>
      </w:r>
      <w:r w:rsidRPr="002A2450">
        <w:rPr>
          <w:rFonts w:ascii="ITC Avant Garde" w:eastAsia="Times New Roman" w:hAnsi="ITC Avant Garde"/>
          <w:bCs/>
          <w:color w:val="000000"/>
          <w:lang w:eastAsia="es-MX"/>
        </w:rPr>
        <w:t>español</w:t>
      </w:r>
      <w:r w:rsidR="00B478F5" w:rsidRPr="002A2450">
        <w:rPr>
          <w:rFonts w:ascii="ITC Avant Garde" w:eastAsia="Times New Roman" w:hAnsi="ITC Avant Garde"/>
          <w:bCs/>
          <w:color w:val="000000"/>
          <w:lang w:eastAsia="es-MX"/>
        </w:rPr>
        <w:t xml:space="preserve"> realizada por el </w:t>
      </w:r>
      <w:r w:rsidR="00B478F5" w:rsidRPr="002A2450">
        <w:rPr>
          <w:rFonts w:ascii="ITC Avant Garde" w:eastAsia="Times New Roman" w:hAnsi="ITC Avant Garde"/>
          <w:b/>
          <w:bCs/>
          <w:color w:val="000000"/>
          <w:lang w:eastAsia="es-MX"/>
        </w:rPr>
        <w:t>C.</w:t>
      </w:r>
      <w:r w:rsidR="00B478F5" w:rsidRPr="002A2450">
        <w:rPr>
          <w:rFonts w:ascii="ITC Avant Garde" w:eastAsia="Times New Roman" w:hAnsi="ITC Avant Garde"/>
          <w:bCs/>
          <w:color w:val="000000"/>
          <w:lang w:eastAsia="es-MX"/>
        </w:rPr>
        <w:t xml:space="preserve"> </w:t>
      </w:r>
      <w:r w:rsidR="00B478F5" w:rsidRPr="002A2450">
        <w:rPr>
          <w:rFonts w:ascii="ITC Avant Garde" w:eastAsia="Times New Roman" w:hAnsi="ITC Avant Garde"/>
          <w:b/>
          <w:bCs/>
          <w:color w:val="000000"/>
          <w:lang w:eastAsia="es-MX"/>
        </w:rPr>
        <w:t>OSCAR D. ARRIOLA ISLAS</w:t>
      </w:r>
      <w:r w:rsidR="00B478F5" w:rsidRPr="002A2450">
        <w:rPr>
          <w:rFonts w:ascii="ITC Avant Garde" w:eastAsia="Times New Roman" w:hAnsi="ITC Avant Garde"/>
          <w:bCs/>
          <w:color w:val="000000"/>
          <w:lang w:eastAsia="es-MX"/>
        </w:rPr>
        <w:t>, perito traductor autorizado por el Tribunal Superior de Justicia del Distrito Federal</w:t>
      </w:r>
      <w:r w:rsidR="007A656D" w:rsidRPr="002A2450">
        <w:rPr>
          <w:rFonts w:ascii="ITC Avant Garde" w:eastAsia="Times New Roman" w:hAnsi="ITC Avant Garde"/>
          <w:bCs/>
          <w:color w:val="000000"/>
          <w:lang w:eastAsia="es-MX"/>
        </w:rPr>
        <w:t>, hoy Ciudad de México</w:t>
      </w:r>
      <w:r w:rsidRPr="002A2450">
        <w:rPr>
          <w:rFonts w:ascii="ITC Avant Garde" w:eastAsia="Times New Roman" w:hAnsi="ITC Avant Garde"/>
          <w:bCs/>
          <w:color w:val="000000"/>
          <w:lang w:eastAsia="es-MX"/>
        </w:rPr>
        <w:t>.</w:t>
      </w:r>
    </w:p>
    <w:p w14:paraId="6720E341" w14:textId="77777777" w:rsidR="0004375E" w:rsidRDefault="00A771EC" w:rsidP="00B35F13">
      <w:pPr>
        <w:spacing w:before="240" w:line="360" w:lineRule="auto"/>
        <w:jc w:val="both"/>
        <w:rPr>
          <w:rFonts w:ascii="ITC Avant Garde" w:eastAsia="Times New Roman" w:hAnsi="ITC Avant Garde"/>
          <w:bCs/>
          <w:color w:val="000000"/>
          <w:lang w:eastAsia="es-MX"/>
        </w:rPr>
        <w:sectPr w:rsidR="0004375E" w:rsidSect="009F3771">
          <w:headerReference w:type="default" r:id="rId10"/>
          <w:pgSz w:w="12240" w:h="15840"/>
          <w:pgMar w:top="1985" w:right="1701" w:bottom="1418" w:left="1701" w:header="709" w:footer="709" w:gutter="0"/>
          <w:cols w:space="708"/>
          <w:docGrid w:linePitch="360"/>
        </w:sectPr>
      </w:pPr>
      <w:bookmarkStart w:id="5" w:name="_Toc477170106"/>
      <w:r w:rsidRPr="002A2450">
        <w:rPr>
          <w:rStyle w:val="Ttulo3Car"/>
          <w:rFonts w:eastAsiaTheme="minorHAnsi"/>
        </w:rPr>
        <w:t>CUARTO</w:t>
      </w:r>
      <w:bookmarkEnd w:id="5"/>
      <w:r w:rsidRPr="002A2450">
        <w:rPr>
          <w:rFonts w:ascii="ITC Avant Garde" w:eastAsia="Times New Roman" w:hAnsi="ITC Avant Garde"/>
          <w:bCs/>
          <w:color w:val="000000"/>
          <w:lang w:eastAsia="es-MX"/>
        </w:rPr>
        <w:t xml:space="preserve">. Por escrito presentado el once de septiembre de dos mil quince, el </w:t>
      </w:r>
      <w:r w:rsidRPr="002A2450">
        <w:rPr>
          <w:rFonts w:ascii="ITC Avant Garde" w:eastAsia="Times New Roman" w:hAnsi="ITC Avant Garde"/>
          <w:b/>
          <w:bCs/>
          <w:color w:val="000000"/>
          <w:lang w:eastAsia="es-MX"/>
        </w:rPr>
        <w:t xml:space="preserve">C. FRANCISCO JAVIER ISLAS MANCERA </w:t>
      </w:r>
      <w:r w:rsidRPr="002A2450">
        <w:rPr>
          <w:rFonts w:ascii="ITC Avant Garde" w:eastAsia="Times New Roman" w:hAnsi="ITC Avant Garde"/>
          <w:bCs/>
          <w:color w:val="000000"/>
          <w:lang w:eastAsia="es-MX"/>
        </w:rPr>
        <w:t xml:space="preserve">en su carácter de apoderado general para pleitos y cobranzas y actos de administración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solicit</w:t>
      </w:r>
      <w:r w:rsidR="00533B47"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una prórroga de diez días para dar contestación al acuerdo de inicio del procedimiento administrativo de imposición de sanción de veinticuatro de agosto de dos mil quince.</w:t>
      </w:r>
      <w:r w:rsidR="0004375E">
        <w:rPr>
          <w:rFonts w:ascii="ITC Avant Garde" w:eastAsia="Times New Roman" w:hAnsi="ITC Avant Garde"/>
          <w:bCs/>
          <w:color w:val="000000"/>
          <w:lang w:eastAsia="es-MX"/>
        </w:rPr>
        <w:br w:type="textWrapping" w:clear="all"/>
      </w:r>
    </w:p>
    <w:p w14:paraId="2805CB16" w14:textId="77777777" w:rsidR="00B35F13" w:rsidRDefault="00A771EC" w:rsidP="00B35F13">
      <w:pPr>
        <w:spacing w:before="240" w:line="360" w:lineRule="auto"/>
        <w:jc w:val="both"/>
        <w:rPr>
          <w:rFonts w:ascii="ITC Avant Garde" w:eastAsia="Times New Roman" w:hAnsi="ITC Avant Garde"/>
          <w:bCs/>
          <w:color w:val="000000"/>
          <w:lang w:eastAsia="es-MX"/>
        </w:rPr>
      </w:pPr>
      <w:bookmarkStart w:id="6" w:name="_Toc477170107"/>
      <w:r w:rsidRPr="002A2450">
        <w:rPr>
          <w:rStyle w:val="Ttulo3Car"/>
          <w:rFonts w:eastAsiaTheme="minorHAnsi"/>
        </w:rPr>
        <w:lastRenderedPageBreak/>
        <w:t>QUINTO</w:t>
      </w:r>
      <w:bookmarkEnd w:id="6"/>
      <w:r w:rsidRPr="002A2450">
        <w:rPr>
          <w:rFonts w:ascii="ITC Avant Garde" w:eastAsia="Times New Roman" w:hAnsi="ITC Avant Garde"/>
          <w:b/>
          <w:bCs/>
          <w:color w:val="000000"/>
          <w:lang w:eastAsia="es-MX"/>
        </w:rPr>
        <w:t xml:space="preserve">. </w:t>
      </w:r>
      <w:r w:rsidR="00533B47" w:rsidRPr="002A2450">
        <w:rPr>
          <w:rFonts w:ascii="ITC Avant Garde" w:eastAsia="Times New Roman" w:hAnsi="ITC Avant Garde"/>
          <w:bCs/>
          <w:color w:val="000000"/>
          <w:lang w:eastAsia="es-MX"/>
        </w:rPr>
        <w:t xml:space="preserve">El </w:t>
      </w:r>
      <w:r w:rsidRPr="002A2450">
        <w:rPr>
          <w:rFonts w:ascii="ITC Avant Garde" w:eastAsia="Times New Roman" w:hAnsi="ITC Avant Garde"/>
          <w:bCs/>
          <w:color w:val="000000"/>
          <w:lang w:eastAsia="es-MX"/>
        </w:rPr>
        <w:t>quince de septiembre de dos mil quince,</w:t>
      </w:r>
      <w:r w:rsidR="007A656D" w:rsidRPr="002A2450">
        <w:rPr>
          <w:rFonts w:ascii="ITC Avant Garde" w:eastAsia="Times New Roman" w:hAnsi="ITC Avant Garde"/>
          <w:bCs/>
          <w:color w:val="000000"/>
          <w:lang w:eastAsia="es-MX"/>
        </w:rPr>
        <w:t xml:space="preserve"> el Titular de la Unidad de Cumplimiento emitió dos acuerdos, que en síntesis, señalaban lo siguiente</w:t>
      </w:r>
      <w:r w:rsidR="002B09D2" w:rsidRPr="002A2450">
        <w:rPr>
          <w:rFonts w:ascii="ITC Avant Garde" w:eastAsia="Times New Roman" w:hAnsi="ITC Avant Garde"/>
          <w:bCs/>
          <w:color w:val="000000"/>
          <w:lang w:eastAsia="es-MX"/>
        </w:rPr>
        <w:t>:</w:t>
      </w:r>
      <w:r w:rsidR="00533B47" w:rsidRPr="002A2450">
        <w:rPr>
          <w:rFonts w:ascii="ITC Avant Garde" w:eastAsia="Times New Roman" w:hAnsi="ITC Avant Garde"/>
          <w:bCs/>
          <w:color w:val="000000"/>
          <w:lang w:eastAsia="es-MX"/>
        </w:rPr>
        <w:t xml:space="preserve"> </w:t>
      </w:r>
    </w:p>
    <w:p w14:paraId="7D7236DE" w14:textId="236EB068" w:rsidR="00B35F13" w:rsidRPr="0004375E" w:rsidRDefault="007A656D"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w:t>
      </w:r>
      <w:r w:rsidR="00533B47" w:rsidRPr="002A2450">
        <w:rPr>
          <w:rFonts w:ascii="ITC Avant Garde" w:eastAsia="Times New Roman" w:hAnsi="ITC Avant Garde"/>
          <w:bCs/>
          <w:color w:val="000000"/>
          <w:lang w:eastAsia="es-MX"/>
        </w:rPr>
        <w:t>n el primer</w:t>
      </w:r>
      <w:r w:rsidRPr="002A2450">
        <w:rPr>
          <w:rFonts w:ascii="ITC Avant Garde" w:eastAsia="Times New Roman" w:hAnsi="ITC Avant Garde"/>
          <w:bCs/>
          <w:color w:val="000000"/>
          <w:lang w:eastAsia="es-MX"/>
        </w:rPr>
        <w:t xml:space="preserve"> acuerdo</w:t>
      </w:r>
      <w:r w:rsidR="00533B47"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 xml:space="preserve">se tuvo por </w:t>
      </w:r>
      <w:r w:rsidR="00EC0EB0" w:rsidRPr="002A2450">
        <w:rPr>
          <w:rFonts w:ascii="ITC Avant Garde" w:eastAsia="Times New Roman" w:hAnsi="ITC Avant Garde"/>
          <w:bCs/>
          <w:color w:val="000000"/>
          <w:lang w:eastAsia="es-MX"/>
        </w:rPr>
        <w:t xml:space="preserve">presentado el escrito de once de septiembre de esa anualidad, mediante el cual se tuvo por </w:t>
      </w:r>
      <w:r w:rsidR="00A771EC" w:rsidRPr="002A2450">
        <w:rPr>
          <w:rFonts w:ascii="ITC Avant Garde" w:eastAsia="Times New Roman" w:hAnsi="ITC Avant Garde"/>
          <w:bCs/>
          <w:color w:val="000000"/>
          <w:lang w:eastAsia="es-MX"/>
        </w:rPr>
        <w:t>acredita</w:t>
      </w:r>
      <w:r w:rsidR="00533B47" w:rsidRPr="002A2450">
        <w:rPr>
          <w:rFonts w:ascii="ITC Avant Garde" w:eastAsia="Times New Roman" w:hAnsi="ITC Avant Garde"/>
          <w:bCs/>
          <w:color w:val="000000"/>
          <w:lang w:eastAsia="es-MX"/>
        </w:rPr>
        <w:t>da</w:t>
      </w:r>
      <w:r w:rsidR="00A771EC" w:rsidRPr="002A2450">
        <w:rPr>
          <w:rFonts w:ascii="ITC Avant Garde" w:eastAsia="Times New Roman" w:hAnsi="ITC Avant Garde"/>
          <w:bCs/>
          <w:color w:val="000000"/>
          <w:lang w:eastAsia="es-MX"/>
        </w:rPr>
        <w:t xml:space="preserve"> </w:t>
      </w:r>
      <w:r w:rsidR="00533B47" w:rsidRPr="002A2450">
        <w:rPr>
          <w:rFonts w:ascii="ITC Avant Garde" w:eastAsia="Times New Roman" w:hAnsi="ITC Avant Garde"/>
          <w:bCs/>
          <w:color w:val="000000"/>
          <w:lang w:eastAsia="es-MX"/>
        </w:rPr>
        <w:t xml:space="preserve">la personalidad con la que compareció el </w:t>
      </w:r>
      <w:r w:rsidR="00533B47" w:rsidRPr="002A2450">
        <w:rPr>
          <w:rFonts w:ascii="ITC Avant Garde" w:eastAsia="Times New Roman" w:hAnsi="ITC Avant Garde"/>
          <w:b/>
          <w:bCs/>
          <w:color w:val="000000"/>
          <w:lang w:eastAsia="es-MX"/>
        </w:rPr>
        <w:t>C. FRANCISCO JAVIER ISLAS MANCERA</w:t>
      </w:r>
      <w:r w:rsidR="00A771EC" w:rsidRPr="002A2450">
        <w:rPr>
          <w:rFonts w:ascii="ITC Avant Garde" w:eastAsia="Times New Roman" w:hAnsi="ITC Avant Garde"/>
          <w:bCs/>
          <w:color w:val="000000"/>
          <w:lang w:eastAsia="es-MX"/>
        </w:rPr>
        <w:t xml:space="preserve">, </w:t>
      </w:r>
      <w:r w:rsidR="00533B47" w:rsidRPr="002A2450">
        <w:rPr>
          <w:rFonts w:ascii="ITC Avant Garde" w:eastAsia="Times New Roman" w:hAnsi="ITC Avant Garde"/>
          <w:bCs/>
          <w:color w:val="000000"/>
          <w:lang w:eastAsia="es-MX"/>
        </w:rPr>
        <w:t xml:space="preserve">por señalado el </w:t>
      </w:r>
      <w:r w:rsidR="00A771EC" w:rsidRPr="002A2450">
        <w:rPr>
          <w:rFonts w:ascii="ITC Avant Garde" w:eastAsia="Times New Roman" w:hAnsi="ITC Avant Garde"/>
          <w:bCs/>
          <w:color w:val="000000"/>
          <w:lang w:eastAsia="es-MX"/>
        </w:rPr>
        <w:t>domicilio</w:t>
      </w:r>
      <w:r w:rsidR="00533B47" w:rsidRPr="002A2450">
        <w:rPr>
          <w:rFonts w:ascii="ITC Avant Garde" w:eastAsia="Times New Roman" w:hAnsi="ITC Avant Garde"/>
          <w:bCs/>
          <w:color w:val="000000"/>
          <w:lang w:eastAsia="es-MX"/>
        </w:rPr>
        <w:t xml:space="preserve"> para </w:t>
      </w:r>
      <w:r w:rsidR="00A771EC" w:rsidRPr="002A2450">
        <w:rPr>
          <w:rFonts w:ascii="ITC Avant Garde" w:eastAsia="Times New Roman" w:hAnsi="ITC Avant Garde"/>
          <w:bCs/>
          <w:color w:val="000000"/>
          <w:lang w:eastAsia="es-MX"/>
        </w:rPr>
        <w:t xml:space="preserve">oír y recibir todo tipo de notificaciones, </w:t>
      </w:r>
      <w:r w:rsidR="00533B47" w:rsidRPr="002A2450">
        <w:rPr>
          <w:rFonts w:ascii="ITC Avant Garde" w:eastAsia="Times New Roman" w:hAnsi="ITC Avant Garde"/>
          <w:bCs/>
          <w:color w:val="000000"/>
          <w:lang w:eastAsia="es-MX"/>
        </w:rPr>
        <w:t xml:space="preserve">por autorizadas a las personas señaladas para los mismos efectos y se le otorgó una prórroga </w:t>
      </w:r>
      <w:r w:rsidR="00EB6A31" w:rsidRPr="002A2450">
        <w:rPr>
          <w:rFonts w:ascii="ITC Avant Garde" w:eastAsia="Times New Roman" w:hAnsi="ITC Avant Garde"/>
          <w:bCs/>
          <w:color w:val="000000"/>
          <w:lang w:eastAsia="es-MX"/>
        </w:rPr>
        <w:t xml:space="preserve">a </w:t>
      </w:r>
      <w:r w:rsidR="00EB6A31" w:rsidRPr="002A2450">
        <w:rPr>
          <w:rFonts w:ascii="ITC Avant Garde" w:eastAsia="Times New Roman" w:hAnsi="ITC Avant Garde"/>
          <w:b/>
          <w:bCs/>
          <w:color w:val="000000"/>
          <w:lang w:eastAsia="es-MX"/>
        </w:rPr>
        <w:t xml:space="preserve">“TELMEX” </w:t>
      </w:r>
      <w:r w:rsidR="00533B47" w:rsidRPr="002A2450">
        <w:rPr>
          <w:rFonts w:ascii="ITC Avant Garde" w:eastAsia="Times New Roman" w:hAnsi="ITC Avant Garde"/>
          <w:bCs/>
          <w:color w:val="000000"/>
          <w:lang w:eastAsia="es-MX"/>
        </w:rPr>
        <w:t>de ocho días hábiles para presentar sus manifestaciones y pruebas, contados a partir de día siguiente al en que venciera el plazo de quince días originalmente otorgado</w:t>
      </w:r>
      <w:r w:rsidR="00A771EC" w:rsidRPr="002A2450">
        <w:rPr>
          <w:rFonts w:ascii="ITC Avant Garde" w:hAnsi="ITC Avant Garde"/>
          <w:b/>
        </w:rPr>
        <w:t>.</w:t>
      </w:r>
    </w:p>
    <w:p w14:paraId="72990E2C" w14:textId="77777777" w:rsidR="00B35F13" w:rsidRDefault="00EB6A31" w:rsidP="00B35F13">
      <w:pPr>
        <w:spacing w:before="240" w:line="360" w:lineRule="auto"/>
        <w:jc w:val="both"/>
        <w:rPr>
          <w:rFonts w:ascii="ITC Avant Garde" w:hAnsi="ITC Avant Garde"/>
        </w:rPr>
      </w:pPr>
      <w:r w:rsidRPr="002A2450">
        <w:rPr>
          <w:rFonts w:ascii="ITC Avant Garde" w:hAnsi="ITC Avant Garde"/>
        </w:rPr>
        <w:t>En tanto que</w:t>
      </w:r>
      <w:r w:rsidR="00EC0EB0" w:rsidRPr="002A2450">
        <w:rPr>
          <w:rFonts w:ascii="ITC Avant Garde" w:hAnsi="ITC Avant Garde"/>
        </w:rPr>
        <w:t xml:space="preserve"> en el segundo acuerdo, se tuvo por presentado el escrito de diez de septiembre de dos mil quince, así como por reconocida la personalidad con la que compareció el </w:t>
      </w:r>
      <w:r w:rsidR="00EC0EB0" w:rsidRPr="002A2450">
        <w:rPr>
          <w:rFonts w:ascii="ITC Avant Garde" w:eastAsia="Times New Roman" w:hAnsi="ITC Avant Garde"/>
          <w:b/>
          <w:bCs/>
          <w:color w:val="000000"/>
          <w:lang w:eastAsia="es-MX"/>
        </w:rPr>
        <w:t>C. FRANCISCO JAVIER ISLAS MANCERA,</w:t>
      </w:r>
      <w:r w:rsidR="00EC0EB0" w:rsidRPr="002A2450">
        <w:rPr>
          <w:rFonts w:ascii="ITC Avant Garde" w:eastAsia="Times New Roman" w:hAnsi="ITC Avant Garde"/>
          <w:bCs/>
          <w:color w:val="000000"/>
          <w:lang w:eastAsia="es-MX"/>
        </w:rPr>
        <w:t xml:space="preserve"> por señalado el domicilio para oír y recibir todo tipo de notificaciones, por autorizadas a las personas señaladas en el mismo para los mismos efectos; asimismo, toda vez que acompañó dos copias certificadas del </w:t>
      </w:r>
      <w:r w:rsidR="005E506F" w:rsidRPr="002A2450">
        <w:rPr>
          <w:rFonts w:ascii="ITC Avant Garde" w:eastAsia="Times New Roman" w:hAnsi="ITC Avant Garde"/>
          <w:b/>
          <w:bCs/>
          <w:i/>
          <w:color w:val="000000"/>
          <w:lang w:eastAsia="es-MX"/>
        </w:rPr>
        <w:t>CONVENIO DE TERMINACIÓN AL CONTRATO DE OPCIÓN Y AL CONTRATO DE CONSECUENCIAS</w:t>
      </w:r>
      <w:r w:rsidR="00EC0EB0" w:rsidRPr="002A2450">
        <w:rPr>
          <w:rFonts w:ascii="ITC Avant Garde" w:eastAsia="Times New Roman" w:hAnsi="ITC Avant Garde"/>
          <w:bCs/>
          <w:color w:val="000000"/>
          <w:lang w:eastAsia="es-MX"/>
        </w:rPr>
        <w:t xml:space="preserve">, y de las cuáles solicitó que una de dichas copias fueran agregadas al expediente </w:t>
      </w:r>
      <w:r w:rsidR="00EC0EB0" w:rsidRPr="002A2450">
        <w:rPr>
          <w:rFonts w:ascii="ITC Avant Garde" w:eastAsia="Times New Roman" w:hAnsi="ITC Avant Garde"/>
          <w:b/>
          <w:bCs/>
          <w:color w:val="000000"/>
          <w:lang w:eastAsia="es-MX"/>
        </w:rPr>
        <w:t>E-IFT.UC.DG-SAN.II.0237/2015</w:t>
      </w:r>
      <w:r w:rsidR="00EC0EB0" w:rsidRPr="002A2450">
        <w:rPr>
          <w:rFonts w:ascii="ITC Avant Garde" w:eastAsia="Times New Roman" w:hAnsi="ITC Avant Garde"/>
          <w:bCs/>
          <w:color w:val="000000"/>
          <w:lang w:eastAsia="es-MX"/>
        </w:rPr>
        <w:t xml:space="preserve">, se ordenó remitir una copia certificada del citado </w:t>
      </w:r>
      <w:r w:rsidR="005E506F" w:rsidRPr="002A2450">
        <w:rPr>
          <w:rFonts w:ascii="ITC Avant Garde" w:eastAsia="Times New Roman" w:hAnsi="ITC Avant Garde"/>
          <w:bCs/>
          <w:color w:val="000000"/>
          <w:lang w:eastAsia="es-MX"/>
        </w:rPr>
        <w:t xml:space="preserve">convenio de terminación </w:t>
      </w:r>
      <w:r w:rsidR="00EC0EB0" w:rsidRPr="002A2450">
        <w:rPr>
          <w:rFonts w:ascii="ITC Avant Garde" w:eastAsia="Times New Roman" w:hAnsi="ITC Avant Garde"/>
          <w:bCs/>
          <w:color w:val="000000"/>
          <w:lang w:eastAsia="es-MX"/>
        </w:rPr>
        <w:t>al último expediente en mención, reservándose esta autoridad acordar lo conducente hasta en tant</w:t>
      </w:r>
      <w:r w:rsidR="002079AB" w:rsidRPr="002A2450">
        <w:rPr>
          <w:rFonts w:ascii="ITC Avant Garde" w:eastAsia="Times New Roman" w:hAnsi="ITC Avant Garde"/>
          <w:bCs/>
          <w:color w:val="000000"/>
          <w:lang w:eastAsia="es-MX"/>
        </w:rPr>
        <w:t>o</w:t>
      </w:r>
      <w:r w:rsidR="00EC0EB0" w:rsidRPr="002A2450">
        <w:rPr>
          <w:rFonts w:ascii="ITC Avant Garde" w:eastAsia="Times New Roman" w:hAnsi="ITC Avant Garde"/>
          <w:bCs/>
          <w:color w:val="000000"/>
          <w:lang w:eastAsia="es-MX"/>
        </w:rPr>
        <w:t xml:space="preserve"> venciera el plazo otorgado para presentar sus manifestaciones y pruebas en relación con el acuerdo de inicio de veinticinco de agosto de dos mil quince.</w:t>
      </w:r>
    </w:p>
    <w:p w14:paraId="56F4F1F4" w14:textId="77777777" w:rsidR="00B35F13" w:rsidRDefault="00A771EC" w:rsidP="00B35F13">
      <w:pPr>
        <w:spacing w:before="240" w:line="360" w:lineRule="auto"/>
        <w:jc w:val="both"/>
        <w:rPr>
          <w:rFonts w:ascii="ITC Avant Garde" w:eastAsia="Times New Roman" w:hAnsi="ITC Avant Garde"/>
          <w:bCs/>
          <w:color w:val="000000"/>
          <w:lang w:eastAsia="es-MX"/>
        </w:rPr>
      </w:pPr>
      <w:bookmarkStart w:id="7" w:name="_Toc477170108"/>
      <w:r w:rsidRPr="002A2450">
        <w:rPr>
          <w:rStyle w:val="Ttulo3Car"/>
          <w:rFonts w:eastAsiaTheme="minorHAnsi"/>
        </w:rPr>
        <w:t>SEXTO</w:t>
      </w:r>
      <w:bookmarkEnd w:id="7"/>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El quince de septiembre de dos mil quince</w:t>
      </w:r>
      <w:r w:rsidR="00EC0EB0"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el </w:t>
      </w:r>
      <w:r w:rsidR="00074C39" w:rsidRPr="0057405A">
        <w:rPr>
          <w:rFonts w:ascii="ITC Avant Garde" w:eastAsiaTheme="majorEastAsia" w:hAnsi="ITC Avant Garde" w:cstheme="majorBidi"/>
          <w:b/>
          <w:color w:val="0000FF"/>
          <w:szCs w:val="32"/>
        </w:rPr>
        <w:t>“CONFIDENCIAL POR LEY”</w:t>
      </w:r>
      <w:r w:rsidRPr="0057405A">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autorizado por parte de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para oír y recibir todo tipo de notificaciones comparec</w:t>
      </w:r>
      <w:r w:rsidR="00EC0EB0" w:rsidRPr="002A2450">
        <w:rPr>
          <w:rFonts w:ascii="ITC Avant Garde" w:eastAsia="Times New Roman" w:hAnsi="ITC Avant Garde"/>
          <w:bCs/>
          <w:color w:val="000000"/>
          <w:lang w:eastAsia="es-MX"/>
        </w:rPr>
        <w:t>ió</w:t>
      </w:r>
      <w:r w:rsidRPr="002A2450">
        <w:rPr>
          <w:rFonts w:ascii="ITC Avant Garde" w:eastAsia="Times New Roman" w:hAnsi="ITC Avant Garde"/>
          <w:bCs/>
          <w:color w:val="000000"/>
          <w:lang w:eastAsia="es-MX"/>
        </w:rPr>
        <w:t xml:space="preserve"> </w:t>
      </w:r>
      <w:r w:rsidR="004E12EB" w:rsidRPr="002A2450">
        <w:rPr>
          <w:rFonts w:ascii="ITC Avant Garde" w:eastAsia="Times New Roman" w:hAnsi="ITC Avant Garde"/>
          <w:bCs/>
          <w:color w:val="000000"/>
          <w:lang w:eastAsia="es-MX"/>
        </w:rPr>
        <w:t xml:space="preserve">ante </w:t>
      </w:r>
      <w:r w:rsidRPr="002A2450">
        <w:rPr>
          <w:rFonts w:ascii="ITC Avant Garde" w:eastAsia="Times New Roman" w:hAnsi="ITC Avant Garde"/>
          <w:bCs/>
          <w:color w:val="000000"/>
          <w:lang w:eastAsia="es-MX"/>
        </w:rPr>
        <w:t>esta autoridad para darse por notificado del acuerdo de quince de septiembre de esa misma anualidad</w:t>
      </w:r>
      <w:r w:rsidR="0028691A" w:rsidRPr="002A2450">
        <w:rPr>
          <w:rFonts w:ascii="ITC Avant Garde" w:eastAsia="Times New Roman" w:hAnsi="ITC Avant Garde"/>
          <w:bCs/>
          <w:color w:val="000000"/>
          <w:lang w:eastAsia="es-MX"/>
        </w:rPr>
        <w:t xml:space="preserve">, por el que se otorgó una prórroga de ocho días hábiles para presentar sus manifestaciones y pruebas, contados a partir de día </w:t>
      </w:r>
      <w:r w:rsidR="0028691A" w:rsidRPr="002A2450">
        <w:rPr>
          <w:rFonts w:ascii="ITC Avant Garde" w:eastAsia="Times New Roman" w:hAnsi="ITC Avant Garde"/>
          <w:bCs/>
          <w:color w:val="000000"/>
          <w:lang w:eastAsia="es-MX"/>
        </w:rPr>
        <w:lastRenderedPageBreak/>
        <w:t>siguiente al en que venciera el plazo de quince días originalmente otorgado</w:t>
      </w:r>
      <w:r w:rsidRPr="002A2450">
        <w:rPr>
          <w:rFonts w:ascii="ITC Avant Garde" w:eastAsia="Times New Roman" w:hAnsi="ITC Avant Garde"/>
          <w:bCs/>
          <w:color w:val="000000"/>
          <w:lang w:eastAsia="es-MX"/>
        </w:rPr>
        <w:t>, levantándose constancia de la comparecencia respectiva.</w:t>
      </w:r>
    </w:p>
    <w:p w14:paraId="3E0EBA66" w14:textId="534CC770" w:rsidR="00B35F13" w:rsidRPr="0004375E" w:rsidRDefault="00A771EC" w:rsidP="00B35F13">
      <w:pPr>
        <w:spacing w:before="240" w:line="360" w:lineRule="auto"/>
        <w:jc w:val="both"/>
        <w:rPr>
          <w:rFonts w:ascii="ITC Avant Garde" w:eastAsia="Times New Roman" w:hAnsi="ITC Avant Garde"/>
          <w:bCs/>
          <w:color w:val="000000"/>
          <w:lang w:eastAsia="es-MX"/>
        </w:rPr>
      </w:pPr>
      <w:bookmarkStart w:id="8" w:name="_Toc477170109"/>
      <w:r w:rsidRPr="002A2450">
        <w:rPr>
          <w:rStyle w:val="Ttulo3Car"/>
          <w:rFonts w:eastAsiaTheme="minorHAnsi"/>
        </w:rPr>
        <w:t>S</w:t>
      </w:r>
      <w:r w:rsidR="00AF5021" w:rsidRPr="002A2450">
        <w:rPr>
          <w:rStyle w:val="Ttulo3Car"/>
          <w:rFonts w:eastAsiaTheme="minorHAnsi"/>
        </w:rPr>
        <w:t>É</w:t>
      </w:r>
      <w:r w:rsidRPr="002A2450">
        <w:rPr>
          <w:rStyle w:val="Ttulo3Car"/>
          <w:rFonts w:eastAsiaTheme="minorHAnsi"/>
        </w:rPr>
        <w:t>PTIMO</w:t>
      </w:r>
      <w:bookmarkEnd w:id="8"/>
      <w:r w:rsidRPr="002A2450">
        <w:rPr>
          <w:rFonts w:ascii="ITC Avant Garde" w:eastAsia="Times New Roman" w:hAnsi="ITC Avant Garde"/>
          <w:b/>
          <w:bCs/>
          <w:color w:val="000000"/>
          <w:lang w:eastAsia="es-MX"/>
        </w:rPr>
        <w:t xml:space="preserve">. </w:t>
      </w:r>
      <w:r w:rsidR="00EB6A31" w:rsidRPr="002A2450">
        <w:rPr>
          <w:rFonts w:ascii="ITC Avant Garde" w:eastAsia="Times New Roman" w:hAnsi="ITC Avant Garde"/>
          <w:bCs/>
          <w:color w:val="000000"/>
          <w:lang w:eastAsia="es-MX"/>
        </w:rPr>
        <w:t>El diecisiete de septiembre de dos mil quince</w:t>
      </w:r>
      <w:r w:rsidR="005E506F" w:rsidRPr="002A2450">
        <w:rPr>
          <w:rFonts w:ascii="ITC Avant Garde" w:eastAsia="Times New Roman" w:hAnsi="ITC Avant Garde"/>
          <w:bCs/>
          <w:color w:val="000000"/>
          <w:lang w:eastAsia="es-MX"/>
        </w:rPr>
        <w:t>,</w:t>
      </w:r>
      <w:r w:rsidR="00EB6A31" w:rsidRPr="002A2450">
        <w:rPr>
          <w:rFonts w:ascii="ITC Avant Garde" w:eastAsia="Times New Roman" w:hAnsi="ITC Avant Garde"/>
          <w:bCs/>
          <w:color w:val="000000"/>
          <w:lang w:eastAsia="es-MX"/>
        </w:rPr>
        <w:t xml:space="preserve"> el </w:t>
      </w:r>
      <w:r w:rsidR="00EB6A31" w:rsidRPr="002A2450">
        <w:rPr>
          <w:rFonts w:ascii="ITC Avant Garde" w:eastAsia="Times New Roman" w:hAnsi="ITC Avant Garde"/>
          <w:b/>
          <w:bCs/>
          <w:color w:val="000000"/>
          <w:lang w:eastAsia="es-MX"/>
        </w:rPr>
        <w:t>C. FRANCISCO JAVIER ISLAS MANCERA</w:t>
      </w:r>
      <w:r w:rsidR="00EB6A31" w:rsidRPr="002A2450">
        <w:rPr>
          <w:rFonts w:ascii="ITC Avant Garde" w:eastAsia="Times New Roman" w:hAnsi="ITC Avant Garde"/>
          <w:bCs/>
          <w:color w:val="000000"/>
          <w:lang w:eastAsia="es-MX"/>
        </w:rPr>
        <w:t xml:space="preserve">, solicitó copia simple del expediente </w:t>
      </w:r>
      <w:r w:rsidR="00EB6A31" w:rsidRPr="002A2450">
        <w:rPr>
          <w:rFonts w:ascii="ITC Avant Garde" w:eastAsia="Times New Roman" w:hAnsi="ITC Avant Garde"/>
          <w:b/>
          <w:bCs/>
          <w:color w:val="000000"/>
          <w:lang w:eastAsia="es-MX"/>
        </w:rPr>
        <w:t>E-IFT.UC.DG-SAN.I.0235/2015</w:t>
      </w:r>
      <w:r w:rsidR="00EB6A31" w:rsidRPr="002A2450">
        <w:rPr>
          <w:rFonts w:ascii="ITC Avant Garde" w:eastAsia="Times New Roman" w:hAnsi="ITC Avant Garde"/>
          <w:bCs/>
          <w:color w:val="000000"/>
          <w:lang w:eastAsia="es-MX"/>
        </w:rPr>
        <w:t xml:space="preserve">, autorizando a los </w:t>
      </w:r>
      <w:r w:rsidR="00074C39" w:rsidRPr="0057405A">
        <w:rPr>
          <w:rFonts w:ascii="ITC Avant Garde" w:eastAsiaTheme="majorEastAsia" w:hAnsi="ITC Avant Garde" w:cstheme="majorBidi"/>
          <w:b/>
          <w:color w:val="0000FF"/>
          <w:szCs w:val="32"/>
        </w:rPr>
        <w:t>“CONFIDENCIAL POR LEY”</w:t>
      </w:r>
      <w:r w:rsidR="00EB6A31" w:rsidRPr="002A2450">
        <w:rPr>
          <w:rFonts w:ascii="ITC Avant Garde" w:eastAsia="Times New Roman" w:hAnsi="ITC Avant Garde"/>
          <w:bCs/>
          <w:color w:val="000000"/>
          <w:lang w:eastAsia="es-MX"/>
        </w:rPr>
        <w:t>, para tramitar, gestionar y recibir las copias simples solicitadas.</w:t>
      </w:r>
    </w:p>
    <w:p w14:paraId="02804DE8" w14:textId="77777777" w:rsidR="00B35F13" w:rsidRDefault="004E12EB"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OCTAVO. </w:t>
      </w:r>
      <w:r w:rsidRPr="002A2450">
        <w:rPr>
          <w:rFonts w:ascii="ITC Avant Garde" w:eastAsia="Times New Roman" w:hAnsi="ITC Avant Garde"/>
          <w:bCs/>
          <w:color w:val="000000"/>
          <w:lang w:eastAsia="es-MX"/>
        </w:rPr>
        <w:t>El dieciocho de septiembre de dos mil quince</w:t>
      </w:r>
      <w:r w:rsidR="00092E3B"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el </w:t>
      </w:r>
      <w:r w:rsidR="00074C39" w:rsidRPr="0057405A">
        <w:rPr>
          <w:rFonts w:ascii="ITC Avant Garde" w:eastAsiaTheme="majorEastAsia" w:hAnsi="ITC Avant Garde" w:cstheme="majorBidi"/>
          <w:b/>
          <w:color w:val="0000FF"/>
          <w:szCs w:val="32"/>
        </w:rPr>
        <w:t>“CONFIDENCIAL POR LEY”</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autorizado por parte de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para oír y recibir todo tipo de notificaciones, compareció ante esta autoridad a efecto de consultar el expediente en que se actúa, levantándose la constancia de comparecencia correspondiente.</w:t>
      </w:r>
    </w:p>
    <w:p w14:paraId="2B202336" w14:textId="77777777" w:rsidR="00B35F13" w:rsidRDefault="004E12EB" w:rsidP="00B35F13">
      <w:pPr>
        <w:spacing w:before="240" w:line="360" w:lineRule="auto"/>
        <w:jc w:val="both"/>
        <w:rPr>
          <w:rFonts w:ascii="ITC Avant Garde" w:eastAsia="Times New Roman" w:hAnsi="ITC Avant Garde"/>
          <w:bCs/>
          <w:color w:val="000000"/>
          <w:lang w:eastAsia="es-MX"/>
        </w:rPr>
      </w:pPr>
      <w:bookmarkStart w:id="9" w:name="_Toc477170111"/>
      <w:r w:rsidRPr="002A2450">
        <w:rPr>
          <w:rFonts w:ascii="ITC Avant Garde" w:eastAsia="Times New Roman" w:hAnsi="ITC Avant Garde"/>
          <w:b/>
          <w:bCs/>
          <w:color w:val="000000"/>
          <w:lang w:eastAsia="es-MX"/>
        </w:rPr>
        <w:t xml:space="preserve">NOVENO. </w:t>
      </w:r>
      <w:r w:rsidRPr="002A2450">
        <w:rPr>
          <w:rFonts w:ascii="ITC Avant Garde" w:eastAsia="Times New Roman" w:hAnsi="ITC Avant Garde"/>
          <w:bCs/>
          <w:color w:val="000000"/>
          <w:lang w:eastAsia="es-MX"/>
        </w:rPr>
        <w:t xml:space="preserve">Por acuerdo de veintiuno de septiembre de dos mil quince, se dio cuenta del escrito presentado el diecisiete de septiembre de ese año, por el que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solicitó copias simples de las constancias del expediente en que se actúa, por lo que se ordenó expedir </w:t>
      </w:r>
      <w:r w:rsidR="00092E3B" w:rsidRPr="002A2450">
        <w:rPr>
          <w:rFonts w:ascii="ITC Avant Garde" w:eastAsia="Times New Roman" w:hAnsi="ITC Avant Garde"/>
          <w:bCs/>
          <w:color w:val="000000"/>
          <w:lang w:eastAsia="es-MX"/>
        </w:rPr>
        <w:t xml:space="preserve">las </w:t>
      </w:r>
      <w:r w:rsidRPr="002A2450">
        <w:rPr>
          <w:rFonts w:ascii="ITC Avant Garde" w:eastAsia="Times New Roman" w:hAnsi="ITC Avant Garde"/>
          <w:bCs/>
          <w:color w:val="000000"/>
          <w:lang w:eastAsia="es-MX"/>
        </w:rPr>
        <w:t xml:space="preserve">copias </w:t>
      </w:r>
      <w:r w:rsidR="00F531F2" w:rsidRPr="002A2450">
        <w:rPr>
          <w:rFonts w:ascii="ITC Avant Garde" w:eastAsia="Times New Roman" w:hAnsi="ITC Avant Garde"/>
          <w:bCs/>
          <w:color w:val="000000"/>
          <w:lang w:eastAsia="es-MX"/>
        </w:rPr>
        <w:t xml:space="preserve">solicitadas </w:t>
      </w:r>
      <w:r w:rsidRPr="002A2450">
        <w:rPr>
          <w:rFonts w:ascii="ITC Avant Garde" w:eastAsia="Times New Roman" w:hAnsi="ITC Avant Garde"/>
          <w:bCs/>
          <w:color w:val="000000"/>
          <w:lang w:eastAsia="es-MX"/>
        </w:rPr>
        <w:t xml:space="preserve">del expediente </w:t>
      </w:r>
      <w:r w:rsidRPr="002A2450">
        <w:rPr>
          <w:rFonts w:ascii="ITC Avant Garde" w:eastAsia="Times New Roman" w:hAnsi="ITC Avant Garde"/>
          <w:b/>
          <w:bCs/>
          <w:color w:val="000000"/>
          <w:lang w:eastAsia="es-MX"/>
        </w:rPr>
        <w:t xml:space="preserve">E-IFT.UC.DG-SAN.I.0235/2015, </w:t>
      </w:r>
      <w:r w:rsidRPr="002A2450">
        <w:rPr>
          <w:rFonts w:ascii="ITC Avant Garde" w:eastAsia="Times New Roman" w:hAnsi="ITC Avant Garde"/>
          <w:bCs/>
          <w:color w:val="000000"/>
          <w:lang w:eastAsia="es-MX"/>
        </w:rPr>
        <w:t xml:space="preserve">previa comparecencia del </w:t>
      </w:r>
      <w:proofErr w:type="spellStart"/>
      <w:r w:rsidRPr="002A2450">
        <w:rPr>
          <w:rFonts w:ascii="ITC Avant Garde" w:eastAsia="Times New Roman" w:hAnsi="ITC Avant Garde"/>
          <w:bCs/>
          <w:color w:val="000000"/>
          <w:lang w:eastAsia="es-MX"/>
        </w:rPr>
        <w:t>promovente</w:t>
      </w:r>
      <w:proofErr w:type="spellEnd"/>
      <w:r w:rsidRPr="002A2450">
        <w:rPr>
          <w:rFonts w:ascii="ITC Avant Garde" w:eastAsia="Times New Roman" w:hAnsi="ITC Avant Garde"/>
          <w:bCs/>
          <w:color w:val="000000"/>
          <w:lang w:eastAsia="es-MX"/>
        </w:rPr>
        <w:t xml:space="preserve"> o persona autorizada para oír y recibir notificaciones, teniéndose por autorizados</w:t>
      </w:r>
      <w:r w:rsidR="00092E3B"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únicamente para realizar los trámites, gestiones y recibir las copias simples solicitadas a los </w:t>
      </w:r>
      <w:r w:rsidR="00074C39" w:rsidRPr="0057405A">
        <w:rPr>
          <w:rFonts w:ascii="ITC Avant Garde" w:eastAsiaTheme="majorEastAsia" w:hAnsi="ITC Avant Garde" w:cstheme="majorBidi"/>
          <w:b/>
          <w:color w:val="0000FF"/>
          <w:szCs w:val="32"/>
        </w:rPr>
        <w:t>“CONFIDENCIAL POR LEY”</w:t>
      </w:r>
      <w:r w:rsidRPr="002A2450">
        <w:rPr>
          <w:rFonts w:ascii="ITC Avant Garde" w:eastAsia="Times New Roman" w:hAnsi="ITC Avant Garde"/>
          <w:bCs/>
          <w:color w:val="000000"/>
          <w:lang w:eastAsia="es-MX"/>
        </w:rPr>
        <w:t xml:space="preserve">; dicho acuerdo fue notificado por comparecencia el veintidós de septiembre de dos mil quince al </w:t>
      </w:r>
      <w:r w:rsidR="00074C39" w:rsidRPr="0057405A">
        <w:rPr>
          <w:rFonts w:ascii="ITC Avant Garde" w:eastAsiaTheme="majorEastAsia" w:hAnsi="ITC Avant Garde" w:cstheme="majorBidi"/>
          <w:b/>
          <w:color w:val="0000FF"/>
          <w:szCs w:val="32"/>
        </w:rPr>
        <w:t>“CONFIDENCIAL POR LEY”</w:t>
      </w:r>
      <w:r w:rsidRPr="002A2450">
        <w:rPr>
          <w:rFonts w:ascii="ITC Avant Garde" w:eastAsia="Times New Roman" w:hAnsi="ITC Avant Garde"/>
          <w:bCs/>
          <w:color w:val="000000"/>
          <w:lang w:eastAsia="es-MX"/>
        </w:rPr>
        <w:t>.</w:t>
      </w:r>
    </w:p>
    <w:p w14:paraId="564CAA3F" w14:textId="77777777" w:rsidR="00B35F13" w:rsidRDefault="004E12EB"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DÉCIMO.</w:t>
      </w:r>
      <w:bookmarkEnd w:id="9"/>
      <w:r w:rsidR="00A771E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El veintidós de septiembre de dos mil quince, se notificó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el acuerdo de quince de septiembre de esa misma anualidad, mediante el cual se dio cuenta del escrito presentado el </w:t>
      </w:r>
      <w:r w:rsidRPr="002A2450">
        <w:rPr>
          <w:rFonts w:ascii="ITC Avant Garde" w:hAnsi="ITC Avant Garde"/>
        </w:rPr>
        <w:t xml:space="preserve">diez de septiembre de </w:t>
      </w:r>
      <w:r w:rsidR="00F531F2" w:rsidRPr="002A2450">
        <w:rPr>
          <w:rFonts w:ascii="ITC Avant Garde" w:hAnsi="ITC Avant Garde"/>
        </w:rPr>
        <w:t>dos mil quince</w:t>
      </w:r>
      <w:r w:rsidRPr="002A2450">
        <w:rPr>
          <w:rFonts w:ascii="ITC Avant Garde" w:hAnsi="ITC Avant Garde"/>
        </w:rPr>
        <w:t xml:space="preserve">, a través del cual, dicha concesionaria, exhibió </w:t>
      </w:r>
      <w:r w:rsidRPr="002A2450">
        <w:rPr>
          <w:rFonts w:ascii="ITC Avant Garde" w:eastAsia="Times New Roman" w:hAnsi="ITC Avant Garde"/>
          <w:bCs/>
          <w:color w:val="000000"/>
          <w:lang w:eastAsia="es-MX"/>
        </w:rPr>
        <w:t xml:space="preserve">dos copias certificadas del </w:t>
      </w:r>
      <w:r w:rsidRPr="002A2450">
        <w:rPr>
          <w:rFonts w:ascii="ITC Avant Garde" w:eastAsia="Times New Roman" w:hAnsi="ITC Avant Garde"/>
          <w:b/>
          <w:bCs/>
          <w:i/>
          <w:color w:val="000000"/>
          <w:lang w:eastAsia="es-MX"/>
        </w:rPr>
        <w:t>CONVENIO DE TERMINACIÓN AL CONTRATO DE OPCIÓN Y AL CONTRATO DE CONSECUENCIAS</w:t>
      </w:r>
      <w:r w:rsidRPr="002A2450">
        <w:rPr>
          <w:rFonts w:ascii="ITC Avant Garde" w:eastAsia="Times New Roman" w:hAnsi="ITC Avant Garde"/>
          <w:bCs/>
          <w:color w:val="000000"/>
          <w:lang w:eastAsia="es-MX"/>
        </w:rPr>
        <w:t>.</w:t>
      </w:r>
    </w:p>
    <w:p w14:paraId="52B88B83" w14:textId="77777777" w:rsidR="0004375E" w:rsidRDefault="00A771EC" w:rsidP="00B35F13">
      <w:pPr>
        <w:spacing w:before="240" w:line="360" w:lineRule="auto"/>
        <w:jc w:val="both"/>
        <w:rPr>
          <w:rFonts w:ascii="ITC Avant Garde" w:eastAsia="Times New Roman" w:hAnsi="ITC Avant Garde"/>
          <w:bCs/>
          <w:color w:val="000000"/>
          <w:lang w:eastAsia="es-MX"/>
        </w:rPr>
        <w:sectPr w:rsidR="0004375E" w:rsidSect="009F3771">
          <w:headerReference w:type="default" r:id="rId11"/>
          <w:pgSz w:w="12240" w:h="15840"/>
          <w:pgMar w:top="1985" w:right="1701" w:bottom="1418" w:left="1701" w:header="709" w:footer="709" w:gutter="0"/>
          <w:cols w:space="708"/>
          <w:docGrid w:linePitch="360"/>
        </w:sectPr>
      </w:pPr>
      <w:bookmarkStart w:id="10" w:name="_Toc477170113"/>
      <w:r w:rsidRPr="002A2450">
        <w:rPr>
          <w:rStyle w:val="Ttulo3Car"/>
          <w:rFonts w:eastAsiaTheme="minorHAnsi"/>
        </w:rPr>
        <w:t>DÉCIMO PRIMERO</w:t>
      </w:r>
      <w:bookmarkEnd w:id="10"/>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El veinticinco de septiembre de dos mil quince</w:t>
      </w:r>
      <w:r w:rsidR="00092E3B" w:rsidRPr="002A2450">
        <w:rPr>
          <w:rFonts w:ascii="ITC Avant Garde" w:eastAsia="Times New Roman" w:hAnsi="ITC Avant Garde"/>
          <w:bCs/>
          <w:color w:val="000000"/>
          <w:lang w:eastAsia="es-MX"/>
        </w:rPr>
        <w:t>,</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el </w:t>
      </w:r>
      <w:r w:rsidRPr="002A2450">
        <w:rPr>
          <w:rFonts w:ascii="ITC Avant Garde" w:eastAsia="Times New Roman" w:hAnsi="ITC Avant Garde"/>
          <w:b/>
          <w:bCs/>
          <w:color w:val="000000"/>
          <w:lang w:eastAsia="es-MX"/>
        </w:rPr>
        <w:t xml:space="preserve">C. FRANCISCO JAVIER ISLAS MANCERA, </w:t>
      </w:r>
      <w:r w:rsidR="005E506F" w:rsidRPr="002A2450">
        <w:rPr>
          <w:rFonts w:ascii="ITC Avant Garde" w:eastAsia="Times New Roman" w:hAnsi="ITC Avant Garde"/>
          <w:bCs/>
          <w:color w:val="000000"/>
          <w:lang w:eastAsia="es-MX"/>
        </w:rPr>
        <w:t xml:space="preserve">apoderado de </w:t>
      </w:r>
      <w:r w:rsidR="005E506F"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present</w:t>
      </w:r>
      <w:r w:rsidR="0028691A"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w:t>
      </w:r>
      <w:r w:rsidR="00EB6A31" w:rsidRPr="002A2450">
        <w:rPr>
          <w:rFonts w:ascii="ITC Avant Garde" w:eastAsia="Times New Roman" w:hAnsi="ITC Avant Garde"/>
          <w:bCs/>
          <w:color w:val="000000"/>
          <w:lang w:eastAsia="es-MX"/>
        </w:rPr>
        <w:t xml:space="preserve">ante la Oficialía de </w:t>
      </w:r>
    </w:p>
    <w:p w14:paraId="563C8AAB" w14:textId="62041C24" w:rsidR="00B35F13" w:rsidRDefault="00EB6A31"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Parte</w:t>
      </w:r>
      <w:r w:rsidR="000302BB" w:rsidRPr="002A2450">
        <w:rPr>
          <w:rFonts w:ascii="ITC Avant Garde" w:eastAsia="Times New Roman" w:hAnsi="ITC Avant Garde"/>
          <w:bCs/>
          <w:color w:val="000000"/>
          <w:lang w:eastAsia="es-MX"/>
        </w:rPr>
        <w:t>s</w:t>
      </w:r>
      <w:r w:rsidRPr="002A2450">
        <w:rPr>
          <w:rFonts w:ascii="ITC Avant Garde" w:eastAsia="Times New Roman" w:hAnsi="ITC Avant Garde"/>
          <w:bCs/>
          <w:color w:val="000000"/>
          <w:lang w:eastAsia="es-MX"/>
        </w:rPr>
        <w:t xml:space="preserve"> de este </w:t>
      </w:r>
      <w:r w:rsidRPr="002A2450">
        <w:rPr>
          <w:rFonts w:ascii="ITC Avant Garde" w:eastAsia="Times New Roman" w:hAnsi="ITC Avant Garde"/>
          <w:b/>
          <w:bCs/>
          <w:color w:val="000000"/>
          <w:lang w:eastAsia="es-MX"/>
        </w:rPr>
        <w:t xml:space="preserve">“Instituto” </w:t>
      </w:r>
      <w:r w:rsidR="00A771EC" w:rsidRPr="002A2450">
        <w:rPr>
          <w:rFonts w:ascii="ITC Avant Garde" w:eastAsia="Times New Roman" w:hAnsi="ITC Avant Garde"/>
          <w:bCs/>
          <w:color w:val="000000"/>
          <w:lang w:eastAsia="es-MX"/>
        </w:rPr>
        <w:t xml:space="preserve">el pago de las copias simples </w:t>
      </w:r>
      <w:r w:rsidR="0028691A" w:rsidRPr="002A2450">
        <w:rPr>
          <w:rFonts w:ascii="ITC Avant Garde" w:eastAsia="Times New Roman" w:hAnsi="ITC Avant Garde"/>
          <w:bCs/>
          <w:color w:val="000000"/>
          <w:lang w:eastAsia="es-MX"/>
        </w:rPr>
        <w:t>solicitadas</w:t>
      </w:r>
      <w:r w:rsidR="00A771EC" w:rsidRPr="002A2450">
        <w:rPr>
          <w:rFonts w:ascii="ITC Avant Garde" w:eastAsia="Times New Roman" w:hAnsi="ITC Avant Garde"/>
          <w:bCs/>
          <w:color w:val="000000"/>
          <w:lang w:eastAsia="es-MX"/>
        </w:rPr>
        <w:t xml:space="preserve"> en su escrito de diecisiete de septiembre de dos mil quince y reiter</w:t>
      </w:r>
      <w:r w:rsidR="0028691A" w:rsidRPr="002A2450">
        <w:rPr>
          <w:rFonts w:ascii="ITC Avant Garde" w:eastAsia="Times New Roman" w:hAnsi="ITC Avant Garde"/>
          <w:bCs/>
          <w:color w:val="000000"/>
          <w:lang w:eastAsia="es-MX"/>
        </w:rPr>
        <w:t>ó</w:t>
      </w:r>
      <w:r w:rsidR="00A771EC" w:rsidRPr="002A2450">
        <w:rPr>
          <w:rFonts w:ascii="ITC Avant Garde" w:eastAsia="Times New Roman" w:hAnsi="ITC Avant Garde"/>
          <w:bCs/>
          <w:color w:val="000000"/>
          <w:lang w:eastAsia="es-MX"/>
        </w:rPr>
        <w:t xml:space="preserve"> </w:t>
      </w:r>
      <w:r w:rsidR="0028691A" w:rsidRPr="002A2450">
        <w:rPr>
          <w:rFonts w:ascii="ITC Avant Garde" w:eastAsia="Times New Roman" w:hAnsi="ITC Avant Garde"/>
          <w:bCs/>
          <w:color w:val="000000"/>
          <w:lang w:eastAsia="es-MX"/>
        </w:rPr>
        <w:t xml:space="preserve">a </w:t>
      </w:r>
      <w:r w:rsidR="00A771EC" w:rsidRPr="002A2450">
        <w:rPr>
          <w:rFonts w:ascii="ITC Avant Garde" w:eastAsia="Times New Roman" w:hAnsi="ITC Avant Garde"/>
          <w:bCs/>
          <w:color w:val="000000"/>
          <w:lang w:eastAsia="es-MX"/>
        </w:rPr>
        <w:t>las personas autorizadas para</w:t>
      </w:r>
      <w:r w:rsidR="005E506F" w:rsidRPr="002A2450">
        <w:rPr>
          <w:rFonts w:ascii="ITC Avant Garde" w:eastAsia="Times New Roman" w:hAnsi="ITC Avant Garde"/>
          <w:bCs/>
          <w:color w:val="000000"/>
          <w:lang w:eastAsia="es-MX"/>
        </w:rPr>
        <w:t xml:space="preserve"> ese efecto</w:t>
      </w:r>
      <w:r w:rsidR="00A771EC" w:rsidRPr="002A2450">
        <w:rPr>
          <w:rFonts w:ascii="ITC Avant Garde" w:eastAsia="Times New Roman" w:hAnsi="ITC Avant Garde"/>
          <w:bCs/>
          <w:color w:val="000000"/>
          <w:lang w:eastAsia="es-MX"/>
        </w:rPr>
        <w:t>.</w:t>
      </w:r>
      <w:r w:rsidR="00A771EC" w:rsidRPr="002A2450">
        <w:rPr>
          <w:rFonts w:ascii="ITC Avant Garde" w:eastAsia="Times New Roman" w:hAnsi="ITC Avant Garde"/>
          <w:b/>
          <w:bCs/>
          <w:color w:val="000000"/>
          <w:lang w:eastAsia="es-MX"/>
        </w:rPr>
        <w:t xml:space="preserve"> </w:t>
      </w:r>
    </w:p>
    <w:p w14:paraId="31D73744" w14:textId="77777777" w:rsidR="00B35F13" w:rsidRDefault="00A771EC" w:rsidP="00B35F13">
      <w:pPr>
        <w:spacing w:before="240" w:line="360" w:lineRule="auto"/>
        <w:jc w:val="both"/>
        <w:rPr>
          <w:rFonts w:ascii="ITC Avant Garde" w:hAnsi="ITC Avant Garde"/>
        </w:rPr>
      </w:pPr>
      <w:bookmarkStart w:id="11" w:name="_Toc477170114"/>
      <w:r w:rsidRPr="002A2450">
        <w:rPr>
          <w:rStyle w:val="Ttulo3Car"/>
          <w:rFonts w:eastAsiaTheme="minorHAnsi"/>
        </w:rPr>
        <w:t>DÉCIMO SEGUNDO</w:t>
      </w:r>
      <w:bookmarkEnd w:id="11"/>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Por escrito presentado el veintiocho de septiembre de dos mil quince, el </w:t>
      </w:r>
      <w:r w:rsidRPr="002A2450">
        <w:rPr>
          <w:rFonts w:ascii="ITC Avant Garde" w:eastAsia="Times New Roman" w:hAnsi="ITC Avant Garde"/>
          <w:b/>
          <w:bCs/>
          <w:color w:val="000000"/>
          <w:lang w:eastAsia="es-MX"/>
        </w:rPr>
        <w:t xml:space="preserve">C. FRANCISCO JAVIER ISLAS MANCERA </w:t>
      </w:r>
      <w:r w:rsidRPr="002A2450">
        <w:rPr>
          <w:rFonts w:ascii="ITC Avant Garde" w:eastAsia="Times New Roman" w:hAnsi="ITC Avant Garde"/>
          <w:bCs/>
          <w:color w:val="000000"/>
          <w:lang w:eastAsia="es-MX"/>
        </w:rPr>
        <w:t xml:space="preserve">en su carácter de apoderado general para pleitos y cobranzas y actos de administración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present</w:t>
      </w:r>
      <w:r w:rsidR="0028691A"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w:t>
      </w:r>
      <w:r w:rsidR="0028691A" w:rsidRPr="002A2450">
        <w:rPr>
          <w:rFonts w:ascii="ITC Avant Garde" w:eastAsia="Times New Roman" w:hAnsi="ITC Avant Garde"/>
          <w:bCs/>
          <w:color w:val="000000"/>
          <w:lang w:eastAsia="es-MX"/>
        </w:rPr>
        <w:t xml:space="preserve">un </w:t>
      </w:r>
      <w:r w:rsidRPr="002A2450">
        <w:rPr>
          <w:rFonts w:ascii="ITC Avant Garde" w:eastAsia="Times New Roman" w:hAnsi="ITC Avant Garde"/>
          <w:bCs/>
          <w:color w:val="000000"/>
          <w:lang w:eastAsia="es-MX"/>
        </w:rPr>
        <w:t xml:space="preserve">escrito de </w:t>
      </w:r>
      <w:r w:rsidR="00EB6A31" w:rsidRPr="002A2450">
        <w:rPr>
          <w:rFonts w:ascii="ITC Avant Garde" w:eastAsia="Times New Roman" w:hAnsi="ITC Avant Garde"/>
          <w:bCs/>
          <w:color w:val="000000"/>
          <w:lang w:eastAsia="es-MX"/>
        </w:rPr>
        <w:t xml:space="preserve">manifestaciones </w:t>
      </w:r>
      <w:r w:rsidRPr="002A2450">
        <w:rPr>
          <w:rFonts w:ascii="ITC Avant Garde" w:eastAsia="Times New Roman" w:hAnsi="ITC Avant Garde"/>
          <w:bCs/>
          <w:color w:val="000000"/>
          <w:lang w:eastAsia="es-MX"/>
        </w:rPr>
        <w:t xml:space="preserve">y </w:t>
      </w:r>
      <w:r w:rsidR="00EB6A31" w:rsidRPr="002A2450">
        <w:rPr>
          <w:rFonts w:ascii="ITC Avant Garde" w:eastAsia="Times New Roman" w:hAnsi="ITC Avant Garde"/>
          <w:bCs/>
          <w:color w:val="000000"/>
          <w:lang w:eastAsia="es-MX"/>
        </w:rPr>
        <w:t xml:space="preserve">pruebas </w:t>
      </w:r>
      <w:r w:rsidRPr="002A2450">
        <w:rPr>
          <w:rFonts w:ascii="ITC Avant Garde" w:eastAsia="Times New Roman" w:hAnsi="ITC Avant Garde"/>
          <w:bCs/>
          <w:color w:val="000000"/>
          <w:lang w:eastAsia="es-MX"/>
        </w:rPr>
        <w:t xml:space="preserve">con relación </w:t>
      </w:r>
      <w:r w:rsidR="0028691A" w:rsidRPr="002A2450">
        <w:rPr>
          <w:rFonts w:ascii="ITC Avant Garde" w:eastAsia="Times New Roman" w:hAnsi="ITC Avant Garde"/>
          <w:bCs/>
          <w:color w:val="000000"/>
          <w:lang w:eastAsia="es-MX"/>
        </w:rPr>
        <w:t xml:space="preserve">al acuerdo de inicio dictado en el </w:t>
      </w:r>
      <w:r w:rsidRPr="002A2450">
        <w:rPr>
          <w:rFonts w:ascii="ITC Avant Garde" w:eastAsia="Times New Roman" w:hAnsi="ITC Avant Garde"/>
          <w:bCs/>
          <w:color w:val="000000"/>
          <w:lang w:eastAsia="es-MX"/>
        </w:rPr>
        <w:t xml:space="preserve">expediente </w:t>
      </w:r>
      <w:r w:rsidRPr="002A2450">
        <w:rPr>
          <w:rFonts w:ascii="ITC Avant Garde" w:eastAsia="Times New Roman" w:hAnsi="ITC Avant Garde"/>
          <w:b/>
          <w:bCs/>
          <w:color w:val="000000"/>
          <w:lang w:eastAsia="es-MX"/>
        </w:rPr>
        <w:t>E-IFT.UC.DG-SAN.I.0235/2015</w:t>
      </w:r>
      <w:r w:rsidRPr="002A2450">
        <w:rPr>
          <w:rFonts w:ascii="ITC Avant Garde" w:eastAsia="Times New Roman" w:hAnsi="ITC Avant Garde"/>
          <w:bCs/>
          <w:color w:val="000000"/>
          <w:lang w:eastAsia="es-MX"/>
        </w:rPr>
        <w:t xml:space="preserve"> incoado a su representada el veinticuatro de agosto de dos mil quince. </w:t>
      </w:r>
    </w:p>
    <w:p w14:paraId="037C28AC" w14:textId="77777777" w:rsidR="00B35F13" w:rsidRDefault="00A771EC" w:rsidP="00B35F13">
      <w:pPr>
        <w:spacing w:before="240" w:line="360" w:lineRule="auto"/>
        <w:ind w:right="-1"/>
        <w:jc w:val="both"/>
        <w:rPr>
          <w:rFonts w:ascii="ITC Avant Garde" w:eastAsia="Times New Roman" w:hAnsi="ITC Avant Garde"/>
          <w:b/>
          <w:bCs/>
          <w:color w:val="000000"/>
          <w:lang w:eastAsia="es-MX"/>
        </w:rPr>
      </w:pPr>
      <w:bookmarkStart w:id="12" w:name="_Toc477170115"/>
      <w:r w:rsidRPr="002A2450">
        <w:rPr>
          <w:rStyle w:val="Ttulo3Car"/>
          <w:rFonts w:eastAsiaTheme="minorHAnsi"/>
        </w:rPr>
        <w:t>DÉCIMO TERCERO</w:t>
      </w:r>
      <w:bookmarkEnd w:id="12"/>
      <w:r w:rsidRPr="002A2450">
        <w:rPr>
          <w:rFonts w:ascii="ITC Avant Garde" w:eastAsia="Times New Roman" w:hAnsi="ITC Avant Garde"/>
          <w:b/>
          <w:bCs/>
          <w:color w:val="000000"/>
          <w:lang w:eastAsia="es-MX"/>
        </w:rPr>
        <w:t xml:space="preserve">. </w:t>
      </w:r>
      <w:r w:rsidR="0028691A" w:rsidRPr="002A2450">
        <w:rPr>
          <w:rFonts w:ascii="ITC Avant Garde" w:eastAsia="Times New Roman" w:hAnsi="ITC Avant Garde"/>
          <w:bCs/>
          <w:color w:val="000000"/>
          <w:lang w:eastAsia="es-MX"/>
        </w:rPr>
        <w:t>Por</w:t>
      </w:r>
      <w:r w:rsidR="0028691A"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acuerdo de treinta de septiembre de dos mil quince, se d</w:t>
      </w:r>
      <w:r w:rsidR="0028691A" w:rsidRPr="002A2450">
        <w:rPr>
          <w:rFonts w:ascii="ITC Avant Garde" w:eastAsia="Times New Roman" w:hAnsi="ITC Avant Garde"/>
          <w:bCs/>
          <w:color w:val="000000"/>
          <w:lang w:eastAsia="es-MX"/>
        </w:rPr>
        <w:t>io</w:t>
      </w:r>
      <w:r w:rsidRPr="002A2450">
        <w:rPr>
          <w:rFonts w:ascii="ITC Avant Garde" w:eastAsia="Times New Roman" w:hAnsi="ITC Avant Garde"/>
          <w:bCs/>
          <w:color w:val="000000"/>
          <w:lang w:eastAsia="es-MX"/>
        </w:rPr>
        <w:t xml:space="preserve"> cuenta del pago de las copias simples solicitadas por </w:t>
      </w:r>
      <w:r w:rsidRPr="002A2450">
        <w:rPr>
          <w:rFonts w:ascii="ITC Avant Garde" w:eastAsia="Times New Roman" w:hAnsi="ITC Avant Garde"/>
          <w:b/>
          <w:bCs/>
          <w:color w:val="000000"/>
          <w:lang w:eastAsia="es-MX"/>
        </w:rPr>
        <w:t>“TELMEX”.</w:t>
      </w:r>
    </w:p>
    <w:p w14:paraId="346F467D" w14:textId="77777777" w:rsidR="00B35F13" w:rsidRDefault="00811484" w:rsidP="00B35F13">
      <w:pPr>
        <w:spacing w:before="240" w:line="360" w:lineRule="auto"/>
        <w:ind w:right="-1"/>
        <w:jc w:val="both"/>
        <w:rPr>
          <w:rFonts w:ascii="ITC Avant Garde" w:eastAsia="Times New Roman" w:hAnsi="ITC Avant Garde"/>
          <w:b/>
          <w:bCs/>
          <w:color w:val="000000"/>
          <w:lang w:eastAsia="es-MX"/>
        </w:rPr>
      </w:pPr>
      <w:bookmarkStart w:id="13" w:name="_Toc477170116"/>
      <w:r w:rsidRPr="002A2450">
        <w:rPr>
          <w:rStyle w:val="Ttulo3Car"/>
          <w:rFonts w:eastAsiaTheme="minorHAnsi"/>
        </w:rPr>
        <w:t>DÉCIMO CUARTO</w:t>
      </w:r>
      <w:bookmarkEnd w:id="13"/>
      <w:r w:rsidRPr="002A2450">
        <w:rPr>
          <w:rFonts w:ascii="ITC Avant Garde" w:eastAsia="Times New Roman" w:hAnsi="ITC Avant Garde"/>
          <w:b/>
          <w:bCs/>
          <w:color w:val="000000"/>
          <w:lang w:eastAsia="es-MX"/>
        </w:rPr>
        <w:t>.</w:t>
      </w:r>
      <w:r w:rsidR="00A771E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Mediante </w:t>
      </w:r>
      <w:r w:rsidR="00A771EC" w:rsidRPr="002A2450">
        <w:rPr>
          <w:rFonts w:ascii="ITC Avant Garde" w:eastAsia="Times New Roman" w:hAnsi="ITC Avant Garde"/>
          <w:bCs/>
          <w:color w:val="000000"/>
          <w:lang w:eastAsia="es-MX"/>
        </w:rPr>
        <w:t>acuerdo de doce de octubre de dos mil quince</w:t>
      </w:r>
      <w:r w:rsidRPr="002A2450">
        <w:rPr>
          <w:rFonts w:ascii="ITC Avant Garde" w:eastAsia="Times New Roman" w:hAnsi="ITC Avant Garde"/>
          <w:bCs/>
          <w:color w:val="000000"/>
          <w:lang w:eastAsia="es-MX"/>
        </w:rPr>
        <w:t>,</w:t>
      </w:r>
      <w:r w:rsidR="00A771EC" w:rsidRPr="002A2450">
        <w:rPr>
          <w:rFonts w:ascii="ITC Avant Garde" w:eastAsia="Times New Roman" w:hAnsi="ITC Avant Garde"/>
          <w:bCs/>
          <w:color w:val="000000"/>
          <w:lang w:eastAsia="es-MX"/>
        </w:rPr>
        <w:t xml:space="preserve"> se d</w:t>
      </w:r>
      <w:r w:rsidRPr="002A2450">
        <w:rPr>
          <w:rFonts w:ascii="ITC Avant Garde" w:eastAsia="Times New Roman" w:hAnsi="ITC Avant Garde"/>
          <w:bCs/>
          <w:color w:val="000000"/>
          <w:lang w:eastAsia="es-MX"/>
        </w:rPr>
        <w:t>io</w:t>
      </w:r>
      <w:r w:rsidR="00A771EC" w:rsidRPr="002A2450">
        <w:rPr>
          <w:rFonts w:ascii="ITC Avant Garde" w:eastAsia="Times New Roman" w:hAnsi="ITC Avant Garde"/>
          <w:bCs/>
          <w:color w:val="000000"/>
          <w:lang w:eastAsia="es-MX"/>
        </w:rPr>
        <w:t xml:space="preserve"> cuenta del escrito de </w:t>
      </w:r>
      <w:r w:rsidR="00EB6A31" w:rsidRPr="002A2450">
        <w:rPr>
          <w:rFonts w:ascii="ITC Avant Garde" w:eastAsia="Times New Roman" w:hAnsi="ITC Avant Garde"/>
          <w:bCs/>
          <w:color w:val="000000"/>
          <w:lang w:eastAsia="es-MX"/>
        </w:rPr>
        <w:t xml:space="preserve">manifestaciones </w:t>
      </w:r>
      <w:r w:rsidR="00A771EC" w:rsidRPr="002A2450">
        <w:rPr>
          <w:rFonts w:ascii="ITC Avant Garde" w:eastAsia="Times New Roman" w:hAnsi="ITC Avant Garde"/>
          <w:bCs/>
          <w:color w:val="000000"/>
          <w:lang w:eastAsia="es-MX"/>
        </w:rPr>
        <w:t xml:space="preserve">y </w:t>
      </w:r>
      <w:r w:rsidR="00EB6A31" w:rsidRPr="002A2450">
        <w:rPr>
          <w:rFonts w:ascii="ITC Avant Garde" w:eastAsia="Times New Roman" w:hAnsi="ITC Avant Garde"/>
          <w:bCs/>
          <w:color w:val="000000"/>
          <w:lang w:eastAsia="es-MX"/>
        </w:rPr>
        <w:t xml:space="preserve">pruebas </w:t>
      </w:r>
      <w:r w:rsidR="00A771EC" w:rsidRPr="002A2450">
        <w:rPr>
          <w:rFonts w:ascii="ITC Avant Garde" w:eastAsia="Times New Roman" w:hAnsi="ITC Avant Garde"/>
          <w:bCs/>
          <w:color w:val="000000"/>
          <w:lang w:eastAsia="es-MX"/>
        </w:rPr>
        <w:t>presentado el</w:t>
      </w:r>
      <w:r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veintiocho de septiembre</w:t>
      </w:r>
      <w:r w:rsidR="005E506F" w:rsidRPr="002A2450">
        <w:rPr>
          <w:rFonts w:ascii="ITC Avant Garde" w:eastAsia="Times New Roman" w:hAnsi="ITC Avant Garde"/>
          <w:bCs/>
          <w:color w:val="000000"/>
          <w:lang w:eastAsia="es-MX"/>
        </w:rPr>
        <w:t xml:space="preserve"> de esa anualidad</w:t>
      </w:r>
      <w:r w:rsidRPr="002A2450">
        <w:rPr>
          <w:rFonts w:ascii="ITC Avant Garde" w:eastAsia="Times New Roman" w:hAnsi="ITC Avant Garde"/>
          <w:bCs/>
          <w:color w:val="000000"/>
          <w:lang w:eastAsia="es-MX"/>
        </w:rPr>
        <w:t xml:space="preserve"> </w:t>
      </w:r>
      <w:r w:rsidR="003F1482" w:rsidRPr="002A2450">
        <w:rPr>
          <w:rFonts w:ascii="ITC Avant Garde" w:eastAsia="Times New Roman" w:hAnsi="ITC Avant Garde"/>
          <w:bCs/>
          <w:color w:val="000000"/>
          <w:lang w:eastAsia="es-MX"/>
        </w:rPr>
        <w:t>ante la Oficialía</w:t>
      </w:r>
      <w:r w:rsidR="003F1482" w:rsidRPr="002A2450">
        <w:rPr>
          <w:rFonts w:ascii="ITC Avant Garde" w:eastAsia="Times New Roman" w:hAnsi="ITC Avant Garde"/>
          <w:bCs/>
          <w:color w:val="C00000"/>
          <w:lang w:eastAsia="es-MX"/>
        </w:rPr>
        <w:t xml:space="preserve"> </w:t>
      </w:r>
      <w:r w:rsidR="003F1482" w:rsidRPr="002A2450">
        <w:rPr>
          <w:rFonts w:ascii="ITC Avant Garde" w:eastAsia="Times New Roman" w:hAnsi="ITC Avant Garde"/>
          <w:bCs/>
          <w:color w:val="000000"/>
          <w:lang w:eastAsia="es-MX"/>
        </w:rPr>
        <w:t xml:space="preserve">de </w:t>
      </w:r>
      <w:r w:rsidR="000302BB" w:rsidRPr="002A2450">
        <w:rPr>
          <w:rFonts w:ascii="ITC Avant Garde" w:eastAsia="Times New Roman" w:hAnsi="ITC Avant Garde"/>
          <w:bCs/>
          <w:color w:val="000000"/>
          <w:lang w:eastAsia="es-MX"/>
        </w:rPr>
        <w:t xml:space="preserve">Partes </w:t>
      </w:r>
      <w:r w:rsidR="003F1482" w:rsidRPr="002A2450">
        <w:rPr>
          <w:rFonts w:ascii="ITC Avant Garde" w:eastAsia="Times New Roman" w:hAnsi="ITC Avant Garde"/>
          <w:bCs/>
          <w:color w:val="000000"/>
          <w:lang w:eastAsia="es-MX"/>
        </w:rPr>
        <w:t xml:space="preserve">de este </w:t>
      </w:r>
      <w:r w:rsidR="003F1482" w:rsidRPr="002A2450">
        <w:rPr>
          <w:rFonts w:ascii="ITC Avant Garde" w:eastAsia="Times New Roman" w:hAnsi="ITC Avant Garde"/>
          <w:b/>
          <w:bCs/>
          <w:color w:val="000000"/>
          <w:lang w:eastAsia="es-MX"/>
        </w:rPr>
        <w:t xml:space="preserve">“IFT”, </w:t>
      </w:r>
      <w:r w:rsidR="00A771EC" w:rsidRPr="002A2450">
        <w:rPr>
          <w:rFonts w:ascii="ITC Avant Garde" w:eastAsia="Times New Roman" w:hAnsi="ITC Avant Garde"/>
          <w:bCs/>
          <w:color w:val="000000"/>
          <w:lang w:eastAsia="es-MX"/>
        </w:rPr>
        <w:t xml:space="preserve">por </w:t>
      </w:r>
      <w:r w:rsidR="003F1482" w:rsidRPr="002A2450">
        <w:rPr>
          <w:rFonts w:ascii="ITC Avant Garde" w:eastAsia="Times New Roman" w:hAnsi="ITC Avant Garde"/>
          <w:bCs/>
          <w:color w:val="000000"/>
          <w:lang w:eastAsia="es-MX"/>
        </w:rPr>
        <w:t xml:space="preserve">parte </w:t>
      </w:r>
      <w:r w:rsidR="00A771EC" w:rsidRPr="002A2450">
        <w:rPr>
          <w:rFonts w:ascii="ITC Avant Garde" w:eastAsia="Times New Roman" w:hAnsi="ITC Avant Garde"/>
          <w:b/>
          <w:bCs/>
          <w:color w:val="000000"/>
          <w:lang w:eastAsia="es-MX"/>
        </w:rPr>
        <w:t>“TELMEX”</w:t>
      </w:r>
      <w:r w:rsidR="005E506F" w:rsidRPr="002A2450">
        <w:rPr>
          <w:rFonts w:ascii="ITC Avant Garde" w:eastAsia="Times New Roman" w:hAnsi="ITC Avant Garde"/>
          <w:b/>
          <w:bCs/>
          <w:color w:val="000000"/>
          <w:lang w:eastAsia="es-MX"/>
        </w:rPr>
        <w:t>,</w:t>
      </w:r>
      <w:r w:rsidR="00A771EC" w:rsidRPr="002A2450">
        <w:rPr>
          <w:rFonts w:ascii="ITC Avant Garde" w:eastAsia="Times New Roman" w:hAnsi="ITC Avant Garde"/>
          <w:b/>
          <w:bCs/>
          <w:color w:val="000000"/>
          <w:lang w:eastAsia="es-MX"/>
        </w:rPr>
        <w:t xml:space="preserve"> </w:t>
      </w:r>
      <w:r w:rsidR="003F1482" w:rsidRPr="002A2450">
        <w:rPr>
          <w:rFonts w:ascii="ITC Avant Garde" w:eastAsia="Times New Roman" w:hAnsi="ITC Avant Garde"/>
          <w:bCs/>
          <w:color w:val="000000"/>
          <w:lang w:eastAsia="es-MX"/>
        </w:rPr>
        <w:t xml:space="preserve">en ese sentido, </w:t>
      </w:r>
      <w:r w:rsidRPr="002A2450">
        <w:rPr>
          <w:rFonts w:ascii="ITC Avant Garde" w:eastAsia="Times New Roman" w:hAnsi="ITC Avant Garde"/>
          <w:bCs/>
          <w:color w:val="000000"/>
          <w:lang w:eastAsia="es-MX"/>
        </w:rPr>
        <w:t xml:space="preserve">considerando </w:t>
      </w:r>
      <w:r w:rsidR="00A771EC" w:rsidRPr="002A2450">
        <w:rPr>
          <w:rFonts w:ascii="ITC Avant Garde" w:eastAsia="Times New Roman" w:hAnsi="ITC Avant Garde"/>
          <w:bCs/>
          <w:color w:val="000000"/>
          <w:lang w:eastAsia="es-MX"/>
        </w:rPr>
        <w:t>que el procedimiento administrativo de imposición de sanción fue notificado el veinticinco de agosto de dos mil quince</w:t>
      </w:r>
      <w:r w:rsidR="008E1696" w:rsidRPr="002A2450">
        <w:rPr>
          <w:rFonts w:ascii="ITC Avant Garde" w:eastAsia="Times New Roman" w:hAnsi="ITC Avant Garde"/>
          <w:bCs/>
          <w:color w:val="000000"/>
          <w:lang w:eastAsia="es-MX"/>
        </w:rPr>
        <w:t>,</w:t>
      </w:r>
      <w:r w:rsidR="00A771EC" w:rsidRPr="002A2450">
        <w:rPr>
          <w:rFonts w:ascii="ITC Avant Garde" w:eastAsia="Times New Roman" w:hAnsi="ITC Avant Garde"/>
          <w:bCs/>
          <w:color w:val="000000"/>
          <w:lang w:eastAsia="es-MX"/>
        </w:rPr>
        <w:t xml:space="preserve"> el término </w:t>
      </w:r>
      <w:r w:rsidR="003F1482" w:rsidRPr="002A2450">
        <w:rPr>
          <w:rFonts w:ascii="ITC Avant Garde" w:hAnsi="ITC Avant Garde"/>
          <w:color w:val="000000"/>
        </w:rPr>
        <w:t xml:space="preserve">de quince días hábiles </w:t>
      </w:r>
      <w:r w:rsidR="00A771EC" w:rsidRPr="002A2450">
        <w:rPr>
          <w:rFonts w:ascii="ITC Avant Garde" w:eastAsia="Times New Roman" w:hAnsi="ITC Avant Garde"/>
          <w:bCs/>
          <w:color w:val="000000"/>
          <w:lang w:eastAsia="es-MX"/>
        </w:rPr>
        <w:t xml:space="preserve">concedido a </w:t>
      </w:r>
      <w:r w:rsidR="00A771EC" w:rsidRPr="002A2450">
        <w:rPr>
          <w:rFonts w:ascii="ITC Avant Garde" w:eastAsia="Times New Roman" w:hAnsi="ITC Avant Garde"/>
          <w:b/>
          <w:bCs/>
          <w:color w:val="000000"/>
          <w:lang w:eastAsia="es-MX"/>
        </w:rPr>
        <w:t xml:space="preserve">“TELMEX” </w:t>
      </w:r>
      <w:r w:rsidR="00A771EC" w:rsidRPr="002A2450">
        <w:rPr>
          <w:rFonts w:ascii="ITC Avant Garde" w:hAnsi="ITC Avant Garde"/>
          <w:color w:val="000000"/>
        </w:rPr>
        <w:t>para</w:t>
      </w:r>
      <w:r w:rsidR="00A771EC" w:rsidRPr="002A2450">
        <w:rPr>
          <w:rFonts w:ascii="ITC Avant Garde" w:eastAsia="Times New Roman" w:hAnsi="ITC Avant Garde"/>
          <w:bCs/>
          <w:color w:val="000000"/>
          <w:lang w:eastAsia="es-MX"/>
        </w:rPr>
        <w:t xml:space="preserve"> presentar sus manifestaciones y pruebas</w:t>
      </w:r>
      <w:r w:rsidR="002079AB"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 xml:space="preserve">corrió del veintiséis de agosto al diecisiete de septiembre de dos mil quince, </w:t>
      </w:r>
      <w:r w:rsidR="00A771EC" w:rsidRPr="002A2450">
        <w:rPr>
          <w:rFonts w:ascii="ITC Avant Garde" w:eastAsia="Times New Roman" w:hAnsi="ITC Avant Garde"/>
          <w:bCs/>
          <w:lang w:eastAsia="es-MX"/>
        </w:rPr>
        <w:t>sin considerar los días veintinueve y treinta de agosto, uno, cinco, seis, doce, trece y dieciséis de septiembre todos de dos mil quince por ser sábados y domingos y días inhábiles</w:t>
      </w:r>
      <w:r w:rsidRPr="002A2450">
        <w:rPr>
          <w:rStyle w:val="Refdenotaalpie"/>
          <w:rFonts w:ascii="ITC Avant Garde" w:eastAsia="Times New Roman" w:hAnsi="ITC Avant Garde"/>
          <w:bCs/>
          <w:lang w:eastAsia="es-MX"/>
        </w:rPr>
        <w:footnoteReference w:id="3"/>
      </w:r>
      <w:r w:rsidRPr="002A2450">
        <w:rPr>
          <w:rFonts w:ascii="ITC Avant Garde" w:eastAsia="Times New Roman" w:hAnsi="ITC Avant Garde"/>
          <w:bCs/>
          <w:lang w:eastAsia="es-MX"/>
        </w:rPr>
        <w:t>,</w:t>
      </w:r>
      <w:r w:rsidR="00A771EC" w:rsidRPr="002A2450">
        <w:rPr>
          <w:rFonts w:ascii="ITC Avant Garde" w:eastAsia="Times New Roman" w:hAnsi="ITC Avant Garde"/>
          <w:bCs/>
          <w:lang w:eastAsia="es-MX"/>
        </w:rPr>
        <w:t xml:space="preserve"> respectivamente, </w:t>
      </w:r>
      <w:r w:rsidR="00A771EC" w:rsidRPr="002A2450">
        <w:rPr>
          <w:rFonts w:ascii="ITC Avant Garde" w:eastAsia="Times New Roman" w:hAnsi="ITC Avant Garde"/>
          <w:bCs/>
          <w:color w:val="000000"/>
          <w:lang w:eastAsia="es-MX"/>
        </w:rPr>
        <w:t xml:space="preserve">en términos del artículo 28 de la </w:t>
      </w:r>
      <w:r w:rsidR="00A771EC" w:rsidRPr="002A2450">
        <w:rPr>
          <w:rFonts w:ascii="ITC Avant Garde" w:eastAsia="Times New Roman" w:hAnsi="ITC Avant Garde"/>
          <w:b/>
          <w:bCs/>
          <w:color w:val="000000"/>
          <w:lang w:eastAsia="es-MX"/>
        </w:rPr>
        <w:t>“LFPA”</w:t>
      </w:r>
      <w:r w:rsidR="003F1482" w:rsidRPr="002A2450">
        <w:rPr>
          <w:rFonts w:ascii="ITC Avant Garde" w:eastAsia="Times New Roman" w:hAnsi="ITC Avant Garde"/>
          <w:b/>
          <w:bCs/>
          <w:color w:val="000000"/>
          <w:lang w:eastAsia="es-MX"/>
        </w:rPr>
        <w:t>.</w:t>
      </w:r>
    </w:p>
    <w:p w14:paraId="0746758B" w14:textId="77777777" w:rsidR="0004375E" w:rsidRDefault="003F1482" w:rsidP="00B35F13">
      <w:pPr>
        <w:spacing w:before="240" w:line="360" w:lineRule="auto"/>
        <w:ind w:right="-1"/>
        <w:jc w:val="both"/>
        <w:rPr>
          <w:rFonts w:ascii="ITC Avant Garde" w:hAnsi="ITC Avant Garde"/>
        </w:rPr>
        <w:sectPr w:rsidR="0004375E" w:rsidSect="009F3771">
          <w:headerReference w:type="default" r:id="rId12"/>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Sin embargo, </w:t>
      </w:r>
      <w:r w:rsidR="008E1696" w:rsidRPr="002A2450">
        <w:rPr>
          <w:rFonts w:ascii="ITC Avant Garde" w:eastAsia="Times New Roman" w:hAnsi="ITC Avant Garde"/>
          <w:bCs/>
          <w:color w:val="000000"/>
          <w:lang w:eastAsia="es-MX"/>
        </w:rPr>
        <w:t xml:space="preserve">toda vez </w:t>
      </w:r>
      <w:r w:rsidR="00811484" w:rsidRPr="002A2450">
        <w:rPr>
          <w:rFonts w:ascii="ITC Avant Garde" w:eastAsia="Times New Roman" w:hAnsi="ITC Avant Garde"/>
          <w:bCs/>
          <w:color w:val="000000"/>
          <w:lang w:eastAsia="es-MX"/>
        </w:rPr>
        <w:t xml:space="preserve">que mediante </w:t>
      </w:r>
      <w:r w:rsidR="00A771EC" w:rsidRPr="002A2450">
        <w:rPr>
          <w:rFonts w:ascii="ITC Avant Garde" w:eastAsia="Times New Roman" w:hAnsi="ITC Avant Garde"/>
          <w:bCs/>
          <w:color w:val="000000"/>
          <w:lang w:eastAsia="es-MX"/>
        </w:rPr>
        <w:t xml:space="preserve">acuerdo de quince de septiembre de dos mil quince </w:t>
      </w:r>
      <w:r w:rsidR="00811484" w:rsidRPr="002A2450">
        <w:rPr>
          <w:rFonts w:ascii="ITC Avant Garde" w:eastAsia="Times New Roman" w:hAnsi="ITC Avant Garde"/>
          <w:bCs/>
          <w:color w:val="000000"/>
          <w:lang w:eastAsia="es-MX"/>
        </w:rPr>
        <w:t xml:space="preserve">se le otorgó a </w:t>
      </w:r>
      <w:r w:rsidRPr="002A2450">
        <w:rPr>
          <w:rFonts w:ascii="ITC Avant Garde" w:eastAsia="Times New Roman" w:hAnsi="ITC Avant Garde"/>
          <w:b/>
          <w:bCs/>
          <w:color w:val="000000"/>
          <w:lang w:eastAsia="es-MX"/>
        </w:rPr>
        <w:t xml:space="preserve">“TELMEX” </w:t>
      </w:r>
      <w:r w:rsidR="00A771EC" w:rsidRPr="002A2450">
        <w:rPr>
          <w:rFonts w:ascii="ITC Avant Garde" w:hAnsi="ITC Avant Garde"/>
        </w:rPr>
        <w:t xml:space="preserve">un plazo adicional de ocho días hábiles, contados </w:t>
      </w:r>
    </w:p>
    <w:p w14:paraId="2E94A422" w14:textId="5B41D2F2" w:rsidR="00B35F13" w:rsidRPr="0004375E" w:rsidRDefault="00A771EC" w:rsidP="00B35F13">
      <w:pPr>
        <w:spacing w:before="240" w:line="360" w:lineRule="auto"/>
        <w:ind w:right="-1"/>
        <w:jc w:val="both"/>
        <w:rPr>
          <w:rFonts w:ascii="ITC Avant Garde" w:hAnsi="ITC Avant Garde"/>
        </w:rPr>
      </w:pPr>
      <w:r w:rsidRPr="002A2450">
        <w:rPr>
          <w:rFonts w:ascii="ITC Avant Garde" w:hAnsi="ITC Avant Garde"/>
        </w:rPr>
        <w:lastRenderedPageBreak/>
        <w:t>a partir de</w:t>
      </w:r>
      <w:r w:rsidR="00811484" w:rsidRPr="002A2450">
        <w:rPr>
          <w:rFonts w:ascii="ITC Avant Garde" w:hAnsi="ITC Avant Garde"/>
        </w:rPr>
        <w:t xml:space="preserve">l día siguiente al en que venciera </w:t>
      </w:r>
      <w:r w:rsidRPr="002A2450">
        <w:rPr>
          <w:rFonts w:ascii="ITC Avant Garde" w:hAnsi="ITC Avant Garde"/>
        </w:rPr>
        <w:t xml:space="preserve">el plazo de quince días </w:t>
      </w:r>
      <w:r w:rsidR="00811484" w:rsidRPr="002A2450">
        <w:rPr>
          <w:rFonts w:ascii="ITC Avant Garde" w:hAnsi="ITC Avant Garde"/>
        </w:rPr>
        <w:t xml:space="preserve">originalmente </w:t>
      </w:r>
      <w:r w:rsidRPr="002A2450">
        <w:rPr>
          <w:rFonts w:ascii="ITC Avant Garde" w:hAnsi="ITC Avant Garde"/>
        </w:rPr>
        <w:t xml:space="preserve">otorgado, </w:t>
      </w:r>
      <w:r w:rsidR="008E1696" w:rsidRPr="002A2450">
        <w:rPr>
          <w:rFonts w:ascii="ITC Avant Garde" w:hAnsi="ITC Avant Garde"/>
        </w:rPr>
        <w:t xml:space="preserve">éste plazo </w:t>
      </w:r>
      <w:r w:rsidRPr="002A2450">
        <w:rPr>
          <w:rFonts w:ascii="ITC Avant Garde" w:hAnsi="ITC Avant Garde"/>
        </w:rPr>
        <w:t>corrió del dieciocho al veintinueve de septiembre de dos mil quince sin contar el diecinueve, veinte, veintiséis y veintisiete de septiembre por ser sábados y domingos</w:t>
      </w:r>
      <w:r w:rsidR="005E506F" w:rsidRPr="002A2450">
        <w:rPr>
          <w:rFonts w:ascii="ITC Avant Garde" w:hAnsi="ITC Avant Garde"/>
        </w:rPr>
        <w:t>,</w:t>
      </w:r>
      <w:r w:rsidRPr="002A2450">
        <w:rPr>
          <w:rFonts w:ascii="ITC Avant Garde" w:hAnsi="ITC Avant Garde"/>
        </w:rPr>
        <w:t xml:space="preserve"> respectivamente</w:t>
      </w:r>
      <w:r w:rsidR="005E506F" w:rsidRPr="002A2450">
        <w:rPr>
          <w:rFonts w:ascii="ITC Avant Garde" w:hAnsi="ITC Avant Garde"/>
        </w:rPr>
        <w:t>,</w:t>
      </w:r>
      <w:r w:rsidRPr="002A2450">
        <w:rPr>
          <w:rFonts w:ascii="ITC Avant Garde" w:hAnsi="ITC Avant Garde"/>
        </w:rPr>
        <w:t xml:space="preserve"> </w:t>
      </w:r>
      <w:r w:rsidRPr="002A2450">
        <w:rPr>
          <w:rFonts w:ascii="ITC Avant Garde" w:eastAsia="Times New Roman" w:hAnsi="ITC Avant Garde"/>
          <w:bCs/>
          <w:color w:val="000000"/>
          <w:lang w:eastAsia="es-MX"/>
        </w:rPr>
        <w:t xml:space="preserve">en términos del artículo 28 de la </w:t>
      </w:r>
      <w:r w:rsidRPr="002A2450">
        <w:rPr>
          <w:rFonts w:ascii="ITC Avant Garde" w:eastAsia="Times New Roman" w:hAnsi="ITC Avant Garde"/>
          <w:b/>
          <w:bCs/>
          <w:color w:val="000000"/>
          <w:lang w:eastAsia="es-MX"/>
        </w:rPr>
        <w:t>“LFPA”</w:t>
      </w:r>
      <w:r w:rsidR="003F1482" w:rsidRPr="002A2450">
        <w:rPr>
          <w:rFonts w:ascii="ITC Avant Garde" w:eastAsia="Times New Roman" w:hAnsi="ITC Avant Garde"/>
          <w:b/>
          <w:bCs/>
          <w:color w:val="000000"/>
          <w:lang w:eastAsia="es-MX"/>
        </w:rPr>
        <w:t>.</w:t>
      </w:r>
    </w:p>
    <w:p w14:paraId="46AF9313" w14:textId="77777777" w:rsidR="00B35F13" w:rsidRDefault="003F1482" w:rsidP="00B35F13">
      <w:pPr>
        <w:spacing w:before="240" w:line="360" w:lineRule="auto"/>
        <w:ind w:right="-1"/>
        <w:jc w:val="both"/>
        <w:rPr>
          <w:rFonts w:ascii="ITC Avant Garde" w:hAnsi="ITC Avant Garde"/>
          <w:b/>
        </w:rPr>
      </w:pPr>
      <w:r w:rsidRPr="002A2450">
        <w:rPr>
          <w:rFonts w:ascii="ITC Avant Garde" w:eastAsia="Times New Roman" w:hAnsi="ITC Avant Garde"/>
          <w:bCs/>
          <w:color w:val="000000"/>
          <w:lang w:eastAsia="es-MX"/>
        </w:rPr>
        <w:t>En</w:t>
      </w:r>
      <w:r w:rsidR="008E1696" w:rsidRPr="002A2450">
        <w:rPr>
          <w:rFonts w:ascii="ITC Avant Garde" w:eastAsia="Times New Roman" w:hAnsi="ITC Avant Garde"/>
          <w:bCs/>
          <w:color w:val="000000"/>
          <w:lang w:eastAsia="es-MX"/>
        </w:rPr>
        <w:t xml:space="preserve"> consecuencia al haber presentado </w:t>
      </w:r>
      <w:r w:rsidRPr="002A2450">
        <w:rPr>
          <w:rFonts w:ascii="ITC Avant Garde" w:eastAsia="Times New Roman" w:hAnsi="ITC Avant Garde"/>
          <w:b/>
          <w:bCs/>
          <w:color w:val="000000"/>
          <w:lang w:eastAsia="es-MX"/>
        </w:rPr>
        <w:t xml:space="preserve">“TELMEX” </w:t>
      </w:r>
      <w:r w:rsidR="008E1696" w:rsidRPr="002A2450">
        <w:rPr>
          <w:rFonts w:ascii="ITC Avant Garde" w:eastAsia="Times New Roman" w:hAnsi="ITC Avant Garde"/>
          <w:bCs/>
          <w:color w:val="000000"/>
          <w:lang w:eastAsia="es-MX"/>
        </w:rPr>
        <w:t xml:space="preserve">su escrito </w:t>
      </w:r>
      <w:r w:rsidR="00811484" w:rsidRPr="002A2450">
        <w:rPr>
          <w:rFonts w:ascii="ITC Avant Garde" w:hAnsi="ITC Avant Garde"/>
        </w:rPr>
        <w:t xml:space="preserve">el veintiocho </w:t>
      </w:r>
      <w:r w:rsidR="008E1696" w:rsidRPr="002A2450">
        <w:rPr>
          <w:rFonts w:ascii="ITC Avant Garde" w:hAnsi="ITC Avant Garde"/>
        </w:rPr>
        <w:t>de septiembre de dos mil quince</w:t>
      </w:r>
      <w:r w:rsidRPr="002A2450">
        <w:rPr>
          <w:rFonts w:ascii="ITC Avant Garde" w:hAnsi="ITC Avant Garde"/>
        </w:rPr>
        <w:t xml:space="preserve"> ante la Oficialía de Partes de este </w:t>
      </w:r>
      <w:r w:rsidRPr="002A2450">
        <w:rPr>
          <w:rFonts w:ascii="ITC Avant Garde" w:hAnsi="ITC Avant Garde"/>
          <w:b/>
        </w:rPr>
        <w:t>“IFT”</w:t>
      </w:r>
      <w:r w:rsidR="008E1696" w:rsidRPr="002A2450">
        <w:rPr>
          <w:rFonts w:ascii="ITC Avant Garde" w:hAnsi="ITC Avant Garde"/>
        </w:rPr>
        <w:t xml:space="preserve">, el mismo se tuvo por presentado en tiempo y forma en términos del artículo 72 de la </w:t>
      </w:r>
      <w:r w:rsidR="008E1696" w:rsidRPr="002A2450">
        <w:rPr>
          <w:rFonts w:ascii="ITC Avant Garde" w:hAnsi="ITC Avant Garde"/>
          <w:b/>
        </w:rPr>
        <w:t>“LFPA”</w:t>
      </w:r>
      <w:r w:rsidRPr="002A2450">
        <w:rPr>
          <w:rFonts w:ascii="ITC Avant Garde" w:hAnsi="ITC Avant Garde"/>
          <w:b/>
        </w:rPr>
        <w:t>.</w:t>
      </w:r>
    </w:p>
    <w:p w14:paraId="1298C974" w14:textId="77777777" w:rsidR="00B35F13" w:rsidRDefault="00A771EC" w:rsidP="00B35F13">
      <w:pPr>
        <w:spacing w:before="240" w:line="360" w:lineRule="auto"/>
        <w:ind w:right="-1"/>
        <w:jc w:val="both"/>
        <w:rPr>
          <w:rFonts w:ascii="ITC Avant Garde" w:hAnsi="ITC Avant Garde"/>
        </w:rPr>
      </w:pPr>
      <w:r w:rsidRPr="002A2450">
        <w:rPr>
          <w:rFonts w:ascii="ITC Avant Garde" w:hAnsi="ITC Avant Garde"/>
        </w:rPr>
        <w:t>Asimismo</w:t>
      </w:r>
      <w:r w:rsidR="00811484" w:rsidRPr="002A2450">
        <w:rPr>
          <w:rFonts w:ascii="ITC Avant Garde" w:hAnsi="ITC Avant Garde"/>
        </w:rPr>
        <w:t>,</w:t>
      </w:r>
      <w:r w:rsidRPr="002A2450">
        <w:rPr>
          <w:rFonts w:ascii="ITC Avant Garde" w:hAnsi="ITC Avant Garde"/>
        </w:rPr>
        <w:t xml:space="preserve"> dentro del acuerdo</w:t>
      </w:r>
      <w:r w:rsidR="00811484" w:rsidRPr="002A2450">
        <w:rPr>
          <w:rFonts w:ascii="ITC Avant Garde" w:hAnsi="ITC Avant Garde"/>
        </w:rPr>
        <w:t xml:space="preserve"> emitido</w:t>
      </w:r>
      <w:r w:rsidRPr="002A2450">
        <w:rPr>
          <w:rFonts w:ascii="ITC Avant Garde" w:hAnsi="ITC Avant Garde"/>
        </w:rPr>
        <w:t xml:space="preserve">, se </w:t>
      </w:r>
      <w:r w:rsidR="00811484" w:rsidRPr="002A2450">
        <w:rPr>
          <w:rFonts w:ascii="ITC Avant Garde" w:hAnsi="ITC Avant Garde"/>
        </w:rPr>
        <w:t xml:space="preserve">dio cuenta de las pruebas ofrecidas, admitiéndose y desahogándose </w:t>
      </w:r>
      <w:r w:rsidRPr="002A2450">
        <w:rPr>
          <w:rFonts w:ascii="ITC Avant Garde" w:hAnsi="ITC Avant Garde"/>
        </w:rPr>
        <w:t>por su propia y especial naturaleza</w:t>
      </w:r>
      <w:r w:rsidR="002079AB" w:rsidRPr="002A2450">
        <w:rPr>
          <w:rFonts w:ascii="ITC Avant Garde" w:hAnsi="ITC Avant Garde"/>
        </w:rPr>
        <w:t xml:space="preserve"> las mismas</w:t>
      </w:r>
      <w:r w:rsidRPr="002A2450">
        <w:rPr>
          <w:rFonts w:ascii="ITC Avant Garde" w:hAnsi="ITC Avant Garde"/>
        </w:rPr>
        <w:t xml:space="preserve">, </w:t>
      </w:r>
      <w:r w:rsidR="00811484" w:rsidRPr="002A2450">
        <w:rPr>
          <w:rFonts w:ascii="ITC Avant Garde" w:hAnsi="ITC Avant Garde"/>
        </w:rPr>
        <w:t xml:space="preserve">a excepción de </w:t>
      </w:r>
      <w:r w:rsidRPr="002A2450">
        <w:rPr>
          <w:rFonts w:ascii="ITC Avant Garde" w:hAnsi="ITC Avant Garde"/>
        </w:rPr>
        <w:t xml:space="preserve">las pruebas periciales </w:t>
      </w:r>
      <w:r w:rsidR="00811484" w:rsidRPr="002A2450">
        <w:rPr>
          <w:rFonts w:ascii="ITC Avant Garde" w:hAnsi="ITC Avant Garde"/>
        </w:rPr>
        <w:t xml:space="preserve">en materia de economía y contabilidad </w:t>
      </w:r>
      <w:r w:rsidRPr="002A2450">
        <w:rPr>
          <w:rFonts w:ascii="ITC Avant Garde" w:hAnsi="ITC Avant Garde"/>
        </w:rPr>
        <w:t xml:space="preserve">ofrecidas </w:t>
      </w:r>
      <w:r w:rsidR="00811484" w:rsidRPr="002A2450">
        <w:rPr>
          <w:rFonts w:ascii="ITC Avant Garde" w:eastAsia="Times New Roman" w:hAnsi="ITC Avant Garde"/>
          <w:bCs/>
          <w:color w:val="000000"/>
          <w:lang w:eastAsia="es-MX"/>
        </w:rPr>
        <w:t xml:space="preserve">por </w:t>
      </w:r>
      <w:r w:rsidRPr="002A2450">
        <w:rPr>
          <w:rFonts w:ascii="ITC Avant Garde" w:eastAsia="Times New Roman" w:hAnsi="ITC Avant Garde"/>
          <w:b/>
          <w:bCs/>
          <w:color w:val="000000"/>
          <w:lang w:eastAsia="es-MX"/>
        </w:rPr>
        <w:t>“TELMEX”</w:t>
      </w:r>
      <w:r w:rsidR="00811484" w:rsidRPr="002A2450">
        <w:rPr>
          <w:rFonts w:ascii="ITC Avant Garde" w:eastAsia="Times New Roman" w:hAnsi="ITC Avant Garde"/>
          <w:bCs/>
          <w:color w:val="000000"/>
          <w:lang w:eastAsia="es-MX"/>
        </w:rPr>
        <w:t xml:space="preserve">, toda vez que no exhibió los cuestionarios que habrían que desahogar los peritos señalados, por lo que se previno a dicha empresa para que </w:t>
      </w:r>
      <w:r w:rsidRPr="002A2450">
        <w:rPr>
          <w:rFonts w:ascii="ITC Avant Garde" w:eastAsia="Times New Roman" w:hAnsi="ITC Avant Garde"/>
          <w:bCs/>
          <w:color w:val="000000"/>
          <w:lang w:eastAsia="es-MX"/>
        </w:rPr>
        <w:t xml:space="preserve">en el término de cinco días </w:t>
      </w:r>
      <w:r w:rsidR="005E506F" w:rsidRPr="002A2450">
        <w:rPr>
          <w:rFonts w:ascii="ITC Avant Garde" w:eastAsia="Times New Roman" w:hAnsi="ITC Avant Garde"/>
          <w:bCs/>
          <w:color w:val="000000"/>
          <w:lang w:eastAsia="es-MX"/>
        </w:rPr>
        <w:t xml:space="preserve">hábiles </w:t>
      </w:r>
      <w:r w:rsidRPr="002A2450">
        <w:rPr>
          <w:rFonts w:ascii="ITC Avant Garde" w:eastAsia="Times New Roman" w:hAnsi="ITC Avant Garde"/>
          <w:bCs/>
          <w:color w:val="000000"/>
          <w:lang w:eastAsia="es-MX"/>
        </w:rPr>
        <w:t xml:space="preserve">contados </w:t>
      </w:r>
      <w:r w:rsidR="005E506F" w:rsidRPr="002A2450">
        <w:rPr>
          <w:rFonts w:ascii="ITC Avant Garde" w:eastAsia="Times New Roman" w:hAnsi="ITC Avant Garde"/>
          <w:bCs/>
          <w:color w:val="000000"/>
          <w:lang w:eastAsia="es-MX"/>
        </w:rPr>
        <w:t xml:space="preserve">a partir de que </w:t>
      </w:r>
      <w:r w:rsidRPr="002A2450">
        <w:rPr>
          <w:rFonts w:ascii="ITC Avant Garde" w:eastAsia="Times New Roman" w:hAnsi="ITC Avant Garde"/>
          <w:bCs/>
          <w:color w:val="000000"/>
          <w:lang w:eastAsia="es-MX"/>
        </w:rPr>
        <w:t>surt</w:t>
      </w:r>
      <w:r w:rsidR="00811484" w:rsidRPr="002A2450">
        <w:rPr>
          <w:rFonts w:ascii="ITC Avant Garde" w:eastAsia="Times New Roman" w:hAnsi="ITC Avant Garde"/>
          <w:bCs/>
          <w:color w:val="000000"/>
          <w:lang w:eastAsia="es-MX"/>
        </w:rPr>
        <w:t xml:space="preserve">iera </w:t>
      </w:r>
      <w:r w:rsidRPr="002A2450">
        <w:rPr>
          <w:rFonts w:ascii="ITC Avant Garde" w:eastAsia="Times New Roman" w:hAnsi="ITC Avant Garde"/>
          <w:bCs/>
          <w:color w:val="000000"/>
          <w:lang w:eastAsia="es-MX"/>
        </w:rPr>
        <w:t xml:space="preserve">efectos la notificación del acuerdo </w:t>
      </w:r>
      <w:r w:rsidRPr="002A2450">
        <w:rPr>
          <w:rFonts w:ascii="ITC Avant Garde" w:hAnsi="ITC Avant Garde"/>
        </w:rPr>
        <w:t xml:space="preserve">señalado, </w:t>
      </w:r>
      <w:r w:rsidR="00811484" w:rsidRPr="002A2450">
        <w:rPr>
          <w:rFonts w:ascii="ITC Avant Garde" w:hAnsi="ITC Avant Garde"/>
        </w:rPr>
        <w:t xml:space="preserve">exhibiera los mismos, </w:t>
      </w:r>
      <w:r w:rsidRPr="002A2450">
        <w:rPr>
          <w:rFonts w:ascii="ITC Avant Garde" w:hAnsi="ITC Avant Garde"/>
        </w:rPr>
        <w:t>apercibiéndole que en caso de no hacerlo, se desecharían tales probanzas</w:t>
      </w:r>
      <w:r w:rsidR="00811484" w:rsidRPr="002A2450">
        <w:rPr>
          <w:rFonts w:ascii="ITC Avant Garde" w:hAnsi="ITC Avant Garde"/>
        </w:rPr>
        <w:t>.</w:t>
      </w:r>
    </w:p>
    <w:p w14:paraId="512CF562" w14:textId="77777777" w:rsidR="00B35F13" w:rsidRDefault="00811484" w:rsidP="00B35F13">
      <w:pPr>
        <w:spacing w:before="240" w:line="360" w:lineRule="auto"/>
        <w:ind w:right="-1"/>
        <w:jc w:val="both"/>
        <w:rPr>
          <w:rFonts w:ascii="ITC Avant Garde" w:hAnsi="ITC Avant Garde"/>
        </w:rPr>
      </w:pPr>
      <w:bookmarkStart w:id="14" w:name="_Toc477170117"/>
      <w:r w:rsidRPr="002A2450">
        <w:rPr>
          <w:rStyle w:val="Ttulo3Car"/>
          <w:rFonts w:eastAsiaTheme="minorHAnsi"/>
        </w:rPr>
        <w:t>DÉCIMO QUINTO</w:t>
      </w:r>
      <w:bookmarkEnd w:id="14"/>
      <w:r w:rsidRPr="002A2450">
        <w:rPr>
          <w:rFonts w:ascii="ITC Avant Garde" w:hAnsi="ITC Avant Garde"/>
          <w:b/>
        </w:rPr>
        <w:t xml:space="preserve">. </w:t>
      </w:r>
      <w:r w:rsidRPr="002A2450">
        <w:rPr>
          <w:rFonts w:ascii="ITC Avant Garde" w:hAnsi="ITC Avant Garde"/>
        </w:rPr>
        <w:t xml:space="preserve">El acuerdo emitido el doce de octubre de dos mil quince, fue notificado a </w:t>
      </w:r>
      <w:r w:rsidR="00A771EC" w:rsidRPr="002A2450">
        <w:rPr>
          <w:rFonts w:ascii="ITC Avant Garde" w:eastAsia="Times New Roman" w:hAnsi="ITC Avant Garde"/>
          <w:b/>
          <w:bCs/>
          <w:color w:val="000000"/>
          <w:lang w:eastAsia="es-MX"/>
        </w:rPr>
        <w:t xml:space="preserve">“TELMEX” </w:t>
      </w:r>
      <w:r w:rsidR="00A771EC" w:rsidRPr="002A2450">
        <w:rPr>
          <w:rFonts w:ascii="ITC Avant Garde" w:hAnsi="ITC Avant Garde"/>
        </w:rPr>
        <w:t>el trece de octubre</w:t>
      </w:r>
      <w:r w:rsidRPr="002A2450">
        <w:rPr>
          <w:rFonts w:ascii="ITC Avant Garde" w:hAnsi="ITC Avant Garde"/>
        </w:rPr>
        <w:t xml:space="preserve"> siguiente, por lo que el plazo de cinco días </w:t>
      </w:r>
      <w:r w:rsidR="005E506F" w:rsidRPr="002A2450">
        <w:rPr>
          <w:rFonts w:ascii="ITC Avant Garde" w:hAnsi="ITC Avant Garde"/>
        </w:rPr>
        <w:t xml:space="preserve">hábiles </w:t>
      </w:r>
      <w:r w:rsidRPr="002A2450">
        <w:rPr>
          <w:rFonts w:ascii="ITC Avant Garde" w:hAnsi="ITC Avant Garde"/>
        </w:rPr>
        <w:t>otorgado</w:t>
      </w:r>
      <w:r w:rsidR="005E506F" w:rsidRPr="002A2450">
        <w:rPr>
          <w:rFonts w:ascii="ITC Avant Garde" w:hAnsi="ITC Avant Garde"/>
        </w:rPr>
        <w:t>s</w:t>
      </w:r>
      <w:r w:rsidRPr="002A2450">
        <w:rPr>
          <w:rFonts w:ascii="ITC Avant Garde" w:hAnsi="ITC Avant Garde"/>
        </w:rPr>
        <w:t xml:space="preserve"> </w:t>
      </w:r>
      <w:r w:rsidR="005E506F" w:rsidRPr="002A2450">
        <w:rPr>
          <w:rFonts w:ascii="ITC Avant Garde" w:hAnsi="ITC Avant Garde"/>
        </w:rPr>
        <w:t xml:space="preserve">a dicha concesionaria </w:t>
      </w:r>
      <w:r w:rsidRPr="002A2450">
        <w:rPr>
          <w:rFonts w:ascii="ITC Avant Garde" w:hAnsi="ITC Avant Garde"/>
        </w:rPr>
        <w:t xml:space="preserve">para desahogar el requerimiento formulado corrió del catorce al veinte de octubre de esa anualidad, sin considerar el diecisiete y dieciocho de octubre de dos mil quince, al ser sábado y domingo respectivamente, en términos del artículo 28 de la </w:t>
      </w:r>
      <w:r w:rsidRPr="002A2450">
        <w:rPr>
          <w:rFonts w:ascii="ITC Avant Garde" w:hAnsi="ITC Avant Garde"/>
          <w:b/>
        </w:rPr>
        <w:t>“LFPA”</w:t>
      </w:r>
      <w:r w:rsidR="00A771EC" w:rsidRPr="002A2450">
        <w:rPr>
          <w:rFonts w:ascii="ITC Avant Garde" w:hAnsi="ITC Avant Garde"/>
        </w:rPr>
        <w:t>.</w:t>
      </w:r>
    </w:p>
    <w:p w14:paraId="5E6B2D3C" w14:textId="77777777" w:rsidR="0004375E" w:rsidRDefault="00A771EC" w:rsidP="00B35F13">
      <w:pPr>
        <w:spacing w:before="240" w:line="360" w:lineRule="auto"/>
        <w:ind w:right="-1"/>
        <w:jc w:val="both"/>
        <w:rPr>
          <w:rFonts w:ascii="ITC Avant Garde" w:eastAsia="Times New Roman" w:hAnsi="ITC Avant Garde"/>
          <w:bCs/>
          <w:color w:val="000000"/>
          <w:lang w:eastAsia="es-MX"/>
        </w:rPr>
        <w:sectPr w:rsidR="0004375E" w:rsidSect="009F3771">
          <w:headerReference w:type="default" r:id="rId13"/>
          <w:pgSz w:w="12240" w:h="15840"/>
          <w:pgMar w:top="1985" w:right="1701" w:bottom="1418" w:left="1701" w:header="709" w:footer="709" w:gutter="0"/>
          <w:cols w:space="708"/>
          <w:docGrid w:linePitch="360"/>
        </w:sectPr>
      </w:pPr>
      <w:bookmarkStart w:id="15" w:name="_Toc477170118"/>
      <w:r w:rsidRPr="002A2450">
        <w:rPr>
          <w:rStyle w:val="Ttulo3Car"/>
          <w:rFonts w:eastAsiaTheme="minorHAnsi"/>
        </w:rPr>
        <w:t>DÉCIMO</w:t>
      </w:r>
      <w:r w:rsidR="00922499" w:rsidRPr="002A2450">
        <w:rPr>
          <w:rStyle w:val="Ttulo3Car"/>
          <w:rFonts w:eastAsiaTheme="minorHAnsi"/>
        </w:rPr>
        <w:t xml:space="preserve"> SEXTO</w:t>
      </w:r>
      <w:bookmarkEnd w:id="15"/>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El veinte de octubre de dos mil quince</w:t>
      </w:r>
      <w:r w:rsidR="00922499"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comparec</w:t>
      </w:r>
      <w:r w:rsidR="00922499" w:rsidRPr="002A2450">
        <w:rPr>
          <w:rFonts w:ascii="ITC Avant Garde" w:eastAsia="Times New Roman" w:hAnsi="ITC Avant Garde"/>
          <w:bCs/>
          <w:color w:val="000000"/>
          <w:lang w:eastAsia="es-MX"/>
        </w:rPr>
        <w:t>ió</w:t>
      </w:r>
      <w:r w:rsidRPr="002A2450">
        <w:rPr>
          <w:rFonts w:ascii="ITC Avant Garde" w:eastAsia="Times New Roman" w:hAnsi="ITC Avant Garde"/>
          <w:bCs/>
          <w:color w:val="000000"/>
          <w:lang w:eastAsia="es-MX"/>
        </w:rPr>
        <w:t xml:space="preserve"> en las oficinas de la Unidad de Cumplimiento el </w:t>
      </w:r>
      <w:r w:rsidR="00074C39" w:rsidRPr="0057405A">
        <w:rPr>
          <w:rFonts w:ascii="ITC Avant Garde" w:eastAsiaTheme="majorEastAsia" w:hAnsi="ITC Avant Garde" w:cstheme="majorBidi"/>
          <w:b/>
          <w:color w:val="0000FF"/>
          <w:szCs w:val="32"/>
        </w:rPr>
        <w:t>“CONFIDENCIAL POR LEY”</w:t>
      </w:r>
      <w:r w:rsidR="00922499" w:rsidRPr="002A2450">
        <w:rPr>
          <w:rFonts w:ascii="ITC Avant Garde" w:eastAsia="Times New Roman" w:hAnsi="ITC Avant Garde"/>
          <w:bCs/>
          <w:color w:val="000000"/>
          <w:lang w:eastAsia="es-MX"/>
        </w:rPr>
        <w:t xml:space="preserve">, persona autorizada por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con la finalidad de que le </w:t>
      </w:r>
      <w:r w:rsidR="00922499" w:rsidRPr="002A2450">
        <w:rPr>
          <w:rFonts w:ascii="ITC Avant Garde" w:eastAsia="Times New Roman" w:hAnsi="ITC Avant Garde"/>
          <w:bCs/>
          <w:color w:val="000000"/>
          <w:lang w:eastAsia="es-MX"/>
        </w:rPr>
        <w:t xml:space="preserve">fueran </w:t>
      </w:r>
      <w:r w:rsidRPr="002A2450">
        <w:rPr>
          <w:rFonts w:ascii="ITC Avant Garde" w:eastAsia="Times New Roman" w:hAnsi="ITC Avant Garde"/>
          <w:bCs/>
          <w:color w:val="000000"/>
          <w:lang w:eastAsia="es-MX"/>
        </w:rPr>
        <w:t xml:space="preserve">entregadas las copias simples del expediente en que se actúa, </w:t>
      </w:r>
      <w:r w:rsidR="002079AB" w:rsidRPr="002A2450">
        <w:rPr>
          <w:rFonts w:ascii="ITC Avant Garde" w:eastAsia="Times New Roman" w:hAnsi="ITC Avant Garde"/>
          <w:bCs/>
          <w:color w:val="000000"/>
          <w:lang w:eastAsia="es-MX"/>
        </w:rPr>
        <w:t xml:space="preserve">mismas que fueron </w:t>
      </w:r>
      <w:r w:rsidRPr="002A2450">
        <w:rPr>
          <w:rFonts w:ascii="ITC Avant Garde" w:eastAsia="Times New Roman" w:hAnsi="ITC Avant Garde"/>
          <w:bCs/>
          <w:color w:val="000000"/>
          <w:lang w:eastAsia="es-MX"/>
        </w:rPr>
        <w:t xml:space="preserve">solicitadas mediante el escrito de diecisiete </w:t>
      </w:r>
      <w:r w:rsidR="00922499" w:rsidRPr="002A2450">
        <w:rPr>
          <w:rFonts w:ascii="ITC Avant Garde" w:eastAsia="Times New Roman" w:hAnsi="ITC Avant Garde"/>
          <w:bCs/>
          <w:color w:val="000000"/>
          <w:lang w:eastAsia="es-MX"/>
        </w:rPr>
        <w:t xml:space="preserve">de septiembre de dos mil quince </w:t>
      </w:r>
      <w:r w:rsidRPr="002A2450">
        <w:rPr>
          <w:rFonts w:ascii="ITC Avant Garde" w:eastAsia="Times New Roman" w:hAnsi="ITC Avant Garde"/>
          <w:bCs/>
          <w:color w:val="000000"/>
          <w:lang w:eastAsia="es-MX"/>
        </w:rPr>
        <w:t>y autorizadas por acuerdo de veintiuno</w:t>
      </w:r>
      <w:r w:rsidR="00922499" w:rsidRPr="002A2450">
        <w:rPr>
          <w:rFonts w:ascii="ITC Avant Garde" w:eastAsia="Times New Roman" w:hAnsi="ITC Avant Garde"/>
          <w:bCs/>
          <w:color w:val="000000"/>
          <w:lang w:eastAsia="es-MX"/>
        </w:rPr>
        <w:t xml:space="preserve"> </w:t>
      </w:r>
    </w:p>
    <w:p w14:paraId="4AE4363D" w14:textId="7021DEBF" w:rsidR="00B35F13" w:rsidRDefault="00922499" w:rsidP="00B35F13">
      <w:pPr>
        <w:spacing w:before="240" w:line="360" w:lineRule="auto"/>
        <w:ind w:right="-1"/>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de</w:t>
      </w:r>
      <w:proofErr w:type="gramEnd"/>
      <w:r w:rsidRPr="002A2450">
        <w:rPr>
          <w:rFonts w:ascii="ITC Avant Garde" w:eastAsia="Times New Roman" w:hAnsi="ITC Avant Garde"/>
          <w:bCs/>
          <w:color w:val="000000"/>
          <w:lang w:eastAsia="es-MX"/>
        </w:rPr>
        <w:t xml:space="preserve"> ese mes y año, levantándose la comparecencia respectiva, por la entrega y la recepción de las copias simples autorizadas</w:t>
      </w:r>
      <w:r w:rsidR="00A771EC" w:rsidRPr="002A2450">
        <w:rPr>
          <w:rFonts w:ascii="ITC Avant Garde" w:eastAsia="Times New Roman" w:hAnsi="ITC Avant Garde"/>
          <w:bCs/>
          <w:color w:val="000000"/>
          <w:lang w:eastAsia="es-MX"/>
        </w:rPr>
        <w:t>.</w:t>
      </w:r>
    </w:p>
    <w:p w14:paraId="022B94DC" w14:textId="77777777" w:rsidR="00B35F13" w:rsidRDefault="00A771EC" w:rsidP="00B35F13">
      <w:pPr>
        <w:spacing w:before="240" w:line="360" w:lineRule="auto"/>
        <w:ind w:right="-1"/>
        <w:jc w:val="both"/>
        <w:rPr>
          <w:rFonts w:ascii="ITC Avant Garde" w:eastAsia="Times New Roman" w:hAnsi="ITC Avant Garde"/>
          <w:bCs/>
          <w:color w:val="000000"/>
          <w:lang w:eastAsia="es-MX"/>
        </w:rPr>
      </w:pPr>
      <w:bookmarkStart w:id="16" w:name="_Toc477170119"/>
      <w:r w:rsidRPr="002A2450">
        <w:rPr>
          <w:rStyle w:val="Ttulo3Car"/>
          <w:rFonts w:eastAsiaTheme="minorHAnsi"/>
        </w:rPr>
        <w:t>DÉCIMO</w:t>
      </w:r>
      <w:r w:rsidR="00922499" w:rsidRPr="002A2450">
        <w:rPr>
          <w:rStyle w:val="Ttulo3Car"/>
          <w:rFonts w:eastAsiaTheme="minorHAnsi"/>
        </w:rPr>
        <w:t xml:space="preserve"> SÉPTIMO</w:t>
      </w:r>
      <w:bookmarkEnd w:id="16"/>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Por escrito presentado el veinte de octubre de dos mil quince, el </w:t>
      </w:r>
      <w:r w:rsidRPr="002A2450">
        <w:rPr>
          <w:rFonts w:ascii="ITC Avant Garde" w:eastAsia="Times New Roman" w:hAnsi="ITC Avant Garde"/>
          <w:b/>
          <w:bCs/>
          <w:color w:val="000000"/>
          <w:lang w:eastAsia="es-MX"/>
        </w:rPr>
        <w:t xml:space="preserve">C. FRANCISCO JAVIER ISLAS MANCERA </w:t>
      </w:r>
      <w:r w:rsidRPr="002A2450">
        <w:rPr>
          <w:rFonts w:ascii="ITC Avant Garde" w:eastAsia="Times New Roman" w:hAnsi="ITC Avant Garde"/>
          <w:bCs/>
          <w:color w:val="000000"/>
          <w:lang w:eastAsia="es-MX"/>
        </w:rPr>
        <w:t xml:space="preserve">en su carácter de apoderado general para pleitos y cobranzas y actos de administración de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present</w:t>
      </w:r>
      <w:r w:rsidR="00922499"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los </w:t>
      </w:r>
      <w:r w:rsidRPr="002A2450">
        <w:rPr>
          <w:rFonts w:ascii="ITC Avant Garde" w:hAnsi="ITC Avant Garde"/>
        </w:rPr>
        <w:t>cuestionarios que habr</w:t>
      </w:r>
      <w:r w:rsidR="00922499" w:rsidRPr="002A2450">
        <w:rPr>
          <w:rFonts w:ascii="ITC Avant Garde" w:hAnsi="ITC Avant Garde"/>
        </w:rPr>
        <w:t xml:space="preserve">ían </w:t>
      </w:r>
      <w:r w:rsidRPr="002A2450">
        <w:rPr>
          <w:rFonts w:ascii="ITC Avant Garde" w:hAnsi="ITC Avant Garde"/>
        </w:rPr>
        <w:t xml:space="preserve">de desahogar los peritos en materia de contabilidad y economía señalados en su escrito </w:t>
      </w:r>
      <w:r w:rsidR="00922499" w:rsidRPr="002A2450">
        <w:rPr>
          <w:rFonts w:ascii="ITC Avant Garde" w:hAnsi="ITC Avant Garde"/>
        </w:rPr>
        <w:t xml:space="preserve">presentado el veintiocho de septiembre de dos mil quince. </w:t>
      </w:r>
    </w:p>
    <w:p w14:paraId="546C2ED3" w14:textId="77777777" w:rsidR="00B35F13" w:rsidRDefault="00A771EC" w:rsidP="00B35F13">
      <w:pPr>
        <w:spacing w:before="240" w:line="360" w:lineRule="auto"/>
        <w:ind w:right="-1"/>
        <w:jc w:val="both"/>
        <w:rPr>
          <w:rFonts w:ascii="ITC Avant Garde" w:hAnsi="ITC Avant Garde"/>
        </w:rPr>
      </w:pPr>
      <w:bookmarkStart w:id="17" w:name="_Toc477170120"/>
      <w:r w:rsidRPr="002A2450">
        <w:rPr>
          <w:rStyle w:val="Ttulo3Car"/>
          <w:rFonts w:eastAsiaTheme="minorHAnsi"/>
        </w:rPr>
        <w:t>DÉCIMO</w:t>
      </w:r>
      <w:r w:rsidR="00922499" w:rsidRPr="002A2450">
        <w:rPr>
          <w:rStyle w:val="Ttulo3Car"/>
          <w:rFonts w:eastAsiaTheme="minorHAnsi"/>
        </w:rPr>
        <w:t xml:space="preserve"> OCTAVO</w:t>
      </w:r>
      <w:bookmarkEnd w:id="17"/>
      <w:r w:rsidRPr="002A2450">
        <w:rPr>
          <w:rFonts w:ascii="ITC Avant Garde" w:eastAsia="Times New Roman" w:hAnsi="ITC Avant Garde"/>
          <w:b/>
          <w:bCs/>
          <w:color w:val="000000"/>
          <w:lang w:eastAsia="es-MX"/>
        </w:rPr>
        <w:t xml:space="preserve">. </w:t>
      </w:r>
      <w:r w:rsidR="00922499" w:rsidRPr="002A2450">
        <w:rPr>
          <w:rFonts w:ascii="ITC Avant Garde" w:eastAsia="Times New Roman" w:hAnsi="ITC Avant Garde"/>
          <w:bCs/>
          <w:color w:val="000000"/>
          <w:lang w:eastAsia="es-MX"/>
        </w:rPr>
        <w:t>Por</w:t>
      </w:r>
      <w:r w:rsidR="00922499"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acuerdo de tres de noviembre </w:t>
      </w:r>
      <w:r w:rsidR="00922499" w:rsidRPr="002A2450">
        <w:rPr>
          <w:rFonts w:ascii="ITC Avant Garde" w:eastAsia="Times New Roman" w:hAnsi="ITC Avant Garde"/>
          <w:bCs/>
          <w:color w:val="000000"/>
          <w:lang w:eastAsia="es-MX"/>
        </w:rPr>
        <w:t xml:space="preserve">de dos mil quince, </w:t>
      </w:r>
      <w:r w:rsidRPr="002A2450">
        <w:rPr>
          <w:rFonts w:ascii="ITC Avant Garde" w:eastAsia="Times New Roman" w:hAnsi="ITC Avant Garde"/>
          <w:bCs/>
          <w:color w:val="000000"/>
          <w:lang w:eastAsia="es-MX"/>
        </w:rPr>
        <w:t>se d</w:t>
      </w:r>
      <w:r w:rsidR="00922499" w:rsidRPr="002A2450">
        <w:rPr>
          <w:rFonts w:ascii="ITC Avant Garde" w:eastAsia="Times New Roman" w:hAnsi="ITC Avant Garde"/>
          <w:bCs/>
          <w:color w:val="000000"/>
          <w:lang w:eastAsia="es-MX"/>
        </w:rPr>
        <w:t>io</w:t>
      </w:r>
      <w:r w:rsidRPr="002A2450">
        <w:rPr>
          <w:rFonts w:ascii="ITC Avant Garde" w:eastAsia="Times New Roman" w:hAnsi="ITC Avant Garde"/>
          <w:bCs/>
          <w:color w:val="000000"/>
          <w:lang w:eastAsia="es-MX"/>
        </w:rPr>
        <w:t xml:space="preserve"> cuenta del escrito de veinte de octubre</w:t>
      </w:r>
      <w:r w:rsidR="00922499" w:rsidRPr="002A2450">
        <w:rPr>
          <w:rFonts w:ascii="ITC Avant Garde" w:eastAsia="Times New Roman" w:hAnsi="ITC Avant Garde"/>
          <w:bCs/>
          <w:color w:val="000000"/>
          <w:lang w:eastAsia="es-MX"/>
        </w:rPr>
        <w:t xml:space="preserve"> de esa anualidad</w:t>
      </w:r>
      <w:r w:rsidRPr="002A2450">
        <w:rPr>
          <w:rFonts w:ascii="ITC Avant Garde" w:eastAsia="Times New Roman" w:hAnsi="ITC Avant Garde"/>
          <w:bCs/>
          <w:color w:val="000000"/>
          <w:lang w:eastAsia="es-MX"/>
        </w:rPr>
        <w:t xml:space="preserve">, </w:t>
      </w:r>
      <w:r w:rsidR="00922499" w:rsidRPr="002A2450">
        <w:rPr>
          <w:rFonts w:ascii="ITC Avant Garde" w:eastAsia="Times New Roman" w:hAnsi="ITC Avant Garde"/>
          <w:bCs/>
          <w:color w:val="000000"/>
          <w:lang w:eastAsia="es-MX"/>
        </w:rPr>
        <w:t xml:space="preserve">por el que el </w:t>
      </w:r>
      <w:r w:rsidRPr="002A2450">
        <w:rPr>
          <w:rFonts w:ascii="ITC Avant Garde" w:eastAsia="Times New Roman" w:hAnsi="ITC Avant Garde"/>
          <w:b/>
          <w:bCs/>
          <w:color w:val="000000"/>
          <w:lang w:eastAsia="es-MX"/>
        </w:rPr>
        <w:t>C. FRANCISCO JAVIER ISLAS MANCERA</w:t>
      </w:r>
      <w:r w:rsidRPr="002A2450">
        <w:rPr>
          <w:rFonts w:ascii="ITC Avant Garde" w:eastAsia="Times New Roman" w:hAnsi="ITC Avant Garde"/>
          <w:bCs/>
          <w:color w:val="000000"/>
          <w:lang w:eastAsia="es-MX"/>
        </w:rPr>
        <w:t xml:space="preserve">, </w:t>
      </w:r>
      <w:r w:rsidR="00922499" w:rsidRPr="002A2450">
        <w:rPr>
          <w:rFonts w:ascii="ITC Avant Garde" w:eastAsia="Times New Roman" w:hAnsi="ITC Avant Garde"/>
          <w:bCs/>
          <w:color w:val="000000"/>
          <w:lang w:eastAsia="es-MX"/>
        </w:rPr>
        <w:t xml:space="preserve">en cumplimiento al requerimiento formulado por acuerdo el doce de octubre de dos mil quince, </w:t>
      </w:r>
      <w:r w:rsidRPr="002A2450">
        <w:rPr>
          <w:rFonts w:ascii="ITC Avant Garde" w:eastAsia="Times New Roman" w:hAnsi="ITC Avant Garde"/>
          <w:bCs/>
          <w:color w:val="000000"/>
          <w:lang w:eastAsia="es-MX"/>
        </w:rPr>
        <w:t>present</w:t>
      </w:r>
      <w:r w:rsidR="00922499"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los </w:t>
      </w:r>
      <w:r w:rsidRPr="002A2450">
        <w:rPr>
          <w:rFonts w:ascii="ITC Avant Garde" w:hAnsi="ITC Avant Garde"/>
        </w:rPr>
        <w:t>cuestionarios que habr</w:t>
      </w:r>
      <w:r w:rsidR="00922499" w:rsidRPr="002A2450">
        <w:rPr>
          <w:rFonts w:ascii="ITC Avant Garde" w:hAnsi="ITC Avant Garde"/>
        </w:rPr>
        <w:t xml:space="preserve">ían </w:t>
      </w:r>
      <w:r w:rsidRPr="002A2450">
        <w:rPr>
          <w:rFonts w:ascii="ITC Avant Garde" w:hAnsi="ITC Avant Garde"/>
        </w:rPr>
        <w:t>de desahogar los peritos en materia de contabilidad y economía.</w:t>
      </w:r>
    </w:p>
    <w:p w14:paraId="0EBAF567" w14:textId="77777777" w:rsidR="00B35F13" w:rsidRDefault="00922499" w:rsidP="00B35F13">
      <w:pPr>
        <w:spacing w:before="240" w:line="360" w:lineRule="auto"/>
        <w:ind w:right="-1"/>
        <w:jc w:val="both"/>
        <w:rPr>
          <w:rFonts w:ascii="ITC Avant Garde" w:hAnsi="ITC Avant Garde"/>
        </w:rPr>
      </w:pPr>
      <w:r w:rsidRPr="002A2450">
        <w:rPr>
          <w:rFonts w:ascii="ITC Avant Garde" w:hAnsi="ITC Avant Garde"/>
        </w:rPr>
        <w:t>Asimismo, s</w:t>
      </w:r>
      <w:r w:rsidR="00A771EC" w:rsidRPr="002A2450">
        <w:rPr>
          <w:rFonts w:ascii="ITC Avant Garde" w:hAnsi="ITC Avant Garde"/>
        </w:rPr>
        <w:t>e ordenó girar atento oficio a la Unidad de Política Regulatoria y a la Unidad de Competencia Económica, con el fin de que de no existir inconveniente alguno para ello, design</w:t>
      </w:r>
      <w:r w:rsidRPr="002A2450">
        <w:rPr>
          <w:rFonts w:ascii="ITC Avant Garde" w:hAnsi="ITC Avant Garde"/>
        </w:rPr>
        <w:t xml:space="preserve">aran un </w:t>
      </w:r>
      <w:r w:rsidR="00A771EC" w:rsidRPr="002A2450">
        <w:rPr>
          <w:rFonts w:ascii="ITC Avant Garde" w:hAnsi="ITC Avant Garde"/>
        </w:rPr>
        <w:t xml:space="preserve">perito en materia </w:t>
      </w:r>
      <w:r w:rsidR="005E506F" w:rsidRPr="002A2450">
        <w:rPr>
          <w:rFonts w:ascii="ITC Avant Garde" w:hAnsi="ITC Avant Garde"/>
        </w:rPr>
        <w:t xml:space="preserve">de Contabilidad </w:t>
      </w:r>
      <w:r w:rsidRPr="002A2450">
        <w:rPr>
          <w:rFonts w:ascii="ITC Avant Garde" w:hAnsi="ITC Avant Garde"/>
        </w:rPr>
        <w:t xml:space="preserve">y en materia </w:t>
      </w:r>
      <w:r w:rsidR="005E506F" w:rsidRPr="002A2450">
        <w:rPr>
          <w:rFonts w:ascii="ITC Avant Garde" w:hAnsi="ITC Avant Garde"/>
        </w:rPr>
        <w:t>de Economía</w:t>
      </w:r>
      <w:r w:rsidRPr="002A2450">
        <w:rPr>
          <w:rFonts w:ascii="ITC Avant Garde" w:hAnsi="ITC Avant Garde"/>
        </w:rPr>
        <w:t xml:space="preserve">, respectivamente, </w:t>
      </w:r>
      <w:r w:rsidR="00A771EC" w:rsidRPr="002A2450">
        <w:rPr>
          <w:rFonts w:ascii="ITC Avant Garde" w:hAnsi="ITC Avant Garde"/>
        </w:rPr>
        <w:t xml:space="preserve">a efecto de que </w:t>
      </w:r>
      <w:r w:rsidRPr="002A2450">
        <w:rPr>
          <w:rFonts w:ascii="ITC Avant Garde" w:hAnsi="ITC Avant Garde"/>
        </w:rPr>
        <w:t xml:space="preserve">fungieran </w:t>
      </w:r>
      <w:r w:rsidR="00A771EC" w:rsidRPr="002A2450">
        <w:rPr>
          <w:rFonts w:ascii="ITC Avant Garde" w:hAnsi="ITC Avant Garde"/>
        </w:rPr>
        <w:t xml:space="preserve">como peritos de esta </w:t>
      </w:r>
      <w:r w:rsidR="005E506F" w:rsidRPr="002A2450">
        <w:rPr>
          <w:rFonts w:ascii="ITC Avant Garde" w:hAnsi="ITC Avant Garde"/>
        </w:rPr>
        <w:t>a</w:t>
      </w:r>
      <w:r w:rsidR="00A771EC" w:rsidRPr="002A2450">
        <w:rPr>
          <w:rFonts w:ascii="ITC Avant Garde" w:hAnsi="ITC Avant Garde"/>
        </w:rPr>
        <w:t xml:space="preserve">utoridad en el procedimiento administrativo que nos ocupa, haciendo de su conocimiento que las pruebas periciales </w:t>
      </w:r>
      <w:r w:rsidR="00C531B9" w:rsidRPr="002A2450">
        <w:rPr>
          <w:rFonts w:ascii="ITC Avant Garde" w:hAnsi="ITC Avant Garde"/>
        </w:rPr>
        <w:t>versarían</w:t>
      </w:r>
      <w:r w:rsidR="00A771EC" w:rsidRPr="002A2450">
        <w:rPr>
          <w:rFonts w:ascii="ITC Avant Garde" w:hAnsi="ITC Avant Garde"/>
        </w:rPr>
        <w:t xml:space="preserve"> con el objeto de acreditar que los contratos celebrados entre </w:t>
      </w:r>
      <w:r w:rsidRPr="002A2450">
        <w:rPr>
          <w:rFonts w:ascii="ITC Avant Garde" w:hAnsi="ITC Avant Garde"/>
          <w:b/>
        </w:rPr>
        <w:t xml:space="preserve">“TELMEX” </w:t>
      </w:r>
      <w:r w:rsidR="00A771EC" w:rsidRPr="002A2450">
        <w:rPr>
          <w:rFonts w:ascii="ITC Avant Garde" w:hAnsi="ITC Avant Garde"/>
        </w:rPr>
        <w:t xml:space="preserve">y </w:t>
      </w:r>
      <w:r w:rsidR="00A7564D" w:rsidRPr="002A2450">
        <w:rPr>
          <w:rFonts w:ascii="ITC Avant Garde" w:hAnsi="ITC Avant Garde"/>
          <w:b/>
        </w:rPr>
        <w:t>“DISH MÉXICO”</w:t>
      </w:r>
      <w:r w:rsidR="00F637FB" w:rsidRPr="002A2450">
        <w:rPr>
          <w:rFonts w:ascii="ITC Avant Garde" w:hAnsi="ITC Avant Garde"/>
          <w:b/>
        </w:rPr>
        <w:t xml:space="preserve"> </w:t>
      </w:r>
      <w:r w:rsidR="00A771EC" w:rsidRPr="002A2450">
        <w:rPr>
          <w:rFonts w:ascii="ITC Avant Garde" w:hAnsi="ITC Avant Garde"/>
        </w:rPr>
        <w:t xml:space="preserve">no generan vínculos financieros </w:t>
      </w:r>
      <w:r w:rsidR="008E1696" w:rsidRPr="002A2450">
        <w:rPr>
          <w:rFonts w:ascii="ITC Avant Garde" w:hAnsi="ITC Avant Garde"/>
        </w:rPr>
        <w:t xml:space="preserve">y </w:t>
      </w:r>
      <w:r w:rsidR="00A771EC" w:rsidRPr="002A2450">
        <w:rPr>
          <w:rFonts w:ascii="ITC Avant Garde" w:hAnsi="ITC Avant Garde"/>
        </w:rPr>
        <w:t>corp</w:t>
      </w:r>
      <w:r w:rsidRPr="002A2450">
        <w:rPr>
          <w:rFonts w:ascii="ITC Avant Garde" w:hAnsi="ITC Avant Garde"/>
        </w:rPr>
        <w:t xml:space="preserve">orativos ni otorgan el control </w:t>
      </w:r>
      <w:r w:rsidR="00C531B9" w:rsidRPr="002A2450">
        <w:rPr>
          <w:rFonts w:ascii="ITC Avant Garde" w:hAnsi="ITC Avant Garde"/>
        </w:rPr>
        <w:t xml:space="preserve">operativo </w:t>
      </w:r>
      <w:r w:rsidR="00A771EC" w:rsidRPr="002A2450">
        <w:rPr>
          <w:rFonts w:ascii="ITC Avant Garde" w:hAnsi="ITC Avant Garde"/>
        </w:rPr>
        <w:t>de la primera con la segunda, a</w:t>
      </w:r>
      <w:r w:rsidRPr="002A2450">
        <w:rPr>
          <w:rFonts w:ascii="ITC Avant Garde" w:hAnsi="ITC Avant Garde"/>
        </w:rPr>
        <w:t xml:space="preserve">sí como señalar cuales son las </w:t>
      </w:r>
      <w:r w:rsidR="00A771EC" w:rsidRPr="002A2450">
        <w:rPr>
          <w:rFonts w:ascii="ITC Avant Garde" w:hAnsi="ITC Avant Garde"/>
        </w:rPr>
        <w:t xml:space="preserve">relaciones contractuales entre </w:t>
      </w:r>
      <w:r w:rsidR="00310661" w:rsidRPr="002A2450">
        <w:rPr>
          <w:rFonts w:ascii="ITC Avant Garde" w:hAnsi="ITC Avant Garde"/>
        </w:rPr>
        <w:t>dichas empresas</w:t>
      </w:r>
      <w:r w:rsidR="00A771EC" w:rsidRPr="002A2450">
        <w:rPr>
          <w:rFonts w:ascii="ITC Avant Garde" w:hAnsi="ITC Avant Garde"/>
        </w:rPr>
        <w:t>, y si los contratos obedecen a un diseño o mecanismo que</w:t>
      </w:r>
      <w:r w:rsidRPr="002A2450">
        <w:rPr>
          <w:rFonts w:ascii="ITC Avant Garde" w:hAnsi="ITC Avant Garde"/>
        </w:rPr>
        <w:t xml:space="preserve"> les permita alinear incentivos</w:t>
      </w:r>
      <w:r w:rsidR="00A771EC" w:rsidRPr="002A2450">
        <w:rPr>
          <w:rFonts w:ascii="ITC Avant Garde" w:hAnsi="ITC Avant Garde"/>
        </w:rPr>
        <w:t>, relaciones verticales en una relación de negocios eficiente y si los contratos conforman una sol</w:t>
      </w:r>
      <w:r w:rsidRPr="002A2450">
        <w:rPr>
          <w:rFonts w:ascii="ITC Avant Garde" w:hAnsi="ITC Avant Garde"/>
        </w:rPr>
        <w:t>a</w:t>
      </w:r>
      <w:r w:rsidR="00A771EC" w:rsidRPr="002A2450">
        <w:rPr>
          <w:rFonts w:ascii="ITC Avant Garde" w:hAnsi="ITC Avant Garde"/>
        </w:rPr>
        <w:t xml:space="preserve"> unidad económica. </w:t>
      </w:r>
    </w:p>
    <w:p w14:paraId="373B891E" w14:textId="77777777" w:rsidR="00B35F13" w:rsidRDefault="00922499" w:rsidP="00B35F13">
      <w:pPr>
        <w:spacing w:before="240" w:line="360" w:lineRule="auto"/>
        <w:ind w:right="-1"/>
        <w:jc w:val="both"/>
        <w:rPr>
          <w:rFonts w:ascii="ITC Avant Garde" w:eastAsia="Times New Roman" w:hAnsi="ITC Avant Garde"/>
          <w:bCs/>
          <w:color w:val="000000"/>
          <w:lang w:eastAsia="es-MX"/>
        </w:rPr>
      </w:pPr>
      <w:bookmarkStart w:id="18" w:name="_Toc477170121"/>
      <w:r w:rsidRPr="002A2450">
        <w:rPr>
          <w:rStyle w:val="Ttulo3Car"/>
          <w:rFonts w:eastAsiaTheme="minorHAnsi"/>
        </w:rPr>
        <w:t>DÉCIMO NOVENO</w:t>
      </w:r>
      <w:bookmarkEnd w:id="18"/>
      <w:r w:rsidRPr="002A2450">
        <w:rPr>
          <w:rFonts w:ascii="ITC Avant Garde" w:hAnsi="ITC Avant Garde"/>
          <w:b/>
        </w:rPr>
        <w:t xml:space="preserve">. </w:t>
      </w:r>
      <w:r w:rsidRPr="002A2450">
        <w:rPr>
          <w:rFonts w:ascii="ITC Avant Garde" w:hAnsi="ITC Avant Garde"/>
        </w:rPr>
        <w:t>En cumplimiento al acuerdo emitido el tres de noviembre de dos mil quince,</w:t>
      </w:r>
      <w:r w:rsidRPr="002A2450">
        <w:rPr>
          <w:rFonts w:ascii="ITC Avant Garde" w:hAnsi="ITC Avant Garde"/>
          <w:b/>
        </w:rPr>
        <w:t xml:space="preserve"> </w:t>
      </w:r>
      <w:r w:rsidRPr="002A2450">
        <w:rPr>
          <w:rFonts w:ascii="ITC Avant Garde" w:hAnsi="ITC Avant Garde"/>
        </w:rPr>
        <w:t>m</w:t>
      </w:r>
      <w:r w:rsidR="00A771EC" w:rsidRPr="002A2450">
        <w:rPr>
          <w:rFonts w:ascii="ITC Avant Garde" w:hAnsi="ITC Avant Garde"/>
        </w:rPr>
        <w:t xml:space="preserve">ediante </w:t>
      </w:r>
      <w:r w:rsidR="005E506F" w:rsidRPr="002A2450">
        <w:rPr>
          <w:rFonts w:ascii="ITC Avant Garde" w:hAnsi="ITC Avant Garde"/>
        </w:rPr>
        <w:t xml:space="preserve">los </w:t>
      </w:r>
      <w:r w:rsidR="00A771EC" w:rsidRPr="002A2450">
        <w:rPr>
          <w:rFonts w:ascii="ITC Avant Garde" w:hAnsi="ITC Avant Garde"/>
        </w:rPr>
        <w:t>oficios</w:t>
      </w:r>
      <w:r w:rsidR="005E506F" w:rsidRPr="002A2450">
        <w:rPr>
          <w:rFonts w:ascii="ITC Avant Garde" w:hAnsi="ITC Avant Garde"/>
        </w:rPr>
        <w:t xml:space="preserve"> </w:t>
      </w:r>
      <w:r w:rsidR="005E506F" w:rsidRPr="002A2450">
        <w:rPr>
          <w:rFonts w:ascii="ITC Avant Garde" w:hAnsi="ITC Avant Garde"/>
          <w:b/>
        </w:rPr>
        <w:t xml:space="preserve">IFT/225/UC/2419/2015 </w:t>
      </w:r>
      <w:r w:rsidR="00E75616" w:rsidRPr="002A2450">
        <w:rPr>
          <w:rFonts w:ascii="ITC Avant Garde" w:hAnsi="ITC Avant Garde"/>
        </w:rPr>
        <w:t>e</w:t>
      </w:r>
      <w:r w:rsidR="005E506F" w:rsidRPr="002A2450">
        <w:rPr>
          <w:rFonts w:ascii="ITC Avant Garde" w:hAnsi="ITC Avant Garde"/>
        </w:rPr>
        <w:t xml:space="preserve"> </w:t>
      </w:r>
      <w:r w:rsidR="005E506F" w:rsidRPr="002A2450">
        <w:rPr>
          <w:rFonts w:ascii="ITC Avant Garde" w:hAnsi="ITC Avant Garde"/>
          <w:b/>
        </w:rPr>
        <w:t>IFT/225/UC/2420/2015</w:t>
      </w:r>
      <w:r w:rsidR="00A771EC" w:rsidRPr="002A2450">
        <w:rPr>
          <w:rFonts w:ascii="ITC Avant Garde" w:hAnsi="ITC Avant Garde"/>
        </w:rPr>
        <w:t xml:space="preserve"> de cuatro de novie</w:t>
      </w:r>
      <w:r w:rsidRPr="002A2450">
        <w:rPr>
          <w:rFonts w:ascii="ITC Avant Garde" w:hAnsi="ITC Avant Garde"/>
        </w:rPr>
        <w:t xml:space="preserve">mbre de dos mil quince, </w:t>
      </w:r>
      <w:r w:rsidR="00CC2F3E" w:rsidRPr="002A2450">
        <w:rPr>
          <w:rFonts w:ascii="ITC Avant Garde" w:hAnsi="ITC Avant Garde"/>
        </w:rPr>
        <w:t xml:space="preserve">notificados el seis de noviembre de esa </w:t>
      </w:r>
      <w:r w:rsidR="00CC2F3E" w:rsidRPr="002A2450">
        <w:rPr>
          <w:rFonts w:ascii="ITC Avant Garde" w:hAnsi="ITC Avant Garde"/>
        </w:rPr>
        <w:lastRenderedPageBreak/>
        <w:t>anualidad,</w:t>
      </w:r>
      <w:r w:rsidR="00CC2F3E" w:rsidRPr="002A2450">
        <w:rPr>
          <w:rFonts w:ascii="ITC Avant Garde" w:hAnsi="ITC Avant Garde"/>
          <w:b/>
        </w:rPr>
        <w:t xml:space="preserve"> </w:t>
      </w:r>
      <w:r w:rsidR="00A771EC" w:rsidRPr="002A2450">
        <w:rPr>
          <w:rFonts w:ascii="ITC Avant Garde" w:hAnsi="ITC Avant Garde"/>
        </w:rPr>
        <w:t xml:space="preserve">se </w:t>
      </w:r>
      <w:r w:rsidR="00CC2F3E" w:rsidRPr="002A2450">
        <w:rPr>
          <w:rFonts w:ascii="ITC Avant Garde" w:hAnsi="ITC Avant Garde"/>
        </w:rPr>
        <w:t xml:space="preserve">requirió </w:t>
      </w:r>
      <w:r w:rsidR="00A771EC" w:rsidRPr="002A2450">
        <w:rPr>
          <w:rFonts w:ascii="ITC Avant Garde" w:hAnsi="ITC Avant Garde"/>
        </w:rPr>
        <w:t>a la Unidad de Política Regulatoria y a la Unidad de Competencia Económica</w:t>
      </w:r>
      <w:r w:rsidRPr="002A2450">
        <w:rPr>
          <w:rFonts w:ascii="ITC Avant Garde" w:hAnsi="ITC Avant Garde"/>
        </w:rPr>
        <w:t>,</w:t>
      </w:r>
      <w:r w:rsidR="00A771EC" w:rsidRPr="002A2450">
        <w:rPr>
          <w:rFonts w:ascii="ITC Avant Garde" w:hAnsi="ITC Avant Garde"/>
        </w:rPr>
        <w:t xml:space="preserve"> respectivamente, para que nombra</w:t>
      </w:r>
      <w:r w:rsidR="008E1696" w:rsidRPr="002A2450">
        <w:rPr>
          <w:rFonts w:ascii="ITC Avant Garde" w:hAnsi="ITC Avant Garde"/>
        </w:rPr>
        <w:t>ra</w:t>
      </w:r>
      <w:r w:rsidR="00A771EC" w:rsidRPr="002A2450">
        <w:rPr>
          <w:rFonts w:ascii="ITC Avant Garde" w:hAnsi="ITC Avant Garde"/>
        </w:rPr>
        <w:t xml:space="preserve">n peritos en materia </w:t>
      </w:r>
      <w:r w:rsidR="005E506F" w:rsidRPr="002A2450">
        <w:rPr>
          <w:rFonts w:ascii="ITC Avant Garde" w:hAnsi="ITC Avant Garde"/>
        </w:rPr>
        <w:t xml:space="preserve">de Contabilidad </w:t>
      </w:r>
      <w:r w:rsidR="00A771EC" w:rsidRPr="002A2450">
        <w:rPr>
          <w:rFonts w:ascii="ITC Avant Garde" w:hAnsi="ITC Avant Garde"/>
        </w:rPr>
        <w:t xml:space="preserve">y </w:t>
      </w:r>
      <w:r w:rsidR="005E506F" w:rsidRPr="002A2450">
        <w:rPr>
          <w:rFonts w:ascii="ITC Avant Garde" w:hAnsi="ITC Avant Garde"/>
        </w:rPr>
        <w:t>en materia de Economía</w:t>
      </w:r>
      <w:r w:rsidR="00A771EC" w:rsidRPr="002A2450">
        <w:rPr>
          <w:rFonts w:ascii="ITC Avant Garde" w:hAnsi="ITC Avant Garde"/>
        </w:rPr>
        <w:t>, remitiendo los respectivos cuestionarios</w:t>
      </w:r>
      <w:r w:rsidR="008E1696" w:rsidRPr="002A2450">
        <w:rPr>
          <w:rFonts w:ascii="ITC Avant Garde" w:hAnsi="ITC Avant Garde"/>
        </w:rPr>
        <w:t xml:space="preserve">, en el entendido de que sí así lo estimaban conveniente, se adicionaran </w:t>
      </w:r>
      <w:r w:rsidR="00A771EC" w:rsidRPr="002A2450">
        <w:rPr>
          <w:rFonts w:ascii="ITC Avant Garde" w:hAnsi="ITC Avant Garde"/>
        </w:rPr>
        <w:t xml:space="preserve">los cuestionarios ofrecidos como probanza por parte de </w:t>
      </w:r>
      <w:r w:rsidR="00A771EC" w:rsidRPr="002A2450">
        <w:rPr>
          <w:rFonts w:ascii="ITC Avant Garde" w:eastAsia="Times New Roman" w:hAnsi="ITC Avant Garde"/>
          <w:b/>
          <w:bCs/>
          <w:color w:val="000000"/>
          <w:lang w:eastAsia="es-MX"/>
        </w:rPr>
        <w:t>“TELMEX”</w:t>
      </w:r>
      <w:r w:rsidR="00A771EC" w:rsidRPr="002A2450">
        <w:rPr>
          <w:rFonts w:ascii="ITC Avant Garde" w:eastAsia="Times New Roman" w:hAnsi="ITC Avant Garde"/>
          <w:bCs/>
          <w:color w:val="000000"/>
          <w:lang w:eastAsia="es-MX"/>
        </w:rPr>
        <w:t>.</w:t>
      </w:r>
    </w:p>
    <w:p w14:paraId="08E5F3C4" w14:textId="77777777" w:rsidR="00B35F13" w:rsidRDefault="00DB12E0" w:rsidP="00B35F13">
      <w:pPr>
        <w:spacing w:before="240" w:line="360" w:lineRule="auto"/>
        <w:ind w:right="-1"/>
        <w:jc w:val="both"/>
        <w:rPr>
          <w:rFonts w:ascii="ITC Avant Garde" w:eastAsia="Times New Roman" w:hAnsi="ITC Avant Garde"/>
          <w:b/>
          <w:bCs/>
          <w:color w:val="000000"/>
          <w:lang w:eastAsia="es-MX"/>
        </w:rPr>
      </w:pPr>
      <w:bookmarkStart w:id="19" w:name="_Toc477170122"/>
      <w:r w:rsidRPr="002A2450">
        <w:rPr>
          <w:rStyle w:val="Ttulo3Car"/>
          <w:rFonts w:eastAsiaTheme="minorHAnsi"/>
        </w:rPr>
        <w:t>VIGÉSIMO</w:t>
      </w:r>
      <w:bookmarkEnd w:id="19"/>
      <w:r w:rsidR="00A771EC" w:rsidRPr="002A2450">
        <w:rPr>
          <w:rFonts w:ascii="ITC Avant Garde" w:eastAsia="Times New Roman" w:hAnsi="ITC Avant Garde"/>
          <w:b/>
          <w:bCs/>
          <w:color w:val="000000"/>
          <w:lang w:eastAsia="es-MX"/>
        </w:rPr>
        <w:t xml:space="preserve">. </w:t>
      </w:r>
      <w:r w:rsidR="00A771EC" w:rsidRPr="002A2450">
        <w:rPr>
          <w:rFonts w:ascii="ITC Avant Garde" w:eastAsia="Times New Roman" w:hAnsi="ITC Avant Garde"/>
          <w:bCs/>
          <w:color w:val="000000"/>
          <w:lang w:eastAsia="es-MX"/>
        </w:rPr>
        <w:t>Por acuerdo de once de noviembre de dos mil quince, se d</w:t>
      </w:r>
      <w:r w:rsidR="00CC2F3E" w:rsidRPr="002A2450">
        <w:rPr>
          <w:rFonts w:ascii="ITC Avant Garde" w:eastAsia="Times New Roman" w:hAnsi="ITC Avant Garde"/>
          <w:bCs/>
          <w:color w:val="000000"/>
          <w:lang w:eastAsia="es-MX"/>
        </w:rPr>
        <w:t>io</w:t>
      </w:r>
      <w:r w:rsidR="00A771EC" w:rsidRPr="002A2450">
        <w:rPr>
          <w:rFonts w:ascii="ITC Avant Garde" w:eastAsia="Times New Roman" w:hAnsi="ITC Avant Garde"/>
          <w:bCs/>
          <w:color w:val="000000"/>
          <w:lang w:eastAsia="es-MX"/>
        </w:rPr>
        <w:t xml:space="preserve"> </w:t>
      </w:r>
      <w:r w:rsidR="00CC2F3E" w:rsidRPr="002A2450">
        <w:rPr>
          <w:rFonts w:ascii="ITC Avant Garde" w:eastAsia="Times New Roman" w:hAnsi="ITC Avant Garde"/>
          <w:bCs/>
          <w:color w:val="000000"/>
          <w:lang w:eastAsia="es-MX"/>
        </w:rPr>
        <w:t xml:space="preserve">cuenta de las copias certificadas de los oficios </w:t>
      </w:r>
      <w:r w:rsidR="00CC2F3E" w:rsidRPr="002A2450">
        <w:rPr>
          <w:rFonts w:ascii="ITC Avant Garde" w:eastAsia="Times New Roman" w:hAnsi="ITC Avant Garde"/>
          <w:b/>
          <w:bCs/>
          <w:color w:val="000000"/>
          <w:lang w:eastAsia="es-MX"/>
        </w:rPr>
        <w:t>IFT/225/UC/2299/2015</w:t>
      </w:r>
      <w:r w:rsidR="00CC2F3E" w:rsidRPr="002A2450">
        <w:rPr>
          <w:rFonts w:ascii="ITC Avant Garde" w:eastAsia="Times New Roman" w:hAnsi="ITC Avant Garde"/>
          <w:bCs/>
          <w:color w:val="000000"/>
          <w:lang w:eastAsia="es-MX"/>
        </w:rPr>
        <w:t xml:space="preserve"> e </w:t>
      </w:r>
      <w:r w:rsidR="00CC2F3E" w:rsidRPr="002A2450">
        <w:rPr>
          <w:rFonts w:ascii="ITC Avant Garde" w:eastAsia="Times New Roman" w:hAnsi="ITC Avant Garde"/>
          <w:b/>
          <w:bCs/>
          <w:color w:val="000000"/>
          <w:lang w:eastAsia="es-MX"/>
        </w:rPr>
        <w:t>IFT/225/UC/2300/2015</w:t>
      </w:r>
      <w:r w:rsidR="00CC2F3E" w:rsidRPr="002A2450">
        <w:rPr>
          <w:rFonts w:ascii="ITC Avant Garde" w:eastAsia="Times New Roman" w:hAnsi="ITC Avant Garde"/>
          <w:bCs/>
          <w:color w:val="000000"/>
          <w:lang w:eastAsia="es-MX"/>
        </w:rPr>
        <w:t xml:space="preserve">, ambos de catorce de octubre de dos mil quince, mediante los cuales el Titular de la Unidad de Cumplimiento, en preparación a las pruebas marcadas con los numerales “3” y “8”del escrito de manifestaciones y pruebas presentado por </w:t>
      </w:r>
      <w:r w:rsidR="00CC2F3E" w:rsidRPr="002A2450">
        <w:rPr>
          <w:rFonts w:ascii="ITC Avant Garde" w:eastAsia="Times New Roman" w:hAnsi="ITC Avant Garde"/>
          <w:b/>
          <w:bCs/>
          <w:color w:val="000000"/>
          <w:lang w:eastAsia="es-MX"/>
        </w:rPr>
        <w:t xml:space="preserve">“TELMEX”, </w:t>
      </w:r>
      <w:r w:rsidR="00CC2F3E" w:rsidRPr="002A2450">
        <w:rPr>
          <w:rFonts w:ascii="ITC Avant Garde" w:eastAsia="Times New Roman" w:hAnsi="ITC Avant Garde"/>
          <w:bCs/>
          <w:color w:val="000000"/>
          <w:lang w:eastAsia="es-MX"/>
        </w:rPr>
        <w:t>requirió</w:t>
      </w:r>
      <w:r w:rsidR="00CC2F3E" w:rsidRPr="002A2450">
        <w:rPr>
          <w:rFonts w:ascii="ITC Avant Garde" w:eastAsia="Times New Roman" w:hAnsi="ITC Avant Garde"/>
          <w:b/>
          <w:bCs/>
          <w:color w:val="000000"/>
          <w:lang w:eastAsia="es-MX"/>
        </w:rPr>
        <w:t xml:space="preserve"> </w:t>
      </w:r>
      <w:r w:rsidR="00CC2F3E" w:rsidRPr="002A2450">
        <w:rPr>
          <w:rFonts w:ascii="ITC Avant Garde" w:eastAsia="Times New Roman" w:hAnsi="ITC Avant Garde"/>
          <w:bCs/>
          <w:color w:val="000000"/>
          <w:lang w:eastAsia="es-MX"/>
        </w:rPr>
        <w:t>a la Subsecretaría de Comunicaciones y Transportes de la Secretaría de Comunicaciones y Transportes</w:t>
      </w:r>
      <w:r w:rsidR="00510484" w:rsidRPr="002A2450">
        <w:rPr>
          <w:rFonts w:ascii="ITC Avant Garde" w:eastAsia="Times New Roman" w:hAnsi="ITC Avant Garde"/>
          <w:bCs/>
          <w:color w:val="000000"/>
          <w:lang w:eastAsia="es-MX"/>
        </w:rPr>
        <w:t xml:space="preserve"> y al Secretario Técnico de la hoy Comisión Federal de Competencia Económica,</w:t>
      </w:r>
      <w:r w:rsidR="00CC2F3E" w:rsidRPr="002A2450">
        <w:rPr>
          <w:rFonts w:ascii="ITC Avant Garde" w:eastAsia="Times New Roman" w:hAnsi="ITC Avant Garde"/>
          <w:bCs/>
          <w:color w:val="000000"/>
          <w:lang w:eastAsia="es-MX"/>
        </w:rPr>
        <w:t xml:space="preserve"> copia certificada del oficio 2.1210 de doce de junio de mil novecientos noventa y cinco, </w:t>
      </w:r>
      <w:r w:rsidR="00510484" w:rsidRPr="002A2450">
        <w:rPr>
          <w:rFonts w:ascii="ITC Avant Garde" w:eastAsia="Times New Roman" w:hAnsi="ITC Avant Garde"/>
          <w:bCs/>
          <w:color w:val="000000"/>
          <w:lang w:eastAsia="es-MX"/>
        </w:rPr>
        <w:t>emitido por la entonces Subsecretaría de Comunicaciones y Desarrollo Tec</w:t>
      </w:r>
      <w:r w:rsidRPr="002A2450">
        <w:rPr>
          <w:rFonts w:ascii="ITC Avant Garde" w:eastAsia="Times New Roman" w:hAnsi="ITC Avant Garde"/>
          <w:bCs/>
          <w:color w:val="000000"/>
          <w:lang w:eastAsia="es-MX"/>
        </w:rPr>
        <w:t>nológico de esa Secretaría</w:t>
      </w:r>
      <w:r w:rsidR="002079AB"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asimismo, se dio cuenta </w:t>
      </w:r>
      <w:r w:rsidR="00510484" w:rsidRPr="002A2450">
        <w:rPr>
          <w:rFonts w:ascii="ITC Avant Garde" w:eastAsia="Times New Roman" w:hAnsi="ITC Avant Garde"/>
          <w:bCs/>
          <w:color w:val="000000"/>
          <w:lang w:eastAsia="es-MX"/>
        </w:rPr>
        <w:t xml:space="preserve">del oficio </w:t>
      </w:r>
      <w:r w:rsidR="00CC2F3E" w:rsidRPr="002A2450">
        <w:rPr>
          <w:rFonts w:ascii="ITC Avant Garde" w:eastAsia="Times New Roman" w:hAnsi="ITC Avant Garde"/>
          <w:b/>
          <w:bCs/>
          <w:color w:val="000000"/>
          <w:lang w:eastAsia="es-MX"/>
        </w:rPr>
        <w:t>ST-CFCE-2015-304</w:t>
      </w:r>
      <w:r w:rsidR="00CC2F3E" w:rsidRPr="002A2450">
        <w:rPr>
          <w:rFonts w:ascii="ITC Avant Garde" w:eastAsia="Times New Roman" w:hAnsi="ITC Avant Garde"/>
          <w:bCs/>
          <w:color w:val="000000"/>
          <w:lang w:eastAsia="es-MX"/>
        </w:rPr>
        <w:t xml:space="preserve"> de veintiocho de octubre de dos mil quince, emitido por el Secretario Técnico de </w:t>
      </w:r>
      <w:r w:rsidR="00510484" w:rsidRPr="002A2450">
        <w:rPr>
          <w:rFonts w:ascii="ITC Avant Garde" w:eastAsia="Times New Roman" w:hAnsi="ITC Avant Garde"/>
          <w:bCs/>
          <w:color w:val="000000"/>
          <w:lang w:eastAsia="es-MX"/>
        </w:rPr>
        <w:t xml:space="preserve">la </w:t>
      </w:r>
      <w:r w:rsidR="00CC2F3E" w:rsidRPr="002A2450">
        <w:rPr>
          <w:rFonts w:ascii="ITC Avant Garde" w:eastAsia="Times New Roman" w:hAnsi="ITC Avant Garde"/>
          <w:bCs/>
          <w:color w:val="000000"/>
          <w:lang w:eastAsia="es-MX"/>
        </w:rPr>
        <w:t>Comisión</w:t>
      </w:r>
      <w:r w:rsidR="00510484" w:rsidRPr="002A2450">
        <w:rPr>
          <w:rFonts w:ascii="ITC Avant Garde" w:eastAsia="Times New Roman" w:hAnsi="ITC Avant Garde"/>
          <w:bCs/>
          <w:color w:val="000000"/>
          <w:lang w:eastAsia="es-MX"/>
        </w:rPr>
        <w:t xml:space="preserve"> Federal de Competencia Económica, y finalmente </w:t>
      </w:r>
      <w:r w:rsidRPr="002A2450">
        <w:rPr>
          <w:rFonts w:ascii="ITC Avant Garde" w:eastAsia="Times New Roman" w:hAnsi="ITC Avant Garde"/>
          <w:bCs/>
          <w:color w:val="000000"/>
          <w:lang w:eastAsia="es-MX"/>
        </w:rPr>
        <w:t xml:space="preserve">se dio cuenta </w:t>
      </w:r>
      <w:r w:rsidR="00510484" w:rsidRPr="002A2450">
        <w:rPr>
          <w:rFonts w:ascii="ITC Avant Garde" w:eastAsia="Times New Roman" w:hAnsi="ITC Avant Garde"/>
          <w:bCs/>
          <w:color w:val="000000"/>
          <w:lang w:eastAsia="es-MX"/>
        </w:rPr>
        <w:t xml:space="preserve">del oficio </w:t>
      </w:r>
      <w:r w:rsidR="00510484" w:rsidRPr="002A2450">
        <w:rPr>
          <w:rFonts w:ascii="ITC Avant Garde" w:eastAsia="Times New Roman" w:hAnsi="ITC Avant Garde"/>
          <w:b/>
          <w:bCs/>
          <w:color w:val="000000"/>
          <w:lang w:eastAsia="es-MX"/>
        </w:rPr>
        <w:t>IFT/226/UCE/465/2015</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emitido por la Titular de la Unidad de Competencia Económica de este </w:t>
      </w:r>
      <w:r w:rsidRPr="002A2450">
        <w:rPr>
          <w:rFonts w:ascii="ITC Avant Garde" w:eastAsia="Times New Roman" w:hAnsi="ITC Avant Garde"/>
          <w:b/>
          <w:bCs/>
          <w:color w:val="000000"/>
          <w:lang w:eastAsia="es-MX"/>
        </w:rPr>
        <w:t>“Instituto”.</w:t>
      </w:r>
    </w:p>
    <w:p w14:paraId="1283E8BA" w14:textId="77777777" w:rsidR="006C67B3" w:rsidRDefault="00510484" w:rsidP="00B35F13">
      <w:pPr>
        <w:spacing w:before="240" w:line="360" w:lineRule="auto"/>
        <w:ind w:right="-1"/>
        <w:jc w:val="both"/>
        <w:rPr>
          <w:rFonts w:ascii="ITC Avant Garde" w:hAnsi="ITC Avant Garde"/>
        </w:rPr>
        <w:sectPr w:rsidR="006C67B3" w:rsidSect="009F3771">
          <w:headerReference w:type="default" r:id="rId14"/>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Al respecto, considerando que mediante el oficio </w:t>
      </w:r>
      <w:r w:rsidRPr="002A2450">
        <w:rPr>
          <w:rFonts w:ascii="ITC Avant Garde" w:eastAsia="Times New Roman" w:hAnsi="ITC Avant Garde"/>
          <w:b/>
          <w:bCs/>
          <w:color w:val="000000"/>
          <w:lang w:eastAsia="es-MX"/>
        </w:rPr>
        <w:t>ST-CFCE-2015-304</w:t>
      </w:r>
      <w:r w:rsidRPr="002A2450">
        <w:rPr>
          <w:rFonts w:ascii="ITC Avant Garde" w:eastAsia="Times New Roman" w:hAnsi="ITC Avant Garde"/>
          <w:bCs/>
          <w:color w:val="000000"/>
          <w:lang w:eastAsia="es-MX"/>
        </w:rPr>
        <w:t xml:space="preserve"> de veintiocho de octubre de dos mil quince el Secretario Técnico de la Comisión Federal de Competencia Económica</w:t>
      </w:r>
      <w:r w:rsidR="002079AB"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informó que las constancias relativas al expediente </w:t>
      </w:r>
      <w:r w:rsidRPr="002A2450">
        <w:rPr>
          <w:rFonts w:ascii="ITC Avant Garde" w:eastAsia="Times New Roman" w:hAnsi="ITC Avant Garde"/>
          <w:b/>
          <w:bCs/>
          <w:color w:val="000000"/>
          <w:lang w:eastAsia="es-MX"/>
        </w:rPr>
        <w:t>CNT-008-1995</w:t>
      </w:r>
      <w:r w:rsidRPr="002A2450">
        <w:rPr>
          <w:rFonts w:ascii="ITC Avant Garde" w:eastAsia="Times New Roman" w:hAnsi="ITC Avant Garde"/>
          <w:bCs/>
          <w:color w:val="000000"/>
          <w:lang w:eastAsia="es-MX"/>
        </w:rPr>
        <w:t xml:space="preserve"> fueron remitidas a la Unidad de Competencia Económica de este </w:t>
      </w:r>
      <w:r w:rsidRPr="002A2450">
        <w:rPr>
          <w:rFonts w:ascii="ITC Avant Garde" w:eastAsia="Times New Roman" w:hAnsi="ITC Avant Garde"/>
          <w:b/>
          <w:bCs/>
          <w:color w:val="000000"/>
          <w:lang w:eastAsia="es-MX"/>
        </w:rPr>
        <w:t>“Instituto”</w:t>
      </w:r>
      <w:r w:rsidR="00C00854" w:rsidRPr="002A2450">
        <w:rPr>
          <w:rFonts w:ascii="ITC Avant Garde" w:eastAsia="Times New Roman" w:hAnsi="ITC Avant Garde"/>
          <w:b/>
          <w:bCs/>
          <w:color w:val="000000"/>
          <w:lang w:eastAsia="es-MX"/>
        </w:rPr>
        <w:t>,</w:t>
      </w:r>
      <w:r w:rsidRPr="002A2450">
        <w:rPr>
          <w:rFonts w:ascii="ITC Avant Garde" w:hAnsi="ITC Avant Garde"/>
        </w:rPr>
        <w:t xml:space="preserve"> </w:t>
      </w:r>
      <w:r w:rsidR="00C531B9" w:rsidRPr="002A2450">
        <w:rPr>
          <w:rFonts w:ascii="ITC Avant Garde" w:hAnsi="ITC Avant Garde"/>
        </w:rPr>
        <w:t xml:space="preserve">por lo que </w:t>
      </w:r>
      <w:r w:rsidRPr="002A2450">
        <w:rPr>
          <w:rFonts w:ascii="ITC Avant Garde" w:hAnsi="ITC Avant Garde"/>
        </w:rPr>
        <w:t xml:space="preserve">se ordenó requerir a dicha Unidad copia certificada de los siguientes documentos: i) oficio 107.350 de veintitrés de junio de mil novecientos noventa y cinco, ii) resolución emitida por el Pleno de la entonces Comisión Federal de Competencia de quince de junio de mil novecientos noventa y cinco, dentro </w:t>
      </w:r>
    </w:p>
    <w:p w14:paraId="453C6353" w14:textId="5A21E93B" w:rsidR="00B35F13" w:rsidRDefault="00510484" w:rsidP="00B35F13">
      <w:pPr>
        <w:spacing w:before="240" w:line="360" w:lineRule="auto"/>
        <w:ind w:right="-1"/>
        <w:jc w:val="both"/>
        <w:rPr>
          <w:rFonts w:ascii="ITC Avant Garde" w:eastAsia="Times New Roman" w:hAnsi="ITC Avant Garde"/>
          <w:bCs/>
          <w:color w:val="000000"/>
          <w:lang w:eastAsia="es-MX"/>
        </w:rPr>
      </w:pPr>
      <w:r w:rsidRPr="002A2450">
        <w:rPr>
          <w:rFonts w:ascii="ITC Avant Garde" w:hAnsi="ITC Avant Garde"/>
        </w:rPr>
        <w:lastRenderedPageBreak/>
        <w:t xml:space="preserve">del expediente de concentración CNT-08-95; iii) oficio 2.-1210 de doce de junio de mil novecientos noventa y cinco, y iv) certificado provisional 003 de veintitrés de junio de mil novecientos noventa y cinco, </w:t>
      </w:r>
      <w:r w:rsidRPr="002A2450">
        <w:rPr>
          <w:rFonts w:ascii="ITC Avant Garde" w:eastAsia="Times New Roman" w:hAnsi="ITC Avant Garde"/>
          <w:bCs/>
          <w:color w:val="000000"/>
          <w:lang w:eastAsia="es-MX"/>
        </w:rPr>
        <w:t>toda vez que dichas documentales fueron ofrecidas como prueba dentro del procedimiento en que se actúa.</w:t>
      </w:r>
    </w:p>
    <w:p w14:paraId="01C1ED12" w14:textId="77777777" w:rsidR="00B35F13" w:rsidRDefault="00510484" w:rsidP="00B35F13">
      <w:pPr>
        <w:spacing w:before="240" w:line="360" w:lineRule="auto"/>
        <w:ind w:right="-1"/>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Asimismo, se tuvo por integrado al expediente en que se actúa, las copias certificadas de los oficios </w:t>
      </w:r>
      <w:r w:rsidRPr="002A2450">
        <w:rPr>
          <w:rFonts w:ascii="ITC Avant Garde" w:eastAsia="Times New Roman" w:hAnsi="ITC Avant Garde"/>
          <w:b/>
          <w:bCs/>
          <w:color w:val="000000"/>
          <w:lang w:eastAsia="es-MX"/>
        </w:rPr>
        <w:t>IFT/225/UC/2299/2015</w:t>
      </w:r>
      <w:r w:rsidRPr="002A2450">
        <w:rPr>
          <w:rFonts w:ascii="ITC Avant Garde" w:eastAsia="Times New Roman" w:hAnsi="ITC Avant Garde"/>
          <w:bCs/>
          <w:color w:val="000000"/>
          <w:lang w:eastAsia="es-MX"/>
        </w:rPr>
        <w:t xml:space="preserve"> e </w:t>
      </w:r>
      <w:r w:rsidRPr="002A2450">
        <w:rPr>
          <w:rFonts w:ascii="ITC Avant Garde" w:eastAsia="Times New Roman" w:hAnsi="ITC Avant Garde"/>
          <w:b/>
          <w:bCs/>
          <w:color w:val="000000"/>
          <w:lang w:eastAsia="es-MX"/>
        </w:rPr>
        <w:t>IFT/225/UC/2300/2015</w:t>
      </w:r>
      <w:r w:rsidR="00DD1EEC" w:rsidRPr="002A2450">
        <w:rPr>
          <w:rFonts w:ascii="ITC Avant Garde" w:eastAsia="Times New Roman" w:hAnsi="ITC Avant Garde"/>
          <w:bCs/>
          <w:color w:val="000000"/>
          <w:lang w:eastAsia="es-MX"/>
        </w:rPr>
        <w:t xml:space="preserve"> emitidos por el Titular de la Unidad de Cumplimiento</w:t>
      </w:r>
      <w:r w:rsidRPr="002A2450">
        <w:rPr>
          <w:rFonts w:ascii="ITC Avant Garde" w:eastAsia="Times New Roman" w:hAnsi="ITC Avant Garde"/>
          <w:bCs/>
          <w:color w:val="000000"/>
          <w:lang w:eastAsia="es-MX"/>
        </w:rPr>
        <w:t xml:space="preserve">, así como del oficio 2.-1210 de doce de junio de mil novecientos noventa y cinco, emitido por el entonces Subsecretario de Comunicaciones y Desarrollo Tecnológico de la Secretaría </w:t>
      </w:r>
      <w:r w:rsidR="00DB12E0" w:rsidRPr="002A2450">
        <w:rPr>
          <w:rFonts w:ascii="ITC Avant Garde" w:eastAsia="Times New Roman" w:hAnsi="ITC Avant Garde"/>
          <w:bCs/>
          <w:color w:val="000000"/>
          <w:lang w:eastAsia="es-MX"/>
        </w:rPr>
        <w:t>de Comunicaciones y Transportes.</w:t>
      </w:r>
    </w:p>
    <w:p w14:paraId="09DEDEC6" w14:textId="77777777" w:rsidR="006C67B3" w:rsidRDefault="00DB12E0" w:rsidP="00B35F13">
      <w:pPr>
        <w:spacing w:before="240" w:line="360" w:lineRule="auto"/>
        <w:ind w:right="-1"/>
        <w:jc w:val="both"/>
        <w:rPr>
          <w:rFonts w:ascii="ITC Avant Garde" w:eastAsia="Times New Roman" w:hAnsi="ITC Avant Garde"/>
          <w:bCs/>
          <w:color w:val="000000"/>
          <w:lang w:eastAsia="es-MX"/>
        </w:rPr>
        <w:sectPr w:rsidR="006C67B3" w:rsidSect="009F3771">
          <w:headerReference w:type="default" r:id="rId15"/>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Finalmente, por lo que hace</w:t>
      </w:r>
      <w:r w:rsidR="00DD1EEC" w:rsidRPr="002A2450">
        <w:rPr>
          <w:rFonts w:ascii="ITC Avant Garde" w:eastAsia="Times New Roman" w:hAnsi="ITC Avant Garde"/>
          <w:bCs/>
          <w:color w:val="000000"/>
          <w:lang w:eastAsia="es-MX"/>
        </w:rPr>
        <w:t xml:space="preserve"> al oficio </w:t>
      </w:r>
      <w:r w:rsidRPr="002A2450">
        <w:rPr>
          <w:rFonts w:ascii="ITC Avant Garde" w:eastAsia="Times New Roman" w:hAnsi="ITC Avant Garde"/>
          <w:b/>
          <w:bCs/>
          <w:color w:val="000000"/>
          <w:lang w:eastAsia="es-MX"/>
        </w:rPr>
        <w:t xml:space="preserve">IFT/226/UCE/465/2015 </w:t>
      </w:r>
      <w:r w:rsidRPr="002A2450">
        <w:rPr>
          <w:rFonts w:ascii="ITC Avant Garde" w:eastAsia="Times New Roman" w:hAnsi="ITC Avant Garde"/>
          <w:bCs/>
          <w:color w:val="000000"/>
          <w:lang w:eastAsia="es-MX"/>
        </w:rPr>
        <w:t xml:space="preserve">de nueve de noviembre de dos mil quince, emitido por la Titular de la Unidad de Competencia Económica de este </w:t>
      </w:r>
      <w:r w:rsidRPr="002A2450">
        <w:rPr>
          <w:rFonts w:ascii="ITC Avant Garde" w:eastAsia="Times New Roman" w:hAnsi="ITC Avant Garde"/>
          <w:b/>
          <w:bCs/>
          <w:color w:val="000000"/>
          <w:lang w:eastAsia="es-MX"/>
        </w:rPr>
        <w:t>“Instituto”</w:t>
      </w:r>
      <w:r w:rsidR="002079AB"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se tuvo </w:t>
      </w:r>
      <w:r w:rsidR="00A771EC" w:rsidRPr="002A2450">
        <w:rPr>
          <w:rFonts w:ascii="ITC Avant Garde" w:eastAsia="Times New Roman" w:hAnsi="ITC Avant Garde"/>
          <w:bCs/>
          <w:color w:val="000000"/>
          <w:lang w:eastAsia="es-MX"/>
        </w:rPr>
        <w:t xml:space="preserve">por designado al perito </w:t>
      </w:r>
      <w:r w:rsidR="00C00854" w:rsidRPr="002A2450">
        <w:rPr>
          <w:rFonts w:ascii="ITC Avant Garde" w:eastAsia="Times New Roman" w:hAnsi="ITC Avant Garde"/>
          <w:b/>
          <w:bCs/>
          <w:color w:val="000000"/>
          <w:lang w:eastAsia="es-MX"/>
        </w:rPr>
        <w:t>RAFAEL NAVARRO ACEVES</w:t>
      </w:r>
      <w:r w:rsidR="00C00854"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 xml:space="preserve">con número de </w:t>
      </w:r>
      <w:r w:rsidR="00BD1D1D" w:rsidRPr="002A2450">
        <w:rPr>
          <w:rFonts w:ascii="ITC Avant Garde" w:eastAsia="Times New Roman" w:hAnsi="ITC Avant Garde"/>
          <w:bCs/>
          <w:color w:val="000000"/>
          <w:lang w:eastAsia="es-MX"/>
        </w:rPr>
        <w:t>cédula</w:t>
      </w:r>
      <w:r w:rsidR="00A771EC" w:rsidRPr="002A2450">
        <w:rPr>
          <w:rFonts w:ascii="ITC Avant Garde" w:eastAsia="Times New Roman" w:hAnsi="ITC Avant Garde"/>
          <w:bCs/>
          <w:color w:val="000000"/>
          <w:lang w:eastAsia="es-MX"/>
        </w:rPr>
        <w:t xml:space="preserve"> profesional 7162951 expedida por la Dirección General de Profesiones de la Secretaría de Educación Pública, para el desahogo de</w:t>
      </w:r>
      <w:r w:rsidRPr="002A2450">
        <w:rPr>
          <w:rFonts w:ascii="ITC Avant Garde" w:eastAsia="Times New Roman" w:hAnsi="ITC Avant Garde"/>
          <w:bCs/>
          <w:color w:val="000000"/>
          <w:lang w:eastAsia="es-MX"/>
        </w:rPr>
        <w:t xml:space="preserve"> la prueba pericial </w:t>
      </w:r>
      <w:r w:rsidR="00A771EC" w:rsidRPr="002A2450">
        <w:rPr>
          <w:rFonts w:ascii="ITC Avant Garde" w:eastAsia="Times New Roman" w:hAnsi="ITC Avant Garde"/>
          <w:bCs/>
          <w:color w:val="000000"/>
          <w:lang w:eastAsia="es-MX"/>
        </w:rPr>
        <w:t xml:space="preserve">en materia de economía </w:t>
      </w:r>
      <w:r w:rsidR="00DD1EEC" w:rsidRPr="002A2450">
        <w:rPr>
          <w:rFonts w:ascii="ITC Avant Garde" w:eastAsia="Times New Roman" w:hAnsi="ITC Avant Garde"/>
          <w:bCs/>
          <w:color w:val="000000"/>
          <w:lang w:eastAsia="es-MX"/>
        </w:rPr>
        <w:t xml:space="preserve">por parte de este </w:t>
      </w:r>
      <w:r w:rsidR="00DD1EEC" w:rsidRPr="002A2450">
        <w:rPr>
          <w:rFonts w:ascii="ITC Avant Garde" w:eastAsia="Times New Roman" w:hAnsi="ITC Avant Garde"/>
          <w:b/>
          <w:bCs/>
          <w:color w:val="000000"/>
          <w:lang w:eastAsia="es-MX"/>
        </w:rPr>
        <w:t xml:space="preserve">“Instituto” </w:t>
      </w:r>
      <w:r w:rsidR="00A771EC" w:rsidRPr="002A2450">
        <w:rPr>
          <w:rFonts w:ascii="ITC Avant Garde" w:eastAsia="Times New Roman" w:hAnsi="ITC Avant Garde"/>
          <w:bCs/>
          <w:color w:val="000000"/>
          <w:lang w:eastAsia="es-MX"/>
        </w:rPr>
        <w:t xml:space="preserve">y al </w:t>
      </w:r>
      <w:r w:rsidR="00074C39" w:rsidRPr="005E1F62">
        <w:rPr>
          <w:rFonts w:ascii="ITC Avant Garde" w:eastAsiaTheme="majorEastAsia" w:hAnsi="ITC Avant Garde" w:cstheme="majorBidi"/>
          <w:b/>
          <w:color w:val="0000FF"/>
          <w:szCs w:val="32"/>
        </w:rPr>
        <w:t>“CONFIDENCIAL POR LEY”</w:t>
      </w:r>
      <w:r w:rsidR="00C00854"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 xml:space="preserve">con número de </w:t>
      </w:r>
      <w:r w:rsidR="00BD1D1D" w:rsidRPr="002A2450">
        <w:rPr>
          <w:rFonts w:ascii="ITC Avant Garde" w:eastAsia="Times New Roman" w:hAnsi="ITC Avant Garde"/>
          <w:bCs/>
          <w:color w:val="000000"/>
          <w:lang w:eastAsia="es-MX"/>
        </w:rPr>
        <w:t>cédula</w:t>
      </w:r>
      <w:r w:rsidR="00A771EC" w:rsidRPr="002A2450">
        <w:rPr>
          <w:rFonts w:ascii="ITC Avant Garde" w:eastAsia="Times New Roman" w:hAnsi="ITC Avant Garde"/>
          <w:bCs/>
          <w:color w:val="000000"/>
          <w:lang w:eastAsia="es-MX"/>
        </w:rPr>
        <w:t xml:space="preserve"> profesional </w:t>
      </w:r>
      <w:r w:rsidR="002644B1" w:rsidRPr="005E1F62">
        <w:rPr>
          <w:rFonts w:ascii="ITC Avant Garde" w:eastAsiaTheme="majorEastAsia" w:hAnsi="ITC Avant Garde" w:cstheme="majorBidi"/>
          <w:b/>
          <w:color w:val="0000FF"/>
          <w:szCs w:val="32"/>
        </w:rPr>
        <w:t>“CONFIDENCIAL POR LEY”</w:t>
      </w:r>
      <w:r w:rsidR="00A771EC" w:rsidRPr="002A2450">
        <w:rPr>
          <w:rFonts w:ascii="ITC Avant Garde" w:eastAsia="Times New Roman" w:hAnsi="ITC Avant Garde"/>
          <w:bCs/>
          <w:color w:val="000000"/>
          <w:lang w:eastAsia="es-MX"/>
        </w:rPr>
        <w:t xml:space="preserve"> expedida por la Dirección General de Profesiones de la Secretaría de Educación Pública </w:t>
      </w:r>
      <w:r w:rsidR="002079AB" w:rsidRPr="002A2450">
        <w:rPr>
          <w:rFonts w:ascii="ITC Avant Garde" w:eastAsia="Times New Roman" w:hAnsi="ITC Avant Garde"/>
          <w:bCs/>
          <w:color w:val="000000"/>
          <w:lang w:eastAsia="es-MX"/>
        </w:rPr>
        <w:t xml:space="preserve">como perito en economía por parte de </w:t>
      </w:r>
      <w:r w:rsidR="00A771EC" w:rsidRPr="002A2450">
        <w:rPr>
          <w:rFonts w:ascii="ITC Avant Garde" w:eastAsia="Times New Roman" w:hAnsi="ITC Avant Garde"/>
          <w:b/>
          <w:bCs/>
          <w:color w:val="000000"/>
          <w:lang w:eastAsia="es-MX"/>
        </w:rPr>
        <w:t>“TELMEX”</w:t>
      </w:r>
      <w:r w:rsidR="00DD1EEC" w:rsidRPr="002A2450">
        <w:rPr>
          <w:rFonts w:ascii="ITC Avant Garde" w:eastAsia="Times New Roman" w:hAnsi="ITC Avant Garde"/>
          <w:b/>
          <w:bCs/>
          <w:color w:val="000000"/>
          <w:lang w:eastAsia="es-MX"/>
        </w:rPr>
        <w:t>;</w:t>
      </w:r>
      <w:r w:rsidR="00A771EC" w:rsidRPr="002A2450">
        <w:rPr>
          <w:rFonts w:ascii="ITC Avant Garde" w:eastAsia="Times New Roman" w:hAnsi="ITC Avant Garde"/>
          <w:bCs/>
          <w:color w:val="000000"/>
          <w:lang w:eastAsia="es-MX"/>
        </w:rPr>
        <w:t xml:space="preserve"> </w:t>
      </w:r>
      <w:r w:rsidR="002079AB" w:rsidRPr="002A2450">
        <w:rPr>
          <w:rFonts w:ascii="ITC Avant Garde" w:eastAsia="Times New Roman" w:hAnsi="ITC Avant Garde"/>
          <w:bCs/>
          <w:color w:val="000000"/>
          <w:lang w:eastAsia="es-MX"/>
        </w:rPr>
        <w:t xml:space="preserve">en tal sentido, se requirió </w:t>
      </w:r>
      <w:r w:rsidR="00A771EC" w:rsidRPr="002A2450">
        <w:rPr>
          <w:rFonts w:ascii="ITC Avant Garde" w:eastAsia="Times New Roman" w:hAnsi="ITC Avant Garde"/>
          <w:bCs/>
          <w:color w:val="000000"/>
          <w:lang w:eastAsia="es-MX"/>
        </w:rPr>
        <w:t xml:space="preserve">a </w:t>
      </w:r>
      <w:r w:rsidR="00DD1EEC" w:rsidRPr="002A2450">
        <w:rPr>
          <w:rFonts w:ascii="ITC Avant Garde" w:eastAsia="Times New Roman" w:hAnsi="ITC Avant Garde"/>
          <w:bCs/>
          <w:color w:val="000000"/>
          <w:lang w:eastAsia="es-MX"/>
        </w:rPr>
        <w:t xml:space="preserve">ambos </w:t>
      </w:r>
      <w:r w:rsidR="00A771EC" w:rsidRPr="002A2450">
        <w:rPr>
          <w:rFonts w:ascii="ITC Avant Garde" w:eastAsia="Times New Roman" w:hAnsi="ITC Avant Garde"/>
          <w:bCs/>
          <w:color w:val="000000"/>
          <w:lang w:eastAsia="es-MX"/>
        </w:rPr>
        <w:t xml:space="preserve">peritos </w:t>
      </w:r>
      <w:r w:rsidRPr="002A2450">
        <w:rPr>
          <w:rFonts w:ascii="ITC Avant Garde" w:eastAsia="Times New Roman" w:hAnsi="ITC Avant Garde"/>
          <w:bCs/>
          <w:color w:val="000000"/>
          <w:lang w:eastAsia="es-MX"/>
        </w:rPr>
        <w:t xml:space="preserve">para que manifestaran </w:t>
      </w:r>
      <w:r w:rsidR="00A771EC" w:rsidRPr="002A2450">
        <w:rPr>
          <w:rFonts w:ascii="ITC Avant Garde" w:eastAsia="Times New Roman" w:hAnsi="ITC Avant Garde"/>
          <w:bCs/>
          <w:color w:val="000000"/>
          <w:lang w:eastAsia="es-MX"/>
        </w:rPr>
        <w:t>la aceptación del cargo y protestar</w:t>
      </w:r>
      <w:r w:rsidRPr="002A2450">
        <w:rPr>
          <w:rFonts w:ascii="ITC Avant Garde" w:eastAsia="Times New Roman" w:hAnsi="ITC Avant Garde"/>
          <w:bCs/>
          <w:color w:val="000000"/>
          <w:lang w:eastAsia="es-MX"/>
        </w:rPr>
        <w:t>an</w:t>
      </w:r>
      <w:r w:rsidR="00A771EC" w:rsidRPr="002A2450">
        <w:rPr>
          <w:rFonts w:ascii="ITC Avant Garde" w:eastAsia="Times New Roman" w:hAnsi="ITC Avant Garde"/>
          <w:bCs/>
          <w:color w:val="000000"/>
          <w:lang w:eastAsia="es-MX"/>
        </w:rPr>
        <w:t xml:space="preserve"> el desempeño del mismo en un plazo de tres días hábiles contados a partir del día siguiente en que surt</w:t>
      </w:r>
      <w:r w:rsidRPr="002A2450">
        <w:rPr>
          <w:rFonts w:ascii="ITC Avant Garde" w:eastAsia="Times New Roman" w:hAnsi="ITC Avant Garde"/>
          <w:bCs/>
          <w:color w:val="000000"/>
          <w:lang w:eastAsia="es-MX"/>
        </w:rPr>
        <w:t>iera</w:t>
      </w:r>
      <w:r w:rsidR="00A771EC" w:rsidRPr="002A2450">
        <w:rPr>
          <w:rFonts w:ascii="ITC Avant Garde" w:eastAsia="Times New Roman" w:hAnsi="ITC Avant Garde"/>
          <w:bCs/>
          <w:color w:val="000000"/>
          <w:lang w:eastAsia="es-MX"/>
        </w:rPr>
        <w:t xml:space="preserve"> efectos la notificación del acuerdo</w:t>
      </w:r>
      <w:r w:rsidRPr="002A2450">
        <w:rPr>
          <w:rFonts w:ascii="ITC Avant Garde" w:eastAsia="Times New Roman" w:hAnsi="ITC Avant Garde"/>
          <w:bCs/>
          <w:color w:val="000000"/>
          <w:lang w:eastAsia="es-MX"/>
        </w:rPr>
        <w:t xml:space="preserve"> de once de noviembre de dos mil quince</w:t>
      </w:r>
      <w:r w:rsidR="00A771EC" w:rsidRPr="002A2450">
        <w:rPr>
          <w:rFonts w:ascii="ITC Avant Garde" w:eastAsia="Times New Roman" w:hAnsi="ITC Avant Garde"/>
          <w:bCs/>
          <w:color w:val="000000"/>
          <w:lang w:eastAsia="es-MX"/>
        </w:rPr>
        <w:t xml:space="preserve">, apercibiendo al perito nombrado por </w:t>
      </w:r>
      <w:r w:rsidR="00A771EC" w:rsidRPr="002A2450">
        <w:rPr>
          <w:rFonts w:ascii="ITC Avant Garde" w:eastAsia="Times New Roman" w:hAnsi="ITC Avant Garde"/>
          <w:b/>
          <w:bCs/>
          <w:color w:val="000000"/>
          <w:lang w:eastAsia="es-MX"/>
        </w:rPr>
        <w:t>“TELMEX”</w:t>
      </w:r>
      <w:r w:rsidR="00A771EC" w:rsidRPr="002A2450">
        <w:rPr>
          <w:rFonts w:ascii="ITC Avant Garde" w:eastAsia="Times New Roman" w:hAnsi="ITC Avant Garde"/>
          <w:bCs/>
          <w:color w:val="000000"/>
          <w:lang w:eastAsia="es-MX"/>
        </w:rPr>
        <w:t xml:space="preserve">, que en caso de no aceptar el encargo y </w:t>
      </w:r>
      <w:r w:rsidR="00AD226F" w:rsidRPr="002A2450">
        <w:rPr>
          <w:rFonts w:ascii="ITC Avant Garde" w:eastAsia="Times New Roman" w:hAnsi="ITC Avant Garde"/>
          <w:bCs/>
          <w:color w:val="000000"/>
          <w:lang w:eastAsia="es-MX"/>
        </w:rPr>
        <w:t xml:space="preserve">de no </w:t>
      </w:r>
      <w:r w:rsidR="00A771EC" w:rsidRPr="002A2450">
        <w:rPr>
          <w:rFonts w:ascii="ITC Avant Garde" w:eastAsia="Times New Roman" w:hAnsi="ITC Avant Garde"/>
          <w:bCs/>
          <w:color w:val="000000"/>
          <w:lang w:eastAsia="es-MX"/>
        </w:rPr>
        <w:t>acudir a ratificarlo dentro del plazo otorgado, la prueba pericial que se ofreció se desahogar</w:t>
      </w:r>
      <w:r w:rsidR="002079AB" w:rsidRPr="002A2450">
        <w:rPr>
          <w:rFonts w:ascii="ITC Avant Garde" w:eastAsia="Times New Roman" w:hAnsi="ITC Avant Garde"/>
          <w:bCs/>
          <w:color w:val="000000"/>
          <w:lang w:eastAsia="es-MX"/>
        </w:rPr>
        <w:t>ía</w:t>
      </w:r>
      <w:r w:rsidR="00A771EC" w:rsidRPr="002A2450">
        <w:rPr>
          <w:rFonts w:ascii="ITC Avant Garde" w:eastAsia="Times New Roman" w:hAnsi="ITC Avant Garde"/>
          <w:bCs/>
          <w:color w:val="000000"/>
          <w:lang w:eastAsia="es-MX"/>
        </w:rPr>
        <w:t xml:space="preserve"> conforme el dictamen que rind</w:t>
      </w:r>
      <w:r w:rsidR="00DD1EEC" w:rsidRPr="002A2450">
        <w:rPr>
          <w:rFonts w:ascii="ITC Avant Garde" w:eastAsia="Times New Roman" w:hAnsi="ITC Avant Garde"/>
          <w:bCs/>
          <w:color w:val="000000"/>
          <w:lang w:eastAsia="es-MX"/>
        </w:rPr>
        <w:t>ier</w:t>
      </w:r>
      <w:r w:rsidR="00A771EC" w:rsidRPr="002A2450">
        <w:rPr>
          <w:rFonts w:ascii="ITC Avant Garde" w:eastAsia="Times New Roman" w:hAnsi="ITC Avant Garde"/>
          <w:bCs/>
          <w:color w:val="000000"/>
          <w:lang w:eastAsia="es-MX"/>
        </w:rPr>
        <w:t>a el perito designado por esta autoridad</w:t>
      </w:r>
      <w:r w:rsidR="006C67B3">
        <w:rPr>
          <w:rFonts w:ascii="ITC Avant Garde" w:eastAsia="Times New Roman" w:hAnsi="ITC Avant Garde"/>
          <w:bCs/>
          <w:color w:val="000000"/>
          <w:lang w:eastAsia="es-MX"/>
        </w:rPr>
        <w:t>.</w:t>
      </w:r>
    </w:p>
    <w:p w14:paraId="26B82D70" w14:textId="77777777" w:rsidR="00B35F13" w:rsidRDefault="00DB12E0" w:rsidP="00B35F13">
      <w:pPr>
        <w:spacing w:before="240" w:line="360" w:lineRule="auto"/>
        <w:ind w:right="-1"/>
        <w:jc w:val="both"/>
        <w:rPr>
          <w:rFonts w:ascii="ITC Avant Garde" w:eastAsia="Times New Roman" w:hAnsi="ITC Avant Garde"/>
          <w:b/>
          <w:bCs/>
          <w:color w:val="000000"/>
          <w:lang w:eastAsia="es-MX"/>
        </w:rPr>
      </w:pPr>
      <w:bookmarkStart w:id="20" w:name="_Toc477170123"/>
      <w:r w:rsidRPr="002A2450">
        <w:rPr>
          <w:rStyle w:val="Ttulo3Car"/>
          <w:rFonts w:eastAsiaTheme="minorHAnsi"/>
        </w:rPr>
        <w:lastRenderedPageBreak/>
        <w:t>VIGÉSIMO PRIMERO</w:t>
      </w:r>
      <w:bookmarkEnd w:id="20"/>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El acuerdo</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de once de noviembre de dos mil quince, </w:t>
      </w:r>
      <w:r w:rsidR="00A771EC" w:rsidRPr="002A2450">
        <w:rPr>
          <w:rFonts w:ascii="ITC Avant Garde" w:eastAsia="Times New Roman" w:hAnsi="ITC Avant Garde"/>
          <w:bCs/>
          <w:color w:val="000000"/>
          <w:lang w:eastAsia="es-MX"/>
        </w:rPr>
        <w:t>fue notificado el trece</w:t>
      </w:r>
      <w:r w:rsidRPr="002A2450">
        <w:rPr>
          <w:rFonts w:ascii="ITC Avant Garde" w:eastAsia="Times New Roman" w:hAnsi="ITC Avant Garde"/>
          <w:bCs/>
          <w:color w:val="000000"/>
          <w:lang w:eastAsia="es-MX"/>
        </w:rPr>
        <w:t xml:space="preserve"> de noviembre siguiente tanto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como al</w:t>
      </w:r>
      <w:r w:rsidR="00C00854" w:rsidRPr="002A2450">
        <w:rPr>
          <w:rFonts w:ascii="ITC Avant Garde" w:eastAsia="Times New Roman" w:hAnsi="ITC Avant Garde"/>
          <w:bCs/>
          <w:color w:val="000000"/>
          <w:lang w:eastAsia="es-MX"/>
        </w:rPr>
        <w:t xml:space="preserve"> </w:t>
      </w:r>
      <w:r w:rsidR="002644B1" w:rsidRPr="005E1F62">
        <w:rPr>
          <w:rFonts w:ascii="ITC Avant Garde" w:eastAsiaTheme="majorEastAsia" w:hAnsi="ITC Avant Garde" w:cstheme="majorBidi"/>
          <w:b/>
          <w:color w:val="0000FF"/>
          <w:szCs w:val="32"/>
        </w:rPr>
        <w:t>“CONFIDENCIAL POR LEY”</w:t>
      </w:r>
      <w:r w:rsidRPr="002A2450">
        <w:rPr>
          <w:rFonts w:ascii="ITC Avant Garde" w:eastAsia="Times New Roman" w:hAnsi="ITC Avant Garde"/>
          <w:bCs/>
          <w:color w:val="000000"/>
          <w:lang w:eastAsia="es-MX"/>
        </w:rPr>
        <w:t xml:space="preserve">, por lo que el plazo de tres días otorgado para aceptar el cargo y protestar el desempeño del mismo, corrió del dieciséis al diecinueve de noviembre de dos mil quince, sin considerar los días catorce, quince y dieciséis de ese mes y anualidad al ser inhábil y sábado y domingo respectivamente, en términos del artículo 28 de la </w:t>
      </w:r>
      <w:r w:rsidRPr="002A2450">
        <w:rPr>
          <w:rFonts w:ascii="ITC Avant Garde" w:eastAsia="Times New Roman" w:hAnsi="ITC Avant Garde"/>
          <w:b/>
          <w:bCs/>
          <w:color w:val="000000"/>
          <w:lang w:eastAsia="es-MX"/>
        </w:rPr>
        <w:t>“LFPA”.</w:t>
      </w:r>
      <w:r w:rsidRPr="002A2450">
        <w:rPr>
          <w:rStyle w:val="Refdenotaalpie"/>
          <w:rFonts w:ascii="ITC Avant Garde" w:eastAsia="Times New Roman" w:hAnsi="ITC Avant Garde"/>
          <w:b/>
          <w:bCs/>
          <w:color w:val="000000"/>
          <w:lang w:eastAsia="es-MX"/>
        </w:rPr>
        <w:footnoteReference w:id="4"/>
      </w:r>
    </w:p>
    <w:p w14:paraId="5C2B869A" w14:textId="77777777" w:rsidR="00B35F13" w:rsidRDefault="00EA56EB" w:rsidP="00B35F13">
      <w:pPr>
        <w:spacing w:before="240" w:line="360" w:lineRule="auto"/>
        <w:ind w:right="-1"/>
        <w:jc w:val="both"/>
        <w:rPr>
          <w:rFonts w:ascii="ITC Avant Garde" w:eastAsia="Times New Roman" w:hAnsi="ITC Avant Garde"/>
          <w:bCs/>
          <w:color w:val="000000"/>
          <w:lang w:eastAsia="es-MX"/>
        </w:rPr>
      </w:pPr>
      <w:bookmarkStart w:id="21" w:name="_Toc477170124"/>
      <w:r w:rsidRPr="002A2450">
        <w:rPr>
          <w:rStyle w:val="Ttulo3Car"/>
          <w:rFonts w:eastAsiaTheme="minorHAnsi"/>
        </w:rPr>
        <w:t>VIGÉSIMO SEGUNDO</w:t>
      </w:r>
      <w:bookmarkEnd w:id="21"/>
      <w:r w:rsidR="00A771EC"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En cumplimiento al acuerdo emitido el once de noviembre de dos mil quince, mediante oficio </w:t>
      </w:r>
      <w:r w:rsidRPr="002A2450">
        <w:rPr>
          <w:rFonts w:ascii="ITC Avant Garde" w:eastAsia="Times New Roman" w:hAnsi="ITC Avant Garde"/>
          <w:b/>
          <w:bCs/>
          <w:color w:val="000000"/>
          <w:lang w:eastAsia="es-MX"/>
        </w:rPr>
        <w:t>IFT/225/UC/2476/2015</w:t>
      </w:r>
      <w:r w:rsidR="00A9715C" w:rsidRPr="002A2450">
        <w:rPr>
          <w:rFonts w:ascii="ITC Avant Garde" w:eastAsia="Times New Roman" w:hAnsi="ITC Avant Garde"/>
          <w:bCs/>
          <w:color w:val="000000"/>
          <w:lang w:eastAsia="es-MX"/>
        </w:rPr>
        <w:t>, el Titular</w:t>
      </w:r>
      <w:r w:rsidR="00B45D26" w:rsidRPr="002A2450">
        <w:rPr>
          <w:rFonts w:ascii="ITC Avant Garde" w:eastAsia="Times New Roman" w:hAnsi="ITC Avant Garde"/>
          <w:bCs/>
          <w:color w:val="000000"/>
          <w:lang w:eastAsia="es-MX"/>
        </w:rPr>
        <w:t xml:space="preserve"> de la Unidad de Cumplimiento requirió a la Titular de la Unidad de Competencia </w:t>
      </w:r>
      <w:r w:rsidR="00CA2EBF" w:rsidRPr="002A2450">
        <w:rPr>
          <w:rFonts w:ascii="ITC Avant Garde" w:eastAsia="Times New Roman" w:hAnsi="ITC Avant Garde"/>
          <w:bCs/>
          <w:color w:val="000000"/>
          <w:lang w:eastAsia="es-MX"/>
        </w:rPr>
        <w:t xml:space="preserve">Económica </w:t>
      </w:r>
      <w:r w:rsidR="00B45D26" w:rsidRPr="002A2450">
        <w:rPr>
          <w:rFonts w:ascii="ITC Avant Garde" w:hAnsi="ITC Avant Garde"/>
        </w:rPr>
        <w:t>copia certificada de los siguientes documentos: i) oficio 107.350 de veintitrés de junio de mil novecientos noventa y cinco, ii) resolución emitida por el Pleno de la entonces Comisión Federal de Competencia de quince de junio de mil novecientos noventa y cinco, dentro del expediente de concentración CNT-08-95; iii) oficio 2.-1210 de doce de junio de mil novecientos noventa y cinco, y iv) certificado provisional 003 de veintitrés de junio de mil novecientos noventa y cinco, mismo que fue recibido en dicha Unidad el trece de noviembre de esa anualidad.</w:t>
      </w:r>
    </w:p>
    <w:p w14:paraId="2F25755D" w14:textId="77777777" w:rsidR="00B35F13" w:rsidRDefault="00B45D26" w:rsidP="00B35F13">
      <w:pPr>
        <w:spacing w:before="240" w:line="360" w:lineRule="auto"/>
        <w:ind w:right="-1"/>
        <w:jc w:val="both"/>
        <w:rPr>
          <w:rFonts w:ascii="ITC Avant Garde" w:eastAsia="Times New Roman" w:hAnsi="ITC Avant Garde"/>
          <w:bCs/>
          <w:color w:val="000000"/>
          <w:lang w:eastAsia="es-MX"/>
        </w:rPr>
      </w:pPr>
      <w:bookmarkStart w:id="22" w:name="_Toc477170125"/>
      <w:r w:rsidRPr="002A2450">
        <w:rPr>
          <w:rStyle w:val="Ttulo3Car"/>
          <w:rFonts w:eastAsiaTheme="minorHAnsi"/>
        </w:rPr>
        <w:t>VIGÉSIMO TERCER</w:t>
      </w:r>
      <w:r w:rsidR="009E54DA" w:rsidRPr="002A2450">
        <w:rPr>
          <w:rStyle w:val="Ttulo3Car"/>
          <w:rFonts w:eastAsiaTheme="minorHAnsi"/>
        </w:rPr>
        <w:t>O</w:t>
      </w:r>
      <w:bookmarkEnd w:id="22"/>
      <w:r w:rsidRPr="002A2450">
        <w:rPr>
          <w:rFonts w:ascii="ITC Avant Garde" w:eastAsia="Times New Roman" w:hAnsi="ITC Avant Garde"/>
          <w:b/>
          <w:bCs/>
          <w:color w:val="000000"/>
          <w:lang w:eastAsia="es-MX"/>
        </w:rPr>
        <w:t xml:space="preserve">. </w:t>
      </w:r>
      <w:r w:rsidR="00457FBA" w:rsidRPr="002A2450">
        <w:rPr>
          <w:rFonts w:ascii="ITC Avant Garde" w:eastAsia="Times New Roman" w:hAnsi="ITC Avant Garde"/>
          <w:bCs/>
          <w:color w:val="000000"/>
          <w:lang w:eastAsia="es-MX"/>
        </w:rPr>
        <w:t xml:space="preserve">Por acuerdo de doce de noviembre de dos mil quince se dio cuenta del oficio </w:t>
      </w:r>
      <w:r w:rsidR="00457FBA" w:rsidRPr="002A2450">
        <w:rPr>
          <w:rFonts w:ascii="ITC Avant Garde" w:hAnsi="ITC Avant Garde"/>
          <w:b/>
        </w:rPr>
        <w:t xml:space="preserve">IFT/221/UPR/567/2015 </w:t>
      </w:r>
      <w:r w:rsidR="00457FBA" w:rsidRPr="002A2450">
        <w:rPr>
          <w:rFonts w:ascii="ITC Avant Garde" w:hAnsi="ITC Avant Garde"/>
        </w:rPr>
        <w:t>de nueve de noviembre de dos mil quince, por el</w:t>
      </w:r>
      <w:r w:rsidR="00C00854" w:rsidRPr="002A2450">
        <w:rPr>
          <w:rFonts w:ascii="ITC Avant Garde" w:hAnsi="ITC Avant Garde"/>
        </w:rPr>
        <w:t xml:space="preserve"> que el</w:t>
      </w:r>
      <w:r w:rsidR="00457FBA" w:rsidRPr="002A2450">
        <w:rPr>
          <w:rFonts w:ascii="ITC Avant Garde" w:hAnsi="ITC Avant Garde"/>
        </w:rPr>
        <w:t xml:space="preserve"> Titular de la Unidad de Política Regulatoria en desahogo del requerimiento formulado por el Titular de la Unidad de Cumplimiento mediante oficio </w:t>
      </w:r>
      <w:r w:rsidR="00457FBA" w:rsidRPr="002A2450">
        <w:rPr>
          <w:rFonts w:ascii="ITC Avant Garde" w:hAnsi="ITC Avant Garde"/>
          <w:b/>
        </w:rPr>
        <w:t xml:space="preserve">IFT/225/UC/2419/2015, </w:t>
      </w:r>
      <w:r w:rsidR="00457FBA" w:rsidRPr="002A2450">
        <w:rPr>
          <w:rFonts w:ascii="ITC Avant Garde" w:hAnsi="ITC Avant Garde"/>
        </w:rPr>
        <w:t>informó que no c</w:t>
      </w:r>
      <w:r w:rsidR="00AD226F" w:rsidRPr="002A2450">
        <w:rPr>
          <w:rFonts w:ascii="ITC Avant Garde" w:hAnsi="ITC Avant Garde"/>
        </w:rPr>
        <w:t>ontaba</w:t>
      </w:r>
      <w:r w:rsidR="00457FBA" w:rsidRPr="002A2450">
        <w:rPr>
          <w:rFonts w:ascii="ITC Avant Garde" w:hAnsi="ITC Avant Garde"/>
        </w:rPr>
        <w:t xml:space="preserve"> con Contador Público que tenga los conocimientos técnicos requeridos que permitan desahogar la prueba pericial en materia contable ofrecida por </w:t>
      </w:r>
      <w:r w:rsidR="00457FBA" w:rsidRPr="002A2450">
        <w:rPr>
          <w:rFonts w:ascii="ITC Avant Garde" w:eastAsia="Times New Roman" w:hAnsi="ITC Avant Garde"/>
          <w:b/>
          <w:bCs/>
          <w:color w:val="000000"/>
          <w:lang w:eastAsia="es-MX"/>
        </w:rPr>
        <w:t>“TELMEX”</w:t>
      </w:r>
      <w:r w:rsidR="00AD226F" w:rsidRPr="002A2450">
        <w:rPr>
          <w:rFonts w:ascii="ITC Avant Garde" w:eastAsia="Times New Roman" w:hAnsi="ITC Avant Garde"/>
          <w:b/>
          <w:bCs/>
          <w:color w:val="000000"/>
          <w:lang w:eastAsia="es-MX"/>
        </w:rPr>
        <w:t>,</w:t>
      </w:r>
      <w:r w:rsidR="00457FBA" w:rsidRPr="002A2450">
        <w:rPr>
          <w:rFonts w:ascii="ITC Avant Garde" w:eastAsia="Times New Roman" w:hAnsi="ITC Avant Garde"/>
          <w:bCs/>
          <w:color w:val="000000"/>
          <w:lang w:eastAsia="es-MX"/>
        </w:rPr>
        <w:t xml:space="preserve"> por lo que se ordenó girar oficio </w:t>
      </w:r>
      <w:r w:rsidR="00457FBA" w:rsidRPr="002A2450">
        <w:rPr>
          <w:rFonts w:ascii="ITC Avant Garde" w:eastAsia="Times New Roman" w:hAnsi="ITC Avant Garde"/>
          <w:bCs/>
          <w:color w:val="000000"/>
          <w:lang w:eastAsia="es-MX"/>
        </w:rPr>
        <w:lastRenderedPageBreak/>
        <w:t xml:space="preserve">al Titular de la Unidad de Administración de este </w:t>
      </w:r>
      <w:r w:rsidR="00457FBA" w:rsidRPr="002A2450">
        <w:rPr>
          <w:rFonts w:ascii="ITC Avant Garde" w:eastAsia="Times New Roman" w:hAnsi="ITC Avant Garde"/>
          <w:b/>
          <w:bCs/>
          <w:color w:val="000000"/>
          <w:lang w:eastAsia="es-MX"/>
        </w:rPr>
        <w:t>“IFT”</w:t>
      </w:r>
      <w:r w:rsidR="00457FBA" w:rsidRPr="002A2450">
        <w:rPr>
          <w:rFonts w:ascii="ITC Avant Garde" w:eastAsia="Times New Roman" w:hAnsi="ITC Avant Garde"/>
          <w:bCs/>
          <w:color w:val="000000"/>
          <w:lang w:eastAsia="es-MX"/>
        </w:rPr>
        <w:t xml:space="preserve"> para que designara perito en materia de contabilidad con el objeto de que fungiera como perito de esta Unidad con motivo de la prueba pericial ofrecida por dicha empresa en el presente procedimiento.</w:t>
      </w:r>
    </w:p>
    <w:p w14:paraId="2D6536BE" w14:textId="77777777" w:rsidR="00B35F13" w:rsidRDefault="00BD1D1D" w:rsidP="00B35F13">
      <w:pPr>
        <w:spacing w:before="240" w:line="360" w:lineRule="auto"/>
        <w:ind w:right="-1"/>
        <w:jc w:val="both"/>
        <w:rPr>
          <w:rFonts w:ascii="ITC Avant Garde" w:hAnsi="ITC Avant Garde"/>
        </w:rPr>
      </w:pPr>
      <w:bookmarkStart w:id="23" w:name="_Toc477170126"/>
      <w:r w:rsidRPr="002A2450">
        <w:rPr>
          <w:rStyle w:val="Ttulo3Car"/>
          <w:rFonts w:eastAsiaTheme="minorHAnsi"/>
          <w:lang w:val="es-MX"/>
        </w:rPr>
        <w:t>VIGÉSIMO</w:t>
      </w:r>
      <w:r w:rsidRPr="002A2450">
        <w:rPr>
          <w:rStyle w:val="Ttulo3Car"/>
          <w:rFonts w:eastAsiaTheme="minorHAnsi"/>
        </w:rPr>
        <w:t xml:space="preserve"> </w:t>
      </w:r>
      <w:r w:rsidR="00457FBA" w:rsidRPr="002A2450">
        <w:rPr>
          <w:rStyle w:val="Ttulo3Car"/>
          <w:rFonts w:eastAsiaTheme="minorHAnsi"/>
        </w:rPr>
        <w:t>CUARTO</w:t>
      </w:r>
      <w:bookmarkEnd w:id="23"/>
      <w:r w:rsidR="00457FBA" w:rsidRPr="002A2450">
        <w:rPr>
          <w:rFonts w:ascii="ITC Avant Garde" w:eastAsia="Times New Roman" w:hAnsi="ITC Avant Garde"/>
          <w:b/>
          <w:bCs/>
          <w:color w:val="000000"/>
          <w:lang w:eastAsia="es-MX"/>
        </w:rPr>
        <w:t xml:space="preserve">. </w:t>
      </w:r>
      <w:r w:rsidR="00457FBA" w:rsidRPr="002A2450">
        <w:rPr>
          <w:rFonts w:ascii="ITC Avant Garde" w:eastAsia="Times New Roman" w:hAnsi="ITC Avant Garde"/>
          <w:bCs/>
          <w:color w:val="000000"/>
          <w:lang w:eastAsia="es-MX"/>
        </w:rPr>
        <w:t xml:space="preserve">En cumplimiento </w:t>
      </w:r>
      <w:r w:rsidR="00713854" w:rsidRPr="002A2450">
        <w:rPr>
          <w:rFonts w:ascii="ITC Avant Garde" w:eastAsia="Times New Roman" w:hAnsi="ITC Avant Garde"/>
          <w:bCs/>
          <w:color w:val="000000"/>
          <w:lang w:eastAsia="es-MX"/>
        </w:rPr>
        <w:t xml:space="preserve">a </w:t>
      </w:r>
      <w:r w:rsidR="00457FBA" w:rsidRPr="002A2450">
        <w:rPr>
          <w:rFonts w:ascii="ITC Avant Garde" w:eastAsia="Times New Roman" w:hAnsi="ITC Avant Garde"/>
          <w:bCs/>
          <w:color w:val="000000"/>
          <w:lang w:eastAsia="es-MX"/>
        </w:rPr>
        <w:t>lo ordenado en el acuerdo de doce de noviembre de dos mil quince, mediante oficio</w:t>
      </w:r>
      <w:r w:rsidR="00457FBA" w:rsidRPr="002A2450">
        <w:rPr>
          <w:rFonts w:ascii="ITC Avant Garde" w:eastAsia="Times New Roman" w:hAnsi="ITC Avant Garde"/>
          <w:b/>
          <w:bCs/>
          <w:color w:val="000000"/>
          <w:lang w:eastAsia="es-MX"/>
        </w:rPr>
        <w:t xml:space="preserve"> </w:t>
      </w:r>
      <w:r w:rsidR="00457FBA" w:rsidRPr="002A2450">
        <w:rPr>
          <w:rFonts w:ascii="ITC Avant Garde" w:hAnsi="ITC Avant Garde"/>
          <w:b/>
        </w:rPr>
        <w:t xml:space="preserve">IFT/225/UC/2486/2015 </w:t>
      </w:r>
      <w:r w:rsidR="00457FBA" w:rsidRPr="002A2450">
        <w:rPr>
          <w:rFonts w:ascii="ITC Avant Garde" w:hAnsi="ITC Avant Garde"/>
        </w:rPr>
        <w:t>de doce de noviembre de dos mil quince, el Titular de la Unidad de Cumplimiento solicitó al Titular de la Unidad de Administración del</w:t>
      </w:r>
      <w:r w:rsidR="00457FBA" w:rsidRPr="002A2450">
        <w:rPr>
          <w:rFonts w:ascii="ITC Avant Garde" w:hAnsi="ITC Avant Garde"/>
          <w:b/>
        </w:rPr>
        <w:t xml:space="preserve"> “IFT” </w:t>
      </w:r>
      <w:r w:rsidR="00457FBA" w:rsidRPr="002A2450">
        <w:rPr>
          <w:rFonts w:ascii="ITC Avant Garde" w:hAnsi="ITC Avant Garde"/>
        </w:rPr>
        <w:t>a efecto de proceder con el desahogo de</w:t>
      </w:r>
      <w:r w:rsidR="00713854" w:rsidRPr="002A2450">
        <w:rPr>
          <w:rFonts w:ascii="ITC Avant Garde" w:hAnsi="ITC Avant Garde"/>
        </w:rPr>
        <w:t xml:space="preserve"> </w:t>
      </w:r>
      <w:r w:rsidR="00457FBA" w:rsidRPr="002A2450">
        <w:rPr>
          <w:rFonts w:ascii="ITC Avant Garde" w:hAnsi="ITC Avant Garde"/>
        </w:rPr>
        <w:t>l</w:t>
      </w:r>
      <w:r w:rsidR="00713854" w:rsidRPr="002A2450">
        <w:rPr>
          <w:rFonts w:ascii="ITC Avant Garde" w:hAnsi="ITC Avant Garde"/>
        </w:rPr>
        <w:t>a</w:t>
      </w:r>
      <w:r w:rsidR="00457FBA" w:rsidRPr="002A2450">
        <w:rPr>
          <w:rFonts w:ascii="ITC Avant Garde" w:hAnsi="ITC Avant Garde"/>
        </w:rPr>
        <w:t xml:space="preserve"> pericial en materia de contabilidad, </w:t>
      </w:r>
      <w:r w:rsidR="00713854" w:rsidRPr="002A2450">
        <w:rPr>
          <w:rFonts w:ascii="ITC Avant Garde" w:hAnsi="ITC Avant Garde"/>
        </w:rPr>
        <w:t xml:space="preserve">que </w:t>
      </w:r>
      <w:r w:rsidR="00457FBA" w:rsidRPr="002A2450">
        <w:rPr>
          <w:rFonts w:ascii="ITC Avant Garde" w:hAnsi="ITC Avant Garde"/>
        </w:rPr>
        <w:t xml:space="preserve">de no existir inconveniente alguno para ello, designara perito contable que </w:t>
      </w:r>
      <w:r w:rsidR="00AD226F" w:rsidRPr="002A2450">
        <w:rPr>
          <w:rFonts w:ascii="ITC Avant Garde" w:hAnsi="ITC Avant Garde"/>
        </w:rPr>
        <w:t>fungiera</w:t>
      </w:r>
      <w:r w:rsidR="00457FBA" w:rsidRPr="002A2450">
        <w:rPr>
          <w:rFonts w:ascii="ITC Avant Garde" w:hAnsi="ITC Avant Garde"/>
        </w:rPr>
        <w:t xml:space="preserve"> como perito de la autoridad en el procedimiento en estudio.</w:t>
      </w:r>
    </w:p>
    <w:p w14:paraId="0FADDAFA" w14:textId="77777777" w:rsidR="00B35F13" w:rsidRDefault="009E54DA" w:rsidP="00B35F13">
      <w:pPr>
        <w:spacing w:before="240" w:line="360" w:lineRule="auto"/>
        <w:ind w:right="-1"/>
        <w:jc w:val="both"/>
        <w:rPr>
          <w:rFonts w:ascii="ITC Avant Garde" w:eastAsia="Times New Roman" w:hAnsi="ITC Avant Garde"/>
          <w:bCs/>
          <w:color w:val="000000"/>
          <w:lang w:eastAsia="es-MX"/>
        </w:rPr>
      </w:pPr>
      <w:bookmarkStart w:id="24" w:name="_Toc477170127"/>
      <w:r w:rsidRPr="002A2450">
        <w:rPr>
          <w:rStyle w:val="Ttulo3Car"/>
          <w:rFonts w:eastAsiaTheme="minorHAnsi"/>
        </w:rPr>
        <w:t>VIGÉSIMO QUINTO</w:t>
      </w:r>
      <w:bookmarkEnd w:id="24"/>
      <w:r w:rsidRPr="002A2450">
        <w:rPr>
          <w:rFonts w:ascii="ITC Avant Garde" w:eastAsia="Times New Roman" w:hAnsi="ITC Avant Garde"/>
          <w:b/>
          <w:bCs/>
          <w:color w:val="000000"/>
          <w:lang w:eastAsia="es-MX"/>
        </w:rPr>
        <w:t xml:space="preserve">. </w:t>
      </w:r>
      <w:r w:rsidR="00457FBA" w:rsidRPr="002A2450">
        <w:rPr>
          <w:rFonts w:ascii="ITC Avant Garde" w:eastAsia="Times New Roman" w:hAnsi="ITC Avant Garde"/>
          <w:bCs/>
          <w:color w:val="000000"/>
          <w:lang w:eastAsia="es-MX"/>
        </w:rPr>
        <w:t>El diecisiete de noviembre de dos mil quince</w:t>
      </w:r>
      <w:r w:rsidR="00AD226F" w:rsidRPr="002A2450">
        <w:rPr>
          <w:rFonts w:ascii="ITC Avant Garde" w:eastAsia="Times New Roman" w:hAnsi="ITC Avant Garde"/>
          <w:bCs/>
          <w:color w:val="000000"/>
          <w:lang w:eastAsia="es-MX"/>
        </w:rPr>
        <w:t>,</w:t>
      </w:r>
      <w:r w:rsidR="00457FBA" w:rsidRPr="002A2450">
        <w:rPr>
          <w:rFonts w:ascii="ITC Avant Garde" w:eastAsia="Times New Roman" w:hAnsi="ITC Avant Garde"/>
          <w:bCs/>
          <w:color w:val="000000"/>
          <w:lang w:eastAsia="es-MX"/>
        </w:rPr>
        <w:t xml:space="preserve"> el </w:t>
      </w:r>
      <w:r w:rsidR="002644B1" w:rsidRPr="005E1F62">
        <w:rPr>
          <w:rFonts w:ascii="ITC Avant Garde" w:eastAsiaTheme="majorEastAsia" w:hAnsi="ITC Avant Garde" w:cstheme="majorBidi"/>
          <w:b/>
          <w:color w:val="0000FF"/>
          <w:szCs w:val="32"/>
        </w:rPr>
        <w:t>“CONFIDENCIAL POR LEY”</w:t>
      </w:r>
      <w:r w:rsidR="00C00854" w:rsidRPr="002A2450">
        <w:rPr>
          <w:rFonts w:ascii="ITC Avant Garde" w:eastAsia="Times New Roman" w:hAnsi="ITC Avant Garde"/>
          <w:bCs/>
          <w:color w:val="000000"/>
          <w:lang w:eastAsia="es-MX"/>
        </w:rPr>
        <w:t xml:space="preserve"> </w:t>
      </w:r>
      <w:r w:rsidR="00457FBA" w:rsidRPr="002A2450">
        <w:rPr>
          <w:rFonts w:ascii="ITC Avant Garde" w:eastAsia="Times New Roman" w:hAnsi="ITC Avant Garde"/>
          <w:bCs/>
          <w:color w:val="000000"/>
          <w:lang w:eastAsia="es-MX"/>
        </w:rPr>
        <w:t xml:space="preserve">identificándose con </w:t>
      </w:r>
      <w:r w:rsidR="00BD1D1D" w:rsidRPr="002A2450">
        <w:rPr>
          <w:rFonts w:ascii="ITC Avant Garde" w:eastAsia="Times New Roman" w:hAnsi="ITC Avant Garde"/>
          <w:bCs/>
          <w:color w:val="000000"/>
          <w:lang w:eastAsia="es-MX"/>
        </w:rPr>
        <w:t>cédula</w:t>
      </w:r>
      <w:r w:rsidR="00457FBA" w:rsidRPr="002A2450">
        <w:rPr>
          <w:rFonts w:ascii="ITC Avant Garde" w:eastAsia="Times New Roman" w:hAnsi="ITC Avant Garde"/>
          <w:bCs/>
          <w:color w:val="000000"/>
          <w:lang w:eastAsia="es-MX"/>
        </w:rPr>
        <w:t xml:space="preserve"> profesional número </w:t>
      </w:r>
      <w:r w:rsidR="002644B1" w:rsidRPr="005E1F62">
        <w:rPr>
          <w:rFonts w:ascii="ITC Avant Garde" w:eastAsiaTheme="majorEastAsia" w:hAnsi="ITC Avant Garde" w:cstheme="majorBidi"/>
          <w:b/>
          <w:color w:val="0000FF"/>
          <w:szCs w:val="32"/>
        </w:rPr>
        <w:t>“CONFIDENCIAL POR LEY”</w:t>
      </w:r>
      <w:r w:rsidR="00457FBA" w:rsidRPr="002A2450">
        <w:rPr>
          <w:rFonts w:ascii="ITC Avant Garde" w:eastAsia="Times New Roman" w:hAnsi="ITC Avant Garde"/>
          <w:bCs/>
          <w:color w:val="000000"/>
          <w:lang w:eastAsia="es-MX"/>
        </w:rPr>
        <w:t xml:space="preserve"> expedida por la Dirección General de Profesiones de la Secretaría de Educación Pública compareció en las oficinas de esta autoridad </w:t>
      </w:r>
      <w:r w:rsidR="005B4643" w:rsidRPr="002A2450">
        <w:rPr>
          <w:rFonts w:ascii="ITC Avant Garde" w:eastAsia="Times New Roman" w:hAnsi="ITC Avant Garde"/>
          <w:bCs/>
          <w:color w:val="000000"/>
          <w:lang w:eastAsia="es-MX"/>
        </w:rPr>
        <w:t xml:space="preserve">a </w:t>
      </w:r>
      <w:r w:rsidR="00457FBA" w:rsidRPr="002A2450">
        <w:rPr>
          <w:rFonts w:ascii="ITC Avant Garde" w:eastAsia="Times New Roman" w:hAnsi="ITC Avant Garde"/>
          <w:bCs/>
          <w:color w:val="000000"/>
          <w:lang w:eastAsia="es-MX"/>
        </w:rPr>
        <w:t>aceptar y protesta</w:t>
      </w:r>
      <w:r w:rsidR="005B4643" w:rsidRPr="002A2450">
        <w:rPr>
          <w:rFonts w:ascii="ITC Avant Garde" w:eastAsia="Times New Roman" w:hAnsi="ITC Avant Garde"/>
          <w:bCs/>
          <w:color w:val="000000"/>
          <w:lang w:eastAsia="es-MX"/>
        </w:rPr>
        <w:t>r</w:t>
      </w:r>
      <w:r w:rsidR="00457FBA" w:rsidRPr="002A2450">
        <w:rPr>
          <w:rFonts w:ascii="ITC Avant Garde" w:eastAsia="Times New Roman" w:hAnsi="ITC Avant Garde"/>
          <w:bCs/>
          <w:color w:val="000000"/>
          <w:lang w:eastAsia="es-MX"/>
        </w:rPr>
        <w:t xml:space="preserve"> el cargo conferido como perito en materia de economía por parte de</w:t>
      </w:r>
      <w:r w:rsidR="00457FBA" w:rsidRPr="002A2450">
        <w:rPr>
          <w:rFonts w:ascii="ITC Avant Garde" w:eastAsia="Times New Roman" w:hAnsi="ITC Avant Garde"/>
          <w:b/>
          <w:bCs/>
          <w:color w:val="000000"/>
          <w:lang w:eastAsia="es-MX"/>
        </w:rPr>
        <w:t xml:space="preserve"> “TELMEX”.</w:t>
      </w:r>
    </w:p>
    <w:p w14:paraId="3C9291B5" w14:textId="77777777" w:rsidR="00B35F13" w:rsidRDefault="00457FBA" w:rsidP="00B35F13">
      <w:pPr>
        <w:spacing w:before="240" w:line="360" w:lineRule="auto"/>
        <w:ind w:right="-1"/>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Asimismo</w:t>
      </w:r>
      <w:r w:rsidR="00AD226F"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el dieciocho de noviembre de dos mil quince el </w:t>
      </w:r>
      <w:r w:rsidR="00C00854" w:rsidRPr="002A2450">
        <w:rPr>
          <w:rFonts w:ascii="ITC Avant Garde" w:eastAsia="Times New Roman" w:hAnsi="ITC Avant Garde"/>
          <w:b/>
          <w:bCs/>
          <w:color w:val="000000"/>
          <w:lang w:eastAsia="es-MX"/>
        </w:rPr>
        <w:t>C. RAFAEL NAVARRO ACEVES</w:t>
      </w:r>
      <w:r w:rsidR="00C00854"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con número de c</w:t>
      </w:r>
      <w:r w:rsidR="00CA2EBF" w:rsidRPr="002A2450">
        <w:rPr>
          <w:rFonts w:ascii="ITC Avant Garde" w:eastAsia="Times New Roman" w:hAnsi="ITC Avant Garde"/>
          <w:bCs/>
          <w:color w:val="000000"/>
          <w:lang w:eastAsia="es-MX"/>
        </w:rPr>
        <w:t>é</w:t>
      </w:r>
      <w:r w:rsidRPr="002A2450">
        <w:rPr>
          <w:rFonts w:ascii="ITC Avant Garde" w:eastAsia="Times New Roman" w:hAnsi="ITC Avant Garde"/>
          <w:bCs/>
          <w:color w:val="000000"/>
          <w:lang w:eastAsia="es-MX"/>
        </w:rPr>
        <w:t xml:space="preserve">dula profesional 7162951 expedida por la Dirección General de Profesiones de la Secretaría de Educación Pública </w:t>
      </w:r>
      <w:r w:rsidR="00C00854" w:rsidRPr="002A2450">
        <w:rPr>
          <w:rFonts w:ascii="ITC Avant Garde" w:eastAsia="Times New Roman" w:hAnsi="ITC Avant Garde"/>
          <w:bCs/>
          <w:color w:val="000000"/>
          <w:lang w:eastAsia="es-MX"/>
        </w:rPr>
        <w:t xml:space="preserve">compareció </w:t>
      </w:r>
      <w:r w:rsidR="005B4643" w:rsidRPr="002A2450">
        <w:rPr>
          <w:rFonts w:ascii="ITC Avant Garde" w:eastAsia="Times New Roman" w:hAnsi="ITC Avant Garde"/>
          <w:bCs/>
          <w:color w:val="000000"/>
          <w:lang w:eastAsia="es-MX"/>
        </w:rPr>
        <w:t xml:space="preserve">a </w:t>
      </w:r>
      <w:r w:rsidRPr="002A2450">
        <w:rPr>
          <w:rFonts w:ascii="ITC Avant Garde" w:eastAsia="Times New Roman" w:hAnsi="ITC Avant Garde"/>
          <w:bCs/>
          <w:color w:val="000000"/>
          <w:lang w:eastAsia="es-MX"/>
        </w:rPr>
        <w:t>aceptar y protesta</w:t>
      </w:r>
      <w:r w:rsidR="005B4643" w:rsidRPr="002A2450">
        <w:rPr>
          <w:rFonts w:ascii="ITC Avant Garde" w:eastAsia="Times New Roman" w:hAnsi="ITC Avant Garde"/>
          <w:bCs/>
          <w:color w:val="000000"/>
          <w:lang w:eastAsia="es-MX"/>
        </w:rPr>
        <w:t>r</w:t>
      </w:r>
      <w:r w:rsidRPr="002A2450">
        <w:rPr>
          <w:rFonts w:ascii="ITC Avant Garde" w:eastAsia="Times New Roman" w:hAnsi="ITC Avant Garde"/>
          <w:bCs/>
          <w:color w:val="000000"/>
          <w:lang w:eastAsia="es-MX"/>
        </w:rPr>
        <w:t xml:space="preserve"> el cargo conferido como perito en materia de economía por parte del </w:t>
      </w:r>
      <w:r w:rsidRPr="002A2450">
        <w:rPr>
          <w:rFonts w:ascii="ITC Avant Garde" w:eastAsia="Times New Roman" w:hAnsi="ITC Avant Garde"/>
          <w:b/>
          <w:bCs/>
          <w:color w:val="000000"/>
          <w:lang w:eastAsia="es-MX"/>
        </w:rPr>
        <w:t>“IFT”.</w:t>
      </w:r>
    </w:p>
    <w:p w14:paraId="1E415F5E" w14:textId="77777777" w:rsidR="006C67B3" w:rsidRDefault="00A771EC" w:rsidP="00B35F13">
      <w:pPr>
        <w:spacing w:before="240" w:line="360" w:lineRule="auto"/>
        <w:ind w:right="-1"/>
        <w:jc w:val="both"/>
        <w:rPr>
          <w:rFonts w:ascii="ITC Avant Garde" w:eastAsia="Times New Roman" w:hAnsi="ITC Avant Garde"/>
          <w:bCs/>
          <w:color w:val="000000"/>
          <w:lang w:eastAsia="es-MX"/>
        </w:rPr>
        <w:sectPr w:rsidR="006C67B3" w:rsidSect="009F3771">
          <w:headerReference w:type="default" r:id="rId16"/>
          <w:pgSz w:w="12240" w:h="15840"/>
          <w:pgMar w:top="1985" w:right="1701" w:bottom="1418" w:left="1701" w:header="709" w:footer="709" w:gutter="0"/>
          <w:cols w:space="708"/>
          <w:docGrid w:linePitch="360"/>
        </w:sectPr>
      </w:pPr>
      <w:bookmarkStart w:id="25" w:name="_Toc477170128"/>
      <w:r w:rsidRPr="002A2450">
        <w:rPr>
          <w:rStyle w:val="Ttulo3Car"/>
          <w:rFonts w:eastAsiaTheme="minorHAnsi"/>
        </w:rPr>
        <w:t>VIGÉSIMO</w:t>
      </w:r>
      <w:r w:rsidR="009E54DA" w:rsidRPr="002A2450">
        <w:rPr>
          <w:rStyle w:val="Ttulo3Car"/>
          <w:rFonts w:eastAsiaTheme="minorHAnsi"/>
        </w:rPr>
        <w:t xml:space="preserve"> SEXTO</w:t>
      </w:r>
      <w:bookmarkEnd w:id="25"/>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Mediante acuerdo de veinticinco de noviembre de dos mil quince, se</w:t>
      </w:r>
      <w:r w:rsidR="009E54DA" w:rsidRPr="002A2450">
        <w:rPr>
          <w:rFonts w:ascii="ITC Avant Garde" w:eastAsia="Times New Roman" w:hAnsi="ITC Avant Garde"/>
          <w:bCs/>
          <w:color w:val="000000"/>
          <w:lang w:eastAsia="es-MX"/>
        </w:rPr>
        <w:t xml:space="preserve"> dio </w:t>
      </w:r>
      <w:r w:rsidRPr="002A2450">
        <w:rPr>
          <w:rFonts w:ascii="ITC Avant Garde" w:eastAsia="Times New Roman" w:hAnsi="ITC Avant Garde"/>
          <w:bCs/>
          <w:color w:val="000000"/>
          <w:lang w:eastAsia="es-MX"/>
        </w:rPr>
        <w:t xml:space="preserve">cuenta de las comparecencias de diecisiete y dieciocho de noviembre </w:t>
      </w:r>
      <w:r w:rsidR="005B4643" w:rsidRPr="002A2450">
        <w:rPr>
          <w:rFonts w:ascii="ITC Avant Garde" w:eastAsia="Times New Roman" w:hAnsi="ITC Avant Garde"/>
          <w:bCs/>
          <w:color w:val="000000"/>
          <w:lang w:eastAsia="es-MX"/>
        </w:rPr>
        <w:t>de dos mil quince, mediante las cuales</w:t>
      </w:r>
      <w:r w:rsidR="008F718E" w:rsidRPr="009E34A4">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los peritos designados en materia de economía acepta</w:t>
      </w:r>
      <w:r w:rsidR="009E54DA" w:rsidRPr="002A2450">
        <w:rPr>
          <w:rFonts w:ascii="ITC Avant Garde" w:eastAsia="Times New Roman" w:hAnsi="ITC Avant Garde"/>
          <w:bCs/>
          <w:color w:val="000000"/>
          <w:lang w:eastAsia="es-MX"/>
        </w:rPr>
        <w:t>ro</w:t>
      </w:r>
      <w:r w:rsidRPr="002A2450">
        <w:rPr>
          <w:rFonts w:ascii="ITC Avant Garde" w:eastAsia="Times New Roman" w:hAnsi="ITC Avant Garde"/>
          <w:bCs/>
          <w:color w:val="000000"/>
          <w:lang w:eastAsia="es-MX"/>
        </w:rPr>
        <w:t>n y protesta</w:t>
      </w:r>
      <w:r w:rsidR="009E54DA" w:rsidRPr="002A2450">
        <w:rPr>
          <w:rFonts w:ascii="ITC Avant Garde" w:eastAsia="Times New Roman" w:hAnsi="ITC Avant Garde"/>
          <w:bCs/>
          <w:color w:val="000000"/>
          <w:lang w:eastAsia="es-MX"/>
        </w:rPr>
        <w:t>ron</w:t>
      </w:r>
      <w:r w:rsidRPr="002A2450">
        <w:rPr>
          <w:rFonts w:ascii="ITC Avant Garde" w:eastAsia="Times New Roman" w:hAnsi="ITC Avant Garde"/>
          <w:bCs/>
          <w:color w:val="000000"/>
          <w:lang w:eastAsia="es-MX"/>
        </w:rPr>
        <w:t xml:space="preserve"> el cargo </w:t>
      </w:r>
      <w:r w:rsidR="009E54DA" w:rsidRPr="002A2450">
        <w:rPr>
          <w:rFonts w:ascii="ITC Avant Garde" w:eastAsia="Times New Roman" w:hAnsi="ITC Avant Garde"/>
          <w:bCs/>
          <w:color w:val="000000"/>
          <w:lang w:eastAsia="es-MX"/>
        </w:rPr>
        <w:t>conferido</w:t>
      </w:r>
      <w:r w:rsidRPr="002A2450">
        <w:rPr>
          <w:rFonts w:ascii="ITC Avant Garde" w:eastAsia="Times New Roman" w:hAnsi="ITC Avant Garde"/>
          <w:bCs/>
          <w:color w:val="000000"/>
          <w:lang w:eastAsia="es-MX"/>
        </w:rPr>
        <w:t xml:space="preserve"> para el</w:t>
      </w:r>
      <w:r w:rsidR="009E54DA" w:rsidRPr="002A2450">
        <w:rPr>
          <w:rFonts w:ascii="ITC Avant Garde" w:eastAsia="Times New Roman" w:hAnsi="ITC Avant Garde"/>
          <w:bCs/>
          <w:color w:val="000000"/>
          <w:lang w:eastAsia="es-MX"/>
        </w:rPr>
        <w:t xml:space="preserve"> desahogo de</w:t>
      </w:r>
      <w:r w:rsidR="005B4643" w:rsidRPr="002A2450">
        <w:rPr>
          <w:rFonts w:ascii="ITC Avant Garde" w:eastAsia="Times New Roman" w:hAnsi="ITC Avant Garde"/>
          <w:bCs/>
          <w:color w:val="000000"/>
          <w:lang w:eastAsia="es-MX"/>
        </w:rPr>
        <w:t xml:space="preserve"> </w:t>
      </w:r>
      <w:r w:rsidR="009E54DA" w:rsidRPr="002A2450">
        <w:rPr>
          <w:rFonts w:ascii="ITC Avant Garde" w:eastAsia="Times New Roman" w:hAnsi="ITC Avant Garde"/>
          <w:bCs/>
          <w:color w:val="000000"/>
          <w:lang w:eastAsia="es-MX"/>
        </w:rPr>
        <w:t xml:space="preserve">la prueba pericial </w:t>
      </w:r>
      <w:r w:rsidRPr="002A2450">
        <w:rPr>
          <w:rFonts w:ascii="ITC Avant Garde" w:eastAsia="Times New Roman" w:hAnsi="ITC Avant Garde"/>
          <w:bCs/>
          <w:color w:val="000000"/>
          <w:lang w:eastAsia="es-MX"/>
        </w:rPr>
        <w:t>en materia de economía</w:t>
      </w:r>
      <w:r w:rsidR="005B4643" w:rsidRPr="002A2450">
        <w:rPr>
          <w:rFonts w:ascii="ITC Avant Garde" w:eastAsia="Times New Roman" w:hAnsi="ITC Avant Garde"/>
          <w:bCs/>
          <w:color w:val="000000"/>
          <w:lang w:eastAsia="es-MX"/>
        </w:rPr>
        <w:t>,</w:t>
      </w:r>
      <w:r w:rsidR="009E54DA" w:rsidRPr="002A2450">
        <w:rPr>
          <w:rFonts w:ascii="ITC Avant Garde" w:eastAsia="Times New Roman" w:hAnsi="ITC Avant Garde"/>
          <w:bCs/>
          <w:color w:val="000000"/>
          <w:lang w:eastAsia="es-MX"/>
        </w:rPr>
        <w:t xml:space="preserve"> por lo que se ordenó correr traslado de los cuestionarios respectivos y se requirió a los peritos para dentro del plazo de </w:t>
      </w:r>
    </w:p>
    <w:p w14:paraId="36EBC53C" w14:textId="6D2ACE83" w:rsidR="00B35F13" w:rsidRDefault="009E54DA" w:rsidP="00B35F13">
      <w:pPr>
        <w:spacing w:before="240" w:line="360" w:lineRule="auto"/>
        <w:ind w:right="-1"/>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quince</w:t>
      </w:r>
      <w:proofErr w:type="gramEnd"/>
      <w:r w:rsidRPr="002A2450">
        <w:rPr>
          <w:rFonts w:ascii="ITC Avant Garde" w:eastAsia="Times New Roman" w:hAnsi="ITC Avant Garde"/>
          <w:bCs/>
          <w:color w:val="000000"/>
          <w:lang w:eastAsia="es-MX"/>
        </w:rPr>
        <w:t xml:space="preserve"> días hábiles contados a partir del día siguiente al que surtiera efectos el citado acuerdo, rindieran el dictamen respectivo. </w:t>
      </w:r>
    </w:p>
    <w:p w14:paraId="5ABB04D1" w14:textId="77777777" w:rsidR="00B35F13" w:rsidRDefault="009E54DA" w:rsidP="00B35F13">
      <w:pPr>
        <w:spacing w:before="240" w:line="360" w:lineRule="auto"/>
        <w:ind w:right="-1"/>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Dicho acuerdo </w:t>
      </w:r>
      <w:r w:rsidR="00A771EC" w:rsidRPr="002A2450">
        <w:rPr>
          <w:rFonts w:ascii="ITC Avant Garde" w:eastAsia="Times New Roman" w:hAnsi="ITC Avant Garde"/>
          <w:bCs/>
          <w:color w:val="000000"/>
          <w:lang w:eastAsia="es-MX"/>
        </w:rPr>
        <w:t>fue notificado a los peritos y a</w:t>
      </w:r>
      <w:r w:rsidR="00C00854" w:rsidRPr="002A2450">
        <w:rPr>
          <w:rFonts w:ascii="ITC Avant Garde" w:eastAsia="Times New Roman" w:hAnsi="ITC Avant Garde"/>
          <w:bCs/>
          <w:color w:val="000000"/>
          <w:lang w:eastAsia="es-MX"/>
        </w:rPr>
        <w:t xml:space="preserve"> </w:t>
      </w:r>
      <w:r w:rsidR="00C00854" w:rsidRPr="002A2450">
        <w:rPr>
          <w:rFonts w:ascii="ITC Avant Garde" w:eastAsia="Times New Roman" w:hAnsi="ITC Avant Garde"/>
          <w:b/>
          <w:bCs/>
          <w:color w:val="000000"/>
          <w:lang w:eastAsia="es-MX"/>
        </w:rPr>
        <w:t>“TELMEX”</w:t>
      </w:r>
      <w:r w:rsidR="00A771EC" w:rsidRPr="002A2450">
        <w:rPr>
          <w:rFonts w:ascii="ITC Avant Garde" w:eastAsia="Times New Roman" w:hAnsi="ITC Avant Garde"/>
          <w:bCs/>
          <w:color w:val="000000"/>
          <w:lang w:eastAsia="es-MX"/>
        </w:rPr>
        <w:t xml:space="preserve"> el </w:t>
      </w:r>
      <w:r w:rsidR="005B4643" w:rsidRPr="002A2450">
        <w:rPr>
          <w:rFonts w:ascii="ITC Avant Garde" w:eastAsia="Times New Roman" w:hAnsi="ITC Avant Garde"/>
          <w:bCs/>
          <w:color w:val="000000"/>
          <w:lang w:eastAsia="es-MX"/>
        </w:rPr>
        <w:t xml:space="preserve">primero </w:t>
      </w:r>
      <w:r w:rsidRPr="002A2450">
        <w:rPr>
          <w:rFonts w:ascii="ITC Avant Garde" w:eastAsia="Times New Roman" w:hAnsi="ITC Avant Garde"/>
          <w:bCs/>
          <w:color w:val="000000"/>
          <w:lang w:eastAsia="es-MX"/>
        </w:rPr>
        <w:t xml:space="preserve">de diciembre de dos mil quince, por lo que el plazo de quince días otorgado a los peritos corrió del dos de diciembre de dos mil quince al siete de enero de dos mil dieciséis, sin considerar los días cinco, seis, doce, trece, diecinueve, veinte, veintiséis y veintisiete de diciembre de dos mil quince y dos y tres de enero de dos mil dieciséis, por ser sábados y domingos, en términos del artículo 28 de la </w:t>
      </w:r>
      <w:r w:rsidRPr="002A2450">
        <w:rPr>
          <w:rFonts w:ascii="ITC Avant Garde" w:eastAsia="Times New Roman" w:hAnsi="ITC Avant Garde"/>
          <w:b/>
          <w:bCs/>
          <w:color w:val="000000"/>
          <w:lang w:eastAsia="es-MX"/>
        </w:rPr>
        <w:t xml:space="preserve">“LFPA”, </w:t>
      </w:r>
      <w:r w:rsidRPr="002A2450">
        <w:rPr>
          <w:rFonts w:ascii="ITC Avant Garde" w:eastAsia="Times New Roman" w:hAnsi="ITC Avant Garde"/>
          <w:bCs/>
          <w:color w:val="000000"/>
          <w:lang w:eastAsia="es-MX"/>
        </w:rPr>
        <w:t>así como del veintiuno al veinticinco y veintiocho al treinta y uno de diciembre de dos mil quince y uno, cuatro y cinco de enero de dos mil dieciséis por haber sido declarados inhábiles.</w:t>
      </w:r>
      <w:r w:rsidRPr="002A2450">
        <w:rPr>
          <w:rStyle w:val="Refdenotaalpie"/>
          <w:rFonts w:ascii="ITC Avant Garde" w:eastAsia="Times New Roman" w:hAnsi="ITC Avant Garde"/>
          <w:bCs/>
          <w:color w:val="000000"/>
          <w:lang w:eastAsia="es-MX"/>
        </w:rPr>
        <w:footnoteReference w:id="5"/>
      </w:r>
    </w:p>
    <w:p w14:paraId="713332EE" w14:textId="77777777" w:rsidR="006C67B3" w:rsidRDefault="00A771EC" w:rsidP="00B35F13">
      <w:pPr>
        <w:spacing w:before="240" w:line="360" w:lineRule="auto"/>
        <w:ind w:right="-1"/>
        <w:jc w:val="both"/>
        <w:rPr>
          <w:rFonts w:ascii="ITC Avant Garde" w:hAnsi="ITC Avant Garde"/>
        </w:rPr>
        <w:sectPr w:rsidR="006C67B3" w:rsidSect="009F3771">
          <w:headerReference w:type="default" r:id="rId17"/>
          <w:pgSz w:w="12240" w:h="15840"/>
          <w:pgMar w:top="1985" w:right="1701" w:bottom="1418" w:left="1701" w:header="709" w:footer="709" w:gutter="0"/>
          <w:cols w:space="708"/>
          <w:docGrid w:linePitch="360"/>
        </w:sectPr>
      </w:pPr>
      <w:bookmarkStart w:id="26" w:name="_Toc477170129"/>
      <w:r w:rsidRPr="002A2450">
        <w:rPr>
          <w:rStyle w:val="Ttulo3Car"/>
          <w:rFonts w:eastAsiaTheme="minorHAnsi"/>
        </w:rPr>
        <w:t>VIGÉSIMO</w:t>
      </w:r>
      <w:r w:rsidR="006643EF" w:rsidRPr="002A2450">
        <w:rPr>
          <w:rStyle w:val="Ttulo3Car"/>
          <w:rFonts w:eastAsiaTheme="minorHAnsi"/>
        </w:rPr>
        <w:t xml:space="preserve"> SÉPTIMO</w:t>
      </w:r>
      <w:bookmarkEnd w:id="26"/>
      <w:r w:rsidRPr="002A2450">
        <w:rPr>
          <w:rFonts w:ascii="ITC Avant Garde" w:eastAsia="Times New Roman" w:hAnsi="ITC Avant Garde"/>
          <w:b/>
          <w:bCs/>
          <w:color w:val="000000"/>
          <w:lang w:eastAsia="es-MX"/>
        </w:rPr>
        <w:t xml:space="preserve">. </w:t>
      </w:r>
      <w:r w:rsidR="006643EF" w:rsidRPr="002A2450">
        <w:rPr>
          <w:rFonts w:ascii="ITC Avant Garde" w:eastAsia="Times New Roman" w:hAnsi="ITC Avant Garde"/>
          <w:bCs/>
          <w:color w:val="000000"/>
          <w:lang w:eastAsia="es-MX"/>
        </w:rPr>
        <w:t>Por</w:t>
      </w:r>
      <w:r w:rsidR="006643EF"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acuerdo de cuatro de diciembre de dos mil quince, se d</w:t>
      </w:r>
      <w:r w:rsidR="006643EF" w:rsidRPr="002A2450">
        <w:rPr>
          <w:rFonts w:ascii="ITC Avant Garde" w:eastAsia="Times New Roman" w:hAnsi="ITC Avant Garde"/>
          <w:bCs/>
          <w:color w:val="000000"/>
          <w:lang w:eastAsia="es-MX"/>
        </w:rPr>
        <w:t>io</w:t>
      </w:r>
      <w:r w:rsidRPr="002A2450">
        <w:rPr>
          <w:rFonts w:ascii="ITC Avant Garde" w:eastAsia="Times New Roman" w:hAnsi="ITC Avant Garde"/>
          <w:bCs/>
          <w:color w:val="000000"/>
          <w:lang w:eastAsia="es-MX"/>
        </w:rPr>
        <w:t xml:space="preserve"> cuenta de los oficios </w:t>
      </w:r>
      <w:r w:rsidRPr="002A2450">
        <w:rPr>
          <w:rFonts w:ascii="ITC Avant Garde" w:hAnsi="ITC Avant Garde"/>
          <w:b/>
        </w:rPr>
        <w:t xml:space="preserve">IFT/240/UADM/417/2015 </w:t>
      </w:r>
      <w:r w:rsidRPr="002A2450">
        <w:rPr>
          <w:rFonts w:ascii="ITC Avant Garde" w:hAnsi="ITC Avant Garde"/>
        </w:rPr>
        <w:t xml:space="preserve">y </w:t>
      </w:r>
      <w:r w:rsidRPr="002A2450">
        <w:rPr>
          <w:rFonts w:ascii="ITC Avant Garde" w:hAnsi="ITC Avant Garde"/>
          <w:b/>
        </w:rPr>
        <w:t xml:space="preserve">IFT/226/UCE/484/2015 </w:t>
      </w:r>
      <w:r w:rsidRPr="002A2450">
        <w:rPr>
          <w:rFonts w:ascii="ITC Avant Garde" w:hAnsi="ITC Avant Garde"/>
        </w:rPr>
        <w:t xml:space="preserve">recibidos el veinticuatro y veinticinco de noviembre de dos mil quince, mediante los cuales el Titular de la Unidad de Administración y el </w:t>
      </w:r>
      <w:r w:rsidR="005B4643" w:rsidRPr="002A2450">
        <w:rPr>
          <w:rFonts w:ascii="ITC Avant Garde" w:hAnsi="ITC Avant Garde"/>
        </w:rPr>
        <w:t xml:space="preserve">Titular </w:t>
      </w:r>
      <w:r w:rsidRPr="002A2450">
        <w:rPr>
          <w:rFonts w:ascii="ITC Avant Garde" w:hAnsi="ITC Avant Garde"/>
        </w:rPr>
        <w:t>de la U</w:t>
      </w:r>
      <w:r w:rsidR="006643EF" w:rsidRPr="002A2450">
        <w:rPr>
          <w:rFonts w:ascii="ITC Avant Garde" w:hAnsi="ITC Avant Garde"/>
        </w:rPr>
        <w:t xml:space="preserve">nidad de Competencia Económica </w:t>
      </w:r>
      <w:r w:rsidRPr="002A2450">
        <w:rPr>
          <w:rFonts w:ascii="ITC Avant Garde" w:hAnsi="ITC Avant Garde"/>
        </w:rPr>
        <w:t xml:space="preserve">de este Instituto </w:t>
      </w:r>
      <w:r w:rsidR="006643EF" w:rsidRPr="002A2450">
        <w:rPr>
          <w:rFonts w:ascii="ITC Avant Garde" w:hAnsi="ITC Avant Garde"/>
        </w:rPr>
        <w:t xml:space="preserve">en desahogo al </w:t>
      </w:r>
      <w:r w:rsidRPr="002A2450">
        <w:rPr>
          <w:rFonts w:ascii="ITC Avant Garde" w:hAnsi="ITC Avant Garde"/>
        </w:rPr>
        <w:t>requerimiento formulado mediante acuerdos de once y doce de noviembre de dos mil quince</w:t>
      </w:r>
      <w:r w:rsidR="006643EF" w:rsidRPr="002A2450">
        <w:rPr>
          <w:rFonts w:ascii="ITC Avant Garde" w:hAnsi="ITC Avant Garde"/>
        </w:rPr>
        <w:t>,</w:t>
      </w:r>
      <w:r w:rsidRPr="002A2450">
        <w:rPr>
          <w:rFonts w:ascii="ITC Avant Garde" w:hAnsi="ITC Avant Garde"/>
        </w:rPr>
        <w:t xml:space="preserve"> respectivamente, </w:t>
      </w:r>
      <w:r w:rsidR="006643EF" w:rsidRPr="002A2450">
        <w:rPr>
          <w:rFonts w:ascii="ITC Avant Garde" w:hAnsi="ITC Avant Garde"/>
        </w:rPr>
        <w:t xml:space="preserve">informaron al Titular de la Unidad de Cumplimiento que </w:t>
      </w:r>
      <w:r w:rsidRPr="002A2450">
        <w:rPr>
          <w:rFonts w:ascii="ITC Avant Garde" w:hAnsi="ITC Avant Garde"/>
        </w:rPr>
        <w:t xml:space="preserve">la Unidad de Administración no cuenta con servidores públicos que cubran </w:t>
      </w:r>
      <w:r w:rsidR="006643EF" w:rsidRPr="002A2450">
        <w:rPr>
          <w:rFonts w:ascii="ITC Avant Garde" w:hAnsi="ITC Avant Garde"/>
        </w:rPr>
        <w:t xml:space="preserve">el perfil de </w:t>
      </w:r>
      <w:r w:rsidRPr="002A2450">
        <w:rPr>
          <w:rFonts w:ascii="ITC Avant Garde" w:hAnsi="ITC Avant Garde"/>
        </w:rPr>
        <w:t xml:space="preserve">puesto que abarque la función de fungir como perito en procedimientos administrativos </w:t>
      </w:r>
      <w:r w:rsidR="00AD226F" w:rsidRPr="002A2450">
        <w:rPr>
          <w:rFonts w:ascii="ITC Avant Garde" w:hAnsi="ITC Avant Garde"/>
        </w:rPr>
        <w:t xml:space="preserve">seguidos </w:t>
      </w:r>
      <w:r w:rsidRPr="002A2450">
        <w:rPr>
          <w:rFonts w:ascii="ITC Avant Garde" w:hAnsi="ITC Avant Garde"/>
        </w:rPr>
        <w:t xml:space="preserve">en forma de juicio, indicando que del análisis efectuado al cuestionario ofrecido como prueba pericial, se desprende que se requieren conocimientos específicos </w:t>
      </w:r>
    </w:p>
    <w:p w14:paraId="08A45E68" w14:textId="60748585" w:rsidR="00B35F13" w:rsidRDefault="00A771EC" w:rsidP="00B35F13">
      <w:pPr>
        <w:spacing w:before="240" w:line="360" w:lineRule="auto"/>
        <w:ind w:right="-1"/>
        <w:jc w:val="both"/>
        <w:rPr>
          <w:rFonts w:ascii="ITC Avant Garde" w:hAnsi="ITC Avant Garde"/>
        </w:rPr>
      </w:pPr>
      <w:proofErr w:type="gramStart"/>
      <w:r w:rsidRPr="002A2450">
        <w:rPr>
          <w:rFonts w:ascii="ITC Avant Garde" w:hAnsi="ITC Avant Garde"/>
        </w:rPr>
        <w:lastRenderedPageBreak/>
        <w:t>relaciona</w:t>
      </w:r>
      <w:r w:rsidR="006643EF" w:rsidRPr="002A2450">
        <w:rPr>
          <w:rFonts w:ascii="ITC Avant Garde" w:hAnsi="ITC Avant Garde"/>
        </w:rPr>
        <w:t>dos</w:t>
      </w:r>
      <w:proofErr w:type="gramEnd"/>
      <w:r w:rsidR="006643EF" w:rsidRPr="002A2450">
        <w:rPr>
          <w:rFonts w:ascii="ITC Avant Garde" w:hAnsi="ITC Avant Garde"/>
        </w:rPr>
        <w:t xml:space="preserve"> con el objeto de la prueba </w:t>
      </w:r>
      <w:r w:rsidRPr="002A2450">
        <w:rPr>
          <w:rFonts w:ascii="ITC Avant Garde" w:hAnsi="ITC Avant Garde"/>
        </w:rPr>
        <w:t xml:space="preserve">pericial ofrecida, </w:t>
      </w:r>
      <w:r w:rsidR="006643EF" w:rsidRPr="002A2450">
        <w:rPr>
          <w:rFonts w:ascii="ITC Avant Garde" w:hAnsi="ITC Avant Garde"/>
        </w:rPr>
        <w:t xml:space="preserve">por lo que </w:t>
      </w:r>
      <w:r w:rsidR="005B4643" w:rsidRPr="002A2450">
        <w:rPr>
          <w:rFonts w:ascii="ITC Avant Garde" w:hAnsi="ITC Avant Garde"/>
        </w:rPr>
        <w:t xml:space="preserve">en tal sentido </w:t>
      </w:r>
      <w:r w:rsidR="006643EF" w:rsidRPr="002A2450">
        <w:rPr>
          <w:rFonts w:ascii="ITC Avant Garde" w:hAnsi="ITC Avant Garde"/>
        </w:rPr>
        <w:t xml:space="preserve">se ordenó </w:t>
      </w:r>
      <w:r w:rsidRPr="002A2450">
        <w:rPr>
          <w:rFonts w:ascii="ITC Avant Garde" w:hAnsi="ITC Avant Garde"/>
        </w:rPr>
        <w:t>la contratación de</w:t>
      </w:r>
      <w:r w:rsidR="006643EF" w:rsidRPr="002A2450">
        <w:rPr>
          <w:rFonts w:ascii="ITC Avant Garde" w:hAnsi="ITC Avant Garde"/>
        </w:rPr>
        <w:t xml:space="preserve"> un perito en materia contable </w:t>
      </w:r>
      <w:r w:rsidRPr="002A2450">
        <w:rPr>
          <w:rFonts w:ascii="ITC Avant Garde" w:hAnsi="ITC Avant Garde"/>
        </w:rPr>
        <w:t xml:space="preserve">para que </w:t>
      </w:r>
      <w:r w:rsidR="006643EF" w:rsidRPr="002A2450">
        <w:rPr>
          <w:rFonts w:ascii="ITC Avant Garde" w:hAnsi="ITC Avant Garde"/>
        </w:rPr>
        <w:t xml:space="preserve">fungiera </w:t>
      </w:r>
      <w:r w:rsidRPr="002A2450">
        <w:rPr>
          <w:rFonts w:ascii="ITC Avant Garde" w:hAnsi="ITC Avant Garde"/>
        </w:rPr>
        <w:t xml:space="preserve">como perito de este </w:t>
      </w:r>
      <w:r w:rsidR="000C6315" w:rsidRPr="002A2450">
        <w:rPr>
          <w:rFonts w:ascii="ITC Avant Garde" w:hAnsi="ITC Avant Garde"/>
          <w:b/>
        </w:rPr>
        <w:t>“</w:t>
      </w:r>
      <w:r w:rsidRPr="009E34A4">
        <w:rPr>
          <w:rFonts w:ascii="ITC Avant Garde" w:hAnsi="ITC Avant Garde"/>
          <w:b/>
        </w:rPr>
        <w:t>Instituto</w:t>
      </w:r>
      <w:r w:rsidR="000C6315" w:rsidRPr="002A2450">
        <w:rPr>
          <w:rFonts w:ascii="ITC Avant Garde" w:hAnsi="ITC Avant Garde"/>
          <w:b/>
        </w:rPr>
        <w:t>”</w:t>
      </w:r>
      <w:r w:rsidRPr="002A2450">
        <w:rPr>
          <w:rFonts w:ascii="ITC Avant Garde" w:hAnsi="ITC Avant Garde"/>
        </w:rPr>
        <w:t xml:space="preserve"> en el procedimiento administrativo de imposición de sanción en que se actúa, y </w:t>
      </w:r>
      <w:r w:rsidR="005B4643" w:rsidRPr="002A2450">
        <w:rPr>
          <w:rFonts w:ascii="ITC Avant Garde" w:hAnsi="ITC Avant Garde"/>
        </w:rPr>
        <w:t xml:space="preserve">así estar en posibilidad de </w:t>
      </w:r>
      <w:r w:rsidRPr="002A2450">
        <w:rPr>
          <w:rFonts w:ascii="ITC Avant Garde" w:hAnsi="ITC Avant Garde"/>
        </w:rPr>
        <w:t>continuar con el desahogo de la prueba pericial ofrecida en materia contable</w:t>
      </w:r>
      <w:r w:rsidR="006643EF" w:rsidRPr="002A2450">
        <w:rPr>
          <w:rFonts w:ascii="ITC Avant Garde" w:hAnsi="ITC Avant Garde"/>
        </w:rPr>
        <w:t>.</w:t>
      </w:r>
    </w:p>
    <w:p w14:paraId="6D9B3225" w14:textId="77777777" w:rsidR="00B35F13" w:rsidRDefault="006643EF" w:rsidP="00B35F13">
      <w:pPr>
        <w:spacing w:before="240" w:line="360" w:lineRule="auto"/>
        <w:ind w:right="-1"/>
        <w:jc w:val="both"/>
        <w:rPr>
          <w:rFonts w:ascii="ITC Avant Garde" w:hAnsi="ITC Avant Garde"/>
        </w:rPr>
      </w:pPr>
      <w:r w:rsidRPr="002A2450">
        <w:rPr>
          <w:rFonts w:ascii="ITC Avant Garde" w:hAnsi="ITC Avant Garde"/>
        </w:rPr>
        <w:t xml:space="preserve">Asimismo, se tuvo por presentado el oficio </w:t>
      </w:r>
      <w:r w:rsidRPr="002A2450">
        <w:rPr>
          <w:rFonts w:ascii="ITC Avant Garde" w:hAnsi="ITC Avant Garde"/>
          <w:b/>
        </w:rPr>
        <w:t>IFT/226/UCE/484/2015</w:t>
      </w:r>
      <w:r w:rsidRPr="002A2450">
        <w:rPr>
          <w:rFonts w:ascii="ITC Avant Garde" w:hAnsi="ITC Avant Garde"/>
        </w:rPr>
        <w:t xml:space="preserve"> mediante el cual la Titular de la Unidad de Competencia Económica de este </w:t>
      </w:r>
      <w:r w:rsidRPr="002A2450">
        <w:rPr>
          <w:rFonts w:ascii="ITC Avant Garde" w:hAnsi="ITC Avant Garde"/>
          <w:b/>
        </w:rPr>
        <w:t>“Instituto”</w:t>
      </w:r>
      <w:r w:rsidRPr="002A2450">
        <w:rPr>
          <w:rFonts w:ascii="ITC Avant Garde" w:hAnsi="ITC Avant Garde"/>
        </w:rPr>
        <w:t xml:space="preserve"> en desahogo al requerimiento formulado mediante oficio </w:t>
      </w:r>
      <w:r w:rsidRPr="002A2450">
        <w:rPr>
          <w:rFonts w:ascii="ITC Avant Garde" w:eastAsia="Times New Roman" w:hAnsi="ITC Avant Garde"/>
          <w:b/>
          <w:bCs/>
          <w:color w:val="000000"/>
          <w:lang w:eastAsia="es-MX"/>
        </w:rPr>
        <w:t>IFT/225/UC/2476/2015</w:t>
      </w:r>
      <w:r w:rsidRPr="002A2450">
        <w:rPr>
          <w:rFonts w:ascii="ITC Avant Garde" w:eastAsia="Times New Roman" w:hAnsi="ITC Avant Garde"/>
          <w:bCs/>
          <w:color w:val="000000"/>
          <w:lang w:eastAsia="es-MX"/>
        </w:rPr>
        <w:t xml:space="preserve">, remitió </w:t>
      </w:r>
      <w:r w:rsidRPr="002A2450">
        <w:rPr>
          <w:rFonts w:ascii="ITC Avant Garde" w:hAnsi="ITC Avant Garde"/>
        </w:rPr>
        <w:t>copia certificada de los siguientes documentos: i) oficio 107.350 de veintitrés de junio de mil novecientos noventa y cinco, ii) resolución emitida por el Pleno de la entonces Comisión Federal de Competencia de quince de junio de mil novecientos noventa y cinco, dentro del expediente de concentración CNT-08-95; iii) oficio 2.-1210 de doce de junio de mil novecientos noventa y cinco, y iv) certificado provisional 003 de veintitrés de junio de mil novecientos noventa y cinco</w:t>
      </w:r>
    </w:p>
    <w:p w14:paraId="4180669F" w14:textId="77777777" w:rsidR="00B35F13" w:rsidRDefault="00A771EC" w:rsidP="00B35F13">
      <w:pPr>
        <w:spacing w:before="240" w:line="360" w:lineRule="auto"/>
        <w:ind w:right="-1"/>
        <w:jc w:val="both"/>
        <w:rPr>
          <w:rFonts w:ascii="ITC Avant Garde" w:eastAsia="Times New Roman" w:hAnsi="ITC Avant Garde"/>
          <w:bCs/>
          <w:color w:val="000000"/>
          <w:lang w:eastAsia="es-MX"/>
        </w:rPr>
      </w:pPr>
      <w:bookmarkStart w:id="27" w:name="_Toc477170130"/>
      <w:r w:rsidRPr="002A2450">
        <w:rPr>
          <w:rStyle w:val="Ttulo3Car"/>
          <w:rFonts w:eastAsiaTheme="minorHAnsi"/>
        </w:rPr>
        <w:t>VIGÉSIMO</w:t>
      </w:r>
      <w:r w:rsidR="006643EF" w:rsidRPr="002A2450">
        <w:rPr>
          <w:rStyle w:val="Ttulo3Car"/>
          <w:rFonts w:eastAsiaTheme="minorHAnsi"/>
        </w:rPr>
        <w:t xml:space="preserve"> OCTAVO</w:t>
      </w:r>
      <w:bookmarkEnd w:id="27"/>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Por oficio </w:t>
      </w:r>
      <w:r w:rsidRPr="002A2450">
        <w:rPr>
          <w:rFonts w:ascii="ITC Avant Garde" w:hAnsi="ITC Avant Garde"/>
          <w:b/>
        </w:rPr>
        <w:t xml:space="preserve">IFT/226/UCE/DGCE/094/2015 </w:t>
      </w:r>
      <w:r w:rsidRPr="002A2450">
        <w:rPr>
          <w:rFonts w:ascii="ITC Avant Garde" w:eastAsia="Times New Roman" w:hAnsi="ITC Avant Garde"/>
          <w:bCs/>
          <w:color w:val="000000"/>
          <w:lang w:eastAsia="es-MX"/>
        </w:rPr>
        <w:t xml:space="preserve">de dieciocho de diciembre de dos mil quince la Unidad de Competencia Económica </w:t>
      </w:r>
      <w:r w:rsidR="006643EF" w:rsidRPr="002A2450">
        <w:rPr>
          <w:rFonts w:ascii="ITC Avant Garde" w:eastAsia="Times New Roman" w:hAnsi="ITC Avant Garde"/>
          <w:bCs/>
          <w:color w:val="000000"/>
          <w:lang w:eastAsia="es-MX"/>
        </w:rPr>
        <w:t xml:space="preserve">remitió el </w:t>
      </w:r>
      <w:r w:rsidRPr="002A2450">
        <w:rPr>
          <w:rFonts w:ascii="ITC Avant Garde" w:eastAsia="Times New Roman" w:hAnsi="ITC Avant Garde"/>
          <w:bCs/>
          <w:color w:val="000000"/>
          <w:lang w:eastAsia="es-MX"/>
        </w:rPr>
        <w:t xml:space="preserve">dictamen pericial efectuado por el </w:t>
      </w:r>
      <w:r w:rsidRPr="002A2450">
        <w:rPr>
          <w:rFonts w:ascii="ITC Avant Garde" w:eastAsia="Times New Roman" w:hAnsi="ITC Avant Garde"/>
          <w:b/>
          <w:bCs/>
          <w:color w:val="000000"/>
          <w:lang w:eastAsia="es-MX"/>
        </w:rPr>
        <w:t xml:space="preserve">C. </w:t>
      </w:r>
      <w:r w:rsidR="00C00854" w:rsidRPr="002A2450">
        <w:rPr>
          <w:rFonts w:ascii="ITC Avant Garde" w:eastAsia="Times New Roman" w:hAnsi="ITC Avant Garde"/>
          <w:b/>
          <w:bCs/>
          <w:color w:val="000000"/>
          <w:lang w:eastAsia="es-MX"/>
        </w:rPr>
        <w:t>RAFAEL NAVARRO ACEVES</w:t>
      </w:r>
      <w:r w:rsidR="00C00854" w:rsidRPr="002A2450">
        <w:rPr>
          <w:rFonts w:ascii="ITC Avant Garde" w:eastAsia="Times New Roman" w:hAnsi="ITC Avant Garde"/>
          <w:bCs/>
          <w:color w:val="000000"/>
          <w:lang w:eastAsia="es-MX"/>
        </w:rPr>
        <w:t xml:space="preserve"> </w:t>
      </w:r>
      <w:r w:rsidR="006643EF" w:rsidRPr="002A2450">
        <w:rPr>
          <w:rFonts w:ascii="ITC Avant Garde" w:eastAsia="Times New Roman" w:hAnsi="ITC Avant Garde"/>
          <w:bCs/>
          <w:color w:val="000000"/>
          <w:lang w:eastAsia="es-MX"/>
        </w:rPr>
        <w:t xml:space="preserve">perito en materia económica </w:t>
      </w:r>
      <w:r w:rsidRPr="002A2450">
        <w:rPr>
          <w:rFonts w:ascii="ITC Avant Garde" w:eastAsia="Times New Roman" w:hAnsi="ITC Avant Garde"/>
          <w:bCs/>
          <w:color w:val="000000"/>
          <w:lang w:eastAsia="es-MX"/>
        </w:rPr>
        <w:t>por parte de</w:t>
      </w:r>
      <w:r w:rsidR="006643EF" w:rsidRPr="002A2450">
        <w:rPr>
          <w:rFonts w:ascii="ITC Avant Garde" w:eastAsia="Times New Roman" w:hAnsi="ITC Avant Garde"/>
          <w:bCs/>
          <w:color w:val="000000"/>
          <w:lang w:eastAsia="es-MX"/>
        </w:rPr>
        <w:t xml:space="preserve"> este </w:t>
      </w:r>
      <w:r w:rsidR="006643EF"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Instituto</w:t>
      </w:r>
      <w:r w:rsidR="006643EF"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de conformidad con el cuestionar</w:t>
      </w:r>
      <w:r w:rsidR="00C00854" w:rsidRPr="002A2450">
        <w:rPr>
          <w:rFonts w:ascii="ITC Avant Garde" w:eastAsia="Times New Roman" w:hAnsi="ITC Avant Garde"/>
          <w:bCs/>
          <w:color w:val="000000"/>
          <w:lang w:eastAsia="es-MX"/>
        </w:rPr>
        <w:t>io que presentó</w:t>
      </w:r>
      <w:r w:rsidRPr="002A2450">
        <w:rPr>
          <w:rFonts w:ascii="ITC Avant Garde" w:eastAsia="Times New Roman" w:hAnsi="ITC Avant Garde"/>
          <w:bCs/>
          <w:color w:val="000000"/>
          <w:lang w:eastAsia="es-MX"/>
        </w:rPr>
        <w:t xml:space="preserv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w:t>
      </w:r>
      <w:r w:rsidR="005B4643" w:rsidRPr="002A2450">
        <w:rPr>
          <w:rFonts w:ascii="ITC Avant Garde" w:eastAsia="Times New Roman" w:hAnsi="ITC Avant Garde"/>
          <w:bCs/>
          <w:color w:val="000000"/>
          <w:lang w:eastAsia="es-MX"/>
        </w:rPr>
        <w:t xml:space="preserve">al ofrecer la </w:t>
      </w:r>
      <w:r w:rsidRPr="002A2450">
        <w:rPr>
          <w:rFonts w:ascii="ITC Avant Garde" w:eastAsia="Times New Roman" w:hAnsi="ITC Avant Garde"/>
          <w:bCs/>
          <w:color w:val="000000"/>
          <w:lang w:eastAsia="es-MX"/>
        </w:rPr>
        <w:t>prueba pericial.</w:t>
      </w:r>
    </w:p>
    <w:p w14:paraId="5A61F508" w14:textId="77777777" w:rsidR="00B35F13" w:rsidRDefault="00A771EC" w:rsidP="00B35F13">
      <w:pPr>
        <w:spacing w:before="240" w:line="360" w:lineRule="auto"/>
        <w:ind w:right="-1"/>
        <w:jc w:val="both"/>
        <w:rPr>
          <w:rFonts w:ascii="ITC Avant Garde" w:eastAsia="Times New Roman" w:hAnsi="ITC Avant Garde"/>
          <w:bCs/>
          <w:color w:val="000000"/>
          <w:lang w:eastAsia="es-MX"/>
        </w:rPr>
      </w:pPr>
      <w:bookmarkStart w:id="28" w:name="_Toc477170131"/>
      <w:r w:rsidRPr="002A2450">
        <w:rPr>
          <w:rStyle w:val="Ttulo3Car"/>
          <w:rFonts w:eastAsiaTheme="minorHAnsi"/>
        </w:rPr>
        <w:t>VIGÉSIMO</w:t>
      </w:r>
      <w:r w:rsidR="00E66C77" w:rsidRPr="002A2450">
        <w:rPr>
          <w:rStyle w:val="Ttulo3Car"/>
          <w:rFonts w:eastAsiaTheme="minorHAnsi"/>
        </w:rPr>
        <w:t xml:space="preserve"> NOVENO</w:t>
      </w:r>
      <w:bookmarkEnd w:id="28"/>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Mediante escrito presentado el once de enero de dos mil dieciséis ante la </w:t>
      </w:r>
      <w:r w:rsidR="000302BB" w:rsidRPr="002A2450">
        <w:rPr>
          <w:rFonts w:ascii="ITC Avant Garde" w:eastAsia="Times New Roman" w:hAnsi="ITC Avant Garde"/>
          <w:bCs/>
          <w:color w:val="000000"/>
          <w:lang w:eastAsia="es-MX"/>
        </w:rPr>
        <w:t xml:space="preserve">Oficialía </w:t>
      </w:r>
      <w:r w:rsidRPr="002A2450">
        <w:rPr>
          <w:rFonts w:ascii="ITC Avant Garde" w:eastAsia="Times New Roman" w:hAnsi="ITC Avant Garde"/>
          <w:bCs/>
          <w:color w:val="000000"/>
          <w:lang w:eastAsia="es-MX"/>
        </w:rPr>
        <w:t xml:space="preserve">de </w:t>
      </w:r>
      <w:r w:rsidR="000302BB" w:rsidRPr="002A2450">
        <w:rPr>
          <w:rFonts w:ascii="ITC Avant Garde" w:eastAsia="Times New Roman" w:hAnsi="ITC Avant Garde"/>
          <w:bCs/>
          <w:color w:val="000000"/>
          <w:lang w:eastAsia="es-MX"/>
        </w:rPr>
        <w:t xml:space="preserve">Partes </w:t>
      </w:r>
      <w:r w:rsidRPr="002A2450">
        <w:rPr>
          <w:rFonts w:ascii="ITC Avant Garde" w:eastAsia="Times New Roman" w:hAnsi="ITC Avant Garde"/>
          <w:bCs/>
          <w:color w:val="000000"/>
          <w:lang w:eastAsia="es-MX"/>
        </w:rPr>
        <w:t xml:space="preserve">de este </w:t>
      </w:r>
      <w:r w:rsidR="001E13CC" w:rsidRPr="002A2450">
        <w:rPr>
          <w:rFonts w:ascii="ITC Avant Garde" w:eastAsia="Times New Roman" w:hAnsi="ITC Avant Garde"/>
          <w:b/>
          <w:bCs/>
          <w:color w:val="000000"/>
          <w:lang w:eastAsia="es-MX"/>
        </w:rPr>
        <w:t>“</w:t>
      </w:r>
      <w:r w:rsidRPr="009E34A4">
        <w:rPr>
          <w:rFonts w:ascii="ITC Avant Garde" w:eastAsia="Times New Roman" w:hAnsi="ITC Avant Garde"/>
          <w:b/>
          <w:bCs/>
          <w:color w:val="000000"/>
          <w:lang w:eastAsia="es-MX"/>
        </w:rPr>
        <w:t>Instituto</w:t>
      </w:r>
      <w:r w:rsidR="001E13CC"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el</w:t>
      </w:r>
      <w:r w:rsidRPr="005E1F62">
        <w:rPr>
          <w:rFonts w:ascii="ITC Avant Garde" w:eastAsia="Times New Roman" w:hAnsi="ITC Avant Garde"/>
          <w:b/>
          <w:bCs/>
          <w:color w:val="000000"/>
          <w:lang w:eastAsia="es-MX"/>
        </w:rPr>
        <w:t xml:space="preserve"> </w:t>
      </w:r>
      <w:r w:rsidR="002644B1" w:rsidRPr="005E1F62">
        <w:rPr>
          <w:rFonts w:ascii="ITC Avant Garde" w:eastAsiaTheme="majorEastAsia" w:hAnsi="ITC Avant Garde" w:cstheme="majorBidi"/>
          <w:b/>
          <w:color w:val="0000FF"/>
          <w:szCs w:val="32"/>
        </w:rPr>
        <w:t>“CONFIDENCIAL POR LEY”</w:t>
      </w:r>
      <w:r w:rsidR="002644B1">
        <w:rPr>
          <w:rFonts w:ascii="ITC Avant Garde" w:eastAsiaTheme="majorEastAsia" w:hAnsi="ITC Avant Garde" w:cstheme="majorBidi"/>
          <w:color w:val="0000FF"/>
          <w:szCs w:val="32"/>
        </w:rPr>
        <w:t xml:space="preserve"> </w:t>
      </w:r>
      <w:r w:rsidR="006643EF" w:rsidRPr="002A2450">
        <w:rPr>
          <w:rFonts w:ascii="ITC Avant Garde" w:eastAsia="Times New Roman" w:hAnsi="ITC Avant Garde"/>
          <w:bCs/>
          <w:color w:val="000000"/>
          <w:lang w:eastAsia="es-MX"/>
        </w:rPr>
        <w:t xml:space="preserve">perito en materia </w:t>
      </w:r>
      <w:r w:rsidR="001E13CC" w:rsidRPr="002A2450">
        <w:rPr>
          <w:rFonts w:ascii="ITC Avant Garde" w:eastAsia="Times New Roman" w:hAnsi="ITC Avant Garde"/>
          <w:bCs/>
          <w:color w:val="000000"/>
          <w:lang w:eastAsia="es-MX"/>
        </w:rPr>
        <w:t xml:space="preserve">economía </w:t>
      </w:r>
      <w:r w:rsidRPr="002A2450">
        <w:rPr>
          <w:rFonts w:ascii="ITC Avant Garde" w:eastAsia="Times New Roman" w:hAnsi="ITC Avant Garde"/>
          <w:bCs/>
          <w:color w:val="000000"/>
          <w:lang w:eastAsia="es-MX"/>
        </w:rPr>
        <w:t xml:space="preserve">por parte de </w:t>
      </w:r>
      <w:r w:rsidRPr="002A2450">
        <w:rPr>
          <w:rFonts w:ascii="ITC Avant Garde" w:eastAsia="Times New Roman" w:hAnsi="ITC Avant Garde"/>
          <w:b/>
          <w:bCs/>
          <w:color w:val="000000"/>
          <w:lang w:eastAsia="es-MX"/>
        </w:rPr>
        <w:t xml:space="preserve">“TELMEX”, </w:t>
      </w:r>
      <w:r w:rsidR="006643EF" w:rsidRPr="002A2450">
        <w:rPr>
          <w:rFonts w:ascii="ITC Avant Garde" w:eastAsia="Times New Roman" w:hAnsi="ITC Avant Garde"/>
          <w:bCs/>
          <w:color w:val="000000"/>
          <w:lang w:eastAsia="es-MX"/>
        </w:rPr>
        <w:t xml:space="preserve">informó a esta Unidad de Cumplimiento que </w:t>
      </w:r>
      <w:r w:rsidRPr="002A2450">
        <w:rPr>
          <w:rFonts w:ascii="ITC Avant Garde" w:eastAsia="Times New Roman" w:hAnsi="ITC Avant Garde"/>
          <w:bCs/>
          <w:color w:val="000000"/>
          <w:lang w:eastAsia="es-MX"/>
        </w:rPr>
        <w:t xml:space="preserve">el siete de enero de la misma anualidad, presentó </w:t>
      </w:r>
      <w:r w:rsidR="006643EF" w:rsidRPr="002A2450">
        <w:rPr>
          <w:rFonts w:ascii="ITC Avant Garde" w:eastAsia="Times New Roman" w:hAnsi="ITC Avant Garde"/>
          <w:bCs/>
          <w:color w:val="000000"/>
          <w:lang w:eastAsia="es-MX"/>
        </w:rPr>
        <w:t xml:space="preserve">un </w:t>
      </w:r>
      <w:r w:rsidRPr="002A2450">
        <w:rPr>
          <w:rFonts w:ascii="ITC Avant Garde" w:eastAsia="Times New Roman" w:hAnsi="ITC Avant Garde"/>
          <w:bCs/>
          <w:color w:val="000000"/>
          <w:lang w:eastAsia="es-MX"/>
        </w:rPr>
        <w:t xml:space="preserve">escrito </w:t>
      </w:r>
      <w:r w:rsidR="006643EF" w:rsidRPr="002A2450">
        <w:rPr>
          <w:rFonts w:ascii="ITC Avant Garde" w:eastAsia="Times New Roman" w:hAnsi="ITC Avant Garde"/>
          <w:bCs/>
          <w:color w:val="000000"/>
          <w:lang w:eastAsia="es-MX"/>
        </w:rPr>
        <w:t xml:space="preserve">mediante el cual rindió su dictamen en materia de economía ante este </w:t>
      </w:r>
      <w:r w:rsidR="006643EF" w:rsidRPr="002A2450">
        <w:rPr>
          <w:rFonts w:ascii="ITC Avant Garde" w:eastAsia="Times New Roman" w:hAnsi="ITC Avant Garde"/>
          <w:b/>
          <w:bCs/>
          <w:color w:val="000000"/>
          <w:lang w:eastAsia="es-MX"/>
        </w:rPr>
        <w:t xml:space="preserve">“Instituto”, </w:t>
      </w:r>
      <w:r w:rsidR="006643EF" w:rsidRPr="002A2450">
        <w:rPr>
          <w:rFonts w:ascii="ITC Avant Garde" w:eastAsia="Times New Roman" w:hAnsi="ITC Avant Garde"/>
          <w:bCs/>
          <w:color w:val="000000"/>
          <w:lang w:eastAsia="es-MX"/>
        </w:rPr>
        <w:t xml:space="preserve">sin embargo, en vía de aclaración señaló que </w:t>
      </w:r>
      <w:r w:rsidR="00C00854" w:rsidRPr="002A2450">
        <w:rPr>
          <w:rFonts w:ascii="ITC Avant Garde" w:eastAsia="Times New Roman" w:hAnsi="ITC Avant Garde"/>
          <w:bCs/>
          <w:color w:val="000000"/>
          <w:lang w:eastAsia="es-MX"/>
        </w:rPr>
        <w:t xml:space="preserve">el </w:t>
      </w:r>
      <w:r w:rsidRPr="002A2450">
        <w:rPr>
          <w:rFonts w:ascii="ITC Avant Garde" w:eastAsia="Times New Roman" w:hAnsi="ITC Avant Garde"/>
          <w:bCs/>
          <w:color w:val="000000"/>
          <w:lang w:eastAsia="es-MX"/>
        </w:rPr>
        <w:t xml:space="preserve">destinatario </w:t>
      </w:r>
      <w:r w:rsidR="006643EF" w:rsidRPr="002A2450">
        <w:rPr>
          <w:rFonts w:ascii="ITC Avant Garde" w:eastAsia="Times New Roman" w:hAnsi="ITC Avant Garde"/>
          <w:bCs/>
          <w:color w:val="000000"/>
          <w:lang w:eastAsia="es-MX"/>
        </w:rPr>
        <w:t>fue</w:t>
      </w:r>
      <w:r w:rsidR="005B4643" w:rsidRPr="002A2450">
        <w:rPr>
          <w:rFonts w:ascii="ITC Avant Garde" w:eastAsia="Times New Roman" w:hAnsi="ITC Avant Garde"/>
          <w:bCs/>
          <w:color w:val="000000"/>
          <w:lang w:eastAsia="es-MX"/>
        </w:rPr>
        <w:t xml:space="preserve"> la</w:t>
      </w:r>
      <w:r w:rsidR="006643EF"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Unidad de Competencia Económica debiendo ser a la Unidad de</w:t>
      </w:r>
      <w:r w:rsidR="003D60D6" w:rsidRPr="002A2450">
        <w:rPr>
          <w:rFonts w:ascii="ITC Avant Garde" w:eastAsia="Times New Roman" w:hAnsi="ITC Avant Garde"/>
          <w:bCs/>
          <w:color w:val="000000"/>
          <w:lang w:eastAsia="es-MX"/>
        </w:rPr>
        <w:t xml:space="preserve"> Cumplimiento, por lo que solicitó tener por realizada la aclaración respectiva.</w:t>
      </w:r>
    </w:p>
    <w:p w14:paraId="3D96C093" w14:textId="44202C4C" w:rsidR="00B35F13" w:rsidRDefault="00E66C77" w:rsidP="00B35F13">
      <w:pPr>
        <w:spacing w:before="240" w:line="360" w:lineRule="auto"/>
        <w:ind w:right="-1"/>
        <w:jc w:val="both"/>
        <w:rPr>
          <w:rFonts w:ascii="ITC Avant Garde" w:eastAsia="Times New Roman" w:hAnsi="ITC Avant Garde"/>
          <w:bCs/>
          <w:color w:val="000000"/>
          <w:lang w:eastAsia="es-MX"/>
        </w:rPr>
      </w:pPr>
      <w:bookmarkStart w:id="29" w:name="_Toc477170132"/>
      <w:r w:rsidRPr="002A2450">
        <w:rPr>
          <w:rStyle w:val="Ttulo3Car"/>
          <w:rFonts w:eastAsiaTheme="minorHAnsi"/>
        </w:rPr>
        <w:lastRenderedPageBreak/>
        <w:t>TRIGÉSIMO</w:t>
      </w:r>
      <w:bookmarkEnd w:id="29"/>
      <w:r w:rsidR="00A771EC" w:rsidRPr="002A2450">
        <w:rPr>
          <w:rFonts w:ascii="ITC Avant Garde" w:eastAsia="Times New Roman" w:hAnsi="ITC Avant Garde"/>
          <w:b/>
          <w:bCs/>
          <w:color w:val="000000"/>
          <w:lang w:eastAsia="es-MX"/>
        </w:rPr>
        <w:t xml:space="preserve">. </w:t>
      </w:r>
      <w:r w:rsidR="00A771EC" w:rsidRPr="002A2450">
        <w:rPr>
          <w:rFonts w:ascii="ITC Avant Garde" w:eastAsia="Times New Roman" w:hAnsi="ITC Avant Garde"/>
          <w:bCs/>
          <w:color w:val="000000"/>
          <w:lang w:eastAsia="es-MX"/>
        </w:rPr>
        <w:t>Por acuerdo de veinte de enero de dos mil dieciséis</w:t>
      </w:r>
      <w:r w:rsidR="001E13CC" w:rsidRPr="002A2450">
        <w:rPr>
          <w:rFonts w:ascii="ITC Avant Garde" w:eastAsia="Times New Roman" w:hAnsi="ITC Avant Garde"/>
          <w:bCs/>
          <w:color w:val="000000"/>
          <w:lang w:eastAsia="es-MX"/>
        </w:rPr>
        <w:t>,</w:t>
      </w:r>
      <w:r w:rsidR="00A771EC" w:rsidRPr="002A2450">
        <w:rPr>
          <w:rFonts w:ascii="ITC Avant Garde" w:eastAsia="Times New Roman" w:hAnsi="ITC Avant Garde"/>
          <w:bCs/>
          <w:color w:val="000000"/>
          <w:lang w:eastAsia="es-MX"/>
        </w:rPr>
        <w:t xml:space="preserve"> se d</w:t>
      </w:r>
      <w:r w:rsidR="003D60D6" w:rsidRPr="002A2450">
        <w:rPr>
          <w:rFonts w:ascii="ITC Avant Garde" w:eastAsia="Times New Roman" w:hAnsi="ITC Avant Garde"/>
          <w:bCs/>
          <w:color w:val="000000"/>
          <w:lang w:eastAsia="es-MX"/>
        </w:rPr>
        <w:t xml:space="preserve">io </w:t>
      </w:r>
      <w:r w:rsidR="00A771EC" w:rsidRPr="002A2450">
        <w:rPr>
          <w:rFonts w:ascii="ITC Avant Garde" w:eastAsia="Times New Roman" w:hAnsi="ITC Avant Garde"/>
          <w:bCs/>
          <w:color w:val="000000"/>
          <w:lang w:eastAsia="es-MX"/>
        </w:rPr>
        <w:t xml:space="preserve">cuenta del oficio </w:t>
      </w:r>
      <w:r w:rsidR="003D60D6" w:rsidRPr="002A2450">
        <w:rPr>
          <w:rFonts w:ascii="ITC Avant Garde" w:eastAsia="Times New Roman" w:hAnsi="ITC Avant Garde"/>
          <w:b/>
          <w:bCs/>
          <w:color w:val="000000"/>
          <w:lang w:eastAsia="es-MX"/>
        </w:rPr>
        <w:t xml:space="preserve">FT/226/UCE/DGCE/094/2015 </w:t>
      </w:r>
      <w:r w:rsidR="003D60D6" w:rsidRPr="002A2450">
        <w:rPr>
          <w:rFonts w:ascii="ITC Avant Garde" w:eastAsia="Times New Roman" w:hAnsi="ITC Avant Garde"/>
          <w:bCs/>
          <w:color w:val="000000"/>
          <w:lang w:eastAsia="es-MX"/>
        </w:rPr>
        <w:t xml:space="preserve">de dieciocho de diciembre de dos mil quince, signado por el Director General de Consulta Económica de la Unidad de Competencia Económica de este </w:t>
      </w:r>
      <w:r w:rsidR="00457FBA" w:rsidRPr="002A2450">
        <w:rPr>
          <w:rFonts w:ascii="ITC Avant Garde" w:eastAsia="Times New Roman" w:hAnsi="ITC Avant Garde"/>
          <w:b/>
          <w:bCs/>
          <w:color w:val="000000"/>
          <w:lang w:eastAsia="es-MX"/>
        </w:rPr>
        <w:t>“</w:t>
      </w:r>
      <w:r w:rsidR="003D60D6" w:rsidRPr="002A2450">
        <w:rPr>
          <w:rFonts w:ascii="ITC Avant Garde" w:eastAsia="Times New Roman" w:hAnsi="ITC Avant Garde"/>
          <w:b/>
          <w:bCs/>
          <w:color w:val="000000"/>
          <w:lang w:eastAsia="es-MX"/>
        </w:rPr>
        <w:t>Instituto</w:t>
      </w:r>
      <w:r w:rsidR="00457FBA" w:rsidRPr="002A2450">
        <w:rPr>
          <w:rFonts w:ascii="ITC Avant Garde" w:eastAsia="Times New Roman" w:hAnsi="ITC Avant Garde"/>
          <w:b/>
          <w:bCs/>
          <w:color w:val="000000"/>
          <w:lang w:eastAsia="es-MX"/>
        </w:rPr>
        <w:t>”</w:t>
      </w:r>
      <w:r w:rsidR="003D60D6" w:rsidRPr="002A2450">
        <w:rPr>
          <w:rFonts w:ascii="ITC Avant Garde" w:eastAsia="Times New Roman" w:hAnsi="ITC Avant Garde"/>
          <w:bCs/>
          <w:color w:val="000000"/>
          <w:lang w:eastAsia="es-MX"/>
        </w:rPr>
        <w:t xml:space="preserve">, mediante el cual remitió el dictamen pericial en materia de economía suscrito por el </w:t>
      </w:r>
      <w:r w:rsidR="003D60D6" w:rsidRPr="002A2450">
        <w:rPr>
          <w:rFonts w:ascii="ITC Avant Garde" w:eastAsia="Times New Roman" w:hAnsi="ITC Avant Garde"/>
          <w:b/>
          <w:bCs/>
          <w:color w:val="000000"/>
          <w:lang w:eastAsia="es-MX"/>
        </w:rPr>
        <w:t xml:space="preserve">C. </w:t>
      </w:r>
      <w:r w:rsidR="00C00854" w:rsidRPr="002A2450">
        <w:rPr>
          <w:rFonts w:ascii="ITC Avant Garde" w:eastAsia="Times New Roman" w:hAnsi="ITC Avant Garde"/>
          <w:b/>
          <w:bCs/>
          <w:color w:val="000000"/>
          <w:lang w:eastAsia="es-MX"/>
        </w:rPr>
        <w:t>RAFAEL NAVARRO ACEVES</w:t>
      </w:r>
      <w:r w:rsidR="003D60D6" w:rsidRPr="002A2450">
        <w:rPr>
          <w:rFonts w:ascii="ITC Avant Garde" w:eastAsia="Times New Roman" w:hAnsi="ITC Avant Garde"/>
          <w:b/>
          <w:bCs/>
          <w:color w:val="000000"/>
          <w:lang w:eastAsia="es-MX"/>
        </w:rPr>
        <w:t>,</w:t>
      </w:r>
      <w:r w:rsidR="003D60D6" w:rsidRPr="002A2450">
        <w:rPr>
          <w:rFonts w:ascii="ITC Avant Garde" w:eastAsia="Times New Roman" w:hAnsi="ITC Avant Garde"/>
          <w:bCs/>
          <w:color w:val="000000"/>
          <w:lang w:eastAsia="es-MX"/>
        </w:rPr>
        <w:t xml:space="preserve"> perito designado por esta autoridad; así como del escrito presentado el once de enero de</w:t>
      </w:r>
      <w:r w:rsidR="00AC45B7" w:rsidRPr="002A2450">
        <w:rPr>
          <w:rFonts w:ascii="ITC Avant Garde" w:eastAsia="Times New Roman" w:hAnsi="ITC Avant Garde"/>
          <w:bCs/>
          <w:color w:val="000000"/>
          <w:lang w:eastAsia="es-MX"/>
        </w:rPr>
        <w:t xml:space="preserve"> dos mil dieciséis </w:t>
      </w:r>
      <w:r w:rsidR="003D60D6" w:rsidRPr="002A2450">
        <w:rPr>
          <w:rFonts w:ascii="ITC Avant Garde" w:eastAsia="Times New Roman" w:hAnsi="ITC Avant Garde"/>
          <w:bCs/>
          <w:color w:val="000000"/>
          <w:lang w:eastAsia="es-MX"/>
        </w:rPr>
        <w:t xml:space="preserve">ante la Oficialía de Partes de este </w:t>
      </w:r>
      <w:r w:rsidR="003D60D6" w:rsidRPr="002A2450">
        <w:rPr>
          <w:rFonts w:ascii="ITC Avant Garde" w:eastAsia="Times New Roman" w:hAnsi="ITC Avant Garde"/>
          <w:b/>
          <w:bCs/>
          <w:color w:val="000000"/>
          <w:lang w:eastAsia="es-MX"/>
        </w:rPr>
        <w:t>“Instituto”</w:t>
      </w:r>
      <w:r w:rsidR="003D60D6" w:rsidRPr="002A2450">
        <w:rPr>
          <w:rFonts w:ascii="ITC Avant Garde" w:eastAsia="Times New Roman" w:hAnsi="ITC Avant Garde"/>
          <w:bCs/>
          <w:color w:val="000000"/>
          <w:lang w:eastAsia="es-MX"/>
        </w:rPr>
        <w:t xml:space="preserve">, por medio del cual el </w:t>
      </w:r>
      <w:r w:rsidR="002644B1" w:rsidRPr="005E1F62">
        <w:rPr>
          <w:rFonts w:ascii="ITC Avant Garde" w:eastAsiaTheme="majorEastAsia" w:hAnsi="ITC Avant Garde" w:cstheme="majorBidi"/>
          <w:b/>
          <w:color w:val="0000FF"/>
          <w:szCs w:val="32"/>
        </w:rPr>
        <w:t>“CONFIDENCIAL POR LEY”</w:t>
      </w:r>
      <w:r w:rsidR="003D60D6" w:rsidRPr="005E1F62">
        <w:rPr>
          <w:rFonts w:ascii="ITC Avant Garde" w:eastAsia="Times New Roman" w:hAnsi="ITC Avant Garde"/>
          <w:b/>
          <w:bCs/>
          <w:color w:val="000000"/>
          <w:lang w:eastAsia="es-MX"/>
        </w:rPr>
        <w:t>,</w:t>
      </w:r>
      <w:r w:rsidR="003D60D6" w:rsidRPr="002A2450">
        <w:rPr>
          <w:rFonts w:ascii="ITC Avant Garde" w:eastAsia="Times New Roman" w:hAnsi="ITC Avant Garde"/>
          <w:bCs/>
          <w:color w:val="000000"/>
          <w:lang w:eastAsia="es-MX"/>
        </w:rPr>
        <w:t xml:space="preserve"> perito en economía designado por </w:t>
      </w:r>
      <w:r w:rsidR="003D60D6" w:rsidRPr="002A2450">
        <w:rPr>
          <w:rFonts w:ascii="ITC Avant Garde" w:eastAsia="Times New Roman" w:hAnsi="ITC Avant Garde"/>
          <w:b/>
          <w:bCs/>
          <w:color w:val="000000"/>
          <w:lang w:eastAsia="es-MX"/>
        </w:rPr>
        <w:t>“TELMEX”</w:t>
      </w:r>
      <w:r w:rsidR="003D60D6" w:rsidRPr="002A2450">
        <w:rPr>
          <w:rFonts w:ascii="ITC Avant Garde" w:eastAsia="Times New Roman" w:hAnsi="ITC Avant Garde"/>
          <w:bCs/>
          <w:color w:val="000000"/>
          <w:lang w:eastAsia="es-MX"/>
        </w:rPr>
        <w:t>, en alcance a su escrito presentado el siete de enero pasado ante la citada Oficialía, manifestó en vía de aclaración</w:t>
      </w:r>
      <w:r w:rsidR="00AC45B7" w:rsidRPr="002A2450">
        <w:rPr>
          <w:rFonts w:ascii="ITC Avant Garde" w:eastAsia="Times New Roman" w:hAnsi="ITC Avant Garde"/>
          <w:bCs/>
          <w:color w:val="000000"/>
          <w:lang w:eastAsia="es-MX"/>
        </w:rPr>
        <w:t xml:space="preserve"> que</w:t>
      </w:r>
      <w:r w:rsidR="003D60D6" w:rsidRPr="002A2450">
        <w:rPr>
          <w:rFonts w:ascii="ITC Avant Garde" w:eastAsia="Times New Roman" w:hAnsi="ITC Avant Garde"/>
          <w:bCs/>
          <w:color w:val="000000"/>
          <w:lang w:eastAsia="es-MX"/>
        </w:rPr>
        <w:t xml:space="preserve"> el escrito presentado el siete de enero del</w:t>
      </w:r>
      <w:r w:rsidR="00C8156F" w:rsidRPr="002A2450">
        <w:rPr>
          <w:rFonts w:ascii="ITC Avant Garde" w:eastAsia="Times New Roman" w:hAnsi="ITC Avant Garde"/>
          <w:bCs/>
          <w:color w:val="000000"/>
          <w:lang w:eastAsia="es-MX"/>
        </w:rPr>
        <w:t xml:space="preserve"> dos mil dieciséis</w:t>
      </w:r>
      <w:r w:rsidR="003D60D6" w:rsidRPr="002A2450">
        <w:rPr>
          <w:rFonts w:ascii="ITC Avant Garde" w:eastAsia="Times New Roman" w:hAnsi="ITC Avant Garde"/>
          <w:bCs/>
          <w:color w:val="000000"/>
          <w:lang w:eastAsia="es-MX"/>
        </w:rPr>
        <w:t xml:space="preserve">, fue dirigido a la Unidad de Competencia Económica cuando lo correcto era </w:t>
      </w:r>
      <w:r w:rsidR="00AC45B7" w:rsidRPr="002A2450">
        <w:rPr>
          <w:rFonts w:ascii="ITC Avant Garde" w:eastAsia="Times New Roman" w:hAnsi="ITC Avant Garde"/>
          <w:bCs/>
          <w:color w:val="000000"/>
          <w:lang w:eastAsia="es-MX"/>
        </w:rPr>
        <w:t xml:space="preserve">la </w:t>
      </w:r>
      <w:r w:rsidR="003D60D6" w:rsidRPr="002A2450">
        <w:rPr>
          <w:rFonts w:ascii="ITC Avant Garde" w:eastAsia="Times New Roman" w:hAnsi="ITC Avant Garde"/>
          <w:bCs/>
          <w:color w:val="000000"/>
          <w:lang w:eastAsia="es-MX"/>
        </w:rPr>
        <w:t>Unidad de Cumplimiento, por lo que solicit</w:t>
      </w:r>
      <w:r w:rsidR="00457FBA" w:rsidRPr="002A2450">
        <w:rPr>
          <w:rFonts w:ascii="ITC Avant Garde" w:eastAsia="Times New Roman" w:hAnsi="ITC Avant Garde"/>
          <w:bCs/>
          <w:color w:val="000000"/>
          <w:lang w:eastAsia="es-MX"/>
        </w:rPr>
        <w:t xml:space="preserve">ó se tuviera </w:t>
      </w:r>
      <w:r w:rsidR="003D60D6" w:rsidRPr="002A2450">
        <w:rPr>
          <w:rFonts w:ascii="ITC Avant Garde" w:eastAsia="Times New Roman" w:hAnsi="ITC Avant Garde"/>
          <w:bCs/>
          <w:color w:val="000000"/>
          <w:lang w:eastAsia="es-MX"/>
        </w:rPr>
        <w:t xml:space="preserve">por hecha la aclaración señalada y por exhibido en tiempo y forma el dictamen pericial presentado el siete </w:t>
      </w:r>
      <w:r w:rsidR="00AC45B7" w:rsidRPr="002A2450">
        <w:rPr>
          <w:rFonts w:ascii="ITC Avant Garde" w:eastAsia="Times New Roman" w:hAnsi="ITC Avant Garde"/>
          <w:bCs/>
          <w:color w:val="000000"/>
          <w:lang w:eastAsia="es-MX"/>
        </w:rPr>
        <w:t>de enero de dicha anualidad</w:t>
      </w:r>
      <w:r w:rsidR="003D60D6" w:rsidRPr="002A2450">
        <w:rPr>
          <w:rFonts w:ascii="ITC Avant Garde" w:eastAsia="Times New Roman" w:hAnsi="ITC Avant Garde"/>
          <w:bCs/>
          <w:color w:val="000000"/>
          <w:lang w:eastAsia="es-MX"/>
        </w:rPr>
        <w:t xml:space="preserve">, y finalmente se dio cuenta con el oficio </w:t>
      </w:r>
      <w:r w:rsidR="003D60D6" w:rsidRPr="002A2450">
        <w:rPr>
          <w:rFonts w:ascii="ITC Avant Garde" w:eastAsia="Times New Roman" w:hAnsi="ITC Avant Garde"/>
          <w:b/>
          <w:bCs/>
          <w:color w:val="000000"/>
          <w:lang w:eastAsia="es-MX"/>
        </w:rPr>
        <w:t>IFT/226/UCE/013/2016</w:t>
      </w:r>
      <w:r w:rsidR="003D60D6" w:rsidRPr="002A2450">
        <w:rPr>
          <w:rFonts w:ascii="ITC Avant Garde" w:eastAsia="Times New Roman" w:hAnsi="ITC Avant Garde"/>
          <w:bCs/>
          <w:color w:val="000000"/>
          <w:lang w:eastAsia="es-MX"/>
        </w:rPr>
        <w:t xml:space="preserve"> de once de enero del</w:t>
      </w:r>
      <w:r w:rsidR="00C8156F" w:rsidRPr="002A2450">
        <w:rPr>
          <w:rFonts w:ascii="ITC Avant Garde" w:eastAsia="Times New Roman" w:hAnsi="ITC Avant Garde"/>
          <w:bCs/>
          <w:color w:val="000000"/>
          <w:lang w:eastAsia="es-MX"/>
        </w:rPr>
        <w:t xml:space="preserve"> dos mil dieciséis</w:t>
      </w:r>
      <w:r w:rsidR="003D60D6" w:rsidRPr="002A2450">
        <w:rPr>
          <w:rFonts w:ascii="ITC Avant Garde" w:eastAsia="Times New Roman" w:hAnsi="ITC Avant Garde"/>
          <w:bCs/>
          <w:color w:val="000000"/>
          <w:lang w:eastAsia="es-MX"/>
        </w:rPr>
        <w:t>, a través del cual la Titular de la Unidad de Competencia Económica de este</w:t>
      </w:r>
      <w:r w:rsidR="001E13CC" w:rsidRPr="002A2450">
        <w:rPr>
          <w:rFonts w:ascii="ITC Avant Garde" w:eastAsia="Times New Roman" w:hAnsi="ITC Avant Garde"/>
          <w:bCs/>
          <w:color w:val="000000"/>
          <w:lang w:eastAsia="es-MX"/>
        </w:rPr>
        <w:t xml:space="preserve"> </w:t>
      </w:r>
      <w:r w:rsidR="001E13CC" w:rsidRPr="009E34A4">
        <w:rPr>
          <w:rFonts w:ascii="ITC Avant Garde" w:eastAsia="Times New Roman" w:hAnsi="ITC Avant Garde"/>
          <w:b/>
          <w:bCs/>
          <w:color w:val="000000"/>
          <w:lang w:eastAsia="es-MX"/>
        </w:rPr>
        <w:t>“</w:t>
      </w:r>
      <w:r w:rsidR="001E13CC" w:rsidRPr="002A2450">
        <w:rPr>
          <w:rFonts w:ascii="ITC Avant Garde" w:eastAsia="Times New Roman" w:hAnsi="ITC Avant Garde"/>
          <w:b/>
          <w:bCs/>
          <w:color w:val="000000"/>
          <w:lang w:eastAsia="es-MX"/>
        </w:rPr>
        <w:t>IFT”</w:t>
      </w:r>
      <w:r w:rsidR="003D60D6" w:rsidRPr="002A2450">
        <w:rPr>
          <w:rFonts w:ascii="ITC Avant Garde" w:eastAsia="Times New Roman" w:hAnsi="ITC Avant Garde"/>
          <w:bCs/>
          <w:color w:val="000000"/>
          <w:lang w:eastAsia="es-MX"/>
        </w:rPr>
        <w:t xml:space="preserve">, remitió los escritos presentados el siete y once de enero del </w:t>
      </w:r>
      <w:r w:rsidR="00C8156F" w:rsidRPr="002A2450">
        <w:rPr>
          <w:rFonts w:ascii="ITC Avant Garde" w:eastAsia="Times New Roman" w:hAnsi="ITC Avant Garde"/>
          <w:bCs/>
          <w:color w:val="000000"/>
          <w:lang w:eastAsia="es-MX"/>
        </w:rPr>
        <w:t xml:space="preserve">dos mil </w:t>
      </w:r>
      <w:r w:rsidR="00CA2EBF" w:rsidRPr="002A2450">
        <w:rPr>
          <w:rFonts w:ascii="ITC Avant Garde" w:eastAsia="Times New Roman" w:hAnsi="ITC Avant Garde"/>
          <w:bCs/>
          <w:color w:val="000000"/>
          <w:lang w:eastAsia="es-MX"/>
        </w:rPr>
        <w:t>dieciséis</w:t>
      </w:r>
      <w:r w:rsidR="003D60D6" w:rsidRPr="002A2450">
        <w:rPr>
          <w:rFonts w:ascii="ITC Avant Garde" w:eastAsia="Times New Roman" w:hAnsi="ITC Avant Garde"/>
          <w:bCs/>
          <w:color w:val="000000"/>
          <w:lang w:eastAsia="es-MX"/>
        </w:rPr>
        <w:t xml:space="preserve">, por los que en el primero, el </w:t>
      </w:r>
      <w:r w:rsidR="002644B1" w:rsidRPr="005E1F62">
        <w:rPr>
          <w:rFonts w:ascii="ITC Avant Garde" w:eastAsiaTheme="majorEastAsia" w:hAnsi="ITC Avant Garde" w:cstheme="majorBidi"/>
          <w:b/>
          <w:color w:val="0000FF"/>
          <w:szCs w:val="32"/>
        </w:rPr>
        <w:t>“CONFIDENCIAL POR LEY”</w:t>
      </w:r>
      <w:r w:rsidR="00C00854" w:rsidRPr="002A2450">
        <w:rPr>
          <w:rFonts w:ascii="ITC Avant Garde" w:eastAsia="Times New Roman" w:hAnsi="ITC Avant Garde"/>
          <w:b/>
          <w:bCs/>
          <w:color w:val="000000"/>
          <w:lang w:eastAsia="es-MX"/>
        </w:rPr>
        <w:t xml:space="preserve"> </w:t>
      </w:r>
      <w:r w:rsidR="003D60D6" w:rsidRPr="002A2450">
        <w:rPr>
          <w:rFonts w:ascii="ITC Avant Garde" w:eastAsia="Times New Roman" w:hAnsi="ITC Avant Garde"/>
          <w:bCs/>
          <w:color w:val="000000"/>
          <w:lang w:eastAsia="es-MX"/>
        </w:rPr>
        <w:t>en su carácter de perito en materia de economía designado por</w:t>
      </w:r>
      <w:r w:rsidR="005C2120" w:rsidRPr="002A2450">
        <w:rPr>
          <w:rFonts w:ascii="ITC Avant Garde" w:eastAsia="Times New Roman" w:hAnsi="ITC Avant Garde"/>
          <w:b/>
          <w:bCs/>
          <w:color w:val="000000"/>
          <w:lang w:eastAsia="es-MX"/>
        </w:rPr>
        <w:t xml:space="preserve"> “TEL</w:t>
      </w:r>
      <w:r w:rsidR="003D60D6" w:rsidRPr="002A2450">
        <w:rPr>
          <w:rFonts w:ascii="ITC Avant Garde" w:eastAsia="Times New Roman" w:hAnsi="ITC Avant Garde"/>
          <w:b/>
          <w:bCs/>
          <w:color w:val="000000"/>
          <w:lang w:eastAsia="es-MX"/>
        </w:rPr>
        <w:t>MEX”</w:t>
      </w:r>
      <w:r w:rsidR="003D60D6" w:rsidRPr="002A2450">
        <w:rPr>
          <w:rFonts w:ascii="ITC Avant Garde" w:eastAsia="Times New Roman" w:hAnsi="ITC Avant Garde"/>
          <w:bCs/>
          <w:color w:val="000000"/>
          <w:lang w:eastAsia="es-MX"/>
        </w:rPr>
        <w:t xml:space="preserve">, en el expediente </w:t>
      </w:r>
      <w:r w:rsidR="003D60D6" w:rsidRPr="002A2450">
        <w:rPr>
          <w:rFonts w:ascii="ITC Avant Garde" w:eastAsia="Times New Roman" w:hAnsi="ITC Avant Garde"/>
          <w:b/>
          <w:bCs/>
          <w:color w:val="000000"/>
          <w:lang w:eastAsia="es-MX"/>
        </w:rPr>
        <w:t>E-IFT.UC.DG-SAN.I.0235/2015</w:t>
      </w:r>
      <w:r w:rsidR="003D60D6" w:rsidRPr="002A2450">
        <w:rPr>
          <w:rFonts w:ascii="ITC Avant Garde" w:eastAsia="Times New Roman" w:hAnsi="ITC Avant Garde"/>
          <w:bCs/>
          <w:color w:val="000000"/>
          <w:lang w:eastAsia="es-MX"/>
        </w:rPr>
        <w:t xml:space="preserve">, exhibió el dictamen en materia de economía ante la Unidad de Competencia Económica, y en el segundo de los escritos presentados, el </w:t>
      </w:r>
      <w:r w:rsidR="002644B1" w:rsidRPr="005E1F62">
        <w:rPr>
          <w:rFonts w:ascii="ITC Avant Garde" w:eastAsiaTheme="majorEastAsia" w:hAnsi="ITC Avant Garde" w:cstheme="majorBidi"/>
          <w:b/>
          <w:color w:val="0000FF"/>
          <w:szCs w:val="32"/>
        </w:rPr>
        <w:t>“CONFIDENCIAL POR LEY”</w:t>
      </w:r>
      <w:r w:rsidR="00C00854" w:rsidRPr="002A2450">
        <w:rPr>
          <w:rFonts w:ascii="ITC Avant Garde" w:eastAsia="Times New Roman" w:hAnsi="ITC Avant Garde"/>
          <w:bCs/>
          <w:color w:val="000000"/>
          <w:lang w:eastAsia="es-MX"/>
        </w:rPr>
        <w:t xml:space="preserve"> </w:t>
      </w:r>
      <w:r w:rsidR="003D60D6" w:rsidRPr="002A2450">
        <w:rPr>
          <w:rFonts w:ascii="ITC Avant Garde" w:eastAsia="Times New Roman" w:hAnsi="ITC Avant Garde"/>
          <w:bCs/>
          <w:color w:val="000000"/>
          <w:lang w:eastAsia="es-MX"/>
        </w:rPr>
        <w:t xml:space="preserve">manifestó en vía de aclaración que el dictamen presentado el siete de enero pasado fue dirigido a la Unidad de Competencia Económica de este Instituto cuando lo correcto </w:t>
      </w:r>
      <w:r w:rsidR="00AC45B7" w:rsidRPr="002A2450">
        <w:rPr>
          <w:rFonts w:ascii="ITC Avant Garde" w:eastAsia="Times New Roman" w:hAnsi="ITC Avant Garde"/>
          <w:bCs/>
          <w:color w:val="000000"/>
          <w:lang w:eastAsia="es-MX"/>
        </w:rPr>
        <w:t>era</w:t>
      </w:r>
      <w:r w:rsidR="003D60D6" w:rsidRPr="002A2450">
        <w:rPr>
          <w:rFonts w:ascii="ITC Avant Garde" w:eastAsia="Times New Roman" w:hAnsi="ITC Avant Garde"/>
          <w:bCs/>
          <w:color w:val="000000"/>
          <w:lang w:eastAsia="es-MX"/>
        </w:rPr>
        <w:t xml:space="preserve"> la Unidad de Cumplimiento.</w:t>
      </w:r>
    </w:p>
    <w:p w14:paraId="0C277583" w14:textId="77777777" w:rsidR="00B35F13" w:rsidRDefault="003D60D6" w:rsidP="00B35F13">
      <w:pPr>
        <w:spacing w:before="240" w:line="360" w:lineRule="auto"/>
        <w:ind w:right="-1"/>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Al respecto, se tuvieron por rendidos los dictámenes periciales en materia de economía suscritos por el perito designado por esta autoridad, así como el presentado por el </w:t>
      </w:r>
      <w:r w:rsidR="00194CBB" w:rsidRPr="005E1F62">
        <w:rPr>
          <w:rFonts w:ascii="ITC Avant Garde" w:eastAsiaTheme="majorEastAsia" w:hAnsi="ITC Avant Garde" w:cstheme="majorBidi"/>
          <w:b/>
          <w:color w:val="0000FF"/>
          <w:szCs w:val="32"/>
        </w:rPr>
        <w:t>“CONFIDENCIAL POR LEY”</w:t>
      </w:r>
      <w:r w:rsidR="00C00854"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en su carácter de perito en materia de economía designado por</w:t>
      </w:r>
      <w:r w:rsidRPr="002A2450">
        <w:rPr>
          <w:rFonts w:ascii="ITC Avant Garde" w:eastAsia="Times New Roman" w:hAnsi="ITC Avant Garde"/>
          <w:b/>
          <w:bCs/>
          <w:color w:val="000000"/>
          <w:lang w:eastAsia="es-MX"/>
        </w:rPr>
        <w:t xml:space="preserve"> “TELMEX”, </w:t>
      </w:r>
      <w:r w:rsidRPr="002A2450">
        <w:rPr>
          <w:rFonts w:ascii="ITC Avant Garde" w:eastAsia="Times New Roman" w:hAnsi="ITC Avant Garde"/>
          <w:bCs/>
          <w:color w:val="000000"/>
          <w:lang w:eastAsia="es-MX"/>
        </w:rPr>
        <w:t xml:space="preserve">requiriéndose </w:t>
      </w:r>
      <w:r w:rsidR="00457FBA" w:rsidRPr="002A2450">
        <w:rPr>
          <w:rFonts w:ascii="ITC Avant Garde" w:eastAsia="Times New Roman" w:hAnsi="ITC Avant Garde"/>
          <w:bCs/>
          <w:color w:val="000000"/>
          <w:lang w:eastAsia="es-MX"/>
        </w:rPr>
        <w:t xml:space="preserve">a dichos peritos </w:t>
      </w:r>
      <w:r w:rsidRPr="002A2450">
        <w:rPr>
          <w:rFonts w:ascii="ITC Avant Garde" w:eastAsia="Times New Roman" w:hAnsi="ITC Avant Garde"/>
          <w:bCs/>
          <w:color w:val="000000"/>
          <w:lang w:eastAsia="es-MX"/>
        </w:rPr>
        <w:t xml:space="preserve">para que </w:t>
      </w:r>
      <w:r w:rsidRPr="002A2450">
        <w:rPr>
          <w:rFonts w:ascii="ITC Avant Garde" w:eastAsia="Times New Roman" w:hAnsi="ITC Avant Garde"/>
          <w:bCs/>
          <w:color w:val="000000"/>
          <w:lang w:eastAsia="es-MX"/>
        </w:rPr>
        <w:lastRenderedPageBreak/>
        <w:t>dentro del plazo de tres días contados a partir de la notificación de ese acuerdo comparecieran debidamente identificados a efecto de ratificar el contenido de los dictámenes periciales rendidos.</w:t>
      </w:r>
    </w:p>
    <w:p w14:paraId="637B4BB7" w14:textId="77777777" w:rsidR="00B35F13" w:rsidRDefault="00E66C77" w:rsidP="00B35F13">
      <w:pPr>
        <w:spacing w:before="240" w:line="360" w:lineRule="auto"/>
        <w:ind w:right="-1"/>
        <w:jc w:val="both"/>
        <w:rPr>
          <w:rFonts w:ascii="ITC Avant Garde" w:hAnsi="ITC Avant Garde"/>
        </w:rPr>
      </w:pPr>
      <w:bookmarkStart w:id="30" w:name="_Toc477170133"/>
      <w:r w:rsidRPr="002A2450">
        <w:rPr>
          <w:rStyle w:val="Ttulo3Car"/>
          <w:rFonts w:eastAsiaTheme="minorHAnsi"/>
        </w:rPr>
        <w:t>TRIGÉSIMO PRIMERO</w:t>
      </w:r>
      <w:bookmarkEnd w:id="30"/>
      <w:r w:rsidR="00457FBA" w:rsidRPr="002A2450">
        <w:rPr>
          <w:rFonts w:ascii="ITC Avant Garde" w:eastAsia="Times New Roman" w:hAnsi="ITC Avant Garde"/>
          <w:bCs/>
          <w:color w:val="000000"/>
          <w:lang w:eastAsia="es-MX"/>
        </w:rPr>
        <w:t xml:space="preserve">. </w:t>
      </w:r>
      <w:r w:rsidR="003D60D6" w:rsidRPr="002A2450">
        <w:rPr>
          <w:rFonts w:ascii="ITC Avant Garde" w:eastAsia="Times New Roman" w:hAnsi="ITC Avant Garde"/>
          <w:bCs/>
          <w:color w:val="000000"/>
          <w:lang w:eastAsia="es-MX"/>
        </w:rPr>
        <w:t xml:space="preserve">El acuerdo de veinte de enero de dos mil dieciséis fue notificado a los peritos y a </w:t>
      </w:r>
      <w:r w:rsidR="003D60D6" w:rsidRPr="002A2450">
        <w:rPr>
          <w:rFonts w:ascii="ITC Avant Garde" w:eastAsia="Times New Roman" w:hAnsi="ITC Avant Garde"/>
          <w:b/>
          <w:bCs/>
          <w:color w:val="000000"/>
          <w:lang w:eastAsia="es-MX"/>
        </w:rPr>
        <w:t>“TELMEX”</w:t>
      </w:r>
      <w:r w:rsidR="003D60D6" w:rsidRPr="002A2450">
        <w:rPr>
          <w:rFonts w:ascii="ITC Avant Garde" w:eastAsia="Times New Roman" w:hAnsi="ITC Avant Garde"/>
          <w:bCs/>
          <w:color w:val="000000"/>
          <w:lang w:eastAsia="es-MX"/>
        </w:rPr>
        <w:t xml:space="preserve"> el veinticinco de enero de dos mil dieciséis, por lo que el plazo de tres días otorgado para ratificar el dictamen rendido corrió del veintiséis al veintiocho de enero de esa anualidad.</w:t>
      </w:r>
    </w:p>
    <w:p w14:paraId="28E67E74" w14:textId="77777777" w:rsidR="00B35F13" w:rsidRDefault="00E66C77" w:rsidP="00B35F13">
      <w:pPr>
        <w:spacing w:before="240" w:line="360" w:lineRule="auto"/>
        <w:ind w:right="-1"/>
        <w:jc w:val="both"/>
        <w:rPr>
          <w:rFonts w:ascii="ITC Avant Garde" w:eastAsia="Times New Roman" w:hAnsi="ITC Avant Garde"/>
          <w:bCs/>
          <w:color w:val="000000"/>
          <w:lang w:eastAsia="es-MX"/>
        </w:rPr>
      </w:pPr>
      <w:bookmarkStart w:id="31" w:name="_Toc477170134"/>
      <w:r w:rsidRPr="002A2450">
        <w:rPr>
          <w:rStyle w:val="Ttulo3Car"/>
          <w:rFonts w:eastAsiaTheme="minorHAnsi"/>
        </w:rPr>
        <w:t>TRIGÉSIMO SEGUNDO</w:t>
      </w:r>
      <w:bookmarkEnd w:id="31"/>
      <w:r w:rsidR="00A771EC" w:rsidRPr="002A2450">
        <w:rPr>
          <w:rFonts w:ascii="ITC Avant Garde" w:eastAsia="Times New Roman" w:hAnsi="ITC Avant Garde"/>
          <w:b/>
          <w:bCs/>
          <w:color w:val="000000"/>
          <w:lang w:eastAsia="es-MX"/>
        </w:rPr>
        <w:t xml:space="preserve">. </w:t>
      </w:r>
      <w:r w:rsidR="003D60D6" w:rsidRPr="002A2450">
        <w:rPr>
          <w:rFonts w:ascii="ITC Avant Garde" w:eastAsia="Times New Roman" w:hAnsi="ITC Avant Garde"/>
          <w:bCs/>
          <w:color w:val="000000"/>
          <w:lang w:eastAsia="es-MX"/>
        </w:rPr>
        <w:t xml:space="preserve">El veintisiete de enero de dos mil dieciséis, los peritos en materia de economía comparecieron ante esta autoridad a ratificar el contenido de los dictámenes periciales rendidos en el presente procedimiento, por lo que se levantó la comparecencia respectiva a cada uno de los peritos </w:t>
      </w:r>
      <w:r w:rsidRPr="002A2450">
        <w:rPr>
          <w:rFonts w:ascii="ITC Avant Garde" w:eastAsia="Times New Roman" w:hAnsi="ITC Avant Garde"/>
          <w:bCs/>
          <w:color w:val="000000"/>
          <w:lang w:eastAsia="es-MX"/>
        </w:rPr>
        <w:t>designados en el presente procedimiento.</w:t>
      </w:r>
    </w:p>
    <w:p w14:paraId="100DC29E" w14:textId="5143A42A" w:rsidR="00B35F13" w:rsidRDefault="00E66C77" w:rsidP="00B35F13">
      <w:pPr>
        <w:spacing w:before="240" w:line="360" w:lineRule="auto"/>
        <w:ind w:right="-1"/>
        <w:jc w:val="both"/>
        <w:rPr>
          <w:rFonts w:ascii="ITC Avant Garde" w:hAnsi="ITC Avant Garde"/>
        </w:rPr>
      </w:pPr>
      <w:bookmarkStart w:id="32" w:name="_Toc477170135"/>
      <w:r w:rsidRPr="002A2450">
        <w:rPr>
          <w:rStyle w:val="Ttulo3Car"/>
          <w:rFonts w:eastAsiaTheme="minorHAnsi"/>
        </w:rPr>
        <w:t>TRIGÉSIMO TERCERO</w:t>
      </w:r>
      <w:bookmarkEnd w:id="32"/>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Por</w:t>
      </w:r>
      <w:r w:rsidRPr="002A2450">
        <w:rPr>
          <w:rFonts w:ascii="ITC Avant Garde" w:eastAsia="Times New Roman" w:hAnsi="ITC Avant Garde"/>
          <w:b/>
          <w:bCs/>
          <w:color w:val="000000"/>
          <w:lang w:eastAsia="es-MX"/>
        </w:rPr>
        <w:t xml:space="preserve"> </w:t>
      </w:r>
      <w:r w:rsidR="00A771EC" w:rsidRPr="002A2450">
        <w:rPr>
          <w:rFonts w:ascii="ITC Avant Garde" w:eastAsia="Times New Roman" w:hAnsi="ITC Avant Garde"/>
          <w:bCs/>
          <w:color w:val="000000"/>
          <w:lang w:eastAsia="es-MX"/>
        </w:rPr>
        <w:t>acuerdo de diez de febrero de dos mil dieciséis se d</w:t>
      </w:r>
      <w:r w:rsidRPr="002A2450">
        <w:rPr>
          <w:rFonts w:ascii="ITC Avant Garde" w:eastAsia="Times New Roman" w:hAnsi="ITC Avant Garde"/>
          <w:bCs/>
          <w:color w:val="000000"/>
          <w:lang w:eastAsia="es-MX"/>
        </w:rPr>
        <w:t>io</w:t>
      </w:r>
      <w:r w:rsidR="00A771EC" w:rsidRPr="002A2450">
        <w:rPr>
          <w:rFonts w:ascii="ITC Avant Garde" w:eastAsia="Times New Roman" w:hAnsi="ITC Avant Garde"/>
          <w:bCs/>
          <w:color w:val="000000"/>
          <w:lang w:eastAsia="es-MX"/>
        </w:rPr>
        <w:t xml:space="preserve"> cuenta de las comparecencias de los peritos</w:t>
      </w:r>
      <w:r w:rsidR="00A771EC" w:rsidRPr="002A2450">
        <w:rPr>
          <w:rFonts w:ascii="ITC Avant Garde" w:hAnsi="ITC Avant Garde"/>
        </w:rPr>
        <w:t xml:space="preserve"> </w:t>
      </w:r>
      <w:r w:rsidR="00C00854" w:rsidRPr="002A2450">
        <w:rPr>
          <w:rFonts w:ascii="ITC Avant Garde" w:eastAsia="Times New Roman" w:hAnsi="ITC Avant Garde"/>
          <w:b/>
          <w:bCs/>
          <w:color w:val="000000"/>
          <w:lang w:eastAsia="es-MX"/>
        </w:rPr>
        <w:t>RAFAEL NAVARRO ACEVES</w:t>
      </w:r>
      <w:r w:rsidR="00C00854"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y</w:t>
      </w:r>
      <w:r w:rsidR="00A771EC" w:rsidRPr="002A2450">
        <w:rPr>
          <w:rFonts w:ascii="ITC Avant Garde" w:hAnsi="ITC Avant Garde"/>
        </w:rPr>
        <w:t xml:space="preserve"> </w:t>
      </w:r>
      <w:r w:rsidR="00194CBB" w:rsidRPr="005E1F62">
        <w:rPr>
          <w:rFonts w:ascii="ITC Avant Garde" w:eastAsiaTheme="majorEastAsia" w:hAnsi="ITC Avant Garde" w:cstheme="majorBidi"/>
          <w:b/>
          <w:color w:val="0000FF"/>
          <w:szCs w:val="32"/>
        </w:rPr>
        <w:t>“CONFIDENCIAL POR LEY”</w:t>
      </w:r>
      <w:r w:rsidR="00A771EC" w:rsidRPr="002A2450">
        <w:rPr>
          <w:rFonts w:ascii="ITC Avant Garde" w:hAnsi="ITC Avant Garde"/>
        </w:rPr>
        <w:t xml:space="preserve">, </w:t>
      </w:r>
      <w:r w:rsidRPr="002A2450">
        <w:rPr>
          <w:rFonts w:ascii="ITC Avant Garde" w:hAnsi="ITC Avant Garde"/>
        </w:rPr>
        <w:t xml:space="preserve">asimismo, se otorgó un plazo de </w:t>
      </w:r>
      <w:r w:rsidR="00A771EC" w:rsidRPr="002A2450">
        <w:rPr>
          <w:rFonts w:ascii="ITC Avant Garde" w:hAnsi="ITC Avant Garde"/>
        </w:rPr>
        <w:t xml:space="preserve">diez días </w:t>
      </w:r>
      <w:r w:rsidRPr="002A2450">
        <w:rPr>
          <w:rFonts w:ascii="ITC Avant Garde" w:hAnsi="ITC Avant Garde"/>
        </w:rPr>
        <w:t xml:space="preserve">hábiles </w:t>
      </w:r>
      <w:r w:rsidR="00A771EC" w:rsidRPr="002A2450">
        <w:rPr>
          <w:rFonts w:ascii="ITC Avant Garde" w:hAnsi="ITC Avant Garde"/>
        </w:rPr>
        <w:t>contados a partir de que surt</w:t>
      </w:r>
      <w:r w:rsidRPr="002A2450">
        <w:rPr>
          <w:rFonts w:ascii="ITC Avant Garde" w:hAnsi="ITC Avant Garde"/>
        </w:rPr>
        <w:t>iera</w:t>
      </w:r>
      <w:r w:rsidR="00A771EC" w:rsidRPr="002A2450">
        <w:rPr>
          <w:rFonts w:ascii="ITC Avant Garde" w:hAnsi="ITC Avant Garde"/>
        </w:rPr>
        <w:t xml:space="preserve"> efectos la notificación d</w:t>
      </w:r>
      <w:r w:rsidRPr="002A2450">
        <w:rPr>
          <w:rFonts w:ascii="ITC Avant Garde" w:hAnsi="ITC Avant Garde"/>
        </w:rPr>
        <w:t xml:space="preserve">el acuerdo en mención para que </w:t>
      </w:r>
      <w:r w:rsidR="00A771EC" w:rsidRPr="002A2450">
        <w:rPr>
          <w:rFonts w:ascii="ITC Avant Garde" w:hAnsi="ITC Avant Garde"/>
          <w:b/>
        </w:rPr>
        <w:t xml:space="preserve">“TELMEX” </w:t>
      </w:r>
      <w:r w:rsidR="00A771EC" w:rsidRPr="002A2450">
        <w:rPr>
          <w:rFonts w:ascii="ITC Avant Garde" w:hAnsi="ITC Avant Garde"/>
        </w:rPr>
        <w:t>manifestara lo que a su derecho conviniera, haciendo la aclaración que se encontraba pendiente de desahogo la prueba pericial en materia contable, continuando con el trámite del procedimiento administrativo de imposición de sanción y en cuanto se desahog</w:t>
      </w:r>
      <w:r w:rsidRPr="002A2450">
        <w:rPr>
          <w:rFonts w:ascii="ITC Avant Garde" w:hAnsi="ITC Avant Garde"/>
        </w:rPr>
        <w:t>ara</w:t>
      </w:r>
      <w:r w:rsidR="00A771EC" w:rsidRPr="002A2450">
        <w:rPr>
          <w:rFonts w:ascii="ITC Avant Garde" w:hAnsi="ITC Avant Garde"/>
        </w:rPr>
        <w:t xml:space="preserve"> la prueba pericial pendiente, y se</w:t>
      </w:r>
      <w:r w:rsidRPr="002A2450">
        <w:rPr>
          <w:rFonts w:ascii="ITC Avant Garde" w:hAnsi="ITC Avant Garde"/>
        </w:rPr>
        <w:t xml:space="preserve"> encontrara </w:t>
      </w:r>
      <w:r w:rsidR="00A771EC" w:rsidRPr="002A2450">
        <w:rPr>
          <w:rFonts w:ascii="ITC Avant Garde" w:hAnsi="ITC Avant Garde"/>
        </w:rPr>
        <w:t xml:space="preserve">debidamente integrado el </w:t>
      </w:r>
      <w:r w:rsidRPr="002A2450">
        <w:rPr>
          <w:rFonts w:ascii="ITC Avant Garde" w:hAnsi="ITC Avant Garde"/>
        </w:rPr>
        <w:t>mismo</w:t>
      </w:r>
      <w:r w:rsidR="00457FBA" w:rsidRPr="002A2450">
        <w:rPr>
          <w:rFonts w:ascii="ITC Avant Garde" w:hAnsi="ITC Avant Garde"/>
        </w:rPr>
        <w:t>,</w:t>
      </w:r>
      <w:r w:rsidR="00AC45B7" w:rsidRPr="002A2450">
        <w:rPr>
          <w:rFonts w:ascii="ITC Avant Garde" w:hAnsi="ITC Avant Garde"/>
        </w:rPr>
        <w:t xml:space="preserve"> acordaría lo</w:t>
      </w:r>
      <w:r w:rsidR="00A771EC" w:rsidRPr="002A2450">
        <w:rPr>
          <w:rFonts w:ascii="ITC Avant Garde" w:hAnsi="ITC Avant Garde"/>
        </w:rPr>
        <w:t xml:space="preserve"> </w:t>
      </w:r>
      <w:r w:rsidR="00AC45B7" w:rsidRPr="002A2450">
        <w:rPr>
          <w:rFonts w:ascii="ITC Avant Garde" w:hAnsi="ITC Avant Garde"/>
        </w:rPr>
        <w:t>conducente.</w:t>
      </w:r>
    </w:p>
    <w:p w14:paraId="5F226FBE" w14:textId="77777777" w:rsidR="00B35F13" w:rsidRDefault="00E66C77" w:rsidP="00B35F13">
      <w:pPr>
        <w:spacing w:before="240" w:line="360" w:lineRule="auto"/>
        <w:ind w:right="-1"/>
        <w:jc w:val="both"/>
        <w:rPr>
          <w:rFonts w:ascii="ITC Avant Garde" w:hAnsi="ITC Avant Garde"/>
          <w:b/>
        </w:rPr>
      </w:pPr>
      <w:r w:rsidRPr="002A2450">
        <w:rPr>
          <w:rFonts w:ascii="ITC Avant Garde" w:hAnsi="ITC Avant Garde"/>
        </w:rPr>
        <w:t xml:space="preserve">Dicho acuerdo fue notificado a </w:t>
      </w:r>
      <w:r w:rsidR="00A771EC" w:rsidRPr="002A2450">
        <w:rPr>
          <w:rFonts w:ascii="ITC Avant Garde" w:hAnsi="ITC Avant Garde"/>
          <w:b/>
        </w:rPr>
        <w:t>“TELMEX”</w:t>
      </w:r>
      <w:r w:rsidR="00A771EC" w:rsidRPr="002A2450">
        <w:rPr>
          <w:rFonts w:ascii="ITC Avant Garde" w:hAnsi="ITC Avant Garde"/>
        </w:rPr>
        <w:t xml:space="preserve"> el diecinueve </w:t>
      </w:r>
      <w:r w:rsidRPr="002A2450">
        <w:rPr>
          <w:rFonts w:ascii="ITC Avant Garde" w:hAnsi="ITC Avant Garde"/>
        </w:rPr>
        <w:t xml:space="preserve">de febrero de dos mil dieciséis, por lo que el plazo de diez días otorgado para manifestar lo que a su derecho conviniera respecto de los dictámenes periciales en materia de economía corrió del veintidós de febrero al cuatro de marzo de dos mil dieciséis, sin considerar los días veinte, veintiuno, veintisiete y veintiocho </w:t>
      </w:r>
      <w:r w:rsidR="00AC45B7" w:rsidRPr="002A2450">
        <w:rPr>
          <w:rFonts w:ascii="ITC Avant Garde" w:hAnsi="ITC Avant Garde"/>
        </w:rPr>
        <w:t xml:space="preserve">de febrero de dos mil dieciséis por </w:t>
      </w:r>
      <w:r w:rsidR="00AC45B7" w:rsidRPr="002A2450">
        <w:rPr>
          <w:rFonts w:ascii="ITC Avant Garde" w:hAnsi="ITC Avant Garde"/>
        </w:rPr>
        <w:lastRenderedPageBreak/>
        <w:t>haber sido sábados y domingos, respectivamente, en términos del artículo 2</w:t>
      </w:r>
      <w:r w:rsidR="00F637FB" w:rsidRPr="002A2450">
        <w:rPr>
          <w:rFonts w:ascii="ITC Avant Garde" w:hAnsi="ITC Avant Garde"/>
        </w:rPr>
        <w:t>8</w:t>
      </w:r>
      <w:r w:rsidR="00AC45B7" w:rsidRPr="002A2450">
        <w:rPr>
          <w:rFonts w:ascii="ITC Avant Garde" w:hAnsi="ITC Avant Garde"/>
        </w:rPr>
        <w:t xml:space="preserve"> de la </w:t>
      </w:r>
      <w:r w:rsidR="00AC45B7" w:rsidRPr="002A2450">
        <w:rPr>
          <w:rFonts w:ascii="ITC Avant Garde" w:hAnsi="ITC Avant Garde"/>
          <w:b/>
        </w:rPr>
        <w:t>“LFPA”.</w:t>
      </w:r>
    </w:p>
    <w:p w14:paraId="6010C045" w14:textId="77777777" w:rsidR="00B35F13" w:rsidRDefault="00E66C77" w:rsidP="00B35F13">
      <w:pPr>
        <w:spacing w:before="240" w:line="360" w:lineRule="auto"/>
        <w:ind w:right="-1"/>
        <w:jc w:val="both"/>
        <w:rPr>
          <w:rFonts w:ascii="ITC Avant Garde" w:eastAsia="Times New Roman" w:hAnsi="ITC Avant Garde"/>
          <w:bCs/>
          <w:color w:val="000000"/>
          <w:lang w:eastAsia="es-MX"/>
        </w:rPr>
      </w:pPr>
      <w:bookmarkStart w:id="33" w:name="_Toc477170136"/>
      <w:r w:rsidRPr="002A2450">
        <w:rPr>
          <w:rStyle w:val="Ttulo3Car"/>
          <w:rFonts w:eastAsiaTheme="minorHAnsi"/>
        </w:rPr>
        <w:t>TRIGÉSIMO CUARTO</w:t>
      </w:r>
      <w:bookmarkEnd w:id="33"/>
      <w:r w:rsidR="00A771EC"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El veinticuatro de febrero de dos mil dieciséis compareció en las oficinas de la Unidad de Cumplimiento el </w:t>
      </w:r>
      <w:r w:rsidR="00194CBB" w:rsidRPr="005E1F62">
        <w:rPr>
          <w:rFonts w:ascii="ITC Avant Garde" w:eastAsiaTheme="majorEastAsia" w:hAnsi="ITC Avant Garde" w:cstheme="majorBidi"/>
          <w:b/>
          <w:color w:val="0000FF"/>
          <w:szCs w:val="32"/>
        </w:rPr>
        <w:t>“CONFIDENCIAL POR LEY”</w:t>
      </w:r>
      <w:r w:rsidRPr="002A2450">
        <w:rPr>
          <w:rFonts w:ascii="ITC Avant Garde" w:eastAsia="Times New Roman" w:hAnsi="ITC Avant Garde"/>
          <w:bCs/>
          <w:color w:val="000000"/>
          <w:lang w:eastAsia="es-MX"/>
        </w:rPr>
        <w:t xml:space="preserve"> a efecto de conocer el estado procesal en que se encontraba el presente procedimiento, por lo que se levantó la comparecencia respectiva.</w:t>
      </w:r>
    </w:p>
    <w:p w14:paraId="6341190B" w14:textId="77777777" w:rsidR="00B35F13" w:rsidRDefault="00E66C77" w:rsidP="00B35F13">
      <w:pPr>
        <w:spacing w:before="240" w:line="360" w:lineRule="auto"/>
        <w:ind w:right="-1"/>
        <w:jc w:val="both"/>
        <w:rPr>
          <w:rFonts w:ascii="ITC Avant Garde" w:eastAsia="Times New Roman" w:hAnsi="ITC Avant Garde"/>
          <w:bCs/>
          <w:color w:val="000000"/>
          <w:lang w:eastAsia="es-MX"/>
        </w:rPr>
      </w:pPr>
      <w:bookmarkStart w:id="34" w:name="_Toc477170137"/>
      <w:r w:rsidRPr="002A2450">
        <w:rPr>
          <w:rStyle w:val="Ttulo3Car"/>
          <w:rFonts w:eastAsiaTheme="minorHAnsi"/>
        </w:rPr>
        <w:t>TRIGÉSIMO QUINTO</w:t>
      </w:r>
      <w:bookmarkEnd w:id="34"/>
      <w:r w:rsidRPr="002A2450">
        <w:rPr>
          <w:rFonts w:ascii="ITC Avant Garde" w:eastAsia="Times New Roman" w:hAnsi="ITC Avant Garde"/>
          <w:b/>
          <w:bCs/>
          <w:color w:val="000000"/>
          <w:lang w:eastAsia="es-MX"/>
        </w:rPr>
        <w:t xml:space="preserve">. </w:t>
      </w:r>
      <w:r w:rsidR="00A771EC" w:rsidRPr="002A2450">
        <w:rPr>
          <w:rFonts w:ascii="ITC Avant Garde" w:eastAsia="Times New Roman" w:hAnsi="ITC Avant Garde"/>
          <w:bCs/>
          <w:color w:val="000000"/>
          <w:lang w:eastAsia="es-MX"/>
        </w:rPr>
        <w:t xml:space="preserve">El cuatro de marzo </w:t>
      </w:r>
      <w:r w:rsidR="00240678" w:rsidRPr="002A2450">
        <w:rPr>
          <w:rFonts w:ascii="ITC Avant Garde" w:eastAsia="Times New Roman" w:hAnsi="ITC Avant Garde"/>
          <w:bCs/>
          <w:color w:val="000000"/>
          <w:lang w:eastAsia="es-MX"/>
        </w:rPr>
        <w:t xml:space="preserve">de dos mil dieciséis </w:t>
      </w:r>
      <w:r w:rsidR="00A771EC" w:rsidRPr="002A2450">
        <w:rPr>
          <w:rFonts w:ascii="ITC Avant Garde" w:hAnsi="ITC Avant Garde"/>
          <w:b/>
        </w:rPr>
        <w:t>“TELMEX”</w:t>
      </w:r>
      <w:r w:rsidR="00A771EC" w:rsidRPr="002A2450">
        <w:rPr>
          <w:rFonts w:ascii="ITC Avant Garde" w:hAnsi="ITC Avant Garde"/>
        </w:rPr>
        <w:t xml:space="preserve"> </w:t>
      </w:r>
      <w:r w:rsidRPr="002A2450">
        <w:rPr>
          <w:rFonts w:ascii="ITC Avant Garde" w:hAnsi="ITC Avant Garde"/>
        </w:rPr>
        <w:t xml:space="preserve">presentó </w:t>
      </w:r>
      <w:r w:rsidR="00A771EC" w:rsidRPr="002A2450">
        <w:rPr>
          <w:rFonts w:ascii="ITC Avant Garde" w:hAnsi="ITC Avant Garde"/>
        </w:rPr>
        <w:t xml:space="preserve">ante la </w:t>
      </w:r>
      <w:r w:rsidR="000302BB" w:rsidRPr="002A2450">
        <w:rPr>
          <w:rFonts w:ascii="ITC Avant Garde" w:hAnsi="ITC Avant Garde"/>
        </w:rPr>
        <w:t xml:space="preserve">Oficialía </w:t>
      </w:r>
      <w:r w:rsidR="00A771EC" w:rsidRPr="002A2450">
        <w:rPr>
          <w:rFonts w:ascii="ITC Avant Garde" w:hAnsi="ITC Avant Garde"/>
        </w:rPr>
        <w:t xml:space="preserve">de </w:t>
      </w:r>
      <w:r w:rsidR="000302BB" w:rsidRPr="002A2450">
        <w:rPr>
          <w:rFonts w:ascii="ITC Avant Garde" w:hAnsi="ITC Avant Garde"/>
        </w:rPr>
        <w:t xml:space="preserve">Partes </w:t>
      </w:r>
      <w:r w:rsidR="00A771EC" w:rsidRPr="002A2450">
        <w:rPr>
          <w:rFonts w:ascii="ITC Avant Garde" w:hAnsi="ITC Avant Garde"/>
        </w:rPr>
        <w:t>de</w:t>
      </w:r>
      <w:r w:rsidR="00240678" w:rsidRPr="002A2450">
        <w:rPr>
          <w:rFonts w:ascii="ITC Avant Garde" w:hAnsi="ITC Avant Garde"/>
        </w:rPr>
        <w:t xml:space="preserve"> este</w:t>
      </w:r>
      <w:r w:rsidR="00A771EC" w:rsidRPr="002A2450">
        <w:rPr>
          <w:rFonts w:ascii="ITC Avant Garde" w:hAnsi="ITC Avant Garde"/>
        </w:rPr>
        <w:t xml:space="preserve"> </w:t>
      </w:r>
      <w:r w:rsidR="00240678" w:rsidRPr="002A2450">
        <w:rPr>
          <w:rFonts w:ascii="ITC Avant Garde" w:hAnsi="ITC Avant Garde"/>
          <w:b/>
        </w:rPr>
        <w:t>“</w:t>
      </w:r>
      <w:r w:rsidR="00240678" w:rsidRPr="009E34A4">
        <w:rPr>
          <w:rFonts w:ascii="ITC Avant Garde" w:hAnsi="ITC Avant Garde"/>
          <w:b/>
        </w:rPr>
        <w:t>Instituto</w:t>
      </w:r>
      <w:r w:rsidR="00240678" w:rsidRPr="002A2450">
        <w:rPr>
          <w:rFonts w:ascii="ITC Avant Garde" w:hAnsi="ITC Avant Garde"/>
          <w:b/>
        </w:rPr>
        <w:t>”</w:t>
      </w:r>
      <w:r w:rsidR="00240678" w:rsidRPr="009E34A4">
        <w:rPr>
          <w:rFonts w:ascii="ITC Avant Garde" w:hAnsi="ITC Avant Garde"/>
          <w:b/>
        </w:rPr>
        <w:t xml:space="preserve"> </w:t>
      </w:r>
      <w:r w:rsidR="00A771EC" w:rsidRPr="002A2450">
        <w:rPr>
          <w:rFonts w:ascii="ITC Avant Garde" w:hAnsi="ITC Avant Garde"/>
        </w:rPr>
        <w:t xml:space="preserve">un escrito </w:t>
      </w:r>
      <w:r w:rsidRPr="002A2450">
        <w:rPr>
          <w:rFonts w:ascii="ITC Avant Garde" w:hAnsi="ITC Avant Garde"/>
        </w:rPr>
        <w:t xml:space="preserve">mediante el cual realizó las manifestaciones de su intención respecto del dictamen pericial </w:t>
      </w:r>
      <w:r w:rsidR="00A771EC" w:rsidRPr="002A2450">
        <w:rPr>
          <w:rFonts w:ascii="ITC Avant Garde" w:hAnsi="ITC Avant Garde"/>
        </w:rPr>
        <w:t>presentad</w:t>
      </w:r>
      <w:r w:rsidRPr="002A2450">
        <w:rPr>
          <w:rFonts w:ascii="ITC Avant Garde" w:hAnsi="ITC Avant Garde"/>
        </w:rPr>
        <w:t>o</w:t>
      </w:r>
      <w:r w:rsidR="00A771EC" w:rsidRPr="002A2450">
        <w:rPr>
          <w:rFonts w:ascii="ITC Avant Garde" w:hAnsi="ITC Avant Garde"/>
        </w:rPr>
        <w:t xml:space="preserve"> </w:t>
      </w:r>
      <w:r w:rsidRPr="002A2450">
        <w:rPr>
          <w:rFonts w:ascii="ITC Avant Garde" w:hAnsi="ITC Avant Garde"/>
        </w:rPr>
        <w:t xml:space="preserve">por el </w:t>
      </w:r>
      <w:r w:rsidR="00A771EC" w:rsidRPr="002A2450">
        <w:rPr>
          <w:rFonts w:ascii="ITC Avant Garde" w:hAnsi="ITC Avant Garde"/>
        </w:rPr>
        <w:t xml:space="preserve">C. </w:t>
      </w:r>
      <w:r w:rsidR="00C00854" w:rsidRPr="002A2450">
        <w:rPr>
          <w:rFonts w:ascii="ITC Avant Garde" w:eastAsia="Times New Roman" w:hAnsi="ITC Avant Garde"/>
          <w:b/>
          <w:bCs/>
          <w:color w:val="000000"/>
          <w:lang w:eastAsia="es-MX"/>
        </w:rPr>
        <w:t>RAFAEL NAVARRO ACEVES</w:t>
      </w:r>
      <w:r w:rsidR="00C00854" w:rsidRPr="002A2450">
        <w:rPr>
          <w:rFonts w:ascii="ITC Avant Garde" w:eastAsia="Times New Roman" w:hAnsi="ITC Avant Garde"/>
          <w:bCs/>
          <w:color w:val="000000"/>
          <w:lang w:eastAsia="es-MX"/>
        </w:rPr>
        <w:t xml:space="preserve"> </w:t>
      </w:r>
      <w:r w:rsidR="00A771EC" w:rsidRPr="002A2450">
        <w:rPr>
          <w:rFonts w:ascii="ITC Avant Garde" w:eastAsia="Times New Roman" w:hAnsi="ITC Avant Garde"/>
          <w:bCs/>
          <w:color w:val="000000"/>
          <w:lang w:eastAsia="es-MX"/>
        </w:rPr>
        <w:t xml:space="preserve">perito </w:t>
      </w:r>
      <w:r w:rsidR="00AC45B7" w:rsidRPr="002A2450">
        <w:rPr>
          <w:rFonts w:ascii="ITC Avant Garde" w:eastAsia="Times New Roman" w:hAnsi="ITC Avant Garde"/>
          <w:bCs/>
          <w:color w:val="000000"/>
          <w:lang w:eastAsia="es-MX"/>
        </w:rPr>
        <w:t xml:space="preserve">designado por </w:t>
      </w:r>
      <w:r w:rsidR="00A771EC" w:rsidRPr="002A2450">
        <w:rPr>
          <w:rFonts w:ascii="ITC Avant Garde" w:eastAsia="Times New Roman" w:hAnsi="ITC Avant Garde"/>
          <w:bCs/>
          <w:color w:val="000000"/>
          <w:lang w:eastAsia="es-MX"/>
        </w:rPr>
        <w:t>esta autoridad</w:t>
      </w:r>
      <w:r w:rsidRPr="002A2450">
        <w:rPr>
          <w:rFonts w:ascii="ITC Avant Garde" w:eastAsia="Times New Roman" w:hAnsi="ITC Avant Garde"/>
          <w:bCs/>
          <w:color w:val="000000"/>
          <w:lang w:eastAsia="es-MX"/>
        </w:rPr>
        <w:t>.</w:t>
      </w:r>
    </w:p>
    <w:p w14:paraId="720FE6C5" w14:textId="77777777" w:rsidR="00B35F13" w:rsidRDefault="00E66C77" w:rsidP="00B35F13">
      <w:pPr>
        <w:spacing w:before="240" w:line="360" w:lineRule="auto"/>
        <w:ind w:right="-1"/>
        <w:jc w:val="both"/>
        <w:rPr>
          <w:rFonts w:ascii="ITC Avant Garde" w:hAnsi="ITC Avant Garde"/>
        </w:rPr>
      </w:pPr>
      <w:bookmarkStart w:id="35" w:name="_Toc477170138"/>
      <w:r w:rsidRPr="002A2450">
        <w:rPr>
          <w:rStyle w:val="Ttulo3Car"/>
          <w:rFonts w:eastAsiaTheme="minorHAnsi"/>
        </w:rPr>
        <w:t>TRIGÉSIMO SEXTO</w:t>
      </w:r>
      <w:bookmarkEnd w:id="35"/>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P</w:t>
      </w:r>
      <w:r w:rsidR="00A771EC" w:rsidRPr="002A2450">
        <w:rPr>
          <w:rFonts w:ascii="ITC Avant Garde" w:eastAsia="Times New Roman" w:hAnsi="ITC Avant Garde"/>
          <w:bCs/>
          <w:color w:val="000000"/>
          <w:lang w:eastAsia="es-MX"/>
        </w:rPr>
        <w:t xml:space="preserve">or acuerdo de dieciocho de marzo </w:t>
      </w:r>
      <w:r w:rsidRPr="002A2450">
        <w:rPr>
          <w:rFonts w:ascii="ITC Avant Garde" w:eastAsia="Times New Roman" w:hAnsi="ITC Avant Garde"/>
          <w:bCs/>
          <w:color w:val="000000"/>
          <w:lang w:eastAsia="es-MX"/>
        </w:rPr>
        <w:t xml:space="preserve">de dos mil dieciséis </w:t>
      </w:r>
      <w:r w:rsidR="00A771EC" w:rsidRPr="002A2450">
        <w:rPr>
          <w:rFonts w:ascii="ITC Avant Garde" w:eastAsia="Times New Roman" w:hAnsi="ITC Avant Garde"/>
          <w:bCs/>
          <w:color w:val="000000"/>
          <w:lang w:eastAsia="es-MX"/>
        </w:rPr>
        <w:t xml:space="preserve">se </w:t>
      </w:r>
      <w:r w:rsidRPr="002A2450">
        <w:rPr>
          <w:rFonts w:ascii="ITC Avant Garde" w:eastAsia="Times New Roman" w:hAnsi="ITC Avant Garde"/>
          <w:bCs/>
          <w:color w:val="000000"/>
          <w:lang w:eastAsia="es-MX"/>
        </w:rPr>
        <w:t xml:space="preserve">tuvieron </w:t>
      </w:r>
      <w:r w:rsidR="00A771EC" w:rsidRPr="002A2450">
        <w:rPr>
          <w:rFonts w:ascii="ITC Avant Garde" w:eastAsia="Times New Roman" w:hAnsi="ITC Avant Garde"/>
          <w:bCs/>
          <w:color w:val="000000"/>
          <w:lang w:eastAsia="es-MX"/>
        </w:rPr>
        <w:t xml:space="preserve">por </w:t>
      </w:r>
      <w:r w:rsidRPr="002A2450">
        <w:rPr>
          <w:rFonts w:ascii="ITC Avant Garde" w:eastAsia="Times New Roman" w:hAnsi="ITC Avant Garde"/>
          <w:bCs/>
          <w:color w:val="000000"/>
          <w:lang w:eastAsia="es-MX"/>
        </w:rPr>
        <w:t>h</w:t>
      </w:r>
      <w:r w:rsidR="00A771EC" w:rsidRPr="002A2450">
        <w:rPr>
          <w:rFonts w:ascii="ITC Avant Garde" w:eastAsia="Times New Roman" w:hAnsi="ITC Avant Garde"/>
          <w:bCs/>
          <w:color w:val="000000"/>
          <w:lang w:eastAsia="es-MX"/>
        </w:rPr>
        <w:t xml:space="preserve">echas las manifestaciones presentadas por </w:t>
      </w:r>
      <w:r w:rsidR="00A771EC" w:rsidRPr="002A2450">
        <w:rPr>
          <w:rFonts w:ascii="ITC Avant Garde" w:hAnsi="ITC Avant Garde"/>
          <w:b/>
        </w:rPr>
        <w:t>“TELMEX”</w:t>
      </w:r>
      <w:r w:rsidR="00457FBA" w:rsidRPr="002A2450">
        <w:rPr>
          <w:rFonts w:ascii="ITC Avant Garde" w:hAnsi="ITC Avant Garde"/>
          <w:b/>
        </w:rPr>
        <w:t xml:space="preserve">, </w:t>
      </w:r>
      <w:r w:rsidR="00457FBA" w:rsidRPr="002A2450">
        <w:rPr>
          <w:rFonts w:ascii="ITC Avant Garde" w:hAnsi="ITC Avant Garde"/>
        </w:rPr>
        <w:t xml:space="preserve">respecto del dictamen pericial rendido por el C. </w:t>
      </w:r>
      <w:r w:rsidR="00C00854" w:rsidRPr="002A2450">
        <w:rPr>
          <w:rFonts w:ascii="ITC Avant Garde" w:eastAsia="Times New Roman" w:hAnsi="ITC Avant Garde"/>
          <w:b/>
          <w:bCs/>
          <w:color w:val="000000"/>
          <w:lang w:eastAsia="es-MX"/>
        </w:rPr>
        <w:t>RAFAEL NAVARRO ACEVES</w:t>
      </w:r>
      <w:r w:rsidR="00C00854" w:rsidRPr="002A2450">
        <w:rPr>
          <w:rFonts w:ascii="ITC Avant Garde" w:eastAsia="Times New Roman" w:hAnsi="ITC Avant Garde"/>
          <w:bCs/>
          <w:color w:val="000000"/>
          <w:lang w:eastAsia="es-MX"/>
        </w:rPr>
        <w:t xml:space="preserve"> </w:t>
      </w:r>
      <w:r w:rsidR="00457FBA" w:rsidRPr="002A2450">
        <w:rPr>
          <w:rFonts w:ascii="ITC Avant Garde" w:eastAsia="Times New Roman" w:hAnsi="ITC Avant Garde"/>
          <w:bCs/>
          <w:color w:val="000000"/>
          <w:lang w:eastAsia="es-MX"/>
        </w:rPr>
        <w:t>perito en materia de economía por parte de esta autoridad</w:t>
      </w:r>
      <w:r w:rsidR="00A771EC" w:rsidRPr="002A2450">
        <w:rPr>
          <w:rFonts w:ascii="ITC Avant Garde" w:hAnsi="ITC Avant Garde"/>
        </w:rPr>
        <w:t>.</w:t>
      </w:r>
    </w:p>
    <w:p w14:paraId="7B56FD14" w14:textId="77777777" w:rsidR="00B35F13" w:rsidRDefault="00E66C77" w:rsidP="00B35F13">
      <w:pPr>
        <w:spacing w:before="240" w:line="360" w:lineRule="auto"/>
        <w:ind w:right="-1"/>
        <w:jc w:val="both"/>
        <w:rPr>
          <w:rFonts w:ascii="ITC Avant Garde" w:hAnsi="ITC Avant Garde"/>
        </w:rPr>
      </w:pPr>
      <w:bookmarkStart w:id="36" w:name="_Toc477170139"/>
      <w:r w:rsidRPr="002A2450">
        <w:rPr>
          <w:rStyle w:val="Ttulo3Car"/>
          <w:rFonts w:eastAsiaTheme="minorHAnsi"/>
        </w:rPr>
        <w:t>TRIGÉSIMO SÉPTIMO</w:t>
      </w:r>
      <w:bookmarkEnd w:id="36"/>
      <w:r w:rsidR="00A771EC" w:rsidRPr="002A2450">
        <w:rPr>
          <w:rFonts w:ascii="ITC Avant Garde" w:hAnsi="ITC Avant Garde"/>
          <w:b/>
        </w:rPr>
        <w:t xml:space="preserve">. </w:t>
      </w:r>
      <w:r w:rsidR="00240678" w:rsidRPr="002A2450">
        <w:rPr>
          <w:rFonts w:ascii="ITC Avant Garde" w:hAnsi="ITC Avant Garde"/>
        </w:rPr>
        <w:t xml:space="preserve">Por </w:t>
      </w:r>
      <w:r w:rsidR="00A771EC" w:rsidRPr="002A2450">
        <w:rPr>
          <w:rFonts w:ascii="ITC Avant Garde" w:hAnsi="ITC Avant Garde"/>
        </w:rPr>
        <w:t xml:space="preserve">oficio </w:t>
      </w:r>
      <w:r w:rsidR="00A771EC" w:rsidRPr="002A2450">
        <w:rPr>
          <w:rFonts w:ascii="ITC Avant Garde" w:hAnsi="ITC Avant Garde"/>
          <w:b/>
        </w:rPr>
        <w:t>IFT/240/UADM/DG-ARMSG/DPA/28/04/001/2016</w:t>
      </w:r>
      <w:r w:rsidR="00A771EC" w:rsidRPr="002A2450">
        <w:rPr>
          <w:rFonts w:ascii="ITC Avant Garde" w:hAnsi="ITC Avant Garde"/>
        </w:rPr>
        <w:t xml:space="preserve"> de veintiocho de abril de dos mil dieciséis</w:t>
      </w:r>
      <w:r w:rsidRPr="002A2450">
        <w:rPr>
          <w:rFonts w:ascii="ITC Avant Garde" w:hAnsi="ITC Avant Garde"/>
        </w:rPr>
        <w:t>,</w:t>
      </w:r>
      <w:r w:rsidR="00AC45B7" w:rsidRPr="002A2450">
        <w:rPr>
          <w:rFonts w:ascii="ITC Avant Garde" w:hAnsi="ITC Avant Garde"/>
        </w:rPr>
        <w:t xml:space="preserve"> la Unidad de A</w:t>
      </w:r>
      <w:r w:rsidR="00A771EC" w:rsidRPr="002A2450">
        <w:rPr>
          <w:rFonts w:ascii="ITC Avant Garde" w:hAnsi="ITC Avant Garde"/>
        </w:rPr>
        <w:t xml:space="preserve">dministración de este </w:t>
      </w:r>
      <w:r w:rsidR="00457FBA" w:rsidRPr="002A2450">
        <w:rPr>
          <w:rFonts w:ascii="ITC Avant Garde" w:hAnsi="ITC Avant Garde"/>
          <w:b/>
        </w:rPr>
        <w:t>“</w:t>
      </w:r>
      <w:r w:rsidR="00A771EC" w:rsidRPr="002A2450">
        <w:rPr>
          <w:rFonts w:ascii="ITC Avant Garde" w:hAnsi="ITC Avant Garde"/>
          <w:b/>
        </w:rPr>
        <w:t>Instituto</w:t>
      </w:r>
      <w:r w:rsidR="00457FBA" w:rsidRPr="002A2450">
        <w:rPr>
          <w:rFonts w:ascii="ITC Avant Garde" w:hAnsi="ITC Avant Garde"/>
          <w:b/>
        </w:rPr>
        <w:t>”</w:t>
      </w:r>
      <w:r w:rsidR="00A771EC" w:rsidRPr="002A2450">
        <w:rPr>
          <w:rFonts w:ascii="ITC Avant Garde" w:hAnsi="ITC Avant Garde"/>
        </w:rPr>
        <w:t xml:space="preserve"> </w:t>
      </w:r>
      <w:r w:rsidRPr="002A2450">
        <w:rPr>
          <w:rFonts w:ascii="ITC Avant Garde" w:hAnsi="ITC Avant Garde"/>
        </w:rPr>
        <w:t xml:space="preserve">informó de la contratación del </w:t>
      </w:r>
      <w:r w:rsidR="00A771EC" w:rsidRPr="002A2450">
        <w:rPr>
          <w:rFonts w:ascii="ITC Avant Garde" w:hAnsi="ITC Avant Garde"/>
        </w:rPr>
        <w:t xml:space="preserve">C. </w:t>
      </w:r>
      <w:r w:rsidR="008C06C1" w:rsidRPr="002A2450">
        <w:rPr>
          <w:rFonts w:ascii="ITC Avant Garde" w:hAnsi="ITC Avant Garde"/>
          <w:b/>
        </w:rPr>
        <w:t>MANUEL GÓNGORA PASTRANA</w:t>
      </w:r>
      <w:r w:rsidR="00A771EC" w:rsidRPr="002A2450">
        <w:rPr>
          <w:rFonts w:ascii="ITC Avant Garde" w:hAnsi="ITC Avant Garde"/>
        </w:rPr>
        <w:t xml:space="preserve">, como perito en materia contable por </w:t>
      </w:r>
      <w:r w:rsidR="00AC45B7" w:rsidRPr="002A2450">
        <w:rPr>
          <w:rFonts w:ascii="ITC Avant Garde" w:hAnsi="ITC Avant Garde"/>
        </w:rPr>
        <w:t xml:space="preserve">parte de </w:t>
      </w:r>
      <w:r w:rsidR="00A771EC" w:rsidRPr="002A2450">
        <w:rPr>
          <w:rFonts w:ascii="ITC Avant Garde" w:hAnsi="ITC Avant Garde"/>
        </w:rPr>
        <w:t>est</w:t>
      </w:r>
      <w:r w:rsidR="00457FBA" w:rsidRPr="002A2450">
        <w:rPr>
          <w:rFonts w:ascii="ITC Avant Garde" w:hAnsi="ITC Avant Garde"/>
        </w:rPr>
        <w:t xml:space="preserve">a autoridad </w:t>
      </w:r>
      <w:r w:rsidR="00A771EC" w:rsidRPr="002A2450">
        <w:rPr>
          <w:rFonts w:ascii="ITC Avant Garde" w:hAnsi="ITC Avant Garde"/>
        </w:rPr>
        <w:t xml:space="preserve">a efecto de desahogar la prueba pericial </w:t>
      </w:r>
      <w:r w:rsidR="00457FBA" w:rsidRPr="002A2450">
        <w:rPr>
          <w:rFonts w:ascii="ITC Avant Garde" w:hAnsi="ITC Avant Garde"/>
        </w:rPr>
        <w:t xml:space="preserve">ofrecida </w:t>
      </w:r>
      <w:r w:rsidR="00A771EC" w:rsidRPr="002A2450">
        <w:rPr>
          <w:rFonts w:ascii="ITC Avant Garde" w:hAnsi="ITC Avant Garde"/>
        </w:rPr>
        <w:t xml:space="preserve">por </w:t>
      </w:r>
      <w:r w:rsidR="00A771EC" w:rsidRPr="002A2450">
        <w:rPr>
          <w:rFonts w:ascii="ITC Avant Garde" w:hAnsi="ITC Avant Garde"/>
          <w:b/>
        </w:rPr>
        <w:t>“TELMEX”</w:t>
      </w:r>
      <w:r w:rsidR="002749C5" w:rsidRPr="002A2450">
        <w:rPr>
          <w:rFonts w:ascii="ITC Avant Garde" w:hAnsi="ITC Avant Garde"/>
        </w:rPr>
        <w:t xml:space="preserve">, por lo que se ordenó girar oficio a la Unidad de Administración a efecto de que informara si se encontraba debidamente formalizado </w:t>
      </w:r>
      <w:r w:rsidR="00AC45B7" w:rsidRPr="002A2450">
        <w:rPr>
          <w:rFonts w:ascii="ITC Avant Garde" w:hAnsi="ITC Avant Garde"/>
        </w:rPr>
        <w:t xml:space="preserve">el </w:t>
      </w:r>
      <w:r w:rsidR="002749C5" w:rsidRPr="002A2450">
        <w:rPr>
          <w:rFonts w:ascii="ITC Avant Garde" w:hAnsi="ITC Avant Garde"/>
        </w:rPr>
        <w:t xml:space="preserve">contrato de prestación de servicios con el profesionista señalado a efecto de continuar con el desahogo de la prueba pericial en materia contable ofrecida por </w:t>
      </w:r>
      <w:r w:rsidR="002749C5" w:rsidRPr="002A2450">
        <w:rPr>
          <w:rFonts w:ascii="ITC Avant Garde" w:hAnsi="ITC Avant Garde"/>
          <w:b/>
        </w:rPr>
        <w:t xml:space="preserve">“TELMEX”. </w:t>
      </w:r>
      <w:r w:rsidRPr="002A2450">
        <w:rPr>
          <w:rFonts w:ascii="ITC Avant Garde" w:hAnsi="ITC Avant Garde"/>
        </w:rPr>
        <w:t>Dicho</w:t>
      </w:r>
      <w:r w:rsidRPr="002A2450">
        <w:rPr>
          <w:rFonts w:ascii="ITC Avant Garde" w:hAnsi="ITC Avant Garde"/>
          <w:b/>
        </w:rPr>
        <w:t xml:space="preserve"> </w:t>
      </w:r>
      <w:r w:rsidR="00A771EC" w:rsidRPr="002A2450">
        <w:rPr>
          <w:rFonts w:ascii="ITC Avant Garde" w:hAnsi="ITC Avant Garde"/>
        </w:rPr>
        <w:t xml:space="preserve">acuerdo se notificó a </w:t>
      </w:r>
      <w:r w:rsidR="002749C5" w:rsidRPr="002A2450">
        <w:rPr>
          <w:rFonts w:ascii="ITC Avant Garde" w:hAnsi="ITC Avant Garde"/>
        </w:rPr>
        <w:t>la citada empresa</w:t>
      </w:r>
      <w:r w:rsidRPr="002A2450">
        <w:rPr>
          <w:rFonts w:ascii="ITC Avant Garde" w:hAnsi="ITC Avant Garde"/>
          <w:b/>
        </w:rPr>
        <w:t xml:space="preserve"> </w:t>
      </w:r>
      <w:r w:rsidRPr="002A2450">
        <w:rPr>
          <w:rFonts w:ascii="ITC Avant Garde" w:hAnsi="ITC Avant Garde"/>
        </w:rPr>
        <w:t xml:space="preserve">el veinticuatro de mayo de </w:t>
      </w:r>
      <w:r w:rsidR="00A771EC" w:rsidRPr="002A2450">
        <w:rPr>
          <w:rFonts w:ascii="ITC Avant Garde" w:hAnsi="ITC Avant Garde"/>
        </w:rPr>
        <w:t>dos mil dieciséis.</w:t>
      </w:r>
    </w:p>
    <w:p w14:paraId="6FBAFFA0" w14:textId="77777777" w:rsidR="00B35F13" w:rsidRDefault="002749C5" w:rsidP="00B35F13">
      <w:pPr>
        <w:spacing w:before="240" w:line="360" w:lineRule="auto"/>
        <w:ind w:right="-1"/>
        <w:jc w:val="both"/>
        <w:rPr>
          <w:rFonts w:ascii="ITC Avant Garde" w:hAnsi="ITC Avant Garde"/>
        </w:rPr>
      </w:pPr>
      <w:bookmarkStart w:id="37" w:name="_Toc477170140"/>
      <w:r w:rsidRPr="002A2450">
        <w:rPr>
          <w:rStyle w:val="Ttulo3Car"/>
          <w:rFonts w:eastAsiaTheme="minorHAnsi"/>
        </w:rPr>
        <w:t>TRIGÉSIMO OCTAVO</w:t>
      </w:r>
      <w:bookmarkEnd w:id="37"/>
      <w:r w:rsidR="00A771EC" w:rsidRPr="002A2450">
        <w:rPr>
          <w:rFonts w:ascii="ITC Avant Garde" w:hAnsi="ITC Avant Garde"/>
          <w:b/>
        </w:rPr>
        <w:t xml:space="preserve">. </w:t>
      </w:r>
      <w:r w:rsidRPr="002A2450">
        <w:rPr>
          <w:rFonts w:ascii="ITC Avant Garde" w:hAnsi="ITC Avant Garde"/>
        </w:rPr>
        <w:t xml:space="preserve">En cumplimiento al acuerdo anterior, mediante oficio </w:t>
      </w:r>
      <w:r w:rsidRPr="002A2450">
        <w:rPr>
          <w:rFonts w:ascii="ITC Avant Garde" w:hAnsi="ITC Avant Garde"/>
          <w:b/>
        </w:rPr>
        <w:t>IFT/225/UC/130/2016</w:t>
      </w:r>
      <w:r w:rsidRPr="002A2450">
        <w:rPr>
          <w:rFonts w:ascii="ITC Avant Garde" w:hAnsi="ITC Avant Garde"/>
        </w:rPr>
        <w:t xml:space="preserve"> de treinta de mayo de dos mil dieciséis se solicitó a la Unidad </w:t>
      </w:r>
      <w:r w:rsidRPr="002A2450">
        <w:rPr>
          <w:rFonts w:ascii="ITC Avant Garde" w:hAnsi="ITC Avant Garde"/>
        </w:rPr>
        <w:lastRenderedPageBreak/>
        <w:t xml:space="preserve">de Administración se informara respecto de la formalización realizada al contrato de prestación de servicios celebrado con el C. </w:t>
      </w:r>
      <w:r w:rsidR="008C06C1" w:rsidRPr="002A2450">
        <w:rPr>
          <w:rFonts w:ascii="ITC Avant Garde" w:hAnsi="ITC Avant Garde"/>
          <w:b/>
        </w:rPr>
        <w:t>MANUEL GÓNGORA PASTRANA</w:t>
      </w:r>
      <w:r w:rsidRPr="002A2450">
        <w:rPr>
          <w:rFonts w:ascii="ITC Avant Garde" w:hAnsi="ITC Avant Garde"/>
        </w:rPr>
        <w:t>.</w:t>
      </w:r>
    </w:p>
    <w:p w14:paraId="2E3C070A" w14:textId="77777777" w:rsidR="00B35F13" w:rsidRDefault="002749C5" w:rsidP="00B35F13">
      <w:pPr>
        <w:spacing w:before="240" w:line="360" w:lineRule="auto"/>
        <w:ind w:right="-1"/>
        <w:jc w:val="both"/>
        <w:rPr>
          <w:rFonts w:ascii="ITC Avant Garde" w:hAnsi="ITC Avant Garde"/>
        </w:rPr>
      </w:pPr>
      <w:bookmarkStart w:id="38" w:name="_Toc477170141"/>
      <w:r w:rsidRPr="002A2450">
        <w:rPr>
          <w:rStyle w:val="Ttulo3Car"/>
          <w:rFonts w:eastAsiaTheme="minorHAnsi"/>
        </w:rPr>
        <w:t>TRIGÉSIMO NOVENO</w:t>
      </w:r>
      <w:bookmarkEnd w:id="38"/>
      <w:r w:rsidRPr="002A2450">
        <w:rPr>
          <w:rFonts w:ascii="ITC Avant Garde" w:hAnsi="ITC Avant Garde"/>
          <w:b/>
        </w:rPr>
        <w:t xml:space="preserve">. </w:t>
      </w:r>
      <w:r w:rsidR="00A771EC" w:rsidRPr="002A2450">
        <w:rPr>
          <w:rFonts w:ascii="ITC Avant Garde" w:hAnsi="ITC Avant Garde"/>
        </w:rPr>
        <w:t>Mediante acuerdo de nueve de junio d</w:t>
      </w:r>
      <w:r w:rsidRPr="002A2450">
        <w:rPr>
          <w:rFonts w:ascii="ITC Avant Garde" w:hAnsi="ITC Avant Garde"/>
        </w:rPr>
        <w:t>e</w:t>
      </w:r>
      <w:r w:rsidR="00A771EC" w:rsidRPr="002A2450">
        <w:rPr>
          <w:rFonts w:ascii="ITC Avant Garde" w:hAnsi="ITC Avant Garde"/>
        </w:rPr>
        <w:t xml:space="preserve"> dos mil dieciséis, se</w:t>
      </w:r>
      <w:r w:rsidRPr="002A2450">
        <w:rPr>
          <w:rFonts w:ascii="ITC Avant Garde" w:hAnsi="ITC Avant Garde"/>
        </w:rPr>
        <w:t xml:space="preserve"> dio cuenta con el oficio </w:t>
      </w:r>
      <w:r w:rsidRPr="002A2450">
        <w:rPr>
          <w:rFonts w:ascii="ITC Avant Garde" w:hAnsi="ITC Avant Garde"/>
          <w:b/>
        </w:rPr>
        <w:t>IFT/240/UADM/DG-ARMSG/293/2016</w:t>
      </w:r>
      <w:r w:rsidRPr="002A2450">
        <w:rPr>
          <w:rFonts w:ascii="ITC Avant Garde" w:hAnsi="ITC Avant Garde"/>
        </w:rPr>
        <w:t xml:space="preserve"> de tres de junio de </w:t>
      </w:r>
      <w:r w:rsidR="00C8156F" w:rsidRPr="002A2450">
        <w:rPr>
          <w:rFonts w:ascii="ITC Avant Garde" w:hAnsi="ITC Avant Garde"/>
        </w:rPr>
        <w:t>dicha anualidad</w:t>
      </w:r>
      <w:r w:rsidR="00240678" w:rsidRPr="002A2450">
        <w:rPr>
          <w:rFonts w:ascii="ITC Avant Garde" w:hAnsi="ITC Avant Garde"/>
        </w:rPr>
        <w:t>,</w:t>
      </w:r>
      <w:r w:rsidRPr="002A2450">
        <w:rPr>
          <w:rFonts w:ascii="ITC Avant Garde" w:hAnsi="ITC Avant Garde"/>
        </w:rPr>
        <w:t xml:space="preserve"> por el </w:t>
      </w:r>
      <w:r w:rsidR="00B24935" w:rsidRPr="002A2450">
        <w:rPr>
          <w:rFonts w:ascii="ITC Avant Garde" w:hAnsi="ITC Avant Garde"/>
        </w:rPr>
        <w:t>que l</w:t>
      </w:r>
      <w:r w:rsidRPr="002A2450">
        <w:rPr>
          <w:rFonts w:ascii="ITC Avant Garde" w:hAnsi="ITC Avant Garde"/>
        </w:rPr>
        <w:t>a Dirección General de Adquisiciones, Recursos Materiales y Servicios Generales de la Unidad de Administración inform</w:t>
      </w:r>
      <w:r w:rsidR="00B24935" w:rsidRPr="002A2450">
        <w:rPr>
          <w:rFonts w:ascii="ITC Avant Garde" w:hAnsi="ITC Avant Garde"/>
        </w:rPr>
        <w:t>ó</w:t>
      </w:r>
      <w:r w:rsidRPr="002A2450">
        <w:rPr>
          <w:rFonts w:ascii="ITC Avant Garde" w:hAnsi="ITC Avant Garde"/>
        </w:rPr>
        <w:t xml:space="preserve"> </w:t>
      </w:r>
      <w:r w:rsidR="00240678" w:rsidRPr="002A2450">
        <w:rPr>
          <w:rFonts w:ascii="ITC Avant Garde" w:hAnsi="ITC Avant Garde"/>
        </w:rPr>
        <w:t xml:space="preserve">a la Unidad de Cumplimiento </w:t>
      </w:r>
      <w:r w:rsidRPr="002A2450">
        <w:rPr>
          <w:rFonts w:ascii="ITC Avant Garde" w:hAnsi="ITC Avant Garde"/>
        </w:rPr>
        <w:t xml:space="preserve">que se asignó el contrato número </w:t>
      </w:r>
      <w:r w:rsidRPr="002A2450">
        <w:rPr>
          <w:rFonts w:ascii="ITC Avant Garde" w:hAnsi="ITC Avant Garde"/>
          <w:b/>
        </w:rPr>
        <w:t>IFT/ADM/024/2016</w:t>
      </w:r>
      <w:r w:rsidRPr="002A2450">
        <w:rPr>
          <w:rFonts w:ascii="ITC Avant Garde" w:hAnsi="ITC Avant Garde"/>
        </w:rPr>
        <w:t xml:space="preserve"> al </w:t>
      </w:r>
      <w:r w:rsidRPr="002A2450">
        <w:rPr>
          <w:rFonts w:ascii="ITC Avant Garde" w:hAnsi="ITC Avant Garde"/>
          <w:b/>
        </w:rPr>
        <w:t xml:space="preserve">C. </w:t>
      </w:r>
      <w:r w:rsidR="008C06C1" w:rsidRPr="002A2450">
        <w:rPr>
          <w:rFonts w:ascii="ITC Avant Garde" w:hAnsi="ITC Avant Garde"/>
          <w:b/>
        </w:rPr>
        <w:t>MANUEL GÓNGORA PASTRANA</w:t>
      </w:r>
      <w:r w:rsidRPr="002A2450">
        <w:rPr>
          <w:rFonts w:ascii="ITC Avant Garde" w:hAnsi="ITC Avant Garde"/>
        </w:rPr>
        <w:t>, el cual fue formalizado el trece de mayo del</w:t>
      </w:r>
      <w:r w:rsidR="00C8156F" w:rsidRPr="002A2450">
        <w:rPr>
          <w:rFonts w:ascii="ITC Avant Garde" w:hAnsi="ITC Avant Garde"/>
        </w:rPr>
        <w:t xml:space="preserve"> dos mil </w:t>
      </w:r>
      <w:r w:rsidR="00CA2EBF" w:rsidRPr="002A2450">
        <w:rPr>
          <w:rFonts w:ascii="ITC Avant Garde" w:hAnsi="ITC Avant Garde"/>
        </w:rPr>
        <w:t>dieciséis</w:t>
      </w:r>
      <w:r w:rsidRPr="002A2450">
        <w:rPr>
          <w:rFonts w:ascii="ITC Avant Garde" w:hAnsi="ITC Avant Garde"/>
        </w:rPr>
        <w:t>.</w:t>
      </w:r>
    </w:p>
    <w:p w14:paraId="63E11547" w14:textId="00C3C625" w:rsidR="00B35F13" w:rsidRPr="006C67B3" w:rsidRDefault="002749C5" w:rsidP="006C67B3">
      <w:pPr>
        <w:spacing w:before="240" w:line="360" w:lineRule="auto"/>
        <w:ind w:right="-1"/>
        <w:jc w:val="both"/>
        <w:rPr>
          <w:rFonts w:ascii="ITC Avant Garde" w:hAnsi="ITC Avant Garde" w:cs="ITC Avant Garde"/>
          <w:b/>
          <w:color w:val="0000FF"/>
          <w:sz w:val="16"/>
          <w:szCs w:val="16"/>
          <w:lang w:eastAsia="es-MX"/>
        </w:rPr>
      </w:pPr>
      <w:r w:rsidRPr="002A2450">
        <w:rPr>
          <w:rFonts w:ascii="ITC Avant Garde" w:hAnsi="ITC Avant Garde"/>
        </w:rPr>
        <w:t xml:space="preserve">Al respecto, toda vez que se encontraba debidamente formalizado el contrato de prestación ser servicios para el desahogo de la prueba pericial contable ofrecida por </w:t>
      </w:r>
      <w:r w:rsidRPr="002A2450">
        <w:rPr>
          <w:rFonts w:ascii="ITC Avant Garde" w:hAnsi="ITC Avant Garde"/>
          <w:b/>
        </w:rPr>
        <w:t>“TELMEX”</w:t>
      </w:r>
      <w:r w:rsidRPr="002A2450">
        <w:rPr>
          <w:rFonts w:ascii="ITC Avant Garde" w:hAnsi="ITC Avant Garde"/>
        </w:rPr>
        <w:t xml:space="preserve">, se tuvo por ofrecida y admitida dicha prueba, por lo </w:t>
      </w:r>
      <w:r w:rsidR="00AC45B7" w:rsidRPr="002A2450">
        <w:rPr>
          <w:rFonts w:ascii="ITC Avant Garde" w:hAnsi="ITC Avant Garde"/>
        </w:rPr>
        <w:t xml:space="preserve">que </w:t>
      </w:r>
      <w:r w:rsidRPr="002A2450">
        <w:rPr>
          <w:rFonts w:ascii="ITC Avant Garde" w:hAnsi="ITC Avant Garde"/>
        </w:rPr>
        <w:t xml:space="preserve">se requirió </w:t>
      </w:r>
      <w:r w:rsidR="00C346AC" w:rsidRPr="00B35F13">
        <w:rPr>
          <w:rFonts w:ascii="ITC Avant Garde" w:hAnsi="ITC Avant Garde" w:cs="ITC Avant Garde"/>
          <w:b/>
          <w:color w:val="0000FF"/>
          <w:sz w:val="16"/>
          <w:szCs w:val="16"/>
          <w:lang w:eastAsia="es-MX"/>
        </w:rPr>
        <w:ptab w:relativeTo="margin" w:alignment="left" w:leader="none"/>
      </w:r>
      <w:r w:rsidRPr="002A2450">
        <w:rPr>
          <w:rFonts w:ascii="ITC Avant Garde" w:hAnsi="ITC Avant Garde"/>
        </w:rPr>
        <w:t xml:space="preserve">a la </w:t>
      </w:r>
      <w:r w:rsidR="00194CBB" w:rsidRPr="005E1F62">
        <w:rPr>
          <w:rFonts w:ascii="ITC Avant Garde" w:eastAsiaTheme="majorEastAsia" w:hAnsi="ITC Avant Garde" w:cstheme="majorBidi"/>
          <w:b/>
          <w:color w:val="0000FF"/>
          <w:szCs w:val="32"/>
        </w:rPr>
        <w:t>“CONFIDENCIAL POR LEY”</w:t>
      </w:r>
      <w:r w:rsidR="008C06C1" w:rsidRPr="002A2450">
        <w:rPr>
          <w:rFonts w:ascii="ITC Avant Garde" w:hAnsi="ITC Avant Garde"/>
        </w:rPr>
        <w:t xml:space="preserve"> </w:t>
      </w:r>
      <w:r w:rsidR="00A771EC" w:rsidRPr="002A2450">
        <w:rPr>
          <w:rFonts w:ascii="ITC Avant Garde" w:hAnsi="ITC Avant Garde"/>
        </w:rPr>
        <w:t xml:space="preserve">perito en materia contable por parte de </w:t>
      </w:r>
      <w:r w:rsidR="00A771EC" w:rsidRPr="002A2450">
        <w:rPr>
          <w:rFonts w:ascii="ITC Avant Garde" w:hAnsi="ITC Avant Garde"/>
          <w:b/>
        </w:rPr>
        <w:t xml:space="preserve">“TELMEX” </w:t>
      </w:r>
      <w:r w:rsidR="00A771EC" w:rsidRPr="002A2450">
        <w:rPr>
          <w:rFonts w:ascii="ITC Avant Garde" w:hAnsi="ITC Avant Garde"/>
        </w:rPr>
        <w:t xml:space="preserve">y al </w:t>
      </w:r>
      <w:r w:rsidR="00A771EC" w:rsidRPr="002A2450">
        <w:rPr>
          <w:rFonts w:ascii="ITC Avant Garde" w:hAnsi="ITC Avant Garde"/>
          <w:b/>
        </w:rPr>
        <w:t xml:space="preserve">C. </w:t>
      </w:r>
      <w:r w:rsidR="008C06C1" w:rsidRPr="002A2450">
        <w:rPr>
          <w:rFonts w:ascii="ITC Avant Garde" w:hAnsi="ITC Avant Garde"/>
          <w:b/>
        </w:rPr>
        <w:t>MANUEL GÓNGORA PASTRANA</w:t>
      </w:r>
      <w:r w:rsidR="008C06C1" w:rsidRPr="002A2450">
        <w:rPr>
          <w:rFonts w:ascii="ITC Avant Garde" w:hAnsi="ITC Avant Garde"/>
        </w:rPr>
        <w:t xml:space="preserve"> </w:t>
      </w:r>
      <w:r w:rsidR="00A771EC" w:rsidRPr="002A2450">
        <w:rPr>
          <w:rFonts w:ascii="ITC Avant Garde" w:hAnsi="ITC Avant Garde"/>
        </w:rPr>
        <w:t xml:space="preserve">perito en materia contable </w:t>
      </w:r>
      <w:r w:rsidR="00AC45B7" w:rsidRPr="002A2450">
        <w:rPr>
          <w:rFonts w:ascii="ITC Avant Garde" w:hAnsi="ITC Avant Garde"/>
        </w:rPr>
        <w:t xml:space="preserve">designado </w:t>
      </w:r>
      <w:r w:rsidR="00A771EC" w:rsidRPr="002A2450">
        <w:rPr>
          <w:rFonts w:ascii="ITC Avant Garde" w:hAnsi="ITC Avant Garde"/>
        </w:rPr>
        <w:t xml:space="preserve">por el </w:t>
      </w:r>
      <w:r w:rsidRPr="002A2450">
        <w:rPr>
          <w:rFonts w:ascii="ITC Avant Garde" w:hAnsi="ITC Avant Garde"/>
          <w:b/>
        </w:rPr>
        <w:t>“</w:t>
      </w:r>
      <w:r w:rsidR="00A771EC" w:rsidRPr="002A2450">
        <w:rPr>
          <w:rFonts w:ascii="ITC Avant Garde" w:hAnsi="ITC Avant Garde"/>
          <w:b/>
        </w:rPr>
        <w:t>Instituto</w:t>
      </w:r>
      <w:r w:rsidRPr="002A2450">
        <w:rPr>
          <w:rFonts w:ascii="ITC Avant Garde" w:hAnsi="ITC Avant Garde"/>
          <w:b/>
        </w:rPr>
        <w:t>”</w:t>
      </w:r>
      <w:r w:rsidR="00A771EC" w:rsidRPr="002A2450">
        <w:rPr>
          <w:rFonts w:ascii="ITC Avant Garde" w:hAnsi="ITC Avant Garde"/>
        </w:rPr>
        <w:t xml:space="preserve">, </w:t>
      </w:r>
      <w:r w:rsidRPr="002A2450">
        <w:rPr>
          <w:rFonts w:ascii="ITC Avant Garde" w:hAnsi="ITC Avant Garde"/>
        </w:rPr>
        <w:t xml:space="preserve">para que un plazo no mayor </w:t>
      </w:r>
      <w:r w:rsidR="00A771EC" w:rsidRPr="002A2450">
        <w:rPr>
          <w:rFonts w:ascii="ITC Avant Garde" w:hAnsi="ITC Avant Garde"/>
        </w:rPr>
        <w:t xml:space="preserve">a tres días </w:t>
      </w:r>
      <w:r w:rsidR="00AC45B7" w:rsidRPr="002A2450">
        <w:rPr>
          <w:rFonts w:ascii="ITC Avant Garde" w:hAnsi="ITC Avant Garde"/>
        </w:rPr>
        <w:t xml:space="preserve">hábiles </w:t>
      </w:r>
      <w:r w:rsidR="00A771EC" w:rsidRPr="002A2450">
        <w:rPr>
          <w:rFonts w:ascii="ITC Avant Garde" w:hAnsi="ITC Avant Garde"/>
        </w:rPr>
        <w:t>contados a partir de que surt</w:t>
      </w:r>
      <w:r w:rsidR="008C06C1" w:rsidRPr="002A2450">
        <w:rPr>
          <w:rFonts w:ascii="ITC Avant Garde" w:hAnsi="ITC Avant Garde"/>
        </w:rPr>
        <w:t>iera</w:t>
      </w:r>
      <w:r w:rsidR="00A771EC" w:rsidRPr="002A2450">
        <w:rPr>
          <w:rFonts w:ascii="ITC Avant Garde" w:hAnsi="ITC Avant Garde"/>
        </w:rPr>
        <w:t xml:space="preserve"> efectos la notificación del </w:t>
      </w:r>
      <w:r w:rsidR="008C06C1" w:rsidRPr="002A2450">
        <w:rPr>
          <w:rFonts w:ascii="ITC Avant Garde" w:hAnsi="ITC Avant Garde"/>
        </w:rPr>
        <w:t xml:space="preserve">citado </w:t>
      </w:r>
      <w:r w:rsidR="00A771EC" w:rsidRPr="002A2450">
        <w:rPr>
          <w:rFonts w:ascii="ITC Avant Garde" w:hAnsi="ITC Avant Garde"/>
        </w:rPr>
        <w:t>acuerdo</w:t>
      </w:r>
      <w:r w:rsidR="00AC45B7" w:rsidRPr="002A2450">
        <w:rPr>
          <w:rFonts w:ascii="ITC Avant Garde" w:hAnsi="ITC Avant Garde"/>
        </w:rPr>
        <w:t>,</w:t>
      </w:r>
      <w:r w:rsidR="00A771EC" w:rsidRPr="002A2450">
        <w:rPr>
          <w:rFonts w:ascii="ITC Avant Garde" w:hAnsi="ITC Avant Garde"/>
        </w:rPr>
        <w:t xml:space="preserve"> </w:t>
      </w:r>
      <w:r w:rsidRPr="002A2450">
        <w:rPr>
          <w:rFonts w:ascii="ITC Avant Garde" w:hAnsi="ITC Avant Garde"/>
        </w:rPr>
        <w:t xml:space="preserve">manifestarán </w:t>
      </w:r>
      <w:r w:rsidR="00A771EC" w:rsidRPr="002A2450">
        <w:rPr>
          <w:rFonts w:ascii="ITC Avant Garde" w:hAnsi="ITC Avant Garde"/>
        </w:rPr>
        <w:t>la aceptación de su encargo y protest</w:t>
      </w:r>
      <w:r w:rsidR="00B24935" w:rsidRPr="002A2450">
        <w:rPr>
          <w:rFonts w:ascii="ITC Avant Garde" w:hAnsi="ITC Avant Garde"/>
        </w:rPr>
        <w:t>aran</w:t>
      </w:r>
      <w:r w:rsidR="00A771EC" w:rsidRPr="002A2450">
        <w:rPr>
          <w:rFonts w:ascii="ITC Avant Garde" w:hAnsi="ITC Avant Garde"/>
        </w:rPr>
        <w:t xml:space="preserve"> el desempeño del mismo</w:t>
      </w:r>
      <w:r w:rsidRPr="002A2450">
        <w:rPr>
          <w:rFonts w:ascii="ITC Avant Garde" w:hAnsi="ITC Avant Garde"/>
        </w:rPr>
        <w:t>.</w:t>
      </w:r>
    </w:p>
    <w:p w14:paraId="37AEA263" w14:textId="77777777" w:rsidR="00B35F13" w:rsidRDefault="002749C5" w:rsidP="00B35F13">
      <w:pPr>
        <w:spacing w:before="240" w:line="360" w:lineRule="auto"/>
        <w:ind w:right="-1"/>
        <w:jc w:val="both"/>
        <w:rPr>
          <w:rFonts w:ascii="ITC Avant Garde" w:hAnsi="ITC Avant Garde"/>
        </w:rPr>
      </w:pPr>
      <w:r w:rsidRPr="002A2450">
        <w:rPr>
          <w:rFonts w:ascii="ITC Avant Garde" w:hAnsi="ITC Avant Garde"/>
        </w:rPr>
        <w:t>E</w:t>
      </w:r>
      <w:r w:rsidR="00A771EC" w:rsidRPr="002A2450">
        <w:rPr>
          <w:rFonts w:ascii="ITC Avant Garde" w:hAnsi="ITC Avant Garde"/>
        </w:rPr>
        <w:t xml:space="preserve">l acuerdo </w:t>
      </w:r>
      <w:r w:rsidRPr="002A2450">
        <w:rPr>
          <w:rFonts w:ascii="ITC Avant Garde" w:hAnsi="ITC Avant Garde"/>
        </w:rPr>
        <w:t xml:space="preserve">anterior </w:t>
      </w:r>
      <w:r w:rsidR="00A771EC" w:rsidRPr="002A2450">
        <w:rPr>
          <w:rFonts w:ascii="ITC Avant Garde" w:hAnsi="ITC Avant Garde"/>
        </w:rPr>
        <w:t xml:space="preserve">fue notificado el diecisiete y veinte de junio de dos </w:t>
      </w:r>
      <w:r w:rsidRPr="002A2450">
        <w:rPr>
          <w:rFonts w:ascii="ITC Avant Garde" w:hAnsi="ITC Avant Garde"/>
        </w:rPr>
        <w:t xml:space="preserve">mil dieciséis a los peritos </w:t>
      </w:r>
      <w:r w:rsidR="008C06C1" w:rsidRPr="002A2450">
        <w:rPr>
          <w:rFonts w:ascii="ITC Avant Garde" w:hAnsi="ITC Avant Garde"/>
        </w:rPr>
        <w:t xml:space="preserve">y a </w:t>
      </w:r>
      <w:r w:rsidRPr="002A2450">
        <w:rPr>
          <w:rFonts w:ascii="ITC Avant Garde" w:hAnsi="ITC Avant Garde"/>
          <w:b/>
        </w:rPr>
        <w:t>“TELMEX”</w:t>
      </w:r>
      <w:r w:rsidRPr="002A2450">
        <w:rPr>
          <w:rFonts w:ascii="ITC Avant Garde" w:hAnsi="ITC Avant Garde"/>
        </w:rPr>
        <w:t xml:space="preserve">, por lo que el plazo de tres días otorgados </w:t>
      </w:r>
      <w:r w:rsidR="00E81FC3" w:rsidRPr="002A2450">
        <w:rPr>
          <w:rFonts w:ascii="ITC Avant Garde" w:hAnsi="ITC Avant Garde"/>
        </w:rPr>
        <w:t xml:space="preserve">a los peritos </w:t>
      </w:r>
      <w:r w:rsidRPr="002A2450">
        <w:rPr>
          <w:rFonts w:ascii="ITC Avant Garde" w:hAnsi="ITC Avant Garde"/>
        </w:rPr>
        <w:t xml:space="preserve">para la aceptación y protesta del cargo conferido corrió </w:t>
      </w:r>
      <w:r w:rsidR="00E81FC3" w:rsidRPr="002A2450">
        <w:rPr>
          <w:rFonts w:ascii="ITC Avant Garde" w:hAnsi="ITC Avant Garde"/>
        </w:rPr>
        <w:t xml:space="preserve">del veintiuno al veinticuatro de junio del </w:t>
      </w:r>
      <w:r w:rsidR="00C8156F" w:rsidRPr="002A2450">
        <w:rPr>
          <w:rFonts w:ascii="ITC Avant Garde" w:hAnsi="ITC Avant Garde"/>
        </w:rPr>
        <w:t>de dicha anualidad</w:t>
      </w:r>
      <w:r w:rsidR="00E81FC3" w:rsidRPr="002A2450">
        <w:rPr>
          <w:rFonts w:ascii="ITC Avant Garde" w:hAnsi="ITC Avant Garde"/>
        </w:rPr>
        <w:t>.</w:t>
      </w:r>
    </w:p>
    <w:p w14:paraId="4257193C" w14:textId="77777777" w:rsidR="00B35F13" w:rsidRDefault="00E81FC3" w:rsidP="00B35F13">
      <w:pPr>
        <w:spacing w:before="240" w:line="360" w:lineRule="auto"/>
        <w:ind w:right="-1"/>
        <w:jc w:val="both"/>
        <w:rPr>
          <w:rFonts w:ascii="ITC Avant Garde" w:hAnsi="ITC Avant Garde"/>
        </w:rPr>
      </w:pPr>
      <w:bookmarkStart w:id="39" w:name="_Toc477170142"/>
      <w:r w:rsidRPr="002A2450">
        <w:rPr>
          <w:rStyle w:val="Ttulo3Car"/>
          <w:rFonts w:eastAsiaTheme="minorHAnsi"/>
        </w:rPr>
        <w:t>CUADRAGÉSIMO</w:t>
      </w:r>
      <w:bookmarkEnd w:id="39"/>
      <w:r w:rsidR="00A771EC" w:rsidRPr="002A2450">
        <w:rPr>
          <w:rFonts w:ascii="ITC Avant Garde" w:hAnsi="ITC Avant Garde"/>
          <w:b/>
        </w:rPr>
        <w:t xml:space="preserve">. </w:t>
      </w:r>
      <w:r w:rsidR="00A771EC" w:rsidRPr="002A2450">
        <w:rPr>
          <w:rFonts w:ascii="ITC Avant Garde" w:hAnsi="ITC Avant Garde"/>
        </w:rPr>
        <w:t xml:space="preserve">El veintiuno </w:t>
      </w:r>
      <w:r w:rsidRPr="002A2450">
        <w:rPr>
          <w:rFonts w:ascii="ITC Avant Garde" w:hAnsi="ITC Avant Garde"/>
        </w:rPr>
        <w:t xml:space="preserve">y veintitrés </w:t>
      </w:r>
      <w:r w:rsidR="00A771EC" w:rsidRPr="002A2450">
        <w:rPr>
          <w:rFonts w:ascii="ITC Avant Garde" w:hAnsi="ITC Avant Garde"/>
        </w:rPr>
        <w:t>de junio de dos mil dieciséis</w:t>
      </w:r>
      <w:r w:rsidRPr="002A2450">
        <w:rPr>
          <w:rFonts w:ascii="ITC Avant Garde" w:hAnsi="ITC Avant Garde"/>
        </w:rPr>
        <w:t>,</w:t>
      </w:r>
      <w:r w:rsidR="00A771EC" w:rsidRPr="002A2450">
        <w:rPr>
          <w:rFonts w:ascii="ITC Avant Garde" w:hAnsi="ITC Avant Garde"/>
        </w:rPr>
        <w:t xml:space="preserve"> </w:t>
      </w:r>
      <w:r w:rsidRPr="002A2450">
        <w:rPr>
          <w:rFonts w:ascii="ITC Avant Garde" w:hAnsi="ITC Avant Garde"/>
        </w:rPr>
        <w:t>los C</w:t>
      </w:r>
      <w:r w:rsidR="00A771EC" w:rsidRPr="002A2450">
        <w:rPr>
          <w:rFonts w:ascii="ITC Avant Garde" w:hAnsi="ITC Avant Garde"/>
        </w:rPr>
        <w:t xml:space="preserve">C. </w:t>
      </w:r>
      <w:r w:rsidR="00194CBB" w:rsidRPr="005E1F62">
        <w:rPr>
          <w:rFonts w:ascii="ITC Avant Garde" w:eastAsiaTheme="majorEastAsia" w:hAnsi="ITC Avant Garde" w:cstheme="majorBidi"/>
          <w:b/>
          <w:color w:val="0000FF"/>
          <w:szCs w:val="32"/>
        </w:rPr>
        <w:t>“CONFIDENCIAL POR LEY”</w:t>
      </w:r>
      <w:r w:rsidR="00A771EC" w:rsidRPr="002A2450">
        <w:rPr>
          <w:rFonts w:ascii="ITC Avant Garde" w:hAnsi="ITC Avant Garde"/>
        </w:rPr>
        <w:t xml:space="preserve"> perito en materia contable por parte de </w:t>
      </w:r>
      <w:r w:rsidR="00A771EC" w:rsidRPr="002A2450">
        <w:rPr>
          <w:rFonts w:ascii="ITC Avant Garde" w:hAnsi="ITC Avant Garde"/>
          <w:b/>
        </w:rPr>
        <w:t>“TELMEX”</w:t>
      </w:r>
      <w:r w:rsidR="00A771EC" w:rsidRPr="002A2450">
        <w:rPr>
          <w:rFonts w:ascii="ITC Avant Garde" w:hAnsi="ITC Avant Garde"/>
        </w:rPr>
        <w:t xml:space="preserve"> </w:t>
      </w:r>
      <w:r w:rsidRPr="002A2450">
        <w:rPr>
          <w:rFonts w:ascii="ITC Avant Garde" w:hAnsi="ITC Avant Garde"/>
        </w:rPr>
        <w:t xml:space="preserve">y el </w:t>
      </w:r>
      <w:r w:rsidR="00A771EC" w:rsidRPr="002A2450">
        <w:rPr>
          <w:rFonts w:ascii="ITC Avant Garde" w:hAnsi="ITC Avant Garde"/>
        </w:rPr>
        <w:t xml:space="preserve">C. </w:t>
      </w:r>
      <w:r w:rsidR="008C06C1" w:rsidRPr="002A2450">
        <w:rPr>
          <w:rFonts w:ascii="ITC Avant Garde" w:hAnsi="ITC Avant Garde"/>
          <w:b/>
        </w:rPr>
        <w:t>MANUEL GÓNGORA PASTRANA</w:t>
      </w:r>
      <w:r w:rsidR="008C06C1" w:rsidRPr="002A2450">
        <w:rPr>
          <w:rFonts w:ascii="ITC Avant Garde" w:hAnsi="ITC Avant Garde"/>
        </w:rPr>
        <w:t xml:space="preserve"> </w:t>
      </w:r>
      <w:r w:rsidR="00A771EC" w:rsidRPr="002A2450">
        <w:rPr>
          <w:rFonts w:ascii="ITC Avant Garde" w:hAnsi="ITC Avant Garde"/>
        </w:rPr>
        <w:t xml:space="preserve">perito en materia contable por el </w:t>
      </w:r>
      <w:r w:rsidR="00B24935" w:rsidRPr="002A2450">
        <w:rPr>
          <w:rFonts w:ascii="ITC Avant Garde" w:hAnsi="ITC Avant Garde"/>
          <w:b/>
        </w:rPr>
        <w:t>“</w:t>
      </w:r>
      <w:r w:rsidR="00A771EC" w:rsidRPr="002A2450">
        <w:rPr>
          <w:rFonts w:ascii="ITC Avant Garde" w:hAnsi="ITC Avant Garde"/>
          <w:b/>
        </w:rPr>
        <w:t>Instituto</w:t>
      </w:r>
      <w:r w:rsidR="00B24935" w:rsidRPr="002A2450">
        <w:rPr>
          <w:rFonts w:ascii="ITC Avant Garde" w:hAnsi="ITC Avant Garde"/>
          <w:b/>
        </w:rPr>
        <w:t>”</w:t>
      </w:r>
      <w:r w:rsidR="00A771EC" w:rsidRPr="002A2450">
        <w:rPr>
          <w:rFonts w:ascii="ITC Avant Garde" w:hAnsi="ITC Avant Garde"/>
        </w:rPr>
        <w:t xml:space="preserve"> </w:t>
      </w:r>
      <w:proofErr w:type="gramStart"/>
      <w:r w:rsidRPr="002A2450">
        <w:rPr>
          <w:rFonts w:ascii="ITC Avant Garde" w:hAnsi="ITC Avant Garde"/>
        </w:rPr>
        <w:t>comparecieron</w:t>
      </w:r>
      <w:proofErr w:type="gramEnd"/>
      <w:r w:rsidRPr="002A2450">
        <w:rPr>
          <w:rFonts w:ascii="ITC Avant Garde" w:hAnsi="ITC Avant Garde"/>
        </w:rPr>
        <w:t xml:space="preserve">, respectivamente, </w:t>
      </w:r>
      <w:r w:rsidR="00A771EC" w:rsidRPr="002A2450">
        <w:rPr>
          <w:rFonts w:ascii="ITC Avant Garde" w:hAnsi="ITC Avant Garde"/>
        </w:rPr>
        <w:t xml:space="preserve">en las oficinas de la Unidad de Cumplimiento </w:t>
      </w:r>
      <w:r w:rsidRPr="002A2450">
        <w:rPr>
          <w:rFonts w:ascii="ITC Avant Garde" w:hAnsi="ITC Avant Garde"/>
        </w:rPr>
        <w:t xml:space="preserve">a efecto de aceptar </w:t>
      </w:r>
      <w:r w:rsidR="00A771EC" w:rsidRPr="002A2450">
        <w:rPr>
          <w:rFonts w:ascii="ITC Avant Garde" w:hAnsi="ITC Avant Garde"/>
        </w:rPr>
        <w:t>y protesta</w:t>
      </w:r>
      <w:r w:rsidRPr="002A2450">
        <w:rPr>
          <w:rFonts w:ascii="ITC Avant Garde" w:hAnsi="ITC Avant Garde"/>
        </w:rPr>
        <w:t xml:space="preserve">r </w:t>
      </w:r>
      <w:r w:rsidR="00A771EC" w:rsidRPr="002A2450">
        <w:rPr>
          <w:rFonts w:ascii="ITC Avant Garde" w:hAnsi="ITC Avant Garde"/>
        </w:rPr>
        <w:t>el desempeño de su encargo.</w:t>
      </w:r>
    </w:p>
    <w:p w14:paraId="460A74EC" w14:textId="77777777" w:rsidR="00B35F13" w:rsidRDefault="00E81FC3" w:rsidP="00B35F13">
      <w:pPr>
        <w:spacing w:before="240" w:line="360" w:lineRule="auto"/>
        <w:ind w:right="-1"/>
        <w:jc w:val="both"/>
        <w:rPr>
          <w:rFonts w:ascii="ITC Avant Garde" w:eastAsia="Times New Roman" w:hAnsi="ITC Avant Garde"/>
          <w:bCs/>
          <w:color w:val="000000"/>
          <w:lang w:eastAsia="es-MX"/>
        </w:rPr>
      </w:pPr>
      <w:bookmarkStart w:id="40" w:name="_Toc477170143"/>
      <w:r w:rsidRPr="002A2450">
        <w:rPr>
          <w:rStyle w:val="Ttulo3Car"/>
          <w:rFonts w:eastAsiaTheme="minorHAnsi"/>
        </w:rPr>
        <w:lastRenderedPageBreak/>
        <w:t>CUADRAGÉSIMO PRIMERO</w:t>
      </w:r>
      <w:bookmarkEnd w:id="40"/>
      <w:r w:rsidR="00A771EC" w:rsidRPr="002A2450">
        <w:rPr>
          <w:rFonts w:ascii="ITC Avant Garde" w:hAnsi="ITC Avant Garde"/>
          <w:b/>
        </w:rPr>
        <w:t xml:space="preserve">. </w:t>
      </w:r>
      <w:r w:rsidRPr="002A2450">
        <w:rPr>
          <w:rFonts w:ascii="ITC Avant Garde" w:hAnsi="ITC Avant Garde"/>
        </w:rPr>
        <w:t>Por</w:t>
      </w:r>
      <w:r w:rsidRPr="002A2450">
        <w:rPr>
          <w:rFonts w:ascii="ITC Avant Garde" w:hAnsi="ITC Avant Garde"/>
          <w:b/>
        </w:rPr>
        <w:t xml:space="preserve"> </w:t>
      </w:r>
      <w:r w:rsidR="00A771EC" w:rsidRPr="002A2450">
        <w:rPr>
          <w:rFonts w:ascii="ITC Avant Garde" w:hAnsi="ITC Avant Garde"/>
        </w:rPr>
        <w:t>acuerdo de treinta de junio de dos mil dieciséis se d</w:t>
      </w:r>
      <w:r w:rsidRPr="002A2450">
        <w:rPr>
          <w:rFonts w:ascii="ITC Avant Garde" w:hAnsi="ITC Avant Garde"/>
        </w:rPr>
        <w:t>io</w:t>
      </w:r>
      <w:r w:rsidR="00A771EC" w:rsidRPr="002A2450">
        <w:rPr>
          <w:rFonts w:ascii="ITC Avant Garde" w:hAnsi="ITC Avant Garde"/>
        </w:rPr>
        <w:t xml:space="preserve"> cu</w:t>
      </w:r>
      <w:r w:rsidRPr="002A2450">
        <w:rPr>
          <w:rFonts w:ascii="ITC Avant Garde" w:hAnsi="ITC Avant Garde"/>
        </w:rPr>
        <w:t>enta de las comparecencias de</w:t>
      </w:r>
      <w:r w:rsidR="00AC45B7" w:rsidRPr="002A2450">
        <w:rPr>
          <w:rFonts w:ascii="ITC Avant Garde" w:hAnsi="ITC Avant Garde"/>
        </w:rPr>
        <w:t xml:space="preserve"> </w:t>
      </w:r>
      <w:r w:rsidRPr="002A2450">
        <w:rPr>
          <w:rFonts w:ascii="ITC Avant Garde" w:hAnsi="ITC Avant Garde"/>
        </w:rPr>
        <w:t>los C</w:t>
      </w:r>
      <w:r w:rsidR="00A771EC" w:rsidRPr="002A2450">
        <w:rPr>
          <w:rFonts w:ascii="ITC Avant Garde" w:hAnsi="ITC Avant Garde"/>
        </w:rPr>
        <w:t xml:space="preserve">C. </w:t>
      </w:r>
      <w:r w:rsidR="00194CBB" w:rsidRPr="005E1F62">
        <w:rPr>
          <w:rFonts w:ascii="ITC Avant Garde" w:eastAsiaTheme="majorEastAsia" w:hAnsi="ITC Avant Garde" w:cstheme="majorBidi"/>
          <w:b/>
          <w:color w:val="0000FF"/>
          <w:szCs w:val="32"/>
        </w:rPr>
        <w:t>“CONFIDENCIAL POR LEY”</w:t>
      </w:r>
      <w:r w:rsidR="00194CBB">
        <w:rPr>
          <w:rFonts w:ascii="ITC Avant Garde" w:eastAsiaTheme="majorEastAsia" w:hAnsi="ITC Avant Garde" w:cstheme="majorBidi"/>
          <w:color w:val="0000FF"/>
          <w:szCs w:val="32"/>
        </w:rPr>
        <w:t xml:space="preserve"> </w:t>
      </w:r>
      <w:r w:rsidR="00A771EC" w:rsidRPr="002A2450">
        <w:rPr>
          <w:rFonts w:ascii="ITC Avant Garde" w:hAnsi="ITC Avant Garde"/>
        </w:rPr>
        <w:t xml:space="preserve">perito en materia contable por parte de </w:t>
      </w:r>
      <w:r w:rsidR="00A771EC" w:rsidRPr="002A2450">
        <w:rPr>
          <w:rFonts w:ascii="ITC Avant Garde" w:hAnsi="ITC Avant Garde"/>
          <w:b/>
        </w:rPr>
        <w:t xml:space="preserve">“TELMEX” </w:t>
      </w:r>
      <w:r w:rsidR="00A771EC" w:rsidRPr="002A2450">
        <w:rPr>
          <w:rFonts w:ascii="ITC Avant Garde" w:hAnsi="ITC Avant Garde"/>
        </w:rPr>
        <w:t xml:space="preserve">y el C. </w:t>
      </w:r>
      <w:r w:rsidR="008C06C1" w:rsidRPr="002A2450">
        <w:rPr>
          <w:rFonts w:ascii="ITC Avant Garde" w:hAnsi="ITC Avant Garde"/>
          <w:b/>
        </w:rPr>
        <w:t>MANUEL GÓNGORA PASTRANA</w:t>
      </w:r>
      <w:r w:rsidR="008C06C1" w:rsidRPr="002A2450">
        <w:rPr>
          <w:rFonts w:ascii="ITC Avant Garde" w:hAnsi="ITC Avant Garde"/>
        </w:rPr>
        <w:t xml:space="preserve"> </w:t>
      </w:r>
      <w:r w:rsidR="00A771EC" w:rsidRPr="002A2450">
        <w:rPr>
          <w:rFonts w:ascii="ITC Avant Garde" w:hAnsi="ITC Avant Garde"/>
        </w:rPr>
        <w:t xml:space="preserve">perito en materia contable por el </w:t>
      </w:r>
      <w:r w:rsidR="00B24935" w:rsidRPr="002A2450">
        <w:rPr>
          <w:rFonts w:ascii="ITC Avant Garde" w:hAnsi="ITC Avant Garde"/>
          <w:b/>
        </w:rPr>
        <w:t>“</w:t>
      </w:r>
      <w:r w:rsidR="00A771EC" w:rsidRPr="002A2450">
        <w:rPr>
          <w:rFonts w:ascii="ITC Avant Garde" w:hAnsi="ITC Avant Garde"/>
          <w:b/>
        </w:rPr>
        <w:t>Instituto</w:t>
      </w:r>
      <w:r w:rsidR="00B24935" w:rsidRPr="002A2450">
        <w:rPr>
          <w:rFonts w:ascii="ITC Avant Garde" w:hAnsi="ITC Avant Garde"/>
          <w:b/>
        </w:rPr>
        <w:t>”</w:t>
      </w:r>
      <w:r w:rsidR="00A771EC" w:rsidRPr="002A2450">
        <w:rPr>
          <w:rFonts w:ascii="ITC Avant Garde" w:hAnsi="ITC Avant Garde"/>
        </w:rPr>
        <w:t xml:space="preserve">, </w:t>
      </w:r>
      <w:r w:rsidRPr="002A2450">
        <w:rPr>
          <w:rFonts w:ascii="ITC Avant Garde" w:hAnsi="ITC Avant Garde"/>
        </w:rPr>
        <w:t xml:space="preserve">por lo que se les otorgó un </w:t>
      </w:r>
      <w:r w:rsidR="00A771EC" w:rsidRPr="002A2450">
        <w:rPr>
          <w:rFonts w:ascii="ITC Avant Garde" w:hAnsi="ITC Avant Garde"/>
        </w:rPr>
        <w:t>plazo de quince días contados a partir del día siguiente a aquel en que surt</w:t>
      </w:r>
      <w:r w:rsidRPr="002A2450">
        <w:rPr>
          <w:rFonts w:ascii="ITC Avant Garde" w:hAnsi="ITC Avant Garde"/>
        </w:rPr>
        <w:t xml:space="preserve">iera </w:t>
      </w:r>
      <w:r w:rsidR="00A771EC" w:rsidRPr="002A2450">
        <w:rPr>
          <w:rFonts w:ascii="ITC Avant Garde" w:hAnsi="ITC Avant Garde"/>
        </w:rPr>
        <w:t xml:space="preserve">efectos la notificación del acuerdo señalado, para que </w:t>
      </w:r>
      <w:r w:rsidRPr="002A2450">
        <w:rPr>
          <w:rFonts w:ascii="ITC Avant Garde" w:hAnsi="ITC Avant Garde"/>
        </w:rPr>
        <w:t xml:space="preserve">rindieran el </w:t>
      </w:r>
      <w:r w:rsidR="00A771EC" w:rsidRPr="002A2450">
        <w:rPr>
          <w:rFonts w:ascii="ITC Avant Garde" w:hAnsi="ITC Avant Garde"/>
        </w:rPr>
        <w:t>dictamen pericial</w:t>
      </w:r>
      <w:r w:rsidRPr="002A2450">
        <w:rPr>
          <w:rFonts w:ascii="ITC Avant Garde" w:hAnsi="ITC Avant Garde"/>
        </w:rPr>
        <w:t xml:space="preserve"> respectivo y se ordenó correr traslado del cuestionario ofrecido por </w:t>
      </w:r>
      <w:r w:rsidRPr="002A2450">
        <w:rPr>
          <w:rFonts w:ascii="ITC Avant Garde" w:hAnsi="ITC Avant Garde"/>
          <w:b/>
        </w:rPr>
        <w:t>“TELMEX”</w:t>
      </w:r>
      <w:r w:rsidRPr="002A2450">
        <w:rPr>
          <w:rFonts w:ascii="ITC Avant Garde" w:hAnsi="ITC Avant Garde"/>
        </w:rPr>
        <w:t xml:space="preserve"> en el presente procedimiento.</w:t>
      </w:r>
    </w:p>
    <w:p w14:paraId="4F9099CC" w14:textId="71951D1B" w:rsidR="00B35F13" w:rsidRDefault="00E81FC3" w:rsidP="00B35F13">
      <w:pPr>
        <w:spacing w:before="240" w:line="360" w:lineRule="auto"/>
        <w:ind w:right="-1"/>
        <w:jc w:val="both"/>
        <w:rPr>
          <w:rFonts w:ascii="ITC Avant Garde" w:hAnsi="ITC Avant Garde"/>
        </w:rPr>
      </w:pPr>
      <w:bookmarkStart w:id="41" w:name="_Toc477170144"/>
      <w:r w:rsidRPr="002A2450">
        <w:rPr>
          <w:rStyle w:val="Ttulo3Car"/>
          <w:rFonts w:eastAsiaTheme="minorHAnsi"/>
        </w:rPr>
        <w:t>CUADRAGÉSIMO SEGUNDO</w:t>
      </w:r>
      <w:bookmarkEnd w:id="41"/>
      <w:r w:rsidRPr="002A2450">
        <w:rPr>
          <w:rFonts w:ascii="ITC Avant Garde" w:hAnsi="ITC Avant Garde"/>
          <w:b/>
        </w:rPr>
        <w:t xml:space="preserve">. </w:t>
      </w:r>
      <w:r w:rsidRPr="002A2450">
        <w:rPr>
          <w:rFonts w:ascii="ITC Avant Garde" w:hAnsi="ITC Avant Garde"/>
        </w:rPr>
        <w:t xml:space="preserve">El acuerdo de treinta de junio de dos mil dieciséis se notificó a los CC. </w:t>
      </w:r>
      <w:r w:rsidR="00194CBB" w:rsidRPr="005E1F62">
        <w:rPr>
          <w:rFonts w:ascii="ITC Avant Garde" w:eastAsiaTheme="majorEastAsia" w:hAnsi="ITC Avant Garde" w:cstheme="majorBidi"/>
          <w:b/>
          <w:color w:val="0000FF"/>
          <w:szCs w:val="32"/>
        </w:rPr>
        <w:t>“CONFIDENCIAL POR LEY”</w:t>
      </w:r>
      <w:r w:rsidR="008C06C1" w:rsidRPr="002A2450">
        <w:rPr>
          <w:rFonts w:ascii="ITC Avant Garde" w:hAnsi="ITC Avant Garde"/>
        </w:rPr>
        <w:t xml:space="preserve"> </w:t>
      </w:r>
      <w:r w:rsidRPr="002A2450">
        <w:rPr>
          <w:rFonts w:ascii="ITC Avant Garde" w:hAnsi="ITC Avant Garde"/>
        </w:rPr>
        <w:t xml:space="preserve">perito en materia contable por parte de </w:t>
      </w:r>
      <w:r w:rsidRPr="002A2450">
        <w:rPr>
          <w:rFonts w:ascii="ITC Avant Garde" w:hAnsi="ITC Avant Garde"/>
          <w:b/>
        </w:rPr>
        <w:t xml:space="preserve">“TELMEX” </w:t>
      </w:r>
      <w:r w:rsidRPr="002A2450">
        <w:rPr>
          <w:rFonts w:ascii="ITC Avant Garde" w:hAnsi="ITC Avant Garde"/>
        </w:rPr>
        <w:t xml:space="preserve">y el C. </w:t>
      </w:r>
      <w:r w:rsidR="008C06C1" w:rsidRPr="002A2450">
        <w:rPr>
          <w:rFonts w:ascii="ITC Avant Garde" w:hAnsi="ITC Avant Garde"/>
          <w:b/>
        </w:rPr>
        <w:t>MANUEL GÓNGORA PASTRANA</w:t>
      </w:r>
      <w:r w:rsidR="008C06C1" w:rsidRPr="002A2450">
        <w:rPr>
          <w:rFonts w:ascii="ITC Avant Garde" w:hAnsi="ITC Avant Garde"/>
        </w:rPr>
        <w:t xml:space="preserve"> </w:t>
      </w:r>
      <w:r w:rsidRPr="002A2450">
        <w:rPr>
          <w:rFonts w:ascii="ITC Avant Garde" w:hAnsi="ITC Avant Garde"/>
        </w:rPr>
        <w:t xml:space="preserve">perito en materia contable por el </w:t>
      </w:r>
      <w:r w:rsidR="00B24935" w:rsidRPr="002A2450">
        <w:rPr>
          <w:rFonts w:ascii="ITC Avant Garde" w:hAnsi="ITC Avant Garde"/>
          <w:b/>
        </w:rPr>
        <w:t>“</w:t>
      </w:r>
      <w:r w:rsidRPr="002A2450">
        <w:rPr>
          <w:rFonts w:ascii="ITC Avant Garde" w:hAnsi="ITC Avant Garde"/>
          <w:b/>
        </w:rPr>
        <w:t>Instituto</w:t>
      </w:r>
      <w:r w:rsidR="00B24935" w:rsidRPr="002A2450">
        <w:rPr>
          <w:rFonts w:ascii="ITC Avant Garde" w:hAnsi="ITC Avant Garde"/>
          <w:b/>
        </w:rPr>
        <w:t>”</w:t>
      </w:r>
      <w:r w:rsidR="00C8156F" w:rsidRPr="002A2450">
        <w:rPr>
          <w:rFonts w:ascii="ITC Avant Garde" w:hAnsi="ITC Avant Garde"/>
        </w:rPr>
        <w:t>, el siete de julio de esa anualidad</w:t>
      </w:r>
      <w:r w:rsidRPr="002A2450">
        <w:rPr>
          <w:rFonts w:ascii="ITC Avant Garde" w:hAnsi="ITC Avant Garde"/>
        </w:rPr>
        <w:t>, por lo que el plazo de quince días otorgado para que rindiera</w:t>
      </w:r>
      <w:r w:rsidR="00240678" w:rsidRPr="002A2450">
        <w:rPr>
          <w:rFonts w:ascii="ITC Avant Garde" w:hAnsi="ITC Avant Garde"/>
        </w:rPr>
        <w:t>n</w:t>
      </w:r>
      <w:r w:rsidRPr="002A2450">
        <w:rPr>
          <w:rFonts w:ascii="ITC Avant Garde" w:hAnsi="ITC Avant Garde"/>
        </w:rPr>
        <w:t xml:space="preserve"> su dictamen pericial corrió del ocho de julio al doce de agosto de </w:t>
      </w:r>
      <w:r w:rsidR="00240678" w:rsidRPr="002A2450">
        <w:rPr>
          <w:rFonts w:ascii="ITC Avant Garde" w:hAnsi="ITC Avant Garde"/>
        </w:rPr>
        <w:t>dos mil dieciséis</w:t>
      </w:r>
      <w:r w:rsidRPr="002A2450">
        <w:rPr>
          <w:rFonts w:ascii="ITC Avant Garde" w:hAnsi="ITC Avant Garde"/>
        </w:rPr>
        <w:t xml:space="preserve">, sin considerar los días dieciséis, diecisiete, veintitrés, veinticuatro, treinta y treinta y uno de julio, y seis, siete, trece y catorce de agosto, todos de dos mil dieciséis, por ser sábados y domingos, en términos del artículo 28 de la </w:t>
      </w:r>
      <w:r w:rsidRPr="002A2450">
        <w:rPr>
          <w:rFonts w:ascii="ITC Avant Garde" w:hAnsi="ITC Avant Garde"/>
          <w:b/>
        </w:rPr>
        <w:t>“LFPA”</w:t>
      </w:r>
      <w:r w:rsidRPr="002A2450">
        <w:rPr>
          <w:rFonts w:ascii="ITC Avant Garde" w:hAnsi="ITC Avant Garde"/>
        </w:rPr>
        <w:t xml:space="preserve"> y del dieciocho al veintidós y del veinticinco al veintinueve de julio de</w:t>
      </w:r>
      <w:r w:rsidR="00C8156F" w:rsidRPr="002A2450">
        <w:rPr>
          <w:rFonts w:ascii="ITC Avant Garde" w:hAnsi="ITC Avant Garde"/>
        </w:rPr>
        <w:t xml:space="preserve"> dos mil </w:t>
      </w:r>
      <w:r w:rsidR="00CA2EBF" w:rsidRPr="002A2450">
        <w:rPr>
          <w:rFonts w:ascii="ITC Avant Garde" w:hAnsi="ITC Avant Garde"/>
        </w:rPr>
        <w:t>dieciséis</w:t>
      </w:r>
      <w:r w:rsidRPr="002A2450">
        <w:rPr>
          <w:rFonts w:ascii="ITC Avant Garde" w:hAnsi="ITC Avant Garde"/>
        </w:rPr>
        <w:t xml:space="preserve"> por haber sido declarados inhábiles.</w:t>
      </w:r>
      <w:r w:rsidRPr="002A2450">
        <w:rPr>
          <w:rStyle w:val="Refdenotaalpie"/>
          <w:rFonts w:ascii="ITC Avant Garde" w:hAnsi="ITC Avant Garde"/>
        </w:rPr>
        <w:footnoteReference w:id="6"/>
      </w:r>
    </w:p>
    <w:p w14:paraId="346B9815" w14:textId="77777777" w:rsidR="00B35F13" w:rsidRDefault="008C06C1" w:rsidP="00B35F13">
      <w:pPr>
        <w:spacing w:before="240" w:line="360" w:lineRule="auto"/>
        <w:ind w:right="-1"/>
        <w:jc w:val="both"/>
        <w:rPr>
          <w:rFonts w:ascii="ITC Avant Garde" w:hAnsi="ITC Avant Garde"/>
        </w:rPr>
      </w:pPr>
      <w:bookmarkStart w:id="42" w:name="_Toc477170145"/>
      <w:r w:rsidRPr="002A2450">
        <w:rPr>
          <w:rStyle w:val="Ttulo3Car"/>
          <w:rFonts w:eastAsiaTheme="minorHAnsi"/>
        </w:rPr>
        <w:t xml:space="preserve">CUADRAGÉSIMO </w:t>
      </w:r>
      <w:r w:rsidR="002A22D3" w:rsidRPr="002A2450">
        <w:rPr>
          <w:rStyle w:val="Ttulo3Car"/>
          <w:rFonts w:eastAsiaTheme="minorHAnsi"/>
        </w:rPr>
        <w:t>TERCERO</w:t>
      </w:r>
      <w:bookmarkEnd w:id="42"/>
      <w:r w:rsidRPr="002A2450">
        <w:rPr>
          <w:rFonts w:ascii="ITC Avant Garde" w:hAnsi="ITC Avant Garde"/>
          <w:b/>
        </w:rPr>
        <w:t>.</w:t>
      </w:r>
      <w:r w:rsidR="009D5F7D" w:rsidRPr="002A2450">
        <w:rPr>
          <w:rFonts w:ascii="ITC Avant Garde" w:hAnsi="ITC Avant Garde"/>
          <w:b/>
        </w:rPr>
        <w:t xml:space="preserve"> </w:t>
      </w:r>
      <w:r w:rsidR="009D5F7D" w:rsidRPr="002A2450">
        <w:rPr>
          <w:rFonts w:ascii="ITC Avant Garde" w:hAnsi="ITC Avant Garde"/>
        </w:rPr>
        <w:t xml:space="preserve">El nueve de agosto de dos mil dieciséis, la </w:t>
      </w:r>
      <w:r w:rsidR="00194CBB" w:rsidRPr="005E1F62">
        <w:rPr>
          <w:rFonts w:ascii="ITC Avant Garde" w:eastAsiaTheme="majorEastAsia" w:hAnsi="ITC Avant Garde" w:cstheme="majorBidi"/>
          <w:b/>
          <w:color w:val="0000FF"/>
          <w:szCs w:val="32"/>
        </w:rPr>
        <w:t>“CONFIDENCIAL POR LEY”</w:t>
      </w:r>
      <w:r w:rsidR="009D5F7D" w:rsidRPr="002A2450">
        <w:rPr>
          <w:rFonts w:ascii="ITC Avant Garde" w:hAnsi="ITC Avant Garde"/>
        </w:rPr>
        <w:t xml:space="preserve"> perito en materia contable por parte de </w:t>
      </w:r>
      <w:r w:rsidR="009D5F7D" w:rsidRPr="002A2450">
        <w:rPr>
          <w:rFonts w:ascii="ITC Avant Garde" w:hAnsi="ITC Avant Garde"/>
          <w:b/>
        </w:rPr>
        <w:t xml:space="preserve">“TELMEX” </w:t>
      </w:r>
      <w:r w:rsidR="009D5F7D" w:rsidRPr="002A2450">
        <w:rPr>
          <w:rFonts w:ascii="ITC Avant Garde" w:hAnsi="ITC Avant Garde"/>
        </w:rPr>
        <w:t xml:space="preserve">presentó ante la Oficialía de Partes de este </w:t>
      </w:r>
      <w:r w:rsidR="009D5F7D" w:rsidRPr="002A2450">
        <w:rPr>
          <w:rFonts w:ascii="ITC Avant Garde" w:hAnsi="ITC Avant Garde"/>
          <w:b/>
        </w:rPr>
        <w:t>“IFT”</w:t>
      </w:r>
      <w:r w:rsidR="009D5F7D" w:rsidRPr="002A2450">
        <w:rPr>
          <w:rFonts w:ascii="ITC Avant Garde" w:hAnsi="ITC Avant Garde"/>
        </w:rPr>
        <w:t xml:space="preserve"> su dictamen en materia de Contabilidad.</w:t>
      </w:r>
    </w:p>
    <w:p w14:paraId="4CAC3F99" w14:textId="77777777" w:rsidR="00B35F13" w:rsidRDefault="009D5F7D" w:rsidP="00B35F13">
      <w:pPr>
        <w:spacing w:before="240" w:line="360" w:lineRule="auto"/>
        <w:ind w:right="-1"/>
        <w:jc w:val="both"/>
        <w:rPr>
          <w:rFonts w:ascii="ITC Avant Garde" w:hAnsi="ITC Avant Garde"/>
          <w:b/>
        </w:rPr>
      </w:pPr>
      <w:r w:rsidRPr="002A2450">
        <w:rPr>
          <w:rFonts w:ascii="ITC Avant Garde" w:hAnsi="ITC Avant Garde"/>
        </w:rPr>
        <w:t xml:space="preserve">Asimismo, en esa fecha el </w:t>
      </w:r>
      <w:r w:rsidRPr="002A2450">
        <w:rPr>
          <w:rFonts w:ascii="ITC Avant Garde" w:hAnsi="ITC Avant Garde"/>
          <w:b/>
        </w:rPr>
        <w:t>C. MANUEL GÓNGORA PASTRANA</w:t>
      </w:r>
      <w:r w:rsidRPr="002A2450">
        <w:rPr>
          <w:rFonts w:ascii="ITC Avant Garde" w:hAnsi="ITC Avant Garde"/>
        </w:rPr>
        <w:t xml:space="preserve"> perito en materia contable por </w:t>
      </w:r>
      <w:r w:rsidR="000302BB" w:rsidRPr="002A2450">
        <w:rPr>
          <w:rFonts w:ascii="ITC Avant Garde" w:hAnsi="ITC Avant Garde"/>
        </w:rPr>
        <w:t xml:space="preserve">parte de este </w:t>
      </w:r>
      <w:r w:rsidRPr="002A2450">
        <w:rPr>
          <w:rFonts w:ascii="ITC Avant Garde" w:hAnsi="ITC Avant Garde"/>
          <w:b/>
        </w:rPr>
        <w:t>“Instituto”</w:t>
      </w:r>
      <w:r w:rsidRPr="002A2450">
        <w:rPr>
          <w:rFonts w:ascii="ITC Avant Garde" w:hAnsi="ITC Avant Garde"/>
        </w:rPr>
        <w:t xml:space="preserve">, presentó un escrito ante la Oficialía de Partes </w:t>
      </w:r>
      <w:r w:rsidRPr="002A2450">
        <w:rPr>
          <w:rFonts w:ascii="ITC Avant Garde" w:hAnsi="ITC Avant Garde"/>
        </w:rPr>
        <w:lastRenderedPageBreak/>
        <w:t xml:space="preserve">de esta autoridad por el que informó que </w:t>
      </w:r>
      <w:r w:rsidR="005C2120" w:rsidRPr="002A2450">
        <w:rPr>
          <w:rFonts w:ascii="ITC Avant Garde" w:hAnsi="ITC Avant Garde"/>
        </w:rPr>
        <w:t>a</w:t>
      </w:r>
      <w:r w:rsidRPr="002A2450">
        <w:rPr>
          <w:rFonts w:ascii="ITC Avant Garde" w:hAnsi="ITC Avant Garde"/>
        </w:rPr>
        <w:t xml:space="preserve"> efecto de estar en posibilidad de rendir el dictamen respectivo era necesario contar con información adicional por parte de </w:t>
      </w:r>
      <w:r w:rsidRPr="002A2450">
        <w:rPr>
          <w:rFonts w:ascii="ITC Avant Garde" w:hAnsi="ITC Avant Garde"/>
          <w:b/>
        </w:rPr>
        <w:t>“TELMEX”.</w:t>
      </w:r>
    </w:p>
    <w:p w14:paraId="28E4BAB0" w14:textId="77777777" w:rsidR="00B35F13" w:rsidRDefault="009D5F7D" w:rsidP="00B35F13">
      <w:pPr>
        <w:spacing w:before="240" w:line="360" w:lineRule="auto"/>
        <w:ind w:right="-1"/>
        <w:jc w:val="both"/>
        <w:rPr>
          <w:rFonts w:ascii="ITC Avant Garde" w:hAnsi="ITC Avant Garde"/>
        </w:rPr>
      </w:pPr>
      <w:r w:rsidRPr="002A2450">
        <w:rPr>
          <w:rFonts w:ascii="ITC Avant Garde" w:hAnsi="ITC Avant Garde"/>
          <w:b/>
        </w:rPr>
        <w:t>CUADRAGÉSIMO</w:t>
      </w:r>
      <w:r w:rsidR="002A22D3" w:rsidRPr="002A2450">
        <w:rPr>
          <w:rFonts w:ascii="ITC Avant Garde" w:hAnsi="ITC Avant Garde"/>
          <w:b/>
        </w:rPr>
        <w:t xml:space="preserve"> CUARTO</w:t>
      </w:r>
      <w:r w:rsidRPr="002A2450">
        <w:rPr>
          <w:rFonts w:ascii="ITC Avant Garde" w:hAnsi="ITC Avant Garde"/>
          <w:b/>
        </w:rPr>
        <w:t xml:space="preserve">. </w:t>
      </w:r>
      <w:r w:rsidRPr="002A2450">
        <w:rPr>
          <w:rFonts w:ascii="ITC Avant Garde" w:hAnsi="ITC Avant Garde"/>
        </w:rPr>
        <w:t xml:space="preserve">Por acuerdo de doce de agosto de dos mil dieciséis, se tuvo por presentado el dictamen signado por la </w:t>
      </w:r>
      <w:r w:rsidR="00194CBB" w:rsidRPr="005E1F62">
        <w:rPr>
          <w:rFonts w:ascii="ITC Avant Garde" w:eastAsiaTheme="majorEastAsia" w:hAnsi="ITC Avant Garde" w:cstheme="majorBidi"/>
          <w:b/>
          <w:color w:val="0000FF"/>
          <w:szCs w:val="32"/>
        </w:rPr>
        <w:t>“CONFIDENCIAL POR LEY”</w:t>
      </w:r>
      <w:r w:rsidRPr="002A2450">
        <w:rPr>
          <w:rFonts w:ascii="ITC Avant Garde" w:hAnsi="ITC Avant Garde"/>
        </w:rPr>
        <w:t xml:space="preserve"> perito en materia contable por parte de </w:t>
      </w:r>
      <w:r w:rsidRPr="002A2450">
        <w:rPr>
          <w:rFonts w:ascii="ITC Avant Garde" w:hAnsi="ITC Avant Garde"/>
          <w:b/>
        </w:rPr>
        <w:t xml:space="preserve">“TELMEX”, </w:t>
      </w:r>
      <w:r w:rsidRPr="002A2450">
        <w:rPr>
          <w:rFonts w:ascii="ITC Avant Garde" w:hAnsi="ITC Avant Garde"/>
        </w:rPr>
        <w:t>así como por presentado el escrito del</w:t>
      </w:r>
      <w:r w:rsidRPr="002A2450">
        <w:rPr>
          <w:rFonts w:ascii="ITC Avant Garde" w:hAnsi="ITC Avant Garde"/>
          <w:b/>
        </w:rPr>
        <w:t xml:space="preserve"> C. MANUEL GÓNGORA PASTRANA</w:t>
      </w:r>
      <w:r w:rsidRPr="002A2450">
        <w:rPr>
          <w:rFonts w:ascii="ITC Avant Garde" w:hAnsi="ITC Avant Garde"/>
        </w:rPr>
        <w:t xml:space="preserve"> perito en materia contable por </w:t>
      </w:r>
      <w:r w:rsidR="000302BB" w:rsidRPr="002A2450">
        <w:rPr>
          <w:rFonts w:ascii="ITC Avant Garde" w:hAnsi="ITC Avant Garde"/>
        </w:rPr>
        <w:t xml:space="preserve">parte de este </w:t>
      </w:r>
      <w:r w:rsidRPr="002A2450">
        <w:rPr>
          <w:rFonts w:ascii="ITC Avant Garde" w:hAnsi="ITC Avant Garde"/>
          <w:b/>
        </w:rPr>
        <w:t>“Instituto”</w:t>
      </w:r>
      <w:r w:rsidRPr="002A2450">
        <w:rPr>
          <w:rFonts w:ascii="ITC Avant Garde" w:hAnsi="ITC Avant Garde"/>
        </w:rPr>
        <w:t xml:space="preserve"> y vistas las consideraciones señaladas</w:t>
      </w:r>
      <w:r w:rsidR="000302BB" w:rsidRPr="002A2450">
        <w:rPr>
          <w:rFonts w:ascii="ITC Avant Garde" w:hAnsi="ITC Avant Garde"/>
        </w:rPr>
        <w:t xml:space="preserve"> por el último perito en mención</w:t>
      </w:r>
      <w:r w:rsidRPr="002A2450">
        <w:rPr>
          <w:rFonts w:ascii="ITC Avant Garde" w:hAnsi="ITC Avant Garde"/>
        </w:rPr>
        <w:t xml:space="preserve"> se ordenó requerir a </w:t>
      </w:r>
      <w:r w:rsidRPr="002A2450">
        <w:rPr>
          <w:rFonts w:ascii="ITC Avant Garde" w:hAnsi="ITC Avant Garde"/>
          <w:b/>
        </w:rPr>
        <w:t>“TELMEX”</w:t>
      </w:r>
      <w:r w:rsidRPr="002A2450">
        <w:rPr>
          <w:rFonts w:ascii="ITC Avant Garde" w:hAnsi="ITC Avant Garde"/>
        </w:rPr>
        <w:t xml:space="preserve"> para que dentro de un plazo de diez días hábiles proporcionara la información solicitada por el perito designado por esta autoridad.</w:t>
      </w:r>
    </w:p>
    <w:p w14:paraId="075E5EC6" w14:textId="77777777" w:rsidR="00B35F13" w:rsidRDefault="009D5F7D" w:rsidP="00B35F13">
      <w:pPr>
        <w:spacing w:before="240" w:line="360" w:lineRule="auto"/>
        <w:ind w:right="-1"/>
        <w:jc w:val="both"/>
        <w:rPr>
          <w:rFonts w:ascii="ITC Avant Garde" w:eastAsia="Times New Roman" w:hAnsi="ITC Avant Garde"/>
          <w:b/>
          <w:bCs/>
          <w:color w:val="000000"/>
          <w:lang w:eastAsia="es-MX"/>
        </w:rPr>
      </w:pPr>
      <w:r w:rsidRPr="002A2450">
        <w:rPr>
          <w:rFonts w:ascii="ITC Avant Garde" w:eastAsia="Times New Roman" w:hAnsi="ITC Avant Garde"/>
          <w:bCs/>
          <w:color w:val="000000"/>
          <w:lang w:eastAsia="es-MX"/>
        </w:rPr>
        <w:t xml:space="preserve">El acuerdo anterior fue notificado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y a los peritos designados el dieciocho de agosto de dos mil dieciséis, por lo que el plazo de diez días hábiles otorgados a dicha concesionaria para que presentara la información requerida corrió del diecinueve de agosto al dos de septiembre de dos mil dieciséis </w:t>
      </w:r>
      <w:r w:rsidR="00DD034A" w:rsidRPr="002A2450">
        <w:rPr>
          <w:rFonts w:ascii="ITC Avant Garde" w:eastAsia="Times New Roman" w:hAnsi="ITC Avant Garde"/>
          <w:bCs/>
          <w:color w:val="000000"/>
          <w:lang w:eastAsia="es-MX"/>
        </w:rPr>
        <w:t xml:space="preserve">sin considerar los días veinte, veintiuno, veintisiete y veintiocho de agosto de dos mil dieciséis, por haber sido sábados y domingos, respectivamente, así como el </w:t>
      </w:r>
      <w:r w:rsidR="00AC45B7" w:rsidRPr="002A2450">
        <w:rPr>
          <w:rFonts w:ascii="ITC Avant Garde" w:eastAsia="Times New Roman" w:hAnsi="ITC Avant Garde"/>
          <w:bCs/>
          <w:color w:val="000000"/>
          <w:lang w:eastAsia="es-MX"/>
        </w:rPr>
        <w:t xml:space="preserve">primero </w:t>
      </w:r>
      <w:r w:rsidR="00DD034A" w:rsidRPr="002A2450">
        <w:rPr>
          <w:rFonts w:ascii="ITC Avant Garde" w:eastAsia="Times New Roman" w:hAnsi="ITC Avant Garde"/>
          <w:bCs/>
          <w:color w:val="000000"/>
          <w:lang w:eastAsia="es-MX"/>
        </w:rPr>
        <w:t>de septiembre de esa anualidad al ser inhábil</w:t>
      </w:r>
      <w:r w:rsidR="00DD034A" w:rsidRPr="002A2450">
        <w:rPr>
          <w:rStyle w:val="Refdenotaalpie"/>
          <w:rFonts w:ascii="ITC Avant Garde" w:eastAsia="Times New Roman" w:hAnsi="ITC Avant Garde"/>
          <w:bCs/>
          <w:color w:val="000000"/>
          <w:lang w:eastAsia="es-MX"/>
        </w:rPr>
        <w:footnoteReference w:id="7"/>
      </w:r>
      <w:r w:rsidR="00DD034A" w:rsidRPr="002A2450">
        <w:rPr>
          <w:rFonts w:ascii="ITC Avant Garde" w:eastAsia="Times New Roman" w:hAnsi="ITC Avant Garde"/>
          <w:bCs/>
          <w:color w:val="000000"/>
          <w:lang w:eastAsia="es-MX"/>
        </w:rPr>
        <w:t xml:space="preserve"> en términos del artículo 28 de la </w:t>
      </w:r>
      <w:r w:rsidR="00DD034A" w:rsidRPr="002A2450">
        <w:rPr>
          <w:rFonts w:ascii="ITC Avant Garde" w:eastAsia="Times New Roman" w:hAnsi="ITC Avant Garde"/>
          <w:b/>
          <w:bCs/>
          <w:color w:val="000000"/>
          <w:lang w:eastAsia="es-MX"/>
        </w:rPr>
        <w:t>“LFPA”.</w:t>
      </w:r>
    </w:p>
    <w:p w14:paraId="5C6A1511" w14:textId="77777777" w:rsidR="006C67B3" w:rsidRDefault="00DD034A" w:rsidP="00B35F13">
      <w:pPr>
        <w:spacing w:before="240" w:line="360" w:lineRule="auto"/>
        <w:ind w:right="-1"/>
        <w:jc w:val="both"/>
        <w:rPr>
          <w:rFonts w:ascii="ITC Avant Garde" w:hAnsi="ITC Avant Garde"/>
        </w:rPr>
        <w:sectPr w:rsidR="006C67B3" w:rsidSect="009F3771">
          <w:headerReference w:type="default" r:id="rId18"/>
          <w:pgSz w:w="12240" w:h="15840"/>
          <w:pgMar w:top="1985" w:right="1701" w:bottom="1418" w:left="1701" w:header="709" w:footer="709" w:gutter="0"/>
          <w:cols w:space="708"/>
          <w:docGrid w:linePitch="360"/>
        </w:sectPr>
      </w:pPr>
      <w:bookmarkStart w:id="43" w:name="_Toc477170146"/>
      <w:r w:rsidRPr="002A2450">
        <w:rPr>
          <w:rStyle w:val="Ttulo3Car"/>
          <w:rFonts w:eastAsiaTheme="minorHAnsi"/>
        </w:rPr>
        <w:t>CUADRAGÉSIMO</w:t>
      </w:r>
      <w:r w:rsidR="002A22D3" w:rsidRPr="002A2450">
        <w:rPr>
          <w:rStyle w:val="Ttulo3Car"/>
          <w:rFonts w:eastAsiaTheme="minorHAnsi"/>
        </w:rPr>
        <w:t xml:space="preserve"> QUINTO</w:t>
      </w:r>
      <w:bookmarkEnd w:id="43"/>
      <w:r w:rsidRPr="002A2450">
        <w:rPr>
          <w:rFonts w:ascii="ITC Avant Garde" w:hAnsi="ITC Avant Garde"/>
          <w:b/>
        </w:rPr>
        <w:t xml:space="preserve">. </w:t>
      </w:r>
      <w:r w:rsidRPr="002A2450">
        <w:rPr>
          <w:rFonts w:ascii="ITC Avant Garde" w:hAnsi="ITC Avant Garde"/>
        </w:rPr>
        <w:t xml:space="preserve">El </w:t>
      </w:r>
      <w:r w:rsidR="00AC45B7" w:rsidRPr="002A2450">
        <w:rPr>
          <w:rFonts w:ascii="ITC Avant Garde" w:hAnsi="ITC Avant Garde"/>
        </w:rPr>
        <w:t xml:space="preserve">primero </w:t>
      </w:r>
      <w:r w:rsidRPr="002A2450">
        <w:rPr>
          <w:rFonts w:ascii="ITC Avant Garde" w:hAnsi="ITC Avant Garde"/>
        </w:rPr>
        <w:t xml:space="preserve">de septiembre de dos mil dieciséis, </w:t>
      </w:r>
      <w:r w:rsidRPr="002A2450">
        <w:rPr>
          <w:rFonts w:ascii="ITC Avant Garde" w:hAnsi="ITC Avant Garde"/>
          <w:b/>
        </w:rPr>
        <w:t>“TELMEX”</w:t>
      </w:r>
      <w:r w:rsidRPr="002A2450">
        <w:rPr>
          <w:rFonts w:ascii="ITC Avant Garde" w:hAnsi="ITC Avant Garde"/>
        </w:rPr>
        <w:t xml:space="preserve"> presentó ante la Oficialía de </w:t>
      </w:r>
      <w:r w:rsidR="000302BB" w:rsidRPr="002A2450">
        <w:rPr>
          <w:rFonts w:ascii="ITC Avant Garde" w:hAnsi="ITC Avant Garde"/>
        </w:rPr>
        <w:t xml:space="preserve">Partes </w:t>
      </w:r>
      <w:r w:rsidRPr="002A2450">
        <w:rPr>
          <w:rFonts w:ascii="ITC Avant Garde" w:hAnsi="ITC Avant Garde"/>
        </w:rPr>
        <w:t xml:space="preserve">de éste </w:t>
      </w:r>
      <w:r w:rsidRPr="002A2450">
        <w:rPr>
          <w:rFonts w:ascii="ITC Avant Garde" w:hAnsi="ITC Avant Garde"/>
          <w:b/>
        </w:rPr>
        <w:t>“IFT”</w:t>
      </w:r>
      <w:r w:rsidRPr="002A2450">
        <w:rPr>
          <w:rFonts w:ascii="ITC Avant Garde" w:hAnsi="ITC Avant Garde"/>
        </w:rPr>
        <w:t xml:space="preserve"> un escrito mediante el cual solicitó una prórroga a efecto de desahogar el requerimiento formulado en el acuerdo de doce de agosto de dos mil dieciséis.</w:t>
      </w:r>
    </w:p>
    <w:p w14:paraId="51A6B3A2" w14:textId="77777777" w:rsidR="00B35F13" w:rsidRDefault="00DD034A" w:rsidP="00B35F13">
      <w:pPr>
        <w:spacing w:before="240" w:line="360" w:lineRule="auto"/>
        <w:ind w:right="-1"/>
        <w:jc w:val="both"/>
        <w:rPr>
          <w:rFonts w:ascii="ITC Avant Garde" w:hAnsi="ITC Avant Garde"/>
        </w:rPr>
      </w:pPr>
      <w:bookmarkStart w:id="44" w:name="_Toc477170147"/>
      <w:r w:rsidRPr="002A2450">
        <w:rPr>
          <w:rStyle w:val="Ttulo3Car"/>
          <w:rFonts w:eastAsiaTheme="minorHAnsi"/>
        </w:rPr>
        <w:lastRenderedPageBreak/>
        <w:t xml:space="preserve">CUADRAGÉSIMO </w:t>
      </w:r>
      <w:r w:rsidR="002A22D3" w:rsidRPr="002A2450">
        <w:rPr>
          <w:rStyle w:val="Ttulo3Car"/>
          <w:rFonts w:eastAsiaTheme="minorHAnsi"/>
        </w:rPr>
        <w:t>SEXTO</w:t>
      </w:r>
      <w:bookmarkEnd w:id="44"/>
      <w:r w:rsidRPr="002A2450">
        <w:rPr>
          <w:rFonts w:ascii="ITC Avant Garde" w:hAnsi="ITC Avant Garde"/>
          <w:b/>
        </w:rPr>
        <w:t>.</w:t>
      </w:r>
      <w:r w:rsidRPr="002A2450">
        <w:rPr>
          <w:rFonts w:ascii="ITC Avant Garde" w:hAnsi="ITC Avant Garde"/>
        </w:rPr>
        <w:t xml:space="preserve"> Por acuerdo de siete de septiembre de dos mil dieciséis, se otorgó a </w:t>
      </w:r>
      <w:r w:rsidRPr="002A2450">
        <w:rPr>
          <w:rFonts w:ascii="ITC Avant Garde" w:hAnsi="ITC Avant Garde"/>
          <w:b/>
        </w:rPr>
        <w:t xml:space="preserve">“TELMEX” </w:t>
      </w:r>
      <w:r w:rsidRPr="002A2450">
        <w:rPr>
          <w:rFonts w:ascii="ITC Avant Garde" w:hAnsi="ITC Avant Garde"/>
        </w:rPr>
        <w:t>un plazo adicional de cinco días hábiles a efecto de que desahogara el requerimiento formulado en el acuerdo de doce de agosto de dos mil dieciséis.</w:t>
      </w:r>
    </w:p>
    <w:p w14:paraId="36FA3120" w14:textId="77777777" w:rsidR="00B35F13" w:rsidRDefault="00DD034A" w:rsidP="00B35F13">
      <w:pPr>
        <w:spacing w:before="240" w:line="360" w:lineRule="auto"/>
        <w:ind w:right="-1"/>
        <w:jc w:val="both"/>
        <w:rPr>
          <w:rFonts w:ascii="ITC Avant Garde" w:hAnsi="ITC Avant Garde"/>
          <w:b/>
        </w:rPr>
      </w:pPr>
      <w:r w:rsidRPr="002A2450">
        <w:rPr>
          <w:rFonts w:ascii="ITC Avant Garde" w:hAnsi="ITC Avant Garde"/>
        </w:rPr>
        <w:t xml:space="preserve">Dicho acuerdo fue notificado a </w:t>
      </w:r>
      <w:r w:rsidRPr="002A2450">
        <w:rPr>
          <w:rFonts w:ascii="ITC Avant Garde" w:hAnsi="ITC Avant Garde"/>
          <w:b/>
        </w:rPr>
        <w:t>“TELMEX”</w:t>
      </w:r>
      <w:r w:rsidRPr="002A2450">
        <w:rPr>
          <w:rFonts w:ascii="ITC Avant Garde" w:hAnsi="ITC Avant Garde"/>
        </w:rPr>
        <w:t xml:space="preserve"> el trece de septiembre de dos mil dieciséis, por lo que el plazo de cinco días hábiles adicionales corrieron del catorce al veintiuno de septiembre de esa anualidad, sin considerar el dieciséis, diecisiete y dieciocho de septiembre de dos mil dieciséis por ser inhábiles y sábado y domingo</w:t>
      </w:r>
      <w:r w:rsidR="000302BB" w:rsidRPr="002A2450">
        <w:rPr>
          <w:rFonts w:ascii="ITC Avant Garde" w:hAnsi="ITC Avant Garde"/>
        </w:rPr>
        <w:t>,</w:t>
      </w:r>
      <w:r w:rsidRPr="002A2450">
        <w:rPr>
          <w:rFonts w:ascii="ITC Avant Garde" w:hAnsi="ITC Avant Garde"/>
        </w:rPr>
        <w:t xml:space="preserve"> respectivamente</w:t>
      </w:r>
      <w:r w:rsidR="000302BB" w:rsidRPr="002A2450">
        <w:rPr>
          <w:rFonts w:ascii="ITC Avant Garde" w:hAnsi="ITC Avant Garde"/>
        </w:rPr>
        <w:t>,</w:t>
      </w:r>
      <w:r w:rsidRPr="002A2450">
        <w:rPr>
          <w:rFonts w:ascii="ITC Avant Garde" w:hAnsi="ITC Avant Garde"/>
        </w:rPr>
        <w:t xml:space="preserve"> en términos del artículo 28 de la </w:t>
      </w:r>
      <w:r w:rsidRPr="002A2450">
        <w:rPr>
          <w:rFonts w:ascii="ITC Avant Garde" w:hAnsi="ITC Avant Garde"/>
          <w:b/>
        </w:rPr>
        <w:t>“LFPA”.</w:t>
      </w:r>
    </w:p>
    <w:p w14:paraId="5068A7CD" w14:textId="77777777" w:rsidR="00B35F13" w:rsidRDefault="00DD034A" w:rsidP="00B35F13">
      <w:pPr>
        <w:spacing w:before="240" w:line="360" w:lineRule="auto"/>
        <w:ind w:right="-1"/>
        <w:jc w:val="both"/>
        <w:rPr>
          <w:rFonts w:ascii="ITC Avant Garde" w:hAnsi="ITC Avant Garde"/>
          <w:b/>
        </w:rPr>
      </w:pPr>
      <w:bookmarkStart w:id="45" w:name="_Toc477170148"/>
      <w:r w:rsidRPr="002A2450">
        <w:rPr>
          <w:rStyle w:val="Ttulo3Car"/>
          <w:rFonts w:eastAsiaTheme="minorHAnsi"/>
        </w:rPr>
        <w:t>CUADRAGÉSIMO</w:t>
      </w:r>
      <w:r w:rsidR="002A22D3" w:rsidRPr="002A2450">
        <w:rPr>
          <w:rStyle w:val="Ttulo3Car"/>
          <w:rFonts w:eastAsiaTheme="minorHAnsi"/>
        </w:rPr>
        <w:t xml:space="preserve"> SÉPTIMO</w:t>
      </w:r>
      <w:bookmarkEnd w:id="45"/>
      <w:r w:rsidRPr="002A2450">
        <w:rPr>
          <w:rFonts w:ascii="ITC Avant Garde" w:hAnsi="ITC Avant Garde"/>
          <w:b/>
        </w:rPr>
        <w:t>.</w:t>
      </w:r>
      <w:r w:rsidRPr="002A2450">
        <w:rPr>
          <w:rFonts w:ascii="ITC Avant Garde" w:hAnsi="ITC Avant Garde"/>
        </w:rPr>
        <w:t xml:space="preserve"> El veintiuno de septiembre de dos mil dieciséis, </w:t>
      </w:r>
      <w:r w:rsidRPr="002A2450">
        <w:rPr>
          <w:rFonts w:ascii="ITC Avant Garde" w:hAnsi="ITC Avant Garde"/>
          <w:b/>
        </w:rPr>
        <w:t>“TELMEX”</w:t>
      </w:r>
      <w:r w:rsidRPr="002A2450">
        <w:rPr>
          <w:rFonts w:ascii="ITC Avant Garde" w:hAnsi="ITC Avant Garde"/>
        </w:rPr>
        <w:t xml:space="preserve"> presentó un escrito ante la Oficialía de Partes de este </w:t>
      </w:r>
      <w:r w:rsidRPr="002A2450">
        <w:rPr>
          <w:rFonts w:ascii="ITC Avant Garde" w:hAnsi="ITC Avant Garde"/>
          <w:b/>
        </w:rPr>
        <w:t>“IFT”</w:t>
      </w:r>
      <w:r w:rsidRPr="002A2450">
        <w:rPr>
          <w:rFonts w:ascii="ITC Avant Garde" w:hAnsi="ITC Avant Garde"/>
        </w:rPr>
        <w:t xml:space="preserve"> mediante el cual en cumplimiento a</w:t>
      </w:r>
      <w:r w:rsidR="00860BDE" w:rsidRPr="002A2450">
        <w:rPr>
          <w:rFonts w:ascii="ITC Avant Garde" w:hAnsi="ITC Avant Garde"/>
        </w:rPr>
        <w:t>l</w:t>
      </w:r>
      <w:r w:rsidRPr="002A2450">
        <w:rPr>
          <w:rFonts w:ascii="ITC Avant Garde" w:hAnsi="ITC Avant Garde"/>
        </w:rPr>
        <w:t xml:space="preserve"> acuerdo de doce de agosto de dos mil dieciséis, presentó la información requerida por el </w:t>
      </w:r>
      <w:r w:rsidRPr="002A2450">
        <w:rPr>
          <w:rFonts w:ascii="ITC Avant Garde" w:hAnsi="ITC Avant Garde"/>
          <w:b/>
        </w:rPr>
        <w:t>C. MANUEL GÓNGORA PASTRANA</w:t>
      </w:r>
      <w:r w:rsidRPr="002A2450">
        <w:rPr>
          <w:rFonts w:ascii="ITC Avant Garde" w:hAnsi="ITC Avant Garde"/>
        </w:rPr>
        <w:t xml:space="preserve"> perito en materia contable </w:t>
      </w:r>
      <w:r w:rsidR="00AC45B7" w:rsidRPr="002A2450">
        <w:rPr>
          <w:rFonts w:ascii="ITC Avant Garde" w:hAnsi="ITC Avant Garde"/>
        </w:rPr>
        <w:t xml:space="preserve">designado </w:t>
      </w:r>
      <w:r w:rsidRPr="002A2450">
        <w:rPr>
          <w:rFonts w:ascii="ITC Avant Garde" w:hAnsi="ITC Avant Garde"/>
        </w:rPr>
        <w:t xml:space="preserve">por el </w:t>
      </w:r>
      <w:r w:rsidRPr="002A2450">
        <w:rPr>
          <w:rFonts w:ascii="ITC Avant Garde" w:hAnsi="ITC Avant Garde"/>
          <w:b/>
        </w:rPr>
        <w:t>“Instituto”.</w:t>
      </w:r>
    </w:p>
    <w:p w14:paraId="7654F921" w14:textId="77777777" w:rsidR="00B35F13" w:rsidRDefault="00DD034A" w:rsidP="00B35F13">
      <w:pPr>
        <w:spacing w:before="240" w:line="360" w:lineRule="auto"/>
        <w:ind w:right="-1"/>
        <w:jc w:val="both"/>
        <w:rPr>
          <w:rFonts w:ascii="ITC Avant Garde" w:hAnsi="ITC Avant Garde"/>
        </w:rPr>
      </w:pPr>
      <w:bookmarkStart w:id="46" w:name="_Toc477170149"/>
      <w:r w:rsidRPr="002A2450">
        <w:rPr>
          <w:rStyle w:val="Ttulo3Car"/>
          <w:rFonts w:eastAsiaTheme="minorHAnsi"/>
        </w:rPr>
        <w:t>CUADRAGÉSIMO</w:t>
      </w:r>
      <w:r w:rsidR="002A22D3" w:rsidRPr="002A2450">
        <w:rPr>
          <w:rStyle w:val="Ttulo3Car"/>
          <w:rFonts w:eastAsiaTheme="minorHAnsi"/>
        </w:rPr>
        <w:t xml:space="preserve"> OCTAVO</w:t>
      </w:r>
      <w:bookmarkEnd w:id="46"/>
      <w:r w:rsidRPr="002A2450">
        <w:rPr>
          <w:rFonts w:ascii="ITC Avant Garde" w:hAnsi="ITC Avant Garde"/>
          <w:b/>
        </w:rPr>
        <w:t>.</w:t>
      </w:r>
      <w:r w:rsidR="00860BDE" w:rsidRPr="002A2450">
        <w:rPr>
          <w:rFonts w:ascii="ITC Avant Garde" w:hAnsi="ITC Avant Garde"/>
          <w:b/>
        </w:rPr>
        <w:t xml:space="preserve"> </w:t>
      </w:r>
      <w:r w:rsidR="00860BDE" w:rsidRPr="002A2450">
        <w:rPr>
          <w:rFonts w:ascii="ITC Avant Garde" w:hAnsi="ITC Avant Garde"/>
        </w:rPr>
        <w:t xml:space="preserve">Por acuerdo de treinta de septiembre de dos mil dieciséis, se tuvo por presentada la información solicitada en el acuerdo de doce de agosto de dos mil dieciséis por parte de </w:t>
      </w:r>
      <w:r w:rsidR="00860BDE" w:rsidRPr="002A2450">
        <w:rPr>
          <w:rFonts w:ascii="ITC Avant Garde" w:hAnsi="ITC Avant Garde"/>
          <w:b/>
        </w:rPr>
        <w:t>“TELMEX”</w:t>
      </w:r>
      <w:r w:rsidR="00860BDE" w:rsidRPr="002A2450">
        <w:rPr>
          <w:rFonts w:ascii="ITC Avant Garde" w:hAnsi="ITC Avant Garde"/>
        </w:rPr>
        <w:t>, por lo que</w:t>
      </w:r>
      <w:r w:rsidR="00694005" w:rsidRPr="002A2450">
        <w:rPr>
          <w:rFonts w:ascii="ITC Avant Garde" w:hAnsi="ITC Avant Garde"/>
        </w:rPr>
        <w:t xml:space="preserve"> dicha información</w:t>
      </w:r>
      <w:r w:rsidR="00860BDE" w:rsidRPr="002A2450">
        <w:rPr>
          <w:rFonts w:ascii="ITC Avant Garde" w:hAnsi="ITC Avant Garde"/>
        </w:rPr>
        <w:t xml:space="preserve"> se puso a disposición del </w:t>
      </w:r>
      <w:r w:rsidR="00860BDE" w:rsidRPr="002A2450">
        <w:rPr>
          <w:rFonts w:ascii="ITC Avant Garde" w:hAnsi="ITC Avant Garde"/>
          <w:b/>
        </w:rPr>
        <w:t xml:space="preserve">C. MANUEL GÓNGORA PASTRANA </w:t>
      </w:r>
      <w:r w:rsidR="00860BDE" w:rsidRPr="002A2450">
        <w:rPr>
          <w:rFonts w:ascii="ITC Avant Garde" w:hAnsi="ITC Avant Garde"/>
        </w:rPr>
        <w:t>para que dentro del término de diez días hábiles siguientes a su notificación rindiera el dictamen pericial en materia contable.</w:t>
      </w:r>
    </w:p>
    <w:p w14:paraId="04B00462" w14:textId="77777777" w:rsidR="00B35F13" w:rsidRDefault="00860BDE" w:rsidP="00B35F13">
      <w:pPr>
        <w:spacing w:before="240" w:line="360" w:lineRule="auto"/>
        <w:ind w:right="-1"/>
        <w:jc w:val="both"/>
        <w:rPr>
          <w:rFonts w:ascii="ITC Avant Garde" w:hAnsi="ITC Avant Garde"/>
          <w:b/>
        </w:rPr>
      </w:pPr>
      <w:r w:rsidRPr="002A2450">
        <w:rPr>
          <w:rFonts w:ascii="ITC Avant Garde" w:hAnsi="ITC Avant Garde"/>
        </w:rPr>
        <w:t xml:space="preserve">El acuerdo anterior fue notificado a </w:t>
      </w:r>
      <w:r w:rsidRPr="002A2450">
        <w:rPr>
          <w:rFonts w:ascii="ITC Avant Garde" w:hAnsi="ITC Avant Garde"/>
          <w:b/>
        </w:rPr>
        <w:t>“TELMEX”</w:t>
      </w:r>
      <w:r w:rsidRPr="002A2450">
        <w:rPr>
          <w:rFonts w:ascii="ITC Avant Garde" w:hAnsi="ITC Avant Garde"/>
        </w:rPr>
        <w:t xml:space="preserve"> y al perito el cuatro de octubre de dos mil dieciséis, por lo que el plazo de diez días hábiles otorgado al </w:t>
      </w:r>
      <w:r w:rsidRPr="002A2450">
        <w:rPr>
          <w:rFonts w:ascii="ITC Avant Garde" w:hAnsi="ITC Avant Garde"/>
          <w:b/>
        </w:rPr>
        <w:t xml:space="preserve">C. MANUEL GÓNGORA PASTRANA </w:t>
      </w:r>
      <w:r w:rsidRPr="002A2450">
        <w:rPr>
          <w:rFonts w:ascii="ITC Avant Garde" w:hAnsi="ITC Avant Garde"/>
        </w:rPr>
        <w:t>corrió del</w:t>
      </w:r>
      <w:r w:rsidRPr="002A2450">
        <w:rPr>
          <w:rFonts w:ascii="ITC Avant Garde" w:hAnsi="ITC Avant Garde"/>
          <w:b/>
        </w:rPr>
        <w:t xml:space="preserve"> </w:t>
      </w:r>
      <w:r w:rsidRPr="002A2450">
        <w:rPr>
          <w:rFonts w:ascii="ITC Avant Garde" w:hAnsi="ITC Avant Garde"/>
        </w:rPr>
        <w:t>cinco al dieciocho de octubre de esa anualidad sin considerar lo</w:t>
      </w:r>
      <w:r w:rsidR="00694005" w:rsidRPr="002A2450">
        <w:rPr>
          <w:rFonts w:ascii="ITC Avant Garde" w:hAnsi="ITC Avant Garde"/>
        </w:rPr>
        <w:t>s</w:t>
      </w:r>
      <w:r w:rsidRPr="002A2450">
        <w:rPr>
          <w:rFonts w:ascii="ITC Avant Garde" w:hAnsi="ITC Avant Garde"/>
        </w:rPr>
        <w:t xml:space="preserve"> día</w:t>
      </w:r>
      <w:r w:rsidR="00694005" w:rsidRPr="002A2450">
        <w:rPr>
          <w:rFonts w:ascii="ITC Avant Garde" w:hAnsi="ITC Avant Garde"/>
        </w:rPr>
        <w:t>s</w:t>
      </w:r>
      <w:r w:rsidRPr="002A2450">
        <w:rPr>
          <w:rFonts w:ascii="ITC Avant Garde" w:hAnsi="ITC Avant Garde"/>
        </w:rPr>
        <w:t xml:space="preserve"> ocho, nueve, quince y dieciséis de ese mes y año, por ser sábados y domingos, respectivamente, en términos del artículo 28 de la </w:t>
      </w:r>
      <w:r w:rsidRPr="002A2450">
        <w:rPr>
          <w:rFonts w:ascii="ITC Avant Garde" w:hAnsi="ITC Avant Garde"/>
          <w:b/>
        </w:rPr>
        <w:t>“LFPA”.</w:t>
      </w:r>
    </w:p>
    <w:p w14:paraId="35BDE9DF" w14:textId="77777777" w:rsidR="00B35F13" w:rsidRDefault="00860BDE" w:rsidP="00B35F13">
      <w:pPr>
        <w:spacing w:before="240" w:line="360" w:lineRule="auto"/>
        <w:ind w:right="-1"/>
        <w:jc w:val="both"/>
        <w:rPr>
          <w:rFonts w:ascii="ITC Avant Garde" w:hAnsi="ITC Avant Garde"/>
        </w:rPr>
      </w:pPr>
      <w:bookmarkStart w:id="47" w:name="_Toc477170150"/>
      <w:r w:rsidRPr="002A2450">
        <w:rPr>
          <w:rStyle w:val="Ttulo3Car"/>
          <w:rFonts w:eastAsiaTheme="minorHAnsi"/>
        </w:rPr>
        <w:lastRenderedPageBreak/>
        <w:t>CUADRAGÉSIMO</w:t>
      </w:r>
      <w:r w:rsidR="002A22D3" w:rsidRPr="002A2450">
        <w:rPr>
          <w:rStyle w:val="Ttulo3Car"/>
          <w:rFonts w:eastAsiaTheme="minorHAnsi"/>
        </w:rPr>
        <w:t xml:space="preserve"> NOVENO</w:t>
      </w:r>
      <w:bookmarkEnd w:id="47"/>
      <w:r w:rsidRPr="002A2450">
        <w:rPr>
          <w:rFonts w:ascii="ITC Avant Garde" w:hAnsi="ITC Avant Garde"/>
          <w:b/>
        </w:rPr>
        <w:t xml:space="preserve">. </w:t>
      </w:r>
      <w:r w:rsidRPr="002A2450">
        <w:rPr>
          <w:rFonts w:ascii="ITC Avant Garde" w:hAnsi="ITC Avant Garde"/>
        </w:rPr>
        <w:t xml:space="preserve">Mediante escrito presentado el dieciocho de octubre de dos mil dieciséis, el </w:t>
      </w:r>
      <w:r w:rsidRPr="002A2450">
        <w:rPr>
          <w:rFonts w:ascii="ITC Avant Garde" w:hAnsi="ITC Avant Garde"/>
          <w:b/>
        </w:rPr>
        <w:t xml:space="preserve">C. MANUEL GÓNGORA PASTRANA </w:t>
      </w:r>
      <w:r w:rsidRPr="002A2450">
        <w:rPr>
          <w:rFonts w:ascii="ITC Avant Garde" w:hAnsi="ITC Avant Garde"/>
        </w:rPr>
        <w:t>solicitó un plazo adicional a efecto de rendir el dictamen pericial en materia contable.</w:t>
      </w:r>
    </w:p>
    <w:p w14:paraId="09A4002A" w14:textId="77777777" w:rsidR="00B35F13" w:rsidRDefault="002A22D3" w:rsidP="00B35F13">
      <w:pPr>
        <w:spacing w:before="240" w:line="360" w:lineRule="auto"/>
        <w:ind w:right="-1"/>
        <w:jc w:val="both"/>
        <w:rPr>
          <w:rFonts w:ascii="ITC Avant Garde" w:hAnsi="ITC Avant Garde"/>
        </w:rPr>
      </w:pPr>
      <w:bookmarkStart w:id="48" w:name="_Toc477170151"/>
      <w:r w:rsidRPr="002A2450">
        <w:rPr>
          <w:rStyle w:val="Ttulo3Car"/>
          <w:rFonts w:eastAsiaTheme="minorHAnsi"/>
        </w:rPr>
        <w:t>QUINCUAGÉSIMO</w:t>
      </w:r>
      <w:bookmarkEnd w:id="48"/>
      <w:r w:rsidR="00860BDE" w:rsidRPr="002A2450">
        <w:rPr>
          <w:rFonts w:ascii="ITC Avant Garde" w:hAnsi="ITC Avant Garde"/>
          <w:b/>
        </w:rPr>
        <w:t xml:space="preserve">. </w:t>
      </w:r>
      <w:r w:rsidR="00860BDE" w:rsidRPr="002A2450">
        <w:rPr>
          <w:rFonts w:ascii="ITC Avant Garde" w:hAnsi="ITC Avant Garde"/>
        </w:rPr>
        <w:t xml:space="preserve">Por acuerdo de diecinueve de octubre de dos mil dieciséis, se otorgó un plazo adicional de cinco días hábiles al </w:t>
      </w:r>
      <w:r w:rsidR="00860BDE" w:rsidRPr="002A2450">
        <w:rPr>
          <w:rFonts w:ascii="ITC Avant Garde" w:hAnsi="ITC Avant Garde"/>
          <w:b/>
        </w:rPr>
        <w:t>C. MANUEL GÓNGORA PASTRANA</w:t>
      </w:r>
      <w:r w:rsidR="00860BDE" w:rsidRPr="002A2450">
        <w:rPr>
          <w:rFonts w:ascii="ITC Avant Garde" w:hAnsi="ITC Avant Garde"/>
        </w:rPr>
        <w:t xml:space="preserve"> para que presentara el dictamen pericial en materia de contabilidad.</w:t>
      </w:r>
    </w:p>
    <w:p w14:paraId="6A646E80" w14:textId="77777777" w:rsidR="00B35F13" w:rsidRDefault="00860BDE" w:rsidP="00B35F13">
      <w:pPr>
        <w:spacing w:before="240" w:line="360" w:lineRule="auto"/>
        <w:ind w:right="-1"/>
        <w:jc w:val="both"/>
        <w:rPr>
          <w:rFonts w:ascii="ITC Avant Garde" w:hAnsi="ITC Avant Garde"/>
        </w:rPr>
      </w:pPr>
      <w:r w:rsidRPr="002A2450">
        <w:rPr>
          <w:rFonts w:ascii="ITC Avant Garde" w:hAnsi="ITC Avant Garde"/>
        </w:rPr>
        <w:t xml:space="preserve">El acuerdo anterior fue notificado a </w:t>
      </w:r>
      <w:r w:rsidRPr="002A2450">
        <w:rPr>
          <w:rFonts w:ascii="ITC Avant Garde" w:hAnsi="ITC Avant Garde"/>
          <w:b/>
        </w:rPr>
        <w:t>“TELMEX”</w:t>
      </w:r>
      <w:r w:rsidRPr="002A2450">
        <w:rPr>
          <w:rFonts w:ascii="ITC Avant Garde" w:hAnsi="ITC Avant Garde"/>
        </w:rPr>
        <w:t xml:space="preserve"> y al perito el veintiuno de octubre de dos mil dieciséis por lo que el plazo adicional de cinco días hábiles otorgado corrió del veinticuatro al </w:t>
      </w:r>
      <w:r w:rsidR="003C5B15" w:rsidRPr="002A2450">
        <w:rPr>
          <w:rFonts w:ascii="ITC Avant Garde" w:hAnsi="ITC Avant Garde"/>
        </w:rPr>
        <w:t>veintiocho de octubre de dos mil dieciséis.</w:t>
      </w:r>
    </w:p>
    <w:p w14:paraId="06119ACF" w14:textId="77777777" w:rsidR="00B35F13" w:rsidRDefault="002A22D3" w:rsidP="00B35F13">
      <w:pPr>
        <w:spacing w:before="240" w:line="360" w:lineRule="auto"/>
        <w:ind w:right="-1"/>
        <w:jc w:val="both"/>
        <w:rPr>
          <w:rFonts w:ascii="ITC Avant Garde" w:hAnsi="ITC Avant Garde"/>
          <w:b/>
        </w:rPr>
      </w:pPr>
      <w:bookmarkStart w:id="49" w:name="_Toc477170152"/>
      <w:r w:rsidRPr="002A2450">
        <w:rPr>
          <w:rStyle w:val="Ttulo3Car"/>
          <w:rFonts w:eastAsiaTheme="minorHAnsi"/>
        </w:rPr>
        <w:t>QUINCUAGÉSIMO PRIMERO</w:t>
      </w:r>
      <w:bookmarkEnd w:id="49"/>
      <w:r w:rsidR="003C5B15" w:rsidRPr="002A2450">
        <w:rPr>
          <w:rFonts w:ascii="ITC Avant Garde" w:hAnsi="ITC Avant Garde"/>
          <w:b/>
        </w:rPr>
        <w:t xml:space="preserve">. </w:t>
      </w:r>
      <w:r w:rsidR="003C5B15" w:rsidRPr="002A2450">
        <w:rPr>
          <w:rFonts w:ascii="ITC Avant Garde" w:hAnsi="ITC Avant Garde"/>
        </w:rPr>
        <w:t xml:space="preserve">Mediante escrito presentado el veintiocho de octubre de dos mil dieciséis, el </w:t>
      </w:r>
      <w:r w:rsidR="003C5B15" w:rsidRPr="002A2450">
        <w:rPr>
          <w:rFonts w:ascii="ITC Avant Garde" w:hAnsi="ITC Avant Garde"/>
          <w:b/>
        </w:rPr>
        <w:t xml:space="preserve">C. MANUEL GÓNGORA PASTRANA </w:t>
      </w:r>
      <w:r w:rsidR="003C5B15" w:rsidRPr="002A2450">
        <w:rPr>
          <w:rFonts w:ascii="ITC Avant Garde" w:hAnsi="ITC Avant Garde"/>
        </w:rPr>
        <w:t xml:space="preserve">presentó ante la Oficialía de Partes de este </w:t>
      </w:r>
      <w:r w:rsidR="003C5B15" w:rsidRPr="002A2450">
        <w:rPr>
          <w:rFonts w:ascii="ITC Avant Garde" w:hAnsi="ITC Avant Garde"/>
          <w:b/>
        </w:rPr>
        <w:t>“IFT”</w:t>
      </w:r>
      <w:r w:rsidR="003C5B15" w:rsidRPr="002A2450">
        <w:rPr>
          <w:rFonts w:ascii="ITC Avant Garde" w:hAnsi="ITC Avant Garde"/>
        </w:rPr>
        <w:t xml:space="preserve"> el dictamen pericial en materia de contabilidad </w:t>
      </w:r>
      <w:r w:rsidR="00694005" w:rsidRPr="002A2450">
        <w:rPr>
          <w:rFonts w:ascii="ITC Avant Garde" w:hAnsi="ITC Avant Garde"/>
        </w:rPr>
        <w:t xml:space="preserve">respecto de la prueba ofrecida </w:t>
      </w:r>
      <w:r w:rsidR="003C5B15" w:rsidRPr="002A2450">
        <w:rPr>
          <w:rFonts w:ascii="ITC Avant Garde" w:hAnsi="ITC Avant Garde"/>
        </w:rPr>
        <w:t xml:space="preserve">por </w:t>
      </w:r>
      <w:r w:rsidR="003C5B15" w:rsidRPr="002A2450">
        <w:rPr>
          <w:rFonts w:ascii="ITC Avant Garde" w:hAnsi="ITC Avant Garde"/>
          <w:b/>
        </w:rPr>
        <w:t>“TELMEX”.</w:t>
      </w:r>
    </w:p>
    <w:p w14:paraId="1EC8A4DC" w14:textId="77777777" w:rsidR="00B35F13" w:rsidRDefault="003C5B15" w:rsidP="00B35F13">
      <w:pPr>
        <w:spacing w:before="240" w:line="360" w:lineRule="auto"/>
        <w:ind w:right="-1"/>
        <w:jc w:val="both"/>
        <w:rPr>
          <w:rFonts w:ascii="ITC Avant Garde" w:hAnsi="ITC Avant Garde"/>
        </w:rPr>
      </w:pPr>
      <w:bookmarkStart w:id="50" w:name="_Toc477170153"/>
      <w:r w:rsidRPr="002A2450">
        <w:rPr>
          <w:rStyle w:val="Ttulo3Car"/>
          <w:rFonts w:eastAsiaTheme="minorHAnsi"/>
        </w:rPr>
        <w:t>QUINCUAGÉSIMO</w:t>
      </w:r>
      <w:r w:rsidR="002A22D3" w:rsidRPr="002A2450">
        <w:rPr>
          <w:rStyle w:val="Ttulo3Car"/>
          <w:rFonts w:eastAsiaTheme="minorHAnsi"/>
        </w:rPr>
        <w:t xml:space="preserve"> SEGUNDO</w:t>
      </w:r>
      <w:bookmarkEnd w:id="50"/>
      <w:r w:rsidRPr="002A2450">
        <w:rPr>
          <w:rFonts w:ascii="ITC Avant Garde" w:hAnsi="ITC Avant Garde"/>
          <w:b/>
        </w:rPr>
        <w:t xml:space="preserve">. </w:t>
      </w:r>
      <w:r w:rsidRPr="002A2450">
        <w:rPr>
          <w:rFonts w:ascii="ITC Avant Garde" w:hAnsi="ITC Avant Garde"/>
        </w:rPr>
        <w:t xml:space="preserve">Por acuerdo de dos de noviembre de dos mil dieciséis, se tuvo por presentado el dictamen pericial rendido por el </w:t>
      </w:r>
      <w:r w:rsidRPr="002A2450">
        <w:rPr>
          <w:rFonts w:ascii="ITC Avant Garde" w:hAnsi="ITC Avant Garde"/>
          <w:b/>
        </w:rPr>
        <w:t>C. MANUEL GÓNGORA PASTRANA</w:t>
      </w:r>
      <w:r w:rsidRPr="002A2450">
        <w:rPr>
          <w:rFonts w:ascii="ITC Avant Garde" w:hAnsi="ITC Avant Garde"/>
        </w:rPr>
        <w:t xml:space="preserve">, por lo que se le previno para dentro del plazo de tres días hábiles siguientes a la notificación de ese acuerdo compareciera ante la Unidad de Cumplimiento a ratificar el </w:t>
      </w:r>
      <w:r w:rsidR="00BD2DBC" w:rsidRPr="002A2450">
        <w:rPr>
          <w:rFonts w:ascii="ITC Avant Garde" w:hAnsi="ITC Avant Garde"/>
        </w:rPr>
        <w:t xml:space="preserve">contenido del </w:t>
      </w:r>
      <w:r w:rsidRPr="002A2450">
        <w:rPr>
          <w:rFonts w:ascii="ITC Avant Garde" w:hAnsi="ITC Avant Garde"/>
        </w:rPr>
        <w:t>dictamen pericial.</w:t>
      </w:r>
    </w:p>
    <w:p w14:paraId="6BC8D12E" w14:textId="77777777" w:rsidR="00B35F13" w:rsidRDefault="003C5B15" w:rsidP="00B35F13">
      <w:pPr>
        <w:spacing w:before="240" w:line="360" w:lineRule="auto"/>
        <w:ind w:right="-1"/>
        <w:jc w:val="both"/>
        <w:rPr>
          <w:rFonts w:ascii="ITC Avant Garde" w:hAnsi="ITC Avant Garde"/>
        </w:rPr>
      </w:pPr>
      <w:r w:rsidRPr="002A2450">
        <w:rPr>
          <w:rFonts w:ascii="ITC Avant Garde" w:hAnsi="ITC Avant Garde"/>
        </w:rPr>
        <w:t xml:space="preserve">El acuerdo anterior fue notificado a </w:t>
      </w:r>
      <w:r w:rsidRPr="002A2450">
        <w:rPr>
          <w:rFonts w:ascii="ITC Avant Garde" w:hAnsi="ITC Avant Garde"/>
          <w:b/>
        </w:rPr>
        <w:t xml:space="preserve">“TELMEX” </w:t>
      </w:r>
      <w:r w:rsidRPr="002A2450">
        <w:rPr>
          <w:rFonts w:ascii="ITC Avant Garde" w:hAnsi="ITC Avant Garde"/>
        </w:rPr>
        <w:t>y al perito el ocho de noviembre de dos mil dieciséis, por lo que el plazo de tres días otorgado al citado profesionista corrió del nueve al once de noviembre de dicha anualidad.</w:t>
      </w:r>
    </w:p>
    <w:p w14:paraId="2AE46F93" w14:textId="77777777" w:rsidR="00B35F13" w:rsidRDefault="003C5B15" w:rsidP="00B35F13">
      <w:pPr>
        <w:spacing w:before="240" w:line="360" w:lineRule="auto"/>
        <w:ind w:right="-1"/>
        <w:jc w:val="both"/>
        <w:rPr>
          <w:rFonts w:ascii="ITC Avant Garde" w:hAnsi="ITC Avant Garde"/>
          <w:b/>
        </w:rPr>
      </w:pPr>
      <w:bookmarkStart w:id="51" w:name="_Toc477170154"/>
      <w:r w:rsidRPr="002A2450">
        <w:rPr>
          <w:rStyle w:val="Ttulo3Car"/>
          <w:rFonts w:eastAsiaTheme="minorHAnsi"/>
        </w:rPr>
        <w:t>QUINCUAGÉSIMO</w:t>
      </w:r>
      <w:r w:rsidR="002A22D3" w:rsidRPr="002A2450">
        <w:rPr>
          <w:rStyle w:val="Ttulo3Car"/>
          <w:rFonts w:eastAsiaTheme="minorHAnsi"/>
        </w:rPr>
        <w:t xml:space="preserve"> TERCERO</w:t>
      </w:r>
      <w:bookmarkEnd w:id="51"/>
      <w:r w:rsidRPr="002A2450">
        <w:rPr>
          <w:rFonts w:ascii="ITC Avant Garde" w:hAnsi="ITC Avant Garde"/>
          <w:b/>
        </w:rPr>
        <w:t>.</w:t>
      </w:r>
      <w:r w:rsidRPr="002A2450">
        <w:rPr>
          <w:rFonts w:ascii="ITC Avant Garde" w:hAnsi="ITC Avant Garde"/>
        </w:rPr>
        <w:t xml:space="preserve"> Mediante escrito presentado en la Oficialía de Partes de este </w:t>
      </w:r>
      <w:r w:rsidRPr="002A2450">
        <w:rPr>
          <w:rFonts w:ascii="ITC Avant Garde" w:hAnsi="ITC Avant Garde"/>
          <w:b/>
        </w:rPr>
        <w:t>“IFT”</w:t>
      </w:r>
      <w:r w:rsidRPr="002A2450">
        <w:rPr>
          <w:rFonts w:ascii="ITC Avant Garde" w:hAnsi="ITC Avant Garde"/>
        </w:rPr>
        <w:t xml:space="preserve"> el nueve de noviembre de dos mil dieciséis, </w:t>
      </w:r>
      <w:r w:rsidRPr="002A2450">
        <w:rPr>
          <w:rFonts w:ascii="ITC Avant Garde" w:hAnsi="ITC Avant Garde"/>
          <w:b/>
        </w:rPr>
        <w:t>“TELMEX”</w:t>
      </w:r>
      <w:r w:rsidRPr="002A2450">
        <w:rPr>
          <w:rFonts w:ascii="ITC Avant Garde" w:hAnsi="ITC Avant Garde"/>
        </w:rPr>
        <w:t xml:space="preserve"> solicitó copia simple del dictamen rendido por el </w:t>
      </w:r>
      <w:r w:rsidRPr="002A2450">
        <w:rPr>
          <w:rFonts w:ascii="ITC Avant Garde" w:hAnsi="ITC Avant Garde"/>
          <w:b/>
        </w:rPr>
        <w:t>C. MANUEL GÓNGORA PASTRANA.</w:t>
      </w:r>
    </w:p>
    <w:p w14:paraId="2FEDDED6" w14:textId="77777777" w:rsidR="00B35F13" w:rsidRDefault="003C5B15" w:rsidP="00B35F13">
      <w:pPr>
        <w:spacing w:before="240" w:line="360" w:lineRule="auto"/>
        <w:ind w:right="-1"/>
        <w:jc w:val="both"/>
        <w:rPr>
          <w:rFonts w:ascii="ITC Avant Garde" w:hAnsi="ITC Avant Garde"/>
          <w:b/>
        </w:rPr>
      </w:pPr>
      <w:bookmarkStart w:id="52" w:name="_Toc477170155"/>
      <w:r w:rsidRPr="002A2450">
        <w:rPr>
          <w:rStyle w:val="Ttulo3Car"/>
          <w:rFonts w:eastAsiaTheme="minorHAnsi"/>
        </w:rPr>
        <w:t>QUINCUAGÉSIMO</w:t>
      </w:r>
      <w:r w:rsidR="002A22D3" w:rsidRPr="002A2450">
        <w:rPr>
          <w:rStyle w:val="Ttulo3Car"/>
          <w:rFonts w:eastAsiaTheme="minorHAnsi"/>
        </w:rPr>
        <w:t xml:space="preserve"> CUARTO</w:t>
      </w:r>
      <w:bookmarkEnd w:id="52"/>
      <w:r w:rsidRPr="002A2450">
        <w:rPr>
          <w:rFonts w:ascii="ITC Avant Garde" w:hAnsi="ITC Avant Garde"/>
          <w:b/>
        </w:rPr>
        <w:t xml:space="preserve">. </w:t>
      </w:r>
      <w:r w:rsidRPr="002A2450">
        <w:rPr>
          <w:rFonts w:ascii="ITC Avant Garde" w:hAnsi="ITC Avant Garde"/>
        </w:rPr>
        <w:t xml:space="preserve">El once de noviembre de dos mil dieciséis, el </w:t>
      </w:r>
      <w:r w:rsidRPr="002A2450">
        <w:rPr>
          <w:rFonts w:ascii="ITC Avant Garde" w:hAnsi="ITC Avant Garde"/>
          <w:b/>
        </w:rPr>
        <w:t xml:space="preserve">C. MANUEL GÓNGORA PASTRANA </w:t>
      </w:r>
      <w:r w:rsidRPr="002A2450">
        <w:rPr>
          <w:rFonts w:ascii="ITC Avant Garde" w:hAnsi="ITC Avant Garde"/>
        </w:rPr>
        <w:t xml:space="preserve">compareció ante esta autoridad a efecto de ratificar el </w:t>
      </w:r>
      <w:r w:rsidRPr="002A2450">
        <w:rPr>
          <w:rFonts w:ascii="ITC Avant Garde" w:hAnsi="ITC Avant Garde"/>
        </w:rPr>
        <w:lastRenderedPageBreak/>
        <w:t xml:space="preserve">dictamen pericial presentado el veintiocho de octubre de dos mil dieciséis ante este </w:t>
      </w:r>
      <w:r w:rsidRPr="002A2450">
        <w:rPr>
          <w:rFonts w:ascii="ITC Avant Garde" w:hAnsi="ITC Avant Garde"/>
          <w:b/>
        </w:rPr>
        <w:t>“IFT”.</w:t>
      </w:r>
    </w:p>
    <w:p w14:paraId="1E21A082" w14:textId="77777777" w:rsidR="00B35F13" w:rsidRDefault="002A22D3" w:rsidP="00B35F13">
      <w:pPr>
        <w:spacing w:before="240" w:line="360" w:lineRule="auto"/>
        <w:ind w:right="-1"/>
        <w:jc w:val="both"/>
        <w:rPr>
          <w:rFonts w:ascii="ITC Avant Garde" w:hAnsi="ITC Avant Garde"/>
          <w:b/>
        </w:rPr>
      </w:pPr>
      <w:bookmarkStart w:id="53" w:name="_Toc477170156"/>
      <w:r w:rsidRPr="002A2450">
        <w:rPr>
          <w:rStyle w:val="Ttulo3Car"/>
          <w:rFonts w:eastAsiaTheme="minorHAnsi"/>
        </w:rPr>
        <w:t>QUINCUAGÉSIMO QUINTO</w:t>
      </w:r>
      <w:bookmarkEnd w:id="53"/>
      <w:r w:rsidR="00CF3EC2" w:rsidRPr="002A2450">
        <w:rPr>
          <w:rFonts w:ascii="ITC Avant Garde" w:hAnsi="ITC Avant Garde"/>
          <w:b/>
        </w:rPr>
        <w:t xml:space="preserve">. </w:t>
      </w:r>
      <w:r w:rsidR="00CF3EC2" w:rsidRPr="002A2450">
        <w:rPr>
          <w:rFonts w:ascii="ITC Avant Garde" w:hAnsi="ITC Avant Garde"/>
        </w:rPr>
        <w:t xml:space="preserve">Mediante oficio </w:t>
      </w:r>
      <w:r w:rsidR="00CF3EC2" w:rsidRPr="002A2450">
        <w:rPr>
          <w:rFonts w:ascii="ITC Avant Garde" w:hAnsi="ITC Avant Garde"/>
          <w:b/>
        </w:rPr>
        <w:t>IFT/225/UC/DG-SUV/5196/2016</w:t>
      </w:r>
      <w:r w:rsidR="00CF3EC2" w:rsidRPr="002A2450">
        <w:rPr>
          <w:rFonts w:ascii="ITC Avant Garde" w:hAnsi="ITC Avant Garde"/>
        </w:rPr>
        <w:t xml:space="preserve"> de once de noviembre de dos mil dieciséis, la </w:t>
      </w:r>
      <w:r w:rsidR="004928BB" w:rsidRPr="002A2450">
        <w:rPr>
          <w:rFonts w:ascii="ITC Avant Garde" w:hAnsi="ITC Avant Garde"/>
        </w:rPr>
        <w:t xml:space="preserve">Dirección General de Supervisión (en adelante </w:t>
      </w:r>
      <w:r w:rsidR="004928BB" w:rsidRPr="002A2450">
        <w:rPr>
          <w:rFonts w:ascii="ITC Avant Garde" w:hAnsi="ITC Avant Garde"/>
          <w:b/>
        </w:rPr>
        <w:t>“DGS”</w:t>
      </w:r>
      <w:r w:rsidR="004928BB" w:rsidRPr="002A2450">
        <w:rPr>
          <w:rFonts w:ascii="ITC Avant Garde" w:hAnsi="ITC Avant Garde"/>
        </w:rPr>
        <w:t>)</w:t>
      </w:r>
      <w:r w:rsidR="00CF3EC2" w:rsidRPr="002A2450">
        <w:rPr>
          <w:rFonts w:ascii="ITC Avant Garde" w:hAnsi="ITC Avant Garde"/>
        </w:rPr>
        <w:t xml:space="preserve"> remitió a la Dirección General de Sanciones </w:t>
      </w:r>
      <w:r w:rsidR="00694005" w:rsidRPr="002A2450">
        <w:rPr>
          <w:rFonts w:ascii="ITC Avant Garde" w:hAnsi="ITC Avant Garde"/>
        </w:rPr>
        <w:t xml:space="preserve">de la Unidad de Cumplimiento, </w:t>
      </w:r>
      <w:r w:rsidR="00CF3EC2" w:rsidRPr="002A2450">
        <w:rPr>
          <w:rFonts w:ascii="ITC Avant Garde" w:hAnsi="ITC Avant Garde"/>
        </w:rPr>
        <w:t xml:space="preserve">dos denuncias presentadas por </w:t>
      </w:r>
      <w:r w:rsidR="005C2120" w:rsidRPr="002A2450">
        <w:rPr>
          <w:rFonts w:ascii="ITC Avant Garde" w:hAnsi="ITC Avant Garde"/>
          <w:b/>
        </w:rPr>
        <w:t>“CABLEMAS TELECOMUNICACIONES”</w:t>
      </w:r>
      <w:r w:rsidR="005C2120" w:rsidRPr="002A2450">
        <w:rPr>
          <w:rFonts w:ascii="ITC Avant Garde" w:hAnsi="ITC Avant Garde"/>
        </w:rPr>
        <w:t xml:space="preserve"> </w:t>
      </w:r>
      <w:r w:rsidR="004928BB" w:rsidRPr="002A2450">
        <w:rPr>
          <w:rFonts w:ascii="ITC Avant Garde" w:hAnsi="ITC Avant Garde"/>
        </w:rPr>
        <w:t xml:space="preserve">y </w:t>
      </w:r>
      <w:r w:rsidR="005C2120" w:rsidRPr="002A2450">
        <w:rPr>
          <w:rFonts w:ascii="ITC Avant Garde" w:hAnsi="ITC Avant Garde"/>
          <w:b/>
        </w:rPr>
        <w:t>“TOTAL PLAY TELECOMUNICACIONES”</w:t>
      </w:r>
      <w:r w:rsidR="00CF3EC2" w:rsidRPr="002A2450">
        <w:rPr>
          <w:rFonts w:ascii="ITC Avant Garde" w:hAnsi="ITC Avant Garde"/>
        </w:rPr>
        <w:t xml:space="preserve">, toda vez que en las mismas se denunciaba el presunto incumplimiento por parte de </w:t>
      </w:r>
      <w:r w:rsidR="00CF3EC2" w:rsidRPr="002A2450">
        <w:rPr>
          <w:rFonts w:ascii="ITC Avant Garde" w:hAnsi="ITC Avant Garde"/>
          <w:b/>
        </w:rPr>
        <w:t xml:space="preserve">“TELMEX” </w:t>
      </w:r>
      <w:r w:rsidR="00CF3EC2" w:rsidRPr="002A2450">
        <w:rPr>
          <w:rFonts w:ascii="ITC Avant Garde" w:hAnsi="ITC Avant Garde"/>
        </w:rPr>
        <w:t>a la condición 1-9 de</w:t>
      </w:r>
      <w:r w:rsidR="00BD2DBC" w:rsidRPr="002A2450">
        <w:rPr>
          <w:rFonts w:ascii="ITC Avant Garde" w:hAnsi="ITC Avant Garde"/>
        </w:rPr>
        <w:t xml:space="preserve"> su</w:t>
      </w:r>
      <w:r w:rsidR="00CF3EC2" w:rsidRPr="002A2450">
        <w:rPr>
          <w:rFonts w:ascii="ITC Avant Garde" w:hAnsi="ITC Avant Garde"/>
        </w:rPr>
        <w:t xml:space="preserve"> </w:t>
      </w:r>
      <w:r w:rsidR="00CF3EC2" w:rsidRPr="002A2450">
        <w:rPr>
          <w:rFonts w:ascii="ITC Avant Garde" w:hAnsi="ITC Avant Garde"/>
          <w:b/>
        </w:rPr>
        <w:t>“TÍTULO DE CONCESIÓN”.</w:t>
      </w:r>
    </w:p>
    <w:p w14:paraId="4947D97C" w14:textId="4C4E7976" w:rsidR="00B35F13" w:rsidRPr="006C67B3" w:rsidRDefault="00CF3EC2" w:rsidP="00B35F13">
      <w:pPr>
        <w:spacing w:before="240" w:line="360" w:lineRule="auto"/>
        <w:ind w:right="-1"/>
        <w:jc w:val="both"/>
        <w:rPr>
          <w:rFonts w:ascii="ITC Avant Garde" w:hAnsi="ITC Avant Garde"/>
          <w:b/>
        </w:rPr>
      </w:pPr>
      <w:bookmarkStart w:id="54" w:name="_Toc477170157"/>
      <w:r w:rsidRPr="002A2450">
        <w:rPr>
          <w:rStyle w:val="Ttulo3Car"/>
          <w:rFonts w:eastAsiaTheme="minorHAnsi"/>
        </w:rPr>
        <w:t>QUINCUAGÉSIMO</w:t>
      </w:r>
      <w:r w:rsidR="002A22D3" w:rsidRPr="002A2450">
        <w:rPr>
          <w:rStyle w:val="Ttulo3Car"/>
          <w:rFonts w:eastAsiaTheme="minorHAnsi"/>
        </w:rPr>
        <w:t xml:space="preserve"> SEXTO</w:t>
      </w:r>
      <w:bookmarkEnd w:id="54"/>
      <w:r w:rsidRPr="002A2450">
        <w:rPr>
          <w:rFonts w:ascii="ITC Avant Garde" w:hAnsi="ITC Avant Garde"/>
          <w:b/>
        </w:rPr>
        <w:t xml:space="preserve">. </w:t>
      </w:r>
      <w:r w:rsidRPr="002A2450">
        <w:rPr>
          <w:rFonts w:ascii="ITC Avant Garde" w:hAnsi="ITC Avant Garde"/>
        </w:rPr>
        <w:t xml:space="preserve">Por acuerdo de veintitrés de noviembre de dos mil dieciséis </w:t>
      </w:r>
      <w:r w:rsidR="0055440B" w:rsidRPr="002A2450">
        <w:rPr>
          <w:rFonts w:ascii="ITC Avant Garde" w:hAnsi="ITC Avant Garde"/>
        </w:rPr>
        <w:t xml:space="preserve">se tuvo por presentado </w:t>
      </w:r>
      <w:r w:rsidR="00694005" w:rsidRPr="002A2450">
        <w:rPr>
          <w:rFonts w:ascii="ITC Avant Garde" w:hAnsi="ITC Avant Garde"/>
        </w:rPr>
        <w:t xml:space="preserve">el escrito de </w:t>
      </w:r>
      <w:r w:rsidR="0055440B" w:rsidRPr="002A2450">
        <w:rPr>
          <w:rFonts w:ascii="ITC Avant Garde" w:hAnsi="ITC Avant Garde"/>
          <w:b/>
        </w:rPr>
        <w:t>“TELMEX”</w:t>
      </w:r>
      <w:r w:rsidR="0055440B" w:rsidRPr="002A2450">
        <w:rPr>
          <w:rFonts w:ascii="ITC Avant Garde" w:hAnsi="ITC Avant Garde"/>
        </w:rPr>
        <w:t xml:space="preserve"> mediante el cual solicitó copia simple del dictamen pericial rendido por el </w:t>
      </w:r>
      <w:r w:rsidR="0055440B" w:rsidRPr="002A2450">
        <w:rPr>
          <w:rFonts w:ascii="ITC Avant Garde" w:hAnsi="ITC Avant Garde"/>
          <w:b/>
        </w:rPr>
        <w:t xml:space="preserve">C. MANUEL GÓNGORA PASTRANA; </w:t>
      </w:r>
      <w:r w:rsidR="00694005" w:rsidRPr="002A2450">
        <w:rPr>
          <w:rFonts w:ascii="ITC Avant Garde" w:hAnsi="ITC Avant Garde"/>
        </w:rPr>
        <w:t>asimismo, se tuvo por desahogada</w:t>
      </w:r>
      <w:r w:rsidR="00694005" w:rsidRPr="002A2450">
        <w:rPr>
          <w:rFonts w:ascii="ITC Avant Garde" w:hAnsi="ITC Avant Garde"/>
          <w:b/>
        </w:rPr>
        <w:t xml:space="preserve"> </w:t>
      </w:r>
      <w:r w:rsidR="0055440B" w:rsidRPr="002A2450">
        <w:rPr>
          <w:rFonts w:ascii="ITC Avant Garde" w:hAnsi="ITC Avant Garde"/>
        </w:rPr>
        <w:t xml:space="preserve">la comparecencia de dicho profesionista a través de la cual ratificó el contenido del dictamen presentado ante este </w:t>
      </w:r>
      <w:r w:rsidR="0055440B" w:rsidRPr="002A2450">
        <w:rPr>
          <w:rFonts w:ascii="ITC Avant Garde" w:hAnsi="ITC Avant Garde"/>
          <w:b/>
        </w:rPr>
        <w:t>“IFT”</w:t>
      </w:r>
      <w:r w:rsidR="0055440B" w:rsidRPr="002A2450">
        <w:rPr>
          <w:rFonts w:ascii="ITC Avant Garde" w:hAnsi="ITC Avant Garde"/>
        </w:rPr>
        <w:t xml:space="preserve"> el veintiocho de octubre de dos mil dieciséis, y por presentado el oficio </w:t>
      </w:r>
      <w:r w:rsidR="0055440B" w:rsidRPr="002A2450">
        <w:rPr>
          <w:rFonts w:ascii="ITC Avant Garde" w:hAnsi="ITC Avant Garde"/>
          <w:b/>
        </w:rPr>
        <w:t>IFT/225/UC/DG-SUV/5196/2016</w:t>
      </w:r>
      <w:r w:rsidR="0055440B" w:rsidRPr="002A2450">
        <w:rPr>
          <w:rFonts w:ascii="ITC Avant Garde" w:hAnsi="ITC Avant Garde"/>
        </w:rPr>
        <w:t xml:space="preserve"> de once de noviembre de dos mil dieciséis, mediante el cual la </w:t>
      </w:r>
      <w:r w:rsidR="0055440B" w:rsidRPr="002A2450">
        <w:rPr>
          <w:rFonts w:ascii="ITC Avant Garde" w:hAnsi="ITC Avant Garde"/>
          <w:b/>
        </w:rPr>
        <w:t>“DGS”</w:t>
      </w:r>
      <w:r w:rsidR="0055440B" w:rsidRPr="002A2450">
        <w:rPr>
          <w:rFonts w:ascii="ITC Avant Garde" w:hAnsi="ITC Avant Garde"/>
        </w:rPr>
        <w:t xml:space="preserve"> remitió la</w:t>
      </w:r>
      <w:r w:rsidR="00BD2DBC" w:rsidRPr="002A2450">
        <w:rPr>
          <w:rFonts w:ascii="ITC Avant Garde" w:hAnsi="ITC Avant Garde"/>
        </w:rPr>
        <w:t>s</w:t>
      </w:r>
      <w:r w:rsidR="0055440B" w:rsidRPr="002A2450">
        <w:rPr>
          <w:rFonts w:ascii="ITC Avant Garde" w:hAnsi="ITC Avant Garde"/>
        </w:rPr>
        <w:t xml:space="preserve"> denuncias presentadas por las empresas </w:t>
      </w:r>
      <w:r w:rsidR="005C2120" w:rsidRPr="002A2450">
        <w:rPr>
          <w:rFonts w:ascii="ITC Avant Garde" w:hAnsi="ITC Avant Garde"/>
          <w:b/>
        </w:rPr>
        <w:t>“</w:t>
      </w:r>
      <w:r w:rsidR="004928BB" w:rsidRPr="002A2450">
        <w:rPr>
          <w:rFonts w:ascii="ITC Avant Garde" w:hAnsi="ITC Avant Garde"/>
          <w:b/>
        </w:rPr>
        <w:t>CABLEMAS TELECOMUNICACIONES</w:t>
      </w:r>
      <w:r w:rsidR="005C2120" w:rsidRPr="002A2450">
        <w:rPr>
          <w:rFonts w:ascii="ITC Avant Garde" w:hAnsi="ITC Avant Garde"/>
          <w:b/>
        </w:rPr>
        <w:t>”</w:t>
      </w:r>
      <w:r w:rsidR="004928BB" w:rsidRPr="002A2450">
        <w:rPr>
          <w:rFonts w:ascii="ITC Avant Garde" w:hAnsi="ITC Avant Garde"/>
          <w:b/>
        </w:rPr>
        <w:t xml:space="preserve"> </w:t>
      </w:r>
      <w:r w:rsidR="0055440B" w:rsidRPr="002A2450">
        <w:rPr>
          <w:rFonts w:ascii="ITC Avant Garde" w:hAnsi="ITC Avant Garde"/>
        </w:rPr>
        <w:t xml:space="preserve">y </w:t>
      </w:r>
      <w:r w:rsidR="005C2120" w:rsidRPr="002A2450">
        <w:rPr>
          <w:rFonts w:ascii="ITC Avant Garde" w:hAnsi="ITC Avant Garde"/>
          <w:b/>
        </w:rPr>
        <w:t>“</w:t>
      </w:r>
      <w:r w:rsidR="004928BB" w:rsidRPr="002A2450">
        <w:rPr>
          <w:rFonts w:ascii="ITC Avant Garde" w:hAnsi="ITC Avant Garde"/>
          <w:b/>
        </w:rPr>
        <w:t>TOTAL PLAY TELECOMUNICACIONES</w:t>
      </w:r>
      <w:r w:rsidR="005C2120" w:rsidRPr="002A2450">
        <w:rPr>
          <w:rFonts w:ascii="ITC Avant Garde" w:hAnsi="ITC Avant Garde"/>
          <w:b/>
        </w:rPr>
        <w:t>”</w:t>
      </w:r>
      <w:r w:rsidR="004928BB" w:rsidRPr="002A2450">
        <w:rPr>
          <w:rFonts w:ascii="ITC Avant Garde" w:hAnsi="ITC Avant Garde"/>
          <w:b/>
        </w:rPr>
        <w:t>.</w:t>
      </w:r>
    </w:p>
    <w:p w14:paraId="1E608C8D" w14:textId="77777777" w:rsidR="00B35F13" w:rsidRDefault="0055440B" w:rsidP="00B35F13">
      <w:pPr>
        <w:spacing w:before="240" w:line="360" w:lineRule="auto"/>
        <w:ind w:right="-1"/>
        <w:jc w:val="both"/>
        <w:rPr>
          <w:rFonts w:ascii="ITC Avant Garde" w:hAnsi="ITC Avant Garde"/>
        </w:rPr>
      </w:pPr>
      <w:r w:rsidRPr="002A2450">
        <w:rPr>
          <w:rFonts w:ascii="ITC Avant Garde" w:hAnsi="ITC Avant Garde"/>
        </w:rPr>
        <w:t xml:space="preserve">En virtud de lo anterior, se tuvo por ratificado el dictamen presentado por el </w:t>
      </w:r>
      <w:r w:rsidRPr="002A2450">
        <w:rPr>
          <w:rFonts w:ascii="ITC Avant Garde" w:hAnsi="ITC Avant Garde"/>
          <w:b/>
        </w:rPr>
        <w:t>C. MANUEL GÓNGORA PASTRANA</w:t>
      </w:r>
      <w:r w:rsidR="00694005"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asimismo se ordenó la expedición de las copias simples del dictamen pericial presentado por el citado profesionista solicitadas por </w:t>
      </w:r>
      <w:r w:rsidRPr="002A2450">
        <w:rPr>
          <w:rFonts w:ascii="ITC Avant Garde" w:hAnsi="ITC Avant Garde"/>
          <w:b/>
        </w:rPr>
        <w:t xml:space="preserve">“TELMEX”, </w:t>
      </w:r>
      <w:r w:rsidRPr="002A2450">
        <w:rPr>
          <w:rFonts w:ascii="ITC Avant Garde" w:hAnsi="ITC Avant Garde"/>
        </w:rPr>
        <w:t xml:space="preserve">previo pago de derechos </w:t>
      </w:r>
      <w:r w:rsidR="009C4815" w:rsidRPr="002A2450">
        <w:rPr>
          <w:rFonts w:ascii="ITC Avant Garde" w:hAnsi="ITC Avant Garde"/>
        </w:rPr>
        <w:t xml:space="preserve">y toma de razón que por su recibo obrara en autos y finalmente, se dio vista a </w:t>
      </w:r>
      <w:r w:rsidR="009C4815" w:rsidRPr="002A2450">
        <w:rPr>
          <w:rFonts w:ascii="ITC Avant Garde" w:hAnsi="ITC Avant Garde"/>
          <w:b/>
        </w:rPr>
        <w:t>“TELMEX”</w:t>
      </w:r>
      <w:r w:rsidR="009C4815" w:rsidRPr="002A2450">
        <w:rPr>
          <w:rFonts w:ascii="ITC Avant Garde" w:hAnsi="ITC Avant Garde"/>
        </w:rPr>
        <w:t xml:space="preserve"> para que dentro de un plazo de diez días hábiles contados a partir de que surtiera efectos la notificación del citado acuerdo manifestara lo que a su derecho conviniera</w:t>
      </w:r>
      <w:r w:rsidR="00694005" w:rsidRPr="002A2450">
        <w:rPr>
          <w:rFonts w:ascii="ITC Avant Garde" w:hAnsi="ITC Avant Garde"/>
        </w:rPr>
        <w:t xml:space="preserve"> respecto al dictamen pericial antes aludido</w:t>
      </w:r>
      <w:r w:rsidR="00BD2DBC" w:rsidRPr="002A2450">
        <w:rPr>
          <w:rFonts w:ascii="ITC Avant Garde" w:hAnsi="ITC Avant Garde"/>
        </w:rPr>
        <w:t xml:space="preserve"> y de </w:t>
      </w:r>
      <w:r w:rsidR="00694005" w:rsidRPr="002A2450">
        <w:rPr>
          <w:rFonts w:ascii="ITC Avant Garde" w:hAnsi="ITC Avant Garde"/>
        </w:rPr>
        <w:t>las denuncias remitidas</w:t>
      </w:r>
      <w:r w:rsidR="00BD2DBC" w:rsidRPr="002A2450">
        <w:rPr>
          <w:rFonts w:ascii="ITC Avant Garde" w:hAnsi="ITC Avant Garde"/>
        </w:rPr>
        <w:t xml:space="preserve"> por la </w:t>
      </w:r>
      <w:r w:rsidR="00BD2DBC" w:rsidRPr="002A2450">
        <w:rPr>
          <w:rFonts w:ascii="ITC Avant Garde" w:hAnsi="ITC Avant Garde"/>
          <w:b/>
        </w:rPr>
        <w:t>“DGS”</w:t>
      </w:r>
      <w:r w:rsidR="00694005" w:rsidRPr="002A2450">
        <w:rPr>
          <w:rFonts w:ascii="ITC Avant Garde" w:hAnsi="ITC Avant Garde"/>
        </w:rPr>
        <w:t>.</w:t>
      </w:r>
    </w:p>
    <w:p w14:paraId="1EF0E874" w14:textId="77777777" w:rsidR="006C67B3" w:rsidRDefault="009C4815" w:rsidP="00B35F13">
      <w:pPr>
        <w:spacing w:before="240" w:line="360" w:lineRule="auto"/>
        <w:ind w:right="-1"/>
        <w:jc w:val="both"/>
        <w:rPr>
          <w:rFonts w:ascii="ITC Avant Garde" w:hAnsi="ITC Avant Garde"/>
        </w:rPr>
        <w:sectPr w:rsidR="006C67B3" w:rsidSect="009F3771">
          <w:headerReference w:type="default" r:id="rId19"/>
          <w:pgSz w:w="12240" w:h="15840"/>
          <w:pgMar w:top="1985" w:right="1701" w:bottom="1418" w:left="1701" w:header="709" w:footer="709" w:gutter="0"/>
          <w:cols w:space="708"/>
          <w:docGrid w:linePitch="360"/>
        </w:sectPr>
      </w:pPr>
      <w:r w:rsidRPr="002A2450">
        <w:rPr>
          <w:rFonts w:ascii="ITC Avant Garde" w:hAnsi="ITC Avant Garde"/>
        </w:rPr>
        <w:t xml:space="preserve">El acuerdo anterior fue notificado a </w:t>
      </w:r>
      <w:r w:rsidRPr="002A2450">
        <w:rPr>
          <w:rFonts w:ascii="ITC Avant Garde" w:hAnsi="ITC Avant Garde"/>
          <w:b/>
        </w:rPr>
        <w:t>“TELMEX”</w:t>
      </w:r>
      <w:r w:rsidRPr="002A2450">
        <w:rPr>
          <w:rFonts w:ascii="ITC Avant Garde" w:hAnsi="ITC Avant Garde"/>
        </w:rPr>
        <w:t xml:space="preserve"> el veintiocho de noviembre de dos mil dieciséis, por lo que el plazo de diez días hábiles para que se manifestara </w:t>
      </w:r>
    </w:p>
    <w:p w14:paraId="109ADA22" w14:textId="7996881E" w:rsidR="00B35F13" w:rsidRDefault="009C4815" w:rsidP="00B35F13">
      <w:pPr>
        <w:spacing w:before="240" w:line="360" w:lineRule="auto"/>
        <w:ind w:right="-1"/>
        <w:jc w:val="both"/>
        <w:rPr>
          <w:rFonts w:ascii="ITC Avant Garde" w:hAnsi="ITC Avant Garde"/>
          <w:b/>
        </w:rPr>
      </w:pPr>
      <w:r w:rsidRPr="002A2450">
        <w:rPr>
          <w:rFonts w:ascii="ITC Avant Garde" w:hAnsi="ITC Avant Garde"/>
        </w:rPr>
        <w:lastRenderedPageBreak/>
        <w:t xml:space="preserve">respecto de las denuncias presentadas por </w:t>
      </w:r>
      <w:r w:rsidR="005C2120" w:rsidRPr="002A2450">
        <w:rPr>
          <w:rFonts w:ascii="ITC Avant Garde" w:hAnsi="ITC Avant Garde"/>
          <w:b/>
        </w:rPr>
        <w:t>“</w:t>
      </w:r>
      <w:r w:rsidR="004928BB" w:rsidRPr="002A2450">
        <w:rPr>
          <w:rFonts w:ascii="ITC Avant Garde" w:hAnsi="ITC Avant Garde"/>
          <w:b/>
        </w:rPr>
        <w:t>CABLEMAS TELECOMUNICACIONES</w:t>
      </w:r>
      <w:r w:rsidR="005C2120" w:rsidRPr="002A2450">
        <w:rPr>
          <w:rFonts w:ascii="ITC Avant Garde" w:hAnsi="ITC Avant Garde"/>
          <w:b/>
        </w:rPr>
        <w:t>”</w:t>
      </w:r>
      <w:r w:rsidR="004928BB" w:rsidRPr="002A2450">
        <w:rPr>
          <w:rFonts w:ascii="ITC Avant Garde" w:hAnsi="ITC Avant Garde"/>
          <w:b/>
        </w:rPr>
        <w:t xml:space="preserve"> </w:t>
      </w:r>
      <w:r w:rsidRPr="002A2450">
        <w:rPr>
          <w:rFonts w:ascii="ITC Avant Garde" w:hAnsi="ITC Avant Garde"/>
        </w:rPr>
        <w:t xml:space="preserve">y </w:t>
      </w:r>
      <w:r w:rsidR="005C2120" w:rsidRPr="002A2450">
        <w:rPr>
          <w:rFonts w:ascii="ITC Avant Garde" w:hAnsi="ITC Avant Garde"/>
          <w:b/>
        </w:rPr>
        <w:t>“</w:t>
      </w:r>
      <w:r w:rsidR="004928BB" w:rsidRPr="002A2450">
        <w:rPr>
          <w:rFonts w:ascii="ITC Avant Garde" w:hAnsi="ITC Avant Garde"/>
          <w:b/>
        </w:rPr>
        <w:t>TOTAL PLAY TELECOMUNICACIONES</w:t>
      </w:r>
      <w:r w:rsidR="005C2120" w:rsidRPr="002A2450">
        <w:rPr>
          <w:rFonts w:ascii="ITC Avant Garde" w:hAnsi="ITC Avant Garde"/>
          <w:b/>
        </w:rPr>
        <w:t>”</w:t>
      </w:r>
      <w:r w:rsidR="00694005" w:rsidRPr="002A2450">
        <w:rPr>
          <w:rFonts w:ascii="ITC Avant Garde" w:hAnsi="ITC Avant Garde"/>
          <w:b/>
        </w:rPr>
        <w:t xml:space="preserve"> </w:t>
      </w:r>
      <w:r w:rsidR="00694005" w:rsidRPr="002A2450">
        <w:rPr>
          <w:rFonts w:ascii="ITC Avant Garde" w:hAnsi="ITC Avant Garde"/>
        </w:rPr>
        <w:t>y el dictamen pericial</w:t>
      </w:r>
      <w:r w:rsidRPr="002A2450">
        <w:rPr>
          <w:rFonts w:ascii="ITC Avant Garde" w:hAnsi="ITC Avant Garde"/>
        </w:rPr>
        <w:t>, corrió de veintinueve de noviembre al doce de diciembre de dos mil dieciséis</w:t>
      </w:r>
      <w:r w:rsidR="00BD2DBC" w:rsidRPr="002A2450">
        <w:rPr>
          <w:rFonts w:ascii="ITC Avant Garde" w:hAnsi="ITC Avant Garde"/>
        </w:rPr>
        <w:t>,</w:t>
      </w:r>
      <w:r w:rsidRPr="002A2450">
        <w:rPr>
          <w:rFonts w:ascii="ITC Avant Garde" w:hAnsi="ITC Avant Garde"/>
        </w:rPr>
        <w:t xml:space="preserve"> sin considerar los días tres, cuatro, diez y once de diciembre de esa anualidad, al ser sábado</w:t>
      </w:r>
      <w:r w:rsidR="00694005" w:rsidRPr="002A2450">
        <w:rPr>
          <w:rFonts w:ascii="ITC Avant Garde" w:hAnsi="ITC Avant Garde"/>
        </w:rPr>
        <w:t>s</w:t>
      </w:r>
      <w:r w:rsidRPr="002A2450">
        <w:rPr>
          <w:rFonts w:ascii="ITC Avant Garde" w:hAnsi="ITC Avant Garde"/>
        </w:rPr>
        <w:t xml:space="preserve"> y domingo</w:t>
      </w:r>
      <w:r w:rsidR="00694005" w:rsidRPr="002A2450">
        <w:rPr>
          <w:rFonts w:ascii="ITC Avant Garde" w:hAnsi="ITC Avant Garde"/>
        </w:rPr>
        <w:t>s,</w:t>
      </w:r>
      <w:r w:rsidRPr="002A2450">
        <w:rPr>
          <w:rFonts w:ascii="ITC Avant Garde" w:hAnsi="ITC Avant Garde"/>
        </w:rPr>
        <w:t xml:space="preserve"> respectivamente, en términos del artículo 28 de la </w:t>
      </w:r>
      <w:r w:rsidRPr="002A2450">
        <w:rPr>
          <w:rFonts w:ascii="ITC Avant Garde" w:hAnsi="ITC Avant Garde"/>
          <w:b/>
        </w:rPr>
        <w:t>“LFPA”.</w:t>
      </w:r>
    </w:p>
    <w:p w14:paraId="0E47FEF8" w14:textId="77777777" w:rsidR="00B35F13" w:rsidRDefault="009C4815" w:rsidP="00B35F13">
      <w:pPr>
        <w:spacing w:before="240" w:line="360" w:lineRule="auto"/>
        <w:ind w:right="-1"/>
        <w:jc w:val="both"/>
        <w:rPr>
          <w:rFonts w:ascii="ITC Avant Garde" w:hAnsi="ITC Avant Garde"/>
        </w:rPr>
      </w:pPr>
      <w:bookmarkStart w:id="55" w:name="_Toc477170158"/>
      <w:r w:rsidRPr="002A2450">
        <w:rPr>
          <w:rStyle w:val="Ttulo3Car"/>
          <w:rFonts w:eastAsiaTheme="minorHAnsi"/>
        </w:rPr>
        <w:t>QUINCUAGÉSIMO</w:t>
      </w:r>
      <w:r w:rsidR="002A22D3" w:rsidRPr="002A2450">
        <w:rPr>
          <w:rStyle w:val="Ttulo3Car"/>
          <w:rFonts w:eastAsiaTheme="minorHAnsi"/>
        </w:rPr>
        <w:t xml:space="preserve"> SÉPTIMO</w:t>
      </w:r>
      <w:bookmarkEnd w:id="55"/>
      <w:r w:rsidRPr="002A2450">
        <w:rPr>
          <w:rFonts w:ascii="ITC Avant Garde" w:hAnsi="ITC Avant Garde"/>
          <w:b/>
        </w:rPr>
        <w:t xml:space="preserve">. </w:t>
      </w:r>
      <w:r w:rsidRPr="002A2450">
        <w:rPr>
          <w:rFonts w:ascii="ITC Avant Garde" w:hAnsi="ITC Avant Garde"/>
        </w:rPr>
        <w:t xml:space="preserve">El treinta de noviembre de dos mil dieciséis compareció ante esta autoridad el </w:t>
      </w:r>
      <w:r w:rsidR="00194CBB" w:rsidRPr="005E1F62">
        <w:rPr>
          <w:rFonts w:ascii="ITC Avant Garde" w:eastAsiaTheme="majorEastAsia" w:hAnsi="ITC Avant Garde" w:cstheme="majorBidi"/>
          <w:b/>
          <w:color w:val="0000FF"/>
          <w:szCs w:val="32"/>
        </w:rPr>
        <w:t>“CONFIDENCIAL POR LEY”</w:t>
      </w:r>
      <w:r w:rsidRPr="002A2450">
        <w:rPr>
          <w:rFonts w:ascii="ITC Avant Garde" w:hAnsi="ITC Avant Garde"/>
        </w:rPr>
        <w:t xml:space="preserve">, persona autorizada por </w:t>
      </w:r>
      <w:r w:rsidRPr="002A2450">
        <w:rPr>
          <w:rFonts w:ascii="ITC Avant Garde" w:hAnsi="ITC Avant Garde"/>
          <w:b/>
        </w:rPr>
        <w:t>“TELMEX”</w:t>
      </w:r>
      <w:r w:rsidRPr="002A2450">
        <w:rPr>
          <w:rFonts w:ascii="ITC Avant Garde" w:hAnsi="ITC Avant Garde"/>
        </w:rPr>
        <w:t xml:space="preserve"> a efecto de recoger las copias simples del dictamen pericial presentado por el </w:t>
      </w:r>
      <w:r w:rsidRPr="002A2450">
        <w:rPr>
          <w:rFonts w:ascii="ITC Avant Garde" w:hAnsi="ITC Avant Garde"/>
          <w:b/>
        </w:rPr>
        <w:t xml:space="preserve">C. MANUEL GÓNGORA PASTRANA, </w:t>
      </w:r>
      <w:r w:rsidRPr="002A2450">
        <w:rPr>
          <w:rFonts w:ascii="ITC Avant Garde" w:hAnsi="ITC Avant Garde"/>
        </w:rPr>
        <w:t>levantándose la constancia respectiva.</w:t>
      </w:r>
    </w:p>
    <w:p w14:paraId="256FCD27" w14:textId="77777777" w:rsidR="00B35F13" w:rsidRDefault="009C4815" w:rsidP="00B35F13">
      <w:pPr>
        <w:spacing w:before="240" w:line="360" w:lineRule="auto"/>
        <w:ind w:right="-1"/>
        <w:jc w:val="both"/>
        <w:rPr>
          <w:rFonts w:ascii="ITC Avant Garde" w:hAnsi="ITC Avant Garde"/>
        </w:rPr>
      </w:pPr>
      <w:bookmarkStart w:id="56" w:name="_Toc477170159"/>
      <w:r w:rsidRPr="002A2450">
        <w:rPr>
          <w:rStyle w:val="Ttulo3Car"/>
          <w:rFonts w:eastAsiaTheme="minorHAnsi"/>
        </w:rPr>
        <w:t>QUINCUAGÉSIMO</w:t>
      </w:r>
      <w:r w:rsidR="002A22D3" w:rsidRPr="002A2450">
        <w:rPr>
          <w:rStyle w:val="Ttulo3Car"/>
          <w:rFonts w:eastAsiaTheme="minorHAnsi"/>
        </w:rPr>
        <w:t xml:space="preserve"> OCTAVO</w:t>
      </w:r>
      <w:bookmarkEnd w:id="56"/>
      <w:r w:rsidRPr="002A2450">
        <w:rPr>
          <w:rFonts w:ascii="ITC Avant Garde" w:hAnsi="ITC Avant Garde"/>
          <w:b/>
        </w:rPr>
        <w:t xml:space="preserve">. </w:t>
      </w:r>
      <w:r w:rsidRPr="002A2450">
        <w:rPr>
          <w:rFonts w:ascii="ITC Avant Garde" w:hAnsi="ITC Avant Garde"/>
        </w:rPr>
        <w:t xml:space="preserve">El doce de diciembre de dos mil dieciséis, </w:t>
      </w:r>
      <w:r w:rsidRPr="002A2450">
        <w:rPr>
          <w:rFonts w:ascii="ITC Avant Garde" w:hAnsi="ITC Avant Garde"/>
          <w:b/>
        </w:rPr>
        <w:t>“TELMEX”</w:t>
      </w:r>
      <w:r w:rsidRPr="002A2450">
        <w:rPr>
          <w:rFonts w:ascii="ITC Avant Garde" w:hAnsi="ITC Avant Garde"/>
        </w:rPr>
        <w:t xml:space="preserve"> presentó un escrito ante la Oficialía de Partes de este </w:t>
      </w:r>
      <w:r w:rsidRPr="002A2450">
        <w:rPr>
          <w:rFonts w:ascii="ITC Avant Garde" w:hAnsi="ITC Avant Garde"/>
          <w:b/>
        </w:rPr>
        <w:t>“IFT”</w:t>
      </w:r>
      <w:r w:rsidRPr="002A2450">
        <w:rPr>
          <w:rFonts w:ascii="ITC Avant Garde" w:hAnsi="ITC Avant Garde"/>
        </w:rPr>
        <w:t xml:space="preserve"> mediante el cual solicitó una prórroga para dar contestación a lo ordenado en el acuerdo de veintitrés de noviembre de esa anualidad por lo que respecta al dictamen pericial presentado por el </w:t>
      </w:r>
      <w:r w:rsidRPr="002A2450">
        <w:rPr>
          <w:rFonts w:ascii="ITC Avant Garde" w:hAnsi="ITC Avant Garde"/>
          <w:b/>
        </w:rPr>
        <w:t xml:space="preserve">C. MANUEL GÓNGORA PASTRANA </w:t>
      </w:r>
      <w:r w:rsidRPr="002A2450">
        <w:rPr>
          <w:rFonts w:ascii="ITC Avant Garde" w:hAnsi="ITC Avant Garde"/>
        </w:rPr>
        <w:t xml:space="preserve">y las denuncias presentadas por las empresas </w:t>
      </w:r>
      <w:r w:rsidR="005C2120" w:rsidRPr="002A2450">
        <w:rPr>
          <w:rFonts w:ascii="ITC Avant Garde" w:hAnsi="ITC Avant Garde"/>
          <w:b/>
        </w:rPr>
        <w:t xml:space="preserve">“CABLEMAS TELECOMUNICACIONES” </w:t>
      </w:r>
      <w:r w:rsidR="005C2120" w:rsidRPr="002A2450">
        <w:rPr>
          <w:rFonts w:ascii="ITC Avant Garde" w:hAnsi="ITC Avant Garde"/>
        </w:rPr>
        <w:t xml:space="preserve">y </w:t>
      </w:r>
      <w:r w:rsidR="005C2120" w:rsidRPr="002A2450">
        <w:rPr>
          <w:rFonts w:ascii="ITC Avant Garde" w:hAnsi="ITC Avant Garde"/>
          <w:b/>
        </w:rPr>
        <w:t>“TOTAL PLAY TELECOMUNICACIONES”.</w:t>
      </w:r>
    </w:p>
    <w:p w14:paraId="64E697D4" w14:textId="77777777" w:rsidR="00B35F13" w:rsidRDefault="009C4815" w:rsidP="00B35F13">
      <w:pPr>
        <w:spacing w:before="240" w:line="360" w:lineRule="auto"/>
        <w:ind w:right="-1"/>
        <w:jc w:val="both"/>
        <w:rPr>
          <w:rFonts w:ascii="ITC Avant Garde" w:hAnsi="ITC Avant Garde"/>
        </w:rPr>
      </w:pPr>
      <w:bookmarkStart w:id="57" w:name="_Toc477170160"/>
      <w:r w:rsidRPr="002A2450">
        <w:rPr>
          <w:rStyle w:val="Ttulo3Car"/>
          <w:rFonts w:eastAsiaTheme="minorHAnsi"/>
        </w:rPr>
        <w:t>QUINCUAGÉSIMO</w:t>
      </w:r>
      <w:r w:rsidR="002A22D3" w:rsidRPr="002A2450">
        <w:rPr>
          <w:rStyle w:val="Ttulo3Car"/>
          <w:rFonts w:eastAsiaTheme="minorHAnsi"/>
        </w:rPr>
        <w:t xml:space="preserve"> NOVENO</w:t>
      </w:r>
      <w:bookmarkEnd w:id="57"/>
      <w:r w:rsidRPr="002A2450">
        <w:rPr>
          <w:rFonts w:ascii="ITC Avant Garde" w:hAnsi="ITC Avant Garde"/>
          <w:b/>
        </w:rPr>
        <w:t xml:space="preserve">. </w:t>
      </w:r>
      <w:r w:rsidRPr="002A2450">
        <w:rPr>
          <w:rFonts w:ascii="ITC Avant Garde" w:hAnsi="ITC Avant Garde"/>
        </w:rPr>
        <w:t xml:space="preserve">Mediante acuerdo de veinte de diciembre de dos mil dieciséis </w:t>
      </w:r>
      <w:r w:rsidR="001153FA" w:rsidRPr="002A2450">
        <w:rPr>
          <w:rFonts w:ascii="ITC Avant Garde" w:hAnsi="ITC Avant Garde"/>
        </w:rPr>
        <w:t xml:space="preserve">se concedió a </w:t>
      </w:r>
      <w:r w:rsidR="001153FA" w:rsidRPr="002A2450">
        <w:rPr>
          <w:rFonts w:ascii="ITC Avant Garde" w:hAnsi="ITC Avant Garde"/>
          <w:b/>
        </w:rPr>
        <w:t xml:space="preserve">“TELMEX” </w:t>
      </w:r>
      <w:r w:rsidR="001153FA" w:rsidRPr="002A2450">
        <w:rPr>
          <w:rFonts w:ascii="ITC Avant Garde" w:hAnsi="ITC Avant Garde"/>
        </w:rPr>
        <w:t>un plazo adicional de cinco días hábiles a efecto de que desahogara lo ordenado mediante acuerdo de veintitrés de noviembre de esa anualidad.</w:t>
      </w:r>
    </w:p>
    <w:p w14:paraId="3DCE0526" w14:textId="77777777" w:rsidR="00B35F13" w:rsidRDefault="001153FA" w:rsidP="00B35F13">
      <w:pPr>
        <w:spacing w:before="240" w:line="360" w:lineRule="auto"/>
        <w:ind w:right="-1"/>
        <w:jc w:val="both"/>
        <w:rPr>
          <w:rFonts w:ascii="ITC Avant Garde" w:hAnsi="ITC Avant Garde"/>
          <w:b/>
        </w:rPr>
      </w:pPr>
      <w:r w:rsidRPr="002A2450">
        <w:rPr>
          <w:rFonts w:ascii="ITC Avant Garde" w:hAnsi="ITC Avant Garde"/>
        </w:rPr>
        <w:t xml:space="preserve">El acuerdo anterior, fue notificado al </w:t>
      </w:r>
      <w:r w:rsidRPr="002A2450">
        <w:rPr>
          <w:rFonts w:ascii="ITC Avant Garde" w:hAnsi="ITC Avant Garde"/>
          <w:b/>
        </w:rPr>
        <w:t>“TELMEX”</w:t>
      </w:r>
      <w:r w:rsidRPr="002A2450">
        <w:rPr>
          <w:rFonts w:ascii="ITC Avant Garde" w:hAnsi="ITC Avant Garde"/>
        </w:rPr>
        <w:t xml:space="preserve"> el seis de enero de dos mil diecisiete, por lo que el plazo adicional de cinco días corrió del nueve al trece de enero de dos mil diecisiete, sin considerar los días siete y ocho de enero de</w:t>
      </w:r>
      <w:r w:rsidR="00C8156F" w:rsidRPr="002A2450">
        <w:rPr>
          <w:rFonts w:ascii="ITC Avant Garde" w:hAnsi="ITC Avant Garde"/>
        </w:rPr>
        <w:t xml:space="preserve"> dicha anualidad</w:t>
      </w:r>
      <w:r w:rsidR="004928BB" w:rsidRPr="002A2450">
        <w:rPr>
          <w:rFonts w:ascii="ITC Avant Garde" w:hAnsi="ITC Avant Garde"/>
        </w:rPr>
        <w:t>,</w:t>
      </w:r>
      <w:r w:rsidRPr="002A2450">
        <w:rPr>
          <w:rFonts w:ascii="ITC Avant Garde" w:hAnsi="ITC Avant Garde"/>
        </w:rPr>
        <w:t xml:space="preserve"> por ser sábado y domingo, respectivamente, en términos del</w:t>
      </w:r>
      <w:r w:rsidR="00F12DD1" w:rsidRPr="002A2450">
        <w:rPr>
          <w:rFonts w:ascii="ITC Avant Garde" w:hAnsi="ITC Avant Garde"/>
        </w:rPr>
        <w:t xml:space="preserve"> artículo 28</w:t>
      </w:r>
      <w:r w:rsidRPr="002A2450">
        <w:rPr>
          <w:rFonts w:ascii="ITC Avant Garde" w:hAnsi="ITC Avant Garde"/>
        </w:rPr>
        <w:t xml:space="preserve"> </w:t>
      </w:r>
      <w:r w:rsidRPr="002A2450">
        <w:rPr>
          <w:rFonts w:ascii="ITC Avant Garde" w:hAnsi="ITC Avant Garde"/>
          <w:b/>
        </w:rPr>
        <w:t>“LFPA”.</w:t>
      </w:r>
    </w:p>
    <w:p w14:paraId="06B713C1" w14:textId="77777777" w:rsidR="006C67B3" w:rsidRDefault="002A22D3" w:rsidP="00B35F13">
      <w:pPr>
        <w:spacing w:before="240" w:line="360" w:lineRule="auto"/>
        <w:ind w:right="-1"/>
        <w:jc w:val="both"/>
        <w:rPr>
          <w:rFonts w:ascii="ITC Avant Garde" w:hAnsi="ITC Avant Garde"/>
        </w:rPr>
        <w:sectPr w:rsidR="006C67B3" w:rsidSect="009F3771">
          <w:headerReference w:type="default" r:id="rId20"/>
          <w:pgSz w:w="12240" w:h="15840"/>
          <w:pgMar w:top="1985" w:right="1701" w:bottom="1418" w:left="1701" w:header="709" w:footer="709" w:gutter="0"/>
          <w:cols w:space="708"/>
          <w:docGrid w:linePitch="360"/>
        </w:sectPr>
      </w:pPr>
      <w:bookmarkStart w:id="58" w:name="_Toc477170161"/>
      <w:r w:rsidRPr="002A2450">
        <w:rPr>
          <w:rStyle w:val="Ttulo3Car"/>
          <w:rFonts w:eastAsiaTheme="minorHAnsi"/>
        </w:rPr>
        <w:t>SEXAGÉSIMO</w:t>
      </w:r>
      <w:bookmarkEnd w:id="58"/>
      <w:r w:rsidR="001153FA" w:rsidRPr="002A2450">
        <w:rPr>
          <w:rFonts w:ascii="ITC Avant Garde" w:hAnsi="ITC Avant Garde"/>
          <w:b/>
        </w:rPr>
        <w:t xml:space="preserve">. </w:t>
      </w:r>
      <w:r w:rsidR="001153FA" w:rsidRPr="002A2450">
        <w:rPr>
          <w:rFonts w:ascii="ITC Avant Garde" w:hAnsi="ITC Avant Garde"/>
        </w:rPr>
        <w:t xml:space="preserve">El trece de enero de dos mil diecisiete, </w:t>
      </w:r>
      <w:r w:rsidR="001153FA" w:rsidRPr="002A2450">
        <w:rPr>
          <w:rFonts w:ascii="ITC Avant Garde" w:hAnsi="ITC Avant Garde"/>
          <w:b/>
        </w:rPr>
        <w:t>“TELMEX”</w:t>
      </w:r>
      <w:r w:rsidR="001153FA" w:rsidRPr="002A2450">
        <w:rPr>
          <w:rFonts w:ascii="ITC Avant Garde" w:hAnsi="ITC Avant Garde"/>
        </w:rPr>
        <w:t xml:space="preserve"> presentó </w:t>
      </w:r>
      <w:r w:rsidR="00694005" w:rsidRPr="002A2450">
        <w:rPr>
          <w:rFonts w:ascii="ITC Avant Garde" w:hAnsi="ITC Avant Garde"/>
        </w:rPr>
        <w:t xml:space="preserve">dos </w:t>
      </w:r>
      <w:r w:rsidR="001153FA" w:rsidRPr="002A2450">
        <w:rPr>
          <w:rFonts w:ascii="ITC Avant Garde" w:hAnsi="ITC Avant Garde"/>
        </w:rPr>
        <w:t>escrito</w:t>
      </w:r>
      <w:r w:rsidR="00694005" w:rsidRPr="002A2450">
        <w:rPr>
          <w:rFonts w:ascii="ITC Avant Garde" w:hAnsi="ITC Avant Garde"/>
        </w:rPr>
        <w:t>s</w:t>
      </w:r>
      <w:r w:rsidR="001153FA" w:rsidRPr="002A2450">
        <w:rPr>
          <w:rFonts w:ascii="ITC Avant Garde" w:hAnsi="ITC Avant Garde"/>
        </w:rPr>
        <w:t xml:space="preserve"> mediante </w:t>
      </w:r>
      <w:r w:rsidR="00694005" w:rsidRPr="002A2450">
        <w:rPr>
          <w:rFonts w:ascii="ITC Avant Garde" w:hAnsi="ITC Avant Garde"/>
        </w:rPr>
        <w:t xml:space="preserve">los </w:t>
      </w:r>
      <w:r w:rsidR="001153FA" w:rsidRPr="002A2450">
        <w:rPr>
          <w:rFonts w:ascii="ITC Avant Garde" w:hAnsi="ITC Avant Garde"/>
        </w:rPr>
        <w:t>cual</w:t>
      </w:r>
      <w:r w:rsidR="00694005" w:rsidRPr="002A2450">
        <w:rPr>
          <w:rFonts w:ascii="ITC Avant Garde" w:hAnsi="ITC Avant Garde"/>
        </w:rPr>
        <w:t>es</w:t>
      </w:r>
      <w:r w:rsidR="001153FA" w:rsidRPr="002A2450">
        <w:rPr>
          <w:rFonts w:ascii="ITC Avant Garde" w:hAnsi="ITC Avant Garde"/>
        </w:rPr>
        <w:t xml:space="preserve"> desahog</w:t>
      </w:r>
      <w:r w:rsidR="00694005" w:rsidRPr="002A2450">
        <w:rPr>
          <w:rFonts w:ascii="ITC Avant Garde" w:hAnsi="ITC Avant Garde"/>
        </w:rPr>
        <w:t>ó</w:t>
      </w:r>
      <w:r w:rsidR="001153FA" w:rsidRPr="002A2450">
        <w:rPr>
          <w:rFonts w:ascii="ITC Avant Garde" w:hAnsi="ITC Avant Garde"/>
        </w:rPr>
        <w:t xml:space="preserve"> la vista ordenada en el acuerdo de veintitrés de</w:t>
      </w:r>
      <w:r w:rsidR="00694005" w:rsidRPr="002A2450">
        <w:rPr>
          <w:rFonts w:ascii="ITC Avant Garde" w:hAnsi="ITC Avant Garde"/>
        </w:rPr>
        <w:t xml:space="preserve"> </w:t>
      </w:r>
    </w:p>
    <w:p w14:paraId="6D0AB41B" w14:textId="14792618" w:rsidR="00B35F13" w:rsidRDefault="00694005" w:rsidP="00B35F13">
      <w:pPr>
        <w:spacing w:before="240" w:line="360" w:lineRule="auto"/>
        <w:ind w:right="-1"/>
        <w:jc w:val="both"/>
        <w:rPr>
          <w:rFonts w:ascii="ITC Avant Garde" w:hAnsi="ITC Avant Garde"/>
        </w:rPr>
      </w:pPr>
      <w:proofErr w:type="gramStart"/>
      <w:r w:rsidRPr="002A2450">
        <w:rPr>
          <w:rFonts w:ascii="ITC Avant Garde" w:hAnsi="ITC Avant Garde"/>
        </w:rPr>
        <w:lastRenderedPageBreak/>
        <w:t>noviembre</w:t>
      </w:r>
      <w:proofErr w:type="gramEnd"/>
      <w:r w:rsidRPr="002A2450">
        <w:rPr>
          <w:rFonts w:ascii="ITC Avant Garde" w:hAnsi="ITC Avant Garde"/>
        </w:rPr>
        <w:t xml:space="preserve"> de dos mil dieciséis respecto del dictamen </w:t>
      </w:r>
      <w:r w:rsidR="0093215A" w:rsidRPr="002A2450">
        <w:rPr>
          <w:rFonts w:ascii="ITC Avant Garde" w:hAnsi="ITC Avant Garde"/>
        </w:rPr>
        <w:t xml:space="preserve">en materia contable por parte del perito designado por esta autoridad y de las denuncias presentadas por </w:t>
      </w:r>
      <w:r w:rsidR="0093215A" w:rsidRPr="002A2450">
        <w:rPr>
          <w:rFonts w:ascii="ITC Avant Garde" w:hAnsi="ITC Avant Garde"/>
          <w:b/>
        </w:rPr>
        <w:t xml:space="preserve">“CABLEMAS TELECOMUNICACIONES” </w:t>
      </w:r>
      <w:r w:rsidR="0093215A" w:rsidRPr="002A2450">
        <w:rPr>
          <w:rFonts w:ascii="ITC Avant Garde" w:hAnsi="ITC Avant Garde"/>
        </w:rPr>
        <w:t xml:space="preserve">y </w:t>
      </w:r>
      <w:r w:rsidR="0093215A" w:rsidRPr="002A2450">
        <w:rPr>
          <w:rFonts w:ascii="ITC Avant Garde" w:hAnsi="ITC Avant Garde"/>
          <w:b/>
        </w:rPr>
        <w:t>“TOTAL PLAY TELECOMUNICACIONES”.</w:t>
      </w:r>
    </w:p>
    <w:p w14:paraId="622DFE77" w14:textId="77777777" w:rsidR="00B35F13" w:rsidRDefault="0093215A" w:rsidP="00B35F13">
      <w:pPr>
        <w:pStyle w:val="Textoindependiente"/>
        <w:spacing w:before="240" w:after="160" w:line="360" w:lineRule="auto"/>
        <w:jc w:val="both"/>
        <w:rPr>
          <w:rFonts w:ascii="ITC Avant Garde" w:eastAsia="Times New Roman" w:hAnsi="ITC Avant Garde"/>
          <w:bCs/>
          <w:color w:val="000000"/>
          <w:lang w:eastAsia="es-MX"/>
        </w:rPr>
      </w:pPr>
      <w:bookmarkStart w:id="59" w:name="_Toc477170162"/>
      <w:r w:rsidRPr="002A2450">
        <w:rPr>
          <w:rStyle w:val="Ttulo3Car"/>
          <w:rFonts w:eastAsia="Calibri"/>
        </w:rPr>
        <w:t>SEXAGÉSIMO PRIMERO</w:t>
      </w:r>
      <w:bookmarkEnd w:id="59"/>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Mediante acuerdo de diecinueve de enero de dos mil diecisiete, se tuvieron por presentados los escritos presentados por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el trece de enero de dos mil diecisiete y por hechas sus manifestaciones las cuales serían </w:t>
      </w:r>
      <w:r w:rsidR="00C8156F" w:rsidRPr="002A2450">
        <w:rPr>
          <w:rFonts w:ascii="ITC Avant Garde" w:eastAsia="Times New Roman" w:hAnsi="ITC Avant Garde"/>
          <w:bCs/>
          <w:color w:val="000000"/>
          <w:lang w:eastAsia="es-MX"/>
        </w:rPr>
        <w:t>tomadas en consideración al momento de emitir resolución definitiva en el presente asunto.</w:t>
      </w:r>
    </w:p>
    <w:p w14:paraId="0FE5A44F" w14:textId="1F7CDEB9" w:rsidR="00B35F13" w:rsidRDefault="001153FA" w:rsidP="00B35F13">
      <w:pPr>
        <w:pStyle w:val="Textoindependiente"/>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Asimismo, por corresponder al estado procesal que guardaba el presente asunto, con fundamento en el artículo 56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xml:space="preserve">, se pusieron a disposición de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los autos del expediente en que se actúa para que dentro de un término de diez días hábiles formulara los alegatos que a su derecho conviniera, en el entendido que transcurrido dicho plazo, con alegatos o sin ellos se emitiría la resolución que conforme a derecho correspondiera.</w:t>
      </w:r>
    </w:p>
    <w:p w14:paraId="7A37465E" w14:textId="77777777" w:rsidR="00B35F13" w:rsidRDefault="001153FA" w:rsidP="00B35F13">
      <w:pPr>
        <w:pStyle w:val="Textoindependiente"/>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El acuerdo de</w:t>
      </w:r>
      <w:r w:rsidR="00C8156F" w:rsidRPr="002A2450">
        <w:rPr>
          <w:rFonts w:ascii="ITC Avant Garde" w:eastAsia="Times New Roman" w:hAnsi="ITC Avant Garde"/>
          <w:bCs/>
          <w:color w:val="000000"/>
          <w:lang w:eastAsia="es-MX"/>
        </w:rPr>
        <w:t xml:space="preserve"> diecinueve de enero de dos mil diecisiete </w:t>
      </w:r>
      <w:r w:rsidRPr="002A2450">
        <w:rPr>
          <w:rFonts w:ascii="ITC Avant Garde" w:eastAsia="Times New Roman" w:hAnsi="ITC Avant Garde"/>
          <w:bCs/>
          <w:color w:val="000000"/>
          <w:lang w:eastAsia="es-MX"/>
        </w:rPr>
        <w:t xml:space="preserve">fue notificado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el </w:t>
      </w:r>
      <w:r w:rsidR="00C8156F" w:rsidRPr="002A2450">
        <w:rPr>
          <w:rFonts w:ascii="ITC Avant Garde" w:eastAsia="Times New Roman" w:hAnsi="ITC Avant Garde"/>
          <w:bCs/>
          <w:color w:val="000000"/>
          <w:lang w:eastAsia="es-MX"/>
        </w:rPr>
        <w:t>veintitrés de enero siguiente</w:t>
      </w:r>
      <w:r w:rsidRPr="002A2450">
        <w:rPr>
          <w:rFonts w:ascii="ITC Avant Garde" w:eastAsia="Times New Roman" w:hAnsi="ITC Avant Garde"/>
          <w:bCs/>
          <w:color w:val="000000"/>
          <w:lang w:eastAsia="es-MX"/>
        </w:rPr>
        <w:t xml:space="preserve">, por lo que el plazo de diez días para formular alegatos corrió del </w:t>
      </w:r>
      <w:r w:rsidR="00C8156F" w:rsidRPr="002A2450">
        <w:rPr>
          <w:rFonts w:ascii="ITC Avant Garde" w:eastAsia="Times New Roman" w:hAnsi="ITC Avant Garde"/>
          <w:bCs/>
          <w:color w:val="000000"/>
          <w:lang w:eastAsia="es-MX"/>
        </w:rPr>
        <w:t xml:space="preserve">veinticuatro de enero </w:t>
      </w:r>
      <w:r w:rsidRPr="002A2450">
        <w:rPr>
          <w:rFonts w:ascii="ITC Avant Garde" w:eastAsia="Times New Roman" w:hAnsi="ITC Avant Garde"/>
          <w:bCs/>
          <w:color w:val="000000"/>
          <w:lang w:eastAsia="es-MX"/>
        </w:rPr>
        <w:t xml:space="preserve">al </w:t>
      </w:r>
      <w:r w:rsidR="00C8156F" w:rsidRPr="002A2450">
        <w:rPr>
          <w:rFonts w:ascii="ITC Avant Garde" w:eastAsia="Times New Roman" w:hAnsi="ITC Avant Garde"/>
          <w:bCs/>
          <w:color w:val="000000"/>
          <w:lang w:eastAsia="es-MX"/>
        </w:rPr>
        <w:t>siete de febrero del año en curso</w:t>
      </w:r>
      <w:r w:rsidRPr="002A2450">
        <w:rPr>
          <w:rFonts w:ascii="ITC Avant Garde" w:eastAsia="Times New Roman" w:hAnsi="ITC Avant Garde"/>
          <w:bCs/>
          <w:color w:val="000000"/>
          <w:lang w:eastAsia="es-MX"/>
        </w:rPr>
        <w:t>, sin considerar los días</w:t>
      </w:r>
      <w:r w:rsidR="00C8156F" w:rsidRPr="002A2450">
        <w:rPr>
          <w:rFonts w:ascii="ITC Avant Garde" w:eastAsia="Times New Roman" w:hAnsi="ITC Avant Garde"/>
          <w:bCs/>
          <w:color w:val="000000"/>
          <w:lang w:eastAsia="es-MX"/>
        </w:rPr>
        <w:t xml:space="preserve"> veintiocho y veintinueve de enero y cuatro y cinco de febrero,</w:t>
      </w:r>
      <w:r w:rsidRPr="002A2450">
        <w:rPr>
          <w:rFonts w:ascii="ITC Avant Garde" w:eastAsia="Times New Roman" w:hAnsi="ITC Avant Garde"/>
          <w:bCs/>
          <w:color w:val="000000"/>
          <w:lang w:eastAsia="es-MX"/>
        </w:rPr>
        <w:t xml:space="preserve"> al ser sábados y domingos, respectivamente, </w:t>
      </w:r>
      <w:r w:rsidR="00C8156F" w:rsidRPr="002A2450">
        <w:rPr>
          <w:rFonts w:ascii="ITC Avant Garde" w:eastAsia="Times New Roman" w:hAnsi="ITC Avant Garde"/>
          <w:bCs/>
          <w:color w:val="000000"/>
          <w:lang w:eastAsia="es-MX"/>
        </w:rPr>
        <w:t>así como el seis de febrero de la presente anualidad al haber sido declarado inhábil,</w:t>
      </w:r>
      <w:r w:rsidR="00C8156F" w:rsidRPr="002A2450">
        <w:rPr>
          <w:rStyle w:val="Refdenotaalpie"/>
          <w:rFonts w:ascii="ITC Avant Garde" w:eastAsia="Times New Roman" w:hAnsi="ITC Avant Garde"/>
          <w:bCs/>
          <w:color w:val="000000"/>
          <w:lang w:eastAsia="es-MX"/>
        </w:rPr>
        <w:footnoteReference w:id="8"/>
      </w:r>
      <w:r w:rsidR="00C8156F"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en términos del artículo 28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w:t>
      </w:r>
    </w:p>
    <w:p w14:paraId="63F6A18B" w14:textId="77777777" w:rsidR="006C67B3" w:rsidRDefault="002A22D3" w:rsidP="00B35F13">
      <w:pPr>
        <w:spacing w:before="240" w:line="360" w:lineRule="auto"/>
        <w:jc w:val="both"/>
        <w:rPr>
          <w:rFonts w:ascii="ITC Avant Garde" w:eastAsia="Times New Roman" w:hAnsi="ITC Avant Garde"/>
          <w:bCs/>
          <w:color w:val="000000"/>
          <w:lang w:eastAsia="es-MX"/>
        </w:rPr>
        <w:sectPr w:rsidR="006C67B3" w:rsidSect="009F3771">
          <w:headerReference w:type="default" r:id="rId21"/>
          <w:pgSz w:w="12240" w:h="15840"/>
          <w:pgMar w:top="1985" w:right="1701" w:bottom="1418" w:left="1701" w:header="709" w:footer="709" w:gutter="0"/>
          <w:cols w:space="708"/>
          <w:docGrid w:linePitch="360"/>
        </w:sectPr>
      </w:pPr>
      <w:bookmarkStart w:id="60" w:name="_Toc477170163"/>
      <w:r w:rsidRPr="002A2450">
        <w:rPr>
          <w:rStyle w:val="Ttulo3Car"/>
          <w:rFonts w:eastAsiaTheme="minorHAnsi"/>
        </w:rPr>
        <w:t>SEXAGÉSIMO PRIMERO</w:t>
      </w:r>
      <w:bookmarkEnd w:id="60"/>
      <w:r w:rsidR="001153FA" w:rsidRPr="002A2450">
        <w:rPr>
          <w:rFonts w:ascii="ITC Avant Garde" w:eastAsia="Times New Roman" w:hAnsi="ITC Avant Garde"/>
          <w:b/>
          <w:bCs/>
          <w:color w:val="000000"/>
          <w:lang w:eastAsia="es-MX"/>
        </w:rPr>
        <w:t xml:space="preserve">. </w:t>
      </w:r>
      <w:r w:rsidR="001153FA" w:rsidRPr="002A2450">
        <w:rPr>
          <w:rFonts w:ascii="ITC Avant Garde" w:eastAsia="Times New Roman" w:hAnsi="ITC Avant Garde"/>
          <w:bCs/>
          <w:color w:val="000000"/>
          <w:lang w:eastAsia="es-MX"/>
        </w:rPr>
        <w:t xml:space="preserve">Mediante escrito recibido en la Oficialía de Partes del </w:t>
      </w:r>
      <w:r w:rsidR="001153FA" w:rsidRPr="002A2450">
        <w:rPr>
          <w:rFonts w:ascii="ITC Avant Garde" w:eastAsia="Times New Roman" w:hAnsi="ITC Avant Garde"/>
          <w:b/>
          <w:bCs/>
          <w:color w:val="000000"/>
          <w:lang w:eastAsia="es-MX"/>
        </w:rPr>
        <w:t>“IFT”</w:t>
      </w:r>
      <w:r w:rsidR="001153FA" w:rsidRPr="002A2450">
        <w:rPr>
          <w:rFonts w:ascii="ITC Avant Garde" w:eastAsia="Times New Roman" w:hAnsi="ITC Avant Garde"/>
          <w:bCs/>
          <w:color w:val="000000"/>
          <w:lang w:eastAsia="es-MX"/>
        </w:rPr>
        <w:t xml:space="preserve"> el</w:t>
      </w:r>
      <w:r w:rsidR="002F2026" w:rsidRPr="002A2450">
        <w:rPr>
          <w:rFonts w:ascii="ITC Avant Garde" w:eastAsia="Times New Roman" w:hAnsi="ITC Avant Garde"/>
          <w:bCs/>
          <w:color w:val="000000"/>
          <w:lang w:eastAsia="es-MX"/>
        </w:rPr>
        <w:t xml:space="preserve"> tres de febrero de dos mil diecisiete</w:t>
      </w:r>
      <w:r w:rsidR="001153FA" w:rsidRPr="002A2450">
        <w:rPr>
          <w:rFonts w:ascii="ITC Avant Garde" w:eastAsia="Times New Roman" w:hAnsi="ITC Avant Garde"/>
          <w:bCs/>
          <w:color w:val="000000"/>
          <w:lang w:eastAsia="es-MX"/>
        </w:rPr>
        <w:t xml:space="preserve">, </w:t>
      </w:r>
      <w:r w:rsidR="001153FA" w:rsidRPr="002A2450">
        <w:rPr>
          <w:rFonts w:ascii="ITC Avant Garde" w:eastAsia="Times New Roman" w:hAnsi="ITC Avant Garde"/>
          <w:b/>
          <w:bCs/>
          <w:color w:val="000000"/>
          <w:lang w:eastAsia="es-MX"/>
        </w:rPr>
        <w:t>“</w:t>
      </w:r>
      <w:r w:rsidR="002F2026" w:rsidRPr="002A2450">
        <w:rPr>
          <w:rFonts w:ascii="ITC Avant Garde" w:eastAsia="Times New Roman" w:hAnsi="ITC Avant Garde"/>
          <w:b/>
          <w:bCs/>
          <w:color w:val="000000"/>
          <w:lang w:eastAsia="es-MX"/>
        </w:rPr>
        <w:t>TELMEX</w:t>
      </w:r>
      <w:r w:rsidR="001153FA" w:rsidRPr="002A2450">
        <w:rPr>
          <w:rFonts w:ascii="ITC Avant Garde" w:eastAsia="Times New Roman" w:hAnsi="ITC Avant Garde"/>
          <w:b/>
          <w:bCs/>
          <w:color w:val="000000"/>
          <w:lang w:eastAsia="es-MX"/>
        </w:rPr>
        <w:t xml:space="preserve">” </w:t>
      </w:r>
      <w:r w:rsidR="001153FA" w:rsidRPr="002A2450">
        <w:rPr>
          <w:rFonts w:ascii="ITC Avant Garde" w:eastAsia="Times New Roman" w:hAnsi="ITC Avant Garde"/>
          <w:bCs/>
          <w:color w:val="000000"/>
          <w:lang w:eastAsia="es-MX"/>
        </w:rPr>
        <w:t xml:space="preserve">presentó sus apuntes de alegatos dentro del plazo otorgado para ello, por lo que en tal sentido se pone el expediente </w:t>
      </w:r>
    </w:p>
    <w:p w14:paraId="1DCEABBA" w14:textId="3232DA8A" w:rsidR="00B35F13" w:rsidRDefault="001153FA" w:rsidP="00B35F13">
      <w:pPr>
        <w:spacing w:before="240" w:line="360" w:lineRule="auto"/>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a</w:t>
      </w:r>
      <w:proofErr w:type="gramEnd"/>
      <w:r w:rsidRPr="002A2450">
        <w:rPr>
          <w:rFonts w:ascii="ITC Avant Garde" w:eastAsia="Times New Roman" w:hAnsi="ITC Avant Garde"/>
          <w:bCs/>
          <w:color w:val="000000"/>
          <w:lang w:eastAsia="es-MX"/>
        </w:rPr>
        <w:t xml:space="preserve"> consideración de este órgano colegiado para la emisión de la Resolución que conforme a derecho resulte procedente.</w:t>
      </w:r>
    </w:p>
    <w:p w14:paraId="0FCAE067" w14:textId="77777777" w:rsidR="00B35F13" w:rsidRDefault="00F12DD1" w:rsidP="00B35F13">
      <w:pPr>
        <w:spacing w:before="240" w:line="360" w:lineRule="auto"/>
        <w:jc w:val="both"/>
        <w:rPr>
          <w:rFonts w:ascii="ITC Avant Garde" w:eastAsia="Times New Roman" w:hAnsi="ITC Avant Garde"/>
          <w:b/>
          <w:bCs/>
          <w:color w:val="000000"/>
          <w:lang w:eastAsia="es-MX"/>
        </w:rPr>
      </w:pPr>
      <w:r w:rsidRPr="002A2450">
        <w:rPr>
          <w:rFonts w:ascii="ITC Avant Garde" w:eastAsia="Times New Roman" w:hAnsi="ITC Avant Garde"/>
          <w:b/>
          <w:bCs/>
          <w:color w:val="000000"/>
          <w:lang w:eastAsia="es-MX"/>
        </w:rPr>
        <w:t xml:space="preserve">SEXAGÉSIMO SEGUNDO. </w:t>
      </w:r>
      <w:r w:rsidRPr="002A2450">
        <w:rPr>
          <w:rFonts w:ascii="ITC Avant Garde" w:eastAsia="Times New Roman" w:hAnsi="ITC Avant Garde"/>
          <w:bCs/>
          <w:color w:val="000000"/>
          <w:lang w:eastAsia="es-MX"/>
        </w:rPr>
        <w:t>Mediante escrito presentado en la O</w:t>
      </w:r>
      <w:r w:rsidR="00154A5D" w:rsidRPr="002A2450">
        <w:rPr>
          <w:rFonts w:ascii="ITC Avant Garde" w:eastAsia="Times New Roman" w:hAnsi="ITC Avant Garde"/>
          <w:bCs/>
          <w:color w:val="000000"/>
          <w:lang w:eastAsia="es-MX"/>
        </w:rPr>
        <w:t xml:space="preserve">ficialía de Partes de este </w:t>
      </w:r>
      <w:r w:rsidR="00154A5D" w:rsidRPr="002A2450">
        <w:rPr>
          <w:rFonts w:ascii="ITC Avant Garde" w:eastAsia="Times New Roman" w:hAnsi="ITC Avant Garde"/>
          <w:b/>
          <w:bCs/>
          <w:color w:val="000000"/>
          <w:lang w:eastAsia="es-MX"/>
        </w:rPr>
        <w:t xml:space="preserve">“IFT” </w:t>
      </w:r>
      <w:r w:rsidR="00154A5D" w:rsidRPr="002A2450">
        <w:rPr>
          <w:rFonts w:ascii="ITC Avant Garde" w:eastAsia="Times New Roman" w:hAnsi="ITC Avant Garde"/>
          <w:bCs/>
          <w:color w:val="000000"/>
          <w:lang w:eastAsia="es-MX"/>
        </w:rPr>
        <w:t xml:space="preserve">el siete de marzo de dos mil diecisiete, </w:t>
      </w:r>
      <w:r w:rsidR="00154A5D" w:rsidRPr="002A2450">
        <w:rPr>
          <w:rFonts w:ascii="ITC Avant Garde" w:eastAsia="Times New Roman" w:hAnsi="ITC Avant Garde"/>
          <w:b/>
          <w:bCs/>
          <w:color w:val="000000"/>
          <w:lang w:eastAsia="es-MX"/>
        </w:rPr>
        <w:t>“TELMEX”</w:t>
      </w:r>
      <w:r w:rsidR="00154A5D" w:rsidRPr="002A2450">
        <w:rPr>
          <w:rFonts w:ascii="ITC Avant Garde" w:eastAsia="Times New Roman" w:hAnsi="ITC Avant Garde"/>
          <w:bCs/>
          <w:color w:val="000000"/>
          <w:lang w:eastAsia="es-MX"/>
        </w:rPr>
        <w:t xml:space="preserve"> señaló como nuevo domicilio para </w:t>
      </w:r>
      <w:proofErr w:type="spellStart"/>
      <w:r w:rsidR="00154A5D" w:rsidRPr="002A2450">
        <w:rPr>
          <w:rFonts w:ascii="ITC Avant Garde" w:eastAsia="Times New Roman" w:hAnsi="ITC Avant Garde"/>
          <w:bCs/>
          <w:color w:val="000000"/>
          <w:lang w:eastAsia="es-MX"/>
        </w:rPr>
        <w:t>oir</w:t>
      </w:r>
      <w:proofErr w:type="spellEnd"/>
      <w:r w:rsidR="00154A5D" w:rsidRPr="002A2450">
        <w:rPr>
          <w:rFonts w:ascii="ITC Avant Garde" w:eastAsia="Times New Roman" w:hAnsi="ITC Avant Garde"/>
          <w:bCs/>
          <w:color w:val="000000"/>
          <w:lang w:eastAsia="es-MX"/>
        </w:rPr>
        <w:t xml:space="preserve"> y recibir notificaciones el ubicado en </w:t>
      </w:r>
      <w:r w:rsidR="00194CBB" w:rsidRPr="000B55ED">
        <w:rPr>
          <w:rFonts w:ascii="ITC Avant Garde" w:eastAsiaTheme="majorEastAsia" w:hAnsi="ITC Avant Garde" w:cstheme="majorBidi"/>
          <w:color w:val="0000FF"/>
          <w:szCs w:val="32"/>
        </w:rPr>
        <w:t>“</w:t>
      </w:r>
      <w:r w:rsidR="00194CBB" w:rsidRPr="005E1F62">
        <w:rPr>
          <w:rFonts w:ascii="ITC Avant Garde" w:eastAsiaTheme="majorEastAsia" w:hAnsi="ITC Avant Garde" w:cstheme="majorBidi"/>
          <w:b/>
          <w:color w:val="0000FF"/>
          <w:szCs w:val="32"/>
        </w:rPr>
        <w:t>CONFIDENCIAL POR LEY”</w:t>
      </w:r>
      <w:r w:rsidR="00154A5D" w:rsidRPr="005E1F62">
        <w:rPr>
          <w:rFonts w:ascii="ITC Avant Garde" w:eastAsia="Times New Roman" w:hAnsi="ITC Avant Garde"/>
          <w:b/>
          <w:bCs/>
          <w:color w:val="000000"/>
          <w:lang w:eastAsia="es-MX"/>
        </w:rPr>
        <w:t>,</w:t>
      </w:r>
      <w:r w:rsidR="00154A5D" w:rsidRPr="002A2450">
        <w:rPr>
          <w:rFonts w:ascii="ITC Avant Garde" w:eastAsia="Times New Roman" w:hAnsi="ITC Avant Garde"/>
          <w:bCs/>
          <w:color w:val="000000"/>
          <w:lang w:eastAsia="es-MX"/>
        </w:rPr>
        <w:t xml:space="preserve"> por lo que mediante acuerdo de veintidós de marzo del año en curso, publicado en la página web de este </w:t>
      </w:r>
      <w:r w:rsidR="00154A5D" w:rsidRPr="002A2450">
        <w:rPr>
          <w:rFonts w:ascii="ITC Avant Garde" w:eastAsia="Times New Roman" w:hAnsi="ITC Avant Garde"/>
          <w:b/>
          <w:bCs/>
          <w:color w:val="000000"/>
          <w:lang w:eastAsia="es-MX"/>
        </w:rPr>
        <w:t xml:space="preserve">“IFT” </w:t>
      </w:r>
      <w:r w:rsidR="00154A5D" w:rsidRPr="002A2450">
        <w:rPr>
          <w:rFonts w:ascii="ITC Avant Garde" w:eastAsia="Times New Roman" w:hAnsi="ITC Avant Garde"/>
          <w:bCs/>
          <w:color w:val="000000"/>
          <w:lang w:eastAsia="es-MX"/>
        </w:rPr>
        <w:t xml:space="preserve">el veinticuatro de marzo siguiente, se tuvo por señalado el nuevo domicilio para oír y recibir notificaciones por parte de </w:t>
      </w:r>
      <w:r w:rsidR="00154A5D" w:rsidRPr="002A2450">
        <w:rPr>
          <w:rFonts w:ascii="ITC Avant Garde" w:eastAsia="Times New Roman" w:hAnsi="ITC Avant Garde"/>
          <w:b/>
          <w:bCs/>
          <w:color w:val="000000"/>
          <w:lang w:eastAsia="es-MX"/>
        </w:rPr>
        <w:t>“TELMEX”</w:t>
      </w:r>
    </w:p>
    <w:p w14:paraId="2087921F" w14:textId="1C9EB678" w:rsidR="00EB6A31" w:rsidRPr="00B35F13" w:rsidRDefault="00EB6A31" w:rsidP="00B35F13">
      <w:pPr>
        <w:pStyle w:val="Ttulo2"/>
        <w:keepNext/>
        <w:keepLines/>
        <w:spacing w:before="240" w:after="240"/>
        <w:contextualSpacing/>
        <w:jc w:val="center"/>
        <w:rPr>
          <w:rFonts w:eastAsia="Arial" w:cs="Arial"/>
          <w:bCs w:val="0"/>
          <w:smallCaps w:val="0"/>
          <w:sz w:val="21"/>
          <w:szCs w:val="21"/>
        </w:rPr>
      </w:pPr>
      <w:bookmarkStart w:id="61" w:name="_Toc477170164"/>
      <w:r w:rsidRPr="00B35F13">
        <w:rPr>
          <w:rFonts w:eastAsia="Arial" w:cs="Arial"/>
          <w:bCs w:val="0"/>
          <w:smallCaps w:val="0"/>
          <w:sz w:val="21"/>
          <w:szCs w:val="21"/>
        </w:rPr>
        <w:t>CONSI</w:t>
      </w:r>
      <w:bookmarkEnd w:id="61"/>
      <w:r w:rsidR="008A56BB" w:rsidRPr="00B35F13">
        <w:rPr>
          <w:rFonts w:eastAsia="Arial" w:cs="Arial"/>
          <w:bCs w:val="0"/>
          <w:smallCaps w:val="0"/>
          <w:sz w:val="21"/>
          <w:szCs w:val="21"/>
        </w:rPr>
        <w:t>DERANDO</w:t>
      </w:r>
    </w:p>
    <w:p w14:paraId="1B126B39" w14:textId="77777777" w:rsidR="00B35F13" w:rsidRDefault="00EB6A31" w:rsidP="001B0FC3">
      <w:pPr>
        <w:pStyle w:val="Ttulo3"/>
      </w:pPr>
      <w:bookmarkStart w:id="62" w:name="_Toc477170165"/>
      <w:r w:rsidRPr="002A2450">
        <w:t>PRIMERO. Competencia.</w:t>
      </w:r>
      <w:bookmarkEnd w:id="62"/>
      <w:r w:rsidRPr="002A2450">
        <w:t xml:space="preserve"> </w:t>
      </w:r>
    </w:p>
    <w:p w14:paraId="48C7D900" w14:textId="77777777" w:rsidR="00B35F13" w:rsidRDefault="00EB6A31" w:rsidP="00B35F13">
      <w:pPr>
        <w:pStyle w:val="Textoindependiente"/>
        <w:spacing w:before="240" w:after="160" w:line="360" w:lineRule="auto"/>
        <w:ind w:right="-1"/>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El Pleno del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es competente para conocer y resolver el presente procedimiento administrativo de imposición de sanción con fundamento en los artículos 14, segundo párrafo, 16, primer párrafo y 28, párrafos, décimo quinto, décimo sexto y vigésimo, fracciones I y VII de la Constitución Política de los Estados Unidos Mexicanos </w:t>
      </w:r>
      <w:r w:rsidRPr="002A2450">
        <w:rPr>
          <w:rFonts w:ascii="ITC Avant Garde" w:eastAsia="Times New Roman" w:hAnsi="ITC Avant Garde"/>
          <w:b/>
          <w:bCs/>
          <w:color w:val="000000"/>
          <w:lang w:eastAsia="es-MX"/>
        </w:rPr>
        <w:t>(“CPEUM”</w:t>
      </w:r>
      <w:r w:rsidRPr="002A2450">
        <w:rPr>
          <w:rFonts w:ascii="ITC Avant Garde" w:eastAsia="Times New Roman" w:hAnsi="ITC Avant Garde"/>
          <w:bCs/>
          <w:color w:val="000000"/>
          <w:lang w:eastAsia="es-MX"/>
        </w:rPr>
        <w:t>)</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1, 2, 6, fracciones II, IV y VII, 7, 15 fracción XXX, 17, penúltimo y último párrafos, </w:t>
      </w:r>
      <w:r w:rsidR="00F46AC4" w:rsidRPr="002A2450">
        <w:rPr>
          <w:rFonts w:ascii="ITC Avant Garde" w:eastAsia="Times New Roman" w:hAnsi="ITC Avant Garde"/>
          <w:bCs/>
          <w:color w:val="000000"/>
          <w:lang w:eastAsia="es-MX"/>
        </w:rPr>
        <w:t xml:space="preserve">y </w:t>
      </w:r>
      <w:r w:rsidRPr="002A2450">
        <w:rPr>
          <w:rFonts w:ascii="ITC Avant Garde" w:eastAsia="Times New Roman" w:hAnsi="ITC Avant Garde"/>
          <w:bCs/>
          <w:color w:val="000000"/>
          <w:lang w:eastAsia="es-MX"/>
        </w:rPr>
        <w:t>297, primer párrafo</w:t>
      </w:r>
      <w:r w:rsidR="00F46AC4"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de la Ley Federal de Telecomunicaciones y Radiodifusión (“</w:t>
      </w:r>
      <w:proofErr w:type="spellStart"/>
      <w:r w:rsidRPr="002A2450">
        <w:rPr>
          <w:rFonts w:ascii="ITC Avant Garde" w:eastAsia="Times New Roman" w:hAnsi="ITC Avant Garde"/>
          <w:b/>
          <w:bCs/>
          <w:color w:val="000000"/>
          <w:lang w:eastAsia="es-MX"/>
        </w:rPr>
        <w:t>LFTyR</w:t>
      </w:r>
      <w:proofErr w:type="spellEnd"/>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w:t>
      </w:r>
      <w:r w:rsidR="00F46AC4" w:rsidRPr="002A2450">
        <w:rPr>
          <w:rFonts w:ascii="ITC Avant Garde" w:eastAsia="Times New Roman" w:hAnsi="ITC Avant Garde"/>
          <w:bCs/>
          <w:lang w:eastAsia="es-MX"/>
        </w:rPr>
        <w:t>71, Apartado B, fracción IV de la Ley Federal de Telecomunicaciones (</w:t>
      </w:r>
      <w:r w:rsidR="00F46AC4" w:rsidRPr="002A2450">
        <w:rPr>
          <w:rFonts w:ascii="ITC Avant Garde" w:eastAsia="Times New Roman" w:hAnsi="ITC Avant Garde"/>
          <w:b/>
          <w:bCs/>
          <w:lang w:eastAsia="es-MX"/>
        </w:rPr>
        <w:t>“LFT”</w:t>
      </w:r>
      <w:r w:rsidR="00F46AC4" w:rsidRPr="002A2450">
        <w:rPr>
          <w:rFonts w:ascii="ITC Avant Garde" w:eastAsia="Times New Roman" w:hAnsi="ITC Avant Garde"/>
          <w:bCs/>
          <w:lang w:eastAsia="es-MX"/>
        </w:rPr>
        <w:t xml:space="preserve">); </w:t>
      </w:r>
      <w:r w:rsidRPr="002A2450">
        <w:rPr>
          <w:rFonts w:ascii="ITC Avant Garde" w:eastAsia="Times New Roman" w:hAnsi="ITC Avant Garde"/>
          <w:bCs/>
          <w:color w:val="000000"/>
          <w:lang w:eastAsia="es-MX"/>
        </w:rPr>
        <w:t>2, 3, 8, 9, 12, 13, 14, 16, 18, 28, 49, 50, 51, 59, 70, fracciones II y VI, 72, 73, 74 y 75 de la Ley Federal de Procedimiento Administrativo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xml:space="preserve"> y 1, 4, fracción I y 6, fracción XVII, en relación con el 44, fracción II, del Estatuto Orgánico del Instituto Federal de Telecomunicaciones (“</w:t>
      </w:r>
      <w:r w:rsidRPr="002A2450">
        <w:rPr>
          <w:rFonts w:ascii="ITC Avant Garde" w:eastAsia="Times New Roman" w:hAnsi="ITC Avant Garde"/>
          <w:b/>
          <w:bCs/>
          <w:color w:val="000000"/>
          <w:lang w:eastAsia="es-MX"/>
        </w:rPr>
        <w:t>ESTATUTO”</w:t>
      </w:r>
      <w:r w:rsidRPr="002A2450">
        <w:rPr>
          <w:rFonts w:ascii="ITC Avant Garde" w:eastAsia="Times New Roman" w:hAnsi="ITC Avant Garde"/>
          <w:bCs/>
          <w:color w:val="000000"/>
          <w:lang w:eastAsia="es-MX"/>
        </w:rPr>
        <w:t>).</w:t>
      </w:r>
    </w:p>
    <w:p w14:paraId="5DDC38A1" w14:textId="77777777" w:rsidR="00B35F13" w:rsidRDefault="00EB6A31" w:rsidP="001B0FC3">
      <w:pPr>
        <w:pStyle w:val="Ttulo3"/>
      </w:pPr>
      <w:bookmarkStart w:id="63" w:name="_Toc477170166"/>
      <w:r w:rsidRPr="002A2450">
        <w:t>SEGUNDO. Consideración previa</w:t>
      </w:r>
      <w:bookmarkEnd w:id="63"/>
      <w:r w:rsidRPr="002A2450">
        <w:t xml:space="preserve"> </w:t>
      </w:r>
    </w:p>
    <w:p w14:paraId="21A2D93D" w14:textId="77777777" w:rsidR="006C67B3" w:rsidRDefault="00EB6A31" w:rsidP="00B35F13">
      <w:pPr>
        <w:pStyle w:val="Textoindependiente"/>
        <w:spacing w:before="240" w:after="160" w:line="360" w:lineRule="auto"/>
        <w:jc w:val="both"/>
        <w:rPr>
          <w:rFonts w:ascii="ITC Avant Garde" w:eastAsia="Times New Roman" w:hAnsi="ITC Avant Garde"/>
          <w:bCs/>
          <w:lang w:eastAsia="es-MX"/>
        </w:rPr>
        <w:sectPr w:rsidR="006C67B3" w:rsidSect="009F3771">
          <w:headerReference w:type="default" r:id="rId22"/>
          <w:pgSz w:w="12240" w:h="15840"/>
          <w:pgMar w:top="1985" w:right="1701" w:bottom="1418" w:left="1701" w:header="709" w:footer="709" w:gutter="0"/>
          <w:cols w:space="708"/>
          <w:docGrid w:linePitch="360"/>
        </w:sectPr>
      </w:pPr>
      <w:r w:rsidRPr="002A2450">
        <w:rPr>
          <w:rFonts w:ascii="ITC Avant Garde" w:eastAsia="Times New Roman" w:hAnsi="ITC Avant Garde"/>
          <w:bCs/>
          <w:lang w:eastAsia="es-MX"/>
        </w:rPr>
        <w:t xml:space="preserve">El artículo 6°, apartado B, fracción II, de la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CPEUM</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establece que las telecomunicaciones son servicios públicos de interés general, por lo que el Estado </w:t>
      </w:r>
    </w:p>
    <w:p w14:paraId="05991E89" w14:textId="611299CB" w:rsidR="00B35F13" w:rsidRDefault="00EB6A31" w:rsidP="00B35F13">
      <w:pPr>
        <w:pStyle w:val="Textoindependiente"/>
        <w:spacing w:before="240" w:after="160" w:line="360" w:lineRule="auto"/>
        <w:jc w:val="both"/>
        <w:rPr>
          <w:rFonts w:ascii="ITC Avant Garde" w:eastAsia="Times New Roman" w:hAnsi="ITC Avant Garde"/>
          <w:bCs/>
          <w:lang w:eastAsia="es-MX"/>
        </w:rPr>
      </w:pPr>
      <w:proofErr w:type="gramStart"/>
      <w:r w:rsidRPr="002A2450">
        <w:rPr>
          <w:rFonts w:ascii="ITC Avant Garde" w:eastAsia="Times New Roman" w:hAnsi="ITC Avant Garde"/>
          <w:bCs/>
          <w:lang w:eastAsia="es-MX"/>
        </w:rPr>
        <w:lastRenderedPageBreak/>
        <w:t>garantizará</w:t>
      </w:r>
      <w:proofErr w:type="gramEnd"/>
      <w:r w:rsidRPr="002A2450">
        <w:rPr>
          <w:rFonts w:ascii="ITC Avant Garde" w:eastAsia="Times New Roman" w:hAnsi="ITC Avant Garde"/>
          <w:bCs/>
          <w:lang w:eastAsia="es-MX"/>
        </w:rPr>
        <w:t xml:space="preserve"> que los mismos sean prestados en condiciones de competencia, calidad, pluralidad, cobertura universal, interconexión, convergencia, continuidad, acceso libre y sin injerencias arbitrarias.</w:t>
      </w:r>
    </w:p>
    <w:p w14:paraId="35551610"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su parte, el séptimo párrafo del artículo 27 de la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CPEUM</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dispone que el dominio de la Nación es inalienable e imprescriptible y la explotación, el uso o el aprovechamiento de los recursos de que se trata, por los particulares o por sociedades constituidas conforme a las leyes mexicanas, no podrá realizarse sino mediante concesiones, otorgadas por el Ejecutivo Federal, de acuerdo con las reglas y condiciones que establezcan las leyes, salvo en radiodifusión y telecomunicaciones, que serán otorgadas por el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IFT</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w:t>
      </w:r>
    </w:p>
    <w:p w14:paraId="4C3E968D"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Asimismo, de conformidad con lo establecido en el artículo 28, párrafos </w:t>
      </w:r>
      <w:r w:rsidR="00043540" w:rsidRPr="002A2450">
        <w:rPr>
          <w:rFonts w:ascii="ITC Avant Garde" w:eastAsia="Times New Roman" w:hAnsi="ITC Avant Garde"/>
          <w:bCs/>
          <w:lang w:eastAsia="es-MX"/>
        </w:rPr>
        <w:t xml:space="preserve">décimo cuarto, </w:t>
      </w:r>
      <w:r w:rsidRPr="002A2450">
        <w:rPr>
          <w:rFonts w:ascii="ITC Avant Garde" w:eastAsia="Times New Roman" w:hAnsi="ITC Avant Garde"/>
          <w:bCs/>
          <w:lang w:eastAsia="es-MX"/>
        </w:rPr>
        <w:t xml:space="preserve">décimo quinto y décimo sexto, de la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CPEUM</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el </w:t>
      </w:r>
      <w:r w:rsidR="00007B25" w:rsidRPr="002A2450">
        <w:rPr>
          <w:rFonts w:ascii="ITC Avant Garde" w:eastAsia="Times New Roman" w:hAnsi="ITC Avant Garde"/>
          <w:bCs/>
          <w:lang w:eastAsia="es-MX"/>
        </w:rPr>
        <w:t>“</w:t>
      </w:r>
      <w:r w:rsidRPr="002A2450">
        <w:rPr>
          <w:rFonts w:ascii="ITC Avant Garde" w:eastAsia="Times New Roman" w:hAnsi="ITC Avant Garde"/>
          <w:b/>
          <w:bCs/>
          <w:lang w:eastAsia="es-MX"/>
        </w:rPr>
        <w:t>Instituto</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7B46869B" w14:textId="77777777" w:rsidR="00B35F13" w:rsidRDefault="00EB6A31"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Bajo estas consideraciones, el ejercicio de las facultades </w:t>
      </w:r>
      <w:r w:rsidR="00B24935" w:rsidRPr="002A2450">
        <w:rPr>
          <w:rFonts w:ascii="ITC Avant Garde" w:eastAsia="Times New Roman" w:hAnsi="ITC Avant Garde"/>
          <w:bCs/>
          <w:lang w:eastAsia="es-MX"/>
        </w:rPr>
        <w:t xml:space="preserve">para sustanciar los procedimientos administrativos de imposición de sanción </w:t>
      </w:r>
      <w:r w:rsidRPr="002A2450">
        <w:rPr>
          <w:rFonts w:ascii="ITC Avant Garde" w:eastAsia="Times New Roman" w:hAnsi="ITC Avant Garde"/>
          <w:bCs/>
          <w:lang w:eastAsia="es-MX"/>
        </w:rPr>
        <w:t xml:space="preserve">por parte del </w:t>
      </w:r>
      <w:r w:rsidR="00B24935" w:rsidRPr="002A2450">
        <w:rPr>
          <w:rFonts w:ascii="ITC Avant Garde" w:eastAsia="Times New Roman" w:hAnsi="ITC Avant Garde"/>
          <w:b/>
          <w:bCs/>
          <w:lang w:eastAsia="es-MX"/>
        </w:rPr>
        <w:t>“</w:t>
      </w:r>
      <w:r w:rsidRPr="002A2450">
        <w:rPr>
          <w:rFonts w:ascii="ITC Avant Garde" w:eastAsia="Times New Roman" w:hAnsi="ITC Avant Garde"/>
          <w:b/>
          <w:bCs/>
          <w:lang w:eastAsia="es-MX"/>
        </w:rPr>
        <w:t>Instituto</w:t>
      </w:r>
      <w:r w:rsidR="00B24935" w:rsidRPr="002A2450">
        <w:rPr>
          <w:rFonts w:ascii="ITC Avant Garde" w:eastAsia="Times New Roman" w:hAnsi="ITC Avant Garde"/>
          <w:b/>
          <w:bCs/>
          <w:lang w:eastAsia="es-MX"/>
        </w:rPr>
        <w:t>”</w:t>
      </w:r>
      <w:r w:rsidRPr="002A2450">
        <w:rPr>
          <w:rFonts w:ascii="ITC Avant Garde" w:eastAsia="Times New Roman" w:hAnsi="ITC Avant Garde"/>
          <w:bCs/>
          <w:lang w:eastAsia="es-MX"/>
        </w:rPr>
        <w:t>, traen aparejada la relativa a imponer sanciones por el incumplimiento a la normatividad en la materia o bien a lo dispuesto en los títulos de concesión, permisos o autorizaciones respectivas, cuyo objetivo es corregir e inhibir las conductas que se consideren contrarias al sano desarrollo de los sectores de telecomunicaciones y radiodifusión.</w:t>
      </w:r>
    </w:p>
    <w:p w14:paraId="2B66D008" w14:textId="77777777" w:rsidR="00B35F13" w:rsidRDefault="00EB6A31"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tal sentido, la Unidad de Cumplimiento del propio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Instituto</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en ejercicio de las facultades conferidas en el artículo 41, en relación con el 44</w:t>
      </w:r>
      <w:r w:rsidR="00E75616" w:rsidRPr="002A2450">
        <w:rPr>
          <w:rFonts w:ascii="ITC Avant Garde" w:eastAsia="Times New Roman" w:hAnsi="ITC Avant Garde"/>
          <w:bCs/>
          <w:lang w:eastAsia="es-MX"/>
        </w:rPr>
        <w:t>,</w:t>
      </w:r>
      <w:r w:rsidRPr="002A2450">
        <w:rPr>
          <w:rFonts w:ascii="ITC Avant Garde" w:eastAsia="Times New Roman" w:hAnsi="ITC Avant Garde"/>
          <w:bCs/>
          <w:lang w:eastAsia="es-MX"/>
        </w:rPr>
        <w:t xml:space="preserve"> fracción I</w:t>
      </w:r>
      <w:r w:rsidR="00E75616" w:rsidRPr="002A2450">
        <w:rPr>
          <w:rFonts w:ascii="ITC Avant Garde" w:eastAsia="Times New Roman" w:hAnsi="ITC Avant Garde"/>
          <w:bCs/>
          <w:lang w:eastAsia="es-MX"/>
        </w:rPr>
        <w:t>,</w:t>
      </w:r>
      <w:r w:rsidRPr="002A2450">
        <w:rPr>
          <w:rFonts w:ascii="ITC Avant Garde" w:eastAsia="Times New Roman" w:hAnsi="ITC Avant Garde"/>
          <w:bCs/>
          <w:lang w:eastAsia="es-MX"/>
        </w:rPr>
        <w:t xml:space="preserve"> del </w:t>
      </w:r>
      <w:r w:rsidR="00007B25" w:rsidRPr="002A2450">
        <w:rPr>
          <w:rFonts w:ascii="ITC Avant Garde" w:eastAsia="Times New Roman" w:hAnsi="ITC Avant Garde"/>
          <w:b/>
          <w:bCs/>
          <w:lang w:eastAsia="es-MX"/>
        </w:rPr>
        <w:lastRenderedPageBreak/>
        <w:t>“</w:t>
      </w:r>
      <w:r w:rsidRPr="002A2450">
        <w:rPr>
          <w:rFonts w:ascii="ITC Avant Garde" w:eastAsia="Times New Roman" w:hAnsi="ITC Avant Garde"/>
          <w:b/>
          <w:bCs/>
          <w:lang w:eastAsia="es-MX"/>
        </w:rPr>
        <w:t>ESTATUTO</w:t>
      </w:r>
      <w:r w:rsidR="00007B25" w:rsidRPr="002A2450">
        <w:rPr>
          <w:rFonts w:ascii="ITC Avant Garde" w:eastAsia="Times New Roman" w:hAnsi="ITC Avant Garde"/>
          <w:b/>
          <w:bCs/>
          <w:lang w:eastAsia="es-MX"/>
        </w:rPr>
        <w:t>”</w:t>
      </w:r>
      <w:r w:rsidRPr="002A2450">
        <w:rPr>
          <w:rFonts w:ascii="ITC Avant Garde" w:eastAsia="Times New Roman" w:hAnsi="ITC Avant Garde"/>
          <w:bCs/>
          <w:lang w:eastAsia="es-MX"/>
        </w:rPr>
        <w:t>, llevó a cabo la sustanciación del procedimiento administrativo de imposición de sanción en contra de</w:t>
      </w:r>
      <w:r w:rsidRPr="002A2450">
        <w:rPr>
          <w:rFonts w:ascii="ITC Avant Garde" w:eastAsia="Times New Roman" w:hAnsi="ITC Avant Garde"/>
          <w:b/>
          <w:bCs/>
          <w:lang w:eastAsia="es-MX"/>
        </w:rPr>
        <w:t xml:space="preserve"> </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TELMEX</w:t>
      </w:r>
      <w:r w:rsidR="00007B25" w:rsidRPr="002A2450">
        <w:rPr>
          <w:rFonts w:ascii="ITC Avant Garde" w:eastAsia="Times New Roman" w:hAnsi="ITC Avant Garde"/>
          <w:b/>
          <w:bCs/>
          <w:lang w:eastAsia="es-MX"/>
        </w:rPr>
        <w:t>”</w:t>
      </w:r>
      <w:r w:rsidRPr="002A2450">
        <w:rPr>
          <w:rFonts w:ascii="ITC Avant Garde" w:eastAsia="Times New Roman" w:hAnsi="ITC Avant Garde"/>
          <w:b/>
          <w:bCs/>
          <w:lang w:eastAsia="es-MX"/>
        </w:rPr>
        <w:t xml:space="preserve"> </w:t>
      </w:r>
      <w:r w:rsidRPr="002A2450">
        <w:rPr>
          <w:rFonts w:ascii="ITC Avant Garde" w:eastAsia="Times New Roman" w:hAnsi="ITC Avant Garde"/>
          <w:bCs/>
          <w:lang w:eastAsia="es-MX"/>
        </w:rPr>
        <w:t xml:space="preserve">al considerar que incumplió lo dispuesto </w:t>
      </w:r>
      <w:r w:rsidRPr="002A2450">
        <w:rPr>
          <w:rFonts w:ascii="ITC Avant Garde" w:hAnsi="ITC Avant Garde"/>
        </w:rPr>
        <w:t xml:space="preserve">en el </w:t>
      </w:r>
      <w:r w:rsidRPr="002A2450">
        <w:rPr>
          <w:rFonts w:ascii="ITC Avant Garde" w:hAnsi="ITC Avant Garde"/>
          <w:b/>
        </w:rPr>
        <w:t xml:space="preserve">Tercer Párrafo </w:t>
      </w:r>
      <w:r w:rsidRPr="002A2450">
        <w:rPr>
          <w:rFonts w:ascii="ITC Avant Garde" w:hAnsi="ITC Avant Garde"/>
        </w:rPr>
        <w:t xml:space="preserve">de la </w:t>
      </w:r>
      <w:r w:rsidRPr="002A2450">
        <w:rPr>
          <w:rFonts w:ascii="ITC Avant Garde" w:hAnsi="ITC Avant Garde"/>
          <w:b/>
        </w:rPr>
        <w:t>Condición 1-9</w:t>
      </w:r>
      <w:r w:rsidRPr="002A2450">
        <w:rPr>
          <w:rFonts w:ascii="ITC Avant Garde" w:hAnsi="ITC Avant Garde"/>
        </w:rPr>
        <w:t xml:space="preserve"> de su </w:t>
      </w:r>
      <w:r w:rsidR="007424D4" w:rsidRPr="002A2450">
        <w:rPr>
          <w:rFonts w:ascii="ITC Avant Garde" w:hAnsi="ITC Avant Garde"/>
          <w:b/>
        </w:rPr>
        <w:t>“</w:t>
      </w:r>
      <w:r w:rsidRPr="002A2450">
        <w:rPr>
          <w:rFonts w:ascii="ITC Avant Garde" w:hAnsi="ITC Avant Garde"/>
          <w:b/>
        </w:rPr>
        <w:t>TÍTULO DE CONCESIÓN</w:t>
      </w:r>
      <w:r w:rsidR="007424D4" w:rsidRPr="002A2450">
        <w:rPr>
          <w:rFonts w:ascii="ITC Avant Garde" w:hAnsi="ITC Avant Garde"/>
          <w:b/>
        </w:rPr>
        <w:t>”</w:t>
      </w:r>
      <w:r w:rsidRPr="002A2450">
        <w:rPr>
          <w:rFonts w:ascii="ITC Avant Garde" w:hAnsi="ITC Avant Garde"/>
        </w:rPr>
        <w:t>, toda vez que se presum</w:t>
      </w:r>
      <w:r w:rsidR="00633811" w:rsidRPr="002A2450">
        <w:rPr>
          <w:rFonts w:ascii="ITC Avant Garde" w:hAnsi="ITC Avant Garde"/>
        </w:rPr>
        <w:t>ió</w:t>
      </w:r>
      <w:r w:rsidRPr="002A2450">
        <w:rPr>
          <w:rFonts w:ascii="ITC Avant Garde" w:hAnsi="ITC Avant Garde"/>
        </w:rPr>
        <w:t xml:space="preserve"> la </w:t>
      </w:r>
      <w:r w:rsidR="008F718E" w:rsidRPr="009E34A4">
        <w:rPr>
          <w:rFonts w:ascii="ITC Avant Garde" w:hAnsi="ITC Avant Garde"/>
        </w:rPr>
        <w:t xml:space="preserve">explotación indirecta </w:t>
      </w:r>
      <w:r w:rsidRPr="002A2450">
        <w:rPr>
          <w:rFonts w:ascii="ITC Avant Garde" w:hAnsi="ITC Avant Garde"/>
        </w:rPr>
        <w:t xml:space="preserve">de una concesión de servicios de televisión al público en el país, derivado del contenido obligacional de diversos instrumentos jurídicos celebrados entre </w:t>
      </w:r>
      <w:r w:rsidR="00007B25" w:rsidRPr="002A2450">
        <w:rPr>
          <w:rFonts w:ascii="ITC Avant Garde" w:hAnsi="ITC Avant Garde"/>
          <w:b/>
        </w:rPr>
        <w:t>“</w:t>
      </w:r>
      <w:r w:rsidRPr="002A2450">
        <w:rPr>
          <w:rFonts w:ascii="ITC Avant Garde" w:hAnsi="ITC Avant Garde"/>
          <w:b/>
        </w:rPr>
        <w:t>TELMEX</w:t>
      </w:r>
      <w:r w:rsidR="00007B25" w:rsidRPr="002A2450">
        <w:rPr>
          <w:rFonts w:ascii="ITC Avant Garde" w:hAnsi="ITC Avant Garde"/>
          <w:b/>
        </w:rPr>
        <w:t xml:space="preserve">” </w:t>
      </w:r>
      <w:r w:rsidRPr="002A2450">
        <w:rPr>
          <w:rFonts w:ascii="ITC Avant Garde" w:hAnsi="ITC Avant Garde"/>
        </w:rPr>
        <w:t>con otras empresas</w:t>
      </w:r>
      <w:r w:rsidR="00633811" w:rsidRPr="002A2450">
        <w:rPr>
          <w:rFonts w:ascii="ITC Avant Garde" w:hAnsi="ITC Avant Garde"/>
        </w:rPr>
        <w:t xml:space="preserve"> pertenecientes al </w:t>
      </w:r>
      <w:r w:rsidR="00633811" w:rsidRPr="002A2450">
        <w:rPr>
          <w:rFonts w:ascii="ITC Avant Garde" w:hAnsi="ITC Avant Garde"/>
          <w:i/>
        </w:rPr>
        <w:t>Grupo MVS</w:t>
      </w:r>
      <w:r w:rsidRPr="002A2450">
        <w:rPr>
          <w:rFonts w:ascii="ITC Avant Garde" w:hAnsi="ITC Avant Garde"/>
        </w:rPr>
        <w:t xml:space="preserve">, por los que se crearon una serie de mecanismos contractuales en los que </w:t>
      </w:r>
      <w:r w:rsidR="00007B25" w:rsidRPr="002A2450">
        <w:rPr>
          <w:rFonts w:ascii="ITC Avant Garde" w:hAnsi="ITC Avant Garde"/>
          <w:b/>
        </w:rPr>
        <w:t>“</w:t>
      </w:r>
      <w:r w:rsidRPr="002A2450">
        <w:rPr>
          <w:rFonts w:ascii="ITC Avant Garde" w:hAnsi="ITC Avant Garde"/>
          <w:b/>
        </w:rPr>
        <w:t>DISH MÉXICO</w:t>
      </w:r>
      <w:r w:rsidR="00007B25" w:rsidRPr="002A2450">
        <w:rPr>
          <w:rFonts w:ascii="ITC Avant Garde" w:hAnsi="ITC Avant Garde"/>
          <w:b/>
        </w:rPr>
        <w:t>”</w:t>
      </w:r>
      <w:r w:rsidRPr="002A2450">
        <w:rPr>
          <w:rFonts w:ascii="ITC Avant Garde" w:hAnsi="ITC Avant Garde"/>
        </w:rPr>
        <w:t xml:space="preserve"> y </w:t>
      </w:r>
      <w:r w:rsidR="00007B25" w:rsidRPr="002A2450">
        <w:rPr>
          <w:rFonts w:ascii="ITC Avant Garde" w:hAnsi="ITC Avant Garde"/>
          <w:b/>
        </w:rPr>
        <w:t>“</w:t>
      </w:r>
      <w:r w:rsidRPr="002A2450">
        <w:rPr>
          <w:rFonts w:ascii="ITC Avant Garde" w:hAnsi="ITC Avant Garde"/>
          <w:b/>
        </w:rPr>
        <w:t>COFRESA</w:t>
      </w:r>
      <w:r w:rsidR="00007B25" w:rsidRPr="002A2450">
        <w:rPr>
          <w:rFonts w:ascii="ITC Avant Garde" w:hAnsi="ITC Avant Garde"/>
          <w:b/>
        </w:rPr>
        <w:t>”</w:t>
      </w:r>
      <w:r w:rsidRPr="002A2450">
        <w:rPr>
          <w:rFonts w:ascii="ITC Avant Garde" w:hAnsi="ITC Avant Garde"/>
        </w:rPr>
        <w:t xml:space="preserve"> permitieron </w:t>
      </w:r>
      <w:r w:rsidR="00DC63D2" w:rsidRPr="002A2450">
        <w:rPr>
          <w:rFonts w:ascii="ITC Avant Garde" w:hAnsi="ITC Avant Garde"/>
        </w:rPr>
        <w:t xml:space="preserve">a </w:t>
      </w:r>
      <w:r w:rsidR="00DC63D2" w:rsidRPr="002A2450">
        <w:rPr>
          <w:rFonts w:ascii="ITC Avant Garde" w:hAnsi="ITC Avant Garde"/>
          <w:b/>
        </w:rPr>
        <w:t xml:space="preserve">“TELMEX” </w:t>
      </w:r>
      <w:r w:rsidR="00317755" w:rsidRPr="002A2450">
        <w:rPr>
          <w:rFonts w:ascii="ITC Avant Garde" w:hAnsi="ITC Avant Garde"/>
        </w:rPr>
        <w:t>a través de</w:t>
      </w:r>
      <w:r w:rsidR="00317755" w:rsidRPr="002A2450">
        <w:rPr>
          <w:rFonts w:ascii="ITC Avant Garde" w:hAnsi="ITC Avant Garde"/>
          <w:b/>
        </w:rPr>
        <w:t xml:space="preserve"> “TENINVER” </w:t>
      </w:r>
      <w:r w:rsidRPr="002A2450">
        <w:rPr>
          <w:rFonts w:ascii="ITC Avant Garde" w:hAnsi="ITC Avant Garde"/>
        </w:rPr>
        <w:t>el ejercicio de los derechos derivados de la concesión para prestar el servicio de televisión satelital en el país</w:t>
      </w:r>
      <w:r w:rsidR="00DC63D2" w:rsidRPr="002A2450">
        <w:rPr>
          <w:rFonts w:ascii="ITC Avant Garde" w:hAnsi="ITC Avant Garde"/>
        </w:rPr>
        <w:t xml:space="preserve"> otorgado</w:t>
      </w:r>
      <w:r w:rsidR="00317755" w:rsidRPr="002A2450">
        <w:rPr>
          <w:rFonts w:ascii="ITC Avant Garde" w:hAnsi="ITC Avant Garde"/>
        </w:rPr>
        <w:t xml:space="preserve"> a</w:t>
      </w:r>
      <w:r w:rsidR="00DC63D2" w:rsidRPr="002A2450">
        <w:rPr>
          <w:rFonts w:ascii="ITC Avant Garde" w:hAnsi="ITC Avant Garde"/>
        </w:rPr>
        <w:t xml:space="preserve"> </w:t>
      </w:r>
      <w:r w:rsidR="00DC63D2" w:rsidRPr="002A2450">
        <w:rPr>
          <w:rFonts w:ascii="ITC Avant Garde" w:hAnsi="ITC Avant Garde"/>
          <w:b/>
        </w:rPr>
        <w:t>“COFRESA”</w:t>
      </w:r>
      <w:r w:rsidRPr="002A2450">
        <w:rPr>
          <w:rFonts w:ascii="ITC Avant Garde" w:hAnsi="ITC Avant Garde"/>
        </w:rPr>
        <w:t>.</w:t>
      </w:r>
    </w:p>
    <w:p w14:paraId="2CA3679C" w14:textId="77777777" w:rsidR="00B35F13" w:rsidRDefault="00F531F2"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Ahora bien, para determinar la procedencia en la imposición de una sanción, </w:t>
      </w:r>
      <w:r w:rsidR="00633811" w:rsidRPr="002A2450">
        <w:rPr>
          <w:rFonts w:ascii="ITC Avant Garde" w:eastAsia="Times New Roman" w:hAnsi="ITC Avant Garde"/>
          <w:bCs/>
          <w:lang w:eastAsia="es-MX"/>
        </w:rPr>
        <w:t xml:space="preserve">bajo el principio de tipicidad, es necesario que las </w:t>
      </w:r>
      <w:r w:rsidR="00EB6A31" w:rsidRPr="002A2450">
        <w:rPr>
          <w:rFonts w:ascii="ITC Avant Garde" w:eastAsia="Times New Roman" w:hAnsi="ITC Avant Garde"/>
          <w:bCs/>
          <w:lang w:eastAsia="es-MX"/>
        </w:rPr>
        <w:t xml:space="preserve">obligaciones para los concesionarios y permisionarios </w:t>
      </w:r>
      <w:r w:rsidR="00633811" w:rsidRPr="002A2450">
        <w:rPr>
          <w:rFonts w:ascii="ITC Avant Garde" w:eastAsia="Times New Roman" w:hAnsi="ITC Avant Garde"/>
          <w:bCs/>
          <w:lang w:eastAsia="es-MX"/>
        </w:rPr>
        <w:t xml:space="preserve">se encuentren debidamente establecidas </w:t>
      </w:r>
      <w:r w:rsidR="002A2450" w:rsidRPr="002A2450">
        <w:rPr>
          <w:rFonts w:ascii="ITC Avant Garde" w:eastAsia="Times New Roman" w:hAnsi="ITC Avant Garde"/>
          <w:bCs/>
          <w:lang w:eastAsia="es-MX"/>
        </w:rPr>
        <w:t xml:space="preserve">en la Ley de materia </w:t>
      </w:r>
      <w:r w:rsidR="00633811" w:rsidRPr="002A2450">
        <w:rPr>
          <w:rFonts w:ascii="ITC Avant Garde" w:eastAsia="Times New Roman" w:hAnsi="ITC Avant Garde"/>
          <w:bCs/>
          <w:lang w:eastAsia="es-MX"/>
        </w:rPr>
        <w:t>y que a su vez</w:t>
      </w:r>
      <w:r w:rsidR="002A2450" w:rsidRPr="002A2450">
        <w:rPr>
          <w:rFonts w:ascii="ITC Avant Garde" w:eastAsia="Times New Roman" w:hAnsi="ITC Avant Garde"/>
          <w:bCs/>
          <w:lang w:eastAsia="es-MX"/>
        </w:rPr>
        <w:t>,</w:t>
      </w:r>
      <w:r w:rsidR="00633811" w:rsidRPr="002A2450">
        <w:rPr>
          <w:rFonts w:ascii="ITC Avant Garde" w:eastAsia="Times New Roman" w:hAnsi="ITC Avant Garde"/>
          <w:bCs/>
          <w:lang w:eastAsia="es-MX"/>
        </w:rPr>
        <w:t xml:space="preserve"> se </w:t>
      </w:r>
      <w:r w:rsidR="002A2450" w:rsidRPr="002A2450">
        <w:rPr>
          <w:rFonts w:ascii="ITC Avant Garde" w:eastAsia="Times New Roman" w:hAnsi="ITC Avant Garde"/>
          <w:bCs/>
          <w:lang w:eastAsia="es-MX"/>
        </w:rPr>
        <w:t xml:space="preserve">especifiquen </w:t>
      </w:r>
      <w:r w:rsidR="00EB6A31" w:rsidRPr="002A2450">
        <w:rPr>
          <w:rFonts w:ascii="ITC Avant Garde" w:eastAsia="Times New Roman" w:hAnsi="ITC Avant Garde"/>
          <w:bCs/>
          <w:lang w:eastAsia="es-MX"/>
        </w:rPr>
        <w:t>las consecuencias jurídicas a las que se har</w:t>
      </w:r>
      <w:r w:rsidR="002A2450" w:rsidRPr="002A2450">
        <w:rPr>
          <w:rFonts w:ascii="ITC Avant Garde" w:eastAsia="Times New Roman" w:hAnsi="ITC Avant Garde"/>
          <w:bCs/>
          <w:lang w:eastAsia="es-MX"/>
        </w:rPr>
        <w:t>ían</w:t>
      </w:r>
      <w:r w:rsidR="00EB6A31" w:rsidRPr="002A2450">
        <w:rPr>
          <w:rFonts w:ascii="ITC Avant Garde" w:eastAsia="Times New Roman" w:hAnsi="ITC Avant Garde"/>
          <w:bCs/>
          <w:lang w:eastAsia="es-MX"/>
        </w:rPr>
        <w:t xml:space="preserve"> acreedores en caso de infringir la normatividad en la materia.</w:t>
      </w:r>
    </w:p>
    <w:p w14:paraId="5C62709E"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Es decir, al pretender imponer una sanción, esta autoridad debe analizar minuciosamente la conducta que se le imputa al presunto infractor y determinar si la misma es susceptible de ser sancionada en términos del precepto legal o normativo que se considera violado.</w:t>
      </w:r>
    </w:p>
    <w:p w14:paraId="2E2A599C"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2A2450">
        <w:rPr>
          <w:rFonts w:ascii="ITC Avant Garde" w:eastAsia="Times New Roman" w:hAnsi="ITC Avant Garde"/>
          <w:bCs/>
          <w:i/>
          <w:lang w:eastAsia="es-MX"/>
        </w:rPr>
        <w:t>ius</w:t>
      </w:r>
      <w:proofErr w:type="spellEnd"/>
      <w:r w:rsidRPr="002A2450">
        <w:rPr>
          <w:rFonts w:ascii="ITC Avant Garde" w:eastAsia="Times New Roman" w:hAnsi="ITC Avant Garde"/>
          <w:bCs/>
          <w:i/>
          <w:lang w:eastAsia="es-MX"/>
        </w:rPr>
        <w:t xml:space="preserve"> </w:t>
      </w:r>
      <w:proofErr w:type="spellStart"/>
      <w:r w:rsidRPr="002A2450">
        <w:rPr>
          <w:rFonts w:ascii="ITC Avant Garde" w:eastAsia="Times New Roman" w:hAnsi="ITC Avant Garde"/>
          <w:bCs/>
          <w:i/>
          <w:lang w:eastAsia="es-MX"/>
        </w:rPr>
        <w:t>puniendi</w:t>
      </w:r>
      <w:proofErr w:type="spellEnd"/>
      <w:r w:rsidRPr="002A2450">
        <w:rPr>
          <w:rFonts w:ascii="ITC Avant Garde" w:eastAsia="Times New Roman" w:hAnsi="ITC Avant Garde"/>
          <w:bCs/>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4289BE5F"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Lo anterior considerando que el derecho administrativo sancionador y el derecho penal son manifestaciones de la potestad punitiva del Estado y dada la unidad de éstos, en la interpretación constitucional de los principios del derecho </w:t>
      </w:r>
      <w:r w:rsidRPr="002A2450">
        <w:rPr>
          <w:rFonts w:ascii="ITC Avant Garde" w:eastAsia="Times New Roman" w:hAnsi="ITC Avant Garde"/>
          <w:bCs/>
          <w:lang w:eastAsia="es-MX"/>
        </w:rPr>
        <w:lastRenderedPageBreak/>
        <w:t>administrativo sancionador debe acudirse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14:paraId="2D227D87" w14:textId="77777777" w:rsidR="00B35F13" w:rsidRDefault="00EB6A31" w:rsidP="00B35F13">
      <w:pPr>
        <w:spacing w:before="240" w:line="360" w:lineRule="auto"/>
        <w:jc w:val="both"/>
      </w:pPr>
      <w:r w:rsidRPr="002A2450">
        <w:t xml:space="preserve">En tal sentido, el </w:t>
      </w:r>
      <w:r w:rsidRPr="009E34A4">
        <w:rPr>
          <w:b/>
        </w:rPr>
        <w:t>Tercer Párrafo</w:t>
      </w:r>
      <w:r w:rsidRPr="002A2450">
        <w:t xml:space="preserve"> de la Condición 1-9 de</w:t>
      </w:r>
      <w:r w:rsidR="001F1676" w:rsidRPr="002A2450">
        <w:t>l</w:t>
      </w:r>
      <w:r w:rsidRPr="002A2450">
        <w:t xml:space="preserve"> </w:t>
      </w:r>
      <w:r w:rsidR="007424D4" w:rsidRPr="009E34A4">
        <w:rPr>
          <w:b/>
        </w:rPr>
        <w:t>“</w:t>
      </w:r>
      <w:r w:rsidRPr="009E34A4">
        <w:rPr>
          <w:b/>
        </w:rPr>
        <w:t>TÍTULO DE CONCESIÓN</w:t>
      </w:r>
      <w:r w:rsidR="007424D4" w:rsidRPr="009E34A4">
        <w:rPr>
          <w:b/>
        </w:rPr>
        <w:t>”</w:t>
      </w:r>
      <w:r w:rsidRPr="002A2450">
        <w:t xml:space="preserve"> </w:t>
      </w:r>
      <w:r w:rsidR="001F1676" w:rsidRPr="002A2450">
        <w:t xml:space="preserve">otorgado a </w:t>
      </w:r>
      <w:r w:rsidR="001F1676" w:rsidRPr="009E34A4">
        <w:rPr>
          <w:b/>
        </w:rPr>
        <w:t>“TELMEX”</w:t>
      </w:r>
      <w:r w:rsidR="001F1676" w:rsidRPr="002A2450">
        <w:t xml:space="preserve"> </w:t>
      </w:r>
      <w:r w:rsidRPr="002A2450">
        <w:t>en la parte que interesa establece expresamente que:</w:t>
      </w:r>
    </w:p>
    <w:p w14:paraId="173B4381" w14:textId="39592D0F" w:rsidR="00EB6A31" w:rsidRPr="002A2450" w:rsidRDefault="00EB6A31" w:rsidP="00B35F13">
      <w:pPr>
        <w:spacing w:before="240" w:line="360" w:lineRule="auto"/>
        <w:ind w:left="567" w:right="567"/>
        <w:jc w:val="both"/>
        <w:rPr>
          <w:rFonts w:ascii="ITC Avant Garde" w:hAnsi="ITC Avant Garde"/>
          <w:i/>
          <w:u w:val="single"/>
        </w:rPr>
      </w:pPr>
      <w:r w:rsidRPr="002A2450">
        <w:rPr>
          <w:rFonts w:ascii="ITC Avant Garde" w:hAnsi="ITC Avant Garde"/>
          <w:i/>
        </w:rPr>
        <w:t>“</w:t>
      </w:r>
      <w:r w:rsidRPr="002A2450">
        <w:rPr>
          <w:rFonts w:ascii="ITC Avant Garde" w:hAnsi="ITC Avant Garde"/>
          <w:b/>
          <w:i/>
        </w:rPr>
        <w:t xml:space="preserve">1-9 </w:t>
      </w:r>
      <w:r w:rsidRPr="002A2450">
        <w:rPr>
          <w:rFonts w:ascii="ITC Avant Garde" w:hAnsi="ITC Avant Garde"/>
          <w:b/>
          <w:i/>
          <w:u w:val="single"/>
        </w:rPr>
        <w:t>Distribución de Señales de Televisión</w:t>
      </w:r>
    </w:p>
    <w:p w14:paraId="579972BF" w14:textId="77777777" w:rsidR="00EB6A31" w:rsidRPr="002A2450" w:rsidRDefault="00EB6A31" w:rsidP="00B35F13">
      <w:pPr>
        <w:spacing w:before="240" w:line="360" w:lineRule="auto"/>
        <w:ind w:left="567" w:right="567"/>
        <w:jc w:val="both"/>
        <w:rPr>
          <w:rFonts w:ascii="ITC Avant Garde" w:hAnsi="ITC Avant Garde"/>
          <w:i/>
        </w:rPr>
      </w:pPr>
      <w:r w:rsidRPr="002A2450">
        <w:rPr>
          <w:rFonts w:ascii="ITC Avant Garde" w:hAnsi="ITC Avant Garde"/>
          <w:i/>
        </w:rPr>
        <w:t>…</w:t>
      </w:r>
    </w:p>
    <w:p w14:paraId="34D3DCC8" w14:textId="77777777" w:rsidR="00EB6A31" w:rsidRPr="002A2450" w:rsidRDefault="00EB6A31" w:rsidP="00B35F13">
      <w:pPr>
        <w:spacing w:before="240" w:line="360" w:lineRule="auto"/>
        <w:ind w:left="567" w:right="567"/>
        <w:jc w:val="both"/>
        <w:rPr>
          <w:rFonts w:ascii="ITC Avant Garde" w:hAnsi="ITC Avant Garde"/>
          <w:i/>
        </w:rPr>
      </w:pPr>
      <w:r w:rsidRPr="002A2450">
        <w:rPr>
          <w:rFonts w:ascii="ITC Avant Garde" w:hAnsi="ITC Avant Garde"/>
          <w:i/>
        </w:rPr>
        <w:t>…</w:t>
      </w:r>
    </w:p>
    <w:p w14:paraId="08B8F694" w14:textId="77777777" w:rsidR="00B35F13" w:rsidRDefault="005B601B" w:rsidP="00B35F13">
      <w:pPr>
        <w:spacing w:before="240" w:line="360" w:lineRule="auto"/>
        <w:ind w:left="567" w:right="567"/>
        <w:jc w:val="both"/>
        <w:rPr>
          <w:rFonts w:ascii="ITC Avant Garde" w:hAnsi="ITC Avant Garde"/>
          <w:b/>
          <w:i/>
          <w:u w:val="single"/>
        </w:rPr>
      </w:pPr>
      <w:r w:rsidRPr="002A2450">
        <w:rPr>
          <w:rFonts w:ascii="ITC Avant Garde" w:hAnsi="ITC Avant Garde"/>
          <w:b/>
          <w:i/>
          <w:u w:val="single"/>
        </w:rPr>
        <w:t>“TELMEX”</w:t>
      </w:r>
      <w:r w:rsidR="00EB6A31" w:rsidRPr="002A2450">
        <w:rPr>
          <w:rFonts w:ascii="ITC Avant Garde" w:hAnsi="ITC Avant Garde"/>
          <w:b/>
          <w:i/>
          <w:u w:val="single"/>
        </w:rPr>
        <w:t xml:space="preserve"> no podrá explotar, directa o indirectamente, ninguna concesión de servicios de televisión al público en el país.”</w:t>
      </w:r>
    </w:p>
    <w:p w14:paraId="15ED9477" w14:textId="77777777" w:rsidR="00B35F13" w:rsidRDefault="00E75616"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De </w:t>
      </w:r>
      <w:r w:rsidR="00EB6A31" w:rsidRPr="002A2450">
        <w:rPr>
          <w:rFonts w:ascii="ITC Avant Garde" w:eastAsia="Times New Roman" w:hAnsi="ITC Avant Garde"/>
          <w:bCs/>
          <w:lang w:eastAsia="es-MX"/>
        </w:rPr>
        <w:t xml:space="preserve">la condición descrita </w:t>
      </w:r>
      <w:r w:rsidR="007C1D43" w:rsidRPr="002A2450">
        <w:rPr>
          <w:rFonts w:ascii="ITC Avant Garde" w:eastAsia="Times New Roman" w:hAnsi="ITC Avant Garde"/>
          <w:bCs/>
          <w:lang w:eastAsia="es-MX"/>
        </w:rPr>
        <w:t xml:space="preserve">se </w:t>
      </w:r>
      <w:r w:rsidRPr="002A2450">
        <w:rPr>
          <w:rFonts w:ascii="ITC Avant Garde" w:eastAsia="Times New Roman" w:hAnsi="ITC Avant Garde"/>
          <w:bCs/>
          <w:lang w:eastAsia="es-MX"/>
        </w:rPr>
        <w:t xml:space="preserve">tiene que </w:t>
      </w:r>
      <w:r w:rsidR="00DC63D2" w:rsidRPr="002A2450">
        <w:rPr>
          <w:rFonts w:ascii="ITC Avant Garde" w:eastAsia="Times New Roman" w:hAnsi="ITC Avant Garde"/>
          <w:b/>
          <w:bCs/>
          <w:lang w:eastAsia="es-MX"/>
        </w:rPr>
        <w:t>“</w:t>
      </w:r>
      <w:r w:rsidR="00EB6A31" w:rsidRPr="002A2450">
        <w:rPr>
          <w:rFonts w:ascii="ITC Avant Garde" w:eastAsia="Times New Roman" w:hAnsi="ITC Avant Garde"/>
          <w:b/>
          <w:bCs/>
          <w:lang w:eastAsia="es-MX"/>
        </w:rPr>
        <w:t>TELMEX</w:t>
      </w:r>
      <w:r w:rsidR="00DC63D2" w:rsidRPr="002A2450">
        <w:rPr>
          <w:rFonts w:ascii="ITC Avant Garde" w:eastAsia="Times New Roman" w:hAnsi="ITC Avant Garde"/>
          <w:b/>
          <w:bCs/>
          <w:lang w:eastAsia="es-MX"/>
        </w:rPr>
        <w:t>”</w:t>
      </w:r>
      <w:r w:rsidR="00EB6A31" w:rsidRPr="002A2450">
        <w:rPr>
          <w:rFonts w:ascii="ITC Avant Garde" w:eastAsia="Times New Roman" w:hAnsi="ITC Avant Garde"/>
          <w:bCs/>
          <w:lang w:eastAsia="es-MX"/>
        </w:rPr>
        <w:t xml:space="preserve"> está obligado a observar </w:t>
      </w:r>
      <w:r w:rsidR="001F1676" w:rsidRPr="002A2450">
        <w:rPr>
          <w:rFonts w:ascii="ITC Avant Garde" w:eastAsia="Times New Roman" w:hAnsi="ITC Avant Garde"/>
          <w:bCs/>
          <w:lang w:eastAsia="es-MX"/>
        </w:rPr>
        <w:t xml:space="preserve">la </w:t>
      </w:r>
      <w:r w:rsidR="00EB6A31" w:rsidRPr="002A2450">
        <w:rPr>
          <w:rFonts w:ascii="ITC Avant Garde" w:eastAsia="Times New Roman" w:hAnsi="ITC Avant Garde"/>
          <w:bCs/>
          <w:lang w:eastAsia="es-MX"/>
        </w:rPr>
        <w:t xml:space="preserve">prohibición </w:t>
      </w:r>
      <w:r w:rsidRPr="002A2450">
        <w:rPr>
          <w:rFonts w:ascii="ITC Avant Garde" w:eastAsia="Times New Roman" w:hAnsi="ITC Avant Garde"/>
          <w:bCs/>
          <w:lang w:eastAsia="es-MX"/>
        </w:rPr>
        <w:t xml:space="preserve">de no </w:t>
      </w:r>
      <w:r w:rsidR="00265791">
        <w:rPr>
          <w:rFonts w:ascii="ITC Avant Garde" w:eastAsia="Times New Roman" w:hAnsi="ITC Avant Garde"/>
          <w:bCs/>
          <w:lang w:eastAsia="es-MX"/>
        </w:rPr>
        <w:t>explotar</w:t>
      </w:r>
      <w:r w:rsidRPr="002A2450">
        <w:rPr>
          <w:rFonts w:ascii="ITC Avant Garde" w:eastAsia="Times New Roman" w:hAnsi="ITC Avant Garde"/>
          <w:bCs/>
          <w:lang w:eastAsia="es-MX"/>
        </w:rPr>
        <w:t xml:space="preserve"> directa o indirectamente </w:t>
      </w:r>
      <w:r w:rsidR="00265791">
        <w:rPr>
          <w:rFonts w:ascii="ITC Avant Garde" w:eastAsia="Times New Roman" w:hAnsi="ITC Avant Garde"/>
          <w:bCs/>
          <w:lang w:eastAsia="es-MX"/>
        </w:rPr>
        <w:t xml:space="preserve">una concesión de </w:t>
      </w:r>
      <w:r w:rsidRPr="002A2450">
        <w:rPr>
          <w:rFonts w:ascii="ITC Avant Garde" w:eastAsia="Times New Roman" w:hAnsi="ITC Avant Garde"/>
          <w:bCs/>
          <w:lang w:eastAsia="es-MX"/>
        </w:rPr>
        <w:t>servicio</w:t>
      </w:r>
      <w:r w:rsidR="00265791">
        <w:rPr>
          <w:rFonts w:ascii="ITC Avant Garde" w:eastAsia="Times New Roman" w:hAnsi="ITC Avant Garde"/>
          <w:bCs/>
          <w:lang w:eastAsia="es-MX"/>
        </w:rPr>
        <w:t>s</w:t>
      </w:r>
      <w:r w:rsidRPr="002A2450">
        <w:rPr>
          <w:rFonts w:ascii="ITC Avant Garde" w:eastAsia="Times New Roman" w:hAnsi="ITC Avant Garde"/>
          <w:bCs/>
          <w:lang w:eastAsia="es-MX"/>
        </w:rPr>
        <w:t xml:space="preserve"> de televisión al público en el país.</w:t>
      </w:r>
    </w:p>
    <w:p w14:paraId="07A6E8A5" w14:textId="77777777" w:rsidR="00B35F13" w:rsidRDefault="00E75616" w:rsidP="00B35F13">
      <w:pPr>
        <w:spacing w:before="240" w:line="360" w:lineRule="auto"/>
        <w:jc w:val="both"/>
        <w:rPr>
          <w:rFonts w:ascii="ITC Avant Garde" w:hAnsi="ITC Avant Garde"/>
        </w:rPr>
      </w:pPr>
      <w:r w:rsidRPr="002A2450">
        <w:rPr>
          <w:rFonts w:ascii="ITC Avant Garde" w:eastAsia="Times New Roman" w:hAnsi="ITC Avant Garde"/>
          <w:bCs/>
          <w:lang w:eastAsia="es-MX"/>
        </w:rPr>
        <w:t xml:space="preserve">En el presente asunto, </w:t>
      </w:r>
      <w:r w:rsidR="001F1676" w:rsidRPr="002A2450">
        <w:rPr>
          <w:rFonts w:ascii="ITC Avant Garde" w:hAnsi="ITC Avant Garde"/>
        </w:rPr>
        <w:t>se presum</w:t>
      </w:r>
      <w:r w:rsidR="0088749A" w:rsidRPr="002A2450">
        <w:rPr>
          <w:rFonts w:ascii="ITC Avant Garde" w:hAnsi="ITC Avant Garde"/>
        </w:rPr>
        <w:t>ió</w:t>
      </w:r>
      <w:r w:rsidR="001F1676" w:rsidRPr="002A2450">
        <w:rPr>
          <w:rFonts w:ascii="ITC Avant Garde" w:hAnsi="ITC Avant Garde"/>
        </w:rPr>
        <w:t xml:space="preserve"> que </w:t>
      </w:r>
      <w:r w:rsidR="001F1676" w:rsidRPr="002A2450">
        <w:rPr>
          <w:rFonts w:ascii="ITC Avant Garde" w:hAnsi="ITC Avant Garde"/>
          <w:b/>
        </w:rPr>
        <w:t>“TELMEX”</w:t>
      </w:r>
      <w:r w:rsidR="001F1676" w:rsidRPr="002A2450">
        <w:rPr>
          <w:rFonts w:ascii="ITC Avant Garde" w:hAnsi="ITC Avant Garde"/>
        </w:rPr>
        <w:t xml:space="preserve"> a través de diversos mecanismos contractuales, </w:t>
      </w:r>
      <w:r w:rsidR="00317755" w:rsidRPr="002A2450">
        <w:rPr>
          <w:rFonts w:ascii="ITC Avant Garde" w:hAnsi="ITC Avant Garde"/>
        </w:rPr>
        <w:t xml:space="preserve">por conducto de </w:t>
      </w:r>
      <w:r w:rsidR="00317755" w:rsidRPr="002A2450">
        <w:rPr>
          <w:rFonts w:ascii="ITC Avant Garde" w:hAnsi="ITC Avant Garde"/>
          <w:b/>
        </w:rPr>
        <w:t>“TENINVER”</w:t>
      </w:r>
      <w:r w:rsidR="00DB4B5F" w:rsidRPr="002A2450">
        <w:rPr>
          <w:rFonts w:ascii="ITC Avant Garde" w:hAnsi="ITC Avant Garde"/>
          <w:b/>
        </w:rPr>
        <w:t>,</w:t>
      </w:r>
      <w:r w:rsidR="00317755" w:rsidRPr="002A2450">
        <w:rPr>
          <w:rFonts w:ascii="ITC Avant Garde" w:hAnsi="ITC Avant Garde"/>
          <w:b/>
        </w:rPr>
        <w:t xml:space="preserve"> </w:t>
      </w:r>
      <w:r w:rsidR="001F1676" w:rsidRPr="002A2450">
        <w:rPr>
          <w:rFonts w:ascii="ITC Avant Garde" w:hAnsi="ITC Avant Garde"/>
        </w:rPr>
        <w:t>llev</w:t>
      </w:r>
      <w:r w:rsidR="00317755" w:rsidRPr="002A2450">
        <w:rPr>
          <w:rFonts w:ascii="ITC Avant Garde" w:hAnsi="ITC Avant Garde"/>
        </w:rPr>
        <w:t>ó</w:t>
      </w:r>
      <w:r w:rsidR="001F1676" w:rsidRPr="002A2450">
        <w:rPr>
          <w:rFonts w:ascii="ITC Avant Garde" w:hAnsi="ITC Avant Garde"/>
        </w:rPr>
        <w:t xml:space="preserve"> a cabo la </w:t>
      </w:r>
      <w:r w:rsidR="008F718E" w:rsidRPr="009E34A4">
        <w:rPr>
          <w:i/>
        </w:rPr>
        <w:t>explotación indirecta</w:t>
      </w:r>
      <w:r w:rsidR="008F718E" w:rsidRPr="009E34A4">
        <w:rPr>
          <w:rFonts w:ascii="ITC Avant Garde" w:hAnsi="ITC Avant Garde"/>
          <w:color w:val="C00000"/>
        </w:rPr>
        <w:t xml:space="preserve"> </w:t>
      </w:r>
      <w:r w:rsidR="001F1676" w:rsidRPr="002A2450">
        <w:rPr>
          <w:rFonts w:ascii="ITC Avant Garde" w:hAnsi="ITC Avant Garde"/>
        </w:rPr>
        <w:t>de un</w:t>
      </w:r>
      <w:r w:rsidR="00310661" w:rsidRPr="002A2450">
        <w:rPr>
          <w:rFonts w:ascii="ITC Avant Garde" w:hAnsi="ITC Avant Garde"/>
        </w:rPr>
        <w:t>a concesión para prestar</w:t>
      </w:r>
      <w:r w:rsidR="001F1676" w:rsidRPr="002A2450">
        <w:rPr>
          <w:rFonts w:ascii="ITC Avant Garde" w:hAnsi="ITC Avant Garde"/>
        </w:rPr>
        <w:t xml:space="preserve"> servicio</w:t>
      </w:r>
      <w:r w:rsidR="00310661" w:rsidRPr="002A2450">
        <w:rPr>
          <w:rFonts w:ascii="ITC Avant Garde" w:hAnsi="ITC Avant Garde"/>
        </w:rPr>
        <w:t>s</w:t>
      </w:r>
      <w:r w:rsidR="001F1676" w:rsidRPr="002A2450">
        <w:rPr>
          <w:rFonts w:ascii="ITC Avant Garde" w:hAnsi="ITC Avant Garde"/>
        </w:rPr>
        <w:t xml:space="preserve"> de televisión</w:t>
      </w:r>
      <w:r w:rsidR="002A2450">
        <w:rPr>
          <w:rFonts w:ascii="ITC Avant Garde" w:hAnsi="ITC Avant Garde"/>
        </w:rPr>
        <w:t xml:space="preserve"> en el país</w:t>
      </w:r>
      <w:r w:rsidR="001F1676" w:rsidRPr="002A2450">
        <w:rPr>
          <w:rFonts w:ascii="ITC Avant Garde" w:hAnsi="ITC Avant Garde"/>
        </w:rPr>
        <w:t xml:space="preserve">, toda vez que </w:t>
      </w:r>
      <w:r w:rsidR="0088749A" w:rsidRPr="002A2450">
        <w:rPr>
          <w:rFonts w:ascii="ITC Avant Garde" w:hAnsi="ITC Avant Garde"/>
        </w:rPr>
        <w:t xml:space="preserve">presumiblemente dicha empresa tiene </w:t>
      </w:r>
      <w:r w:rsidR="0088749A" w:rsidRPr="009E34A4">
        <w:t xml:space="preserve">injerencia en </w:t>
      </w:r>
      <w:r w:rsidR="001F1676" w:rsidRPr="009E34A4">
        <w:t>la ejecución de diversas actividades operativas</w:t>
      </w:r>
      <w:r w:rsidR="001F1676" w:rsidRPr="002A2450">
        <w:rPr>
          <w:rFonts w:ascii="ITC Avant Garde" w:hAnsi="ITC Avant Garde"/>
        </w:rPr>
        <w:t xml:space="preserve"> </w:t>
      </w:r>
      <w:r w:rsidR="0088749A" w:rsidRPr="002A2450">
        <w:rPr>
          <w:rFonts w:ascii="ITC Avant Garde" w:hAnsi="ITC Avant Garde"/>
        </w:rPr>
        <w:t xml:space="preserve">vinculadas con </w:t>
      </w:r>
      <w:r w:rsidR="001F1676" w:rsidRPr="002A2450">
        <w:rPr>
          <w:rFonts w:ascii="ITC Avant Garde" w:hAnsi="ITC Avant Garde"/>
        </w:rPr>
        <w:t xml:space="preserve">la prestación del servicio </w:t>
      </w:r>
      <w:r w:rsidR="001F1676" w:rsidRPr="002A2450">
        <w:rPr>
          <w:rFonts w:ascii="ITC Avant Garde" w:hAnsi="ITC Avant Garde"/>
          <w:b/>
        </w:rPr>
        <w:t>“D</w:t>
      </w:r>
      <w:r w:rsidR="00B61711" w:rsidRPr="002A2450">
        <w:rPr>
          <w:rFonts w:ascii="ITC Avant Garde" w:hAnsi="ITC Avant Garde"/>
          <w:b/>
        </w:rPr>
        <w:t>TH</w:t>
      </w:r>
      <w:r w:rsidR="001F1676" w:rsidRPr="002A2450">
        <w:rPr>
          <w:rFonts w:ascii="ITC Avant Garde" w:hAnsi="ITC Avant Garde"/>
          <w:b/>
        </w:rPr>
        <w:t>”</w:t>
      </w:r>
      <w:r w:rsidR="002A2450">
        <w:rPr>
          <w:rFonts w:ascii="ITC Avant Garde" w:hAnsi="ITC Avant Garde"/>
        </w:rPr>
        <w:t xml:space="preserve"> que ofrece </w:t>
      </w:r>
      <w:r w:rsidR="002A2450">
        <w:rPr>
          <w:rFonts w:ascii="ITC Avant Garde" w:hAnsi="ITC Avant Garde"/>
          <w:b/>
        </w:rPr>
        <w:t>“COFRESA”</w:t>
      </w:r>
      <w:r w:rsidRPr="002A2450">
        <w:rPr>
          <w:rFonts w:ascii="ITC Avant Garde" w:hAnsi="ITC Avant Garde"/>
        </w:rPr>
        <w:t>.</w:t>
      </w:r>
    </w:p>
    <w:p w14:paraId="594BBAA3" w14:textId="77777777" w:rsidR="00B35F13" w:rsidRDefault="00E75616" w:rsidP="00B35F13">
      <w:pPr>
        <w:spacing w:before="240" w:line="360" w:lineRule="auto"/>
        <w:jc w:val="both"/>
        <w:rPr>
          <w:rFonts w:ascii="ITC Avant Garde" w:eastAsia="Times New Roman" w:hAnsi="ITC Avant Garde"/>
          <w:b/>
          <w:bCs/>
          <w:lang w:val="x-none" w:eastAsia="es-MX"/>
        </w:rPr>
      </w:pPr>
      <w:r w:rsidRPr="002A2450">
        <w:rPr>
          <w:rFonts w:ascii="ITC Avant Garde" w:hAnsi="ITC Avant Garde"/>
        </w:rPr>
        <w:t xml:space="preserve">Esta conducta por parte de </w:t>
      </w:r>
      <w:r w:rsidR="00E84A1E" w:rsidRPr="002A2450">
        <w:rPr>
          <w:rFonts w:ascii="ITC Avant Garde" w:eastAsia="Times New Roman" w:hAnsi="ITC Avant Garde"/>
          <w:b/>
          <w:bCs/>
          <w:lang w:eastAsia="es-MX"/>
        </w:rPr>
        <w:t xml:space="preserve">“TELMEX” </w:t>
      </w:r>
      <w:r w:rsidRPr="009E34A4">
        <w:rPr>
          <w:rFonts w:ascii="ITC Avant Garde" w:eastAsia="Times New Roman" w:hAnsi="ITC Avant Garde"/>
          <w:bCs/>
          <w:lang w:eastAsia="es-MX"/>
        </w:rPr>
        <w:t>se consideró como una</w:t>
      </w:r>
      <w:r w:rsidRPr="002A2450">
        <w:rPr>
          <w:rFonts w:ascii="ITC Avant Garde" w:eastAsia="Times New Roman" w:hAnsi="ITC Avant Garde"/>
          <w:b/>
          <w:bCs/>
          <w:lang w:eastAsia="es-MX"/>
        </w:rPr>
        <w:t xml:space="preserve"> </w:t>
      </w:r>
      <w:r w:rsidR="008F718E" w:rsidRPr="009E34A4">
        <w:rPr>
          <w:rFonts w:ascii="ITC Avant Garde" w:eastAsia="Times New Roman" w:hAnsi="ITC Avant Garde"/>
          <w:bCs/>
          <w:i/>
          <w:lang w:eastAsia="es-MX"/>
        </w:rPr>
        <w:t>explota</w:t>
      </w:r>
      <w:r w:rsidRPr="009E34A4">
        <w:rPr>
          <w:rFonts w:ascii="ITC Avant Garde" w:eastAsia="Times New Roman" w:hAnsi="ITC Avant Garde"/>
          <w:bCs/>
          <w:i/>
          <w:lang w:eastAsia="es-MX"/>
        </w:rPr>
        <w:t xml:space="preserve">ción </w:t>
      </w:r>
      <w:r w:rsidR="008F718E" w:rsidRPr="009E34A4">
        <w:rPr>
          <w:rFonts w:ascii="ITC Avant Garde" w:eastAsia="Times New Roman" w:hAnsi="ITC Avant Garde"/>
          <w:bCs/>
          <w:i/>
          <w:lang w:eastAsia="es-MX"/>
        </w:rPr>
        <w:t>indirecta</w:t>
      </w:r>
      <w:r w:rsidR="00EB6A31" w:rsidRPr="002A2450">
        <w:rPr>
          <w:rFonts w:ascii="ITC Avant Garde" w:eastAsia="Times New Roman" w:hAnsi="ITC Avant Garde"/>
          <w:bCs/>
          <w:lang w:eastAsia="es-MX"/>
        </w:rPr>
        <w:t xml:space="preserve"> </w:t>
      </w:r>
      <w:r w:rsidR="002A2450">
        <w:rPr>
          <w:rFonts w:ascii="ITC Avant Garde" w:eastAsia="Times New Roman" w:hAnsi="ITC Avant Garde"/>
          <w:bCs/>
          <w:lang w:eastAsia="es-MX"/>
        </w:rPr>
        <w:t xml:space="preserve">al haberse realizado </w:t>
      </w:r>
      <w:r w:rsidR="008F718E" w:rsidRPr="002A2450">
        <w:rPr>
          <w:rFonts w:ascii="ITC Avant Garde" w:eastAsia="Times New Roman" w:hAnsi="ITC Avant Garde"/>
          <w:bCs/>
          <w:lang w:eastAsia="es-MX"/>
        </w:rPr>
        <w:t xml:space="preserve">a través de </w:t>
      </w:r>
      <w:r w:rsidR="008F718E" w:rsidRPr="002A2450">
        <w:rPr>
          <w:rFonts w:ascii="ITC Avant Garde" w:eastAsia="Times New Roman" w:hAnsi="ITC Avant Garde"/>
          <w:b/>
          <w:bCs/>
          <w:lang w:eastAsia="es-MX"/>
        </w:rPr>
        <w:t>“TENINVER”</w:t>
      </w:r>
      <w:r w:rsidR="008F718E" w:rsidRPr="002A2450">
        <w:rPr>
          <w:rFonts w:ascii="ITC Avant Garde" w:eastAsia="Times New Roman" w:hAnsi="ITC Avant Garde"/>
          <w:bCs/>
          <w:lang w:eastAsia="es-MX"/>
        </w:rPr>
        <w:t xml:space="preserve"> </w:t>
      </w:r>
      <w:r w:rsidR="00AA18AE">
        <w:rPr>
          <w:rFonts w:ascii="ITC Avant Garde" w:eastAsia="Times New Roman" w:hAnsi="ITC Avant Garde"/>
          <w:bCs/>
          <w:lang w:eastAsia="es-MX"/>
        </w:rPr>
        <w:t xml:space="preserve">en virtud de los contratos celebrados por dichas empresas y </w:t>
      </w:r>
      <w:r w:rsidR="00265791">
        <w:rPr>
          <w:rFonts w:ascii="ITC Avant Garde" w:eastAsia="Times New Roman" w:hAnsi="ITC Avant Garde"/>
          <w:bCs/>
          <w:lang w:eastAsia="es-MX"/>
        </w:rPr>
        <w:t xml:space="preserve">empresas pertenecientes al </w:t>
      </w:r>
      <w:r w:rsidR="00AA18AE">
        <w:rPr>
          <w:rFonts w:ascii="ITC Avant Garde" w:eastAsia="Times New Roman" w:hAnsi="ITC Avant Garde"/>
          <w:bCs/>
          <w:i/>
          <w:lang w:eastAsia="es-MX"/>
        </w:rPr>
        <w:t xml:space="preserve">Grupo MVS </w:t>
      </w:r>
      <w:r w:rsidR="00C46D4A">
        <w:rPr>
          <w:rFonts w:ascii="ITC Avant Garde" w:eastAsia="Times New Roman" w:hAnsi="ITC Avant Garde"/>
          <w:bCs/>
          <w:lang w:eastAsia="es-MX"/>
        </w:rPr>
        <w:t xml:space="preserve">mediante los cuales se permitió a </w:t>
      </w:r>
      <w:r w:rsidR="00C46D4A">
        <w:rPr>
          <w:rFonts w:ascii="ITC Avant Garde" w:eastAsia="Times New Roman" w:hAnsi="ITC Avant Garde"/>
          <w:b/>
          <w:bCs/>
          <w:lang w:eastAsia="es-MX"/>
        </w:rPr>
        <w:t xml:space="preserve">“TELMEX” </w:t>
      </w:r>
      <w:r w:rsidR="00265791" w:rsidRPr="009E34A4">
        <w:rPr>
          <w:rFonts w:ascii="ITC Avant Garde" w:eastAsia="Times New Roman" w:hAnsi="ITC Avant Garde"/>
          <w:bCs/>
          <w:lang w:eastAsia="es-MX"/>
        </w:rPr>
        <w:t xml:space="preserve">influir o incidir en </w:t>
      </w:r>
      <w:r w:rsidR="00265791">
        <w:rPr>
          <w:rFonts w:ascii="ITC Avant Garde" w:eastAsia="Times New Roman" w:hAnsi="ITC Avant Garde"/>
          <w:bCs/>
          <w:lang w:eastAsia="es-MX"/>
        </w:rPr>
        <w:t xml:space="preserve">la </w:t>
      </w:r>
      <w:r w:rsidR="00C46D4A">
        <w:rPr>
          <w:rFonts w:ascii="ITC Avant Garde" w:eastAsia="Times New Roman" w:hAnsi="ITC Avant Garde"/>
          <w:bCs/>
          <w:lang w:eastAsia="es-MX"/>
        </w:rPr>
        <w:t xml:space="preserve">toma decisiones respecto del servicio </w:t>
      </w:r>
      <w:r w:rsidR="00C46D4A">
        <w:rPr>
          <w:rFonts w:ascii="ITC Avant Garde" w:eastAsia="Times New Roman" w:hAnsi="ITC Avant Garde"/>
          <w:b/>
          <w:bCs/>
          <w:lang w:eastAsia="es-MX"/>
        </w:rPr>
        <w:t>“DTH”</w:t>
      </w:r>
      <w:r w:rsidR="00C46D4A">
        <w:rPr>
          <w:rFonts w:ascii="ITC Avant Garde" w:eastAsia="Times New Roman" w:hAnsi="ITC Avant Garde"/>
          <w:bCs/>
          <w:lang w:eastAsia="es-MX"/>
        </w:rPr>
        <w:t xml:space="preserve"> ofrecido por </w:t>
      </w:r>
      <w:r w:rsidR="00C46D4A">
        <w:rPr>
          <w:rFonts w:ascii="ITC Avant Garde" w:eastAsia="Times New Roman" w:hAnsi="ITC Avant Garde"/>
          <w:b/>
          <w:bCs/>
          <w:lang w:eastAsia="es-MX"/>
        </w:rPr>
        <w:t xml:space="preserve">“COFRESA” </w:t>
      </w:r>
      <w:r w:rsidR="00C46D4A">
        <w:rPr>
          <w:rFonts w:ascii="ITC Avant Garde" w:eastAsia="Times New Roman" w:hAnsi="ITC Avant Garde"/>
          <w:bCs/>
          <w:lang w:eastAsia="es-MX"/>
        </w:rPr>
        <w:t xml:space="preserve">quien cuenta con </w:t>
      </w:r>
      <w:r w:rsidR="00EB6A31" w:rsidRPr="002A2450">
        <w:rPr>
          <w:rFonts w:ascii="ITC Avant Garde" w:eastAsia="Times New Roman" w:hAnsi="ITC Avant Garde"/>
          <w:bCs/>
          <w:lang w:eastAsia="es-MX"/>
        </w:rPr>
        <w:t xml:space="preserve">una concesión </w:t>
      </w:r>
      <w:r w:rsidR="00C46D4A">
        <w:rPr>
          <w:rFonts w:ascii="ITC Avant Garde" w:eastAsia="Times New Roman" w:hAnsi="ITC Avant Garde"/>
          <w:bCs/>
          <w:lang w:eastAsia="es-MX"/>
        </w:rPr>
        <w:t xml:space="preserve">para prestar el </w:t>
      </w:r>
      <w:r w:rsidR="00EB6A31" w:rsidRPr="002A2450">
        <w:rPr>
          <w:rFonts w:ascii="ITC Avant Garde" w:eastAsia="Times New Roman" w:hAnsi="ITC Avant Garde"/>
          <w:bCs/>
          <w:lang w:eastAsia="es-MX"/>
        </w:rPr>
        <w:lastRenderedPageBreak/>
        <w:t>servicio de televisión restringida</w:t>
      </w:r>
      <w:r w:rsidR="00C46D4A">
        <w:rPr>
          <w:rFonts w:ascii="ITC Avant Garde" w:eastAsia="Times New Roman" w:hAnsi="ITC Avant Garde"/>
          <w:bCs/>
          <w:lang w:eastAsia="es-MX"/>
        </w:rPr>
        <w:t xml:space="preserve"> vía satélite en el país</w:t>
      </w:r>
      <w:r w:rsidR="00EB6A31" w:rsidRPr="002A2450">
        <w:rPr>
          <w:rFonts w:ascii="ITC Avant Garde" w:eastAsia="Times New Roman" w:hAnsi="ITC Avant Garde"/>
          <w:bCs/>
          <w:lang w:eastAsia="es-MX"/>
        </w:rPr>
        <w:t>, lo cual está prohibido en términos del</w:t>
      </w:r>
      <w:r w:rsidR="00EB6A31" w:rsidRPr="002A2450">
        <w:rPr>
          <w:rFonts w:ascii="ITC Avant Garde" w:eastAsia="Times New Roman" w:hAnsi="ITC Avant Garde"/>
          <w:b/>
          <w:bCs/>
          <w:lang w:eastAsia="es-MX"/>
        </w:rPr>
        <w:t xml:space="preserve"> </w:t>
      </w:r>
      <w:r w:rsidR="00841FB0" w:rsidRPr="002A2450">
        <w:rPr>
          <w:rFonts w:ascii="ITC Avant Garde" w:eastAsia="Times New Roman" w:hAnsi="ITC Avant Garde"/>
          <w:b/>
          <w:bCs/>
          <w:lang w:eastAsia="es-MX"/>
        </w:rPr>
        <w:t>Tercer Párrafo</w:t>
      </w:r>
      <w:r w:rsidR="00EB6A31" w:rsidRPr="002A2450">
        <w:rPr>
          <w:rFonts w:ascii="ITC Avant Garde" w:eastAsia="Times New Roman" w:hAnsi="ITC Avant Garde"/>
          <w:b/>
          <w:bCs/>
          <w:lang w:eastAsia="es-MX"/>
        </w:rPr>
        <w:t xml:space="preserve"> de la condición 1-9 de</w:t>
      </w:r>
      <w:r w:rsidR="00C46D4A">
        <w:rPr>
          <w:rFonts w:ascii="ITC Avant Garde" w:eastAsia="Times New Roman" w:hAnsi="ITC Avant Garde"/>
          <w:b/>
          <w:bCs/>
          <w:lang w:eastAsia="es-MX"/>
        </w:rPr>
        <w:t xml:space="preserve">l </w:t>
      </w:r>
      <w:r w:rsidR="00E84A1E" w:rsidRPr="002A2450">
        <w:rPr>
          <w:rFonts w:ascii="ITC Avant Garde" w:eastAsia="Times New Roman" w:hAnsi="ITC Avant Garde"/>
          <w:b/>
          <w:bCs/>
          <w:lang w:eastAsia="es-MX"/>
        </w:rPr>
        <w:t>“</w:t>
      </w:r>
      <w:r w:rsidR="00EB6A31" w:rsidRPr="002A2450">
        <w:rPr>
          <w:rFonts w:ascii="ITC Avant Garde" w:eastAsia="Times New Roman" w:hAnsi="ITC Avant Garde"/>
          <w:b/>
          <w:bCs/>
          <w:lang w:eastAsia="es-MX"/>
        </w:rPr>
        <w:t>TÍTULO DE CONCESIÓN</w:t>
      </w:r>
      <w:r w:rsidR="00E84A1E" w:rsidRPr="002A2450">
        <w:rPr>
          <w:rFonts w:ascii="ITC Avant Garde" w:eastAsia="Times New Roman" w:hAnsi="ITC Avant Garde"/>
          <w:b/>
          <w:bCs/>
          <w:lang w:eastAsia="es-MX"/>
        </w:rPr>
        <w:t>”</w:t>
      </w:r>
      <w:r w:rsidR="00C46D4A">
        <w:rPr>
          <w:rFonts w:ascii="ITC Avant Garde" w:eastAsia="Times New Roman" w:hAnsi="ITC Avant Garde"/>
          <w:bCs/>
          <w:lang w:eastAsia="es-MX"/>
        </w:rPr>
        <w:t xml:space="preserve"> otorgado a </w:t>
      </w:r>
      <w:r w:rsidR="00C46D4A">
        <w:rPr>
          <w:rFonts w:ascii="ITC Avant Garde" w:eastAsia="Times New Roman" w:hAnsi="ITC Avant Garde"/>
          <w:b/>
          <w:bCs/>
          <w:lang w:eastAsia="es-MX"/>
        </w:rPr>
        <w:t>“TELMEX”</w:t>
      </w:r>
      <w:r w:rsidR="0039033A" w:rsidRPr="002A2450">
        <w:rPr>
          <w:rFonts w:ascii="ITC Avant Garde" w:eastAsia="Times New Roman" w:hAnsi="ITC Avant Garde"/>
          <w:b/>
          <w:bCs/>
          <w:lang w:eastAsia="es-MX"/>
        </w:rPr>
        <w:t>.</w:t>
      </w:r>
      <w:r w:rsidR="0039033A" w:rsidRPr="002A2450">
        <w:rPr>
          <w:rFonts w:ascii="ITC Avant Garde" w:eastAsia="Times New Roman" w:hAnsi="ITC Avant Garde"/>
          <w:bCs/>
          <w:lang w:eastAsia="es-MX"/>
        </w:rPr>
        <w:t xml:space="preserve"> </w:t>
      </w:r>
      <w:r w:rsidR="00C46D4A">
        <w:rPr>
          <w:rFonts w:ascii="ITC Avant Garde" w:eastAsia="Times New Roman" w:hAnsi="ITC Avant Garde"/>
          <w:bCs/>
          <w:lang w:eastAsia="es-MX"/>
        </w:rPr>
        <w:t>Lo anterior, t</w:t>
      </w:r>
      <w:r w:rsidR="0039033A" w:rsidRPr="002A2450">
        <w:rPr>
          <w:rFonts w:ascii="ITC Avant Garde" w:eastAsia="Times New Roman" w:hAnsi="ITC Avant Garde"/>
          <w:bCs/>
          <w:lang w:eastAsia="es-MX"/>
        </w:rPr>
        <w:t xml:space="preserve">oda vez que </w:t>
      </w:r>
      <w:r w:rsidR="0039033A" w:rsidRPr="002A2450">
        <w:rPr>
          <w:rFonts w:ascii="ITC Avant Garde" w:hAnsi="ITC Avant Garde"/>
          <w:b/>
        </w:rPr>
        <w:t>“TENINVER”</w:t>
      </w:r>
      <w:r w:rsidR="0039033A" w:rsidRPr="002A2450">
        <w:rPr>
          <w:rFonts w:ascii="ITC Avant Garde" w:hAnsi="ITC Avant Garde"/>
        </w:rPr>
        <w:t xml:space="preserve"> es subsidiaria al 100% de </w:t>
      </w:r>
      <w:r w:rsidR="0039033A" w:rsidRPr="002A2450">
        <w:rPr>
          <w:rFonts w:ascii="ITC Avant Garde" w:eastAsia="Times New Roman" w:hAnsi="ITC Avant Garde" w:cs="Calibri"/>
          <w:lang w:eastAsia="es-ES_tradnl"/>
        </w:rPr>
        <w:t>Integración de Servicios TMX, S.A. de C.V.,</w:t>
      </w:r>
      <w:r w:rsidR="0039033A" w:rsidRPr="002A2450">
        <w:rPr>
          <w:rFonts w:ascii="ITC Avant Garde" w:eastAsia="Times New Roman" w:hAnsi="ITC Avant Garde" w:cs="Calibri"/>
          <w:szCs w:val="18"/>
          <w:vertAlign w:val="superscript"/>
          <w:lang w:eastAsia="es-ES_tradnl"/>
        </w:rPr>
        <w:footnoteReference w:id="9"/>
      </w:r>
      <w:r w:rsidR="0039033A" w:rsidRPr="002A2450">
        <w:rPr>
          <w:rFonts w:ascii="ITC Avant Garde" w:eastAsia="Times New Roman" w:hAnsi="ITC Avant Garde" w:cs="Calibri"/>
          <w:lang w:eastAsia="es-ES_tradnl"/>
        </w:rPr>
        <w:t xml:space="preserve"> la cual a su vez es subsidiaria de “</w:t>
      </w:r>
      <w:r w:rsidR="0039033A" w:rsidRPr="002A2450">
        <w:rPr>
          <w:rFonts w:ascii="ITC Avant Garde" w:eastAsia="Times New Roman" w:hAnsi="ITC Avant Garde" w:cs="Calibri"/>
          <w:b/>
          <w:lang w:eastAsia="es-ES_tradnl"/>
        </w:rPr>
        <w:t>TELMEX"</w:t>
      </w:r>
      <w:r w:rsidR="00856120">
        <w:rPr>
          <w:rFonts w:ascii="ITC Avant Garde" w:eastAsia="Times New Roman" w:hAnsi="ITC Avant Garde" w:cs="Calibri"/>
          <w:b/>
          <w:lang w:eastAsia="es-ES_tradnl"/>
        </w:rPr>
        <w:t>.</w:t>
      </w:r>
      <w:r w:rsidR="0039033A" w:rsidRPr="002A2450">
        <w:rPr>
          <w:rFonts w:ascii="ITC Avant Garde" w:eastAsia="Times New Roman" w:hAnsi="ITC Avant Garde" w:cs="Calibri"/>
          <w:szCs w:val="18"/>
          <w:vertAlign w:val="superscript"/>
          <w:lang w:eastAsia="es-ES_tradnl"/>
        </w:rPr>
        <w:footnoteReference w:id="10"/>
      </w:r>
    </w:p>
    <w:p w14:paraId="4C46901C" w14:textId="77777777" w:rsidR="00B35F13" w:rsidRDefault="00856120" w:rsidP="00B35F13">
      <w:pPr>
        <w:spacing w:before="240" w:line="360" w:lineRule="auto"/>
        <w:jc w:val="both"/>
        <w:rPr>
          <w:rFonts w:ascii="ITC Avant Garde" w:eastAsia="Times New Roman" w:hAnsi="ITC Avant Garde"/>
          <w:bCs/>
          <w:lang w:eastAsia="es-MX"/>
        </w:rPr>
      </w:pPr>
      <w:r>
        <w:rPr>
          <w:rFonts w:ascii="ITC Avant Garde" w:eastAsia="Times New Roman" w:hAnsi="ITC Avant Garde"/>
          <w:bCs/>
          <w:lang w:eastAsia="es-MX"/>
        </w:rPr>
        <w:t>Por lo que</w:t>
      </w:r>
      <w:r w:rsidR="00E84A1E" w:rsidRPr="002A2450">
        <w:rPr>
          <w:rFonts w:ascii="ITC Avant Garde" w:eastAsia="Times New Roman" w:hAnsi="ITC Avant Garde"/>
          <w:bCs/>
          <w:lang w:eastAsia="es-MX"/>
        </w:rPr>
        <w:t xml:space="preserve"> existen elementos que permiten </w:t>
      </w:r>
      <w:r w:rsidR="00F27E26" w:rsidRPr="002A2450">
        <w:rPr>
          <w:rFonts w:ascii="ITC Avant Garde" w:eastAsia="Times New Roman" w:hAnsi="ITC Avant Garde"/>
          <w:bCs/>
          <w:lang w:eastAsia="es-MX"/>
        </w:rPr>
        <w:t xml:space="preserve">inferir </w:t>
      </w:r>
      <w:r w:rsidR="00E84A1E" w:rsidRPr="002A2450">
        <w:rPr>
          <w:rFonts w:ascii="ITC Avant Garde" w:eastAsia="Times New Roman" w:hAnsi="ITC Avant Garde"/>
          <w:bCs/>
          <w:lang w:eastAsia="es-MX"/>
        </w:rPr>
        <w:t xml:space="preserve">que </w:t>
      </w:r>
      <w:r w:rsidR="00E84A1E" w:rsidRPr="002A2450">
        <w:rPr>
          <w:rFonts w:ascii="ITC Avant Garde" w:eastAsia="Times New Roman" w:hAnsi="ITC Avant Garde"/>
          <w:b/>
          <w:bCs/>
          <w:lang w:eastAsia="es-MX"/>
        </w:rPr>
        <w:t xml:space="preserve">“TELMEX” </w:t>
      </w:r>
      <w:r w:rsidR="000A749A" w:rsidRPr="002A2450">
        <w:rPr>
          <w:rFonts w:ascii="ITC Avant Garde" w:eastAsia="Times New Roman" w:hAnsi="ITC Avant Garde"/>
          <w:bCs/>
          <w:lang w:eastAsia="es-MX"/>
        </w:rPr>
        <w:t>a través de</w:t>
      </w:r>
      <w:r w:rsidR="000A749A" w:rsidRPr="002A2450">
        <w:rPr>
          <w:rFonts w:ascii="ITC Avant Garde" w:eastAsia="Times New Roman" w:hAnsi="ITC Avant Garde"/>
          <w:b/>
          <w:bCs/>
          <w:lang w:eastAsia="es-MX"/>
        </w:rPr>
        <w:t xml:space="preserve"> “TENINVER” </w:t>
      </w:r>
      <w:r w:rsidR="000A749A" w:rsidRPr="002A2450">
        <w:rPr>
          <w:rFonts w:ascii="ITC Avant Garde" w:eastAsia="Times New Roman" w:hAnsi="ITC Avant Garde"/>
          <w:bCs/>
          <w:lang w:eastAsia="es-MX"/>
        </w:rPr>
        <w:t xml:space="preserve">obtuvo y ejerció derechos para </w:t>
      </w:r>
      <w:r w:rsidR="00E84A1E" w:rsidRPr="002A2450">
        <w:rPr>
          <w:rFonts w:ascii="ITC Avant Garde" w:eastAsia="Times New Roman" w:hAnsi="ITC Avant Garde"/>
          <w:bCs/>
          <w:lang w:eastAsia="es-MX"/>
        </w:rPr>
        <w:t>influ</w:t>
      </w:r>
      <w:r w:rsidR="000A749A" w:rsidRPr="002A2450">
        <w:rPr>
          <w:rFonts w:ascii="ITC Avant Garde" w:eastAsia="Times New Roman" w:hAnsi="ITC Avant Garde"/>
          <w:bCs/>
          <w:lang w:eastAsia="es-MX"/>
        </w:rPr>
        <w:t>ir</w:t>
      </w:r>
      <w:r w:rsidR="00E84A1E" w:rsidRPr="002A2450">
        <w:rPr>
          <w:rFonts w:ascii="ITC Avant Garde" w:eastAsia="Times New Roman" w:hAnsi="ITC Avant Garde"/>
          <w:bCs/>
          <w:lang w:eastAsia="es-MX"/>
        </w:rPr>
        <w:t xml:space="preserve"> </w:t>
      </w:r>
      <w:r w:rsidR="00EB6A31" w:rsidRPr="002A2450">
        <w:rPr>
          <w:rFonts w:ascii="ITC Avant Garde" w:eastAsia="Times New Roman" w:hAnsi="ITC Avant Garde"/>
          <w:bCs/>
          <w:lang w:eastAsia="es-MX"/>
        </w:rPr>
        <w:t xml:space="preserve">en la </w:t>
      </w:r>
      <w:r w:rsidR="000A749A" w:rsidRPr="002A2450">
        <w:rPr>
          <w:rFonts w:ascii="ITC Avant Garde" w:eastAsia="Times New Roman" w:hAnsi="ITC Avant Garde"/>
          <w:bCs/>
          <w:lang w:eastAsia="es-MX"/>
        </w:rPr>
        <w:t>operación</w:t>
      </w:r>
      <w:r w:rsidR="00EB6A31" w:rsidRPr="002A2450">
        <w:rPr>
          <w:rFonts w:ascii="ITC Avant Garde" w:eastAsia="Times New Roman" w:hAnsi="ITC Avant Garde"/>
          <w:bCs/>
          <w:lang w:eastAsia="es-MX"/>
        </w:rPr>
        <w:t xml:space="preserve"> de</w:t>
      </w:r>
      <w:r w:rsidR="000A749A" w:rsidRPr="002A2450">
        <w:rPr>
          <w:rFonts w:ascii="ITC Avant Garde" w:eastAsia="Times New Roman" w:hAnsi="ITC Avant Garde"/>
          <w:bCs/>
          <w:lang w:eastAsia="es-MX"/>
        </w:rPr>
        <w:t>l servicio de</w:t>
      </w:r>
      <w:r w:rsidR="00EB6A31" w:rsidRPr="002A2450">
        <w:rPr>
          <w:rFonts w:ascii="ITC Avant Garde" w:eastAsia="Times New Roman" w:hAnsi="ITC Avant Garde"/>
          <w:bCs/>
          <w:lang w:eastAsia="es-MX"/>
        </w:rPr>
        <w:t xml:space="preserve"> televisión</w:t>
      </w:r>
      <w:r w:rsidR="0039033A" w:rsidRPr="002A2450">
        <w:rPr>
          <w:rFonts w:ascii="ITC Avant Garde" w:eastAsia="Times New Roman" w:hAnsi="ITC Avant Garde"/>
          <w:bCs/>
          <w:lang w:eastAsia="es-MX"/>
        </w:rPr>
        <w:t xml:space="preserve"> restringida que se presta a través de una plataforma </w:t>
      </w:r>
      <w:r w:rsidR="00EB6A31" w:rsidRPr="002A2450">
        <w:rPr>
          <w:rFonts w:ascii="ITC Avant Garde" w:eastAsia="Times New Roman" w:hAnsi="ITC Avant Garde"/>
          <w:bCs/>
          <w:lang w:eastAsia="es-MX"/>
        </w:rPr>
        <w:t>satelital</w:t>
      </w:r>
      <w:r w:rsidR="0039033A" w:rsidRPr="002A2450">
        <w:rPr>
          <w:rFonts w:ascii="ITC Avant Garde" w:eastAsia="Times New Roman" w:hAnsi="ITC Avant Garde"/>
          <w:bCs/>
          <w:lang w:eastAsia="es-MX"/>
        </w:rPr>
        <w:t xml:space="preserve">, servicio que es </w:t>
      </w:r>
      <w:r w:rsidR="00E84A1E" w:rsidRPr="002A2450">
        <w:rPr>
          <w:rFonts w:ascii="ITC Avant Garde" w:eastAsia="Times New Roman" w:hAnsi="ITC Avant Garde"/>
          <w:bCs/>
          <w:lang w:eastAsia="es-MX"/>
        </w:rPr>
        <w:t xml:space="preserve">ofrecido por </w:t>
      </w:r>
      <w:r w:rsidR="00DC63D2" w:rsidRPr="002A2450">
        <w:rPr>
          <w:rFonts w:ascii="ITC Avant Garde" w:eastAsia="Times New Roman" w:hAnsi="ITC Avant Garde"/>
          <w:b/>
          <w:bCs/>
          <w:lang w:eastAsia="es-MX"/>
        </w:rPr>
        <w:t>“</w:t>
      </w:r>
      <w:r w:rsidR="00EB6A31" w:rsidRPr="002A2450">
        <w:rPr>
          <w:rFonts w:ascii="ITC Avant Garde" w:eastAsia="Times New Roman" w:hAnsi="ITC Avant Garde"/>
          <w:b/>
          <w:bCs/>
          <w:lang w:eastAsia="es-MX"/>
        </w:rPr>
        <w:t>COFRESA</w:t>
      </w:r>
      <w:r w:rsidR="00DC63D2" w:rsidRPr="002A2450">
        <w:rPr>
          <w:rFonts w:ascii="ITC Avant Garde" w:eastAsia="Times New Roman" w:hAnsi="ITC Avant Garde"/>
          <w:b/>
          <w:bCs/>
          <w:lang w:eastAsia="es-MX"/>
        </w:rPr>
        <w:t>”</w:t>
      </w:r>
      <w:r w:rsidR="000A749A" w:rsidRPr="002A2450">
        <w:rPr>
          <w:rFonts w:ascii="ITC Avant Garde" w:eastAsia="Times New Roman" w:hAnsi="ITC Avant Garde"/>
          <w:bCs/>
          <w:lang w:eastAsia="es-MX"/>
        </w:rPr>
        <w:t xml:space="preserve"> al amparo de la concesión que le fue otorgada. </w:t>
      </w:r>
    </w:p>
    <w:p w14:paraId="63AF5168" w14:textId="77777777" w:rsidR="00B35F13" w:rsidRDefault="000A749A" w:rsidP="00B35F13">
      <w:pPr>
        <w:spacing w:before="240" w:line="360" w:lineRule="auto"/>
        <w:jc w:val="both"/>
        <w:rPr>
          <w:rFonts w:ascii="ITC Avant Garde" w:eastAsia="Times New Roman" w:hAnsi="ITC Avant Garde"/>
          <w:b/>
          <w:bCs/>
          <w:lang w:val="x-none" w:eastAsia="es-MX"/>
        </w:rPr>
      </w:pPr>
      <w:r w:rsidRPr="002A2450">
        <w:rPr>
          <w:rFonts w:ascii="ITC Avant Garde" w:eastAsia="Times New Roman" w:hAnsi="ITC Avant Garde"/>
          <w:b/>
          <w:bCs/>
          <w:lang w:eastAsia="es-MX"/>
        </w:rPr>
        <w:t>“TENINVER”</w:t>
      </w:r>
      <w:r w:rsidRPr="002A2450">
        <w:rPr>
          <w:rFonts w:ascii="ITC Avant Garde" w:eastAsia="Times New Roman" w:hAnsi="ITC Avant Garde"/>
          <w:bCs/>
          <w:lang w:eastAsia="es-MX"/>
        </w:rPr>
        <w:t xml:space="preserve"> obtuvo tales derechos a través de </w:t>
      </w:r>
      <w:r w:rsidR="0039033A" w:rsidRPr="002A2450">
        <w:rPr>
          <w:rFonts w:ascii="ITC Avant Garde" w:eastAsia="Times New Roman" w:hAnsi="ITC Avant Garde"/>
          <w:bCs/>
          <w:lang w:eastAsia="es-MX"/>
        </w:rPr>
        <w:t xml:space="preserve">diversos </w:t>
      </w:r>
      <w:r w:rsidRPr="002A2450">
        <w:rPr>
          <w:rFonts w:ascii="ITC Avant Garde" w:eastAsia="Times New Roman" w:hAnsi="ITC Avant Garde"/>
          <w:bCs/>
          <w:lang w:eastAsia="es-MX"/>
        </w:rPr>
        <w:t xml:space="preserve">contratos celebrados con </w:t>
      </w:r>
      <w:r w:rsidR="00317755" w:rsidRPr="002A2450">
        <w:rPr>
          <w:rFonts w:ascii="ITC Avant Garde" w:eastAsia="Times New Roman" w:hAnsi="ITC Avant Garde"/>
          <w:b/>
          <w:bCs/>
          <w:lang w:eastAsia="es-MX"/>
        </w:rPr>
        <w:t>“COFRESA”, “DISH MÉXICO”</w:t>
      </w:r>
      <w:r w:rsidR="00317755" w:rsidRPr="002A2450">
        <w:rPr>
          <w:rFonts w:ascii="ITC Avant Garde" w:eastAsia="Times New Roman" w:hAnsi="ITC Avant Garde"/>
          <w:bCs/>
          <w:lang w:eastAsia="es-MX"/>
        </w:rPr>
        <w:t xml:space="preserve">, </w:t>
      </w:r>
      <w:r w:rsidR="00317755" w:rsidRPr="002A2450">
        <w:rPr>
          <w:rFonts w:ascii="ITC Avant Garde" w:eastAsia="Times New Roman" w:hAnsi="ITC Avant Garde"/>
          <w:b/>
          <w:bCs/>
          <w:lang w:eastAsia="es-MX"/>
        </w:rPr>
        <w:t>“DISH HOLDING”</w:t>
      </w:r>
      <w:r w:rsidR="00DB4B5F" w:rsidRPr="002A2450">
        <w:rPr>
          <w:rFonts w:ascii="ITC Avant Garde" w:eastAsia="Times New Roman" w:hAnsi="ITC Avant Garde"/>
          <w:bCs/>
          <w:lang w:eastAsia="es-MX"/>
        </w:rPr>
        <w:t xml:space="preserve">, </w:t>
      </w:r>
      <w:r w:rsidR="00DB4B5F" w:rsidRPr="002A2450">
        <w:rPr>
          <w:rFonts w:ascii="ITC Avant Garde" w:eastAsia="Times New Roman" w:hAnsi="ITC Avant Garde"/>
          <w:b/>
          <w:bCs/>
          <w:lang w:eastAsia="es-MX"/>
        </w:rPr>
        <w:t xml:space="preserve">“GFMTV”, “ECHOSTAR MÉXICO” </w:t>
      </w:r>
      <w:r w:rsidR="00DB4B5F" w:rsidRPr="002A2450">
        <w:rPr>
          <w:rFonts w:ascii="ITC Avant Garde" w:eastAsia="Times New Roman" w:hAnsi="ITC Avant Garde"/>
          <w:bCs/>
          <w:lang w:eastAsia="es-MX"/>
        </w:rPr>
        <w:t>y</w:t>
      </w:r>
      <w:r w:rsidR="00DB4B5F" w:rsidRPr="002A2450">
        <w:rPr>
          <w:rFonts w:ascii="ITC Avant Garde" w:eastAsia="Times New Roman" w:hAnsi="ITC Avant Garde"/>
          <w:b/>
          <w:bCs/>
          <w:lang w:eastAsia="es-MX"/>
        </w:rPr>
        <w:t xml:space="preserve"> “ECHOSTAR CORPORATION” </w:t>
      </w:r>
      <w:r w:rsidRPr="002A2450">
        <w:rPr>
          <w:rFonts w:ascii="ITC Avant Garde" w:eastAsia="Times New Roman" w:hAnsi="ITC Avant Garde"/>
          <w:bCs/>
          <w:lang w:eastAsia="es-MX"/>
        </w:rPr>
        <w:t xml:space="preserve">y </w:t>
      </w:r>
      <w:r w:rsidR="0093093E" w:rsidRPr="002A2450">
        <w:rPr>
          <w:rFonts w:ascii="ITC Avant Garde" w:eastAsia="Times New Roman" w:hAnsi="ITC Avant Garde"/>
          <w:bCs/>
          <w:lang w:eastAsia="es-MX"/>
        </w:rPr>
        <w:t xml:space="preserve">ejerció </w:t>
      </w:r>
      <w:r w:rsidR="00EB6A31" w:rsidRPr="002A2450">
        <w:rPr>
          <w:rFonts w:ascii="ITC Avant Garde" w:eastAsia="Times New Roman" w:hAnsi="ITC Avant Garde"/>
          <w:bCs/>
          <w:lang w:eastAsia="es-MX"/>
        </w:rPr>
        <w:t xml:space="preserve">un </w:t>
      </w:r>
      <w:r w:rsidR="00494A87" w:rsidRPr="002A2450">
        <w:rPr>
          <w:rFonts w:ascii="ITC Avant Garde" w:eastAsia="Times New Roman" w:hAnsi="ITC Avant Garde"/>
          <w:bCs/>
          <w:lang w:eastAsia="es-MX"/>
        </w:rPr>
        <w:t xml:space="preserve">derecho de voto </w:t>
      </w:r>
      <w:r w:rsidR="00EB6A31" w:rsidRPr="002A2450">
        <w:rPr>
          <w:rFonts w:ascii="ITC Avant Garde" w:eastAsia="Times New Roman" w:hAnsi="ITC Avant Garde"/>
          <w:bCs/>
          <w:lang w:eastAsia="es-MX"/>
        </w:rPr>
        <w:t>negativo sobre determinadas decisiones relevantes</w:t>
      </w:r>
      <w:r w:rsidR="00E84A1E" w:rsidRPr="002A2450">
        <w:rPr>
          <w:rFonts w:ascii="ITC Avant Garde" w:eastAsia="Times New Roman" w:hAnsi="ITC Avant Garde"/>
          <w:bCs/>
          <w:lang w:eastAsia="es-MX"/>
        </w:rPr>
        <w:t>;</w:t>
      </w:r>
      <w:r w:rsidR="00EB6A31" w:rsidRPr="002A2450">
        <w:rPr>
          <w:rFonts w:ascii="ITC Avant Garde" w:eastAsia="Times New Roman" w:hAnsi="ITC Avant Garde"/>
          <w:bCs/>
          <w:lang w:eastAsia="es-MX"/>
        </w:rPr>
        <w:t xml:space="preserve"> </w:t>
      </w:r>
      <w:r w:rsidR="0088749A" w:rsidRPr="002A2450">
        <w:rPr>
          <w:rFonts w:ascii="ITC Avant Garde" w:eastAsia="Times New Roman" w:hAnsi="ITC Avant Garde"/>
          <w:bCs/>
          <w:lang w:eastAsia="es-MX"/>
        </w:rPr>
        <w:t xml:space="preserve">en la </w:t>
      </w:r>
      <w:r w:rsidR="00494A87" w:rsidRPr="002A2450">
        <w:rPr>
          <w:rFonts w:ascii="ITC Avant Garde" w:eastAsia="Times New Roman" w:hAnsi="ITC Avant Garde"/>
          <w:bCs/>
          <w:lang w:eastAsia="es-MX"/>
        </w:rPr>
        <w:t>operación</w:t>
      </w:r>
      <w:r w:rsidR="00DB4B5F" w:rsidRPr="002A2450">
        <w:rPr>
          <w:rFonts w:ascii="ITC Avant Garde" w:eastAsia="Times New Roman" w:hAnsi="ITC Avant Garde"/>
          <w:bCs/>
          <w:lang w:eastAsia="es-MX"/>
        </w:rPr>
        <w:t xml:space="preserve"> </w:t>
      </w:r>
      <w:r w:rsidR="0039033A" w:rsidRPr="002A2450">
        <w:rPr>
          <w:rFonts w:ascii="ITC Avant Garde" w:eastAsia="Times New Roman" w:hAnsi="ITC Avant Garde"/>
          <w:bCs/>
          <w:lang w:eastAsia="es-MX"/>
        </w:rPr>
        <w:t xml:space="preserve">de </w:t>
      </w:r>
      <w:r w:rsidR="00494A87" w:rsidRPr="002A2450">
        <w:rPr>
          <w:rFonts w:ascii="ITC Avant Garde" w:eastAsia="Times New Roman" w:hAnsi="ITC Avant Garde"/>
          <w:bCs/>
          <w:lang w:eastAsia="es-MX"/>
        </w:rPr>
        <w:t xml:space="preserve">las actividades concesionadas </w:t>
      </w:r>
      <w:r w:rsidR="00DC63D2" w:rsidRPr="002A2450">
        <w:rPr>
          <w:rFonts w:ascii="ITC Avant Garde" w:eastAsia="Times New Roman" w:hAnsi="ITC Avant Garde"/>
          <w:bCs/>
          <w:lang w:eastAsia="es-MX"/>
        </w:rPr>
        <w:t xml:space="preserve">a </w:t>
      </w:r>
      <w:r w:rsidR="00DC63D2" w:rsidRPr="002A2450">
        <w:rPr>
          <w:rFonts w:ascii="ITC Avant Garde" w:eastAsia="Times New Roman" w:hAnsi="ITC Avant Garde"/>
          <w:b/>
          <w:bCs/>
          <w:lang w:eastAsia="es-MX"/>
        </w:rPr>
        <w:t xml:space="preserve">“COFRESA” </w:t>
      </w:r>
      <w:r w:rsidR="00DC63D2" w:rsidRPr="002A2450">
        <w:rPr>
          <w:rFonts w:ascii="ITC Avant Garde" w:eastAsia="Times New Roman" w:hAnsi="ITC Avant Garde"/>
          <w:bCs/>
          <w:lang w:eastAsia="es-MX"/>
        </w:rPr>
        <w:t>para</w:t>
      </w:r>
      <w:r w:rsidR="00DC63D2" w:rsidRPr="002A2450">
        <w:rPr>
          <w:rFonts w:ascii="ITC Avant Garde" w:eastAsia="Times New Roman" w:hAnsi="ITC Avant Garde"/>
          <w:b/>
          <w:bCs/>
          <w:lang w:eastAsia="es-MX"/>
        </w:rPr>
        <w:t xml:space="preserve"> </w:t>
      </w:r>
      <w:r w:rsidR="00EB6A31" w:rsidRPr="002A2450">
        <w:rPr>
          <w:rFonts w:ascii="ITC Avant Garde" w:eastAsia="Times New Roman" w:hAnsi="ITC Avant Garde"/>
          <w:bCs/>
          <w:lang w:eastAsia="es-MX"/>
        </w:rPr>
        <w:t xml:space="preserve">la prestación de los servicios de </w:t>
      </w:r>
      <w:r w:rsidR="00CC49D8" w:rsidRPr="002A2450">
        <w:rPr>
          <w:rFonts w:ascii="ITC Avant Garde" w:eastAsia="Times New Roman" w:hAnsi="ITC Avant Garde"/>
          <w:bCs/>
          <w:lang w:eastAsia="es-MX"/>
        </w:rPr>
        <w:t>televisión restringida vía satélite</w:t>
      </w:r>
      <w:r w:rsidR="008F718E" w:rsidRPr="009E34A4">
        <w:rPr>
          <w:rFonts w:ascii="ITC Avant Garde" w:eastAsia="Times New Roman" w:hAnsi="ITC Avant Garde"/>
          <w:bCs/>
          <w:color w:val="C00000"/>
          <w:lang w:eastAsia="es-MX"/>
        </w:rPr>
        <w:t xml:space="preserve"> </w:t>
      </w:r>
      <w:r w:rsidR="00CC49D8" w:rsidRPr="002A2450">
        <w:rPr>
          <w:rFonts w:ascii="ITC Avant Garde" w:eastAsia="Times New Roman" w:hAnsi="ITC Avant Garde"/>
          <w:bCs/>
          <w:lang w:eastAsia="es-MX"/>
        </w:rPr>
        <w:t>(</w:t>
      </w:r>
      <w:r w:rsidR="00E84A1E" w:rsidRPr="002A2450">
        <w:rPr>
          <w:rFonts w:ascii="ITC Avant Garde" w:eastAsia="Times New Roman" w:hAnsi="ITC Avant Garde"/>
          <w:b/>
          <w:bCs/>
          <w:lang w:eastAsia="es-MX"/>
        </w:rPr>
        <w:t>“</w:t>
      </w:r>
      <w:r w:rsidR="00EB6A31" w:rsidRPr="002A2450">
        <w:rPr>
          <w:rFonts w:ascii="ITC Avant Garde" w:eastAsia="Times New Roman" w:hAnsi="ITC Avant Garde"/>
          <w:b/>
          <w:bCs/>
          <w:lang w:eastAsia="es-MX"/>
        </w:rPr>
        <w:t>DTH</w:t>
      </w:r>
      <w:r w:rsidR="00E84A1E" w:rsidRPr="002A2450">
        <w:rPr>
          <w:rFonts w:ascii="ITC Avant Garde" w:eastAsia="Times New Roman" w:hAnsi="ITC Avant Garde"/>
          <w:b/>
          <w:bCs/>
          <w:lang w:eastAsia="es-MX"/>
        </w:rPr>
        <w:t>”</w:t>
      </w:r>
      <w:r w:rsidR="00CC49D8" w:rsidRPr="002A2450">
        <w:rPr>
          <w:rFonts w:ascii="ITC Avant Garde" w:eastAsia="Times New Roman" w:hAnsi="ITC Avant Garde"/>
          <w:bCs/>
          <w:lang w:eastAsia="es-MX"/>
        </w:rPr>
        <w:t>)</w:t>
      </w:r>
      <w:r w:rsidR="00EB6A31" w:rsidRPr="002A2450">
        <w:rPr>
          <w:rFonts w:ascii="ITC Avant Garde" w:eastAsia="Times New Roman" w:hAnsi="ITC Avant Garde"/>
          <w:b/>
          <w:bCs/>
          <w:lang w:eastAsia="es-MX"/>
        </w:rPr>
        <w:t>.</w:t>
      </w:r>
      <w:r w:rsidR="0093093E" w:rsidRPr="002A2450">
        <w:rPr>
          <w:rFonts w:ascii="ITC Avant Garde" w:eastAsia="Times New Roman" w:hAnsi="ITC Avant Garde"/>
          <w:b/>
          <w:bCs/>
          <w:lang w:eastAsia="es-MX"/>
        </w:rPr>
        <w:t xml:space="preserve"> </w:t>
      </w:r>
    </w:p>
    <w:p w14:paraId="526BCEA5" w14:textId="77777777" w:rsidR="00B35F13" w:rsidRDefault="00EB6A31"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tal sentido, </w:t>
      </w:r>
      <w:r w:rsidRPr="002A2450">
        <w:rPr>
          <w:rFonts w:ascii="ITC Avant Garde" w:hAnsi="ITC Avant Garde" w:cs="Arial"/>
        </w:rPr>
        <w:t xml:space="preserve">una vez que ha quedado precisada la conducta que se atribuye a </w:t>
      </w:r>
      <w:r w:rsidR="00697114" w:rsidRPr="002A2450">
        <w:rPr>
          <w:rFonts w:ascii="ITC Avant Garde" w:hAnsi="ITC Avant Garde" w:cs="Arial"/>
          <w:b/>
        </w:rPr>
        <w:t>“</w:t>
      </w:r>
      <w:r w:rsidRPr="002A2450">
        <w:rPr>
          <w:rFonts w:ascii="ITC Avant Garde" w:hAnsi="ITC Avant Garde" w:cs="Arial"/>
          <w:b/>
        </w:rPr>
        <w:t>TELMEX</w:t>
      </w:r>
      <w:r w:rsidR="00697114" w:rsidRPr="002A2450">
        <w:rPr>
          <w:rFonts w:ascii="ITC Avant Garde" w:hAnsi="ITC Avant Garde" w:cs="Arial"/>
          <w:b/>
        </w:rPr>
        <w:t>”</w:t>
      </w:r>
      <w:r w:rsidRPr="002A2450">
        <w:rPr>
          <w:rFonts w:ascii="ITC Avant Garde" w:hAnsi="ITC Avant Garde" w:cs="Arial"/>
        </w:rPr>
        <w:t xml:space="preserve"> consistente en la presunta </w:t>
      </w:r>
      <w:r w:rsidR="008F718E" w:rsidRPr="009E34A4">
        <w:rPr>
          <w:rFonts w:ascii="ITC Avant Garde" w:hAnsi="ITC Avant Garde" w:cs="Arial"/>
          <w:i/>
        </w:rPr>
        <w:t>explotación indirecta</w:t>
      </w:r>
      <w:r w:rsidR="008F718E" w:rsidRPr="002A2450">
        <w:rPr>
          <w:rFonts w:ascii="ITC Avant Garde" w:hAnsi="ITC Avant Garde" w:cs="Arial"/>
          <w:color w:val="C00000"/>
        </w:rPr>
        <w:t xml:space="preserve"> </w:t>
      </w:r>
      <w:r w:rsidRPr="002A2450">
        <w:rPr>
          <w:rFonts w:ascii="ITC Avant Garde" w:hAnsi="ITC Avant Garde" w:cs="Arial"/>
        </w:rPr>
        <w:t xml:space="preserve">de una concesión de servicios de televisión al público en el país, conducta que resulta contraria al </w:t>
      </w:r>
      <w:r w:rsidR="00841FB0" w:rsidRPr="009E34A4">
        <w:rPr>
          <w:rFonts w:ascii="ITC Avant Garde" w:hAnsi="ITC Avant Garde" w:cs="Arial"/>
          <w:b/>
        </w:rPr>
        <w:t>Tercer Párrafo</w:t>
      </w:r>
      <w:r w:rsidRPr="002A2450">
        <w:rPr>
          <w:rFonts w:ascii="ITC Avant Garde" w:hAnsi="ITC Avant Garde" w:cs="Arial"/>
        </w:rPr>
        <w:t xml:space="preserve"> de la condición</w:t>
      </w:r>
      <w:r w:rsidR="00A403F4" w:rsidRPr="002A2450">
        <w:rPr>
          <w:rFonts w:ascii="ITC Avant Garde" w:hAnsi="ITC Avant Garde" w:cs="Arial"/>
        </w:rPr>
        <w:t xml:space="preserve"> 1-9 de su </w:t>
      </w:r>
      <w:r w:rsidR="00A403F4" w:rsidRPr="002A2450">
        <w:rPr>
          <w:rFonts w:ascii="ITC Avant Garde" w:hAnsi="ITC Avant Garde" w:cs="Arial"/>
          <w:b/>
        </w:rPr>
        <w:t>“TÍTULO DE CONCESIÓN”</w:t>
      </w:r>
      <w:r w:rsidRPr="002A2450">
        <w:rPr>
          <w:rFonts w:ascii="ITC Avant Garde" w:hAnsi="ITC Avant Garde" w:cs="Arial"/>
        </w:rPr>
        <w:t xml:space="preserve">, </w:t>
      </w:r>
      <w:r w:rsidR="00856120">
        <w:rPr>
          <w:rFonts w:ascii="ITC Avant Garde" w:hAnsi="ITC Avant Garde" w:cs="Arial"/>
        </w:rPr>
        <w:t xml:space="preserve">esta autoridad se encuentra obligada a llevar a cabo el análisis respectivo a efecto de determinar cuál es </w:t>
      </w:r>
      <w:r w:rsidR="00F531F2" w:rsidRPr="002A2450">
        <w:rPr>
          <w:rFonts w:ascii="ITC Avant Garde" w:eastAsia="Times New Roman" w:hAnsi="ITC Avant Garde"/>
          <w:bCs/>
          <w:lang w:eastAsia="es-MX"/>
        </w:rPr>
        <w:t xml:space="preserve">el ordenamiento aplicable en la materia </w:t>
      </w:r>
      <w:r w:rsidR="00856120">
        <w:rPr>
          <w:rFonts w:ascii="ITC Avant Garde" w:eastAsia="Times New Roman" w:hAnsi="ITC Avant Garde"/>
          <w:bCs/>
          <w:lang w:eastAsia="es-MX"/>
        </w:rPr>
        <w:t xml:space="preserve">y </w:t>
      </w:r>
      <w:r w:rsidRPr="002A2450">
        <w:rPr>
          <w:rFonts w:ascii="ITC Avant Garde" w:eastAsia="Times New Roman" w:hAnsi="ITC Avant Garde"/>
          <w:bCs/>
          <w:lang w:eastAsia="es-MX"/>
        </w:rPr>
        <w:t>la consecuencia de incumplir con la condici</w:t>
      </w:r>
      <w:r w:rsidR="00856120">
        <w:rPr>
          <w:rFonts w:ascii="ITC Avant Garde" w:eastAsia="Times New Roman" w:hAnsi="ITC Avant Garde"/>
          <w:bCs/>
          <w:lang w:eastAsia="es-MX"/>
        </w:rPr>
        <w:t>ó</w:t>
      </w:r>
      <w:r w:rsidRPr="002A2450">
        <w:rPr>
          <w:rFonts w:ascii="ITC Avant Garde" w:eastAsia="Times New Roman" w:hAnsi="ITC Avant Garde"/>
          <w:bCs/>
          <w:lang w:eastAsia="es-MX"/>
        </w:rPr>
        <w:t xml:space="preserve">n establecida en </w:t>
      </w:r>
      <w:r w:rsidR="00856120">
        <w:rPr>
          <w:rFonts w:ascii="ITC Avant Garde" w:eastAsia="Times New Roman" w:hAnsi="ITC Avant Garde"/>
          <w:bCs/>
          <w:lang w:eastAsia="es-MX"/>
        </w:rPr>
        <w:t>e</w:t>
      </w:r>
      <w:r w:rsidRPr="002A2450">
        <w:rPr>
          <w:rFonts w:ascii="ITC Avant Garde" w:eastAsia="Times New Roman" w:hAnsi="ITC Avant Garde"/>
          <w:bCs/>
          <w:lang w:eastAsia="es-MX"/>
        </w:rPr>
        <w:t xml:space="preserve">l respectivo </w:t>
      </w:r>
      <w:r w:rsidR="00856120" w:rsidRPr="00F76758">
        <w:rPr>
          <w:rFonts w:ascii="ITC Avant Garde" w:hAnsi="ITC Avant Garde" w:cs="Arial"/>
          <w:b/>
        </w:rPr>
        <w:t>“TÍTULO DE CONCESIÓN”</w:t>
      </w:r>
      <w:r w:rsidRPr="002A2450">
        <w:rPr>
          <w:rFonts w:ascii="ITC Avant Garde" w:eastAsia="Times New Roman" w:hAnsi="ITC Avant Garde"/>
          <w:bCs/>
          <w:lang w:eastAsia="es-MX"/>
        </w:rPr>
        <w:t>, con lo cual se cumpl</w:t>
      </w:r>
      <w:r w:rsidR="00841FB0">
        <w:rPr>
          <w:rFonts w:ascii="ITC Avant Garde" w:eastAsia="Times New Roman" w:hAnsi="ITC Avant Garde"/>
          <w:bCs/>
          <w:lang w:eastAsia="es-MX"/>
        </w:rPr>
        <w:t>iría</w:t>
      </w:r>
      <w:r w:rsidRPr="002A2450">
        <w:rPr>
          <w:rFonts w:ascii="ITC Avant Garde" w:eastAsia="Times New Roman" w:hAnsi="ITC Avant Garde"/>
          <w:bCs/>
          <w:lang w:eastAsia="es-MX"/>
        </w:rPr>
        <w:t xml:space="preserve"> con el aducido principio de tipicidad al precisar cuáles son las consecuencias jurídicas de llevar a cabo determinada conducta.</w:t>
      </w:r>
    </w:p>
    <w:p w14:paraId="0BE50941" w14:textId="77777777" w:rsidR="00B35F13" w:rsidRDefault="00841FB0" w:rsidP="00B35F13">
      <w:pPr>
        <w:spacing w:before="240" w:line="360" w:lineRule="auto"/>
        <w:jc w:val="both"/>
        <w:rPr>
          <w:rFonts w:ascii="ITC Avant Garde" w:eastAsia="Times New Roman" w:hAnsi="ITC Avant Garde"/>
          <w:bCs/>
          <w:lang w:eastAsia="es-MX"/>
        </w:rPr>
      </w:pPr>
      <w:r>
        <w:rPr>
          <w:rFonts w:ascii="ITC Avant Garde" w:eastAsia="Times New Roman" w:hAnsi="ITC Avant Garde"/>
          <w:bCs/>
          <w:lang w:eastAsia="es-MX"/>
        </w:rPr>
        <w:lastRenderedPageBreak/>
        <w:t xml:space="preserve">Al respecto, debe señalarse que </w:t>
      </w:r>
      <w:r w:rsidR="005B094E" w:rsidRPr="002A2450">
        <w:rPr>
          <w:rFonts w:ascii="ITC Avant Garde" w:eastAsia="Times New Roman" w:hAnsi="ITC Avant Garde"/>
          <w:bCs/>
          <w:lang w:eastAsia="es-MX"/>
        </w:rPr>
        <w:t>la duración de la conducta que es materia de la presente resolución</w:t>
      </w:r>
      <w:r>
        <w:rPr>
          <w:rFonts w:ascii="ITC Avant Garde" w:eastAsia="Times New Roman" w:hAnsi="ITC Avant Garde"/>
          <w:bCs/>
          <w:lang w:eastAsia="es-MX"/>
        </w:rPr>
        <w:t xml:space="preserve"> inició </w:t>
      </w:r>
      <w:r w:rsidR="00F458C9" w:rsidRPr="002A2450">
        <w:rPr>
          <w:rFonts w:ascii="ITC Avant Garde" w:eastAsia="Times New Roman" w:hAnsi="ITC Avant Garde"/>
          <w:bCs/>
          <w:lang w:eastAsia="es-MX"/>
        </w:rPr>
        <w:t xml:space="preserve">el veinticuatro de noviembre de dos mil ocho </w:t>
      </w:r>
      <w:r>
        <w:rPr>
          <w:rFonts w:ascii="ITC Avant Garde" w:eastAsia="Times New Roman" w:hAnsi="ITC Avant Garde"/>
          <w:bCs/>
          <w:lang w:eastAsia="es-MX"/>
        </w:rPr>
        <w:t>y cesó e</w:t>
      </w:r>
      <w:r w:rsidR="00F458C9" w:rsidRPr="002A2450">
        <w:rPr>
          <w:rFonts w:ascii="ITC Avant Garde" w:eastAsia="Times New Roman" w:hAnsi="ITC Avant Garde"/>
          <w:bCs/>
          <w:lang w:eastAsia="es-MX"/>
        </w:rPr>
        <w:t>l ocho de agosto de dos mil catorce</w:t>
      </w:r>
      <w:r w:rsidR="005B094E" w:rsidRPr="002A2450">
        <w:rPr>
          <w:rFonts w:ascii="ITC Avant Garde" w:eastAsia="Times New Roman" w:hAnsi="ITC Avant Garde"/>
          <w:bCs/>
          <w:lang w:eastAsia="es-MX"/>
        </w:rPr>
        <w:t xml:space="preserve">, </w:t>
      </w:r>
      <w:r>
        <w:rPr>
          <w:rFonts w:ascii="ITC Avant Garde" w:eastAsia="Times New Roman" w:hAnsi="ITC Avant Garde"/>
          <w:bCs/>
          <w:lang w:eastAsia="es-MX"/>
        </w:rPr>
        <w:t xml:space="preserve">por lo que este Pleno </w:t>
      </w:r>
      <w:r w:rsidR="005B094E" w:rsidRPr="002A2450">
        <w:rPr>
          <w:rFonts w:ascii="ITC Avant Garde" w:eastAsia="Times New Roman" w:hAnsi="ITC Avant Garde"/>
          <w:bCs/>
          <w:lang w:eastAsia="es-MX"/>
        </w:rPr>
        <w:t>previo a la determinación correspondiente procederá a realizar el análisis de la legislación que resulte aplicable atendiendo al momento en que se haya consumado o hayan cesado los efectos de la conducta que se pretende sancionar.</w:t>
      </w:r>
    </w:p>
    <w:p w14:paraId="6C1D4609" w14:textId="77777777" w:rsidR="00B35F13" w:rsidRDefault="00EB6A31"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De lo anterior podemos concluir que el principio de tipicidad sólo se cumple cuando en una norma consta una predeterminación tanto de la infracción como de la sanción, es decir que la </w:t>
      </w:r>
      <w:r w:rsidR="00841FB0" w:rsidRPr="002A2450">
        <w:rPr>
          <w:rFonts w:ascii="ITC Avant Garde" w:eastAsia="Times New Roman" w:hAnsi="ITC Avant Garde"/>
          <w:bCs/>
          <w:lang w:eastAsia="es-MX"/>
        </w:rPr>
        <w:t xml:space="preserve">Ley </w:t>
      </w:r>
      <w:r w:rsidRPr="002A2450">
        <w:rPr>
          <w:rFonts w:ascii="ITC Avant Garde" w:eastAsia="Times New Roman" w:hAnsi="ITC Avant Garde"/>
          <w:bCs/>
          <w:lang w:eastAsia="es-MX"/>
        </w:rPr>
        <w:t>describa un supuesto de hecho determinado que permita predecir las conductas infractoras y las sanciones correspondientes para tal actualización de hechos, situación que se hace patente en el presente asunto.</w:t>
      </w:r>
    </w:p>
    <w:p w14:paraId="464CEBB6"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otra parte, resulta importante mencionar que para el ejercicio de la facultad sancionadora en el caso de incumplimiento de las disposiciones legales en materia de telecomunicaciones, </w:t>
      </w:r>
      <w:r w:rsidR="005B094E" w:rsidRPr="002A2450">
        <w:rPr>
          <w:rFonts w:ascii="ITC Avant Garde" w:eastAsia="Times New Roman" w:hAnsi="ITC Avant Garde"/>
          <w:bCs/>
          <w:lang w:eastAsia="es-MX"/>
        </w:rPr>
        <w:t xml:space="preserve">el artículo 297, párrafo primero, de la </w:t>
      </w:r>
      <w:r w:rsidR="005B094E" w:rsidRPr="002A2450">
        <w:rPr>
          <w:rFonts w:ascii="ITC Avant Garde" w:eastAsia="Times New Roman" w:hAnsi="ITC Avant Garde"/>
          <w:b/>
          <w:bCs/>
          <w:lang w:eastAsia="es-MX"/>
        </w:rPr>
        <w:t>“</w:t>
      </w:r>
      <w:proofErr w:type="spellStart"/>
      <w:r w:rsidR="005B094E" w:rsidRPr="002A2450">
        <w:rPr>
          <w:rFonts w:ascii="ITC Avant Garde" w:eastAsia="Times New Roman" w:hAnsi="ITC Avant Garde"/>
          <w:b/>
          <w:bCs/>
          <w:lang w:eastAsia="es-MX"/>
        </w:rPr>
        <w:t>LFTyR</w:t>
      </w:r>
      <w:proofErr w:type="spellEnd"/>
      <w:r w:rsidR="005B094E" w:rsidRPr="002A2450">
        <w:rPr>
          <w:rFonts w:ascii="ITC Avant Garde" w:eastAsia="Times New Roman" w:hAnsi="ITC Avant Garde"/>
          <w:b/>
          <w:bCs/>
          <w:lang w:eastAsia="es-MX"/>
        </w:rPr>
        <w:t>”</w:t>
      </w:r>
      <w:r w:rsidR="005B094E" w:rsidRPr="002A2450">
        <w:rPr>
          <w:rFonts w:ascii="ITC Avant Garde" w:eastAsia="Times New Roman" w:hAnsi="ITC Avant Garde"/>
          <w:bCs/>
          <w:lang w:eastAsia="es-MX"/>
        </w:rPr>
        <w:t xml:space="preserve"> </w:t>
      </w:r>
      <w:r w:rsidRPr="002A2450">
        <w:rPr>
          <w:rFonts w:ascii="ITC Avant Garde" w:eastAsia="Times New Roman" w:hAnsi="ITC Avant Garde"/>
          <w:bCs/>
          <w:lang w:eastAsia="es-MX"/>
        </w:rPr>
        <w:t xml:space="preserve">establece que para la imposición de las sanciones previstas en dicho cuerpo normativo, se estará a lo previsto por la </w:t>
      </w:r>
      <w:r w:rsidR="00697114" w:rsidRPr="002A2450">
        <w:rPr>
          <w:rFonts w:ascii="ITC Avant Garde" w:eastAsia="Times New Roman" w:hAnsi="ITC Avant Garde"/>
          <w:b/>
          <w:bCs/>
          <w:lang w:eastAsia="es-MX"/>
        </w:rPr>
        <w:t>“</w:t>
      </w:r>
      <w:r w:rsidRPr="002A2450">
        <w:rPr>
          <w:rFonts w:ascii="ITC Avant Garde" w:eastAsia="Times New Roman" w:hAnsi="ITC Avant Garde"/>
          <w:b/>
          <w:bCs/>
          <w:lang w:eastAsia="es-MX"/>
        </w:rPr>
        <w:t>LFPA</w:t>
      </w:r>
      <w:r w:rsidR="00697114" w:rsidRPr="002A2450">
        <w:rPr>
          <w:rFonts w:ascii="ITC Avant Garde" w:eastAsia="Times New Roman" w:hAnsi="ITC Avant Garde"/>
          <w:b/>
          <w:bCs/>
          <w:lang w:eastAsia="es-MX"/>
        </w:rPr>
        <w:t>”</w:t>
      </w:r>
      <w:r w:rsidRPr="002A2450">
        <w:rPr>
          <w:rFonts w:ascii="ITC Avant Garde" w:eastAsia="Times New Roman" w:hAnsi="ITC Avant Garde"/>
          <w:bCs/>
          <w:lang w:eastAsia="es-MX"/>
        </w:rPr>
        <w:t>, la cual prevé dentro de su Título Cuarto, Capítulo Único, el procedimiento para la imposición de infracciones y sanciones administrativas.</w:t>
      </w:r>
    </w:p>
    <w:p w14:paraId="3BB00C4B" w14:textId="77777777" w:rsidR="00B35F13" w:rsidRDefault="00EB6A31" w:rsidP="00B35F13">
      <w:pPr>
        <w:pStyle w:val="Textoindependiente"/>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efecto, los artículos 70 y 72 de la </w:t>
      </w:r>
      <w:r w:rsidRPr="002A2450">
        <w:rPr>
          <w:rFonts w:ascii="ITC Avant Garde" w:eastAsia="Times New Roman" w:hAnsi="ITC Avant Garde"/>
          <w:b/>
          <w:bCs/>
          <w:lang w:eastAsia="es-MX"/>
        </w:rPr>
        <w:t>“LFPA”</w:t>
      </w:r>
      <w:r w:rsidRPr="002A2450">
        <w:rPr>
          <w:rFonts w:ascii="ITC Avant Garde" w:eastAsia="Times New Roman" w:hAnsi="ITC Avant Garde"/>
          <w:bCs/>
          <w:lang w:eastAsia="es-MX"/>
        </w:rPr>
        <w:t>, establecen que para la imposición de una sanción, se deben cubrir dos premisas: i) que la sanción se encuentre prevista en la ley y ii) que previ</w:t>
      </w:r>
      <w:r w:rsidR="00841FB0">
        <w:rPr>
          <w:rFonts w:ascii="ITC Avant Garde" w:eastAsia="Times New Roman" w:hAnsi="ITC Avant Garde"/>
          <w:bCs/>
          <w:lang w:eastAsia="es-MX"/>
        </w:rPr>
        <w:t>amente</w:t>
      </w:r>
      <w:r w:rsidRPr="002A2450">
        <w:rPr>
          <w:rFonts w:ascii="ITC Avant Garde" w:eastAsia="Times New Roman" w:hAnsi="ITC Avant Garde"/>
          <w:bCs/>
          <w:lang w:eastAsia="es-MX"/>
        </w:rPr>
        <w:t xml:space="preserv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14:paraId="4DF15FF4" w14:textId="77777777" w:rsidR="00B35F13" w:rsidRDefault="00EB6A31" w:rsidP="00B35F13">
      <w:pPr>
        <w:spacing w:before="240" w:line="360" w:lineRule="auto"/>
        <w:jc w:val="both"/>
        <w:rPr>
          <w:rFonts w:ascii="ITC Avant Garde" w:hAnsi="ITC Avant Garde"/>
          <w:b/>
        </w:rPr>
      </w:pPr>
      <w:r w:rsidRPr="002A2450">
        <w:rPr>
          <w:rFonts w:ascii="ITC Avant Garde" w:eastAsia="Times New Roman" w:hAnsi="ITC Avant Garde"/>
          <w:bCs/>
          <w:color w:val="000000"/>
          <w:lang w:val="x-none" w:eastAsia="es-MX"/>
        </w:rPr>
        <w:t xml:space="preserve">Así las cosas, al iniciarse el procedimiento administrativo de imposición de sanción en contra de </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TELMEX</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 xml:space="preserve"> </w:t>
      </w:r>
      <w:r w:rsidRPr="002A2450">
        <w:rPr>
          <w:rFonts w:ascii="ITC Avant Garde" w:eastAsia="Times New Roman" w:hAnsi="ITC Avant Garde"/>
          <w:bCs/>
          <w:color w:val="000000"/>
          <w:lang w:val="x-none" w:eastAsia="es-MX"/>
        </w:rPr>
        <w:t>se presumió el incumplimiento a</w:t>
      </w:r>
      <w:r w:rsidRPr="002A2450">
        <w:rPr>
          <w:rFonts w:ascii="ITC Avant Garde" w:eastAsia="Times New Roman" w:hAnsi="ITC Avant Garde"/>
          <w:bCs/>
          <w:color w:val="000000"/>
          <w:lang w:eastAsia="es-MX"/>
        </w:rPr>
        <w:t xml:space="preserve">l </w:t>
      </w:r>
      <w:r w:rsidRPr="002A2450">
        <w:rPr>
          <w:rFonts w:ascii="ITC Avant Garde" w:eastAsia="Times New Roman" w:hAnsi="ITC Avant Garde"/>
          <w:b/>
          <w:bCs/>
          <w:color w:val="000000"/>
          <w:lang w:eastAsia="es-MX"/>
        </w:rPr>
        <w:t xml:space="preserve">Tercer Párrafo de la Condición 1-9 </w:t>
      </w:r>
      <w:r w:rsidRPr="002A2450">
        <w:rPr>
          <w:rFonts w:ascii="ITC Avant Garde" w:eastAsia="Times New Roman" w:hAnsi="ITC Avant Garde"/>
          <w:bCs/>
          <w:color w:val="000000"/>
          <w:lang w:eastAsia="es-MX"/>
        </w:rPr>
        <w:t>de su</w:t>
      </w:r>
      <w:r w:rsidRPr="002A2450">
        <w:rPr>
          <w:rFonts w:ascii="ITC Avant Garde" w:eastAsia="Times New Roman" w:hAnsi="ITC Avant Garde"/>
          <w:b/>
          <w:bCs/>
          <w:color w:val="000000"/>
          <w:lang w:eastAsia="es-MX"/>
        </w:rPr>
        <w:t xml:space="preserve"> </w:t>
      </w:r>
      <w:r w:rsidR="00A403F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TÍTULO DE CONCESIÓN</w:t>
      </w:r>
      <w:r w:rsidR="00A403F4" w:rsidRPr="002A2450">
        <w:rPr>
          <w:rFonts w:ascii="ITC Avant Garde" w:eastAsia="Times New Roman" w:hAnsi="ITC Avant Garde"/>
          <w:b/>
          <w:bCs/>
          <w:color w:val="000000"/>
          <w:lang w:eastAsia="es-MX"/>
        </w:rPr>
        <w:t>”</w:t>
      </w:r>
      <w:r w:rsidRPr="002A2450">
        <w:rPr>
          <w:rFonts w:ascii="ITC Avant Garde" w:hAnsi="ITC Avant Garde"/>
          <w:b/>
        </w:rPr>
        <w:t xml:space="preserve">, </w:t>
      </w:r>
      <w:r w:rsidRPr="002A2450">
        <w:rPr>
          <w:rFonts w:ascii="ITC Avant Garde" w:eastAsia="Times New Roman" w:hAnsi="ITC Avant Garde"/>
          <w:bCs/>
          <w:color w:val="000000"/>
          <w:lang w:val="x-none" w:eastAsia="es-MX"/>
        </w:rPr>
        <w:t>ya que</w:t>
      </w:r>
      <w:r w:rsidRPr="002A2450">
        <w:rPr>
          <w:rFonts w:ascii="ITC Avant Garde" w:hAnsi="ITC Avant Garde"/>
        </w:rPr>
        <w:t xml:space="preserve"> derivado del análisis del </w:t>
      </w:r>
      <w:r w:rsidRPr="002A2450">
        <w:rPr>
          <w:rFonts w:ascii="ITC Avant Garde" w:hAnsi="ITC Avant Garde"/>
        </w:rPr>
        <w:lastRenderedPageBreak/>
        <w:t xml:space="preserve">contenido obligacional de diversos contratos y documentos celebrados por </w:t>
      </w:r>
      <w:r w:rsidR="00697114" w:rsidRPr="002A2450">
        <w:rPr>
          <w:rFonts w:ascii="ITC Avant Garde" w:hAnsi="ITC Avant Garde"/>
          <w:b/>
        </w:rPr>
        <w:t>“</w:t>
      </w:r>
      <w:r w:rsidRPr="002A2450">
        <w:rPr>
          <w:rFonts w:ascii="ITC Avant Garde" w:hAnsi="ITC Avant Garde"/>
          <w:b/>
        </w:rPr>
        <w:t>TELMEX</w:t>
      </w:r>
      <w:r w:rsidR="00697114" w:rsidRPr="002A2450">
        <w:rPr>
          <w:rFonts w:ascii="ITC Avant Garde" w:hAnsi="ITC Avant Garde"/>
          <w:b/>
        </w:rPr>
        <w:t>”</w:t>
      </w:r>
      <w:r w:rsidRPr="002A2450">
        <w:rPr>
          <w:rFonts w:ascii="ITC Avant Garde" w:hAnsi="ITC Avant Garde"/>
        </w:rPr>
        <w:t xml:space="preserve"> se materializan facultades y prerrogativas establecidas en dichos instrumentos que entrañan un vínculo jurídico que le permite a la primera tener injerencia directa en la operación del</w:t>
      </w:r>
      <w:r w:rsidR="00A403F4" w:rsidRPr="002A2450">
        <w:rPr>
          <w:rFonts w:ascii="ITC Avant Garde" w:hAnsi="ITC Avant Garde"/>
        </w:rPr>
        <w:t xml:space="preserve"> sistema </w:t>
      </w:r>
      <w:r w:rsidR="00A403F4" w:rsidRPr="002A2450">
        <w:rPr>
          <w:rFonts w:ascii="ITC Avant Garde" w:hAnsi="ITC Avant Garde"/>
          <w:b/>
        </w:rPr>
        <w:t>“DISH”</w:t>
      </w:r>
      <w:r w:rsidR="00A403F4" w:rsidRPr="002A2450">
        <w:rPr>
          <w:rFonts w:ascii="ITC Avant Garde" w:hAnsi="ITC Avant Garde"/>
        </w:rPr>
        <w:t xml:space="preserve"> </w:t>
      </w:r>
      <w:r w:rsidRPr="002A2450">
        <w:rPr>
          <w:rFonts w:ascii="ITC Avant Garde" w:hAnsi="ITC Avant Garde"/>
        </w:rPr>
        <w:t xml:space="preserve">para explotar de manera indirecta un servicio de televisión en el país, </w:t>
      </w:r>
      <w:r w:rsidR="00E6535E" w:rsidRPr="002A2450">
        <w:rPr>
          <w:rFonts w:ascii="ITC Avant Garde" w:hAnsi="ITC Avant Garde"/>
        </w:rPr>
        <w:t xml:space="preserve">autorizado conforme al </w:t>
      </w:r>
      <w:r w:rsidRPr="002A2450">
        <w:rPr>
          <w:rFonts w:ascii="ITC Avant Garde" w:hAnsi="ITC Avant Garde"/>
        </w:rPr>
        <w:t xml:space="preserve">título de concesión que le fue conferido a </w:t>
      </w:r>
      <w:r w:rsidR="00697114" w:rsidRPr="002A2450">
        <w:rPr>
          <w:rFonts w:ascii="ITC Avant Garde" w:hAnsi="ITC Avant Garde"/>
          <w:b/>
        </w:rPr>
        <w:t>“</w:t>
      </w:r>
      <w:r w:rsidRPr="002A2450">
        <w:rPr>
          <w:rFonts w:ascii="ITC Avant Garde" w:hAnsi="ITC Avant Garde"/>
          <w:b/>
        </w:rPr>
        <w:t>COFRESA</w:t>
      </w:r>
      <w:r w:rsidR="00697114" w:rsidRPr="002A2450">
        <w:rPr>
          <w:rFonts w:ascii="ITC Avant Garde" w:hAnsi="ITC Avant Garde"/>
          <w:b/>
        </w:rPr>
        <w:t>”</w:t>
      </w:r>
      <w:r w:rsidRPr="002A2450">
        <w:rPr>
          <w:rFonts w:ascii="ITC Avant Garde" w:eastAsia="Times New Roman" w:hAnsi="ITC Avant Garde"/>
          <w:bCs/>
          <w:color w:val="000000"/>
          <w:lang w:eastAsia="es-MX"/>
        </w:rPr>
        <w:t>.</w:t>
      </w:r>
    </w:p>
    <w:p w14:paraId="167B701F" w14:textId="77777777" w:rsidR="00B35F13" w:rsidRDefault="00EB6A31" w:rsidP="00B35F13">
      <w:pPr>
        <w:spacing w:before="240" w:line="360" w:lineRule="auto"/>
        <w:jc w:val="both"/>
        <w:rPr>
          <w:rFonts w:ascii="ITC Avant Garde" w:eastAsia="Times New Roman" w:hAnsi="ITC Avant Garde"/>
          <w:bCs/>
          <w:color w:val="000000"/>
          <w:lang w:val="x-none" w:eastAsia="es-MX"/>
        </w:rPr>
      </w:pPr>
      <w:r w:rsidRPr="002A2450">
        <w:rPr>
          <w:rFonts w:ascii="ITC Avant Garde" w:eastAsia="Times New Roman" w:hAnsi="ITC Avant Garde"/>
          <w:bCs/>
          <w:color w:val="000000"/>
          <w:lang w:val="x-none" w:eastAsia="es-MX"/>
        </w:rPr>
        <w:t xml:space="preserve">En este sentido, a través del acuerdo de inicio de procedimiento, la Unidad de Cumplimiento dio a conocer a </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TELMEX</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 xml:space="preserve"> la conducta que presuntamente viola </w:t>
      </w:r>
      <w:r w:rsidRPr="002A2450">
        <w:rPr>
          <w:rFonts w:ascii="ITC Avant Garde" w:eastAsia="Times New Roman" w:hAnsi="ITC Avant Garde"/>
          <w:bCs/>
          <w:color w:val="000000"/>
          <w:lang w:eastAsia="es-MX"/>
        </w:rPr>
        <w:t xml:space="preserve">el </w:t>
      </w:r>
      <w:r w:rsidRPr="002A2450">
        <w:rPr>
          <w:rFonts w:ascii="ITC Avant Garde" w:eastAsia="Times New Roman" w:hAnsi="ITC Avant Garde"/>
          <w:b/>
          <w:bCs/>
          <w:color w:val="000000"/>
          <w:lang w:eastAsia="es-MX"/>
        </w:rPr>
        <w:t xml:space="preserve">Tercero Párrafo de la Condición 1-9 </w:t>
      </w:r>
      <w:r w:rsidRPr="002A2450">
        <w:rPr>
          <w:rFonts w:ascii="ITC Avant Garde" w:eastAsia="Times New Roman" w:hAnsi="ITC Avant Garde"/>
          <w:bCs/>
          <w:color w:val="000000"/>
          <w:lang w:eastAsia="es-MX"/>
        </w:rPr>
        <w:t>de su</w:t>
      </w:r>
      <w:r w:rsidRPr="002A2450">
        <w:rPr>
          <w:rFonts w:ascii="ITC Avant Garde" w:eastAsia="Times New Roman" w:hAnsi="ITC Avant Garde"/>
          <w:b/>
          <w:bCs/>
          <w:color w:val="000000"/>
          <w:lang w:eastAsia="es-MX"/>
        </w:rPr>
        <w:t xml:space="preserve"> </w:t>
      </w:r>
      <w:r w:rsidR="00A403F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TÍTULO DE CONCESIÓN</w:t>
      </w:r>
      <w:r w:rsidR="00A403F4"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 xml:space="preserve">. Por ello, se le otorgó un término de quince días hábiles para que en uso de su garantía de audiencia rindiera las pruebas y manifestara por escrito lo que a su derecho conviniera, de conformidad con el artículo 14 de la </w:t>
      </w:r>
      <w:r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CPEUM</w:t>
      </w:r>
      <w:r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w:t>
      </w:r>
      <w:r w:rsidRPr="002A2450">
        <w:rPr>
          <w:rFonts w:ascii="ITC Avant Garde" w:eastAsia="Times New Roman" w:hAnsi="ITC Avant Garde"/>
          <w:bCs/>
          <w:color w:val="000000"/>
          <w:lang w:val="x-none" w:eastAsia="es-MX"/>
        </w:rPr>
        <w:t xml:space="preserve"> en relación con el 72 de la </w:t>
      </w:r>
      <w:r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LFPA</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w:t>
      </w:r>
    </w:p>
    <w:p w14:paraId="5B85D350" w14:textId="77777777" w:rsidR="00B35F13" w:rsidRDefault="00EB6A31" w:rsidP="00B35F13">
      <w:pPr>
        <w:spacing w:before="240" w:line="360" w:lineRule="auto"/>
        <w:jc w:val="both"/>
        <w:rPr>
          <w:rFonts w:ascii="ITC Avant Garde" w:eastAsia="Times New Roman" w:hAnsi="ITC Avant Garde"/>
          <w:bCs/>
          <w:color w:val="000000"/>
          <w:lang w:val="x-none" w:eastAsia="es-MX"/>
        </w:rPr>
      </w:pPr>
      <w:r w:rsidRPr="002A2450">
        <w:rPr>
          <w:rFonts w:ascii="ITC Avant Garde" w:eastAsia="Times New Roman" w:hAnsi="ITC Avant Garde"/>
          <w:bCs/>
          <w:color w:val="000000"/>
          <w:lang w:val="x-none" w:eastAsia="es-MX"/>
        </w:rPr>
        <w:t xml:space="preserve">Concluido el periodo de pruebas, de acuerdo con lo que dispone el artículo 56 de la </w:t>
      </w:r>
      <w:r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LFPA</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 la Unidad de Cumplimiento puso las actuaciones a disposición del interesado, para que éste formulara sus alegatos.</w:t>
      </w:r>
    </w:p>
    <w:p w14:paraId="3D5C2458" w14:textId="77777777" w:rsidR="00B35F13" w:rsidRDefault="00EB6A31" w:rsidP="00B35F13">
      <w:pPr>
        <w:spacing w:before="240" w:line="360" w:lineRule="auto"/>
        <w:jc w:val="both"/>
        <w:rPr>
          <w:rFonts w:ascii="ITC Avant Garde" w:eastAsia="Times New Roman" w:hAnsi="ITC Avant Garde"/>
          <w:bCs/>
          <w:color w:val="000000"/>
          <w:lang w:val="x-none" w:eastAsia="es-MX"/>
        </w:rPr>
      </w:pPr>
      <w:r w:rsidRPr="002A2450">
        <w:rPr>
          <w:rFonts w:ascii="ITC Avant Garde" w:eastAsia="Times New Roman" w:hAnsi="ITC Avant Garde"/>
          <w:bCs/>
          <w:color w:val="000000"/>
          <w:lang w:val="x-none" w:eastAsia="es-MX"/>
        </w:rPr>
        <w:t>Una vez desahogado el periodo probatorio y vencido el plazo para formular alegatos, la Unidad de Cumplimiento remitió el expediente de mérito para dictar la resolución que en derecho corresponda.</w:t>
      </w:r>
    </w:p>
    <w:p w14:paraId="5E87BB07" w14:textId="77777777" w:rsidR="00B35F13" w:rsidRDefault="00EB6A31" w:rsidP="00B35F13">
      <w:pPr>
        <w:spacing w:before="240" w:line="360" w:lineRule="auto"/>
        <w:jc w:val="both"/>
        <w:rPr>
          <w:rFonts w:ascii="ITC Avant Garde" w:eastAsia="Times New Roman" w:hAnsi="ITC Avant Garde"/>
          <w:bCs/>
          <w:color w:val="000000"/>
          <w:lang w:val="x-none" w:eastAsia="es-MX"/>
        </w:rPr>
      </w:pPr>
      <w:r w:rsidRPr="002A2450">
        <w:rPr>
          <w:rFonts w:ascii="ITC Avant Garde" w:eastAsia="Times New Roman" w:hAnsi="ITC Avant Garde"/>
          <w:bCs/>
          <w:color w:val="000000"/>
          <w:lang w:val="x-none" w:eastAsia="es-MX"/>
        </w:rPr>
        <w:t xml:space="preserve">Bajo ese contexto, el procedimiento administrativo de imposición de sanciones que se sustancia se realizó conforme a los términos y principios procesales que establece la </w:t>
      </w:r>
      <w:r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LFPA</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 xml:space="preserve"> consistentes en: i) otorgar garantía de audiencia al presunto infractor; ii) desahogar pruebas; iii) recibir alegatos y iv) emitir la resolución que en derecho corresponda.</w:t>
      </w:r>
      <w:r w:rsidRPr="002A2450">
        <w:rPr>
          <w:rFonts w:ascii="ITC Avant Garde" w:eastAsia="Times New Roman" w:hAnsi="ITC Avant Garde"/>
          <w:bCs/>
          <w:color w:val="000000"/>
          <w:vertAlign w:val="superscript"/>
          <w:lang w:val="x-none" w:eastAsia="es-MX"/>
        </w:rPr>
        <w:footnoteReference w:id="11"/>
      </w:r>
    </w:p>
    <w:p w14:paraId="7511BE0F" w14:textId="77777777" w:rsidR="00B35F13" w:rsidRDefault="00EB6A31" w:rsidP="00B35F13">
      <w:pPr>
        <w:spacing w:before="240" w:line="360" w:lineRule="auto"/>
        <w:jc w:val="both"/>
        <w:rPr>
          <w:rFonts w:ascii="ITC Avant Garde" w:eastAsia="Times New Roman" w:hAnsi="ITC Avant Garde"/>
          <w:bCs/>
          <w:color w:val="000000"/>
          <w:lang w:val="x-none" w:eastAsia="es-MX"/>
        </w:rPr>
      </w:pPr>
      <w:r w:rsidRPr="002A2450">
        <w:rPr>
          <w:rFonts w:ascii="ITC Avant Garde" w:eastAsia="Times New Roman" w:hAnsi="ITC Avant Garde"/>
          <w:bCs/>
          <w:color w:val="000000"/>
          <w:lang w:val="x-none" w:eastAsia="es-MX"/>
        </w:rPr>
        <w:lastRenderedPageBreak/>
        <w:t xml:space="preserve">En las relatadas condiciones, al tramitarse el procedimiento administrativo de imposición de sanción bajo las anteriores premisas, debe tenerse por satisfecho el cumplimiento de lo dispuesto en la </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val="x-none" w:eastAsia="es-MX"/>
        </w:rPr>
        <w:t>CPEUM</w:t>
      </w:r>
      <w:r w:rsidR="00697114"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val="x-none" w:eastAsia="es-MX"/>
        </w:rPr>
        <w:t>, las leyes ordinarias y los criterios judiciales que señalan cuál debe ser el actuar de la autoridad para resolver el presente caso.</w:t>
      </w:r>
    </w:p>
    <w:p w14:paraId="23479707" w14:textId="77777777" w:rsidR="00B35F13" w:rsidRDefault="00262B95" w:rsidP="001B0FC3">
      <w:pPr>
        <w:pStyle w:val="Ttulo3"/>
      </w:pPr>
      <w:bookmarkStart w:id="64" w:name="_Toc477170167"/>
      <w:r w:rsidRPr="002A2450">
        <w:t>TERCERO. Hechos motivo del procedimiento administrativo de imposición de sanción.</w:t>
      </w:r>
      <w:bookmarkEnd w:id="64"/>
    </w:p>
    <w:p w14:paraId="33C09803" w14:textId="77777777" w:rsidR="00B35F13" w:rsidRDefault="00F458C9"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El veinticuatro de agosto de dos mil quince, la Unidad de Cumplimiento de este </w:t>
      </w:r>
      <w:r w:rsidRPr="002A2450">
        <w:rPr>
          <w:rFonts w:ascii="ITC Avant Garde" w:hAnsi="ITC Avant Garde"/>
          <w:b/>
        </w:rPr>
        <w:t>“Instituto”</w:t>
      </w:r>
      <w:r w:rsidRPr="002A2450">
        <w:rPr>
          <w:rFonts w:ascii="ITC Avant Garde" w:hAnsi="ITC Avant Garde"/>
        </w:rPr>
        <w:t xml:space="preserve">, emitió el acuerdo de inicio del procedimiento administrativo de imposición de sanción </w:t>
      </w:r>
      <w:r w:rsidRPr="002A2450">
        <w:rPr>
          <w:rFonts w:ascii="ITC Avant Garde" w:eastAsia="Times New Roman" w:hAnsi="ITC Avant Garde"/>
          <w:bCs/>
          <w:color w:val="000000"/>
          <w:lang w:eastAsia="es-MX"/>
        </w:rPr>
        <w:t xml:space="preserve">en contra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por el probable incumplimiento a lo dispuesto en la </w:t>
      </w:r>
      <w:r w:rsidRPr="002A2450">
        <w:rPr>
          <w:rFonts w:ascii="ITC Avant Garde" w:eastAsia="Times New Roman" w:hAnsi="ITC Avant Garde"/>
          <w:b/>
          <w:bCs/>
          <w:color w:val="000000"/>
          <w:lang w:eastAsia="es-MX"/>
        </w:rPr>
        <w:t>condición 1</w:t>
      </w:r>
      <w:r w:rsidR="008525DA">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9 </w:t>
      </w:r>
      <w:r w:rsidR="008525DA">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Distribución de Señales de Televisión</w:t>
      </w:r>
      <w:r w:rsidR="008525DA">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 de su </w:t>
      </w:r>
      <w:r w:rsidR="008525DA">
        <w:rPr>
          <w:rFonts w:ascii="ITC Avant Garde" w:eastAsia="Times New Roman" w:hAnsi="ITC Avant Garde"/>
          <w:b/>
          <w:bCs/>
          <w:color w:val="000000"/>
          <w:lang w:eastAsia="es-MX"/>
        </w:rPr>
        <w:t>“</w:t>
      </w:r>
      <w:r w:rsidR="008525DA" w:rsidRPr="002A2450">
        <w:rPr>
          <w:rFonts w:ascii="ITC Avant Garde" w:eastAsia="Times New Roman" w:hAnsi="ITC Avant Garde"/>
          <w:b/>
          <w:bCs/>
          <w:color w:val="000000"/>
          <w:lang w:eastAsia="es-MX"/>
        </w:rPr>
        <w:t>TÍTULO DE CONCESIÓN</w:t>
      </w:r>
      <w:r w:rsidR="008525DA">
        <w:rPr>
          <w:rFonts w:ascii="ITC Avant Garde" w:eastAsia="Times New Roman" w:hAnsi="ITC Avant Garde"/>
          <w:b/>
          <w:bCs/>
          <w:color w:val="000000"/>
          <w:lang w:eastAsia="es-MX"/>
        </w:rPr>
        <w:t>”</w:t>
      </w:r>
      <w:r w:rsidR="008525DA"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
          <w:bCs/>
          <w:color w:val="000000"/>
          <w:lang w:eastAsia="es-MX"/>
        </w:rPr>
        <w:t>otorgado por la Secretaría de Comunicaciones y Transportes el diez de marzo de mil novecientos setenta y seis y modificado el diez de agosto de mil novecientos noventa, para construir, instalar, mantener, operar y explotar una red del servicio público telefónico</w:t>
      </w:r>
      <w:r w:rsidRPr="002A2450">
        <w:rPr>
          <w:rFonts w:ascii="ITC Avant Garde" w:eastAsia="Times New Roman" w:hAnsi="ITC Avant Garde"/>
          <w:bCs/>
          <w:color w:val="000000"/>
          <w:lang w:eastAsia="es-MX"/>
        </w:rPr>
        <w:t xml:space="preserve">, en ejercicio de las facultades señaladas en el artículo 41, en relación con el diverso 44, fracción I, del </w:t>
      </w:r>
      <w:r w:rsidRPr="002A2450">
        <w:rPr>
          <w:rFonts w:ascii="ITC Avant Garde" w:eastAsia="Times New Roman" w:hAnsi="ITC Avant Garde"/>
          <w:b/>
          <w:bCs/>
          <w:color w:val="000000"/>
          <w:lang w:eastAsia="es-MX"/>
        </w:rPr>
        <w:t>“ESTATUTO”</w:t>
      </w:r>
      <w:r w:rsidRPr="002A2450">
        <w:rPr>
          <w:rFonts w:ascii="ITC Avant Garde" w:eastAsia="Times New Roman" w:hAnsi="ITC Avant Garde"/>
          <w:bCs/>
          <w:color w:val="000000"/>
          <w:lang w:eastAsia="es-MX"/>
        </w:rPr>
        <w:t xml:space="preserve"> al considerar lo siguiente:</w:t>
      </w:r>
    </w:p>
    <w:p w14:paraId="50D6A387" w14:textId="77777777" w:rsidR="00B35F13" w:rsidRDefault="00262B95" w:rsidP="00B35F13">
      <w:pPr>
        <w:spacing w:before="240" w:line="360" w:lineRule="auto"/>
        <w:jc w:val="both"/>
        <w:rPr>
          <w:rFonts w:ascii="ITC Avant Garde" w:hAnsi="ITC Avant Garde" w:cs="Arial"/>
        </w:rPr>
      </w:pPr>
      <w:bookmarkStart w:id="65" w:name="_Toc477170168"/>
      <w:r w:rsidRPr="002A2450">
        <w:rPr>
          <w:rStyle w:val="Ttulo3Car"/>
          <w:rFonts w:eastAsiaTheme="minorHAnsi"/>
        </w:rPr>
        <w:t>PRIMERO</w:t>
      </w:r>
      <w:bookmarkEnd w:id="65"/>
      <w:r w:rsidRPr="002A2450">
        <w:rPr>
          <w:rFonts w:ascii="ITC Avant Garde" w:hAnsi="ITC Avant Garde"/>
          <w:b/>
        </w:rPr>
        <w:t>.</w:t>
      </w:r>
      <w:r w:rsidRPr="002A2450">
        <w:rPr>
          <w:rFonts w:ascii="ITC Avant Garde" w:hAnsi="ITC Avant Garde"/>
        </w:rPr>
        <w:t xml:space="preserve"> </w:t>
      </w:r>
      <w:r w:rsidRPr="002A2450">
        <w:rPr>
          <w:rFonts w:ascii="ITC Avant Garde" w:hAnsi="ITC Avant Garde" w:cs="Arial"/>
        </w:rPr>
        <w:t xml:space="preserve">El diez de marzo de mil novecientos setenta y seis la Secretaría de Comunicaciones y Transportes otorgó a </w:t>
      </w:r>
      <w:r w:rsidRPr="002A2450">
        <w:rPr>
          <w:rFonts w:ascii="ITC Avant Garde" w:hAnsi="ITC Avant Garde" w:cs="Arial"/>
          <w:b/>
        </w:rPr>
        <w:t>“TELMEX”</w:t>
      </w:r>
      <w:r w:rsidRPr="002A2450">
        <w:rPr>
          <w:rFonts w:ascii="ITC Avant Garde" w:hAnsi="ITC Avant Garde" w:cs="Arial"/>
        </w:rPr>
        <w:t xml:space="preserve">, un </w:t>
      </w:r>
      <w:r w:rsidR="00A403F4" w:rsidRPr="002A2450">
        <w:rPr>
          <w:rFonts w:ascii="ITC Avant Garde" w:hAnsi="ITC Avant Garde" w:cs="Arial"/>
          <w:b/>
        </w:rPr>
        <w:t>“</w:t>
      </w:r>
      <w:r w:rsidRPr="002A2450">
        <w:rPr>
          <w:rFonts w:ascii="ITC Avant Garde" w:hAnsi="ITC Avant Garde" w:cs="Arial"/>
          <w:b/>
        </w:rPr>
        <w:t>TÍTULO DE CONCESIÓN</w:t>
      </w:r>
      <w:r w:rsidR="00A403F4" w:rsidRPr="002A2450">
        <w:rPr>
          <w:rFonts w:ascii="ITC Avant Garde" w:hAnsi="ITC Avant Garde" w:cs="Arial"/>
          <w:b/>
        </w:rPr>
        <w:t>”</w:t>
      </w:r>
      <w:r w:rsidRPr="002A2450">
        <w:rPr>
          <w:rFonts w:ascii="ITC Avant Garde" w:hAnsi="ITC Avant Garde" w:cs="Arial"/>
          <w:b/>
        </w:rPr>
        <w:t xml:space="preserve"> </w:t>
      </w:r>
      <w:r w:rsidRPr="002A2450">
        <w:rPr>
          <w:rFonts w:ascii="ITC Avant Garde" w:hAnsi="ITC Avant Garde" w:cs="Arial"/>
        </w:rPr>
        <w:t>para construir, instalar, mantener, operar y explotar una red de servicio público telefónico.</w:t>
      </w:r>
    </w:p>
    <w:p w14:paraId="6A291CCC" w14:textId="77777777" w:rsidR="00B35F13" w:rsidRDefault="00262B95" w:rsidP="00B35F13">
      <w:pPr>
        <w:spacing w:before="240" w:line="360" w:lineRule="auto"/>
        <w:jc w:val="both"/>
        <w:rPr>
          <w:rFonts w:ascii="ITC Avant Garde" w:hAnsi="ITC Avant Garde" w:cs="Arial"/>
        </w:rPr>
      </w:pPr>
      <w:bookmarkStart w:id="66" w:name="_Toc477170169"/>
      <w:r w:rsidRPr="002A2450">
        <w:rPr>
          <w:rStyle w:val="Ttulo3Car"/>
          <w:rFonts w:eastAsiaTheme="minorHAnsi"/>
        </w:rPr>
        <w:t>SEGUNDO</w:t>
      </w:r>
      <w:bookmarkEnd w:id="66"/>
      <w:r w:rsidRPr="002A2450">
        <w:rPr>
          <w:rFonts w:ascii="ITC Avant Garde" w:hAnsi="ITC Avant Garde" w:cs="Arial"/>
          <w:b/>
        </w:rPr>
        <w:t>.</w:t>
      </w:r>
      <w:r w:rsidRPr="002A2450">
        <w:rPr>
          <w:rFonts w:ascii="ITC Avant Garde" w:hAnsi="ITC Avant Garde" w:cs="Arial"/>
        </w:rPr>
        <w:t xml:space="preserve"> El diez de agosto de mil novecientos noventa la Secretaría de Comunicaciones y Transportes modificó el </w:t>
      </w:r>
      <w:r w:rsidR="00A403F4" w:rsidRPr="002A2450">
        <w:rPr>
          <w:rFonts w:ascii="ITC Avant Garde" w:hAnsi="ITC Avant Garde" w:cs="Arial"/>
          <w:b/>
        </w:rPr>
        <w:t>“</w:t>
      </w:r>
      <w:r w:rsidRPr="002A2450">
        <w:rPr>
          <w:rFonts w:ascii="ITC Avant Garde" w:hAnsi="ITC Avant Garde" w:cs="Arial"/>
          <w:b/>
        </w:rPr>
        <w:t>TÍTULO DE CONCESIÓN</w:t>
      </w:r>
      <w:r w:rsidR="00A403F4" w:rsidRPr="002A2450">
        <w:rPr>
          <w:rFonts w:ascii="ITC Avant Garde" w:hAnsi="ITC Avant Garde" w:cs="Arial"/>
          <w:b/>
        </w:rPr>
        <w:t>”</w:t>
      </w:r>
      <w:r w:rsidRPr="002A2450">
        <w:rPr>
          <w:rFonts w:ascii="ITC Avant Garde" w:hAnsi="ITC Avant Garde" w:cs="Arial"/>
        </w:rPr>
        <w:t xml:space="preserve"> a que se refiere el numeral anterior, mismo que fue publicado en el “</w:t>
      </w:r>
      <w:r w:rsidRPr="002A2450">
        <w:rPr>
          <w:rFonts w:ascii="ITC Avant Garde" w:hAnsi="ITC Avant Garde" w:cs="Arial"/>
          <w:b/>
        </w:rPr>
        <w:t>DOF</w:t>
      </w:r>
      <w:r w:rsidRPr="002A2450">
        <w:rPr>
          <w:rFonts w:ascii="ITC Avant Garde" w:hAnsi="ITC Avant Garde" w:cs="Arial"/>
        </w:rPr>
        <w:t>” el diez de diciembre de mil novecientos noventa.</w:t>
      </w:r>
    </w:p>
    <w:p w14:paraId="1892D1A7" w14:textId="77777777" w:rsidR="00B35F13" w:rsidRDefault="00262B95" w:rsidP="00B35F13">
      <w:pPr>
        <w:pStyle w:val="Listavistosa-nfasis11"/>
        <w:spacing w:before="240" w:after="160" w:line="360" w:lineRule="auto"/>
        <w:ind w:left="0"/>
        <w:jc w:val="both"/>
        <w:rPr>
          <w:rFonts w:ascii="ITC Avant Garde" w:hAnsi="ITC Avant Garde"/>
        </w:rPr>
      </w:pPr>
      <w:bookmarkStart w:id="67" w:name="_Toc477170170"/>
      <w:r w:rsidRPr="002A2450">
        <w:rPr>
          <w:rStyle w:val="Ttulo3Car"/>
          <w:rFonts w:eastAsia="Calibri"/>
        </w:rPr>
        <w:t>TERCERO</w:t>
      </w:r>
      <w:bookmarkEnd w:id="67"/>
      <w:r w:rsidRPr="002A2450">
        <w:rPr>
          <w:rFonts w:ascii="ITC Avant Garde" w:hAnsi="ITC Avant Garde"/>
          <w:b/>
        </w:rPr>
        <w:t xml:space="preserve">. </w:t>
      </w:r>
      <w:r w:rsidRPr="002A2450">
        <w:rPr>
          <w:rFonts w:ascii="ITC Avant Garde" w:hAnsi="ITC Avant Garde"/>
        </w:rPr>
        <w:t xml:space="preserve">El once de junio de dos mil trece, se publicó en el </w:t>
      </w:r>
      <w:r w:rsidRPr="002A2450">
        <w:rPr>
          <w:rFonts w:ascii="ITC Avant Garde" w:hAnsi="ITC Avant Garde"/>
          <w:b/>
        </w:rPr>
        <w:t>“DOF”</w:t>
      </w:r>
      <w:r w:rsidRPr="002A2450">
        <w:rPr>
          <w:rFonts w:ascii="ITC Avant Garde" w:hAnsi="ITC Avant Garde"/>
        </w:rPr>
        <w:t xml:space="preserve"> el </w:t>
      </w:r>
      <w:r w:rsidRPr="002A2450">
        <w:rPr>
          <w:rFonts w:ascii="ITC Avant Garde" w:hAnsi="ITC Avant Garde"/>
          <w:b/>
        </w:rPr>
        <w:t>Decreto de Reforma Constitucional</w:t>
      </w:r>
      <w:r w:rsidRPr="002A2450">
        <w:rPr>
          <w:rFonts w:ascii="ITC Avant Garde" w:hAnsi="ITC Avant Garde"/>
        </w:rPr>
        <w:t xml:space="preserve"> mediante el cual se crea el </w:t>
      </w:r>
      <w:r w:rsidRPr="002A2450">
        <w:rPr>
          <w:rFonts w:ascii="ITC Avant Garde" w:hAnsi="ITC Avant Garde"/>
          <w:b/>
        </w:rPr>
        <w:t>“IFT”</w:t>
      </w:r>
      <w:r w:rsidRPr="002A2450">
        <w:rPr>
          <w:rFonts w:ascii="ITC Avant Garde" w:hAnsi="ITC Avant Garde"/>
        </w:rPr>
        <w:t xml:space="preserve">, como un órgano </w:t>
      </w:r>
      <w:r w:rsidRPr="002A2450">
        <w:rPr>
          <w:rFonts w:ascii="ITC Avant Garde" w:hAnsi="ITC Avant Garde"/>
        </w:rPr>
        <w:lastRenderedPageBreak/>
        <w:t>autónomo que tendrá a su cargo la regulación, promoción y supervisión en la prestación de los servicios de telecomunicaciones</w:t>
      </w:r>
      <w:r w:rsidR="00E6535E" w:rsidRPr="002A2450">
        <w:rPr>
          <w:rFonts w:ascii="ITC Avant Garde" w:hAnsi="ITC Avant Garde"/>
        </w:rPr>
        <w:t xml:space="preserve"> y radiodifusión.</w:t>
      </w:r>
    </w:p>
    <w:p w14:paraId="27CB375E" w14:textId="77777777" w:rsidR="00B35F13" w:rsidRDefault="00262B95" w:rsidP="00B35F13">
      <w:pPr>
        <w:pStyle w:val="Listavistosa-nfasis11"/>
        <w:spacing w:before="240" w:after="160" w:line="360" w:lineRule="auto"/>
        <w:ind w:left="0"/>
        <w:jc w:val="both"/>
        <w:rPr>
          <w:rFonts w:ascii="ITC Avant Garde" w:hAnsi="ITC Avant Garde"/>
        </w:rPr>
      </w:pPr>
      <w:bookmarkStart w:id="68" w:name="_Toc477170171"/>
      <w:r w:rsidRPr="002A2450">
        <w:rPr>
          <w:rStyle w:val="Ttulo3Car"/>
          <w:rFonts w:eastAsia="Calibri"/>
        </w:rPr>
        <w:t>CUARTO</w:t>
      </w:r>
      <w:bookmarkEnd w:id="68"/>
      <w:r w:rsidRPr="002A2450">
        <w:rPr>
          <w:rFonts w:ascii="ITC Avant Garde" w:hAnsi="ITC Avant Garde"/>
          <w:b/>
        </w:rPr>
        <w:t>.</w:t>
      </w:r>
      <w:r w:rsidRPr="002A2450">
        <w:rPr>
          <w:rFonts w:ascii="ITC Avant Garde" w:hAnsi="ITC Avant Garde"/>
        </w:rPr>
        <w:t xml:space="preserve"> El diez de septiembre de dos mil trece, quedó integrado el Pleno del </w:t>
      </w:r>
      <w:r w:rsidRPr="002A2450">
        <w:rPr>
          <w:rFonts w:ascii="ITC Avant Garde" w:hAnsi="ITC Avant Garde"/>
          <w:b/>
        </w:rPr>
        <w:t>“Instituto”</w:t>
      </w:r>
      <w:r w:rsidRPr="002A2450">
        <w:rPr>
          <w:rFonts w:ascii="ITC Avant Garde" w:hAnsi="ITC Avant Garde"/>
        </w:rPr>
        <w:t xml:space="preserve">, en términos de lo dispuesto por el párrafo vigésimo primero, del artículo 28 de la </w:t>
      </w:r>
      <w:r w:rsidRPr="002A2450">
        <w:rPr>
          <w:rFonts w:ascii="ITC Avant Garde" w:hAnsi="ITC Avant Garde"/>
          <w:b/>
        </w:rPr>
        <w:t>“CPEUM”</w:t>
      </w:r>
      <w:r w:rsidRPr="002A2450">
        <w:rPr>
          <w:rFonts w:ascii="ITC Avant Garde" w:hAnsi="ITC Avant Garde"/>
        </w:rPr>
        <w:t>, en relación con el SEXTO TRANSITORIO del Decreto de Reforma Constitucional, al ratificar el Senado de la República a los Comisionados propuestos por el Ejecutivo Federal y designar a su Presidente.</w:t>
      </w:r>
    </w:p>
    <w:p w14:paraId="64A019F5" w14:textId="77777777" w:rsidR="00B35F13" w:rsidRDefault="00262B95" w:rsidP="00B35F13">
      <w:pPr>
        <w:pStyle w:val="Listavistosa-nfasis11"/>
        <w:spacing w:before="240" w:after="160" w:line="360" w:lineRule="auto"/>
        <w:ind w:left="0"/>
        <w:jc w:val="both"/>
        <w:rPr>
          <w:rFonts w:ascii="ITC Avant Garde" w:hAnsi="ITC Avant Garde"/>
        </w:rPr>
      </w:pPr>
      <w:bookmarkStart w:id="69" w:name="_Toc477170172"/>
      <w:r w:rsidRPr="002A2450">
        <w:rPr>
          <w:rStyle w:val="Ttulo3Car"/>
          <w:rFonts w:eastAsia="Calibri"/>
        </w:rPr>
        <w:t>QUINTO</w:t>
      </w:r>
      <w:bookmarkEnd w:id="69"/>
      <w:r w:rsidRPr="002A2450">
        <w:rPr>
          <w:rFonts w:ascii="ITC Avant Garde" w:hAnsi="ITC Avant Garde"/>
          <w:b/>
        </w:rPr>
        <w:t xml:space="preserve">. </w:t>
      </w:r>
      <w:r w:rsidRPr="002A2450">
        <w:rPr>
          <w:rFonts w:ascii="ITC Avant Garde" w:hAnsi="ITC Avant Garde"/>
        </w:rPr>
        <w:t xml:space="preserve">El veintitrés de enero de dos mil catorce, las </w:t>
      </w:r>
      <w:r w:rsidR="00E6535E" w:rsidRPr="002A2450">
        <w:rPr>
          <w:rFonts w:ascii="ITC Avant Garde" w:hAnsi="ITC Avant Garde"/>
        </w:rPr>
        <w:t xml:space="preserve">empresas </w:t>
      </w:r>
      <w:r w:rsidRPr="002A2450">
        <w:rPr>
          <w:rFonts w:ascii="ITC Avant Garde" w:hAnsi="ITC Avant Garde"/>
          <w:b/>
        </w:rPr>
        <w:t>“PEGASO”</w:t>
      </w:r>
      <w:r w:rsidRPr="002A2450">
        <w:rPr>
          <w:rFonts w:ascii="ITC Avant Garde" w:hAnsi="ITC Avant Garde"/>
        </w:rPr>
        <w:t xml:space="preserve">, </w:t>
      </w:r>
      <w:r w:rsidRPr="002A2450">
        <w:rPr>
          <w:rFonts w:ascii="ITC Avant Garde" w:hAnsi="ITC Avant Garde"/>
          <w:b/>
        </w:rPr>
        <w:t>“PEGASO PCS”</w:t>
      </w:r>
      <w:r w:rsidRPr="002A2450">
        <w:rPr>
          <w:rFonts w:ascii="ITC Avant Garde" w:hAnsi="ITC Avant Garde"/>
        </w:rPr>
        <w:t xml:space="preserve"> y </w:t>
      </w:r>
      <w:r w:rsidRPr="002A2450">
        <w:rPr>
          <w:rFonts w:ascii="ITC Avant Garde" w:hAnsi="ITC Avant Garde"/>
          <w:b/>
        </w:rPr>
        <w:t>“GRUPO TM”</w:t>
      </w:r>
      <w:r w:rsidRPr="002A2450">
        <w:rPr>
          <w:rFonts w:ascii="ITC Avant Garde" w:hAnsi="ITC Avant Garde"/>
        </w:rPr>
        <w:t xml:space="preserve"> presentaron ante el </w:t>
      </w:r>
      <w:r w:rsidRPr="002A2450">
        <w:rPr>
          <w:rFonts w:ascii="ITC Avant Garde" w:hAnsi="ITC Avant Garde"/>
          <w:b/>
        </w:rPr>
        <w:t>“Instituto”</w:t>
      </w:r>
      <w:r w:rsidRPr="002A2450">
        <w:rPr>
          <w:rFonts w:ascii="ITC Avant Garde" w:hAnsi="ITC Avant Garde"/>
        </w:rPr>
        <w:t xml:space="preserve"> denuncia en contra de </w:t>
      </w:r>
      <w:r w:rsidRPr="002A2450">
        <w:rPr>
          <w:rFonts w:ascii="ITC Avant Garde" w:hAnsi="ITC Avant Garde"/>
          <w:b/>
        </w:rPr>
        <w:t>“TELMEX”</w:t>
      </w:r>
      <w:r w:rsidRPr="002A2450">
        <w:rPr>
          <w:rFonts w:ascii="ITC Avant Garde" w:hAnsi="ITC Avant Garde"/>
        </w:rPr>
        <w:t>, por el supuesto incumplimiento de la condición 1-9 denominada "</w:t>
      </w:r>
      <w:r w:rsidRPr="002A2450">
        <w:rPr>
          <w:rFonts w:ascii="ITC Avant Garde" w:hAnsi="ITC Avant Garde"/>
          <w:i/>
        </w:rPr>
        <w:t>Distribución de Señales de Televisión</w:t>
      </w:r>
      <w:r w:rsidRPr="002A2450">
        <w:rPr>
          <w:rFonts w:ascii="ITC Avant Garde" w:hAnsi="ITC Avant Garde"/>
        </w:rPr>
        <w:t xml:space="preserve">", establecida en el </w:t>
      </w:r>
      <w:r w:rsidR="008525DA" w:rsidRPr="008525DA">
        <w:rPr>
          <w:rFonts w:ascii="ITC Avant Garde" w:hAnsi="ITC Avant Garde"/>
          <w:b/>
        </w:rPr>
        <w:t>“TÍTULO DE CONCESIÓN”</w:t>
      </w:r>
      <w:r w:rsidRPr="002A2450">
        <w:rPr>
          <w:rFonts w:ascii="ITC Avant Garde" w:hAnsi="ITC Avant Garde"/>
        </w:rPr>
        <w:t xml:space="preserve"> de </w:t>
      </w:r>
      <w:r w:rsidRPr="002A2450">
        <w:rPr>
          <w:rFonts w:ascii="ITC Avant Garde" w:hAnsi="ITC Avant Garde"/>
          <w:b/>
        </w:rPr>
        <w:t>“TELMEX”</w:t>
      </w:r>
      <w:r w:rsidR="00E6535E" w:rsidRPr="002A2450">
        <w:rPr>
          <w:rFonts w:ascii="ITC Avant Garde" w:hAnsi="ITC Avant Garde"/>
        </w:rPr>
        <w:t>, al considerar que dicha empresa presta servicios de televisión al público en el país sin contar con la debida autorización.</w:t>
      </w:r>
    </w:p>
    <w:p w14:paraId="7F7BA2A7" w14:textId="77777777" w:rsidR="00B35F13" w:rsidRDefault="00262B95" w:rsidP="00B35F13">
      <w:pPr>
        <w:spacing w:before="240" w:line="360" w:lineRule="auto"/>
        <w:jc w:val="both"/>
        <w:rPr>
          <w:rFonts w:ascii="ITC Avant Garde" w:hAnsi="ITC Avant Garde"/>
          <w:b/>
        </w:rPr>
      </w:pPr>
      <w:bookmarkStart w:id="70" w:name="_Toc477170173"/>
      <w:r w:rsidRPr="002A2450">
        <w:rPr>
          <w:rStyle w:val="Ttulo3Car"/>
          <w:rFonts w:eastAsiaTheme="minorHAnsi"/>
        </w:rPr>
        <w:t>SEXTO</w:t>
      </w:r>
      <w:bookmarkEnd w:id="70"/>
      <w:r w:rsidRPr="002A2450">
        <w:rPr>
          <w:rFonts w:ascii="ITC Avant Garde" w:hAnsi="ITC Avant Garde"/>
          <w:b/>
        </w:rPr>
        <w:t xml:space="preserve">. </w:t>
      </w:r>
      <w:r w:rsidRPr="002A2450">
        <w:rPr>
          <w:rFonts w:ascii="ITC Avant Garde" w:hAnsi="ITC Avant Garde"/>
        </w:rPr>
        <w:t xml:space="preserve">El veinticuatro de febrero de dos mil catorce, </w:t>
      </w:r>
      <w:r w:rsidRPr="002A2450">
        <w:rPr>
          <w:rFonts w:ascii="ITC Avant Garde" w:hAnsi="ITC Avant Garde"/>
          <w:b/>
        </w:rPr>
        <w:t>“TOTAL PLAY</w:t>
      </w:r>
      <w:r w:rsidR="00BA365F" w:rsidRPr="002A2450">
        <w:rPr>
          <w:rFonts w:ascii="ITC Avant Garde" w:hAnsi="ITC Avant Garde"/>
          <w:b/>
        </w:rPr>
        <w:t xml:space="preserve"> TELECOMUNICACIONES</w:t>
      </w:r>
      <w:r w:rsidRPr="002A2450">
        <w:rPr>
          <w:rFonts w:ascii="ITC Avant Garde" w:hAnsi="ITC Avant Garde"/>
          <w:b/>
        </w:rPr>
        <w:t>”</w:t>
      </w:r>
      <w:r w:rsidRPr="002A2450">
        <w:rPr>
          <w:rFonts w:ascii="ITC Avant Garde" w:hAnsi="ITC Avant Garde"/>
        </w:rPr>
        <w:t xml:space="preserve"> presentó ante el </w:t>
      </w:r>
      <w:r w:rsidR="00BA365F" w:rsidRPr="002A2450">
        <w:rPr>
          <w:rFonts w:ascii="ITC Avant Garde" w:hAnsi="ITC Avant Garde"/>
          <w:b/>
        </w:rPr>
        <w:t>“</w:t>
      </w:r>
      <w:r w:rsidRPr="002A2450">
        <w:rPr>
          <w:rFonts w:ascii="ITC Avant Garde" w:hAnsi="ITC Avant Garde"/>
          <w:b/>
        </w:rPr>
        <w:t>Instituto</w:t>
      </w:r>
      <w:r w:rsidR="00BA365F" w:rsidRPr="002A2450">
        <w:rPr>
          <w:rFonts w:ascii="ITC Avant Garde" w:hAnsi="ITC Avant Garde"/>
          <w:b/>
        </w:rPr>
        <w:t>”</w:t>
      </w:r>
      <w:r w:rsidRPr="002A2450">
        <w:rPr>
          <w:rFonts w:ascii="ITC Avant Garde" w:hAnsi="ITC Avant Garde"/>
        </w:rPr>
        <w:t xml:space="preserve"> denuncia en contra de </w:t>
      </w:r>
      <w:r w:rsidR="00BA365F" w:rsidRPr="002A2450">
        <w:rPr>
          <w:rFonts w:ascii="ITC Avant Garde" w:hAnsi="ITC Avant Garde"/>
          <w:b/>
        </w:rPr>
        <w:t>“</w:t>
      </w:r>
      <w:r w:rsidRPr="002A2450">
        <w:rPr>
          <w:rFonts w:ascii="ITC Avant Garde" w:hAnsi="ITC Avant Garde"/>
          <w:b/>
        </w:rPr>
        <w:t>TELMEX</w:t>
      </w:r>
      <w:r w:rsidR="00BA365F" w:rsidRPr="002A2450">
        <w:rPr>
          <w:rFonts w:ascii="ITC Avant Garde" w:hAnsi="ITC Avant Garde"/>
          <w:b/>
        </w:rPr>
        <w:t>”</w:t>
      </w:r>
      <w:r w:rsidR="00BA365F" w:rsidRPr="002A2450">
        <w:rPr>
          <w:rFonts w:ascii="ITC Avant Garde" w:hAnsi="ITC Avant Garde"/>
        </w:rPr>
        <w:t>,</w:t>
      </w:r>
      <w:r w:rsidRPr="002A2450">
        <w:rPr>
          <w:rFonts w:ascii="ITC Avant Garde" w:hAnsi="ITC Avant Garde"/>
        </w:rPr>
        <w:t xml:space="preserve"> </w:t>
      </w:r>
      <w:r w:rsidR="00BA365F" w:rsidRPr="002A2450">
        <w:rPr>
          <w:rFonts w:ascii="ITC Avant Garde" w:hAnsi="ITC Avant Garde"/>
          <w:b/>
        </w:rPr>
        <w:t>“</w:t>
      </w:r>
      <w:r w:rsidRPr="002A2450">
        <w:rPr>
          <w:rFonts w:ascii="ITC Avant Garde" w:hAnsi="ITC Avant Garde"/>
          <w:b/>
        </w:rPr>
        <w:t>DISH</w:t>
      </w:r>
      <w:r w:rsidR="00BA365F" w:rsidRPr="002A2450">
        <w:rPr>
          <w:rFonts w:ascii="ITC Avant Garde" w:hAnsi="ITC Avant Garde"/>
          <w:b/>
        </w:rPr>
        <w:t>”</w:t>
      </w:r>
      <w:r w:rsidRPr="002A2450">
        <w:rPr>
          <w:rFonts w:ascii="ITC Avant Garde" w:hAnsi="ITC Avant Garde"/>
        </w:rPr>
        <w:t xml:space="preserve">, </w:t>
      </w:r>
      <w:r w:rsidRPr="002A2450">
        <w:rPr>
          <w:rFonts w:ascii="ITC Avant Garde" w:hAnsi="ITC Avant Garde"/>
          <w:b/>
        </w:rPr>
        <w:t>“AMÓVIL”</w:t>
      </w:r>
      <w:r w:rsidRPr="002A2450">
        <w:rPr>
          <w:rFonts w:ascii="ITC Avant Garde" w:hAnsi="ITC Avant Garde"/>
        </w:rPr>
        <w:t xml:space="preserve">, </w:t>
      </w:r>
      <w:r w:rsidRPr="002A2450">
        <w:rPr>
          <w:rFonts w:ascii="ITC Avant Garde" w:hAnsi="ITC Avant Garde"/>
          <w:b/>
        </w:rPr>
        <w:t>“MVS COMUNICACIONES”</w:t>
      </w:r>
      <w:r w:rsidRPr="002A2450">
        <w:rPr>
          <w:rFonts w:ascii="ITC Avant Garde" w:hAnsi="ITC Avant Garde"/>
        </w:rPr>
        <w:t xml:space="preserv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“ECHOSTAR MÉXICO”</w:t>
      </w:r>
      <w:r w:rsidRPr="002A2450">
        <w:rPr>
          <w:rFonts w:ascii="ITC Avant Garde" w:hAnsi="ITC Avant Garde"/>
        </w:rPr>
        <w:t xml:space="preserve">, por los supuestos actos de: i) inversión conjunta de activos entre </w:t>
      </w:r>
      <w:r w:rsidRPr="002A2450">
        <w:rPr>
          <w:rFonts w:ascii="ITC Avant Garde" w:hAnsi="ITC Avant Garde"/>
          <w:b/>
        </w:rPr>
        <w:t xml:space="preserve">“TELMEX”, “MVS COMUNICACIONES” </w:t>
      </w:r>
      <w:r w:rsidRPr="009E34A4">
        <w:rPr>
          <w:rFonts w:ascii="ITC Avant Garde" w:hAnsi="ITC Avant Garde"/>
        </w:rPr>
        <w:t>y</w:t>
      </w:r>
      <w:r w:rsidRPr="002A2450">
        <w:rPr>
          <w:rFonts w:ascii="ITC Avant Garde" w:hAnsi="ITC Avant Garde"/>
          <w:b/>
        </w:rPr>
        <w:t xml:space="preserve"> “ECHOSTAR CORPORATION”</w:t>
      </w:r>
      <w:r w:rsidRPr="002A2450">
        <w:rPr>
          <w:rFonts w:ascii="ITC Avant Garde" w:hAnsi="ITC Avant Garde"/>
        </w:rPr>
        <w:t xml:space="preserve"> para la creación y operación de </w:t>
      </w:r>
      <w:r w:rsidRPr="002A2450">
        <w:rPr>
          <w:rFonts w:ascii="ITC Avant Garde" w:hAnsi="ITC Avant Garde"/>
          <w:b/>
        </w:rPr>
        <w:t>“DISH MÉXICO”</w:t>
      </w:r>
      <w:r w:rsidRPr="002A2450">
        <w:rPr>
          <w:rFonts w:ascii="ITC Avant Garde" w:hAnsi="ITC Avant Garde"/>
        </w:rPr>
        <w:t xml:space="preserve">; ii) explotación conjunta por parte de </w:t>
      </w:r>
      <w:r w:rsidRPr="002A2450">
        <w:rPr>
          <w:rFonts w:ascii="ITC Avant Garde" w:hAnsi="ITC Avant Garde"/>
          <w:b/>
        </w:rPr>
        <w:t>“TELMEX”, “MVS COMUNICACIONES”</w:t>
      </w:r>
      <w:r w:rsidRPr="002A2450">
        <w:rPr>
          <w:rFonts w:ascii="ITC Avant Garde" w:hAnsi="ITC Avant Garde"/>
        </w:rPr>
        <w:t xml:space="preserve"> y </w:t>
      </w:r>
      <w:r w:rsidRPr="002A2450">
        <w:rPr>
          <w:rFonts w:ascii="ITC Avant Garde" w:hAnsi="ITC Avant Garde"/>
          <w:b/>
        </w:rPr>
        <w:t>“DISH MÉXICO”</w:t>
      </w:r>
      <w:r w:rsidRPr="002A2450">
        <w:rPr>
          <w:rFonts w:ascii="ITC Avant Garde" w:hAnsi="ITC Avant Garde"/>
        </w:rPr>
        <w:t xml:space="preserve"> de la concesión otorgada a </w:t>
      </w:r>
      <w:r w:rsidRPr="002A2450">
        <w:rPr>
          <w:rFonts w:ascii="ITC Avant Garde" w:hAnsi="ITC Avant Garde"/>
          <w:b/>
        </w:rPr>
        <w:t>“COFRESA”</w:t>
      </w:r>
      <w:r w:rsidRPr="002A2450">
        <w:rPr>
          <w:rFonts w:ascii="ITC Avant Garde" w:hAnsi="ITC Avant Garde"/>
        </w:rPr>
        <w:t xml:space="preserve">; iii) explotación conjunta de diversos activos de </w:t>
      </w:r>
      <w:r w:rsidRPr="002A2450">
        <w:rPr>
          <w:rFonts w:ascii="ITC Avant Garde" w:hAnsi="ITC Avant Garde"/>
          <w:b/>
        </w:rPr>
        <w:t>“TELMEX”</w:t>
      </w:r>
      <w:r w:rsidRPr="002A2450">
        <w:rPr>
          <w:rFonts w:ascii="ITC Avant Garde" w:hAnsi="ITC Avant Garde"/>
        </w:rPr>
        <w:t xml:space="preserve"> involucrados en la comercialización de los servicios de </w:t>
      </w:r>
      <w:r w:rsidRPr="002A2450">
        <w:rPr>
          <w:rFonts w:ascii="ITC Avant Garde" w:hAnsi="ITC Avant Garde"/>
          <w:b/>
        </w:rPr>
        <w:t>“DISH MÉXICO”</w:t>
      </w:r>
      <w:r w:rsidRPr="002A2450">
        <w:rPr>
          <w:rFonts w:ascii="ITC Avant Garde" w:hAnsi="ITC Avant Garde"/>
        </w:rPr>
        <w:t xml:space="preserve">, iv) contrato de opción de compra entre </w:t>
      </w:r>
      <w:r w:rsidR="003A1CC5" w:rsidRPr="002A2450">
        <w:rPr>
          <w:rFonts w:ascii="ITC Avant Garde" w:hAnsi="ITC Avant Garde"/>
          <w:b/>
        </w:rPr>
        <w:t>“</w:t>
      </w:r>
      <w:r w:rsidRPr="002A2450">
        <w:rPr>
          <w:rFonts w:ascii="ITC Avant Garde" w:hAnsi="ITC Avant Garde"/>
          <w:b/>
        </w:rPr>
        <w:t>DISH</w:t>
      </w:r>
      <w:r w:rsidR="003A1CC5" w:rsidRPr="002A2450">
        <w:rPr>
          <w:rFonts w:ascii="ITC Avant Garde" w:hAnsi="ITC Avant Garde"/>
          <w:b/>
        </w:rPr>
        <w:t>”</w:t>
      </w:r>
      <w:r w:rsidRPr="002A2450">
        <w:rPr>
          <w:rFonts w:ascii="ITC Avant Garde" w:hAnsi="ITC Avant Garde"/>
          <w:b/>
        </w:rPr>
        <w:t xml:space="preserve"> y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rPr>
        <w:t xml:space="preserve">; y v) control compartido respecto de la operación y supervisión de los activos que explotan de forma conjunta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b/>
        </w:rPr>
        <w:t xml:space="preserve"> y </w:t>
      </w:r>
      <w:r w:rsidR="003A1CC5" w:rsidRPr="002A2450">
        <w:rPr>
          <w:rFonts w:ascii="ITC Avant Garde" w:hAnsi="ITC Avant Garde"/>
          <w:b/>
        </w:rPr>
        <w:t>“</w:t>
      </w:r>
      <w:r w:rsidRPr="002A2450">
        <w:rPr>
          <w:rFonts w:ascii="ITC Avant Garde" w:hAnsi="ITC Avant Garde"/>
          <w:b/>
        </w:rPr>
        <w:t>DISH MÉXICO</w:t>
      </w:r>
      <w:r w:rsidR="003A1CC5" w:rsidRPr="002A2450">
        <w:rPr>
          <w:rFonts w:ascii="ITC Avant Garde" w:hAnsi="ITC Avant Garde"/>
          <w:b/>
        </w:rPr>
        <w:t>”</w:t>
      </w:r>
      <w:r w:rsidRPr="002A2450">
        <w:rPr>
          <w:rFonts w:ascii="ITC Avant Garde" w:hAnsi="ITC Avant Garde"/>
        </w:rPr>
        <w:t>.</w:t>
      </w:r>
    </w:p>
    <w:p w14:paraId="31E24ACB" w14:textId="77777777" w:rsidR="00B35F13" w:rsidRDefault="00262B95" w:rsidP="00B35F13">
      <w:pPr>
        <w:spacing w:before="240" w:line="360" w:lineRule="auto"/>
        <w:jc w:val="both"/>
        <w:rPr>
          <w:rFonts w:ascii="ITC Avant Garde" w:hAnsi="ITC Avant Garde"/>
          <w:b/>
        </w:rPr>
      </w:pPr>
      <w:bookmarkStart w:id="71" w:name="_Toc477170174"/>
      <w:r w:rsidRPr="002A2450">
        <w:rPr>
          <w:rStyle w:val="Ttulo3Car"/>
          <w:rFonts w:eastAsiaTheme="minorHAnsi"/>
        </w:rPr>
        <w:t>SÉPTIMO</w:t>
      </w:r>
      <w:bookmarkEnd w:id="71"/>
      <w:r w:rsidRPr="002A2450">
        <w:rPr>
          <w:rFonts w:ascii="ITC Avant Garde" w:hAnsi="ITC Avant Garde"/>
          <w:b/>
        </w:rPr>
        <w:t xml:space="preserve">. </w:t>
      </w:r>
      <w:r w:rsidRPr="002A2450">
        <w:rPr>
          <w:rFonts w:ascii="ITC Avant Garde" w:hAnsi="ITC Avant Garde"/>
        </w:rPr>
        <w:t>El veintiocho de febrero de dos mil catorce,</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PEGASO</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PEGASO PCS</w:t>
      </w:r>
      <w:r w:rsidR="003A1CC5" w:rsidRPr="002A2450">
        <w:rPr>
          <w:rFonts w:ascii="ITC Avant Garde" w:hAnsi="ITC Avant Garde"/>
          <w:b/>
        </w:rPr>
        <w:t>”</w:t>
      </w:r>
      <w:r w:rsidRPr="002A2450">
        <w:rPr>
          <w:rFonts w:ascii="ITC Avant Garde" w:hAnsi="ITC Avant Garde"/>
        </w:rPr>
        <w:t xml:space="preserve"> y </w:t>
      </w:r>
      <w:r w:rsidR="003A1CC5" w:rsidRPr="002A2450">
        <w:rPr>
          <w:rFonts w:ascii="ITC Avant Garde" w:hAnsi="ITC Avant Garde"/>
          <w:b/>
        </w:rPr>
        <w:t>“</w:t>
      </w:r>
      <w:r w:rsidR="00BA365F" w:rsidRPr="002A2450">
        <w:rPr>
          <w:rFonts w:ascii="ITC Avant Garde" w:hAnsi="ITC Avant Garde"/>
          <w:b/>
        </w:rPr>
        <w:t>GRUPO TM</w:t>
      </w:r>
      <w:r w:rsidR="003A1CC5" w:rsidRPr="002A2450">
        <w:rPr>
          <w:rFonts w:ascii="ITC Avant Garde" w:hAnsi="ITC Avant Garde"/>
          <w:b/>
        </w:rPr>
        <w:t>”</w:t>
      </w:r>
      <w:r w:rsidRPr="002A2450">
        <w:rPr>
          <w:rFonts w:ascii="ITC Avant Garde" w:hAnsi="ITC Avant Garde"/>
        </w:rPr>
        <w:t xml:space="preserve"> presentaron una denuncia en contra de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rPr>
        <w:t xml:space="preserve"> por el posible incumplimiento a la condición 1-9 de su </w:t>
      </w:r>
      <w:r w:rsidR="00BD1D1D" w:rsidRPr="002A2450">
        <w:rPr>
          <w:rFonts w:ascii="ITC Avant Garde" w:hAnsi="ITC Avant Garde"/>
          <w:b/>
        </w:rPr>
        <w:t>“TÍTULO</w:t>
      </w:r>
      <w:r w:rsidRPr="002A2450">
        <w:rPr>
          <w:rFonts w:ascii="ITC Avant Garde" w:hAnsi="ITC Avant Garde"/>
          <w:b/>
        </w:rPr>
        <w:t xml:space="preserve"> DE CONCESIÓN</w:t>
      </w:r>
      <w:r w:rsidR="00BA365F" w:rsidRPr="002A2450">
        <w:rPr>
          <w:rFonts w:ascii="ITC Avant Garde" w:hAnsi="ITC Avant Garde"/>
          <w:b/>
        </w:rPr>
        <w:t>”</w:t>
      </w:r>
      <w:r w:rsidRPr="002A2450">
        <w:rPr>
          <w:rFonts w:ascii="ITC Avant Garde" w:hAnsi="ITC Avant Garde"/>
        </w:rPr>
        <w:t xml:space="preserve"> y por la realización de actos que van en contra de la regulación vigente, </w:t>
      </w:r>
      <w:r w:rsidRPr="002A2450">
        <w:rPr>
          <w:rFonts w:ascii="ITC Avant Garde" w:hAnsi="ITC Avant Garde"/>
          <w:i/>
        </w:rPr>
        <w:t xml:space="preserve">“…ya que presta </w:t>
      </w:r>
      <w:r w:rsidRPr="002A2450">
        <w:rPr>
          <w:rFonts w:ascii="ITC Avant Garde" w:hAnsi="ITC Avant Garde"/>
          <w:i/>
        </w:rPr>
        <w:lastRenderedPageBreak/>
        <w:t xml:space="preserve">servicios de televisión restringida a través de </w:t>
      </w:r>
      <w:proofErr w:type="spellStart"/>
      <w:r w:rsidRPr="002A2450">
        <w:rPr>
          <w:rFonts w:ascii="ITC Avant Garde" w:hAnsi="ITC Avant Garde"/>
          <w:i/>
        </w:rPr>
        <w:t>Dish</w:t>
      </w:r>
      <w:proofErr w:type="spellEnd"/>
      <w:r w:rsidRPr="002A2450">
        <w:rPr>
          <w:rFonts w:ascii="ITC Avant Garde" w:hAnsi="ITC Avant Garde"/>
          <w:i/>
        </w:rPr>
        <w:t xml:space="preserve"> cuando lo tiene expresamente prohibido en su título de concesión”</w:t>
      </w:r>
      <w:r w:rsidRPr="002A2450">
        <w:rPr>
          <w:rFonts w:ascii="ITC Avant Garde" w:hAnsi="ITC Avant Garde"/>
          <w:b/>
        </w:rPr>
        <w:t>.</w:t>
      </w:r>
    </w:p>
    <w:p w14:paraId="55C138F3" w14:textId="6FAF4476" w:rsidR="00262B95" w:rsidRPr="002A2450" w:rsidRDefault="00262B95" w:rsidP="00B35F13">
      <w:pPr>
        <w:spacing w:before="240" w:line="360" w:lineRule="auto"/>
        <w:jc w:val="both"/>
        <w:rPr>
          <w:rFonts w:ascii="ITC Avant Garde" w:hAnsi="ITC Avant Garde"/>
        </w:rPr>
      </w:pPr>
      <w:bookmarkStart w:id="72" w:name="_Toc477170175"/>
      <w:r w:rsidRPr="002A2450">
        <w:rPr>
          <w:rStyle w:val="Ttulo3Car"/>
          <w:rFonts w:eastAsiaTheme="minorHAnsi"/>
        </w:rPr>
        <w:t>OCTAVO</w:t>
      </w:r>
      <w:bookmarkEnd w:id="72"/>
      <w:r w:rsidRPr="002A2450">
        <w:rPr>
          <w:rFonts w:ascii="ITC Avant Garde" w:hAnsi="ITC Avant Garde"/>
          <w:b/>
        </w:rPr>
        <w:t xml:space="preserve">. </w:t>
      </w:r>
      <w:r w:rsidRPr="002A2450">
        <w:rPr>
          <w:rFonts w:ascii="ITC Avant Garde" w:hAnsi="ITC Avant Garde"/>
        </w:rPr>
        <w:t xml:space="preserve">La </w:t>
      </w:r>
      <w:r w:rsidR="00BA365F" w:rsidRPr="002A2450">
        <w:rPr>
          <w:rFonts w:ascii="ITC Avant Garde" w:hAnsi="ITC Avant Garde"/>
          <w:b/>
        </w:rPr>
        <w:t>“</w:t>
      </w:r>
      <w:r w:rsidRPr="002A2450">
        <w:rPr>
          <w:rFonts w:ascii="ITC Avant Garde" w:hAnsi="ITC Avant Garde"/>
          <w:b/>
        </w:rPr>
        <w:t>DGS</w:t>
      </w:r>
      <w:r w:rsidR="00BA365F" w:rsidRPr="002A2450">
        <w:rPr>
          <w:rFonts w:ascii="ITC Avant Garde" w:hAnsi="ITC Avant Garde"/>
        </w:rPr>
        <w:t>”</w:t>
      </w:r>
      <w:r w:rsidR="00714975" w:rsidRPr="002A2450">
        <w:rPr>
          <w:rFonts w:ascii="ITC Avant Garde" w:hAnsi="ITC Avant Garde"/>
        </w:rPr>
        <w:t xml:space="preserve"> adscrita a la entonces Unidad de Supervisión y Verificación</w:t>
      </w:r>
      <w:r w:rsidRPr="002A2450">
        <w:rPr>
          <w:rFonts w:ascii="ITC Avant Garde" w:hAnsi="ITC Avant Garde"/>
        </w:rPr>
        <w:t xml:space="preserve">, en ejercicio de sus facultades de supervisión, formuló </w:t>
      </w:r>
      <w:r w:rsidR="00F514BE">
        <w:rPr>
          <w:rFonts w:ascii="ITC Avant Garde" w:hAnsi="ITC Avant Garde"/>
        </w:rPr>
        <w:t>seis</w:t>
      </w:r>
      <w:r w:rsidRPr="002A2450">
        <w:rPr>
          <w:rFonts w:ascii="ITC Avant Garde" w:hAnsi="ITC Avant Garde"/>
        </w:rPr>
        <w:t xml:space="preserve"> requerimientos de información a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y a </w:t>
      </w:r>
      <w:r w:rsidR="003A1CC5" w:rsidRPr="002A2450">
        <w:rPr>
          <w:rFonts w:ascii="ITC Avant Garde" w:hAnsi="ITC Avant Garde"/>
          <w:b/>
        </w:rPr>
        <w:t>“</w:t>
      </w:r>
      <w:r w:rsidRPr="002A2450">
        <w:rPr>
          <w:rFonts w:ascii="ITC Avant Garde" w:hAnsi="ITC Avant Garde"/>
          <w:b/>
        </w:rPr>
        <w:t>COFRESA</w:t>
      </w:r>
      <w:r w:rsidR="003A1CC5" w:rsidRPr="002A2450">
        <w:rPr>
          <w:rFonts w:ascii="ITC Avant Garde" w:hAnsi="ITC Avant Garde"/>
          <w:b/>
        </w:rPr>
        <w:t>”</w:t>
      </w:r>
      <w:r w:rsidRPr="002A2450">
        <w:rPr>
          <w:rFonts w:ascii="ITC Avant Garde" w:hAnsi="ITC Avant Garde"/>
        </w:rPr>
        <w:t xml:space="preserve"> durante el periodo comprendido de febrero a abril de dos mil catorce,</w:t>
      </w:r>
      <w:r w:rsidRPr="002A2450">
        <w:rPr>
          <w:rFonts w:ascii="ITC Avant Garde" w:hAnsi="ITC Avant Garde"/>
          <w:b/>
        </w:rPr>
        <w:t xml:space="preserve"> </w:t>
      </w:r>
      <w:r w:rsidRPr="002A2450">
        <w:rPr>
          <w:rFonts w:ascii="ITC Avant Garde" w:hAnsi="ITC Avant Garde"/>
        </w:rPr>
        <w:t xml:space="preserve">para que exhibieran ante el </w:t>
      </w:r>
      <w:r w:rsidR="00F514BE">
        <w:rPr>
          <w:rFonts w:ascii="ITC Avant Garde" w:hAnsi="ITC Avant Garde"/>
          <w:b/>
        </w:rPr>
        <w:t>“</w:t>
      </w:r>
      <w:r w:rsidRPr="009E34A4">
        <w:rPr>
          <w:rFonts w:ascii="ITC Avant Garde" w:hAnsi="ITC Avant Garde"/>
          <w:b/>
        </w:rPr>
        <w:t>Instituto</w:t>
      </w:r>
      <w:r w:rsidR="00F514BE">
        <w:rPr>
          <w:rFonts w:ascii="ITC Avant Garde" w:hAnsi="ITC Avant Garde"/>
          <w:b/>
        </w:rPr>
        <w:t>”</w:t>
      </w:r>
      <w:r w:rsidRPr="002A2450">
        <w:rPr>
          <w:rFonts w:ascii="ITC Avant Garde" w:hAnsi="ITC Avant Garde"/>
        </w:rPr>
        <w:t xml:space="preserve"> los documentos donde se hicieran constar los contratos y/o convenios y/o cartas laterales suscritos por sus rep</w:t>
      </w:r>
      <w:r w:rsidR="00E6535E" w:rsidRPr="002A2450">
        <w:rPr>
          <w:rFonts w:ascii="ITC Avant Garde" w:hAnsi="ITC Avant Garde"/>
        </w:rPr>
        <w:t>resentadas correspondientes a la</w:t>
      </w:r>
      <w:r w:rsidRPr="002A2450">
        <w:rPr>
          <w:rFonts w:ascii="ITC Avant Garde" w:hAnsi="ITC Avant Garde"/>
        </w:rPr>
        <w:t xml:space="preserve">s </w:t>
      </w:r>
      <w:r w:rsidR="00E6535E" w:rsidRPr="002A2450">
        <w:rPr>
          <w:rFonts w:ascii="ITC Avant Garde" w:hAnsi="ITC Avant Garde"/>
        </w:rPr>
        <w:t>empresas</w:t>
      </w:r>
      <w:r w:rsidRPr="002A2450">
        <w:rPr>
          <w:rFonts w:ascii="ITC Avant Garde" w:hAnsi="ITC Avant Garde"/>
        </w:rPr>
        <w:t xml:space="preserve">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TENINVER</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DISH MEXICO</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DISH HOLDINGS</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GFMTV</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ECHOSTAR MEXICO</w:t>
      </w:r>
      <w:r w:rsidR="003A1CC5" w:rsidRPr="002A2450">
        <w:rPr>
          <w:rFonts w:ascii="ITC Avant Garde" w:hAnsi="ITC Avant Garde"/>
          <w:b/>
        </w:rPr>
        <w:t>”</w:t>
      </w:r>
      <w:r w:rsidRPr="002A2450">
        <w:rPr>
          <w:rFonts w:ascii="ITC Avant Garde" w:hAnsi="ITC Avant Garde"/>
          <w:b/>
        </w:rPr>
        <w:t xml:space="preserve">, </w:t>
      </w:r>
      <w:r w:rsidR="003A1CC5" w:rsidRPr="002A2450">
        <w:rPr>
          <w:rFonts w:ascii="ITC Avant Garde" w:hAnsi="ITC Avant Garde"/>
          <w:b/>
        </w:rPr>
        <w:t>“</w:t>
      </w:r>
      <w:r w:rsidRPr="002A2450">
        <w:rPr>
          <w:rFonts w:ascii="ITC Avant Garde" w:hAnsi="ITC Avant Garde"/>
          <w:b/>
        </w:rPr>
        <w:t xml:space="preserve">ECHOSTAR </w:t>
      </w:r>
      <w:r w:rsidRPr="00031765">
        <w:rPr>
          <w:rFonts w:ascii="ITC Avant Garde" w:hAnsi="ITC Avant Garde"/>
          <w:b/>
        </w:rPr>
        <w:t>COPORATION</w:t>
      </w:r>
      <w:r w:rsidR="003A1CC5" w:rsidRPr="00031765">
        <w:rPr>
          <w:rFonts w:ascii="ITC Avant Garde" w:hAnsi="ITC Avant Garde"/>
          <w:b/>
        </w:rPr>
        <w:t>”</w:t>
      </w:r>
      <w:r w:rsidRPr="00031765">
        <w:rPr>
          <w:rFonts w:ascii="ITC Avant Garde" w:hAnsi="ITC Avant Garde"/>
          <w:b/>
        </w:rPr>
        <w:t xml:space="preserve"> </w:t>
      </w:r>
      <w:r w:rsidR="00BA365F" w:rsidRPr="00031765">
        <w:rPr>
          <w:rFonts w:ascii="ITC Avant Garde" w:hAnsi="ITC Avant Garde"/>
          <w:b/>
        </w:rPr>
        <w:t>y</w:t>
      </w:r>
      <w:r w:rsidRPr="00031765">
        <w:rPr>
          <w:rFonts w:ascii="ITC Avant Garde" w:hAnsi="ITC Avant Garde"/>
          <w:b/>
        </w:rPr>
        <w:t xml:space="preserve"> </w:t>
      </w:r>
      <w:r w:rsidR="003A1CC5" w:rsidRPr="00031765">
        <w:rPr>
          <w:rFonts w:ascii="ITC Avant Garde" w:hAnsi="ITC Avant Garde"/>
          <w:b/>
        </w:rPr>
        <w:t>“</w:t>
      </w:r>
      <w:r w:rsidRPr="00031765">
        <w:rPr>
          <w:rFonts w:ascii="ITC Avant Garde" w:hAnsi="ITC Avant Garde"/>
          <w:b/>
        </w:rPr>
        <w:t>COFRESA</w:t>
      </w:r>
      <w:r w:rsidR="003A1CC5" w:rsidRPr="002A2450">
        <w:rPr>
          <w:rFonts w:ascii="ITC Avant Garde" w:hAnsi="ITC Avant Garde"/>
          <w:b/>
        </w:rPr>
        <w:t>”</w:t>
      </w:r>
      <w:r w:rsidRPr="002A2450">
        <w:rPr>
          <w:rFonts w:ascii="ITC Avant Garde" w:hAnsi="ITC Avant Garde"/>
        </w:rPr>
        <w:t>, de conformidad con lo siguiente:</w:t>
      </w:r>
    </w:p>
    <w:tbl>
      <w:tblPr>
        <w:tblStyle w:val="Tablaconcuadrcula1"/>
        <w:tblW w:w="5000" w:type="pct"/>
        <w:tblLook w:val="04A0" w:firstRow="1" w:lastRow="0" w:firstColumn="1" w:lastColumn="0" w:noHBand="0" w:noVBand="1"/>
        <w:tblCaption w:val="Tabla de contratos"/>
        <w:tblDescription w:val="En una tabla se proporciona el tipo de contrato y las empresas participantes"/>
      </w:tblPr>
      <w:tblGrid>
        <w:gridCol w:w="2894"/>
        <w:gridCol w:w="5934"/>
      </w:tblGrid>
      <w:tr w:rsidR="006375AA" w:rsidRPr="006375AA" w14:paraId="7E1BDD74" w14:textId="77777777" w:rsidTr="006375AA">
        <w:trPr>
          <w:tblHeader/>
        </w:trPr>
        <w:tc>
          <w:tcPr>
            <w:tcW w:w="1639" w:type="pct"/>
            <w:shd w:val="clear" w:color="auto" w:fill="A6A6A6" w:themeFill="background1" w:themeFillShade="A6"/>
            <w:vAlign w:val="center"/>
          </w:tcPr>
          <w:p w14:paraId="0F66B936" w14:textId="77777777" w:rsidR="00262B95" w:rsidRPr="006375AA" w:rsidRDefault="00262B95" w:rsidP="006375AA">
            <w:pPr>
              <w:spacing w:line="360" w:lineRule="auto"/>
              <w:jc w:val="center"/>
              <w:rPr>
                <w:rFonts w:ascii="ITC Avant Garde" w:hAnsi="ITC Avant Garde"/>
                <w:b/>
                <w:color w:val="000000" w:themeColor="text1"/>
              </w:rPr>
            </w:pPr>
            <w:r w:rsidRPr="006375AA">
              <w:rPr>
                <w:rFonts w:ascii="ITC Avant Garde" w:hAnsi="ITC Avant Garde"/>
                <w:b/>
                <w:color w:val="000000" w:themeColor="text1"/>
              </w:rPr>
              <w:t>CONTRATO</w:t>
            </w:r>
          </w:p>
        </w:tc>
        <w:tc>
          <w:tcPr>
            <w:tcW w:w="3361" w:type="pct"/>
            <w:shd w:val="clear" w:color="auto" w:fill="A6A6A6" w:themeFill="background1" w:themeFillShade="A6"/>
            <w:vAlign w:val="center"/>
          </w:tcPr>
          <w:p w14:paraId="72DC0795" w14:textId="77777777" w:rsidR="00262B95" w:rsidRPr="006375AA" w:rsidRDefault="00262B95" w:rsidP="006375AA">
            <w:pPr>
              <w:spacing w:line="360" w:lineRule="auto"/>
              <w:jc w:val="center"/>
              <w:rPr>
                <w:rFonts w:ascii="ITC Avant Garde" w:hAnsi="ITC Avant Garde"/>
                <w:b/>
                <w:color w:val="000000" w:themeColor="text1"/>
              </w:rPr>
            </w:pPr>
            <w:r w:rsidRPr="006375AA">
              <w:rPr>
                <w:rFonts w:ascii="ITC Avant Garde" w:hAnsi="ITC Avant Garde"/>
                <w:b/>
                <w:color w:val="000000" w:themeColor="text1"/>
              </w:rPr>
              <w:t>EMPRESAS PARTICIPANTES</w:t>
            </w:r>
          </w:p>
        </w:tc>
      </w:tr>
      <w:tr w:rsidR="00262B95" w:rsidRPr="002A2450" w14:paraId="2C5DDED8" w14:textId="77777777" w:rsidTr="00DA1110">
        <w:trPr>
          <w:tblHeader/>
        </w:trPr>
        <w:tc>
          <w:tcPr>
            <w:tcW w:w="1639" w:type="pct"/>
          </w:tcPr>
          <w:p w14:paraId="0E0BB4F0" w14:textId="77777777" w:rsidR="00262B95" w:rsidRPr="002A2450" w:rsidRDefault="00262B95" w:rsidP="006375AA">
            <w:pPr>
              <w:spacing w:line="360" w:lineRule="auto"/>
              <w:rPr>
                <w:rFonts w:ascii="ITC Avant Garde" w:hAnsi="ITC Avant Garde"/>
              </w:rPr>
            </w:pPr>
            <w:r w:rsidRPr="002A2450">
              <w:rPr>
                <w:rFonts w:ascii="ITC Avant Garde" w:hAnsi="ITC Avant Garde"/>
                <w:b/>
                <w:smallCaps/>
              </w:rPr>
              <w:t>opción de compra venta</w:t>
            </w:r>
          </w:p>
        </w:tc>
        <w:tc>
          <w:tcPr>
            <w:tcW w:w="3361" w:type="pct"/>
          </w:tcPr>
          <w:p w14:paraId="72291029"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telmex</w:t>
            </w:r>
            <w:proofErr w:type="spellEnd"/>
            <w:r w:rsidRPr="002A2450">
              <w:rPr>
                <w:rFonts w:ascii="ITC Avant Garde" w:hAnsi="ITC Avant Garde"/>
                <w:b/>
                <w:smallCaps/>
              </w:rPr>
              <w:t xml:space="preserve">, </w:t>
            </w:r>
            <w:proofErr w:type="spellStart"/>
            <w:r w:rsidRPr="002A2450">
              <w:rPr>
                <w:rFonts w:ascii="ITC Avant Garde" w:hAnsi="ITC Avant Garde"/>
                <w:b/>
                <w:smallCaps/>
              </w:rPr>
              <w:t>teninver</w:t>
            </w:r>
            <w:proofErr w:type="spellEnd"/>
            <w:r w:rsidRPr="002A2450">
              <w:rPr>
                <w:rFonts w:ascii="ITC Avant Garde" w:hAnsi="ITC Avant Garde"/>
                <w:b/>
                <w:smallCaps/>
              </w:rPr>
              <w:t xml:space="preserve">,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w:t>
            </w:r>
            <w:proofErr w:type="spellStart"/>
            <w:r w:rsidRPr="002A2450">
              <w:rPr>
                <w:rFonts w:ascii="ITC Avant Garde" w:hAnsi="ITC Avant Garde"/>
                <w:b/>
                <w:smallCaps/>
              </w:rPr>
              <w:t>méxico</w:t>
            </w:r>
            <w:proofErr w:type="spellEnd"/>
            <w:r w:rsidRPr="002A2450">
              <w:rPr>
                <w:rFonts w:ascii="ITC Avant Garde" w:hAnsi="ITC Avant Garde"/>
                <w:b/>
                <w:smallCaps/>
              </w:rPr>
              <w:t xml:space="preserve">,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holdings, </w:t>
            </w:r>
            <w:proofErr w:type="spellStart"/>
            <w:r w:rsidRPr="002A2450">
              <w:rPr>
                <w:rFonts w:ascii="ITC Avant Garde" w:hAnsi="ITC Avant Garde"/>
                <w:b/>
                <w:smallCaps/>
              </w:rPr>
              <w:t>gfmtv</w:t>
            </w:r>
            <w:proofErr w:type="spellEnd"/>
            <w:r w:rsidRPr="002A2450">
              <w:rPr>
                <w:rFonts w:ascii="ITC Avant Garde" w:hAnsi="ITC Avant Garde"/>
                <w:b/>
                <w:smallCaps/>
              </w:rPr>
              <w:t xml:space="preserve">, </w:t>
            </w: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corporation</w:t>
            </w:r>
            <w:proofErr w:type="spellEnd"/>
            <w:r w:rsidRPr="002A2450">
              <w:rPr>
                <w:rFonts w:ascii="ITC Avant Garde" w:hAnsi="ITC Avant Garde"/>
                <w:b/>
                <w:smallCaps/>
              </w:rPr>
              <w:t xml:space="preserve"> y </w:t>
            </w: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mexico</w:t>
            </w:r>
            <w:proofErr w:type="spellEnd"/>
            <w:r w:rsidRPr="002A2450">
              <w:rPr>
                <w:rFonts w:ascii="ITC Avant Garde" w:hAnsi="ITC Avant Garde"/>
                <w:b/>
                <w:smallCaps/>
              </w:rPr>
              <w:t>.</w:t>
            </w:r>
          </w:p>
        </w:tc>
      </w:tr>
      <w:tr w:rsidR="00262B95" w:rsidRPr="002A2450" w14:paraId="541D54A6" w14:textId="77777777" w:rsidTr="00DA1110">
        <w:trPr>
          <w:tblHeader/>
        </w:trPr>
        <w:tc>
          <w:tcPr>
            <w:tcW w:w="1639" w:type="pct"/>
          </w:tcPr>
          <w:p w14:paraId="283AD851" w14:textId="77777777" w:rsidR="00262B95" w:rsidRPr="002A2450" w:rsidRDefault="00262B95" w:rsidP="006375AA">
            <w:pPr>
              <w:spacing w:line="360" w:lineRule="auto"/>
              <w:rPr>
                <w:rFonts w:ascii="ITC Avant Garde" w:hAnsi="ITC Avant Garde"/>
              </w:rPr>
            </w:pPr>
            <w:r w:rsidRPr="002A2450">
              <w:rPr>
                <w:rFonts w:ascii="ITC Avant Garde" w:hAnsi="ITC Avant Garde"/>
                <w:b/>
                <w:smallCaps/>
              </w:rPr>
              <w:t>convenio entre socios</w:t>
            </w:r>
          </w:p>
        </w:tc>
        <w:tc>
          <w:tcPr>
            <w:tcW w:w="3361" w:type="pct"/>
          </w:tcPr>
          <w:p w14:paraId="748958B7"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dish</w:t>
            </w:r>
            <w:proofErr w:type="spellEnd"/>
            <w:r w:rsidRPr="002A2450">
              <w:rPr>
                <w:rFonts w:ascii="ITC Avant Garde" w:hAnsi="ITC Avant Garde"/>
                <w:b/>
                <w:smallCaps/>
              </w:rPr>
              <w:t xml:space="preserve"> </w:t>
            </w:r>
            <w:proofErr w:type="spellStart"/>
            <w:r w:rsidRPr="002A2450">
              <w:rPr>
                <w:rFonts w:ascii="ITC Avant Garde" w:hAnsi="ITC Avant Garde"/>
                <w:b/>
                <w:smallCaps/>
              </w:rPr>
              <w:t>méxico</w:t>
            </w:r>
            <w:proofErr w:type="spellEnd"/>
            <w:r w:rsidRPr="002A2450">
              <w:rPr>
                <w:rFonts w:ascii="ITC Avant Garde" w:hAnsi="ITC Avant Garde"/>
                <w:b/>
                <w:smallCaps/>
              </w:rPr>
              <w:t xml:space="preserve">, </w:t>
            </w:r>
            <w:proofErr w:type="spellStart"/>
            <w:r w:rsidRPr="002A2450">
              <w:rPr>
                <w:rFonts w:ascii="ITC Avant Garde" w:hAnsi="ITC Avant Garde"/>
                <w:b/>
                <w:smallCaps/>
              </w:rPr>
              <w:t>teninver</w:t>
            </w:r>
            <w:proofErr w:type="spellEnd"/>
            <w:r w:rsidRPr="002A2450">
              <w:rPr>
                <w:rFonts w:ascii="ITC Avant Garde" w:hAnsi="ITC Avant Garde"/>
                <w:b/>
                <w:smallCaps/>
              </w:rPr>
              <w:t xml:space="preserve"> y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holdings.</w:t>
            </w:r>
          </w:p>
        </w:tc>
      </w:tr>
      <w:tr w:rsidR="00262B95" w:rsidRPr="002A2450" w14:paraId="4E214984" w14:textId="77777777" w:rsidTr="00DA1110">
        <w:trPr>
          <w:tblHeader/>
        </w:trPr>
        <w:tc>
          <w:tcPr>
            <w:tcW w:w="1639" w:type="pct"/>
          </w:tcPr>
          <w:p w14:paraId="04453B00" w14:textId="77777777" w:rsidR="00262B95" w:rsidRPr="002A2450" w:rsidRDefault="00262B95" w:rsidP="006375AA">
            <w:pPr>
              <w:spacing w:line="360" w:lineRule="auto"/>
              <w:rPr>
                <w:rFonts w:ascii="ITC Avant Garde" w:hAnsi="ITC Avant Garde"/>
              </w:rPr>
            </w:pPr>
            <w:r w:rsidRPr="002A2450">
              <w:rPr>
                <w:rFonts w:ascii="ITC Avant Garde" w:hAnsi="ITC Avant Garde"/>
                <w:b/>
                <w:smallCaps/>
              </w:rPr>
              <w:t>prestación de servicios</w:t>
            </w:r>
          </w:p>
        </w:tc>
        <w:tc>
          <w:tcPr>
            <w:tcW w:w="3361" w:type="pct"/>
          </w:tcPr>
          <w:p w14:paraId="6EF5288B"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telmex</w:t>
            </w:r>
            <w:proofErr w:type="spellEnd"/>
            <w:r w:rsidRPr="002A2450">
              <w:rPr>
                <w:rFonts w:ascii="ITC Avant Garde" w:hAnsi="ITC Avant Garde"/>
                <w:b/>
                <w:smallCaps/>
              </w:rPr>
              <w:t xml:space="preserve"> y </w:t>
            </w:r>
            <w:proofErr w:type="spellStart"/>
            <w:r w:rsidRPr="002A2450">
              <w:rPr>
                <w:rFonts w:ascii="ITC Avant Garde" w:hAnsi="ITC Avant Garde"/>
                <w:b/>
                <w:smallCaps/>
              </w:rPr>
              <w:t>cofresa</w:t>
            </w:r>
            <w:proofErr w:type="spellEnd"/>
          </w:p>
        </w:tc>
      </w:tr>
      <w:tr w:rsidR="00262B95" w:rsidRPr="002A2450" w14:paraId="5ABF193A" w14:textId="77777777" w:rsidTr="00DA1110">
        <w:trPr>
          <w:tblHeader/>
        </w:trPr>
        <w:tc>
          <w:tcPr>
            <w:tcW w:w="1639" w:type="pct"/>
          </w:tcPr>
          <w:p w14:paraId="6E0E31E1" w14:textId="77777777" w:rsidR="00262B95" w:rsidRPr="002A2450" w:rsidRDefault="00262B95" w:rsidP="006375AA">
            <w:pPr>
              <w:spacing w:line="360" w:lineRule="auto"/>
              <w:rPr>
                <w:rFonts w:ascii="ITC Avant Garde" w:hAnsi="ITC Avant Garde"/>
              </w:rPr>
            </w:pPr>
            <w:r w:rsidRPr="002A2450">
              <w:rPr>
                <w:rFonts w:ascii="ITC Avant Garde" w:hAnsi="ITC Avant Garde"/>
                <w:b/>
                <w:smallCaps/>
              </w:rPr>
              <w:t xml:space="preserve">distribución </w:t>
            </w:r>
          </w:p>
        </w:tc>
        <w:tc>
          <w:tcPr>
            <w:tcW w:w="3361" w:type="pct"/>
          </w:tcPr>
          <w:p w14:paraId="319C7847"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teninver</w:t>
            </w:r>
            <w:proofErr w:type="spellEnd"/>
            <w:r w:rsidRPr="002A2450">
              <w:rPr>
                <w:rFonts w:ascii="ITC Avant Garde" w:hAnsi="ITC Avant Garde"/>
                <w:b/>
                <w:smallCaps/>
              </w:rPr>
              <w:t xml:space="preserve">, </w:t>
            </w:r>
            <w:proofErr w:type="spellStart"/>
            <w:r w:rsidRPr="002A2450">
              <w:rPr>
                <w:rFonts w:ascii="ITC Avant Garde" w:hAnsi="ITC Avant Garde"/>
                <w:b/>
                <w:smallCaps/>
              </w:rPr>
              <w:t>telmex</w:t>
            </w:r>
            <w:proofErr w:type="spellEnd"/>
            <w:r w:rsidRPr="002A2450">
              <w:rPr>
                <w:rFonts w:ascii="ITC Avant Garde" w:hAnsi="ITC Avant Garde"/>
                <w:b/>
                <w:smallCaps/>
              </w:rPr>
              <w:t xml:space="preserve"> y </w:t>
            </w:r>
            <w:proofErr w:type="spellStart"/>
            <w:r w:rsidRPr="002A2450">
              <w:rPr>
                <w:rFonts w:ascii="ITC Avant Garde" w:hAnsi="ITC Avant Garde"/>
                <w:b/>
                <w:smallCaps/>
              </w:rPr>
              <w:t>cofresa</w:t>
            </w:r>
            <w:proofErr w:type="spellEnd"/>
          </w:p>
        </w:tc>
      </w:tr>
      <w:tr w:rsidR="00262B95" w:rsidRPr="002A2450" w14:paraId="6FA44192" w14:textId="77777777" w:rsidTr="00DA1110">
        <w:trPr>
          <w:tblHeader/>
        </w:trPr>
        <w:tc>
          <w:tcPr>
            <w:tcW w:w="1639" w:type="pct"/>
          </w:tcPr>
          <w:p w14:paraId="7037B350" w14:textId="77777777" w:rsidR="00262B95" w:rsidRPr="002A2450" w:rsidRDefault="00262B95" w:rsidP="006375AA">
            <w:pPr>
              <w:spacing w:line="360" w:lineRule="auto"/>
              <w:rPr>
                <w:rFonts w:ascii="ITC Avant Garde" w:hAnsi="ITC Avant Garde"/>
                <w:b/>
                <w:smallCaps/>
              </w:rPr>
            </w:pPr>
            <w:r w:rsidRPr="002A2450">
              <w:rPr>
                <w:rFonts w:ascii="ITC Avant Garde" w:hAnsi="ITC Avant Garde"/>
                <w:b/>
                <w:smallCaps/>
              </w:rPr>
              <w:t>arrendamiento</w:t>
            </w:r>
          </w:p>
        </w:tc>
        <w:tc>
          <w:tcPr>
            <w:tcW w:w="3361" w:type="pct"/>
          </w:tcPr>
          <w:p w14:paraId="23E6FDD3"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teninver</w:t>
            </w:r>
            <w:proofErr w:type="spellEnd"/>
            <w:r w:rsidRPr="002A2450">
              <w:rPr>
                <w:rFonts w:ascii="ITC Avant Garde" w:hAnsi="ITC Avant Garde"/>
                <w:b/>
                <w:smallCaps/>
              </w:rPr>
              <w:t xml:space="preserve"> y </w:t>
            </w:r>
            <w:proofErr w:type="spellStart"/>
            <w:r w:rsidRPr="002A2450">
              <w:rPr>
                <w:rFonts w:ascii="ITC Avant Garde" w:hAnsi="ITC Avant Garde"/>
                <w:b/>
                <w:smallCaps/>
              </w:rPr>
              <w:t>cofresa</w:t>
            </w:r>
            <w:proofErr w:type="spellEnd"/>
            <w:r w:rsidRPr="002A2450">
              <w:rPr>
                <w:rFonts w:ascii="ITC Avant Garde" w:hAnsi="ITC Avant Garde"/>
                <w:b/>
                <w:smallCaps/>
              </w:rPr>
              <w:t xml:space="preserve">, con la comparecencia de </w:t>
            </w:r>
            <w:proofErr w:type="spellStart"/>
            <w:r w:rsidRPr="002A2450">
              <w:rPr>
                <w:rFonts w:ascii="ITC Avant Garde" w:hAnsi="ITC Avant Garde"/>
                <w:b/>
                <w:smallCaps/>
              </w:rPr>
              <w:t>telmex</w:t>
            </w:r>
            <w:proofErr w:type="spellEnd"/>
            <w:r w:rsidRPr="002A2450">
              <w:rPr>
                <w:rFonts w:ascii="ITC Avant Garde" w:hAnsi="ITC Avant Garde"/>
                <w:b/>
                <w:smallCaps/>
              </w:rPr>
              <w:t xml:space="preserve"> y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holdings</w:t>
            </w:r>
          </w:p>
        </w:tc>
      </w:tr>
      <w:tr w:rsidR="00262B95" w:rsidRPr="002A2450" w14:paraId="366A1CAF" w14:textId="77777777" w:rsidTr="00DA1110">
        <w:trPr>
          <w:tblHeader/>
        </w:trPr>
        <w:tc>
          <w:tcPr>
            <w:tcW w:w="1639" w:type="pct"/>
          </w:tcPr>
          <w:p w14:paraId="0B74678B" w14:textId="77777777" w:rsidR="00262B95" w:rsidRPr="002A2450" w:rsidRDefault="00262B95" w:rsidP="006375AA">
            <w:pPr>
              <w:spacing w:line="360" w:lineRule="auto"/>
              <w:rPr>
                <w:rFonts w:ascii="ITC Avant Garde" w:hAnsi="ITC Avant Garde"/>
                <w:b/>
                <w:smallCaps/>
              </w:rPr>
            </w:pPr>
            <w:r w:rsidRPr="002A2450">
              <w:rPr>
                <w:rFonts w:ascii="ITC Avant Garde" w:hAnsi="ITC Avant Garde"/>
                <w:b/>
                <w:smallCaps/>
              </w:rPr>
              <w:t>operación</w:t>
            </w:r>
          </w:p>
        </w:tc>
        <w:tc>
          <w:tcPr>
            <w:tcW w:w="3361" w:type="pct"/>
          </w:tcPr>
          <w:p w14:paraId="0BB4E962"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mexico</w:t>
            </w:r>
            <w:proofErr w:type="spellEnd"/>
            <w:r w:rsidRPr="002A2450">
              <w:rPr>
                <w:rFonts w:ascii="ITC Avant Garde" w:hAnsi="ITC Avant Garde"/>
                <w:b/>
                <w:smallCaps/>
              </w:rPr>
              <w:t xml:space="preserve">, grupo </w:t>
            </w:r>
            <w:proofErr w:type="spellStart"/>
            <w:r w:rsidRPr="002A2450">
              <w:rPr>
                <w:rFonts w:ascii="ITC Avant Garde" w:hAnsi="ITC Avant Garde"/>
                <w:b/>
                <w:smallCaps/>
              </w:rPr>
              <w:t>mvs</w:t>
            </w:r>
            <w:proofErr w:type="spellEnd"/>
            <w:r w:rsidRPr="002A2450">
              <w:rPr>
                <w:rFonts w:ascii="ITC Avant Garde" w:hAnsi="ITC Avant Garde"/>
                <w:b/>
                <w:smallCaps/>
              </w:rPr>
              <w:t xml:space="preserve">, </w:t>
            </w:r>
            <w:proofErr w:type="spellStart"/>
            <w:r w:rsidRPr="002A2450">
              <w:rPr>
                <w:rFonts w:ascii="ITC Avant Garde" w:hAnsi="ITC Avant Garde"/>
                <w:b/>
                <w:smallCaps/>
              </w:rPr>
              <w:t>gfmtv</w:t>
            </w:r>
            <w:proofErr w:type="spellEnd"/>
            <w:r w:rsidRPr="002A2450">
              <w:rPr>
                <w:rFonts w:ascii="ITC Avant Garde" w:hAnsi="ITC Avant Garde"/>
                <w:b/>
                <w:smallCaps/>
              </w:rPr>
              <w:t xml:space="preserve">, </w:t>
            </w:r>
            <w:proofErr w:type="spellStart"/>
            <w:r w:rsidRPr="002A2450">
              <w:rPr>
                <w:rFonts w:ascii="ITC Avant Garde" w:hAnsi="ITC Avant Garde"/>
                <w:b/>
                <w:smallCaps/>
              </w:rPr>
              <w:t>mvs</w:t>
            </w:r>
            <w:proofErr w:type="spellEnd"/>
            <w:r w:rsidRPr="002A2450">
              <w:rPr>
                <w:rFonts w:ascii="ITC Avant Garde" w:hAnsi="ITC Avant Garde"/>
                <w:b/>
                <w:smallCaps/>
              </w:rPr>
              <w:t xml:space="preserve"> </w:t>
            </w:r>
            <w:proofErr w:type="spellStart"/>
            <w:r w:rsidRPr="002A2450">
              <w:rPr>
                <w:rFonts w:ascii="ITC Avant Garde" w:hAnsi="ITC Avant Garde"/>
                <w:b/>
                <w:smallCaps/>
              </w:rPr>
              <w:t>multivisión</w:t>
            </w:r>
            <w:proofErr w:type="spellEnd"/>
            <w:r w:rsidRPr="002A2450">
              <w:rPr>
                <w:rFonts w:ascii="ITC Avant Garde" w:hAnsi="ITC Avant Garde"/>
                <w:b/>
                <w:smallCaps/>
              </w:rPr>
              <w:t xml:space="preserve">,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w:t>
            </w:r>
            <w:proofErr w:type="spellStart"/>
            <w:r w:rsidRPr="002A2450">
              <w:rPr>
                <w:rFonts w:ascii="ITC Avant Garde" w:hAnsi="ITC Avant Garde"/>
                <w:b/>
                <w:smallCaps/>
              </w:rPr>
              <w:t>méxico</w:t>
            </w:r>
            <w:proofErr w:type="spellEnd"/>
            <w:r w:rsidRPr="002A2450">
              <w:rPr>
                <w:rFonts w:ascii="ITC Avant Garde" w:hAnsi="ITC Avant Garde"/>
                <w:b/>
                <w:smallCaps/>
              </w:rPr>
              <w:t xml:space="preserve">, </w:t>
            </w:r>
            <w:proofErr w:type="spellStart"/>
            <w:r w:rsidRPr="002A2450">
              <w:rPr>
                <w:rFonts w:ascii="ITC Avant Garde" w:hAnsi="ITC Avant Garde"/>
                <w:b/>
                <w:smallCaps/>
              </w:rPr>
              <w:t>cofresa</w:t>
            </w:r>
            <w:proofErr w:type="spellEnd"/>
            <w:r w:rsidRPr="002A2450">
              <w:rPr>
                <w:rFonts w:ascii="ITC Avant Garde" w:hAnsi="ITC Avant Garde"/>
                <w:b/>
                <w:smallCaps/>
              </w:rPr>
              <w:t xml:space="preserve">,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holdings y </w:t>
            </w: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corporation</w:t>
            </w:r>
            <w:proofErr w:type="spellEnd"/>
          </w:p>
        </w:tc>
      </w:tr>
      <w:tr w:rsidR="00262B95" w:rsidRPr="002A2450" w14:paraId="60052BC0" w14:textId="77777777" w:rsidTr="00DA1110">
        <w:trPr>
          <w:tblHeader/>
        </w:trPr>
        <w:tc>
          <w:tcPr>
            <w:tcW w:w="1639" w:type="pct"/>
          </w:tcPr>
          <w:p w14:paraId="1FDB3560" w14:textId="77777777" w:rsidR="00262B95" w:rsidRPr="002A2450" w:rsidRDefault="00262B95" w:rsidP="006375AA">
            <w:pPr>
              <w:spacing w:line="360" w:lineRule="auto"/>
              <w:rPr>
                <w:rFonts w:ascii="ITC Avant Garde" w:hAnsi="ITC Avant Garde"/>
                <w:b/>
                <w:smallCaps/>
              </w:rPr>
            </w:pPr>
            <w:r w:rsidRPr="002A2450">
              <w:rPr>
                <w:rFonts w:ascii="ITC Avant Garde" w:hAnsi="ITC Avant Garde"/>
                <w:b/>
                <w:smallCaps/>
              </w:rPr>
              <w:t>consecuencias</w:t>
            </w:r>
          </w:p>
        </w:tc>
        <w:tc>
          <w:tcPr>
            <w:tcW w:w="3361" w:type="pct"/>
          </w:tcPr>
          <w:p w14:paraId="379B6883" w14:textId="77777777" w:rsidR="00262B95" w:rsidRPr="002A2450" w:rsidRDefault="00262B95" w:rsidP="006375AA">
            <w:pPr>
              <w:spacing w:line="360" w:lineRule="auto"/>
              <w:rPr>
                <w:rFonts w:ascii="ITC Avant Garde" w:hAnsi="ITC Avant Garde"/>
                <w:b/>
                <w:smallCaps/>
              </w:rPr>
            </w:pPr>
            <w:proofErr w:type="spellStart"/>
            <w:r w:rsidRPr="002A2450">
              <w:rPr>
                <w:rFonts w:ascii="ITC Avant Garde" w:hAnsi="ITC Avant Garde"/>
                <w:b/>
                <w:smallCaps/>
              </w:rPr>
              <w:t>dish</w:t>
            </w:r>
            <w:proofErr w:type="spellEnd"/>
            <w:r w:rsidRPr="002A2450">
              <w:rPr>
                <w:rFonts w:ascii="ITC Avant Garde" w:hAnsi="ITC Avant Garde"/>
                <w:b/>
                <w:smallCaps/>
              </w:rPr>
              <w:t xml:space="preserve"> </w:t>
            </w:r>
            <w:proofErr w:type="spellStart"/>
            <w:r w:rsidRPr="002A2450">
              <w:rPr>
                <w:rFonts w:ascii="ITC Avant Garde" w:hAnsi="ITC Avant Garde"/>
                <w:b/>
                <w:smallCaps/>
              </w:rPr>
              <w:t>méxico</w:t>
            </w:r>
            <w:proofErr w:type="spellEnd"/>
            <w:r w:rsidRPr="002A2450">
              <w:rPr>
                <w:rFonts w:ascii="ITC Avant Garde" w:hAnsi="ITC Avant Garde"/>
                <w:b/>
                <w:smallCaps/>
              </w:rPr>
              <w:t xml:space="preserve">, </w:t>
            </w:r>
            <w:proofErr w:type="spellStart"/>
            <w:r w:rsidRPr="002A2450">
              <w:rPr>
                <w:rFonts w:ascii="ITC Avant Garde" w:hAnsi="ITC Avant Garde"/>
                <w:b/>
                <w:smallCaps/>
              </w:rPr>
              <w:t>telmex</w:t>
            </w:r>
            <w:proofErr w:type="spellEnd"/>
            <w:r w:rsidRPr="002A2450">
              <w:rPr>
                <w:rFonts w:ascii="ITC Avant Garde" w:hAnsi="ITC Avant Garde"/>
                <w:b/>
                <w:smallCaps/>
              </w:rPr>
              <w:t xml:space="preserve">, </w:t>
            </w:r>
            <w:proofErr w:type="spellStart"/>
            <w:r w:rsidRPr="002A2450">
              <w:rPr>
                <w:rFonts w:ascii="ITC Avant Garde" w:hAnsi="ITC Avant Garde"/>
                <w:b/>
                <w:smallCaps/>
              </w:rPr>
              <w:t>teninver</w:t>
            </w:r>
            <w:proofErr w:type="spellEnd"/>
            <w:r w:rsidRPr="002A2450">
              <w:rPr>
                <w:rFonts w:ascii="ITC Avant Garde" w:hAnsi="ITC Avant Garde"/>
                <w:b/>
                <w:smallCaps/>
              </w:rPr>
              <w:t xml:space="preserve">, </w:t>
            </w:r>
            <w:proofErr w:type="spellStart"/>
            <w:r w:rsidRPr="002A2450">
              <w:rPr>
                <w:rFonts w:ascii="ITC Avant Garde" w:hAnsi="ITC Avant Garde"/>
                <w:b/>
                <w:smallCaps/>
              </w:rPr>
              <w:t>dish</w:t>
            </w:r>
            <w:proofErr w:type="spellEnd"/>
            <w:r w:rsidRPr="002A2450">
              <w:rPr>
                <w:rFonts w:ascii="ITC Avant Garde" w:hAnsi="ITC Avant Garde"/>
                <w:b/>
                <w:smallCaps/>
              </w:rPr>
              <w:t xml:space="preserve"> holdings, </w:t>
            </w:r>
            <w:proofErr w:type="spellStart"/>
            <w:r w:rsidRPr="002A2450">
              <w:rPr>
                <w:rFonts w:ascii="ITC Avant Garde" w:hAnsi="ITC Avant Garde"/>
                <w:b/>
                <w:smallCaps/>
              </w:rPr>
              <w:t>gfmtv</w:t>
            </w:r>
            <w:proofErr w:type="spellEnd"/>
            <w:r w:rsidRPr="002A2450">
              <w:rPr>
                <w:rFonts w:ascii="ITC Avant Garde" w:hAnsi="ITC Avant Garde"/>
                <w:b/>
                <w:smallCaps/>
              </w:rPr>
              <w:t xml:space="preserve">, </w:t>
            </w: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mexico</w:t>
            </w:r>
            <w:proofErr w:type="spellEnd"/>
            <w:r w:rsidRPr="002A2450">
              <w:rPr>
                <w:rFonts w:ascii="ITC Avant Garde" w:hAnsi="ITC Avant Garde"/>
                <w:b/>
                <w:smallCaps/>
              </w:rPr>
              <w:t xml:space="preserve"> y </w:t>
            </w:r>
            <w:proofErr w:type="spellStart"/>
            <w:r w:rsidRPr="002A2450">
              <w:rPr>
                <w:rFonts w:ascii="ITC Avant Garde" w:hAnsi="ITC Avant Garde"/>
                <w:b/>
                <w:smallCaps/>
              </w:rPr>
              <w:t>echostar</w:t>
            </w:r>
            <w:proofErr w:type="spellEnd"/>
            <w:r w:rsidRPr="002A2450">
              <w:rPr>
                <w:rFonts w:ascii="ITC Avant Garde" w:hAnsi="ITC Avant Garde"/>
                <w:b/>
                <w:smallCaps/>
              </w:rPr>
              <w:t xml:space="preserve"> </w:t>
            </w:r>
            <w:proofErr w:type="spellStart"/>
            <w:r w:rsidRPr="002A2450">
              <w:rPr>
                <w:rFonts w:ascii="ITC Avant Garde" w:hAnsi="ITC Avant Garde"/>
                <w:b/>
                <w:smallCaps/>
              </w:rPr>
              <w:t>corporation</w:t>
            </w:r>
            <w:proofErr w:type="spellEnd"/>
          </w:p>
        </w:tc>
      </w:tr>
    </w:tbl>
    <w:p w14:paraId="69A40A60"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De la información obtenida se tuvo la certeza de la </w:t>
      </w:r>
      <w:r w:rsidR="00F514BE">
        <w:rPr>
          <w:rFonts w:ascii="ITC Avant Garde" w:hAnsi="ITC Avant Garde"/>
        </w:rPr>
        <w:t>elaboración</w:t>
      </w:r>
      <w:r w:rsidR="00F514BE" w:rsidRPr="002A2450">
        <w:rPr>
          <w:rFonts w:ascii="ITC Avant Garde" w:hAnsi="ITC Avant Garde"/>
        </w:rPr>
        <w:t xml:space="preserve"> </w:t>
      </w:r>
      <w:r w:rsidRPr="002A2450">
        <w:rPr>
          <w:rFonts w:ascii="ITC Avant Garde" w:hAnsi="ITC Avant Garde"/>
        </w:rPr>
        <w:t>de los contratos antes señalados, así como</w:t>
      </w:r>
      <w:r w:rsidR="00E6535E" w:rsidRPr="002A2450">
        <w:rPr>
          <w:rFonts w:ascii="ITC Avant Garde" w:hAnsi="ITC Avant Garde"/>
        </w:rPr>
        <w:t xml:space="preserve"> la</w:t>
      </w:r>
      <w:r w:rsidRPr="002A2450">
        <w:rPr>
          <w:rFonts w:ascii="ITC Avant Garde" w:hAnsi="ITC Avant Garde"/>
        </w:rPr>
        <w:t xml:space="preserve"> identidad de las empresas involucradas en su suscripción.</w:t>
      </w:r>
    </w:p>
    <w:p w14:paraId="00978C6B" w14:textId="77777777" w:rsidR="00B35F13" w:rsidRDefault="00262B95" w:rsidP="00B35F13">
      <w:pPr>
        <w:spacing w:before="240" w:line="360" w:lineRule="auto"/>
        <w:jc w:val="both"/>
        <w:rPr>
          <w:rFonts w:ascii="ITC Avant Garde" w:hAnsi="ITC Avant Garde"/>
        </w:rPr>
      </w:pPr>
      <w:bookmarkStart w:id="73" w:name="_Toc477170176"/>
      <w:r w:rsidRPr="002A2450">
        <w:rPr>
          <w:rStyle w:val="Ttulo3Car"/>
          <w:rFonts w:eastAsiaTheme="minorHAnsi"/>
        </w:rPr>
        <w:t>NOVENO</w:t>
      </w:r>
      <w:bookmarkEnd w:id="73"/>
      <w:r w:rsidRPr="002A2450">
        <w:rPr>
          <w:rFonts w:ascii="ITC Avant Garde" w:hAnsi="ITC Avant Garde"/>
          <w:b/>
        </w:rPr>
        <w:t xml:space="preserve">. </w:t>
      </w:r>
      <w:r w:rsidRPr="002A2450">
        <w:rPr>
          <w:rFonts w:ascii="ITC Avant Garde" w:hAnsi="ITC Avant Garde"/>
        </w:rPr>
        <w:t>El siete de mayo de dos mil catorce,</w:t>
      </w:r>
      <w:r w:rsidRPr="002A2450">
        <w:rPr>
          <w:rFonts w:ascii="ITC Avant Garde" w:hAnsi="ITC Avant Garde"/>
          <w:b/>
        </w:rPr>
        <w:t xml:space="preserve"> </w:t>
      </w:r>
      <w:r w:rsidR="003A1CC5" w:rsidRPr="002A2450">
        <w:rPr>
          <w:rFonts w:ascii="ITC Avant Garde" w:hAnsi="ITC Avant Garde"/>
          <w:b/>
        </w:rPr>
        <w:t>“PEGASO”</w:t>
      </w:r>
      <w:r w:rsidR="003A1CC5" w:rsidRPr="002A2450">
        <w:rPr>
          <w:rFonts w:ascii="ITC Avant Garde" w:hAnsi="ITC Avant Garde"/>
        </w:rPr>
        <w:t xml:space="preserve"> </w:t>
      </w:r>
      <w:r w:rsidRPr="002A2450">
        <w:rPr>
          <w:rFonts w:ascii="ITC Avant Garde" w:hAnsi="ITC Avant Garde"/>
        </w:rPr>
        <w:t xml:space="preserve">y </w:t>
      </w:r>
      <w:r w:rsidR="003A1CC5" w:rsidRPr="002A2450">
        <w:rPr>
          <w:rFonts w:ascii="ITC Avant Garde" w:hAnsi="ITC Avant Garde"/>
          <w:b/>
        </w:rPr>
        <w:t>“</w:t>
      </w:r>
      <w:r w:rsidR="00BA365F" w:rsidRPr="002A2450">
        <w:rPr>
          <w:rFonts w:ascii="ITC Avant Garde" w:hAnsi="ITC Avant Garde"/>
          <w:b/>
        </w:rPr>
        <w:t xml:space="preserve">GRUPO </w:t>
      </w:r>
      <w:r w:rsidRPr="002A2450">
        <w:rPr>
          <w:rFonts w:ascii="ITC Avant Garde" w:hAnsi="ITC Avant Garde"/>
          <w:b/>
        </w:rPr>
        <w:t>TM</w:t>
      </w:r>
      <w:r w:rsidR="003A1CC5" w:rsidRPr="002A2450">
        <w:rPr>
          <w:rFonts w:ascii="ITC Avant Garde" w:hAnsi="ITC Avant Garde"/>
          <w:b/>
        </w:rPr>
        <w:t>”</w:t>
      </w:r>
      <w:r w:rsidRPr="002A2450">
        <w:rPr>
          <w:rFonts w:ascii="ITC Avant Garde" w:hAnsi="ITC Avant Garde"/>
        </w:rPr>
        <w:t xml:space="preserve"> presentaron ante el </w:t>
      </w:r>
      <w:r w:rsidR="00BA365F" w:rsidRPr="002A2450">
        <w:rPr>
          <w:rFonts w:ascii="ITC Avant Garde" w:hAnsi="ITC Avant Garde"/>
          <w:b/>
        </w:rPr>
        <w:t>“</w:t>
      </w:r>
      <w:r w:rsidRPr="002A2450">
        <w:rPr>
          <w:rFonts w:ascii="ITC Avant Garde" w:hAnsi="ITC Avant Garde"/>
          <w:b/>
        </w:rPr>
        <w:t>Instituto</w:t>
      </w:r>
      <w:r w:rsidR="00BA365F" w:rsidRPr="002A2450">
        <w:rPr>
          <w:rFonts w:ascii="ITC Avant Garde" w:hAnsi="ITC Avant Garde"/>
          <w:b/>
        </w:rPr>
        <w:t>”</w:t>
      </w:r>
      <w:r w:rsidRPr="002A2450">
        <w:rPr>
          <w:rFonts w:ascii="ITC Avant Garde" w:hAnsi="ITC Avant Garde"/>
        </w:rPr>
        <w:t xml:space="preserve"> denuncia en contra de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rPr>
        <w:t xml:space="preserve">, por diversos </w:t>
      </w:r>
      <w:r w:rsidRPr="002A2450">
        <w:rPr>
          <w:rFonts w:ascii="ITC Avant Garde" w:hAnsi="ITC Avant Garde"/>
        </w:rPr>
        <w:lastRenderedPageBreak/>
        <w:t xml:space="preserve">incumplimientos de la condición 1-9 denominada "Distribución de Señales de Televisión", establecida en el </w:t>
      </w:r>
      <w:r w:rsidR="00BA365F" w:rsidRPr="002A2450">
        <w:rPr>
          <w:rFonts w:ascii="ITC Avant Garde" w:hAnsi="ITC Avant Garde"/>
          <w:b/>
        </w:rPr>
        <w:t>“TÍTULO DE CONCESIÓN”</w:t>
      </w:r>
      <w:r w:rsidR="00BA365F" w:rsidRPr="002A2450">
        <w:rPr>
          <w:rFonts w:ascii="ITC Avant Garde" w:hAnsi="ITC Avant Garde"/>
        </w:rPr>
        <w:t xml:space="preserve"> </w:t>
      </w:r>
      <w:r w:rsidRPr="002A2450">
        <w:rPr>
          <w:rFonts w:ascii="ITC Avant Garde" w:hAnsi="ITC Avant Garde"/>
        </w:rPr>
        <w:t xml:space="preserve">de </w:t>
      </w:r>
      <w:r w:rsidR="003A1CC5" w:rsidRPr="002A2450">
        <w:rPr>
          <w:rFonts w:ascii="ITC Avant Garde" w:hAnsi="ITC Avant Garde"/>
          <w:b/>
        </w:rPr>
        <w:t>“TELMEX”</w:t>
      </w:r>
      <w:r w:rsidRPr="002A2450">
        <w:rPr>
          <w:rFonts w:ascii="ITC Avant Garde" w:hAnsi="ITC Avant Garde"/>
        </w:rPr>
        <w:t xml:space="preserve"> y que impediría la modificación de dicho título de concesión solicitada por </w:t>
      </w:r>
      <w:r w:rsidR="003A1CC5" w:rsidRPr="002A2450">
        <w:rPr>
          <w:rFonts w:ascii="ITC Avant Garde" w:hAnsi="ITC Avant Garde"/>
          <w:b/>
        </w:rPr>
        <w:t xml:space="preserve">“TELMEX” </w:t>
      </w:r>
      <w:r w:rsidRPr="002A2450">
        <w:rPr>
          <w:rFonts w:ascii="ITC Avant Garde" w:hAnsi="ITC Avant Garde"/>
        </w:rPr>
        <w:t xml:space="preserve">para poder prestar el servicio de televisión restringida de conformidad con el </w:t>
      </w:r>
      <w:r w:rsidRPr="002A2450">
        <w:rPr>
          <w:rFonts w:ascii="ITC Avant Garde" w:hAnsi="ITC Avant Garde"/>
          <w:i/>
        </w:rPr>
        <w:t>“Acuerdo de Convergencia de servicios fijos de telefonía local y</w:t>
      </w:r>
      <w:r w:rsidR="008F718E" w:rsidRPr="009E34A4">
        <w:rPr>
          <w:rFonts w:ascii="ITC Avant Garde" w:hAnsi="ITC Avant Garde"/>
          <w:i/>
          <w:color w:val="C00000"/>
        </w:rPr>
        <w:t xml:space="preserve"> </w:t>
      </w:r>
      <w:r w:rsidRPr="002A2450">
        <w:rPr>
          <w:rFonts w:ascii="ITC Avant Garde" w:hAnsi="ITC Avant Garde"/>
          <w:i/>
        </w:rPr>
        <w:t>televisión y/o audio restringidos que se proporcionan a través de redes públicas alámbricas e inalámbricas”</w:t>
      </w:r>
      <w:r w:rsidRPr="002A2450">
        <w:rPr>
          <w:rFonts w:ascii="ITC Avant Garde" w:hAnsi="ITC Avant Garde"/>
          <w:b/>
        </w:rPr>
        <w:t>.</w:t>
      </w:r>
    </w:p>
    <w:p w14:paraId="46111412" w14:textId="77777777" w:rsidR="00B35F13" w:rsidRDefault="00262B95" w:rsidP="00B35F13">
      <w:pPr>
        <w:spacing w:before="240" w:line="360" w:lineRule="auto"/>
        <w:jc w:val="both"/>
        <w:rPr>
          <w:rFonts w:ascii="ITC Avant Garde" w:hAnsi="ITC Avant Garde"/>
        </w:rPr>
      </w:pPr>
      <w:bookmarkStart w:id="74" w:name="_Toc477170177"/>
      <w:r w:rsidRPr="002A2450">
        <w:rPr>
          <w:rStyle w:val="Ttulo3Car"/>
          <w:rFonts w:eastAsiaTheme="minorHAnsi"/>
        </w:rPr>
        <w:t>DÉCIMO</w:t>
      </w:r>
      <w:bookmarkEnd w:id="74"/>
      <w:r w:rsidRPr="002A2450">
        <w:rPr>
          <w:rFonts w:ascii="ITC Avant Garde" w:hAnsi="ITC Avant Garde"/>
        </w:rPr>
        <w:t xml:space="preserve">. El dieciocho de julio de dos mil catorce, </w:t>
      </w:r>
      <w:r w:rsidR="003A1CC5" w:rsidRPr="002A2450">
        <w:rPr>
          <w:rFonts w:ascii="ITC Avant Garde" w:hAnsi="ITC Avant Garde"/>
          <w:b/>
        </w:rPr>
        <w:t>“</w:t>
      </w:r>
      <w:r w:rsidRPr="002A2450">
        <w:rPr>
          <w:rFonts w:ascii="ITC Avant Garde" w:hAnsi="ITC Avant Garde"/>
          <w:b/>
        </w:rPr>
        <w:t>TOTAL PLAY</w:t>
      </w:r>
      <w:r w:rsidR="00BA365F" w:rsidRPr="002A2450">
        <w:rPr>
          <w:rFonts w:ascii="ITC Avant Garde" w:hAnsi="ITC Avant Garde"/>
          <w:b/>
        </w:rPr>
        <w:t xml:space="preserve"> TELECOMUNICACIONES</w:t>
      </w:r>
      <w:r w:rsidR="003A1CC5" w:rsidRPr="002A2450">
        <w:rPr>
          <w:rFonts w:ascii="ITC Avant Garde" w:hAnsi="ITC Avant Garde"/>
          <w:b/>
        </w:rPr>
        <w:t>”</w:t>
      </w:r>
      <w:r w:rsidRPr="002A2450">
        <w:rPr>
          <w:rFonts w:ascii="ITC Avant Garde" w:hAnsi="ITC Avant Garde"/>
        </w:rPr>
        <w:t xml:space="preserve"> presentó ante el </w:t>
      </w:r>
      <w:r w:rsidR="00BA365F" w:rsidRPr="002A2450">
        <w:rPr>
          <w:rFonts w:ascii="ITC Avant Garde" w:hAnsi="ITC Avant Garde"/>
          <w:b/>
        </w:rPr>
        <w:t>“</w:t>
      </w:r>
      <w:r w:rsidRPr="002A2450">
        <w:rPr>
          <w:rFonts w:ascii="ITC Avant Garde" w:hAnsi="ITC Avant Garde"/>
          <w:b/>
        </w:rPr>
        <w:t>Instituto</w:t>
      </w:r>
      <w:r w:rsidR="00BA365F" w:rsidRPr="002A2450">
        <w:rPr>
          <w:rFonts w:ascii="ITC Avant Garde" w:hAnsi="ITC Avant Garde"/>
          <w:b/>
        </w:rPr>
        <w:t>”</w:t>
      </w:r>
      <w:r w:rsidRPr="002A2450">
        <w:rPr>
          <w:rFonts w:ascii="ITC Avant Garde" w:hAnsi="ITC Avant Garde"/>
        </w:rPr>
        <w:t xml:space="preserve"> denuncia en contra de </w:t>
      </w:r>
      <w:r w:rsidR="003A1CC5" w:rsidRPr="002A2450">
        <w:rPr>
          <w:rFonts w:ascii="ITC Avant Garde" w:hAnsi="ITC Avant Garde"/>
          <w:b/>
        </w:rPr>
        <w:t>“</w:t>
      </w:r>
      <w:r w:rsidRPr="002A2450">
        <w:rPr>
          <w:rFonts w:ascii="ITC Avant Garde" w:hAnsi="ITC Avant Garde"/>
          <w:b/>
        </w:rPr>
        <w:t>TELMEX</w:t>
      </w:r>
      <w:r w:rsidR="003A1CC5" w:rsidRPr="002A2450">
        <w:rPr>
          <w:rFonts w:ascii="ITC Avant Garde" w:hAnsi="ITC Avant Garde"/>
          <w:b/>
        </w:rPr>
        <w:t>”</w:t>
      </w:r>
      <w:r w:rsidRPr="002A2450">
        <w:rPr>
          <w:rFonts w:ascii="ITC Avant Garde" w:hAnsi="ITC Avant Garde"/>
        </w:rPr>
        <w:t xml:space="preserve"> y </w:t>
      </w:r>
      <w:r w:rsidR="003A1CC5" w:rsidRPr="002A2450">
        <w:rPr>
          <w:rFonts w:ascii="ITC Avant Garde" w:hAnsi="ITC Avant Garde"/>
          <w:b/>
        </w:rPr>
        <w:t>“</w:t>
      </w:r>
      <w:r w:rsidRPr="002A2450">
        <w:rPr>
          <w:rFonts w:ascii="ITC Avant Garde" w:hAnsi="ITC Avant Garde"/>
          <w:b/>
        </w:rPr>
        <w:t>COFRESA</w:t>
      </w:r>
      <w:r w:rsidR="003A1CC5" w:rsidRPr="002A2450">
        <w:rPr>
          <w:rFonts w:ascii="ITC Avant Garde" w:hAnsi="ITC Avant Garde"/>
          <w:b/>
        </w:rPr>
        <w:t>”</w:t>
      </w:r>
      <w:r w:rsidRPr="002A2450">
        <w:rPr>
          <w:rFonts w:ascii="ITC Avant Garde" w:hAnsi="ITC Avant Garde"/>
        </w:rPr>
        <w:t xml:space="preserve">, por la supuesta violación a la condición 1-9 denominada "Distribución de Señales de Televisión", establecida en el </w:t>
      </w:r>
      <w:r w:rsidR="00BA365F" w:rsidRPr="002A2450">
        <w:rPr>
          <w:rFonts w:ascii="ITC Avant Garde" w:hAnsi="ITC Avant Garde"/>
          <w:b/>
        </w:rPr>
        <w:t>“TÍTULO DE CONCESIÓN”</w:t>
      </w:r>
      <w:r w:rsidR="00BA365F" w:rsidRPr="002A2450">
        <w:rPr>
          <w:rFonts w:ascii="ITC Avant Garde" w:hAnsi="ITC Avant Garde"/>
        </w:rPr>
        <w:t xml:space="preserve"> </w:t>
      </w:r>
      <w:r w:rsidRPr="002A2450">
        <w:rPr>
          <w:rFonts w:ascii="ITC Avant Garde" w:hAnsi="ITC Avant Garde"/>
        </w:rPr>
        <w:t xml:space="preserve">de </w:t>
      </w:r>
      <w:r w:rsidR="003A1CC5" w:rsidRPr="002A2450">
        <w:rPr>
          <w:rFonts w:ascii="ITC Avant Garde" w:hAnsi="ITC Avant Garde"/>
          <w:b/>
        </w:rPr>
        <w:t>“TELMEX”</w:t>
      </w:r>
      <w:r w:rsidRPr="002A2450">
        <w:rPr>
          <w:rFonts w:ascii="ITC Avant Garde" w:hAnsi="ITC Avant Garde"/>
        </w:rPr>
        <w:t>, teniendo como argumento diversos documentos publicados en medios de comunicación que acreditarían un</w:t>
      </w:r>
      <w:r w:rsidR="004B64EC">
        <w:rPr>
          <w:rFonts w:ascii="ITC Avant Garde" w:hAnsi="ITC Avant Garde"/>
        </w:rPr>
        <w:t>a</w:t>
      </w:r>
      <w:r w:rsidRPr="002A2450">
        <w:rPr>
          <w:rFonts w:ascii="ITC Avant Garde" w:hAnsi="ITC Avant Garde"/>
        </w:rPr>
        <w:t xml:space="preserve"> explotación indirect</w:t>
      </w:r>
      <w:r w:rsidR="004B64EC">
        <w:rPr>
          <w:rFonts w:ascii="ITC Avant Garde" w:hAnsi="ITC Avant Garde"/>
        </w:rPr>
        <w:t>a</w:t>
      </w:r>
      <w:r w:rsidRPr="002A2450">
        <w:rPr>
          <w:rFonts w:ascii="ITC Avant Garde" w:hAnsi="ITC Avant Garde"/>
        </w:rPr>
        <w:t xml:space="preserve"> de </w:t>
      </w:r>
      <w:r w:rsidR="003A1CC5" w:rsidRPr="002A2450">
        <w:rPr>
          <w:rFonts w:ascii="ITC Avant Garde" w:hAnsi="ITC Avant Garde"/>
          <w:b/>
        </w:rPr>
        <w:t xml:space="preserve">“TELMEX” </w:t>
      </w:r>
      <w:r w:rsidRPr="002A2450">
        <w:rPr>
          <w:rFonts w:ascii="ITC Avant Garde" w:hAnsi="ITC Avant Garde"/>
        </w:rPr>
        <w:t xml:space="preserve">sobre la concesión a nombre de </w:t>
      </w:r>
      <w:r w:rsidR="003A1CC5" w:rsidRPr="002A2450">
        <w:rPr>
          <w:rFonts w:ascii="ITC Avant Garde" w:hAnsi="ITC Avant Garde"/>
          <w:b/>
        </w:rPr>
        <w:t>“</w:t>
      </w:r>
      <w:r w:rsidRPr="002A2450">
        <w:rPr>
          <w:rFonts w:ascii="ITC Avant Garde" w:hAnsi="ITC Avant Garde"/>
          <w:b/>
        </w:rPr>
        <w:t>COFRESA</w:t>
      </w:r>
      <w:r w:rsidR="003A1CC5" w:rsidRPr="002A2450">
        <w:rPr>
          <w:rFonts w:ascii="ITC Avant Garde" w:hAnsi="ITC Avant Garde"/>
          <w:b/>
        </w:rPr>
        <w:t>”</w:t>
      </w:r>
      <w:r w:rsidRPr="002A2450">
        <w:rPr>
          <w:rFonts w:ascii="ITC Avant Garde" w:hAnsi="ITC Avant Garde"/>
        </w:rPr>
        <w:t xml:space="preserve"> para prestar el servicio de televisión restringida.</w:t>
      </w:r>
    </w:p>
    <w:p w14:paraId="7A63B469" w14:textId="77777777" w:rsidR="00B35F13" w:rsidRDefault="00262B95" w:rsidP="00B35F13">
      <w:pPr>
        <w:pStyle w:val="Listavistosa-nfasis11"/>
        <w:spacing w:before="240" w:after="160" w:line="360" w:lineRule="auto"/>
        <w:ind w:left="0"/>
        <w:jc w:val="both"/>
        <w:rPr>
          <w:rFonts w:ascii="ITC Avant Garde" w:hAnsi="ITC Avant Garde"/>
        </w:rPr>
      </w:pPr>
      <w:bookmarkStart w:id="75" w:name="_Toc477170178"/>
      <w:r w:rsidRPr="002A2450">
        <w:rPr>
          <w:rStyle w:val="Ttulo3Car"/>
          <w:rFonts w:eastAsia="Calibri"/>
        </w:rPr>
        <w:t>DÉCIMO PRIMERO</w:t>
      </w:r>
      <w:bookmarkEnd w:id="75"/>
      <w:r w:rsidRPr="002A2450">
        <w:rPr>
          <w:rFonts w:ascii="ITC Avant Garde" w:hAnsi="ITC Avant Garde"/>
          <w:b/>
        </w:rPr>
        <w:t xml:space="preserve">. </w:t>
      </w:r>
      <w:r w:rsidRPr="002A2450">
        <w:rPr>
          <w:rFonts w:ascii="ITC Avant Garde" w:hAnsi="ITC Avant Garde"/>
        </w:rPr>
        <w:t xml:space="preserve">El catorce de julio de dos mil catorce, se publicó en el </w:t>
      </w:r>
      <w:r w:rsidR="003A1CC5" w:rsidRPr="002A2450">
        <w:rPr>
          <w:rFonts w:ascii="ITC Avant Garde" w:hAnsi="ITC Avant Garde"/>
          <w:b/>
        </w:rPr>
        <w:t xml:space="preserve">“DOF” </w:t>
      </w:r>
      <w:r w:rsidRPr="002A2450">
        <w:rPr>
          <w:rFonts w:ascii="ITC Avant Garde" w:hAnsi="ITC Avant Garde"/>
        </w:rPr>
        <w:t xml:space="preserve">el </w:t>
      </w:r>
      <w:r w:rsidRPr="002A2450">
        <w:rPr>
          <w:rFonts w:ascii="ITC Avant Garde" w:hAnsi="ITC Avant Garde"/>
          <w:i/>
        </w:rPr>
        <w:t>“Decreto por el que se expide la Ley Federal de Telecomunicaciones y Radiodifusión, y la Ley del Sistema Público de Radiodifusión del Estado Mexicano; y se reforman, adicionan y derogan diversas disposiciones en materia de telecomunicaciones y radiodifusión</w:t>
      </w:r>
      <w:r w:rsidRPr="002A2450">
        <w:rPr>
          <w:rFonts w:ascii="ITC Avant Garde" w:hAnsi="ITC Avant Garde"/>
        </w:rPr>
        <w:t>”, mismo que entró en vigor el trece de agosto de dos mil catorce.</w:t>
      </w:r>
    </w:p>
    <w:p w14:paraId="14C1FEDB" w14:textId="77777777" w:rsidR="00B35F13" w:rsidRDefault="00262B95" w:rsidP="00B35F13">
      <w:pPr>
        <w:pStyle w:val="Listavistosa-nfasis11"/>
        <w:spacing w:before="240" w:after="160" w:line="360" w:lineRule="auto"/>
        <w:ind w:left="0"/>
        <w:jc w:val="both"/>
        <w:rPr>
          <w:rFonts w:ascii="ITC Avant Garde" w:hAnsi="ITC Avant Garde"/>
        </w:rPr>
      </w:pPr>
      <w:bookmarkStart w:id="76" w:name="_Toc477170179"/>
      <w:r w:rsidRPr="002A2450">
        <w:rPr>
          <w:rStyle w:val="Ttulo3Car"/>
          <w:rFonts w:eastAsia="Calibri"/>
        </w:rPr>
        <w:t>DÉCIMO SEGUNDO</w:t>
      </w:r>
      <w:bookmarkEnd w:id="76"/>
      <w:r w:rsidRPr="002A2450">
        <w:rPr>
          <w:rFonts w:ascii="ITC Avant Garde" w:hAnsi="ITC Avant Garde"/>
          <w:b/>
        </w:rPr>
        <w:t xml:space="preserve">. </w:t>
      </w:r>
      <w:r w:rsidRPr="002A2450">
        <w:rPr>
          <w:rFonts w:ascii="ITC Avant Garde" w:hAnsi="ITC Avant Garde"/>
        </w:rPr>
        <w:t xml:space="preserve">El cuatro de septiembre de dos mil catorce, se publicó en el </w:t>
      </w:r>
      <w:r w:rsidR="003A1CC5" w:rsidRPr="002A2450">
        <w:rPr>
          <w:rFonts w:ascii="ITC Avant Garde" w:hAnsi="ITC Avant Garde"/>
          <w:b/>
        </w:rPr>
        <w:t>“DOF”</w:t>
      </w:r>
      <w:r w:rsidRPr="002A2450">
        <w:rPr>
          <w:rFonts w:ascii="ITC Avant Garde" w:hAnsi="ITC Avant Garde"/>
        </w:rPr>
        <w:t xml:space="preserve"> el </w:t>
      </w:r>
      <w:r w:rsidR="004B64EC">
        <w:rPr>
          <w:rFonts w:ascii="ITC Avant Garde" w:hAnsi="ITC Avant Garde"/>
          <w:b/>
        </w:rPr>
        <w:t>“</w:t>
      </w:r>
      <w:r w:rsidRPr="009E34A4">
        <w:rPr>
          <w:rFonts w:ascii="ITC Avant Garde" w:hAnsi="ITC Avant Garde"/>
          <w:b/>
        </w:rPr>
        <w:t>Estatuto</w:t>
      </w:r>
      <w:r w:rsidR="004B64EC">
        <w:rPr>
          <w:rFonts w:ascii="ITC Avant Garde" w:hAnsi="ITC Avant Garde"/>
          <w:b/>
        </w:rPr>
        <w:t>”</w:t>
      </w:r>
      <w:r w:rsidRPr="002A2450">
        <w:rPr>
          <w:rFonts w:ascii="ITC Avant Garde" w:hAnsi="ITC Avant Garde"/>
        </w:rPr>
        <w:t xml:space="preserve">, mismo que se modificó a través del </w:t>
      </w:r>
      <w:r w:rsidRPr="002A2450">
        <w:rPr>
          <w:rFonts w:ascii="ITC Avant Garde" w:hAnsi="ITC Avant Garde"/>
          <w:i/>
        </w:rPr>
        <w:t>“Acuerdo por el que se modifica el Estatuto Orgánico”</w:t>
      </w:r>
      <w:r w:rsidRPr="002A2450">
        <w:rPr>
          <w:rFonts w:ascii="ITC Avant Garde" w:hAnsi="ITC Avant Garde"/>
        </w:rPr>
        <w:t>, publicado en el mismo medio de difusión el diecisiete de octubre de dicha anualidad.</w:t>
      </w:r>
    </w:p>
    <w:p w14:paraId="4648F2EE" w14:textId="77777777" w:rsidR="00B35F13" w:rsidRDefault="00262B95" w:rsidP="00B35F13">
      <w:pPr>
        <w:spacing w:before="240" w:line="360" w:lineRule="auto"/>
        <w:jc w:val="both"/>
        <w:rPr>
          <w:rFonts w:ascii="ITC Avant Garde" w:hAnsi="ITC Avant Garde"/>
        </w:rPr>
      </w:pPr>
      <w:bookmarkStart w:id="77" w:name="_Toc477170180"/>
      <w:r w:rsidRPr="002A2450">
        <w:rPr>
          <w:rStyle w:val="Ttulo3Car"/>
          <w:rFonts w:eastAsiaTheme="minorHAnsi"/>
        </w:rPr>
        <w:t>DÉCIMO TERCERO</w:t>
      </w:r>
      <w:bookmarkEnd w:id="77"/>
      <w:r w:rsidRPr="002A2450">
        <w:rPr>
          <w:rFonts w:ascii="ITC Avant Garde" w:hAnsi="ITC Avant Garde"/>
          <w:b/>
        </w:rPr>
        <w:t>.</w:t>
      </w:r>
      <w:r w:rsidRPr="002A2450">
        <w:rPr>
          <w:rFonts w:ascii="ITC Avant Garde" w:hAnsi="ITC Avant Garde"/>
        </w:rPr>
        <w:t xml:space="preserve"> El veintiocho de enero de dos mil quince, </w:t>
      </w:r>
      <w:r w:rsidR="003A1CC5" w:rsidRPr="002A2450">
        <w:rPr>
          <w:rFonts w:ascii="ITC Avant Garde" w:hAnsi="ITC Avant Garde"/>
        </w:rPr>
        <w:t>“</w:t>
      </w:r>
      <w:r w:rsidR="003A1CC5" w:rsidRPr="002A2450">
        <w:rPr>
          <w:rFonts w:ascii="ITC Avant Garde" w:hAnsi="ITC Avant Garde"/>
          <w:b/>
        </w:rPr>
        <w:t xml:space="preserve">PEGASO PCS” </w:t>
      </w:r>
      <w:r w:rsidRPr="002A2450">
        <w:rPr>
          <w:rFonts w:ascii="ITC Avant Garde" w:hAnsi="ITC Avant Garde"/>
        </w:rPr>
        <w:t xml:space="preserve">y </w:t>
      </w:r>
      <w:r w:rsidR="003A1CC5" w:rsidRPr="002A2450">
        <w:rPr>
          <w:rFonts w:ascii="ITC Avant Garde" w:hAnsi="ITC Avant Garde"/>
          <w:b/>
        </w:rPr>
        <w:t>“</w:t>
      </w:r>
      <w:r w:rsidR="00BA365F" w:rsidRPr="002A2450">
        <w:rPr>
          <w:rFonts w:ascii="ITC Avant Garde" w:hAnsi="ITC Avant Garde"/>
          <w:b/>
        </w:rPr>
        <w:t xml:space="preserve">GRUPO </w:t>
      </w:r>
      <w:r w:rsidRPr="002A2450">
        <w:rPr>
          <w:rFonts w:ascii="ITC Avant Garde" w:hAnsi="ITC Avant Garde"/>
          <w:b/>
        </w:rPr>
        <w:t>TM</w:t>
      </w:r>
      <w:r w:rsidR="003A1CC5" w:rsidRPr="002A2450">
        <w:rPr>
          <w:rFonts w:ascii="ITC Avant Garde" w:hAnsi="ITC Avant Garde"/>
          <w:b/>
        </w:rPr>
        <w:t>”</w:t>
      </w:r>
      <w:r w:rsidRPr="002A2450">
        <w:rPr>
          <w:rFonts w:ascii="ITC Avant Garde" w:hAnsi="ITC Avant Garde"/>
        </w:rPr>
        <w:t xml:space="preserve">, presentaron un escrito por el cual denunciaban a </w:t>
      </w:r>
      <w:r w:rsidR="003A1CC5" w:rsidRPr="002A2450">
        <w:rPr>
          <w:rFonts w:ascii="ITC Avant Garde" w:hAnsi="ITC Avant Garde"/>
          <w:b/>
        </w:rPr>
        <w:t xml:space="preserve">“TELMEX” </w:t>
      </w:r>
      <w:r w:rsidRPr="002A2450">
        <w:rPr>
          <w:rFonts w:ascii="ITC Avant Garde" w:hAnsi="ITC Avant Garde"/>
        </w:rPr>
        <w:t xml:space="preserve">toda vez que ésta presta servicios de televisión restringida al público en contravención a su </w:t>
      </w:r>
      <w:r w:rsidR="00BD1D1D" w:rsidRPr="002A2450">
        <w:rPr>
          <w:rFonts w:ascii="ITC Avant Garde" w:hAnsi="ITC Avant Garde"/>
          <w:b/>
        </w:rPr>
        <w:t>“TÍTULO</w:t>
      </w:r>
      <w:r w:rsidRPr="002A2450">
        <w:rPr>
          <w:rFonts w:ascii="ITC Avant Garde" w:hAnsi="ITC Avant Garde"/>
          <w:b/>
        </w:rPr>
        <w:t xml:space="preserve"> DE CONCESIÓN</w:t>
      </w:r>
      <w:r w:rsidR="00BA365F"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toda vez que existe el reconocimiento expreso por parte</w:t>
      </w:r>
      <w:r w:rsidR="008F718E" w:rsidRPr="009E34A4">
        <w:rPr>
          <w:rFonts w:ascii="ITC Avant Garde" w:hAnsi="ITC Avant Garde"/>
          <w:color w:val="C00000"/>
        </w:rPr>
        <w:t xml:space="preserve"> </w:t>
      </w:r>
      <w:r w:rsidRPr="002A2450">
        <w:rPr>
          <w:rFonts w:ascii="ITC Avant Garde" w:hAnsi="ITC Avant Garde"/>
        </w:rPr>
        <w:t xml:space="preserve">del </w:t>
      </w:r>
      <w:r w:rsidR="00BA365F" w:rsidRPr="002A2450">
        <w:rPr>
          <w:rFonts w:ascii="ITC Avant Garde" w:hAnsi="ITC Avant Garde"/>
          <w:b/>
        </w:rPr>
        <w:t>“</w:t>
      </w:r>
      <w:r w:rsidRPr="002A2450">
        <w:rPr>
          <w:rFonts w:ascii="ITC Avant Garde" w:hAnsi="ITC Avant Garde"/>
          <w:b/>
        </w:rPr>
        <w:t>Instituto</w:t>
      </w:r>
      <w:r w:rsidR="00BA365F" w:rsidRPr="002A2450">
        <w:rPr>
          <w:rFonts w:ascii="ITC Avant Garde" w:hAnsi="ITC Avant Garde"/>
          <w:b/>
        </w:rPr>
        <w:t>”</w:t>
      </w:r>
      <w:r w:rsidRPr="002A2450">
        <w:rPr>
          <w:rFonts w:ascii="ITC Avant Garde" w:hAnsi="ITC Avant Garde"/>
        </w:rPr>
        <w:t xml:space="preserve"> de la c</w:t>
      </w:r>
      <w:r w:rsidR="003A1CC5" w:rsidRPr="002A2450">
        <w:rPr>
          <w:rFonts w:ascii="ITC Avant Garde" w:hAnsi="ITC Avant Garde"/>
        </w:rPr>
        <w:t xml:space="preserve">oncentración existente entre </w:t>
      </w:r>
      <w:r w:rsidR="003A1CC5" w:rsidRPr="002A2450">
        <w:rPr>
          <w:rFonts w:ascii="ITC Avant Garde" w:hAnsi="ITC Avant Garde"/>
          <w:b/>
        </w:rPr>
        <w:t>“DISH”</w:t>
      </w:r>
      <w:r w:rsidR="003A1CC5" w:rsidRPr="002A2450">
        <w:rPr>
          <w:rFonts w:ascii="ITC Avant Garde" w:hAnsi="ITC Avant Garde"/>
        </w:rPr>
        <w:t xml:space="preserve"> </w:t>
      </w:r>
      <w:r w:rsidRPr="002A2450">
        <w:rPr>
          <w:rFonts w:ascii="ITC Avant Garde" w:hAnsi="ITC Avant Garde"/>
        </w:rPr>
        <w:t xml:space="preserve">y </w:t>
      </w:r>
      <w:r w:rsidR="003A1CC5" w:rsidRPr="002A2450">
        <w:rPr>
          <w:rFonts w:ascii="ITC Avant Garde" w:hAnsi="ITC Avant Garde"/>
          <w:b/>
        </w:rPr>
        <w:t>“TELMEX”</w:t>
      </w:r>
      <w:r w:rsidRPr="002A2450">
        <w:rPr>
          <w:rFonts w:ascii="ITC Avant Garde" w:hAnsi="ITC Avant Garde"/>
        </w:rPr>
        <w:t xml:space="preserve">, de dónde se </w:t>
      </w:r>
      <w:r w:rsidRPr="002A2450">
        <w:rPr>
          <w:rFonts w:ascii="ITC Avant Garde" w:hAnsi="ITC Avant Garde"/>
        </w:rPr>
        <w:lastRenderedPageBreak/>
        <w:t xml:space="preserve">puede advertir que </w:t>
      </w:r>
      <w:r w:rsidR="003A1CC5" w:rsidRPr="002A2450">
        <w:rPr>
          <w:rFonts w:ascii="ITC Avant Garde" w:hAnsi="ITC Avant Garde"/>
          <w:b/>
        </w:rPr>
        <w:t>“TELMEX”</w:t>
      </w:r>
      <w:r w:rsidRPr="002A2450">
        <w:rPr>
          <w:rFonts w:ascii="ITC Avant Garde" w:hAnsi="ITC Avant Garde"/>
        </w:rPr>
        <w:t xml:space="preserve"> ha estado prestando</w:t>
      </w:r>
      <w:r w:rsidR="008F718E" w:rsidRPr="009E34A4">
        <w:rPr>
          <w:rFonts w:ascii="ITC Avant Garde" w:hAnsi="ITC Avant Garde"/>
          <w:color w:val="C00000"/>
        </w:rPr>
        <w:t xml:space="preserve"> </w:t>
      </w:r>
      <w:r w:rsidRPr="002A2450">
        <w:rPr>
          <w:rFonts w:ascii="ITC Avant Garde" w:hAnsi="ITC Avant Garde"/>
        </w:rPr>
        <w:t>y explotando a través de un tercero</w:t>
      </w:r>
      <w:r w:rsidR="008F718E" w:rsidRPr="009E34A4">
        <w:rPr>
          <w:rFonts w:ascii="ITC Avant Garde" w:hAnsi="ITC Avant Garde"/>
          <w:color w:val="C00000"/>
        </w:rPr>
        <w:t xml:space="preserve"> </w:t>
      </w:r>
      <w:r w:rsidRPr="002A2450">
        <w:rPr>
          <w:rFonts w:ascii="ITC Avant Garde" w:hAnsi="ITC Avant Garde"/>
        </w:rPr>
        <w:t xml:space="preserve">el servicio de televisión restringida en contravención a la condición 1-9 de su </w:t>
      </w:r>
      <w:r w:rsidR="00BA365F" w:rsidRPr="002A2450">
        <w:rPr>
          <w:rFonts w:ascii="ITC Avant Garde" w:hAnsi="ITC Avant Garde"/>
          <w:b/>
        </w:rPr>
        <w:t>“</w:t>
      </w:r>
      <w:r w:rsidR="00A07FAD" w:rsidRPr="002A2450">
        <w:rPr>
          <w:rFonts w:ascii="ITC Avant Garde" w:hAnsi="ITC Avant Garde"/>
          <w:b/>
        </w:rPr>
        <w:t xml:space="preserve">TÍTULO </w:t>
      </w:r>
      <w:r w:rsidRPr="002A2450">
        <w:rPr>
          <w:rFonts w:ascii="ITC Avant Garde" w:hAnsi="ITC Avant Garde"/>
          <w:b/>
        </w:rPr>
        <w:t>DE CONCESIÓN</w:t>
      </w:r>
      <w:r w:rsidR="00BA365F" w:rsidRPr="002A2450">
        <w:rPr>
          <w:rFonts w:ascii="ITC Avant Garde" w:hAnsi="ITC Avant Garde"/>
          <w:b/>
        </w:rPr>
        <w:t>”</w:t>
      </w:r>
      <w:r w:rsidRPr="002A2450">
        <w:rPr>
          <w:rFonts w:ascii="ITC Avant Garde" w:hAnsi="ITC Avant Garde"/>
        </w:rPr>
        <w:t>.</w:t>
      </w:r>
    </w:p>
    <w:p w14:paraId="650912B5" w14:textId="77777777" w:rsidR="00B35F13" w:rsidRDefault="00262B95" w:rsidP="00B35F13">
      <w:pPr>
        <w:spacing w:before="240" w:line="360" w:lineRule="auto"/>
        <w:jc w:val="both"/>
        <w:rPr>
          <w:rFonts w:ascii="ITC Avant Garde" w:hAnsi="ITC Avant Garde"/>
        </w:rPr>
      </w:pPr>
      <w:bookmarkStart w:id="78" w:name="_Toc477170181"/>
      <w:r w:rsidRPr="002A2450">
        <w:rPr>
          <w:rStyle w:val="Ttulo3Car"/>
          <w:rFonts w:eastAsiaTheme="minorHAnsi"/>
        </w:rPr>
        <w:t>DÉCIMO CUARTO</w:t>
      </w:r>
      <w:bookmarkEnd w:id="78"/>
      <w:r w:rsidRPr="002A2450">
        <w:rPr>
          <w:rFonts w:ascii="ITC Avant Garde" w:hAnsi="ITC Avant Garde"/>
        </w:rPr>
        <w:t xml:space="preserve">. El veintiocho de enero de dos mil quince, </w:t>
      </w:r>
      <w:r w:rsidR="003A1CC5" w:rsidRPr="002A2450">
        <w:rPr>
          <w:rFonts w:ascii="ITC Avant Garde" w:hAnsi="ITC Avant Garde"/>
          <w:b/>
        </w:rPr>
        <w:t>“PEGASO PCS” y “GRUPO TM”</w:t>
      </w:r>
      <w:r w:rsidRPr="002A2450">
        <w:rPr>
          <w:rFonts w:ascii="ITC Avant Garde" w:hAnsi="ITC Avant Garde"/>
        </w:rPr>
        <w:t xml:space="preserve">, presentaron ante el </w:t>
      </w:r>
      <w:r w:rsidR="00BA365F" w:rsidRPr="002A2450">
        <w:rPr>
          <w:rFonts w:ascii="ITC Avant Garde" w:hAnsi="ITC Avant Garde"/>
          <w:b/>
        </w:rPr>
        <w:t>“</w:t>
      </w:r>
      <w:r w:rsidRPr="002A2450">
        <w:rPr>
          <w:rFonts w:ascii="ITC Avant Garde" w:hAnsi="ITC Avant Garde"/>
          <w:b/>
        </w:rPr>
        <w:t>Instituto</w:t>
      </w:r>
      <w:r w:rsidR="00BA365F" w:rsidRPr="002A2450">
        <w:rPr>
          <w:rFonts w:ascii="ITC Avant Garde" w:hAnsi="ITC Avant Garde"/>
          <w:b/>
        </w:rPr>
        <w:t>”</w:t>
      </w:r>
      <w:r w:rsidRPr="002A2450">
        <w:rPr>
          <w:rFonts w:ascii="ITC Avant Garde" w:hAnsi="ITC Avant Garde"/>
        </w:rPr>
        <w:t xml:space="preserve"> denuncia en contra de </w:t>
      </w:r>
      <w:r w:rsidR="003A1CC5" w:rsidRPr="002A2450">
        <w:rPr>
          <w:rFonts w:ascii="ITC Avant Garde" w:hAnsi="ITC Avant Garde"/>
          <w:b/>
        </w:rPr>
        <w:t>“TELMEX”</w:t>
      </w:r>
      <w:r w:rsidRPr="002A2450">
        <w:rPr>
          <w:rFonts w:ascii="ITC Avant Garde" w:hAnsi="ITC Avant Garde"/>
        </w:rPr>
        <w:t xml:space="preserve">, por el supuesto incumplimiento de la condición 1-9 establecida en el </w:t>
      </w:r>
      <w:r w:rsidR="004B64EC">
        <w:rPr>
          <w:rFonts w:ascii="ITC Avant Garde" w:hAnsi="ITC Avant Garde"/>
          <w:b/>
        </w:rPr>
        <w:t>“</w:t>
      </w:r>
      <w:r w:rsidR="004B64EC" w:rsidRPr="009E34A4">
        <w:rPr>
          <w:rFonts w:ascii="ITC Avant Garde" w:hAnsi="ITC Avant Garde"/>
          <w:b/>
        </w:rPr>
        <w:t>TÍTULO DE CONCESIÓN</w:t>
      </w:r>
      <w:r w:rsidR="004B64EC">
        <w:rPr>
          <w:rFonts w:ascii="ITC Avant Garde" w:hAnsi="ITC Avant Garde"/>
          <w:b/>
        </w:rPr>
        <w:t>”</w:t>
      </w:r>
      <w:r w:rsidR="004B64EC" w:rsidRPr="009E34A4">
        <w:rPr>
          <w:rFonts w:ascii="ITC Avant Garde" w:hAnsi="ITC Avant Garde"/>
          <w:b/>
        </w:rPr>
        <w:t xml:space="preserve"> </w:t>
      </w:r>
      <w:r w:rsidRPr="002A2450">
        <w:rPr>
          <w:rFonts w:ascii="ITC Avant Garde" w:hAnsi="ITC Avant Garde"/>
        </w:rPr>
        <w:t xml:space="preserve">de </w:t>
      </w:r>
      <w:r w:rsidR="003A1CC5" w:rsidRPr="002A2450">
        <w:rPr>
          <w:rFonts w:ascii="ITC Avant Garde" w:hAnsi="ITC Avant Garde"/>
          <w:b/>
        </w:rPr>
        <w:t>“TELMEX”</w:t>
      </w:r>
      <w:r w:rsidRPr="002A2450">
        <w:rPr>
          <w:rFonts w:ascii="ITC Avant Garde" w:hAnsi="ITC Avant Garde"/>
        </w:rPr>
        <w:t xml:space="preserve"> y por el supuesto beneficio ilegal de la regla de gratuidad de retransmisión de señales de televisión radiodifundida al ser un</w:t>
      </w:r>
      <w:r w:rsidR="00714975" w:rsidRPr="002A2450">
        <w:rPr>
          <w:rFonts w:ascii="ITC Avant Garde" w:hAnsi="ITC Avant Garde"/>
        </w:rPr>
        <w:t xml:space="preserve"> Agente Económico Preponderante. Al respecto se hace notar que por lo que hace a la segunda de las conductas denunciadas este </w:t>
      </w:r>
      <w:r w:rsidR="00714975" w:rsidRPr="002A2450">
        <w:rPr>
          <w:rFonts w:ascii="ITC Avant Garde" w:hAnsi="ITC Avant Garde"/>
          <w:b/>
        </w:rPr>
        <w:t>“Instituto”</w:t>
      </w:r>
      <w:r w:rsidR="00714975" w:rsidRPr="002A2450">
        <w:rPr>
          <w:rFonts w:ascii="ITC Avant Garde" w:hAnsi="ITC Avant Garde"/>
        </w:rPr>
        <w:t xml:space="preserve"> se encuentra sustanciando un procedimiento diverso bajo el número de expediente </w:t>
      </w:r>
      <w:r w:rsidR="003E773D" w:rsidRPr="002A2450">
        <w:rPr>
          <w:rFonts w:ascii="ITC Avant Garde" w:hAnsi="ITC Avant Garde"/>
        </w:rPr>
        <w:br/>
      </w:r>
      <w:r w:rsidR="00714975" w:rsidRPr="002A2450">
        <w:rPr>
          <w:rFonts w:ascii="ITC Avant Garde" w:hAnsi="ITC Avant Garde"/>
          <w:b/>
        </w:rPr>
        <w:t>E-IFT.UC.DG-SAN.II.0237/2015</w:t>
      </w:r>
      <w:r w:rsidR="003E773D" w:rsidRPr="002A2450">
        <w:rPr>
          <w:rFonts w:ascii="ITC Avant Garde" w:hAnsi="ITC Avant Garde"/>
          <w:b/>
        </w:rPr>
        <w:t>.</w:t>
      </w:r>
    </w:p>
    <w:p w14:paraId="5C390DB1" w14:textId="77777777" w:rsidR="00B35F13" w:rsidRDefault="00A848A5" w:rsidP="00B35F13">
      <w:pPr>
        <w:pStyle w:val="Listavistosa-nfasis11"/>
        <w:spacing w:before="240" w:after="160" w:line="360" w:lineRule="auto"/>
        <w:ind w:left="0"/>
        <w:jc w:val="both"/>
        <w:rPr>
          <w:rFonts w:ascii="ITC Avant Garde" w:hAnsi="ITC Avant Garde"/>
        </w:rPr>
      </w:pPr>
      <w:r w:rsidRPr="002A2450">
        <w:rPr>
          <w:rFonts w:ascii="ITC Avant Garde" w:hAnsi="ITC Avant Garde"/>
        </w:rPr>
        <w:t>Con base en lo anterior, se consideró lo siguiente:</w:t>
      </w:r>
    </w:p>
    <w:p w14:paraId="0BF2E105"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El </w:t>
      </w:r>
      <w:r w:rsidR="00BA365F" w:rsidRPr="002A2450">
        <w:rPr>
          <w:rFonts w:ascii="ITC Avant Garde" w:hAnsi="ITC Avant Garde"/>
          <w:b/>
        </w:rPr>
        <w:t xml:space="preserve">“TÍTULO DE CONCESIÓN” </w:t>
      </w:r>
      <w:r w:rsidRPr="002A2450">
        <w:rPr>
          <w:rFonts w:ascii="ITC Avant Garde" w:hAnsi="ITC Avant Garde"/>
        </w:rPr>
        <w:t xml:space="preserve">de </w:t>
      </w:r>
      <w:r w:rsidR="00BA365F" w:rsidRPr="002A2450">
        <w:rPr>
          <w:rFonts w:ascii="ITC Avant Garde" w:hAnsi="ITC Avant Garde"/>
          <w:b/>
        </w:rPr>
        <w:t>“TELMEX”</w:t>
      </w:r>
      <w:r w:rsidR="00BA365F" w:rsidRPr="002A2450">
        <w:rPr>
          <w:rFonts w:ascii="ITC Avant Garde" w:hAnsi="ITC Avant Garde"/>
        </w:rPr>
        <w:t xml:space="preserve"> </w:t>
      </w:r>
      <w:r w:rsidRPr="002A2450">
        <w:rPr>
          <w:rFonts w:ascii="ITC Avant Garde" w:hAnsi="ITC Avant Garde"/>
        </w:rPr>
        <w:t>ampara las siguientes actividades:</w:t>
      </w:r>
      <w:r w:rsidRPr="002A2450">
        <w:rPr>
          <w:rFonts w:ascii="ITC Avant Garde" w:hAnsi="ITC Avant Garde"/>
          <w:b/>
        </w:rPr>
        <w:t xml:space="preserve"> </w:t>
      </w:r>
      <w:r w:rsidRPr="002A2450">
        <w:rPr>
          <w:rFonts w:ascii="ITC Avant Garde" w:hAnsi="ITC Avant Garde"/>
          <w:b/>
          <w:i/>
        </w:rPr>
        <w:t>“</w:t>
      </w:r>
      <w:r w:rsidRPr="002A2450">
        <w:rPr>
          <w:rFonts w:ascii="ITC Avant Garde" w:hAnsi="ITC Avant Garde"/>
          <w:i/>
        </w:rPr>
        <w:t>Construir, instalar, mantener, operar y explotar una red pública telefónica”</w:t>
      </w:r>
      <w:r w:rsidRPr="002A2450">
        <w:rPr>
          <w:rFonts w:ascii="ITC Avant Garde" w:hAnsi="ITC Avant Garde"/>
        </w:rPr>
        <w:t>, a través de la cual deberá prestar los siguientes servicios:</w:t>
      </w:r>
    </w:p>
    <w:p w14:paraId="7F46DA21" w14:textId="77777777" w:rsidR="00B35F13" w:rsidRDefault="00262B95" w:rsidP="00B35F13">
      <w:pPr>
        <w:spacing w:before="240" w:line="360" w:lineRule="auto"/>
        <w:ind w:left="567" w:right="760"/>
        <w:jc w:val="both"/>
        <w:rPr>
          <w:rFonts w:ascii="ITC Avant Garde" w:hAnsi="ITC Avant Garde"/>
          <w:i/>
        </w:rPr>
      </w:pPr>
      <w:r w:rsidRPr="002A2450">
        <w:rPr>
          <w:rFonts w:ascii="ITC Avant Garde" w:hAnsi="ITC Avant Garde"/>
          <w:i/>
        </w:rPr>
        <w:t>“a. El servicio público de conducción de señales de voz, sonidos, datos, textos e imágenes, a nivel local y de larga distancia nacional e internacional.</w:t>
      </w:r>
    </w:p>
    <w:p w14:paraId="7E2F3C82" w14:textId="77777777" w:rsidR="00B35F13" w:rsidRDefault="00262B95" w:rsidP="00B35F13">
      <w:pPr>
        <w:spacing w:before="240" w:line="360" w:lineRule="auto"/>
        <w:ind w:left="567" w:right="760"/>
        <w:jc w:val="both"/>
        <w:rPr>
          <w:rFonts w:ascii="ITC Avant Garde" w:hAnsi="ITC Avant Garde"/>
        </w:rPr>
      </w:pPr>
      <w:r w:rsidRPr="002A2450">
        <w:rPr>
          <w:rFonts w:ascii="ITC Avant Garde" w:hAnsi="ITC Avant Garde"/>
          <w:i/>
        </w:rPr>
        <w:t>b. El servicio público de telefonía básica.”</w:t>
      </w:r>
    </w:p>
    <w:p w14:paraId="0057243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La condición </w:t>
      </w:r>
      <w:r w:rsidR="00F2341E" w:rsidRPr="002A2450">
        <w:rPr>
          <w:rFonts w:ascii="ITC Avant Garde" w:hAnsi="ITC Avant Garde"/>
        </w:rPr>
        <w:t xml:space="preserve">1-9 </w:t>
      </w:r>
      <w:r w:rsidRPr="002A2450">
        <w:rPr>
          <w:rFonts w:ascii="ITC Avant Garde" w:hAnsi="ITC Avant Garde"/>
        </w:rPr>
        <w:t xml:space="preserve">materia del presente </w:t>
      </w:r>
      <w:r w:rsidR="003A1CC5" w:rsidRPr="002A2450">
        <w:rPr>
          <w:rFonts w:ascii="ITC Avant Garde" w:hAnsi="ITC Avant Garde"/>
        </w:rPr>
        <w:t xml:space="preserve">procedimiento </w:t>
      </w:r>
      <w:r w:rsidRPr="002A2450">
        <w:rPr>
          <w:rFonts w:ascii="ITC Avant Garde" w:hAnsi="ITC Avant Garde"/>
        </w:rPr>
        <w:t xml:space="preserve">fue modificada en mil novecientos noventa, quedando expresamente prohibido para </w:t>
      </w:r>
      <w:r w:rsidR="003A1CC5"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la explotación directa o indirecta de alguna concesión de servicios de televisión al público en el país.</w:t>
      </w:r>
    </w:p>
    <w:p w14:paraId="109114A5" w14:textId="77777777" w:rsidR="00B35F13" w:rsidRDefault="00262B95" w:rsidP="00B35F13">
      <w:pPr>
        <w:spacing w:before="240" w:line="360" w:lineRule="auto"/>
        <w:ind w:left="567" w:right="567"/>
        <w:jc w:val="both"/>
        <w:rPr>
          <w:rFonts w:ascii="ITC Avant Garde" w:hAnsi="ITC Avant Garde" w:cs="Arial"/>
          <w:i/>
        </w:rPr>
      </w:pPr>
      <w:r w:rsidRPr="002A2450">
        <w:rPr>
          <w:rFonts w:ascii="ITC Avant Garde" w:hAnsi="ITC Avant Garde" w:cs="Arial"/>
          <w:i/>
        </w:rPr>
        <w:t>“1-9</w:t>
      </w:r>
      <w:r w:rsidRPr="002A2450">
        <w:rPr>
          <w:rFonts w:ascii="ITC Avant Garde" w:hAnsi="ITC Avant Garde" w:cs="Arial"/>
          <w:i/>
        </w:rPr>
        <w:tab/>
      </w:r>
      <w:r w:rsidRPr="002A2450">
        <w:rPr>
          <w:rFonts w:ascii="ITC Avant Garde" w:hAnsi="ITC Avant Garde" w:cs="Arial"/>
          <w:b/>
          <w:i/>
          <w:u w:val="single"/>
        </w:rPr>
        <w:t>Distribución de Señales de Televisión</w:t>
      </w:r>
    </w:p>
    <w:p w14:paraId="116D5214" w14:textId="77777777" w:rsidR="00B35F13" w:rsidRDefault="00262B95" w:rsidP="00B35F13">
      <w:pPr>
        <w:spacing w:before="240" w:line="360" w:lineRule="auto"/>
        <w:ind w:left="567" w:right="567"/>
        <w:jc w:val="both"/>
        <w:rPr>
          <w:rFonts w:ascii="ITC Avant Garde" w:hAnsi="ITC Avant Garde" w:cs="Arial"/>
          <w:i/>
        </w:rPr>
      </w:pPr>
      <w:r w:rsidRPr="002A2450">
        <w:rPr>
          <w:rFonts w:ascii="ITC Avant Garde" w:hAnsi="ITC Avant Garde" w:cs="Arial"/>
          <w:i/>
        </w:rPr>
        <w:lastRenderedPageBreak/>
        <w:t>La distribución de señales de televisión consiste en un servicio de telecomunicación que se realiza en un sentido a varios puntos de recepción simultáneamente.</w:t>
      </w:r>
    </w:p>
    <w:p w14:paraId="578E4C59" w14:textId="77777777" w:rsidR="00B35F13" w:rsidRDefault="005B601B" w:rsidP="00B35F13">
      <w:pPr>
        <w:spacing w:before="240" w:line="360" w:lineRule="auto"/>
        <w:ind w:left="567" w:right="567"/>
        <w:jc w:val="both"/>
        <w:rPr>
          <w:rFonts w:ascii="ITC Avant Garde" w:hAnsi="ITC Avant Garde" w:cs="Arial"/>
          <w:i/>
        </w:rPr>
      </w:pPr>
      <w:r w:rsidRPr="002A2450">
        <w:rPr>
          <w:rFonts w:ascii="ITC Avant Garde" w:hAnsi="ITC Avant Garde" w:cs="Arial"/>
          <w:b/>
          <w:i/>
        </w:rPr>
        <w:t>“TELMEX”</w:t>
      </w:r>
      <w:r w:rsidR="00262B95" w:rsidRPr="002A2450">
        <w:rPr>
          <w:rFonts w:ascii="ITC Avant Garde" w:hAnsi="ITC Avant Garde" w:cs="Arial"/>
          <w:i/>
        </w:rPr>
        <w:t>, previa autorización de “La Secretaría”, podrá distribuir señales de televisión a través de su red a empresas autorizadas para prestar servicios de televisión al público, en los términos de las leyes y reglamentos aplicables.</w:t>
      </w:r>
    </w:p>
    <w:p w14:paraId="59D12B88" w14:textId="77777777" w:rsidR="00B35F13" w:rsidRDefault="005B601B" w:rsidP="00B35F13">
      <w:pPr>
        <w:spacing w:before="240" w:line="360" w:lineRule="auto"/>
        <w:ind w:left="567" w:right="567"/>
        <w:jc w:val="both"/>
        <w:rPr>
          <w:rFonts w:ascii="ITC Avant Garde" w:hAnsi="ITC Avant Garde" w:cs="Arial"/>
        </w:rPr>
      </w:pPr>
      <w:r w:rsidRPr="002A2450">
        <w:rPr>
          <w:rFonts w:ascii="ITC Avant Garde" w:hAnsi="ITC Avant Garde" w:cs="Arial"/>
          <w:b/>
          <w:i/>
        </w:rPr>
        <w:t>“TELMEX”</w:t>
      </w:r>
      <w:r w:rsidR="00262B95" w:rsidRPr="002A2450">
        <w:rPr>
          <w:rFonts w:ascii="ITC Avant Garde" w:hAnsi="ITC Avant Garde" w:cs="Arial"/>
          <w:i/>
        </w:rPr>
        <w:t xml:space="preserve"> no podrá </w:t>
      </w:r>
      <w:r w:rsidR="00262B95" w:rsidRPr="002A2450">
        <w:rPr>
          <w:rFonts w:ascii="ITC Avant Garde" w:hAnsi="ITC Avant Garde" w:cs="Arial"/>
          <w:b/>
          <w:i/>
          <w:u w:val="single"/>
        </w:rPr>
        <w:t>explotar, directa o indirectamente, ninguna concesión de servicios de televisión al público en el país.”</w:t>
      </w:r>
    </w:p>
    <w:p w14:paraId="6D8DE16A" w14:textId="77777777" w:rsidR="00B35F13" w:rsidRDefault="00262B95" w:rsidP="00B35F13">
      <w:pPr>
        <w:spacing w:before="240" w:line="360" w:lineRule="auto"/>
        <w:jc w:val="both"/>
        <w:rPr>
          <w:rFonts w:ascii="ITC Avant Garde" w:hAnsi="ITC Avant Garde" w:cs="Arial"/>
        </w:rPr>
      </w:pPr>
      <w:r w:rsidRPr="002A2450">
        <w:rPr>
          <w:rFonts w:ascii="ITC Avant Garde" w:hAnsi="ITC Avant Garde"/>
        </w:rPr>
        <w:t xml:space="preserve">Por lo anterior, </w:t>
      </w:r>
      <w:r w:rsidR="003A1CC5" w:rsidRPr="002A2450">
        <w:rPr>
          <w:rFonts w:ascii="ITC Avant Garde" w:hAnsi="ITC Avant Garde"/>
        </w:rPr>
        <w:t xml:space="preserve">se hizo </w:t>
      </w:r>
      <w:r w:rsidRPr="002A2450">
        <w:rPr>
          <w:rFonts w:ascii="ITC Avant Garde" w:hAnsi="ITC Avant Garde" w:cs="Arial"/>
        </w:rPr>
        <w:t>patente la necesidad de desentrañar cuál es el sentido y alcance del contenido normativo y obligacional del último</w:t>
      </w:r>
      <w:r w:rsidR="00F2341E" w:rsidRPr="002A2450">
        <w:rPr>
          <w:rFonts w:ascii="ITC Avant Garde" w:hAnsi="ITC Avant Garde" w:cs="Arial"/>
        </w:rPr>
        <w:t xml:space="preserve"> párrafo de la condición 1-9 del </w:t>
      </w:r>
      <w:r w:rsidR="00F2341E" w:rsidRPr="002A2450">
        <w:rPr>
          <w:rFonts w:ascii="ITC Avant Garde" w:hAnsi="ITC Avant Garde" w:cs="Arial"/>
          <w:b/>
        </w:rPr>
        <w:t>“</w:t>
      </w:r>
      <w:r w:rsidR="003A1CC5" w:rsidRPr="002A2450">
        <w:rPr>
          <w:rFonts w:ascii="ITC Avant Garde" w:hAnsi="ITC Avant Garde" w:cs="Arial"/>
          <w:b/>
        </w:rPr>
        <w:t>TÍTULO DE CONCESIÓN</w:t>
      </w:r>
      <w:r w:rsidR="00F2341E" w:rsidRPr="002A2450">
        <w:rPr>
          <w:rFonts w:ascii="ITC Avant Garde" w:hAnsi="ITC Avant Garde" w:cs="Arial"/>
          <w:b/>
        </w:rPr>
        <w:t>”</w:t>
      </w:r>
      <w:r w:rsidR="00F2341E" w:rsidRPr="002A2450">
        <w:rPr>
          <w:rFonts w:ascii="ITC Avant Garde" w:hAnsi="ITC Avant Garde" w:cs="Arial"/>
        </w:rPr>
        <w:t xml:space="preserve"> otorgado a </w:t>
      </w:r>
      <w:r w:rsidR="00F2341E" w:rsidRPr="002A2450">
        <w:rPr>
          <w:rFonts w:ascii="ITC Avant Garde" w:hAnsi="ITC Avant Garde" w:cs="Arial"/>
          <w:b/>
        </w:rPr>
        <w:t>“TELMEX”</w:t>
      </w:r>
      <w:r w:rsidRPr="002A2450">
        <w:rPr>
          <w:rFonts w:ascii="ITC Avant Garde" w:hAnsi="ITC Avant Garde" w:cs="Arial"/>
        </w:rPr>
        <w:t xml:space="preserve">, la cual señala que: </w:t>
      </w:r>
    </w:p>
    <w:p w14:paraId="613914EA" w14:textId="77777777" w:rsidR="00B35F13" w:rsidRDefault="005B601B" w:rsidP="00B35F13">
      <w:pPr>
        <w:spacing w:before="240" w:line="360" w:lineRule="auto"/>
        <w:ind w:left="567" w:right="567"/>
        <w:jc w:val="both"/>
        <w:rPr>
          <w:rFonts w:ascii="ITC Avant Garde" w:hAnsi="ITC Avant Garde" w:cs="Arial"/>
          <w:b/>
          <w:i/>
        </w:rPr>
      </w:pPr>
      <w:r w:rsidRPr="002A2450">
        <w:rPr>
          <w:rFonts w:ascii="ITC Avant Garde" w:hAnsi="ITC Avant Garde" w:cs="Arial"/>
          <w:b/>
          <w:i/>
        </w:rPr>
        <w:t>“TELMEX</w:t>
      </w:r>
      <w:r w:rsidR="00262B95" w:rsidRPr="002A2450">
        <w:rPr>
          <w:rFonts w:ascii="ITC Avant Garde" w:hAnsi="ITC Avant Garde" w:cs="Arial"/>
          <w:b/>
          <w:i/>
        </w:rPr>
        <w:t>” no podrá explotar, directa o indirectamente, ninguna concesión de servicios de televisión al público en el país.</w:t>
      </w:r>
    </w:p>
    <w:p w14:paraId="7F393D3D" w14:textId="77777777" w:rsidR="00B35F13" w:rsidRDefault="00262B95" w:rsidP="00B35F13">
      <w:pPr>
        <w:spacing w:before="240" w:line="360" w:lineRule="auto"/>
        <w:jc w:val="both"/>
        <w:rPr>
          <w:rFonts w:ascii="ITC Avant Garde" w:hAnsi="ITC Avant Garde" w:cs="Arial"/>
        </w:rPr>
      </w:pPr>
      <w:r w:rsidRPr="002A2450">
        <w:rPr>
          <w:rFonts w:ascii="ITC Avant Garde" w:hAnsi="ITC Avant Garde" w:cs="Arial"/>
        </w:rPr>
        <w:t xml:space="preserve">Por razones de método, se </w:t>
      </w:r>
      <w:r w:rsidR="003A1CC5" w:rsidRPr="002A2450">
        <w:rPr>
          <w:rFonts w:ascii="ITC Avant Garde" w:hAnsi="ITC Avant Garde" w:cs="Arial"/>
        </w:rPr>
        <w:t xml:space="preserve">abordó </w:t>
      </w:r>
      <w:r w:rsidRPr="002A2450">
        <w:rPr>
          <w:rFonts w:ascii="ITC Avant Garde" w:hAnsi="ITC Avant Garde" w:cs="Arial"/>
        </w:rPr>
        <w:t>uno por uno los segmentos normativos del párrafo final de la condición 1-9, por lo que se consider</w:t>
      </w:r>
      <w:r w:rsidR="003A1CC5" w:rsidRPr="002A2450">
        <w:rPr>
          <w:rFonts w:ascii="ITC Avant Garde" w:hAnsi="ITC Avant Garde" w:cs="Arial"/>
        </w:rPr>
        <w:t>ó</w:t>
      </w:r>
      <w:r w:rsidRPr="002A2450">
        <w:rPr>
          <w:rFonts w:ascii="ITC Avant Garde" w:hAnsi="ITC Avant Garde" w:cs="Arial"/>
        </w:rPr>
        <w:t xml:space="preserve"> necesario desagregar su análisis a efecto de determinar el sentido y alcance de su contenido.</w:t>
      </w:r>
    </w:p>
    <w:p w14:paraId="6643A5D6" w14:textId="77777777" w:rsidR="00B35F13" w:rsidRDefault="005B601B" w:rsidP="00B35F13">
      <w:pPr>
        <w:spacing w:before="240" w:line="360" w:lineRule="auto"/>
        <w:jc w:val="center"/>
        <w:rPr>
          <w:rFonts w:ascii="ITC Avant Garde" w:hAnsi="ITC Avant Garde" w:cs="Arial"/>
          <w:i/>
        </w:rPr>
      </w:pPr>
      <w:r w:rsidRPr="002A2450">
        <w:rPr>
          <w:rFonts w:ascii="ITC Avant Garde" w:hAnsi="ITC Avant Garde" w:cs="Arial"/>
          <w:b/>
          <w:i/>
        </w:rPr>
        <w:t>“TELMEX”</w:t>
      </w:r>
      <w:r w:rsidR="00262B95" w:rsidRPr="002A2450">
        <w:rPr>
          <w:rFonts w:ascii="ITC Avant Garde" w:hAnsi="ITC Avant Garde" w:cs="Arial"/>
          <w:i/>
        </w:rPr>
        <w:t xml:space="preserve"> no podrá </w:t>
      </w:r>
      <w:r w:rsidR="00262B95" w:rsidRPr="002A2450">
        <w:rPr>
          <w:rFonts w:ascii="ITC Avant Garde" w:hAnsi="ITC Avant Garde" w:cs="Arial"/>
          <w:b/>
          <w:i/>
        </w:rPr>
        <w:t>explotar</w:t>
      </w:r>
      <w:r w:rsidR="00262B95" w:rsidRPr="002A2450">
        <w:rPr>
          <w:rFonts w:ascii="ITC Avant Garde" w:hAnsi="ITC Avant Garde" w:cs="Arial"/>
          <w:i/>
        </w:rPr>
        <w:t>…”</w:t>
      </w:r>
    </w:p>
    <w:p w14:paraId="01E9F0C1"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Para estar en posibilidad de interpretar el término “</w:t>
      </w:r>
      <w:r w:rsidRPr="002A2450">
        <w:rPr>
          <w:rFonts w:ascii="ITC Avant Garde" w:hAnsi="ITC Avant Garde" w:cs="Arial"/>
          <w:i/>
          <w:color w:val="231F20"/>
        </w:rPr>
        <w:t>explotar</w:t>
      </w:r>
      <w:r w:rsidRPr="002A2450">
        <w:rPr>
          <w:rFonts w:ascii="ITC Avant Garde" w:hAnsi="ITC Avant Garde" w:cs="Arial"/>
          <w:color w:val="231F20"/>
        </w:rPr>
        <w:t>” se part</w:t>
      </w:r>
      <w:r w:rsidR="003A1CC5" w:rsidRPr="002A2450">
        <w:rPr>
          <w:rFonts w:ascii="ITC Avant Garde" w:hAnsi="ITC Avant Garde" w:cs="Arial"/>
          <w:color w:val="231F20"/>
        </w:rPr>
        <w:t>ió</w:t>
      </w:r>
      <w:r w:rsidRPr="002A2450">
        <w:rPr>
          <w:rFonts w:ascii="ITC Avant Garde" w:hAnsi="ITC Avant Garde" w:cs="Arial"/>
          <w:color w:val="231F20"/>
        </w:rPr>
        <w:t xml:space="preserve"> del método literal, en virtud de que dentro de nuestra Legislación no se encontró una definición, sentido o significado específico que se le deba dar, razón por la cual se le asignará el significado ordinario y/o común. </w:t>
      </w:r>
    </w:p>
    <w:p w14:paraId="6CB4F048"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lastRenderedPageBreak/>
        <w:t>Así las cosas, en términos de lo establec</w:t>
      </w:r>
      <w:r w:rsidR="003A1CC5" w:rsidRPr="002A2450">
        <w:rPr>
          <w:rFonts w:ascii="ITC Avant Garde" w:hAnsi="ITC Avant Garde" w:cs="Arial"/>
          <w:color w:val="231F20"/>
        </w:rPr>
        <w:t>ido por</w:t>
      </w:r>
      <w:r w:rsidRPr="002A2450">
        <w:rPr>
          <w:rFonts w:ascii="ITC Avant Garde" w:hAnsi="ITC Avant Garde" w:cs="Arial"/>
          <w:color w:val="231F20"/>
        </w:rPr>
        <w:t xml:space="preserve"> el Diccionario de la Real Academia de la Lengua Española, la palabra </w:t>
      </w:r>
      <w:r w:rsidRPr="002A2450">
        <w:rPr>
          <w:rFonts w:ascii="ITC Avant Garde" w:hAnsi="ITC Avant Garde" w:cs="Arial"/>
          <w:i/>
          <w:color w:val="231F20"/>
        </w:rPr>
        <w:t>“explotar”,</w:t>
      </w:r>
      <w:r w:rsidRPr="002A2450">
        <w:rPr>
          <w:rFonts w:ascii="ITC Avant Garde" w:hAnsi="ITC Avant Garde" w:cs="Arial"/>
          <w:color w:val="231F20"/>
        </w:rPr>
        <w:t xml:space="preserve"> significa entre otras cosas, sacar provecho de algo o utilidad de un negocio o industria en provecho propio</w:t>
      </w:r>
      <w:r w:rsidRPr="002A2450">
        <w:rPr>
          <w:rStyle w:val="Refdenotaalpie"/>
          <w:rFonts w:ascii="ITC Avant Garde" w:hAnsi="ITC Avant Garde" w:cs="Arial"/>
          <w:color w:val="231F20"/>
        </w:rPr>
        <w:footnoteReference w:id="12"/>
      </w:r>
      <w:r w:rsidRPr="002A2450">
        <w:rPr>
          <w:rFonts w:ascii="ITC Avant Garde" w:hAnsi="ITC Avant Garde" w:cs="Arial"/>
          <w:color w:val="231F20"/>
        </w:rPr>
        <w:t>.</w:t>
      </w:r>
    </w:p>
    <w:p w14:paraId="6744293E" w14:textId="4D3105B6" w:rsidR="00B35F13" w:rsidRDefault="00653BBA" w:rsidP="00B35F13">
      <w:pPr>
        <w:autoSpaceDE w:val="0"/>
        <w:autoSpaceDN w:val="0"/>
        <w:spacing w:before="240" w:line="360" w:lineRule="auto"/>
        <w:jc w:val="both"/>
        <w:rPr>
          <w:rFonts w:ascii="ITC Avant Garde" w:hAnsi="ITC Avant Garde"/>
          <w:color w:val="231F20"/>
        </w:rPr>
      </w:pPr>
      <w:r>
        <w:rPr>
          <w:rFonts w:ascii="ITC Avant Garde" w:hAnsi="ITC Avant Garde"/>
          <w:color w:val="231F20"/>
        </w:rPr>
        <w:t>Asimismo resulta conveniente señalar tal y como se precisó en el acuerdo de inicio que “utilidad”</w:t>
      </w:r>
      <w:r>
        <w:rPr>
          <w:rStyle w:val="Refdenotaalpie"/>
          <w:rFonts w:ascii="ITC Avant Garde" w:hAnsi="ITC Avant Garde"/>
          <w:color w:val="231F20"/>
        </w:rPr>
        <w:footnoteReference w:customMarkFollows="1" w:id="13"/>
        <w:t>[1]</w:t>
      </w:r>
      <w:r>
        <w:rPr>
          <w:rFonts w:ascii="ITC Avant Garde" w:hAnsi="ITC Avant Garde"/>
          <w:color w:val="231F20"/>
        </w:rPr>
        <w:t>, significa provecho, conveniencia, interés o fruto que se saca de algo y, por “</w:t>
      </w:r>
      <w:r>
        <w:rPr>
          <w:rFonts w:ascii="ITC Avant Garde" w:hAnsi="ITC Avant Garde"/>
          <w:i/>
          <w:iCs/>
          <w:color w:val="231F20"/>
        </w:rPr>
        <w:t>provecho</w:t>
      </w:r>
      <w:r>
        <w:rPr>
          <w:rFonts w:ascii="ITC Avant Garde" w:hAnsi="ITC Avant Garde"/>
          <w:color w:val="231F20"/>
        </w:rPr>
        <w:t>”</w:t>
      </w:r>
      <w:r>
        <w:rPr>
          <w:rStyle w:val="Refdenotaalpie"/>
          <w:rFonts w:ascii="ITC Avant Garde" w:hAnsi="ITC Avant Garde"/>
          <w:color w:val="231F20"/>
        </w:rPr>
        <w:footnoteReference w:customMarkFollows="1" w:id="14"/>
        <w:t>[2]</w:t>
      </w:r>
      <w:r>
        <w:rPr>
          <w:rFonts w:ascii="ITC Avant Garde" w:hAnsi="ITC Avant Garde"/>
          <w:color w:val="231F20"/>
        </w:rPr>
        <w:t>, refiere que es el beneficio o utilidad que se consigue o se origina de algo o por algún medio; También se señaló en el acuerdo de inicio que la explotación indirecta se traduce en la existencia de mecanismos que permitan la injerencia de “Telmex” en la manera de conducir el negocio de televisión satelital que comercializa “COFRESA”.</w:t>
      </w:r>
    </w:p>
    <w:p w14:paraId="3E68AB5B" w14:textId="77777777" w:rsidR="00B35F13" w:rsidRDefault="00A848A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Como se pu</w:t>
      </w:r>
      <w:r w:rsidR="00262B95" w:rsidRPr="002A2450">
        <w:rPr>
          <w:rFonts w:ascii="ITC Avant Garde" w:hAnsi="ITC Avant Garde" w:cs="Arial"/>
          <w:color w:val="231F20"/>
        </w:rPr>
        <w:t>d</w:t>
      </w:r>
      <w:r w:rsidR="003A1CC5" w:rsidRPr="002A2450">
        <w:rPr>
          <w:rFonts w:ascii="ITC Avant Garde" w:hAnsi="ITC Avant Garde" w:cs="Arial"/>
          <w:color w:val="231F20"/>
        </w:rPr>
        <w:t>o</w:t>
      </w:r>
      <w:r w:rsidR="00262B95" w:rsidRPr="002A2450">
        <w:rPr>
          <w:rFonts w:ascii="ITC Avant Garde" w:hAnsi="ITC Avant Garde" w:cs="Arial"/>
          <w:color w:val="231F20"/>
        </w:rPr>
        <w:t xml:space="preserve"> apreciar, el término “</w:t>
      </w:r>
      <w:r w:rsidR="00262B95" w:rsidRPr="002A2450">
        <w:rPr>
          <w:rFonts w:ascii="ITC Avant Garde" w:hAnsi="ITC Avant Garde" w:cs="Arial"/>
          <w:i/>
          <w:color w:val="231F20"/>
        </w:rPr>
        <w:t>explotación</w:t>
      </w:r>
      <w:r w:rsidR="00262B95" w:rsidRPr="002A2450">
        <w:rPr>
          <w:rFonts w:ascii="ITC Avant Garde" w:hAnsi="ITC Avant Garde" w:cs="Arial"/>
          <w:color w:val="231F20"/>
        </w:rPr>
        <w:t>” no implica generar necesariamente una ganancia de algo, pues la palabra “</w:t>
      </w:r>
      <w:r w:rsidR="00262B95" w:rsidRPr="002A2450">
        <w:rPr>
          <w:rFonts w:ascii="ITC Avant Garde" w:hAnsi="ITC Avant Garde" w:cs="Arial"/>
          <w:i/>
          <w:color w:val="231F20"/>
        </w:rPr>
        <w:t>utilidad</w:t>
      </w:r>
      <w:r w:rsidR="00262B95" w:rsidRPr="002A2450">
        <w:rPr>
          <w:rFonts w:ascii="ITC Avant Garde" w:hAnsi="ITC Avant Garde" w:cs="Arial"/>
          <w:color w:val="231F20"/>
        </w:rPr>
        <w:t>” en amplio sentido significa sacar provecho de algo, que a su vez sólo implica</w:t>
      </w:r>
      <w:r w:rsidR="00793F3C" w:rsidRPr="002A2450">
        <w:rPr>
          <w:rFonts w:ascii="ITC Avant Garde" w:hAnsi="ITC Avant Garde" w:cs="Arial"/>
          <w:color w:val="231F20"/>
        </w:rPr>
        <w:t xml:space="preserve"> la capacidad de hecho o derecho para participar o incidir a través de cualquier medio, mecanismo o forma, en la operación o los derechos derivados de una concesión</w:t>
      </w:r>
      <w:r w:rsidR="00262B95" w:rsidRPr="002A2450">
        <w:rPr>
          <w:rFonts w:ascii="ITC Avant Garde" w:hAnsi="ITC Avant Garde" w:cs="Arial"/>
          <w:color w:val="231F20"/>
        </w:rPr>
        <w:t>.</w:t>
      </w:r>
    </w:p>
    <w:p w14:paraId="3D0B3F15" w14:textId="77777777" w:rsidR="00B35F13" w:rsidRDefault="00A848A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 xml:space="preserve">Para lo anterior, sirvió </w:t>
      </w:r>
      <w:r w:rsidR="00262B95" w:rsidRPr="002A2450">
        <w:rPr>
          <w:rFonts w:ascii="ITC Avant Garde" w:hAnsi="ITC Avant Garde" w:cs="Arial"/>
          <w:color w:val="231F20"/>
        </w:rPr>
        <w:t>de apoyo la resolución dictada por el Segundo Tribunal Colegiado de Circuito en Materia Administrativa Especializado en Competencia Económica, Radiodifusión y Telecomunicaciones, con residencia en l</w:t>
      </w:r>
      <w:r w:rsidR="000F4394" w:rsidRPr="002A2450">
        <w:rPr>
          <w:rFonts w:ascii="ITC Avant Garde" w:hAnsi="ITC Avant Garde" w:cs="Arial"/>
          <w:color w:val="231F20"/>
        </w:rPr>
        <w:t>a hoy</w:t>
      </w:r>
      <w:r w:rsidR="00262B95" w:rsidRPr="002A2450">
        <w:rPr>
          <w:rFonts w:ascii="ITC Avant Garde" w:hAnsi="ITC Avant Garde" w:cs="Arial"/>
          <w:color w:val="231F20"/>
        </w:rPr>
        <w:t xml:space="preserve"> </w:t>
      </w:r>
      <w:r w:rsidR="000F4394" w:rsidRPr="002A2450">
        <w:rPr>
          <w:rFonts w:ascii="ITC Avant Garde" w:hAnsi="ITC Avant Garde" w:cs="Arial"/>
          <w:color w:val="231F20"/>
        </w:rPr>
        <w:t>Ciudad de México</w:t>
      </w:r>
      <w:r w:rsidR="00262B95" w:rsidRPr="002A2450">
        <w:rPr>
          <w:rFonts w:ascii="ITC Avant Garde" w:hAnsi="ITC Avant Garde" w:cs="Arial"/>
          <w:color w:val="231F20"/>
        </w:rPr>
        <w:t xml:space="preserve"> y jurisdicción territorial en toda la República, dentro del Amparo Directo número D.A. 7/2014</w:t>
      </w:r>
      <w:r w:rsidR="000F4394" w:rsidRPr="002A2450">
        <w:rPr>
          <w:rStyle w:val="Refdenotaalpie"/>
          <w:rFonts w:ascii="ITC Avant Garde" w:hAnsi="ITC Avant Garde" w:cs="Arial"/>
          <w:color w:val="231F20"/>
        </w:rPr>
        <w:footnoteReference w:id="15"/>
      </w:r>
      <w:r w:rsidR="00262B95" w:rsidRPr="002A2450">
        <w:rPr>
          <w:rFonts w:ascii="ITC Avant Garde" w:hAnsi="ITC Avant Garde" w:cs="Arial"/>
          <w:color w:val="231F20"/>
        </w:rPr>
        <w:t>, que en la parte conducente señala lo siguiente:</w:t>
      </w:r>
    </w:p>
    <w:p w14:paraId="0C31A105" w14:textId="508297ED" w:rsidR="00262B95" w:rsidRPr="002A2450" w:rsidRDefault="00262B95" w:rsidP="00B35F13">
      <w:pPr>
        <w:autoSpaceDE w:val="0"/>
        <w:autoSpaceDN w:val="0"/>
        <w:adjustRightInd w:val="0"/>
        <w:spacing w:before="240" w:line="360" w:lineRule="auto"/>
        <w:ind w:left="567" w:right="567"/>
        <w:jc w:val="both"/>
        <w:rPr>
          <w:rFonts w:ascii="ITC Avant Garde" w:hAnsi="ITC Avant Garde" w:cs="Arial-BoldMT"/>
          <w:b/>
          <w:bCs/>
          <w:i/>
        </w:rPr>
      </w:pPr>
      <w:r w:rsidRPr="002A2450">
        <w:rPr>
          <w:rFonts w:ascii="ITC Avant Garde" w:hAnsi="ITC Avant Garde" w:cs="Arial-BoldMT"/>
          <w:b/>
          <w:bCs/>
          <w:i/>
        </w:rPr>
        <w:lastRenderedPageBreak/>
        <w:t>“3. ACTUALIZACIÓN DE LOS SUPUESTOS DEL ARTÍCULO 110 DE LA LEY DE VÍAS GENERALES DE COMUNICACIÓN.</w:t>
      </w:r>
    </w:p>
    <w:p w14:paraId="66FAFC6E" w14:textId="77777777" w:rsidR="00262B95" w:rsidRPr="002A2450" w:rsidRDefault="00262B95" w:rsidP="00B35F13">
      <w:pPr>
        <w:autoSpaceDE w:val="0"/>
        <w:autoSpaceDN w:val="0"/>
        <w:adjustRightInd w:val="0"/>
        <w:spacing w:before="240" w:line="360" w:lineRule="auto"/>
        <w:ind w:left="567" w:right="567"/>
        <w:jc w:val="both"/>
        <w:rPr>
          <w:rFonts w:ascii="ITC Avant Garde" w:hAnsi="ITC Avant Garde" w:cs="ArialMT"/>
          <w:i/>
        </w:rPr>
      </w:pPr>
      <w:r w:rsidRPr="002A2450">
        <w:rPr>
          <w:rFonts w:ascii="ITC Avant Garde" w:hAnsi="ITC Avant Garde" w:cs="ArialMT"/>
          <w:i/>
        </w:rPr>
        <w:t>…</w:t>
      </w:r>
    </w:p>
    <w:p w14:paraId="45B2E9F8" w14:textId="77777777" w:rsidR="00262B95" w:rsidRPr="002A2450" w:rsidRDefault="00262B95" w:rsidP="00B35F13">
      <w:pPr>
        <w:autoSpaceDE w:val="0"/>
        <w:autoSpaceDN w:val="0"/>
        <w:adjustRightInd w:val="0"/>
        <w:spacing w:before="240" w:line="360" w:lineRule="auto"/>
        <w:ind w:left="567" w:right="567"/>
        <w:jc w:val="both"/>
        <w:rPr>
          <w:rFonts w:ascii="ITC Avant Garde" w:hAnsi="ITC Avant Garde" w:cs="ArialMT"/>
          <w:i/>
        </w:rPr>
      </w:pPr>
      <w:r w:rsidRPr="002A2450">
        <w:rPr>
          <w:rFonts w:ascii="ITC Avant Garde" w:hAnsi="ITC Avant Garde" w:cs="ArialMT"/>
          <w:i/>
        </w:rPr>
        <w:t xml:space="preserve">Por último, toca hacerse cargo de los argumentos en donde se afirma que </w:t>
      </w:r>
      <w:r w:rsidR="00C23776" w:rsidRPr="002A2450">
        <w:rPr>
          <w:rFonts w:ascii="ITC Avant Garde" w:hAnsi="ITC Avant Garde" w:cs="ArialMT"/>
          <w:i/>
        </w:rPr>
        <w:t>aun</w:t>
      </w:r>
      <w:r w:rsidRPr="002A2450">
        <w:rPr>
          <w:rFonts w:ascii="ITC Avant Garde" w:hAnsi="ITC Avant Garde" w:cs="ArialMT"/>
          <w:i/>
        </w:rPr>
        <w:t xml:space="preserve"> suponiendo que se estimara a la interconexión como un servicio concesionado, no es posible concluir que la totalidad de las cantidades percibidas por ese concepto constituyen una explotación de dicho servicio, en razón de que no significan una utilidad o un provecho para la quejosa.</w:t>
      </w:r>
    </w:p>
    <w:p w14:paraId="7BC6990B" w14:textId="5C9022AC" w:rsidR="00262B95" w:rsidRPr="002A2450" w:rsidRDefault="00BB5A9E" w:rsidP="00B35F13">
      <w:pPr>
        <w:autoSpaceDE w:val="0"/>
        <w:autoSpaceDN w:val="0"/>
        <w:adjustRightInd w:val="0"/>
        <w:spacing w:before="240" w:line="360" w:lineRule="auto"/>
        <w:ind w:left="567" w:right="567"/>
        <w:jc w:val="both"/>
        <w:rPr>
          <w:rFonts w:ascii="ITC Avant Garde" w:hAnsi="ITC Avant Garde" w:cs="ArialMT"/>
          <w:i/>
        </w:rPr>
      </w:pPr>
      <w:r w:rsidRPr="002A2450">
        <w:rPr>
          <w:rFonts w:ascii="ITC Avant Garde" w:hAnsi="ITC Avant Garde" w:cs="ArialMT"/>
          <w:i/>
        </w:rPr>
        <w:t>…</w:t>
      </w:r>
    </w:p>
    <w:p w14:paraId="0A4B5C59" w14:textId="77777777" w:rsidR="00B35F13" w:rsidRDefault="00262B95" w:rsidP="00B35F13">
      <w:pPr>
        <w:autoSpaceDE w:val="0"/>
        <w:autoSpaceDN w:val="0"/>
        <w:adjustRightInd w:val="0"/>
        <w:spacing w:before="240" w:line="360" w:lineRule="auto"/>
        <w:ind w:left="567" w:right="567"/>
        <w:jc w:val="both"/>
        <w:rPr>
          <w:rFonts w:ascii="ITC Avant Garde" w:hAnsi="ITC Avant Garde" w:cs="ArialMT"/>
          <w:i/>
        </w:rPr>
      </w:pPr>
      <w:r w:rsidRPr="002A2450">
        <w:rPr>
          <w:rFonts w:ascii="ITC Avant Garde" w:hAnsi="ITC Avant Garde" w:cs="ArialMT"/>
          <w:i/>
        </w:rPr>
        <w:t xml:space="preserve">Como se puede apreciar de lo anterior, contrario a lo que estima la quejosa, </w:t>
      </w:r>
      <w:r w:rsidRPr="002A2450">
        <w:rPr>
          <w:rFonts w:ascii="ITC Avant Garde" w:hAnsi="ITC Avant Garde" w:cs="ArialMT"/>
          <w:b/>
          <w:i/>
          <w:u w:val="single"/>
        </w:rPr>
        <w:t>el término explotación no implica generar necesariamente una ganancia de algo, pues la palabra utilidad</w:t>
      </w:r>
      <w:r w:rsidRPr="002A2450">
        <w:rPr>
          <w:rFonts w:ascii="ITC Avant Garde" w:hAnsi="ITC Avant Garde" w:cs="ArialMT"/>
          <w:i/>
        </w:rPr>
        <w:t>, (que es uno de los términos con los cuales se describe la palabra “explotación”)</w:t>
      </w:r>
      <w:r w:rsidR="00793F3C" w:rsidRPr="002A2450">
        <w:rPr>
          <w:rFonts w:ascii="ITC Avant Garde" w:hAnsi="ITC Avant Garde" w:cs="ArialMT"/>
          <w:i/>
        </w:rPr>
        <w:t>…”</w:t>
      </w:r>
    </w:p>
    <w:p w14:paraId="4931FF4D" w14:textId="737FD640" w:rsidR="00262B95" w:rsidRPr="002A2450" w:rsidRDefault="00262B95" w:rsidP="00B35F13">
      <w:pPr>
        <w:autoSpaceDE w:val="0"/>
        <w:autoSpaceDN w:val="0"/>
        <w:adjustRightInd w:val="0"/>
        <w:spacing w:before="240" w:line="360" w:lineRule="auto"/>
        <w:ind w:left="567" w:right="567"/>
        <w:jc w:val="both"/>
        <w:rPr>
          <w:rFonts w:ascii="ITC Avant Garde" w:hAnsi="ITC Avant Garde" w:cs="ArialMT"/>
          <w:i/>
          <w:color w:val="000000"/>
        </w:rPr>
      </w:pPr>
      <w:r w:rsidRPr="002A2450">
        <w:rPr>
          <w:rFonts w:ascii="ITC Avant Garde" w:hAnsi="ITC Avant Garde" w:cs="Arial-BoldMT"/>
          <w:b/>
          <w:bCs/>
          <w:i/>
          <w:color w:val="000000"/>
        </w:rPr>
        <w:t xml:space="preserve">ÚNICO. </w:t>
      </w:r>
      <w:r w:rsidRPr="002A2450">
        <w:rPr>
          <w:rFonts w:ascii="ITC Avant Garde" w:hAnsi="ITC Avant Garde" w:cs="ArialMT"/>
          <w:i/>
          <w:color w:val="000000"/>
        </w:rPr>
        <w:t xml:space="preserve">La Justicia de la Unión </w:t>
      </w:r>
      <w:r w:rsidRPr="002A2450">
        <w:rPr>
          <w:rFonts w:ascii="ITC Avant Garde" w:hAnsi="ITC Avant Garde" w:cs="Arial-BoldMT"/>
          <w:b/>
          <w:bCs/>
          <w:i/>
          <w:color w:val="000000"/>
        </w:rPr>
        <w:t xml:space="preserve">NO AMPARA NI PROTEGE </w:t>
      </w:r>
      <w:r w:rsidRPr="002A2450">
        <w:rPr>
          <w:rFonts w:ascii="ITC Avant Garde" w:hAnsi="ITC Avant Garde" w:cs="ArialMT"/>
          <w:i/>
          <w:color w:val="000000"/>
        </w:rPr>
        <w:t xml:space="preserve">a </w:t>
      </w:r>
      <w:r w:rsidRPr="002A2450">
        <w:rPr>
          <w:rFonts w:ascii="ITC Avant Garde" w:hAnsi="ITC Avant Garde" w:cs="Arial-BoldMT"/>
          <w:b/>
          <w:bCs/>
          <w:i/>
          <w:color w:val="FF0000"/>
        </w:rPr>
        <w:t>**********</w:t>
      </w:r>
      <w:r w:rsidRPr="002A2450">
        <w:rPr>
          <w:rFonts w:ascii="ITC Avant Garde" w:hAnsi="ITC Avant Garde" w:cs="ArialMT"/>
          <w:i/>
          <w:color w:val="000000"/>
        </w:rPr>
        <w:t>en contra de la sentencia de treinta de</w:t>
      </w:r>
      <w:r w:rsidRPr="002A2450">
        <w:rPr>
          <w:rFonts w:ascii="ITC Avant Garde" w:hAnsi="ITC Avant Garde" w:cs="Arial-BoldMT"/>
          <w:b/>
          <w:bCs/>
          <w:i/>
          <w:color w:val="000000"/>
        </w:rPr>
        <w:t xml:space="preserve"> </w:t>
      </w:r>
      <w:r w:rsidRPr="002A2450">
        <w:rPr>
          <w:rFonts w:ascii="ITC Avant Garde" w:hAnsi="ITC Avant Garde" w:cs="ArialMT"/>
          <w:i/>
          <w:color w:val="000000"/>
        </w:rPr>
        <w:t>octubre de dos mil trece, dictada en el juicio contencioso</w:t>
      </w:r>
      <w:r w:rsidRPr="002A2450">
        <w:rPr>
          <w:rFonts w:ascii="ITC Avant Garde" w:hAnsi="ITC Avant Garde" w:cs="Arial-BoldMT"/>
          <w:b/>
          <w:bCs/>
          <w:i/>
          <w:color w:val="000000"/>
        </w:rPr>
        <w:t xml:space="preserve"> </w:t>
      </w:r>
      <w:r w:rsidRPr="002A2450">
        <w:rPr>
          <w:rFonts w:ascii="ITC Avant Garde" w:hAnsi="ITC Avant Garde" w:cs="ArialMT"/>
          <w:i/>
          <w:color w:val="000000"/>
        </w:rPr>
        <w:t xml:space="preserve">administrativo </w:t>
      </w:r>
      <w:r w:rsidRPr="002A2450">
        <w:rPr>
          <w:rFonts w:ascii="ITC Avant Garde" w:hAnsi="ITC Avant Garde" w:cs="ArialMT"/>
          <w:i/>
          <w:color w:val="FF0000"/>
        </w:rPr>
        <w:t>**********</w:t>
      </w:r>
      <w:r w:rsidRPr="002A2450">
        <w:rPr>
          <w:rFonts w:ascii="ITC Avant Garde" w:hAnsi="ITC Avant Garde" w:cs="ArialMT"/>
          <w:i/>
          <w:color w:val="000000"/>
        </w:rPr>
        <w:t>, del índice de la Sala Superior del Tribunal</w:t>
      </w:r>
      <w:r w:rsidRPr="002A2450">
        <w:rPr>
          <w:rFonts w:ascii="ITC Avant Garde" w:hAnsi="ITC Avant Garde" w:cs="Arial-BoldMT"/>
          <w:b/>
          <w:bCs/>
          <w:i/>
          <w:color w:val="000000"/>
        </w:rPr>
        <w:t xml:space="preserve"> </w:t>
      </w:r>
      <w:r w:rsidRPr="002A2450">
        <w:rPr>
          <w:rFonts w:ascii="ITC Avant Garde" w:hAnsi="ITC Avant Garde" w:cs="ArialMT"/>
          <w:i/>
          <w:color w:val="000000"/>
        </w:rPr>
        <w:t>Federal de Justicia Fiscal y Administrativa.”</w:t>
      </w:r>
    </w:p>
    <w:p w14:paraId="2FEE36C4" w14:textId="77777777" w:rsidR="00B35F13" w:rsidRDefault="00262B95" w:rsidP="00B35F13">
      <w:pPr>
        <w:autoSpaceDE w:val="0"/>
        <w:autoSpaceDN w:val="0"/>
        <w:adjustRightInd w:val="0"/>
        <w:spacing w:before="240" w:line="360" w:lineRule="auto"/>
        <w:ind w:left="567" w:right="567"/>
        <w:jc w:val="both"/>
        <w:rPr>
          <w:rFonts w:ascii="ITC Avant Garde" w:hAnsi="ITC Avant Garde" w:cs="ArialMT"/>
          <w:color w:val="000000"/>
        </w:rPr>
      </w:pPr>
      <w:r w:rsidRPr="002A2450">
        <w:rPr>
          <w:rFonts w:ascii="ITC Avant Garde" w:hAnsi="ITC Avant Garde" w:cs="ArialMT"/>
          <w:color w:val="000000"/>
        </w:rPr>
        <w:t xml:space="preserve">(Énfasis añadido) </w:t>
      </w:r>
    </w:p>
    <w:p w14:paraId="04D0748E"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 xml:space="preserve">Expuesto lo anterior y exclusivamente por cuanto se refiere al elemento en análisis, </w:t>
      </w:r>
      <w:r w:rsidR="007A0D2F" w:rsidRPr="002A2450">
        <w:rPr>
          <w:rFonts w:ascii="ITC Avant Garde" w:hAnsi="ITC Avant Garde" w:cs="Arial"/>
          <w:color w:val="231F20"/>
        </w:rPr>
        <w:t xml:space="preserve">se presumió </w:t>
      </w:r>
      <w:r w:rsidRPr="002A2450">
        <w:rPr>
          <w:rFonts w:ascii="ITC Avant Garde" w:hAnsi="ITC Avant Garde" w:cs="Arial"/>
          <w:color w:val="231F20"/>
        </w:rPr>
        <w:t xml:space="preserve">que la expresión </w:t>
      </w:r>
      <w:r w:rsidR="005B601B" w:rsidRPr="002A2450">
        <w:rPr>
          <w:rFonts w:ascii="ITC Avant Garde" w:hAnsi="ITC Avant Garde" w:cs="Arial"/>
          <w:b/>
          <w:i/>
          <w:color w:val="231F20"/>
        </w:rPr>
        <w:t>“TELMEX”</w:t>
      </w:r>
      <w:r w:rsidRPr="002A2450">
        <w:rPr>
          <w:rFonts w:ascii="ITC Avant Garde" w:hAnsi="ITC Avant Garde" w:cs="Arial"/>
          <w:i/>
          <w:color w:val="231F20"/>
        </w:rPr>
        <w:t xml:space="preserve"> no podrá explotar”</w:t>
      </w:r>
      <w:r w:rsidRPr="002A2450">
        <w:rPr>
          <w:rFonts w:ascii="ITC Avant Garde" w:hAnsi="ITC Avant Garde" w:cs="Arial"/>
          <w:color w:val="231F20"/>
        </w:rPr>
        <w:t xml:space="preserve"> significa que dicha </w:t>
      </w:r>
      <w:r w:rsidRPr="002A2450">
        <w:rPr>
          <w:rFonts w:ascii="ITC Avant Garde" w:hAnsi="ITC Avant Garde" w:cs="Arial"/>
          <w:color w:val="231F20"/>
        </w:rPr>
        <w:lastRenderedPageBreak/>
        <w:t xml:space="preserve">empresa </w:t>
      </w:r>
      <w:r w:rsidR="00F458C9" w:rsidRPr="002A2450">
        <w:rPr>
          <w:rFonts w:ascii="ITC Avant Garde" w:hAnsi="ITC Avant Garde" w:cs="Arial"/>
          <w:color w:val="231F20"/>
          <w:u w:val="single"/>
        </w:rPr>
        <w:t xml:space="preserve">está obligada a un </w:t>
      </w:r>
      <w:r w:rsidR="00F458C9" w:rsidRPr="002A2450">
        <w:rPr>
          <w:rFonts w:ascii="ITC Avant Garde" w:hAnsi="ITC Avant Garde" w:cs="Arial"/>
          <w:b/>
          <w:color w:val="231F20"/>
          <w:u w:val="single"/>
        </w:rPr>
        <w:t>no hacer</w:t>
      </w:r>
      <w:r w:rsidR="00F458C9" w:rsidRPr="002A2450">
        <w:rPr>
          <w:rFonts w:ascii="ITC Avant Garde" w:hAnsi="ITC Avant Garde" w:cs="Arial"/>
          <w:color w:val="231F20"/>
          <w:u w:val="single"/>
        </w:rPr>
        <w:t>, consistente en no aprovecharse o influir en la operación de un</w:t>
      </w:r>
      <w:r w:rsidR="00653BBA">
        <w:rPr>
          <w:rFonts w:ascii="ITC Avant Garde" w:hAnsi="ITC Avant Garde" w:cs="Arial"/>
          <w:color w:val="231F20"/>
          <w:u w:val="single"/>
        </w:rPr>
        <w:t xml:space="preserve">a concesión de </w:t>
      </w:r>
      <w:r w:rsidR="00F458C9" w:rsidRPr="002A2450">
        <w:rPr>
          <w:rFonts w:ascii="ITC Avant Garde" w:hAnsi="ITC Avant Garde" w:cs="Arial"/>
          <w:color w:val="231F20"/>
          <w:u w:val="single"/>
        </w:rPr>
        <w:t xml:space="preserve"> servicio</w:t>
      </w:r>
      <w:r w:rsidR="00653BBA">
        <w:rPr>
          <w:rFonts w:ascii="ITC Avant Garde" w:hAnsi="ITC Avant Garde" w:cs="Arial"/>
          <w:color w:val="231F20"/>
          <w:u w:val="single"/>
        </w:rPr>
        <w:t>s</w:t>
      </w:r>
      <w:r w:rsidR="00F458C9" w:rsidRPr="002A2450">
        <w:rPr>
          <w:rFonts w:ascii="ITC Avant Garde" w:hAnsi="ITC Avant Garde" w:cs="Arial"/>
          <w:color w:val="231F20"/>
          <w:u w:val="single"/>
        </w:rPr>
        <w:t xml:space="preserve"> de televisión al público en el país</w:t>
      </w:r>
      <w:r w:rsidRPr="002A2450">
        <w:rPr>
          <w:rFonts w:ascii="ITC Avant Garde" w:hAnsi="ITC Avant Garde" w:cs="Arial"/>
          <w:color w:val="231F20"/>
        </w:rPr>
        <w:t>.</w:t>
      </w:r>
    </w:p>
    <w:p w14:paraId="3BBBF1B1" w14:textId="77777777" w:rsidR="00B35F13" w:rsidRDefault="007C1D43"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 xml:space="preserve">Ahora bien, </w:t>
      </w:r>
      <w:r w:rsidR="00262B95" w:rsidRPr="002A2450">
        <w:rPr>
          <w:rFonts w:ascii="ITC Avant Garde" w:hAnsi="ITC Avant Garde" w:cs="Arial"/>
          <w:color w:val="231F20"/>
        </w:rPr>
        <w:t xml:space="preserve">sin perjuicio de lo anterior, no es menos importante señalar que el artículo 54 de la </w:t>
      </w:r>
      <w:r w:rsidR="00F2341E" w:rsidRPr="002A2450">
        <w:rPr>
          <w:rFonts w:ascii="ITC Avant Garde" w:hAnsi="ITC Avant Garde" w:cs="Arial"/>
          <w:b/>
          <w:color w:val="231F20"/>
        </w:rPr>
        <w:t>“LVGC”</w:t>
      </w:r>
      <w:r w:rsidR="00262B95" w:rsidRPr="002A2450">
        <w:rPr>
          <w:rFonts w:ascii="ITC Avant Garde" w:hAnsi="ITC Avant Garde" w:cs="Arial"/>
          <w:color w:val="231F20"/>
        </w:rPr>
        <w:t xml:space="preserve">, vigente al momento en que se otorgó el </w:t>
      </w:r>
      <w:r w:rsidR="00F2341E" w:rsidRPr="002A2450">
        <w:rPr>
          <w:rFonts w:ascii="ITC Avant Garde" w:hAnsi="ITC Avant Garde" w:cs="Arial"/>
          <w:b/>
          <w:color w:val="231F20"/>
        </w:rPr>
        <w:t>“TÍTULO DE CONCESIÓN”</w:t>
      </w:r>
      <w:r w:rsidR="00262B95" w:rsidRPr="002A2450">
        <w:rPr>
          <w:rFonts w:ascii="ITC Avant Garde" w:hAnsi="ITC Avant Garde" w:cs="Arial"/>
          <w:color w:val="231F20"/>
        </w:rPr>
        <w:t xml:space="preserve"> a </w:t>
      </w:r>
      <w:r w:rsidR="00A848A5" w:rsidRPr="002A2450">
        <w:rPr>
          <w:rFonts w:ascii="ITC Avant Garde" w:hAnsi="ITC Avant Garde" w:cs="Arial"/>
          <w:b/>
          <w:color w:val="231F20"/>
        </w:rPr>
        <w:t>“</w:t>
      </w:r>
      <w:r w:rsidR="00262B95" w:rsidRPr="002A2450">
        <w:rPr>
          <w:rFonts w:ascii="ITC Avant Garde" w:hAnsi="ITC Avant Garde" w:cs="Arial"/>
          <w:b/>
          <w:color w:val="231F20"/>
        </w:rPr>
        <w:t>TELMEX</w:t>
      </w:r>
      <w:r w:rsidR="00A848A5" w:rsidRPr="002A2450">
        <w:rPr>
          <w:rFonts w:ascii="ITC Avant Garde" w:hAnsi="ITC Avant Garde" w:cs="Arial"/>
          <w:b/>
          <w:color w:val="231F20"/>
        </w:rPr>
        <w:t>”</w:t>
      </w:r>
      <w:r w:rsidR="00262B95" w:rsidRPr="002A2450">
        <w:rPr>
          <w:rFonts w:ascii="ITC Avant Garde" w:hAnsi="ITC Avant Garde" w:cs="Arial"/>
          <w:color w:val="231F20"/>
        </w:rPr>
        <w:t xml:space="preserve"> (1976), cuando se pactó su modificación (1990) y vigente hasta la fecha, establece:</w:t>
      </w:r>
    </w:p>
    <w:p w14:paraId="18B2BB36" w14:textId="4C142428" w:rsidR="00CA47A5" w:rsidRPr="002A2450" w:rsidRDefault="00262B95" w:rsidP="00B35F13">
      <w:pPr>
        <w:spacing w:before="240" w:line="360" w:lineRule="auto"/>
        <w:ind w:left="567" w:right="567"/>
        <w:jc w:val="both"/>
        <w:rPr>
          <w:rFonts w:ascii="ITC Avant Garde" w:hAnsi="ITC Avant Garde" w:cs="Arial"/>
          <w:color w:val="231F20"/>
        </w:rPr>
      </w:pPr>
      <w:r w:rsidRPr="002A2450">
        <w:rPr>
          <w:rFonts w:ascii="ITC Avant Garde" w:hAnsi="ITC Avant Garde" w:cs="Arial"/>
          <w:b/>
          <w:i/>
        </w:rPr>
        <w:t>“Artículo 54.</w:t>
      </w:r>
      <w:r w:rsidRPr="002A2450">
        <w:rPr>
          <w:rFonts w:ascii="ITC Avant Garde" w:hAnsi="ITC Avant Garde" w:cs="Arial"/>
          <w:i/>
        </w:rPr>
        <w:t xml:space="preserve"> Las empresas de vías generales de comunicación </w:t>
      </w:r>
      <w:r w:rsidRPr="002A2450">
        <w:rPr>
          <w:rFonts w:ascii="ITC Avant Garde" w:hAnsi="ITC Avant Garde" w:cs="Arial"/>
          <w:b/>
          <w:i/>
        </w:rPr>
        <w:t>podrán explotar sus servicios</w:t>
      </w:r>
      <w:r w:rsidRPr="002A2450">
        <w:rPr>
          <w:rFonts w:ascii="ITC Avant Garde" w:hAnsi="ITC Avant Garde" w:cs="Arial"/>
          <w:i/>
        </w:rPr>
        <w:t xml:space="preserve"> </w:t>
      </w:r>
      <w:r w:rsidRPr="002A2450">
        <w:rPr>
          <w:rFonts w:ascii="ITC Avant Garde" w:hAnsi="ITC Avant Garde" w:cs="Arial"/>
          <w:b/>
          <w:i/>
        </w:rPr>
        <w:t>o parte de ellos, conjuntamente con otra u otras empresas nacionales o extranjeras</w:t>
      </w:r>
      <w:r w:rsidRPr="002A2450">
        <w:rPr>
          <w:rFonts w:ascii="ITC Avant Garde" w:hAnsi="ITC Avant Garde" w:cs="Arial"/>
          <w:i/>
        </w:rPr>
        <w:t xml:space="preserve">, no comprendidas en las disposiciones de esta Ley, </w:t>
      </w:r>
      <w:r w:rsidRPr="002A2450">
        <w:rPr>
          <w:rFonts w:ascii="ITC Avant Garde" w:hAnsi="ITC Avant Garde" w:cs="Arial"/>
          <w:b/>
          <w:i/>
        </w:rPr>
        <w:t xml:space="preserve">celebrando al efecto los arreglos o convenios necesarios que </w:t>
      </w:r>
      <w:r w:rsidRPr="002A2450">
        <w:rPr>
          <w:rFonts w:ascii="ITC Avant Garde" w:hAnsi="ITC Avant Garde" w:cs="Arial"/>
          <w:b/>
          <w:i/>
          <w:u w:val="single"/>
        </w:rPr>
        <w:t>se someterán a la previa aprobación de la Secretaría de Comunicaciones y Transportes</w:t>
      </w:r>
      <w:r w:rsidRPr="002A2450">
        <w:rPr>
          <w:rFonts w:ascii="ITC Avant Garde" w:hAnsi="ITC Avant Garde" w:cs="Arial"/>
          <w:b/>
          <w:i/>
        </w:rPr>
        <w:t>.</w:t>
      </w:r>
      <w:r w:rsidRPr="002A2450">
        <w:rPr>
          <w:rFonts w:ascii="ITC Avant Garde" w:hAnsi="ITC Avant Garde" w:cs="Arial"/>
          <w:i/>
        </w:rPr>
        <w:t>”</w:t>
      </w:r>
      <w:r w:rsidRPr="002A2450">
        <w:rPr>
          <w:rFonts w:ascii="ITC Avant Garde" w:hAnsi="ITC Avant Garde" w:cs="Arial"/>
          <w:i/>
        </w:rPr>
        <w:cr/>
      </w:r>
    </w:p>
    <w:p w14:paraId="454BA4B3"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De dicha disposición se desprend</w:t>
      </w:r>
      <w:r w:rsidR="00D413BC" w:rsidRPr="002A2450">
        <w:rPr>
          <w:rFonts w:ascii="ITC Avant Garde" w:hAnsi="ITC Avant Garde" w:cs="Arial"/>
          <w:color w:val="231F20"/>
        </w:rPr>
        <w:t>e</w:t>
      </w:r>
      <w:r w:rsidRPr="002A2450">
        <w:rPr>
          <w:rFonts w:ascii="ITC Avant Garde" w:hAnsi="ITC Avant Garde" w:cs="Arial"/>
          <w:color w:val="231F20"/>
        </w:rPr>
        <w:t xml:space="preserve"> la posibilidad de que los concesionarios exploten todos o parte de sus servicios, de manera conjunta con otra u otras empresas nacionales o extranjeras, siempre y cuando </w:t>
      </w:r>
      <w:r w:rsidR="00D413BC" w:rsidRPr="002A2450">
        <w:rPr>
          <w:rFonts w:ascii="ITC Avant Garde" w:hAnsi="ITC Avant Garde" w:cs="Arial"/>
          <w:color w:val="231F20"/>
        </w:rPr>
        <w:t xml:space="preserve">alguno de ellos no tenga prohibición expresa en su título para hacerlo y se haya obtenido la </w:t>
      </w:r>
      <w:r w:rsidR="003315CF" w:rsidRPr="002A2450">
        <w:rPr>
          <w:rFonts w:ascii="ITC Avant Garde" w:hAnsi="ITC Avant Garde" w:cs="Arial"/>
          <w:b/>
          <w:color w:val="231F20"/>
          <w:u w:val="single"/>
        </w:rPr>
        <w:t>PREVIA AUTORIZACIÓN DE LA AUTORIDAD CONCEDENTE</w:t>
      </w:r>
      <w:r w:rsidR="003315CF" w:rsidRPr="002A2450">
        <w:rPr>
          <w:rFonts w:ascii="ITC Avant Garde" w:hAnsi="ITC Avant Garde" w:cs="Arial"/>
          <w:color w:val="231F20"/>
        </w:rPr>
        <w:t>.</w:t>
      </w:r>
    </w:p>
    <w:p w14:paraId="7AD63C74"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 xml:space="preserve">La sujeción de una empresa concesionaria a obtener autorización previa para prestar o explotar servicios conjuntamente, encuentra plena justificación dada la naturaleza pública del servicio y bienes concesionados. En ese contexto, corresponde a la autoridad vigilar que se cumplan con los objetivos de servicio y parámetros de calidad previstos para ese concesionario, por lo que para el caso de que </w:t>
      </w:r>
      <w:r w:rsidR="003A1CC5" w:rsidRPr="002A2450">
        <w:rPr>
          <w:rFonts w:ascii="ITC Avant Garde" w:hAnsi="ITC Avant Garde"/>
          <w:b/>
        </w:rPr>
        <w:t>“TELMEX”</w:t>
      </w:r>
      <w:r w:rsidRPr="002A2450">
        <w:rPr>
          <w:rFonts w:ascii="ITC Avant Garde" w:hAnsi="ITC Avant Garde" w:cs="Arial"/>
          <w:color w:val="231F20"/>
        </w:rPr>
        <w:t xml:space="preserve"> decidiera prestar algún servicio no previsto en su título de concesión de manera conjunta con otra u otras empresas, deberá existir </w:t>
      </w:r>
      <w:r w:rsidR="00D413BC" w:rsidRPr="002A2450">
        <w:rPr>
          <w:rFonts w:ascii="ITC Avant Garde" w:hAnsi="ITC Avant Garde" w:cs="Arial"/>
          <w:color w:val="231F20"/>
        </w:rPr>
        <w:t xml:space="preserve">en primer lugar una modificación a su Título de Concesión para eliminar la </w:t>
      </w:r>
      <w:r w:rsidR="00090BBE" w:rsidRPr="002A2450">
        <w:rPr>
          <w:rFonts w:ascii="ITC Avant Garde" w:hAnsi="ITC Avant Garde" w:cs="Arial"/>
          <w:color w:val="231F20"/>
        </w:rPr>
        <w:t xml:space="preserve">prohibición </w:t>
      </w:r>
      <w:r w:rsidR="00D413BC" w:rsidRPr="002A2450">
        <w:rPr>
          <w:rFonts w:ascii="ITC Avant Garde" w:hAnsi="ITC Avant Garde" w:cs="Arial"/>
          <w:color w:val="231F20"/>
        </w:rPr>
        <w:t xml:space="preserve">de explotar directa o indirectamente </w:t>
      </w:r>
      <w:r w:rsidR="00653BBA">
        <w:rPr>
          <w:rFonts w:ascii="ITC Avant Garde" w:hAnsi="ITC Avant Garde" w:cs="Arial"/>
          <w:color w:val="231F20"/>
        </w:rPr>
        <w:t xml:space="preserve">una concesión para prestar </w:t>
      </w:r>
      <w:r w:rsidR="00D413BC" w:rsidRPr="002A2450">
        <w:rPr>
          <w:rFonts w:ascii="ITC Avant Garde" w:hAnsi="ITC Avant Garde" w:cs="Arial"/>
          <w:color w:val="231F20"/>
        </w:rPr>
        <w:t xml:space="preserve">determinado servicio y posteriormente obtener la </w:t>
      </w:r>
      <w:r w:rsidRPr="002A2450">
        <w:rPr>
          <w:rFonts w:ascii="ITC Avant Garde" w:hAnsi="ITC Avant Garde" w:cs="Arial"/>
          <w:color w:val="231F20"/>
        </w:rPr>
        <w:t>autorización de la autoridad correspondiente</w:t>
      </w:r>
      <w:r w:rsidR="00D413BC" w:rsidRPr="002A2450">
        <w:rPr>
          <w:rFonts w:ascii="ITC Avant Garde" w:hAnsi="ITC Avant Garde" w:cs="Arial"/>
          <w:color w:val="231F20"/>
        </w:rPr>
        <w:t xml:space="preserve"> para </w:t>
      </w:r>
      <w:r w:rsidR="00D413BC" w:rsidRPr="002A2450">
        <w:rPr>
          <w:rFonts w:ascii="ITC Avant Garde" w:hAnsi="ITC Avant Garde" w:cs="Arial"/>
          <w:color w:val="231F20"/>
        </w:rPr>
        <w:lastRenderedPageBreak/>
        <w:t xml:space="preserve">prestar servicios </w:t>
      </w:r>
      <w:r w:rsidR="00090BBE" w:rsidRPr="002A2450">
        <w:rPr>
          <w:rFonts w:ascii="ITC Avant Garde" w:hAnsi="ITC Avant Garde" w:cs="Arial"/>
          <w:color w:val="231F20"/>
        </w:rPr>
        <w:t xml:space="preserve">por sí misma o </w:t>
      </w:r>
      <w:r w:rsidR="00D413BC" w:rsidRPr="002A2450">
        <w:rPr>
          <w:rFonts w:ascii="ITC Avant Garde" w:hAnsi="ITC Avant Garde" w:cs="Arial"/>
          <w:color w:val="231F20"/>
        </w:rPr>
        <w:t xml:space="preserve">de manera conjunta con otra concesionaria. Lo anterior </w:t>
      </w:r>
      <w:r w:rsidRPr="002A2450">
        <w:rPr>
          <w:rFonts w:ascii="ITC Avant Garde" w:hAnsi="ITC Avant Garde" w:cs="Arial"/>
          <w:color w:val="231F20"/>
        </w:rPr>
        <w:t xml:space="preserve">atendiendo a lo dispuesto en su título de concesión y la ley </w:t>
      </w:r>
      <w:r w:rsidR="00D413BC" w:rsidRPr="002A2450">
        <w:rPr>
          <w:rFonts w:ascii="ITC Avant Garde" w:hAnsi="ITC Avant Garde" w:cs="Arial"/>
          <w:color w:val="231F20"/>
        </w:rPr>
        <w:t xml:space="preserve">antes </w:t>
      </w:r>
      <w:r w:rsidRPr="002A2450">
        <w:rPr>
          <w:rFonts w:ascii="ITC Avant Garde" w:hAnsi="ITC Avant Garde" w:cs="Arial"/>
          <w:color w:val="231F20"/>
        </w:rPr>
        <w:t>referida.</w:t>
      </w:r>
    </w:p>
    <w:p w14:paraId="5556AF7E" w14:textId="77777777" w:rsidR="00B35F13" w:rsidRDefault="005B601B" w:rsidP="00B35F13">
      <w:pPr>
        <w:spacing w:before="240" w:line="360" w:lineRule="auto"/>
        <w:ind w:left="567" w:right="616"/>
        <w:jc w:val="both"/>
        <w:rPr>
          <w:rFonts w:ascii="ITC Avant Garde" w:hAnsi="ITC Avant Garde" w:cs="Arial"/>
          <w:i/>
        </w:rPr>
      </w:pPr>
      <w:r w:rsidRPr="002A2450">
        <w:rPr>
          <w:rFonts w:ascii="ITC Avant Garde" w:hAnsi="ITC Avant Garde" w:cs="Arial"/>
          <w:b/>
          <w:i/>
        </w:rPr>
        <w:t>“TELMEX”</w:t>
      </w:r>
      <w:r w:rsidR="00262B95" w:rsidRPr="002A2450">
        <w:rPr>
          <w:rFonts w:ascii="ITC Avant Garde" w:hAnsi="ITC Avant Garde" w:cs="Arial"/>
          <w:i/>
        </w:rPr>
        <w:t xml:space="preserve"> no podrá explotar, </w:t>
      </w:r>
      <w:r w:rsidR="00262B95" w:rsidRPr="002A2450">
        <w:rPr>
          <w:rFonts w:ascii="ITC Avant Garde" w:hAnsi="ITC Avant Garde" w:cs="Arial"/>
          <w:b/>
          <w:i/>
        </w:rPr>
        <w:t>directa o indirectamente,…</w:t>
      </w:r>
      <w:r w:rsidR="00262B95" w:rsidRPr="002A2450">
        <w:rPr>
          <w:rFonts w:ascii="ITC Avant Garde" w:hAnsi="ITC Avant Garde" w:cs="Arial"/>
          <w:i/>
        </w:rPr>
        <w:t>”</w:t>
      </w:r>
    </w:p>
    <w:p w14:paraId="3CE64C40" w14:textId="77777777" w:rsidR="00B35F13" w:rsidRDefault="00262B95" w:rsidP="00B35F13">
      <w:pPr>
        <w:spacing w:before="240" w:line="360" w:lineRule="auto"/>
        <w:jc w:val="both"/>
        <w:rPr>
          <w:rFonts w:ascii="ITC Avant Garde" w:hAnsi="ITC Avant Garde" w:cs="Arial"/>
        </w:rPr>
      </w:pPr>
      <w:r w:rsidRPr="002A2450">
        <w:rPr>
          <w:rFonts w:ascii="ITC Avant Garde" w:hAnsi="ITC Avant Garde" w:cs="Arial"/>
        </w:rPr>
        <w:t>Al analizar cuál deb</w:t>
      </w:r>
      <w:r w:rsidR="00A848A5" w:rsidRPr="002A2450">
        <w:rPr>
          <w:rFonts w:ascii="ITC Avant Garde" w:hAnsi="ITC Avant Garde" w:cs="Arial"/>
        </w:rPr>
        <w:t>ía</w:t>
      </w:r>
      <w:r w:rsidRPr="002A2450">
        <w:rPr>
          <w:rFonts w:ascii="ITC Avant Garde" w:hAnsi="ITC Avant Garde" w:cs="Arial"/>
        </w:rPr>
        <w:t xml:space="preserve"> ser el alcance de la restricción impuesta a la concesionaria en cuya virtud le sea atribuible una responsabilidad por explotar </w:t>
      </w:r>
      <w:r w:rsidRPr="002A2450">
        <w:rPr>
          <w:rFonts w:ascii="ITC Avant Garde" w:hAnsi="ITC Avant Garde" w:cs="Arial"/>
          <w:b/>
          <w:i/>
        </w:rPr>
        <w:t>“directa o indirectamente”</w:t>
      </w:r>
      <w:r w:rsidR="008F718E" w:rsidRPr="009E34A4">
        <w:rPr>
          <w:rFonts w:ascii="ITC Avant Garde" w:hAnsi="ITC Avant Garde" w:cs="Arial"/>
          <w:color w:val="C00000"/>
        </w:rPr>
        <w:t xml:space="preserve"> </w:t>
      </w:r>
      <w:r w:rsidRPr="002A2450">
        <w:rPr>
          <w:rFonts w:ascii="ITC Avant Garde" w:hAnsi="ITC Avant Garde" w:cs="Arial"/>
        </w:rPr>
        <w:t xml:space="preserve">un servicio, máxime que su causa eficiente pudiera provenir de un tercero ajeno a la relación jurídica concedente-concesionario, debe ponderarse </w:t>
      </w:r>
      <w:r w:rsidR="00090BBE" w:rsidRPr="002A2450">
        <w:rPr>
          <w:rFonts w:ascii="ITC Avant Garde" w:hAnsi="ITC Avant Garde" w:cs="Arial"/>
        </w:rPr>
        <w:t>que la capacidad de la concesionaria y sus órganos de decisión, en su calidad de concesionaria, está ligada, respecto del Estado, por una relación de servicio público, que surge en el acto mismo del otorgamiento de la concesión.</w:t>
      </w:r>
    </w:p>
    <w:p w14:paraId="51A04064" w14:textId="77777777" w:rsidR="00B35F13" w:rsidRDefault="00A848A5" w:rsidP="00B35F13">
      <w:pPr>
        <w:spacing w:before="240" w:line="360" w:lineRule="auto"/>
        <w:jc w:val="both"/>
        <w:rPr>
          <w:rFonts w:ascii="ITC Avant Garde" w:hAnsi="ITC Avant Garde" w:cs="Arial"/>
        </w:rPr>
      </w:pPr>
      <w:r w:rsidRPr="002A2450">
        <w:rPr>
          <w:rFonts w:ascii="ITC Avant Garde" w:hAnsi="ITC Avant Garde" w:cs="Arial"/>
        </w:rPr>
        <w:t>Asimismo, se precisó</w:t>
      </w:r>
      <w:r w:rsidR="00262B95" w:rsidRPr="002A2450">
        <w:rPr>
          <w:rFonts w:ascii="ITC Avant Garde" w:hAnsi="ITC Avant Garde" w:cs="Arial"/>
        </w:rPr>
        <w:t xml:space="preserve"> que al tratarse de la explotación de una concesión cuyo objeto lo constituye la construcción, instalación, mantenimiento, operación y explotación de una red pública de </w:t>
      </w:r>
      <w:r w:rsidR="0022399D" w:rsidRPr="002A2450">
        <w:rPr>
          <w:rFonts w:ascii="ITC Avant Garde" w:hAnsi="ITC Avant Garde" w:cs="Arial"/>
        </w:rPr>
        <w:t>telefonía</w:t>
      </w:r>
      <w:r w:rsidR="00262B95" w:rsidRPr="002A2450">
        <w:rPr>
          <w:rFonts w:ascii="ITC Avant Garde" w:hAnsi="ITC Avant Garde" w:cs="Arial"/>
        </w:rPr>
        <w:t>, deb</w:t>
      </w:r>
      <w:r w:rsidRPr="002A2450">
        <w:rPr>
          <w:rFonts w:ascii="ITC Avant Garde" w:hAnsi="ITC Avant Garde" w:cs="Arial"/>
        </w:rPr>
        <w:t>ía</w:t>
      </w:r>
      <w:r w:rsidR="00262B95" w:rsidRPr="002A2450">
        <w:rPr>
          <w:rFonts w:ascii="ITC Avant Garde" w:hAnsi="ITC Avant Garde" w:cs="Arial"/>
        </w:rPr>
        <w:t xml:space="preserve"> estimarse que las obligaciones y restricciones impuestas a la concesionaria limitan subjetiva y directamente, como indirectamente a todas las personas o empresas con las que se encuentra vinculada, </w:t>
      </w:r>
      <w:r w:rsidR="0022399D" w:rsidRPr="002A2450">
        <w:rPr>
          <w:rFonts w:ascii="ITC Avant Garde" w:hAnsi="ITC Avant Garde" w:cs="Arial"/>
        </w:rPr>
        <w:t>pues la elusión o evasión de dichas restricciones atentaría con el interés público que conlleva la recta explotación del título de concesión habilitante.</w:t>
      </w:r>
    </w:p>
    <w:p w14:paraId="3AC44FC7" w14:textId="77777777" w:rsidR="00B35F13" w:rsidRDefault="00262B95" w:rsidP="00B35F13">
      <w:pPr>
        <w:spacing w:before="240" w:line="360" w:lineRule="auto"/>
        <w:jc w:val="both"/>
        <w:rPr>
          <w:rFonts w:ascii="ITC Avant Garde" w:hAnsi="ITC Avant Garde" w:cs="Arial"/>
        </w:rPr>
      </w:pPr>
      <w:r w:rsidRPr="002A2450">
        <w:rPr>
          <w:rFonts w:ascii="ITC Avant Garde" w:hAnsi="ITC Avant Garde" w:cs="Arial"/>
        </w:rPr>
        <w:t xml:space="preserve">Expuesto lo anterior, para determinar con precisión el alcance de la expresión </w:t>
      </w:r>
      <w:r w:rsidRPr="002A2450">
        <w:rPr>
          <w:rFonts w:ascii="ITC Avant Garde" w:hAnsi="ITC Avant Garde" w:cs="Arial"/>
          <w:i/>
        </w:rPr>
        <w:t>“directa o indirectamente”</w:t>
      </w:r>
      <w:r w:rsidRPr="002A2450">
        <w:rPr>
          <w:rFonts w:ascii="ITC Avant Garde" w:hAnsi="ITC Avant Garde" w:cs="Arial"/>
        </w:rPr>
        <w:t>, result</w:t>
      </w:r>
      <w:r w:rsidR="00204993" w:rsidRPr="002A2450">
        <w:rPr>
          <w:rFonts w:ascii="ITC Avant Garde" w:hAnsi="ITC Avant Garde" w:cs="Arial"/>
        </w:rPr>
        <w:t>ó</w:t>
      </w:r>
      <w:r w:rsidRPr="002A2450">
        <w:rPr>
          <w:rFonts w:ascii="ITC Avant Garde" w:hAnsi="ITC Avant Garde" w:cs="Arial"/>
        </w:rPr>
        <w:t xml:space="preserve"> importante hacer notar que de una interpretación armónica de dicho concepto, el mismo se refe</w:t>
      </w:r>
      <w:r w:rsidR="00A848A5" w:rsidRPr="002A2450">
        <w:rPr>
          <w:rFonts w:ascii="ITC Avant Garde" w:hAnsi="ITC Avant Garde" w:cs="Arial"/>
        </w:rPr>
        <w:t>ría</w:t>
      </w:r>
      <w:r w:rsidRPr="002A2450">
        <w:rPr>
          <w:rFonts w:ascii="ITC Avant Garde" w:hAnsi="ITC Avant Garde" w:cs="Arial"/>
        </w:rPr>
        <w:t xml:space="preserve"> a no llevar a cabo determinado acto por sí o a través de otra persona ya sea física o moral con la cual tenga alguna relación y participación en la administración de la otra, y que a través de un esquema de </w:t>
      </w:r>
      <w:r w:rsidR="00D413BC" w:rsidRPr="002A2450">
        <w:rPr>
          <w:rFonts w:ascii="ITC Avant Garde" w:hAnsi="ITC Avant Garde" w:cs="Arial"/>
        </w:rPr>
        <w:t xml:space="preserve">ocultamiento </w:t>
      </w:r>
      <w:r w:rsidRPr="002A2450">
        <w:rPr>
          <w:rFonts w:ascii="ITC Avant Garde" w:hAnsi="ITC Avant Garde" w:cs="Arial"/>
        </w:rPr>
        <w:t>se lleven a cabo actos jurídicos que determinen una intención común de violentar el cumplimiento del deber válidamente asumido.</w:t>
      </w:r>
    </w:p>
    <w:p w14:paraId="52AC2BBB" w14:textId="77777777" w:rsidR="00B35F13" w:rsidRDefault="00262B95" w:rsidP="00B35F13">
      <w:pPr>
        <w:spacing w:before="240" w:line="360" w:lineRule="auto"/>
        <w:jc w:val="both"/>
        <w:rPr>
          <w:rFonts w:ascii="ITC Avant Garde" w:hAnsi="ITC Avant Garde" w:cs="Arial"/>
        </w:rPr>
      </w:pPr>
      <w:r w:rsidRPr="002A2450">
        <w:rPr>
          <w:rFonts w:ascii="ITC Avant Garde" w:hAnsi="ITC Avant Garde" w:cs="Arial"/>
        </w:rPr>
        <w:t xml:space="preserve">Por ello, en el análisis de una obligación cuyo cumplimiento entraña la posible extensión a terceros mediante la fórmula </w:t>
      </w:r>
      <w:r w:rsidRPr="002A2450">
        <w:rPr>
          <w:rFonts w:ascii="ITC Avant Garde" w:hAnsi="ITC Avant Garde" w:cs="Arial"/>
          <w:i/>
        </w:rPr>
        <w:t>“directa o indirectamente”</w:t>
      </w:r>
      <w:r w:rsidRPr="002A2450">
        <w:rPr>
          <w:rFonts w:ascii="ITC Avant Garde" w:hAnsi="ITC Avant Garde" w:cs="Arial"/>
        </w:rPr>
        <w:t xml:space="preserve"> no puede desconocerse la comunidad de intereses que pueda llegar a existir entre las </w:t>
      </w:r>
      <w:r w:rsidRPr="002A2450">
        <w:rPr>
          <w:rFonts w:ascii="ITC Avant Garde" w:hAnsi="ITC Avant Garde" w:cs="Arial"/>
        </w:rPr>
        <w:lastRenderedPageBreak/>
        <w:t xml:space="preserve">diversas partes relacionadas, puesto que el hecho de que se trate de personas físicas o morales distintas, no es obstáculo para que se pueda determinar que existe una </w:t>
      </w:r>
      <w:r w:rsidR="0022399D" w:rsidRPr="002A2450">
        <w:rPr>
          <w:rFonts w:ascii="ITC Avant Garde" w:hAnsi="ITC Avant Garde" w:cs="Arial"/>
        </w:rPr>
        <w:t xml:space="preserve">coordinación, </w:t>
      </w:r>
      <w:r w:rsidRPr="002A2450">
        <w:rPr>
          <w:rFonts w:ascii="ITC Avant Garde" w:hAnsi="ITC Avant Garde" w:cs="Arial"/>
        </w:rPr>
        <w:t xml:space="preserve">intención o </w:t>
      </w:r>
      <w:r w:rsidR="0022399D" w:rsidRPr="002A2450">
        <w:rPr>
          <w:rFonts w:ascii="ITC Avant Garde" w:hAnsi="ITC Avant Garde" w:cs="Arial"/>
        </w:rPr>
        <w:t xml:space="preserve">interés </w:t>
      </w:r>
      <w:r w:rsidRPr="002A2450">
        <w:rPr>
          <w:rFonts w:ascii="ITC Avant Garde" w:hAnsi="ITC Avant Garde" w:cs="Arial"/>
        </w:rPr>
        <w:t>común para lograr la actualización de conductas</w:t>
      </w:r>
      <w:r w:rsidR="0022399D" w:rsidRPr="002A2450">
        <w:rPr>
          <w:rFonts w:ascii="ITC Avant Garde" w:hAnsi="ITC Avant Garde" w:cs="Arial"/>
        </w:rPr>
        <w:t>, aun cuando no exista un vínculo jurídico centralizado y jerarquizado.</w:t>
      </w:r>
    </w:p>
    <w:p w14:paraId="238BC94B" w14:textId="77777777" w:rsidR="00B35F13" w:rsidRDefault="00511CC0" w:rsidP="00B35F13">
      <w:pPr>
        <w:spacing w:before="240" w:line="360" w:lineRule="auto"/>
        <w:jc w:val="both"/>
        <w:rPr>
          <w:rFonts w:ascii="ITC Avant Garde" w:hAnsi="ITC Avant Garde" w:cs="Arial"/>
          <w:color w:val="231F20"/>
        </w:rPr>
      </w:pPr>
      <w:r w:rsidRPr="002A2450">
        <w:rPr>
          <w:rFonts w:ascii="ITC Avant Garde" w:hAnsi="ITC Avant Garde" w:cs="Arial"/>
        </w:rPr>
        <w:t xml:space="preserve">Al respecto, resultó </w:t>
      </w:r>
      <w:r w:rsidR="00262B95" w:rsidRPr="002A2450">
        <w:rPr>
          <w:rFonts w:ascii="ITC Avant Garde" w:hAnsi="ITC Avant Garde" w:cs="Arial"/>
        </w:rPr>
        <w:t xml:space="preserve">ilustrativa la resolución dictada por el Primer Tribunal Colegiado </w:t>
      </w:r>
      <w:r w:rsidR="00262B95" w:rsidRPr="002A2450">
        <w:rPr>
          <w:rFonts w:ascii="ITC Avant Garde" w:hAnsi="ITC Avant Garde" w:cs="Arial"/>
          <w:color w:val="231F20"/>
        </w:rPr>
        <w:t>de Circuito en Materia Administrativa Especializado en Competencia Económica, Radiodifusión y Telecomunicaciones, con residencia en el Distrito Federal y jurisdicción territorial en toda la República, dentro del Amparo en Revisión R.A. 28/2014</w:t>
      </w:r>
      <w:r w:rsidR="00262B95" w:rsidRPr="002A2450">
        <w:rPr>
          <w:rStyle w:val="Refdenotaalpie"/>
          <w:rFonts w:ascii="ITC Avant Garde" w:hAnsi="ITC Avant Garde" w:cs="Arial"/>
          <w:color w:val="231F20"/>
        </w:rPr>
        <w:footnoteReference w:id="16"/>
      </w:r>
      <w:r w:rsidR="00262B95" w:rsidRPr="002A2450">
        <w:rPr>
          <w:rFonts w:ascii="ITC Avant Garde" w:hAnsi="ITC Avant Garde" w:cs="Arial"/>
          <w:color w:val="231F20"/>
        </w:rPr>
        <w:t>, de la que se desprend</w:t>
      </w:r>
      <w:r w:rsidR="00F2341E" w:rsidRPr="002A2450">
        <w:rPr>
          <w:rFonts w:ascii="ITC Avant Garde" w:hAnsi="ITC Avant Garde" w:cs="Arial"/>
          <w:color w:val="231F20"/>
        </w:rPr>
        <w:t>ió</w:t>
      </w:r>
      <w:r w:rsidR="00262B95" w:rsidRPr="002A2450">
        <w:rPr>
          <w:rFonts w:ascii="ITC Avant Garde" w:hAnsi="ITC Avant Garde" w:cs="Arial"/>
          <w:color w:val="231F20"/>
        </w:rPr>
        <w:t>, en la parte que interesa lo siguiente:</w:t>
      </w:r>
    </w:p>
    <w:p w14:paraId="17BC9C8C" w14:textId="77777777" w:rsidR="00B35F13" w:rsidRDefault="00262B95" w:rsidP="00B35F13">
      <w:pPr>
        <w:spacing w:before="240" w:line="360" w:lineRule="auto"/>
        <w:ind w:left="567" w:right="567"/>
        <w:jc w:val="both"/>
        <w:rPr>
          <w:rFonts w:ascii="ITC Avant Garde" w:hAnsi="ITC Avant Garde" w:cs="Arial"/>
          <w:i/>
        </w:rPr>
      </w:pPr>
      <w:r w:rsidRPr="002A2450">
        <w:rPr>
          <w:rFonts w:ascii="ITC Avant Garde" w:hAnsi="ITC Avant Garde" w:cs="Arial"/>
          <w:b/>
          <w:i/>
        </w:rPr>
        <w:t>“129.</w:t>
      </w:r>
      <w:r w:rsidRPr="002A2450">
        <w:rPr>
          <w:rFonts w:ascii="ITC Avant Garde" w:hAnsi="ITC Avant Garde" w:cs="Arial"/>
          <w:i/>
        </w:rPr>
        <w:t xml:space="preserve"> De manera que, si para la emisora de valores [sociedad anónima bursátil] le es obligatorio, entre otros, entregar su contabilidad ante el órgano regulador de telecomunicaciones en formato regular, en términos del punto sexto, inciso c) del Manual de separación contable</w:t>
      </w:r>
      <w:r w:rsidRPr="002A2450">
        <w:rPr>
          <w:rFonts w:ascii="ITC Avant Garde" w:hAnsi="ITC Avant Garde" w:cs="Arial"/>
          <w:i/>
          <w:vertAlign w:val="superscript"/>
        </w:rPr>
        <w:t>51</w:t>
      </w:r>
      <w:r w:rsidRPr="002A2450">
        <w:rPr>
          <w:rFonts w:ascii="ITC Avant Garde" w:hAnsi="ITC Avant Garde" w:cs="Arial"/>
          <w:i/>
        </w:rPr>
        <w:t xml:space="preserve"> reclamado en el juicio, en concordancia y por lógica consecuencia, </w:t>
      </w:r>
      <w:r w:rsidRPr="002A2450">
        <w:rPr>
          <w:rFonts w:ascii="ITC Avant Garde" w:hAnsi="ITC Avant Garde" w:cs="Arial"/>
          <w:b/>
          <w:i/>
          <w:u w:val="single"/>
        </w:rPr>
        <w:t>tal obligación debe alcanzar a sus subsidiarias o filiales, precisamente por la conformación, coincidencia de intereses comerciales, estructura financiera y contable de este tipo de empresas</w:t>
      </w:r>
      <w:r w:rsidRPr="002A2450">
        <w:rPr>
          <w:rFonts w:ascii="ITC Avant Garde" w:hAnsi="ITC Avant Garde" w:cs="Arial"/>
          <w:i/>
        </w:rPr>
        <w:t xml:space="preserve">, en donde la sociedad dominatriz o controladora [holding], </w:t>
      </w:r>
      <w:r w:rsidRPr="002A2450">
        <w:rPr>
          <w:rFonts w:ascii="ITC Avant Garde" w:hAnsi="ITC Avant Garde" w:cs="Arial"/>
          <w:b/>
          <w:i/>
          <w:u w:val="single"/>
        </w:rPr>
        <w:t>en conjunto con sus controladas, forman, como ya se dijo, un grupo económico de interés común o de empresas relacionadas</w:t>
      </w:r>
      <w:r w:rsidRPr="002A2450">
        <w:rPr>
          <w:rFonts w:ascii="ITC Avant Garde" w:hAnsi="ITC Avant Garde" w:cs="Arial"/>
          <w:i/>
        </w:rPr>
        <w:t>.</w:t>
      </w:r>
    </w:p>
    <w:p w14:paraId="59243524" w14:textId="44B61125" w:rsidR="00262B95" w:rsidRPr="002A2450" w:rsidRDefault="00262B95" w:rsidP="00B35F13">
      <w:pPr>
        <w:spacing w:before="240" w:line="360" w:lineRule="auto"/>
        <w:ind w:left="567" w:right="567"/>
        <w:jc w:val="both"/>
        <w:rPr>
          <w:rFonts w:ascii="ITC Avant Garde" w:hAnsi="ITC Avant Garde" w:cs="Arial"/>
          <w:i/>
        </w:rPr>
      </w:pPr>
      <w:r w:rsidRPr="002A2450">
        <w:rPr>
          <w:rFonts w:ascii="ITC Avant Garde" w:hAnsi="ITC Avant Garde" w:cs="Arial"/>
          <w:b/>
          <w:i/>
        </w:rPr>
        <w:t>130.</w:t>
      </w:r>
      <w:r w:rsidRPr="002A2450">
        <w:rPr>
          <w:rFonts w:ascii="ITC Avant Garde" w:hAnsi="ITC Avant Garde" w:cs="Arial"/>
          <w:i/>
        </w:rPr>
        <w:t xml:space="preserve"> Lo anterior, incluso, de conformidad con el artículo 90, último párrafo, de la Ley del Impuesto sobre la Renta</w:t>
      </w:r>
      <w:r w:rsidRPr="002A2450">
        <w:rPr>
          <w:rFonts w:ascii="ITC Avant Garde" w:hAnsi="ITC Avant Garde" w:cs="Arial"/>
          <w:i/>
          <w:vertAlign w:val="superscript"/>
        </w:rPr>
        <w:t>52</w:t>
      </w:r>
      <w:r w:rsidRPr="002A2450">
        <w:rPr>
          <w:rFonts w:ascii="ITC Avant Garde" w:hAnsi="ITC Avant Garde" w:cs="Arial"/>
          <w:i/>
        </w:rPr>
        <w:t xml:space="preserve">, que considera que </w:t>
      </w:r>
      <w:r w:rsidRPr="002A2450">
        <w:rPr>
          <w:rFonts w:ascii="ITC Avant Garde" w:hAnsi="ITC Avant Garde" w:cs="Arial"/>
          <w:b/>
          <w:i/>
          <w:u w:val="single"/>
        </w:rPr>
        <w:t xml:space="preserve">dos </w:t>
      </w:r>
      <w:r w:rsidRPr="002A2450">
        <w:rPr>
          <w:rFonts w:ascii="ITC Avant Garde" w:hAnsi="ITC Avant Garde" w:cs="Arial"/>
          <w:b/>
          <w:i/>
          <w:u w:val="single"/>
        </w:rPr>
        <w:lastRenderedPageBreak/>
        <w:t>o más personas son partes relacionadas, cuando una participa de manera directa o indirecta en la administración, control o capital de la otra, o cuando una persona o grupo de personas participa directa o indirectamente en la administración, control o capital de dichas personas</w:t>
      </w:r>
      <w:r w:rsidRPr="002A2450">
        <w:rPr>
          <w:rFonts w:ascii="ITC Avant Garde" w:hAnsi="ITC Avant Garde" w:cs="Arial"/>
          <w:i/>
        </w:rPr>
        <w:t>. [Principio de Razonabilidad, la decisión discrecional debe sustentarse en hechos ciertos, acreditados en el expediente o conocidos por ser públicos y notorios, así como observar las reglas formales conducentes: colmado].”</w:t>
      </w:r>
    </w:p>
    <w:p w14:paraId="40493A6D" w14:textId="77777777" w:rsidR="00B35F13" w:rsidRDefault="00262B95" w:rsidP="00B35F13">
      <w:pPr>
        <w:spacing w:before="240" w:line="360" w:lineRule="auto"/>
        <w:ind w:left="567" w:right="567"/>
        <w:jc w:val="both"/>
        <w:rPr>
          <w:rFonts w:ascii="ITC Avant Garde" w:hAnsi="ITC Avant Garde" w:cs="Arial"/>
        </w:rPr>
      </w:pPr>
      <w:r w:rsidRPr="002A2450">
        <w:rPr>
          <w:rFonts w:ascii="ITC Avant Garde" w:hAnsi="ITC Avant Garde" w:cs="Arial"/>
        </w:rPr>
        <w:t>(Énfasis añadido)</w:t>
      </w:r>
    </w:p>
    <w:p w14:paraId="1935F509" w14:textId="77777777" w:rsidR="00B35F13" w:rsidRDefault="00262B95" w:rsidP="00B35F13">
      <w:pPr>
        <w:spacing w:before="240" w:line="360" w:lineRule="auto"/>
        <w:jc w:val="both"/>
        <w:rPr>
          <w:rFonts w:ascii="ITC Avant Garde" w:hAnsi="ITC Avant Garde" w:cs="Arial"/>
          <w:color w:val="231F20"/>
        </w:rPr>
      </w:pPr>
      <w:r w:rsidRPr="002A2450">
        <w:rPr>
          <w:rFonts w:ascii="ITC Avant Garde" w:hAnsi="ITC Avant Garde" w:cs="Arial"/>
          <w:color w:val="231F20"/>
        </w:rPr>
        <w:t>De lo citado, se puede considerar que dos o más personas son partes relacionadas, cuando una participa de manera directa o indirecta en la administración de la otra o cuando una persona o grupo de personas participa directa o indirectamente en la administración de dichas personas.</w:t>
      </w:r>
    </w:p>
    <w:p w14:paraId="719AA66F"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 xml:space="preserve">Como resultado de lo antes expuesto, </w:t>
      </w:r>
      <w:r w:rsidR="00511CC0" w:rsidRPr="002A2450">
        <w:rPr>
          <w:rFonts w:ascii="ITC Avant Garde" w:hAnsi="ITC Avant Garde" w:cs="Arial"/>
          <w:color w:val="231F20"/>
        </w:rPr>
        <w:t xml:space="preserve">se pudo </w:t>
      </w:r>
      <w:r w:rsidRPr="002A2450">
        <w:rPr>
          <w:rFonts w:ascii="ITC Avant Garde" w:hAnsi="ITC Avant Garde" w:cs="Arial"/>
          <w:color w:val="231F20"/>
        </w:rPr>
        <w:t xml:space="preserve">establecer que la expresión </w:t>
      </w:r>
      <w:r w:rsidRPr="002A2450">
        <w:rPr>
          <w:rFonts w:ascii="ITC Avant Garde" w:hAnsi="ITC Avant Garde" w:cs="Arial"/>
          <w:i/>
          <w:color w:val="231F20"/>
        </w:rPr>
        <w:t>“directa o indirectamente”</w:t>
      </w:r>
      <w:r w:rsidRPr="002A2450">
        <w:rPr>
          <w:rFonts w:ascii="ITC Avant Garde" w:hAnsi="ITC Avant Garde" w:cs="Arial"/>
          <w:color w:val="231F20"/>
        </w:rPr>
        <w:t xml:space="preserve"> entraña la obligación asumida por la concesionaria y cuya infracción se puede actualizar a través de otras empresas </w:t>
      </w:r>
      <w:r w:rsidR="00CB1995" w:rsidRPr="002A2450">
        <w:rPr>
          <w:rFonts w:ascii="ITC Avant Garde" w:hAnsi="ITC Avant Garde" w:cs="Arial"/>
          <w:color w:val="231F20"/>
        </w:rPr>
        <w:t xml:space="preserve">en dónde los </w:t>
      </w:r>
      <w:r w:rsidRPr="002A2450">
        <w:rPr>
          <w:rFonts w:ascii="ITC Avant Garde" w:hAnsi="ITC Avant Garde" w:cs="Arial"/>
          <w:color w:val="231F20"/>
        </w:rPr>
        <w:t>vínculos con la misma le permitan establecer una mancomunidad de intención o interés, o bien para el caso</w:t>
      </w:r>
      <w:r w:rsidR="00CB1995" w:rsidRPr="002A2450">
        <w:rPr>
          <w:rFonts w:ascii="ITC Avant Garde" w:hAnsi="ITC Avant Garde" w:cs="Arial"/>
          <w:color w:val="231F20"/>
        </w:rPr>
        <w:t xml:space="preserve"> que nos ocupa</w:t>
      </w:r>
      <w:r w:rsidRPr="002A2450">
        <w:rPr>
          <w:rFonts w:ascii="ITC Avant Garde" w:hAnsi="ITC Avant Garde" w:cs="Arial"/>
          <w:color w:val="231F20"/>
        </w:rPr>
        <w:t xml:space="preserve">, que </w:t>
      </w:r>
      <w:r w:rsidR="00511CC0" w:rsidRPr="002A2450">
        <w:rPr>
          <w:rFonts w:ascii="ITC Avant Garde" w:hAnsi="ITC Avant Garde" w:cs="Arial"/>
          <w:b/>
          <w:color w:val="231F20"/>
        </w:rPr>
        <w:t>“</w:t>
      </w:r>
      <w:r w:rsidRPr="002A2450">
        <w:rPr>
          <w:rFonts w:ascii="ITC Avant Garde" w:hAnsi="ITC Avant Garde" w:cs="Arial"/>
          <w:b/>
          <w:color w:val="231F20"/>
        </w:rPr>
        <w:t>TELMEX</w:t>
      </w:r>
      <w:r w:rsidR="00511CC0" w:rsidRPr="002A2450">
        <w:rPr>
          <w:rFonts w:ascii="ITC Avant Garde" w:hAnsi="ITC Avant Garde" w:cs="Arial"/>
          <w:b/>
          <w:color w:val="231F20"/>
        </w:rPr>
        <w:t>”</w:t>
      </w:r>
      <w:r w:rsidRPr="002A2450">
        <w:rPr>
          <w:rFonts w:ascii="ITC Avant Garde" w:hAnsi="ITC Avant Garde" w:cs="Arial"/>
          <w:color w:val="231F20"/>
        </w:rPr>
        <w:t xml:space="preserve"> a través de otras participe ya sea en la administración </w:t>
      </w:r>
      <w:r w:rsidR="00E6535E" w:rsidRPr="002A2450">
        <w:rPr>
          <w:rFonts w:ascii="ITC Avant Garde" w:hAnsi="ITC Avant Garde" w:cs="Arial"/>
          <w:color w:val="231F20"/>
        </w:rPr>
        <w:t>de otra empresa</w:t>
      </w:r>
      <w:r w:rsidR="00CB1995" w:rsidRPr="002A2450">
        <w:rPr>
          <w:rFonts w:ascii="ITC Avant Garde" w:hAnsi="ITC Avant Garde" w:cs="Arial"/>
          <w:color w:val="231F20"/>
        </w:rPr>
        <w:t xml:space="preserve"> distinta aquellas respecto de las cuales guarda un vínculo patrimonial o jurídico</w:t>
      </w:r>
      <w:r w:rsidR="00E6535E" w:rsidRPr="002A2450">
        <w:rPr>
          <w:rFonts w:ascii="ITC Avant Garde" w:hAnsi="ITC Avant Garde" w:cs="Arial"/>
          <w:color w:val="231F20"/>
        </w:rPr>
        <w:t xml:space="preserve">, caso en el que se considerará que </w:t>
      </w:r>
      <w:r w:rsidR="00511CC0" w:rsidRPr="002A2450">
        <w:rPr>
          <w:rFonts w:ascii="ITC Avant Garde" w:hAnsi="ITC Avant Garde" w:cs="Arial"/>
          <w:color w:val="231F20"/>
        </w:rPr>
        <w:t xml:space="preserve">presumiblemente </w:t>
      </w:r>
      <w:r w:rsidR="00E6535E" w:rsidRPr="002A2450">
        <w:rPr>
          <w:rFonts w:ascii="ITC Avant Garde" w:hAnsi="ITC Avant Garde" w:cs="Arial"/>
          <w:color w:val="231F20"/>
        </w:rPr>
        <w:t xml:space="preserve">se encuentra </w:t>
      </w:r>
      <w:r w:rsidR="00511CC0" w:rsidRPr="002A2450">
        <w:rPr>
          <w:rFonts w:ascii="ITC Avant Garde" w:hAnsi="ITC Avant Garde" w:cs="Arial"/>
          <w:color w:val="231F20"/>
        </w:rPr>
        <w:t xml:space="preserve">llevando </w:t>
      </w:r>
      <w:r w:rsidRPr="002A2450">
        <w:rPr>
          <w:rFonts w:ascii="ITC Avant Garde" w:hAnsi="ITC Avant Garde" w:cs="Arial"/>
          <w:color w:val="231F20"/>
        </w:rPr>
        <w:t xml:space="preserve">a cabo </w:t>
      </w:r>
      <w:r w:rsidR="00511CC0" w:rsidRPr="002A2450">
        <w:rPr>
          <w:rFonts w:ascii="ITC Avant Garde" w:hAnsi="ITC Avant Garde" w:cs="Arial"/>
          <w:color w:val="231F20"/>
        </w:rPr>
        <w:t xml:space="preserve">una </w:t>
      </w:r>
      <w:r w:rsidRPr="002A2450">
        <w:rPr>
          <w:rFonts w:ascii="ITC Avant Garde" w:hAnsi="ITC Avant Garde" w:cs="Arial"/>
          <w:color w:val="231F20"/>
        </w:rPr>
        <w:t>conducta expresamente prohibida.</w:t>
      </w:r>
      <w:r w:rsidR="00117F0A" w:rsidRPr="002A2450">
        <w:rPr>
          <w:rFonts w:ascii="ITC Avant Garde" w:hAnsi="ITC Avant Garde" w:cs="Arial"/>
          <w:color w:val="231F20"/>
        </w:rPr>
        <w:t xml:space="preserve"> </w:t>
      </w:r>
      <w:r w:rsidR="00CB1995" w:rsidRPr="002A2450">
        <w:rPr>
          <w:rFonts w:ascii="ITC Avant Garde" w:hAnsi="ITC Avant Garde" w:cs="Arial"/>
          <w:color w:val="231F20"/>
        </w:rPr>
        <w:t xml:space="preserve">En el presente caso, </w:t>
      </w:r>
      <w:r w:rsidR="00B53BBE" w:rsidRPr="002A2450">
        <w:rPr>
          <w:rFonts w:ascii="ITC Avant Garde" w:hAnsi="ITC Avant Garde" w:cs="Arial"/>
          <w:color w:val="231F20"/>
        </w:rPr>
        <w:t xml:space="preserve">existe un vínculo tanto patrimonial como jurídico entre </w:t>
      </w:r>
      <w:r w:rsidR="00CB1995" w:rsidRPr="002A2450">
        <w:rPr>
          <w:rFonts w:ascii="ITC Avant Garde" w:hAnsi="ITC Avant Garde" w:cs="Arial"/>
          <w:b/>
          <w:color w:val="231F20"/>
        </w:rPr>
        <w:t>“TENINVER”</w:t>
      </w:r>
      <w:r w:rsidR="00CB1995" w:rsidRPr="002A2450">
        <w:rPr>
          <w:rFonts w:ascii="ITC Avant Garde" w:hAnsi="ITC Avant Garde" w:cs="Arial"/>
          <w:color w:val="231F20"/>
        </w:rPr>
        <w:t xml:space="preserve"> </w:t>
      </w:r>
      <w:r w:rsidR="00B53BBE" w:rsidRPr="002A2450">
        <w:rPr>
          <w:rFonts w:ascii="ITC Avant Garde" w:hAnsi="ITC Avant Garde" w:cs="Arial"/>
          <w:color w:val="231F20"/>
        </w:rPr>
        <w:t xml:space="preserve">como </w:t>
      </w:r>
      <w:r w:rsidR="00CB1995" w:rsidRPr="002A2450">
        <w:rPr>
          <w:rFonts w:ascii="ITC Avant Garde" w:hAnsi="ITC Avant Garde" w:cs="Arial"/>
          <w:color w:val="231F20"/>
        </w:rPr>
        <w:t xml:space="preserve">subsidiaria de la empresa Integración de Servicios TMX, S.A. de C.V., quien a su vez es subsidiaria de </w:t>
      </w:r>
      <w:r w:rsidR="00CB1995" w:rsidRPr="002A2450">
        <w:rPr>
          <w:rFonts w:ascii="ITC Avant Garde" w:hAnsi="ITC Avant Garde" w:cs="Arial"/>
          <w:b/>
          <w:color w:val="231F20"/>
        </w:rPr>
        <w:t>“TELMEX”</w:t>
      </w:r>
      <w:r w:rsidR="00CB1995" w:rsidRPr="002A2450">
        <w:rPr>
          <w:rFonts w:ascii="ITC Avant Garde" w:hAnsi="ITC Avant Garde" w:cs="Arial"/>
          <w:color w:val="231F20"/>
        </w:rPr>
        <w:t>, en ese sentido:</w:t>
      </w:r>
    </w:p>
    <w:p w14:paraId="13CE7E16" w14:textId="77777777" w:rsidR="00B35F13" w:rsidRDefault="00CB1995" w:rsidP="00B35F13">
      <w:pPr>
        <w:spacing w:before="240" w:line="360" w:lineRule="auto"/>
        <w:ind w:left="1134" w:right="618"/>
        <w:jc w:val="both"/>
        <w:rPr>
          <w:rFonts w:ascii="ITC Avant Garde" w:hAnsi="ITC Avant Garde" w:cs="Arial"/>
          <w:i/>
        </w:rPr>
      </w:pPr>
      <w:r w:rsidRPr="002A2450">
        <w:rPr>
          <w:rFonts w:ascii="ITC Avant Garde" w:hAnsi="ITC Avant Garde" w:cs="Arial"/>
          <w:b/>
          <w:i/>
        </w:rPr>
        <w:t>“TELMEX”</w:t>
      </w:r>
      <w:r w:rsidRPr="002A2450">
        <w:rPr>
          <w:rFonts w:ascii="ITC Avant Garde" w:hAnsi="ITC Avant Garde" w:cs="Arial"/>
          <w:i/>
        </w:rPr>
        <w:t xml:space="preserve"> no podrá explotar, directa o indirectamente,</w:t>
      </w:r>
      <w:r w:rsidRPr="002A2450">
        <w:rPr>
          <w:rFonts w:ascii="ITC Avant Garde" w:hAnsi="ITC Avant Garde" w:cs="Arial"/>
          <w:b/>
          <w:i/>
        </w:rPr>
        <w:t xml:space="preserve"> ninguna concesión de servicios de televisión al público en el país.</w:t>
      </w:r>
      <w:r w:rsidRPr="002A2450">
        <w:rPr>
          <w:rFonts w:ascii="ITC Avant Garde" w:hAnsi="ITC Avant Garde" w:cs="Arial"/>
          <w:i/>
        </w:rPr>
        <w:t>”</w:t>
      </w:r>
    </w:p>
    <w:p w14:paraId="5356AE19"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lastRenderedPageBreak/>
        <w:t xml:space="preserve">Por último, por cuanto se refiere a la expresión </w:t>
      </w:r>
      <w:r w:rsidRPr="002A2450">
        <w:rPr>
          <w:rFonts w:ascii="ITC Avant Garde" w:hAnsi="ITC Avant Garde" w:cs="Arial"/>
          <w:b/>
          <w:i/>
          <w:color w:val="231F20"/>
        </w:rPr>
        <w:t>“ninguna concesión de servicios de televisión al público en el país</w:t>
      </w:r>
      <w:r w:rsidRPr="002A2450">
        <w:rPr>
          <w:rFonts w:ascii="ITC Avant Garde" w:hAnsi="ITC Avant Garde" w:cs="Arial"/>
          <w:i/>
          <w:color w:val="231F20"/>
        </w:rPr>
        <w:t>”</w:t>
      </w:r>
      <w:r w:rsidRPr="002A2450">
        <w:rPr>
          <w:rFonts w:ascii="ITC Avant Garde" w:hAnsi="ITC Avant Garde" w:cs="Arial"/>
          <w:color w:val="231F20"/>
        </w:rPr>
        <w:t xml:space="preserve">, cabe señalar que al momento de modificarse la concesión a </w:t>
      </w:r>
      <w:r w:rsidR="00204993" w:rsidRPr="002A2450">
        <w:rPr>
          <w:rFonts w:ascii="ITC Avant Garde" w:hAnsi="ITC Avant Garde"/>
          <w:b/>
        </w:rPr>
        <w:t>“TELMEX”</w:t>
      </w:r>
      <w:r w:rsidRPr="002A2450">
        <w:rPr>
          <w:rFonts w:ascii="ITC Avant Garde" w:hAnsi="ITC Avant Garde" w:cs="Arial"/>
          <w:color w:val="231F20"/>
        </w:rPr>
        <w:t xml:space="preserve"> (diez de agosto de mil novecientos noventa), tanto el servicio de televisión radiodifundida como el servicio de televisión restringida estaban sujetos al régimen de concesión.</w:t>
      </w:r>
    </w:p>
    <w:p w14:paraId="2987E02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En este sentido, la condición </w:t>
      </w:r>
      <w:r w:rsidRPr="002A2450">
        <w:rPr>
          <w:rFonts w:ascii="ITC Avant Garde" w:hAnsi="ITC Avant Garde"/>
          <w:b/>
        </w:rPr>
        <w:t>1-9</w:t>
      </w:r>
      <w:r w:rsidRPr="002A2450">
        <w:rPr>
          <w:rFonts w:ascii="ITC Avant Garde" w:hAnsi="ITC Avant Garde"/>
        </w:rPr>
        <w:t xml:space="preserve"> Distribución de Señales de Televisión del </w:t>
      </w:r>
      <w:r w:rsidR="00F2341E" w:rsidRPr="002A2450">
        <w:rPr>
          <w:rFonts w:ascii="ITC Avant Garde" w:hAnsi="ITC Avant Garde"/>
          <w:b/>
        </w:rPr>
        <w:t>“TÍTULO DE CONCESIÓN”</w:t>
      </w:r>
      <w:r w:rsidRPr="002A2450">
        <w:rPr>
          <w:rFonts w:ascii="ITC Avant Garde" w:hAnsi="ITC Avant Garde"/>
          <w:b/>
        </w:rPr>
        <w:t xml:space="preserve"> </w:t>
      </w:r>
      <w:r w:rsidRPr="002A2450">
        <w:rPr>
          <w:rFonts w:ascii="ITC Avant Garde" w:hAnsi="ITC Avant Garde"/>
        </w:rPr>
        <w:t xml:space="preserve">otorgado a </w:t>
      </w:r>
      <w:r w:rsidR="00511CC0" w:rsidRPr="002A2450">
        <w:rPr>
          <w:rFonts w:ascii="ITC Avant Garde" w:hAnsi="ITC Avant Garde"/>
          <w:b/>
        </w:rPr>
        <w:t>“</w:t>
      </w:r>
      <w:r w:rsidRPr="002A2450">
        <w:rPr>
          <w:rFonts w:ascii="ITC Avant Garde" w:hAnsi="ITC Avant Garde"/>
          <w:b/>
        </w:rPr>
        <w:t>TELMEX</w:t>
      </w:r>
      <w:r w:rsidR="00511CC0" w:rsidRPr="002A2450">
        <w:rPr>
          <w:rFonts w:ascii="ITC Avant Garde" w:hAnsi="ITC Avant Garde"/>
          <w:b/>
        </w:rPr>
        <w:t>”</w:t>
      </w:r>
      <w:r w:rsidRPr="002A2450">
        <w:rPr>
          <w:rFonts w:ascii="ITC Avant Garde" w:hAnsi="ITC Avant Garde"/>
        </w:rPr>
        <w:t xml:space="preserve"> estableció la prohibición </w:t>
      </w:r>
      <w:r w:rsidR="00E6535E" w:rsidRPr="002A2450">
        <w:rPr>
          <w:rFonts w:ascii="ITC Avant Garde" w:hAnsi="ITC Avant Garde"/>
        </w:rPr>
        <w:t xml:space="preserve">expresa para </w:t>
      </w:r>
      <w:r w:rsidRPr="002A2450">
        <w:rPr>
          <w:rFonts w:ascii="ITC Avant Garde" w:hAnsi="ITC Avant Garde"/>
        </w:rPr>
        <w:t xml:space="preserve">explotar directa o indirectamente </w:t>
      </w:r>
      <w:r w:rsidR="00E6535E" w:rsidRPr="002A2450">
        <w:rPr>
          <w:rFonts w:ascii="ITC Avant Garde" w:hAnsi="ITC Avant Garde"/>
        </w:rPr>
        <w:t xml:space="preserve">alguna concesión que habilitara a su titular a prestar </w:t>
      </w:r>
      <w:r w:rsidRPr="002A2450">
        <w:rPr>
          <w:rFonts w:ascii="ITC Avant Garde" w:hAnsi="ITC Avant Garde"/>
        </w:rPr>
        <w:t>el servicio de televisión al público en el país</w:t>
      </w:r>
      <w:r w:rsidR="006950B5" w:rsidRPr="002A2450">
        <w:rPr>
          <w:rFonts w:ascii="ITC Avant Garde" w:hAnsi="ITC Avant Garde"/>
        </w:rPr>
        <w:t>;</w:t>
      </w:r>
      <w:r w:rsidRPr="002A2450">
        <w:rPr>
          <w:rFonts w:ascii="ITC Avant Garde" w:hAnsi="ITC Avant Garde"/>
        </w:rPr>
        <w:t xml:space="preserve"> </w:t>
      </w:r>
      <w:r w:rsidR="006950B5" w:rsidRPr="002A2450">
        <w:rPr>
          <w:rFonts w:ascii="ITC Avant Garde" w:hAnsi="ITC Avant Garde"/>
        </w:rPr>
        <w:t xml:space="preserve">ello fue así </w:t>
      </w:r>
      <w:r w:rsidRPr="002A2450">
        <w:rPr>
          <w:rFonts w:ascii="ITC Avant Garde" w:hAnsi="ITC Avant Garde"/>
        </w:rPr>
        <w:t>atendiendo a la naturaleza misma del servicio que tenía concesionado dicha empresa en su carácter de ente público.</w:t>
      </w:r>
    </w:p>
    <w:p w14:paraId="4F1CE09B" w14:textId="77777777" w:rsidR="00B35F13" w:rsidRDefault="006950B5" w:rsidP="00B35F13">
      <w:pPr>
        <w:spacing w:before="240" w:line="360" w:lineRule="auto"/>
        <w:jc w:val="both"/>
        <w:rPr>
          <w:rFonts w:ascii="ITC Avant Garde" w:hAnsi="ITC Avant Garde"/>
        </w:rPr>
      </w:pPr>
      <w:r w:rsidRPr="002A2450">
        <w:rPr>
          <w:rFonts w:ascii="ITC Avant Garde" w:hAnsi="ITC Avant Garde"/>
        </w:rPr>
        <w:t>En tal sentido</w:t>
      </w:r>
      <w:r w:rsidR="00262B95" w:rsidRPr="002A2450">
        <w:rPr>
          <w:rFonts w:ascii="ITC Avant Garde" w:hAnsi="ITC Avant Garde"/>
        </w:rPr>
        <w:t>, del análisis de la referida condición se concluy</w:t>
      </w:r>
      <w:r w:rsidR="00204993" w:rsidRPr="002A2450">
        <w:rPr>
          <w:rFonts w:ascii="ITC Avant Garde" w:hAnsi="ITC Avant Garde"/>
        </w:rPr>
        <w:t>ó</w:t>
      </w:r>
      <w:r w:rsidR="00262B95" w:rsidRPr="002A2450">
        <w:rPr>
          <w:rFonts w:ascii="ITC Avant Garde" w:hAnsi="ITC Avant Garde"/>
        </w:rPr>
        <w:t xml:space="preserve"> que </w:t>
      </w:r>
      <w:r w:rsidR="00511CC0" w:rsidRPr="002A2450">
        <w:rPr>
          <w:rFonts w:ascii="ITC Avant Garde" w:hAnsi="ITC Avant Garde"/>
          <w:b/>
        </w:rPr>
        <w:t>“</w:t>
      </w:r>
      <w:r w:rsidR="00262B95" w:rsidRPr="002A2450">
        <w:rPr>
          <w:rFonts w:ascii="ITC Avant Garde" w:hAnsi="ITC Avant Garde"/>
          <w:b/>
        </w:rPr>
        <w:t>TELMEX</w:t>
      </w:r>
      <w:r w:rsidR="00511CC0" w:rsidRPr="002A2450">
        <w:rPr>
          <w:rFonts w:ascii="ITC Avant Garde" w:hAnsi="ITC Avant Garde"/>
          <w:b/>
        </w:rPr>
        <w:t>”</w:t>
      </w:r>
      <w:r w:rsidR="00262B95" w:rsidRPr="002A2450">
        <w:rPr>
          <w:rFonts w:ascii="ITC Avant Garde" w:hAnsi="ITC Avant Garde"/>
        </w:rPr>
        <w:t xml:space="preserve"> no puede, por sí o a través de interpósita persona, explotar el servicio de televisión al público en el país (radiodifundida o restringida) o bien participar de manera directa o indirecta en la administración de un concesionario que </w:t>
      </w:r>
      <w:r w:rsidRPr="002A2450">
        <w:rPr>
          <w:rFonts w:ascii="ITC Avant Garde" w:hAnsi="ITC Avant Garde"/>
        </w:rPr>
        <w:t xml:space="preserve">tenga autorizada la prestación del </w:t>
      </w:r>
      <w:r w:rsidR="00262B95" w:rsidRPr="002A2450">
        <w:rPr>
          <w:rFonts w:ascii="ITC Avant Garde" w:hAnsi="ITC Avant Garde"/>
        </w:rPr>
        <w:t xml:space="preserve">servicio de televisión </w:t>
      </w:r>
      <w:r w:rsidR="00D413BC" w:rsidRPr="002A2450">
        <w:rPr>
          <w:rFonts w:ascii="ITC Avant Garde" w:hAnsi="ITC Avant Garde"/>
        </w:rPr>
        <w:t xml:space="preserve">radiodifundida </w:t>
      </w:r>
      <w:r w:rsidR="00262B95" w:rsidRPr="002A2450">
        <w:rPr>
          <w:rFonts w:ascii="ITC Avant Garde" w:hAnsi="ITC Avant Garde"/>
        </w:rPr>
        <w:t>o restringida.</w:t>
      </w:r>
    </w:p>
    <w:p w14:paraId="62511A8B" w14:textId="77777777" w:rsidR="00B35F13" w:rsidRDefault="00511CC0" w:rsidP="00B35F13">
      <w:pPr>
        <w:spacing w:before="240" w:line="360" w:lineRule="auto"/>
        <w:jc w:val="both"/>
        <w:rPr>
          <w:rFonts w:ascii="ITC Avant Garde" w:hAnsi="ITC Avant Garde"/>
        </w:rPr>
      </w:pPr>
      <w:r w:rsidRPr="002A2450">
        <w:rPr>
          <w:rFonts w:ascii="ITC Avant Garde" w:hAnsi="ITC Avant Garde"/>
        </w:rPr>
        <w:t xml:space="preserve">Con base en lo anterior, el acuerdo de inicio de procedimiento administrativo de imposición de sanción </w:t>
      </w:r>
      <w:r w:rsidR="006950B5" w:rsidRPr="002A2450">
        <w:rPr>
          <w:rFonts w:ascii="ITC Avant Garde" w:hAnsi="ITC Avant Garde"/>
        </w:rPr>
        <w:t xml:space="preserve">se sustentó </w:t>
      </w:r>
      <w:r w:rsidRPr="002A2450">
        <w:rPr>
          <w:rFonts w:ascii="ITC Avant Garde" w:hAnsi="ITC Avant Garde"/>
        </w:rPr>
        <w:t xml:space="preserve">con base en el análisis de los contratos remitidos a esta autoridad, </w:t>
      </w:r>
      <w:r w:rsidR="006950B5" w:rsidRPr="002A2450">
        <w:rPr>
          <w:rFonts w:ascii="ITC Avant Garde" w:hAnsi="ITC Avant Garde"/>
        </w:rPr>
        <w:t>de los cuales se desprend</w:t>
      </w:r>
      <w:r w:rsidR="00721F0D">
        <w:rPr>
          <w:rFonts w:ascii="ITC Avant Garde" w:hAnsi="ITC Avant Garde"/>
        </w:rPr>
        <w:t>ió</w:t>
      </w:r>
      <w:r w:rsidR="006950B5" w:rsidRPr="002A2450">
        <w:rPr>
          <w:rFonts w:ascii="ITC Avant Garde" w:hAnsi="ITC Avant Garde"/>
        </w:rPr>
        <w:t xml:space="preserve"> </w:t>
      </w:r>
      <w:r w:rsidRPr="002A2450">
        <w:rPr>
          <w:rFonts w:ascii="ITC Avant Garde" w:hAnsi="ITC Avant Garde"/>
        </w:rPr>
        <w:t>lo siguiente:</w:t>
      </w:r>
    </w:p>
    <w:p w14:paraId="6F73849E" w14:textId="65FF9701" w:rsidR="00B35F13" w:rsidRPr="00B35F13" w:rsidRDefault="00262B95" w:rsidP="007E623E">
      <w:pPr>
        <w:pStyle w:val="Ttulo4"/>
        <w:numPr>
          <w:ilvl w:val="0"/>
          <w:numId w:val="67"/>
        </w:numPr>
        <w:rPr>
          <w:b/>
        </w:rPr>
      </w:pPr>
      <w:r w:rsidRPr="00B35F13">
        <w:rPr>
          <w:b/>
        </w:rPr>
        <w:t>ANÁLISIS DE LAS RELACIONES SOCIETARIAS</w:t>
      </w:r>
    </w:p>
    <w:p w14:paraId="2C2686E8" w14:textId="77777777" w:rsidR="00B35F13" w:rsidRDefault="00511CC0" w:rsidP="00B35F13">
      <w:pPr>
        <w:spacing w:before="240" w:line="360" w:lineRule="auto"/>
        <w:contextualSpacing/>
        <w:jc w:val="both"/>
        <w:rPr>
          <w:rFonts w:ascii="ITC Avant Garde" w:hAnsi="ITC Avant Garde"/>
        </w:rPr>
      </w:pPr>
      <w:r w:rsidRPr="002A2450">
        <w:rPr>
          <w:rFonts w:ascii="ITC Avant Garde" w:hAnsi="ITC Avant Garde"/>
        </w:rPr>
        <w:t>A</w:t>
      </w:r>
      <w:r w:rsidR="00262B95" w:rsidRPr="002A2450">
        <w:rPr>
          <w:rFonts w:ascii="ITC Avant Garde" w:hAnsi="ITC Avant Garde"/>
        </w:rPr>
        <w:t xml:space="preserve"> la par del desarrollo de las telecomunicaciones, la organización societaria también ha ido evolucionando para crear nuevas formas de participación en la vida económica a través de la participación directa o indirecta de empresas o grupo de empresas para la prestación de</w:t>
      </w:r>
      <w:r w:rsidR="006950B5" w:rsidRPr="002A2450">
        <w:rPr>
          <w:rFonts w:ascii="ITC Avant Garde" w:hAnsi="ITC Avant Garde"/>
        </w:rPr>
        <w:t xml:space="preserve"> </w:t>
      </w:r>
      <w:r w:rsidR="00262B95" w:rsidRPr="002A2450">
        <w:rPr>
          <w:rFonts w:ascii="ITC Avant Garde" w:hAnsi="ITC Avant Garde"/>
        </w:rPr>
        <w:t>l</w:t>
      </w:r>
      <w:r w:rsidR="006950B5" w:rsidRPr="002A2450">
        <w:rPr>
          <w:rFonts w:ascii="ITC Avant Garde" w:hAnsi="ITC Avant Garde"/>
        </w:rPr>
        <w:t>os</w:t>
      </w:r>
      <w:r w:rsidR="00262B95" w:rsidRPr="002A2450">
        <w:rPr>
          <w:rFonts w:ascii="ITC Avant Garde" w:hAnsi="ITC Avant Garde"/>
        </w:rPr>
        <w:t xml:space="preserve"> servicio</w:t>
      </w:r>
      <w:r w:rsidR="006950B5" w:rsidRPr="002A2450">
        <w:rPr>
          <w:rFonts w:ascii="ITC Avant Garde" w:hAnsi="ITC Avant Garde"/>
        </w:rPr>
        <w:t>s</w:t>
      </w:r>
      <w:r w:rsidR="00262B95" w:rsidRPr="002A2450">
        <w:rPr>
          <w:rFonts w:ascii="ITC Avant Garde" w:hAnsi="ITC Avant Garde"/>
        </w:rPr>
        <w:t xml:space="preserve"> de telecomunicaciones.</w:t>
      </w:r>
    </w:p>
    <w:p w14:paraId="1DAC64BA"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En ese sentido, la regulación tradicional de las sociedades mercantiles o empresas previstas en la </w:t>
      </w:r>
      <w:r w:rsidR="00F2341E" w:rsidRPr="002A2450">
        <w:rPr>
          <w:rFonts w:ascii="ITC Avant Garde" w:hAnsi="ITC Avant Garde"/>
          <w:b/>
        </w:rPr>
        <w:t>“LGSM”</w:t>
      </w:r>
      <w:r w:rsidRPr="002A2450">
        <w:rPr>
          <w:rFonts w:ascii="ITC Avant Garde" w:hAnsi="ITC Avant Garde"/>
        </w:rPr>
        <w:t xml:space="preserve">, debe ser superada para alcanzar y conocer los fines últimos de los grupos sociales o de empresas que de manera coordinada realizan esfuerzos </w:t>
      </w:r>
      <w:r w:rsidRPr="002A2450">
        <w:rPr>
          <w:rFonts w:ascii="ITC Avant Garde" w:hAnsi="ITC Avant Garde"/>
        </w:rPr>
        <w:lastRenderedPageBreak/>
        <w:t xml:space="preserve">para alcanzar metas comunes que a la par de la evolución de las tecnologías y los servicios de las telecomunicaciones, resulta más complejo </w:t>
      </w:r>
      <w:r w:rsidR="00511CC0" w:rsidRPr="002A2450">
        <w:rPr>
          <w:rFonts w:ascii="ITC Avant Garde" w:hAnsi="ITC Avant Garde"/>
        </w:rPr>
        <w:t xml:space="preserve">realizar un </w:t>
      </w:r>
      <w:r w:rsidRPr="002A2450">
        <w:rPr>
          <w:rFonts w:ascii="ITC Avant Garde" w:hAnsi="ITC Avant Garde"/>
        </w:rPr>
        <w:t xml:space="preserve">análisis de las participaciones de las empresas en el sector. </w:t>
      </w:r>
    </w:p>
    <w:p w14:paraId="2EC95224"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En ese sentido, hablar de </w:t>
      </w:r>
      <w:r w:rsidR="006950B5" w:rsidRPr="002A2450">
        <w:rPr>
          <w:rFonts w:ascii="ITC Avant Garde" w:hAnsi="ITC Avant Garde"/>
        </w:rPr>
        <w:t xml:space="preserve">grupos de sociedades </w:t>
      </w:r>
      <w:r w:rsidRPr="002A2450">
        <w:rPr>
          <w:rFonts w:ascii="ITC Avant Garde" w:hAnsi="ITC Avant Garde"/>
        </w:rPr>
        <w:t xml:space="preserve">(o grupo de empresas) puede tener dos sentidos uno amplio y otro estricto. </w:t>
      </w:r>
      <w:r w:rsidR="006950B5" w:rsidRPr="002A2450">
        <w:rPr>
          <w:rFonts w:ascii="ITC Avant Garde" w:hAnsi="ITC Avant Garde"/>
        </w:rPr>
        <w:t xml:space="preserve">Para efectos de nuestro análisis tomaremos sólo el primero, el cual </w:t>
      </w:r>
      <w:r w:rsidRPr="002A2450">
        <w:rPr>
          <w:rFonts w:ascii="ITC Avant Garde" w:hAnsi="ITC Avant Garde"/>
        </w:rPr>
        <w:t>se refiere a una concentración de sociedades que se encuentran unidas en función de un objetivo común y entre las cuales existen relaciones de capital (inversiones cruzadas o bienes verticales), que permiten obtener el control de la mismas y orientarlas hacia la consecución de un fin. En sentido estricto, el grupo de sociedades es un conjunto de empresas en la cual una sociedad ejerce sobre otras el control de ellas e impone directrices a las que se va a someter la gestión social de la misma.</w:t>
      </w:r>
    </w:p>
    <w:p w14:paraId="317D729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En tales consideraciones, los grupos de sociedades ya sean a través de relaciones patrimoniales o a través de directrices en la toma de decisiones, </w:t>
      </w:r>
      <w:r w:rsidR="006950B5" w:rsidRPr="002A2450">
        <w:rPr>
          <w:rFonts w:ascii="ITC Avant Garde" w:hAnsi="ITC Avant Garde"/>
        </w:rPr>
        <w:t xml:space="preserve">poseen </w:t>
      </w:r>
      <w:r w:rsidRPr="002A2450">
        <w:rPr>
          <w:rFonts w:ascii="ITC Avant Garde" w:hAnsi="ITC Avant Garde"/>
        </w:rPr>
        <w:t xml:space="preserve">elementos fundamentales </w:t>
      </w:r>
      <w:r w:rsidR="00957551" w:rsidRPr="002A2450">
        <w:rPr>
          <w:rFonts w:ascii="ITC Avant Garde" w:hAnsi="ITC Avant Garde"/>
        </w:rPr>
        <w:t xml:space="preserve">que ayudan a </w:t>
      </w:r>
      <w:r w:rsidRPr="002A2450">
        <w:rPr>
          <w:rFonts w:ascii="ITC Avant Garde" w:hAnsi="ITC Avant Garde"/>
        </w:rPr>
        <w:t>entender la relación que existe</w:t>
      </w:r>
      <w:r w:rsidR="00957551" w:rsidRPr="002A2450">
        <w:rPr>
          <w:rFonts w:ascii="ITC Avant Garde" w:hAnsi="ITC Avant Garde"/>
        </w:rPr>
        <w:t xml:space="preserve"> de unas</w:t>
      </w:r>
      <w:r w:rsidRPr="002A2450">
        <w:rPr>
          <w:rFonts w:ascii="ITC Avant Garde" w:hAnsi="ITC Avant Garde"/>
        </w:rPr>
        <w:t xml:space="preserve"> sobre otras y el control que pueden ejercer para la toma de decisiones.</w:t>
      </w:r>
    </w:p>
    <w:p w14:paraId="492CFD7F"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El cúmulo de la evolución corporativa y de organización empresarial ha generado necesariamente formas de organización que en principio, puede ser no visible, pero de allí la importancia que debe</w:t>
      </w:r>
      <w:r w:rsidR="00A45CA9" w:rsidRPr="002A2450">
        <w:rPr>
          <w:rFonts w:ascii="ITC Avant Garde" w:hAnsi="ITC Avant Garde"/>
        </w:rPr>
        <w:t>n</w:t>
      </w:r>
      <w:r w:rsidRPr="002A2450">
        <w:rPr>
          <w:rFonts w:ascii="ITC Avant Garde" w:hAnsi="ITC Avant Garde"/>
        </w:rPr>
        <w:t xml:space="preserve"> tener los órganos reguladores para determinar cuál es el grado de participación de los concesionarios en la operación y explotación de los servicios de telecomunicaciones</w:t>
      </w:r>
      <w:r w:rsidR="00A45CA9" w:rsidRPr="002A2450">
        <w:rPr>
          <w:rFonts w:ascii="ITC Avant Garde" w:hAnsi="ITC Avant Garde"/>
        </w:rPr>
        <w:t xml:space="preserve"> de otro concesionario, cuyo fin último</w:t>
      </w:r>
      <w:r w:rsidRPr="002A2450">
        <w:rPr>
          <w:rFonts w:ascii="ITC Avant Garde" w:hAnsi="ITC Avant Garde"/>
        </w:rPr>
        <w:t>, es verificar que dichas formas de organización societaria no infrinjan las disposiciones de los títulos de concesiones y las demás disposiciones legales, reglamentarias y administrativas de la materia.</w:t>
      </w:r>
    </w:p>
    <w:p w14:paraId="22454818"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Ahora bien, </w:t>
      </w:r>
      <w:r w:rsidR="00A45CA9" w:rsidRPr="002A2450">
        <w:rPr>
          <w:rFonts w:ascii="ITC Avant Garde" w:hAnsi="ITC Avant Garde"/>
        </w:rPr>
        <w:t xml:space="preserve">en el presente asunto </w:t>
      </w:r>
      <w:r w:rsidRPr="002A2450">
        <w:rPr>
          <w:rFonts w:ascii="ITC Avant Garde" w:hAnsi="ITC Avant Garde"/>
        </w:rPr>
        <w:t xml:space="preserve">el análisis de la participación directa o indirecta de las empresas </w:t>
      </w:r>
      <w:r w:rsidR="00A45CA9" w:rsidRPr="002A2450">
        <w:rPr>
          <w:rFonts w:ascii="ITC Avant Garde" w:hAnsi="ITC Avant Garde"/>
        </w:rPr>
        <w:t xml:space="preserve">involucradas </w:t>
      </w:r>
      <w:r w:rsidR="00511CC0" w:rsidRPr="002A2450">
        <w:rPr>
          <w:rFonts w:ascii="ITC Avant Garde" w:hAnsi="ITC Avant Garde"/>
        </w:rPr>
        <w:t xml:space="preserve">se realizó </w:t>
      </w:r>
      <w:r w:rsidRPr="002A2450">
        <w:rPr>
          <w:rFonts w:ascii="ITC Avant Garde" w:hAnsi="ITC Avant Garde"/>
        </w:rPr>
        <w:t>desde diferentes formas de organización y mecanismos de control que inciden directamente en la prestación de los servicios de telecomunicaciones.</w:t>
      </w:r>
    </w:p>
    <w:p w14:paraId="2436D86C" w14:textId="77777777" w:rsidR="00B35F13" w:rsidRDefault="00A45CA9" w:rsidP="00B35F13">
      <w:pPr>
        <w:spacing w:before="240" w:line="360" w:lineRule="auto"/>
        <w:jc w:val="both"/>
        <w:rPr>
          <w:rFonts w:ascii="ITC Avant Garde" w:hAnsi="ITC Avant Garde"/>
        </w:rPr>
      </w:pPr>
      <w:r w:rsidRPr="002A2450">
        <w:rPr>
          <w:rFonts w:ascii="ITC Avant Garde" w:hAnsi="ITC Avant Garde"/>
        </w:rPr>
        <w:lastRenderedPageBreak/>
        <w:t xml:space="preserve">En tal sentido, atendiendo a </w:t>
      </w:r>
      <w:r w:rsidR="00262B95" w:rsidRPr="002A2450">
        <w:rPr>
          <w:rFonts w:ascii="ITC Avant Garde" w:hAnsi="ITC Avant Garde"/>
        </w:rPr>
        <w:t>los medios contractuales, la organización societaria puede desarrollarse a través de:</w:t>
      </w:r>
    </w:p>
    <w:p w14:paraId="30FCA871" w14:textId="56EB8414"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 xml:space="preserve">El </w:t>
      </w:r>
      <w:r w:rsidR="0068263D" w:rsidRPr="002A2450">
        <w:rPr>
          <w:rFonts w:ascii="ITC Avant Garde" w:hAnsi="ITC Avant Garde"/>
        </w:rPr>
        <w:t>cártel</w:t>
      </w:r>
      <w:r w:rsidRPr="002A2450">
        <w:rPr>
          <w:rFonts w:ascii="ITC Avant Garde" w:hAnsi="ITC Avant Garde"/>
        </w:rPr>
        <w:t>;</w:t>
      </w:r>
    </w:p>
    <w:p w14:paraId="67D6B850"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La asociación en participación;</w:t>
      </w:r>
    </w:p>
    <w:p w14:paraId="3369B6EC"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Las comunidades de ganancia;</w:t>
      </w:r>
    </w:p>
    <w:p w14:paraId="799B37C0"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El trust y el fideicomiso;</w:t>
      </w:r>
    </w:p>
    <w:p w14:paraId="52B6AD8C"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El arrendamiento y la compra de empresas;</w:t>
      </w:r>
    </w:p>
    <w:p w14:paraId="452CA3CF"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El usufructo de empresas;</w:t>
      </w:r>
    </w:p>
    <w:p w14:paraId="5C950EC5"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Prenda de empresas;</w:t>
      </w:r>
    </w:p>
    <w:p w14:paraId="5D647BD9"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La gestión y la cesión de la explotación;</w:t>
      </w:r>
    </w:p>
    <w:p w14:paraId="72F01D54"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El consorcio;</w:t>
      </w:r>
    </w:p>
    <w:p w14:paraId="00A21622"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Los contratos de dominación e incorporación;</w:t>
      </w:r>
    </w:p>
    <w:p w14:paraId="6537B824" w14:textId="77777777" w:rsidR="00262B95" w:rsidRPr="002A2450"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El pacto en exclusiva, y</w:t>
      </w:r>
    </w:p>
    <w:p w14:paraId="53F5FB90" w14:textId="77777777" w:rsidR="00B35F13" w:rsidRDefault="00262B95" w:rsidP="007E623E">
      <w:pPr>
        <w:numPr>
          <w:ilvl w:val="0"/>
          <w:numId w:val="2"/>
        </w:numPr>
        <w:spacing w:before="240" w:line="360" w:lineRule="auto"/>
        <w:ind w:left="1281" w:hanging="357"/>
        <w:contextualSpacing/>
        <w:jc w:val="both"/>
        <w:rPr>
          <w:rFonts w:ascii="ITC Avant Garde" w:hAnsi="ITC Avant Garde"/>
        </w:rPr>
      </w:pPr>
      <w:r w:rsidRPr="002A2450">
        <w:rPr>
          <w:rFonts w:ascii="ITC Avant Garde" w:hAnsi="ITC Avant Garde"/>
        </w:rPr>
        <w:t>La escisión.</w:t>
      </w:r>
    </w:p>
    <w:p w14:paraId="5F56A775"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Desde los medios societarios, pueden existir:</w:t>
      </w:r>
    </w:p>
    <w:p w14:paraId="46A7BF60" w14:textId="1EC0A3BF" w:rsidR="00262B95" w:rsidRPr="002A2450" w:rsidRDefault="00262B95" w:rsidP="007E623E">
      <w:pPr>
        <w:numPr>
          <w:ilvl w:val="0"/>
          <w:numId w:val="3"/>
        </w:numPr>
        <w:spacing w:before="240" w:line="360" w:lineRule="auto"/>
        <w:ind w:left="1281" w:hanging="357"/>
        <w:contextualSpacing/>
        <w:jc w:val="both"/>
        <w:rPr>
          <w:rFonts w:ascii="ITC Avant Garde" w:hAnsi="ITC Avant Garde"/>
        </w:rPr>
      </w:pPr>
      <w:r w:rsidRPr="002A2450">
        <w:rPr>
          <w:rFonts w:ascii="ITC Avant Garde" w:hAnsi="ITC Avant Garde"/>
        </w:rPr>
        <w:t>La sociedad holding o controladora;</w:t>
      </w:r>
    </w:p>
    <w:p w14:paraId="2C6590F4" w14:textId="77777777" w:rsidR="00262B95" w:rsidRPr="002A2450" w:rsidRDefault="00262B95" w:rsidP="007E623E">
      <w:pPr>
        <w:numPr>
          <w:ilvl w:val="0"/>
          <w:numId w:val="3"/>
        </w:numPr>
        <w:spacing w:before="240" w:line="360" w:lineRule="auto"/>
        <w:ind w:left="1281" w:hanging="357"/>
        <w:contextualSpacing/>
        <w:jc w:val="both"/>
        <w:rPr>
          <w:rFonts w:ascii="ITC Avant Garde" w:hAnsi="ITC Avant Garde"/>
        </w:rPr>
      </w:pPr>
      <w:r w:rsidRPr="002A2450">
        <w:rPr>
          <w:rFonts w:ascii="ITC Avant Garde" w:hAnsi="ITC Avant Garde"/>
        </w:rPr>
        <w:t>La sociedad de responsabilidad limitada como instrumento de concentración de empresas, y</w:t>
      </w:r>
    </w:p>
    <w:p w14:paraId="68175734" w14:textId="77777777" w:rsidR="00B35F13" w:rsidRDefault="00262B95" w:rsidP="007E623E">
      <w:pPr>
        <w:numPr>
          <w:ilvl w:val="0"/>
          <w:numId w:val="3"/>
        </w:numPr>
        <w:spacing w:before="240" w:line="360" w:lineRule="auto"/>
        <w:ind w:left="1281" w:hanging="357"/>
        <w:contextualSpacing/>
        <w:jc w:val="both"/>
        <w:rPr>
          <w:rFonts w:ascii="ITC Avant Garde" w:hAnsi="ITC Avant Garde"/>
        </w:rPr>
      </w:pPr>
      <w:r w:rsidRPr="002A2450">
        <w:rPr>
          <w:rFonts w:ascii="ITC Avant Garde" w:hAnsi="ITC Avant Garde"/>
        </w:rPr>
        <w:t>Las sociedades de personas.</w:t>
      </w:r>
    </w:p>
    <w:p w14:paraId="63BF15E0"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Desde el mecanismo utilizado, puede haber:</w:t>
      </w:r>
    </w:p>
    <w:p w14:paraId="676BB8DA" w14:textId="62795502" w:rsidR="00262B95" w:rsidRPr="002A2450" w:rsidRDefault="00262B95" w:rsidP="007E623E">
      <w:pPr>
        <w:numPr>
          <w:ilvl w:val="0"/>
          <w:numId w:val="4"/>
        </w:numPr>
        <w:spacing w:before="240" w:line="360" w:lineRule="auto"/>
        <w:ind w:left="1281" w:hanging="357"/>
        <w:contextualSpacing/>
        <w:jc w:val="both"/>
        <w:rPr>
          <w:rFonts w:ascii="ITC Avant Garde" w:hAnsi="ITC Avant Garde"/>
        </w:rPr>
      </w:pPr>
      <w:r w:rsidRPr="002A2450">
        <w:rPr>
          <w:rFonts w:ascii="ITC Avant Garde" w:hAnsi="ITC Avant Garde"/>
        </w:rPr>
        <w:t>Participación directa en el capital de otra sociedad;</w:t>
      </w:r>
    </w:p>
    <w:p w14:paraId="2A9F72B1" w14:textId="77777777" w:rsidR="00262B95" w:rsidRPr="002A2450" w:rsidRDefault="00262B95" w:rsidP="007E623E">
      <w:pPr>
        <w:numPr>
          <w:ilvl w:val="0"/>
          <w:numId w:val="4"/>
        </w:numPr>
        <w:spacing w:before="240" w:line="360" w:lineRule="auto"/>
        <w:ind w:left="1281" w:hanging="357"/>
        <w:contextualSpacing/>
        <w:jc w:val="both"/>
        <w:rPr>
          <w:rFonts w:ascii="ITC Avant Garde" w:hAnsi="ITC Avant Garde"/>
        </w:rPr>
      </w:pPr>
      <w:r w:rsidRPr="002A2450">
        <w:rPr>
          <w:rFonts w:ascii="ITC Avant Garde" w:hAnsi="ITC Avant Garde"/>
        </w:rPr>
        <w:t>Participaci</w:t>
      </w:r>
      <w:r w:rsidR="00A45CA9" w:rsidRPr="002A2450">
        <w:rPr>
          <w:rFonts w:ascii="ITC Avant Garde" w:hAnsi="ITC Avant Garde"/>
        </w:rPr>
        <w:t xml:space="preserve">ones </w:t>
      </w:r>
      <w:r w:rsidRPr="002A2450">
        <w:rPr>
          <w:rFonts w:ascii="ITC Avant Garde" w:hAnsi="ITC Avant Garde"/>
        </w:rPr>
        <w:t>recíprocas de sociedades;</w:t>
      </w:r>
    </w:p>
    <w:p w14:paraId="41FFAE91" w14:textId="77777777" w:rsidR="00262B95" w:rsidRPr="002A2450" w:rsidRDefault="00262B95" w:rsidP="007E623E">
      <w:pPr>
        <w:numPr>
          <w:ilvl w:val="0"/>
          <w:numId w:val="4"/>
        </w:numPr>
        <w:spacing w:before="240" w:line="360" w:lineRule="auto"/>
        <w:ind w:left="1281" w:hanging="357"/>
        <w:contextualSpacing/>
        <w:jc w:val="both"/>
        <w:rPr>
          <w:rFonts w:ascii="ITC Avant Garde" w:hAnsi="ITC Avant Garde"/>
        </w:rPr>
      </w:pPr>
      <w:r w:rsidRPr="002A2450">
        <w:rPr>
          <w:rFonts w:ascii="ITC Avant Garde" w:hAnsi="ITC Avant Garde"/>
        </w:rPr>
        <w:t>Participación indirecta, y</w:t>
      </w:r>
    </w:p>
    <w:p w14:paraId="701F8BD6" w14:textId="77777777" w:rsidR="00B35F13" w:rsidRDefault="00262B95" w:rsidP="007E623E">
      <w:pPr>
        <w:numPr>
          <w:ilvl w:val="0"/>
          <w:numId w:val="4"/>
        </w:numPr>
        <w:spacing w:before="240" w:line="360" w:lineRule="auto"/>
        <w:ind w:left="1281" w:hanging="357"/>
        <w:contextualSpacing/>
        <w:jc w:val="both"/>
        <w:rPr>
          <w:rFonts w:ascii="ITC Avant Garde" w:hAnsi="ITC Avant Garde"/>
        </w:rPr>
      </w:pPr>
      <w:r w:rsidRPr="002A2450">
        <w:rPr>
          <w:rFonts w:ascii="ITC Avant Garde" w:hAnsi="ITC Avant Garde"/>
        </w:rPr>
        <w:t>Participación en los créditos en forma de obligaciones emitidas por otra sociedad.</w:t>
      </w:r>
    </w:p>
    <w:p w14:paraId="2FF582A2"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Ahora bien, el control de las empresas es distinto a los medios utilizados y mencionados en líneas anteriores, por lo que existen diversos instrumentos como:</w:t>
      </w:r>
    </w:p>
    <w:p w14:paraId="45145AC3" w14:textId="0544802A"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Emisión de acciones de voto limitado;</w:t>
      </w:r>
    </w:p>
    <w:p w14:paraId="38EACCEC"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lastRenderedPageBreak/>
        <w:t>Acciones de trabajo;</w:t>
      </w:r>
    </w:p>
    <w:p w14:paraId="22C44AA9"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El derecho de veto;</w:t>
      </w:r>
    </w:p>
    <w:p w14:paraId="5F70EF76"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Designación de consejeros y comisarios;</w:t>
      </w:r>
    </w:p>
    <w:p w14:paraId="0A9F794E"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Restricción a la libre transición de las acciones o partes sociales;</w:t>
      </w:r>
    </w:p>
    <w:p w14:paraId="22FD6D58"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Los sindicatos de voto;</w:t>
      </w:r>
    </w:p>
    <w:p w14:paraId="6F5891CC"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La constitución de una sociedad de responsabilidad limitada con partes sociales con voto múltiple;</w:t>
      </w:r>
    </w:p>
    <w:p w14:paraId="33DE2E3B" w14:textId="77777777" w:rsidR="00262B95" w:rsidRPr="002A2450"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La protección de los derechos de las minorías, y</w:t>
      </w:r>
    </w:p>
    <w:p w14:paraId="5CB75CCC" w14:textId="77777777" w:rsidR="00B35F13" w:rsidRDefault="00262B95" w:rsidP="007E623E">
      <w:pPr>
        <w:numPr>
          <w:ilvl w:val="0"/>
          <w:numId w:val="5"/>
        </w:numPr>
        <w:spacing w:before="240" w:line="360" w:lineRule="auto"/>
        <w:ind w:left="1281" w:hanging="357"/>
        <w:contextualSpacing/>
        <w:jc w:val="both"/>
        <w:rPr>
          <w:rFonts w:ascii="ITC Avant Garde" w:hAnsi="ITC Avant Garde"/>
        </w:rPr>
      </w:pPr>
      <w:r w:rsidRPr="002A2450">
        <w:rPr>
          <w:rFonts w:ascii="ITC Avant Garde" w:hAnsi="ITC Avant Garde"/>
        </w:rPr>
        <w:t>Mecanismos de adquisición de hecho del control externo de una sociedad.</w:t>
      </w:r>
    </w:p>
    <w:p w14:paraId="3BED093E"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Así las cosas, la evolución de las sociedades y sus medios de participación y mecanismos de control utilizado, no han escapado del análisis y el estudio del H. Poder Judicial de la Federación.</w:t>
      </w:r>
    </w:p>
    <w:p w14:paraId="7CF48C4D"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Al respecto, la Primera Sala de la Suprema Corte de Justicia de la Nación al resolver sobre la constitucionalidad del artículo 3 de la Ley Federal de Competencia Económica en el amparo en revisión 169/2007, determinó que los grupos de interés económico o grupos económicos constituyen una forma de participación:</w:t>
      </w:r>
    </w:p>
    <w:p w14:paraId="3114527A" w14:textId="77777777" w:rsidR="00B35F13" w:rsidRDefault="00A45CA9" w:rsidP="00B35F13">
      <w:pPr>
        <w:spacing w:before="240" w:line="360" w:lineRule="auto"/>
        <w:jc w:val="both"/>
        <w:rPr>
          <w:rFonts w:ascii="ITC Avant Garde" w:hAnsi="ITC Avant Garde"/>
        </w:rPr>
      </w:pPr>
      <w:r w:rsidRPr="002A2450">
        <w:rPr>
          <w:rFonts w:ascii="ITC Avant Garde" w:hAnsi="ITC Avant Garde"/>
        </w:rPr>
        <w:t>En efecto, dicha sentencia señala en la parte conducente lo siguiente:</w:t>
      </w:r>
    </w:p>
    <w:p w14:paraId="476C066D" w14:textId="77777777" w:rsidR="00B35F13" w:rsidRDefault="00262B95" w:rsidP="00B35F13">
      <w:pPr>
        <w:spacing w:before="240" w:line="360" w:lineRule="auto"/>
        <w:ind w:left="567" w:right="567"/>
        <w:jc w:val="both"/>
        <w:rPr>
          <w:rFonts w:ascii="ITC Avant Garde" w:hAnsi="ITC Avant Garde"/>
          <w:i/>
        </w:rPr>
      </w:pPr>
      <w:r w:rsidRPr="002A2450">
        <w:rPr>
          <w:rFonts w:ascii="ITC Avant Garde" w:hAnsi="ITC Avant Garde"/>
          <w:i/>
        </w:rPr>
        <w:t>“Por otra parte, pero muy relacionado con lo anterior, resulta importante hacer un pronunciamiento en relación a los grupos económicos, a quienes, en un momento dado, puede considerárseles como un agente económico. Es factible hablar de un grupo económico cuando un conjunto de personas físicas o morales, entidades o dependencias, entre otras, tienen intereses comerciales y financieros afines y coordinan sus actividades para log</w:t>
      </w:r>
      <w:r w:rsidR="002F6358" w:rsidRPr="002A2450">
        <w:rPr>
          <w:rFonts w:ascii="ITC Avant Garde" w:hAnsi="ITC Avant Garde"/>
          <w:i/>
        </w:rPr>
        <w:t>r</w:t>
      </w:r>
      <w:r w:rsidRPr="002A2450">
        <w:rPr>
          <w:rFonts w:ascii="ITC Avant Garde" w:hAnsi="ITC Avant Garde"/>
          <w:i/>
        </w:rPr>
        <w:t xml:space="preserve">ar el objetivo común, o bien, se unen para la realización de un fin determinado, en aras de obtener dichos intereses comerciales y financieros comunes. En estos casos, es necesario analizar el comportamiento colectivo de las empresas o personas que </w:t>
      </w:r>
      <w:r w:rsidRPr="002A2450">
        <w:rPr>
          <w:rFonts w:ascii="ITC Avant Garde" w:hAnsi="ITC Avant Garde"/>
          <w:i/>
        </w:rPr>
        <w:lastRenderedPageBreak/>
        <w:t>conforman ese grupo, pues el simple hecho de que estén organizados como tal, no implica que necesariamente todos sus componentes se encuentran vinculados a un grado tal que no puedan actuar de manera aislada e independiente entre sí, o bien, sin el conocimiento de algunas actividades que no les sean propias a sus funciones y que sólo correspondan a dos o más componentes dentro del grupo económico.</w:t>
      </w:r>
    </w:p>
    <w:p w14:paraId="18521EF7" w14:textId="77777777" w:rsidR="00B35F13" w:rsidRDefault="00262B95" w:rsidP="00B35F13">
      <w:pPr>
        <w:spacing w:before="240" w:line="360" w:lineRule="auto"/>
        <w:ind w:left="567" w:right="567"/>
        <w:jc w:val="both"/>
        <w:rPr>
          <w:rFonts w:ascii="ITC Avant Garde" w:hAnsi="ITC Avant Garde"/>
          <w:i/>
        </w:rPr>
      </w:pPr>
      <w:r w:rsidRPr="002A2450">
        <w:rPr>
          <w:rFonts w:ascii="ITC Avant Garde" w:hAnsi="ITC Avant Garde"/>
          <w:i/>
        </w:rPr>
        <w:t>Las doctrinas de la personalidad jurídica distinta a la de los socios han ido cambiando como respecta a la necesidad fundamental de establecer el control legal efectivo sobre las grandes corporaciones que dominan el sistema económico. Estas corporaciones no son conducidas por una sola corporación o entidad, sino colectivamente por la coordinación de actividades de múltiples empresas interrelacionadas bajo un control común.”</w:t>
      </w:r>
    </w:p>
    <w:p w14:paraId="79DC35AE"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En ese sentido, los grupos de sociedades pueden estar interrelacionadas cuando se dé la existencia de dos elementos:</w:t>
      </w:r>
    </w:p>
    <w:p w14:paraId="78429EC5" w14:textId="217AAA19" w:rsidR="00262B95" w:rsidRPr="002A2450" w:rsidRDefault="00262B95" w:rsidP="007E623E">
      <w:pPr>
        <w:numPr>
          <w:ilvl w:val="0"/>
          <w:numId w:val="6"/>
        </w:numPr>
        <w:spacing w:before="240" w:line="360" w:lineRule="auto"/>
        <w:contextualSpacing/>
        <w:jc w:val="both"/>
        <w:rPr>
          <w:rFonts w:ascii="ITC Avant Garde" w:hAnsi="ITC Avant Garde"/>
        </w:rPr>
      </w:pPr>
      <w:r w:rsidRPr="002A2450">
        <w:rPr>
          <w:rFonts w:ascii="ITC Avant Garde" w:hAnsi="ITC Avant Garde"/>
        </w:rPr>
        <w:t>Existen intereses comerciales y financieros afines y,</w:t>
      </w:r>
    </w:p>
    <w:p w14:paraId="0E589897" w14:textId="77777777" w:rsidR="00B35F13" w:rsidRDefault="00262B95" w:rsidP="007E623E">
      <w:pPr>
        <w:numPr>
          <w:ilvl w:val="0"/>
          <w:numId w:val="6"/>
        </w:numPr>
        <w:spacing w:before="240" w:line="360" w:lineRule="auto"/>
        <w:contextualSpacing/>
        <w:jc w:val="both"/>
        <w:rPr>
          <w:rFonts w:ascii="ITC Avant Garde" w:hAnsi="ITC Avant Garde"/>
        </w:rPr>
      </w:pPr>
      <w:r w:rsidRPr="002A2450">
        <w:rPr>
          <w:rFonts w:ascii="ITC Avant Garde" w:hAnsi="ITC Avant Garde"/>
        </w:rPr>
        <w:t>Coordinan sus actividades para lograr el objetivo común o fin determinado, dicho objetivo común o fin determinado va encaminado a la obtención de intereses comerciales y financieros comunes.</w:t>
      </w:r>
    </w:p>
    <w:p w14:paraId="4953C8DF"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Aunado a lo anterior, la Suprema Corte de Justicia de la Nación </w:t>
      </w:r>
      <w:r w:rsidR="00083A9A" w:rsidRPr="002A2450">
        <w:rPr>
          <w:rFonts w:ascii="ITC Avant Garde" w:hAnsi="ITC Avant Garde"/>
        </w:rPr>
        <w:t>determinó que es factible hablar de un grupo económico cuando un conjunto de personas físicas o morales, entidades o dependencias, entre otras, tiene intereses comerciales y financieros afines y coordinan sus actividades para lograr el objetivo común, o bien, se unen para la realización de un fin determinado, en aras de obtener dichos intereses comerciales y financieros comunes</w:t>
      </w:r>
      <w:r w:rsidRPr="002A2450">
        <w:rPr>
          <w:rFonts w:ascii="ITC Avant Garde" w:hAnsi="ITC Avant Garde"/>
        </w:rPr>
        <w:t>.</w:t>
      </w:r>
      <w:r w:rsidR="00083A9A" w:rsidRPr="002A2450">
        <w:rPr>
          <w:rFonts w:ascii="ITC Avant Garde" w:hAnsi="ITC Avant Garde"/>
        </w:rPr>
        <w:t xml:space="preserve"> </w:t>
      </w:r>
      <w:r w:rsidR="00083A9A" w:rsidRPr="002A2450">
        <w:rPr>
          <w:rFonts w:ascii="ITC Avant Garde" w:eastAsia="Times New Roman" w:hAnsi="ITC Avant Garde" w:cs="Calibri"/>
          <w:lang w:eastAsia="es-ES_tradnl"/>
        </w:rPr>
        <w:t xml:space="preserve">Aunado a estos dos elementos, la </w:t>
      </w:r>
      <w:r w:rsidR="00D24095" w:rsidRPr="00F76758">
        <w:rPr>
          <w:rFonts w:ascii="ITC Avant Garde" w:hAnsi="ITC Avant Garde"/>
        </w:rPr>
        <w:t xml:space="preserve">Suprema Corte de Justicia de la Nación </w:t>
      </w:r>
      <w:r w:rsidR="00083A9A" w:rsidRPr="002A2450">
        <w:rPr>
          <w:rFonts w:ascii="ITC Avant Garde" w:eastAsia="Times New Roman" w:hAnsi="ITC Avant Garde" w:cs="Calibri"/>
          <w:lang w:eastAsia="es-ES_tradnl"/>
        </w:rPr>
        <w:t>consideró la necesidad de analizar si dentro del grupo económico existe una persona con la posibilidad de (1) coordinar las actividades del grupo y (2) ejercer al menos una influencia decisiva en la misma o un control.</w:t>
      </w:r>
    </w:p>
    <w:p w14:paraId="09B7D2A7" w14:textId="77E28D4D" w:rsidR="00262B95" w:rsidRPr="002A2450" w:rsidRDefault="00262B95" w:rsidP="00B35F13">
      <w:pPr>
        <w:spacing w:before="240" w:line="360" w:lineRule="auto"/>
        <w:jc w:val="both"/>
        <w:rPr>
          <w:rFonts w:ascii="ITC Avant Garde" w:hAnsi="ITC Avant Garde"/>
        </w:rPr>
      </w:pPr>
      <w:r w:rsidRPr="002A2450">
        <w:rPr>
          <w:rFonts w:ascii="ITC Avant Garde" w:hAnsi="ITC Avant Garde"/>
        </w:rPr>
        <w:lastRenderedPageBreak/>
        <w:t>La influencia decisiva puede darse de iure y de facto en los siguientes casos:</w:t>
      </w:r>
    </w:p>
    <w:p w14:paraId="6C190FD5" w14:textId="77777777" w:rsidR="00262B95" w:rsidRPr="002A2450" w:rsidRDefault="00262B95" w:rsidP="00B35F13">
      <w:pPr>
        <w:spacing w:before="240" w:line="360" w:lineRule="auto"/>
        <w:ind w:left="567"/>
        <w:jc w:val="both"/>
        <w:rPr>
          <w:rFonts w:ascii="ITC Avant Garde" w:hAnsi="ITC Avant Garde"/>
        </w:rPr>
      </w:pPr>
    </w:p>
    <w:tbl>
      <w:tblPr>
        <w:tblStyle w:val="Tablaconcuadrcula1"/>
        <w:tblW w:w="0" w:type="auto"/>
        <w:tblLook w:val="04A0" w:firstRow="1" w:lastRow="0" w:firstColumn="1" w:lastColumn="0" w:noHBand="0" w:noVBand="1"/>
        <w:tblCaption w:val="Jure y facto"/>
        <w:tblDescription w:val="En una tabla se proporciona comparativo de Jure y Facto"/>
      </w:tblPr>
      <w:tblGrid>
        <w:gridCol w:w="4259"/>
        <w:gridCol w:w="4461"/>
      </w:tblGrid>
      <w:tr w:rsidR="00262B95" w:rsidRPr="002A2450" w14:paraId="26ECD7B3" w14:textId="77777777" w:rsidTr="00DA1110">
        <w:trPr>
          <w:tblHeader/>
        </w:trPr>
        <w:tc>
          <w:tcPr>
            <w:tcW w:w="4259" w:type="dxa"/>
            <w:shd w:val="clear" w:color="auto" w:fill="808080" w:themeFill="background1" w:themeFillShade="80"/>
          </w:tcPr>
          <w:p w14:paraId="18813CF1" w14:textId="77777777" w:rsidR="00262B95" w:rsidRPr="002A2450" w:rsidRDefault="00262B95" w:rsidP="006375AA">
            <w:pPr>
              <w:spacing w:line="360" w:lineRule="auto"/>
              <w:jc w:val="center"/>
              <w:rPr>
                <w:rFonts w:ascii="ITC Avant Garde" w:hAnsi="ITC Avant Garde" w:cs="Arial"/>
                <w:b/>
                <w:smallCaps/>
                <w:sz w:val="18"/>
              </w:rPr>
            </w:pPr>
            <w:r w:rsidRPr="002A2450">
              <w:rPr>
                <w:rFonts w:ascii="ITC Avant Garde" w:hAnsi="ITC Avant Garde" w:cs="Arial"/>
                <w:b/>
                <w:smallCaps/>
                <w:sz w:val="18"/>
              </w:rPr>
              <w:t>Iure</w:t>
            </w:r>
          </w:p>
        </w:tc>
        <w:tc>
          <w:tcPr>
            <w:tcW w:w="4461" w:type="dxa"/>
            <w:shd w:val="clear" w:color="auto" w:fill="808080" w:themeFill="background1" w:themeFillShade="80"/>
          </w:tcPr>
          <w:p w14:paraId="310BA605" w14:textId="77777777" w:rsidR="00262B95" w:rsidRPr="002A2450" w:rsidRDefault="00262B95" w:rsidP="006375AA">
            <w:pPr>
              <w:spacing w:line="360" w:lineRule="auto"/>
              <w:jc w:val="center"/>
              <w:rPr>
                <w:rFonts w:ascii="ITC Avant Garde" w:hAnsi="ITC Avant Garde" w:cs="Arial"/>
                <w:b/>
                <w:smallCaps/>
                <w:sz w:val="18"/>
              </w:rPr>
            </w:pPr>
            <w:r w:rsidRPr="002A2450">
              <w:rPr>
                <w:rFonts w:ascii="ITC Avant Garde" w:hAnsi="ITC Avant Garde" w:cs="Arial"/>
                <w:b/>
                <w:smallCaps/>
                <w:sz w:val="18"/>
              </w:rPr>
              <w:t>Facto</w:t>
            </w:r>
          </w:p>
        </w:tc>
      </w:tr>
      <w:tr w:rsidR="00262B95" w:rsidRPr="002A2450" w14:paraId="017231D7" w14:textId="77777777" w:rsidTr="00DA1110">
        <w:trPr>
          <w:tblHeader/>
        </w:trPr>
        <w:tc>
          <w:tcPr>
            <w:tcW w:w="4259" w:type="dxa"/>
          </w:tcPr>
          <w:p w14:paraId="671BA53F" w14:textId="77777777" w:rsidR="00262B95" w:rsidRPr="002A2450" w:rsidRDefault="00262B95" w:rsidP="007E623E">
            <w:pPr>
              <w:numPr>
                <w:ilvl w:val="0"/>
                <w:numId w:val="7"/>
              </w:numPr>
              <w:spacing w:line="360" w:lineRule="auto"/>
              <w:ind w:left="313" w:hanging="313"/>
              <w:contextualSpacing/>
              <w:rPr>
                <w:rFonts w:ascii="ITC Avant Garde" w:hAnsi="ITC Avant Garde" w:cs="Arial"/>
                <w:sz w:val="18"/>
              </w:rPr>
            </w:pPr>
            <w:r w:rsidRPr="002A2450">
              <w:rPr>
                <w:rFonts w:ascii="ITC Avant Garde" w:hAnsi="ITC Avant Garde" w:cs="Arial"/>
                <w:sz w:val="18"/>
              </w:rPr>
              <w:t>Una persona adquiere la mayoría de las acciones de una empresa.</w:t>
            </w:r>
          </w:p>
          <w:p w14:paraId="2A9F5D12" w14:textId="77777777" w:rsidR="00262B95" w:rsidRPr="002A2450" w:rsidRDefault="00262B95" w:rsidP="007E623E">
            <w:pPr>
              <w:numPr>
                <w:ilvl w:val="0"/>
                <w:numId w:val="7"/>
              </w:numPr>
              <w:spacing w:line="360" w:lineRule="auto"/>
              <w:ind w:left="313" w:hanging="313"/>
              <w:contextualSpacing/>
              <w:rPr>
                <w:rFonts w:ascii="ITC Avant Garde" w:hAnsi="ITC Avant Garde" w:cs="Arial"/>
                <w:sz w:val="18"/>
              </w:rPr>
            </w:pPr>
            <w:r w:rsidRPr="002A2450">
              <w:rPr>
                <w:rFonts w:ascii="ITC Avant Garde" w:hAnsi="ITC Avant Garde" w:cs="Arial"/>
                <w:sz w:val="18"/>
              </w:rPr>
              <w:t>Existe la facultad de dirigir o administrar a otra en virtud de un contrato, convenios de abastecimiento de largo plazo, el otorgamiento de créditos o cuando una parte importante de los ingresos de una empresa dependen de la venta de los productos de otra</w:t>
            </w:r>
          </w:p>
          <w:p w14:paraId="3EC246B1" w14:textId="77777777" w:rsidR="00262B95" w:rsidRPr="002A2450" w:rsidRDefault="00262B95" w:rsidP="007E623E">
            <w:pPr>
              <w:numPr>
                <w:ilvl w:val="0"/>
                <w:numId w:val="7"/>
              </w:numPr>
              <w:spacing w:line="360" w:lineRule="auto"/>
              <w:ind w:left="313" w:hanging="313"/>
              <w:contextualSpacing/>
              <w:rPr>
                <w:rFonts w:ascii="ITC Avant Garde" w:hAnsi="ITC Avant Garde" w:cs="Arial"/>
                <w:sz w:val="18"/>
              </w:rPr>
            </w:pPr>
            <w:r w:rsidRPr="002A2450">
              <w:rPr>
                <w:rFonts w:ascii="ITC Avant Garde" w:hAnsi="ITC Avant Garde" w:cs="Arial"/>
                <w:sz w:val="18"/>
              </w:rPr>
              <w:t>Se tiene la capacidad o derecho de designar la mayoría de los miembros del Consejo de Administración u órgano equivalente de otra</w:t>
            </w:r>
          </w:p>
          <w:p w14:paraId="3E1ED542" w14:textId="77777777" w:rsidR="00262B95" w:rsidRPr="002A2450" w:rsidRDefault="00262B95" w:rsidP="007E623E">
            <w:pPr>
              <w:numPr>
                <w:ilvl w:val="0"/>
                <w:numId w:val="7"/>
              </w:numPr>
              <w:spacing w:line="360" w:lineRule="auto"/>
              <w:ind w:left="313" w:hanging="313"/>
              <w:contextualSpacing/>
              <w:rPr>
                <w:rFonts w:ascii="ITC Avant Garde" w:hAnsi="ITC Avant Garde" w:cs="Arial"/>
                <w:sz w:val="18"/>
              </w:rPr>
            </w:pPr>
            <w:r w:rsidRPr="002A2450">
              <w:rPr>
                <w:rFonts w:ascii="ITC Avant Garde" w:hAnsi="ITC Avant Garde" w:cs="Arial"/>
                <w:sz w:val="18"/>
              </w:rPr>
              <w:t>Existe la capacidad o el derecho de designar director, gerente o factor principal de la otra</w:t>
            </w:r>
          </w:p>
          <w:p w14:paraId="3FE82077" w14:textId="77777777" w:rsidR="00262B95" w:rsidRPr="002A2450" w:rsidRDefault="00262B95" w:rsidP="007E623E">
            <w:pPr>
              <w:numPr>
                <w:ilvl w:val="0"/>
                <w:numId w:val="7"/>
              </w:numPr>
              <w:spacing w:line="360" w:lineRule="auto"/>
              <w:ind w:left="313" w:hanging="313"/>
              <w:contextualSpacing/>
              <w:rPr>
                <w:rFonts w:ascii="ITC Avant Garde" w:hAnsi="ITC Avant Garde" w:cs="Arial"/>
                <w:sz w:val="18"/>
              </w:rPr>
            </w:pPr>
            <w:r w:rsidRPr="002A2450">
              <w:rPr>
                <w:rFonts w:ascii="ITC Avant Garde" w:hAnsi="ITC Avant Garde" w:cs="Arial"/>
                <w:sz w:val="18"/>
              </w:rPr>
              <w:t>Tenga vínculos por parentesco consanguíneo o afinidad en una o diversas personas morales</w:t>
            </w:r>
          </w:p>
        </w:tc>
        <w:tc>
          <w:tcPr>
            <w:tcW w:w="4461" w:type="dxa"/>
          </w:tcPr>
          <w:p w14:paraId="7C2E53C3" w14:textId="77777777" w:rsidR="00B35F13" w:rsidRDefault="00262B95" w:rsidP="006375AA">
            <w:pPr>
              <w:spacing w:line="360" w:lineRule="auto"/>
              <w:rPr>
                <w:rFonts w:ascii="ITC Avant Garde" w:hAnsi="ITC Avant Garde" w:cs="Arial"/>
                <w:i/>
                <w:sz w:val="18"/>
              </w:rPr>
            </w:pPr>
            <w:r w:rsidRPr="002A2450">
              <w:rPr>
                <w:rFonts w:ascii="ITC Avant Garde" w:hAnsi="ITC Avant Garde" w:cs="Arial"/>
                <w:i/>
                <w:sz w:val="18"/>
              </w:rPr>
              <w:t>“Por otro lado, el análisis del control de facto debe atender no sólo al nivel de participación accionaria cuando ningún socio tiene mayoría absoluta, sino también a la posibilidad de que un socio minoritario puede obtener mayoría en las asambleas en virtud de:</w:t>
            </w:r>
          </w:p>
          <w:p w14:paraId="689B0224" w14:textId="2E4DDD44" w:rsidR="00262B95" w:rsidRPr="002A2450" w:rsidRDefault="00262B95" w:rsidP="007E623E">
            <w:pPr>
              <w:numPr>
                <w:ilvl w:val="0"/>
                <w:numId w:val="8"/>
              </w:numPr>
              <w:spacing w:line="360" w:lineRule="auto"/>
              <w:ind w:left="295" w:hanging="284"/>
              <w:contextualSpacing/>
              <w:rPr>
                <w:rFonts w:ascii="ITC Avant Garde" w:hAnsi="ITC Avant Garde" w:cs="Arial"/>
                <w:i/>
                <w:sz w:val="18"/>
              </w:rPr>
            </w:pPr>
            <w:r w:rsidRPr="002A2450">
              <w:rPr>
                <w:rFonts w:ascii="ITC Avant Garde" w:hAnsi="ITC Avant Garde" w:cs="Arial"/>
                <w:i/>
                <w:sz w:val="18"/>
              </w:rPr>
              <w:t>El nivel de asistencia</w:t>
            </w:r>
          </w:p>
          <w:p w14:paraId="1DAE1099" w14:textId="77777777" w:rsidR="00262B95" w:rsidRPr="002A2450" w:rsidRDefault="00262B95" w:rsidP="007E623E">
            <w:pPr>
              <w:numPr>
                <w:ilvl w:val="0"/>
                <w:numId w:val="8"/>
              </w:numPr>
              <w:spacing w:line="360" w:lineRule="auto"/>
              <w:ind w:left="295" w:hanging="284"/>
              <w:contextualSpacing/>
              <w:rPr>
                <w:rFonts w:ascii="ITC Avant Garde" w:hAnsi="ITC Avant Garde" w:cs="Arial"/>
                <w:i/>
                <w:sz w:val="18"/>
              </w:rPr>
            </w:pPr>
            <w:r w:rsidRPr="002A2450">
              <w:rPr>
                <w:rFonts w:ascii="ITC Avant Garde" w:hAnsi="ITC Avant Garde" w:cs="Arial"/>
                <w:i/>
                <w:sz w:val="18"/>
              </w:rPr>
              <w:t>La posición de los otros accionistas (dispersión, vínculos de tipo estructural, económico o familiar con el accionista principal</w:t>
            </w:r>
          </w:p>
          <w:p w14:paraId="39BF782D" w14:textId="77777777" w:rsidR="00262B95" w:rsidRPr="002A2450" w:rsidRDefault="00262B95" w:rsidP="007E623E">
            <w:pPr>
              <w:numPr>
                <w:ilvl w:val="0"/>
                <w:numId w:val="8"/>
              </w:numPr>
              <w:spacing w:line="360" w:lineRule="auto"/>
              <w:ind w:left="295" w:hanging="284"/>
              <w:contextualSpacing/>
              <w:rPr>
                <w:rFonts w:ascii="ITC Avant Garde" w:hAnsi="ITC Avant Garde" w:cs="Arial"/>
                <w:i/>
                <w:sz w:val="18"/>
              </w:rPr>
            </w:pPr>
            <w:r w:rsidRPr="002A2450">
              <w:rPr>
                <w:rFonts w:ascii="ITC Avant Garde" w:hAnsi="ITC Avant Garde" w:cs="Arial"/>
                <w:i/>
                <w:sz w:val="18"/>
              </w:rPr>
              <w:t>El interés financiero)”</w:t>
            </w:r>
          </w:p>
        </w:tc>
      </w:tr>
    </w:tbl>
    <w:p w14:paraId="1076244B" w14:textId="77777777" w:rsidR="006C67B3" w:rsidRDefault="00262B95" w:rsidP="00B35F13">
      <w:pPr>
        <w:spacing w:before="240" w:line="360" w:lineRule="auto"/>
        <w:jc w:val="both"/>
        <w:rPr>
          <w:rFonts w:ascii="ITC Avant Garde" w:hAnsi="ITC Avant Garde"/>
        </w:rPr>
        <w:sectPr w:rsidR="006C67B3" w:rsidSect="009F3771">
          <w:headerReference w:type="default" r:id="rId23"/>
          <w:pgSz w:w="12240" w:h="15840"/>
          <w:pgMar w:top="1985" w:right="1701" w:bottom="1418" w:left="1701" w:header="709" w:footer="709" w:gutter="0"/>
          <w:cols w:space="708"/>
          <w:docGrid w:linePitch="360"/>
        </w:sectPr>
      </w:pPr>
      <w:r w:rsidRPr="002A2450">
        <w:rPr>
          <w:rFonts w:ascii="ITC Avant Garde" w:hAnsi="ITC Avant Garde"/>
        </w:rPr>
        <w:t>En esas consideraciones, los intereses comerciales y financieros afines y la coordinación de las actividades para lograr un determinado fin común, aunado a los elementos de control, autonomía y la unidad de comportamiento, así como la coordinación de actividades y el ejercicio de la influencia decisiva o control son elementos que integran el comportamiento de los grupos societarios que en su caso, pueden influir en la operación y explotación de los servicios de telecomunicaciones y en su caso, a la posible violación a las condiciones pr</w:t>
      </w:r>
      <w:r w:rsidR="00D45D80" w:rsidRPr="002A2450">
        <w:rPr>
          <w:rFonts w:ascii="ITC Avant Garde" w:hAnsi="ITC Avant Garde"/>
        </w:rPr>
        <w:t>opias de un título de concesión.</w:t>
      </w:r>
    </w:p>
    <w:p w14:paraId="66CC602D" w14:textId="77777777" w:rsidR="00B35F13" w:rsidRPr="00B35F13" w:rsidRDefault="00262B95" w:rsidP="007E623E">
      <w:pPr>
        <w:pStyle w:val="Ttulo4"/>
        <w:numPr>
          <w:ilvl w:val="0"/>
          <w:numId w:val="67"/>
        </w:numPr>
        <w:rPr>
          <w:b/>
        </w:rPr>
      </w:pPr>
      <w:r w:rsidRPr="00B35F13">
        <w:rPr>
          <w:b/>
        </w:rPr>
        <w:lastRenderedPageBreak/>
        <w:t>ANÁLISIS DEL CONTENIDO OBLIGACIONAL DE LOS CONTRATOS CELEBRADOS ENTRE LAS EMPRESAS TELMEX, TENINVER, DISH MÉXICO, DISH HOLDINGS, GFMTV, ECHOSTAR CORPORATION Y ECHOSTAR MEXICO</w:t>
      </w:r>
    </w:p>
    <w:p w14:paraId="135038A8" w14:textId="77777777" w:rsidR="00B35F13" w:rsidRDefault="00511CC0" w:rsidP="00B35F13">
      <w:pPr>
        <w:spacing w:before="240" w:line="360" w:lineRule="auto"/>
        <w:jc w:val="both"/>
        <w:rPr>
          <w:rFonts w:ascii="ITC Avant Garde" w:hAnsi="ITC Avant Garde"/>
          <w:b/>
        </w:rPr>
      </w:pPr>
      <w:r w:rsidRPr="002A2450">
        <w:rPr>
          <w:rFonts w:ascii="ITC Avant Garde" w:hAnsi="ITC Avant Garde"/>
        </w:rPr>
        <w:t xml:space="preserve">Para el desarrollo de dicho apartado en el acuerdo de inicio del procedimiento administrativo de imposición de sanción </w:t>
      </w:r>
      <w:r w:rsidR="00204993" w:rsidRPr="002A2450">
        <w:rPr>
          <w:rFonts w:ascii="ITC Avant Garde" w:hAnsi="ITC Avant Garde"/>
        </w:rPr>
        <w:t>fue</w:t>
      </w:r>
      <w:r w:rsidR="00262B95" w:rsidRPr="002A2450">
        <w:rPr>
          <w:rFonts w:ascii="ITC Avant Garde" w:hAnsi="ITC Avant Garde"/>
        </w:rPr>
        <w:t xml:space="preserve"> necesario dejar sentado que los contratos, constituyen un elemento esencial que permit</w:t>
      </w:r>
      <w:r w:rsidRPr="002A2450">
        <w:rPr>
          <w:rFonts w:ascii="ITC Avant Garde" w:hAnsi="ITC Avant Garde"/>
        </w:rPr>
        <w:t>ió</w:t>
      </w:r>
      <w:r w:rsidR="00262B95" w:rsidRPr="002A2450">
        <w:rPr>
          <w:rFonts w:ascii="ITC Avant Garde" w:hAnsi="ITC Avant Garde"/>
        </w:rPr>
        <w:t xml:space="preserve"> a esta autoridad establecer la posible violación por parte de </w:t>
      </w:r>
      <w:r w:rsidRPr="002A2450">
        <w:rPr>
          <w:rFonts w:ascii="ITC Avant Garde" w:hAnsi="ITC Avant Garde"/>
          <w:b/>
        </w:rPr>
        <w:t>“</w:t>
      </w:r>
      <w:r w:rsidR="00262B95" w:rsidRPr="002A2450">
        <w:rPr>
          <w:rFonts w:ascii="ITC Avant Garde" w:hAnsi="ITC Avant Garde"/>
          <w:b/>
        </w:rPr>
        <w:t>TELMEX</w:t>
      </w:r>
      <w:r w:rsidRPr="002A2450">
        <w:rPr>
          <w:rFonts w:ascii="ITC Avant Garde" w:hAnsi="ITC Avant Garde"/>
          <w:b/>
        </w:rPr>
        <w:t>”</w:t>
      </w:r>
      <w:r w:rsidR="00262B95" w:rsidRPr="002A2450">
        <w:rPr>
          <w:rFonts w:ascii="ITC Avant Garde" w:hAnsi="ITC Avant Garde"/>
        </w:rPr>
        <w:t xml:space="preserve"> a</w:t>
      </w:r>
      <w:r w:rsidR="00A45CA9" w:rsidRPr="002A2450">
        <w:rPr>
          <w:rFonts w:ascii="ITC Avant Garde" w:hAnsi="ITC Avant Garde"/>
        </w:rPr>
        <w:t xml:space="preserve">l </w:t>
      </w:r>
      <w:r w:rsidR="00841FB0" w:rsidRPr="009E34A4">
        <w:rPr>
          <w:rFonts w:ascii="ITC Avant Garde" w:hAnsi="ITC Avant Garde"/>
          <w:b/>
        </w:rPr>
        <w:t>Tercer Párrafo</w:t>
      </w:r>
      <w:r w:rsidR="00A45CA9" w:rsidRPr="002A2450">
        <w:rPr>
          <w:rFonts w:ascii="ITC Avant Garde" w:hAnsi="ITC Avant Garde"/>
        </w:rPr>
        <w:t xml:space="preserve"> de </w:t>
      </w:r>
      <w:r w:rsidR="00262B95" w:rsidRPr="002A2450">
        <w:rPr>
          <w:rFonts w:ascii="ITC Avant Garde" w:hAnsi="ITC Avant Garde"/>
        </w:rPr>
        <w:t xml:space="preserve">la condición 1-9 de su </w:t>
      </w:r>
      <w:r w:rsidR="00F2341E" w:rsidRPr="002A2450">
        <w:rPr>
          <w:rFonts w:ascii="ITC Avant Garde" w:hAnsi="ITC Avant Garde"/>
          <w:b/>
        </w:rPr>
        <w:t>“</w:t>
      </w:r>
      <w:r w:rsidR="00262B95" w:rsidRPr="002A2450">
        <w:rPr>
          <w:rFonts w:ascii="ITC Avant Garde" w:hAnsi="ITC Avant Garde"/>
          <w:b/>
        </w:rPr>
        <w:t>TÍTULO DE CONCESIÓN</w:t>
      </w:r>
      <w:r w:rsidR="00F2341E" w:rsidRPr="002A2450">
        <w:rPr>
          <w:rFonts w:ascii="ITC Avant Garde" w:hAnsi="ITC Avant Garde"/>
          <w:b/>
        </w:rPr>
        <w:t>”</w:t>
      </w:r>
      <w:r w:rsidR="00262B95" w:rsidRPr="002A2450">
        <w:rPr>
          <w:rFonts w:ascii="ITC Avant Garde" w:hAnsi="ITC Avant Garde"/>
          <w:b/>
        </w:rPr>
        <w:t>,</w:t>
      </w:r>
      <w:r w:rsidR="00262B95" w:rsidRPr="002A2450">
        <w:rPr>
          <w:rFonts w:ascii="ITC Avant Garde" w:hAnsi="ITC Avant Garde"/>
        </w:rPr>
        <w:t xml:space="preserve"> </w:t>
      </w:r>
      <w:r w:rsidR="007C1D43" w:rsidRPr="002A2450">
        <w:rPr>
          <w:rFonts w:ascii="ITC Avant Garde" w:hAnsi="ITC Avant Garde"/>
        </w:rPr>
        <w:t>de ahí la importancia de desentrañar el contenido, sentido y alcance de los referidos instrumentos</w:t>
      </w:r>
      <w:r w:rsidR="00262B95" w:rsidRPr="002A2450">
        <w:rPr>
          <w:rFonts w:ascii="ITC Avant Garde" w:hAnsi="ITC Avant Garde"/>
        </w:rPr>
        <w:t>:</w:t>
      </w:r>
    </w:p>
    <w:p w14:paraId="42290864" w14:textId="77777777" w:rsidR="00B35F13" w:rsidRDefault="00262B95" w:rsidP="00B35F13">
      <w:pPr>
        <w:pStyle w:val="Listavistosa-nfasis11"/>
        <w:spacing w:before="240" w:after="160" w:line="360" w:lineRule="auto"/>
        <w:ind w:left="0"/>
        <w:jc w:val="both"/>
        <w:rPr>
          <w:rFonts w:ascii="ITC Avant Garde" w:hAnsi="ITC Avant Garde"/>
        </w:rPr>
      </w:pPr>
      <w:r w:rsidRPr="002A2450">
        <w:rPr>
          <w:rFonts w:ascii="ITC Avant Garde" w:hAnsi="ITC Avant Garde"/>
        </w:rPr>
        <w:t xml:space="preserve">La </w:t>
      </w:r>
      <w:r w:rsidR="003B561E">
        <w:rPr>
          <w:rFonts w:ascii="ITC Avant Garde" w:hAnsi="ITC Avant Garde"/>
        </w:rPr>
        <w:t>elaboración</w:t>
      </w:r>
      <w:r w:rsidR="003B561E" w:rsidRPr="002A2450">
        <w:rPr>
          <w:rFonts w:ascii="ITC Avant Garde" w:hAnsi="ITC Avant Garde"/>
        </w:rPr>
        <w:t xml:space="preserve"> </w:t>
      </w:r>
      <w:r w:rsidRPr="002A2450">
        <w:rPr>
          <w:rFonts w:ascii="ITC Avant Garde" w:hAnsi="ITC Avant Garde"/>
        </w:rPr>
        <w:t xml:space="preserve">de los contratos de </w:t>
      </w:r>
      <w:r w:rsidRPr="002A2450">
        <w:rPr>
          <w:rFonts w:ascii="ITC Avant Garde" w:hAnsi="ITC Avant Garde"/>
          <w:b/>
        </w:rPr>
        <w:t>prestación de servicios</w:t>
      </w:r>
      <w:r w:rsidRPr="002A2450">
        <w:rPr>
          <w:rFonts w:ascii="ITC Avant Garde" w:hAnsi="ITC Avant Garde"/>
        </w:rPr>
        <w:t xml:space="preserve">, </w:t>
      </w:r>
      <w:r w:rsidRPr="002A2450">
        <w:rPr>
          <w:rFonts w:ascii="ITC Avant Garde" w:hAnsi="ITC Avant Garde"/>
          <w:b/>
        </w:rPr>
        <w:t>distribución, arrendamiento</w:t>
      </w:r>
      <w:r w:rsidRPr="002A2450">
        <w:rPr>
          <w:rFonts w:ascii="ITC Avant Garde" w:hAnsi="ITC Avant Garde"/>
        </w:rPr>
        <w:t xml:space="preserve">, </w:t>
      </w:r>
      <w:r w:rsidRPr="002A2450">
        <w:rPr>
          <w:rFonts w:ascii="ITC Avant Garde" w:hAnsi="ITC Avant Garde"/>
          <w:b/>
        </w:rPr>
        <w:t>operación</w:t>
      </w:r>
      <w:r w:rsidRPr="002A2450">
        <w:rPr>
          <w:rFonts w:ascii="ITC Avant Garde" w:hAnsi="ITC Avant Garde"/>
        </w:rPr>
        <w:t xml:space="preserve">, </w:t>
      </w:r>
      <w:r w:rsidRPr="002A2450">
        <w:rPr>
          <w:rFonts w:ascii="ITC Avant Garde" w:hAnsi="ITC Avant Garde"/>
          <w:b/>
        </w:rPr>
        <w:t>opción de compra y venta</w:t>
      </w:r>
      <w:r w:rsidRPr="002A2450">
        <w:rPr>
          <w:rFonts w:ascii="ITC Avant Garde" w:hAnsi="ITC Avant Garde"/>
        </w:rPr>
        <w:t xml:space="preserve">, </w:t>
      </w:r>
      <w:r w:rsidRPr="002A2450">
        <w:rPr>
          <w:rFonts w:ascii="ITC Avant Garde" w:hAnsi="ITC Avant Garde"/>
          <w:b/>
        </w:rPr>
        <w:t>convenio entre socios</w:t>
      </w:r>
      <w:r w:rsidRPr="002A2450">
        <w:rPr>
          <w:rFonts w:ascii="ITC Avant Garde" w:hAnsi="ITC Avant Garde"/>
        </w:rPr>
        <w:t xml:space="preserve"> y </w:t>
      </w:r>
      <w:r w:rsidRPr="002A2450">
        <w:rPr>
          <w:rFonts w:ascii="ITC Avant Garde" w:hAnsi="ITC Avant Garde"/>
          <w:b/>
        </w:rPr>
        <w:t>convenio de consecuencias</w:t>
      </w:r>
      <w:r w:rsidRPr="002A2450">
        <w:rPr>
          <w:rFonts w:ascii="ITC Avant Garde" w:hAnsi="ITC Avant Garde"/>
        </w:rPr>
        <w:t xml:space="preserve"> se llevó a cabo el veinticuatro de noviembre de dos mil ocho.</w:t>
      </w:r>
    </w:p>
    <w:p w14:paraId="4A6F70AA" w14:textId="77777777" w:rsidR="00B35F13" w:rsidRDefault="00262B95" w:rsidP="00B35F13">
      <w:pPr>
        <w:pStyle w:val="Listavistosa-nfasis11"/>
        <w:spacing w:before="240" w:after="160" w:line="360" w:lineRule="auto"/>
        <w:ind w:left="0"/>
        <w:jc w:val="both"/>
        <w:rPr>
          <w:rFonts w:ascii="ITC Avant Garde" w:hAnsi="ITC Avant Garde"/>
        </w:rPr>
      </w:pPr>
      <w:r w:rsidRPr="002A2450">
        <w:rPr>
          <w:rFonts w:ascii="ITC Avant Garde" w:hAnsi="ITC Avant Garde"/>
        </w:rPr>
        <w:t xml:space="preserve">Lo anterior, </w:t>
      </w:r>
      <w:r w:rsidR="00511CC0" w:rsidRPr="002A2450">
        <w:rPr>
          <w:rFonts w:ascii="ITC Avant Garde" w:hAnsi="ITC Avant Garde"/>
        </w:rPr>
        <w:t>pudo</w:t>
      </w:r>
      <w:r w:rsidRPr="002A2450">
        <w:rPr>
          <w:rFonts w:ascii="ITC Avant Garde" w:hAnsi="ITC Avant Garde"/>
        </w:rPr>
        <w:t xml:space="preserve"> observarse en el propio </w:t>
      </w:r>
      <w:r w:rsidR="00AE016F" w:rsidRPr="002A2450">
        <w:rPr>
          <w:rFonts w:ascii="ITC Avant Garde" w:hAnsi="ITC Avant Garde"/>
          <w:b/>
        </w:rPr>
        <w:t>CONTRATO DE CONSECUENCIAS</w:t>
      </w:r>
      <w:r w:rsidR="00AE016F" w:rsidRPr="002A2450">
        <w:rPr>
          <w:rFonts w:ascii="ITC Avant Garde" w:hAnsi="ITC Avant Garde"/>
        </w:rPr>
        <w:t xml:space="preserve"> </w:t>
      </w:r>
      <w:r w:rsidRPr="002A2450">
        <w:rPr>
          <w:rFonts w:ascii="ITC Avant Garde" w:hAnsi="ITC Avant Garde"/>
        </w:rPr>
        <w:t>que en la parte que interesa señala:</w:t>
      </w:r>
    </w:p>
    <w:p w14:paraId="7034AEE1" w14:textId="1A25B8DE" w:rsidR="00B35F13" w:rsidRPr="005E1F62" w:rsidRDefault="006E31F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395FB14C"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Con lo anterior, se pu</w:t>
      </w:r>
      <w:r w:rsidR="00511CC0" w:rsidRPr="002A2450">
        <w:rPr>
          <w:rFonts w:ascii="ITC Avant Garde" w:hAnsi="ITC Avant Garde"/>
        </w:rPr>
        <w:t>do</w:t>
      </w:r>
      <w:r w:rsidRPr="002A2450">
        <w:rPr>
          <w:rFonts w:ascii="ITC Avant Garde" w:hAnsi="ITC Avant Garde"/>
        </w:rPr>
        <w:t xml:space="preserve"> concluir que la existencia de los contratos celebrados es cierta y con ello, la obligación a que cada uno de los contratos se refiere, de manera tal que la suscripción de los mismos implican una relación de interdependencia que generan un mecanismo administrativo</w:t>
      </w:r>
      <w:r w:rsidR="00D24095">
        <w:rPr>
          <w:rFonts w:ascii="ITC Avant Garde" w:hAnsi="ITC Avant Garde"/>
        </w:rPr>
        <w:t xml:space="preserve"> y</w:t>
      </w:r>
      <w:r w:rsidRPr="002A2450">
        <w:rPr>
          <w:rFonts w:ascii="ITC Avant Garde" w:hAnsi="ITC Avant Garde"/>
        </w:rPr>
        <w:t xml:space="preserve"> operativo que las partes relacionadas mantienen para efecto de lograr la expansión y diversificación de los servicios de </w:t>
      </w:r>
      <w:r w:rsidR="00AE016F" w:rsidRPr="002A2450">
        <w:rPr>
          <w:rFonts w:ascii="ITC Avant Garde" w:hAnsi="ITC Avant Garde"/>
          <w:b/>
        </w:rPr>
        <w:t>“</w:t>
      </w:r>
      <w:r w:rsidRPr="002A2450">
        <w:rPr>
          <w:rFonts w:ascii="ITC Avant Garde" w:hAnsi="ITC Avant Garde"/>
          <w:b/>
        </w:rPr>
        <w:t>DTH</w:t>
      </w:r>
      <w:r w:rsidR="00AE016F" w:rsidRPr="002A2450">
        <w:rPr>
          <w:rFonts w:ascii="ITC Avant Garde" w:hAnsi="ITC Avant Garde"/>
          <w:b/>
        </w:rPr>
        <w:t>”</w:t>
      </w:r>
      <w:r w:rsidRPr="002A2450">
        <w:rPr>
          <w:rFonts w:ascii="ITC Avant Garde" w:hAnsi="ITC Avant Garde"/>
        </w:rPr>
        <w:t xml:space="preserve"> que </w:t>
      </w:r>
      <w:r w:rsidR="00785099" w:rsidRPr="002A2450">
        <w:rPr>
          <w:rFonts w:ascii="ITC Avant Garde" w:hAnsi="ITC Avant Garde"/>
        </w:rPr>
        <w:t>ofrece</w:t>
      </w:r>
      <w:r w:rsidRPr="002A2450">
        <w:rPr>
          <w:rFonts w:ascii="ITC Avant Garde" w:hAnsi="ITC Avant Garde"/>
        </w:rPr>
        <w:t xml:space="preserve"> </w:t>
      </w:r>
      <w:r w:rsidR="00204993" w:rsidRPr="002A2450">
        <w:rPr>
          <w:rFonts w:ascii="ITC Avant Garde" w:hAnsi="ITC Avant Garde"/>
          <w:b/>
        </w:rPr>
        <w:t>“</w:t>
      </w:r>
      <w:r w:rsidRPr="002A2450">
        <w:rPr>
          <w:rFonts w:ascii="ITC Avant Garde" w:hAnsi="ITC Avant Garde"/>
          <w:b/>
        </w:rPr>
        <w:t>COFRESA</w:t>
      </w:r>
      <w:r w:rsidR="00204993" w:rsidRPr="002A2450">
        <w:rPr>
          <w:rFonts w:ascii="ITC Avant Garde" w:hAnsi="ITC Avant Garde"/>
          <w:b/>
        </w:rPr>
        <w:t>”</w:t>
      </w:r>
      <w:r w:rsidRPr="002A2450">
        <w:rPr>
          <w:rFonts w:ascii="ITC Avant Garde" w:hAnsi="ITC Avant Garde"/>
        </w:rPr>
        <w:t>.</w:t>
      </w:r>
    </w:p>
    <w:p w14:paraId="4B6D5F19" w14:textId="77777777" w:rsidR="00B35F13" w:rsidRDefault="00262B95" w:rsidP="00B35F13">
      <w:pPr>
        <w:spacing w:before="240" w:line="360" w:lineRule="auto"/>
        <w:jc w:val="both"/>
        <w:rPr>
          <w:rFonts w:ascii="ITC Avant Garde" w:hAnsi="ITC Avant Garde"/>
          <w:b/>
        </w:rPr>
      </w:pPr>
      <w:r w:rsidRPr="002A2450">
        <w:rPr>
          <w:rFonts w:ascii="ITC Avant Garde" w:hAnsi="ITC Avant Garde"/>
        </w:rPr>
        <w:t xml:space="preserve">En tal sentido, se </w:t>
      </w:r>
      <w:r w:rsidR="00785099" w:rsidRPr="002A2450">
        <w:rPr>
          <w:rFonts w:ascii="ITC Avant Garde" w:hAnsi="ITC Avant Garde"/>
        </w:rPr>
        <w:t xml:space="preserve">consideró </w:t>
      </w:r>
      <w:r w:rsidRPr="002A2450">
        <w:rPr>
          <w:rFonts w:ascii="ITC Avant Garde" w:hAnsi="ITC Avant Garde"/>
        </w:rPr>
        <w:t xml:space="preserve">que existen declaraciones y cláusulas dentro de los propios contratos que van más allá de una simple relación comercial entre dichas empresas, lo cual hace evidente que existen mecanismos que permiten la </w:t>
      </w:r>
      <w:r w:rsidRPr="002A2450">
        <w:rPr>
          <w:rFonts w:ascii="ITC Avant Garde" w:hAnsi="ITC Avant Garde"/>
        </w:rPr>
        <w:lastRenderedPageBreak/>
        <w:t xml:space="preserve">injerencia de </w:t>
      </w:r>
      <w:r w:rsidR="00204993"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 xml:space="preserve">en la manera de conducir el negocio de televisión satelital que comercializa </w:t>
      </w:r>
      <w:r w:rsidR="00204993" w:rsidRPr="002A2450">
        <w:rPr>
          <w:rFonts w:ascii="ITC Avant Garde" w:hAnsi="ITC Avant Garde"/>
          <w:b/>
        </w:rPr>
        <w:t>“COFRESA”</w:t>
      </w:r>
      <w:r w:rsidRPr="002A2450">
        <w:rPr>
          <w:rFonts w:ascii="ITC Avant Garde" w:hAnsi="ITC Avant Garde"/>
          <w:b/>
        </w:rPr>
        <w:t>.</w:t>
      </w:r>
    </w:p>
    <w:p w14:paraId="3FB5DF50"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Para efectos de nuestro análisis, a continuación se hacen algunas transcripciones de fragmentos de dichos contratos que se consideran de especial relevancia: </w:t>
      </w:r>
    </w:p>
    <w:p w14:paraId="4DE9F5CA" w14:textId="77777777" w:rsidR="00B35F13" w:rsidRPr="00B35F13" w:rsidRDefault="00262B95" w:rsidP="00B35F13">
      <w:pPr>
        <w:pStyle w:val="Ttulo5"/>
        <w:numPr>
          <w:ilvl w:val="0"/>
          <w:numId w:val="0"/>
        </w:numPr>
        <w:rPr>
          <w:u w:val="single"/>
        </w:rPr>
      </w:pPr>
      <w:r w:rsidRPr="00B35F13">
        <w:rPr>
          <w:u w:val="single"/>
        </w:rPr>
        <w:t>CONTRATO DE OPERACIÓN:</w:t>
      </w:r>
    </w:p>
    <w:p w14:paraId="13814A26" w14:textId="1EFEDCFC"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2500914E" w14:textId="77777777" w:rsidR="00B35F13" w:rsidRPr="00B35F13" w:rsidRDefault="00262B95" w:rsidP="00B35F13">
      <w:pPr>
        <w:pStyle w:val="Ttulo5"/>
        <w:numPr>
          <w:ilvl w:val="0"/>
          <w:numId w:val="0"/>
        </w:numPr>
        <w:rPr>
          <w:u w:val="single"/>
        </w:rPr>
      </w:pPr>
      <w:r w:rsidRPr="00B35F13">
        <w:rPr>
          <w:u w:val="single"/>
        </w:rPr>
        <w:t>CONTRATO DE OPCIÓN DE COMPRA Y VENTA</w:t>
      </w:r>
    </w:p>
    <w:p w14:paraId="3D2F7F95" w14:textId="4E78C879"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0C19A73E" w14:textId="77777777" w:rsidR="00B35F13" w:rsidRPr="00B35F13" w:rsidRDefault="00262B95" w:rsidP="00B35F13">
      <w:pPr>
        <w:pStyle w:val="Ttulo5"/>
        <w:numPr>
          <w:ilvl w:val="0"/>
          <w:numId w:val="0"/>
        </w:numPr>
        <w:rPr>
          <w:u w:val="single"/>
        </w:rPr>
      </w:pPr>
      <w:r w:rsidRPr="00B35F13">
        <w:rPr>
          <w:u w:val="single"/>
        </w:rPr>
        <w:t>CONVENIO ENTRE SOCIOS</w:t>
      </w:r>
    </w:p>
    <w:p w14:paraId="407D878A" w14:textId="0DB30BBA"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B0E3052" w14:textId="77777777" w:rsidR="00B35F13" w:rsidRPr="00B35F13" w:rsidRDefault="00262B95" w:rsidP="00B35F13">
      <w:pPr>
        <w:pStyle w:val="Ttulo5"/>
        <w:numPr>
          <w:ilvl w:val="0"/>
          <w:numId w:val="0"/>
        </w:numPr>
        <w:rPr>
          <w:u w:val="single"/>
        </w:rPr>
      </w:pPr>
      <w:r w:rsidRPr="00B35F13">
        <w:rPr>
          <w:u w:val="single"/>
        </w:rPr>
        <w:t>CONTRATO DE DISTRIBUCIÓN</w:t>
      </w:r>
    </w:p>
    <w:p w14:paraId="1B2DFE10" w14:textId="52942C1F"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A541268" w14:textId="77777777" w:rsidR="00B35F13" w:rsidRPr="00B35F13" w:rsidRDefault="00262B95" w:rsidP="00B35F13">
      <w:pPr>
        <w:pStyle w:val="Ttulo5"/>
        <w:numPr>
          <w:ilvl w:val="0"/>
          <w:numId w:val="0"/>
        </w:numPr>
        <w:rPr>
          <w:u w:val="single"/>
        </w:rPr>
      </w:pPr>
      <w:r w:rsidRPr="00B35F13">
        <w:rPr>
          <w:u w:val="single"/>
        </w:rPr>
        <w:t>CONTRATO DE PRESTACIÓN DE SERVICIOS</w:t>
      </w:r>
    </w:p>
    <w:p w14:paraId="3C2A4D4D" w14:textId="16DF1437"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9E6AA78" w14:textId="77777777" w:rsidR="00B35F13" w:rsidRPr="00B35F13" w:rsidRDefault="00262B95" w:rsidP="00B35F13">
      <w:pPr>
        <w:pStyle w:val="Ttulo5"/>
        <w:numPr>
          <w:ilvl w:val="0"/>
          <w:numId w:val="0"/>
        </w:numPr>
        <w:rPr>
          <w:u w:val="single"/>
        </w:rPr>
      </w:pPr>
      <w:r w:rsidRPr="00B35F13">
        <w:rPr>
          <w:u w:val="single"/>
        </w:rPr>
        <w:t>CONTRATO DE ARRENDAMIENTO</w:t>
      </w:r>
    </w:p>
    <w:p w14:paraId="63F9078D" w14:textId="246CCD02"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14A5769D" w14:textId="77777777" w:rsidR="00B35F13" w:rsidRPr="00B35F13" w:rsidRDefault="00262B95" w:rsidP="00B35F13">
      <w:pPr>
        <w:pStyle w:val="Ttulo5"/>
        <w:numPr>
          <w:ilvl w:val="0"/>
          <w:numId w:val="0"/>
        </w:numPr>
        <w:rPr>
          <w:u w:val="single"/>
        </w:rPr>
      </w:pPr>
      <w:r w:rsidRPr="00B35F13">
        <w:rPr>
          <w:u w:val="single"/>
        </w:rPr>
        <w:t>CONTRATO DE CONSECUENCIAS</w:t>
      </w:r>
    </w:p>
    <w:p w14:paraId="4393613B" w14:textId="7A3E8BCA"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34FF760D" w14:textId="77777777" w:rsidR="006C67B3" w:rsidRDefault="00262B95" w:rsidP="00B35F13">
      <w:pPr>
        <w:spacing w:before="240" w:line="360" w:lineRule="auto"/>
        <w:jc w:val="both"/>
        <w:rPr>
          <w:rFonts w:ascii="ITC Avant Garde" w:hAnsi="ITC Avant Garde"/>
        </w:rPr>
        <w:sectPr w:rsidR="006C67B3" w:rsidSect="009F3771">
          <w:headerReference w:type="default" r:id="rId24"/>
          <w:pgSz w:w="12240" w:h="15840"/>
          <w:pgMar w:top="1985" w:right="1701" w:bottom="1418" w:left="1701" w:header="709" w:footer="709" w:gutter="0"/>
          <w:cols w:space="708"/>
          <w:docGrid w:linePitch="360"/>
        </w:sectPr>
      </w:pPr>
      <w:r w:rsidRPr="002A2450">
        <w:rPr>
          <w:rFonts w:ascii="ITC Avant Garde" w:hAnsi="ITC Avant Garde"/>
        </w:rPr>
        <w:t>Las anteriores transcripciones d</w:t>
      </w:r>
      <w:r w:rsidR="00785099" w:rsidRPr="002A2450">
        <w:rPr>
          <w:rFonts w:ascii="ITC Avant Garde" w:hAnsi="ITC Avant Garde"/>
        </w:rPr>
        <w:t>ieron</w:t>
      </w:r>
      <w:r w:rsidRPr="002A2450">
        <w:rPr>
          <w:rFonts w:ascii="ITC Avant Garde" w:hAnsi="ITC Avant Garde"/>
        </w:rPr>
        <w:t xml:space="preserve"> cuenta de que los contratos celebrados en su conjunto son un mecanismo con el cual se </w:t>
      </w:r>
      <w:r w:rsidR="0068263D" w:rsidRPr="002A2450">
        <w:rPr>
          <w:rFonts w:ascii="ITC Avant Garde" w:hAnsi="ITC Avant Garde"/>
        </w:rPr>
        <w:t xml:space="preserve">estableció </w:t>
      </w:r>
      <w:r w:rsidRPr="002A2450">
        <w:rPr>
          <w:rFonts w:ascii="ITC Avant Garde" w:hAnsi="ITC Avant Garde"/>
        </w:rPr>
        <w:t>un vínculo de tal naturaleza entre las empresas obligadas, que gener</w:t>
      </w:r>
      <w:r w:rsidR="00785099" w:rsidRPr="002A2450">
        <w:rPr>
          <w:rFonts w:ascii="ITC Avant Garde" w:hAnsi="ITC Avant Garde"/>
        </w:rPr>
        <w:t>arían</w:t>
      </w:r>
      <w:r w:rsidRPr="002A2450">
        <w:rPr>
          <w:rFonts w:ascii="ITC Avant Garde" w:hAnsi="ITC Avant Garde"/>
        </w:rPr>
        <w:t xml:space="preserve"> las condiciones para una </w:t>
      </w:r>
    </w:p>
    <w:p w14:paraId="6702E00E" w14:textId="2438E03E" w:rsidR="00B35F13" w:rsidRDefault="00262B95" w:rsidP="00B35F13">
      <w:pPr>
        <w:spacing w:before="240" w:line="360" w:lineRule="auto"/>
        <w:jc w:val="both"/>
        <w:rPr>
          <w:rFonts w:ascii="ITC Avant Garde" w:hAnsi="ITC Avant Garde"/>
        </w:rPr>
      </w:pPr>
      <w:proofErr w:type="gramStart"/>
      <w:r w:rsidRPr="002A2450">
        <w:rPr>
          <w:rFonts w:ascii="ITC Avant Garde" w:hAnsi="ITC Avant Garde"/>
        </w:rPr>
        <w:lastRenderedPageBreak/>
        <w:t>intervención</w:t>
      </w:r>
      <w:proofErr w:type="gramEnd"/>
      <w:r w:rsidRPr="002A2450">
        <w:rPr>
          <w:rFonts w:ascii="ITC Avant Garde" w:hAnsi="ITC Avant Garde"/>
        </w:rPr>
        <w:t xml:space="preserve"> indirecta por parte de </w:t>
      </w:r>
      <w:r w:rsidR="00204993"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en la o</w:t>
      </w:r>
      <w:r w:rsidR="00D45D80" w:rsidRPr="002A2450">
        <w:rPr>
          <w:rFonts w:ascii="ITC Avant Garde" w:hAnsi="ITC Avant Garde"/>
        </w:rPr>
        <w:t xml:space="preserve">peración de la concesión de </w:t>
      </w:r>
      <w:r w:rsidRPr="002A2450">
        <w:rPr>
          <w:rFonts w:ascii="ITC Avant Garde" w:hAnsi="ITC Avant Garde"/>
        </w:rPr>
        <w:t xml:space="preserve">servicios de </w:t>
      </w:r>
      <w:r w:rsidR="00D45D80" w:rsidRPr="002A2450">
        <w:rPr>
          <w:rFonts w:ascii="ITC Avant Garde" w:hAnsi="ITC Avant Garde"/>
          <w:b/>
        </w:rPr>
        <w:t>“</w:t>
      </w:r>
      <w:r w:rsidRPr="002A2450">
        <w:rPr>
          <w:rFonts w:ascii="ITC Avant Garde" w:hAnsi="ITC Avant Garde"/>
          <w:b/>
        </w:rPr>
        <w:t>DTH</w:t>
      </w:r>
      <w:r w:rsidR="00D45D80" w:rsidRPr="002A2450">
        <w:rPr>
          <w:rFonts w:ascii="ITC Avant Garde" w:hAnsi="ITC Avant Garde"/>
          <w:b/>
        </w:rPr>
        <w:t>”</w:t>
      </w:r>
      <w:r w:rsidRPr="002A2450">
        <w:rPr>
          <w:rFonts w:ascii="ITC Avant Garde" w:hAnsi="ITC Avant Garde"/>
        </w:rPr>
        <w:t xml:space="preserve"> que comercializa </w:t>
      </w:r>
      <w:r w:rsidR="00204993" w:rsidRPr="002A2450">
        <w:rPr>
          <w:rFonts w:ascii="ITC Avant Garde" w:hAnsi="ITC Avant Garde"/>
          <w:b/>
        </w:rPr>
        <w:t>“COFRESA”</w:t>
      </w:r>
      <w:r w:rsidRPr="002A2450">
        <w:rPr>
          <w:rFonts w:ascii="ITC Avant Garde" w:hAnsi="ITC Avant Garde"/>
        </w:rPr>
        <w:t>, lo cual evidentemente va más allá de una simple relación comercial.</w:t>
      </w:r>
    </w:p>
    <w:p w14:paraId="39DD025B" w14:textId="75B8604E" w:rsidR="00B35F13" w:rsidRPr="00B35F13" w:rsidRDefault="00262B95" w:rsidP="00B35F13">
      <w:pPr>
        <w:spacing w:before="240" w:line="360" w:lineRule="auto"/>
        <w:jc w:val="both"/>
        <w:rPr>
          <w:rFonts w:ascii="ITC Avant Garde" w:hAnsi="ITC Avant Garde"/>
          <w:b/>
        </w:rPr>
      </w:pPr>
      <w:r w:rsidRPr="002A2450">
        <w:rPr>
          <w:rFonts w:ascii="ITC Avant Garde" w:hAnsi="ITC Avant Garde" w:cs="Arial"/>
        </w:rPr>
        <w:t>Es decir, con la celebración de dichos instrumentos se pretend</w:t>
      </w:r>
      <w:r w:rsidR="00785099" w:rsidRPr="002A2450">
        <w:rPr>
          <w:rFonts w:ascii="ITC Avant Garde" w:hAnsi="ITC Avant Garde" w:cs="Arial"/>
        </w:rPr>
        <w:t>ió</w:t>
      </w:r>
      <w:r w:rsidRPr="002A2450">
        <w:rPr>
          <w:rFonts w:ascii="ITC Avant Garde" w:hAnsi="ITC Avant Garde" w:cs="Arial"/>
        </w:rPr>
        <w:t xml:space="preserve">, al margen de la forma externa que se les pretende dar, que </w:t>
      </w:r>
      <w:r w:rsidR="00204993" w:rsidRPr="002A2450">
        <w:rPr>
          <w:rFonts w:ascii="ITC Avant Garde" w:hAnsi="ITC Avant Garde"/>
          <w:b/>
        </w:rPr>
        <w:t>“TELMEX”</w:t>
      </w:r>
      <w:r w:rsidRPr="002A2450">
        <w:rPr>
          <w:rFonts w:ascii="ITC Avant Garde" w:hAnsi="ITC Avant Garde" w:cs="Arial"/>
          <w:b/>
        </w:rPr>
        <w:t xml:space="preserve"> </w:t>
      </w:r>
      <w:r w:rsidR="00C104F4" w:rsidRPr="009E34A4">
        <w:rPr>
          <w:rFonts w:ascii="ITC Avant Garde" w:hAnsi="ITC Avant Garde" w:cs="Arial"/>
        </w:rPr>
        <w:t xml:space="preserve">a través de </w:t>
      </w:r>
      <w:r w:rsidR="00C104F4" w:rsidRPr="009E34A4">
        <w:rPr>
          <w:rFonts w:ascii="ITC Avant Garde" w:hAnsi="ITC Avant Garde" w:cs="Arial"/>
          <w:b/>
        </w:rPr>
        <w:t>“TENINVER”</w:t>
      </w:r>
      <w:r w:rsidR="00C104F4" w:rsidRPr="009E34A4">
        <w:rPr>
          <w:rFonts w:ascii="ITC Avant Garde" w:hAnsi="ITC Avant Garde" w:cs="Arial"/>
        </w:rPr>
        <w:t xml:space="preserve"> </w:t>
      </w:r>
      <w:r w:rsidRPr="002A2450">
        <w:rPr>
          <w:rFonts w:ascii="ITC Avant Garde" w:hAnsi="ITC Avant Garde" w:cs="Arial"/>
        </w:rPr>
        <w:t xml:space="preserve">lleve a cabo una </w:t>
      </w:r>
      <w:r w:rsidR="008F718E" w:rsidRPr="009E34A4">
        <w:rPr>
          <w:rFonts w:ascii="ITC Avant Garde" w:hAnsi="ITC Avant Garde" w:cs="Arial"/>
        </w:rPr>
        <w:t xml:space="preserve">explotación indirecta </w:t>
      </w:r>
      <w:r w:rsidRPr="002A2450">
        <w:rPr>
          <w:rFonts w:ascii="ITC Avant Garde" w:hAnsi="ITC Avant Garde" w:cs="Arial"/>
        </w:rPr>
        <w:t xml:space="preserve">de la concesión de televisión restringida satelital de </w:t>
      </w:r>
      <w:r w:rsidR="00204993" w:rsidRPr="002A2450">
        <w:rPr>
          <w:rFonts w:ascii="ITC Avant Garde" w:hAnsi="ITC Avant Garde"/>
          <w:b/>
        </w:rPr>
        <w:t>“COFRESA”</w:t>
      </w:r>
      <w:r w:rsidRPr="002A2450">
        <w:rPr>
          <w:rFonts w:ascii="ITC Avant Garde" w:hAnsi="ITC Avant Garde" w:cs="Arial"/>
        </w:rPr>
        <w:t>,</w:t>
      </w:r>
      <w:r w:rsidR="00C104F4" w:rsidRPr="002A2450">
        <w:rPr>
          <w:rFonts w:ascii="ITC Avant Garde" w:hAnsi="ITC Avant Garde" w:cs="Arial"/>
        </w:rPr>
        <w:t xml:space="preserve"> al haber obtenido derechos para intervenir en las actividades de </w:t>
      </w:r>
      <w:r w:rsidR="00592FBF">
        <w:rPr>
          <w:rFonts w:ascii="ITC Avant Garde" w:hAnsi="ITC Avant Garde" w:cs="Arial"/>
          <w:b/>
        </w:rPr>
        <w:t>“</w:t>
      </w:r>
      <w:r w:rsidR="00C104F4" w:rsidRPr="009E34A4">
        <w:rPr>
          <w:rFonts w:ascii="ITC Avant Garde" w:hAnsi="ITC Avant Garde" w:cs="Arial"/>
          <w:b/>
        </w:rPr>
        <w:t>DISH MÉXICO</w:t>
      </w:r>
      <w:r w:rsidR="00592FBF">
        <w:rPr>
          <w:rFonts w:ascii="ITC Avant Garde" w:hAnsi="ITC Avant Garde" w:cs="Arial"/>
          <w:b/>
        </w:rPr>
        <w:t>”</w:t>
      </w:r>
      <w:r w:rsidR="00C104F4" w:rsidRPr="002A2450">
        <w:rPr>
          <w:rFonts w:ascii="ITC Avant Garde" w:hAnsi="ITC Avant Garde" w:cs="Arial"/>
        </w:rPr>
        <w:t xml:space="preserve"> y sus subsidiarias, entre las que se encuentra </w:t>
      </w:r>
      <w:r w:rsidR="00C104F4" w:rsidRPr="009E34A4">
        <w:rPr>
          <w:rFonts w:ascii="ITC Avant Garde" w:hAnsi="ITC Avant Garde" w:cs="Arial"/>
          <w:b/>
        </w:rPr>
        <w:t>“</w:t>
      </w:r>
      <w:r w:rsidR="00C104F4" w:rsidRPr="002A2450">
        <w:rPr>
          <w:rFonts w:ascii="ITC Avant Garde" w:hAnsi="ITC Avant Garde" w:cs="Arial"/>
          <w:b/>
        </w:rPr>
        <w:t>COFRESA”,</w:t>
      </w:r>
      <w:r w:rsidRPr="002A2450">
        <w:rPr>
          <w:rFonts w:ascii="ITC Avant Garde" w:hAnsi="ITC Avant Garde" w:cs="Arial"/>
        </w:rPr>
        <w:t xml:space="preserve"> razón por la cual es necesario </w:t>
      </w:r>
      <w:r w:rsidR="00556C33" w:rsidRPr="002A2450">
        <w:rPr>
          <w:rFonts w:ascii="ITC Avant Garde" w:hAnsi="ITC Avant Garde" w:cs="Arial"/>
        </w:rPr>
        <w:t xml:space="preserve">analizar de manera pormenorizada </w:t>
      </w:r>
      <w:r w:rsidRPr="002A2450">
        <w:rPr>
          <w:rFonts w:ascii="ITC Avant Garde" w:hAnsi="ITC Avant Garde" w:cs="Arial"/>
        </w:rPr>
        <w:t xml:space="preserve">en el interior de dichos contratos para apreciar los intereses reales y efectos económicos o negocio subyacente que existan o laten en el seno de dicho acuerdo de negocios en su conjunto. </w:t>
      </w:r>
      <w:r w:rsidRPr="002A2450">
        <w:rPr>
          <w:rFonts w:ascii="ITC Avant Garde" w:hAnsi="ITC Avant Garde"/>
        </w:rPr>
        <w:t xml:space="preserve">Dicho ejercicio </w:t>
      </w:r>
      <w:r w:rsidR="00785099" w:rsidRPr="002A2450">
        <w:rPr>
          <w:rFonts w:ascii="ITC Avant Garde" w:hAnsi="ITC Avant Garde"/>
        </w:rPr>
        <w:t xml:space="preserve">fue </w:t>
      </w:r>
      <w:r w:rsidRPr="002A2450">
        <w:rPr>
          <w:rFonts w:ascii="ITC Avant Garde" w:hAnsi="ITC Avant Garde"/>
        </w:rPr>
        <w:t xml:space="preserve">necesario a efecto de poder arribar a la conclusión de que los contratos analizados en su conjunto crean situaciones jurídicas que implican la intervención indirecta de </w:t>
      </w:r>
      <w:r w:rsidR="00785099" w:rsidRPr="002A2450">
        <w:rPr>
          <w:rFonts w:ascii="ITC Avant Garde" w:hAnsi="ITC Avant Garde"/>
          <w:b/>
        </w:rPr>
        <w:t>“</w:t>
      </w:r>
      <w:r w:rsidRPr="002A2450">
        <w:rPr>
          <w:rFonts w:ascii="ITC Avant Garde" w:hAnsi="ITC Avant Garde"/>
          <w:b/>
        </w:rPr>
        <w:t>TELMEX</w:t>
      </w:r>
      <w:r w:rsidR="00785099"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de las empresas señaladas, por tanto, </w:t>
      </w:r>
      <w:r w:rsidR="00785099" w:rsidRPr="002A2450">
        <w:rPr>
          <w:rFonts w:ascii="ITC Avant Garde" w:hAnsi="ITC Avant Garde"/>
        </w:rPr>
        <w:t xml:space="preserve">se consideró que </w:t>
      </w:r>
      <w:r w:rsidRPr="002A2450">
        <w:rPr>
          <w:rFonts w:ascii="ITC Avant Garde" w:hAnsi="ITC Avant Garde"/>
        </w:rPr>
        <w:t>en el presente asunto deb</w:t>
      </w:r>
      <w:r w:rsidR="00785099" w:rsidRPr="002A2450">
        <w:rPr>
          <w:rFonts w:ascii="ITC Avant Garde" w:hAnsi="ITC Avant Garde"/>
        </w:rPr>
        <w:t>ía</w:t>
      </w:r>
      <w:r w:rsidRPr="002A2450">
        <w:rPr>
          <w:rFonts w:ascii="ITC Avant Garde" w:hAnsi="ITC Avant Garde"/>
        </w:rPr>
        <w:t xml:space="preserve"> atenderse al fondo y no a la forma en la que los contratos fueron realizados, ya que el fin último de los mismos es la participación de </w:t>
      </w:r>
      <w:r w:rsidR="00785099" w:rsidRPr="002A2450">
        <w:rPr>
          <w:rFonts w:ascii="ITC Avant Garde" w:hAnsi="ITC Avant Garde"/>
          <w:b/>
        </w:rPr>
        <w:t>“</w:t>
      </w:r>
      <w:r w:rsidRPr="002A2450">
        <w:rPr>
          <w:rFonts w:ascii="ITC Avant Garde" w:hAnsi="ITC Avant Garde"/>
          <w:b/>
        </w:rPr>
        <w:t>TELMEX</w:t>
      </w:r>
      <w:r w:rsidR="00785099"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en el negocio de la televisión satelital</w:t>
      </w:r>
      <w:r w:rsidRPr="002A2450">
        <w:rPr>
          <w:rFonts w:ascii="ITC Avant Garde" w:hAnsi="ITC Avant Garde"/>
          <w:b/>
        </w:rPr>
        <w:t>.</w:t>
      </w:r>
      <w:bookmarkStart w:id="79" w:name="_Toc477170182"/>
    </w:p>
    <w:p w14:paraId="6A0A4A68" w14:textId="517484D6" w:rsidR="00B35F13" w:rsidRPr="00B35F13" w:rsidRDefault="00262B95" w:rsidP="00B35F13">
      <w:pPr>
        <w:pStyle w:val="Ttulo6"/>
        <w:numPr>
          <w:ilvl w:val="0"/>
          <w:numId w:val="0"/>
        </w:numPr>
      </w:pPr>
      <w:r w:rsidRPr="00B35F13">
        <w:t>PROBABLE INCUMPLIMIENTO DE TELMEX A LA CONDICION 1-9 DISTRIBUCIÓN DE SEÑALES DE TELEVISIÓN DE SU TÍTULO DE CONCESIÓN</w:t>
      </w:r>
      <w:bookmarkEnd w:id="79"/>
    </w:p>
    <w:p w14:paraId="3E89485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Del análisis del contenido obligacional de los contratos antes señalados, se consider</w:t>
      </w:r>
      <w:r w:rsidR="00785099" w:rsidRPr="002A2450">
        <w:rPr>
          <w:rFonts w:ascii="ITC Avant Garde" w:hAnsi="ITC Avant Garde"/>
        </w:rPr>
        <w:t>ó</w:t>
      </w:r>
      <w:r w:rsidRPr="002A2450">
        <w:rPr>
          <w:rFonts w:ascii="ITC Avant Garde" w:hAnsi="ITC Avant Garde"/>
        </w:rPr>
        <w:t xml:space="preserve"> que exist</w:t>
      </w:r>
      <w:r w:rsidR="00785099" w:rsidRPr="002A2450">
        <w:rPr>
          <w:rFonts w:ascii="ITC Avant Garde" w:hAnsi="ITC Avant Garde"/>
        </w:rPr>
        <w:t>ían</w:t>
      </w:r>
      <w:r w:rsidRPr="002A2450">
        <w:rPr>
          <w:rFonts w:ascii="ITC Avant Garde" w:hAnsi="ITC Avant Garde"/>
        </w:rPr>
        <w:t xml:space="preserve"> elementos para determinar el probable incumplimiento por parte de </w:t>
      </w:r>
      <w:r w:rsidR="00D45D80" w:rsidRPr="002A2450">
        <w:rPr>
          <w:rFonts w:ascii="ITC Avant Garde" w:hAnsi="ITC Avant Garde"/>
          <w:b/>
        </w:rPr>
        <w:t>“</w:t>
      </w:r>
      <w:r w:rsidRPr="002A2450">
        <w:rPr>
          <w:rFonts w:ascii="ITC Avant Garde" w:hAnsi="ITC Avant Garde"/>
          <w:b/>
        </w:rPr>
        <w:t>TELMEX</w:t>
      </w:r>
      <w:r w:rsidR="00D45D80" w:rsidRPr="002A2450">
        <w:rPr>
          <w:rFonts w:ascii="ITC Avant Garde" w:hAnsi="ITC Avant Garde"/>
          <w:b/>
        </w:rPr>
        <w:t>”</w:t>
      </w:r>
      <w:r w:rsidR="00A45CA9" w:rsidRPr="002A2450">
        <w:rPr>
          <w:rFonts w:ascii="ITC Avant Garde" w:hAnsi="ITC Avant Garde"/>
        </w:rPr>
        <w:t xml:space="preserve"> al </w:t>
      </w:r>
      <w:r w:rsidR="00841FB0" w:rsidRPr="009E34A4">
        <w:rPr>
          <w:rFonts w:ascii="ITC Avant Garde" w:hAnsi="ITC Avant Garde"/>
          <w:b/>
        </w:rPr>
        <w:t>Tercer Párrafo</w:t>
      </w:r>
      <w:r w:rsidR="00A45CA9" w:rsidRPr="002A2450">
        <w:rPr>
          <w:rFonts w:ascii="ITC Avant Garde" w:hAnsi="ITC Avant Garde"/>
        </w:rPr>
        <w:t xml:space="preserve"> </w:t>
      </w:r>
      <w:r w:rsidRPr="002A2450">
        <w:rPr>
          <w:rFonts w:ascii="ITC Avant Garde" w:hAnsi="ITC Avant Garde"/>
        </w:rPr>
        <w:t xml:space="preserve">la condición </w:t>
      </w:r>
      <w:r w:rsidRPr="002A2450">
        <w:rPr>
          <w:rFonts w:ascii="ITC Avant Garde" w:hAnsi="ITC Avant Garde"/>
          <w:b/>
        </w:rPr>
        <w:t>1-9</w:t>
      </w:r>
      <w:r w:rsidRPr="002A2450">
        <w:rPr>
          <w:rFonts w:ascii="ITC Avant Garde" w:hAnsi="ITC Avant Garde"/>
        </w:rPr>
        <w:t xml:space="preserve"> </w:t>
      </w:r>
      <w:r w:rsidRPr="002A2450">
        <w:rPr>
          <w:rFonts w:ascii="ITC Avant Garde" w:hAnsi="ITC Avant Garde"/>
          <w:b/>
        </w:rPr>
        <w:t xml:space="preserve">Distribución de Señales de Televisión </w:t>
      </w:r>
      <w:r w:rsidRPr="002A2450">
        <w:rPr>
          <w:rFonts w:ascii="ITC Avant Garde" w:hAnsi="ITC Avant Garde"/>
        </w:rPr>
        <w:t xml:space="preserve">de su </w:t>
      </w:r>
      <w:r w:rsidR="00D45D80" w:rsidRPr="002A2450">
        <w:rPr>
          <w:rFonts w:ascii="ITC Avant Garde" w:hAnsi="ITC Avant Garde"/>
          <w:b/>
        </w:rPr>
        <w:t>“</w:t>
      </w:r>
      <w:r w:rsidRPr="002A2450">
        <w:rPr>
          <w:rFonts w:ascii="ITC Avant Garde" w:hAnsi="ITC Avant Garde"/>
          <w:b/>
        </w:rPr>
        <w:t>TÍTULO DE CONCESIÓN</w:t>
      </w:r>
      <w:r w:rsidR="00D45D80" w:rsidRPr="002A2450">
        <w:rPr>
          <w:rFonts w:ascii="ITC Avant Garde" w:hAnsi="ITC Avant Garde"/>
          <w:b/>
        </w:rPr>
        <w:t>”</w:t>
      </w:r>
      <w:r w:rsidRPr="002A2450">
        <w:rPr>
          <w:rFonts w:ascii="ITC Avant Garde" w:hAnsi="ITC Avant Garde"/>
        </w:rPr>
        <w:t>, de acuerdo con las siguientes consideraciones:</w:t>
      </w:r>
    </w:p>
    <w:p w14:paraId="00697B87" w14:textId="77777777" w:rsidR="00B35F13" w:rsidRDefault="00785099" w:rsidP="00B35F13">
      <w:pPr>
        <w:spacing w:before="240" w:line="360" w:lineRule="auto"/>
        <w:jc w:val="both"/>
        <w:rPr>
          <w:rFonts w:ascii="ITC Avant Garde" w:hAnsi="ITC Avant Garde"/>
        </w:rPr>
      </w:pPr>
      <w:r w:rsidRPr="002A2450">
        <w:rPr>
          <w:rFonts w:ascii="ITC Avant Garde" w:hAnsi="ITC Avant Garde"/>
        </w:rPr>
        <w:t>En primer lugar, resultó</w:t>
      </w:r>
      <w:r w:rsidR="00262B95" w:rsidRPr="002A2450">
        <w:rPr>
          <w:rFonts w:ascii="ITC Avant Garde" w:hAnsi="ITC Avant Garde"/>
        </w:rPr>
        <w:t xml:space="preserve"> de fundamental importancia </w:t>
      </w:r>
      <w:r w:rsidR="00A45CA9" w:rsidRPr="002A2450">
        <w:rPr>
          <w:rFonts w:ascii="ITC Avant Garde" w:hAnsi="ITC Avant Garde"/>
        </w:rPr>
        <w:t xml:space="preserve">determinar </w:t>
      </w:r>
      <w:r w:rsidR="00262B95" w:rsidRPr="002A2450">
        <w:rPr>
          <w:rFonts w:ascii="ITC Avant Garde" w:hAnsi="ITC Avant Garde"/>
        </w:rPr>
        <w:t>cuáles son los elementos que esta autoridad consider</w:t>
      </w:r>
      <w:r w:rsidRPr="002A2450">
        <w:rPr>
          <w:rFonts w:ascii="ITC Avant Garde" w:hAnsi="ITC Avant Garde"/>
        </w:rPr>
        <w:t>ó</w:t>
      </w:r>
      <w:r w:rsidR="00262B95" w:rsidRPr="002A2450">
        <w:rPr>
          <w:rFonts w:ascii="ITC Avant Garde" w:hAnsi="ITC Avant Garde"/>
        </w:rPr>
        <w:t xml:space="preserve"> como sustento para acreditar que existe una </w:t>
      </w:r>
      <w:r w:rsidR="008F718E" w:rsidRPr="009E34A4">
        <w:rPr>
          <w:rFonts w:ascii="ITC Avant Garde" w:hAnsi="ITC Avant Garde"/>
        </w:rPr>
        <w:t>explotación indirecta</w:t>
      </w:r>
      <w:r w:rsidR="00262B95" w:rsidRPr="002A2450">
        <w:rPr>
          <w:rFonts w:ascii="ITC Avant Garde" w:hAnsi="ITC Avant Garde"/>
        </w:rPr>
        <w:t xml:space="preserve"> por parte de </w:t>
      </w:r>
      <w:r w:rsidR="00204993" w:rsidRPr="002A2450">
        <w:rPr>
          <w:rFonts w:ascii="ITC Avant Garde" w:hAnsi="ITC Avant Garde"/>
          <w:b/>
        </w:rPr>
        <w:t>“TELMEX”</w:t>
      </w:r>
      <w:r w:rsidR="00262B95" w:rsidRPr="002A2450">
        <w:rPr>
          <w:rFonts w:ascii="ITC Avant Garde" w:hAnsi="ITC Avant Garde"/>
        </w:rPr>
        <w:t xml:space="preserve"> </w:t>
      </w:r>
      <w:r w:rsidR="00C104F4" w:rsidRPr="002A2450">
        <w:rPr>
          <w:rFonts w:ascii="ITC Avant Garde" w:hAnsi="ITC Avant Garde"/>
        </w:rPr>
        <w:t>a través de</w:t>
      </w:r>
      <w:r w:rsidR="00C104F4" w:rsidRPr="002A2450">
        <w:rPr>
          <w:rFonts w:ascii="ITC Avant Garde" w:hAnsi="ITC Avant Garde"/>
          <w:b/>
        </w:rPr>
        <w:t xml:space="preserve"> “TENINVER”</w:t>
      </w:r>
      <w:r w:rsidR="00C104F4" w:rsidRPr="002A2450">
        <w:rPr>
          <w:rFonts w:ascii="ITC Avant Garde" w:hAnsi="ITC Avant Garde"/>
        </w:rPr>
        <w:t xml:space="preserve"> </w:t>
      </w:r>
      <w:r w:rsidR="00262B95" w:rsidRPr="002A2450">
        <w:rPr>
          <w:rFonts w:ascii="ITC Avant Garde" w:hAnsi="ITC Avant Garde"/>
        </w:rPr>
        <w:t>respecto de una concesión de servicios de televisión al público en el país.</w:t>
      </w:r>
    </w:p>
    <w:p w14:paraId="4E03ABE8"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lastRenderedPageBreak/>
        <w:t xml:space="preserve">Para ello </w:t>
      </w:r>
      <w:r w:rsidR="00785099" w:rsidRPr="002A2450">
        <w:rPr>
          <w:rFonts w:ascii="ITC Avant Garde" w:hAnsi="ITC Avant Garde"/>
        </w:rPr>
        <w:t xml:space="preserve">fue </w:t>
      </w:r>
      <w:r w:rsidRPr="002A2450">
        <w:rPr>
          <w:rFonts w:ascii="ITC Avant Garde" w:hAnsi="ITC Avant Garde"/>
        </w:rPr>
        <w:t xml:space="preserve">necesario en primer término, </w:t>
      </w:r>
      <w:r w:rsidR="00A45CA9" w:rsidRPr="002A2450">
        <w:rPr>
          <w:rFonts w:ascii="ITC Avant Garde" w:hAnsi="ITC Avant Garde"/>
        </w:rPr>
        <w:t xml:space="preserve">evidenciar </w:t>
      </w:r>
      <w:r w:rsidRPr="002A2450">
        <w:rPr>
          <w:rFonts w:ascii="ITC Avant Garde" w:hAnsi="ITC Avant Garde"/>
        </w:rPr>
        <w:t>que exist</w:t>
      </w:r>
      <w:r w:rsidR="008002C5" w:rsidRPr="002A2450">
        <w:rPr>
          <w:rFonts w:ascii="ITC Avant Garde" w:hAnsi="ITC Avant Garde"/>
        </w:rPr>
        <w:t>iera</w:t>
      </w:r>
      <w:r w:rsidRPr="002A2450">
        <w:rPr>
          <w:rFonts w:ascii="ITC Avant Garde" w:hAnsi="ITC Avant Garde"/>
        </w:rPr>
        <w:t xml:space="preserve"> </w:t>
      </w:r>
      <w:r w:rsidR="008002C5" w:rsidRPr="002A2450">
        <w:rPr>
          <w:rFonts w:ascii="ITC Avant Garde" w:hAnsi="ITC Avant Garde"/>
        </w:rPr>
        <w:t xml:space="preserve">la capacidad de hecho o de derecho de </w:t>
      </w:r>
      <w:r w:rsidR="008002C5" w:rsidRPr="002A2450">
        <w:rPr>
          <w:rFonts w:ascii="ITC Avant Garde" w:hAnsi="ITC Avant Garde"/>
          <w:b/>
        </w:rPr>
        <w:t xml:space="preserve">“TELMEX” a través de "TENINVER" </w:t>
      </w:r>
      <w:r w:rsidR="008002C5" w:rsidRPr="002A2450">
        <w:rPr>
          <w:rFonts w:ascii="ITC Avant Garde" w:hAnsi="ITC Avant Garde"/>
        </w:rPr>
        <w:t>para participar o incidir, a través de cualquier medio, mecanismo o forma, en la operación o en los derechos asociados con una concesión otorgada para prestar servicios de televisión al público</w:t>
      </w:r>
      <w:r w:rsidRPr="002A2450">
        <w:rPr>
          <w:rFonts w:ascii="ITC Avant Garde" w:hAnsi="ITC Avant Garde"/>
        </w:rPr>
        <w:t>, ya sea radiodifundida o restringida.</w:t>
      </w:r>
    </w:p>
    <w:p w14:paraId="1A0E879F" w14:textId="77777777" w:rsidR="00B35F13" w:rsidRDefault="00785099" w:rsidP="00B35F13">
      <w:pPr>
        <w:spacing w:before="240" w:line="360" w:lineRule="auto"/>
        <w:jc w:val="both"/>
        <w:rPr>
          <w:rFonts w:ascii="ITC Avant Garde" w:hAnsi="ITC Avant Garde"/>
          <w:b/>
        </w:rPr>
      </w:pPr>
      <w:r w:rsidRPr="002A2450">
        <w:rPr>
          <w:rFonts w:ascii="ITC Avant Garde" w:hAnsi="ITC Avant Garde"/>
        </w:rPr>
        <w:t>La relación quedó</w:t>
      </w:r>
      <w:r w:rsidR="00262B95" w:rsidRPr="002A2450">
        <w:rPr>
          <w:rFonts w:ascii="ITC Avant Garde" w:hAnsi="ITC Avant Garde"/>
        </w:rPr>
        <w:t xml:space="preserve"> </w:t>
      </w:r>
      <w:r w:rsidRPr="002A2450">
        <w:rPr>
          <w:rFonts w:ascii="ITC Avant Garde" w:hAnsi="ITC Avant Garde"/>
        </w:rPr>
        <w:t xml:space="preserve">presuntamente </w:t>
      </w:r>
      <w:r w:rsidR="00262B95" w:rsidRPr="002A2450">
        <w:rPr>
          <w:rFonts w:ascii="ITC Avant Garde" w:hAnsi="ITC Avant Garde"/>
        </w:rPr>
        <w:t xml:space="preserve">acreditada dada la estrecha relación que existe entre </w:t>
      </w:r>
      <w:r w:rsidRPr="002A2450">
        <w:rPr>
          <w:rFonts w:ascii="ITC Avant Garde" w:hAnsi="ITC Avant Garde"/>
          <w:b/>
        </w:rPr>
        <w:t>“TELMEX”</w:t>
      </w:r>
      <w:r w:rsidR="00C75A68" w:rsidRPr="002A2450">
        <w:rPr>
          <w:rFonts w:ascii="ITC Avant Garde" w:hAnsi="ITC Avant Garde"/>
          <w:b/>
        </w:rPr>
        <w:t xml:space="preserve"> </w:t>
      </w:r>
      <w:r w:rsidR="00C75A68" w:rsidRPr="002A2450">
        <w:rPr>
          <w:rFonts w:ascii="ITC Avant Garde" w:hAnsi="ITC Avant Garde"/>
        </w:rPr>
        <w:t xml:space="preserve">a través de </w:t>
      </w:r>
      <w:r w:rsidR="00C75A68" w:rsidRPr="002A2450">
        <w:rPr>
          <w:rFonts w:ascii="ITC Avant Garde" w:hAnsi="ITC Avant Garde"/>
          <w:b/>
        </w:rPr>
        <w:t>“TENINVER”</w:t>
      </w:r>
      <w:r w:rsidR="00262B95" w:rsidRPr="002A2450">
        <w:rPr>
          <w:rFonts w:ascii="ITC Avant Garde" w:hAnsi="ITC Avant Garde"/>
        </w:rPr>
        <w:t xml:space="preserve"> y </w:t>
      </w:r>
      <w:r w:rsidR="00204993" w:rsidRPr="002A2450">
        <w:rPr>
          <w:rFonts w:ascii="ITC Avant Garde" w:hAnsi="ITC Avant Garde"/>
          <w:b/>
        </w:rPr>
        <w:t>“COFRESA”</w:t>
      </w:r>
      <w:r w:rsidR="00262B95" w:rsidRPr="002A2450">
        <w:rPr>
          <w:rFonts w:ascii="ITC Avant Garde" w:hAnsi="ITC Avant Garde"/>
        </w:rPr>
        <w:t xml:space="preserve"> derivado de los contratos </w:t>
      </w:r>
      <w:r w:rsidRPr="002A2450">
        <w:rPr>
          <w:rFonts w:ascii="ITC Avant Garde" w:hAnsi="ITC Avant Garde"/>
        </w:rPr>
        <w:t xml:space="preserve">que fueron </w:t>
      </w:r>
      <w:r w:rsidR="00262B95" w:rsidRPr="002A2450">
        <w:rPr>
          <w:rFonts w:ascii="ITC Avant Garde" w:hAnsi="ITC Avant Garde"/>
        </w:rPr>
        <w:t>descritos, por lo que se consider</w:t>
      </w:r>
      <w:r w:rsidRPr="002A2450">
        <w:rPr>
          <w:rFonts w:ascii="ITC Avant Garde" w:hAnsi="ITC Avant Garde"/>
        </w:rPr>
        <w:t>ó</w:t>
      </w:r>
      <w:r w:rsidR="00262B95" w:rsidRPr="002A2450">
        <w:rPr>
          <w:rFonts w:ascii="ITC Avant Garde" w:hAnsi="ITC Avant Garde"/>
        </w:rPr>
        <w:t xml:space="preserve"> que exist</w:t>
      </w:r>
      <w:r w:rsidRPr="002A2450">
        <w:rPr>
          <w:rFonts w:ascii="ITC Avant Garde" w:hAnsi="ITC Avant Garde"/>
        </w:rPr>
        <w:t>ía</w:t>
      </w:r>
      <w:r w:rsidR="00262B95" w:rsidRPr="002A2450">
        <w:rPr>
          <w:rFonts w:ascii="ITC Avant Garde" w:hAnsi="ITC Avant Garde"/>
        </w:rPr>
        <w:t xml:space="preserve"> evidencia de que ocurren diversos mecanismos que posibilitan la participación, injerencia y ejercicio de derechos por parte de </w:t>
      </w:r>
      <w:r w:rsidR="00204993" w:rsidRPr="002A2450">
        <w:rPr>
          <w:rFonts w:ascii="ITC Avant Garde" w:hAnsi="ITC Avant Garde"/>
          <w:b/>
        </w:rPr>
        <w:t>“TELMEX”</w:t>
      </w:r>
      <w:r w:rsidR="00262B95" w:rsidRPr="002A2450">
        <w:rPr>
          <w:rFonts w:ascii="ITC Avant Garde" w:hAnsi="ITC Avant Garde"/>
        </w:rPr>
        <w:t xml:space="preserve"> que le permiten </w:t>
      </w:r>
      <w:r w:rsidR="00C104F4" w:rsidRPr="00B35F13">
        <w:rPr>
          <w:rFonts w:ascii="ITC Avant Garde" w:hAnsi="ITC Avant Garde"/>
        </w:rPr>
        <w:t xml:space="preserve">participar en la toma de decisiones sobre las operaciones de </w:t>
      </w:r>
      <w:r w:rsidR="009E2EA4" w:rsidRPr="00B35F13">
        <w:rPr>
          <w:rFonts w:ascii="ITC Avant Garde" w:hAnsi="ITC Avant Garde"/>
        </w:rPr>
        <w:t xml:space="preserve">"DISH MÉXICO" y sus subsidiarias, entre </w:t>
      </w:r>
      <w:r w:rsidR="00C104F4" w:rsidRPr="00B35F13">
        <w:rPr>
          <w:rFonts w:ascii="ITC Avant Garde" w:hAnsi="ITC Avant Garde"/>
        </w:rPr>
        <w:t xml:space="preserve">las </w:t>
      </w:r>
      <w:r w:rsidR="009E2EA4" w:rsidRPr="00B35F13">
        <w:rPr>
          <w:rFonts w:ascii="ITC Avant Garde" w:hAnsi="ITC Avant Garde"/>
        </w:rPr>
        <w:t>que se encuentra “COFRESA”</w:t>
      </w:r>
      <w:r w:rsidR="009E2EA4" w:rsidRPr="00357AD7">
        <w:rPr>
          <w:rFonts w:ascii="ITC Avant Garde" w:hAnsi="ITC Avant Garde"/>
        </w:rPr>
        <w:t xml:space="preserve"> </w:t>
      </w:r>
      <w:r w:rsidR="009E2EA4" w:rsidRPr="002A2450">
        <w:rPr>
          <w:rFonts w:ascii="ITC Avant Garde" w:hAnsi="ITC Avant Garde"/>
        </w:rPr>
        <w:t xml:space="preserve">tenedora de una </w:t>
      </w:r>
      <w:r w:rsidR="00262B95" w:rsidRPr="002A2450">
        <w:rPr>
          <w:rFonts w:ascii="ITC Avant Garde" w:hAnsi="ITC Avant Garde"/>
        </w:rPr>
        <w:t>concesión</w:t>
      </w:r>
      <w:r w:rsidR="009E2EA4" w:rsidRPr="002A2450">
        <w:rPr>
          <w:rFonts w:ascii="ITC Avant Garde" w:hAnsi="ITC Avant Garde"/>
        </w:rPr>
        <w:t xml:space="preserve"> para prestar el servicio de </w:t>
      </w:r>
      <w:r w:rsidR="00C1126E">
        <w:rPr>
          <w:rFonts w:ascii="ITC Avant Garde" w:hAnsi="ITC Avant Garde"/>
          <w:b/>
        </w:rPr>
        <w:t>“</w:t>
      </w:r>
      <w:r w:rsidR="009E2EA4" w:rsidRPr="009E34A4">
        <w:rPr>
          <w:rFonts w:ascii="ITC Avant Garde" w:hAnsi="ITC Avant Garde"/>
          <w:b/>
        </w:rPr>
        <w:t>DTH</w:t>
      </w:r>
      <w:r w:rsidR="00C1126E">
        <w:rPr>
          <w:rFonts w:ascii="ITC Avant Garde" w:hAnsi="ITC Avant Garde"/>
          <w:b/>
        </w:rPr>
        <w:t>”</w:t>
      </w:r>
      <w:r w:rsidR="009E2EA4" w:rsidRPr="002A2450">
        <w:rPr>
          <w:rFonts w:ascii="ITC Avant Garde" w:hAnsi="ITC Avant Garde"/>
        </w:rPr>
        <w:t xml:space="preserve"> que es uno de televisión al público</w:t>
      </w:r>
      <w:r w:rsidR="00262B95" w:rsidRPr="002A2450">
        <w:rPr>
          <w:rFonts w:ascii="ITC Avant Garde" w:hAnsi="ITC Avant Garde"/>
        </w:rPr>
        <w:t>, como se desprend</w:t>
      </w:r>
      <w:r w:rsidRPr="002A2450">
        <w:rPr>
          <w:rFonts w:ascii="ITC Avant Garde" w:hAnsi="ITC Avant Garde"/>
        </w:rPr>
        <w:t>e</w:t>
      </w:r>
      <w:r w:rsidR="00262B95" w:rsidRPr="002A2450">
        <w:rPr>
          <w:rFonts w:ascii="ITC Avant Garde" w:hAnsi="ITC Avant Garde"/>
        </w:rPr>
        <w:t xml:space="preserve"> a continuación</w:t>
      </w:r>
      <w:r w:rsidR="00262B95" w:rsidRPr="002A2450">
        <w:rPr>
          <w:rFonts w:ascii="ITC Avant Garde" w:hAnsi="ITC Avant Garde"/>
          <w:b/>
        </w:rPr>
        <w:t>:</w:t>
      </w:r>
    </w:p>
    <w:p w14:paraId="439FDDA5" w14:textId="7DE6CB34" w:rsidR="00262B95" w:rsidRPr="002A2450" w:rsidRDefault="00262B95" w:rsidP="007E623E">
      <w:pPr>
        <w:pStyle w:val="Listavistosa-nfasis11"/>
        <w:numPr>
          <w:ilvl w:val="0"/>
          <w:numId w:val="9"/>
        </w:numPr>
        <w:spacing w:before="240" w:after="160" w:line="360" w:lineRule="auto"/>
        <w:ind w:left="714" w:hanging="357"/>
        <w:contextualSpacing w:val="0"/>
        <w:jc w:val="both"/>
        <w:rPr>
          <w:rFonts w:ascii="ITC Avant Garde" w:hAnsi="ITC Avant Garde"/>
        </w:rPr>
      </w:pPr>
      <w:r w:rsidRPr="002A2450">
        <w:rPr>
          <w:rFonts w:ascii="ITC Avant Garde" w:hAnsi="ITC Avant Garde"/>
        </w:rPr>
        <w:t xml:space="preserve">Existe una relación (comercial, corporativa y de negocios) entre </w:t>
      </w:r>
      <w:r w:rsidR="00204993"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 xml:space="preserve">y la titular de una concesión de televisión restringida, así como con sus respectivas tenedoras, </w:t>
      </w:r>
      <w:r w:rsidR="00D45D80" w:rsidRPr="002A2450">
        <w:rPr>
          <w:rFonts w:ascii="ITC Avant Garde" w:hAnsi="ITC Avant Garde"/>
        </w:rPr>
        <w:t>filiales</w:t>
      </w:r>
      <w:r w:rsidRPr="002A2450">
        <w:rPr>
          <w:rFonts w:ascii="ITC Avant Garde" w:hAnsi="ITC Avant Garde"/>
        </w:rPr>
        <w:t xml:space="preserve"> y subsidiarias que representan el mismo grupo económico.</w:t>
      </w:r>
    </w:p>
    <w:p w14:paraId="6706CBB2" w14:textId="51524724" w:rsidR="00262B95" w:rsidRPr="002A2450" w:rsidRDefault="00204993" w:rsidP="007E623E">
      <w:pPr>
        <w:pStyle w:val="Listavistosa-nfasis11"/>
        <w:numPr>
          <w:ilvl w:val="0"/>
          <w:numId w:val="9"/>
        </w:numPr>
        <w:spacing w:before="240" w:after="160" w:line="360" w:lineRule="auto"/>
        <w:ind w:left="714" w:hanging="357"/>
        <w:contextualSpacing w:val="0"/>
        <w:jc w:val="both"/>
        <w:rPr>
          <w:rFonts w:ascii="ITC Avant Garde" w:hAnsi="ITC Avant Garde"/>
        </w:rPr>
      </w:pPr>
      <w:r w:rsidRPr="002A2450">
        <w:rPr>
          <w:rFonts w:ascii="ITC Avant Garde" w:hAnsi="ITC Avant Garde"/>
          <w:b/>
        </w:rPr>
        <w:t>“TELMEX”</w:t>
      </w:r>
      <w:r w:rsidR="00785099" w:rsidRPr="002A2450">
        <w:rPr>
          <w:rFonts w:ascii="ITC Avant Garde" w:hAnsi="ITC Avant Garde"/>
          <w:b/>
        </w:rPr>
        <w:t xml:space="preserve"> </w:t>
      </w:r>
      <w:r w:rsidR="009E2EA4" w:rsidRPr="002A2450">
        <w:rPr>
          <w:rFonts w:ascii="ITC Avant Garde" w:hAnsi="ITC Avant Garde"/>
        </w:rPr>
        <w:t>a través de</w:t>
      </w:r>
      <w:r w:rsidR="009E2EA4" w:rsidRPr="002A2450">
        <w:rPr>
          <w:rFonts w:ascii="ITC Avant Garde" w:hAnsi="ITC Avant Garde"/>
          <w:b/>
        </w:rPr>
        <w:t xml:space="preserve"> "TENINVER" </w:t>
      </w:r>
      <w:r w:rsidR="00262B95" w:rsidRPr="002A2450">
        <w:rPr>
          <w:rFonts w:ascii="ITC Avant Garde" w:hAnsi="ITC Avant Garde"/>
        </w:rPr>
        <w:t>particip</w:t>
      </w:r>
      <w:r w:rsidR="00C75A68" w:rsidRPr="002A2450">
        <w:rPr>
          <w:rFonts w:ascii="ITC Avant Garde" w:hAnsi="ITC Avant Garde"/>
        </w:rPr>
        <w:t>ó</w:t>
      </w:r>
      <w:r w:rsidR="00262B95" w:rsidRPr="002A2450">
        <w:rPr>
          <w:rFonts w:ascii="ITC Avant Garde" w:hAnsi="ITC Avant Garde"/>
        </w:rPr>
        <w:t xml:space="preserve"> en forma activa en la toma de decisiones respecto del ejercicio de los derechos derivados de la concesión (conducción del negocio) como si tuviera la calidad de socio</w:t>
      </w:r>
      <w:r w:rsidR="0068263D" w:rsidRPr="002A2450">
        <w:rPr>
          <w:rFonts w:ascii="ITC Avant Garde" w:hAnsi="ITC Avant Garde"/>
        </w:rPr>
        <w:t>, sin que realmente lo sea</w:t>
      </w:r>
      <w:r w:rsidR="00262B95" w:rsidRPr="002A2450">
        <w:rPr>
          <w:rFonts w:ascii="ITC Avant Garde" w:hAnsi="ITC Avant Garde"/>
        </w:rPr>
        <w:t>.</w:t>
      </w:r>
    </w:p>
    <w:p w14:paraId="5F4B7354" w14:textId="77777777" w:rsidR="006C67B3" w:rsidRDefault="00262B95" w:rsidP="007E623E">
      <w:pPr>
        <w:pStyle w:val="Listavistosa-nfasis11"/>
        <w:numPr>
          <w:ilvl w:val="0"/>
          <w:numId w:val="9"/>
        </w:numPr>
        <w:spacing w:before="240" w:after="160" w:line="360" w:lineRule="auto"/>
        <w:ind w:left="714" w:hanging="357"/>
        <w:contextualSpacing w:val="0"/>
        <w:jc w:val="both"/>
        <w:rPr>
          <w:rFonts w:ascii="ITC Avant Garde" w:hAnsi="ITC Avant Garde"/>
        </w:rPr>
        <w:sectPr w:rsidR="006C67B3" w:rsidSect="009F3771">
          <w:headerReference w:type="default" r:id="rId25"/>
          <w:pgSz w:w="12240" w:h="15840"/>
          <w:pgMar w:top="1985" w:right="1701" w:bottom="1418" w:left="1701" w:header="709" w:footer="709" w:gutter="0"/>
          <w:cols w:space="708"/>
          <w:docGrid w:linePitch="360"/>
        </w:sectPr>
      </w:pPr>
      <w:r w:rsidRPr="002A2450">
        <w:rPr>
          <w:rFonts w:ascii="ITC Avant Garde" w:hAnsi="ITC Avant Garde"/>
        </w:rPr>
        <w:t>Tiene la posibilidad de participar de las utilidades del negocio (pago de dividendos).</w:t>
      </w:r>
    </w:p>
    <w:p w14:paraId="35B93ED6" w14:textId="77777777" w:rsidR="00262B95" w:rsidRPr="002A2450" w:rsidRDefault="00262B95" w:rsidP="007E623E">
      <w:pPr>
        <w:pStyle w:val="Listavistosa-nfasis11"/>
        <w:numPr>
          <w:ilvl w:val="0"/>
          <w:numId w:val="9"/>
        </w:numPr>
        <w:spacing w:before="240" w:after="160" w:line="360" w:lineRule="auto"/>
        <w:ind w:left="714" w:hanging="357"/>
        <w:contextualSpacing w:val="0"/>
        <w:jc w:val="both"/>
        <w:rPr>
          <w:rFonts w:ascii="ITC Avant Garde" w:hAnsi="ITC Avant Garde"/>
        </w:rPr>
      </w:pPr>
      <w:r w:rsidRPr="002A2450">
        <w:rPr>
          <w:rFonts w:ascii="ITC Avant Garde" w:hAnsi="ITC Avant Garde"/>
        </w:rPr>
        <w:lastRenderedPageBreak/>
        <w:t xml:space="preserve">Realizó una inversión simulada en el capital de </w:t>
      </w:r>
      <w:r w:rsidR="00204993" w:rsidRPr="002A2450">
        <w:rPr>
          <w:rFonts w:ascii="ITC Avant Garde" w:hAnsi="ITC Avant Garde"/>
          <w:b/>
        </w:rPr>
        <w:t>“COFRESA”</w:t>
      </w:r>
      <w:r w:rsidRPr="002A2450">
        <w:rPr>
          <w:rFonts w:ascii="ITC Avant Garde" w:hAnsi="ITC Avant Garde"/>
        </w:rPr>
        <w:t>, asumiendo riesgos.</w:t>
      </w:r>
    </w:p>
    <w:p w14:paraId="6B035F17" w14:textId="77777777" w:rsidR="006C67B3" w:rsidRDefault="00262B95" w:rsidP="007E623E">
      <w:pPr>
        <w:pStyle w:val="Listavistosa-nfasis11"/>
        <w:numPr>
          <w:ilvl w:val="0"/>
          <w:numId w:val="9"/>
        </w:numPr>
        <w:spacing w:before="240" w:after="160" w:line="360" w:lineRule="auto"/>
        <w:ind w:left="714" w:hanging="357"/>
        <w:contextualSpacing w:val="0"/>
        <w:jc w:val="both"/>
        <w:rPr>
          <w:rFonts w:ascii="ITC Avant Garde" w:hAnsi="ITC Avant Garde"/>
        </w:rPr>
      </w:pPr>
      <w:r w:rsidRPr="002A2450">
        <w:rPr>
          <w:rFonts w:ascii="ITC Avant Garde" w:hAnsi="ITC Avant Garde"/>
        </w:rPr>
        <w:t>Puede influir de manera directa en la comercialización de los servicios.</w:t>
      </w:r>
    </w:p>
    <w:p w14:paraId="500CCB11" w14:textId="77777777" w:rsidR="00B35F13" w:rsidRDefault="00262B95" w:rsidP="007E623E">
      <w:pPr>
        <w:pStyle w:val="Listavistosa-nfasis11"/>
        <w:numPr>
          <w:ilvl w:val="0"/>
          <w:numId w:val="9"/>
        </w:numPr>
        <w:spacing w:before="240" w:after="160" w:line="360" w:lineRule="auto"/>
        <w:ind w:left="714" w:hanging="357"/>
        <w:contextualSpacing w:val="0"/>
        <w:jc w:val="both"/>
        <w:rPr>
          <w:rFonts w:ascii="ITC Avant Garde" w:hAnsi="ITC Avant Garde"/>
        </w:rPr>
      </w:pPr>
      <w:r w:rsidRPr="002A2450">
        <w:rPr>
          <w:rFonts w:ascii="ITC Avant Garde" w:hAnsi="ITC Avant Garde"/>
        </w:rPr>
        <w:t xml:space="preserve">Ejerce un control </w:t>
      </w:r>
      <w:r w:rsidR="005425E9" w:rsidRPr="009E34A4">
        <w:rPr>
          <w:rFonts w:ascii="ITC Avant Garde" w:hAnsi="ITC Avant Garde"/>
        </w:rPr>
        <w:t>negativo</w:t>
      </w:r>
      <w:r w:rsidR="005425E9" w:rsidRPr="002A2450">
        <w:rPr>
          <w:rFonts w:ascii="ITC Avant Garde" w:hAnsi="ITC Avant Garde"/>
        </w:rPr>
        <w:t xml:space="preserve"> </w:t>
      </w:r>
      <w:r w:rsidRPr="002A2450">
        <w:rPr>
          <w:rFonts w:ascii="ITC Avant Garde" w:hAnsi="ITC Avant Garde"/>
        </w:rPr>
        <w:t>de facto respecto de decisiones relevantes.</w:t>
      </w:r>
    </w:p>
    <w:p w14:paraId="7A9F9184" w14:textId="77777777" w:rsidR="00B35F13" w:rsidRDefault="00262B95" w:rsidP="00B35F13">
      <w:pPr>
        <w:autoSpaceDE w:val="0"/>
        <w:autoSpaceDN w:val="0"/>
        <w:adjustRightInd w:val="0"/>
        <w:spacing w:before="240" w:line="360" w:lineRule="auto"/>
        <w:jc w:val="both"/>
        <w:rPr>
          <w:rFonts w:ascii="ITC Avant Garde" w:hAnsi="ITC Avant Garde" w:cs="Arial"/>
          <w:color w:val="231F20"/>
        </w:rPr>
      </w:pPr>
      <w:r w:rsidRPr="002A2450">
        <w:rPr>
          <w:rFonts w:ascii="ITC Avant Garde" w:hAnsi="ITC Avant Garde" w:cs="Arial"/>
          <w:color w:val="231F20"/>
        </w:rPr>
        <w:t>Dichos elementos deriva</w:t>
      </w:r>
      <w:r w:rsidR="00785099" w:rsidRPr="002A2450">
        <w:rPr>
          <w:rFonts w:ascii="ITC Avant Garde" w:hAnsi="ITC Avant Garde" w:cs="Arial"/>
          <w:color w:val="231F20"/>
        </w:rPr>
        <w:t>ron</w:t>
      </w:r>
      <w:r w:rsidRPr="002A2450">
        <w:rPr>
          <w:rFonts w:ascii="ITC Avant Garde" w:hAnsi="ITC Avant Garde" w:cs="Arial"/>
          <w:color w:val="231F20"/>
        </w:rPr>
        <w:t xml:space="preserve"> precisamente del análisis del contenido obligacional de los contratos a que se ha hecho referencia, como se </w:t>
      </w:r>
      <w:r w:rsidR="00785099" w:rsidRPr="002A2450">
        <w:rPr>
          <w:rFonts w:ascii="ITC Avant Garde" w:hAnsi="ITC Avant Garde" w:cs="Arial"/>
          <w:color w:val="231F20"/>
        </w:rPr>
        <w:t xml:space="preserve">presumió en el acuerdo de inicio del procedimiento administrativo de imposición de sanción y que </w:t>
      </w:r>
      <w:r w:rsidRPr="002A2450">
        <w:rPr>
          <w:rFonts w:ascii="ITC Avant Garde" w:hAnsi="ITC Avant Garde" w:cs="Arial"/>
          <w:color w:val="231F20"/>
        </w:rPr>
        <w:t>a continuación</w:t>
      </w:r>
      <w:r w:rsidR="00785099" w:rsidRPr="002A2450">
        <w:rPr>
          <w:rFonts w:ascii="ITC Avant Garde" w:hAnsi="ITC Avant Garde" w:cs="Arial"/>
          <w:color w:val="231F20"/>
        </w:rPr>
        <w:t xml:space="preserve"> se mencionan</w:t>
      </w:r>
      <w:r w:rsidRPr="002A2450">
        <w:rPr>
          <w:rFonts w:ascii="ITC Avant Garde" w:hAnsi="ITC Avant Garde" w:cs="Arial"/>
          <w:color w:val="231F20"/>
        </w:rPr>
        <w:t xml:space="preserve">: </w:t>
      </w:r>
    </w:p>
    <w:p w14:paraId="451E42F4" w14:textId="2EDE63E3" w:rsidR="00B35F13" w:rsidRPr="00B35F13" w:rsidRDefault="00301FF6" w:rsidP="00B35F13">
      <w:pPr>
        <w:pStyle w:val="Ttulo7"/>
        <w:rPr>
          <w:u w:val="none"/>
        </w:rPr>
      </w:pPr>
      <w:bookmarkStart w:id="80" w:name="_Toc477170183"/>
      <w:r w:rsidRPr="00B35F13">
        <w:rPr>
          <w:u w:val="none"/>
        </w:rPr>
        <w:t xml:space="preserve">I. </w:t>
      </w:r>
      <w:r w:rsidR="00262B95" w:rsidRPr="00B35F13">
        <w:rPr>
          <w:u w:val="none"/>
        </w:rPr>
        <w:t>INJERENCIA Y PARTICIPACIÓN EN LA TOMA DE DECISIONES</w:t>
      </w:r>
      <w:bookmarkEnd w:id="80"/>
    </w:p>
    <w:p w14:paraId="28EEEF84" w14:textId="77777777" w:rsidR="00B35F13" w:rsidRDefault="00204993" w:rsidP="00B35F13">
      <w:pPr>
        <w:spacing w:before="240" w:line="360" w:lineRule="auto"/>
        <w:jc w:val="both"/>
        <w:rPr>
          <w:rFonts w:ascii="ITC Avant Garde" w:hAnsi="ITC Avant Garde"/>
        </w:rPr>
      </w:pPr>
      <w:r w:rsidRPr="002A2450">
        <w:rPr>
          <w:rFonts w:ascii="ITC Avant Garde" w:hAnsi="ITC Avant Garde"/>
          <w:b/>
        </w:rPr>
        <w:t xml:space="preserve">“TELMEX” </w:t>
      </w:r>
      <w:r w:rsidR="00785099" w:rsidRPr="002A2450">
        <w:rPr>
          <w:rFonts w:ascii="ITC Avant Garde" w:hAnsi="ITC Avant Garde"/>
        </w:rPr>
        <w:t>presuntamente</w:t>
      </w:r>
      <w:r w:rsidR="00785099" w:rsidRPr="002A2450">
        <w:rPr>
          <w:rFonts w:ascii="ITC Avant Garde" w:hAnsi="ITC Avant Garde"/>
          <w:b/>
        </w:rPr>
        <w:t xml:space="preserve"> </w:t>
      </w:r>
      <w:r w:rsidR="00262B95" w:rsidRPr="002A2450">
        <w:rPr>
          <w:rFonts w:ascii="ITC Avant Garde" w:hAnsi="ITC Avant Garde"/>
        </w:rPr>
        <w:t xml:space="preserve">tiene injerencia en la toma de decisiones para el ejercicio de los derechos derivados de la concesión para prestar el servicio </w:t>
      </w:r>
      <w:r w:rsidR="00C1126E">
        <w:rPr>
          <w:rFonts w:ascii="ITC Avant Garde" w:hAnsi="ITC Avant Garde"/>
          <w:b/>
        </w:rPr>
        <w:t>“</w:t>
      </w:r>
      <w:r w:rsidR="00262B95" w:rsidRPr="009E34A4">
        <w:rPr>
          <w:rFonts w:ascii="ITC Avant Garde" w:hAnsi="ITC Avant Garde"/>
          <w:b/>
        </w:rPr>
        <w:t>DTH</w:t>
      </w:r>
      <w:r w:rsidR="00C1126E">
        <w:rPr>
          <w:rFonts w:ascii="ITC Avant Garde" w:hAnsi="ITC Avant Garde"/>
          <w:b/>
        </w:rPr>
        <w:t>”</w:t>
      </w:r>
      <w:r w:rsidR="00262B95" w:rsidRPr="002A2450">
        <w:rPr>
          <w:rFonts w:ascii="ITC Avant Garde" w:hAnsi="ITC Avant Garde"/>
        </w:rPr>
        <w:t xml:space="preserve"> en el país, ya que a través de una serie de mecanismos contractuales se permite que </w:t>
      </w:r>
      <w:r w:rsidRPr="002A2450">
        <w:rPr>
          <w:rFonts w:ascii="ITC Avant Garde" w:hAnsi="ITC Avant Garde"/>
          <w:b/>
        </w:rPr>
        <w:t>“</w:t>
      </w:r>
      <w:r w:rsidR="00262B95" w:rsidRPr="002A2450">
        <w:rPr>
          <w:rFonts w:ascii="ITC Avant Garde" w:hAnsi="ITC Avant Garde"/>
          <w:b/>
        </w:rPr>
        <w:t>DISH MÉXICO</w:t>
      </w:r>
      <w:r w:rsidRPr="002A2450">
        <w:rPr>
          <w:rFonts w:ascii="ITC Avant Garde" w:hAnsi="ITC Avant Garde"/>
          <w:b/>
        </w:rPr>
        <w:t>”</w:t>
      </w:r>
      <w:r w:rsidR="00262B95" w:rsidRPr="002A2450">
        <w:rPr>
          <w:rFonts w:ascii="ITC Avant Garde" w:hAnsi="ITC Avant Garde"/>
        </w:rPr>
        <w:t xml:space="preserve"> y </w:t>
      </w:r>
      <w:r w:rsidRPr="002A2450">
        <w:rPr>
          <w:rFonts w:ascii="ITC Avant Garde" w:hAnsi="ITC Avant Garde"/>
          <w:b/>
        </w:rPr>
        <w:t xml:space="preserve">“COFRESA” </w:t>
      </w:r>
      <w:r w:rsidR="00262B95" w:rsidRPr="002A2450">
        <w:rPr>
          <w:rFonts w:ascii="ITC Avant Garde" w:hAnsi="ITC Avant Garde"/>
        </w:rPr>
        <w:t xml:space="preserve">intercambien información relevante para la conducción del negocio con </w:t>
      </w:r>
      <w:r w:rsidRPr="002A2450">
        <w:rPr>
          <w:rFonts w:ascii="ITC Avant Garde" w:hAnsi="ITC Avant Garde"/>
          <w:b/>
        </w:rPr>
        <w:t>“TELMEX”</w:t>
      </w:r>
      <w:r w:rsidR="00262B95" w:rsidRPr="002A2450">
        <w:rPr>
          <w:rFonts w:ascii="ITC Avant Garde" w:hAnsi="ITC Avant Garde"/>
          <w:b/>
        </w:rPr>
        <w:t xml:space="preserve">, </w:t>
      </w:r>
      <w:r w:rsidR="00262B95" w:rsidRPr="002A2450">
        <w:rPr>
          <w:rFonts w:ascii="ITC Avant Garde" w:hAnsi="ITC Avant Garde"/>
        </w:rPr>
        <w:t xml:space="preserve">así como que ésta última pueda participar en las sesiones de Consejo, solicitar libros y documentos, visitar oficinas e instalaciones operativas de aquellas. Ello a través de un Comité de Operaciones integrado por diversos miembros nombrados por las partes, teniendo </w:t>
      </w:r>
      <w:r w:rsidRPr="002A2450">
        <w:rPr>
          <w:rFonts w:ascii="ITC Avant Garde" w:hAnsi="ITC Avant Garde"/>
          <w:b/>
        </w:rPr>
        <w:t>“TELMEX”</w:t>
      </w:r>
      <w:r w:rsidR="00785099" w:rsidRPr="002A2450">
        <w:rPr>
          <w:rFonts w:ascii="ITC Avant Garde" w:hAnsi="ITC Avant Garde"/>
          <w:b/>
        </w:rPr>
        <w:t xml:space="preserve"> </w:t>
      </w:r>
      <w:r w:rsidR="00262B95" w:rsidRPr="002A2450">
        <w:rPr>
          <w:rFonts w:ascii="ITC Avant Garde" w:hAnsi="ITC Avant Garde"/>
        </w:rPr>
        <w:t>derecho a nombrar dos miembros en dicho Comité.</w:t>
      </w:r>
    </w:p>
    <w:p w14:paraId="265D7F6C" w14:textId="77777777" w:rsidR="00B35F13" w:rsidRDefault="00785099" w:rsidP="00B35F13">
      <w:pPr>
        <w:spacing w:before="240" w:line="360" w:lineRule="auto"/>
        <w:jc w:val="both"/>
        <w:rPr>
          <w:rFonts w:ascii="ITC Avant Garde" w:hAnsi="ITC Avant Garde"/>
        </w:rPr>
      </w:pPr>
      <w:r w:rsidRPr="002A2450">
        <w:rPr>
          <w:rFonts w:ascii="ITC Avant Garde" w:hAnsi="ITC Avant Garde"/>
        </w:rPr>
        <w:t>Lo anterior, pu</w:t>
      </w:r>
      <w:r w:rsidR="00262B95" w:rsidRPr="002A2450">
        <w:rPr>
          <w:rFonts w:ascii="ITC Avant Garde" w:hAnsi="ITC Avant Garde"/>
        </w:rPr>
        <w:t>d</w:t>
      </w:r>
      <w:r w:rsidRPr="002A2450">
        <w:rPr>
          <w:rFonts w:ascii="ITC Avant Garde" w:hAnsi="ITC Avant Garde"/>
        </w:rPr>
        <w:t>o</w:t>
      </w:r>
      <w:r w:rsidR="00262B95" w:rsidRPr="002A2450">
        <w:rPr>
          <w:rFonts w:ascii="ITC Avant Garde" w:hAnsi="ITC Avant Garde"/>
        </w:rPr>
        <w:t xml:space="preserve"> corroborar</w:t>
      </w:r>
      <w:r w:rsidRPr="002A2450">
        <w:rPr>
          <w:rFonts w:ascii="ITC Avant Garde" w:hAnsi="ITC Avant Garde"/>
        </w:rPr>
        <w:t>se</w:t>
      </w:r>
      <w:r w:rsidR="00262B95" w:rsidRPr="002A2450">
        <w:rPr>
          <w:rFonts w:ascii="ITC Avant Garde" w:hAnsi="ITC Avant Garde"/>
        </w:rPr>
        <w:t xml:space="preserve"> en el </w:t>
      </w:r>
      <w:r w:rsidR="00262B95" w:rsidRPr="002A2450">
        <w:rPr>
          <w:rFonts w:ascii="ITC Avant Garde" w:hAnsi="ITC Avant Garde"/>
          <w:b/>
        </w:rPr>
        <w:t>Contrato de Consecuencias</w:t>
      </w:r>
      <w:r w:rsidR="00262B95" w:rsidRPr="002A2450">
        <w:rPr>
          <w:rFonts w:ascii="ITC Avant Garde" w:hAnsi="ITC Avant Garde"/>
        </w:rPr>
        <w:t xml:space="preserve"> dónde en su parte medular señala lo siguiente:</w:t>
      </w:r>
    </w:p>
    <w:p w14:paraId="2A9F2C44" w14:textId="677C16D1" w:rsidR="00B35F13" w:rsidRPr="005E1F62" w:rsidRDefault="00333B3F"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2AD3E6CB"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el citado </w:t>
      </w:r>
      <w:r w:rsidRPr="002A2450">
        <w:rPr>
          <w:rFonts w:ascii="ITC Avant Garde" w:hAnsi="ITC Avant Garde"/>
          <w:b/>
        </w:rPr>
        <w:t>Contrato de Consecuencias</w:t>
      </w:r>
      <w:r w:rsidRPr="002A2450">
        <w:rPr>
          <w:rFonts w:ascii="ITC Avant Garde" w:hAnsi="ITC Avant Garde"/>
        </w:rPr>
        <w:t xml:space="preserve">, estableció como </w:t>
      </w:r>
      <w:r w:rsidRPr="002A2450">
        <w:rPr>
          <w:rFonts w:ascii="ITC Avant Garde" w:hAnsi="ITC Avant Garde"/>
          <w:b/>
        </w:rPr>
        <w:t>anexo C</w:t>
      </w:r>
      <w:r w:rsidRPr="002A2450">
        <w:rPr>
          <w:rFonts w:ascii="ITC Avant Garde" w:hAnsi="ITC Avant Garde"/>
        </w:rPr>
        <w:t xml:space="preserve"> del mismo, las </w:t>
      </w:r>
      <w:r w:rsidRPr="002A2450">
        <w:rPr>
          <w:rFonts w:ascii="ITC Avant Garde" w:hAnsi="ITC Avant Garde"/>
          <w:b/>
          <w:i/>
        </w:rPr>
        <w:t>Reglas de Operación del Comité Conjunto de Operaciones</w:t>
      </w:r>
      <w:r w:rsidRPr="002A2450">
        <w:rPr>
          <w:rFonts w:ascii="ITC Avant Garde" w:hAnsi="ITC Avant Garde"/>
        </w:rPr>
        <w:t>, dentro de las cuales se acordó entre otras, lo siguiente:</w:t>
      </w:r>
    </w:p>
    <w:p w14:paraId="7CB0B18E" w14:textId="77777777" w:rsidR="00AD5C0E" w:rsidRDefault="00750567" w:rsidP="00B35F13">
      <w:pPr>
        <w:pStyle w:val="Prrafodelista"/>
        <w:spacing w:before="240" w:line="360" w:lineRule="auto"/>
        <w:ind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lastRenderedPageBreak/>
        <w:t>“CONFIDENCIAL POR LEY”</w:t>
      </w:r>
    </w:p>
    <w:p w14:paraId="09E66ADC" w14:textId="77777777" w:rsidR="00F74251" w:rsidRPr="002A2450" w:rsidRDefault="00F74251" w:rsidP="007E623E">
      <w:pPr>
        <w:pStyle w:val="Listavistosa-nfasis11"/>
        <w:numPr>
          <w:ilvl w:val="0"/>
          <w:numId w:val="10"/>
        </w:numPr>
        <w:spacing w:after="0" w:line="360" w:lineRule="auto"/>
        <w:ind w:left="1134" w:right="567" w:hanging="567"/>
        <w:jc w:val="both"/>
        <w:rPr>
          <w:rFonts w:ascii="ITC Avant Garde" w:hAnsi="ITC Avant Garde"/>
          <w:b/>
          <w:i/>
          <w:u w:val="single"/>
        </w:rPr>
      </w:pPr>
      <w:r w:rsidRPr="002A2450">
        <w:rPr>
          <w:rFonts w:ascii="ITC Avant Garde" w:hAnsi="ITC Avant Garde"/>
          <w:b/>
          <w:i/>
          <w:u w:val="single"/>
        </w:rPr>
        <w:t>Asistir a las sesiones del consejo de administración de DISH México o de COFRESA y a las sesiones de cualesquiera comités establecidos por el consejo de administración de dichas Partes.</w:t>
      </w:r>
    </w:p>
    <w:p w14:paraId="679E2A79" w14:textId="77777777" w:rsidR="00F74251" w:rsidRPr="002A2450" w:rsidRDefault="00F74251" w:rsidP="007E623E">
      <w:pPr>
        <w:pStyle w:val="Listavistosa-nfasis11"/>
        <w:numPr>
          <w:ilvl w:val="0"/>
          <w:numId w:val="10"/>
        </w:numPr>
        <w:spacing w:after="0" w:line="360" w:lineRule="auto"/>
        <w:ind w:left="1134" w:right="567" w:hanging="567"/>
        <w:jc w:val="both"/>
        <w:rPr>
          <w:rFonts w:ascii="ITC Avant Garde" w:hAnsi="ITC Avant Garde"/>
          <w:i/>
        </w:rPr>
      </w:pPr>
      <w:r w:rsidRPr="002A2450">
        <w:rPr>
          <w:rFonts w:ascii="ITC Avant Garde" w:hAnsi="ITC Avant Garde"/>
          <w:i/>
        </w:rPr>
        <w:t>Reunirse con el personal de la administración de DISH México y/o de COFRESA o con cualesquiera otros funcionarios, directores, empleados, agentes o representantes de dicha Parte a efecto de llevar a cabo los deberes y responsabilidades del Comité bajo el presente instrumento.</w:t>
      </w:r>
    </w:p>
    <w:p w14:paraId="39D058C5" w14:textId="77777777" w:rsidR="00F74251" w:rsidRPr="002A2450" w:rsidRDefault="00F74251" w:rsidP="007E623E">
      <w:pPr>
        <w:pStyle w:val="Listavistosa-nfasis11"/>
        <w:numPr>
          <w:ilvl w:val="0"/>
          <w:numId w:val="10"/>
        </w:numPr>
        <w:spacing w:after="0" w:line="360" w:lineRule="auto"/>
        <w:ind w:left="1134" w:right="567" w:hanging="567"/>
        <w:jc w:val="both"/>
        <w:rPr>
          <w:rFonts w:ascii="ITC Avant Garde" w:hAnsi="ITC Avant Garde"/>
          <w:i/>
        </w:rPr>
      </w:pPr>
      <w:r w:rsidRPr="002A2450">
        <w:rPr>
          <w:rFonts w:ascii="ITC Avant Garde" w:hAnsi="ITC Avant Garde"/>
          <w:i/>
        </w:rPr>
        <w:t>Recibir, a solicitud del Comité, copias de los libros y registros de DISH México y/o de COFRESA.</w:t>
      </w:r>
    </w:p>
    <w:p w14:paraId="08EA5E3A" w14:textId="77777777" w:rsidR="00F74251" w:rsidRPr="002A2450" w:rsidRDefault="00F74251" w:rsidP="007E623E">
      <w:pPr>
        <w:pStyle w:val="Listavistosa-nfasis11"/>
        <w:numPr>
          <w:ilvl w:val="0"/>
          <w:numId w:val="10"/>
        </w:numPr>
        <w:spacing w:after="0" w:line="360" w:lineRule="auto"/>
        <w:ind w:left="1134" w:right="567" w:hanging="567"/>
        <w:jc w:val="both"/>
        <w:rPr>
          <w:rFonts w:ascii="ITC Avant Garde" w:hAnsi="ITC Avant Garde"/>
          <w:i/>
        </w:rPr>
      </w:pPr>
      <w:r w:rsidRPr="002A2450">
        <w:rPr>
          <w:rFonts w:ascii="ITC Avant Garde" w:hAnsi="ITC Avant Garde"/>
          <w:i/>
        </w:rPr>
        <w:t>Visitar las oficinas u otras instalaciones de operaciones de DISH México y/o COFRESA durante horas hábiles; y</w:t>
      </w:r>
    </w:p>
    <w:p w14:paraId="222D96B0" w14:textId="77777777" w:rsidR="00F74251" w:rsidRPr="002A2450" w:rsidRDefault="00F74251" w:rsidP="007E623E">
      <w:pPr>
        <w:pStyle w:val="Listavistosa-nfasis11"/>
        <w:numPr>
          <w:ilvl w:val="0"/>
          <w:numId w:val="10"/>
        </w:numPr>
        <w:spacing w:after="0" w:line="360" w:lineRule="auto"/>
        <w:ind w:left="1134" w:right="567" w:hanging="567"/>
        <w:jc w:val="both"/>
        <w:rPr>
          <w:rFonts w:ascii="ITC Avant Garde" w:hAnsi="ITC Avant Garde"/>
          <w:i/>
        </w:rPr>
      </w:pPr>
      <w:r w:rsidRPr="002A2450">
        <w:rPr>
          <w:rFonts w:ascii="ITC Avant Garde" w:hAnsi="ITC Avant Garde"/>
          <w:i/>
        </w:rPr>
        <w:t>Usar y ocupar una oficina apropiada u otro espacio de trabajo ubicado en las oficinas o en otras instalaciones de operación de DISH México y/o COFRESA, junto con los servicios esenciales ahí disponibles, incluyendo sin limitación, servicios telefónicos, acceso LAN, servicios públicos, artículos generales de oficina, acceso a máquinas de fax y fotocopiadoras, servicios de conferencia y servicios postales.</w:t>
      </w:r>
    </w:p>
    <w:p w14:paraId="2DE2B316" w14:textId="77777777" w:rsidR="00F74251" w:rsidRPr="002A2450" w:rsidRDefault="00F74251" w:rsidP="00F74251">
      <w:pPr>
        <w:spacing w:after="0" w:line="360" w:lineRule="auto"/>
        <w:ind w:left="1134" w:right="567" w:hanging="567"/>
        <w:jc w:val="both"/>
        <w:rPr>
          <w:rFonts w:ascii="ITC Avant Garde" w:hAnsi="ITC Avant Garde"/>
          <w:b/>
          <w:i/>
        </w:rPr>
      </w:pPr>
      <w:r w:rsidRPr="002A2450">
        <w:rPr>
          <w:rFonts w:ascii="ITC Avant Garde" w:hAnsi="ITC Avant Garde"/>
          <w:b/>
          <w:i/>
        </w:rPr>
        <w:t>Modificaciones.</w:t>
      </w:r>
    </w:p>
    <w:p w14:paraId="6CFD112E" w14:textId="77777777" w:rsidR="00F74251" w:rsidRPr="002A2450" w:rsidRDefault="00F74251" w:rsidP="00F74251">
      <w:pPr>
        <w:spacing w:after="0" w:line="360" w:lineRule="auto"/>
        <w:ind w:left="1134" w:right="567" w:hanging="567"/>
        <w:jc w:val="both"/>
        <w:rPr>
          <w:rFonts w:ascii="ITC Avant Garde" w:hAnsi="ITC Avant Garde"/>
          <w:i/>
        </w:rPr>
      </w:pPr>
      <w:r w:rsidRPr="002A2450">
        <w:rPr>
          <w:rFonts w:ascii="ITC Avant Garde" w:hAnsi="ITC Avant Garde"/>
          <w:i/>
        </w:rPr>
        <w:t>Este documento puede ser modificado por el Comité.”</w:t>
      </w:r>
    </w:p>
    <w:p w14:paraId="438908C6" w14:textId="77777777" w:rsidR="00F74251" w:rsidRPr="002A2450" w:rsidRDefault="00F74251" w:rsidP="00F74251">
      <w:pPr>
        <w:spacing w:after="0" w:line="360" w:lineRule="auto"/>
        <w:ind w:left="1134" w:right="567" w:hanging="567"/>
        <w:jc w:val="both"/>
        <w:rPr>
          <w:rFonts w:ascii="ITC Avant Garde" w:hAnsi="ITC Avant Garde"/>
        </w:rPr>
      </w:pPr>
      <w:r w:rsidRPr="002A2450">
        <w:rPr>
          <w:rFonts w:ascii="ITC Avant Garde" w:hAnsi="ITC Avant Garde"/>
        </w:rPr>
        <w:t>(Énfasis añadido)</w:t>
      </w:r>
    </w:p>
    <w:p w14:paraId="3B1E0AA5" w14:textId="559F9653" w:rsidR="00262B95" w:rsidRPr="002A2450" w:rsidRDefault="00357AD7" w:rsidP="00AD5C0E">
      <w:pPr>
        <w:spacing w:after="0" w:line="360" w:lineRule="auto"/>
        <w:ind w:left="103"/>
        <w:jc w:val="both"/>
        <w:rPr>
          <w:rFonts w:ascii="ITC Avant Garde" w:hAnsi="ITC Avant Garde"/>
        </w:rPr>
      </w:pPr>
      <w:r>
        <w:rPr>
          <w:rFonts w:ascii="ITC Avant Garde" w:hAnsi="ITC Avant Garde"/>
        </w:rPr>
        <w:t>En tal sentido, este Instituto</w:t>
      </w:r>
      <w:r w:rsidR="00262B95" w:rsidRPr="002A2450">
        <w:rPr>
          <w:rFonts w:ascii="ITC Avant Garde" w:hAnsi="ITC Avant Garde"/>
        </w:rPr>
        <w:t xml:space="preserve"> tuvo </w:t>
      </w:r>
      <w:r>
        <w:rPr>
          <w:rFonts w:ascii="ITC Avant Garde" w:hAnsi="ITC Avant Garde"/>
        </w:rPr>
        <w:t xml:space="preserve">conocimiento de que se llevaron a cabo por lo menos </w:t>
      </w:r>
      <w:r w:rsidR="00262B95" w:rsidRPr="002A2450">
        <w:rPr>
          <w:rFonts w:ascii="ITC Avant Garde" w:hAnsi="ITC Avant Garde"/>
        </w:rPr>
        <w:t>35 reuniones con los siguientes objetos</w:t>
      </w:r>
      <w:r w:rsidR="00A45CA9" w:rsidRPr="002A2450">
        <w:rPr>
          <w:rFonts w:ascii="ITC Avant Garde" w:hAnsi="ITC Avant Garde"/>
        </w:rPr>
        <w:t xml:space="preserve"> (únicamente se describen las que esta autoridad tuvo conocimiento)</w:t>
      </w:r>
      <w:r w:rsidR="00262B95" w:rsidRPr="002A2450">
        <w:rPr>
          <w:rFonts w:ascii="ITC Avant Garde" w:hAnsi="ITC Avant Garde"/>
        </w:rPr>
        <w:t>:</w:t>
      </w:r>
    </w:p>
    <w:tbl>
      <w:tblPr>
        <w:tblStyle w:val="Tablaconcuadrcula1"/>
        <w:tblW w:w="5000" w:type="pct"/>
        <w:tblLook w:val="04A0" w:firstRow="1" w:lastRow="0" w:firstColumn="1" w:lastColumn="0" w:noHBand="0" w:noVBand="1"/>
        <w:tblCaption w:val="Temas de las reuniones"/>
        <w:tblDescription w:val="En una tabla de 5 columnas, se proporciona infromación confidencial respecto de los lugares y asistentes, y se proporciona información de las fechas y temas."/>
      </w:tblPr>
      <w:tblGrid>
        <w:gridCol w:w="1215"/>
        <w:gridCol w:w="2043"/>
        <w:gridCol w:w="2000"/>
        <w:gridCol w:w="2233"/>
        <w:gridCol w:w="1337"/>
      </w:tblGrid>
      <w:tr w:rsidR="00262B95" w:rsidRPr="00AD5C0E" w14:paraId="7C3155A6" w14:textId="77777777" w:rsidTr="00AD5C0E">
        <w:trPr>
          <w:trHeight w:val="20"/>
          <w:tblHeader/>
        </w:trPr>
        <w:tc>
          <w:tcPr>
            <w:tcW w:w="688" w:type="pct"/>
            <w:shd w:val="clear" w:color="auto" w:fill="808080" w:themeFill="background1" w:themeFillShade="80"/>
          </w:tcPr>
          <w:p w14:paraId="15E39623" w14:textId="77777777" w:rsidR="00262B95" w:rsidRPr="00AD5C0E" w:rsidRDefault="00262B95" w:rsidP="00AD5C0E">
            <w:pPr>
              <w:spacing w:line="360" w:lineRule="auto"/>
              <w:jc w:val="center"/>
              <w:rPr>
                <w:rFonts w:ascii="ITC Avant Garde" w:hAnsi="ITC Avant Garde" w:cs="Arial"/>
                <w:b/>
                <w:sz w:val="16"/>
                <w:szCs w:val="16"/>
              </w:rPr>
            </w:pPr>
            <w:r w:rsidRPr="00AD5C0E">
              <w:rPr>
                <w:rFonts w:ascii="ITC Avant Garde" w:hAnsi="ITC Avant Garde" w:cs="Arial"/>
                <w:b/>
                <w:sz w:val="16"/>
                <w:szCs w:val="16"/>
              </w:rPr>
              <w:lastRenderedPageBreak/>
              <w:t>FECHA</w:t>
            </w:r>
          </w:p>
        </w:tc>
        <w:tc>
          <w:tcPr>
            <w:tcW w:w="1157" w:type="pct"/>
            <w:shd w:val="clear" w:color="auto" w:fill="808080" w:themeFill="background1" w:themeFillShade="80"/>
            <w:vAlign w:val="center"/>
          </w:tcPr>
          <w:p w14:paraId="57038518" w14:textId="77777777" w:rsidR="00262B95" w:rsidRPr="002A2450" w:rsidRDefault="00262B95" w:rsidP="00AD5C0E">
            <w:pPr>
              <w:spacing w:line="360" w:lineRule="auto"/>
              <w:jc w:val="center"/>
              <w:rPr>
                <w:rFonts w:ascii="ITC Avant Garde" w:hAnsi="ITC Avant Garde" w:cs="Arial"/>
                <w:b/>
                <w:sz w:val="16"/>
                <w:szCs w:val="16"/>
              </w:rPr>
            </w:pPr>
            <w:r w:rsidRPr="002A2450">
              <w:rPr>
                <w:rFonts w:ascii="ITC Avant Garde" w:hAnsi="ITC Avant Garde" w:cs="Arial"/>
                <w:b/>
                <w:sz w:val="16"/>
                <w:szCs w:val="16"/>
              </w:rPr>
              <w:t>LUGAR</w:t>
            </w:r>
          </w:p>
        </w:tc>
        <w:tc>
          <w:tcPr>
            <w:tcW w:w="1133" w:type="pct"/>
            <w:shd w:val="clear" w:color="auto" w:fill="808080" w:themeFill="background1" w:themeFillShade="80"/>
            <w:vAlign w:val="center"/>
          </w:tcPr>
          <w:p w14:paraId="3D15D564" w14:textId="77777777" w:rsidR="00262B95" w:rsidRPr="002A2450" w:rsidRDefault="00262B95" w:rsidP="00AD5C0E">
            <w:pPr>
              <w:spacing w:line="360" w:lineRule="auto"/>
              <w:jc w:val="center"/>
              <w:rPr>
                <w:rFonts w:ascii="ITC Avant Garde" w:hAnsi="ITC Avant Garde" w:cs="Arial"/>
                <w:b/>
                <w:sz w:val="16"/>
                <w:szCs w:val="16"/>
              </w:rPr>
            </w:pPr>
            <w:r w:rsidRPr="002A2450">
              <w:rPr>
                <w:rFonts w:ascii="ITC Avant Garde" w:hAnsi="ITC Avant Garde" w:cs="Arial"/>
                <w:b/>
                <w:sz w:val="16"/>
                <w:szCs w:val="16"/>
              </w:rPr>
              <w:t>ASISTENTES</w:t>
            </w:r>
          </w:p>
        </w:tc>
        <w:tc>
          <w:tcPr>
            <w:tcW w:w="1265" w:type="pct"/>
            <w:shd w:val="clear" w:color="auto" w:fill="808080" w:themeFill="background1" w:themeFillShade="80"/>
          </w:tcPr>
          <w:p w14:paraId="09A837D8" w14:textId="77777777" w:rsidR="00262B95" w:rsidRPr="00AD5C0E" w:rsidRDefault="00262B95" w:rsidP="00AD5C0E">
            <w:pPr>
              <w:spacing w:line="360" w:lineRule="auto"/>
              <w:jc w:val="center"/>
              <w:rPr>
                <w:rFonts w:ascii="ITC Avant Garde" w:hAnsi="ITC Avant Garde" w:cs="Arial"/>
                <w:b/>
                <w:sz w:val="16"/>
                <w:szCs w:val="16"/>
              </w:rPr>
            </w:pPr>
            <w:r w:rsidRPr="00AD5C0E">
              <w:rPr>
                <w:rFonts w:ascii="ITC Avant Garde" w:hAnsi="ITC Avant Garde" w:cs="Arial"/>
                <w:b/>
                <w:sz w:val="16"/>
                <w:szCs w:val="16"/>
              </w:rPr>
              <w:t>TEMAS</w:t>
            </w:r>
          </w:p>
        </w:tc>
        <w:tc>
          <w:tcPr>
            <w:tcW w:w="758" w:type="pct"/>
            <w:shd w:val="clear" w:color="auto" w:fill="808080" w:themeFill="background1" w:themeFillShade="80"/>
          </w:tcPr>
          <w:p w14:paraId="15731D22" w14:textId="77777777" w:rsidR="00262B95" w:rsidRPr="002A2450" w:rsidRDefault="00262B95" w:rsidP="006375AA">
            <w:pPr>
              <w:spacing w:line="360" w:lineRule="auto"/>
              <w:jc w:val="center"/>
              <w:rPr>
                <w:rFonts w:ascii="ITC Avant Garde" w:hAnsi="ITC Avant Garde" w:cs="Arial"/>
                <w:b/>
                <w:sz w:val="16"/>
                <w:szCs w:val="16"/>
              </w:rPr>
            </w:pPr>
            <w:r w:rsidRPr="002A2450">
              <w:rPr>
                <w:rFonts w:ascii="ITC Avant Garde" w:hAnsi="ITC Avant Garde" w:cs="Arial"/>
                <w:b/>
                <w:sz w:val="16"/>
                <w:szCs w:val="16"/>
              </w:rPr>
              <w:t>DOCUMENTO</w:t>
            </w:r>
          </w:p>
        </w:tc>
      </w:tr>
      <w:tr w:rsidR="00AD5C0E" w:rsidRPr="002A2450" w14:paraId="3439AA2B" w14:textId="77777777" w:rsidTr="005E1F62">
        <w:trPr>
          <w:trHeight w:val="2437"/>
        </w:trPr>
        <w:tc>
          <w:tcPr>
            <w:tcW w:w="688" w:type="pct"/>
          </w:tcPr>
          <w:p w14:paraId="0BAFB945"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Junio 23 DE 2009</w:t>
            </w:r>
          </w:p>
        </w:tc>
        <w:tc>
          <w:tcPr>
            <w:tcW w:w="1157" w:type="pct"/>
            <w:vAlign w:val="center"/>
          </w:tcPr>
          <w:p w14:paraId="6F633832" w14:textId="16606100"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4C6FD5D7" w14:textId="4E5EDB3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796B86B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D1C5D72"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4DB5996D" w14:textId="77777777" w:rsidTr="005E1F62">
        <w:trPr>
          <w:trHeight w:val="20"/>
        </w:trPr>
        <w:tc>
          <w:tcPr>
            <w:tcW w:w="688" w:type="pct"/>
          </w:tcPr>
          <w:p w14:paraId="2341FF9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Agosto 25 de 2009</w:t>
            </w:r>
          </w:p>
        </w:tc>
        <w:tc>
          <w:tcPr>
            <w:tcW w:w="1157" w:type="pct"/>
            <w:vAlign w:val="center"/>
          </w:tcPr>
          <w:p w14:paraId="35F77177" w14:textId="52DB597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0C8B6BF" w14:textId="261BA1E5"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5F17B964"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C3022D9"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D2CD0B5" w14:textId="77777777" w:rsidTr="005E1F62">
        <w:trPr>
          <w:trHeight w:val="20"/>
        </w:trPr>
        <w:tc>
          <w:tcPr>
            <w:tcW w:w="688" w:type="pct"/>
          </w:tcPr>
          <w:p w14:paraId="4ACBC616"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Septiembre 30 de 2009</w:t>
            </w:r>
          </w:p>
        </w:tc>
        <w:tc>
          <w:tcPr>
            <w:tcW w:w="1157" w:type="pct"/>
            <w:vAlign w:val="center"/>
          </w:tcPr>
          <w:p w14:paraId="067B0B85" w14:textId="066886CE"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9759268" w14:textId="200F4CD9"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6E7E763F"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048B4042"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18714E0" w14:textId="77777777" w:rsidTr="005E1F62">
        <w:trPr>
          <w:trHeight w:val="20"/>
        </w:trPr>
        <w:tc>
          <w:tcPr>
            <w:tcW w:w="688" w:type="pct"/>
          </w:tcPr>
          <w:p w14:paraId="6B4F9A73"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Noviembre 24 de 2009</w:t>
            </w:r>
          </w:p>
        </w:tc>
        <w:tc>
          <w:tcPr>
            <w:tcW w:w="1157" w:type="pct"/>
            <w:vAlign w:val="center"/>
          </w:tcPr>
          <w:p w14:paraId="67E520CA" w14:textId="5200252F"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5C27DEB1" w14:textId="5EAC4D13"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0097091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contratos de Arrendamiento de cajas, Contrato de distribución y comisión </w:t>
            </w:r>
            <w:r w:rsidRPr="002A2450">
              <w:rPr>
                <w:rFonts w:ascii="ITC Avant Garde" w:hAnsi="ITC Avant Garde" w:cs="Arial"/>
                <w:sz w:val="16"/>
                <w:szCs w:val="16"/>
              </w:rPr>
              <w:lastRenderedPageBreak/>
              <w:t>de ventas y Contrato de Cobranza</w:t>
            </w:r>
          </w:p>
        </w:tc>
        <w:tc>
          <w:tcPr>
            <w:tcW w:w="758" w:type="pct"/>
          </w:tcPr>
          <w:p w14:paraId="3D437FB5"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33FCFFDE" w14:textId="77777777" w:rsidTr="005E1F62">
        <w:trPr>
          <w:trHeight w:val="20"/>
        </w:trPr>
        <w:tc>
          <w:tcPr>
            <w:tcW w:w="688" w:type="pct"/>
          </w:tcPr>
          <w:p w14:paraId="1638BDA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Febrero 23 de 2010</w:t>
            </w:r>
          </w:p>
        </w:tc>
        <w:tc>
          <w:tcPr>
            <w:tcW w:w="1157" w:type="pct"/>
            <w:vAlign w:val="center"/>
          </w:tcPr>
          <w:p w14:paraId="19D169B2" w14:textId="30540412"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11D08EF5" w14:textId="66C96498"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090916D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3CBCD9D1"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21025989" w14:textId="77777777" w:rsidTr="005E1F62">
        <w:trPr>
          <w:trHeight w:val="20"/>
        </w:trPr>
        <w:tc>
          <w:tcPr>
            <w:tcW w:w="688" w:type="pct"/>
          </w:tcPr>
          <w:p w14:paraId="0BF0B26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Marzo 23 de 2010</w:t>
            </w:r>
          </w:p>
        </w:tc>
        <w:tc>
          <w:tcPr>
            <w:tcW w:w="1157" w:type="pct"/>
            <w:vAlign w:val="center"/>
          </w:tcPr>
          <w:p w14:paraId="2BF9E414" w14:textId="313854A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2CAF9CFF" w14:textId="43E203B1"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6826B24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F927795"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24D7532A" w14:textId="77777777" w:rsidTr="005E1F62">
        <w:trPr>
          <w:trHeight w:val="20"/>
        </w:trPr>
        <w:tc>
          <w:tcPr>
            <w:tcW w:w="688" w:type="pct"/>
          </w:tcPr>
          <w:p w14:paraId="72319E6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Mayo 25 de 2010</w:t>
            </w:r>
          </w:p>
          <w:p w14:paraId="7496DA1D" w14:textId="77777777" w:rsidR="00AD5C0E" w:rsidRPr="002A2450" w:rsidRDefault="00AD5C0E" w:rsidP="00AD5C0E">
            <w:pPr>
              <w:spacing w:line="360" w:lineRule="auto"/>
              <w:ind w:left="103" w:firstLine="0"/>
              <w:rPr>
                <w:rFonts w:ascii="ITC Avant Garde" w:hAnsi="ITC Avant Garde" w:cs="Arial"/>
                <w:sz w:val="16"/>
                <w:szCs w:val="16"/>
              </w:rPr>
            </w:pPr>
          </w:p>
        </w:tc>
        <w:tc>
          <w:tcPr>
            <w:tcW w:w="1157" w:type="pct"/>
            <w:vAlign w:val="center"/>
          </w:tcPr>
          <w:p w14:paraId="5A3A7EBF" w14:textId="74FAAD2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111D5B1A" w14:textId="38BB35B0"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2E3CB5A2"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6A10E2BD"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15EC6542" w14:textId="77777777" w:rsidTr="005E1F62">
        <w:trPr>
          <w:trHeight w:val="20"/>
        </w:trPr>
        <w:tc>
          <w:tcPr>
            <w:tcW w:w="688" w:type="pct"/>
          </w:tcPr>
          <w:p w14:paraId="739E385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Junio 29 de 2010</w:t>
            </w:r>
          </w:p>
        </w:tc>
        <w:tc>
          <w:tcPr>
            <w:tcW w:w="1157" w:type="pct"/>
            <w:vAlign w:val="center"/>
          </w:tcPr>
          <w:p w14:paraId="17E34EE6" w14:textId="28BC886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06568E85" w14:textId="1523AB4E"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41A64A4D"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contratos de Arrendamiento de </w:t>
            </w:r>
            <w:r w:rsidRPr="002A2450">
              <w:rPr>
                <w:rFonts w:ascii="ITC Avant Garde" w:hAnsi="ITC Avant Garde" w:cs="Arial"/>
                <w:sz w:val="16"/>
                <w:szCs w:val="16"/>
              </w:rPr>
              <w:lastRenderedPageBreak/>
              <w:t>cajas, Contrato de distribución y comisión de ventas y Contrato de Cobranza</w:t>
            </w:r>
          </w:p>
        </w:tc>
        <w:tc>
          <w:tcPr>
            <w:tcW w:w="758" w:type="pct"/>
          </w:tcPr>
          <w:p w14:paraId="237D387A"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72DBDB27" w14:textId="77777777" w:rsidTr="005E1F62">
        <w:trPr>
          <w:trHeight w:val="20"/>
        </w:trPr>
        <w:tc>
          <w:tcPr>
            <w:tcW w:w="688" w:type="pct"/>
          </w:tcPr>
          <w:p w14:paraId="28F54CA6"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Agosto 24 de 2010</w:t>
            </w:r>
          </w:p>
        </w:tc>
        <w:tc>
          <w:tcPr>
            <w:tcW w:w="1157" w:type="pct"/>
            <w:vAlign w:val="center"/>
          </w:tcPr>
          <w:p w14:paraId="658A5491" w14:textId="6B0FB8A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06DB3DD5" w14:textId="19137389"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23DFD13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5C6A3E10"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3DD49975" w14:textId="77777777" w:rsidTr="005E1F62">
        <w:trPr>
          <w:trHeight w:val="20"/>
        </w:trPr>
        <w:tc>
          <w:tcPr>
            <w:tcW w:w="688" w:type="pct"/>
          </w:tcPr>
          <w:p w14:paraId="77736438"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Septiembre 28 de 2010</w:t>
            </w:r>
          </w:p>
        </w:tc>
        <w:tc>
          <w:tcPr>
            <w:tcW w:w="1157" w:type="pct"/>
            <w:vAlign w:val="center"/>
          </w:tcPr>
          <w:p w14:paraId="20D8BEB1" w14:textId="1C60296F"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6185A01" w14:textId="3F0421E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5F4199B3"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72B250D9"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76EEC08C" w14:textId="77777777" w:rsidTr="005E1F62">
        <w:trPr>
          <w:trHeight w:val="20"/>
        </w:trPr>
        <w:tc>
          <w:tcPr>
            <w:tcW w:w="688" w:type="pct"/>
          </w:tcPr>
          <w:p w14:paraId="200FE47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Febrero 22 de 2011</w:t>
            </w:r>
          </w:p>
        </w:tc>
        <w:tc>
          <w:tcPr>
            <w:tcW w:w="1157" w:type="pct"/>
            <w:vAlign w:val="center"/>
          </w:tcPr>
          <w:p w14:paraId="1CBC5D3C" w14:textId="30330E3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01517C86" w14:textId="1947578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2E22DD3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0A8DA48F"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49A9E9C0" w14:textId="77777777" w:rsidTr="005E1F62">
        <w:trPr>
          <w:trHeight w:val="20"/>
        </w:trPr>
        <w:tc>
          <w:tcPr>
            <w:tcW w:w="688" w:type="pct"/>
          </w:tcPr>
          <w:p w14:paraId="405DC51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Marzo 29 de 2011</w:t>
            </w:r>
          </w:p>
        </w:tc>
        <w:tc>
          <w:tcPr>
            <w:tcW w:w="1157" w:type="pct"/>
            <w:vAlign w:val="center"/>
          </w:tcPr>
          <w:p w14:paraId="685DE554" w14:textId="2A92C19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533C4A5" w14:textId="439BA82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5E0BD4D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w:t>
            </w:r>
            <w:r w:rsidRPr="002A2450">
              <w:rPr>
                <w:rFonts w:ascii="ITC Avant Garde" w:hAnsi="ITC Avant Garde" w:cs="Arial"/>
                <w:sz w:val="16"/>
                <w:szCs w:val="16"/>
              </w:rPr>
              <w:lastRenderedPageBreak/>
              <w:t>contratos de Arrendamiento de cajas, Contrato de distribución y comisión de ventas y Contrato de Cobranza</w:t>
            </w:r>
          </w:p>
        </w:tc>
        <w:tc>
          <w:tcPr>
            <w:tcW w:w="758" w:type="pct"/>
          </w:tcPr>
          <w:p w14:paraId="06F03EE7"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0AC006F4" w14:textId="77777777" w:rsidTr="005E1F62">
        <w:trPr>
          <w:trHeight w:val="20"/>
        </w:trPr>
        <w:tc>
          <w:tcPr>
            <w:tcW w:w="688" w:type="pct"/>
          </w:tcPr>
          <w:p w14:paraId="16794FA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Mayo 24 de 2011</w:t>
            </w:r>
          </w:p>
        </w:tc>
        <w:tc>
          <w:tcPr>
            <w:tcW w:w="1157" w:type="pct"/>
            <w:vAlign w:val="center"/>
          </w:tcPr>
          <w:p w14:paraId="46F29363" w14:textId="7A5FB893"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630D1A40" w14:textId="21F29C0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08B4E89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1F4A9197"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242BEF06" w14:textId="77777777" w:rsidTr="005E1F62">
        <w:trPr>
          <w:trHeight w:val="20"/>
        </w:trPr>
        <w:tc>
          <w:tcPr>
            <w:tcW w:w="688" w:type="pct"/>
          </w:tcPr>
          <w:p w14:paraId="03D781DB"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Junio 28 de 2011</w:t>
            </w:r>
          </w:p>
        </w:tc>
        <w:tc>
          <w:tcPr>
            <w:tcW w:w="1157" w:type="pct"/>
            <w:vAlign w:val="center"/>
          </w:tcPr>
          <w:p w14:paraId="7D9D5F69" w14:textId="2F210EE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19622978" w14:textId="4268DA95"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65DDB0D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04D6168E"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26EEC61D" w14:textId="77777777" w:rsidTr="005E1F62">
        <w:trPr>
          <w:trHeight w:val="20"/>
        </w:trPr>
        <w:tc>
          <w:tcPr>
            <w:tcW w:w="688" w:type="pct"/>
          </w:tcPr>
          <w:p w14:paraId="447D7DD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Agosto 23 de 2011</w:t>
            </w:r>
          </w:p>
        </w:tc>
        <w:tc>
          <w:tcPr>
            <w:tcW w:w="1157" w:type="pct"/>
            <w:vAlign w:val="center"/>
          </w:tcPr>
          <w:p w14:paraId="1D507D17" w14:textId="011A4F8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3DB9DBE" w14:textId="626284F9"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0B3F5952"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1852435B"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CE47D49" w14:textId="77777777" w:rsidTr="005E1F62">
        <w:trPr>
          <w:trHeight w:val="20"/>
        </w:trPr>
        <w:tc>
          <w:tcPr>
            <w:tcW w:w="688" w:type="pct"/>
          </w:tcPr>
          <w:p w14:paraId="31330806"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Septiembre 27 de 2011</w:t>
            </w:r>
          </w:p>
        </w:tc>
        <w:tc>
          <w:tcPr>
            <w:tcW w:w="1157" w:type="pct"/>
            <w:vAlign w:val="center"/>
          </w:tcPr>
          <w:p w14:paraId="0DC79E95" w14:textId="32E83D9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E1B69C9" w14:textId="662FD1B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3CB60B94"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w:t>
            </w:r>
            <w:r w:rsidRPr="002A2450">
              <w:rPr>
                <w:rFonts w:ascii="ITC Avant Garde" w:hAnsi="ITC Avant Garde" w:cs="Arial"/>
                <w:sz w:val="16"/>
                <w:szCs w:val="16"/>
              </w:rPr>
              <w:lastRenderedPageBreak/>
              <w:t>administrativas derivados de los contratos de Arrendamiento de cajas, Contrato de distribución y comisión de ventas y Contrato de Cobranza</w:t>
            </w:r>
          </w:p>
        </w:tc>
        <w:tc>
          <w:tcPr>
            <w:tcW w:w="758" w:type="pct"/>
          </w:tcPr>
          <w:p w14:paraId="2EE6F227"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6F45D8C3" w14:textId="77777777" w:rsidTr="005E1F62">
        <w:trPr>
          <w:trHeight w:val="20"/>
        </w:trPr>
        <w:tc>
          <w:tcPr>
            <w:tcW w:w="688" w:type="pct"/>
          </w:tcPr>
          <w:p w14:paraId="14A73F6D"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Noviembre 29 de 2011</w:t>
            </w:r>
          </w:p>
        </w:tc>
        <w:tc>
          <w:tcPr>
            <w:tcW w:w="1157" w:type="pct"/>
            <w:vAlign w:val="center"/>
          </w:tcPr>
          <w:p w14:paraId="6F38ED45" w14:textId="4AB34E5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5F36481" w14:textId="6570621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15638D32"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72C7309"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38FA07C4" w14:textId="77777777" w:rsidTr="005E1F62">
        <w:trPr>
          <w:trHeight w:val="20"/>
        </w:trPr>
        <w:tc>
          <w:tcPr>
            <w:tcW w:w="688" w:type="pct"/>
          </w:tcPr>
          <w:p w14:paraId="6599AF64"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Febrero 28 de 2012</w:t>
            </w:r>
          </w:p>
        </w:tc>
        <w:tc>
          <w:tcPr>
            <w:tcW w:w="1157" w:type="pct"/>
            <w:vAlign w:val="center"/>
          </w:tcPr>
          <w:p w14:paraId="53EA8796" w14:textId="721A30F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676073C9" w14:textId="15F32872"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7A46CE3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096313C4"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1D09378E" w14:textId="77777777" w:rsidTr="005E1F62">
        <w:trPr>
          <w:trHeight w:val="20"/>
        </w:trPr>
        <w:tc>
          <w:tcPr>
            <w:tcW w:w="688" w:type="pct"/>
          </w:tcPr>
          <w:p w14:paraId="6B08C19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Marzo 27 de 2012</w:t>
            </w:r>
          </w:p>
        </w:tc>
        <w:tc>
          <w:tcPr>
            <w:tcW w:w="1157" w:type="pct"/>
            <w:vAlign w:val="center"/>
          </w:tcPr>
          <w:p w14:paraId="49F6CFEF" w14:textId="126EBD27"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1C93F232" w14:textId="77F819F2"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72BF30F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BC76F65"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A14FAF8" w14:textId="77777777" w:rsidTr="005E1F62">
        <w:trPr>
          <w:trHeight w:val="20"/>
        </w:trPr>
        <w:tc>
          <w:tcPr>
            <w:tcW w:w="688" w:type="pct"/>
          </w:tcPr>
          <w:p w14:paraId="05A50F7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Mayo 29 de 2012</w:t>
            </w:r>
          </w:p>
        </w:tc>
        <w:tc>
          <w:tcPr>
            <w:tcW w:w="1157" w:type="pct"/>
            <w:vAlign w:val="center"/>
          </w:tcPr>
          <w:p w14:paraId="284F09A5" w14:textId="6E80F54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B31C85E" w14:textId="503B5B0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3FE0BEA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2BFED3ED"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4F97A21A" w14:textId="77777777" w:rsidTr="005E1F62">
        <w:trPr>
          <w:trHeight w:val="20"/>
        </w:trPr>
        <w:tc>
          <w:tcPr>
            <w:tcW w:w="688" w:type="pct"/>
          </w:tcPr>
          <w:p w14:paraId="41ECEE0F"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Junio 26 2012</w:t>
            </w:r>
          </w:p>
        </w:tc>
        <w:tc>
          <w:tcPr>
            <w:tcW w:w="1157" w:type="pct"/>
            <w:vAlign w:val="center"/>
          </w:tcPr>
          <w:p w14:paraId="397599DB" w14:textId="58F761F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54EA028F" w14:textId="486883B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307104C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7AD16EE1"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AC93F06" w14:textId="77777777" w:rsidTr="005E1F62">
        <w:trPr>
          <w:trHeight w:val="20"/>
        </w:trPr>
        <w:tc>
          <w:tcPr>
            <w:tcW w:w="688" w:type="pct"/>
          </w:tcPr>
          <w:p w14:paraId="07329CBC"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Agosto 28 de 2012</w:t>
            </w:r>
          </w:p>
        </w:tc>
        <w:tc>
          <w:tcPr>
            <w:tcW w:w="1157" w:type="pct"/>
            <w:vAlign w:val="center"/>
          </w:tcPr>
          <w:p w14:paraId="3BB3913E" w14:textId="4F4DC7C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2D7D328" w14:textId="224EC37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5CCCAB5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32D6856C"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18E923DD" w14:textId="77777777" w:rsidTr="005E1F62">
        <w:trPr>
          <w:trHeight w:val="20"/>
        </w:trPr>
        <w:tc>
          <w:tcPr>
            <w:tcW w:w="688" w:type="pct"/>
          </w:tcPr>
          <w:p w14:paraId="4583AB43"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Septiembre 25 de 2012</w:t>
            </w:r>
          </w:p>
        </w:tc>
        <w:tc>
          <w:tcPr>
            <w:tcW w:w="1157" w:type="pct"/>
            <w:vAlign w:val="center"/>
          </w:tcPr>
          <w:p w14:paraId="674DFA56" w14:textId="671988B1"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5899CA5" w14:textId="253CC297"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7B4B32E4"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contratos de Arrendamiento de cajas, Contrato de distribución y comisión </w:t>
            </w:r>
            <w:r w:rsidRPr="002A2450">
              <w:rPr>
                <w:rFonts w:ascii="ITC Avant Garde" w:hAnsi="ITC Avant Garde" w:cs="Arial"/>
                <w:sz w:val="16"/>
                <w:szCs w:val="16"/>
              </w:rPr>
              <w:lastRenderedPageBreak/>
              <w:t>de ventas y Contrato de Cobranza</w:t>
            </w:r>
          </w:p>
        </w:tc>
        <w:tc>
          <w:tcPr>
            <w:tcW w:w="758" w:type="pct"/>
          </w:tcPr>
          <w:p w14:paraId="0EEC4393"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7275BC49" w14:textId="77777777" w:rsidTr="005E1F62">
        <w:trPr>
          <w:trHeight w:val="20"/>
        </w:trPr>
        <w:tc>
          <w:tcPr>
            <w:tcW w:w="688" w:type="pct"/>
          </w:tcPr>
          <w:p w14:paraId="4311975F"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Noviembre 29 de 2012</w:t>
            </w:r>
          </w:p>
        </w:tc>
        <w:tc>
          <w:tcPr>
            <w:tcW w:w="1157" w:type="pct"/>
            <w:vAlign w:val="center"/>
          </w:tcPr>
          <w:p w14:paraId="14E8F94C" w14:textId="18107C5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48B08DA9" w14:textId="0BF65D50"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383756F3"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3E0F77DA"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BF99166" w14:textId="77777777" w:rsidTr="005E1F62">
        <w:trPr>
          <w:trHeight w:val="20"/>
        </w:trPr>
        <w:tc>
          <w:tcPr>
            <w:tcW w:w="688" w:type="pct"/>
          </w:tcPr>
          <w:p w14:paraId="29C5316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Enero 8 de 2013</w:t>
            </w:r>
          </w:p>
        </w:tc>
        <w:tc>
          <w:tcPr>
            <w:tcW w:w="1157" w:type="pct"/>
            <w:vAlign w:val="center"/>
          </w:tcPr>
          <w:p w14:paraId="0D054A69" w14:textId="6D959A3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1F0459A4" w14:textId="4729369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04EFA49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788A4803"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4FAB2875" w14:textId="77777777" w:rsidTr="005E1F62">
        <w:trPr>
          <w:trHeight w:val="20"/>
        </w:trPr>
        <w:tc>
          <w:tcPr>
            <w:tcW w:w="688" w:type="pct"/>
          </w:tcPr>
          <w:p w14:paraId="604BEF1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Febrero 26 de 2013</w:t>
            </w:r>
          </w:p>
        </w:tc>
        <w:tc>
          <w:tcPr>
            <w:tcW w:w="1157" w:type="pct"/>
            <w:vAlign w:val="center"/>
          </w:tcPr>
          <w:p w14:paraId="5C1F2023" w14:textId="1A22338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3120CB10" w14:textId="76B3087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521AF150"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6EA8755B"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7757EED2" w14:textId="77777777" w:rsidTr="005E1F62">
        <w:trPr>
          <w:trHeight w:val="20"/>
        </w:trPr>
        <w:tc>
          <w:tcPr>
            <w:tcW w:w="688" w:type="pct"/>
          </w:tcPr>
          <w:p w14:paraId="743BE8D7"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Marzo 21 de 2013</w:t>
            </w:r>
          </w:p>
        </w:tc>
        <w:tc>
          <w:tcPr>
            <w:tcW w:w="1157" w:type="pct"/>
            <w:vAlign w:val="center"/>
          </w:tcPr>
          <w:p w14:paraId="3960863A" w14:textId="2734CBCC"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470A3E4E" w14:textId="4EB0292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6F050B0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contratos de Arrendamiento de </w:t>
            </w:r>
            <w:r w:rsidRPr="002A2450">
              <w:rPr>
                <w:rFonts w:ascii="ITC Avant Garde" w:hAnsi="ITC Avant Garde" w:cs="Arial"/>
                <w:sz w:val="16"/>
                <w:szCs w:val="16"/>
              </w:rPr>
              <w:lastRenderedPageBreak/>
              <w:t>cajas, Contrato de distribución y comisión de ventas y Contrato de Cobranza</w:t>
            </w:r>
          </w:p>
        </w:tc>
        <w:tc>
          <w:tcPr>
            <w:tcW w:w="758" w:type="pct"/>
          </w:tcPr>
          <w:p w14:paraId="2F8408F2"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No</w:t>
            </w:r>
          </w:p>
        </w:tc>
      </w:tr>
      <w:tr w:rsidR="00AD5C0E" w:rsidRPr="002A2450" w14:paraId="028FB8D5" w14:textId="77777777" w:rsidTr="005E1F62">
        <w:trPr>
          <w:trHeight w:val="20"/>
        </w:trPr>
        <w:tc>
          <w:tcPr>
            <w:tcW w:w="688" w:type="pct"/>
          </w:tcPr>
          <w:p w14:paraId="0371F65D"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Mayo 21 de 2013</w:t>
            </w:r>
          </w:p>
        </w:tc>
        <w:tc>
          <w:tcPr>
            <w:tcW w:w="1157" w:type="pct"/>
            <w:vAlign w:val="center"/>
          </w:tcPr>
          <w:p w14:paraId="4604FBDE" w14:textId="208DBC16"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483F4253" w14:textId="1D44B0B2"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3DE0395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5E050B4F"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69765A56" w14:textId="77777777" w:rsidTr="005E1F62">
        <w:trPr>
          <w:trHeight w:val="20"/>
        </w:trPr>
        <w:tc>
          <w:tcPr>
            <w:tcW w:w="688" w:type="pct"/>
          </w:tcPr>
          <w:p w14:paraId="5EB282C4"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Junio 25 de 2013</w:t>
            </w:r>
          </w:p>
        </w:tc>
        <w:tc>
          <w:tcPr>
            <w:tcW w:w="1157" w:type="pct"/>
            <w:vAlign w:val="center"/>
          </w:tcPr>
          <w:p w14:paraId="014F8CAD" w14:textId="46F6EB1A"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63D46971" w14:textId="545B45C5"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66DDEE6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6B10400E"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No</w:t>
            </w:r>
          </w:p>
        </w:tc>
      </w:tr>
      <w:tr w:rsidR="00AD5C0E" w:rsidRPr="002A2450" w14:paraId="7FE8A59D" w14:textId="77777777" w:rsidTr="005E1F62">
        <w:trPr>
          <w:trHeight w:val="20"/>
        </w:trPr>
        <w:tc>
          <w:tcPr>
            <w:tcW w:w="688" w:type="pct"/>
          </w:tcPr>
          <w:p w14:paraId="7C747BD1"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Agosto 27 DE 2013</w:t>
            </w:r>
          </w:p>
        </w:tc>
        <w:tc>
          <w:tcPr>
            <w:tcW w:w="1157" w:type="pct"/>
            <w:vAlign w:val="center"/>
          </w:tcPr>
          <w:p w14:paraId="1BBEF451" w14:textId="450726A4"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07AF96C7" w14:textId="5FA4AFE1"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7638117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60037692"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 xml:space="preserve">Si </w:t>
            </w:r>
          </w:p>
        </w:tc>
      </w:tr>
      <w:tr w:rsidR="00AD5C0E" w:rsidRPr="002A2450" w14:paraId="1A6D607B" w14:textId="77777777" w:rsidTr="005E1F62">
        <w:trPr>
          <w:trHeight w:val="20"/>
        </w:trPr>
        <w:tc>
          <w:tcPr>
            <w:tcW w:w="688" w:type="pct"/>
          </w:tcPr>
          <w:p w14:paraId="1B266B6D"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Septiembre 24 de 2013</w:t>
            </w:r>
          </w:p>
        </w:tc>
        <w:tc>
          <w:tcPr>
            <w:tcW w:w="1157" w:type="pct"/>
            <w:vAlign w:val="center"/>
          </w:tcPr>
          <w:p w14:paraId="2BF403F3" w14:textId="57D39D75"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4B484277" w14:textId="23C08BAE"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2E2AAA1F"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 xml:space="preserve">Revisión de Actividades operativas y administrativas derivados de los </w:t>
            </w:r>
            <w:r w:rsidRPr="002A2450">
              <w:rPr>
                <w:rFonts w:ascii="ITC Avant Garde" w:hAnsi="ITC Avant Garde" w:cs="Arial"/>
                <w:sz w:val="16"/>
                <w:szCs w:val="16"/>
              </w:rPr>
              <w:lastRenderedPageBreak/>
              <w:t>contratos de Arrendamiento de cajas, Contrato de distribución y comisión de ventas y Contrato de Cobranza</w:t>
            </w:r>
          </w:p>
        </w:tc>
        <w:tc>
          <w:tcPr>
            <w:tcW w:w="758" w:type="pct"/>
          </w:tcPr>
          <w:p w14:paraId="35CD2767"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lastRenderedPageBreak/>
              <w:t xml:space="preserve">Si </w:t>
            </w:r>
          </w:p>
        </w:tc>
      </w:tr>
      <w:tr w:rsidR="00AD5C0E" w:rsidRPr="002A2450" w14:paraId="43292A1E" w14:textId="77777777" w:rsidTr="005E1F62">
        <w:trPr>
          <w:trHeight w:val="20"/>
        </w:trPr>
        <w:tc>
          <w:tcPr>
            <w:tcW w:w="688" w:type="pct"/>
          </w:tcPr>
          <w:p w14:paraId="711AFBCA"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lastRenderedPageBreak/>
              <w:t>Octubre 26 de 2013</w:t>
            </w:r>
          </w:p>
        </w:tc>
        <w:tc>
          <w:tcPr>
            <w:tcW w:w="1157" w:type="pct"/>
            <w:vAlign w:val="center"/>
          </w:tcPr>
          <w:p w14:paraId="333A5B8F" w14:textId="4DCCBD77"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60D75B6F" w14:textId="2A8C5EA9"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40DB8D0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41BE78B2"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 xml:space="preserve">Si </w:t>
            </w:r>
          </w:p>
        </w:tc>
      </w:tr>
      <w:tr w:rsidR="00AD5C0E" w:rsidRPr="002A2450" w14:paraId="3C7E748C" w14:textId="77777777" w:rsidTr="005E1F62">
        <w:trPr>
          <w:trHeight w:val="20"/>
        </w:trPr>
        <w:tc>
          <w:tcPr>
            <w:tcW w:w="688" w:type="pct"/>
          </w:tcPr>
          <w:p w14:paraId="1D41987E"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Enero 14 de 2014</w:t>
            </w:r>
          </w:p>
        </w:tc>
        <w:tc>
          <w:tcPr>
            <w:tcW w:w="1157" w:type="pct"/>
            <w:vAlign w:val="center"/>
          </w:tcPr>
          <w:p w14:paraId="7883DA35" w14:textId="422B0B37"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75572B8C" w14:textId="49363068"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2C2E834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0F6F50E1"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 xml:space="preserve">Si </w:t>
            </w:r>
          </w:p>
        </w:tc>
      </w:tr>
      <w:tr w:rsidR="00AD5C0E" w:rsidRPr="002A2450" w14:paraId="65A5F2DE" w14:textId="77777777" w:rsidTr="005E1F62">
        <w:trPr>
          <w:trHeight w:val="20"/>
        </w:trPr>
        <w:tc>
          <w:tcPr>
            <w:tcW w:w="688" w:type="pct"/>
          </w:tcPr>
          <w:p w14:paraId="5A49EA29"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Febrero 25 de 2014</w:t>
            </w:r>
          </w:p>
        </w:tc>
        <w:tc>
          <w:tcPr>
            <w:tcW w:w="1157" w:type="pct"/>
            <w:vAlign w:val="center"/>
          </w:tcPr>
          <w:p w14:paraId="60A915C9" w14:textId="7FFFAC6D"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133" w:type="pct"/>
            <w:vAlign w:val="center"/>
          </w:tcPr>
          <w:p w14:paraId="51B5B9A1" w14:textId="7A9560EE" w:rsidR="00AD5C0E" w:rsidRPr="005E1F62" w:rsidRDefault="00AD5C0E" w:rsidP="005E1F62">
            <w:pPr>
              <w:spacing w:line="360" w:lineRule="auto"/>
              <w:ind w:left="31" w:firstLine="0"/>
              <w:jc w:val="center"/>
              <w:rPr>
                <w:rFonts w:ascii="ITC Avant Garde" w:eastAsiaTheme="majorEastAsia" w:hAnsi="ITC Avant Garde" w:cstheme="majorBidi"/>
                <w:b/>
                <w:color w:val="0000FF"/>
                <w:sz w:val="16"/>
                <w:szCs w:val="32"/>
              </w:rPr>
            </w:pPr>
            <w:r w:rsidRPr="005E1F62">
              <w:rPr>
                <w:rFonts w:ascii="ITC Avant Garde" w:eastAsiaTheme="majorEastAsia" w:hAnsi="ITC Avant Garde" w:cstheme="majorBidi"/>
                <w:b/>
                <w:color w:val="0000FF"/>
                <w:sz w:val="16"/>
                <w:szCs w:val="32"/>
              </w:rPr>
              <w:t>“CONFIDENCIAL POR LEY”</w:t>
            </w:r>
          </w:p>
        </w:tc>
        <w:tc>
          <w:tcPr>
            <w:tcW w:w="1265" w:type="pct"/>
          </w:tcPr>
          <w:p w14:paraId="439F27C2" w14:textId="77777777" w:rsidR="00AD5C0E" w:rsidRPr="002A2450" w:rsidRDefault="00AD5C0E" w:rsidP="00AD5C0E">
            <w:pPr>
              <w:spacing w:line="360" w:lineRule="auto"/>
              <w:ind w:left="103" w:firstLine="0"/>
              <w:rPr>
                <w:rFonts w:ascii="ITC Avant Garde" w:hAnsi="ITC Avant Garde" w:cs="Arial"/>
                <w:sz w:val="16"/>
                <w:szCs w:val="16"/>
              </w:rPr>
            </w:pPr>
            <w:r w:rsidRPr="002A2450">
              <w:rPr>
                <w:rFonts w:ascii="ITC Avant Garde" w:hAnsi="ITC Avant Garde" w:cs="Arial"/>
                <w:sz w:val="16"/>
                <w:szCs w:val="16"/>
              </w:rPr>
              <w:t>Revisión de Actividades operativas y administrativas derivados de los contratos de Arrendamiento de cajas, Contrato de distribución y comisión de ventas y Contrato de Cobranza</w:t>
            </w:r>
          </w:p>
        </w:tc>
        <w:tc>
          <w:tcPr>
            <w:tcW w:w="758" w:type="pct"/>
          </w:tcPr>
          <w:p w14:paraId="4BC52840" w14:textId="77777777" w:rsidR="00AD5C0E" w:rsidRPr="002A2450" w:rsidRDefault="00AD5C0E" w:rsidP="00AD5C0E">
            <w:pPr>
              <w:spacing w:line="360" w:lineRule="auto"/>
              <w:rPr>
                <w:rFonts w:ascii="ITC Avant Garde" w:hAnsi="ITC Avant Garde" w:cs="Arial"/>
                <w:sz w:val="16"/>
                <w:szCs w:val="16"/>
              </w:rPr>
            </w:pPr>
            <w:r w:rsidRPr="002A2450">
              <w:rPr>
                <w:rFonts w:ascii="ITC Avant Garde" w:hAnsi="ITC Avant Garde" w:cs="Arial"/>
                <w:sz w:val="16"/>
                <w:szCs w:val="16"/>
              </w:rPr>
              <w:t xml:space="preserve">Si </w:t>
            </w:r>
          </w:p>
        </w:tc>
      </w:tr>
    </w:tbl>
    <w:p w14:paraId="0E27D71F" w14:textId="6656C1FF" w:rsidR="00B35F13" w:rsidRDefault="00262B95" w:rsidP="00B35F13">
      <w:pPr>
        <w:spacing w:before="240" w:line="360" w:lineRule="auto"/>
        <w:jc w:val="both"/>
        <w:rPr>
          <w:rFonts w:ascii="ITC Avant Garde" w:hAnsi="ITC Avant Garde"/>
          <w:b/>
        </w:rPr>
      </w:pPr>
      <w:r w:rsidRPr="002A2450">
        <w:rPr>
          <w:rFonts w:ascii="ITC Avant Garde" w:hAnsi="ITC Avant Garde"/>
        </w:rPr>
        <w:lastRenderedPageBreak/>
        <w:t>Cabe precisar que las personas que intervi</w:t>
      </w:r>
      <w:r w:rsidR="00785099" w:rsidRPr="002A2450">
        <w:rPr>
          <w:rFonts w:ascii="ITC Avant Garde" w:hAnsi="ITC Avant Garde"/>
        </w:rPr>
        <w:t>nieron</w:t>
      </w:r>
      <w:r w:rsidRPr="002A2450">
        <w:rPr>
          <w:rFonts w:ascii="ITC Avant Garde" w:hAnsi="ITC Avant Garde"/>
        </w:rPr>
        <w:t xml:space="preserve"> en la mayoría de dichas reuniones </w:t>
      </w:r>
      <w:r w:rsidR="00785099" w:rsidRPr="002A2450">
        <w:rPr>
          <w:rFonts w:ascii="ITC Avant Garde" w:hAnsi="ITC Avant Garde"/>
        </w:rPr>
        <w:t xml:space="preserve">se consideraron </w:t>
      </w:r>
      <w:r w:rsidRPr="002A2450">
        <w:rPr>
          <w:rFonts w:ascii="ITC Avant Garde" w:hAnsi="ITC Avant Garde"/>
        </w:rPr>
        <w:t xml:space="preserve">de la más alta investidura en ambas empresas, por un lado </w:t>
      </w:r>
      <w:r w:rsidR="001816A9" w:rsidRPr="005E1F62">
        <w:rPr>
          <w:rFonts w:ascii="ITC Avant Garde" w:eastAsiaTheme="majorEastAsia" w:hAnsi="ITC Avant Garde" w:cstheme="majorBidi"/>
          <w:b/>
          <w:color w:val="0000FF"/>
          <w:szCs w:val="32"/>
        </w:rPr>
        <w:t>“CONFIDENCIAL POR LEY”</w:t>
      </w:r>
      <w:r w:rsidR="001816A9" w:rsidRPr="001816A9">
        <w:rPr>
          <w:rFonts w:ascii="ITC Avant Garde" w:eastAsiaTheme="majorEastAsia" w:hAnsi="ITC Avant Garde" w:cstheme="majorBidi"/>
          <w:color w:val="0000FF"/>
          <w:szCs w:val="32"/>
        </w:rPr>
        <w:t xml:space="preserve"> </w:t>
      </w:r>
      <w:r w:rsidR="00204993" w:rsidRPr="002A2450">
        <w:rPr>
          <w:rFonts w:ascii="ITC Avant Garde" w:hAnsi="ITC Avant Garde"/>
          <w:b/>
        </w:rPr>
        <w:t xml:space="preserve">“TELMEX” </w:t>
      </w:r>
      <w:r w:rsidRPr="002A2450">
        <w:rPr>
          <w:rFonts w:ascii="ITC Avant Garde" w:hAnsi="ITC Avant Garde"/>
        </w:rPr>
        <w:t xml:space="preserve">y por otro </w:t>
      </w:r>
      <w:r w:rsidR="001816A9" w:rsidRPr="005E1F62">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r w:rsidR="00204993" w:rsidRPr="002A2450">
        <w:rPr>
          <w:rFonts w:ascii="ITC Avant Garde" w:hAnsi="ITC Avant Garde"/>
          <w:b/>
        </w:rPr>
        <w:t xml:space="preserve">“COFRESA” </w:t>
      </w:r>
      <w:r w:rsidRPr="002A2450">
        <w:rPr>
          <w:rFonts w:ascii="ITC Avant Garde" w:hAnsi="ITC Avant Garde"/>
        </w:rPr>
        <w:t>y</w:t>
      </w:r>
      <w:r w:rsidRPr="002A2450">
        <w:rPr>
          <w:rFonts w:ascii="ITC Avant Garde" w:hAnsi="ITC Avant Garde"/>
          <w:b/>
        </w:rPr>
        <w:t xml:space="preserve"> </w:t>
      </w:r>
      <w:r w:rsidR="00204993" w:rsidRPr="002A2450">
        <w:rPr>
          <w:rFonts w:ascii="ITC Avant Garde" w:hAnsi="ITC Avant Garde"/>
        </w:rPr>
        <w:t>“</w:t>
      </w:r>
      <w:r w:rsidRPr="002A2450">
        <w:rPr>
          <w:rFonts w:ascii="ITC Avant Garde" w:hAnsi="ITC Avant Garde"/>
          <w:b/>
        </w:rPr>
        <w:t>DISH MÉXICO</w:t>
      </w:r>
      <w:r w:rsidR="00204993"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por lo que </w:t>
      </w:r>
      <w:r w:rsidR="00A45CA9" w:rsidRPr="002A2450">
        <w:rPr>
          <w:rFonts w:ascii="ITC Avant Garde" w:hAnsi="ITC Avant Garde"/>
        </w:rPr>
        <w:t xml:space="preserve">es razonablemente previsible </w:t>
      </w:r>
      <w:r w:rsidRPr="002A2450">
        <w:rPr>
          <w:rFonts w:ascii="ITC Avant Garde" w:hAnsi="ITC Avant Garde"/>
        </w:rPr>
        <w:t xml:space="preserve">que en dichas reuniones se </w:t>
      </w:r>
      <w:r w:rsidR="00A45CA9" w:rsidRPr="002A2450">
        <w:rPr>
          <w:rFonts w:ascii="ITC Avant Garde" w:hAnsi="ITC Avant Garde"/>
        </w:rPr>
        <w:t xml:space="preserve">pudieran </w:t>
      </w:r>
      <w:r w:rsidRPr="002A2450">
        <w:rPr>
          <w:rFonts w:ascii="ITC Avant Garde" w:hAnsi="ITC Avant Garde"/>
        </w:rPr>
        <w:t xml:space="preserve">tomar decisiones </w:t>
      </w:r>
      <w:r w:rsidR="00A45CA9" w:rsidRPr="002A2450">
        <w:rPr>
          <w:rFonts w:ascii="ITC Avant Garde" w:hAnsi="ITC Avant Garde"/>
        </w:rPr>
        <w:t xml:space="preserve">relevantes </w:t>
      </w:r>
      <w:r w:rsidRPr="002A2450">
        <w:rPr>
          <w:rFonts w:ascii="ITC Avant Garde" w:hAnsi="ITC Avant Garde"/>
        </w:rPr>
        <w:t>que comprometieran la conducción del negocio de</w:t>
      </w:r>
      <w:r w:rsidR="00A45CA9" w:rsidRPr="002A2450">
        <w:rPr>
          <w:rFonts w:ascii="ITC Avant Garde" w:hAnsi="ITC Avant Garde"/>
        </w:rPr>
        <w:t xml:space="preserve"> </w:t>
      </w:r>
      <w:r w:rsidR="00A45CA9" w:rsidRPr="002A2450">
        <w:rPr>
          <w:rFonts w:ascii="ITC Avant Garde" w:hAnsi="ITC Avant Garde"/>
          <w:b/>
        </w:rPr>
        <w:t>“DISH”</w:t>
      </w:r>
      <w:r w:rsidR="00A45CA9" w:rsidRPr="002A2450">
        <w:rPr>
          <w:rFonts w:ascii="ITC Avant Garde" w:hAnsi="ITC Avant Garde"/>
        </w:rPr>
        <w:t>.</w:t>
      </w:r>
      <w:r w:rsidR="00A45CA9" w:rsidRPr="002A2450">
        <w:rPr>
          <w:rFonts w:ascii="ITC Avant Garde" w:hAnsi="ITC Avant Garde"/>
          <w:b/>
        </w:rPr>
        <w:t xml:space="preserve"> </w:t>
      </w:r>
    </w:p>
    <w:p w14:paraId="72AE7528" w14:textId="77777777" w:rsidR="00B35F13" w:rsidRDefault="00F51C0F" w:rsidP="00B35F13">
      <w:pPr>
        <w:spacing w:before="240" w:line="360" w:lineRule="auto"/>
        <w:jc w:val="both"/>
        <w:rPr>
          <w:rFonts w:ascii="ITC Avant Garde" w:hAnsi="ITC Avant Garde"/>
        </w:rPr>
      </w:pPr>
      <w:r w:rsidRPr="002A2450">
        <w:rPr>
          <w:rFonts w:ascii="ITC Avant Garde" w:hAnsi="ITC Avant Garde"/>
        </w:rPr>
        <w:t xml:space="preserve">Lo anterior sin dejar de lado que todas las reuniones fueron celebradas en </w:t>
      </w:r>
      <w:r w:rsidR="001816A9" w:rsidRPr="005E1F62">
        <w:rPr>
          <w:rFonts w:ascii="ITC Avant Garde" w:eastAsiaTheme="majorEastAsia" w:hAnsi="ITC Avant Garde" w:cstheme="majorBidi"/>
          <w:b/>
          <w:color w:val="0000FF"/>
          <w:szCs w:val="32"/>
        </w:rPr>
        <w:t>“CONFIDENCIAL POR LEY”</w:t>
      </w:r>
      <w:r w:rsidRPr="005E1F62">
        <w:rPr>
          <w:rFonts w:ascii="ITC Avant Garde" w:hAnsi="ITC Avant Garde"/>
          <w:b/>
        </w:rPr>
        <w:t>.</w:t>
      </w:r>
    </w:p>
    <w:p w14:paraId="65FE56F4"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Con lo anterior, se </w:t>
      </w:r>
      <w:r w:rsidR="00785099" w:rsidRPr="002A2450">
        <w:rPr>
          <w:rFonts w:ascii="ITC Avant Garde" w:hAnsi="ITC Avant Garde"/>
        </w:rPr>
        <w:t xml:space="preserve">presumió </w:t>
      </w:r>
      <w:r w:rsidRPr="002A2450">
        <w:rPr>
          <w:rFonts w:ascii="ITC Avant Garde" w:hAnsi="ITC Avant Garde"/>
        </w:rPr>
        <w:t xml:space="preserve">que la intervención de </w:t>
      </w:r>
      <w:r w:rsidR="00204993" w:rsidRPr="002A2450">
        <w:rPr>
          <w:rFonts w:ascii="ITC Avant Garde" w:hAnsi="ITC Avant Garde"/>
          <w:b/>
        </w:rPr>
        <w:t xml:space="preserve">“TELMEX” </w:t>
      </w:r>
      <w:r w:rsidRPr="002A2450">
        <w:rPr>
          <w:rFonts w:ascii="ITC Avant Garde" w:hAnsi="ITC Avant Garde"/>
        </w:rPr>
        <w:t xml:space="preserve">dentro de la operación misma de la concesión otorgada a </w:t>
      </w:r>
      <w:r w:rsidR="00F51C0F" w:rsidRPr="002A2450">
        <w:rPr>
          <w:rFonts w:ascii="ITC Avant Garde" w:hAnsi="ITC Avant Garde"/>
          <w:b/>
        </w:rPr>
        <w:t>“COFRESA”</w:t>
      </w:r>
      <w:r w:rsidR="00F51C0F" w:rsidRPr="002A2450">
        <w:rPr>
          <w:rFonts w:ascii="ITC Avant Garde" w:hAnsi="ITC Avant Garde"/>
        </w:rPr>
        <w:t xml:space="preserve"> va más allá de una simple </w:t>
      </w:r>
      <w:r w:rsidRPr="002A2450">
        <w:rPr>
          <w:rFonts w:ascii="ITC Avant Garde" w:hAnsi="ITC Avant Garde"/>
        </w:rPr>
        <w:t xml:space="preserve">relación comercial y que por el contrario, apuntalan que los mismos son mecanismos de intervención indirecta para la consecución del negocio de </w:t>
      </w:r>
      <w:r w:rsidR="00C1126E">
        <w:rPr>
          <w:rFonts w:ascii="ITC Avant Garde" w:hAnsi="ITC Avant Garde"/>
          <w:b/>
        </w:rPr>
        <w:t>“</w:t>
      </w:r>
      <w:r w:rsidRPr="009E34A4">
        <w:rPr>
          <w:rFonts w:ascii="ITC Avant Garde" w:hAnsi="ITC Avant Garde"/>
          <w:b/>
        </w:rPr>
        <w:t>DTH</w:t>
      </w:r>
      <w:r w:rsidR="00C1126E">
        <w:rPr>
          <w:rFonts w:ascii="ITC Avant Garde" w:hAnsi="ITC Avant Garde"/>
          <w:b/>
        </w:rPr>
        <w:t>”</w:t>
      </w:r>
      <w:r w:rsidRPr="002A2450">
        <w:rPr>
          <w:rFonts w:ascii="ITC Avant Garde" w:hAnsi="ITC Avant Garde"/>
        </w:rPr>
        <w:t>.</w:t>
      </w:r>
    </w:p>
    <w:p w14:paraId="5A8A73FA"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Para robustecer lo anterior, </w:t>
      </w:r>
      <w:r w:rsidR="00785099" w:rsidRPr="002A2450">
        <w:rPr>
          <w:rFonts w:ascii="ITC Avant Garde" w:hAnsi="ITC Avant Garde"/>
        </w:rPr>
        <w:t xml:space="preserve">se consideró que </w:t>
      </w:r>
      <w:r w:rsidRPr="002A2450">
        <w:rPr>
          <w:rFonts w:ascii="ITC Avant Garde" w:hAnsi="ITC Avant Garde"/>
        </w:rPr>
        <w:t xml:space="preserve">el </w:t>
      </w:r>
      <w:r w:rsidRPr="002A2450">
        <w:rPr>
          <w:rFonts w:ascii="ITC Avant Garde" w:hAnsi="ITC Avant Garde"/>
          <w:b/>
        </w:rPr>
        <w:t xml:space="preserve">Contrato de Opción de Compra y Venta </w:t>
      </w:r>
      <w:r w:rsidRPr="002A2450">
        <w:rPr>
          <w:rFonts w:ascii="ITC Avant Garde" w:hAnsi="ITC Avant Garde"/>
        </w:rPr>
        <w:t xml:space="preserve">celebrado por </w:t>
      </w:r>
      <w:r w:rsidR="00204993" w:rsidRPr="002A2450">
        <w:rPr>
          <w:rFonts w:ascii="ITC Avant Garde" w:hAnsi="ITC Avant Garde"/>
          <w:b/>
        </w:rPr>
        <w:t>“TELMEX”</w:t>
      </w:r>
      <w:r w:rsidRPr="002A2450">
        <w:rPr>
          <w:rFonts w:ascii="ITC Avant Garde" w:hAnsi="ITC Avant Garde"/>
          <w:b/>
        </w:rPr>
        <w:t xml:space="preserve">, </w:t>
      </w:r>
      <w:r w:rsidR="00204993" w:rsidRPr="002A2450">
        <w:rPr>
          <w:rFonts w:ascii="ITC Avant Garde" w:hAnsi="ITC Avant Garde"/>
          <w:b/>
        </w:rPr>
        <w:t>“</w:t>
      </w:r>
      <w:r w:rsidRPr="002A2450">
        <w:rPr>
          <w:rFonts w:ascii="ITC Avant Garde" w:hAnsi="ITC Avant Garde"/>
          <w:b/>
        </w:rPr>
        <w:t>TENINVER</w:t>
      </w:r>
      <w:r w:rsidR="00204993" w:rsidRPr="002A2450">
        <w:rPr>
          <w:rFonts w:ascii="ITC Avant Garde" w:hAnsi="ITC Avant Garde"/>
          <w:b/>
        </w:rPr>
        <w:t>”</w:t>
      </w:r>
      <w:r w:rsidRPr="002A2450">
        <w:rPr>
          <w:rFonts w:ascii="ITC Avant Garde" w:hAnsi="ITC Avant Garde"/>
          <w:b/>
        </w:rPr>
        <w:t xml:space="preserve">, </w:t>
      </w:r>
      <w:r w:rsidR="00204993" w:rsidRPr="002A2450">
        <w:rPr>
          <w:rFonts w:ascii="ITC Avant Garde" w:hAnsi="ITC Avant Garde"/>
          <w:b/>
        </w:rPr>
        <w:t>“</w:t>
      </w:r>
      <w:r w:rsidRPr="002A2450">
        <w:rPr>
          <w:rFonts w:ascii="ITC Avant Garde" w:hAnsi="ITC Avant Garde"/>
          <w:b/>
        </w:rPr>
        <w:t>DISH MÉXICO</w:t>
      </w:r>
      <w:r w:rsidR="00204993" w:rsidRPr="002A2450">
        <w:rPr>
          <w:rFonts w:ascii="ITC Avant Garde" w:hAnsi="ITC Avant Garde"/>
          <w:b/>
        </w:rPr>
        <w:t>”</w:t>
      </w:r>
      <w:r w:rsidRPr="002A2450">
        <w:rPr>
          <w:rFonts w:ascii="ITC Avant Garde" w:hAnsi="ITC Avant Garde"/>
          <w:b/>
        </w:rPr>
        <w:t xml:space="preserve">, </w:t>
      </w:r>
      <w:r w:rsidR="00204993" w:rsidRPr="002A2450">
        <w:rPr>
          <w:rFonts w:ascii="ITC Avant Garde" w:hAnsi="ITC Avant Garde"/>
          <w:b/>
        </w:rPr>
        <w:t>“</w:t>
      </w:r>
      <w:r w:rsidRPr="002A2450">
        <w:rPr>
          <w:rFonts w:ascii="ITC Avant Garde" w:hAnsi="ITC Avant Garde"/>
          <w:b/>
        </w:rPr>
        <w:t>DISH HOLDINGS</w:t>
      </w:r>
      <w:r w:rsidR="00204993" w:rsidRPr="002A2450">
        <w:rPr>
          <w:rFonts w:ascii="ITC Avant Garde" w:hAnsi="ITC Avant Garde"/>
          <w:b/>
        </w:rPr>
        <w:t>”</w:t>
      </w:r>
      <w:r w:rsidRPr="002A2450">
        <w:rPr>
          <w:rFonts w:ascii="ITC Avant Garde" w:hAnsi="ITC Avant Garde"/>
          <w:b/>
        </w:rPr>
        <w:t xml:space="preserve">, </w:t>
      </w:r>
      <w:r w:rsidR="00204993" w:rsidRPr="002A2450">
        <w:rPr>
          <w:rFonts w:ascii="ITC Avant Garde" w:hAnsi="ITC Avant Garde"/>
          <w:b/>
        </w:rPr>
        <w:t>“</w:t>
      </w:r>
      <w:r w:rsidRPr="002A2450">
        <w:rPr>
          <w:rFonts w:ascii="ITC Avant Garde" w:hAnsi="ITC Avant Garde"/>
          <w:b/>
        </w:rPr>
        <w:t>GFMTV</w:t>
      </w:r>
      <w:r w:rsidR="00204993" w:rsidRPr="002A2450">
        <w:rPr>
          <w:rFonts w:ascii="ITC Avant Garde" w:hAnsi="ITC Avant Garde"/>
          <w:b/>
        </w:rPr>
        <w:t>”</w:t>
      </w:r>
      <w:r w:rsidRPr="002A2450">
        <w:rPr>
          <w:rFonts w:ascii="ITC Avant Garde" w:hAnsi="ITC Avant Garde"/>
          <w:b/>
        </w:rPr>
        <w:t xml:space="preserve">, </w:t>
      </w:r>
      <w:r w:rsidR="00204993" w:rsidRPr="002A2450">
        <w:rPr>
          <w:rFonts w:ascii="ITC Avant Garde" w:hAnsi="ITC Avant Garde"/>
          <w:b/>
        </w:rPr>
        <w:t>“</w:t>
      </w:r>
      <w:r w:rsidRPr="002A2450">
        <w:rPr>
          <w:rFonts w:ascii="ITC Avant Garde" w:hAnsi="ITC Avant Garde"/>
          <w:b/>
        </w:rPr>
        <w:t>ECHOSTAR CORPORATION</w:t>
      </w:r>
      <w:r w:rsidR="00204993" w:rsidRPr="002A2450">
        <w:rPr>
          <w:rFonts w:ascii="ITC Avant Garde" w:hAnsi="ITC Avant Garde"/>
          <w:b/>
        </w:rPr>
        <w:t>”</w:t>
      </w:r>
      <w:r w:rsidRPr="002A2450">
        <w:rPr>
          <w:rFonts w:ascii="ITC Avant Garde" w:hAnsi="ITC Avant Garde"/>
          <w:b/>
        </w:rPr>
        <w:t xml:space="preserve"> y </w:t>
      </w:r>
      <w:r w:rsidR="00204993" w:rsidRPr="002A2450">
        <w:rPr>
          <w:rFonts w:ascii="ITC Avant Garde" w:hAnsi="ITC Avant Garde"/>
          <w:b/>
        </w:rPr>
        <w:t>“</w:t>
      </w:r>
      <w:r w:rsidRPr="002A2450">
        <w:rPr>
          <w:rFonts w:ascii="ITC Avant Garde" w:hAnsi="ITC Avant Garde"/>
          <w:b/>
        </w:rPr>
        <w:t>ECHOSTAR MEXICO</w:t>
      </w:r>
      <w:r w:rsidR="00204993"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como parte del intercambio de información señaló lo siguiente:</w:t>
      </w:r>
    </w:p>
    <w:p w14:paraId="5469B99A" w14:textId="77777777" w:rsidR="00AD5C0E"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28AD663A"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De lo anterior, se desprend</w:t>
      </w:r>
      <w:r w:rsidR="00785099" w:rsidRPr="002A2450">
        <w:rPr>
          <w:rFonts w:ascii="ITC Avant Garde" w:hAnsi="ITC Avant Garde"/>
        </w:rPr>
        <w:t>ió</w:t>
      </w:r>
      <w:r w:rsidRPr="002A2450">
        <w:rPr>
          <w:rFonts w:ascii="ITC Avant Garde" w:hAnsi="ITC Avant Garde"/>
        </w:rPr>
        <w:t xml:space="preserve"> que se establecieron canales de transmisión de información </w:t>
      </w:r>
      <w:r w:rsidR="0068263D" w:rsidRPr="002A2450">
        <w:rPr>
          <w:rFonts w:ascii="ITC Avant Garde" w:hAnsi="ITC Avant Garde"/>
        </w:rPr>
        <w:t xml:space="preserve">sensible y confidencial </w:t>
      </w:r>
      <w:r w:rsidRPr="002A2450">
        <w:rPr>
          <w:rFonts w:ascii="ITC Avant Garde" w:hAnsi="ITC Avant Garde"/>
        </w:rPr>
        <w:t>y comunicación entre las partes, que permit</w:t>
      </w:r>
      <w:r w:rsidR="00785099" w:rsidRPr="002A2450">
        <w:rPr>
          <w:rFonts w:ascii="ITC Avant Garde" w:hAnsi="ITC Avant Garde"/>
        </w:rPr>
        <w:t>ieron</w:t>
      </w:r>
      <w:r w:rsidRPr="002A2450">
        <w:rPr>
          <w:rFonts w:ascii="ITC Avant Garde" w:hAnsi="ITC Avant Garde"/>
        </w:rPr>
        <w:t xml:space="preserve"> la discusión y toma de decisiones conjuntas en relación con el negocio de televisión satelital </w:t>
      </w:r>
      <w:r w:rsidR="00D45D80" w:rsidRPr="002A2450">
        <w:rPr>
          <w:rFonts w:ascii="ITC Avant Garde" w:hAnsi="ITC Avant Garde"/>
          <w:b/>
        </w:rPr>
        <w:t>“</w:t>
      </w:r>
      <w:r w:rsidRPr="002A2450">
        <w:rPr>
          <w:rFonts w:ascii="ITC Avant Garde" w:hAnsi="ITC Avant Garde"/>
          <w:b/>
        </w:rPr>
        <w:t>DTH</w:t>
      </w:r>
      <w:r w:rsidR="00D45D80" w:rsidRPr="002A2450">
        <w:rPr>
          <w:rFonts w:ascii="ITC Avant Garde" w:hAnsi="ITC Avant Garde"/>
          <w:b/>
        </w:rPr>
        <w:t>”</w:t>
      </w:r>
      <w:r w:rsidRPr="002A2450">
        <w:rPr>
          <w:rFonts w:ascii="ITC Avant Garde" w:hAnsi="ITC Avant Garde"/>
        </w:rPr>
        <w:t xml:space="preserve">, esto es así pues </w:t>
      </w:r>
      <w:r w:rsidR="00204993" w:rsidRPr="002A2450">
        <w:rPr>
          <w:rFonts w:ascii="ITC Avant Garde" w:hAnsi="ITC Avant Garde"/>
          <w:b/>
        </w:rPr>
        <w:t>“TENINVER”</w:t>
      </w:r>
      <w:r w:rsidRPr="002A2450">
        <w:rPr>
          <w:rFonts w:ascii="ITC Avant Garde" w:hAnsi="ITC Avant Garde"/>
        </w:rPr>
        <w:t xml:space="preserve">, subsidiaria de </w:t>
      </w:r>
      <w:r w:rsidR="00204993"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 xml:space="preserve">tendría derecho a recibir como si fuera socio, la información relacionada con el negocio, la condición financiera y las operaciones, visitar e inspeccionar cualesquiera de los bienes, activos, libros corporativos y los registros financieros de la concesionaria de </w:t>
      </w:r>
      <w:r w:rsidR="00D45D80" w:rsidRPr="002A2450">
        <w:rPr>
          <w:rFonts w:ascii="ITC Avant Garde" w:hAnsi="ITC Avant Garde"/>
          <w:b/>
        </w:rPr>
        <w:t>“</w:t>
      </w:r>
      <w:r w:rsidRPr="002A2450">
        <w:rPr>
          <w:rFonts w:ascii="ITC Avant Garde" w:hAnsi="ITC Avant Garde"/>
          <w:b/>
        </w:rPr>
        <w:t>DTH</w:t>
      </w:r>
      <w:r w:rsidR="00D45D80" w:rsidRPr="002A2450">
        <w:rPr>
          <w:rFonts w:ascii="ITC Avant Garde" w:hAnsi="ITC Avant Garde"/>
          <w:b/>
        </w:rPr>
        <w:t>”</w:t>
      </w:r>
      <w:r w:rsidRPr="002A2450">
        <w:rPr>
          <w:rFonts w:ascii="ITC Avant Garde" w:hAnsi="ITC Avant Garde"/>
        </w:rPr>
        <w:t xml:space="preserve"> o de cualquiera de sus subsidiarias, así como permitir </w:t>
      </w:r>
      <w:r w:rsidRPr="002A2450">
        <w:rPr>
          <w:rFonts w:ascii="ITC Avant Garde" w:hAnsi="ITC Avant Garde"/>
        </w:rPr>
        <w:lastRenderedPageBreak/>
        <w:t>comentar los asuntos, finanzas y cuentas para ser asesorados respecto de los mismos.</w:t>
      </w:r>
    </w:p>
    <w:p w14:paraId="2DFB6D7B"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Por ello, se </w:t>
      </w:r>
      <w:r w:rsidR="00785099" w:rsidRPr="002A2450">
        <w:rPr>
          <w:rFonts w:ascii="ITC Avant Garde" w:hAnsi="ITC Avant Garde"/>
        </w:rPr>
        <w:t xml:space="preserve">presumió </w:t>
      </w:r>
      <w:r w:rsidRPr="002A2450">
        <w:rPr>
          <w:rFonts w:ascii="ITC Avant Garde" w:hAnsi="ITC Avant Garde"/>
        </w:rPr>
        <w:t xml:space="preserve">que la vinculación de esfuerzos comerciales, las reuniones de altos funcionarios, la observancia de la debida autorización entre las partes, el intercambio de información financiera disponible, la inspección, y los contratos relacionados, son mecanismos que </w:t>
      </w:r>
      <w:r w:rsidR="00785099" w:rsidRPr="002A2450">
        <w:rPr>
          <w:rFonts w:ascii="ITC Avant Garde" w:hAnsi="ITC Avant Garde"/>
        </w:rPr>
        <w:t>permitieron</w:t>
      </w:r>
      <w:r w:rsidRPr="002A2450">
        <w:rPr>
          <w:rFonts w:ascii="ITC Avant Garde" w:hAnsi="ITC Avant Garde"/>
        </w:rPr>
        <w:t xml:space="preserve"> de forma indirecta la injerencia de </w:t>
      </w:r>
      <w:r w:rsidR="00204993" w:rsidRPr="002A2450">
        <w:rPr>
          <w:rFonts w:ascii="ITC Avant Garde" w:hAnsi="ITC Avant Garde"/>
          <w:b/>
        </w:rPr>
        <w:t xml:space="preserve">“TELMEX” </w:t>
      </w:r>
      <w:r w:rsidRPr="002A2450">
        <w:rPr>
          <w:rFonts w:ascii="ITC Avant Garde" w:hAnsi="ITC Avant Garde"/>
        </w:rPr>
        <w:t xml:space="preserve">en la toma de decisiones relativas a la consecución del negocio de la televisión satelital </w:t>
      </w:r>
      <w:r w:rsidR="00D45D80" w:rsidRPr="002A2450">
        <w:rPr>
          <w:rFonts w:ascii="ITC Avant Garde" w:hAnsi="ITC Avant Garde"/>
          <w:b/>
        </w:rPr>
        <w:t>“</w:t>
      </w:r>
      <w:r w:rsidRPr="002A2450">
        <w:rPr>
          <w:rFonts w:ascii="ITC Avant Garde" w:hAnsi="ITC Avant Garde"/>
          <w:b/>
        </w:rPr>
        <w:t>DTH</w:t>
      </w:r>
      <w:r w:rsidR="00D45D80" w:rsidRPr="002A2450">
        <w:rPr>
          <w:rFonts w:ascii="ITC Avant Garde" w:hAnsi="ITC Avant Garde"/>
          <w:b/>
        </w:rPr>
        <w:t>”</w:t>
      </w:r>
      <w:r w:rsidRPr="002A2450">
        <w:rPr>
          <w:rFonts w:ascii="ITC Avant Garde" w:hAnsi="ITC Avant Garde"/>
        </w:rPr>
        <w:t xml:space="preserve"> de </w:t>
      </w:r>
      <w:r w:rsidR="00204993" w:rsidRPr="002A2450">
        <w:rPr>
          <w:rFonts w:ascii="ITC Avant Garde" w:hAnsi="ITC Avant Garde"/>
          <w:b/>
        </w:rPr>
        <w:t>“COFRESA”</w:t>
      </w:r>
      <w:r w:rsidRPr="002A2450">
        <w:rPr>
          <w:rFonts w:ascii="ITC Avant Garde" w:hAnsi="ITC Avant Garde"/>
          <w:b/>
        </w:rPr>
        <w:t xml:space="preserve">, </w:t>
      </w:r>
      <w:r w:rsidRPr="002A2450">
        <w:rPr>
          <w:rFonts w:ascii="ITC Avant Garde" w:hAnsi="ITC Avant Garde"/>
        </w:rPr>
        <w:t>con la consecuente influencia en el ejercicio de los derechos derivados de la concesión de ésta última.</w:t>
      </w:r>
    </w:p>
    <w:p w14:paraId="2D94EBB0" w14:textId="77777777" w:rsidR="00B35F13" w:rsidRPr="00B35F13" w:rsidRDefault="00262B95" w:rsidP="00B35F13">
      <w:pPr>
        <w:pStyle w:val="Ttulo7"/>
        <w:rPr>
          <w:u w:val="none"/>
        </w:rPr>
      </w:pPr>
      <w:bookmarkStart w:id="81" w:name="_Toc477170184"/>
      <w:r w:rsidRPr="00B35F13">
        <w:rPr>
          <w:u w:val="none"/>
        </w:rPr>
        <w:t>II. POSIBILIDAD DE TELMEX PARA PARTICIPAR EN EL PAGO DE DIVIDENDOS</w:t>
      </w:r>
      <w:bookmarkEnd w:id="81"/>
    </w:p>
    <w:p w14:paraId="5BB07770"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En el </w:t>
      </w:r>
      <w:r w:rsidR="00AE016F" w:rsidRPr="002A2450">
        <w:rPr>
          <w:rFonts w:ascii="ITC Avant Garde" w:hAnsi="ITC Avant Garde"/>
          <w:b/>
        </w:rPr>
        <w:t xml:space="preserve">Contrato de Opción </w:t>
      </w:r>
      <w:r w:rsidR="00785099" w:rsidRPr="002A2450">
        <w:rPr>
          <w:rFonts w:ascii="ITC Avant Garde" w:hAnsi="ITC Avant Garde"/>
          <w:b/>
        </w:rPr>
        <w:t xml:space="preserve">de </w:t>
      </w:r>
      <w:r w:rsidR="00AE016F" w:rsidRPr="002A2450">
        <w:rPr>
          <w:rFonts w:ascii="ITC Avant Garde" w:hAnsi="ITC Avant Garde"/>
          <w:b/>
        </w:rPr>
        <w:t xml:space="preserve">Compra </w:t>
      </w:r>
      <w:r w:rsidR="00785099" w:rsidRPr="002A2450">
        <w:rPr>
          <w:rFonts w:ascii="ITC Avant Garde" w:hAnsi="ITC Avant Garde"/>
          <w:b/>
        </w:rPr>
        <w:t xml:space="preserve">y </w:t>
      </w:r>
      <w:r w:rsidR="00AE016F" w:rsidRPr="002A2450">
        <w:rPr>
          <w:rFonts w:ascii="ITC Avant Garde" w:hAnsi="ITC Avant Garde"/>
          <w:b/>
        </w:rPr>
        <w:t>Venta</w:t>
      </w:r>
      <w:r w:rsidR="00AE016F" w:rsidRPr="002A2450">
        <w:rPr>
          <w:rFonts w:ascii="ITC Avant Garde" w:hAnsi="ITC Avant Garde"/>
        </w:rPr>
        <w:t xml:space="preserve"> </w:t>
      </w:r>
      <w:r w:rsidR="00785099" w:rsidRPr="002A2450">
        <w:rPr>
          <w:rFonts w:ascii="ITC Avant Garde" w:hAnsi="ITC Avant Garde"/>
        </w:rPr>
        <w:t>se previó</w:t>
      </w:r>
      <w:r w:rsidRPr="002A2450">
        <w:rPr>
          <w:rFonts w:ascii="ITC Avant Garde" w:hAnsi="ITC Avant Garde"/>
        </w:rPr>
        <w:t xml:space="preserve"> la posibilidad de que en cualquier momento o con posterioridad a la fecha de dicho instrumento, se podr</w:t>
      </w:r>
      <w:r w:rsidR="00785099" w:rsidRPr="002A2450">
        <w:rPr>
          <w:rFonts w:ascii="ITC Avant Garde" w:hAnsi="ITC Avant Garde"/>
        </w:rPr>
        <w:t>ía</w:t>
      </w:r>
      <w:r w:rsidRPr="002A2450">
        <w:rPr>
          <w:rFonts w:ascii="ITC Avant Garde" w:hAnsi="ITC Avant Garde"/>
        </w:rPr>
        <w:t xml:space="preserve"> pagar dividendos en efectivo a los tenedores de </w:t>
      </w:r>
      <w:r w:rsidRPr="002A2450">
        <w:rPr>
          <w:rFonts w:ascii="ITC Avant Garde" w:hAnsi="ITC Avant Garde"/>
          <w:i/>
        </w:rPr>
        <w:t>Participaciones</w:t>
      </w:r>
      <w:r w:rsidRPr="002A2450">
        <w:rPr>
          <w:rFonts w:ascii="ITC Avant Garde" w:hAnsi="ITC Avant Garde"/>
        </w:rPr>
        <w:t>.</w:t>
      </w:r>
    </w:p>
    <w:p w14:paraId="6AA9A695"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El término </w:t>
      </w:r>
      <w:r w:rsidRPr="002A2450">
        <w:rPr>
          <w:rFonts w:ascii="ITC Avant Garde" w:hAnsi="ITC Avant Garde"/>
          <w:i/>
        </w:rPr>
        <w:t>Participaciones</w:t>
      </w:r>
      <w:r w:rsidRPr="002A2450">
        <w:rPr>
          <w:rFonts w:ascii="ITC Avant Garde" w:hAnsi="ITC Avant Garde"/>
        </w:rPr>
        <w:t xml:space="preserve"> según la definición del propio contrato es cualquier valor, derechos de compra, títulos opcionales, opciones u otros equivalentes. Es decir, al tener </w:t>
      </w:r>
      <w:r w:rsidR="00204993" w:rsidRPr="002A2450">
        <w:rPr>
          <w:rFonts w:ascii="ITC Avant Garde" w:hAnsi="ITC Avant Garde"/>
          <w:b/>
        </w:rPr>
        <w:t xml:space="preserve">“TELMEX” </w:t>
      </w:r>
      <w:r w:rsidRPr="002A2450">
        <w:rPr>
          <w:rFonts w:ascii="ITC Avant Garde" w:hAnsi="ITC Avant Garde"/>
        </w:rPr>
        <w:t>un derecho de compra, automáticamente se convierte en tenedor de una Participación y consecuentemente se ubica en el supuesto previsto en dicho contrato para recibir en cualquier momento el pago de dividendos.</w:t>
      </w:r>
      <w:r w:rsidR="008F718E" w:rsidRPr="009E34A4">
        <w:rPr>
          <w:rFonts w:ascii="ITC Avant Garde" w:hAnsi="ITC Avant Garde"/>
          <w:color w:val="C00000"/>
        </w:rPr>
        <w:t xml:space="preserve"> </w:t>
      </w:r>
    </w:p>
    <w:p w14:paraId="0AD2AEF7"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el </w:t>
      </w:r>
      <w:r w:rsidR="00AE016F" w:rsidRPr="002A2450">
        <w:rPr>
          <w:rFonts w:ascii="ITC Avant Garde" w:hAnsi="ITC Avant Garde"/>
          <w:b/>
        </w:rPr>
        <w:t>Contrato de Opción de Compra y Venta</w:t>
      </w:r>
      <w:r w:rsidRPr="002A2450">
        <w:rPr>
          <w:rFonts w:ascii="ITC Avant Garde" w:hAnsi="ITC Avant Garde"/>
        </w:rPr>
        <w:t xml:space="preserve"> señal</w:t>
      </w:r>
      <w:r w:rsidR="00785099" w:rsidRPr="002A2450">
        <w:rPr>
          <w:rFonts w:ascii="ITC Avant Garde" w:hAnsi="ITC Avant Garde"/>
        </w:rPr>
        <w:t>ó</w:t>
      </w:r>
      <w:r w:rsidRPr="002A2450">
        <w:rPr>
          <w:rFonts w:ascii="ITC Avant Garde" w:hAnsi="ITC Avant Garde"/>
        </w:rPr>
        <w:t xml:space="preserve"> en la parte que interesa lo siguiente:</w:t>
      </w:r>
    </w:p>
    <w:p w14:paraId="3890C30A" w14:textId="2EECE5D5" w:rsidR="00B35F13" w:rsidRPr="005E1F62"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56930A7B"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El derecho de compra como participación, se observa del propio </w:t>
      </w:r>
      <w:r w:rsidRPr="002A2450">
        <w:rPr>
          <w:rFonts w:ascii="ITC Avant Garde" w:hAnsi="ITC Avant Garde"/>
          <w:b/>
        </w:rPr>
        <w:t>Contrato de Opción de Compra y Venta</w:t>
      </w:r>
      <w:r w:rsidRPr="002A2450">
        <w:rPr>
          <w:rFonts w:ascii="ITC Avant Garde" w:hAnsi="ITC Avant Garde"/>
        </w:rPr>
        <w:t>:</w:t>
      </w:r>
    </w:p>
    <w:p w14:paraId="72FED6FB" w14:textId="7FC549D9" w:rsidR="00B35F13" w:rsidRPr="005E1F62" w:rsidRDefault="00262B95" w:rsidP="00AD5C0E">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hAnsi="ITC Avant Garde"/>
          <w:b/>
          <w:i/>
        </w:rPr>
        <w:t>“</w:t>
      </w:r>
      <w:r w:rsidR="00BA352E" w:rsidRPr="005E1F62">
        <w:rPr>
          <w:rFonts w:ascii="ITC Avant Garde" w:eastAsiaTheme="majorEastAsia" w:hAnsi="ITC Avant Garde" w:cstheme="majorBidi"/>
          <w:b/>
          <w:color w:val="0000FF"/>
          <w:szCs w:val="32"/>
        </w:rPr>
        <w:t>CONFIDENCIAL POR LEY”</w:t>
      </w:r>
    </w:p>
    <w:p w14:paraId="158DB16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lastRenderedPageBreak/>
        <w:t>Con lo anterior, se pud</w:t>
      </w:r>
      <w:r w:rsidR="004B737B" w:rsidRPr="002A2450">
        <w:rPr>
          <w:rFonts w:ascii="ITC Avant Garde" w:hAnsi="ITC Avant Garde"/>
        </w:rPr>
        <w:t>o</w:t>
      </w:r>
      <w:r w:rsidRPr="002A2450">
        <w:rPr>
          <w:rFonts w:ascii="ITC Avant Garde" w:hAnsi="ITC Avant Garde"/>
        </w:rPr>
        <w:t xml:space="preserve"> observar que la participación como derecho de opción de compra</w:t>
      </w:r>
      <w:r w:rsidR="00F51C0F" w:rsidRPr="002A2450">
        <w:rPr>
          <w:rFonts w:ascii="ITC Avant Garde" w:hAnsi="ITC Avant Garde"/>
        </w:rPr>
        <w:t>,</w:t>
      </w:r>
      <w:r w:rsidRPr="002A2450">
        <w:rPr>
          <w:rFonts w:ascii="ITC Avant Garde" w:hAnsi="ITC Avant Garde"/>
        </w:rPr>
        <w:t xml:space="preserve"> otorga a </w:t>
      </w:r>
      <w:r w:rsidR="00204993" w:rsidRPr="002A2450">
        <w:rPr>
          <w:rFonts w:ascii="ITC Avant Garde" w:hAnsi="ITC Avant Garde"/>
          <w:b/>
        </w:rPr>
        <w:t>“TELMEX”</w:t>
      </w:r>
      <w:r w:rsidR="004B737B" w:rsidRPr="002A2450">
        <w:rPr>
          <w:rFonts w:ascii="ITC Avant Garde" w:hAnsi="ITC Avant Garde"/>
          <w:b/>
        </w:rPr>
        <w:t xml:space="preserve"> </w:t>
      </w:r>
      <w:r w:rsidRPr="002A2450">
        <w:rPr>
          <w:rFonts w:ascii="ITC Avant Garde" w:hAnsi="ITC Avant Garde"/>
        </w:rPr>
        <w:t xml:space="preserve">a través de </w:t>
      </w:r>
      <w:r w:rsidR="00204993" w:rsidRPr="002A2450">
        <w:rPr>
          <w:rFonts w:ascii="ITC Avant Garde" w:hAnsi="ITC Avant Garde"/>
          <w:b/>
        </w:rPr>
        <w:t>“</w:t>
      </w:r>
      <w:r w:rsidRPr="002A2450">
        <w:rPr>
          <w:rFonts w:ascii="ITC Avant Garde" w:hAnsi="ITC Avant Garde"/>
          <w:b/>
        </w:rPr>
        <w:t>TENINVER</w:t>
      </w:r>
      <w:r w:rsidR="00204993" w:rsidRPr="002A2450">
        <w:rPr>
          <w:rFonts w:ascii="ITC Avant Garde" w:hAnsi="ITC Avant Garde"/>
          <w:b/>
        </w:rPr>
        <w:t>”</w:t>
      </w:r>
      <w:r w:rsidRPr="002A2450">
        <w:rPr>
          <w:rFonts w:ascii="ITC Avant Garde" w:hAnsi="ITC Avant Garde"/>
        </w:rPr>
        <w:t xml:space="preserve"> la posibilidad de obtener dividendos aun cuando la primera, no participa dentro del capital social de las empresas involucradas, de lo cual se dedu</w:t>
      </w:r>
      <w:r w:rsidR="004B737B" w:rsidRPr="002A2450">
        <w:rPr>
          <w:rFonts w:ascii="ITC Avant Garde" w:hAnsi="ITC Avant Garde"/>
        </w:rPr>
        <w:t>jo</w:t>
      </w:r>
      <w:r w:rsidRPr="002A2450">
        <w:rPr>
          <w:rFonts w:ascii="ITC Avant Garde" w:hAnsi="ITC Avant Garde"/>
        </w:rPr>
        <w:t xml:space="preserve"> que la misma es considerada como un accionista más sin tener dicho carácter, sin que pase desapercibido que también le otorga la posibilidad de conocer los estados financieros de </w:t>
      </w:r>
      <w:r w:rsidR="00204993" w:rsidRPr="002A2450">
        <w:rPr>
          <w:rFonts w:ascii="ITC Avant Garde" w:hAnsi="ITC Avant Garde"/>
          <w:b/>
        </w:rPr>
        <w:t>“</w:t>
      </w:r>
      <w:r w:rsidRPr="002A2450">
        <w:rPr>
          <w:rFonts w:ascii="ITC Avant Garde" w:hAnsi="ITC Avant Garde"/>
          <w:b/>
        </w:rPr>
        <w:t>DISH MÉXICO</w:t>
      </w:r>
      <w:r w:rsidR="00204993" w:rsidRPr="002A2450">
        <w:rPr>
          <w:rFonts w:ascii="ITC Avant Garde" w:hAnsi="ITC Avant Garde"/>
          <w:b/>
        </w:rPr>
        <w:t>”</w:t>
      </w:r>
      <w:r w:rsidRPr="002A2450">
        <w:rPr>
          <w:rFonts w:ascii="ITC Avant Garde" w:hAnsi="ITC Avant Garde"/>
        </w:rPr>
        <w:t xml:space="preserve"> y la inspección sobre los documentos de la misma.</w:t>
      </w:r>
    </w:p>
    <w:p w14:paraId="452A8290" w14:textId="2A4B2906"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Ahora bien, </w:t>
      </w:r>
      <w:r w:rsidR="004B737B" w:rsidRPr="002A2450">
        <w:rPr>
          <w:rFonts w:ascii="ITC Avant Garde" w:hAnsi="ITC Avant Garde"/>
        </w:rPr>
        <w:t xml:space="preserve">se advirtió </w:t>
      </w:r>
      <w:r w:rsidRPr="002A2450">
        <w:rPr>
          <w:rFonts w:ascii="ITC Avant Garde" w:hAnsi="ITC Avant Garde"/>
        </w:rPr>
        <w:t xml:space="preserve">que </w:t>
      </w:r>
      <w:r w:rsidR="00204993" w:rsidRPr="002A2450">
        <w:rPr>
          <w:rFonts w:ascii="ITC Avant Garde" w:hAnsi="ITC Avant Garde"/>
          <w:b/>
        </w:rPr>
        <w:t xml:space="preserve">“TELMEX” </w:t>
      </w:r>
      <w:r w:rsidRPr="002A2450">
        <w:rPr>
          <w:rFonts w:ascii="ITC Avant Garde" w:hAnsi="ITC Avant Garde"/>
        </w:rPr>
        <w:t xml:space="preserve">tiene injerencia en la consecución del negocio del servicio de </w:t>
      </w:r>
      <w:r w:rsidR="00AE016F" w:rsidRPr="002A2450">
        <w:rPr>
          <w:rFonts w:ascii="ITC Avant Garde" w:hAnsi="ITC Avant Garde"/>
          <w:b/>
        </w:rPr>
        <w:t>“</w:t>
      </w:r>
      <w:r w:rsidRPr="002A2450">
        <w:rPr>
          <w:rFonts w:ascii="ITC Avant Garde" w:hAnsi="ITC Avant Garde"/>
          <w:b/>
        </w:rPr>
        <w:t>DTH</w:t>
      </w:r>
      <w:r w:rsidR="00AE016F" w:rsidRPr="002A2450">
        <w:rPr>
          <w:rFonts w:ascii="ITC Avant Garde" w:hAnsi="ITC Avant Garde"/>
          <w:b/>
        </w:rPr>
        <w:t>”</w:t>
      </w:r>
      <w:r w:rsidRPr="002A2450">
        <w:rPr>
          <w:rFonts w:ascii="ITC Avant Garde" w:hAnsi="ITC Avant Garde"/>
        </w:rPr>
        <w:t xml:space="preserve"> y el interés mismo de la participación de dividendos derivados de dicha actividad,</w:t>
      </w:r>
      <w:r w:rsidR="00F51C0F" w:rsidRPr="002A2450">
        <w:rPr>
          <w:rFonts w:ascii="ITC Avant Garde" w:hAnsi="ITC Avant Garde"/>
        </w:rPr>
        <w:t xml:space="preserve"> ya que la misma</w:t>
      </w:r>
      <w:r w:rsidR="00204993" w:rsidRPr="002A2450">
        <w:rPr>
          <w:rFonts w:ascii="ITC Avant Garde" w:hAnsi="ITC Avant Garde"/>
          <w:b/>
        </w:rPr>
        <w:t xml:space="preserve"> </w:t>
      </w:r>
      <w:r w:rsidRPr="002A2450">
        <w:rPr>
          <w:rFonts w:ascii="ITC Avant Garde" w:hAnsi="ITC Avant Garde"/>
        </w:rPr>
        <w:t xml:space="preserve">asume riesgos más allá de lo que el contrato mercantil puede establecer, </w:t>
      </w:r>
      <w:r w:rsidR="00F51C0F" w:rsidRPr="002A2450">
        <w:rPr>
          <w:rFonts w:ascii="ITC Avant Garde" w:hAnsi="ITC Avant Garde"/>
        </w:rPr>
        <w:t xml:space="preserve">toda vez </w:t>
      </w:r>
      <w:r w:rsidRPr="002A2450">
        <w:rPr>
          <w:rFonts w:ascii="ITC Avant Garde" w:hAnsi="ITC Avant Garde"/>
        </w:rPr>
        <w:t xml:space="preserve">que en el </w:t>
      </w:r>
      <w:r w:rsidR="00AE016F" w:rsidRPr="002A2450">
        <w:rPr>
          <w:rFonts w:ascii="ITC Avant Garde" w:hAnsi="ITC Avant Garde"/>
          <w:b/>
        </w:rPr>
        <w:t>Contrato</w:t>
      </w:r>
      <w:r w:rsidRPr="002A2450">
        <w:rPr>
          <w:rFonts w:ascii="ITC Avant Garde" w:hAnsi="ITC Avant Garde"/>
        </w:rPr>
        <w:t xml:space="preserve"> </w:t>
      </w:r>
      <w:r w:rsidRPr="002A2450">
        <w:rPr>
          <w:rFonts w:ascii="ITC Avant Garde" w:hAnsi="ITC Avant Garde"/>
          <w:b/>
        </w:rPr>
        <w:t xml:space="preserve">de </w:t>
      </w:r>
      <w:r w:rsidR="00AE016F" w:rsidRPr="002A2450">
        <w:rPr>
          <w:rFonts w:ascii="ITC Avant Garde" w:hAnsi="ITC Avant Garde"/>
          <w:b/>
        </w:rPr>
        <w:t>Consecuencias</w:t>
      </w:r>
      <w:r w:rsidRPr="002A2450">
        <w:rPr>
          <w:rFonts w:ascii="ITC Avant Garde" w:hAnsi="ITC Avant Garde"/>
        </w:rPr>
        <w:t xml:space="preserve">, se prevé la posibilidad de que </w:t>
      </w:r>
      <w:r w:rsidR="00204993" w:rsidRPr="002A2450">
        <w:rPr>
          <w:rFonts w:ascii="ITC Avant Garde" w:hAnsi="ITC Avant Garde"/>
          <w:b/>
        </w:rPr>
        <w:t>“</w:t>
      </w:r>
      <w:r w:rsidRPr="002A2450">
        <w:rPr>
          <w:rFonts w:ascii="ITC Avant Garde" w:hAnsi="ITC Avant Garde"/>
          <w:b/>
        </w:rPr>
        <w:t>TENINVER</w:t>
      </w:r>
      <w:r w:rsidR="00204993" w:rsidRPr="002A2450">
        <w:rPr>
          <w:rFonts w:ascii="ITC Avant Garde" w:hAnsi="ITC Avant Garde"/>
          <w:b/>
        </w:rPr>
        <w:t>”</w:t>
      </w:r>
      <w:r w:rsidRPr="002A2450">
        <w:rPr>
          <w:rFonts w:ascii="ITC Avant Garde" w:hAnsi="ITC Avant Garde"/>
        </w:rPr>
        <w:t xml:space="preserve"> empresa controlada por </w:t>
      </w:r>
      <w:r w:rsidR="00204993" w:rsidRPr="002A2450">
        <w:rPr>
          <w:rFonts w:ascii="ITC Avant Garde" w:hAnsi="ITC Avant Garde"/>
          <w:b/>
        </w:rPr>
        <w:t>“TELMEX”</w:t>
      </w:r>
      <w:r w:rsidR="00F51C0F" w:rsidRPr="002A2450">
        <w:rPr>
          <w:rFonts w:ascii="ITC Avant Garde" w:hAnsi="ITC Avant Garde"/>
        </w:rPr>
        <w:t xml:space="preserve"> lleve a cabo los actos necesarios ante un banco de su elección para que se otorgue</w:t>
      </w:r>
      <w:r w:rsidRPr="002A2450">
        <w:rPr>
          <w:rFonts w:ascii="ITC Avant Garde" w:hAnsi="ITC Avant Garde"/>
        </w:rPr>
        <w:t xml:space="preserve"> a favor de </w:t>
      </w:r>
      <w:r w:rsidR="00204993" w:rsidRPr="002A2450">
        <w:rPr>
          <w:rFonts w:ascii="ITC Avant Garde" w:hAnsi="ITC Avant Garde"/>
          <w:b/>
        </w:rPr>
        <w:t>“</w:t>
      </w:r>
      <w:r w:rsidRPr="002A2450">
        <w:rPr>
          <w:rFonts w:ascii="ITC Avant Garde" w:hAnsi="ITC Avant Garde"/>
          <w:b/>
        </w:rPr>
        <w:t>DISH MÉXICO</w:t>
      </w:r>
      <w:r w:rsidR="00204993"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un préstamo el cual respaldará un dividendo que sería pagado a las partes incluso a </w:t>
      </w:r>
      <w:r w:rsidR="00204993" w:rsidRPr="002A2450">
        <w:rPr>
          <w:rFonts w:ascii="ITC Avant Garde" w:hAnsi="ITC Avant Garde"/>
          <w:b/>
        </w:rPr>
        <w:t>“TENINVER”</w:t>
      </w:r>
      <w:r w:rsidRPr="002A2450">
        <w:rPr>
          <w:rFonts w:ascii="ITC Avant Garde" w:hAnsi="ITC Avant Garde"/>
        </w:rPr>
        <w:t xml:space="preserve"> y aún más, se establec</w:t>
      </w:r>
      <w:r w:rsidR="004B737B" w:rsidRPr="002A2450">
        <w:rPr>
          <w:rFonts w:ascii="ITC Avant Garde" w:hAnsi="ITC Avant Garde"/>
        </w:rPr>
        <w:t>ió</w:t>
      </w:r>
      <w:r w:rsidRPr="002A2450">
        <w:rPr>
          <w:rFonts w:ascii="ITC Avant Garde" w:hAnsi="ITC Avant Garde"/>
        </w:rPr>
        <w:t xml:space="preserve"> la obligación para que las partes otorguen su consentimiento en caso de ser necesario, para decretar y pagar dicho dividendo conforme a los contratos relacionados. </w:t>
      </w:r>
    </w:p>
    <w:p w14:paraId="3F2C09E5" w14:textId="25CEECAE" w:rsidR="00B35F13" w:rsidRPr="005E1F62"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3AE0607" w14:textId="77777777" w:rsidR="00B35F13" w:rsidRPr="00B35F13" w:rsidRDefault="00262B95" w:rsidP="00B35F13">
      <w:pPr>
        <w:pStyle w:val="Ttulo7"/>
        <w:rPr>
          <w:u w:val="none"/>
        </w:rPr>
      </w:pPr>
      <w:bookmarkStart w:id="82" w:name="_Toc477170185"/>
      <w:r w:rsidRPr="00B35F13">
        <w:rPr>
          <w:u w:val="none"/>
        </w:rPr>
        <w:t>III. DE LA INVERSIÓN (SIMULADA) DE TELMEX</w:t>
      </w:r>
      <w:bookmarkEnd w:id="82"/>
      <w:r w:rsidRPr="00B35F13">
        <w:rPr>
          <w:u w:val="none"/>
        </w:rPr>
        <w:t xml:space="preserve"> </w:t>
      </w:r>
    </w:p>
    <w:p w14:paraId="4967EDD0" w14:textId="77777777" w:rsidR="00B35F13" w:rsidRDefault="00037CA3" w:rsidP="00B35F13">
      <w:pPr>
        <w:spacing w:before="240" w:line="360" w:lineRule="auto"/>
        <w:jc w:val="both"/>
        <w:rPr>
          <w:rFonts w:ascii="ITC Avant Garde" w:hAnsi="ITC Avant Garde"/>
        </w:rPr>
      </w:pPr>
      <w:r w:rsidRPr="002A2450">
        <w:rPr>
          <w:rFonts w:ascii="ITC Avant Garde" w:hAnsi="ITC Avant Garde"/>
        </w:rPr>
        <w:t xml:space="preserve">Mediante el </w:t>
      </w:r>
      <w:r w:rsidRPr="002A2450">
        <w:rPr>
          <w:rFonts w:ascii="ITC Avant Garde" w:hAnsi="ITC Avant Garde"/>
          <w:b/>
        </w:rPr>
        <w:t>Contrato de Arrendamiento</w:t>
      </w:r>
      <w:r w:rsidRPr="002A2450">
        <w:rPr>
          <w:rFonts w:ascii="ITC Avant Garde" w:hAnsi="ITC Avant Garde"/>
        </w:rPr>
        <w:t xml:space="preserve">, </w:t>
      </w:r>
      <w:r w:rsidRPr="002A2450">
        <w:rPr>
          <w:rFonts w:ascii="ITC Avant Garde" w:hAnsi="ITC Avant Garde"/>
          <w:b/>
        </w:rPr>
        <w:t>“TELMEX”</w:t>
      </w:r>
      <w:r w:rsidRPr="002A2450">
        <w:rPr>
          <w:rFonts w:ascii="ITC Avant Garde" w:hAnsi="ITC Avant Garde"/>
        </w:rPr>
        <w:t xml:space="preserve">, por conducto de </w:t>
      </w:r>
      <w:r w:rsidRPr="002A2450">
        <w:rPr>
          <w:rFonts w:ascii="ITC Avant Garde" w:hAnsi="ITC Avant Garde"/>
          <w:b/>
        </w:rPr>
        <w:t xml:space="preserve">“TENINVER” </w:t>
      </w:r>
      <w:r w:rsidRPr="002A2450">
        <w:rPr>
          <w:rFonts w:ascii="ITC Avant Garde" w:hAnsi="ITC Avant Garde"/>
        </w:rPr>
        <w:t xml:space="preserve">llevó a cabo </w:t>
      </w:r>
      <w:r w:rsidR="00357AD7">
        <w:rPr>
          <w:rFonts w:ascii="ITC Avant Garde" w:hAnsi="ITC Avant Garde"/>
        </w:rPr>
        <w:t xml:space="preserve">presumiblemente </w:t>
      </w:r>
      <w:r w:rsidRPr="002A2450">
        <w:rPr>
          <w:rFonts w:ascii="ITC Avant Garde" w:hAnsi="ITC Avant Garde"/>
        </w:rPr>
        <w:t>una inversión simulada en el patrimonio de</w:t>
      </w:r>
      <w:r w:rsidRPr="002A2450">
        <w:rPr>
          <w:rFonts w:ascii="ITC Avant Garde" w:hAnsi="ITC Avant Garde"/>
          <w:b/>
        </w:rPr>
        <w:t xml:space="preserve"> “COFRESA” </w:t>
      </w:r>
      <w:r w:rsidRPr="002A2450">
        <w:rPr>
          <w:rFonts w:ascii="ITC Avant Garde" w:hAnsi="ITC Avant Garde"/>
        </w:rPr>
        <w:t>ya que adquiere los equipos de dicha empresa (</w:t>
      </w:r>
      <w:r w:rsidRPr="002A2450">
        <w:rPr>
          <w:rFonts w:ascii="ITC Avant Garde" w:hAnsi="ITC Avant Garde"/>
          <w:b/>
        </w:rPr>
        <w:t>“COFRESA”</w:t>
      </w:r>
      <w:r w:rsidRPr="002A2450">
        <w:rPr>
          <w:rFonts w:ascii="ITC Avant Garde" w:hAnsi="ITC Avant Garde"/>
        </w:rPr>
        <w:t>) y después los renta a la misma (</w:t>
      </w:r>
      <w:r w:rsidRPr="002A2450">
        <w:rPr>
          <w:rFonts w:ascii="ITC Avant Garde" w:hAnsi="ITC Avant Garde"/>
          <w:b/>
        </w:rPr>
        <w:t>“COFRESA”</w:t>
      </w:r>
      <w:r w:rsidRPr="002A2450">
        <w:rPr>
          <w:rFonts w:ascii="ITC Avant Garde" w:hAnsi="ITC Avant Garde"/>
        </w:rPr>
        <w:t xml:space="preserve">), sin embargo, la inversión de </w:t>
      </w:r>
      <w:r w:rsidRPr="002A2450">
        <w:rPr>
          <w:rFonts w:ascii="ITC Avant Garde" w:hAnsi="ITC Avant Garde"/>
          <w:b/>
        </w:rPr>
        <w:t>“TELMEX”</w:t>
      </w:r>
      <w:r w:rsidRPr="002A2450">
        <w:rPr>
          <w:rFonts w:ascii="ITC Avant Garde" w:hAnsi="ITC Avant Garde"/>
        </w:rPr>
        <w:t xml:space="preserve"> por conducto de </w:t>
      </w:r>
      <w:r w:rsidRPr="002A2450">
        <w:rPr>
          <w:rFonts w:ascii="ITC Avant Garde" w:hAnsi="ITC Avant Garde"/>
          <w:b/>
        </w:rPr>
        <w:t xml:space="preserve">“TENINVER” </w:t>
      </w:r>
      <w:r w:rsidRPr="002A2450">
        <w:rPr>
          <w:rFonts w:ascii="ITC Avant Garde" w:hAnsi="ITC Avant Garde"/>
        </w:rPr>
        <w:t xml:space="preserve">está garantizada ya que el monto de los equipos que adquiera se descontaría del precio en el caso de que </w:t>
      </w:r>
      <w:r w:rsidR="00C1126E">
        <w:rPr>
          <w:rFonts w:ascii="ITC Avant Garde" w:hAnsi="ITC Avant Garde"/>
          <w:b/>
        </w:rPr>
        <w:t>“TELMEX”</w:t>
      </w:r>
      <w:r w:rsidRPr="002A2450">
        <w:rPr>
          <w:rFonts w:ascii="ITC Avant Garde" w:hAnsi="ITC Avant Garde"/>
        </w:rPr>
        <w:t xml:space="preserve"> a través </w:t>
      </w:r>
      <w:r w:rsidRPr="002A2450">
        <w:rPr>
          <w:rFonts w:ascii="ITC Avant Garde" w:hAnsi="ITC Avant Garde"/>
          <w:b/>
        </w:rPr>
        <w:t xml:space="preserve">“TENINVER” </w:t>
      </w:r>
      <w:r w:rsidRPr="002A2450">
        <w:rPr>
          <w:rFonts w:ascii="ITC Avant Garde" w:hAnsi="ITC Avant Garde"/>
        </w:rPr>
        <w:t xml:space="preserve">ejerza la opción de suscribir el 51% del capital social de </w:t>
      </w:r>
      <w:r w:rsidRPr="002A2450">
        <w:rPr>
          <w:rFonts w:ascii="ITC Avant Garde" w:hAnsi="ITC Avant Garde"/>
          <w:b/>
        </w:rPr>
        <w:t>“DISH MÉXICO”</w:t>
      </w:r>
      <w:r w:rsidRPr="002A2450">
        <w:rPr>
          <w:rFonts w:ascii="ITC Avant Garde" w:hAnsi="ITC Avant Garde"/>
        </w:rPr>
        <w:t>.</w:t>
      </w:r>
    </w:p>
    <w:p w14:paraId="303C802E"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lastRenderedPageBreak/>
        <w:t xml:space="preserve">El contrato libera de responsabilidad a </w:t>
      </w:r>
      <w:r w:rsidR="00204993" w:rsidRPr="002A2450">
        <w:rPr>
          <w:rFonts w:ascii="ITC Avant Garde" w:hAnsi="ITC Avant Garde"/>
          <w:b/>
        </w:rPr>
        <w:t xml:space="preserve">“COFRESA” </w:t>
      </w:r>
      <w:r w:rsidRPr="002A2450">
        <w:rPr>
          <w:rFonts w:ascii="ITC Avant Garde" w:hAnsi="ITC Avant Garde"/>
        </w:rPr>
        <w:t xml:space="preserve">por la devolución y entrega de los equipos y en caso de terminación anticipada, la propiedad de los equipos la asumirá </w:t>
      </w:r>
      <w:r w:rsidR="00204993" w:rsidRPr="002A2450">
        <w:rPr>
          <w:rFonts w:ascii="ITC Avant Garde" w:hAnsi="ITC Avant Garde"/>
          <w:b/>
        </w:rPr>
        <w:t>“COFRESA”</w:t>
      </w:r>
      <w:r w:rsidRPr="002A2450">
        <w:rPr>
          <w:rFonts w:ascii="ITC Avant Garde" w:hAnsi="ITC Avant Garde"/>
        </w:rPr>
        <w:t xml:space="preserve">, e incluso </w:t>
      </w:r>
      <w:r w:rsidR="00204993" w:rsidRPr="002A2450">
        <w:rPr>
          <w:rFonts w:ascii="ITC Avant Garde" w:hAnsi="ITC Avant Garde"/>
          <w:b/>
        </w:rPr>
        <w:t xml:space="preserve">“TENINVER” </w:t>
      </w:r>
      <w:r w:rsidRPr="002A2450">
        <w:rPr>
          <w:rFonts w:ascii="ITC Avant Garde" w:hAnsi="ITC Avant Garde"/>
        </w:rPr>
        <w:t>podría llegar a recibir una utilidad sobre las cantidades invertidas.</w:t>
      </w:r>
    </w:p>
    <w:p w14:paraId="68858446"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el </w:t>
      </w:r>
      <w:r w:rsidRPr="002A2450">
        <w:rPr>
          <w:rFonts w:ascii="ITC Avant Garde" w:hAnsi="ITC Avant Garde"/>
          <w:b/>
        </w:rPr>
        <w:t>Contrato de Arrendamiento</w:t>
      </w:r>
      <w:r w:rsidRPr="002A2450">
        <w:rPr>
          <w:rFonts w:ascii="ITC Avant Garde" w:hAnsi="ITC Avant Garde"/>
        </w:rPr>
        <w:t xml:space="preserve"> señala en las partes que interesa lo siguiente:</w:t>
      </w:r>
    </w:p>
    <w:p w14:paraId="0B4E0A84" w14:textId="0F7481BB" w:rsidR="00B35F13" w:rsidRPr="005E1F62"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3A2A69C6" w14:textId="207194C3" w:rsidR="00B35F13" w:rsidRDefault="00F8304F" w:rsidP="00B35F13">
      <w:pPr>
        <w:spacing w:before="240" w:line="360" w:lineRule="auto"/>
        <w:jc w:val="both"/>
        <w:rPr>
          <w:rFonts w:ascii="ITC Avant Garde" w:hAnsi="ITC Avant Garde"/>
        </w:rPr>
      </w:pPr>
      <w:r w:rsidRPr="002A2450">
        <w:rPr>
          <w:rFonts w:ascii="ITC Avant Garde" w:hAnsi="ITC Avant Garde"/>
        </w:rPr>
        <w:t xml:space="preserve">Lo anterior </w:t>
      </w:r>
      <w:r w:rsidR="00357AD7">
        <w:rPr>
          <w:rFonts w:ascii="ITC Avant Garde" w:hAnsi="ITC Avant Garde"/>
        </w:rPr>
        <w:t xml:space="preserve">aparentemente </w:t>
      </w:r>
      <w:r w:rsidRPr="002A2450">
        <w:rPr>
          <w:rFonts w:ascii="ITC Avant Garde" w:hAnsi="ITC Avant Garde"/>
        </w:rPr>
        <w:t xml:space="preserve">constituyó una inversión simulada porque el monto de la inversión, esto es, el precio de la compra de los </w:t>
      </w:r>
      <w:r w:rsidR="00DB48C0">
        <w:rPr>
          <w:rFonts w:ascii="ITC Avant Garde" w:hAnsi="ITC Avant Garde"/>
        </w:rPr>
        <w:t>Kits</w:t>
      </w:r>
      <w:r w:rsidRPr="002A2450">
        <w:rPr>
          <w:rFonts w:ascii="ITC Avant Garde" w:hAnsi="ITC Avant Garde"/>
        </w:rPr>
        <w:t xml:space="preserve"> CPE,  coincide con el precio base de la opción para adquirir el 51% del capital de </w:t>
      </w:r>
      <w:r w:rsidRPr="002A2450">
        <w:rPr>
          <w:rFonts w:ascii="ITC Avant Garde" w:hAnsi="ITC Avant Garde"/>
          <w:b/>
        </w:rPr>
        <w:t xml:space="preserve">“DISH MÉXICO”, </w:t>
      </w:r>
      <w:r w:rsidRPr="002A2450">
        <w:rPr>
          <w:rFonts w:ascii="ITC Avant Garde" w:hAnsi="ITC Avant Garde"/>
        </w:rPr>
        <w:t xml:space="preserve">esto es USD </w:t>
      </w:r>
      <w:r w:rsidRPr="009E34A4">
        <w:rPr>
          <w:rFonts w:ascii="ITC Avant Garde" w:hAnsi="ITC Avant Garde"/>
          <w:b/>
        </w:rPr>
        <w:t>$325,000,000</w:t>
      </w:r>
      <w:r w:rsidRPr="002A2450">
        <w:rPr>
          <w:rFonts w:ascii="ITC Avant Garde" w:hAnsi="ITC Avant Garde"/>
        </w:rPr>
        <w:t xml:space="preserve"> (Trescientos Veinticinco Millones de dólares de los de Estados Unidos de América).</w:t>
      </w:r>
    </w:p>
    <w:p w14:paraId="1A8560BE" w14:textId="77777777" w:rsidR="00B35F13" w:rsidRDefault="00F8304F" w:rsidP="00B35F13">
      <w:pPr>
        <w:spacing w:before="240" w:line="360" w:lineRule="auto"/>
        <w:jc w:val="both"/>
        <w:rPr>
          <w:rFonts w:ascii="ITC Avant Garde" w:hAnsi="ITC Avant Garde"/>
        </w:rPr>
      </w:pPr>
      <w:r w:rsidRPr="002A2450">
        <w:rPr>
          <w:rFonts w:ascii="ITC Avant Garde" w:hAnsi="ITC Avant Garde"/>
        </w:rPr>
        <w:t xml:space="preserve">Asimismo, </w:t>
      </w:r>
      <w:r w:rsidRPr="002A2450">
        <w:rPr>
          <w:rFonts w:ascii="ITC Avant Garde" w:hAnsi="ITC Avant Garde"/>
          <w:b/>
        </w:rPr>
        <w:t xml:space="preserve">“TELMEX” </w:t>
      </w:r>
      <w:r w:rsidRPr="002A2450">
        <w:rPr>
          <w:rFonts w:ascii="ITC Avant Garde" w:hAnsi="ITC Avant Garde"/>
        </w:rPr>
        <w:t xml:space="preserve">por conducto de </w:t>
      </w:r>
      <w:r w:rsidRPr="002A2450">
        <w:rPr>
          <w:rFonts w:ascii="ITC Avant Garde" w:hAnsi="ITC Avant Garde"/>
          <w:b/>
        </w:rPr>
        <w:t xml:space="preserve">“TENINVER” </w:t>
      </w:r>
      <w:r w:rsidRPr="002A2450">
        <w:rPr>
          <w:rFonts w:ascii="ITC Avant Garde" w:hAnsi="ITC Avant Garde"/>
        </w:rPr>
        <w:t xml:space="preserve">asume el riesgo de que falle el negocio de </w:t>
      </w:r>
      <w:r w:rsidRPr="002A2450">
        <w:rPr>
          <w:rFonts w:ascii="ITC Avant Garde" w:hAnsi="ITC Avant Garde"/>
          <w:b/>
        </w:rPr>
        <w:t>“DISH MÉXICO”</w:t>
      </w:r>
      <w:r w:rsidRPr="002A2450">
        <w:rPr>
          <w:rFonts w:ascii="ITC Avant Garde" w:hAnsi="ITC Avant Garde"/>
        </w:rPr>
        <w:t xml:space="preserve"> y se tenga que dar por terminado el arrendamiento, en cuyo caso, de cualquier forma participaría de </w:t>
      </w:r>
      <w:r w:rsidR="00357AD7">
        <w:rPr>
          <w:rFonts w:ascii="ITC Avant Garde" w:hAnsi="ITC Avant Garde"/>
        </w:rPr>
        <w:t>los resultados</w:t>
      </w:r>
      <w:r w:rsidRPr="002A2450">
        <w:rPr>
          <w:rFonts w:ascii="ITC Avant Garde" w:hAnsi="ITC Avant Garde"/>
        </w:rPr>
        <w:t xml:space="preserve"> del negocio, al momento de ejercer la opción.</w:t>
      </w:r>
    </w:p>
    <w:p w14:paraId="01774DB1"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es necesario precisar que dentro del </w:t>
      </w:r>
      <w:r w:rsidRPr="002A2450">
        <w:rPr>
          <w:rFonts w:ascii="ITC Avant Garde" w:hAnsi="ITC Avant Garde"/>
          <w:b/>
        </w:rPr>
        <w:t xml:space="preserve">Contrato de </w:t>
      </w:r>
      <w:r w:rsidR="00AE016F" w:rsidRPr="002A2450">
        <w:rPr>
          <w:rFonts w:ascii="ITC Avant Garde" w:hAnsi="ITC Avant Garde"/>
          <w:b/>
        </w:rPr>
        <w:t xml:space="preserve">Opción </w:t>
      </w:r>
      <w:r w:rsidRPr="002A2450">
        <w:rPr>
          <w:rFonts w:ascii="ITC Avant Garde" w:hAnsi="ITC Avant Garde"/>
          <w:b/>
        </w:rPr>
        <w:t xml:space="preserve">de </w:t>
      </w:r>
      <w:r w:rsidR="00AE016F" w:rsidRPr="002A2450">
        <w:rPr>
          <w:rFonts w:ascii="ITC Avant Garde" w:hAnsi="ITC Avant Garde"/>
          <w:b/>
        </w:rPr>
        <w:t xml:space="preserve">Compra </w:t>
      </w:r>
      <w:r w:rsidRPr="002A2450">
        <w:rPr>
          <w:rFonts w:ascii="ITC Avant Garde" w:hAnsi="ITC Avant Garde"/>
          <w:b/>
        </w:rPr>
        <w:t xml:space="preserve">y </w:t>
      </w:r>
      <w:r w:rsidR="00AE016F" w:rsidRPr="002A2450">
        <w:rPr>
          <w:rFonts w:ascii="ITC Avant Garde" w:hAnsi="ITC Avant Garde"/>
          <w:b/>
        </w:rPr>
        <w:t xml:space="preserve">Venta </w:t>
      </w:r>
      <w:r w:rsidRPr="002A2450">
        <w:rPr>
          <w:rFonts w:ascii="ITC Avant Garde" w:hAnsi="ITC Avant Garde"/>
        </w:rPr>
        <w:t>la opción señalada se encuentra prevista de la siguiente manera:</w:t>
      </w:r>
    </w:p>
    <w:p w14:paraId="751BE54B" w14:textId="3701B457" w:rsidR="00B35F13" w:rsidRPr="005E1F62"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01A3993E" w14:textId="7472D9D6" w:rsidR="00B35F13" w:rsidRDefault="00262B95" w:rsidP="00B35F13">
      <w:pPr>
        <w:spacing w:before="240" w:line="360" w:lineRule="auto"/>
        <w:rPr>
          <w:rFonts w:ascii="ITC Avant Garde" w:hAnsi="ITC Avant Garde"/>
        </w:rPr>
      </w:pPr>
      <w:r w:rsidRPr="002A2450">
        <w:rPr>
          <w:rFonts w:ascii="ITC Avant Garde" w:hAnsi="ITC Avant Garde"/>
        </w:rPr>
        <w:t xml:space="preserve">Ahora bien, el </w:t>
      </w:r>
      <w:r w:rsidRPr="002A2450">
        <w:rPr>
          <w:rFonts w:ascii="ITC Avant Garde" w:hAnsi="ITC Avant Garde"/>
          <w:b/>
        </w:rPr>
        <w:t>Contrato de Consecuencias</w:t>
      </w:r>
      <w:r w:rsidRPr="002A2450">
        <w:rPr>
          <w:rFonts w:ascii="ITC Avant Garde" w:hAnsi="ITC Avant Garde"/>
        </w:rPr>
        <w:t xml:space="preserve"> señala en la parte respectiva el monto por la indemnización a </w:t>
      </w:r>
      <w:r w:rsidR="004B737B" w:rsidRPr="002A2450">
        <w:rPr>
          <w:rFonts w:ascii="ITC Avant Garde" w:hAnsi="ITC Avant Garde"/>
          <w:b/>
        </w:rPr>
        <w:t>“</w:t>
      </w:r>
      <w:r w:rsidRPr="002A2450">
        <w:rPr>
          <w:rFonts w:ascii="ITC Avant Garde" w:hAnsi="ITC Avant Garde"/>
          <w:b/>
        </w:rPr>
        <w:t>TELMEX</w:t>
      </w:r>
      <w:r w:rsidR="004B737B" w:rsidRPr="002A2450">
        <w:rPr>
          <w:rFonts w:ascii="ITC Avant Garde" w:hAnsi="ITC Avant Garde"/>
          <w:b/>
        </w:rPr>
        <w:t>”</w:t>
      </w:r>
      <w:r w:rsidRPr="002A2450">
        <w:rPr>
          <w:rFonts w:ascii="ITC Avant Garde" w:hAnsi="ITC Avant Garde"/>
        </w:rPr>
        <w:t xml:space="preserve"> en su caso;</w:t>
      </w:r>
    </w:p>
    <w:p w14:paraId="6F654A51" w14:textId="0D37995D" w:rsidR="00B35F13" w:rsidRPr="005E1F62" w:rsidRDefault="00BA352E"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0EA2FECB" w14:textId="77777777" w:rsidR="00B35F13" w:rsidRPr="00B35F13" w:rsidRDefault="00262B95" w:rsidP="00B35F13">
      <w:pPr>
        <w:pStyle w:val="Ttulo7"/>
        <w:rPr>
          <w:u w:val="none"/>
        </w:rPr>
      </w:pPr>
      <w:bookmarkStart w:id="83" w:name="_Toc477170186"/>
      <w:r w:rsidRPr="00B35F13">
        <w:rPr>
          <w:u w:val="none"/>
        </w:rPr>
        <w:t>IV. INFLUENCIA DE TELMEX EN LA COMERCIALIZACIÓN DEL SERVICIO DTH</w:t>
      </w:r>
      <w:bookmarkEnd w:id="83"/>
    </w:p>
    <w:p w14:paraId="363DA8DA" w14:textId="77777777" w:rsidR="00B35F13" w:rsidRDefault="00204993" w:rsidP="00B35F13">
      <w:pPr>
        <w:spacing w:before="240" w:line="360" w:lineRule="auto"/>
        <w:jc w:val="both"/>
        <w:rPr>
          <w:rFonts w:ascii="ITC Avant Garde" w:hAnsi="ITC Avant Garde"/>
        </w:rPr>
      </w:pPr>
      <w:r w:rsidRPr="002A2450">
        <w:rPr>
          <w:rFonts w:ascii="ITC Avant Garde" w:hAnsi="ITC Avant Garde"/>
          <w:b/>
        </w:rPr>
        <w:lastRenderedPageBreak/>
        <w:t xml:space="preserve">“TELMEX” </w:t>
      </w:r>
      <w:r w:rsidR="00262B95" w:rsidRPr="002A2450">
        <w:rPr>
          <w:rFonts w:ascii="ITC Avant Garde" w:hAnsi="ITC Avant Garde"/>
        </w:rPr>
        <w:t xml:space="preserve">influye en la comercialización de los servicios </w:t>
      </w:r>
      <w:r w:rsidR="00AE016F" w:rsidRPr="002A2450">
        <w:rPr>
          <w:rFonts w:ascii="ITC Avant Garde" w:hAnsi="ITC Avant Garde"/>
          <w:b/>
        </w:rPr>
        <w:t>“</w:t>
      </w:r>
      <w:r w:rsidR="00262B95" w:rsidRPr="002A2450">
        <w:rPr>
          <w:rFonts w:ascii="ITC Avant Garde" w:hAnsi="ITC Avant Garde"/>
          <w:b/>
        </w:rPr>
        <w:t>DTH</w:t>
      </w:r>
      <w:r w:rsidR="00AE016F" w:rsidRPr="002A2450">
        <w:rPr>
          <w:rFonts w:ascii="ITC Avant Garde" w:hAnsi="ITC Avant Garde"/>
          <w:b/>
        </w:rPr>
        <w:t>”</w:t>
      </w:r>
      <w:r w:rsidR="00262B95" w:rsidRPr="002A2450">
        <w:rPr>
          <w:rFonts w:ascii="ITC Avant Garde" w:hAnsi="ITC Avant Garde"/>
        </w:rPr>
        <w:t xml:space="preserve"> ya que pone al servicio de </w:t>
      </w:r>
      <w:r w:rsidRPr="002A2450">
        <w:rPr>
          <w:rFonts w:ascii="ITC Avant Garde" w:hAnsi="ITC Avant Garde"/>
          <w:b/>
        </w:rPr>
        <w:t xml:space="preserve">“COFRESA” </w:t>
      </w:r>
      <w:r w:rsidR="00262B95" w:rsidRPr="002A2450">
        <w:rPr>
          <w:rFonts w:ascii="ITC Avant Garde" w:hAnsi="ITC Avant Garde"/>
        </w:rPr>
        <w:t xml:space="preserve">sus canales de distribución y puntos de venta para comercializar la televisión satelital y le cobra una tarifa preferencial. Asimismo promociona en sus puntos de venta, los servicios de </w:t>
      </w:r>
      <w:r w:rsidRPr="002A2450">
        <w:rPr>
          <w:rFonts w:ascii="ITC Avant Garde" w:hAnsi="ITC Avant Garde"/>
          <w:b/>
        </w:rPr>
        <w:t xml:space="preserve">“COFRESA” </w:t>
      </w:r>
      <w:r w:rsidR="00262B95" w:rsidRPr="002A2450">
        <w:rPr>
          <w:rFonts w:ascii="ITC Avant Garde" w:hAnsi="ITC Avant Garde"/>
        </w:rPr>
        <w:t xml:space="preserve">y recibe una ganancia por cada cliente que contrata los servicios de éste último. </w:t>
      </w:r>
    </w:p>
    <w:p w14:paraId="3116B4D0"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el </w:t>
      </w:r>
      <w:r w:rsidRPr="002A2450">
        <w:rPr>
          <w:rFonts w:ascii="ITC Avant Garde" w:hAnsi="ITC Avant Garde"/>
          <w:b/>
        </w:rPr>
        <w:t>Contrato de Distribución</w:t>
      </w:r>
      <w:r w:rsidRPr="002A2450">
        <w:rPr>
          <w:rFonts w:ascii="ITC Avant Garde" w:hAnsi="ITC Avant Garde"/>
        </w:rPr>
        <w:t xml:space="preserve"> señala en las partes que interesa lo siguiente:</w:t>
      </w:r>
    </w:p>
    <w:p w14:paraId="193C8C5F" w14:textId="73EF0C86" w:rsidR="00B35F13" w:rsidRPr="005E1F62"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D774D51" w14:textId="7ECADAF4" w:rsidR="00262B95" w:rsidRPr="00AD5C0E" w:rsidRDefault="004B737B" w:rsidP="00AD5C0E">
      <w:pPr>
        <w:spacing w:before="240" w:line="360" w:lineRule="auto"/>
        <w:jc w:val="both"/>
        <w:rPr>
          <w:rFonts w:ascii="ITC Avant Garde" w:hAnsi="ITC Avant Garde"/>
        </w:rPr>
      </w:pPr>
      <w:r w:rsidRPr="002A2450">
        <w:rPr>
          <w:rFonts w:ascii="ITC Avant Garde" w:hAnsi="ITC Avant Garde"/>
        </w:rPr>
        <w:t>Lo cual quedó</w:t>
      </w:r>
      <w:r w:rsidR="00262B95" w:rsidRPr="002A2450">
        <w:rPr>
          <w:rFonts w:ascii="ITC Avant Garde" w:hAnsi="ITC Avant Garde"/>
        </w:rPr>
        <w:t xml:space="preserve"> robustecido con la instauración y operación de </w:t>
      </w:r>
      <w:r w:rsidR="00262B95" w:rsidRPr="002A2450">
        <w:rPr>
          <w:rFonts w:ascii="ITC Avant Garde" w:hAnsi="ITC Avant Garde"/>
          <w:b/>
        </w:rPr>
        <w:t xml:space="preserve">Comité de operación </w:t>
      </w:r>
      <w:r w:rsidR="00262B95" w:rsidRPr="002A2450">
        <w:rPr>
          <w:rFonts w:ascii="ITC Avant Garde" w:hAnsi="ITC Avant Garde"/>
        </w:rPr>
        <w:t xml:space="preserve">previsto en el </w:t>
      </w:r>
      <w:r w:rsidR="00262B95" w:rsidRPr="002A2450">
        <w:rPr>
          <w:rFonts w:ascii="ITC Avant Garde" w:hAnsi="ITC Avant Garde"/>
          <w:b/>
        </w:rPr>
        <w:t>Contrato de Consecuencias</w:t>
      </w:r>
      <w:r w:rsidR="00262B95" w:rsidRPr="002A2450">
        <w:rPr>
          <w:rFonts w:ascii="ITC Avant Garde" w:hAnsi="ITC Avant Garde"/>
        </w:rPr>
        <w:t xml:space="preserve"> a que se h</w:t>
      </w:r>
      <w:r w:rsidR="00AD5C0E">
        <w:rPr>
          <w:rFonts w:ascii="ITC Avant Garde" w:hAnsi="ITC Avant Garde"/>
        </w:rPr>
        <w:t>a hecho referencia previamente.</w:t>
      </w:r>
    </w:p>
    <w:p w14:paraId="6FDF0697" w14:textId="77777777" w:rsidR="00B35F13" w:rsidRPr="00B35F13" w:rsidRDefault="00262B95" w:rsidP="00B35F13">
      <w:pPr>
        <w:pStyle w:val="Ttulo7"/>
        <w:rPr>
          <w:u w:val="none"/>
        </w:rPr>
      </w:pPr>
      <w:bookmarkStart w:id="84" w:name="_Toc477170187"/>
      <w:r w:rsidRPr="00B35F13">
        <w:rPr>
          <w:u w:val="none"/>
        </w:rPr>
        <w:t>V. CONTROL INDIRECTO Y NEGATIVO DE TELMEX</w:t>
      </w:r>
      <w:bookmarkEnd w:id="84"/>
    </w:p>
    <w:p w14:paraId="3750D121" w14:textId="77777777" w:rsidR="00B35F13" w:rsidRDefault="00262B95" w:rsidP="00B35F13">
      <w:pPr>
        <w:spacing w:before="240" w:line="360" w:lineRule="auto"/>
        <w:jc w:val="both"/>
        <w:rPr>
          <w:rFonts w:ascii="ITC Avant Garde" w:hAnsi="ITC Avant Garde"/>
          <w:b/>
        </w:rPr>
      </w:pPr>
      <w:r w:rsidRPr="002A2450">
        <w:rPr>
          <w:rFonts w:ascii="ITC Avant Garde" w:hAnsi="ITC Avant Garde"/>
        </w:rPr>
        <w:t xml:space="preserve">En los contratos celebrados existen mecanismos que permiten a </w:t>
      </w:r>
      <w:r w:rsidR="00204993" w:rsidRPr="002A2450">
        <w:rPr>
          <w:rFonts w:ascii="ITC Avant Garde" w:hAnsi="ITC Avant Garde"/>
          <w:b/>
        </w:rPr>
        <w:t xml:space="preserve">“TELMEX” </w:t>
      </w:r>
      <w:r w:rsidRPr="002A2450">
        <w:rPr>
          <w:rFonts w:ascii="ITC Avant Garde" w:hAnsi="ITC Avant Garde"/>
        </w:rPr>
        <w:t>tener un control negativo de facto sobre</w:t>
      </w:r>
      <w:r w:rsidR="00F51C0F" w:rsidRPr="002A2450">
        <w:rPr>
          <w:rFonts w:ascii="ITC Avant Garde" w:hAnsi="ITC Avant Garde"/>
        </w:rPr>
        <w:t xml:space="preserve"> las decisiones de negocio y corporativas de </w:t>
      </w:r>
      <w:r w:rsidR="00204993" w:rsidRPr="002A2450">
        <w:rPr>
          <w:rFonts w:ascii="ITC Avant Garde" w:hAnsi="ITC Avant Garde"/>
          <w:b/>
        </w:rPr>
        <w:t>“</w:t>
      </w:r>
      <w:r w:rsidRPr="002A2450">
        <w:rPr>
          <w:rFonts w:ascii="ITC Avant Garde" w:hAnsi="ITC Avant Garde"/>
          <w:b/>
        </w:rPr>
        <w:t>DISH MEXICO</w:t>
      </w:r>
      <w:r w:rsidR="00204993" w:rsidRPr="002A2450">
        <w:rPr>
          <w:rFonts w:ascii="ITC Avant Garde" w:hAnsi="ITC Avant Garde"/>
          <w:b/>
        </w:rPr>
        <w:t>”</w:t>
      </w:r>
      <w:r w:rsidRPr="002A2450">
        <w:rPr>
          <w:rFonts w:ascii="ITC Avant Garde" w:hAnsi="ITC Avant Garde"/>
          <w:b/>
        </w:rPr>
        <w:t>.</w:t>
      </w:r>
    </w:p>
    <w:p w14:paraId="1C051482" w14:textId="77777777" w:rsidR="00B35F13" w:rsidRDefault="00262B95" w:rsidP="00B35F13">
      <w:pPr>
        <w:pStyle w:val="Ttulo8"/>
        <w:spacing w:before="240" w:after="160"/>
      </w:pPr>
      <w:r w:rsidRPr="002A2450">
        <w:t xml:space="preserve">(i) Obligación de participación conjunta en negocios que compitan con el de </w:t>
      </w:r>
      <w:r w:rsidRPr="002A2450">
        <w:rPr>
          <w:i/>
        </w:rPr>
        <w:t>“DISH”</w:t>
      </w:r>
    </w:p>
    <w:p w14:paraId="4857FEA1" w14:textId="4EAEFF78" w:rsidR="00B35F13" w:rsidRPr="005E1F62"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3C43310A" w14:textId="77777777" w:rsidR="00B35F13" w:rsidRDefault="00F51C0F" w:rsidP="00B35F13">
      <w:pPr>
        <w:spacing w:before="240" w:line="360" w:lineRule="auto"/>
        <w:jc w:val="both"/>
        <w:rPr>
          <w:rFonts w:ascii="ITC Avant Garde" w:hAnsi="ITC Avant Garde"/>
        </w:rPr>
      </w:pPr>
      <w:r w:rsidRPr="002A2450">
        <w:rPr>
          <w:rFonts w:ascii="ITC Avant Garde" w:hAnsi="ITC Avant Garde"/>
        </w:rPr>
        <w:t xml:space="preserve">Al respecto, dicha cláusula puede estimarse que el objeto de la misma es prohibir la posibilidad de que pueda llevarse a cabo una competencia directa en la prestación de servicios </w:t>
      </w:r>
      <w:r w:rsidRPr="002A2450">
        <w:rPr>
          <w:rFonts w:ascii="ITC Avant Garde" w:hAnsi="ITC Avant Garde"/>
          <w:b/>
        </w:rPr>
        <w:t xml:space="preserve">“DTH”, </w:t>
      </w:r>
      <w:r w:rsidRPr="002A2450">
        <w:rPr>
          <w:rFonts w:ascii="ITC Avant Garde" w:hAnsi="ITC Avant Garde"/>
        </w:rPr>
        <w:t>lo que de manera alguna evidencia el control indirecto para prestar el servicio a través de cualquier otra empresa.</w:t>
      </w:r>
    </w:p>
    <w:p w14:paraId="0A1B1169" w14:textId="77777777" w:rsidR="00B35F13" w:rsidRDefault="004B737B" w:rsidP="00B35F13">
      <w:pPr>
        <w:pStyle w:val="Ttulo8"/>
        <w:spacing w:before="240" w:after="160"/>
      </w:pPr>
      <w:r w:rsidRPr="002A2450">
        <w:t xml:space="preserve">(ii) </w:t>
      </w:r>
      <w:r w:rsidR="00262B95" w:rsidRPr="002A2450">
        <w:t>Restricciones para enajenar partes sociales, comprar activos, constituir gravámenes, asumir deuda, modificar su línea de negocios</w:t>
      </w:r>
    </w:p>
    <w:p w14:paraId="474A4B3A" w14:textId="77777777" w:rsidR="00B35F13" w:rsidRDefault="00262B95" w:rsidP="00B35F13">
      <w:pPr>
        <w:spacing w:before="240" w:line="360" w:lineRule="auto"/>
        <w:rPr>
          <w:rFonts w:ascii="ITC Avant Garde" w:hAnsi="ITC Avant Garde"/>
        </w:rPr>
      </w:pPr>
      <w:r w:rsidRPr="002A2450">
        <w:rPr>
          <w:rFonts w:ascii="ITC Avant Garde" w:hAnsi="ITC Avant Garde"/>
        </w:rPr>
        <w:lastRenderedPageBreak/>
        <w:t>Al respecto, el convenio entre socios establece:</w:t>
      </w:r>
    </w:p>
    <w:p w14:paraId="34C060B3" w14:textId="77777777" w:rsidR="006C67B3"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785B43C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Lo anterior, se </w:t>
      </w:r>
      <w:r w:rsidR="00AE016F" w:rsidRPr="002A2450">
        <w:rPr>
          <w:rFonts w:ascii="ITC Avant Garde" w:hAnsi="ITC Avant Garde"/>
        </w:rPr>
        <w:t>vio</w:t>
      </w:r>
      <w:r w:rsidRPr="002A2450">
        <w:rPr>
          <w:rFonts w:ascii="ITC Avant Garde" w:hAnsi="ITC Avant Garde"/>
        </w:rPr>
        <w:t xml:space="preserve"> robustecido en el </w:t>
      </w:r>
      <w:r w:rsidRPr="002A2450">
        <w:rPr>
          <w:rFonts w:ascii="ITC Avant Garde" w:hAnsi="ITC Avant Garde"/>
          <w:b/>
        </w:rPr>
        <w:t>Contrato de Operación</w:t>
      </w:r>
      <w:r w:rsidRPr="002A2450">
        <w:rPr>
          <w:rFonts w:ascii="ITC Avant Garde" w:hAnsi="ITC Avant Garde"/>
        </w:rPr>
        <w:t xml:space="preserve"> ya que el mismo establece lo siguiente:</w:t>
      </w:r>
    </w:p>
    <w:p w14:paraId="70C1513B" w14:textId="39A3575F" w:rsidR="00B35F13" w:rsidRPr="005E1F62"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41FD3848" w14:textId="4A386681" w:rsidR="00B35F13" w:rsidRDefault="009E100C" w:rsidP="00B35F13">
      <w:pPr>
        <w:spacing w:before="240" w:line="360" w:lineRule="auto"/>
        <w:jc w:val="both"/>
        <w:rPr>
          <w:rFonts w:ascii="ITC Avant Garde" w:hAnsi="ITC Avant Garde"/>
        </w:rPr>
      </w:pPr>
      <w:r w:rsidRPr="002A2450">
        <w:rPr>
          <w:rFonts w:ascii="ITC Avant Garde" w:hAnsi="ITC Avant Garde"/>
        </w:rPr>
        <w:t xml:space="preserve">Con lo anterior, es dable concluir que las empresas </w:t>
      </w:r>
      <w:r w:rsidRPr="002A2450">
        <w:rPr>
          <w:rFonts w:ascii="ITC Avant Garde" w:hAnsi="ITC Avant Garde" w:cs="Arial"/>
          <w:b/>
        </w:rPr>
        <w:t>“ECHOSTAR MEXICO”, “GRUPO MVS”, “GFMTV”, “MVS MULTIVISIÓN”, “DISH MÉXICO”, “COFRESA”</w:t>
      </w:r>
      <w:r w:rsidRPr="002A2450">
        <w:rPr>
          <w:rFonts w:ascii="ITC Avant Garde" w:hAnsi="ITC Avant Garde" w:cs="Arial"/>
        </w:rPr>
        <w:t xml:space="preserve"> y</w:t>
      </w:r>
      <w:r w:rsidRPr="002A2450">
        <w:rPr>
          <w:rFonts w:ascii="ITC Avant Garde" w:hAnsi="ITC Avant Garde" w:cs="Arial"/>
          <w:b/>
        </w:rPr>
        <w:t xml:space="preserve"> “DISH HOLDINGS”, </w:t>
      </w:r>
      <w:r w:rsidRPr="002A2450">
        <w:rPr>
          <w:rFonts w:ascii="ITC Avant Garde" w:hAnsi="ITC Avant Garde" w:cs="Arial"/>
        </w:rPr>
        <w:t xml:space="preserve">llevaron a cabo la celebración de un contrato de operación que implicó una restructuración del </w:t>
      </w:r>
      <w:r w:rsidRPr="002A2450">
        <w:rPr>
          <w:rFonts w:ascii="ITC Avant Garde" w:hAnsi="ITC Avant Garde" w:cs="Arial"/>
          <w:i/>
        </w:rPr>
        <w:t>Grupo MVS</w:t>
      </w:r>
      <w:r w:rsidRPr="002A2450">
        <w:rPr>
          <w:rFonts w:ascii="ITC Avant Garde" w:hAnsi="ITC Avant Garde" w:cs="Arial"/>
        </w:rPr>
        <w:t xml:space="preserve"> con el objeto de suministrar los insumos necesarios a efecto de </w:t>
      </w:r>
      <w:r w:rsidRPr="002A2450">
        <w:rPr>
          <w:rFonts w:ascii="ITC Avant Garde" w:hAnsi="ITC Avant Garde" w:cs="Arial"/>
          <w:b/>
        </w:rPr>
        <w:t>“COFRESA”</w:t>
      </w:r>
      <w:r w:rsidRPr="002A2450">
        <w:rPr>
          <w:rFonts w:ascii="ITC Avant Garde" w:hAnsi="ITC Avant Garde" w:cs="Arial"/>
        </w:rPr>
        <w:t xml:space="preserve"> pudiera llevar a cabo la prestación del servicio </w:t>
      </w:r>
      <w:r w:rsidR="00B61711" w:rsidRPr="002A2450">
        <w:rPr>
          <w:rFonts w:ascii="ITC Avant Garde" w:hAnsi="ITC Avant Garde" w:cs="Arial"/>
          <w:b/>
        </w:rPr>
        <w:t>“DTH</w:t>
      </w:r>
      <w:r w:rsidRPr="002A2450">
        <w:rPr>
          <w:rFonts w:ascii="ITC Avant Garde" w:hAnsi="ITC Avant Garde" w:cs="Arial"/>
          <w:b/>
        </w:rPr>
        <w:t>”</w:t>
      </w:r>
      <w:r w:rsidRPr="002A2450">
        <w:rPr>
          <w:rFonts w:ascii="ITC Avant Garde" w:hAnsi="ITC Avant Garde" w:cs="Arial"/>
        </w:rPr>
        <w:t xml:space="preserve">, para lo cual, las citadas sociedades, con motivo de la </w:t>
      </w:r>
      <w:r w:rsidRPr="002A2450">
        <w:rPr>
          <w:rFonts w:ascii="ITC Avant Garde" w:hAnsi="ITC Avant Garde" w:cs="Arial"/>
          <w:i/>
        </w:rPr>
        <w:t>Alianza Estratégica</w:t>
      </w:r>
      <w:r w:rsidRPr="002A2450">
        <w:rPr>
          <w:rFonts w:ascii="ITC Avant Garde" w:hAnsi="ITC Avant Garde" w:cs="Arial"/>
        </w:rPr>
        <w:t xml:space="preserve"> firmada en esa misma fecha con </w:t>
      </w:r>
      <w:r w:rsidRPr="002A2450">
        <w:rPr>
          <w:rFonts w:ascii="ITC Avant Garde" w:hAnsi="ITC Avant Garde" w:cs="Arial"/>
          <w:b/>
        </w:rPr>
        <w:t>“TELMEX”</w:t>
      </w:r>
      <w:r w:rsidRPr="002A2450">
        <w:rPr>
          <w:rFonts w:ascii="ITC Avant Garde" w:hAnsi="ITC Avant Garde" w:cs="Arial"/>
        </w:rPr>
        <w:t xml:space="preserve">, limitaron la posibilidad de que sus activos y capital social fuera modificado hasta en tanto pudiera o no, ejercerse la opción por parte de la última empresa en mención, dado que con dicha opción, </w:t>
      </w:r>
      <w:r w:rsidRPr="002A2450">
        <w:rPr>
          <w:rFonts w:ascii="ITC Avant Garde" w:hAnsi="ITC Avant Garde" w:cs="Arial"/>
          <w:b/>
        </w:rPr>
        <w:t>“TELMEX”</w:t>
      </w:r>
      <w:r w:rsidRPr="002A2450">
        <w:rPr>
          <w:rFonts w:ascii="ITC Avant Garde" w:hAnsi="ITC Avant Garde" w:cs="Arial"/>
        </w:rPr>
        <w:t xml:space="preserve"> estaría en posibilidad de participar en el capital social de </w:t>
      </w:r>
      <w:r w:rsidRPr="002A2450">
        <w:rPr>
          <w:rFonts w:ascii="ITC Avant Garde" w:hAnsi="ITC Avant Garde" w:cs="Arial"/>
          <w:b/>
        </w:rPr>
        <w:t>“DISH MÉXICO”</w:t>
      </w:r>
      <w:r w:rsidRPr="002A2450">
        <w:rPr>
          <w:rFonts w:ascii="ITC Avant Garde" w:hAnsi="ITC Avant Garde" w:cs="Arial"/>
        </w:rPr>
        <w:t xml:space="preserve"> y como consecuencia la participación en los dividendos de la misma, por lo que a efecto de mantener de manera íntegra el capital de las empresas antes señaladas, se llevó a cabo un control indirecto respecto de las mismas.</w:t>
      </w:r>
    </w:p>
    <w:p w14:paraId="010A0175" w14:textId="77777777" w:rsidR="00B35F13" w:rsidRDefault="00262B95" w:rsidP="00B35F13">
      <w:pPr>
        <w:pStyle w:val="Ttulo8"/>
        <w:spacing w:before="240" w:after="160"/>
      </w:pPr>
      <w:r w:rsidRPr="002A2450">
        <w:t>(iii) Cláusula de no competencia</w:t>
      </w:r>
    </w:p>
    <w:p w14:paraId="639351D9"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el </w:t>
      </w:r>
      <w:r w:rsidRPr="002A2450">
        <w:rPr>
          <w:rFonts w:ascii="ITC Avant Garde" w:hAnsi="ITC Avant Garde"/>
          <w:b/>
        </w:rPr>
        <w:t>Contrato de Consecuencias</w:t>
      </w:r>
      <w:r w:rsidRPr="002A2450">
        <w:rPr>
          <w:rFonts w:ascii="ITC Avant Garde" w:hAnsi="ITC Avant Garde"/>
        </w:rPr>
        <w:t xml:space="preserve"> establece que ninguna de las partes podrá participar directa o indirectamente en un negocio que compita con el de la televisión satelital que presta </w:t>
      </w:r>
      <w:r w:rsidR="00AE016F" w:rsidRPr="002A2450">
        <w:rPr>
          <w:rFonts w:ascii="ITC Avant Garde" w:hAnsi="ITC Avant Garde"/>
          <w:b/>
        </w:rPr>
        <w:t>“</w:t>
      </w:r>
      <w:r w:rsidRPr="002A2450">
        <w:rPr>
          <w:rFonts w:ascii="ITC Avant Garde" w:hAnsi="ITC Avant Garde"/>
          <w:b/>
        </w:rPr>
        <w:t>COFRESA</w:t>
      </w:r>
      <w:r w:rsidR="00AE016F"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Dicha obligación se establece con el objeto de que la consecución del negocio de </w:t>
      </w:r>
      <w:r w:rsidR="00AE016F" w:rsidRPr="002A2450">
        <w:rPr>
          <w:rFonts w:ascii="ITC Avant Garde" w:hAnsi="ITC Avant Garde"/>
          <w:b/>
        </w:rPr>
        <w:t>“</w:t>
      </w:r>
      <w:r w:rsidRPr="002A2450">
        <w:rPr>
          <w:rFonts w:ascii="ITC Avant Garde" w:hAnsi="ITC Avant Garde"/>
          <w:b/>
        </w:rPr>
        <w:t>DTH</w:t>
      </w:r>
      <w:r w:rsidR="00AE016F" w:rsidRPr="002A2450">
        <w:rPr>
          <w:rFonts w:ascii="ITC Avant Garde" w:hAnsi="ITC Avant Garde"/>
          <w:b/>
        </w:rPr>
        <w:t>”</w:t>
      </w:r>
      <w:r w:rsidRPr="002A2450">
        <w:rPr>
          <w:rFonts w:ascii="ITC Avant Garde" w:hAnsi="ITC Avant Garde"/>
        </w:rPr>
        <w:t xml:space="preserve"> ofrecido por </w:t>
      </w:r>
      <w:r w:rsidR="00AE016F" w:rsidRPr="002A2450">
        <w:rPr>
          <w:rFonts w:ascii="ITC Avant Garde" w:hAnsi="ITC Avant Garde"/>
          <w:b/>
        </w:rPr>
        <w:t>“</w:t>
      </w:r>
      <w:r w:rsidRPr="002A2450">
        <w:rPr>
          <w:rFonts w:ascii="ITC Avant Garde" w:hAnsi="ITC Avant Garde"/>
          <w:b/>
        </w:rPr>
        <w:t>COFRESA</w:t>
      </w:r>
      <w:r w:rsidR="00AE016F"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se desarrolle de manera privilegiada sin intervención de otras empresas; al respecto, dicho contrato señala:</w:t>
      </w:r>
    </w:p>
    <w:p w14:paraId="197A3B39" w14:textId="48ED199F" w:rsidR="00B35F13" w:rsidRPr="005E1F62" w:rsidRDefault="008221F0" w:rsidP="00C9499F">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lastRenderedPageBreak/>
        <w:t>“CONFIDENCIAL POR LEY”</w:t>
      </w:r>
    </w:p>
    <w:p w14:paraId="610A41C1" w14:textId="77777777" w:rsidR="00B35F13" w:rsidRDefault="00262B95" w:rsidP="00B35F13">
      <w:pPr>
        <w:spacing w:before="240" w:line="360" w:lineRule="auto"/>
        <w:jc w:val="both"/>
        <w:rPr>
          <w:rFonts w:ascii="ITC Avant Garde" w:hAnsi="ITC Avant Garde"/>
          <w:b/>
        </w:rPr>
      </w:pPr>
      <w:r w:rsidRPr="002A2450">
        <w:rPr>
          <w:rFonts w:ascii="ITC Avant Garde" w:hAnsi="ITC Avant Garde"/>
        </w:rPr>
        <w:t xml:space="preserve">Otro elemento adicional que nos da cuenta de la verdadera relación que existe entre dichas empresas, </w:t>
      </w:r>
      <w:r w:rsidR="004B737B" w:rsidRPr="002A2450">
        <w:rPr>
          <w:rFonts w:ascii="ITC Avant Garde" w:hAnsi="ITC Avant Garde"/>
        </w:rPr>
        <w:t xml:space="preserve">fueron </w:t>
      </w:r>
      <w:r w:rsidRPr="002A2450">
        <w:rPr>
          <w:rFonts w:ascii="ITC Avant Garde" w:hAnsi="ITC Avant Garde"/>
        </w:rPr>
        <w:t xml:space="preserve">las autorizaciones de </w:t>
      </w:r>
      <w:r w:rsidR="004B737B" w:rsidRPr="002A2450">
        <w:rPr>
          <w:rFonts w:ascii="ITC Avant Garde" w:hAnsi="ITC Avant Garde"/>
          <w:b/>
        </w:rPr>
        <w:t>“</w:t>
      </w:r>
      <w:r w:rsidRPr="002A2450">
        <w:rPr>
          <w:rFonts w:ascii="ITC Avant Garde" w:hAnsi="ITC Avant Garde"/>
          <w:b/>
        </w:rPr>
        <w:t>TELMEX</w:t>
      </w:r>
      <w:r w:rsidR="004B737B" w:rsidRPr="002A2450">
        <w:rPr>
          <w:rFonts w:ascii="ITC Avant Garde" w:hAnsi="ITC Avant Garde"/>
          <w:b/>
        </w:rPr>
        <w:t>”</w:t>
      </w:r>
      <w:r w:rsidRPr="002A2450">
        <w:rPr>
          <w:rFonts w:ascii="ITC Avant Garde" w:hAnsi="ITC Avant Garde"/>
        </w:rPr>
        <w:t xml:space="preserve"> para el trato preferencial derivado del Contrato de Prestación de Servicios.</w:t>
      </w:r>
      <w:r w:rsidR="008F718E" w:rsidRPr="009E34A4">
        <w:rPr>
          <w:rFonts w:ascii="ITC Avant Garde" w:hAnsi="ITC Avant Garde"/>
          <w:color w:val="C00000"/>
        </w:rPr>
        <w:t xml:space="preserve"> </w:t>
      </w:r>
      <w:r w:rsidRPr="002A2450">
        <w:rPr>
          <w:rFonts w:ascii="ITC Avant Garde" w:hAnsi="ITC Avant Garde"/>
        </w:rPr>
        <w:t>A este respecto se transcriben los siguientes comunicados:</w:t>
      </w:r>
    </w:p>
    <w:p w14:paraId="7346527E" w14:textId="665F421E" w:rsidR="00B35F13" w:rsidRPr="005E1F62"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5E1F62">
        <w:rPr>
          <w:rFonts w:ascii="ITC Avant Garde" w:eastAsiaTheme="majorEastAsia" w:hAnsi="ITC Avant Garde" w:cstheme="majorBidi"/>
          <w:b/>
          <w:color w:val="0000FF"/>
          <w:szCs w:val="32"/>
        </w:rPr>
        <w:t>“CONFIDENCIAL POR LEY”</w:t>
      </w:r>
    </w:p>
    <w:p w14:paraId="492D2754" w14:textId="77777777" w:rsidR="00B35F13" w:rsidRDefault="00262B95" w:rsidP="00B35F13">
      <w:pPr>
        <w:spacing w:before="240" w:line="360" w:lineRule="auto"/>
        <w:rPr>
          <w:rFonts w:ascii="ITC Avant Garde" w:hAnsi="ITC Avant Garde"/>
          <w:b/>
        </w:rPr>
      </w:pPr>
      <w:r w:rsidRPr="002A2450">
        <w:rPr>
          <w:rFonts w:ascii="ITC Avant Garde" w:hAnsi="ITC Avant Garde"/>
          <w:b/>
        </w:rPr>
        <w:t>Notificaciones previas derivado del contrato de consecuencias</w:t>
      </w:r>
    </w:p>
    <w:p w14:paraId="1B53D976" w14:textId="77777777" w:rsidR="00B35F13" w:rsidRDefault="00262B95" w:rsidP="00B35F13">
      <w:pPr>
        <w:spacing w:before="240" w:line="360" w:lineRule="auto"/>
        <w:rPr>
          <w:rFonts w:ascii="ITC Avant Garde" w:hAnsi="ITC Avant Garde"/>
          <w:b/>
        </w:rPr>
      </w:pPr>
      <w:r w:rsidRPr="002A2450">
        <w:rPr>
          <w:rFonts w:ascii="ITC Avant Garde" w:hAnsi="ITC Avant Garde"/>
          <w:b/>
        </w:rPr>
        <w:t>Carta de 1 de noviembre de 2010</w:t>
      </w:r>
    </w:p>
    <w:p w14:paraId="2A8B7F54" w14:textId="0FA6B019" w:rsidR="005E1F62" w:rsidRPr="005E1F62" w:rsidRDefault="005E1F62" w:rsidP="00B35F13">
      <w:pPr>
        <w:spacing w:before="240" w:line="360" w:lineRule="auto"/>
        <w:ind w:left="567" w:right="567"/>
        <w:jc w:val="both"/>
        <w:rPr>
          <w:rFonts w:ascii="ITC Avant Garde" w:eastAsiaTheme="majorEastAsia" w:hAnsi="ITC Avant Garde" w:cstheme="majorBidi"/>
          <w:i/>
          <w:color w:val="000000" w:themeColor="text1"/>
          <w:szCs w:val="32"/>
        </w:rPr>
      </w:pPr>
      <w:r w:rsidRPr="005E1F62">
        <w:rPr>
          <w:rFonts w:ascii="ITC Avant Garde" w:eastAsiaTheme="majorEastAsia" w:hAnsi="ITC Avant Garde" w:cstheme="majorBidi"/>
          <w:i/>
          <w:color w:val="000000" w:themeColor="text1"/>
          <w:szCs w:val="32"/>
        </w:rPr>
        <w:t xml:space="preserve">“Teléfonos </w:t>
      </w:r>
      <w:r w:rsidR="006F3516" w:rsidRPr="005E1F62">
        <w:rPr>
          <w:rFonts w:ascii="ITC Avant Garde" w:eastAsiaTheme="majorEastAsia" w:hAnsi="ITC Avant Garde" w:cstheme="majorBidi"/>
          <w:i/>
          <w:color w:val="000000" w:themeColor="text1"/>
          <w:szCs w:val="32"/>
        </w:rPr>
        <w:t xml:space="preserve">de </w:t>
      </w:r>
      <w:r w:rsidRPr="005E1F62">
        <w:rPr>
          <w:rFonts w:ascii="ITC Avant Garde" w:eastAsiaTheme="majorEastAsia" w:hAnsi="ITC Avant Garde" w:cstheme="majorBidi"/>
          <w:i/>
          <w:color w:val="000000" w:themeColor="text1"/>
          <w:szCs w:val="32"/>
        </w:rPr>
        <w:t>México, S.A.B. de C.V.</w:t>
      </w:r>
    </w:p>
    <w:p w14:paraId="4DAB2CD8" w14:textId="15D79468" w:rsidR="008221F0" w:rsidRPr="006F3516"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3AEDBA50" w14:textId="77777777" w:rsidR="00B35F13" w:rsidRDefault="00262B95" w:rsidP="00B35F13">
      <w:pPr>
        <w:spacing w:before="240" w:line="360" w:lineRule="auto"/>
        <w:rPr>
          <w:rFonts w:ascii="ITC Avant Garde" w:hAnsi="ITC Avant Garde"/>
          <w:b/>
        </w:rPr>
      </w:pPr>
      <w:r w:rsidRPr="002A2450">
        <w:rPr>
          <w:rFonts w:ascii="ITC Avant Garde" w:hAnsi="ITC Avant Garde"/>
          <w:b/>
        </w:rPr>
        <w:t>Carta de 2 de diciembre de 2011</w:t>
      </w:r>
    </w:p>
    <w:p w14:paraId="5D07703E" w14:textId="3A28C49B" w:rsidR="00B35F13" w:rsidRPr="006F3516"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183685CB" w14:textId="435633A1" w:rsidR="00B35F13" w:rsidRDefault="00262B95" w:rsidP="00B35F13">
      <w:pPr>
        <w:spacing w:before="240" w:line="360" w:lineRule="auto"/>
        <w:rPr>
          <w:rFonts w:ascii="ITC Avant Garde" w:hAnsi="ITC Avant Garde"/>
          <w:b/>
          <w:u w:val="single"/>
        </w:rPr>
      </w:pPr>
      <w:r w:rsidRPr="002A2450">
        <w:rPr>
          <w:rFonts w:ascii="ITC Avant Garde" w:hAnsi="ITC Avant Garde"/>
          <w:b/>
          <w:u w:val="single"/>
        </w:rPr>
        <w:t>Carta de 1 de julio de 2012</w:t>
      </w:r>
    </w:p>
    <w:p w14:paraId="5EB5083D" w14:textId="7EA1C431" w:rsidR="00B35F13" w:rsidRPr="006F3516"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33F9BAF2" w14:textId="4AFCC0CD" w:rsidR="00B35F13" w:rsidRPr="006C67B3" w:rsidRDefault="00262B95" w:rsidP="006C67B3">
      <w:pPr>
        <w:spacing w:before="240" w:line="360" w:lineRule="auto"/>
        <w:ind w:right="567"/>
        <w:jc w:val="both"/>
        <w:rPr>
          <w:rFonts w:ascii="ITC Avant Garde" w:hAnsi="ITC Avant Garde"/>
        </w:rPr>
      </w:pPr>
      <w:r w:rsidRPr="002A2450">
        <w:rPr>
          <w:rFonts w:ascii="ITC Avant Garde" w:hAnsi="ITC Avant Garde"/>
        </w:rPr>
        <w:t>Del análisis de los mencionados comunicados, se desprend</w:t>
      </w:r>
      <w:r w:rsidR="004B737B" w:rsidRPr="002A2450">
        <w:rPr>
          <w:rFonts w:ascii="ITC Avant Garde" w:hAnsi="ITC Avant Garde"/>
        </w:rPr>
        <w:t>ió</w:t>
      </w:r>
      <w:r w:rsidRPr="002A2450">
        <w:rPr>
          <w:rFonts w:ascii="ITC Avant Garde" w:hAnsi="ITC Avant Garde"/>
        </w:rPr>
        <w:t xml:space="preserve"> que </w:t>
      </w:r>
      <w:r w:rsidR="00204993" w:rsidRPr="002A2450">
        <w:rPr>
          <w:rFonts w:ascii="ITC Avant Garde" w:hAnsi="ITC Avant Garde"/>
          <w:b/>
        </w:rPr>
        <w:t>“TELMEX”</w:t>
      </w:r>
      <w:r w:rsidRPr="002A2450">
        <w:rPr>
          <w:rFonts w:ascii="ITC Avant Garde" w:hAnsi="ITC Avant Garde"/>
          <w:b/>
        </w:rPr>
        <w:t xml:space="preserve"> </w:t>
      </w:r>
      <w:r w:rsidRPr="002A2450">
        <w:rPr>
          <w:rFonts w:ascii="ITC Avant Garde" w:hAnsi="ITC Avant Garde"/>
        </w:rPr>
        <w:t xml:space="preserve">tenía injerencia en las decisiones de negocio de </w:t>
      </w:r>
      <w:r w:rsidR="00204993" w:rsidRPr="002A2450">
        <w:rPr>
          <w:rFonts w:ascii="ITC Avant Garde" w:hAnsi="ITC Avant Garde"/>
          <w:b/>
        </w:rPr>
        <w:t>“COFRESA”</w:t>
      </w:r>
      <w:r w:rsidRPr="002A2450">
        <w:rPr>
          <w:rFonts w:ascii="ITC Avant Garde" w:hAnsi="ITC Avant Garde"/>
          <w:b/>
        </w:rPr>
        <w:t xml:space="preserve">, </w:t>
      </w:r>
      <w:r w:rsidRPr="002A2450">
        <w:rPr>
          <w:rFonts w:ascii="ITC Avant Garde" w:hAnsi="ITC Avant Garde"/>
        </w:rPr>
        <w:t xml:space="preserve">e incluso tenía que emitir su autorización para la celebración de contratos entre ésta última y terceros relacionados con la explotación de los servicios </w:t>
      </w:r>
      <w:r w:rsidR="00764EBE" w:rsidRPr="002A2450">
        <w:rPr>
          <w:rFonts w:ascii="ITC Avant Garde" w:hAnsi="ITC Avant Garde"/>
          <w:b/>
        </w:rPr>
        <w:t>“</w:t>
      </w:r>
      <w:r w:rsidRPr="002A2450">
        <w:rPr>
          <w:rFonts w:ascii="ITC Avant Garde" w:hAnsi="ITC Avant Garde"/>
          <w:b/>
        </w:rPr>
        <w:t>DTH</w:t>
      </w:r>
      <w:r w:rsidR="00764EBE" w:rsidRPr="002A2450">
        <w:rPr>
          <w:rFonts w:ascii="ITC Avant Garde" w:hAnsi="ITC Avant Garde"/>
          <w:b/>
        </w:rPr>
        <w:t>”</w:t>
      </w:r>
      <w:r w:rsidRPr="002A2450">
        <w:rPr>
          <w:rFonts w:ascii="ITC Avant Garde" w:hAnsi="ITC Avant Garde"/>
        </w:rPr>
        <w:t>. Llam</w:t>
      </w:r>
      <w:r w:rsidR="004B737B" w:rsidRPr="002A2450">
        <w:rPr>
          <w:rFonts w:ascii="ITC Avant Garde" w:hAnsi="ITC Avant Garde"/>
        </w:rPr>
        <w:t>ó</w:t>
      </w:r>
      <w:r w:rsidRPr="002A2450">
        <w:rPr>
          <w:rFonts w:ascii="ITC Avant Garde" w:hAnsi="ITC Avant Garde"/>
        </w:rPr>
        <w:t xml:space="preserve"> poderosamente la atención, que </w:t>
      </w:r>
      <w:r w:rsidR="00204993" w:rsidRPr="002A2450">
        <w:rPr>
          <w:rFonts w:ascii="ITC Avant Garde" w:hAnsi="ITC Avant Garde"/>
          <w:b/>
        </w:rPr>
        <w:t xml:space="preserve">“TELMEX” </w:t>
      </w:r>
      <w:r w:rsidRPr="002A2450">
        <w:rPr>
          <w:rFonts w:ascii="ITC Avant Garde" w:hAnsi="ITC Avant Garde"/>
        </w:rPr>
        <w:t xml:space="preserve">tenía que autorizar incluso la celebración de los contratos de capacidad satelital, Contratos de Transmisión, Compraventa de Activos, etc., y en todos ellos siempre se estableció la limitante a que derivado de su celebración </w:t>
      </w:r>
      <w:r w:rsidR="008221F0" w:rsidRPr="006F3516">
        <w:rPr>
          <w:rFonts w:ascii="ITC Avant Garde" w:eastAsiaTheme="majorEastAsia" w:hAnsi="ITC Avant Garde" w:cstheme="majorBidi"/>
          <w:b/>
          <w:color w:val="0000FF"/>
          <w:szCs w:val="32"/>
        </w:rPr>
        <w:t>“CONFIDENCIAL POR LEY”</w:t>
      </w:r>
    </w:p>
    <w:p w14:paraId="06701208" w14:textId="77777777" w:rsidR="00B35F13" w:rsidRPr="00B35F13" w:rsidRDefault="00262B95" w:rsidP="00B35F13">
      <w:pPr>
        <w:pStyle w:val="Ttulo7"/>
        <w:rPr>
          <w:u w:val="none"/>
        </w:rPr>
      </w:pPr>
      <w:bookmarkStart w:id="85" w:name="_Toc477170188"/>
      <w:r w:rsidRPr="00B35F13">
        <w:rPr>
          <w:u w:val="none"/>
        </w:rPr>
        <w:lastRenderedPageBreak/>
        <w:t>VI. DE LA COMPOSICIÓN SOCIETARIA ENTRE TELMEX Y TENINVER</w:t>
      </w:r>
      <w:bookmarkEnd w:id="85"/>
    </w:p>
    <w:p w14:paraId="37410089" w14:textId="77777777" w:rsidR="00B35F13" w:rsidRDefault="00262B95" w:rsidP="00B35F13">
      <w:pPr>
        <w:spacing w:before="240" w:line="360" w:lineRule="auto"/>
        <w:ind w:right="567"/>
        <w:jc w:val="both"/>
        <w:rPr>
          <w:rFonts w:ascii="ITC Avant Garde" w:hAnsi="ITC Avant Garde"/>
        </w:rPr>
      </w:pPr>
      <w:r w:rsidRPr="002A2450">
        <w:rPr>
          <w:rFonts w:ascii="ITC Avant Garde" w:hAnsi="ITC Avant Garde"/>
        </w:rPr>
        <w:t xml:space="preserve">Con base en el análisis del contenido obligacional a que se ha hecho referencia </w:t>
      </w:r>
      <w:r w:rsidR="004B737B" w:rsidRPr="002A2450">
        <w:rPr>
          <w:rFonts w:ascii="ITC Avant Garde" w:hAnsi="ITC Avant Garde"/>
        </w:rPr>
        <w:t>en el apartado anterior, resultó</w:t>
      </w:r>
      <w:r w:rsidRPr="002A2450">
        <w:rPr>
          <w:rFonts w:ascii="ITC Avant Garde" w:hAnsi="ITC Avant Garde"/>
        </w:rPr>
        <w:t xml:space="preserve"> conveniente para </w:t>
      </w:r>
      <w:r w:rsidR="00C23776" w:rsidRPr="002A2450">
        <w:rPr>
          <w:rFonts w:ascii="ITC Avant Garde" w:hAnsi="ITC Avant Garde"/>
        </w:rPr>
        <w:t>efectos</w:t>
      </w:r>
      <w:r w:rsidRPr="002A2450">
        <w:rPr>
          <w:rFonts w:ascii="ITC Avant Garde" w:hAnsi="ITC Avant Garde"/>
        </w:rPr>
        <w:t xml:space="preserve"> del estudio realizado advertir cómo quedaría la composición societaria de las empresas relacionadas </w:t>
      </w:r>
      <w:r w:rsidRPr="002A2450">
        <w:rPr>
          <w:rFonts w:ascii="ITC Avant Garde" w:hAnsi="ITC Avant Garde"/>
          <w:b/>
          <w:u w:val="single"/>
        </w:rPr>
        <w:t xml:space="preserve">una vez que se hubiera ejercido la </w:t>
      </w:r>
      <w:r w:rsidR="00764EBE" w:rsidRPr="002A2450">
        <w:rPr>
          <w:rFonts w:ascii="ITC Avant Garde" w:hAnsi="ITC Avant Garde"/>
          <w:b/>
          <w:u w:val="single"/>
        </w:rPr>
        <w:t>opción</w:t>
      </w:r>
      <w:r w:rsidRPr="002A2450">
        <w:rPr>
          <w:rFonts w:ascii="ITC Avant Garde" w:hAnsi="ITC Avant Garde"/>
        </w:rPr>
        <w:t xml:space="preserve">, con el objeto de desentrañar la verdadera intención de las empresas participantes para obtener el control accionario y observar cómo </w:t>
      </w:r>
      <w:r w:rsidR="00204993" w:rsidRPr="002A2450">
        <w:rPr>
          <w:rFonts w:ascii="ITC Avant Garde" w:hAnsi="ITC Avant Garde"/>
          <w:b/>
        </w:rPr>
        <w:t xml:space="preserve">“TELMEX” </w:t>
      </w:r>
      <w:r w:rsidRPr="002A2450">
        <w:rPr>
          <w:rFonts w:ascii="ITC Avant Garde" w:hAnsi="ITC Avant Garde"/>
        </w:rPr>
        <w:t>mantendría una injerencia de control indirect</w:t>
      </w:r>
      <w:r w:rsidR="00BD1D1D" w:rsidRPr="002A2450">
        <w:rPr>
          <w:rFonts w:ascii="ITC Avant Garde" w:hAnsi="ITC Avant Garde"/>
        </w:rPr>
        <w:t>o</w:t>
      </w:r>
      <w:r w:rsidRPr="002A2450">
        <w:rPr>
          <w:rFonts w:ascii="ITC Avant Garde" w:hAnsi="ITC Avant Garde"/>
        </w:rPr>
        <w:t xml:space="preserve"> </w:t>
      </w:r>
      <w:r w:rsidR="00C75A68" w:rsidRPr="002A2450">
        <w:rPr>
          <w:rFonts w:ascii="ITC Avant Garde" w:hAnsi="ITC Avant Garde"/>
        </w:rPr>
        <w:t>sobre “</w:t>
      </w:r>
      <w:r w:rsidRPr="002A2450">
        <w:rPr>
          <w:rFonts w:ascii="ITC Avant Garde" w:hAnsi="ITC Avant Garde"/>
          <w:b/>
        </w:rPr>
        <w:t xml:space="preserve">DISH </w:t>
      </w:r>
      <w:r w:rsidR="00C75A68" w:rsidRPr="002A2450">
        <w:rPr>
          <w:rFonts w:ascii="ITC Avant Garde" w:hAnsi="ITC Avant Garde"/>
          <w:b/>
        </w:rPr>
        <w:t xml:space="preserve">MÉXICO” </w:t>
      </w:r>
      <w:r w:rsidR="00C75A68" w:rsidRPr="002A2450">
        <w:rPr>
          <w:rFonts w:ascii="ITC Avant Garde" w:hAnsi="ITC Avant Garde"/>
        </w:rPr>
        <w:t>y a su vez</w:t>
      </w:r>
      <w:r w:rsidR="00C75A68" w:rsidRPr="002A2450">
        <w:rPr>
          <w:rFonts w:ascii="ITC Avant Garde" w:hAnsi="ITC Avant Garde"/>
          <w:b/>
        </w:rPr>
        <w:t xml:space="preserve"> </w:t>
      </w:r>
      <w:r w:rsidR="00C75A68" w:rsidRPr="002A2450">
        <w:rPr>
          <w:rFonts w:ascii="ITC Avant Garde" w:hAnsi="ITC Avant Garde"/>
        </w:rPr>
        <w:t xml:space="preserve">sobre </w:t>
      </w:r>
      <w:r w:rsidR="00C75A68" w:rsidRPr="00031765">
        <w:rPr>
          <w:rFonts w:ascii="ITC Avant Garde" w:hAnsi="ITC Avant Garde"/>
          <w:b/>
        </w:rPr>
        <w:t xml:space="preserve">“COFERESA” </w:t>
      </w:r>
      <w:r w:rsidRPr="00031765">
        <w:rPr>
          <w:rFonts w:ascii="ITC Avant Garde" w:hAnsi="ITC Avant Garde"/>
        </w:rPr>
        <w:t>de</w:t>
      </w:r>
      <w:r w:rsidRPr="002A2450">
        <w:rPr>
          <w:rFonts w:ascii="ITC Avant Garde" w:hAnsi="ITC Avant Garde"/>
        </w:rPr>
        <w:t xml:space="preserve"> acuerdo al siguiente esquema:</w:t>
      </w:r>
    </w:p>
    <w:p w14:paraId="5629CCC1" w14:textId="20E97EDB" w:rsidR="00B35F13" w:rsidRPr="006F3516" w:rsidRDefault="008221F0"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417520C5" w14:textId="0169E2AE" w:rsidR="00B35F13" w:rsidRDefault="00262B95" w:rsidP="00B35F13">
      <w:pPr>
        <w:spacing w:before="240" w:line="360" w:lineRule="auto"/>
        <w:jc w:val="both"/>
        <w:rPr>
          <w:rFonts w:ascii="ITC Avant Garde" w:hAnsi="ITC Avant Garde"/>
        </w:rPr>
      </w:pPr>
      <w:r w:rsidRPr="002A2450">
        <w:rPr>
          <w:rFonts w:ascii="ITC Avant Garde" w:hAnsi="ITC Avant Garde"/>
        </w:rPr>
        <w:t xml:space="preserve">Al respecto conviene señalar </w:t>
      </w:r>
      <w:r w:rsidR="009B0D34" w:rsidRPr="002A2450">
        <w:rPr>
          <w:rFonts w:ascii="ITC Avant Garde" w:hAnsi="ITC Avant Garde"/>
        </w:rPr>
        <w:t>que</w:t>
      </w:r>
      <w:r w:rsidRPr="002A2450">
        <w:rPr>
          <w:rFonts w:ascii="ITC Avant Garde" w:hAnsi="ITC Avant Garde"/>
        </w:rPr>
        <w:t xml:space="preserve"> el capital social de </w:t>
      </w:r>
      <w:r w:rsidR="00BC4A4F" w:rsidRPr="002A2450">
        <w:rPr>
          <w:rFonts w:ascii="ITC Avant Garde" w:hAnsi="ITC Avant Garde"/>
          <w:b/>
        </w:rPr>
        <w:t>“</w:t>
      </w:r>
      <w:r w:rsidR="00043540" w:rsidRPr="002A2450">
        <w:rPr>
          <w:rFonts w:ascii="ITC Avant Garde" w:hAnsi="ITC Avant Garde"/>
          <w:b/>
        </w:rPr>
        <w:t>AMÓVIL</w:t>
      </w:r>
      <w:r w:rsidR="00BC4A4F" w:rsidRPr="002A2450">
        <w:rPr>
          <w:rFonts w:ascii="ITC Avant Garde" w:hAnsi="ITC Avant Garde"/>
          <w:b/>
        </w:rPr>
        <w:t>”</w:t>
      </w:r>
      <w:r w:rsidRPr="002A2450">
        <w:rPr>
          <w:rFonts w:ascii="ITC Avant Garde" w:hAnsi="ITC Avant Garde"/>
        </w:rPr>
        <w:t xml:space="preserve"> está representado por acciones serie AA, serie </w:t>
      </w:r>
      <w:proofErr w:type="gramStart"/>
      <w:r w:rsidRPr="002A2450">
        <w:rPr>
          <w:rFonts w:ascii="ITC Avant Garde" w:hAnsi="ITC Avant Garde"/>
        </w:rPr>
        <w:t>A</w:t>
      </w:r>
      <w:proofErr w:type="gramEnd"/>
      <w:r w:rsidRPr="002A2450">
        <w:rPr>
          <w:rFonts w:ascii="ITC Avant Garde" w:hAnsi="ITC Avant Garde"/>
        </w:rPr>
        <w:t xml:space="preserve"> y serie L, todas ellas sin expresión de valor nominal.</w:t>
      </w:r>
    </w:p>
    <w:p w14:paraId="039DEE86"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Las acciones serie AA y serie A tienen derechos de voto plenos. Los tenedores de la serie L únicamente pueden votar en circunstancias limitadas.</w:t>
      </w:r>
    </w:p>
    <w:p w14:paraId="5425246E" w14:textId="77777777" w:rsidR="00B35F13" w:rsidRDefault="00BC4A4F" w:rsidP="00B35F13">
      <w:pPr>
        <w:spacing w:before="240" w:line="360" w:lineRule="auto"/>
        <w:jc w:val="both"/>
        <w:rPr>
          <w:rFonts w:ascii="ITC Avant Garde" w:hAnsi="ITC Avant Garde"/>
        </w:rPr>
      </w:pPr>
      <w:r w:rsidRPr="002A2450">
        <w:rPr>
          <w:rFonts w:ascii="ITC Avant Garde" w:hAnsi="ITC Avant Garde"/>
          <w:b/>
        </w:rPr>
        <w:t>“</w:t>
      </w:r>
      <w:r w:rsidR="00043540" w:rsidRPr="002A2450">
        <w:rPr>
          <w:rFonts w:ascii="ITC Avant Garde" w:hAnsi="ITC Avant Garde"/>
          <w:b/>
        </w:rPr>
        <w:t>AMÓVIL</w:t>
      </w:r>
      <w:r w:rsidRPr="002A2450">
        <w:rPr>
          <w:rFonts w:ascii="ITC Avant Garde" w:hAnsi="ITC Avant Garde"/>
          <w:b/>
        </w:rPr>
        <w:t>”</w:t>
      </w:r>
      <w:r w:rsidR="00262B95" w:rsidRPr="002A2450">
        <w:rPr>
          <w:rFonts w:ascii="ITC Avant Garde" w:hAnsi="ITC Avant Garde"/>
        </w:rPr>
        <w:t xml:space="preserve"> tiene una participación accionaria mayoritaria en </w:t>
      </w:r>
      <w:r w:rsidRPr="002A2450">
        <w:rPr>
          <w:rFonts w:ascii="ITC Avant Garde" w:hAnsi="ITC Avant Garde"/>
          <w:b/>
        </w:rPr>
        <w:t>“TELMEX”</w:t>
      </w:r>
      <w:r w:rsidR="00262B95" w:rsidRPr="002A2450">
        <w:rPr>
          <w:rFonts w:ascii="ITC Avant Garde" w:hAnsi="ITC Avant Garde"/>
          <w:b/>
        </w:rPr>
        <w:t>,</w:t>
      </w:r>
      <w:r w:rsidR="00262B95" w:rsidRPr="002A2450">
        <w:rPr>
          <w:rFonts w:ascii="ITC Avant Garde" w:hAnsi="ITC Avant Garde"/>
        </w:rPr>
        <w:t xml:space="preserve"> ya que en dos mil once </w:t>
      </w:r>
      <w:r w:rsidRPr="002A2450">
        <w:rPr>
          <w:rFonts w:ascii="ITC Avant Garde" w:hAnsi="ITC Avant Garde"/>
          <w:b/>
        </w:rPr>
        <w:t>“</w:t>
      </w:r>
      <w:r w:rsidR="00043540" w:rsidRPr="002A2450">
        <w:rPr>
          <w:rFonts w:ascii="ITC Avant Garde" w:hAnsi="ITC Avant Garde"/>
          <w:b/>
        </w:rPr>
        <w:t>AMÓVIL</w:t>
      </w:r>
      <w:r w:rsidRPr="002A2450">
        <w:rPr>
          <w:rFonts w:ascii="ITC Avant Garde" w:hAnsi="ITC Avant Garde"/>
          <w:b/>
        </w:rPr>
        <w:t>”</w:t>
      </w:r>
      <w:r w:rsidR="00262B95" w:rsidRPr="002A2450">
        <w:rPr>
          <w:rFonts w:ascii="ITC Avant Garde" w:hAnsi="ITC Avant Garde"/>
        </w:rPr>
        <w:t xml:space="preserve"> concluyó una oferta pública de adquisición de la totalidad de las acciones de </w:t>
      </w:r>
      <w:r w:rsidRPr="002A2450">
        <w:rPr>
          <w:rFonts w:ascii="ITC Avant Garde" w:hAnsi="ITC Avant Garde"/>
          <w:b/>
        </w:rPr>
        <w:t xml:space="preserve">“TELMEX” </w:t>
      </w:r>
      <w:r w:rsidR="00262B95" w:rsidRPr="002A2450">
        <w:rPr>
          <w:rFonts w:ascii="ITC Avant Garde" w:hAnsi="ITC Avant Garde"/>
        </w:rPr>
        <w:t xml:space="preserve">de las que aún no era propietaria, convirtiéndose en titular directa e indirectamente del 93% de las acciones en circulación de </w:t>
      </w:r>
      <w:r w:rsidRPr="002A2450">
        <w:rPr>
          <w:rFonts w:ascii="ITC Avant Garde" w:hAnsi="ITC Avant Garde"/>
          <w:b/>
        </w:rPr>
        <w:t>“TELMEX”</w:t>
      </w:r>
      <w:r w:rsidR="00262B95" w:rsidRPr="002A2450">
        <w:rPr>
          <w:rFonts w:ascii="ITC Avant Garde" w:hAnsi="ITC Avant Garde"/>
        </w:rPr>
        <w:t xml:space="preserve">. En el mismo sentido </w:t>
      </w:r>
      <w:r w:rsidRPr="002A2450">
        <w:rPr>
          <w:rFonts w:ascii="ITC Avant Garde" w:hAnsi="ITC Avant Garde"/>
          <w:b/>
        </w:rPr>
        <w:t>“</w:t>
      </w:r>
      <w:r w:rsidR="00043540" w:rsidRPr="002A2450">
        <w:rPr>
          <w:rFonts w:ascii="ITC Avant Garde" w:hAnsi="ITC Avant Garde"/>
          <w:b/>
        </w:rPr>
        <w:t>AMÓVIL</w:t>
      </w:r>
      <w:r w:rsidRPr="002A2450">
        <w:rPr>
          <w:rFonts w:ascii="ITC Avant Garde" w:hAnsi="ITC Avant Garde"/>
          <w:b/>
        </w:rPr>
        <w:t>”</w:t>
      </w:r>
      <w:r w:rsidR="00262B95" w:rsidRPr="002A2450">
        <w:rPr>
          <w:rFonts w:ascii="ITC Avant Garde" w:hAnsi="ITC Avant Garde"/>
        </w:rPr>
        <w:t xml:space="preserve"> adquirió acciones adicionales de </w:t>
      </w:r>
      <w:r w:rsidRPr="002A2450">
        <w:rPr>
          <w:rFonts w:ascii="ITC Avant Garde" w:hAnsi="ITC Avant Garde"/>
          <w:b/>
        </w:rPr>
        <w:t>“</w:t>
      </w:r>
      <w:r w:rsidR="00262B95" w:rsidRPr="002A2450">
        <w:rPr>
          <w:rFonts w:ascii="ITC Avant Garde" w:hAnsi="ITC Avant Garde"/>
          <w:b/>
        </w:rPr>
        <w:t>TELMEX</w:t>
      </w:r>
      <w:r w:rsidRPr="002A2450">
        <w:rPr>
          <w:rFonts w:ascii="ITC Avant Garde" w:hAnsi="ITC Avant Garde"/>
          <w:b/>
        </w:rPr>
        <w:t>”</w:t>
      </w:r>
      <w:r w:rsidR="00262B95" w:rsidRPr="002A2450">
        <w:rPr>
          <w:rFonts w:ascii="ITC Avant Garde" w:hAnsi="ITC Avant Garde"/>
        </w:rPr>
        <w:t xml:space="preserve"> en el año dos mil once, con lo cual su participación en la misma ascendió al 97.2%.</w:t>
      </w:r>
      <w:r w:rsidR="00262B95" w:rsidRPr="002A2450">
        <w:rPr>
          <w:rStyle w:val="Refdenotaalpie"/>
          <w:rFonts w:ascii="ITC Avant Garde" w:hAnsi="ITC Avant Garde"/>
        </w:rPr>
        <w:footnoteReference w:id="17"/>
      </w:r>
    </w:p>
    <w:p w14:paraId="2E411C6A" w14:textId="77777777" w:rsidR="006C67B3" w:rsidRDefault="00262B95" w:rsidP="00B35F13">
      <w:pPr>
        <w:spacing w:before="240" w:line="360" w:lineRule="auto"/>
        <w:jc w:val="both"/>
        <w:rPr>
          <w:rFonts w:ascii="ITC Avant Garde" w:hAnsi="ITC Avant Garde"/>
        </w:rPr>
        <w:sectPr w:rsidR="006C67B3" w:rsidSect="009F3771">
          <w:headerReference w:type="default" r:id="rId26"/>
          <w:pgSz w:w="12240" w:h="15840"/>
          <w:pgMar w:top="1985" w:right="1701" w:bottom="1418" w:left="1701" w:header="709" w:footer="709" w:gutter="0"/>
          <w:cols w:space="708"/>
          <w:docGrid w:linePitch="360"/>
        </w:sectPr>
      </w:pPr>
      <w:r w:rsidRPr="002A2450">
        <w:rPr>
          <w:rFonts w:ascii="ITC Avant Garde" w:hAnsi="ITC Avant Garde"/>
        </w:rPr>
        <w:t xml:space="preserve">Ahora bien, </w:t>
      </w:r>
      <w:r w:rsidR="00BC4A4F" w:rsidRPr="002A2450">
        <w:rPr>
          <w:rFonts w:ascii="ITC Avant Garde" w:hAnsi="ITC Avant Garde"/>
          <w:b/>
        </w:rPr>
        <w:t xml:space="preserve">“TELMEX” </w:t>
      </w:r>
      <w:r w:rsidRPr="002A2450">
        <w:rPr>
          <w:rFonts w:ascii="ITC Avant Garde" w:hAnsi="ITC Avant Garde"/>
        </w:rPr>
        <w:t xml:space="preserve">cuenta con una subsidiaria denominada </w:t>
      </w:r>
      <w:r w:rsidRPr="002A2450">
        <w:rPr>
          <w:rFonts w:ascii="ITC Avant Garde" w:hAnsi="ITC Avant Garde"/>
          <w:b/>
        </w:rPr>
        <w:t>INTEGRACIÓN DE SERVICIOS TMX, S.A. DE C.V.</w:t>
      </w:r>
      <w:r w:rsidRPr="002A2450">
        <w:rPr>
          <w:rFonts w:ascii="ITC Avant Garde" w:hAnsi="ITC Avant Garde"/>
        </w:rPr>
        <w:t xml:space="preserve">, quien a su vez cuenta con una subsidiaria que es </w:t>
      </w:r>
    </w:p>
    <w:p w14:paraId="270F3C14" w14:textId="5D7D62B8" w:rsidR="00B35F13" w:rsidRDefault="00BC4A4F" w:rsidP="00B35F13">
      <w:pPr>
        <w:spacing w:before="240" w:line="360" w:lineRule="auto"/>
        <w:jc w:val="both"/>
        <w:rPr>
          <w:rFonts w:ascii="ITC Avant Garde" w:hAnsi="ITC Avant Garde"/>
        </w:rPr>
      </w:pPr>
      <w:r w:rsidRPr="002A2450">
        <w:rPr>
          <w:rFonts w:ascii="ITC Avant Garde" w:hAnsi="ITC Avant Garde"/>
          <w:b/>
        </w:rPr>
        <w:lastRenderedPageBreak/>
        <w:t>“TENINVER”</w:t>
      </w:r>
      <w:r w:rsidR="00262B95" w:rsidRPr="002A2450">
        <w:rPr>
          <w:rFonts w:ascii="ITC Avant Garde" w:hAnsi="ITC Avant Garde"/>
          <w:b/>
        </w:rPr>
        <w:t xml:space="preserve">, </w:t>
      </w:r>
      <w:r w:rsidR="00262B95" w:rsidRPr="002A2450">
        <w:rPr>
          <w:rFonts w:ascii="ITC Avant Garde" w:hAnsi="ITC Avant Garde"/>
        </w:rPr>
        <w:t xml:space="preserve">que a su vez forma parte de la operación para la consecución del servicio de televisión restringida </w:t>
      </w:r>
      <w:r w:rsidR="00764EBE" w:rsidRPr="002A2450">
        <w:rPr>
          <w:rFonts w:ascii="ITC Avant Garde" w:hAnsi="ITC Avant Garde"/>
          <w:b/>
        </w:rPr>
        <w:t>“</w:t>
      </w:r>
      <w:r w:rsidR="009B0D34" w:rsidRPr="002A2450">
        <w:rPr>
          <w:rFonts w:ascii="ITC Avant Garde" w:hAnsi="ITC Avant Garde"/>
          <w:b/>
        </w:rPr>
        <w:t>DTH</w:t>
      </w:r>
      <w:r w:rsidR="00764EBE" w:rsidRPr="002A2450">
        <w:rPr>
          <w:rFonts w:ascii="ITC Avant Garde" w:hAnsi="ITC Avant Garde"/>
          <w:b/>
        </w:rPr>
        <w:t>”</w:t>
      </w:r>
      <w:r w:rsidR="00262B95" w:rsidRPr="002A2450">
        <w:rPr>
          <w:rFonts w:ascii="ITC Avant Garde" w:hAnsi="ITC Avant Garde"/>
          <w:b/>
        </w:rPr>
        <w:t xml:space="preserve">, </w:t>
      </w:r>
      <w:r w:rsidR="00262B95" w:rsidRPr="002A2450">
        <w:rPr>
          <w:rFonts w:ascii="ITC Avant Garde" w:hAnsi="ITC Avant Garde"/>
        </w:rPr>
        <w:t>tal y como se refiere en el esquema anterior.</w:t>
      </w:r>
    </w:p>
    <w:p w14:paraId="74BAF82C" w14:textId="31310D82" w:rsidR="00B35F13" w:rsidRPr="00B35F13" w:rsidRDefault="00262B95" w:rsidP="00B35F13">
      <w:pPr>
        <w:pStyle w:val="Ttulo7"/>
        <w:rPr>
          <w:u w:val="none"/>
        </w:rPr>
      </w:pPr>
      <w:bookmarkStart w:id="86" w:name="_Toc477170189"/>
      <w:r w:rsidRPr="00B35F13">
        <w:rPr>
          <w:u w:val="none"/>
        </w:rPr>
        <w:t>VI</w:t>
      </w:r>
      <w:r w:rsidR="00D139E4" w:rsidRPr="00B35F13">
        <w:rPr>
          <w:u w:val="none"/>
        </w:rPr>
        <w:t>I</w:t>
      </w:r>
      <w:r w:rsidRPr="00B35F13">
        <w:rPr>
          <w:u w:val="none"/>
        </w:rPr>
        <w:t>. DE LA EXPLOTACIÓN</w:t>
      </w:r>
      <w:bookmarkEnd w:id="86"/>
    </w:p>
    <w:p w14:paraId="128FC8A3"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 acuerdo con el séptimo párrafo del artículo 27 de la </w:t>
      </w:r>
      <w:r w:rsidR="00BC4A4F" w:rsidRPr="002A2450">
        <w:rPr>
          <w:rFonts w:ascii="ITC Avant Garde" w:eastAsia="Times New Roman" w:hAnsi="ITC Avant Garde"/>
          <w:b/>
          <w:bCs/>
          <w:color w:val="000000"/>
          <w:lang w:eastAsia="es-MX"/>
        </w:rPr>
        <w:t>“CPEUM”</w:t>
      </w:r>
      <w:r w:rsidRPr="002A2450">
        <w:rPr>
          <w:rFonts w:ascii="ITC Avant Garde" w:eastAsia="Times New Roman" w:hAnsi="ITC Avant Garde"/>
          <w:bCs/>
          <w:color w:val="000000"/>
          <w:lang w:eastAsia="es-MX"/>
        </w:rPr>
        <w:t>, el dominio de la Nación es inalienable e imprescriptible y la explotación, el uso o el aprovechamiento de los recursos de que se trata, por los particulares o por sociedades constituidas conforme a las leyes mexicanas, no podrá realizarse sino mediante concesiones, otorgadas por el Ejecutivo Federal, de acuerdo con las reglas y condiciones que establezcan las leyes, salvo en radiodifusión y telecomunicaciones, que serán otorgadas por el Instituto Federal de Telecomunicaciones.</w:t>
      </w:r>
    </w:p>
    <w:p w14:paraId="6D968CF6"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la prestación de servicios, incluyendo, el servicio de televisión restringida, sólo podrá realizarse: i) mediante concesión y ii) de acuerdo con las reglas y condiciones que establezcan las leyes.</w:t>
      </w:r>
    </w:p>
    <w:p w14:paraId="03007CDE" w14:textId="77777777" w:rsidR="00B35F13" w:rsidRDefault="00D139E4"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 acuerdo con la </w:t>
      </w:r>
      <w:r w:rsidRPr="002A2450">
        <w:rPr>
          <w:rFonts w:ascii="ITC Avant Garde" w:eastAsia="Times New Roman" w:hAnsi="ITC Avant Garde"/>
          <w:b/>
          <w:bCs/>
          <w:color w:val="000000"/>
          <w:lang w:eastAsia="es-MX"/>
        </w:rPr>
        <w:t>“LFT”</w:t>
      </w:r>
      <w:r w:rsidRPr="002A2450">
        <w:rPr>
          <w:rFonts w:ascii="ITC Avant Garde" w:eastAsia="Times New Roman" w:hAnsi="ITC Avant Garde"/>
          <w:bCs/>
          <w:color w:val="000000"/>
          <w:lang w:eastAsia="es-MX"/>
        </w:rPr>
        <w:t>, se establece lo siguiente:</w:t>
      </w:r>
    </w:p>
    <w:p w14:paraId="094E281F" w14:textId="77777777" w:rsidR="00B35F13"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Artículo 11. Se requiere concesión de la Secretaría para:</w:t>
      </w:r>
    </w:p>
    <w:p w14:paraId="70F10CF7" w14:textId="44C30972"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 Usar, aprovechar o explotar una banda de frecuencias en el territorio nacional, salvo el espectro de uso libre y el de uso oficial;</w:t>
      </w:r>
    </w:p>
    <w:p w14:paraId="6A8B4555"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II. Instalar, operar o explotar redes públicas de telecomunicaciones;</w:t>
      </w:r>
    </w:p>
    <w:p w14:paraId="7BEFB367"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III.</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Ocupar</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posiciones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orbitales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geoestacionarias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y</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órbitas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satelitales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asignadas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al</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país,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y</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explotar</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sus respectivas bandas de frecuencias, y</w:t>
      </w:r>
    </w:p>
    <w:p w14:paraId="5D3206EB" w14:textId="77777777" w:rsidR="00B35F13"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IV. Explotar los derechos de emisión y recepción de señales de bandas de frecuencias asociadas a sistemas satelitales extranjeros que cubran y puedan prestar servicios en el territorio nacional.</w:t>
      </w:r>
    </w:p>
    <w:p w14:paraId="338F033D" w14:textId="77777777" w:rsidR="00B35F13"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lastRenderedPageBreak/>
        <w:t>Artículo 24.</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Los interesados en obtener una concesión para instalar, operar o explotar redes públicas de telecomunicaciones, deberán presentar, a satisfacción de la Secretaría, solicitud que contenga como mínimo:</w:t>
      </w:r>
    </w:p>
    <w:p w14:paraId="755ECB9F" w14:textId="63404474"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 Nombre y domicilio del solicitante;</w:t>
      </w:r>
    </w:p>
    <w:p w14:paraId="50B67C43"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II. Los servicios que desea prestar;</w:t>
      </w:r>
    </w:p>
    <w:p w14:paraId="03C9E698"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III. Las especificaciones técnicas del proyecto;</w:t>
      </w:r>
    </w:p>
    <w:p w14:paraId="739FF6EF"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IV.</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Los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programas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y</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compromisos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de</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inversión,</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de</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cobertura</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y</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calidad</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de</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los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servicios</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que</w:t>
      </w:r>
      <w:r w:rsidR="008F718E" w:rsidRPr="002A2450">
        <w:rPr>
          <w:rFonts w:ascii="ITC Avant Garde" w:eastAsia="Times New Roman" w:hAnsi="ITC Avant Garde"/>
          <w:bCs/>
          <w:i/>
          <w:color w:val="C00000"/>
          <w:lang w:eastAsia="es-MX"/>
        </w:rPr>
        <w:t xml:space="preserve"> </w:t>
      </w:r>
      <w:r w:rsidRPr="002A2450">
        <w:rPr>
          <w:rFonts w:ascii="ITC Avant Garde" w:eastAsia="Times New Roman" w:hAnsi="ITC Avant Garde"/>
          <w:bCs/>
          <w:i/>
          <w:color w:val="000000"/>
          <w:lang w:eastAsia="es-MX"/>
        </w:rPr>
        <w:t>se pretenden prestar;</w:t>
      </w:r>
    </w:p>
    <w:p w14:paraId="5AD124FC" w14:textId="77777777" w:rsidR="00D139E4" w:rsidRPr="002A2450"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V. El plan de negocios, y</w:t>
      </w:r>
    </w:p>
    <w:p w14:paraId="003095DA" w14:textId="77777777" w:rsidR="00B35F13"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VI. La documentación que acredite su capacidad financiera, técnica, jurídica y administrativa.</w:t>
      </w:r>
    </w:p>
    <w:p w14:paraId="66EC6D72" w14:textId="77777777" w:rsidR="00B35F13" w:rsidRDefault="00D139E4"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Lo anterior, sin perjuicio de obtener, en su caso, concesión para explotar bandas de frecuencias en los términos del artículo 14.</w:t>
      </w:r>
    </w:p>
    <w:p w14:paraId="1B2836A0" w14:textId="77777777" w:rsidR="00B35F13" w:rsidRDefault="00D139E4"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Por su parte y en el mismo sentido</w:t>
      </w:r>
      <w:r w:rsidR="00262B95" w:rsidRPr="002A2450">
        <w:rPr>
          <w:rFonts w:ascii="ITC Avant Garde" w:eastAsia="Times New Roman" w:hAnsi="ITC Avant Garde"/>
          <w:bCs/>
          <w:color w:val="000000"/>
          <w:lang w:eastAsia="es-MX"/>
        </w:rPr>
        <w:t xml:space="preserve">, la </w:t>
      </w:r>
      <w:r w:rsidR="00BC4A4F" w:rsidRPr="002A2450">
        <w:rPr>
          <w:rFonts w:ascii="ITC Avant Garde" w:eastAsia="Times New Roman" w:hAnsi="ITC Avant Garde"/>
          <w:b/>
          <w:bCs/>
          <w:color w:val="000000"/>
          <w:lang w:eastAsia="es-MX"/>
        </w:rPr>
        <w:t>“</w:t>
      </w:r>
      <w:proofErr w:type="spellStart"/>
      <w:r w:rsidR="00262B95" w:rsidRPr="002A2450">
        <w:rPr>
          <w:rFonts w:ascii="ITC Avant Garde" w:eastAsia="Times New Roman" w:hAnsi="ITC Avant Garde"/>
          <w:b/>
          <w:bCs/>
          <w:color w:val="000000"/>
          <w:lang w:eastAsia="es-MX"/>
        </w:rPr>
        <w:t>LFTyR</w:t>
      </w:r>
      <w:proofErr w:type="spellEnd"/>
      <w:r w:rsidR="00BC4A4F" w:rsidRPr="002A2450">
        <w:rPr>
          <w:rFonts w:ascii="ITC Avant Garde" w:eastAsia="Times New Roman" w:hAnsi="ITC Avant Garde"/>
          <w:b/>
          <w:bCs/>
          <w:color w:val="000000"/>
          <w:lang w:eastAsia="es-MX"/>
        </w:rPr>
        <w:t>”</w:t>
      </w:r>
      <w:r w:rsidR="00262B95" w:rsidRPr="002A2450">
        <w:rPr>
          <w:rFonts w:ascii="ITC Avant Garde" w:eastAsia="Times New Roman" w:hAnsi="ITC Avant Garde"/>
          <w:bCs/>
          <w:color w:val="000000"/>
          <w:lang w:eastAsia="es-MX"/>
        </w:rPr>
        <w:t xml:space="preserve"> establece lo siguiente:</w:t>
      </w:r>
    </w:p>
    <w:p w14:paraId="372D5241" w14:textId="77777777" w:rsidR="00B35F13" w:rsidRDefault="00262B95" w:rsidP="00B35F13">
      <w:pPr>
        <w:pStyle w:val="Texto"/>
        <w:spacing w:before="240" w:after="160" w:line="360" w:lineRule="auto"/>
        <w:ind w:left="856" w:right="567" w:firstLine="0"/>
        <w:jc w:val="left"/>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“Artículo 66. Se requerirá concesión única para prestar todo tipo de servicios públicos de telecomunicaciones y radiodifusión.</w:t>
      </w:r>
    </w:p>
    <w:p w14:paraId="41558267"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Artículo 72. La concesión única se otorgará por el Instituto por un plazo de hasta treinta años y podrá ser prorrogada hasta por plazos iguales, conforme lo dispuesto en el Capítulo VI de este Título.</w:t>
      </w:r>
    </w:p>
    <w:p w14:paraId="1000274B"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Artículo 73. Los interesados en obtener una concesión única, cualquiera que sea su uso, deberán presentar al Instituto solicitud que contenga como mínimo:</w:t>
      </w:r>
    </w:p>
    <w:p w14:paraId="4710D21F"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lastRenderedPageBreak/>
        <w:t>I.</w:t>
      </w:r>
      <w:r w:rsidRPr="002A2450">
        <w:rPr>
          <w:rFonts w:ascii="ITC Avant Garde" w:hAnsi="ITC Avant Garde"/>
          <w:bCs/>
          <w:i/>
          <w:color w:val="000000"/>
          <w:sz w:val="22"/>
          <w:szCs w:val="22"/>
          <w:lang w:val="es-MX" w:eastAsia="es-MX"/>
        </w:rPr>
        <w:tab/>
        <w:t>Nombre y domicilio del solicitante;</w:t>
      </w:r>
    </w:p>
    <w:p w14:paraId="6BE9DA1E"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II.</w:t>
      </w:r>
      <w:r w:rsidRPr="002A2450">
        <w:rPr>
          <w:rFonts w:ascii="ITC Avant Garde" w:hAnsi="ITC Avant Garde"/>
          <w:bCs/>
          <w:i/>
          <w:color w:val="000000"/>
          <w:sz w:val="22"/>
          <w:szCs w:val="22"/>
          <w:lang w:val="es-MX" w:eastAsia="es-MX"/>
        </w:rPr>
        <w:tab/>
        <w:t>Las características generales del proyecto de que se trate, y</w:t>
      </w:r>
    </w:p>
    <w:p w14:paraId="0F5589E3"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III.</w:t>
      </w:r>
      <w:r w:rsidRPr="002A2450">
        <w:rPr>
          <w:rFonts w:ascii="ITC Avant Garde" w:hAnsi="ITC Avant Garde"/>
          <w:bCs/>
          <w:i/>
          <w:color w:val="000000"/>
          <w:sz w:val="22"/>
          <w:szCs w:val="22"/>
          <w:lang w:val="es-MX" w:eastAsia="es-MX"/>
        </w:rPr>
        <w:tab/>
        <w:t>La documentación e información que acredite su capacidad técnica, económica, jurídica y administrativa.</w:t>
      </w:r>
    </w:p>
    <w:p w14:paraId="5108A214"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El Instituto analizará y evaluará la documentación que se presente con la solicitud a que se refiere el presente artículo dentro de un plazo de sesenta días naturales, dentro del cual podrá requerir a los interesados información adicional, cuando ésta sea necesaria para acreditar los requisitos a que se refiere este artículo.</w:t>
      </w:r>
    </w:p>
    <w:p w14:paraId="25955990"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 xml:space="preserve">Una vez agotado el plazo a que se refiere </w:t>
      </w:r>
      <w:r w:rsidR="00873AC4" w:rsidRPr="002A2450">
        <w:rPr>
          <w:rFonts w:ascii="ITC Avant Garde" w:hAnsi="ITC Avant Garde"/>
          <w:bCs/>
          <w:i/>
          <w:color w:val="000000"/>
          <w:sz w:val="22"/>
          <w:szCs w:val="22"/>
          <w:lang w:val="es-MX" w:eastAsia="es-MX"/>
        </w:rPr>
        <w:t>el párrafo anterior y cumplido</w:t>
      </w:r>
      <w:r w:rsidRPr="002A2450">
        <w:rPr>
          <w:rFonts w:ascii="ITC Avant Garde" w:hAnsi="ITC Avant Garde"/>
          <w:bCs/>
          <w:i/>
          <w:color w:val="000000"/>
          <w:sz w:val="22"/>
          <w:szCs w:val="22"/>
          <w:lang w:val="es-MX" w:eastAsia="es-MX"/>
        </w:rPr>
        <w:t xml:space="preserve"> todos los requisitos señalados a juicio del Instituto, éste otorgará la concesión. El título respectivo se inscribirá íntegramente en el Registro Público de Telecomunicaciones previsto en esta Ley y se hará disponible en la página de Internet del Instituto dentro de los quince días hábiles siguientes a su otorgamiento.</w:t>
      </w:r>
    </w:p>
    <w:p w14:paraId="3BFDC214" w14:textId="77777777" w:rsidR="00B35F13" w:rsidRDefault="00262B95" w:rsidP="00B35F13">
      <w:pPr>
        <w:pStyle w:val="Texto"/>
        <w:spacing w:before="240" w:after="160" w:line="360" w:lineRule="auto"/>
        <w:ind w:left="851" w:right="567" w:firstLine="4"/>
        <w:rPr>
          <w:rFonts w:ascii="ITC Avant Garde" w:hAnsi="ITC Avant Garde"/>
          <w:bCs/>
          <w:i/>
          <w:color w:val="000000"/>
          <w:sz w:val="22"/>
          <w:szCs w:val="22"/>
          <w:lang w:val="es-MX" w:eastAsia="es-MX"/>
        </w:rPr>
      </w:pPr>
      <w:r w:rsidRPr="002A2450">
        <w:rPr>
          <w:rFonts w:ascii="ITC Avant Garde" w:hAnsi="ITC Avant Garde"/>
          <w:bCs/>
          <w:i/>
          <w:color w:val="000000"/>
          <w:sz w:val="22"/>
          <w:szCs w:val="22"/>
          <w:lang w:val="es-MX" w:eastAsia="es-MX"/>
        </w:rPr>
        <w:t>Lo anterior, sin perjuicio de que el interesado obtenga, en caso de que pretenda explotar bandas de frecuencias o recursos orbitales, una concesión para tal propósito, en los términos del Capítulo III del presente Título.”</w:t>
      </w:r>
    </w:p>
    <w:p w14:paraId="782FDF1E"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 los artículos señalados, se </w:t>
      </w:r>
      <w:r w:rsidR="001F51FC" w:rsidRPr="002A2450">
        <w:rPr>
          <w:rFonts w:ascii="ITC Avant Garde" w:eastAsia="Times New Roman" w:hAnsi="ITC Avant Garde"/>
          <w:bCs/>
          <w:color w:val="000000"/>
          <w:lang w:eastAsia="es-MX"/>
        </w:rPr>
        <w:t>pudo</w:t>
      </w:r>
      <w:r w:rsidRPr="002A2450">
        <w:rPr>
          <w:rFonts w:ascii="ITC Avant Garde" w:eastAsia="Times New Roman" w:hAnsi="ITC Avant Garde"/>
          <w:bCs/>
          <w:color w:val="000000"/>
          <w:lang w:eastAsia="es-MX"/>
        </w:rPr>
        <w:t xml:space="preserve"> observar que hasta en tanto se satisfagan los requisitos mencionados (</w:t>
      </w:r>
      <w:r w:rsidRPr="002A2450">
        <w:rPr>
          <w:rFonts w:ascii="ITC Avant Garde" w:eastAsia="Times New Roman" w:hAnsi="ITC Avant Garde"/>
          <w:bCs/>
          <w:i/>
          <w:color w:val="000000"/>
          <w:lang w:eastAsia="es-MX"/>
        </w:rPr>
        <w:t>expectativa de derecho</w:t>
      </w:r>
      <w:r w:rsidRPr="002A2450">
        <w:rPr>
          <w:rFonts w:ascii="ITC Avant Garde" w:eastAsia="Times New Roman" w:hAnsi="ITC Avant Garde"/>
          <w:bCs/>
          <w:color w:val="000000"/>
          <w:lang w:eastAsia="es-MX"/>
        </w:rPr>
        <w:t>), no existe la posibilidad de prestar los servicios de televisión restringida, de lo que se sigue que, no habiendo satisfechos estos, no podrá llevarse a cabo la prestación del servicio bajo ningún esquema.</w:t>
      </w:r>
    </w:p>
    <w:p w14:paraId="202B696F"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Así las cosas, una vez que se haya solicitado la concesión única y habiéndose otorgado la misma al peticionario por la autoridad competente, nos </w:t>
      </w:r>
      <w:r w:rsidRPr="002A2450">
        <w:rPr>
          <w:rFonts w:ascii="ITC Avant Garde" w:eastAsia="Times New Roman" w:hAnsi="ITC Avant Garde"/>
          <w:bCs/>
          <w:color w:val="000000"/>
          <w:lang w:eastAsia="es-MX"/>
        </w:rPr>
        <w:lastRenderedPageBreak/>
        <w:t xml:space="preserve">encontraremos frente a un cambio de situación jurídica, puesto que, otorgada la concesión al peticionario ahora concesionario, ingresa a su esfera jurídica la posibilidad de prestar los servicios de telecomunicaciones como lo es en el caso concreto el servicio de televisión restringida, </w:t>
      </w:r>
      <w:r w:rsidR="00263C23" w:rsidRPr="002A2450">
        <w:rPr>
          <w:rFonts w:ascii="ITC Avant Garde" w:eastAsia="Times New Roman" w:hAnsi="ITC Avant Garde"/>
          <w:bCs/>
          <w:color w:val="000000"/>
          <w:lang w:eastAsia="es-MX"/>
        </w:rPr>
        <w:t xml:space="preserve">dejando de ser una </w:t>
      </w:r>
      <w:r w:rsidR="00263C23" w:rsidRPr="002A2450">
        <w:rPr>
          <w:rFonts w:ascii="ITC Avant Garde" w:eastAsia="Times New Roman" w:hAnsi="ITC Avant Garde"/>
          <w:bCs/>
          <w:i/>
          <w:color w:val="000000"/>
          <w:lang w:eastAsia="es-MX"/>
        </w:rPr>
        <w:t>expectativa de derecho</w:t>
      </w:r>
      <w:r w:rsidR="00263C23" w:rsidRPr="002A2450">
        <w:rPr>
          <w:rFonts w:ascii="ITC Avant Garde" w:eastAsia="Times New Roman" w:hAnsi="ITC Avant Garde"/>
          <w:bCs/>
          <w:color w:val="000000"/>
          <w:lang w:eastAsia="es-MX"/>
        </w:rPr>
        <w:t xml:space="preserve"> para convertirse en un </w:t>
      </w:r>
      <w:r w:rsidR="00263C23" w:rsidRPr="002A2450">
        <w:rPr>
          <w:rFonts w:ascii="ITC Avant Garde" w:eastAsia="Times New Roman" w:hAnsi="ITC Avant Garde"/>
          <w:bCs/>
          <w:i/>
          <w:color w:val="000000"/>
          <w:lang w:eastAsia="es-MX"/>
        </w:rPr>
        <w:t>derecho adquirido</w:t>
      </w:r>
      <w:r w:rsidR="00263C23"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y con ello, la obligación de observar las condiciones a que se sujetó la autorización de la concesión otorgada, puesto que ahora se encuentra dentro del dominio de la concesionaria o de su haber jurídico una potestad que lo diferencia de un tercero, y con ello la posibilidad de ejercer el derecho concedido y la obligación de observar las condiciones para el ejercicio del mismo.</w:t>
      </w:r>
    </w:p>
    <w:p w14:paraId="79364C29" w14:textId="77777777" w:rsidR="00B35F13" w:rsidRDefault="004B737B"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Sirvió </w:t>
      </w:r>
      <w:r w:rsidR="00262B95" w:rsidRPr="002A2450">
        <w:rPr>
          <w:rFonts w:ascii="ITC Avant Garde" w:eastAsia="Times New Roman" w:hAnsi="ITC Avant Garde"/>
          <w:bCs/>
          <w:color w:val="000000"/>
          <w:lang w:eastAsia="es-MX"/>
        </w:rPr>
        <w:t>de apoyo a lo anterior, la siguiente tesis:</w:t>
      </w:r>
    </w:p>
    <w:p w14:paraId="3F0704D5" w14:textId="77777777" w:rsidR="00B35F13" w:rsidRDefault="00262B95"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AUTORIZACIONES </w:t>
      </w:r>
      <w:r w:rsidRPr="00031765">
        <w:rPr>
          <w:rFonts w:ascii="ITC Avant Garde" w:eastAsia="Times New Roman" w:hAnsi="ITC Avant Garde"/>
          <w:b/>
          <w:bCs/>
          <w:color w:val="000000"/>
          <w:lang w:eastAsia="es-MX"/>
        </w:rPr>
        <w:t>ADMINISTRATIVAS, REVOCACION DE LAS (LEGISLACION</w:t>
      </w:r>
      <w:r w:rsidRPr="002A2450">
        <w:rPr>
          <w:rFonts w:ascii="ITC Avant Garde" w:eastAsia="Times New Roman" w:hAnsi="ITC Avant Garde"/>
          <w:b/>
          <w:bCs/>
          <w:color w:val="000000"/>
          <w:lang w:eastAsia="es-MX"/>
        </w:rPr>
        <w:t xml:space="preserve"> DE CAMPECHE).</w:t>
      </w:r>
      <w:r w:rsidRPr="002A2450">
        <w:rPr>
          <w:rFonts w:ascii="ITC Avant Garde" w:eastAsia="Times New Roman" w:hAnsi="ITC Avant Garde"/>
          <w:bCs/>
          <w:color w:val="000000"/>
          <w:lang w:eastAsia="es-MX"/>
        </w:rPr>
        <w:t xml:space="preserve"> El Decreto Número 16 de la Legislatura del Estado de Campeche, de 19 de noviembre de 1937, autoriza al Ejecutivo para conceder o negar el permiso a que se refiere el artículo 3o. del mismo, pero no para revocarlo una vez concedido, ya que, efectivamente, revocar una autorización concedida no es ni puede ser lo mismo que negar una solicitud, porque implica el desconocimiento de un derecho adquirido y para ello es necesario llenar los requisitos de previa audiencia que señala el artículo 14 constitucional.</w:t>
      </w:r>
    </w:p>
    <w:p w14:paraId="439D2714" w14:textId="77777777" w:rsidR="00B35F13" w:rsidRDefault="00262B95" w:rsidP="00B35F13">
      <w:pPr>
        <w:spacing w:before="240" w:line="360" w:lineRule="auto"/>
        <w:ind w:left="567" w:right="567"/>
        <w:jc w:val="both"/>
        <w:rPr>
          <w:rFonts w:ascii="ITC Avant Garde" w:eastAsia="Times New Roman" w:hAnsi="ITC Avant Garde"/>
          <w:bCs/>
          <w:color w:val="000000"/>
          <w:sz w:val="18"/>
          <w:lang w:eastAsia="es-MX"/>
        </w:rPr>
      </w:pPr>
      <w:r w:rsidRPr="002A2450">
        <w:rPr>
          <w:rFonts w:ascii="ITC Avant Garde" w:eastAsia="Times New Roman" w:hAnsi="ITC Avant Garde"/>
          <w:bCs/>
          <w:color w:val="000000"/>
          <w:sz w:val="18"/>
          <w:lang w:eastAsia="es-MX"/>
        </w:rPr>
        <w:t xml:space="preserve">Época: Quinta Época, Registro: 327139, Instancia: Segunda Sala, Tipo de Tesis: Aislada, Fuente: Semanario Judicial de la Federación, Tomo LXXI, Materia(s): Administrativa, Tesis: Página: 2311 </w:t>
      </w:r>
    </w:p>
    <w:p w14:paraId="00EF1DB3"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Bajo las consideraciones señaladas, el derecho del cual goza </w:t>
      </w:r>
      <w:r w:rsidR="00BC4A4F" w:rsidRPr="002A2450">
        <w:rPr>
          <w:rFonts w:ascii="ITC Avant Garde" w:hAnsi="ITC Avant Garde"/>
          <w:b/>
        </w:rPr>
        <w:t xml:space="preserve">“COFRESA” </w:t>
      </w:r>
      <w:r w:rsidRPr="002A2450">
        <w:rPr>
          <w:rFonts w:ascii="ITC Avant Garde" w:eastAsia="Times New Roman" w:hAnsi="ITC Avant Garde"/>
          <w:bCs/>
          <w:color w:val="000000"/>
          <w:lang w:eastAsia="es-MX"/>
        </w:rPr>
        <w:t>para la prestación del servicio de televisión restringida vía satelital, es un derecho personalísimo que tiene como objeto o finalidad, la prestación de un servicio de telecomunicaciones.</w:t>
      </w:r>
    </w:p>
    <w:p w14:paraId="3AF73706"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El derecho o concesión otorgada a </w:t>
      </w:r>
      <w:r w:rsidR="00BC4A4F" w:rsidRPr="002A2450">
        <w:rPr>
          <w:rFonts w:ascii="ITC Avant Garde" w:hAnsi="ITC Avant Garde"/>
          <w:b/>
        </w:rPr>
        <w:t xml:space="preserve">“COFRESA” </w:t>
      </w:r>
      <w:r w:rsidRPr="002A2450">
        <w:rPr>
          <w:rFonts w:ascii="ITC Avant Garde" w:eastAsia="Times New Roman" w:hAnsi="ITC Avant Garde"/>
          <w:bCs/>
          <w:color w:val="000000"/>
          <w:lang w:eastAsia="es-MX"/>
        </w:rPr>
        <w:t xml:space="preserve">implica que pueda llevar a cabo la explotación del mismo. </w:t>
      </w:r>
    </w:p>
    <w:p w14:paraId="50FF8EF9"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Al respecto, se </w:t>
      </w:r>
      <w:r w:rsidR="004B737B" w:rsidRPr="002A2450">
        <w:rPr>
          <w:rFonts w:ascii="ITC Avant Garde" w:eastAsia="Times New Roman" w:hAnsi="ITC Avant Garde"/>
          <w:bCs/>
          <w:color w:val="000000"/>
          <w:lang w:eastAsia="es-MX"/>
        </w:rPr>
        <w:t xml:space="preserve">sostuvo en el acuerdo de inicio del procedimiento administrativo de imposición de sanción </w:t>
      </w:r>
      <w:r w:rsidRPr="002A2450">
        <w:rPr>
          <w:rFonts w:ascii="ITC Avant Garde" w:eastAsia="Times New Roman" w:hAnsi="ITC Avant Garde"/>
          <w:bCs/>
          <w:color w:val="000000"/>
          <w:lang w:eastAsia="es-MX"/>
        </w:rPr>
        <w:t xml:space="preserve">que la explotación </w:t>
      </w:r>
      <w:r w:rsidR="008E30A7" w:rsidRPr="002A2450">
        <w:rPr>
          <w:rFonts w:ascii="ITC Avant Garde" w:eastAsia="Times New Roman" w:hAnsi="ITC Avant Garde"/>
          <w:bCs/>
          <w:color w:val="000000"/>
          <w:lang w:eastAsia="es-MX"/>
        </w:rPr>
        <w:t xml:space="preserve">en su acepción genérica </w:t>
      </w:r>
      <w:r w:rsidRPr="002A2450">
        <w:rPr>
          <w:rFonts w:ascii="ITC Avant Garde" w:eastAsia="Times New Roman" w:hAnsi="ITC Avant Garde"/>
          <w:bCs/>
          <w:color w:val="000000"/>
          <w:lang w:eastAsia="es-MX"/>
        </w:rPr>
        <w:t>significa</w:t>
      </w:r>
      <w:r w:rsidR="006B2FB1">
        <w:rPr>
          <w:rFonts w:ascii="ITC Avant Garde" w:eastAsia="Times New Roman" w:hAnsi="ITC Avant Garde"/>
          <w:bCs/>
          <w:color w:val="000000"/>
          <w:lang w:eastAsia="es-MX"/>
        </w:rPr>
        <w:t xml:space="preserve"> sacar un provecho o utilidad de un negocio o industria, </w:t>
      </w:r>
      <w:proofErr w:type="spellStart"/>
      <w:r w:rsidR="006B2FB1">
        <w:rPr>
          <w:rFonts w:ascii="ITC Avant Garde" w:eastAsia="Times New Roman" w:hAnsi="ITC Avant Garde"/>
          <w:bCs/>
          <w:color w:val="000000"/>
          <w:lang w:eastAsia="es-MX"/>
        </w:rPr>
        <w:t>aún</w:t>
      </w:r>
      <w:proofErr w:type="spellEnd"/>
      <w:r w:rsidR="006B2FB1">
        <w:rPr>
          <w:rFonts w:ascii="ITC Avant Garde" w:eastAsia="Times New Roman" w:hAnsi="ITC Avant Garde"/>
          <w:bCs/>
          <w:color w:val="000000"/>
          <w:lang w:eastAsia="es-MX"/>
        </w:rPr>
        <w:t xml:space="preserve"> cuando ello no implique la obtención de una ganancia, sin embargo es oportuno precisar que en términos de la prohibición establecida en el título de concesión de </w:t>
      </w:r>
      <w:r w:rsidR="006B2FB1">
        <w:rPr>
          <w:rFonts w:ascii="ITC Avant Garde" w:eastAsia="Times New Roman" w:hAnsi="ITC Avant Garde"/>
          <w:b/>
          <w:bCs/>
          <w:color w:val="000000"/>
          <w:lang w:eastAsia="es-MX"/>
        </w:rPr>
        <w:t>TELMEX</w:t>
      </w:r>
      <w:r w:rsidR="006B2FB1">
        <w:rPr>
          <w:rFonts w:ascii="ITC Avant Garde" w:eastAsia="Times New Roman" w:hAnsi="ITC Avant Garde"/>
          <w:bCs/>
          <w:color w:val="000000"/>
          <w:lang w:eastAsia="es-MX"/>
        </w:rPr>
        <w:t xml:space="preserve">, la explotación indirecta se encuentra referenciado a un título de concesión de servicios de televisión al público en el país, por lo que en tal sentido la </w:t>
      </w:r>
      <w:r w:rsidR="006B2FB1" w:rsidRPr="00031765">
        <w:rPr>
          <w:rFonts w:ascii="ITC Avant Garde" w:eastAsia="Times New Roman" w:hAnsi="ITC Avant Garde"/>
          <w:bCs/>
          <w:color w:val="000000"/>
          <w:lang w:eastAsia="es-MX"/>
        </w:rPr>
        <w:t xml:space="preserve">explotación </w:t>
      </w:r>
      <w:r w:rsidR="00031765" w:rsidRPr="00031765">
        <w:rPr>
          <w:rFonts w:ascii="ITC Avant Garde" w:eastAsia="Times New Roman" w:hAnsi="ITC Avant Garde"/>
          <w:bCs/>
          <w:color w:val="000000"/>
          <w:lang w:eastAsia="es-MX"/>
        </w:rPr>
        <w:t>indirecta</w:t>
      </w:r>
      <w:r w:rsidR="006B2FB1">
        <w:rPr>
          <w:rFonts w:ascii="ITC Avant Garde" w:eastAsia="Times New Roman" w:hAnsi="ITC Avant Garde"/>
          <w:bCs/>
          <w:color w:val="000000"/>
          <w:lang w:eastAsia="es-MX"/>
        </w:rPr>
        <w:t xml:space="preserve"> debe entenderse como </w:t>
      </w:r>
      <w:r w:rsidRPr="002A2450">
        <w:rPr>
          <w:rFonts w:ascii="ITC Avant Garde" w:eastAsia="Times New Roman" w:hAnsi="ITC Avant Garde"/>
          <w:bCs/>
          <w:color w:val="000000"/>
          <w:lang w:eastAsia="es-MX"/>
        </w:rPr>
        <w:t xml:space="preserve"> </w:t>
      </w:r>
      <w:r w:rsidR="004A30C7" w:rsidRPr="00F76758">
        <w:rPr>
          <w:rFonts w:ascii="ITC Avant Garde" w:hAnsi="ITC Avant Garde" w:cs="Arial"/>
          <w:color w:val="231F20"/>
        </w:rPr>
        <w:t>la capacidad de hecho o derecho para participar o incidir a través de cualquier medio, mecanismo o forma, en la operación o los derechos derivados de una concesión otorgada por la autoridad competente</w:t>
      </w:r>
      <w:r w:rsidR="006B2FB1">
        <w:rPr>
          <w:rFonts w:ascii="ITC Avant Garde" w:hAnsi="ITC Avant Garde" w:cs="Arial"/>
          <w:color w:val="231F20"/>
        </w:rPr>
        <w:t>, lo cual incluso fue reconocido en el propio acuerdo de inicio.</w:t>
      </w:r>
      <w:r w:rsidR="008E30A7" w:rsidRPr="002A2450">
        <w:rPr>
          <w:rFonts w:ascii="ITC Avant Garde" w:eastAsia="Times New Roman" w:hAnsi="ITC Avant Garde"/>
          <w:bCs/>
          <w:color w:val="000000"/>
          <w:lang w:eastAsia="es-MX"/>
        </w:rPr>
        <w:t>.</w:t>
      </w:r>
    </w:p>
    <w:p w14:paraId="718171A0" w14:textId="20A8C628" w:rsidR="00C9499F" w:rsidRDefault="006B2FB1" w:rsidP="00B35F13">
      <w:pPr>
        <w:spacing w:before="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efecto, p</w:t>
      </w:r>
      <w:r w:rsidR="008E30A7" w:rsidRPr="002A2450">
        <w:rPr>
          <w:rFonts w:ascii="ITC Avant Garde" w:eastAsia="Times New Roman" w:hAnsi="ITC Avant Garde"/>
          <w:bCs/>
          <w:color w:val="000000"/>
          <w:lang w:eastAsia="es-MX"/>
        </w:rPr>
        <w:t xml:space="preserve">ara nuestro análisis, la explotación indirecta debe entenderse como un concepto ligado estrechamente con un título habilitante para prestar servicios de televisión al público, y en tal sentido se traduce cómo </w:t>
      </w:r>
      <w:r w:rsidR="004C00BE" w:rsidRPr="002A2450">
        <w:rPr>
          <w:rFonts w:ascii="ITC Avant Garde" w:eastAsia="Times New Roman" w:hAnsi="ITC Avant Garde"/>
          <w:bCs/>
          <w:color w:val="000000"/>
          <w:lang w:eastAsia="es-MX"/>
        </w:rPr>
        <w:t xml:space="preserve">la capacidad de hecho o de derecho para participar o incidir, a través de cualquier medio, mecanismo o forma, en la operación </w:t>
      </w:r>
      <w:r w:rsidR="008E30A7" w:rsidRPr="002A2450">
        <w:rPr>
          <w:rFonts w:ascii="ITC Avant Garde" w:eastAsia="Times New Roman" w:hAnsi="ITC Avant Garde"/>
          <w:bCs/>
          <w:color w:val="000000"/>
          <w:lang w:eastAsia="es-MX"/>
        </w:rPr>
        <w:t>de</w:t>
      </w:r>
      <w:r w:rsidR="00263C23" w:rsidRPr="002A2450">
        <w:rPr>
          <w:rFonts w:ascii="ITC Avant Garde" w:eastAsia="Times New Roman" w:hAnsi="ITC Avant Garde"/>
          <w:bCs/>
          <w:color w:val="000000"/>
          <w:lang w:eastAsia="es-MX"/>
        </w:rPr>
        <w:t xml:space="preserve"> </w:t>
      </w:r>
      <w:r w:rsidR="004C00BE" w:rsidRPr="002A2450">
        <w:rPr>
          <w:rFonts w:ascii="ITC Avant Garde" w:eastAsia="Times New Roman" w:hAnsi="ITC Avant Garde"/>
          <w:bCs/>
          <w:color w:val="000000"/>
          <w:lang w:eastAsia="es-MX"/>
        </w:rPr>
        <w:t>los derechos derivados de una concesión otorgada por la autoridad competente para prestar servicios de televisión al público en</w:t>
      </w:r>
      <w:r w:rsidR="00C9499F">
        <w:rPr>
          <w:rFonts w:ascii="ITC Avant Garde" w:eastAsia="Times New Roman" w:hAnsi="ITC Avant Garde"/>
          <w:bCs/>
          <w:color w:val="000000"/>
          <w:lang w:eastAsia="es-MX"/>
        </w:rPr>
        <w:t xml:space="preserve"> cualquiera de sus modalidades.</w:t>
      </w:r>
    </w:p>
    <w:p w14:paraId="4F977F1D" w14:textId="439B30A0"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ese sentido, </w:t>
      </w:r>
      <w:r w:rsidR="00BC4A4F" w:rsidRPr="002A2450">
        <w:rPr>
          <w:rFonts w:ascii="ITC Avant Garde" w:hAnsi="ITC Avant Garde"/>
          <w:b/>
        </w:rPr>
        <w:t xml:space="preserve">“COFRESA” </w:t>
      </w:r>
      <w:r w:rsidRPr="002A2450">
        <w:rPr>
          <w:rFonts w:ascii="ITC Avant Garde" w:eastAsia="Times New Roman" w:hAnsi="ITC Avant Garde"/>
          <w:bCs/>
          <w:color w:val="000000"/>
          <w:lang w:eastAsia="es-MX"/>
        </w:rPr>
        <w:t xml:space="preserve">como titular de una concesión para </w:t>
      </w:r>
      <w:r w:rsidR="008E30A7" w:rsidRPr="002A2450">
        <w:rPr>
          <w:rFonts w:ascii="ITC Avant Garde" w:eastAsia="Times New Roman" w:hAnsi="ITC Avant Garde"/>
          <w:bCs/>
          <w:color w:val="000000"/>
          <w:lang w:eastAsia="es-MX"/>
        </w:rPr>
        <w:t xml:space="preserve">instalar, operar y explotar una red pública de telecomunicaciones para </w:t>
      </w:r>
      <w:r w:rsidRPr="002A2450">
        <w:rPr>
          <w:rFonts w:ascii="ITC Avant Garde" w:eastAsia="Times New Roman" w:hAnsi="ITC Avant Garde"/>
          <w:bCs/>
          <w:color w:val="000000"/>
          <w:lang w:eastAsia="es-MX"/>
        </w:rPr>
        <w:t>prestar el servicio de televisión restringida, acude a un conjunto de factores para logr</w:t>
      </w:r>
      <w:r w:rsidR="002F6358" w:rsidRPr="002A2450">
        <w:rPr>
          <w:rFonts w:ascii="ITC Avant Garde" w:eastAsia="Times New Roman" w:hAnsi="ITC Avant Garde"/>
          <w:bCs/>
          <w:color w:val="000000"/>
          <w:lang w:eastAsia="es-MX"/>
        </w:rPr>
        <w:t>ar</w:t>
      </w:r>
      <w:r w:rsidRPr="002A2450">
        <w:rPr>
          <w:rFonts w:ascii="ITC Avant Garde" w:eastAsia="Times New Roman" w:hAnsi="ITC Avant Garde"/>
          <w:bCs/>
          <w:color w:val="000000"/>
          <w:lang w:eastAsia="es-MX"/>
        </w:rPr>
        <w:t xml:space="preserve"> el </w:t>
      </w:r>
      <w:r w:rsidR="008E30A7" w:rsidRPr="002A2450">
        <w:rPr>
          <w:rFonts w:ascii="ITC Avant Garde" w:eastAsia="Times New Roman" w:hAnsi="ITC Avant Garde"/>
          <w:bCs/>
          <w:color w:val="000000"/>
          <w:lang w:eastAsia="es-MX"/>
        </w:rPr>
        <w:t>ejercicio de los derechos derivados de su concesión</w:t>
      </w:r>
      <w:r w:rsidRPr="002A2450">
        <w:rPr>
          <w:rFonts w:ascii="ITC Avant Garde" w:eastAsia="Times New Roman" w:hAnsi="ITC Avant Garde"/>
          <w:bCs/>
          <w:color w:val="000000"/>
          <w:lang w:eastAsia="es-MX"/>
        </w:rPr>
        <w:t>.</w:t>
      </w:r>
    </w:p>
    <w:p w14:paraId="2425C0F3" w14:textId="77777777" w:rsidR="006C67B3" w:rsidRDefault="00262B95" w:rsidP="00B35F13">
      <w:pPr>
        <w:spacing w:before="240" w:line="360" w:lineRule="auto"/>
        <w:jc w:val="both"/>
        <w:rPr>
          <w:rFonts w:ascii="ITC Avant Garde" w:eastAsia="Times New Roman" w:hAnsi="ITC Avant Garde"/>
          <w:bCs/>
          <w:color w:val="000000"/>
          <w:lang w:eastAsia="es-MX"/>
        </w:rPr>
        <w:sectPr w:rsidR="006C67B3" w:rsidSect="009F3771">
          <w:headerReference w:type="default" r:id="rId27"/>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Dentro de los factores que intervienen para la explotación del servicio de televisión restringida, se aprecia que </w:t>
      </w:r>
      <w:r w:rsidR="00BC4A4F" w:rsidRPr="002A2450">
        <w:rPr>
          <w:rFonts w:ascii="ITC Avant Garde" w:hAnsi="ITC Avant Garde"/>
          <w:b/>
        </w:rPr>
        <w:t xml:space="preserve">“COFRESA” </w:t>
      </w:r>
      <w:r w:rsidRPr="002A2450">
        <w:rPr>
          <w:rFonts w:ascii="ITC Avant Garde" w:eastAsia="Times New Roman" w:hAnsi="ITC Avant Garde"/>
          <w:bCs/>
          <w:color w:val="000000"/>
          <w:lang w:eastAsia="es-MX"/>
        </w:rPr>
        <w:t xml:space="preserve">puede realizarlo a través de su propia infraestructura o, en su caso, acudir a otros factores para lograr el suministro del servicio concesionado, esto es, el proceso de explotación pasa por una reflexión </w:t>
      </w:r>
    </w:p>
    <w:p w14:paraId="13D8686E" w14:textId="4DED5013" w:rsidR="00B35F13" w:rsidRDefault="00262B95" w:rsidP="00B35F13">
      <w:pPr>
        <w:spacing w:before="240" w:line="360" w:lineRule="auto"/>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sobre</w:t>
      </w:r>
      <w:proofErr w:type="gramEnd"/>
      <w:r w:rsidRPr="002A2450">
        <w:rPr>
          <w:rFonts w:ascii="ITC Avant Garde" w:eastAsia="Times New Roman" w:hAnsi="ITC Avant Garde"/>
          <w:bCs/>
          <w:color w:val="000000"/>
          <w:lang w:eastAsia="es-MX"/>
        </w:rPr>
        <w:t xml:space="preserve"> las capacidades internas de la organización para gestionar todas las dimensiones de su operación, personal, servicios, procesos, sistemas o infraestructuras.</w:t>
      </w:r>
    </w:p>
    <w:p w14:paraId="3F403FE0"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la cadena para la prestación del servicio de televisión restringida inicia desde la concesión hasta la prestación del servicio concesionado al usuario final, dentro de cuya cadena se encuentran, entre otros, la comercialización, distribución y facturación del servicio.</w:t>
      </w:r>
    </w:p>
    <w:p w14:paraId="76A332D7"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Ahora bien, el titular de una concesión se encuentra obligado a la prestación del servicio. Sin embargo, cuando la prestación del servicio se realiza por un tercero que no cuenta con la autorización respectiva, implica que dicha explotación se encuentra realizándose de manera diversa y contraria a lo señalado en el artículo 2</w:t>
      </w:r>
      <w:r w:rsidR="000F3A3E" w:rsidRPr="002A2450">
        <w:rPr>
          <w:rFonts w:ascii="ITC Avant Garde" w:eastAsia="Times New Roman" w:hAnsi="ITC Avant Garde"/>
          <w:bCs/>
          <w:color w:val="000000"/>
          <w:lang w:eastAsia="es-MX"/>
        </w:rPr>
        <w:t>8</w:t>
      </w:r>
      <w:r w:rsidRPr="002A2450">
        <w:rPr>
          <w:rFonts w:ascii="ITC Avant Garde" w:eastAsia="Times New Roman" w:hAnsi="ITC Avant Garde"/>
          <w:bCs/>
          <w:color w:val="000000"/>
          <w:lang w:eastAsia="es-MX"/>
        </w:rPr>
        <w:t xml:space="preserve"> Constitucional.</w:t>
      </w:r>
    </w:p>
    <w:p w14:paraId="2091C612" w14:textId="028BF2C6" w:rsidR="00B35F13" w:rsidRPr="006C67B3" w:rsidRDefault="00262B95" w:rsidP="00C9499F">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ese sentido, tal y como </w:t>
      </w:r>
      <w:r w:rsidR="004B737B" w:rsidRPr="002A2450">
        <w:rPr>
          <w:rFonts w:ascii="ITC Avant Garde" w:eastAsia="Times New Roman" w:hAnsi="ITC Avant Garde"/>
          <w:bCs/>
          <w:color w:val="000000"/>
          <w:lang w:eastAsia="es-MX"/>
        </w:rPr>
        <w:t>se presumió en el citado acuerdo de inicio</w:t>
      </w:r>
      <w:r w:rsidRPr="002A2450">
        <w:rPr>
          <w:rFonts w:ascii="ITC Avant Garde" w:eastAsia="Times New Roman" w:hAnsi="ITC Avant Garde"/>
          <w:bCs/>
          <w:color w:val="000000"/>
          <w:lang w:eastAsia="es-MX"/>
        </w:rPr>
        <w:t xml:space="preserve">, </w:t>
      </w:r>
      <w:r w:rsidR="00BC4A4F" w:rsidRPr="002A2450">
        <w:rPr>
          <w:rFonts w:ascii="ITC Avant Garde" w:hAnsi="ITC Avant Garde"/>
          <w:b/>
        </w:rPr>
        <w:t xml:space="preserve">“TELMEX” </w:t>
      </w:r>
      <w:r w:rsidR="00CC0933" w:rsidRPr="002A2450">
        <w:rPr>
          <w:rFonts w:ascii="ITC Avant Garde" w:eastAsia="Times New Roman" w:hAnsi="ITC Avant Garde"/>
          <w:bCs/>
          <w:color w:val="000000"/>
          <w:lang w:eastAsia="es-MX"/>
        </w:rPr>
        <w:t xml:space="preserve">a través de </w:t>
      </w:r>
      <w:r w:rsidR="00CC0933" w:rsidRPr="002A2450">
        <w:rPr>
          <w:rFonts w:ascii="ITC Avant Garde" w:eastAsia="Times New Roman" w:hAnsi="ITC Avant Garde"/>
          <w:b/>
          <w:bCs/>
          <w:color w:val="000000"/>
          <w:lang w:eastAsia="es-MX"/>
        </w:rPr>
        <w:t>"TENINVER"</w:t>
      </w:r>
      <w:r w:rsidR="00CC0933" w:rsidRPr="002A2450">
        <w:rPr>
          <w:rFonts w:ascii="ITC Avant Garde" w:eastAsia="Times New Roman" w:hAnsi="ITC Avant Garde"/>
          <w:bCs/>
          <w:color w:val="000000"/>
          <w:lang w:eastAsia="es-MX"/>
        </w:rPr>
        <w:t xml:space="preserve">, durante el periodo de vigencia de los Contratos de Consecuencias y de Opción de compra </w:t>
      </w:r>
      <w:r w:rsidR="008E30A7" w:rsidRPr="002A2450">
        <w:rPr>
          <w:rFonts w:ascii="ITC Avant Garde" w:eastAsia="Times New Roman" w:hAnsi="ITC Avant Garde"/>
          <w:bCs/>
          <w:color w:val="000000"/>
          <w:lang w:eastAsia="es-MX"/>
        </w:rPr>
        <w:t xml:space="preserve">y </w:t>
      </w:r>
      <w:r w:rsidR="00CC0933" w:rsidRPr="002A2450">
        <w:rPr>
          <w:rFonts w:ascii="ITC Avant Garde" w:eastAsia="Times New Roman" w:hAnsi="ITC Avant Garde"/>
          <w:bCs/>
          <w:color w:val="000000"/>
          <w:lang w:eastAsia="es-MX"/>
        </w:rPr>
        <w:t xml:space="preserve">venta, tuvo </w:t>
      </w:r>
      <w:r w:rsidR="008E30A7" w:rsidRPr="002A2450">
        <w:rPr>
          <w:rFonts w:ascii="ITC Avant Garde" w:eastAsia="Times New Roman" w:hAnsi="ITC Avant Garde"/>
          <w:bCs/>
          <w:color w:val="000000"/>
          <w:lang w:eastAsia="es-MX"/>
        </w:rPr>
        <w:t xml:space="preserve">determinados </w:t>
      </w:r>
      <w:r w:rsidR="00CC0933" w:rsidRPr="002A2450">
        <w:rPr>
          <w:rFonts w:ascii="ITC Avant Garde" w:eastAsia="Times New Roman" w:hAnsi="ITC Avant Garde"/>
          <w:bCs/>
          <w:color w:val="000000"/>
          <w:lang w:eastAsia="es-MX"/>
        </w:rPr>
        <w:t xml:space="preserve">derechos </w:t>
      </w:r>
      <w:r w:rsidR="008E30A7" w:rsidRPr="002A2450">
        <w:rPr>
          <w:rFonts w:ascii="ITC Avant Garde" w:eastAsia="Times New Roman" w:hAnsi="ITC Avant Garde"/>
          <w:bCs/>
          <w:color w:val="000000"/>
          <w:lang w:eastAsia="es-MX"/>
        </w:rPr>
        <w:t>que le permitieron</w:t>
      </w:r>
      <w:r w:rsidR="00CC0933" w:rsidRPr="002A2450">
        <w:rPr>
          <w:rFonts w:ascii="ITC Avant Garde" w:eastAsia="Times New Roman" w:hAnsi="ITC Avant Garde"/>
          <w:bCs/>
          <w:color w:val="000000"/>
          <w:lang w:eastAsia="es-MX"/>
        </w:rPr>
        <w:t xml:space="preserve"> tener </w:t>
      </w:r>
      <w:r w:rsidRPr="002A2450">
        <w:rPr>
          <w:rFonts w:ascii="ITC Avant Garde" w:eastAsia="Times New Roman" w:hAnsi="ITC Avant Garde"/>
          <w:bCs/>
          <w:color w:val="000000"/>
          <w:lang w:eastAsia="es-MX"/>
        </w:rPr>
        <w:t xml:space="preserve">injerencia en </w:t>
      </w:r>
      <w:r w:rsidR="00CC0933" w:rsidRPr="002A2450">
        <w:rPr>
          <w:rFonts w:ascii="ITC Avant Garde" w:eastAsia="Times New Roman" w:hAnsi="ITC Avant Garde"/>
          <w:bCs/>
          <w:color w:val="000000"/>
          <w:lang w:eastAsia="es-MX"/>
        </w:rPr>
        <w:t>la toma de decisiones sobre las operaciones</w:t>
      </w:r>
      <w:r w:rsidRPr="002A2450">
        <w:rPr>
          <w:rFonts w:ascii="ITC Avant Garde" w:eastAsia="Times New Roman" w:hAnsi="ITC Avant Garde"/>
          <w:bCs/>
          <w:color w:val="000000"/>
          <w:lang w:eastAsia="es-MX"/>
        </w:rPr>
        <w:t xml:space="preserve"> de </w:t>
      </w:r>
      <w:r w:rsidR="00764EBE"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w:t>
      </w:r>
      <w:r w:rsidR="008E30A7" w:rsidRPr="002A2450">
        <w:rPr>
          <w:rFonts w:ascii="ITC Avant Garde" w:eastAsia="Times New Roman" w:hAnsi="ITC Avant Garde"/>
          <w:b/>
          <w:bCs/>
          <w:color w:val="000000"/>
          <w:lang w:eastAsia="es-MX"/>
        </w:rPr>
        <w:t xml:space="preserve"> MÉXICO</w:t>
      </w:r>
      <w:r w:rsidR="00764EBE" w:rsidRPr="002A2450">
        <w:rPr>
          <w:rFonts w:ascii="ITC Avant Garde" w:eastAsia="Times New Roman" w:hAnsi="ITC Avant Garde"/>
          <w:b/>
          <w:bCs/>
          <w:color w:val="000000"/>
          <w:lang w:eastAsia="es-MX"/>
        </w:rPr>
        <w:t>”</w:t>
      </w:r>
      <w:r w:rsidR="004B737B" w:rsidRPr="002A2450">
        <w:rPr>
          <w:rFonts w:ascii="ITC Avant Garde" w:eastAsia="Times New Roman" w:hAnsi="ITC Avant Garde"/>
          <w:bCs/>
          <w:color w:val="000000"/>
          <w:lang w:eastAsia="es-MX"/>
        </w:rPr>
        <w:t xml:space="preserve"> </w:t>
      </w:r>
      <w:r w:rsidR="00CC0933" w:rsidRPr="002A2450">
        <w:rPr>
          <w:rFonts w:ascii="ITC Avant Garde" w:eastAsia="Times New Roman" w:hAnsi="ITC Avant Garde"/>
          <w:bCs/>
          <w:color w:val="000000"/>
          <w:lang w:eastAsia="es-MX"/>
        </w:rPr>
        <w:t xml:space="preserve">y sus subsidiarias, entre las que se incluye </w:t>
      </w:r>
      <w:r w:rsidR="00CC0933" w:rsidRPr="002A2450">
        <w:rPr>
          <w:rFonts w:ascii="ITC Avant Garde" w:eastAsia="Times New Roman" w:hAnsi="ITC Avant Garde"/>
          <w:b/>
          <w:bCs/>
          <w:color w:val="000000"/>
          <w:lang w:eastAsia="es-MX"/>
        </w:rPr>
        <w:t>“COFRESA”</w:t>
      </w:r>
      <w:r w:rsidR="00CC0933" w:rsidRPr="002A2450">
        <w:rPr>
          <w:rFonts w:ascii="ITC Avant Garde" w:eastAsia="Times New Roman" w:hAnsi="ITC Avant Garde" w:cs="Calibri"/>
          <w:color w:val="000000"/>
          <w:sz w:val="18"/>
          <w:szCs w:val="18"/>
          <w:vertAlign w:val="superscript"/>
          <w:lang w:val="es-ES" w:eastAsia="es-ES"/>
        </w:rPr>
        <w:t xml:space="preserve"> </w:t>
      </w:r>
      <w:r w:rsidR="00CC0933" w:rsidRPr="002A2450">
        <w:rPr>
          <w:rFonts w:ascii="ITC Avant Garde" w:eastAsia="Times New Roman" w:hAnsi="ITC Avant Garde" w:cs="Calibri"/>
          <w:color w:val="000000"/>
          <w:sz w:val="18"/>
          <w:szCs w:val="18"/>
          <w:vertAlign w:val="superscript"/>
          <w:lang w:val="es-ES" w:eastAsia="es-ES"/>
        </w:rPr>
        <w:footnoteReference w:id="18"/>
      </w:r>
      <w:r w:rsidR="00CC0933" w:rsidRPr="002A2450">
        <w:rPr>
          <w:rFonts w:ascii="ITC Avant Garde" w:eastAsia="Times New Roman" w:hAnsi="ITC Avant Garde" w:cs="Calibri"/>
          <w:color w:val="000000"/>
          <w:sz w:val="18"/>
          <w:szCs w:val="18"/>
          <w:vertAlign w:val="superscript"/>
          <w:lang w:val="es-ES" w:eastAsia="es-ES"/>
        </w:rPr>
        <w:t xml:space="preserve"> </w:t>
      </w:r>
      <w:r w:rsidR="004B737B" w:rsidRPr="002A2450">
        <w:rPr>
          <w:rFonts w:ascii="ITC Avant Garde" w:eastAsia="Times New Roman" w:hAnsi="ITC Avant Garde"/>
          <w:bCs/>
          <w:color w:val="000000"/>
          <w:lang w:eastAsia="es-MX"/>
        </w:rPr>
        <w:t>de allí que se estimó</w:t>
      </w:r>
      <w:r w:rsidRPr="002A2450">
        <w:rPr>
          <w:rFonts w:ascii="ITC Avant Garde" w:eastAsia="Times New Roman" w:hAnsi="ITC Avant Garde"/>
          <w:bCs/>
          <w:color w:val="000000"/>
          <w:lang w:eastAsia="es-MX"/>
        </w:rPr>
        <w:t xml:space="preserve"> que con </w:t>
      </w:r>
      <w:r w:rsidR="00CC0933" w:rsidRPr="002A2450">
        <w:rPr>
          <w:rFonts w:ascii="ITC Avant Garde" w:eastAsia="Times New Roman" w:hAnsi="ITC Avant Garde"/>
          <w:bCs/>
          <w:color w:val="000000"/>
          <w:lang w:eastAsia="es-MX"/>
        </w:rPr>
        <w:t>tales derechos</w:t>
      </w:r>
      <w:r w:rsidRPr="002A2450">
        <w:rPr>
          <w:rFonts w:ascii="ITC Avant Garde" w:eastAsia="Times New Roman" w:hAnsi="ITC Avant Garde"/>
          <w:bCs/>
          <w:lang w:eastAsia="es-MX"/>
        </w:rPr>
        <w:t xml:space="preserve"> </w:t>
      </w:r>
      <w:r w:rsidR="00BC4A4F" w:rsidRPr="002A2450">
        <w:rPr>
          <w:rFonts w:ascii="ITC Avant Garde" w:hAnsi="ITC Avant Garde"/>
          <w:b/>
        </w:rPr>
        <w:t xml:space="preserve">“TELMEX” </w:t>
      </w:r>
      <w:r w:rsidR="00CC0933" w:rsidRPr="002A2450">
        <w:rPr>
          <w:rFonts w:ascii="ITC Avant Garde" w:hAnsi="ITC Avant Garde"/>
        </w:rPr>
        <w:t xml:space="preserve">a través de </w:t>
      </w:r>
      <w:r w:rsidR="00CC0933" w:rsidRPr="002A2450">
        <w:rPr>
          <w:rFonts w:ascii="ITC Avant Garde" w:hAnsi="ITC Avant Garde"/>
          <w:b/>
        </w:rPr>
        <w:t>"TENINVER"</w:t>
      </w:r>
      <w:r w:rsidR="00CC0933" w:rsidRPr="002A2450">
        <w:rPr>
          <w:rFonts w:ascii="ITC Avant Garde" w:hAnsi="ITC Avant Garde"/>
        </w:rPr>
        <w:t xml:space="preserve"> </w:t>
      </w:r>
      <w:r w:rsidR="00CC0933" w:rsidRPr="002A2450">
        <w:rPr>
          <w:rFonts w:ascii="ITC Avant Garde" w:eastAsia="Times New Roman" w:hAnsi="ITC Avant Garde"/>
          <w:bCs/>
          <w:lang w:eastAsia="es-MX"/>
        </w:rPr>
        <w:t xml:space="preserve">participó en la explotación </w:t>
      </w:r>
      <w:r w:rsidRPr="002A2450">
        <w:rPr>
          <w:rFonts w:ascii="ITC Avant Garde" w:eastAsia="Times New Roman" w:hAnsi="ITC Avant Garde"/>
          <w:bCs/>
          <w:lang w:eastAsia="es-MX"/>
        </w:rPr>
        <w:t xml:space="preserve">del derecho que le fue otorgado por el Estado a </w:t>
      </w:r>
      <w:r w:rsidR="00BC4A4F" w:rsidRPr="002A2450">
        <w:rPr>
          <w:rFonts w:ascii="ITC Avant Garde" w:hAnsi="ITC Avant Garde"/>
          <w:b/>
        </w:rPr>
        <w:t xml:space="preserve">“COFRESA” </w:t>
      </w:r>
      <w:r w:rsidRPr="002A2450">
        <w:rPr>
          <w:rFonts w:ascii="ITC Avant Garde" w:eastAsia="Times New Roman" w:hAnsi="ITC Avant Garde"/>
          <w:bCs/>
          <w:lang w:eastAsia="es-MX"/>
        </w:rPr>
        <w:t>para la prestación del servicio de televisión restringida vía satelital.</w:t>
      </w:r>
    </w:p>
    <w:p w14:paraId="6DE7DD3A" w14:textId="77777777" w:rsidR="006C67B3" w:rsidRDefault="00262B95" w:rsidP="00B35F13">
      <w:pPr>
        <w:autoSpaceDE w:val="0"/>
        <w:autoSpaceDN w:val="0"/>
        <w:adjustRightInd w:val="0"/>
        <w:spacing w:before="240" w:line="360" w:lineRule="auto"/>
        <w:jc w:val="both"/>
        <w:rPr>
          <w:rFonts w:ascii="ITC Avant Garde" w:hAnsi="ITC Avant Garde" w:cs="Arial"/>
          <w:u w:val="single"/>
        </w:rPr>
        <w:sectPr w:rsidR="006C67B3" w:rsidSect="009F3771">
          <w:headerReference w:type="default" r:id="rId28"/>
          <w:pgSz w:w="12240" w:h="15840"/>
          <w:pgMar w:top="1985" w:right="1701" w:bottom="1418" w:left="1701" w:header="709" w:footer="709" w:gutter="0"/>
          <w:cols w:space="708"/>
          <w:docGrid w:linePitch="360"/>
        </w:sectPr>
      </w:pPr>
      <w:r w:rsidRPr="002A2450">
        <w:rPr>
          <w:rFonts w:ascii="ITC Avant Garde" w:eastAsia="Times New Roman" w:hAnsi="ITC Avant Garde"/>
          <w:bCs/>
          <w:lang w:eastAsia="es-MX"/>
        </w:rPr>
        <w:t xml:space="preserve">Al respecto, la condición 1-9 del </w:t>
      </w:r>
      <w:r w:rsidRPr="002A2450">
        <w:rPr>
          <w:rFonts w:ascii="ITC Avant Garde" w:eastAsia="Times New Roman" w:hAnsi="ITC Avant Garde"/>
          <w:b/>
          <w:bCs/>
          <w:lang w:eastAsia="es-MX"/>
        </w:rPr>
        <w:t>TITULO DE CONCESIÓN</w:t>
      </w:r>
      <w:r w:rsidRPr="002A2450">
        <w:rPr>
          <w:rFonts w:ascii="ITC Avant Garde" w:eastAsia="Times New Roman" w:hAnsi="ITC Avant Garde"/>
          <w:bCs/>
          <w:lang w:eastAsia="es-MX"/>
        </w:rPr>
        <w:t xml:space="preserve"> otorgado a </w:t>
      </w:r>
      <w:r w:rsidR="00BC4A4F" w:rsidRPr="002A2450">
        <w:rPr>
          <w:rFonts w:ascii="ITC Avant Garde" w:hAnsi="ITC Avant Garde"/>
          <w:b/>
        </w:rPr>
        <w:t xml:space="preserve">“TELMEX” </w:t>
      </w:r>
      <w:r w:rsidRPr="002A2450">
        <w:rPr>
          <w:rFonts w:ascii="ITC Avant Garde" w:eastAsia="Times New Roman" w:hAnsi="ITC Avant Garde"/>
          <w:bCs/>
          <w:lang w:eastAsia="es-MX"/>
        </w:rPr>
        <w:t>señala que “</w:t>
      </w:r>
      <w:r w:rsidR="005B601B" w:rsidRPr="002A2450">
        <w:rPr>
          <w:rFonts w:ascii="ITC Avant Garde" w:hAnsi="ITC Avant Garde" w:cs="Arial"/>
          <w:b/>
          <w:i/>
        </w:rPr>
        <w:t>“TELMEX”</w:t>
      </w:r>
      <w:r w:rsidRPr="002A2450">
        <w:rPr>
          <w:rFonts w:ascii="ITC Avant Garde" w:hAnsi="ITC Avant Garde" w:cs="Arial"/>
          <w:i/>
        </w:rPr>
        <w:t xml:space="preserve"> no podrá explotar”</w:t>
      </w:r>
      <w:r w:rsidRPr="002A2450">
        <w:rPr>
          <w:rFonts w:ascii="ITC Avant Garde" w:hAnsi="ITC Avant Garde" w:cs="Arial"/>
        </w:rPr>
        <w:t xml:space="preserve">, por lo que dicha empresa </w:t>
      </w:r>
      <w:r w:rsidRPr="002A2450">
        <w:rPr>
          <w:rFonts w:ascii="ITC Avant Garde" w:hAnsi="ITC Avant Garde" w:cs="Arial"/>
          <w:u w:val="single"/>
        </w:rPr>
        <w:t xml:space="preserve">está obligada </w:t>
      </w:r>
    </w:p>
    <w:p w14:paraId="2574633B" w14:textId="1FB6564C" w:rsidR="00B35F13" w:rsidRDefault="00262B95" w:rsidP="00B35F13">
      <w:pPr>
        <w:autoSpaceDE w:val="0"/>
        <w:autoSpaceDN w:val="0"/>
        <w:adjustRightInd w:val="0"/>
        <w:spacing w:before="240" w:line="360" w:lineRule="auto"/>
        <w:jc w:val="both"/>
        <w:rPr>
          <w:rFonts w:ascii="ITC Avant Garde" w:hAnsi="ITC Avant Garde" w:cs="Arial"/>
        </w:rPr>
      </w:pPr>
      <w:proofErr w:type="spellStart"/>
      <w:proofErr w:type="gramStart"/>
      <w:r w:rsidRPr="002A2450">
        <w:rPr>
          <w:rFonts w:ascii="ITC Avant Garde" w:hAnsi="ITC Avant Garde" w:cs="Arial"/>
          <w:u w:val="single"/>
        </w:rPr>
        <w:lastRenderedPageBreak/>
        <w:t>a</w:t>
      </w:r>
      <w:proofErr w:type="gramEnd"/>
      <w:r w:rsidRPr="002A2450">
        <w:rPr>
          <w:rFonts w:ascii="ITC Avant Garde" w:hAnsi="ITC Avant Garde" w:cs="Arial"/>
          <w:u w:val="single"/>
        </w:rPr>
        <w:t xml:space="preserve"> un</w:t>
      </w:r>
      <w:proofErr w:type="spellEnd"/>
      <w:r w:rsidRPr="002A2450">
        <w:rPr>
          <w:rFonts w:ascii="ITC Avant Garde" w:hAnsi="ITC Avant Garde" w:cs="Arial"/>
          <w:u w:val="single"/>
        </w:rPr>
        <w:t xml:space="preserve"> </w:t>
      </w:r>
      <w:r w:rsidRPr="002A2450">
        <w:rPr>
          <w:rFonts w:ascii="ITC Avant Garde" w:hAnsi="ITC Avant Garde" w:cs="Arial"/>
          <w:b/>
          <w:u w:val="single"/>
        </w:rPr>
        <w:t>no hacer</w:t>
      </w:r>
      <w:r w:rsidRPr="002A2450">
        <w:rPr>
          <w:rFonts w:ascii="ITC Avant Garde" w:hAnsi="ITC Avant Garde" w:cs="Arial"/>
          <w:u w:val="single"/>
        </w:rPr>
        <w:t>, consistente en no beneficiarse o aprovecharse</w:t>
      </w:r>
      <w:r w:rsidRPr="002A2450">
        <w:rPr>
          <w:rFonts w:ascii="ITC Avant Garde" w:hAnsi="ITC Avant Garde" w:cs="Arial"/>
        </w:rPr>
        <w:t xml:space="preserve"> de ninguna concesión de servicios de televisión al público en el país e incluso esta prohibición se extiende a no intervenir, financiar, controlar, apoyar o asociarse con una concesionaria que explote los servicios de televisión restringida ya sea cableada o satelital ni a una concesionaria de televisión radiodifundida, prohibición que en el presente caso no respetó </w:t>
      </w:r>
      <w:r w:rsidR="00BC4A4F" w:rsidRPr="002A2450">
        <w:rPr>
          <w:rFonts w:ascii="ITC Avant Garde" w:hAnsi="ITC Avant Garde"/>
          <w:b/>
        </w:rPr>
        <w:t>“TELMEX”</w:t>
      </w:r>
      <w:r w:rsidRPr="002A2450">
        <w:rPr>
          <w:rFonts w:ascii="ITC Avant Garde" w:hAnsi="ITC Avant Garde" w:cs="Arial"/>
        </w:rPr>
        <w:t xml:space="preserve">. </w:t>
      </w:r>
    </w:p>
    <w:p w14:paraId="5792D255" w14:textId="77777777" w:rsidR="00B35F13" w:rsidRDefault="00262B95" w:rsidP="00B35F13">
      <w:pPr>
        <w:autoSpaceDE w:val="0"/>
        <w:autoSpaceDN w:val="0"/>
        <w:adjustRightInd w:val="0"/>
        <w:spacing w:before="240" w:line="360" w:lineRule="auto"/>
        <w:jc w:val="both"/>
        <w:rPr>
          <w:rFonts w:ascii="ITC Avant Garde" w:hAnsi="ITC Avant Garde" w:cs="Arial"/>
        </w:rPr>
      </w:pPr>
      <w:r w:rsidRPr="002A2450">
        <w:rPr>
          <w:rFonts w:ascii="ITC Avant Garde" w:hAnsi="ITC Avant Garde" w:cs="Arial"/>
        </w:rPr>
        <w:t xml:space="preserve">Así las cosas, al existir </w:t>
      </w:r>
      <w:r w:rsidR="00B04EDE" w:rsidRPr="002A2450">
        <w:rPr>
          <w:rFonts w:ascii="ITC Avant Garde" w:hAnsi="ITC Avant Garde" w:cs="Arial"/>
        </w:rPr>
        <w:t xml:space="preserve">presumiblemente un control </w:t>
      </w:r>
      <w:r w:rsidRPr="002A2450">
        <w:rPr>
          <w:rFonts w:ascii="ITC Avant Garde" w:hAnsi="ITC Avant Garde" w:cs="Arial"/>
        </w:rPr>
        <w:t xml:space="preserve">por parte del </w:t>
      </w:r>
      <w:r w:rsidR="00BC4A4F" w:rsidRPr="002A2450">
        <w:rPr>
          <w:rFonts w:ascii="ITC Avant Garde" w:hAnsi="ITC Avant Garde"/>
          <w:b/>
        </w:rPr>
        <w:t xml:space="preserve">“TELMEX” </w:t>
      </w:r>
      <w:r w:rsidRPr="002A2450">
        <w:rPr>
          <w:rFonts w:ascii="ITC Avant Garde" w:hAnsi="ITC Avant Garde" w:cs="Arial"/>
        </w:rPr>
        <w:t xml:space="preserve">en </w:t>
      </w:r>
      <w:r w:rsidR="00B04EDE" w:rsidRPr="002A2450">
        <w:rPr>
          <w:rFonts w:ascii="ITC Avant Garde" w:hAnsi="ITC Avant Garde" w:cs="Arial"/>
        </w:rPr>
        <w:t xml:space="preserve">la operación de </w:t>
      </w:r>
      <w:r w:rsidR="00764EBE" w:rsidRPr="002A2450">
        <w:rPr>
          <w:rFonts w:ascii="ITC Avant Garde" w:hAnsi="ITC Avant Garde" w:cs="Arial"/>
          <w:b/>
        </w:rPr>
        <w:t>“</w:t>
      </w:r>
      <w:r w:rsidRPr="002A2450">
        <w:rPr>
          <w:rFonts w:ascii="ITC Avant Garde" w:hAnsi="ITC Avant Garde" w:cs="Arial"/>
          <w:b/>
        </w:rPr>
        <w:t>DISH</w:t>
      </w:r>
      <w:r w:rsidR="0025617C" w:rsidRPr="002A2450">
        <w:rPr>
          <w:rFonts w:ascii="ITC Avant Garde" w:hAnsi="ITC Avant Garde" w:cs="Arial"/>
          <w:b/>
        </w:rPr>
        <w:t xml:space="preserve"> MÉXICO</w:t>
      </w:r>
      <w:r w:rsidR="00764EBE" w:rsidRPr="002A2450">
        <w:rPr>
          <w:rFonts w:ascii="ITC Avant Garde" w:hAnsi="ITC Avant Garde" w:cs="Arial"/>
          <w:b/>
        </w:rPr>
        <w:t>”</w:t>
      </w:r>
      <w:r w:rsidRPr="002A2450">
        <w:rPr>
          <w:rFonts w:ascii="ITC Avant Garde" w:hAnsi="ITC Avant Garde" w:cs="Arial"/>
          <w:b/>
        </w:rPr>
        <w:t>,</w:t>
      </w:r>
      <w:r w:rsidRPr="002A2450">
        <w:rPr>
          <w:rFonts w:ascii="ITC Avant Garde" w:hAnsi="ITC Avant Garde" w:cs="Arial"/>
        </w:rPr>
        <w:t xml:space="preserve"> es indudable que se beneficia del derecho asociado a la concesión otorgada a </w:t>
      </w:r>
      <w:r w:rsidR="00BC4A4F" w:rsidRPr="002A2450">
        <w:rPr>
          <w:rFonts w:ascii="ITC Avant Garde" w:hAnsi="ITC Avant Garde"/>
          <w:b/>
        </w:rPr>
        <w:t xml:space="preserve">“COFRESA” </w:t>
      </w:r>
      <w:r w:rsidRPr="002A2450">
        <w:rPr>
          <w:rFonts w:ascii="ITC Avant Garde" w:hAnsi="ITC Avant Garde" w:cs="Arial"/>
        </w:rPr>
        <w:t>para prestar el servicio de televisión restringida vía satelital.</w:t>
      </w:r>
    </w:p>
    <w:p w14:paraId="161CB81A"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lang w:eastAsia="es-MX"/>
        </w:rPr>
        <w:t xml:space="preserve">Por lo anterior, no puede considerarse que el ejercicio de un derecho establecido en el título de concesión otorgado a </w:t>
      </w:r>
      <w:r w:rsidR="00BC4A4F" w:rsidRPr="002A2450">
        <w:rPr>
          <w:rFonts w:ascii="ITC Avant Garde" w:hAnsi="ITC Avant Garde"/>
          <w:b/>
        </w:rPr>
        <w:t xml:space="preserve">“COFRESA” </w:t>
      </w:r>
      <w:r w:rsidRPr="002A2450">
        <w:rPr>
          <w:rFonts w:ascii="ITC Avant Garde" w:eastAsia="Times New Roman" w:hAnsi="ITC Avant Garde"/>
          <w:bCs/>
          <w:lang w:eastAsia="es-MX"/>
        </w:rPr>
        <w:t xml:space="preserve">pueda ser ejercido de manera indirecta por </w:t>
      </w:r>
      <w:r w:rsidR="00BC4A4F" w:rsidRPr="002A2450">
        <w:rPr>
          <w:rFonts w:ascii="ITC Avant Garde" w:hAnsi="ITC Avant Garde"/>
          <w:b/>
        </w:rPr>
        <w:t xml:space="preserve">“TELMEX” </w:t>
      </w:r>
      <w:r w:rsidRPr="002A2450">
        <w:rPr>
          <w:rFonts w:ascii="ITC Avant Garde" w:eastAsia="Times New Roman" w:hAnsi="ITC Avant Garde"/>
          <w:bCs/>
          <w:lang w:eastAsia="es-MX"/>
        </w:rPr>
        <w:t>a través del contenido obligacional a que se ha hecho referencia, ya que como se ha constatado</w:t>
      </w:r>
      <w:r w:rsidR="004B737B" w:rsidRPr="002A2450">
        <w:rPr>
          <w:rFonts w:ascii="ITC Avant Garde" w:eastAsia="Times New Roman" w:hAnsi="ITC Avant Garde"/>
          <w:bCs/>
          <w:lang w:eastAsia="es-MX"/>
        </w:rPr>
        <w:t xml:space="preserve"> a nivel presuntivo</w:t>
      </w:r>
      <w:r w:rsidRPr="002A2450">
        <w:rPr>
          <w:rFonts w:ascii="ITC Avant Garde" w:eastAsia="Times New Roman" w:hAnsi="ITC Avant Garde"/>
          <w:bCs/>
          <w:lang w:eastAsia="es-MX"/>
        </w:rPr>
        <w:t>, el cúmulo de contratos asociados a la consecución de la prestación del servicio de televisión restringida autorizada a</w:t>
      </w:r>
      <w:r w:rsidRPr="002A2450">
        <w:rPr>
          <w:rFonts w:ascii="ITC Avant Garde" w:eastAsia="Times New Roman" w:hAnsi="ITC Avant Garde"/>
          <w:bCs/>
          <w:color w:val="000000"/>
          <w:lang w:eastAsia="es-MX"/>
        </w:rPr>
        <w:t xml:space="preserve"> </w:t>
      </w:r>
      <w:r w:rsidR="00BC4A4F" w:rsidRPr="002A2450">
        <w:rPr>
          <w:rFonts w:ascii="ITC Avant Garde" w:hAnsi="ITC Avant Garde"/>
          <w:b/>
        </w:rPr>
        <w:t>“COFRESA”</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implican que el derecho otorgado a ésta última pueda llevarse a cabo de manera indirecta a través del control societario por parte del </w:t>
      </w:r>
      <w:r w:rsidR="00BC4A4F" w:rsidRPr="002A2450">
        <w:rPr>
          <w:rFonts w:ascii="ITC Avant Garde" w:hAnsi="ITC Avant Garde"/>
          <w:b/>
        </w:rPr>
        <w:t>“TELMEX”</w:t>
      </w:r>
      <w:r w:rsidR="004B737B" w:rsidRPr="002A2450">
        <w:rPr>
          <w:rFonts w:ascii="ITC Avant Garde" w:hAnsi="ITC Avant Garde"/>
          <w:b/>
        </w:rPr>
        <w:t xml:space="preserve"> </w:t>
      </w:r>
      <w:r w:rsidRPr="002A2450">
        <w:rPr>
          <w:rFonts w:ascii="ITC Avant Garde" w:eastAsia="Times New Roman" w:hAnsi="ITC Avant Garde"/>
          <w:bCs/>
          <w:color w:val="000000"/>
          <w:lang w:eastAsia="es-MX"/>
        </w:rPr>
        <w:t>en</w:t>
      </w:r>
      <w:r w:rsidR="00CC0933" w:rsidRPr="002A2450">
        <w:rPr>
          <w:rFonts w:ascii="ITC Avant Garde" w:eastAsia="Times New Roman" w:hAnsi="ITC Avant Garde"/>
          <w:bCs/>
          <w:color w:val="000000"/>
          <w:lang w:eastAsia="es-MX"/>
        </w:rPr>
        <w:t xml:space="preserve"> </w:t>
      </w:r>
      <w:r w:rsidR="00CC0933" w:rsidRPr="002A2450">
        <w:rPr>
          <w:rFonts w:ascii="ITC Avant Garde" w:eastAsia="Times New Roman" w:hAnsi="ITC Avant Garde"/>
          <w:b/>
          <w:bCs/>
          <w:color w:val="000000"/>
          <w:lang w:eastAsia="es-MX"/>
        </w:rPr>
        <w:t>“TENINVER”</w:t>
      </w:r>
      <w:r w:rsidRPr="002A2450">
        <w:rPr>
          <w:rFonts w:ascii="ITC Avant Garde" w:eastAsia="Times New Roman" w:hAnsi="ITC Avant Garde"/>
          <w:bCs/>
          <w:color w:val="000000"/>
          <w:lang w:eastAsia="es-MX"/>
        </w:rPr>
        <w:t xml:space="preserve"> </w:t>
      </w:r>
      <w:r w:rsidR="00CC0933" w:rsidRPr="002A2450">
        <w:rPr>
          <w:rFonts w:ascii="ITC Avant Garde" w:eastAsia="Times New Roman" w:hAnsi="ITC Avant Garde"/>
          <w:bCs/>
          <w:color w:val="000000"/>
          <w:lang w:eastAsia="es-MX"/>
        </w:rPr>
        <w:t xml:space="preserve">y de los derechos que </w:t>
      </w:r>
      <w:r w:rsidR="00CC0933" w:rsidRPr="002A2450">
        <w:rPr>
          <w:rFonts w:ascii="ITC Avant Garde" w:eastAsia="Times New Roman" w:hAnsi="ITC Avant Garde"/>
          <w:b/>
          <w:bCs/>
          <w:color w:val="000000"/>
          <w:lang w:eastAsia="es-MX"/>
        </w:rPr>
        <w:t>“TENINVER”</w:t>
      </w:r>
      <w:r w:rsidR="00CC0933" w:rsidRPr="002A2450">
        <w:rPr>
          <w:rFonts w:ascii="ITC Avant Garde" w:eastAsia="Times New Roman" w:hAnsi="ITC Avant Garde"/>
          <w:bCs/>
          <w:color w:val="000000"/>
          <w:lang w:eastAsia="es-MX"/>
        </w:rPr>
        <w:t xml:space="preserve"> </w:t>
      </w:r>
      <w:r w:rsidR="0009503C" w:rsidRPr="002A2450">
        <w:rPr>
          <w:rFonts w:ascii="ITC Avant Garde" w:eastAsia="Times New Roman" w:hAnsi="ITC Avant Garde"/>
          <w:bCs/>
          <w:color w:val="000000"/>
          <w:lang w:eastAsia="es-MX"/>
        </w:rPr>
        <w:t xml:space="preserve">obtuvo para incidir en las operaciones de </w:t>
      </w:r>
      <w:r w:rsidR="00764EBE"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w:t>
      </w:r>
      <w:r w:rsidR="0025617C" w:rsidRPr="002A2450">
        <w:rPr>
          <w:rFonts w:ascii="ITC Avant Garde" w:eastAsia="Times New Roman" w:hAnsi="ITC Avant Garde"/>
          <w:b/>
          <w:bCs/>
          <w:color w:val="000000"/>
          <w:lang w:eastAsia="es-MX"/>
        </w:rPr>
        <w:t xml:space="preserve"> MÉXICO</w:t>
      </w:r>
      <w:r w:rsidR="00764EBE" w:rsidRPr="002A2450">
        <w:rPr>
          <w:rFonts w:ascii="ITC Avant Garde" w:eastAsia="Times New Roman" w:hAnsi="ITC Avant Garde"/>
          <w:b/>
          <w:bCs/>
          <w:color w:val="000000"/>
          <w:lang w:eastAsia="es-MX"/>
        </w:rPr>
        <w:t>”</w:t>
      </w:r>
      <w:r w:rsidR="0009503C" w:rsidRPr="002A2450">
        <w:rPr>
          <w:rFonts w:ascii="ITC Avant Garde" w:eastAsia="Times New Roman" w:hAnsi="ITC Avant Garde"/>
          <w:b/>
          <w:bCs/>
          <w:color w:val="000000"/>
          <w:lang w:eastAsia="es-MX"/>
        </w:rPr>
        <w:t xml:space="preserve"> </w:t>
      </w:r>
      <w:r w:rsidR="0009503C" w:rsidRPr="002A2450">
        <w:rPr>
          <w:rFonts w:ascii="ITC Avant Garde" w:eastAsia="Times New Roman" w:hAnsi="ITC Avant Garde"/>
          <w:bCs/>
          <w:color w:val="000000"/>
          <w:lang w:eastAsia="es-MX"/>
        </w:rPr>
        <w:t>y sus subsidiarias, entre las que figura</w:t>
      </w:r>
      <w:r w:rsidR="0009503C" w:rsidRPr="002A2450">
        <w:rPr>
          <w:rFonts w:ascii="ITC Avant Garde" w:eastAsia="Times New Roman" w:hAnsi="ITC Avant Garde"/>
          <w:b/>
          <w:bCs/>
          <w:color w:val="000000"/>
          <w:lang w:eastAsia="es-MX"/>
        </w:rPr>
        <w:t xml:space="preserve"> </w:t>
      </w:r>
      <w:r w:rsidR="0009503C" w:rsidRPr="002A2450">
        <w:rPr>
          <w:rFonts w:ascii="ITC Avant Garde" w:hAnsi="ITC Avant Garde"/>
          <w:b/>
        </w:rPr>
        <w:t>“COFRESA”</w:t>
      </w:r>
      <w:r w:rsidRPr="002A2450">
        <w:rPr>
          <w:rFonts w:ascii="ITC Avant Garde" w:eastAsia="Times New Roman" w:hAnsi="ITC Avant Garde"/>
          <w:bCs/>
          <w:color w:val="000000"/>
          <w:lang w:eastAsia="es-MX"/>
        </w:rPr>
        <w:t>.</w:t>
      </w:r>
    </w:p>
    <w:p w14:paraId="430E72A9" w14:textId="77777777" w:rsidR="00B35F13" w:rsidRDefault="00262B95"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Lo anterior, cobr</w:t>
      </w:r>
      <w:r w:rsidR="004B737B"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 relevancia ya que el régimen exorbitante de las concesiones</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obliga a los propios concesionarios a cumplir con las obligaciones a su cargo, por lo que a </w:t>
      </w:r>
      <w:r w:rsidRPr="002A2450">
        <w:rPr>
          <w:rFonts w:ascii="ITC Avant Garde" w:eastAsia="Times New Roman" w:hAnsi="ITC Avant Garde"/>
          <w:bCs/>
          <w:i/>
          <w:color w:val="000000"/>
          <w:lang w:eastAsia="es-MX"/>
        </w:rPr>
        <w:t>contrario sensu,</w:t>
      </w:r>
      <w:r w:rsidR="004B737B" w:rsidRPr="002A2450">
        <w:rPr>
          <w:rFonts w:ascii="ITC Avant Garde" w:eastAsia="Times New Roman" w:hAnsi="ITC Avant Garde"/>
          <w:bCs/>
          <w:color w:val="000000"/>
          <w:lang w:eastAsia="es-MX"/>
        </w:rPr>
        <w:t xml:space="preserve"> su inobservancia tendría</w:t>
      </w:r>
      <w:r w:rsidRPr="002A2450">
        <w:rPr>
          <w:rFonts w:ascii="ITC Avant Garde" w:eastAsia="Times New Roman" w:hAnsi="ITC Avant Garde"/>
          <w:bCs/>
          <w:color w:val="000000"/>
          <w:lang w:eastAsia="es-MX"/>
        </w:rPr>
        <w:t xml:space="preserve"> como consecuencia una violación al régimen condicional con el cual le fue otorgado el derecho a la prestación de un servicio de telecomunicaciones.</w:t>
      </w:r>
    </w:p>
    <w:p w14:paraId="001B365F" w14:textId="77777777" w:rsidR="00B35F13" w:rsidRDefault="00B04EDE"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Por tanto, </w:t>
      </w:r>
      <w:r w:rsidRPr="002A2450">
        <w:rPr>
          <w:rFonts w:ascii="ITC Avant Garde" w:hAnsi="ITC Avant Garde"/>
          <w:b/>
        </w:rPr>
        <w:t xml:space="preserve">“TELMEX” </w:t>
      </w:r>
      <w:r w:rsidRPr="002A2450">
        <w:rPr>
          <w:rFonts w:ascii="ITC Avant Garde" w:eastAsia="Times New Roman" w:hAnsi="ITC Avant Garde"/>
          <w:bCs/>
          <w:color w:val="000000"/>
          <w:lang w:eastAsia="es-MX"/>
        </w:rPr>
        <w:t xml:space="preserve">está obligado a cumplir con las obligaciones de hacer y no hacer establecidas en su </w:t>
      </w:r>
      <w:r w:rsidRPr="002A2450">
        <w:rPr>
          <w:rFonts w:ascii="ITC Avant Garde" w:eastAsia="Times New Roman" w:hAnsi="ITC Avant Garde"/>
          <w:b/>
          <w:bCs/>
          <w:color w:val="000000"/>
          <w:lang w:eastAsia="es-MX"/>
        </w:rPr>
        <w:t xml:space="preserve">“TÍTULO DE CONCESIÓN”, </w:t>
      </w:r>
      <w:r w:rsidRPr="002A2450">
        <w:rPr>
          <w:rFonts w:ascii="ITC Avant Garde" w:eastAsia="Times New Roman" w:hAnsi="ITC Avant Garde"/>
          <w:bCs/>
          <w:color w:val="000000"/>
          <w:lang w:eastAsia="es-MX"/>
        </w:rPr>
        <w:t>las cuales son establecidas</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como parte de la rectoría del Estado sobre los servicios de telecomunicaciones. El </w:t>
      </w:r>
      <w:r w:rsidRPr="002A2450">
        <w:rPr>
          <w:rFonts w:ascii="ITC Avant Garde" w:eastAsia="Times New Roman" w:hAnsi="ITC Avant Garde"/>
          <w:bCs/>
          <w:color w:val="000000"/>
          <w:lang w:eastAsia="es-MX"/>
        </w:rPr>
        <w:lastRenderedPageBreak/>
        <w:t xml:space="preserve">incumplimiento a dichas obligaciones pudiera resultar sancionable en términos de la legislación en la materia, por ello no puede considerarse que la condición 1-9 del </w:t>
      </w:r>
      <w:r w:rsidRPr="002A2450">
        <w:rPr>
          <w:rFonts w:ascii="ITC Avant Garde" w:eastAsia="Times New Roman" w:hAnsi="ITC Avant Garde"/>
          <w:b/>
          <w:bCs/>
          <w:color w:val="000000"/>
          <w:lang w:eastAsia="es-MX"/>
        </w:rPr>
        <w:t xml:space="preserve">“TÍTULO DE CONCESIÓN” </w:t>
      </w:r>
      <w:r w:rsidRPr="002A2450">
        <w:rPr>
          <w:rFonts w:ascii="ITC Avant Garde" w:eastAsia="Times New Roman" w:hAnsi="ITC Avant Garde"/>
          <w:bCs/>
          <w:color w:val="000000"/>
          <w:lang w:eastAsia="es-MX"/>
        </w:rPr>
        <w:t xml:space="preserve">otorgado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sea optativa, sino que enteramente es una obligación que vincula al sujeto con la concesión otorgada y a su vez, con el cumplimiento de la prestación del servicio que le fue concesionado</w:t>
      </w:r>
    </w:p>
    <w:p w14:paraId="50352AF2" w14:textId="77777777" w:rsidR="00B35F13" w:rsidRPr="00B35F13" w:rsidRDefault="00D139E4" w:rsidP="00B35F13">
      <w:pPr>
        <w:pStyle w:val="Ttulo7"/>
        <w:rPr>
          <w:u w:val="none"/>
        </w:rPr>
      </w:pPr>
      <w:bookmarkStart w:id="87" w:name="_Toc477170190"/>
      <w:r w:rsidRPr="00B35F13">
        <w:rPr>
          <w:u w:val="none"/>
        </w:rPr>
        <w:t>IX</w:t>
      </w:r>
      <w:r w:rsidR="00262B95" w:rsidRPr="00B35F13">
        <w:rPr>
          <w:u w:val="none"/>
        </w:rPr>
        <w:t>. CONCLUSIÓN</w:t>
      </w:r>
      <w:bookmarkEnd w:id="87"/>
    </w:p>
    <w:p w14:paraId="575F91A7" w14:textId="77777777" w:rsidR="00B35F13" w:rsidRDefault="00262B95" w:rsidP="00B35F13">
      <w:pPr>
        <w:spacing w:before="240" w:line="360" w:lineRule="auto"/>
        <w:jc w:val="both"/>
        <w:rPr>
          <w:rFonts w:ascii="ITC Avant Garde" w:hAnsi="ITC Avant Garde"/>
          <w:b/>
        </w:rPr>
      </w:pPr>
      <w:r w:rsidRPr="002A2450">
        <w:rPr>
          <w:rFonts w:ascii="ITC Avant Garde" w:hAnsi="ITC Avant Garde"/>
        </w:rPr>
        <w:t xml:space="preserve">Derivado del análisis del contenido obligacional de los contratos referidos, así como de los documentos o instrumentos que materializan las facultades y prerrogativas establecidas en dichos instrumentos, </w:t>
      </w:r>
      <w:r w:rsidR="00B04EDE" w:rsidRPr="002A2450">
        <w:rPr>
          <w:rFonts w:ascii="ITC Avant Garde" w:hAnsi="ITC Avant Garde"/>
        </w:rPr>
        <w:t>fue posible presumir</w:t>
      </w:r>
      <w:r w:rsidR="006B2FB1">
        <w:rPr>
          <w:rFonts w:ascii="ITC Avant Garde" w:hAnsi="ITC Avant Garde"/>
        </w:rPr>
        <w:t xml:space="preserve"> en el acuerdo de inicio</w:t>
      </w:r>
      <w:r w:rsidR="00B04EDE" w:rsidRPr="002A2450">
        <w:rPr>
          <w:rFonts w:ascii="ITC Avant Garde" w:hAnsi="ITC Avant Garde"/>
        </w:rPr>
        <w:t xml:space="preserve"> </w:t>
      </w:r>
      <w:r w:rsidRPr="002A2450">
        <w:rPr>
          <w:rFonts w:ascii="ITC Avant Garde" w:hAnsi="ITC Avant Garde"/>
        </w:rPr>
        <w:t xml:space="preserve">que la relación que existe entre </w:t>
      </w:r>
      <w:r w:rsidR="00BC4A4F" w:rsidRPr="002A2450">
        <w:rPr>
          <w:rFonts w:ascii="ITC Avant Garde" w:hAnsi="ITC Avant Garde"/>
          <w:b/>
        </w:rPr>
        <w:t>“TELMEX”</w:t>
      </w:r>
      <w:r w:rsidR="0009503C" w:rsidRPr="002A2450">
        <w:rPr>
          <w:rFonts w:ascii="ITC Avant Garde" w:hAnsi="ITC Avant Garde"/>
          <w:b/>
        </w:rPr>
        <w:t xml:space="preserve"> a través de “TENINVER”</w:t>
      </w:r>
      <w:r w:rsidR="00BC4A4F" w:rsidRPr="002A2450">
        <w:rPr>
          <w:rFonts w:ascii="ITC Avant Garde" w:hAnsi="ITC Avant Garde"/>
          <w:b/>
        </w:rPr>
        <w:t xml:space="preserve"> </w:t>
      </w:r>
      <w:r w:rsidRPr="002A2450">
        <w:rPr>
          <w:rFonts w:ascii="ITC Avant Garde" w:hAnsi="ITC Avant Garde"/>
        </w:rPr>
        <w:t xml:space="preserve">y las empresas </w:t>
      </w:r>
      <w:r w:rsidR="00BC4A4F" w:rsidRPr="002A2450">
        <w:rPr>
          <w:rFonts w:ascii="ITC Avant Garde" w:hAnsi="ITC Avant Garde"/>
          <w:b/>
        </w:rPr>
        <w:t>“COFRESA”</w:t>
      </w:r>
      <w:r w:rsidRPr="002A2450">
        <w:rPr>
          <w:rFonts w:ascii="ITC Avant Garde" w:hAnsi="ITC Avant Garde"/>
          <w:b/>
        </w:rPr>
        <w:t xml:space="preserve">, </w:t>
      </w:r>
      <w:r w:rsidR="00BC4A4F" w:rsidRPr="002A2450">
        <w:rPr>
          <w:rFonts w:ascii="ITC Avant Garde" w:hAnsi="ITC Avant Garde"/>
          <w:b/>
        </w:rPr>
        <w:t>“</w:t>
      </w:r>
      <w:r w:rsidRPr="002A2450">
        <w:rPr>
          <w:rFonts w:ascii="ITC Avant Garde" w:hAnsi="ITC Avant Garde"/>
          <w:b/>
        </w:rPr>
        <w:t>DISH MÉXICO</w:t>
      </w:r>
      <w:r w:rsidR="00BC4A4F"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y </w:t>
      </w:r>
      <w:r w:rsidR="00BC4A4F" w:rsidRPr="002A2450">
        <w:rPr>
          <w:rFonts w:ascii="ITC Avant Garde" w:hAnsi="ITC Avant Garde"/>
          <w:b/>
        </w:rPr>
        <w:t>“</w:t>
      </w:r>
      <w:r w:rsidRPr="002A2450">
        <w:rPr>
          <w:rFonts w:ascii="ITC Avant Garde" w:hAnsi="ITC Avant Garde"/>
          <w:b/>
        </w:rPr>
        <w:t>DISH HOLDINGS</w:t>
      </w:r>
      <w:r w:rsidR="00BC4A4F" w:rsidRPr="002A2450">
        <w:rPr>
          <w:rFonts w:ascii="ITC Avant Garde" w:hAnsi="ITC Avant Garde"/>
          <w:b/>
        </w:rPr>
        <w:t>”</w:t>
      </w:r>
      <w:r w:rsidRPr="002A2450">
        <w:rPr>
          <w:rFonts w:ascii="ITC Avant Garde" w:hAnsi="ITC Avant Garde"/>
        </w:rPr>
        <w:t>, va más allá de una simple relación comercial y en realidad entraña un vínculo jurídico que le permite a la primera tener injerencia directa en la operación de las segundas para explotar de manera indirecta un</w:t>
      </w:r>
      <w:r w:rsidR="006B2FB1">
        <w:rPr>
          <w:rFonts w:ascii="ITC Avant Garde" w:hAnsi="ITC Avant Garde"/>
        </w:rPr>
        <w:t>a concesión de</w:t>
      </w:r>
      <w:r w:rsidRPr="002A2450">
        <w:rPr>
          <w:rFonts w:ascii="ITC Avant Garde" w:hAnsi="ITC Avant Garde"/>
        </w:rPr>
        <w:t xml:space="preserve"> servicio</w:t>
      </w:r>
      <w:r w:rsidR="006B2FB1">
        <w:rPr>
          <w:rFonts w:ascii="ITC Avant Garde" w:hAnsi="ITC Avant Garde"/>
        </w:rPr>
        <w:t>s</w:t>
      </w:r>
      <w:r w:rsidRPr="002A2450">
        <w:rPr>
          <w:rFonts w:ascii="ITC Avant Garde" w:hAnsi="ITC Avant Garde"/>
        </w:rPr>
        <w:t xml:space="preserve"> de televisión </w:t>
      </w:r>
      <w:r w:rsidR="00D139E4" w:rsidRPr="002A2450">
        <w:rPr>
          <w:rFonts w:ascii="ITC Avant Garde" w:hAnsi="ITC Avant Garde"/>
        </w:rPr>
        <w:t xml:space="preserve">restringida </w:t>
      </w:r>
      <w:r w:rsidR="006B2FB1">
        <w:rPr>
          <w:rFonts w:ascii="ITC Avant Garde" w:hAnsi="ITC Avant Garde"/>
        </w:rPr>
        <w:t>al amparo d</w:t>
      </w:r>
      <w:r w:rsidRPr="002A2450">
        <w:rPr>
          <w:rFonts w:ascii="ITC Avant Garde" w:hAnsi="ITC Avant Garde"/>
        </w:rPr>
        <w:t xml:space="preserve">el título de concesión que le fue conferido a </w:t>
      </w:r>
      <w:r w:rsidR="00BC4A4F" w:rsidRPr="002A2450">
        <w:rPr>
          <w:rFonts w:ascii="ITC Avant Garde" w:hAnsi="ITC Avant Garde"/>
          <w:b/>
        </w:rPr>
        <w:t>“COFRESA”</w:t>
      </w:r>
      <w:r w:rsidRPr="002A2450">
        <w:rPr>
          <w:rFonts w:ascii="ITC Avant Garde" w:hAnsi="ITC Avant Garde"/>
          <w:b/>
        </w:rPr>
        <w:t>.</w:t>
      </w:r>
    </w:p>
    <w:p w14:paraId="70A28A17"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Lo anterior considerando que en</w:t>
      </w:r>
      <w:r w:rsidR="0009503C" w:rsidRPr="002A2450">
        <w:rPr>
          <w:rFonts w:ascii="ITC Avant Garde" w:hAnsi="ITC Avant Garde"/>
        </w:rPr>
        <w:t xml:space="preserve"> </w:t>
      </w:r>
      <w:r w:rsidR="00C60C2E" w:rsidRPr="002A2450">
        <w:rPr>
          <w:rFonts w:ascii="ITC Avant Garde" w:hAnsi="ITC Avant Garde"/>
        </w:rPr>
        <w:t xml:space="preserve">dichos instrumentos y concretamente en </w:t>
      </w:r>
      <w:r w:rsidR="0009503C" w:rsidRPr="002A2450">
        <w:rPr>
          <w:rFonts w:ascii="ITC Avant Garde" w:hAnsi="ITC Avant Garde"/>
        </w:rPr>
        <w:t xml:space="preserve">los contratos  de Opción de Compra y Venta y de Consecuencias </w:t>
      </w:r>
      <w:r w:rsidRPr="002A2450">
        <w:rPr>
          <w:rFonts w:ascii="ITC Avant Garde" w:hAnsi="ITC Avant Garde"/>
        </w:rPr>
        <w:t>existen mecanismos a través de los cuales</w:t>
      </w:r>
      <w:r w:rsidR="00C60C2E" w:rsidRPr="002A2450">
        <w:rPr>
          <w:rFonts w:ascii="ITC Avant Garde" w:hAnsi="ITC Avant Garde"/>
        </w:rPr>
        <w:t xml:space="preserve"> se </w:t>
      </w:r>
      <w:r w:rsidR="0009503C" w:rsidRPr="002A2450">
        <w:rPr>
          <w:rFonts w:ascii="ITC Avant Garde" w:hAnsi="ITC Avant Garde"/>
        </w:rPr>
        <w:t xml:space="preserve">otorgan derechos a </w:t>
      </w:r>
      <w:r w:rsidR="0009503C" w:rsidRPr="002A2450">
        <w:rPr>
          <w:rFonts w:ascii="ITC Avant Garde" w:hAnsi="ITC Avant Garde"/>
          <w:b/>
        </w:rPr>
        <w:t xml:space="preserve">“TENINVER” </w:t>
      </w:r>
      <w:r w:rsidR="0009503C" w:rsidRPr="002A2450">
        <w:rPr>
          <w:rFonts w:ascii="ITC Avant Garde" w:hAnsi="ITC Avant Garde"/>
        </w:rPr>
        <w:t>e indirectamente a su controladora</w:t>
      </w:r>
      <w:r w:rsidRPr="002A2450">
        <w:rPr>
          <w:rFonts w:ascii="ITC Avant Garde" w:hAnsi="ITC Avant Garde"/>
        </w:rPr>
        <w:t xml:space="preserve"> </w:t>
      </w:r>
      <w:r w:rsidR="00BC4A4F" w:rsidRPr="002A2450">
        <w:rPr>
          <w:rFonts w:ascii="ITC Avant Garde" w:hAnsi="ITC Avant Garde"/>
          <w:b/>
        </w:rPr>
        <w:t xml:space="preserve">“TELMEX” </w:t>
      </w:r>
      <w:r w:rsidR="0009503C" w:rsidRPr="002A2450">
        <w:rPr>
          <w:rFonts w:ascii="ITC Avant Garde" w:hAnsi="ITC Avant Garde"/>
        </w:rPr>
        <w:t>para</w:t>
      </w:r>
      <w:r w:rsidRPr="002A2450">
        <w:rPr>
          <w:rFonts w:ascii="ITC Avant Garde" w:hAnsi="ITC Avant Garde"/>
        </w:rPr>
        <w:t xml:space="preserve"> participar en la toma de decisiones respecto de la </w:t>
      </w:r>
      <w:r w:rsidR="0009503C" w:rsidRPr="002A2450">
        <w:rPr>
          <w:rFonts w:ascii="ITC Avant Garde" w:hAnsi="ITC Avant Garde"/>
        </w:rPr>
        <w:t xml:space="preserve">operación de </w:t>
      </w:r>
      <w:r w:rsidR="0009503C" w:rsidRPr="002A2450">
        <w:rPr>
          <w:rFonts w:ascii="ITC Avant Garde" w:hAnsi="ITC Avant Garde"/>
          <w:b/>
        </w:rPr>
        <w:t xml:space="preserve">“DISH MÉXICO” </w:t>
      </w:r>
      <w:r w:rsidR="0009503C" w:rsidRPr="002A2450">
        <w:rPr>
          <w:rFonts w:ascii="ITC Avant Garde" w:hAnsi="ITC Avant Garde"/>
        </w:rPr>
        <w:t>y sus subsidiarias, entre las que se encuentra</w:t>
      </w:r>
      <w:r w:rsidR="0009503C" w:rsidRPr="002A2450">
        <w:rPr>
          <w:rFonts w:ascii="ITC Avant Garde" w:hAnsi="ITC Avant Garde"/>
          <w:b/>
        </w:rPr>
        <w:t xml:space="preserve"> </w:t>
      </w:r>
      <w:r w:rsidRPr="002A2450">
        <w:rPr>
          <w:rFonts w:ascii="ITC Avant Garde" w:hAnsi="ITC Avant Garde"/>
        </w:rPr>
        <w:t xml:space="preserve"> </w:t>
      </w:r>
      <w:r w:rsidR="00BC4A4F" w:rsidRPr="002A2450">
        <w:rPr>
          <w:rFonts w:ascii="ITC Avant Garde" w:hAnsi="ITC Avant Garde"/>
          <w:b/>
        </w:rPr>
        <w:t xml:space="preserve">“COFRESA” </w:t>
      </w:r>
      <w:r w:rsidR="0009503C" w:rsidRPr="002A2450">
        <w:rPr>
          <w:rFonts w:ascii="ITC Avant Garde" w:hAnsi="ITC Avant Garde"/>
        </w:rPr>
        <w:t xml:space="preserve">que es concesionaria del servicio de televisión </w:t>
      </w:r>
      <w:r w:rsidR="009F2B3F" w:rsidRPr="002A2450">
        <w:rPr>
          <w:rFonts w:ascii="ITC Avant Garde" w:hAnsi="ITC Avant Garde"/>
        </w:rPr>
        <w:t>restringida satelital</w:t>
      </w:r>
      <w:r w:rsidR="009F2B3F" w:rsidRPr="002A2450">
        <w:rPr>
          <w:rFonts w:ascii="ITC Avant Garde" w:hAnsi="ITC Avant Garde"/>
          <w:b/>
        </w:rPr>
        <w:t xml:space="preserve"> </w:t>
      </w:r>
      <w:r w:rsidRPr="002A2450">
        <w:rPr>
          <w:rFonts w:ascii="ITC Avant Garde" w:hAnsi="ITC Avant Garde"/>
        </w:rPr>
        <w:t>y</w:t>
      </w:r>
      <w:r w:rsidR="009F2B3F" w:rsidRPr="002A2450">
        <w:rPr>
          <w:rFonts w:ascii="ITC Avant Garde" w:hAnsi="ITC Avant Garde"/>
        </w:rPr>
        <w:t>,</w:t>
      </w:r>
      <w:r w:rsidRPr="002A2450">
        <w:rPr>
          <w:rFonts w:ascii="ITC Avant Garde" w:hAnsi="ITC Avant Garde"/>
          <w:b/>
        </w:rPr>
        <w:t xml:space="preserve"> </w:t>
      </w:r>
      <w:r w:rsidRPr="002A2450">
        <w:rPr>
          <w:rFonts w:ascii="ITC Avant Garde" w:hAnsi="ITC Avant Garde"/>
        </w:rPr>
        <w:t>en consecuencia</w:t>
      </w:r>
      <w:r w:rsidR="009F2B3F" w:rsidRPr="002A2450">
        <w:rPr>
          <w:rFonts w:ascii="ITC Avant Garde" w:hAnsi="ITC Avant Garde"/>
        </w:rPr>
        <w:t>, durante la vigencia de esos dos contratos,</w:t>
      </w:r>
      <w:r w:rsidRPr="002A2450">
        <w:rPr>
          <w:rFonts w:ascii="ITC Avant Garde" w:hAnsi="ITC Avant Garde"/>
        </w:rPr>
        <w:t xml:space="preserve"> influy</w:t>
      </w:r>
      <w:r w:rsidR="00C60C2E" w:rsidRPr="002A2450">
        <w:rPr>
          <w:rFonts w:ascii="ITC Avant Garde" w:hAnsi="ITC Avant Garde"/>
        </w:rPr>
        <w:t>ó</w:t>
      </w:r>
      <w:r w:rsidRPr="002A2450">
        <w:rPr>
          <w:rFonts w:ascii="ITC Avant Garde" w:hAnsi="ITC Avant Garde"/>
        </w:rPr>
        <w:t xml:space="preserve"> en el ejercicio de los derechos derivados de la concesión</w:t>
      </w:r>
      <w:r w:rsidR="009F2B3F" w:rsidRPr="002A2450">
        <w:rPr>
          <w:rFonts w:ascii="ITC Avant Garde" w:hAnsi="ITC Avant Garde"/>
        </w:rPr>
        <w:t xml:space="preserve"> y </w:t>
      </w:r>
      <w:r w:rsidR="00C60C2E" w:rsidRPr="002A2450">
        <w:rPr>
          <w:rFonts w:ascii="ITC Avant Garde" w:hAnsi="ITC Avant Garde"/>
        </w:rPr>
        <w:t xml:space="preserve">ejerció </w:t>
      </w:r>
      <w:r w:rsidRPr="002A2450">
        <w:rPr>
          <w:rFonts w:ascii="ITC Avant Garde" w:hAnsi="ITC Avant Garde"/>
        </w:rPr>
        <w:t>un control negativo sobre determinadas decisiones relevantes</w:t>
      </w:r>
      <w:r w:rsidR="009F2B3F" w:rsidRPr="002A2450">
        <w:rPr>
          <w:rFonts w:ascii="ITC Avant Garde" w:hAnsi="ITC Avant Garde"/>
        </w:rPr>
        <w:t xml:space="preserve"> que trascendieron a la operación del servicio concesionado. </w:t>
      </w:r>
    </w:p>
    <w:p w14:paraId="45E9EABC" w14:textId="77777777" w:rsidR="00B35F13" w:rsidRDefault="009F2B3F" w:rsidP="00B35F13">
      <w:pPr>
        <w:spacing w:before="240" w:line="360" w:lineRule="auto"/>
        <w:jc w:val="both"/>
        <w:rPr>
          <w:rFonts w:ascii="ITC Avant Garde" w:hAnsi="ITC Avant Garde"/>
          <w:b/>
        </w:rPr>
      </w:pPr>
      <w:r w:rsidRPr="002A2450">
        <w:rPr>
          <w:rFonts w:ascii="ITC Avant Garde" w:hAnsi="ITC Avant Garde"/>
        </w:rPr>
        <w:t xml:space="preserve">Los contratos referidos también otorgaron a </w:t>
      </w:r>
      <w:r w:rsidRPr="002A2450">
        <w:rPr>
          <w:rFonts w:ascii="ITC Avant Garde" w:hAnsi="ITC Avant Garde"/>
          <w:b/>
        </w:rPr>
        <w:t xml:space="preserve">“TELMEX” </w:t>
      </w:r>
      <w:r w:rsidRPr="002A2450">
        <w:rPr>
          <w:rFonts w:ascii="ITC Avant Garde" w:hAnsi="ITC Avant Garde"/>
        </w:rPr>
        <w:t>a través de</w:t>
      </w:r>
      <w:r w:rsidRPr="002A2450">
        <w:rPr>
          <w:rFonts w:ascii="ITC Avant Garde" w:hAnsi="ITC Avant Garde"/>
          <w:b/>
        </w:rPr>
        <w:t xml:space="preserve"> "TENINVER" </w:t>
      </w:r>
      <w:r w:rsidR="00262B95" w:rsidRPr="002A2450">
        <w:rPr>
          <w:rFonts w:ascii="ITC Avant Garde" w:hAnsi="ITC Avant Garde"/>
        </w:rPr>
        <w:t xml:space="preserve"> </w:t>
      </w:r>
      <w:r w:rsidR="00C60C2E" w:rsidRPr="002A2450">
        <w:rPr>
          <w:rFonts w:ascii="ITC Avant Garde" w:hAnsi="ITC Avant Garde"/>
        </w:rPr>
        <w:t xml:space="preserve">el derecho a </w:t>
      </w:r>
      <w:r w:rsidR="00C01E5B" w:rsidRPr="002A2450">
        <w:rPr>
          <w:rFonts w:ascii="ITC Avant Garde" w:hAnsi="ITC Avant Garde"/>
        </w:rPr>
        <w:t xml:space="preserve">tomar decisiones en la operación del servicio </w:t>
      </w:r>
      <w:r w:rsidR="00C01E5B" w:rsidRPr="002A2450">
        <w:rPr>
          <w:rFonts w:ascii="ITC Avant Garde" w:hAnsi="ITC Avant Garde"/>
          <w:b/>
        </w:rPr>
        <w:t xml:space="preserve">“DTH” </w:t>
      </w:r>
      <w:r w:rsidR="00C01E5B" w:rsidRPr="002A2450">
        <w:rPr>
          <w:rFonts w:ascii="ITC Avant Garde" w:hAnsi="ITC Avant Garde"/>
        </w:rPr>
        <w:t>que presta</w:t>
      </w:r>
      <w:r w:rsidR="00C01E5B" w:rsidRPr="002A2450">
        <w:rPr>
          <w:rFonts w:ascii="ITC Avant Garde" w:hAnsi="ITC Avant Garde"/>
          <w:b/>
        </w:rPr>
        <w:t xml:space="preserve"> “COFRESA”</w:t>
      </w:r>
      <w:r w:rsidR="00C01E5B" w:rsidRPr="002A2450">
        <w:rPr>
          <w:rFonts w:ascii="ITC Avant Garde" w:hAnsi="ITC Avant Garde"/>
        </w:rPr>
        <w:t xml:space="preserve"> y la posibilidad de </w:t>
      </w:r>
      <w:r w:rsidR="00262B95" w:rsidRPr="002A2450">
        <w:rPr>
          <w:rFonts w:ascii="ITC Avant Garde" w:hAnsi="ITC Avant Garde"/>
        </w:rPr>
        <w:t>obtener dividendos</w:t>
      </w:r>
      <w:r w:rsidRPr="002A2450">
        <w:rPr>
          <w:rFonts w:ascii="ITC Avant Garde" w:hAnsi="ITC Avant Garde"/>
        </w:rPr>
        <w:t xml:space="preserve"> y </w:t>
      </w:r>
      <w:r w:rsidR="00262B95" w:rsidRPr="002A2450">
        <w:rPr>
          <w:rFonts w:ascii="ITC Avant Garde" w:hAnsi="ITC Avant Garde"/>
        </w:rPr>
        <w:t>acciones</w:t>
      </w:r>
      <w:r w:rsidRPr="002A2450">
        <w:rPr>
          <w:rFonts w:ascii="ITC Avant Garde" w:hAnsi="ITC Avant Garde"/>
        </w:rPr>
        <w:t xml:space="preserve"> sobre el capital social </w:t>
      </w:r>
      <w:r w:rsidRPr="002A2450">
        <w:rPr>
          <w:rFonts w:ascii="ITC Avant Garde" w:hAnsi="ITC Avant Garde"/>
        </w:rPr>
        <w:lastRenderedPageBreak/>
        <w:t xml:space="preserve">de </w:t>
      </w:r>
      <w:r w:rsidR="00C01E5B" w:rsidRPr="002A2450">
        <w:rPr>
          <w:rFonts w:ascii="ITC Avant Garde" w:hAnsi="ITC Avant Garde"/>
          <w:b/>
        </w:rPr>
        <w:t>“</w:t>
      </w:r>
      <w:r w:rsidRPr="002A2450">
        <w:rPr>
          <w:rFonts w:ascii="ITC Avant Garde" w:hAnsi="ITC Avant Garde"/>
          <w:b/>
        </w:rPr>
        <w:t>DISH MÉXICO</w:t>
      </w:r>
      <w:r w:rsidR="00C01E5B" w:rsidRPr="002A2450">
        <w:rPr>
          <w:rFonts w:ascii="ITC Avant Garde" w:hAnsi="ITC Avant Garde"/>
          <w:b/>
        </w:rPr>
        <w:t xml:space="preserve">” </w:t>
      </w:r>
      <w:r w:rsidR="00C01E5B" w:rsidRPr="002A2450">
        <w:rPr>
          <w:rFonts w:ascii="ITC Avant Garde" w:hAnsi="ITC Avant Garde"/>
        </w:rPr>
        <w:t>siempre y cuando se ejerciera el derecho de opción</w:t>
      </w:r>
      <w:r w:rsidR="00262B95" w:rsidRPr="002A2450">
        <w:rPr>
          <w:rFonts w:ascii="ITC Avant Garde" w:hAnsi="ITC Avant Garde"/>
        </w:rPr>
        <w:t xml:space="preserve">, </w:t>
      </w:r>
      <w:r w:rsidRPr="002A2450">
        <w:rPr>
          <w:rFonts w:ascii="ITC Avant Garde" w:hAnsi="ITC Avant Garde"/>
        </w:rPr>
        <w:t>sin embargo, se acredit</w:t>
      </w:r>
      <w:r w:rsidR="00C01E5B" w:rsidRPr="002A2450">
        <w:rPr>
          <w:rFonts w:ascii="ITC Avant Garde" w:hAnsi="ITC Avant Garde"/>
        </w:rPr>
        <w:t>ó</w:t>
      </w:r>
      <w:r w:rsidRPr="002A2450">
        <w:rPr>
          <w:rFonts w:ascii="ITC Avant Garde" w:hAnsi="ITC Avant Garde"/>
        </w:rPr>
        <w:t xml:space="preserve"> que a la fecha de celebración del Convenio de Terminación, el </w:t>
      </w:r>
      <w:r w:rsidR="00C01E5B" w:rsidRPr="002A2450">
        <w:rPr>
          <w:rFonts w:ascii="ITC Avant Garde" w:hAnsi="ITC Avant Garde"/>
        </w:rPr>
        <w:t>ocho</w:t>
      </w:r>
      <w:r w:rsidRPr="002A2450">
        <w:rPr>
          <w:rFonts w:ascii="ITC Avant Garde" w:hAnsi="ITC Avant Garde"/>
        </w:rPr>
        <w:t xml:space="preserve"> de agosto de</w:t>
      </w:r>
      <w:r w:rsidR="00C01E5B" w:rsidRPr="002A2450">
        <w:rPr>
          <w:rFonts w:ascii="ITC Avant Garde" w:hAnsi="ITC Avant Garde"/>
        </w:rPr>
        <w:t xml:space="preserve"> dos mil catorce</w:t>
      </w:r>
      <w:r w:rsidRPr="002A2450">
        <w:rPr>
          <w:rFonts w:ascii="ITC Avant Garde" w:hAnsi="ITC Avant Garde"/>
        </w:rPr>
        <w:t>, el Contrato de opción de compra y venta así como el Contrato de Consecuencias quedaron sin efectos</w:t>
      </w:r>
      <w:r w:rsidR="00262B95" w:rsidRPr="002A2450">
        <w:rPr>
          <w:rFonts w:ascii="ITC Avant Garde" w:hAnsi="ITC Avant Garde"/>
          <w:b/>
        </w:rPr>
        <w:t>.</w:t>
      </w:r>
      <w:r w:rsidR="00EE0936" w:rsidRPr="002A2450">
        <w:rPr>
          <w:rFonts w:ascii="ITC Avant Garde" w:hAnsi="ITC Avant Garde"/>
          <w:b/>
        </w:rPr>
        <w:t xml:space="preserve"> </w:t>
      </w:r>
    </w:p>
    <w:p w14:paraId="3BAF9F3E" w14:textId="77777777" w:rsidR="00B35F13" w:rsidRDefault="00CE2420" w:rsidP="00B35F13">
      <w:pPr>
        <w:spacing w:before="240" w:line="360" w:lineRule="auto"/>
        <w:jc w:val="both"/>
        <w:rPr>
          <w:rFonts w:ascii="ITC Avant Garde" w:hAnsi="ITC Avant Garde"/>
          <w:b/>
        </w:rPr>
      </w:pPr>
      <w:r w:rsidRPr="002A2450">
        <w:rPr>
          <w:rFonts w:ascii="ITC Avant Garde" w:hAnsi="ITC Avant Garde"/>
        </w:rPr>
        <w:t>Si bien tras la</w:t>
      </w:r>
      <w:r w:rsidRPr="002A2450">
        <w:rPr>
          <w:rFonts w:ascii="ITC Avant Garde" w:hAnsi="ITC Avant Garde"/>
          <w:b/>
        </w:rPr>
        <w:t xml:space="preserve"> </w:t>
      </w:r>
      <w:r w:rsidRPr="002A2450">
        <w:rPr>
          <w:rFonts w:ascii="ITC Avant Garde" w:hAnsi="ITC Avant Garde"/>
        </w:rPr>
        <w:t xml:space="preserve">celebración del Convenio de Terminación, el ocho de agosto de  dos mil catorce, continúan en pleno vigor y surtiendo efectos el Contrato de Servicios, el Contrato de Distribución y el Contrato de Arrendamiento, los </w:t>
      </w:r>
      <w:r w:rsidR="006B2FB1">
        <w:rPr>
          <w:rFonts w:ascii="ITC Avant Garde" w:hAnsi="ITC Avant Garde"/>
        </w:rPr>
        <w:t>mismos solo</w:t>
      </w:r>
      <w:r w:rsidRPr="002A2450">
        <w:rPr>
          <w:rFonts w:ascii="ITC Avant Garde" w:hAnsi="ITC Avant Garde"/>
        </w:rPr>
        <w:t xml:space="preserve"> establecen una relación comercial. Por lo anterior, los pagos que </w:t>
      </w:r>
      <w:r w:rsidRPr="002A2450">
        <w:rPr>
          <w:rFonts w:ascii="ITC Avant Garde" w:hAnsi="ITC Avant Garde"/>
          <w:b/>
        </w:rPr>
        <w:t xml:space="preserve">“TELMEX" </w:t>
      </w:r>
      <w:r w:rsidRPr="002A2450">
        <w:rPr>
          <w:rFonts w:ascii="ITC Avant Garde" w:hAnsi="ITC Avant Garde"/>
        </w:rPr>
        <w:t>y</w:t>
      </w:r>
      <w:r w:rsidRPr="002A2450">
        <w:rPr>
          <w:rFonts w:ascii="ITC Avant Garde" w:hAnsi="ITC Avant Garde"/>
          <w:b/>
        </w:rPr>
        <w:t xml:space="preserve"> “TENINVER” </w:t>
      </w:r>
      <w:r w:rsidRPr="002A2450">
        <w:rPr>
          <w:rFonts w:ascii="ITC Avant Garde" w:hAnsi="ITC Avant Garde"/>
        </w:rPr>
        <w:t xml:space="preserve">reciban por virtud de estos contratos corresponde a la contraprestación por servicios prestados y, en estos casos, esos pagos son similares al que podría encontrarse de cualquier proveedor de bienes y servicios </w:t>
      </w:r>
      <w:r w:rsidR="00B04EDE" w:rsidRPr="002A2450">
        <w:rPr>
          <w:rFonts w:ascii="ITC Avant Garde" w:hAnsi="ITC Avant Garde"/>
        </w:rPr>
        <w:t xml:space="preserve">que prestara los mismos </w:t>
      </w:r>
      <w:r w:rsidRPr="002A2450">
        <w:rPr>
          <w:rFonts w:ascii="ITC Avant Garde" w:hAnsi="ITC Avant Garde"/>
        </w:rPr>
        <w:t xml:space="preserve">a </w:t>
      </w:r>
      <w:r w:rsidRPr="002A2450">
        <w:rPr>
          <w:rFonts w:ascii="ITC Avant Garde" w:hAnsi="ITC Avant Garde"/>
          <w:b/>
        </w:rPr>
        <w:t>“DISH MÉXICO”</w:t>
      </w:r>
      <w:r w:rsidR="00B04EDE" w:rsidRPr="002A2450">
        <w:rPr>
          <w:rFonts w:ascii="ITC Avant Garde" w:hAnsi="ITC Avant Garde"/>
          <w:b/>
        </w:rPr>
        <w:t>,</w:t>
      </w:r>
      <w:r w:rsidRPr="002A2450">
        <w:rPr>
          <w:rFonts w:ascii="ITC Avant Garde" w:hAnsi="ITC Avant Garde"/>
        </w:rPr>
        <w:t xml:space="preserve"> los cuales  no constituyen </w:t>
      </w:r>
      <w:r w:rsidR="006B2FB1">
        <w:rPr>
          <w:rFonts w:ascii="ITC Avant Garde" w:hAnsi="ITC Avant Garde"/>
        </w:rPr>
        <w:t>un</w:t>
      </w:r>
      <w:r w:rsidR="00F604BE">
        <w:rPr>
          <w:rFonts w:ascii="ITC Avant Garde" w:hAnsi="ITC Avant Garde"/>
        </w:rPr>
        <w:t>a influencia</w:t>
      </w:r>
      <w:r w:rsidR="006B2FB1">
        <w:rPr>
          <w:rFonts w:ascii="ITC Avant Garde" w:hAnsi="ITC Avant Garde"/>
        </w:rPr>
        <w:t xml:space="preserve"> en</w:t>
      </w:r>
      <w:r w:rsidRPr="002A2450">
        <w:rPr>
          <w:rFonts w:ascii="ITC Avant Garde" w:hAnsi="ITC Avant Garde"/>
        </w:rPr>
        <w:t xml:space="preserve"> la participación o intervención de las actividades concesionadas a </w:t>
      </w:r>
      <w:r w:rsidRPr="002A2450">
        <w:rPr>
          <w:rFonts w:ascii="ITC Avant Garde" w:hAnsi="ITC Avant Garde"/>
          <w:b/>
        </w:rPr>
        <w:t xml:space="preserve">“COFRESA” </w:t>
      </w:r>
      <w:r w:rsidRPr="002A2450">
        <w:rPr>
          <w:rFonts w:ascii="ITC Avant Garde" w:hAnsi="ITC Avant Garde"/>
        </w:rPr>
        <w:t>toda vez que de acuerdo a lo analizado por la extinta Comisión Federal de Competencia en el expediente CNT-116-2008</w:t>
      </w:r>
      <w:r w:rsidRPr="002A2450">
        <w:rPr>
          <w:rStyle w:val="Refdenotaalpie"/>
          <w:rFonts w:ascii="ITC Avant Garde" w:hAnsi="ITC Avant Garde"/>
        </w:rPr>
        <w:footnoteReference w:id="19"/>
      </w:r>
      <w:r w:rsidRPr="002A2450">
        <w:rPr>
          <w:rFonts w:ascii="ITC Avant Garde" w:hAnsi="ITC Avant Garde"/>
        </w:rPr>
        <w:t xml:space="preserve"> </w:t>
      </w:r>
      <w:r w:rsidR="00C76295" w:rsidRPr="002A2450">
        <w:rPr>
          <w:rFonts w:ascii="ITC Avant Garde" w:hAnsi="ITC Avant Garde"/>
        </w:rPr>
        <w:t xml:space="preserve">dichos contratos no permiten tener influencia sobre el servicio de </w:t>
      </w:r>
      <w:r w:rsidR="00C76295" w:rsidRPr="002A2450">
        <w:rPr>
          <w:rFonts w:ascii="ITC Avant Garde" w:hAnsi="ITC Avant Garde"/>
          <w:b/>
        </w:rPr>
        <w:t>“DTH”</w:t>
      </w:r>
      <w:r w:rsidRPr="002A2450">
        <w:rPr>
          <w:rFonts w:ascii="ITC Avant Garde" w:hAnsi="ITC Avant Garde"/>
        </w:rPr>
        <w:t xml:space="preserve">. Por ello, la vigencia del Contrato de Servicios, el Contrato de Distribución y el Contrato de Arrendamiento analizados de manera aislada, no constituyen una posible violación a la condición 1-9 del </w:t>
      </w:r>
      <w:r w:rsidRPr="002A2450">
        <w:rPr>
          <w:rFonts w:ascii="ITC Avant Garde" w:hAnsi="ITC Avant Garde"/>
          <w:b/>
        </w:rPr>
        <w:t xml:space="preserve">“TÍTULO DE CONCESIÓN”. </w:t>
      </w:r>
    </w:p>
    <w:p w14:paraId="5FF02189" w14:textId="77777777" w:rsidR="00B35F13" w:rsidRDefault="00262B95" w:rsidP="00B35F13">
      <w:pPr>
        <w:spacing w:before="240" w:line="360" w:lineRule="auto"/>
        <w:jc w:val="both"/>
        <w:rPr>
          <w:rFonts w:ascii="ITC Avant Garde" w:eastAsia="Times New Roman" w:hAnsi="ITC Avant Garde"/>
          <w:b/>
          <w:bCs/>
          <w:color w:val="000000"/>
          <w:lang w:eastAsia="es-MX"/>
        </w:rPr>
      </w:pPr>
      <w:r w:rsidRPr="002A2450">
        <w:rPr>
          <w:rFonts w:ascii="ITC Avant Garde" w:eastAsia="Times New Roman" w:hAnsi="ITC Avant Garde"/>
          <w:bCs/>
          <w:color w:val="000000"/>
          <w:lang w:eastAsia="es-MX"/>
        </w:rPr>
        <w:t xml:space="preserve">Asimismo, </w:t>
      </w:r>
      <w:r w:rsidR="0028130C" w:rsidRPr="002A2450">
        <w:rPr>
          <w:rFonts w:ascii="ITC Avant Garde" w:eastAsia="Times New Roman" w:hAnsi="ITC Avant Garde"/>
          <w:bCs/>
          <w:color w:val="000000"/>
          <w:lang w:eastAsia="es-MX"/>
        </w:rPr>
        <w:t xml:space="preserve">se consideró </w:t>
      </w:r>
      <w:r w:rsidRPr="002A2450">
        <w:rPr>
          <w:rFonts w:ascii="ITC Avant Garde" w:eastAsia="Times New Roman" w:hAnsi="ITC Avant Garde"/>
          <w:bCs/>
          <w:color w:val="000000"/>
          <w:lang w:eastAsia="es-MX"/>
        </w:rPr>
        <w:t>que los contratos de distribución, prestación de servicios</w:t>
      </w:r>
      <w:r w:rsidR="00F604BE">
        <w:rPr>
          <w:rFonts w:ascii="ITC Avant Garde" w:eastAsia="Times New Roman" w:hAnsi="ITC Avant Garde"/>
          <w:bCs/>
          <w:color w:val="000000"/>
          <w:lang w:eastAsia="es-MX"/>
        </w:rPr>
        <w:t xml:space="preserve"> y</w:t>
      </w:r>
      <w:r w:rsidRPr="002A2450">
        <w:rPr>
          <w:rFonts w:ascii="ITC Avant Garde" w:eastAsia="Times New Roman" w:hAnsi="ITC Avant Garde"/>
          <w:bCs/>
          <w:color w:val="000000"/>
          <w:lang w:eastAsia="es-MX"/>
        </w:rPr>
        <w:t xml:space="preserve"> arrendamiento, </w:t>
      </w:r>
      <w:r w:rsidR="00F604BE">
        <w:rPr>
          <w:rFonts w:ascii="ITC Avant Garde" w:eastAsia="Times New Roman" w:hAnsi="ITC Avant Garde"/>
          <w:bCs/>
          <w:color w:val="000000"/>
          <w:lang w:eastAsia="es-MX"/>
        </w:rPr>
        <w:t xml:space="preserve"> no constituyen</w:t>
      </w:r>
      <w:r w:rsidRPr="002A2450">
        <w:rPr>
          <w:rFonts w:ascii="ITC Avant Garde" w:eastAsia="Times New Roman" w:hAnsi="ITC Avant Garde"/>
          <w:bCs/>
          <w:color w:val="000000"/>
          <w:lang w:eastAsia="es-MX"/>
        </w:rPr>
        <w:t xml:space="preserve"> mecanismos con los que </w:t>
      </w:r>
      <w:r w:rsidR="00BC4A4F" w:rsidRPr="002A2450">
        <w:rPr>
          <w:rFonts w:ascii="ITC Avant Garde" w:hAnsi="ITC Avant Garde"/>
          <w:b/>
        </w:rPr>
        <w:t xml:space="preserve">“TELMEX” </w:t>
      </w:r>
      <w:r w:rsidRPr="002A2450">
        <w:rPr>
          <w:rFonts w:ascii="ITC Avant Garde" w:eastAsia="Times New Roman" w:hAnsi="ITC Avant Garde"/>
          <w:bCs/>
          <w:color w:val="000000"/>
          <w:lang w:eastAsia="es-MX"/>
        </w:rPr>
        <w:t>cuenta para</w:t>
      </w:r>
      <w:r w:rsidR="000F3A3E" w:rsidRPr="002A2450">
        <w:rPr>
          <w:rFonts w:ascii="ITC Avant Garde" w:eastAsia="Times New Roman" w:hAnsi="ITC Avant Garde"/>
          <w:bCs/>
          <w:color w:val="000000"/>
          <w:lang w:eastAsia="es-MX"/>
        </w:rPr>
        <w:t xml:space="preserve"> </w:t>
      </w:r>
      <w:r w:rsidR="00C60C2E" w:rsidRPr="002A2450">
        <w:rPr>
          <w:rFonts w:ascii="ITC Avant Garde" w:eastAsia="Times New Roman" w:hAnsi="ITC Avant Garde"/>
          <w:bCs/>
          <w:color w:val="000000"/>
          <w:lang w:eastAsia="es-MX"/>
        </w:rPr>
        <w:t>incidir</w:t>
      </w:r>
      <w:r w:rsidR="00D139E4"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de manera indirecta </w:t>
      </w:r>
      <w:r w:rsidR="00D139E4" w:rsidRPr="002A2450">
        <w:rPr>
          <w:rFonts w:ascii="ITC Avant Garde" w:eastAsia="Times New Roman" w:hAnsi="ITC Avant Garde"/>
          <w:bCs/>
          <w:color w:val="000000"/>
          <w:lang w:eastAsia="es-MX"/>
        </w:rPr>
        <w:t xml:space="preserve">en la conducción del negocio </w:t>
      </w:r>
      <w:r w:rsidR="00C60C2E" w:rsidRPr="002A2450">
        <w:rPr>
          <w:rFonts w:ascii="ITC Avant Garde" w:eastAsia="Times New Roman" w:hAnsi="ITC Avant Garde"/>
          <w:bCs/>
          <w:color w:val="000000"/>
          <w:lang w:eastAsia="es-MX"/>
        </w:rPr>
        <w:t>de</w:t>
      </w:r>
      <w:r w:rsidRPr="002A2450">
        <w:rPr>
          <w:rFonts w:ascii="ITC Avant Garde" w:eastAsia="Times New Roman" w:hAnsi="ITC Avant Garde"/>
          <w:bCs/>
          <w:color w:val="000000"/>
          <w:lang w:eastAsia="es-MX"/>
        </w:rPr>
        <w:t xml:space="preserve"> </w:t>
      </w:r>
      <w:r w:rsidR="00BC4A4F" w:rsidRPr="002A2450">
        <w:rPr>
          <w:rFonts w:ascii="ITC Avant Garde" w:hAnsi="ITC Avant Garde"/>
          <w:b/>
        </w:rPr>
        <w:t>“COFRESA”</w:t>
      </w:r>
      <w:r w:rsidR="004E0FC3"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w:t>
      </w:r>
    </w:p>
    <w:p w14:paraId="286E575E" w14:textId="77777777" w:rsidR="00B35F13" w:rsidRDefault="00262B95" w:rsidP="00B35F13">
      <w:pPr>
        <w:spacing w:before="240" w:line="360" w:lineRule="auto"/>
        <w:jc w:val="both"/>
        <w:rPr>
          <w:rFonts w:ascii="ITC Avant Garde" w:hAnsi="ITC Avant Garde"/>
        </w:rPr>
      </w:pPr>
      <w:r w:rsidRPr="002A2450">
        <w:rPr>
          <w:rFonts w:ascii="ITC Avant Garde" w:hAnsi="ITC Avant Garde"/>
        </w:rPr>
        <w:t>Todos estos elementos adminiculados entre sí permit</w:t>
      </w:r>
      <w:r w:rsidR="0028130C" w:rsidRPr="002A2450">
        <w:rPr>
          <w:rFonts w:ascii="ITC Avant Garde" w:hAnsi="ITC Avant Garde"/>
        </w:rPr>
        <w:t>ieron</w:t>
      </w:r>
      <w:r w:rsidRPr="002A2450">
        <w:rPr>
          <w:rFonts w:ascii="ITC Avant Garde" w:hAnsi="ITC Avant Garde"/>
        </w:rPr>
        <w:t xml:space="preserve"> concluir </w:t>
      </w:r>
      <w:r w:rsidR="0028130C" w:rsidRPr="002A2450">
        <w:rPr>
          <w:rFonts w:ascii="ITC Avant Garde" w:hAnsi="ITC Avant Garde"/>
        </w:rPr>
        <w:t xml:space="preserve">presuntivamente </w:t>
      </w:r>
      <w:r w:rsidRPr="002A2450">
        <w:rPr>
          <w:rFonts w:ascii="ITC Avant Garde" w:hAnsi="ITC Avant Garde"/>
        </w:rPr>
        <w:t>que con dicha conducta</w:t>
      </w:r>
      <w:r w:rsidRPr="002A2450">
        <w:rPr>
          <w:rFonts w:ascii="ITC Avant Garde" w:hAnsi="ITC Avant Garde"/>
          <w:b/>
        </w:rPr>
        <w:t xml:space="preserve"> </w:t>
      </w:r>
      <w:r w:rsidR="00BC4A4F" w:rsidRPr="002A2450">
        <w:rPr>
          <w:rFonts w:ascii="ITC Avant Garde" w:hAnsi="ITC Avant Garde"/>
          <w:b/>
        </w:rPr>
        <w:t xml:space="preserve">“TELMEX” </w:t>
      </w:r>
      <w:r w:rsidR="00113DA2" w:rsidRPr="002A2450">
        <w:rPr>
          <w:rFonts w:ascii="ITC Avant Garde" w:hAnsi="ITC Avant Garde"/>
          <w:b/>
        </w:rPr>
        <w:t xml:space="preserve">a través de "TENINVER" </w:t>
      </w:r>
      <w:r w:rsidRPr="002A2450">
        <w:rPr>
          <w:rFonts w:ascii="ITC Avant Garde" w:hAnsi="ITC Avant Garde"/>
        </w:rPr>
        <w:t>se enc</w:t>
      </w:r>
      <w:r w:rsidR="004B3FD2" w:rsidRPr="002A2450">
        <w:rPr>
          <w:rFonts w:ascii="ITC Avant Garde" w:hAnsi="ITC Avant Garde"/>
        </w:rPr>
        <w:t>ontraba</w:t>
      </w:r>
      <w:r w:rsidRPr="002A2450">
        <w:rPr>
          <w:rFonts w:ascii="ITC Avant Garde" w:hAnsi="ITC Avant Garde"/>
        </w:rPr>
        <w:t xml:space="preserve"> </w:t>
      </w:r>
      <w:r w:rsidR="008F718E" w:rsidRPr="009E34A4">
        <w:rPr>
          <w:rFonts w:ascii="ITC Avant Garde" w:hAnsi="ITC Avant Garde"/>
        </w:rPr>
        <w:t>explotando indirectamente</w:t>
      </w:r>
      <w:r w:rsidRPr="002A2450">
        <w:rPr>
          <w:rFonts w:ascii="ITC Avant Garde" w:hAnsi="ITC Avant Garde"/>
        </w:rPr>
        <w:t xml:space="preserve"> una concesión de servicios de televisión restringida en </w:t>
      </w:r>
      <w:r w:rsidRPr="002A2450">
        <w:rPr>
          <w:rFonts w:ascii="ITC Avant Garde" w:hAnsi="ITC Avant Garde"/>
        </w:rPr>
        <w:lastRenderedPageBreak/>
        <w:t xml:space="preserve">el país, lo cual está prohibido en términos del </w:t>
      </w:r>
      <w:r w:rsidR="00841FB0" w:rsidRPr="009E34A4">
        <w:rPr>
          <w:rFonts w:ascii="ITC Avant Garde" w:hAnsi="ITC Avant Garde"/>
          <w:b/>
        </w:rPr>
        <w:t>Tercer Párrafo</w:t>
      </w:r>
      <w:r w:rsidRPr="002A2450">
        <w:rPr>
          <w:rFonts w:ascii="ITC Avant Garde" w:hAnsi="ITC Avant Garde"/>
        </w:rPr>
        <w:t xml:space="preserve"> de la condición 1-9 de su </w:t>
      </w:r>
      <w:r w:rsidR="00764EBE" w:rsidRPr="002A2450">
        <w:rPr>
          <w:rFonts w:ascii="ITC Avant Garde" w:hAnsi="ITC Avant Garde"/>
          <w:b/>
        </w:rPr>
        <w:t>“</w:t>
      </w:r>
      <w:r w:rsidRPr="002A2450">
        <w:rPr>
          <w:rFonts w:ascii="ITC Avant Garde" w:hAnsi="ITC Avant Garde"/>
          <w:b/>
        </w:rPr>
        <w:t>TÍTULO DE CONCESIÓN</w:t>
      </w:r>
      <w:r w:rsidR="00764EBE" w:rsidRPr="002A2450">
        <w:rPr>
          <w:rFonts w:ascii="ITC Avant Garde" w:hAnsi="ITC Avant Garde"/>
          <w:b/>
        </w:rPr>
        <w:t>”</w:t>
      </w:r>
      <w:r w:rsidRPr="002A2450">
        <w:rPr>
          <w:rFonts w:ascii="ITC Avant Garde" w:hAnsi="ITC Avant Garde"/>
        </w:rPr>
        <w:t>.</w:t>
      </w:r>
    </w:p>
    <w:p w14:paraId="01B23E59" w14:textId="77777777" w:rsidR="00B35F13" w:rsidRDefault="00113DA2" w:rsidP="00B35F13">
      <w:pPr>
        <w:pStyle w:val="Ttulo6"/>
        <w:numPr>
          <w:ilvl w:val="0"/>
          <w:numId w:val="0"/>
        </w:numPr>
      </w:pPr>
      <w:bookmarkStart w:id="88" w:name="_Toc477170191"/>
      <w:r w:rsidRPr="002A2450">
        <w:t>NOTIFICACIÓN DE LA IMPUTACIÓN A “TELMEX”</w:t>
      </w:r>
      <w:bookmarkEnd w:id="88"/>
    </w:p>
    <w:p w14:paraId="7CD2CAD9" w14:textId="77777777" w:rsidR="00B35F13" w:rsidRDefault="0028130C" w:rsidP="00B35F13">
      <w:pPr>
        <w:spacing w:before="240" w:line="360" w:lineRule="auto"/>
        <w:jc w:val="both"/>
        <w:rPr>
          <w:rFonts w:ascii="ITC Avant Garde" w:eastAsia="Times New Roman" w:hAnsi="ITC Avant Garde"/>
          <w:b/>
          <w:bCs/>
          <w:color w:val="000000"/>
          <w:lang w:eastAsia="es-MX"/>
        </w:rPr>
      </w:pPr>
      <w:r w:rsidRPr="002A2450">
        <w:rPr>
          <w:rFonts w:ascii="ITC Avant Garde" w:hAnsi="ITC Avant Garde"/>
        </w:rPr>
        <w:t xml:space="preserve">En virtud de lo anterior, </w:t>
      </w:r>
      <w:r w:rsidR="00BC4A4F" w:rsidRPr="002A2450">
        <w:rPr>
          <w:rFonts w:ascii="ITC Avant Garde" w:eastAsia="Times New Roman" w:hAnsi="ITC Avant Garde"/>
          <w:bCs/>
          <w:color w:val="000000"/>
          <w:lang w:eastAsia="es-MX"/>
        </w:rPr>
        <w:t xml:space="preserve">mediante acuerdo de veinticuatro de agosto de dos mil quince, el Titular de la Unidad de Cumplimiento del </w:t>
      </w:r>
      <w:r w:rsidR="00BC4A4F" w:rsidRPr="002A2450">
        <w:rPr>
          <w:rFonts w:ascii="ITC Avant Garde" w:eastAsia="Times New Roman" w:hAnsi="ITC Avant Garde"/>
          <w:b/>
          <w:bCs/>
          <w:color w:val="000000"/>
          <w:lang w:eastAsia="es-MX"/>
        </w:rPr>
        <w:t>“IFT”</w:t>
      </w:r>
      <w:r w:rsidR="00BC4A4F" w:rsidRPr="002A2450">
        <w:rPr>
          <w:rFonts w:ascii="ITC Avant Garde" w:eastAsia="Times New Roman" w:hAnsi="ITC Avant Garde"/>
          <w:bCs/>
          <w:color w:val="000000"/>
          <w:lang w:eastAsia="es-MX"/>
        </w:rPr>
        <w:t xml:space="preserve">, inició el procedimiento administrativo de imposición de sanción en contra de </w:t>
      </w:r>
      <w:r w:rsidR="00BC4A4F" w:rsidRPr="002A2450">
        <w:rPr>
          <w:rFonts w:ascii="ITC Avant Garde" w:eastAsia="Times New Roman" w:hAnsi="ITC Avant Garde"/>
          <w:b/>
          <w:bCs/>
          <w:color w:val="000000"/>
          <w:lang w:eastAsia="es-MX"/>
        </w:rPr>
        <w:t>“TELMEX”</w:t>
      </w:r>
      <w:r w:rsidR="00BC4A4F" w:rsidRPr="002A2450">
        <w:rPr>
          <w:rFonts w:ascii="ITC Avant Garde" w:eastAsia="Times New Roman" w:hAnsi="ITC Avant Garde"/>
          <w:bCs/>
          <w:color w:val="000000"/>
          <w:lang w:eastAsia="es-MX"/>
        </w:rPr>
        <w:t xml:space="preserve"> por considerar el probable incumplimiento a lo dispuesto en </w:t>
      </w:r>
      <w:r w:rsidR="00D139E4" w:rsidRPr="002A2450">
        <w:rPr>
          <w:rFonts w:ascii="ITC Avant Garde" w:eastAsia="Times New Roman" w:hAnsi="ITC Avant Garde"/>
          <w:bCs/>
          <w:color w:val="000000"/>
          <w:lang w:eastAsia="es-MX"/>
        </w:rPr>
        <w:t xml:space="preserve">el </w:t>
      </w:r>
      <w:r w:rsidR="00841FB0" w:rsidRPr="009E34A4">
        <w:rPr>
          <w:rFonts w:ascii="ITC Avant Garde" w:eastAsia="Times New Roman" w:hAnsi="ITC Avant Garde"/>
          <w:b/>
          <w:bCs/>
          <w:color w:val="000000"/>
          <w:lang w:eastAsia="es-MX"/>
        </w:rPr>
        <w:t>Tercer Párrafo</w:t>
      </w:r>
      <w:r w:rsidR="00D139E4" w:rsidRPr="002A2450">
        <w:rPr>
          <w:rFonts w:ascii="ITC Avant Garde" w:eastAsia="Times New Roman" w:hAnsi="ITC Avant Garde"/>
          <w:bCs/>
          <w:color w:val="000000"/>
          <w:lang w:eastAsia="es-MX"/>
        </w:rPr>
        <w:t xml:space="preserve"> de </w:t>
      </w:r>
      <w:r w:rsidR="00BC4A4F" w:rsidRPr="002A2450">
        <w:rPr>
          <w:rFonts w:ascii="ITC Avant Garde" w:eastAsia="Times New Roman" w:hAnsi="ITC Avant Garde"/>
          <w:bCs/>
          <w:color w:val="000000"/>
          <w:lang w:eastAsia="es-MX"/>
        </w:rPr>
        <w:t>la condición</w:t>
      </w:r>
      <w:r w:rsidR="00BC4A4F" w:rsidRPr="002A2450">
        <w:rPr>
          <w:rFonts w:ascii="ITC Avant Garde" w:eastAsia="Times New Roman" w:hAnsi="ITC Avant Garde"/>
          <w:b/>
          <w:bCs/>
          <w:color w:val="000000"/>
          <w:lang w:eastAsia="es-MX"/>
        </w:rPr>
        <w:t xml:space="preserve"> 1.9 “Distribución de Señales de Televisión” </w:t>
      </w:r>
      <w:r w:rsidR="00BC4A4F" w:rsidRPr="002A2450">
        <w:rPr>
          <w:rFonts w:ascii="ITC Avant Garde" w:eastAsia="Times New Roman" w:hAnsi="ITC Avant Garde"/>
          <w:bCs/>
          <w:color w:val="000000"/>
          <w:lang w:eastAsia="es-MX"/>
        </w:rPr>
        <w:t>de su</w:t>
      </w:r>
      <w:r w:rsidR="00BC4A4F" w:rsidRPr="002A2450">
        <w:rPr>
          <w:rFonts w:ascii="ITC Avant Garde" w:eastAsia="Times New Roman" w:hAnsi="ITC Avant Garde"/>
          <w:b/>
          <w:bCs/>
          <w:color w:val="000000"/>
          <w:lang w:eastAsia="es-MX"/>
        </w:rPr>
        <w:t xml:space="preserve"> “TÍTULO DE CONCESIÓN”.</w:t>
      </w:r>
    </w:p>
    <w:p w14:paraId="12DB5750" w14:textId="77777777" w:rsidR="00B35F13" w:rsidRDefault="00BC4A4F"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Dicho acuerdo fue notificado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el</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veinticinco de agosto de dos mil quince, por lo que el plazo de quince días para que en uso de la garantía de audiencia consagrada en el artículo 14 de la </w:t>
      </w:r>
      <w:r w:rsidRPr="002A2450">
        <w:rPr>
          <w:rFonts w:ascii="ITC Avant Garde" w:eastAsia="Times New Roman" w:hAnsi="ITC Avant Garde"/>
          <w:b/>
          <w:bCs/>
          <w:color w:val="000000"/>
          <w:lang w:eastAsia="es-MX"/>
        </w:rPr>
        <w:t>“CPEUM”</w:t>
      </w:r>
      <w:r w:rsidRPr="002A2450">
        <w:rPr>
          <w:rFonts w:ascii="ITC Avant Garde" w:eastAsia="Times New Roman" w:hAnsi="ITC Avant Garde"/>
          <w:bCs/>
          <w:color w:val="000000"/>
          <w:lang w:eastAsia="es-MX"/>
        </w:rPr>
        <w:t>, en relación con el artículo 72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expusiera lo que a su derecho conviniera y, en su caso, aportara las pruebas con que contara, corrió del veintiséis de agosto al diecisiete de septiembre de dos mil quince.</w:t>
      </w:r>
    </w:p>
    <w:p w14:paraId="45130EA4" w14:textId="77777777" w:rsidR="00B35F13" w:rsidRDefault="00BC4A4F"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El once de septiembre </w:t>
      </w:r>
      <w:r w:rsidRPr="002A2450">
        <w:rPr>
          <w:rFonts w:ascii="ITC Avant Garde" w:eastAsia="Times New Roman" w:hAnsi="ITC Avant Garde"/>
          <w:bCs/>
          <w:color w:val="000000"/>
          <w:lang w:eastAsia="es-MX"/>
        </w:rPr>
        <w:t xml:space="preserve">de dos mil quince, el </w:t>
      </w:r>
      <w:r w:rsidRPr="002A2450">
        <w:rPr>
          <w:rFonts w:ascii="ITC Avant Garde" w:eastAsia="Times New Roman" w:hAnsi="ITC Avant Garde"/>
          <w:b/>
          <w:bCs/>
          <w:color w:val="000000"/>
          <w:lang w:eastAsia="es-MX"/>
        </w:rPr>
        <w:t xml:space="preserve">C. FRANCISCO JAVIER ISLAS MANCERA </w:t>
      </w:r>
      <w:r w:rsidRPr="002A2450">
        <w:rPr>
          <w:rFonts w:ascii="ITC Avant Garde" w:eastAsia="Times New Roman" w:hAnsi="ITC Avant Garde"/>
          <w:bCs/>
          <w:color w:val="000000"/>
          <w:lang w:eastAsia="es-MX"/>
        </w:rPr>
        <w:t xml:space="preserve">en su carácter de apoderado general para pleitos y cobranzas y actos de administración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solicitó una prórroga de diez días para dar contestación al acuerdo de inicio del procedimiento administrativo de imposición de sanción de veinticuatro de agosto de dos mil quince.</w:t>
      </w:r>
    </w:p>
    <w:p w14:paraId="42A8AEA4" w14:textId="77777777" w:rsidR="00B35F13" w:rsidRDefault="00BC4A4F" w:rsidP="00B35F13">
      <w:pPr>
        <w:spacing w:before="240" w:line="360" w:lineRule="auto"/>
        <w:jc w:val="both"/>
        <w:rPr>
          <w:rFonts w:ascii="ITC Avant Garde" w:hAnsi="ITC Avant Garde"/>
        </w:rPr>
      </w:pPr>
      <w:r w:rsidRPr="002A2450">
        <w:rPr>
          <w:rFonts w:ascii="ITC Avant Garde" w:eastAsia="Times New Roman" w:hAnsi="ITC Avant Garde"/>
          <w:bCs/>
          <w:color w:val="000000"/>
          <w:lang w:eastAsia="es-MX"/>
        </w:rPr>
        <w:t xml:space="preserve">Al respecto, mediante acuerdo de quince de septiembre de dos mil quince se le otorgó una prórroga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de ocho días hábiles para presentar sus manifestaciones y pruebas, contados a partir de día siguiente al en que venciera el plazo de quince días originalmente otorgado</w:t>
      </w:r>
      <w:r w:rsidR="005A20A2" w:rsidRPr="002A2450">
        <w:rPr>
          <w:rFonts w:ascii="ITC Avant Garde" w:eastAsia="Times New Roman" w:hAnsi="ITC Avant Garde"/>
          <w:bCs/>
          <w:color w:val="000000"/>
          <w:lang w:eastAsia="es-MX"/>
        </w:rPr>
        <w:t xml:space="preserve">, </w:t>
      </w:r>
      <w:r w:rsidR="005A20A2" w:rsidRPr="002A2450">
        <w:rPr>
          <w:rFonts w:ascii="ITC Avant Garde" w:hAnsi="ITC Avant Garde"/>
        </w:rPr>
        <w:t>el cual corrió del dieciocho al veintinueve de septiembre de dos mil quince.</w:t>
      </w:r>
    </w:p>
    <w:p w14:paraId="37B2E712" w14:textId="77777777" w:rsidR="00B35F13" w:rsidRDefault="005A20A2"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En ese sentido, </w:t>
      </w:r>
      <w:r w:rsidRPr="002A2450">
        <w:rPr>
          <w:rFonts w:ascii="ITC Avant Garde" w:eastAsia="Times New Roman" w:hAnsi="ITC Avant Garde"/>
          <w:bCs/>
          <w:color w:val="000000"/>
          <w:lang w:eastAsia="es-MX"/>
        </w:rPr>
        <w:t xml:space="preserve">el veintiocho de septiembre de dos mil quince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presentó un </w:t>
      </w:r>
      <w:r w:rsidR="00D139E4" w:rsidRPr="002A2450">
        <w:rPr>
          <w:rFonts w:ascii="ITC Avant Garde" w:eastAsia="Times New Roman" w:hAnsi="ITC Avant Garde"/>
          <w:bCs/>
          <w:color w:val="000000"/>
          <w:lang w:eastAsia="es-MX"/>
        </w:rPr>
        <w:t>escrito mediante el cual formuló</w:t>
      </w:r>
      <w:r w:rsidRPr="002A2450">
        <w:rPr>
          <w:rFonts w:ascii="ITC Avant Garde" w:eastAsia="Times New Roman" w:hAnsi="ITC Avant Garde"/>
          <w:bCs/>
          <w:color w:val="000000"/>
          <w:lang w:eastAsia="es-MX"/>
        </w:rPr>
        <w:t xml:space="preserve"> sus manifestaciones y aportó las pruebas de su </w:t>
      </w:r>
      <w:r w:rsidRPr="002A2450">
        <w:rPr>
          <w:rFonts w:ascii="ITC Avant Garde" w:eastAsia="Times New Roman" w:hAnsi="ITC Avant Garde"/>
          <w:bCs/>
          <w:color w:val="000000"/>
          <w:lang w:eastAsia="es-MX"/>
        </w:rPr>
        <w:lastRenderedPageBreak/>
        <w:t>consideración respecto del acuerdo de inicio del procedimiento administrativo de imposición de sanción de veinticuatro de agosto de esa anualidad.</w:t>
      </w:r>
    </w:p>
    <w:p w14:paraId="08A551D2" w14:textId="77777777" w:rsidR="00B35F13" w:rsidRPr="00CE1EA8" w:rsidRDefault="005A20A2" w:rsidP="001B0FC3">
      <w:pPr>
        <w:pStyle w:val="Ttulo3"/>
      </w:pPr>
      <w:bookmarkStart w:id="89" w:name="_Toc477170192"/>
      <w:r w:rsidRPr="00CE1EA8">
        <w:t>CUARTO. Manifestaciones y pruebas ofrecidos por “TELMEX”</w:t>
      </w:r>
      <w:bookmarkEnd w:id="89"/>
    </w:p>
    <w:p w14:paraId="4C909BA0" w14:textId="77777777" w:rsidR="00B35F13" w:rsidRDefault="005A20A2" w:rsidP="00B35F13">
      <w:pPr>
        <w:spacing w:before="240" w:line="360" w:lineRule="auto"/>
        <w:jc w:val="both"/>
        <w:rPr>
          <w:rFonts w:ascii="ITC Avant Garde" w:hAnsi="ITC Avant Garde"/>
        </w:rPr>
      </w:pPr>
      <w:r w:rsidRPr="002A2450">
        <w:rPr>
          <w:rFonts w:ascii="ITC Avant Garde" w:eastAsia="Times New Roman" w:hAnsi="ITC Avant Garde"/>
          <w:bCs/>
          <w:color w:val="000000"/>
          <w:lang w:eastAsia="es-MX"/>
        </w:rPr>
        <w:t xml:space="preserve">En aras de cumplir con los principios de legalidad y seguridad jurídica consagrados en los artículos 14 y 16 de la </w:t>
      </w:r>
      <w:r w:rsidR="006259B0" w:rsidRPr="002A2450">
        <w:rPr>
          <w:rFonts w:ascii="ITC Avant Garde" w:eastAsia="Times New Roman" w:hAnsi="ITC Avant Garde"/>
          <w:b/>
          <w:bCs/>
          <w:color w:val="000000"/>
          <w:lang w:eastAsia="es-MX"/>
        </w:rPr>
        <w:t>“CPEUM”</w:t>
      </w:r>
      <w:r w:rsidRPr="002A2450">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esta autoridad procede a estudiar y analizar en esta parte de la resolución los argumentos presentados por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
          <w:bCs/>
          <w:lang w:eastAsia="es-MX"/>
        </w:rPr>
        <w:t xml:space="preserve">” </w:t>
      </w:r>
      <w:r w:rsidRPr="002A2450">
        <w:rPr>
          <w:rFonts w:ascii="ITC Avant Garde" w:eastAsia="Times New Roman" w:hAnsi="ITC Avant Garde"/>
          <w:bCs/>
          <w:color w:val="000000"/>
          <w:lang w:eastAsia="es-MX"/>
        </w:rPr>
        <w:t xml:space="preserve">aclarando que, </w:t>
      </w:r>
      <w:r w:rsidRPr="002A2450">
        <w:rPr>
          <w:rFonts w:ascii="ITC Avant Garde" w:hAnsi="ITC Avant Garde"/>
        </w:rPr>
        <w:t xml:space="preserve">el procedimiento administrativo sancionador, ha sido definido por el Pleno de la Suprema Corte de Justicia de la Nación como </w:t>
      </w:r>
      <w:r w:rsidRPr="002A2450">
        <w:rPr>
          <w:rFonts w:ascii="ITC Avant Garde" w:hAnsi="ITC Avant Garde"/>
          <w:i/>
        </w:rPr>
        <w:t xml:space="preserve">“el conjunto de actos o formalidades concatenados entre sí en forma de juicio por autoridad competente, </w:t>
      </w:r>
      <w:r w:rsidRPr="002A2450">
        <w:rPr>
          <w:rFonts w:ascii="ITC Avant Garde" w:hAnsi="ITC Avant Garde"/>
          <w:b/>
          <w:i/>
          <w:u w:val="single"/>
        </w:rPr>
        <w:t>con el objeto de conocer irregularidades o faltas</w:t>
      </w:r>
      <w:r w:rsidRPr="002A2450">
        <w:rPr>
          <w:rFonts w:ascii="ITC Avant Garde" w:hAnsi="ITC Avant Garde"/>
          <w:i/>
        </w:rPr>
        <w:t xml:space="preserve"> ya sean de servidores públicos o particulares, cuya finalidad, en todo caso, sea imponer alguna sanción.”</w:t>
      </w:r>
      <w:r w:rsidRPr="002A2450">
        <w:rPr>
          <w:rStyle w:val="Refdenotaalpie"/>
          <w:rFonts w:ascii="ITC Avant Garde" w:hAnsi="ITC Avant Garde"/>
        </w:rPr>
        <w:footnoteReference w:id="20"/>
      </w:r>
    </w:p>
    <w:p w14:paraId="771BEA06" w14:textId="77777777" w:rsidR="00B35F13" w:rsidRDefault="005A20A2" w:rsidP="00B35F13">
      <w:pPr>
        <w:spacing w:before="240" w:line="360" w:lineRule="auto"/>
        <w:jc w:val="both"/>
        <w:rPr>
          <w:rFonts w:ascii="ITC Avant Garde" w:hAnsi="ITC Avant Garde"/>
        </w:rPr>
      </w:pPr>
      <w:r w:rsidRPr="002A2450">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2A2450">
        <w:rPr>
          <w:rFonts w:ascii="ITC Avant Garde" w:hAnsi="ITC Avant Garde"/>
          <w:i/>
        </w:rPr>
        <w:t>litis</w:t>
      </w:r>
      <w:proofErr w:type="spellEnd"/>
      <w:r w:rsidRPr="002A2450">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35A56D2D" w14:textId="77777777" w:rsidR="00B35F13" w:rsidRDefault="005A20A2" w:rsidP="00B35F13">
      <w:pPr>
        <w:pStyle w:val="Textoindependiente"/>
        <w:spacing w:before="240" w:after="160" w:line="360" w:lineRule="auto"/>
        <w:jc w:val="both"/>
        <w:rPr>
          <w:rFonts w:ascii="ITC Avant Garde" w:hAnsi="ITC Avant Garde"/>
          <w:b/>
        </w:rPr>
      </w:pPr>
      <w:r w:rsidRPr="002A2450">
        <w:rPr>
          <w:rFonts w:ascii="ITC Avant Garde" w:hAnsi="ITC Avant Garde"/>
        </w:rPr>
        <w:t xml:space="preserve">Por tanto, el análisis de los argumentos deberán en todo caso estar encaminados a </w:t>
      </w:r>
      <w:r w:rsidR="00113DA2" w:rsidRPr="002A2450">
        <w:rPr>
          <w:rFonts w:ascii="ITC Avant Garde" w:hAnsi="ITC Avant Garde"/>
        </w:rPr>
        <w:t xml:space="preserve">determinar si alcanzan a </w:t>
      </w:r>
      <w:r w:rsidRPr="002A2450">
        <w:rPr>
          <w:rFonts w:ascii="ITC Avant Garde" w:hAnsi="ITC Avant Garde"/>
        </w:rPr>
        <w:t xml:space="preserve">desvirtuar las imputaciones realizadas por la autoridad, relacionadas con la comisión de la conducta presuntamente sancionable; como lo es el probable incumplimiento a lo dispuesto en </w:t>
      </w:r>
      <w:r w:rsidR="006259B0" w:rsidRPr="002A2450">
        <w:rPr>
          <w:rFonts w:ascii="ITC Avant Garde" w:hAnsi="ITC Avant Garde"/>
        </w:rPr>
        <w:t xml:space="preserve">el </w:t>
      </w:r>
      <w:r w:rsidR="00841FB0" w:rsidRPr="009E34A4">
        <w:rPr>
          <w:rFonts w:ascii="ITC Avant Garde" w:hAnsi="ITC Avant Garde"/>
          <w:b/>
        </w:rPr>
        <w:t>Tercer Párrafo</w:t>
      </w:r>
      <w:r w:rsidR="006259B0" w:rsidRPr="002A2450">
        <w:rPr>
          <w:rFonts w:ascii="ITC Avant Garde" w:hAnsi="ITC Avant Garde"/>
        </w:rPr>
        <w:t xml:space="preserve"> de </w:t>
      </w:r>
      <w:r w:rsidRPr="002A2450">
        <w:rPr>
          <w:rFonts w:ascii="ITC Avant Garde" w:hAnsi="ITC Avant Garde"/>
        </w:rPr>
        <w:t xml:space="preserve">la condición </w:t>
      </w:r>
      <w:r w:rsidRPr="002A2450">
        <w:rPr>
          <w:rFonts w:ascii="ITC Avant Garde" w:hAnsi="ITC Avant Garde"/>
          <w:b/>
        </w:rPr>
        <w:t>1.9</w:t>
      </w:r>
      <w:r w:rsidRPr="002A2450">
        <w:rPr>
          <w:rFonts w:ascii="ITC Avant Garde" w:hAnsi="ITC Avant Garde"/>
        </w:rPr>
        <w:t xml:space="preserve"> </w:t>
      </w:r>
      <w:r w:rsidRPr="002A2450">
        <w:rPr>
          <w:rFonts w:ascii="ITC Avant Garde" w:hAnsi="ITC Avant Garde"/>
          <w:b/>
        </w:rPr>
        <w:t xml:space="preserve">Distribución de Señales de Televisión </w:t>
      </w:r>
      <w:r w:rsidRPr="002A2450">
        <w:rPr>
          <w:rFonts w:ascii="ITC Avant Garde" w:hAnsi="ITC Avant Garde"/>
        </w:rPr>
        <w:t xml:space="preserve">de su </w:t>
      </w:r>
      <w:r w:rsidR="00764EBE" w:rsidRPr="002A2450">
        <w:rPr>
          <w:rFonts w:ascii="ITC Avant Garde" w:hAnsi="ITC Avant Garde"/>
          <w:b/>
        </w:rPr>
        <w:t>“</w:t>
      </w:r>
      <w:r w:rsidRPr="002A2450">
        <w:rPr>
          <w:rFonts w:ascii="ITC Avant Garde" w:hAnsi="ITC Avant Garde"/>
          <w:b/>
        </w:rPr>
        <w:t>TÍTULO DE CONCESIÓN</w:t>
      </w:r>
      <w:r w:rsidR="00764EBE" w:rsidRPr="002A2450">
        <w:rPr>
          <w:rFonts w:ascii="ITC Avant Garde" w:hAnsi="ITC Avant Garde"/>
          <w:b/>
        </w:rPr>
        <w:t>”</w:t>
      </w:r>
      <w:r w:rsidRPr="002A2450">
        <w:rPr>
          <w:rFonts w:ascii="ITC Avant Garde" w:hAnsi="ITC Avant Garde"/>
          <w:b/>
        </w:rPr>
        <w:t>.</w:t>
      </w:r>
    </w:p>
    <w:p w14:paraId="6A0D136A" w14:textId="77777777" w:rsidR="00B35F13" w:rsidRDefault="001E3204" w:rsidP="00B35F13">
      <w:pPr>
        <w:pStyle w:val="Textoindependiente"/>
        <w:tabs>
          <w:tab w:val="left" w:pos="851"/>
        </w:tabs>
        <w:spacing w:before="240" w:after="160" w:line="360" w:lineRule="auto"/>
        <w:jc w:val="both"/>
        <w:rPr>
          <w:rFonts w:ascii="ITC Avant Garde" w:hAnsi="ITC Avant Garde"/>
        </w:rPr>
      </w:pPr>
      <w:r w:rsidRPr="002A2450">
        <w:rPr>
          <w:rFonts w:ascii="ITC Avant Garde" w:eastAsia="Times New Roman" w:hAnsi="ITC Avant Garde"/>
          <w:bCs/>
          <w:color w:val="000000"/>
          <w:lang w:eastAsia="es-MX"/>
        </w:rPr>
        <w:lastRenderedPageBreak/>
        <w:t xml:space="preserve">Aclarado lo anterior, esta autoridad considera que por cuestión de orden y método, y advirtiendo que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en su escrito presentado el veintiocho de septiembre de dos mil quince, </w:t>
      </w:r>
      <w:r w:rsidRPr="002A2450">
        <w:rPr>
          <w:rFonts w:ascii="ITC Avant Garde" w:hAnsi="ITC Avant Garde"/>
        </w:rPr>
        <w:t>solicitó</w:t>
      </w:r>
      <w:r w:rsidRPr="002A2450">
        <w:rPr>
          <w:rFonts w:ascii="ITC Avant Garde" w:hAnsi="ITC Avant Garde"/>
          <w:b/>
        </w:rPr>
        <w:t xml:space="preserve"> </w:t>
      </w:r>
      <w:r w:rsidRPr="002A2450">
        <w:rPr>
          <w:rFonts w:ascii="ITC Avant Garde" w:hAnsi="ITC Avant Garde"/>
        </w:rPr>
        <w:t xml:space="preserve">la caducidad del presente procedimiento, se estima que previo al análisis de las manifestaciones realizadas con el objeto de desvirtuar la presunta infracción a la condición 1-9 de su </w:t>
      </w:r>
      <w:r w:rsidR="00764EBE" w:rsidRPr="002A2450">
        <w:rPr>
          <w:rFonts w:ascii="ITC Avant Garde" w:hAnsi="ITC Avant Garde"/>
          <w:b/>
        </w:rPr>
        <w:t>“</w:t>
      </w:r>
      <w:r w:rsidRPr="002A2450">
        <w:rPr>
          <w:rFonts w:ascii="ITC Avant Garde" w:hAnsi="ITC Avant Garde"/>
          <w:b/>
        </w:rPr>
        <w:t>TÍTULO DE CONCESIÓN</w:t>
      </w:r>
      <w:r w:rsidR="00764EBE" w:rsidRPr="002A2450">
        <w:rPr>
          <w:rFonts w:ascii="ITC Avant Garde" w:hAnsi="ITC Avant Garde"/>
          <w:b/>
        </w:rPr>
        <w:t>”</w:t>
      </w:r>
      <w:r w:rsidRPr="002A2450">
        <w:rPr>
          <w:rFonts w:ascii="ITC Avant Garde" w:hAnsi="ITC Avant Garde"/>
        </w:rPr>
        <w:t>, resulta necesario analizar previamente la caducidad sol</w:t>
      </w:r>
      <w:r w:rsidR="006235CB" w:rsidRPr="002A2450">
        <w:rPr>
          <w:rFonts w:ascii="ITC Avant Garde" w:hAnsi="ITC Avant Garde"/>
        </w:rPr>
        <w:t>icitada por dicho concesionario, toda vez que el análisis de dicha figura jurídica se considera de previo y especial pronunciamiento.</w:t>
      </w:r>
    </w:p>
    <w:p w14:paraId="528C2A2E" w14:textId="77777777" w:rsidR="00B35F13" w:rsidRDefault="001E3204" w:rsidP="00B35F13">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2A2450">
        <w:rPr>
          <w:rFonts w:ascii="ITC Avant Garde" w:hAnsi="ITC Avant Garde"/>
        </w:rPr>
        <w:t xml:space="preserve">Por tanto, </w:t>
      </w:r>
      <w:r w:rsidRPr="002A2450">
        <w:rPr>
          <w:rFonts w:ascii="ITC Avant Garde" w:eastAsia="Times New Roman" w:hAnsi="ITC Avant Garde"/>
          <w:bCs/>
          <w:color w:val="000000"/>
          <w:lang w:eastAsia="es-MX"/>
        </w:rPr>
        <w:t>esta autoridad procede a estudiar y analizar en esta parte de la Resolución como de estudio preferente, los argumentos relacionados con la solicitud de la caducidad del procedimiento administrativo de imposición de sanción, ya que de resultar fundado, haría innecesario el estudio y análisis de las demás manifestaciones realizadas ya que en nada cambiaría el sentido, en su caso, de la presente Resolución.</w:t>
      </w:r>
    </w:p>
    <w:p w14:paraId="048D64FD" w14:textId="77777777" w:rsidR="00B35F13" w:rsidRDefault="001E3204" w:rsidP="00B35F13">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Sirve de apoyo la siguiente tesis que a su letra señala:</w:t>
      </w:r>
    </w:p>
    <w:p w14:paraId="10CC9E57" w14:textId="77777777" w:rsidR="00B35F13" w:rsidRDefault="001E3204" w:rsidP="00B35F13">
      <w:pPr>
        <w:pStyle w:val="Textoindependiente"/>
        <w:tabs>
          <w:tab w:val="left" w:pos="851"/>
        </w:tabs>
        <w:spacing w:before="240" w:after="160" w:line="360" w:lineRule="auto"/>
        <w:ind w:left="567" w:right="567"/>
        <w:jc w:val="both"/>
        <w:rPr>
          <w:rFonts w:ascii="ITC Avant Garde" w:hAnsi="ITC Avant Garde"/>
        </w:rPr>
      </w:pPr>
      <w:r w:rsidRPr="002A2450">
        <w:rPr>
          <w:rFonts w:ascii="ITC Avant Garde" w:hAnsi="ITC Avant Garde"/>
          <w:b/>
        </w:rPr>
        <w:t xml:space="preserve">CADUCIDAD EN EL PROCEDIMIENTO ADMINISTRATIVO. SU ESTUDIO PREFERENTE CONSTITUYE UNA CAUSA DEBIDAMENTE MOTIVADA PARA ALTERAR EL ORDEN EN LA TRAMITACIÓN DE LOS EXPEDIENTES, EN TÉRMINOS DEL ARTÍCULO 46 DE LA LEY FEDERAL RELATIVA. </w:t>
      </w:r>
      <w:r w:rsidRPr="002A2450">
        <w:rPr>
          <w:rFonts w:ascii="ITC Avant Garde" w:hAnsi="ITC Avant Garde"/>
        </w:rPr>
        <w:t xml:space="preserve">El artículo 46 de la Ley Federal de Procedimiento Administrativo establece: "En el despacho de los expedientes se guardará y respetará el orden riguroso de tramitación en los asuntos de la misma naturaleza; la alteración del orden sólo podrá realizarse cuando exista causa debidamente motivada de la que quede constancia.-El incumplimiento a lo dispuesto en el párrafo anterior, será causa de responsabilidad del servidor público infractor.". Así, en términos de lo dispuesto en tal numeral, tratándose de dos procedimientos, uno relativo a la transmisión de los derechos de una concesión, y otro referente a su caducidad, </w:t>
      </w:r>
      <w:r w:rsidRPr="002A2450">
        <w:rPr>
          <w:rFonts w:ascii="ITC Avant Garde" w:hAnsi="ITC Avant Garde"/>
          <w:b/>
          <w:u w:val="single"/>
        </w:rPr>
        <w:t>la autoridad está en lo correcto al señalar que debe resolver primero la caducidad planteada</w:t>
      </w:r>
      <w:r w:rsidRPr="002A2450">
        <w:rPr>
          <w:rFonts w:ascii="ITC Avant Garde" w:hAnsi="ITC Avant Garde"/>
        </w:rPr>
        <w:t xml:space="preserve"> </w:t>
      </w:r>
      <w:r w:rsidRPr="002A2450">
        <w:rPr>
          <w:rFonts w:ascii="ITC Avant Garde" w:hAnsi="ITC Avant Garde"/>
        </w:rPr>
        <w:lastRenderedPageBreak/>
        <w:t>y posteriormente la transmisión de derechos, aun cuando ésta se hubiere solicitado antes del inicio del trámite de aquélla, pues no puede autorizarse la transmisión de una concesión sin que previamente se dilucide lo relativo a su caducidad.</w:t>
      </w:r>
    </w:p>
    <w:p w14:paraId="6907CB53" w14:textId="77777777" w:rsidR="00B35F13" w:rsidRDefault="001E3204" w:rsidP="00B35F13">
      <w:pPr>
        <w:pStyle w:val="Textoindependiente"/>
        <w:tabs>
          <w:tab w:val="left" w:pos="851"/>
        </w:tabs>
        <w:spacing w:before="240" w:after="160" w:line="360" w:lineRule="auto"/>
        <w:ind w:left="567" w:right="567"/>
        <w:jc w:val="both"/>
        <w:rPr>
          <w:rFonts w:ascii="ITC Avant Garde" w:hAnsi="ITC Avant Garde"/>
          <w:sz w:val="18"/>
        </w:rPr>
      </w:pPr>
      <w:r w:rsidRPr="002A2450">
        <w:rPr>
          <w:rFonts w:ascii="ITC Avant Garde" w:hAnsi="ITC Avant Garde"/>
          <w:sz w:val="18"/>
        </w:rPr>
        <w:t>Época: Novena Época, Registro: 179382, Instancia: Tribunales, Colegiados de Circuito, Tipo de Tesis: Aislada, Fuente: Semanario Judicial de la Federación y su Gaceta, Tomo XXI, Febrero de 2005, Materia(s): Administrativa, Tesis: I.5o.A.13 A, Página: 1638.</w:t>
      </w:r>
    </w:p>
    <w:p w14:paraId="642F87AC" w14:textId="0FC4E660" w:rsidR="00B35F13" w:rsidRPr="00CE1EA8" w:rsidRDefault="00CE1EA8" w:rsidP="007E623E">
      <w:pPr>
        <w:pStyle w:val="Ttulo4"/>
        <w:numPr>
          <w:ilvl w:val="0"/>
          <w:numId w:val="65"/>
        </w:numPr>
        <w:ind w:left="284" w:hanging="284"/>
        <w:rPr>
          <w:b/>
        </w:rPr>
      </w:pPr>
      <w:r w:rsidRPr="00CE1EA8">
        <w:rPr>
          <w:b/>
        </w:rPr>
        <w:t>DE LA CADUCIDAD</w:t>
      </w:r>
    </w:p>
    <w:p w14:paraId="2FDFBE2B" w14:textId="77777777" w:rsidR="00B35F13" w:rsidRDefault="001E3204"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hAnsi="ITC Avant Garde"/>
        </w:rPr>
        <w:t xml:space="preserve">Con base en lo anterior,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el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señaló a manera de resumen en la parte que interesa lo siguiente</w:t>
      </w:r>
      <w:r w:rsidR="00365BE1" w:rsidRPr="002A2450">
        <w:rPr>
          <w:rFonts w:ascii="ITC Avant Garde" w:eastAsia="Times New Roman" w:hAnsi="ITC Avant Garde"/>
          <w:bCs/>
          <w:color w:val="000000"/>
          <w:lang w:eastAsia="es-MX"/>
        </w:rPr>
        <w:t xml:space="preserve"> (fojas nueve, diez, once, trece, catorce, quince y diecisiete)</w:t>
      </w:r>
      <w:r w:rsidRPr="002A2450">
        <w:rPr>
          <w:rFonts w:ascii="ITC Avant Garde" w:eastAsia="Times New Roman" w:hAnsi="ITC Avant Garde"/>
          <w:bCs/>
          <w:color w:val="000000"/>
          <w:lang w:eastAsia="es-MX"/>
        </w:rPr>
        <w:t>:</w:t>
      </w:r>
    </w:p>
    <w:p w14:paraId="519A6290" w14:textId="77777777" w:rsidR="00B35F13" w:rsidRDefault="00AA1120" w:rsidP="00B35F13">
      <w:pPr>
        <w:spacing w:before="240" w:line="360" w:lineRule="auto"/>
        <w:ind w:left="567" w:right="567"/>
        <w:jc w:val="both"/>
        <w:rPr>
          <w:rFonts w:ascii="ITC Avant Garde" w:hAnsi="ITC Avant Garde"/>
          <w:i/>
        </w:rPr>
      </w:pPr>
      <w:r w:rsidRPr="002A2450">
        <w:rPr>
          <w:rFonts w:ascii="ITC Avant Garde" w:hAnsi="ITC Avant Garde"/>
          <w:i/>
        </w:rPr>
        <w:t xml:space="preserve">A fojas 4, 5, 6 y 7 del acuerdo de inicio se dan cuenta de sendas denuncias presentadas ante ese Instituto de 23 de enero de 2014, 28 de febrero de 2014, 7 de mayo de 2014 y 28 de enero de 2015 (por las empresas </w:t>
      </w:r>
      <w:r w:rsidRPr="002A2450">
        <w:rPr>
          <w:rFonts w:ascii="ITC Avant Garde" w:hAnsi="ITC Avant Garde"/>
          <w:b/>
          <w:i/>
        </w:rPr>
        <w:t>“PEGASO”, “PEGASO PCS” y “GRUPO TM”</w:t>
      </w:r>
      <w:r w:rsidRPr="002A2450">
        <w:rPr>
          <w:rFonts w:ascii="ITC Avant Garde" w:hAnsi="ITC Avant Garde"/>
          <w:i/>
        </w:rPr>
        <w:t xml:space="preserve">) y 24 de febrero de 2014 y 18 de julio de 2014 (por la empresa </w:t>
      </w:r>
      <w:r w:rsidRPr="002A2450">
        <w:rPr>
          <w:rFonts w:ascii="ITC Avant Garde" w:hAnsi="ITC Avant Garde"/>
          <w:b/>
          <w:i/>
        </w:rPr>
        <w:t>“TOTAL PLAY”</w:t>
      </w:r>
      <w:r w:rsidRPr="002A2450">
        <w:rPr>
          <w:rFonts w:ascii="ITC Avant Garde" w:hAnsi="ITC Avant Garde"/>
          <w:i/>
        </w:rPr>
        <w:t>)</w:t>
      </w:r>
    </w:p>
    <w:p w14:paraId="3DA78FC5" w14:textId="77777777" w:rsidR="00B35F13" w:rsidRDefault="00AA1120" w:rsidP="00B35F13">
      <w:pPr>
        <w:spacing w:before="240" w:line="360" w:lineRule="auto"/>
        <w:ind w:left="567" w:right="567"/>
        <w:jc w:val="both"/>
        <w:rPr>
          <w:rFonts w:ascii="ITC Avant Garde" w:hAnsi="ITC Avant Garde"/>
          <w:i/>
        </w:rPr>
      </w:pPr>
      <w:r w:rsidRPr="002A2450">
        <w:rPr>
          <w:rFonts w:ascii="ITC Avant Garde" w:hAnsi="ITC Avant Garde"/>
          <w:i/>
        </w:rPr>
        <w:t>Suponiendo sin conceder que las denuncias hubiesen sido el hecho determinante para fundar la actuación de la Unidad de Cumplimiento, al momento de notificar el acuerdo de inicio, ya había operado la caducidad, puesto que desde la fecha en que se presentó la última denuncia (28 de enero de 2015) al momento de que la autoridad lo notifica ya habían transcurrido más de tres meses, por lo que se solicita se declare la caducidad del procedimiento.</w:t>
      </w:r>
    </w:p>
    <w:p w14:paraId="1349DF9C" w14:textId="77777777" w:rsidR="00B35F13" w:rsidRDefault="00AA1120" w:rsidP="00B35F13">
      <w:pPr>
        <w:spacing w:before="240" w:line="360" w:lineRule="auto"/>
        <w:ind w:left="567" w:right="567"/>
        <w:jc w:val="both"/>
        <w:rPr>
          <w:rFonts w:ascii="ITC Avant Garde" w:hAnsi="ITC Avant Garde"/>
          <w:i/>
        </w:rPr>
      </w:pPr>
      <w:r w:rsidRPr="002A2450">
        <w:rPr>
          <w:rFonts w:ascii="ITC Avant Garde" w:hAnsi="ITC Avant Garde"/>
          <w:i/>
        </w:rPr>
        <w:t>En la foja uno primer párrafo y 75 último párrafo del acuerdo de inicio se afirma que se inicia el procedimiento, sin embargo, dicha afirmación es falsa porque el procedimiento de investigación se inició desde el 2011 fecha en que mi representada fue requerida mediante oficio DGPMR-</w:t>
      </w:r>
      <w:r w:rsidRPr="002A2450">
        <w:rPr>
          <w:rFonts w:ascii="ITC Avant Garde" w:hAnsi="ITC Avant Garde"/>
          <w:i/>
        </w:rPr>
        <w:lastRenderedPageBreak/>
        <w:t>10-096-2011-164 el cual obra en el expediente E-IFT/UC/DGIPM/PMR/0003/2013 y acumulados en la Unidad de Competencia Económica de este Instituto, requerimiento que fue desahogado en tiempo y forma por mi representada el 8 de marzo de 2012.</w:t>
      </w:r>
    </w:p>
    <w:p w14:paraId="62BA539D" w14:textId="77777777" w:rsidR="00B35F13" w:rsidRDefault="00AA1120" w:rsidP="00B35F13">
      <w:pPr>
        <w:spacing w:before="240" w:line="360" w:lineRule="auto"/>
        <w:ind w:left="567" w:right="567"/>
        <w:jc w:val="both"/>
        <w:rPr>
          <w:rFonts w:ascii="ITC Avant Garde" w:hAnsi="ITC Avant Garde"/>
          <w:i/>
        </w:rPr>
      </w:pPr>
      <w:r w:rsidRPr="002A2450">
        <w:rPr>
          <w:rFonts w:ascii="ITC Avant Garde" w:hAnsi="ITC Avant Garde"/>
          <w:i/>
        </w:rPr>
        <w:t>En todo caso, la Unidad de Cumplimiento debió iniciar un nuevo procedimiento de investigación con base en las multicitadas denuncias. Además que en el diverso procedimiento tramitado ante la Unidad de Competencia ya existe resolución, en la que no se determina sanción alguna por las conductas que ahora imputa la Unidad de Cumplimiento.</w:t>
      </w:r>
    </w:p>
    <w:p w14:paraId="5E03B060" w14:textId="77777777" w:rsidR="00B35F13" w:rsidRDefault="00083F58" w:rsidP="00B35F13">
      <w:pPr>
        <w:spacing w:before="240" w:line="360" w:lineRule="auto"/>
        <w:ind w:left="567" w:right="567"/>
        <w:jc w:val="both"/>
        <w:rPr>
          <w:rFonts w:ascii="ITC Avant Garde" w:hAnsi="ITC Avant Garde"/>
          <w:i/>
        </w:rPr>
      </w:pPr>
      <w:r w:rsidRPr="002A2450">
        <w:rPr>
          <w:rFonts w:ascii="ITC Avant Garde" w:hAnsi="ITC Avant Garde"/>
          <w:i/>
        </w:rPr>
        <w:t>Suponiendo sin conceder que el expediente en que se actúa no esté relacionado con el expediente E-IFT/UC/DGIPM/PMR/003/2013 tramitado ante la Unidad de Competencia Económica de todas formas ha operado la caducidad.</w:t>
      </w:r>
    </w:p>
    <w:p w14:paraId="58573F53" w14:textId="77777777" w:rsidR="00B35F13" w:rsidRDefault="00083F58" w:rsidP="00B35F13">
      <w:pPr>
        <w:spacing w:before="240" w:line="360" w:lineRule="auto"/>
        <w:ind w:left="567" w:right="567"/>
        <w:jc w:val="both"/>
        <w:rPr>
          <w:rFonts w:ascii="ITC Avant Garde" w:hAnsi="ITC Avant Garde"/>
        </w:rPr>
      </w:pPr>
      <w:r w:rsidRPr="002A2450">
        <w:rPr>
          <w:rFonts w:ascii="ITC Avant Garde" w:hAnsi="ITC Avant Garde"/>
          <w:i/>
        </w:rPr>
        <w:t>En el antecedente décimo cuarto del acuerdo de inicio se advierte que la última denuncia presentada hasta la fecha en la cual se reactiva el procedimiento, esto es, al 25 de agosto de 2015, transcurrieron casi siete meses de inactividad procesal.</w:t>
      </w:r>
    </w:p>
    <w:p w14:paraId="7CDF8B0F" w14:textId="77777777" w:rsidR="00B35F13" w:rsidRDefault="00083F58" w:rsidP="00B35F13">
      <w:pPr>
        <w:spacing w:before="240" w:line="360" w:lineRule="auto"/>
        <w:ind w:left="567" w:right="567"/>
        <w:jc w:val="both"/>
        <w:rPr>
          <w:rFonts w:ascii="ITC Avant Garde" w:hAnsi="ITC Avant Garde"/>
          <w:i/>
        </w:rPr>
      </w:pPr>
      <w:r w:rsidRPr="002A2450">
        <w:rPr>
          <w:rFonts w:ascii="ITC Avant Garde" w:hAnsi="ITC Avant Garde"/>
          <w:i/>
        </w:rPr>
        <w:t>Así, pese a que las actuaciones por parte del Instituto iniciaron desde 2011 no es sino hasta el 24 de agosto de 2015 cuando el Titular de la Unidad de Cumplimiento emitió el acuerdo 235/2015 a través del cual se notifica a mi representada el inicio del procedimiento.</w:t>
      </w:r>
    </w:p>
    <w:p w14:paraId="7EED4A3D" w14:textId="77777777" w:rsidR="00B35F13" w:rsidRDefault="00083F58" w:rsidP="00B35F13">
      <w:pPr>
        <w:spacing w:before="240" w:line="360" w:lineRule="auto"/>
        <w:ind w:left="567" w:right="567"/>
        <w:jc w:val="both"/>
        <w:rPr>
          <w:rFonts w:ascii="ITC Avant Garde" w:hAnsi="ITC Avant Garde"/>
          <w:i/>
        </w:rPr>
      </w:pPr>
      <w:r w:rsidRPr="002A2450">
        <w:rPr>
          <w:rFonts w:ascii="ITC Avant Garde" w:hAnsi="ITC Avant Garde"/>
          <w:i/>
        </w:rPr>
        <w:t>La razón de ser de la caducidad, es dar certeza jurídica y puntualizar la eficiencia de un procedimiento. El propio artículo 60 segundo y tercer párrafos de la LFPA la caducidad no produce por sí misma la prescripción de las acciones de la Administración pero sí el cese del ejercicio de las facultades por infer</w:t>
      </w:r>
      <w:r w:rsidR="00C070EE" w:rsidRPr="002A2450">
        <w:rPr>
          <w:rFonts w:ascii="ITC Avant Garde" w:hAnsi="ITC Avant Garde"/>
          <w:i/>
        </w:rPr>
        <w:t>encia en la actividad procesal.</w:t>
      </w:r>
    </w:p>
    <w:p w14:paraId="460DB689" w14:textId="77777777" w:rsidR="00B35F13" w:rsidRDefault="00083F58"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Aunado a lo anterior, la última actuación que ese Instituto tiene documentada en el expediente en que se actúa tuvo lugar el 28 de enero de 2015, por lo que al haber transcurrido más de 7 meses lo procedente es declara</w:t>
      </w:r>
      <w:r w:rsidR="006235CB" w:rsidRPr="002A2450">
        <w:rPr>
          <w:rFonts w:ascii="ITC Avant Garde" w:hAnsi="ITC Avant Garde"/>
          <w:i/>
        </w:rPr>
        <w:t>r</w:t>
      </w:r>
      <w:r w:rsidRPr="002A2450">
        <w:rPr>
          <w:rFonts w:ascii="ITC Avant Garde" w:hAnsi="ITC Avant Garde"/>
          <w:i/>
        </w:rPr>
        <w:t xml:space="preserve"> la caducidad del procedimiento.</w:t>
      </w:r>
    </w:p>
    <w:p w14:paraId="53006A09" w14:textId="77777777" w:rsidR="00B35F13" w:rsidRDefault="00083F58" w:rsidP="00B35F13">
      <w:pPr>
        <w:spacing w:before="240" w:line="360" w:lineRule="auto"/>
        <w:jc w:val="both"/>
        <w:rPr>
          <w:rFonts w:ascii="ITC Avant Garde" w:hAnsi="ITC Avant Garde"/>
        </w:rPr>
      </w:pPr>
      <w:r w:rsidRPr="002A2450">
        <w:rPr>
          <w:rFonts w:ascii="ITC Avant Garde" w:hAnsi="ITC Avant Garde"/>
        </w:rPr>
        <w:t xml:space="preserve">Al respecto, debe señalarse que su argumento resulta </w:t>
      </w:r>
      <w:r w:rsidRPr="002A2450">
        <w:rPr>
          <w:rFonts w:ascii="ITC Avant Garde" w:hAnsi="ITC Avant Garde"/>
          <w:b/>
          <w:u w:val="single"/>
        </w:rPr>
        <w:t>infundado</w:t>
      </w:r>
      <w:r w:rsidRPr="002A2450">
        <w:rPr>
          <w:rFonts w:ascii="ITC Avant Garde" w:hAnsi="ITC Avant Garde"/>
        </w:rPr>
        <w:t xml:space="preserve"> en atención a las siguientes consideraciones:</w:t>
      </w:r>
    </w:p>
    <w:p w14:paraId="1B637935" w14:textId="77777777" w:rsidR="00B35F13" w:rsidRDefault="00AD561C" w:rsidP="00B35F13">
      <w:pPr>
        <w:spacing w:before="240" w:line="360" w:lineRule="auto"/>
        <w:jc w:val="both"/>
        <w:rPr>
          <w:rFonts w:ascii="ITC Avant Garde" w:hAnsi="ITC Avant Garde"/>
        </w:rPr>
      </w:pPr>
      <w:r w:rsidRPr="002A2450">
        <w:rPr>
          <w:rFonts w:ascii="ITC Avant Garde" w:hAnsi="ITC Avant Garde"/>
        </w:rPr>
        <w:t xml:space="preserve">De la lectura a las manifestaciones realizadas por </w:t>
      </w:r>
      <w:r w:rsidRPr="002A2450">
        <w:rPr>
          <w:rFonts w:ascii="ITC Avant Garde" w:hAnsi="ITC Avant Garde"/>
          <w:b/>
        </w:rPr>
        <w:t>“TELMEX”</w:t>
      </w:r>
      <w:r w:rsidRPr="002A2450">
        <w:rPr>
          <w:rFonts w:ascii="ITC Avant Garde" w:hAnsi="ITC Avant Garde"/>
        </w:rPr>
        <w:t xml:space="preserve"> se puede presumir que a su consideración existen dos caducidades en cuanto al inicio del procedimiento administrativo de imposición:</w:t>
      </w:r>
    </w:p>
    <w:p w14:paraId="4E4B254A" w14:textId="51F0BBDA" w:rsidR="00AD561C" w:rsidRPr="002A2450" w:rsidRDefault="00AD561C" w:rsidP="007E623E">
      <w:pPr>
        <w:pStyle w:val="Prrafodelista"/>
        <w:numPr>
          <w:ilvl w:val="0"/>
          <w:numId w:val="12"/>
        </w:numPr>
        <w:spacing w:before="240" w:line="360" w:lineRule="auto"/>
        <w:jc w:val="both"/>
        <w:rPr>
          <w:rFonts w:ascii="ITC Avant Garde" w:hAnsi="ITC Avant Garde"/>
        </w:rPr>
      </w:pPr>
      <w:r w:rsidRPr="002A2450">
        <w:rPr>
          <w:rFonts w:ascii="ITC Avant Garde" w:hAnsi="ITC Avant Garde"/>
        </w:rPr>
        <w:t>Derivadas de las denuncias presentadas</w:t>
      </w:r>
    </w:p>
    <w:p w14:paraId="3C46D766" w14:textId="77777777" w:rsidR="00B35F13" w:rsidRDefault="00AD561C" w:rsidP="007E623E">
      <w:pPr>
        <w:pStyle w:val="Prrafodelista"/>
        <w:numPr>
          <w:ilvl w:val="0"/>
          <w:numId w:val="12"/>
        </w:numPr>
        <w:spacing w:before="240" w:line="360" w:lineRule="auto"/>
        <w:jc w:val="both"/>
        <w:rPr>
          <w:rFonts w:ascii="ITC Avant Garde" w:hAnsi="ITC Avant Garde"/>
        </w:rPr>
      </w:pPr>
      <w:r w:rsidRPr="002A2450">
        <w:rPr>
          <w:rFonts w:ascii="ITC Avant Garde" w:hAnsi="ITC Avant Garde"/>
        </w:rPr>
        <w:t xml:space="preserve">Derivado de los requerimientos formulados </w:t>
      </w:r>
    </w:p>
    <w:p w14:paraId="272FB582" w14:textId="77777777" w:rsidR="00B35F13" w:rsidRDefault="00AD561C" w:rsidP="00B35F13">
      <w:pPr>
        <w:spacing w:before="240" w:line="360" w:lineRule="auto"/>
        <w:jc w:val="both"/>
        <w:rPr>
          <w:rFonts w:ascii="ITC Avant Garde" w:hAnsi="ITC Avant Garde"/>
        </w:rPr>
      </w:pPr>
      <w:r w:rsidRPr="002A2450">
        <w:rPr>
          <w:rFonts w:ascii="ITC Avant Garde" w:hAnsi="ITC Avant Garde"/>
        </w:rPr>
        <w:t xml:space="preserve">En ese sentido, a efecto de abordar dichas </w:t>
      </w:r>
      <w:r w:rsidR="00C76295" w:rsidRPr="002A2450">
        <w:rPr>
          <w:rFonts w:ascii="ITC Avant Garde" w:hAnsi="ITC Avant Garde"/>
        </w:rPr>
        <w:t>manifestaciones</w:t>
      </w:r>
      <w:r w:rsidRPr="002A2450">
        <w:rPr>
          <w:rFonts w:ascii="ITC Avant Garde" w:hAnsi="ITC Avant Garde"/>
        </w:rPr>
        <w:t>, se estima necesario realizar su estudio de manera desagregada a efecto de verificar si efectivamente se configura la caducidad del procedimiento que nos ocupa.</w:t>
      </w:r>
    </w:p>
    <w:p w14:paraId="481577C8" w14:textId="77777777" w:rsidR="00B35F13" w:rsidRDefault="00AD561C" w:rsidP="00B35F13">
      <w:pPr>
        <w:spacing w:before="240" w:line="360" w:lineRule="auto"/>
        <w:jc w:val="both"/>
        <w:rPr>
          <w:rFonts w:ascii="ITC Avant Garde" w:hAnsi="ITC Avant Garde"/>
        </w:rPr>
      </w:pPr>
      <w:r w:rsidRPr="002A2450">
        <w:rPr>
          <w:rFonts w:ascii="ITC Avant Garde" w:hAnsi="ITC Avant Garde"/>
        </w:rPr>
        <w:t xml:space="preserve">En tales consideraciones se aborda el estudio de la </w:t>
      </w:r>
      <w:r w:rsidRPr="002A2450">
        <w:rPr>
          <w:rFonts w:ascii="ITC Avant Garde" w:hAnsi="ITC Avant Garde"/>
          <w:b/>
          <w:u w:val="single"/>
        </w:rPr>
        <w:t>caducidad derivada de las denuncias presentadas por los diversos concesionarios</w:t>
      </w:r>
      <w:r w:rsidRPr="002A2450">
        <w:rPr>
          <w:rFonts w:ascii="ITC Avant Garde" w:hAnsi="ITC Avant Garde"/>
        </w:rPr>
        <w:t xml:space="preserve"> a que la presunta infractora se refiere.</w:t>
      </w:r>
    </w:p>
    <w:p w14:paraId="10AF05E1" w14:textId="77777777" w:rsidR="00B35F13" w:rsidRDefault="00541DA2" w:rsidP="00B35F13">
      <w:pPr>
        <w:spacing w:before="240" w:line="360" w:lineRule="auto"/>
        <w:jc w:val="both"/>
        <w:rPr>
          <w:rFonts w:ascii="ITC Avant Garde" w:hAnsi="ITC Avant Garde"/>
        </w:rPr>
      </w:pPr>
      <w:r w:rsidRPr="002A2450">
        <w:rPr>
          <w:rFonts w:ascii="ITC Avant Garde" w:hAnsi="ITC Avant Garde"/>
        </w:rPr>
        <w:t xml:space="preserve">De acuerdo a lo previsto en el artículo 14 de la </w:t>
      </w:r>
      <w:r w:rsidRPr="002A2450">
        <w:rPr>
          <w:rFonts w:ascii="ITC Avant Garde" w:hAnsi="ITC Avant Garde"/>
          <w:b/>
        </w:rPr>
        <w:t>“LFPA”</w:t>
      </w:r>
      <w:r w:rsidRPr="002A2450">
        <w:rPr>
          <w:rFonts w:ascii="ITC Avant Garde" w:hAnsi="ITC Avant Garde"/>
        </w:rPr>
        <w:t>, los procedimientos pueden iniciarse de dos maneras: de oficio o petición de parte.</w:t>
      </w:r>
    </w:p>
    <w:p w14:paraId="6B5FCB19" w14:textId="77777777" w:rsidR="00B35F13" w:rsidRDefault="00541DA2" w:rsidP="00B35F13">
      <w:pPr>
        <w:spacing w:before="240" w:line="360" w:lineRule="auto"/>
        <w:jc w:val="both"/>
        <w:rPr>
          <w:rFonts w:ascii="ITC Avant Garde" w:hAnsi="ITC Avant Garde"/>
        </w:rPr>
      </w:pPr>
      <w:r w:rsidRPr="002A2450">
        <w:rPr>
          <w:rFonts w:ascii="ITC Avant Garde" w:hAnsi="ITC Avant Garde"/>
        </w:rPr>
        <w:t>En ese entendido, la autoridad puede iniciar un procedimiento atendiendo a los dos supuestos antes mencionados. Sin embargo, ello no exenta la posibilidad de que cualquier persona pueda acudir a la autoridad para que ponga en conocimiento de la misma la posible infrac</w:t>
      </w:r>
      <w:r w:rsidR="006235CB" w:rsidRPr="002A2450">
        <w:rPr>
          <w:rFonts w:ascii="ITC Avant Garde" w:hAnsi="ITC Avant Garde"/>
        </w:rPr>
        <w:t>ción a una disposición jurídica, o bien a una condición de un título de concesión de un sujeto regulado.</w:t>
      </w:r>
    </w:p>
    <w:p w14:paraId="40393519" w14:textId="258145CF" w:rsidR="00541DA2" w:rsidRPr="002A2450" w:rsidRDefault="00541DA2" w:rsidP="00B35F13">
      <w:pPr>
        <w:spacing w:before="240" w:line="360" w:lineRule="auto"/>
        <w:jc w:val="both"/>
        <w:rPr>
          <w:rFonts w:ascii="ITC Avant Garde" w:hAnsi="ITC Avant Garde"/>
        </w:rPr>
      </w:pPr>
      <w:r w:rsidRPr="002A2450">
        <w:rPr>
          <w:rFonts w:ascii="ITC Avant Garde" w:hAnsi="ITC Avant Garde"/>
        </w:rPr>
        <w:lastRenderedPageBreak/>
        <w:t xml:space="preserve">En el presente caso, de los antecedentes señalados en el acuerdo de inicio del procedimiento administrativo de imposición de sanción, la Unidad de Cumplimiento advirtió que las empresas </w:t>
      </w:r>
      <w:r w:rsidRPr="002A2450">
        <w:rPr>
          <w:rFonts w:ascii="ITC Avant Garde" w:hAnsi="ITC Avant Garde"/>
          <w:b/>
        </w:rPr>
        <w:t xml:space="preserve">“PEGASO”, “PEGASO PCS”, “GRUPO TM” </w:t>
      </w:r>
      <w:r w:rsidRPr="002A2450">
        <w:rPr>
          <w:rFonts w:ascii="ITC Avant Garde" w:hAnsi="ITC Avant Garde"/>
        </w:rPr>
        <w:t>y</w:t>
      </w:r>
    </w:p>
    <w:p w14:paraId="643B7AB4" w14:textId="77777777" w:rsidR="00B35F13" w:rsidRDefault="00541DA2" w:rsidP="00B35F13">
      <w:pPr>
        <w:spacing w:before="240" w:line="360" w:lineRule="auto"/>
        <w:jc w:val="both"/>
        <w:rPr>
          <w:rFonts w:ascii="ITC Avant Garde" w:hAnsi="ITC Avant Garde"/>
        </w:rPr>
      </w:pPr>
      <w:r w:rsidRPr="002A2450">
        <w:rPr>
          <w:rFonts w:ascii="ITC Avant Garde" w:hAnsi="ITC Avant Garde"/>
          <w:b/>
        </w:rPr>
        <w:t>TOTAL PLAY”</w:t>
      </w:r>
      <w:r w:rsidR="008A2413" w:rsidRPr="002A2450">
        <w:rPr>
          <w:rFonts w:ascii="ITC Avant Garde" w:hAnsi="ITC Avant Garde"/>
          <w:b/>
        </w:rPr>
        <w:t xml:space="preserve">, </w:t>
      </w:r>
      <w:r w:rsidRPr="002A2450">
        <w:rPr>
          <w:rFonts w:ascii="ITC Avant Garde" w:hAnsi="ITC Avant Garde"/>
        </w:rPr>
        <w:t xml:space="preserve">acudieron a esta autoridad </w:t>
      </w:r>
      <w:r w:rsidR="006235CB" w:rsidRPr="002A2450">
        <w:rPr>
          <w:rFonts w:ascii="ITC Avant Garde" w:hAnsi="ITC Avant Garde"/>
        </w:rPr>
        <w:t xml:space="preserve">haciendo una denuncia de hechos </w:t>
      </w:r>
      <w:r w:rsidR="008A2413" w:rsidRPr="002A2450">
        <w:rPr>
          <w:rFonts w:ascii="ITC Avant Garde" w:hAnsi="ITC Avant Garde"/>
        </w:rPr>
        <w:t xml:space="preserve">al considerar que </w:t>
      </w:r>
      <w:r w:rsidR="008A2413" w:rsidRPr="002A2450">
        <w:rPr>
          <w:rFonts w:ascii="ITC Avant Garde" w:hAnsi="ITC Avant Garde"/>
          <w:b/>
        </w:rPr>
        <w:t>“TELMEX”</w:t>
      </w:r>
      <w:r w:rsidR="008A2413" w:rsidRPr="002A2450">
        <w:rPr>
          <w:rFonts w:ascii="ITC Avant Garde" w:hAnsi="ITC Avant Garde"/>
        </w:rPr>
        <w:t xml:space="preserve"> incumplía la condición 1-9 de su </w:t>
      </w:r>
      <w:r w:rsidR="00365BE1" w:rsidRPr="002A2450">
        <w:rPr>
          <w:rFonts w:ascii="ITC Avant Garde" w:hAnsi="ITC Avant Garde"/>
          <w:b/>
        </w:rPr>
        <w:t>“</w:t>
      </w:r>
      <w:r w:rsidR="008A2413" w:rsidRPr="002A2450">
        <w:rPr>
          <w:rFonts w:ascii="ITC Avant Garde" w:hAnsi="ITC Avant Garde"/>
          <w:b/>
        </w:rPr>
        <w:t>TÍTULO DE CONCESIÓN</w:t>
      </w:r>
      <w:r w:rsidR="00365BE1" w:rsidRPr="002A2450">
        <w:rPr>
          <w:rFonts w:ascii="ITC Avant Garde" w:hAnsi="ITC Avant Garde"/>
          <w:b/>
        </w:rPr>
        <w:t>”</w:t>
      </w:r>
      <w:r w:rsidRPr="002A2450">
        <w:rPr>
          <w:rFonts w:ascii="ITC Avant Garde" w:hAnsi="ITC Avant Garde"/>
        </w:rPr>
        <w:t xml:space="preserve">. </w:t>
      </w:r>
    </w:p>
    <w:p w14:paraId="0402F5D7" w14:textId="77777777" w:rsidR="00B35F13" w:rsidRDefault="008A2413" w:rsidP="00B35F13">
      <w:pPr>
        <w:spacing w:before="240" w:line="360" w:lineRule="auto"/>
        <w:jc w:val="both"/>
        <w:rPr>
          <w:rFonts w:ascii="ITC Avant Garde" w:hAnsi="ITC Avant Garde"/>
        </w:rPr>
      </w:pPr>
      <w:r w:rsidRPr="002A2450">
        <w:rPr>
          <w:rFonts w:ascii="ITC Avant Garde" w:hAnsi="ITC Avant Garde"/>
        </w:rPr>
        <w:t>Dichas denuncias</w:t>
      </w:r>
      <w:r w:rsidR="006235CB" w:rsidRPr="002A2450">
        <w:rPr>
          <w:rFonts w:ascii="ITC Avant Garde" w:hAnsi="ITC Avant Garde"/>
        </w:rPr>
        <w:t>,</w:t>
      </w:r>
      <w:r w:rsidRPr="002A2450">
        <w:rPr>
          <w:rFonts w:ascii="ITC Avant Garde" w:hAnsi="ITC Avant Garde"/>
        </w:rPr>
        <w:t xml:space="preserve"> para efectos de las facultades que tiene conferida</w:t>
      </w:r>
      <w:r w:rsidR="00C76295" w:rsidRPr="002A2450">
        <w:rPr>
          <w:rFonts w:ascii="ITC Avant Garde" w:hAnsi="ITC Avant Garde"/>
        </w:rPr>
        <w:t>s</w:t>
      </w:r>
      <w:r w:rsidRPr="002A2450">
        <w:rPr>
          <w:rFonts w:ascii="ITC Avant Garde" w:hAnsi="ITC Avant Garde"/>
        </w:rPr>
        <w:t xml:space="preserve"> esta autoridad</w:t>
      </w:r>
      <w:r w:rsidR="006235CB" w:rsidRPr="002A2450">
        <w:rPr>
          <w:rFonts w:ascii="ITC Avant Garde" w:hAnsi="ITC Avant Garde"/>
        </w:rPr>
        <w:t>,</w:t>
      </w:r>
      <w:r w:rsidRPr="002A2450">
        <w:rPr>
          <w:rFonts w:ascii="ITC Avant Garde" w:hAnsi="ITC Avant Garde"/>
        </w:rPr>
        <w:t xml:space="preserve"> no </w:t>
      </w:r>
      <w:r w:rsidR="00F643C2" w:rsidRPr="002A2450">
        <w:rPr>
          <w:rFonts w:ascii="ITC Avant Garde" w:hAnsi="ITC Avant Garde"/>
        </w:rPr>
        <w:t>engendra</w:t>
      </w:r>
      <w:r w:rsidR="006235CB" w:rsidRPr="002A2450">
        <w:rPr>
          <w:rFonts w:ascii="ITC Avant Garde" w:hAnsi="ITC Avant Garde"/>
        </w:rPr>
        <w:t>n</w:t>
      </w:r>
      <w:r w:rsidRPr="002A2450">
        <w:rPr>
          <w:rFonts w:ascii="ITC Avant Garde" w:hAnsi="ITC Avant Garde"/>
        </w:rPr>
        <w:t xml:space="preserve"> </w:t>
      </w:r>
      <w:r w:rsidR="00C070EE" w:rsidRPr="002A2450">
        <w:rPr>
          <w:rFonts w:ascii="ITC Avant Garde" w:hAnsi="ITC Avant Garde"/>
          <w:i/>
        </w:rPr>
        <w:t xml:space="preserve">per se </w:t>
      </w:r>
      <w:r w:rsidRPr="002A2450">
        <w:rPr>
          <w:rFonts w:ascii="ITC Avant Garde" w:hAnsi="ITC Avant Garde"/>
        </w:rPr>
        <w:t>la posibilidad de que se inicie un procedimiento</w:t>
      </w:r>
      <w:r w:rsidR="00F643C2" w:rsidRPr="002A2450">
        <w:rPr>
          <w:rFonts w:ascii="ITC Avant Garde" w:hAnsi="ITC Avant Garde"/>
        </w:rPr>
        <w:t xml:space="preserve"> administrativo de imposición de sanción</w:t>
      </w:r>
      <w:r w:rsidRPr="002A2450">
        <w:rPr>
          <w:rFonts w:ascii="ITC Avant Garde" w:hAnsi="ITC Avant Garde"/>
        </w:rPr>
        <w:t xml:space="preserve">, esto es, no son </w:t>
      </w:r>
      <w:r w:rsidR="006235CB" w:rsidRPr="002A2450">
        <w:rPr>
          <w:rFonts w:ascii="ITC Avant Garde" w:hAnsi="ITC Avant Garde"/>
        </w:rPr>
        <w:t>vinculantes</w:t>
      </w:r>
      <w:r w:rsidRPr="002A2450">
        <w:rPr>
          <w:rFonts w:ascii="ITC Avant Garde" w:hAnsi="ITC Avant Garde"/>
        </w:rPr>
        <w:t xml:space="preserve"> para esta autoridad, ya que precisamente la función que las mismas tienen es poner en conocimiento de la autoridad hechos que a su consideración pudieran resultar contrario</w:t>
      </w:r>
      <w:r w:rsidR="006235CB" w:rsidRPr="002A2450">
        <w:rPr>
          <w:rFonts w:ascii="ITC Avant Garde" w:hAnsi="ITC Avant Garde"/>
        </w:rPr>
        <w:t>s</w:t>
      </w:r>
      <w:r w:rsidRPr="002A2450">
        <w:rPr>
          <w:rFonts w:ascii="ITC Avant Garde" w:hAnsi="ITC Avant Garde"/>
        </w:rPr>
        <w:t xml:space="preserve"> a la normatividad de la materia.</w:t>
      </w:r>
    </w:p>
    <w:p w14:paraId="48166472" w14:textId="77777777" w:rsidR="00B35F13" w:rsidRDefault="008A2413" w:rsidP="00B35F13">
      <w:pPr>
        <w:spacing w:before="240" w:line="360" w:lineRule="auto"/>
        <w:jc w:val="both"/>
        <w:rPr>
          <w:rFonts w:ascii="ITC Avant Garde" w:hAnsi="ITC Avant Garde"/>
        </w:rPr>
      </w:pPr>
      <w:r w:rsidRPr="002A2450">
        <w:rPr>
          <w:rFonts w:ascii="ITC Avant Garde" w:hAnsi="ITC Avant Garde"/>
        </w:rPr>
        <w:t xml:space="preserve">Al respecto, </w:t>
      </w:r>
      <w:r w:rsidR="00541DA2" w:rsidRPr="002A2450">
        <w:rPr>
          <w:rFonts w:ascii="ITC Avant Garde" w:hAnsi="ITC Avant Garde"/>
        </w:rPr>
        <w:t>la Segunda Sala de la Suprema Corte de Justicia de la Nación, ha sostenido que las denuncias presentadas ante las Dependencias no necesariamente siguen las pretensiones señaladas en las mismas, puesto que ello es precisamente parte de las facultades que cada autoridad tiene para determinar el inicio de sus facultades de comprobación. Dicha jurisprudencia a la letra señala:</w:t>
      </w:r>
    </w:p>
    <w:p w14:paraId="21916C01" w14:textId="77777777" w:rsidR="00B35F13" w:rsidRDefault="00541DA2" w:rsidP="00B35F13">
      <w:pPr>
        <w:spacing w:before="240" w:line="360" w:lineRule="auto"/>
        <w:ind w:left="567" w:right="567"/>
        <w:jc w:val="both"/>
        <w:rPr>
          <w:rFonts w:ascii="ITC Avant Garde" w:hAnsi="ITC Avant Garde"/>
        </w:rPr>
      </w:pPr>
      <w:r w:rsidRPr="002A2450">
        <w:rPr>
          <w:rFonts w:ascii="ITC Avant Garde" w:hAnsi="ITC Avant Garde"/>
          <w:b/>
        </w:rPr>
        <w:t>RESPONSABILIDADES DE LOS SERVIDORES PÚBLICOS. EL DENUNCIANTE DE LA QUEJA ADMINISTRATIVA CARECE DE INTERÉS JURÍDICO PARA IMPUGNAR EN AMPARO LA RESOLUCIÓN QUE LA DECLARA IMPROCEDENTE.</w:t>
      </w:r>
      <w:r w:rsidRPr="002A2450">
        <w:rPr>
          <w:rFonts w:ascii="ITC Avant Garde" w:hAnsi="ITC Avant Garde"/>
        </w:rPr>
        <w:t xml:space="preserve"> De conformidad con los artículos 49 y 50 de la Ley Federal de Responsabilidades de los Servidores Públicos, cualquier persona tiene derecho a presentar quejas y denuncias por incumplimiento de las obligaciones de los servidores públicos, con las cuales se inicia, en su caso, el procedimiento disciplinario correspondiente; sin embargo, como el régimen de responsabilidades relativo no tiene como propósito fundamental salvaguardar intereses particulares mediante el procedimiento sancionador, sino preservar una prestación óptima del servicio público de que se trate, el orden jurídico </w:t>
      </w:r>
      <w:r w:rsidRPr="002A2450">
        <w:rPr>
          <w:rFonts w:ascii="ITC Avant Garde" w:hAnsi="ITC Avant Garde"/>
        </w:rPr>
        <w:lastRenderedPageBreak/>
        <w:t>objetivo otorga al particular una mera facultad de formular quejas y denuncias por incumplimiento de las obligaciones de los servidores públicos, sin que pueda exigir de la autoridad una determinada conducta respecto de sus pretensiones, de ahí que aquél carezca de interés jurídico para impugnar en amparo la resolución que ordena el archivo del expediente por ser improcedente la queja o por no existir elementos para fincar responsabilidad administrativa.</w:t>
      </w:r>
    </w:p>
    <w:p w14:paraId="265603FB" w14:textId="77777777" w:rsidR="00B35F13" w:rsidRDefault="00541DA2" w:rsidP="00B35F13">
      <w:pPr>
        <w:spacing w:before="240" w:line="360" w:lineRule="auto"/>
        <w:ind w:left="567" w:right="567"/>
        <w:jc w:val="both"/>
        <w:rPr>
          <w:rFonts w:ascii="ITC Avant Garde" w:hAnsi="ITC Avant Garde"/>
          <w:sz w:val="18"/>
        </w:rPr>
      </w:pPr>
      <w:r w:rsidRPr="002A2450">
        <w:rPr>
          <w:rFonts w:ascii="ITC Avant Garde" w:hAnsi="ITC Avant Garde"/>
          <w:sz w:val="18"/>
        </w:rPr>
        <w:t>Época: Novena Época, Registro: 176129, Instancia: Segunda Sala, Tipo de Tesis: Jurisprudencia, Fuente: Semanario Judicial de la Federación y su Gaceta, Tomo XXIII, Enero de 2006, Materia(s): Administrativa, Tesis: 2a</w:t>
      </w:r>
      <w:r w:rsidR="00C23776" w:rsidRPr="002A2450">
        <w:rPr>
          <w:rFonts w:ascii="ITC Avant Garde" w:hAnsi="ITC Avant Garde"/>
          <w:sz w:val="18"/>
        </w:rPr>
        <w:t>. /</w:t>
      </w:r>
      <w:r w:rsidRPr="002A2450">
        <w:rPr>
          <w:rFonts w:ascii="ITC Avant Garde" w:hAnsi="ITC Avant Garde"/>
          <w:sz w:val="18"/>
        </w:rPr>
        <w:t xml:space="preserve">J. 1/2006, Página: 1120. </w:t>
      </w:r>
    </w:p>
    <w:p w14:paraId="4F6D9DA1" w14:textId="77777777" w:rsidR="00B35F13" w:rsidRDefault="00541DA2" w:rsidP="00B35F13">
      <w:pPr>
        <w:spacing w:before="240" w:line="360" w:lineRule="auto"/>
        <w:jc w:val="both"/>
        <w:rPr>
          <w:rFonts w:ascii="ITC Avant Garde" w:hAnsi="ITC Avant Garde"/>
        </w:rPr>
      </w:pPr>
      <w:r w:rsidRPr="002A2450">
        <w:rPr>
          <w:rFonts w:ascii="ITC Avant Garde" w:hAnsi="ITC Avant Garde"/>
        </w:rPr>
        <w:t>De igual manera, por reiteración</w:t>
      </w:r>
      <w:r w:rsidR="008A2413" w:rsidRPr="002A2450">
        <w:rPr>
          <w:rFonts w:ascii="ITC Avant Garde" w:hAnsi="ITC Avant Garde"/>
        </w:rPr>
        <w:t>,</w:t>
      </w:r>
      <w:r w:rsidRPr="002A2450">
        <w:rPr>
          <w:rFonts w:ascii="ITC Avant Garde" w:hAnsi="ITC Avant Garde"/>
        </w:rPr>
        <w:t xml:space="preserve"> los Tribunales Colegiados han sostenido dicho criterio en la siguiente jurisprudencia:</w:t>
      </w:r>
    </w:p>
    <w:p w14:paraId="622778FA" w14:textId="77777777" w:rsidR="00B35F13" w:rsidRDefault="00541DA2" w:rsidP="00B35F13">
      <w:pPr>
        <w:spacing w:before="240" w:line="360" w:lineRule="auto"/>
        <w:ind w:left="567" w:right="567"/>
        <w:jc w:val="both"/>
        <w:rPr>
          <w:rFonts w:ascii="ITC Avant Garde" w:hAnsi="ITC Avant Garde"/>
        </w:rPr>
      </w:pPr>
      <w:r w:rsidRPr="002A2450">
        <w:rPr>
          <w:rFonts w:ascii="ITC Avant Garde" w:hAnsi="ITC Avant Garde"/>
          <w:b/>
        </w:rPr>
        <w:t xml:space="preserve">RESPONSABILIDADES DE LOS SERVIDORES PÚBLICOS DEL ESTADO Y MUNICIPIOS DE SAN LUIS POTOSÍ. EL DENUNCIANTE CARECE DE INTERÉS JURÍDICO PARA PROMOVER AMPARO CONTRA LA RESOLUCIÓN QUE DECLARA IMPROCEDENTE O DETERMINA NO TRAMITAR LOS PROCEDIMIENTOS QUE PREVÉ LA LEY RELATIVA. </w:t>
      </w:r>
      <w:r w:rsidRPr="002A2450">
        <w:rPr>
          <w:rFonts w:ascii="ITC Avant Garde" w:hAnsi="ITC Avant Garde"/>
        </w:rPr>
        <w:t>Los denunciantes en los procedimientos que prevé la Ley de Responsabilidades de los Servidores Públicos del Estado y Municipios de San Luis Potosí, carecen de interés jurídico para impugnar, a través del juicio de amparo, la resolución que los declara improcedentes o que determina no tramitarlos, porque dicha legislación no tutela intereses particulares, sino públicos, y sólo concede a los gobernados la facultad de presentar la denuncia respectiva.</w:t>
      </w:r>
    </w:p>
    <w:p w14:paraId="35AAF5F9" w14:textId="77777777" w:rsidR="00B35F13" w:rsidRDefault="00541DA2"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Novena Época, Registro: 169049, Instancia: Tribunales Colegiados de Circuito, Tipo de Tesis: Jurisprudencia, Fuente: Semanario Judicial de la Federación y su Gaceta, Tomo XXVIII, Agosto de 2008, Materia(s): Administrativa, Tesis: IX.1o. J/17, Página: 956 </w:t>
      </w:r>
    </w:p>
    <w:p w14:paraId="14F64548" w14:textId="77777777" w:rsidR="00B35F13" w:rsidRDefault="00541DA2" w:rsidP="00B35F13">
      <w:pPr>
        <w:spacing w:before="240" w:line="360" w:lineRule="auto"/>
        <w:jc w:val="both"/>
        <w:rPr>
          <w:rFonts w:ascii="ITC Avant Garde" w:hAnsi="ITC Avant Garde"/>
        </w:rPr>
      </w:pPr>
      <w:r w:rsidRPr="002A2450">
        <w:rPr>
          <w:rFonts w:ascii="ITC Avant Garde" w:hAnsi="ITC Avant Garde"/>
        </w:rPr>
        <w:t>Así las cosas, l</w:t>
      </w:r>
      <w:r w:rsidR="00C070EE" w:rsidRPr="002A2450">
        <w:rPr>
          <w:rFonts w:ascii="ITC Avant Garde" w:hAnsi="ITC Avant Garde"/>
        </w:rPr>
        <w:t>a</w:t>
      </w:r>
      <w:r w:rsidRPr="002A2450">
        <w:rPr>
          <w:rFonts w:ascii="ITC Avant Garde" w:hAnsi="ITC Avant Garde"/>
        </w:rPr>
        <w:t xml:space="preserve">s </w:t>
      </w:r>
      <w:r w:rsidR="00C070EE" w:rsidRPr="002A2450">
        <w:rPr>
          <w:rFonts w:ascii="ITC Avant Garde" w:hAnsi="ITC Avant Garde"/>
        </w:rPr>
        <w:t xml:space="preserve">denuncias presentadas ante la autoridad </w:t>
      </w:r>
      <w:r w:rsidR="0063182E" w:rsidRPr="002A2450">
        <w:rPr>
          <w:rFonts w:ascii="ITC Avant Garde" w:hAnsi="ITC Avant Garde"/>
        </w:rPr>
        <w:t xml:space="preserve">no pueden imponer </w:t>
      </w:r>
      <w:r w:rsidR="006235CB" w:rsidRPr="002A2450">
        <w:rPr>
          <w:rFonts w:ascii="ITC Avant Garde" w:hAnsi="ITC Avant Garde"/>
        </w:rPr>
        <w:t xml:space="preserve">la obligación de llevar a cabo o tramitar </w:t>
      </w:r>
      <w:r w:rsidR="0063182E" w:rsidRPr="002A2450">
        <w:rPr>
          <w:rFonts w:ascii="ITC Avant Garde" w:hAnsi="ITC Avant Garde"/>
        </w:rPr>
        <w:t xml:space="preserve">el inicio de un procedimiento administrativo </w:t>
      </w:r>
      <w:r w:rsidR="0063182E" w:rsidRPr="002A2450">
        <w:rPr>
          <w:rFonts w:ascii="ITC Avant Garde" w:hAnsi="ITC Avant Garde"/>
        </w:rPr>
        <w:lastRenderedPageBreak/>
        <w:t>de imposición de sanción, puesto que como se ha advertido, las denuncias presentadas ante una autoridad, no tiene</w:t>
      </w:r>
      <w:r w:rsidR="006235CB" w:rsidRPr="002A2450">
        <w:rPr>
          <w:rFonts w:ascii="ITC Avant Garde" w:hAnsi="ITC Avant Garde"/>
        </w:rPr>
        <w:t>n</w:t>
      </w:r>
      <w:r w:rsidR="0063182E" w:rsidRPr="002A2450">
        <w:rPr>
          <w:rFonts w:ascii="ITC Avant Garde" w:hAnsi="ITC Avant Garde"/>
        </w:rPr>
        <w:t xml:space="preserve"> como propósito fundamental salvaguardar intereses particulares mediante el procedimiento sancionador, sino preservar una prestación óptima del servicio público.</w:t>
      </w:r>
    </w:p>
    <w:p w14:paraId="33968B59" w14:textId="77777777" w:rsidR="00B35F13" w:rsidRDefault="0063182E" w:rsidP="00B35F13">
      <w:pPr>
        <w:spacing w:before="240" w:line="360" w:lineRule="auto"/>
        <w:jc w:val="both"/>
        <w:rPr>
          <w:rFonts w:ascii="ITC Avant Garde" w:hAnsi="ITC Avant Garde"/>
        </w:rPr>
      </w:pPr>
      <w:r w:rsidRPr="002A2450">
        <w:rPr>
          <w:rFonts w:ascii="ITC Avant Garde" w:hAnsi="ITC Avant Garde"/>
        </w:rPr>
        <w:t>Al respecto, sirve de aplicación por analogía la siguiente tesis:</w:t>
      </w:r>
    </w:p>
    <w:p w14:paraId="3035CBEB" w14:textId="77777777" w:rsidR="00B35F13" w:rsidRDefault="0063182E" w:rsidP="00B35F13">
      <w:pPr>
        <w:spacing w:before="240" w:line="360" w:lineRule="auto"/>
        <w:ind w:left="567" w:right="567"/>
        <w:jc w:val="both"/>
        <w:rPr>
          <w:rFonts w:ascii="ITC Avant Garde" w:hAnsi="ITC Avant Garde"/>
        </w:rPr>
      </w:pPr>
      <w:r w:rsidRPr="002A2450">
        <w:rPr>
          <w:rFonts w:ascii="ITC Avant Garde" w:hAnsi="ITC Avant Garde"/>
          <w:b/>
        </w:rPr>
        <w:t>COMPETENCIA ECONÓMICA. LAS CARACTERÍSTICAS DEL PROCEDIMIENTO ESTABLECIDO EN LA LEY FEDERAL CORRESPONDIENTE, LO IDENTIFICAN COMO ADMINISTRATIVO Y NO COMO CIVIL.</w:t>
      </w:r>
      <w:r w:rsidRPr="002A2450">
        <w:rPr>
          <w:rFonts w:ascii="ITC Avant Garde" w:hAnsi="ITC Avant Garde"/>
        </w:rPr>
        <w:t xml:space="preserve"> El procedimiento establecido en los artículos 33 y 39 de la ley mencionada tiene características que no corresponden a las del proceso civil, donde, predominan los intereses particulares, las defensas y recursos son más pormenorizados y los juicios más prolongados, lo que no sucede en los procedimientos administrativos, fundamentalmente, porque en estos predomina el interés general, que exige eficiencia, seguridad y </w:t>
      </w:r>
      <w:proofErr w:type="spellStart"/>
      <w:r w:rsidRPr="002A2450">
        <w:rPr>
          <w:rFonts w:ascii="ITC Avant Garde" w:hAnsi="ITC Avant Garde"/>
        </w:rPr>
        <w:t>expeditez</w:t>
      </w:r>
      <w:proofErr w:type="spellEnd"/>
      <w:r w:rsidRPr="002A2450">
        <w:rPr>
          <w:rFonts w:ascii="ITC Avant Garde" w:hAnsi="ITC Avant Garde"/>
        </w:rPr>
        <w:t>, en virtud de que tiende al aseguramiento de los fines del Estado, estableciendo vías rápidas y eficaces, eliminando todos los actos que dilaten o entorpezcan la acción de la administración pública, sin perjuicio de que ante la presencia de intereses particulares, se respeten, esencialmente, las garantías individuales de los gobernados. Estas peculiaridades corresponden al procedimiento establecido en las disposiciones citadas y, por consiguiente, no cabe exigir de su normatividad, recursos y defensas que s</w:t>
      </w:r>
      <w:r w:rsidR="0009431F" w:rsidRPr="002A2450">
        <w:rPr>
          <w:rFonts w:ascii="ITC Avant Garde" w:hAnsi="ITC Avant Garde"/>
        </w:rPr>
        <w:t>on propios de un proceso civil.</w:t>
      </w:r>
    </w:p>
    <w:p w14:paraId="223E0F89" w14:textId="77777777" w:rsidR="00B35F13" w:rsidRDefault="0063182E" w:rsidP="00B35F13">
      <w:pPr>
        <w:spacing w:before="240" w:line="360" w:lineRule="auto"/>
        <w:ind w:left="567" w:right="567"/>
        <w:jc w:val="both"/>
        <w:rPr>
          <w:rFonts w:ascii="ITC Avant Garde" w:hAnsi="ITC Avant Garde"/>
        </w:rPr>
      </w:pPr>
      <w:r w:rsidRPr="002A2450">
        <w:rPr>
          <w:rFonts w:ascii="ITC Avant Garde" w:hAnsi="ITC Avant Garde"/>
          <w:sz w:val="18"/>
        </w:rPr>
        <w:t>Época: Novena Época, Registro: 191431, Instancia: Pleno, Tipo de Tesis: Aislada, Fuente: Semanario Judicial de la Federación y su Gaceta, Tomo XII, Agosto de 2000, Materia(s): Administrativa, Tesis: P. CXII/2000, Página: 108.</w:t>
      </w:r>
    </w:p>
    <w:p w14:paraId="4C6399C7" w14:textId="77777777" w:rsidR="00B35F13" w:rsidRDefault="00F643C2" w:rsidP="00B35F13">
      <w:pPr>
        <w:spacing w:before="240" w:line="360" w:lineRule="auto"/>
        <w:jc w:val="both"/>
        <w:rPr>
          <w:rFonts w:ascii="ITC Avant Garde" w:hAnsi="ITC Avant Garde"/>
        </w:rPr>
      </w:pPr>
      <w:r w:rsidRPr="002A2450">
        <w:rPr>
          <w:rFonts w:ascii="ITC Avant Garde" w:hAnsi="ITC Avant Garde"/>
        </w:rPr>
        <w:t>Ahora bien, no debe pasar desapercibido el hecho de que las denuncias presentada</w:t>
      </w:r>
      <w:r w:rsidR="00C76295" w:rsidRPr="002A2450">
        <w:rPr>
          <w:rFonts w:ascii="ITC Avant Garde" w:hAnsi="ITC Avant Garde"/>
        </w:rPr>
        <w:t>s</w:t>
      </w:r>
      <w:r w:rsidRPr="002A2450">
        <w:rPr>
          <w:rFonts w:ascii="ITC Avant Garde" w:hAnsi="ITC Avant Garde"/>
        </w:rPr>
        <w:t xml:space="preserve"> ante este </w:t>
      </w:r>
      <w:r w:rsidRPr="002A2450">
        <w:rPr>
          <w:rFonts w:ascii="ITC Avant Garde" w:hAnsi="ITC Avant Garde"/>
          <w:b/>
        </w:rPr>
        <w:t>“Instituto”</w:t>
      </w:r>
      <w:r w:rsidRPr="002A2450">
        <w:rPr>
          <w:rFonts w:ascii="ITC Avant Garde" w:hAnsi="ITC Avant Garde"/>
        </w:rPr>
        <w:t xml:space="preserve"> no son propiamente un acto emitido por la autoridad en ejercicio de sus facultades, esto es, no es </w:t>
      </w:r>
      <w:r w:rsidR="004B3FD2" w:rsidRPr="002A2450">
        <w:rPr>
          <w:rFonts w:ascii="ITC Avant Garde" w:hAnsi="ITC Avant Garde"/>
        </w:rPr>
        <w:t xml:space="preserve">un acto de autoridad </w:t>
      </w:r>
      <w:r w:rsidR="004B3FD2" w:rsidRPr="002A2450">
        <w:rPr>
          <w:rFonts w:ascii="ITC Avant Garde" w:hAnsi="ITC Avant Garde"/>
        </w:rPr>
        <w:lastRenderedPageBreak/>
        <w:t>emanado</w:t>
      </w:r>
      <w:r w:rsidR="004B3FD2" w:rsidRPr="002A2450" w:rsidDel="004B3FD2">
        <w:rPr>
          <w:rFonts w:ascii="ITC Avant Garde" w:hAnsi="ITC Avant Garde"/>
        </w:rPr>
        <w:t xml:space="preserve"> </w:t>
      </w:r>
      <w:r w:rsidRPr="002A2450">
        <w:rPr>
          <w:rFonts w:ascii="ITC Avant Garde" w:hAnsi="ITC Avant Garde"/>
        </w:rPr>
        <w:t xml:space="preserve">por la Unidad de Cumplimiento en ejercicio de sus funciones de supervisión y verificación, sino que las mismas fueron producto de las consideraciones que tuvieron las empresas mencionadas para poner en conocimiento de la autoridad lo que a su consideración, podría ser una conducta violatoria de la </w:t>
      </w:r>
      <w:r w:rsidR="006235CB" w:rsidRPr="002A2450">
        <w:rPr>
          <w:rFonts w:ascii="ITC Avant Garde" w:hAnsi="ITC Avant Garde"/>
        </w:rPr>
        <w:t xml:space="preserve">carga regulatoria impuesta a </w:t>
      </w:r>
      <w:r w:rsidR="006235CB" w:rsidRPr="002A2450">
        <w:rPr>
          <w:rFonts w:ascii="ITC Avant Garde" w:hAnsi="ITC Avant Garde"/>
          <w:b/>
        </w:rPr>
        <w:t>“TELMEX”</w:t>
      </w:r>
      <w:r w:rsidR="006235CB" w:rsidRPr="002A2450">
        <w:rPr>
          <w:rFonts w:ascii="ITC Avant Garde" w:hAnsi="ITC Avant Garde"/>
        </w:rPr>
        <w:t xml:space="preserve"> en su </w:t>
      </w:r>
      <w:r w:rsidR="006235CB" w:rsidRPr="002A2450">
        <w:rPr>
          <w:rFonts w:ascii="ITC Avant Garde" w:hAnsi="ITC Avant Garde"/>
          <w:b/>
        </w:rPr>
        <w:t>“TÍTULO DE CONCESIÓN”</w:t>
      </w:r>
      <w:r w:rsidR="006235CB" w:rsidRPr="002A2450">
        <w:rPr>
          <w:rFonts w:ascii="ITC Avant Garde" w:hAnsi="ITC Avant Garde"/>
        </w:rPr>
        <w:t xml:space="preserve"> o bien de la normatividad en la materia.</w:t>
      </w:r>
    </w:p>
    <w:p w14:paraId="7AAF6B16" w14:textId="77777777" w:rsidR="00B35F13" w:rsidRDefault="00F643C2" w:rsidP="00B35F13">
      <w:pPr>
        <w:spacing w:before="240" w:line="360" w:lineRule="auto"/>
        <w:jc w:val="both"/>
        <w:rPr>
          <w:rFonts w:ascii="ITC Avant Garde" w:hAnsi="ITC Avant Garde"/>
          <w:b/>
        </w:rPr>
      </w:pPr>
      <w:r w:rsidRPr="002A2450">
        <w:rPr>
          <w:rFonts w:ascii="ITC Avant Garde" w:hAnsi="ITC Avant Garde"/>
        </w:rPr>
        <w:t xml:space="preserve">En ese sentido, </w:t>
      </w:r>
      <w:r w:rsidR="00C070EE" w:rsidRPr="002A2450">
        <w:rPr>
          <w:rFonts w:ascii="ITC Avant Garde" w:hAnsi="ITC Avant Garde"/>
        </w:rPr>
        <w:t xml:space="preserve">las denuncias </w:t>
      </w:r>
      <w:r w:rsidRPr="002A2450">
        <w:rPr>
          <w:rFonts w:ascii="ITC Avant Garde" w:hAnsi="ITC Avant Garde"/>
        </w:rPr>
        <w:t xml:space="preserve">al no ser un acto de autoridad no les resulta aplicable lo dispuesto en el artículo 17 y 60 de la </w:t>
      </w:r>
      <w:r w:rsidR="006235CB" w:rsidRPr="002A2450">
        <w:rPr>
          <w:rFonts w:ascii="ITC Avant Garde" w:hAnsi="ITC Avant Garde"/>
          <w:b/>
        </w:rPr>
        <w:t xml:space="preserve">“LFPA”, </w:t>
      </w:r>
      <w:r w:rsidR="006235CB" w:rsidRPr="002A2450">
        <w:rPr>
          <w:rFonts w:ascii="ITC Avant Garde" w:hAnsi="ITC Avant Garde"/>
        </w:rPr>
        <w:t xml:space="preserve">ya que </w:t>
      </w:r>
      <w:r w:rsidR="00C070EE" w:rsidRPr="002A2450">
        <w:rPr>
          <w:rFonts w:ascii="ITC Avant Garde" w:hAnsi="ITC Avant Garde"/>
        </w:rPr>
        <w:t xml:space="preserve"> el presente asunto  se </w:t>
      </w:r>
      <w:r w:rsidR="006235CB" w:rsidRPr="002A2450">
        <w:rPr>
          <w:rFonts w:ascii="ITC Avant Garde" w:hAnsi="ITC Avant Garde"/>
        </w:rPr>
        <w:t xml:space="preserve">inició </w:t>
      </w:r>
      <w:r w:rsidR="00C070EE" w:rsidRPr="002A2450">
        <w:rPr>
          <w:rFonts w:ascii="ITC Avant Garde" w:hAnsi="ITC Avant Garde"/>
        </w:rPr>
        <w:t xml:space="preserve">con motivo de </w:t>
      </w:r>
      <w:r w:rsidR="00F604BE">
        <w:rPr>
          <w:rFonts w:ascii="ITC Avant Garde" w:hAnsi="ITC Avant Garde"/>
        </w:rPr>
        <w:t>los hechos denunciados así como</w:t>
      </w:r>
      <w:r w:rsidR="004B3FD2" w:rsidRPr="002A2450">
        <w:rPr>
          <w:rFonts w:ascii="ITC Avant Garde" w:hAnsi="ITC Avant Garde"/>
        </w:rPr>
        <w:t xml:space="preserve"> del análisis de las constancias que obraban en los archivos de la Unidad de Cumplimiento</w:t>
      </w:r>
      <w:r w:rsidR="006235CB" w:rsidRPr="002A2450">
        <w:rPr>
          <w:rFonts w:ascii="ITC Avant Garde" w:hAnsi="ITC Avant Garde"/>
        </w:rPr>
        <w:t>.</w:t>
      </w:r>
    </w:p>
    <w:p w14:paraId="04C5BD24" w14:textId="77777777" w:rsidR="00B35F13" w:rsidRDefault="00F643C2" w:rsidP="00B35F13">
      <w:pPr>
        <w:spacing w:before="240" w:line="360" w:lineRule="auto"/>
        <w:jc w:val="both"/>
        <w:rPr>
          <w:rFonts w:ascii="ITC Avant Garde" w:hAnsi="ITC Avant Garde"/>
        </w:rPr>
      </w:pPr>
      <w:r w:rsidRPr="002A2450">
        <w:rPr>
          <w:rFonts w:ascii="ITC Avant Garde" w:hAnsi="ITC Avant Garde"/>
        </w:rPr>
        <w:t xml:space="preserve">Lo anterior, ya que las denuncias no forman parte de la actividad que realiza la Unidad de Cumplimiento en ejercicio de sus atribuciones, sino que simplemente, corresponde a las actuaciones de los particulares </w:t>
      </w:r>
      <w:r w:rsidR="00C070EE" w:rsidRPr="002A2450">
        <w:rPr>
          <w:rFonts w:ascii="ITC Avant Garde" w:hAnsi="ITC Avant Garde"/>
        </w:rPr>
        <w:t>que estimaron pertinentes, de all</w:t>
      </w:r>
      <w:r w:rsidRPr="002A2450">
        <w:rPr>
          <w:rFonts w:ascii="ITC Avant Garde" w:hAnsi="ITC Avant Garde"/>
        </w:rPr>
        <w:t>í entonces, que no resulte</w:t>
      </w:r>
      <w:r w:rsidR="00C76295" w:rsidRPr="002A2450">
        <w:rPr>
          <w:rFonts w:ascii="ITC Avant Garde" w:hAnsi="ITC Avant Garde"/>
        </w:rPr>
        <w:t>n</w:t>
      </w:r>
      <w:r w:rsidRPr="002A2450">
        <w:rPr>
          <w:rFonts w:ascii="ITC Avant Garde" w:hAnsi="ITC Avant Garde"/>
        </w:rPr>
        <w:t xml:space="preserve"> aplicable los artículos en mención dado que </w:t>
      </w:r>
      <w:r w:rsidR="006235CB" w:rsidRPr="002A2450">
        <w:rPr>
          <w:rFonts w:ascii="ITC Avant Garde" w:hAnsi="ITC Avant Garde"/>
        </w:rPr>
        <w:t xml:space="preserve">las actuaciones </w:t>
      </w:r>
      <w:r w:rsidRPr="002A2450">
        <w:rPr>
          <w:rFonts w:ascii="ITC Avant Garde" w:hAnsi="ITC Avant Garde"/>
        </w:rPr>
        <w:t xml:space="preserve">de los particulares que hayan puesto en conocimiento de la autoridad hechos que consideran contarios </w:t>
      </w:r>
      <w:r w:rsidR="006235CB" w:rsidRPr="002A2450">
        <w:rPr>
          <w:rFonts w:ascii="ITC Avant Garde" w:hAnsi="ITC Avant Garde"/>
        </w:rPr>
        <w:t>a la normatividad de la materia, no detonan el inicio de un procedimiento administrativo susceptible de caducar.</w:t>
      </w:r>
    </w:p>
    <w:p w14:paraId="5EFB1729" w14:textId="77777777" w:rsidR="00B35F13" w:rsidRDefault="00F643C2" w:rsidP="00B35F13">
      <w:pPr>
        <w:spacing w:before="240" w:line="360" w:lineRule="auto"/>
        <w:jc w:val="both"/>
        <w:rPr>
          <w:rFonts w:ascii="ITC Avant Garde" w:hAnsi="ITC Avant Garde"/>
        </w:rPr>
      </w:pPr>
      <w:r w:rsidRPr="002A2450">
        <w:rPr>
          <w:rFonts w:ascii="ITC Avant Garde" w:hAnsi="ITC Avant Garde"/>
        </w:rPr>
        <w:t xml:space="preserve">Lo anterior, ha sido señalado en la siguiente tesis </w:t>
      </w:r>
      <w:r w:rsidR="005D3E9A" w:rsidRPr="002A2450">
        <w:rPr>
          <w:rFonts w:ascii="ITC Avant Garde" w:hAnsi="ITC Avant Garde"/>
        </w:rPr>
        <w:t xml:space="preserve">emitida </w:t>
      </w:r>
      <w:r w:rsidRPr="002A2450">
        <w:rPr>
          <w:rFonts w:ascii="ITC Avant Garde" w:hAnsi="ITC Avant Garde"/>
        </w:rPr>
        <w:t>por los Tribunales Especializados en la materia al señalar lo siguiente:</w:t>
      </w:r>
    </w:p>
    <w:p w14:paraId="6324C1F4" w14:textId="77777777" w:rsidR="00B35F13" w:rsidRDefault="00F643C2" w:rsidP="00B35F13">
      <w:pPr>
        <w:spacing w:before="240" w:line="360" w:lineRule="auto"/>
        <w:ind w:left="567" w:right="567"/>
        <w:jc w:val="both"/>
        <w:rPr>
          <w:rFonts w:ascii="ITC Avant Garde" w:hAnsi="ITC Avant Garde"/>
        </w:rPr>
      </w:pPr>
      <w:r w:rsidRPr="002A2450">
        <w:rPr>
          <w:rFonts w:ascii="ITC Avant Garde" w:hAnsi="ITC Avant Garde"/>
          <w:b/>
        </w:rPr>
        <w:t>PROCEDIMIENTO ADMINISTRATIVO. PLAZO PARA EMITIR LA RESOLUCIÓN FINAL EN LA VISITA DE VERIFICACIÓN, CONFORME A LA LEY FEDERAL RELATIVA</w:t>
      </w:r>
      <w:r w:rsidRPr="002A2450">
        <w:rPr>
          <w:rFonts w:ascii="ITC Avant Garde" w:hAnsi="ITC Avant Garde"/>
        </w:rPr>
        <w:t xml:space="preserve">. La Ley Federal de Procedimiento Administrativo en su artículo 1, dispone que sus mandatos son de orden e interés públicos, los cuales se aplicarán a los actos, procedimientos y resoluciones de la administración pública federal centralizada. En el aspecto específico de los procedimientos, dicho ordenamiento establece y regula tres: i) el de verificación -visitas de verificación-; ii) el genérico o estándar, dentro del que se inserta, además; iii) el de imposición de sanciones. Respecto del </w:t>
      </w:r>
      <w:r w:rsidRPr="002A2450">
        <w:rPr>
          <w:rFonts w:ascii="ITC Avant Garde" w:hAnsi="ITC Avant Garde"/>
        </w:rPr>
        <w:lastRenderedPageBreak/>
        <w:t>primero, la ley prevé que las autoridades administrativas, para comprobar el cumplimiento de las disposiciones legales, podrán llevar a cabo visitas de verificación, las que pueden ser ordinarias y extraordinarias, y que para su práctica los verificadores deberán estar provistos de una orden escrita, con firma autógrafa de la autoridad competente, en la que habrán de precisarse el lugar o zona a verificarse, el objeto, alcance y disposiciones legales que lo fundamenten; también señala que de toda verificación, cuya duración será de diez días, se levantará acta circunstanciada con los elementos de forma exigidos, hecho lo cual, los visitados podrán formular observaciones y ofrecer pruebas en la diligencia, o bien, por escrito dentro del término de cinco días siguientes a la fecha en que se hubiera levantado el acta. Cabe advertir que las disposiciones relativas a la visita de verificación no prevén plazo alguno para emitir la resolución final respectiva; sin embargo, por integridad del sistema y con base en una interpretación sistemática y funcional, debe acudirse al primer párrafo del artículo 17 de la ley citada, el cual indica, salvo que en otra disposición legal o administrativa de carácter general se establezca lo contrario, que no podrá exceder de tres meses el tiempo para que la dependencia u organismo resuelva lo que corresponda y, una vez transcurrido ese lapso, empezará a correr el plazo contenido en el diverso artículo 60, último párrafo, para la caducidad del procedimiento de verificación.</w:t>
      </w:r>
    </w:p>
    <w:p w14:paraId="4CBC991F" w14:textId="77777777" w:rsidR="00B35F13" w:rsidRDefault="00F643C2"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2010575, Instancia: Tribunales Colegiados de Circuito, Tipo de Tesis: Aislada, Fuente: Gaceta del Semanario Judicial de la Federación, Libro 24, Noviembre de 2015, Tomo IV, Materia(s): Administrativa, Tesis: I.1o.A.E.87 A (10a.), Página: 3601 </w:t>
      </w:r>
    </w:p>
    <w:p w14:paraId="2C662598" w14:textId="77777777" w:rsidR="00B35F13" w:rsidRDefault="00F643C2"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27 de noviembre de 2015 a las 11:15 horas en el Semanario Judicial de la Federación.</w:t>
      </w:r>
    </w:p>
    <w:p w14:paraId="1FA46F8F" w14:textId="77777777" w:rsidR="00B35F13" w:rsidRDefault="00D709AB" w:rsidP="00B35F13">
      <w:pPr>
        <w:spacing w:before="240" w:line="360" w:lineRule="auto"/>
        <w:jc w:val="both"/>
        <w:rPr>
          <w:rFonts w:ascii="ITC Avant Garde" w:hAnsi="ITC Avant Garde"/>
        </w:rPr>
      </w:pPr>
      <w:r>
        <w:rPr>
          <w:rFonts w:ascii="ITC Avant Garde" w:hAnsi="ITC Avant Garde"/>
        </w:rPr>
        <w:t xml:space="preserve">Además de lo anterior, resulta importante destacar que no existe disposición legal alguna que obligue a la autoridad a iniciar un procedimiento sancionatorio dentro </w:t>
      </w:r>
      <w:r>
        <w:rPr>
          <w:rFonts w:ascii="ITC Avant Garde" w:hAnsi="ITC Avant Garde"/>
        </w:rPr>
        <w:lastRenderedPageBreak/>
        <w:t xml:space="preserve">de los siguientes tres meses a que se presentó una denuncia como infundadamente lo pretende hacer valer </w:t>
      </w:r>
      <w:r>
        <w:rPr>
          <w:rFonts w:ascii="ITC Avant Garde" w:hAnsi="ITC Avant Garde"/>
          <w:b/>
        </w:rPr>
        <w:t>TELMEX</w:t>
      </w:r>
      <w:r>
        <w:rPr>
          <w:rFonts w:ascii="ITC Avant Garde" w:hAnsi="ITC Avant Garde"/>
        </w:rPr>
        <w:t>.</w:t>
      </w:r>
    </w:p>
    <w:p w14:paraId="2B87EC25" w14:textId="65BD0638" w:rsidR="00C44551" w:rsidRPr="002A2450" w:rsidRDefault="00F643C2" w:rsidP="00B35F13">
      <w:pPr>
        <w:spacing w:before="240" w:line="360" w:lineRule="auto"/>
        <w:jc w:val="both"/>
        <w:rPr>
          <w:rFonts w:ascii="ITC Avant Garde" w:hAnsi="ITC Avant Garde"/>
        </w:rPr>
      </w:pPr>
      <w:r w:rsidRPr="002A2450">
        <w:rPr>
          <w:rFonts w:ascii="ITC Avant Garde" w:hAnsi="ITC Avant Garde"/>
        </w:rPr>
        <w:t xml:space="preserve">Así las cosas, debe señalarse a </w:t>
      </w:r>
      <w:r w:rsidRPr="002A2450">
        <w:rPr>
          <w:rFonts w:ascii="ITC Avant Garde" w:hAnsi="ITC Avant Garde"/>
          <w:b/>
        </w:rPr>
        <w:t xml:space="preserve">“TELMEX” </w:t>
      </w:r>
      <w:r w:rsidRPr="002A2450">
        <w:rPr>
          <w:rFonts w:ascii="ITC Avant Garde" w:hAnsi="ITC Avant Garde"/>
        </w:rPr>
        <w:t>que no existe acto administrativo</w:t>
      </w:r>
      <w:r w:rsidR="00B04EDE" w:rsidRPr="002A2450">
        <w:rPr>
          <w:rFonts w:ascii="ITC Avant Garde" w:hAnsi="ITC Avant Garde"/>
        </w:rPr>
        <w:t>,</w:t>
      </w:r>
      <w:r w:rsidRPr="002A2450">
        <w:rPr>
          <w:rFonts w:ascii="ITC Avant Garde" w:hAnsi="ITC Avant Garde"/>
        </w:rPr>
        <w:t xml:space="preserve"> </w:t>
      </w:r>
      <w:r w:rsidR="00F64C12" w:rsidRPr="002A2450">
        <w:rPr>
          <w:rFonts w:ascii="ITC Avant Garde" w:hAnsi="ITC Avant Garde"/>
        </w:rPr>
        <w:t>ya sea de molestia o privativo</w:t>
      </w:r>
      <w:r w:rsidR="00B04EDE" w:rsidRPr="002A2450">
        <w:rPr>
          <w:rFonts w:ascii="ITC Avant Garde" w:hAnsi="ITC Avant Garde"/>
        </w:rPr>
        <w:t>,</w:t>
      </w:r>
      <w:r w:rsidR="00F64C12" w:rsidRPr="002A2450">
        <w:rPr>
          <w:rFonts w:ascii="ITC Avant Garde" w:hAnsi="ITC Avant Garde"/>
        </w:rPr>
        <w:t xml:space="preserve"> </w:t>
      </w:r>
      <w:r w:rsidR="00055FD5" w:rsidRPr="002A2450">
        <w:rPr>
          <w:rFonts w:ascii="ITC Avant Garde" w:hAnsi="ITC Avant Garde"/>
        </w:rPr>
        <w:t xml:space="preserve">con motivo de la presentación de las citadas denuncias </w:t>
      </w:r>
      <w:r w:rsidR="005D3E9A" w:rsidRPr="002A2450">
        <w:rPr>
          <w:rFonts w:ascii="ITC Avant Garde" w:hAnsi="ITC Avant Garde"/>
        </w:rPr>
        <w:t xml:space="preserve">susceptible de caducar </w:t>
      </w:r>
      <w:r w:rsidR="00F64C12" w:rsidRPr="002A2450">
        <w:rPr>
          <w:rFonts w:ascii="ITC Avant Garde" w:hAnsi="ITC Avant Garde"/>
        </w:rPr>
        <w:t xml:space="preserve">ya que con las mismas no </w:t>
      </w:r>
      <w:r w:rsidR="00055FD5" w:rsidRPr="002A2450">
        <w:rPr>
          <w:rFonts w:ascii="ITC Avant Garde" w:hAnsi="ITC Avant Garde"/>
        </w:rPr>
        <w:t xml:space="preserve">se genera obligación para la autoridad de atender </w:t>
      </w:r>
      <w:r w:rsidR="00F64C12" w:rsidRPr="002A2450">
        <w:rPr>
          <w:rFonts w:ascii="ITC Avant Garde" w:hAnsi="ITC Avant Garde"/>
        </w:rPr>
        <w:t xml:space="preserve">las pretensiones señaladas en éstas, luego entonces, resulta </w:t>
      </w:r>
      <w:r w:rsidR="005D3E9A" w:rsidRPr="002A2450">
        <w:rPr>
          <w:rFonts w:ascii="ITC Avant Garde" w:hAnsi="ITC Avant Garde"/>
        </w:rPr>
        <w:t xml:space="preserve">importante señalar a </w:t>
      </w:r>
      <w:r w:rsidR="00F64C12" w:rsidRPr="002A2450">
        <w:rPr>
          <w:rFonts w:ascii="ITC Avant Garde" w:hAnsi="ITC Avant Garde"/>
          <w:b/>
        </w:rPr>
        <w:t>“TELMEX”</w:t>
      </w:r>
      <w:r w:rsidR="00F64C12" w:rsidRPr="002A2450">
        <w:rPr>
          <w:rFonts w:ascii="ITC Avant Garde" w:hAnsi="ITC Avant Garde"/>
        </w:rPr>
        <w:t xml:space="preserve"> que las denuncias presentadas al no formar parte de los actos señalados, no le resulta aplicable la </w:t>
      </w:r>
      <w:r w:rsidR="00055FD5" w:rsidRPr="002A2450">
        <w:rPr>
          <w:rFonts w:ascii="ITC Avant Garde" w:hAnsi="ITC Avant Garde"/>
        </w:rPr>
        <w:t xml:space="preserve">institución jurídica de la </w:t>
      </w:r>
      <w:r w:rsidR="00F64C12" w:rsidRPr="002A2450">
        <w:rPr>
          <w:rFonts w:ascii="ITC Avant Garde" w:hAnsi="ITC Avant Garde"/>
        </w:rPr>
        <w:t>caducidad antes señalada</w:t>
      </w:r>
      <w:r w:rsidR="00C44551" w:rsidRPr="002A2450">
        <w:rPr>
          <w:rFonts w:ascii="ITC Avant Garde" w:hAnsi="ITC Avant Garde"/>
        </w:rPr>
        <w:t>, que sólo aplica una vez que haya sido declarado el inicio del procedimiento.</w:t>
      </w:r>
    </w:p>
    <w:p w14:paraId="163DCDDC" w14:textId="77777777" w:rsidR="00B35F13" w:rsidRDefault="00F64C12" w:rsidP="00B35F13">
      <w:pPr>
        <w:spacing w:before="240" w:line="360" w:lineRule="auto"/>
        <w:jc w:val="both"/>
        <w:rPr>
          <w:rFonts w:ascii="ITC Avant Garde" w:hAnsi="ITC Avant Garde"/>
        </w:rPr>
      </w:pPr>
      <w:r w:rsidRPr="002A2450">
        <w:rPr>
          <w:rFonts w:ascii="ITC Avant Garde" w:hAnsi="ITC Avant Garde"/>
        </w:rPr>
        <w:t>Sirve de apoyo a lo anterior, la siguiente jurisprudencia:</w:t>
      </w:r>
    </w:p>
    <w:p w14:paraId="4CBD7CAD" w14:textId="77777777" w:rsidR="00B35F13" w:rsidRDefault="00F64C12" w:rsidP="00B35F13">
      <w:pPr>
        <w:pStyle w:val="Textoindependiente"/>
        <w:tabs>
          <w:tab w:val="left" w:pos="851"/>
        </w:tabs>
        <w:spacing w:before="240" w:after="16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ACTOS PRIVATIVOS Y ACTOS DE MOLESTIA. ORIGEN Y EFECTOS DE LA </w:t>
      </w:r>
      <w:r w:rsidRPr="00031765">
        <w:rPr>
          <w:rFonts w:ascii="ITC Avant Garde" w:eastAsia="Times New Roman" w:hAnsi="ITC Avant Garde"/>
          <w:b/>
          <w:bCs/>
          <w:color w:val="000000"/>
          <w:lang w:eastAsia="es-MX"/>
        </w:rPr>
        <w:t xml:space="preserve">DISTINCION. </w:t>
      </w:r>
      <w:r w:rsidRPr="00031765">
        <w:rPr>
          <w:rFonts w:ascii="ITC Avant Garde" w:eastAsia="Times New Roman" w:hAnsi="ITC Avant Garde"/>
          <w:bCs/>
          <w:color w:val="000000"/>
          <w:lang w:eastAsia="es-MX"/>
        </w:rPr>
        <w:t>El artículo</w:t>
      </w:r>
      <w:r w:rsidRPr="002A2450">
        <w:rPr>
          <w:rFonts w:ascii="ITC Avant Garde" w:eastAsia="Times New Roman" w:hAnsi="ITC Avant Garde"/>
          <w:bCs/>
          <w:color w:val="000000"/>
          <w:lang w:eastAsia="es-MX"/>
        </w:rPr>
        <w:t xml:space="preserve"> 14 constitucional establece, en su segundo párrafo, que nadie podrá ser privado de la vida, de la libertad o de sus propiedades, posesiones o derechos, sino mediante juicio seguido ante los tribunales previamente establecidos, en el que se cumplan las formalidades esenciales del procedimiento y conforme a las leyes expedidas con anterioridad al hecho; en tanto,</w:t>
      </w:r>
      <w:r w:rsidRPr="002A2450">
        <w:rPr>
          <w:rFonts w:ascii="ITC Avant Garde" w:eastAsia="Times New Roman" w:hAnsi="ITC Avant Garde"/>
          <w:b/>
          <w:bCs/>
          <w:color w:val="000000"/>
          <w:u w:val="single"/>
          <w:lang w:eastAsia="es-MX"/>
        </w:rPr>
        <w:t xml:space="preserve"> el artículo 16 de ese mismo Ordenamiento Supremo determina, en su primer párrafo, que nadie puede ser molestado en su persona, familia, domicilio, papeles o posesiones, sino en virtud de mandamiento escrito de la autoridad competente, que funde y motive la causa legal del procedimiento.</w:t>
      </w:r>
      <w:r w:rsidRPr="002A2450">
        <w:rPr>
          <w:rFonts w:ascii="ITC Avant Garde" w:eastAsia="Times New Roman" w:hAnsi="ITC Avant Garde"/>
          <w:bCs/>
          <w:color w:val="000000"/>
          <w:lang w:eastAsia="es-MX"/>
        </w:rPr>
        <w:t xml:space="preserve"> Por consiguiente, la Constitución Federal distingue y regula de manera diferente los actos privativos respecto de los actos de molestia, pues a los primeros, que son aquellos que producen como efecto la disminución, menoscabo o supresión definitiva de un derecho del gobernado, los autoriza solamente a través del cumplimiento de determinados requisitos precisados en el artículo 14, como son, la existencia de un juicio seguido ante un tribunal previamente </w:t>
      </w:r>
      <w:r w:rsidRPr="002A2450">
        <w:rPr>
          <w:rFonts w:ascii="ITC Avant Garde" w:eastAsia="Times New Roman" w:hAnsi="ITC Avant Garde"/>
          <w:bCs/>
          <w:color w:val="000000"/>
          <w:lang w:eastAsia="es-MX"/>
        </w:rPr>
        <w:lastRenderedPageBreak/>
        <w:t xml:space="preserve">establecido, que cumpla con las formalidades esenciales del procedimiento y en el que se apliquen las leyes expedidas con anterioridad al hecho juzgado. En cambio, a </w:t>
      </w:r>
      <w:r w:rsidRPr="002A2450">
        <w:rPr>
          <w:rFonts w:ascii="ITC Avant Garde" w:eastAsia="Times New Roman" w:hAnsi="ITC Avant Garde"/>
          <w:b/>
          <w:bCs/>
          <w:color w:val="000000"/>
          <w:u w:val="single"/>
          <w:lang w:eastAsia="es-MX"/>
        </w:rPr>
        <w:t>los actos de molestia que, pese a constituir afectación a la esfera jurídica del gobernado, no producen los mismos efectos que los actos privativos, pues sólo restringen de manera provisional o preventiva un derecho con el objeto de proteger determinados bienes jurídicos, los autoriza, según lo dispuesto por el artículo 16, siempre y cuando preceda mandamiento escrito girado por una autoridad con competencia legal para ello, en donde ésta funde y motive la causa legal del procedimiento.</w:t>
      </w:r>
      <w:r w:rsidRPr="002A2450">
        <w:rPr>
          <w:rFonts w:ascii="ITC Avant Garde" w:eastAsia="Times New Roman" w:hAnsi="ITC Avant Garde"/>
          <w:bCs/>
          <w:color w:val="000000"/>
          <w:lang w:eastAsia="es-MX"/>
        </w:rPr>
        <w:t xml:space="preserve"> Ahora bien, para dilucidar la constitucionalidad o inconstitucionalidad de un acto de autoridad impugnado como privativo, es necesario precisar si verdaderamente lo es y, por ende, requiere del cumplimiento de las formalidades establecidas por el primero de aquellos numerales, o si es un acto de molestia y por ello es suficiente el cumplimiento de los requisitos que el segundo de ellos exige. Para efectuar esa distinción debe advertirse la finalidad que con el acto se persigue, esto es, si la privación de un bien material o inmaterial es la finalidad connatural perseguida por el acto de autoridad, o bien, si por su propia índole tiende sólo a una restricción provisional.</w:t>
      </w:r>
    </w:p>
    <w:p w14:paraId="64498C38" w14:textId="77777777" w:rsidR="00B35F13" w:rsidRDefault="00F64C12" w:rsidP="00B35F13">
      <w:pPr>
        <w:pStyle w:val="Textoindependiente"/>
        <w:tabs>
          <w:tab w:val="left" w:pos="851"/>
        </w:tabs>
        <w:spacing w:before="240" w:after="16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Época: Novena Época, Registro: 200080, Instancia: Pleno, Tipo de Tesis: Jurisprudencia, Fuente: Semanario Judicial de la Federación y su Gaceta, Tomo IV, Julio de 1996, Materia(s): Común, Tesis: P</w:t>
      </w:r>
      <w:r w:rsidR="00C23776" w:rsidRPr="002A2450">
        <w:rPr>
          <w:rFonts w:ascii="ITC Avant Garde" w:eastAsia="Times New Roman" w:hAnsi="ITC Avant Garde"/>
          <w:bCs/>
          <w:color w:val="000000"/>
          <w:sz w:val="18"/>
          <w:lang w:eastAsia="es-MX"/>
        </w:rPr>
        <w:t>. /</w:t>
      </w:r>
      <w:r w:rsidRPr="002A2450">
        <w:rPr>
          <w:rFonts w:ascii="ITC Avant Garde" w:eastAsia="Times New Roman" w:hAnsi="ITC Avant Garde"/>
          <w:bCs/>
          <w:color w:val="000000"/>
          <w:sz w:val="18"/>
          <w:lang w:eastAsia="es-MX"/>
        </w:rPr>
        <w:t>J. 40/96, Página: 5</w:t>
      </w:r>
    </w:p>
    <w:p w14:paraId="1848212B" w14:textId="77777777" w:rsidR="00B35F13" w:rsidRDefault="001F51FC" w:rsidP="00B35F13">
      <w:pPr>
        <w:spacing w:before="240" w:line="360" w:lineRule="auto"/>
        <w:jc w:val="both"/>
        <w:rPr>
          <w:rFonts w:ascii="ITC Avant Garde" w:hAnsi="ITC Avant Garde"/>
        </w:rPr>
      </w:pPr>
      <w:r w:rsidRPr="002A2450">
        <w:rPr>
          <w:rFonts w:ascii="ITC Avant Garde" w:hAnsi="ITC Avant Garde"/>
        </w:rPr>
        <w:t>Robustece lo anterior, la siguiente jurisprudencia</w:t>
      </w:r>
    </w:p>
    <w:p w14:paraId="3C983BAE" w14:textId="77777777" w:rsidR="00B35F13" w:rsidRDefault="001F51FC" w:rsidP="00B35F13">
      <w:pPr>
        <w:spacing w:before="240" w:line="360" w:lineRule="auto"/>
        <w:ind w:left="567" w:right="567"/>
        <w:jc w:val="both"/>
        <w:rPr>
          <w:rFonts w:ascii="ITC Avant Garde" w:hAnsi="ITC Avant Garde"/>
        </w:rPr>
      </w:pPr>
      <w:r w:rsidRPr="002A2450">
        <w:rPr>
          <w:rFonts w:ascii="ITC Avant Garde" w:hAnsi="ITC Avant Garde"/>
          <w:b/>
        </w:rPr>
        <w:t xml:space="preserve">ACTOS TERMINALES EN PROCEDIMIENTOS ADMINISTRATIVOS. DEBEN DISTINGUIRSE ENTRE LOS DE MOLESTIA Y LOS PRIVATIVOS, A FIN DE CONSEGUIR, PRIORITARIAMENTE, LA DEFENSA DE LOS PROBABLES AFECTADOS. </w:t>
      </w:r>
      <w:r w:rsidRPr="002A2450">
        <w:rPr>
          <w:rFonts w:ascii="ITC Avant Garde" w:hAnsi="ITC Avant Garde"/>
        </w:rPr>
        <w:t xml:space="preserve">La finalidad, el alcance o la trascendencia que tenga el acto terminal es determinante para definir cómo debe conformarse o </w:t>
      </w:r>
      <w:r w:rsidRPr="002A2450">
        <w:rPr>
          <w:rFonts w:ascii="ITC Avant Garde" w:hAnsi="ITC Avant Garde"/>
        </w:rPr>
        <w:lastRenderedPageBreak/>
        <w:t>estructurarse el procedimiento administrativo, de manera que permita conseguir, prioritariamente, la defensa de los probables afectados, por lo que debe distinguirse entre actos de molestia y actos privativos. En relación con éstos, el artículo 14 de la Constitución Política de los Estados Unidos Mexicanos impone, antes de emitirlos, someter a las partes a un esquema de juicio previo donde se observen las formalidades esenciales del procedimiento; de ahí que el diseño estructural y la funcionalidad u operación de estos procedimientos deben atender a estas condicionantes básicas y sine qua non. El mismo tratamiento debe darse a los actos constitutivos de un nuevo status que pueda disminuir prerrogativas o situaciones creadas (impedir acciones, afectar propiedades o situaciones, eliminar posiciones jurídicas, entre otros). En todos estos casos debe satisfacerse el debido proceso legal, con amplias y suficientes posibilidades de defensa. En cambio, cuando el procedimiento tenga como acto terminal uno de molestia o declarativo, sólo debe observarse la garantía de legalidad, prevista en el artículo 16 constitucional.</w:t>
      </w:r>
    </w:p>
    <w:p w14:paraId="3ACF77E5" w14:textId="77777777" w:rsidR="00B35F13" w:rsidRDefault="001F51FC"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2011340, Instancia: Tribunales Colegiados de Circuito, Tipo de Tesis: Jurisprudencia, Fuente: Gaceta del Semanario Judicial de la Federación, Libro 29, Abril de 2016, Tomo III, Materia(s): Constitucional, Tesis: I.1o.A.E. J/3 (10a.), Página: 1918</w:t>
      </w:r>
    </w:p>
    <w:p w14:paraId="1D940419" w14:textId="77777777" w:rsidR="00B35F13" w:rsidRDefault="001F51FC"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01 de abril de 2016 a las 10:01 horas en el Semanario Judicial de la Federación y, por ende, se considera de aplicación obligatoria a partir del lunes 04 de abril de 2016, para los efectos previstos en el punto séptimo del Acuerdo General Plenario 19/2013.</w:t>
      </w:r>
    </w:p>
    <w:p w14:paraId="5CF39077" w14:textId="77777777" w:rsidR="00B35F13" w:rsidRDefault="00F64C12" w:rsidP="00B35F13">
      <w:pPr>
        <w:spacing w:before="240" w:line="360" w:lineRule="auto"/>
        <w:jc w:val="both"/>
        <w:rPr>
          <w:rFonts w:ascii="ITC Avant Garde" w:hAnsi="ITC Avant Garde"/>
        </w:rPr>
      </w:pPr>
      <w:r w:rsidRPr="002A2450">
        <w:rPr>
          <w:rFonts w:ascii="ITC Avant Garde" w:hAnsi="ITC Avant Garde"/>
        </w:rPr>
        <w:t xml:space="preserve">Por tanto, el argumento respecto de la caducidad </w:t>
      </w:r>
      <w:r w:rsidR="00055FD5" w:rsidRPr="002A2450">
        <w:rPr>
          <w:rFonts w:ascii="ITC Avant Garde" w:hAnsi="ITC Avant Garde"/>
        </w:rPr>
        <w:t xml:space="preserve">del presente procedimiento atendiendo a la fecha de presentación </w:t>
      </w:r>
      <w:r w:rsidRPr="002A2450">
        <w:rPr>
          <w:rFonts w:ascii="ITC Avant Garde" w:hAnsi="ITC Avant Garde"/>
        </w:rPr>
        <w:t xml:space="preserve">de las denuncias resulta </w:t>
      </w:r>
      <w:r w:rsidRPr="002A2450">
        <w:rPr>
          <w:rFonts w:ascii="ITC Avant Garde" w:hAnsi="ITC Avant Garde"/>
          <w:b/>
          <w:u w:val="single"/>
        </w:rPr>
        <w:t>infundado</w:t>
      </w:r>
      <w:r w:rsidRPr="002A2450">
        <w:rPr>
          <w:rFonts w:ascii="ITC Avant Garde" w:hAnsi="ITC Avant Garde"/>
        </w:rPr>
        <w:t>.</w:t>
      </w:r>
    </w:p>
    <w:p w14:paraId="41C08FEF" w14:textId="77777777" w:rsidR="00B35F13" w:rsidRDefault="00F64C12" w:rsidP="00B35F13">
      <w:pPr>
        <w:spacing w:before="240" w:line="360" w:lineRule="auto"/>
        <w:jc w:val="both"/>
        <w:rPr>
          <w:rFonts w:ascii="ITC Avant Garde" w:hAnsi="ITC Avant Garde"/>
          <w:b/>
          <w:u w:val="single"/>
        </w:rPr>
      </w:pPr>
      <w:r w:rsidRPr="002A2450">
        <w:rPr>
          <w:rFonts w:ascii="ITC Avant Garde" w:hAnsi="ITC Avant Garde"/>
        </w:rPr>
        <w:t xml:space="preserve">Ahora bien, de acuerdo al orden propuesto en la presente Resolución, corresponde analizar si existe una caducidad </w:t>
      </w:r>
      <w:r w:rsidRPr="002A2450">
        <w:rPr>
          <w:rFonts w:ascii="ITC Avant Garde" w:hAnsi="ITC Avant Garde"/>
          <w:b/>
          <w:u w:val="single"/>
        </w:rPr>
        <w:t>derivada de los requerimientos</w:t>
      </w:r>
      <w:r w:rsidR="00055FD5" w:rsidRPr="002A2450">
        <w:rPr>
          <w:rFonts w:ascii="ITC Avant Garde" w:hAnsi="ITC Avant Garde"/>
          <w:b/>
          <w:u w:val="single"/>
        </w:rPr>
        <w:t xml:space="preserve"> formulados</w:t>
      </w:r>
      <w:r w:rsidRPr="002A2450">
        <w:rPr>
          <w:rFonts w:ascii="ITC Avant Garde" w:hAnsi="ITC Avant Garde"/>
          <w:b/>
          <w:u w:val="single"/>
        </w:rPr>
        <w:t>.</w:t>
      </w:r>
    </w:p>
    <w:p w14:paraId="2DD3AB73" w14:textId="77777777" w:rsidR="00B35F13" w:rsidRDefault="00F64C12" w:rsidP="00B35F13">
      <w:pPr>
        <w:spacing w:before="240" w:line="360" w:lineRule="auto"/>
        <w:jc w:val="both"/>
        <w:rPr>
          <w:rFonts w:ascii="ITC Avant Garde" w:hAnsi="ITC Avant Garde"/>
        </w:rPr>
      </w:pPr>
      <w:r w:rsidRPr="002A2450">
        <w:rPr>
          <w:rFonts w:ascii="ITC Avant Garde" w:hAnsi="ITC Avant Garde"/>
        </w:rPr>
        <w:lastRenderedPageBreak/>
        <w:t>Al respecto, debe señalarse que d</w:t>
      </w:r>
      <w:r w:rsidR="007C22D7" w:rsidRPr="002A2450">
        <w:rPr>
          <w:rFonts w:ascii="ITC Avant Garde" w:hAnsi="ITC Avant Garde"/>
        </w:rPr>
        <w:t xml:space="preserve">e acuerdo a las resoluciones emitidas por el Poder Judicial de la Federación, se ha determinado que el acuerdo de inicio del procedimiento administrativo de imposición de sanción, regulado por la </w:t>
      </w:r>
      <w:r w:rsidR="007C22D7" w:rsidRPr="002A2450">
        <w:rPr>
          <w:rFonts w:ascii="ITC Avant Garde" w:hAnsi="ITC Avant Garde"/>
          <w:b/>
        </w:rPr>
        <w:t>“LFPA”</w:t>
      </w:r>
      <w:r w:rsidR="007C22D7" w:rsidRPr="002A2450">
        <w:rPr>
          <w:rFonts w:ascii="ITC Avant Garde" w:hAnsi="ITC Avant Garde"/>
        </w:rPr>
        <w:t xml:space="preserve"> constituye la resolución final que determina la situación </w:t>
      </w:r>
      <w:r w:rsidR="00055FD5" w:rsidRPr="002A2450">
        <w:rPr>
          <w:rFonts w:ascii="ITC Avant Garde" w:hAnsi="ITC Avant Garde"/>
        </w:rPr>
        <w:t xml:space="preserve">jurídica del presunto infractor en un procedimiento iniciado con motivo del ejercicio de facultades de comprobación a través de una visita de verificación. </w:t>
      </w:r>
    </w:p>
    <w:p w14:paraId="42415BD4" w14:textId="77777777" w:rsidR="00B35F13" w:rsidRDefault="007C22D7" w:rsidP="00B35F13">
      <w:pPr>
        <w:spacing w:before="240" w:line="360" w:lineRule="auto"/>
        <w:jc w:val="both"/>
        <w:rPr>
          <w:rFonts w:ascii="ITC Avant Garde" w:hAnsi="ITC Avant Garde"/>
        </w:rPr>
      </w:pPr>
      <w:r w:rsidRPr="002A2450">
        <w:rPr>
          <w:rFonts w:ascii="ITC Avant Garde" w:hAnsi="ITC Avant Garde"/>
        </w:rPr>
        <w:t>Al respecto, las tesis emitidas por los Tribunales Especializados han señalado lo siguiente:</w:t>
      </w:r>
    </w:p>
    <w:p w14:paraId="442E3E0B" w14:textId="77777777" w:rsidR="00B35F13" w:rsidRDefault="007C22D7" w:rsidP="00B35F13">
      <w:pPr>
        <w:spacing w:before="240" w:line="360" w:lineRule="auto"/>
        <w:ind w:left="567" w:right="567"/>
        <w:jc w:val="both"/>
        <w:rPr>
          <w:rFonts w:ascii="ITC Avant Garde" w:hAnsi="ITC Avant Garde"/>
        </w:rPr>
      </w:pPr>
      <w:r w:rsidRPr="002A2450">
        <w:rPr>
          <w:rFonts w:ascii="ITC Avant Garde" w:hAnsi="ITC Avant Garde"/>
          <w:b/>
        </w:rPr>
        <w:t>ACUERDO DE INICIO DEL PROCEDIMIENTO DE IMPOSICIÓN DE SANCIONES REGULADO EN LA LEY FEDERAL DE PROCEDIMIENTO ADMINISTRATIVO. CONSTITUYE LA RESOLUCIÓN FINAL DEL DIVERSO DE VERIFICACIÓN, PUES EN ÉL SE DEFINE LA SITUACIÓN JURÍDICA DEL VISITADO RESPECTO DE ÉSTE.</w:t>
      </w:r>
      <w:r w:rsidRPr="002A2450">
        <w:rPr>
          <w:rFonts w:ascii="ITC Avant Garde" w:hAnsi="ITC Avant Garde"/>
        </w:rPr>
        <w:t xml:space="preserve"> Dentro de los procedimientos que prevé la Ley Federal de Procedimiento Administrativo está el de imposición de sanciones, establecido en el artículo 72 de ese ordenamiento, el cual dispone que para imponer una sanción, la autoridad administrativa deberá notificar previamente al infractor su inicio, para que dentro de los quince días siguientes exponga lo que a su derecho convenga y, en su caso, aporte las pruebas con que cuente. En este sentido, si bien es cierto que dicho procedimiento y el de verificación regulados en la propia ley, son de naturaleza distinta, también lo es que entre ellos existe una íntima relación, pues el primero deriva precisamente del ejercicio de las facultades de verificación y de la conclusión que derivado de éstas se adopte, es decir, mientras el procedimiento de verificación tiene por objeto que la autoridad administrativa compruebe el cumplimiento de las disposiciones legales o de las condiciones de determinado permiso o concesión, el de imposición de sanciones persigue punir las infracciones que no sean desvirtuadas por el particular responsable y que fueron detectadas en aquél. Por tanto, </w:t>
      </w:r>
      <w:r w:rsidRPr="002A2450">
        <w:rPr>
          <w:rFonts w:ascii="ITC Avant Garde" w:hAnsi="ITC Avant Garde"/>
          <w:b/>
          <w:u w:val="single"/>
        </w:rPr>
        <w:t xml:space="preserve">se concluye que el acuerdo </w:t>
      </w:r>
      <w:r w:rsidRPr="002A2450">
        <w:rPr>
          <w:rFonts w:ascii="ITC Avant Garde" w:hAnsi="ITC Avant Garde"/>
          <w:b/>
          <w:u w:val="single"/>
        </w:rPr>
        <w:lastRenderedPageBreak/>
        <w:t>de inicio del procedimiento de imposición de sanciones constituye la resolución final</w:t>
      </w:r>
      <w:r w:rsidRPr="002A2450">
        <w:rPr>
          <w:rFonts w:ascii="ITC Avant Garde" w:hAnsi="ITC Avant Garde"/>
        </w:rPr>
        <w:t xml:space="preserve"> del diverso de verificación, </w:t>
      </w:r>
      <w:r w:rsidRPr="002A2450">
        <w:rPr>
          <w:rFonts w:ascii="ITC Avant Garde" w:hAnsi="ITC Avant Garde"/>
          <w:b/>
          <w:u w:val="single"/>
        </w:rPr>
        <w:t>pues en él se define la situación jurídica</w:t>
      </w:r>
      <w:r w:rsidRPr="002A2450">
        <w:rPr>
          <w:rFonts w:ascii="ITC Avant Garde" w:hAnsi="ITC Avant Garde"/>
        </w:rPr>
        <w:t xml:space="preserve"> del visitado respecto de éste, y se colma el derecho de seguridad jurídica tutelado por el artículo 16 de la Constitución Política de los Estados Unidos Mexicanos.</w:t>
      </w:r>
    </w:p>
    <w:p w14:paraId="0174560B" w14:textId="77777777" w:rsidR="00B35F13" w:rsidRDefault="007C22D7"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2010540, Instancia: Tribunales Colegiados de Circuito, Tipo de Tesis: Aislada, Fuente: Gaceta del Semanario Judicial de la Federación, Libro 24, Noviembre de 2015, Tomo IV, Materia(s): Administrativa, Tesis: I.1o.A.E.90 A (10a.), Página: 3440 </w:t>
      </w:r>
    </w:p>
    <w:p w14:paraId="41E81410" w14:textId="77777777" w:rsidR="00B35F13" w:rsidRDefault="007C22D7"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27 de noviembre de 2015 a las 11:15 horas en el Semanario Judicial de la Federación.</w:t>
      </w:r>
    </w:p>
    <w:p w14:paraId="33DD5CA9" w14:textId="77777777" w:rsidR="00B35F13" w:rsidRDefault="007C22D7" w:rsidP="00B35F13">
      <w:pPr>
        <w:spacing w:before="240" w:line="360" w:lineRule="auto"/>
        <w:ind w:left="567" w:right="567"/>
        <w:jc w:val="both"/>
        <w:rPr>
          <w:rFonts w:ascii="ITC Avant Garde" w:hAnsi="ITC Avant Garde"/>
        </w:rPr>
      </w:pPr>
      <w:r w:rsidRPr="002A2450">
        <w:rPr>
          <w:rFonts w:ascii="ITC Avant Garde" w:hAnsi="ITC Avant Garde"/>
          <w:b/>
        </w:rPr>
        <w:t>ACUERDO DE INICIO DEL PROCEDIMIENTO DE IMPOSICIÓN DE SANCIONES REGULADO EN LA LEY FEDERAL DE PROCEDIMIENTO ADMINISTRATIVO. ES LA RESOLUCIÓN QUE DEFINE LA SITUACIÓN JURÍDICA DEL PARTICULAR RESPECTO DEL DIVERSO DE VERIFICACIÓN (APLICACIÓN ANALÓGICA DE LA JURISPRUDENCIA 2a</w:t>
      </w:r>
      <w:r w:rsidR="00C23776" w:rsidRPr="002A2450">
        <w:rPr>
          <w:rFonts w:ascii="ITC Avant Garde" w:hAnsi="ITC Avant Garde"/>
          <w:b/>
        </w:rPr>
        <w:t>. /</w:t>
      </w:r>
      <w:r w:rsidRPr="002A2450">
        <w:rPr>
          <w:rFonts w:ascii="ITC Avant Garde" w:hAnsi="ITC Avant Garde"/>
          <w:b/>
        </w:rPr>
        <w:t>J. 190/2009).</w:t>
      </w:r>
      <w:r w:rsidRPr="002A2450">
        <w:rPr>
          <w:rFonts w:ascii="ITC Avant Garde" w:hAnsi="ITC Avant Garde"/>
        </w:rPr>
        <w:t xml:space="preserve"> De acuerdo con la jurisprudencia 2a</w:t>
      </w:r>
      <w:r w:rsidR="00C23776" w:rsidRPr="002A2450">
        <w:rPr>
          <w:rFonts w:ascii="ITC Avant Garde" w:hAnsi="ITC Avant Garde"/>
        </w:rPr>
        <w:t>. /</w:t>
      </w:r>
      <w:r w:rsidRPr="002A2450">
        <w:rPr>
          <w:rFonts w:ascii="ITC Avant Garde" w:hAnsi="ITC Avant Garde"/>
        </w:rPr>
        <w:t xml:space="preserve">J. 190/2009, publicada en el Semanario Judicial de la Federación y su Gaceta, Novena Época, Tomo XXX, diciembre de 2009, página 360, de rubro: "VISITA DE VERIFICACIÓN. EL PROCEDIMIENTO REGULADO POR LOS ARTÍCULOS 78 A 80 DE LA LEY DE AEROPUERTOS, REALIZADO EN TÉRMINOS DE LA LEY FEDERAL DE PROCEDIMIENTO ADMINISTRATIVO, ES SUSCEPTIBLE DE CADUCAR, CONFORME AL ARTÍCULO 60, PÁRRAFO ÚLTIMO, DE LA LEY PROCEDIMENTAL REFERIDA, DE NO CULMINAR CON EL DICTADO DE UNA RESOLUCIÓN.", la garantía de seguridad jurídica tutelada por el artículo 16 de la Constitución Política de los Estados Unidos Mexicanos se estima colmada en las visitas de verificación realizadas en términos de los artículos 62 a 69 de la Ley Federal de Procedimiento Administrativo, cuando éstas finalizan con el dictado de la resolución que define la situación jurídica del visitado. En consecuencia, por analogía, en los procedimientos de verificación y de </w:t>
      </w:r>
      <w:r w:rsidRPr="002A2450">
        <w:rPr>
          <w:rFonts w:ascii="ITC Avant Garde" w:hAnsi="ITC Avant Garde"/>
        </w:rPr>
        <w:lastRenderedPageBreak/>
        <w:t xml:space="preserve">imposición de sanciones regulados en la Ley Federal de Procedimiento Administrativo, </w:t>
      </w:r>
      <w:r w:rsidRPr="002A2450">
        <w:rPr>
          <w:rFonts w:ascii="ITC Avant Garde" w:hAnsi="ITC Avant Garde"/>
          <w:b/>
          <w:u w:val="single"/>
        </w:rPr>
        <w:t>es el acuerdo de inicio del procedimiento de imposición de sanción la resolución</w:t>
      </w:r>
      <w:r w:rsidRPr="002A2450">
        <w:rPr>
          <w:rFonts w:ascii="ITC Avant Garde" w:hAnsi="ITC Avant Garde"/>
        </w:rPr>
        <w:t xml:space="preserve"> con la que concluye el de verificación y </w:t>
      </w:r>
      <w:r w:rsidRPr="002A2450">
        <w:rPr>
          <w:rFonts w:ascii="ITC Avant Garde" w:hAnsi="ITC Avant Garde"/>
          <w:b/>
          <w:u w:val="single"/>
        </w:rPr>
        <w:t>la que define la situación jurídica del particular</w:t>
      </w:r>
      <w:r w:rsidRPr="002A2450">
        <w:rPr>
          <w:rFonts w:ascii="ITC Avant Garde" w:hAnsi="ITC Avant Garde"/>
        </w:rPr>
        <w:t>, es decir, a través de esa determinación tiene conocimiento pleno del resultado del procedimiento de verificación y no se le deja en estado de incertidumbre al respecto.</w:t>
      </w:r>
    </w:p>
    <w:p w14:paraId="6CABE0D8" w14:textId="77777777" w:rsidR="00B35F13" w:rsidRDefault="007C22D7"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Décima Época, Registro: 2010112, Instancia: Tribunales Colegiados de Circuito, Tipo de Tesis: Aislada, Fuente: Gaceta del Semanario Judicial de la Federación, Libro 23, Octubre de 2015, Tomo IV, Materia(s): Administrativa, Tesis: I.1o.A.E.80 A (10a.), Página: 3816 </w:t>
      </w:r>
    </w:p>
    <w:p w14:paraId="0DCBDF87" w14:textId="77777777" w:rsidR="00B35F13" w:rsidRDefault="007C22D7" w:rsidP="00B35F13">
      <w:pPr>
        <w:spacing w:before="240" w:line="360" w:lineRule="auto"/>
        <w:ind w:left="567" w:right="567"/>
        <w:jc w:val="both"/>
        <w:rPr>
          <w:rFonts w:ascii="ITC Avant Garde" w:hAnsi="ITC Avant Garde"/>
          <w:sz w:val="18"/>
        </w:rPr>
      </w:pPr>
      <w:r w:rsidRPr="002A2450">
        <w:rPr>
          <w:rFonts w:ascii="ITC Avant Garde" w:hAnsi="ITC Avant Garde"/>
          <w:sz w:val="18"/>
        </w:rPr>
        <w:t>Esta tesis se publicó el viernes 2 de octubre de 2015 a las 11:30 horas en el Semanario Judicial de la Federación.</w:t>
      </w:r>
    </w:p>
    <w:p w14:paraId="14879CD3" w14:textId="77777777" w:rsidR="00B35F13" w:rsidRDefault="00AD561C" w:rsidP="00B35F13">
      <w:pPr>
        <w:spacing w:before="240" w:line="360" w:lineRule="auto"/>
        <w:jc w:val="both"/>
        <w:rPr>
          <w:rFonts w:ascii="ITC Avant Garde" w:hAnsi="ITC Avant Garde"/>
          <w:b/>
        </w:rPr>
      </w:pPr>
      <w:r w:rsidRPr="002A2450">
        <w:rPr>
          <w:rFonts w:ascii="ITC Avant Garde" w:hAnsi="ITC Avant Garde"/>
        </w:rPr>
        <w:t xml:space="preserve">Asimismo, el Poder Judicial de la Federación se ha pronunciado con relación a la caducidad aplicable a los procedimientos de comprobación iniciados con el requerimiento de información o documentación hechos por este </w:t>
      </w:r>
      <w:r w:rsidRPr="002A2450">
        <w:rPr>
          <w:rFonts w:ascii="ITC Avant Garde" w:hAnsi="ITC Avant Garde"/>
          <w:b/>
        </w:rPr>
        <w:t>“Instituto”.</w:t>
      </w:r>
    </w:p>
    <w:p w14:paraId="3236048B" w14:textId="77777777" w:rsidR="00B35F13" w:rsidRDefault="00F64C12" w:rsidP="00B35F13">
      <w:pPr>
        <w:spacing w:before="240" w:line="360" w:lineRule="auto"/>
        <w:jc w:val="both"/>
        <w:rPr>
          <w:rFonts w:ascii="ITC Avant Garde" w:hAnsi="ITC Avant Garde"/>
        </w:rPr>
      </w:pPr>
      <w:r w:rsidRPr="002A2450">
        <w:rPr>
          <w:rFonts w:ascii="ITC Avant Garde" w:hAnsi="ITC Avant Garde"/>
        </w:rPr>
        <w:t>Al respecto se ha emitido la siguiente tesis que a su letra señala:</w:t>
      </w:r>
    </w:p>
    <w:p w14:paraId="406FE470" w14:textId="77777777" w:rsidR="00B35F13" w:rsidRDefault="00F64C12" w:rsidP="00B35F13">
      <w:pPr>
        <w:spacing w:before="240" w:line="360" w:lineRule="auto"/>
        <w:ind w:left="567" w:right="567"/>
        <w:jc w:val="both"/>
        <w:rPr>
          <w:rFonts w:ascii="ITC Avant Garde" w:hAnsi="ITC Avant Garde"/>
        </w:rPr>
      </w:pPr>
      <w:r w:rsidRPr="002A2450">
        <w:rPr>
          <w:rFonts w:ascii="ITC Avant Garde" w:hAnsi="ITC Avant Garde"/>
          <w:b/>
        </w:rPr>
        <w:t xml:space="preserve">CADUCIDAD PREVISTA EN EL ARTÍCULO 60, ÚLTIMO PÁRRAFO, DE LA LEY FEDERAL DE PROCEDIMIENTO ADMINISTRATIVO. ES APLICABLE A LOS PROCEDIMIENTOS DE COMPROBACIÓN INICIADOS CON EL REQUERIMIENTO DE INFORMACIÓN O DOCUMENTACIÓN HECHO POR EL INSTITUTO FEDERAL DE TELECOMUNICACIONES. </w:t>
      </w:r>
      <w:r w:rsidRPr="002A2450">
        <w:rPr>
          <w:rFonts w:ascii="ITC Avant Garde" w:hAnsi="ITC Avant Garde"/>
        </w:rPr>
        <w:t>En la ejecutoria dictada en la contradicción de tesis 100/2009, que dio origen a la jurisprudencia 2a</w:t>
      </w:r>
      <w:r w:rsidR="00C23776" w:rsidRPr="002A2450">
        <w:rPr>
          <w:rFonts w:ascii="ITC Avant Garde" w:hAnsi="ITC Avant Garde"/>
        </w:rPr>
        <w:t>. /</w:t>
      </w:r>
      <w:r w:rsidRPr="002A2450">
        <w:rPr>
          <w:rFonts w:ascii="ITC Avant Garde" w:hAnsi="ITC Avant Garde"/>
        </w:rPr>
        <w:t xml:space="preserve">J. 190/2009, publicada en el Semanario Judicial de la Federación y su Gaceta, Novena Época, Tomo XXX, diciembre de 2009, página 360, de rubro: "VISITA DE VERIFICACIÓN. EL PROCEDIMIENTO REGULADO POR LOS ARTÍCULOS 78 A 80 DE LA LEY DE AEROPUERTOS, REALIZADO EN TÉRMINOS DE LA LEY FEDERAL DE PROCEDIMIENTO ADMINISTRATIVO, ES </w:t>
      </w:r>
      <w:r w:rsidRPr="002A2450">
        <w:rPr>
          <w:rFonts w:ascii="ITC Avant Garde" w:hAnsi="ITC Avant Garde"/>
        </w:rPr>
        <w:lastRenderedPageBreak/>
        <w:t xml:space="preserve">SUSCEPTIBLE DE CADUCAR, CONFORME AL ARTÍCULO 60, PÁRRAFO ÚLTIMO, DE LA LEY PROCEDIMENTAL REFERIDA, DE NO CULMINAR CON EL DICTADO DE UNA RESOLUCIÓN.", la Segunda Sala de la Suprema Corte de Justicia de la Nación estableció que en todos los procedimientos regulados por la Ley Federal de Procedimiento Administrativo iniciados de oficio, la autoridad administrativa está obligada a dictar una resolución en la que se defina la situación del particular. En consecuencia, en los procedimientos de comprobación iniciados con el requerimiento de información o documentación hecho por el Instituto Federal de Telecomunicaciones, es aplicable la caducidad prevista en el artículo 60 de la Ley Federal de Procedimiento Administrativo, pues de advertirse alguna presunta infracción, culminarán con el dictado del acuerdo de inicio del diverso procedimiento administrativo sancionatorio; de ahí </w:t>
      </w:r>
      <w:r w:rsidR="00043B4F" w:rsidRPr="002A2450">
        <w:rPr>
          <w:rFonts w:ascii="ITC Avant Garde" w:hAnsi="ITC Avant Garde"/>
        </w:rPr>
        <w:t xml:space="preserve">que la inactividad respecto de la existencia o no de algún incumplimiento de obligaciones podría prolongarse por tiempo indefinido, sin que los gobernados estén en posibilidad de conocer si dicha determinación les puede afectar, lo cual transgrede su derecho a la seguridad jurídica, </w:t>
      </w:r>
      <w:r w:rsidRPr="002A2450">
        <w:rPr>
          <w:rFonts w:ascii="ITC Avant Garde" w:hAnsi="ITC Avant Garde"/>
        </w:rPr>
        <w:t xml:space="preserve"> reconocido por el artículo 16 de la Constitución Política de los Estados Unidos Mexicanos.</w:t>
      </w:r>
    </w:p>
    <w:p w14:paraId="2BC577B5" w14:textId="77777777" w:rsidR="00B35F13" w:rsidRDefault="00F64C12" w:rsidP="00B35F13">
      <w:pPr>
        <w:spacing w:before="240" w:line="360" w:lineRule="auto"/>
        <w:ind w:left="567" w:right="567"/>
        <w:jc w:val="both"/>
        <w:rPr>
          <w:rFonts w:ascii="ITC Avant Garde" w:hAnsi="ITC Avant Garde"/>
          <w:sz w:val="18"/>
        </w:rPr>
      </w:pPr>
      <w:r w:rsidRPr="002A2450">
        <w:rPr>
          <w:rFonts w:ascii="ITC Avant Garde" w:hAnsi="ITC Avant Garde"/>
          <w:sz w:val="18"/>
        </w:rPr>
        <w:t>Época: Décima Época, Registro: 2011351, Instancia: Tribunales Colegiados de Circuito, Tipo de Tesis: Aislada, Fuente: Gaceta del Semanario Judicial de la Federación, Libro 29, Abril de 2016, Tomo III, Materia(s): Administrativa, Tesis: I.1o.A.E.130 A (10a.), Página: 2155</w:t>
      </w:r>
    </w:p>
    <w:p w14:paraId="52E7120B" w14:textId="77777777" w:rsidR="00B35F13" w:rsidRDefault="00F64C12" w:rsidP="00B35F13">
      <w:pPr>
        <w:spacing w:before="240" w:line="360" w:lineRule="auto"/>
        <w:ind w:left="567" w:right="567"/>
        <w:jc w:val="both"/>
        <w:rPr>
          <w:rFonts w:ascii="ITC Avant Garde" w:hAnsi="ITC Avant Garde"/>
          <w:sz w:val="18"/>
        </w:rPr>
      </w:pPr>
      <w:r w:rsidRPr="002A2450">
        <w:rPr>
          <w:rFonts w:ascii="ITC Avant Garde" w:hAnsi="ITC Avant Garde"/>
          <w:sz w:val="18"/>
        </w:rPr>
        <w:t>Esta tesis se publicó el viernes 01 de abril de 2016 a las 10:01 horas en el Semanario Judicial de la Federación.</w:t>
      </w:r>
    </w:p>
    <w:p w14:paraId="34CE3F3C" w14:textId="77777777" w:rsidR="00B35F13" w:rsidRDefault="001F51FC" w:rsidP="00B35F13">
      <w:pPr>
        <w:spacing w:before="240" w:line="360" w:lineRule="auto"/>
        <w:jc w:val="both"/>
        <w:rPr>
          <w:rFonts w:ascii="ITC Avant Garde" w:hAnsi="ITC Avant Garde"/>
        </w:rPr>
      </w:pPr>
      <w:r w:rsidRPr="002A2450">
        <w:rPr>
          <w:rFonts w:ascii="ITC Avant Garde" w:hAnsi="ITC Avant Garde"/>
        </w:rPr>
        <w:t xml:space="preserve">Con base en las tesis mencionadas, es posible determinar que efectivamente, las actuaciones derivadas de los procedimientos de verificación y/o en su caso de los requerimientos que emita el </w:t>
      </w:r>
      <w:r w:rsidRPr="002A2450">
        <w:rPr>
          <w:rFonts w:ascii="ITC Avant Garde" w:hAnsi="ITC Avant Garde"/>
          <w:b/>
        </w:rPr>
        <w:t>“IFT”</w:t>
      </w:r>
      <w:r w:rsidRPr="002A2450">
        <w:rPr>
          <w:rFonts w:ascii="ITC Avant Garde" w:hAnsi="ITC Avant Garde"/>
        </w:rPr>
        <w:t xml:space="preserve"> constituyen actos </w:t>
      </w:r>
      <w:r w:rsidR="00C771D0" w:rsidRPr="002A2450">
        <w:rPr>
          <w:rFonts w:ascii="ITC Avant Garde" w:hAnsi="ITC Avant Garde"/>
        </w:rPr>
        <w:t xml:space="preserve">de autoridad </w:t>
      </w:r>
      <w:r w:rsidRPr="002A2450">
        <w:rPr>
          <w:rFonts w:ascii="ITC Avant Garde" w:hAnsi="ITC Avant Garde"/>
        </w:rPr>
        <w:t>derivados del ejercicio de sus atribuciones</w:t>
      </w:r>
      <w:r w:rsidR="00055FD5" w:rsidRPr="002A2450">
        <w:rPr>
          <w:rFonts w:ascii="ITC Avant Garde" w:hAnsi="ITC Avant Garde"/>
        </w:rPr>
        <w:t xml:space="preserve"> que forman parte de un procedimiento de comprobación y en consecuencia dichos procedimientos</w:t>
      </w:r>
      <w:r w:rsidRPr="002A2450">
        <w:rPr>
          <w:rFonts w:ascii="ITC Avant Garde" w:hAnsi="ITC Avant Garde"/>
        </w:rPr>
        <w:t xml:space="preserve"> son susceptibles de </w:t>
      </w:r>
      <w:r w:rsidRPr="002A2450">
        <w:rPr>
          <w:rFonts w:ascii="ITC Avant Garde" w:hAnsi="ITC Avant Garde"/>
        </w:rPr>
        <w:lastRenderedPageBreak/>
        <w:t xml:space="preserve">caducar. Lo cual viene todavía a reforzar el argumento sostenido en el presente apartado respecto de la </w:t>
      </w:r>
      <w:r w:rsidR="00055FD5" w:rsidRPr="002A2450">
        <w:rPr>
          <w:rFonts w:ascii="ITC Avant Garde" w:hAnsi="ITC Avant Garde"/>
        </w:rPr>
        <w:t xml:space="preserve">falta de actualización de la </w:t>
      </w:r>
      <w:r w:rsidRPr="002A2450">
        <w:rPr>
          <w:rFonts w:ascii="ITC Avant Garde" w:hAnsi="ITC Avant Garde"/>
        </w:rPr>
        <w:t>caducidad derivada de las denuncias presentadas.</w:t>
      </w:r>
    </w:p>
    <w:p w14:paraId="67C4DB2D" w14:textId="77777777" w:rsidR="00B35F13" w:rsidRDefault="00C771D0" w:rsidP="00B35F13">
      <w:pPr>
        <w:spacing w:before="240" w:line="360" w:lineRule="auto"/>
        <w:jc w:val="both"/>
        <w:rPr>
          <w:rFonts w:ascii="ITC Avant Garde" w:hAnsi="ITC Avant Garde"/>
        </w:rPr>
      </w:pPr>
      <w:r w:rsidRPr="002A2450">
        <w:rPr>
          <w:rFonts w:ascii="ITC Avant Garde" w:hAnsi="ITC Avant Garde"/>
        </w:rPr>
        <w:t xml:space="preserve">Ahora bien, de las constancias que conforman los autos del expediente en que se actúa, se advierte que la </w:t>
      </w:r>
      <w:r w:rsidR="00055FD5" w:rsidRPr="002A2450">
        <w:rPr>
          <w:rFonts w:ascii="ITC Avant Garde" w:hAnsi="ITC Avant Garde"/>
          <w:b/>
        </w:rPr>
        <w:t xml:space="preserve">“DGS” </w:t>
      </w:r>
      <w:r w:rsidRPr="002A2450">
        <w:rPr>
          <w:rFonts w:ascii="ITC Avant Garde" w:hAnsi="ITC Avant Garde"/>
        </w:rPr>
        <w:t xml:space="preserve">realizó los siguientes requerimientos a </w:t>
      </w:r>
      <w:r w:rsidRPr="002A2450">
        <w:rPr>
          <w:rFonts w:ascii="ITC Avant Garde" w:hAnsi="ITC Avant Garde"/>
          <w:b/>
        </w:rPr>
        <w:t>“COFRESA”</w:t>
      </w:r>
      <w:r w:rsidRPr="002A2450">
        <w:rPr>
          <w:rFonts w:ascii="ITC Avant Garde" w:hAnsi="ITC Avant Garde"/>
        </w:rPr>
        <w:t xml:space="preserve"> y a </w:t>
      </w:r>
      <w:r w:rsidRPr="002A2450">
        <w:rPr>
          <w:rFonts w:ascii="ITC Avant Garde" w:hAnsi="ITC Avant Garde"/>
          <w:b/>
        </w:rPr>
        <w:t>“TELMEX”</w:t>
      </w:r>
      <w:r w:rsidRPr="002A2450">
        <w:rPr>
          <w:rFonts w:ascii="ITC Avant Garde" w:hAnsi="ITC Avant Garde"/>
        </w:rPr>
        <w:t>:</w:t>
      </w:r>
    </w:p>
    <w:p w14:paraId="4C4E3479" w14:textId="675CA222" w:rsidR="00C771D0" w:rsidRPr="002A2450" w:rsidRDefault="00C771D0"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IFT/D04/USV/DGS/1168/2014</w:t>
      </w:r>
      <w:r w:rsidRPr="002A2450">
        <w:rPr>
          <w:rFonts w:ascii="ITC Avant Garde" w:hAnsi="ITC Avant Garde"/>
        </w:rPr>
        <w:t xml:space="preserve"> de veinte de febrero de dos mil catorce, dirigido a </w:t>
      </w:r>
      <w:r w:rsidRPr="002A2450">
        <w:rPr>
          <w:rFonts w:ascii="ITC Avant Garde" w:hAnsi="ITC Avant Garde"/>
          <w:b/>
        </w:rPr>
        <w:t>“COFRESA”.</w:t>
      </w:r>
    </w:p>
    <w:p w14:paraId="6F3FEBDB" w14:textId="77777777" w:rsidR="00C771D0" w:rsidRPr="002A2450" w:rsidRDefault="00C771D0"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IFT/D04/USV/DGS/1169/2014</w:t>
      </w:r>
      <w:r w:rsidRPr="002A2450">
        <w:rPr>
          <w:rFonts w:ascii="ITC Avant Garde" w:hAnsi="ITC Avant Garde"/>
        </w:rPr>
        <w:t xml:space="preserve"> de veinte de febrero de dos mil catorce, dirigido a </w:t>
      </w:r>
      <w:r w:rsidRPr="002A2450">
        <w:rPr>
          <w:rFonts w:ascii="ITC Avant Garde" w:hAnsi="ITC Avant Garde"/>
          <w:b/>
        </w:rPr>
        <w:t>“TELMEX”.</w:t>
      </w:r>
    </w:p>
    <w:p w14:paraId="024831F7" w14:textId="77777777" w:rsidR="00C771D0" w:rsidRPr="002A2450" w:rsidRDefault="00736246"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IFT/D04/USV/DGS/1383/2014</w:t>
      </w:r>
      <w:r w:rsidRPr="002A2450">
        <w:rPr>
          <w:rFonts w:ascii="ITC Avant Garde" w:hAnsi="ITC Avant Garde"/>
        </w:rPr>
        <w:t xml:space="preserve"> de trece de marzo de dos mil catorce, dirigido a </w:t>
      </w:r>
      <w:r w:rsidRPr="002A2450">
        <w:rPr>
          <w:rFonts w:ascii="ITC Avant Garde" w:hAnsi="ITC Avant Garde"/>
          <w:b/>
        </w:rPr>
        <w:t>“TELMEX”.</w:t>
      </w:r>
    </w:p>
    <w:p w14:paraId="26B17885" w14:textId="77777777" w:rsidR="00736246" w:rsidRPr="002A2450" w:rsidRDefault="00736246"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IFT/D04/USV/DGS/1384/2014</w:t>
      </w:r>
      <w:r w:rsidRPr="002A2450">
        <w:rPr>
          <w:rFonts w:ascii="ITC Avant Garde" w:hAnsi="ITC Avant Garde"/>
        </w:rPr>
        <w:t xml:space="preserve"> de trece de marzo de dos mil catorce, dirigido a </w:t>
      </w:r>
      <w:r w:rsidRPr="002A2450">
        <w:rPr>
          <w:rFonts w:ascii="ITC Avant Garde" w:hAnsi="ITC Avant Garde"/>
          <w:b/>
        </w:rPr>
        <w:t>“COFRESA”.</w:t>
      </w:r>
    </w:p>
    <w:p w14:paraId="01694B1B" w14:textId="77777777" w:rsidR="00736246" w:rsidRPr="002A2450" w:rsidRDefault="00736246"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IFT/D04/USV/DGS/1608/2014</w:t>
      </w:r>
      <w:r w:rsidRPr="002A2450">
        <w:rPr>
          <w:rFonts w:ascii="ITC Avant Garde" w:hAnsi="ITC Avant Garde"/>
        </w:rPr>
        <w:t xml:space="preserve"> de veintisiete de marzo de dos mil catorce, dirigido a </w:t>
      </w:r>
      <w:r w:rsidRPr="002A2450">
        <w:rPr>
          <w:rFonts w:ascii="ITC Avant Garde" w:hAnsi="ITC Avant Garde"/>
          <w:b/>
        </w:rPr>
        <w:t>“COFRESA”.</w:t>
      </w:r>
    </w:p>
    <w:p w14:paraId="0EAAC67C" w14:textId="77777777" w:rsidR="00B35F13" w:rsidRDefault="00736246" w:rsidP="007E623E">
      <w:pPr>
        <w:pStyle w:val="Prrafodelista"/>
        <w:numPr>
          <w:ilvl w:val="0"/>
          <w:numId w:val="13"/>
        </w:numPr>
        <w:spacing w:before="240" w:line="360" w:lineRule="auto"/>
        <w:jc w:val="both"/>
        <w:rPr>
          <w:rFonts w:ascii="ITC Avant Garde" w:hAnsi="ITC Avant Garde"/>
        </w:rPr>
      </w:pPr>
      <w:r w:rsidRPr="002A2450">
        <w:rPr>
          <w:rFonts w:ascii="ITC Avant Garde" w:hAnsi="ITC Avant Garde"/>
          <w:b/>
        </w:rPr>
        <w:t>IFT/D04/USV/DGS/1752/2014</w:t>
      </w:r>
      <w:r w:rsidRPr="002A2450">
        <w:rPr>
          <w:rFonts w:ascii="ITC Avant Garde" w:hAnsi="ITC Avant Garde"/>
        </w:rPr>
        <w:t xml:space="preserve"> de veinticinco de abril de dos mil catorce, dirigido a </w:t>
      </w:r>
      <w:r w:rsidRPr="002A2450">
        <w:rPr>
          <w:rFonts w:ascii="ITC Avant Garde" w:hAnsi="ITC Avant Garde"/>
          <w:b/>
        </w:rPr>
        <w:t>“COFRESA”.</w:t>
      </w:r>
    </w:p>
    <w:p w14:paraId="6A6EFB80" w14:textId="77777777" w:rsidR="00B35F13" w:rsidRDefault="0016342B" w:rsidP="00B35F13">
      <w:pPr>
        <w:spacing w:before="240" w:line="360" w:lineRule="auto"/>
        <w:jc w:val="both"/>
        <w:rPr>
          <w:rFonts w:ascii="ITC Avant Garde" w:hAnsi="ITC Avant Garde"/>
        </w:rPr>
      </w:pPr>
      <w:r w:rsidRPr="002A2450">
        <w:rPr>
          <w:rFonts w:ascii="ITC Avant Garde" w:hAnsi="ITC Avant Garde"/>
        </w:rPr>
        <w:t>Al respecto, debe señalarse que en todos los requerimientos antes señalados, se insertó la siguiente leyenda:</w:t>
      </w:r>
    </w:p>
    <w:p w14:paraId="7D9DE7EB" w14:textId="77777777" w:rsidR="00B35F13" w:rsidRDefault="0016342B" w:rsidP="00B35F13">
      <w:pPr>
        <w:spacing w:before="240" w:line="360" w:lineRule="auto"/>
        <w:ind w:left="567" w:right="567"/>
        <w:jc w:val="both"/>
        <w:rPr>
          <w:rFonts w:ascii="ITC Avant Garde" w:hAnsi="ITC Avant Garde"/>
          <w:i/>
        </w:rPr>
      </w:pPr>
      <w:r w:rsidRPr="002A2450">
        <w:rPr>
          <w:rFonts w:ascii="ITC Avant Garde" w:hAnsi="ITC Avant Garde"/>
          <w:i/>
        </w:rPr>
        <w:t xml:space="preserve">“…En ejercicio de las facultades que tiene conferidas esta Dirección General, para supervisar y vigilar el cumplimiento de las obligaciones y condiciones establecidas en los títulos de concesión, disposiciones legales, reglamentarias y administrativas, así como de requerir la información que considere conveniente para conocer la operación y explotación de los servicios de telecomunicaciones, con la finalidad de asegurar que la prestación de los servicios de telecomunicaciones se realice en apego a lo establecido en dicha normatividad atendiendo a </w:t>
      </w:r>
      <w:r w:rsidRPr="002A2450">
        <w:rPr>
          <w:rFonts w:ascii="ITC Avant Garde" w:hAnsi="ITC Avant Garde"/>
          <w:i/>
        </w:rPr>
        <w:lastRenderedPageBreak/>
        <w:t>la obligación que tiene su representada de proporcionar información, dato o documento que le sea requerido por el Instituto se requiere…”</w:t>
      </w:r>
    </w:p>
    <w:p w14:paraId="31B50ECF" w14:textId="77777777" w:rsidR="00B35F13" w:rsidRDefault="00465023" w:rsidP="00B35F13">
      <w:pPr>
        <w:spacing w:before="240" w:line="360" w:lineRule="auto"/>
        <w:jc w:val="both"/>
        <w:rPr>
          <w:rFonts w:ascii="ITC Avant Garde" w:hAnsi="ITC Avant Garde"/>
        </w:rPr>
      </w:pPr>
      <w:r w:rsidRPr="002A2450">
        <w:rPr>
          <w:rFonts w:ascii="ITC Avant Garde" w:hAnsi="ITC Avant Garde"/>
        </w:rPr>
        <w:t xml:space="preserve">De la transcripción anterior, se advierte que el acto de molestia dirigido </w:t>
      </w:r>
      <w:r w:rsidR="00055FD5" w:rsidRPr="002A2450">
        <w:rPr>
          <w:rFonts w:ascii="ITC Avant Garde" w:hAnsi="ITC Avant Garde"/>
        </w:rPr>
        <w:t xml:space="preserve">tanto a </w:t>
      </w:r>
      <w:r w:rsidRPr="002A2450">
        <w:rPr>
          <w:rFonts w:ascii="ITC Avant Garde" w:hAnsi="ITC Avant Garde"/>
          <w:b/>
        </w:rPr>
        <w:t>“COFRESA”</w:t>
      </w:r>
      <w:r w:rsidRPr="002A2450">
        <w:rPr>
          <w:rFonts w:ascii="ITC Avant Garde" w:hAnsi="ITC Avant Garde"/>
        </w:rPr>
        <w:t xml:space="preserve"> como a </w:t>
      </w:r>
      <w:r w:rsidRPr="002A2450">
        <w:rPr>
          <w:rFonts w:ascii="ITC Avant Garde" w:hAnsi="ITC Avant Garde"/>
          <w:b/>
        </w:rPr>
        <w:t>“TELMEX”</w:t>
      </w:r>
      <w:r w:rsidRPr="002A2450">
        <w:rPr>
          <w:rFonts w:ascii="ITC Avant Garde" w:hAnsi="ITC Avant Garde"/>
        </w:rPr>
        <w:t xml:space="preserve"> tuvo la finalidad de conocer la operación y explotación de los </w:t>
      </w:r>
      <w:r w:rsidR="00055FD5" w:rsidRPr="002A2450">
        <w:rPr>
          <w:rFonts w:ascii="ITC Avant Garde" w:hAnsi="ITC Avant Garde"/>
        </w:rPr>
        <w:t>servicios de telecomunicaciones concesionados.</w:t>
      </w:r>
    </w:p>
    <w:p w14:paraId="1E63172A" w14:textId="77777777" w:rsidR="00B35F13" w:rsidRDefault="00D709AB" w:rsidP="00B35F13">
      <w:pPr>
        <w:spacing w:before="240" w:line="360" w:lineRule="auto"/>
        <w:jc w:val="both"/>
        <w:rPr>
          <w:rFonts w:ascii="ITC Avant Garde" w:hAnsi="ITC Avant Garde"/>
        </w:rPr>
      </w:pPr>
      <w:r>
        <w:rPr>
          <w:rFonts w:ascii="ITC Avant Garde" w:hAnsi="ITC Avant Garde"/>
        </w:rPr>
        <w:t>Es decir, los requerimientos de información no estaban vinculados con el ejercicio de una facultad de supervisión vinculada a acreditar el cumplimiento de determinada obligación en específico.</w:t>
      </w:r>
    </w:p>
    <w:p w14:paraId="4F298019" w14:textId="0A05DFB0" w:rsidR="00D709AB" w:rsidRDefault="00D709AB" w:rsidP="00B35F13">
      <w:pPr>
        <w:spacing w:before="240" w:line="360" w:lineRule="auto"/>
        <w:jc w:val="both"/>
        <w:rPr>
          <w:rFonts w:ascii="ITC Avant Garde" w:hAnsi="ITC Avant Garde"/>
        </w:rPr>
      </w:pPr>
      <w:r>
        <w:rPr>
          <w:rFonts w:ascii="ITC Avant Garde" w:hAnsi="ITC Avant Garde"/>
        </w:rPr>
        <w:t xml:space="preserve">Es decir, para que se detone el inicio de un procedimiento de supervisión o de comprobación susceptible de caducar, el requerimiento que emita la autoridad debe estar estrechamente vinculado con el cumplimiento o incumplimiento de determinada obligación en específico. De ahí que se le dé la oportunidad de ofrecer la documentación con que cuente el particular y una vez que se agote el término para ofrecerla, la autoridad cuenta con un plazo de tres meses más treinta días a que se refieren los artículos 17 y 60 de la </w:t>
      </w:r>
      <w:r w:rsidRPr="009E34A4">
        <w:rPr>
          <w:rFonts w:ascii="ITC Avant Garde" w:hAnsi="ITC Avant Garde"/>
          <w:b/>
        </w:rPr>
        <w:t>LFPA</w:t>
      </w:r>
      <w:r>
        <w:rPr>
          <w:rFonts w:ascii="ITC Avant Garde" w:hAnsi="ITC Avant Garde"/>
        </w:rPr>
        <w:t xml:space="preserve">, pera emitir una determinación respecto al presunto incumplimiento que fue materia del requerimiento, a efecto de no dejar en estado de incertidumbre al regulado respecto a la determinación de una posible infracción.  </w:t>
      </w:r>
    </w:p>
    <w:p w14:paraId="73038B01" w14:textId="77777777" w:rsidR="00B35F13" w:rsidRDefault="00441A0A" w:rsidP="00B35F13">
      <w:pPr>
        <w:spacing w:before="240" w:line="360" w:lineRule="auto"/>
        <w:jc w:val="both"/>
        <w:rPr>
          <w:rFonts w:ascii="ITC Avant Garde" w:hAnsi="ITC Avant Garde"/>
        </w:rPr>
      </w:pPr>
      <w:r>
        <w:rPr>
          <w:rFonts w:ascii="ITC Avant Garde" w:hAnsi="ITC Avant Garde"/>
        </w:rPr>
        <w:t xml:space="preserve">En </w:t>
      </w:r>
      <w:r w:rsidR="00BD5F6D">
        <w:rPr>
          <w:rFonts w:ascii="ITC Avant Garde" w:hAnsi="ITC Avant Garde"/>
        </w:rPr>
        <w:t>efecto,</w:t>
      </w:r>
      <w:r>
        <w:rPr>
          <w:rFonts w:ascii="ITC Avant Garde" w:hAnsi="ITC Avant Garde"/>
        </w:rPr>
        <w:t xml:space="preserve"> la caducidad sólo puede configurarse cuando, derivado de un requerimiento de información, para verificar el cumplimiento de una obligación específica, la autoridad es omisa en emitir la resolución respectiva, puesto que ello genera incertidumbre e inseguridad jurídica, sin embargo, en el presente asunto, los requerimientos de información, tal y como se advierte de la transcripción anterior, sólo tuvo por efecto </w:t>
      </w:r>
      <w:r>
        <w:rPr>
          <w:rFonts w:ascii="ITC Avant Garde" w:hAnsi="ITC Avant Garde"/>
          <w:i/>
        </w:rPr>
        <w:t>“</w:t>
      </w:r>
      <w:r w:rsidR="00300F65">
        <w:rPr>
          <w:rFonts w:ascii="ITC Avant Garde" w:hAnsi="ITC Avant Garde"/>
          <w:i/>
        </w:rPr>
        <w:t>…</w:t>
      </w:r>
      <w:r>
        <w:rPr>
          <w:rFonts w:ascii="ITC Avant Garde" w:hAnsi="ITC Avant Garde"/>
          <w:i/>
        </w:rPr>
        <w:t xml:space="preserve"> </w:t>
      </w:r>
      <w:r w:rsidRPr="00F76758">
        <w:rPr>
          <w:rFonts w:ascii="ITC Avant Garde" w:hAnsi="ITC Avant Garde"/>
          <w:i/>
        </w:rPr>
        <w:t xml:space="preserve">conocer la operación y explotación de los servicios de telecomunicaciones, con la finalidad de asegurar que la prestación de los servicios de telecomunicaciones se realice en apego a lo establecido en dicha normatividad atendiendo a la obligación que tiene su representada de proporcionar información, dato o documento que le sea requerido por el Instituto </w:t>
      </w:r>
      <w:r w:rsidRPr="00F76758">
        <w:rPr>
          <w:rFonts w:ascii="ITC Avant Garde" w:hAnsi="ITC Avant Garde"/>
          <w:i/>
        </w:rPr>
        <w:lastRenderedPageBreak/>
        <w:t>se requiere</w:t>
      </w:r>
      <w:r>
        <w:rPr>
          <w:rFonts w:ascii="ITC Avant Garde" w:hAnsi="ITC Avant Garde"/>
          <w:i/>
        </w:rPr>
        <w:t>…”</w:t>
      </w:r>
      <w:r w:rsidRPr="009E34A4">
        <w:rPr>
          <w:rFonts w:ascii="ITC Avant Garde" w:hAnsi="ITC Avant Garde"/>
        </w:rPr>
        <w:t>,</w:t>
      </w:r>
      <w:r>
        <w:rPr>
          <w:rFonts w:ascii="ITC Avant Garde" w:hAnsi="ITC Avant Garde"/>
        </w:rPr>
        <w:t xml:space="preserve"> por tanto, no existe un requerimiento formal respecto del</w:t>
      </w:r>
      <w:r w:rsidR="00BD5F6D">
        <w:rPr>
          <w:rFonts w:ascii="ITC Avant Garde" w:hAnsi="ITC Avant Garde"/>
        </w:rPr>
        <w:t xml:space="preserve"> presunto incumplimiento al</w:t>
      </w:r>
      <w:r>
        <w:rPr>
          <w:rFonts w:ascii="ITC Avant Garde" w:hAnsi="ITC Avant Garde"/>
        </w:rPr>
        <w:t xml:space="preserve"> </w:t>
      </w:r>
      <w:r>
        <w:rPr>
          <w:rFonts w:ascii="ITC Avant Garde" w:hAnsi="ITC Avant Garde"/>
          <w:b/>
        </w:rPr>
        <w:t xml:space="preserve">Tercer Párrafo </w:t>
      </w:r>
      <w:r>
        <w:rPr>
          <w:rFonts w:ascii="ITC Avant Garde" w:hAnsi="ITC Avant Garde"/>
        </w:rPr>
        <w:t xml:space="preserve">de la condición 1-9 del </w:t>
      </w:r>
      <w:r>
        <w:rPr>
          <w:rFonts w:ascii="ITC Avant Garde" w:hAnsi="ITC Avant Garde"/>
          <w:b/>
        </w:rPr>
        <w:t>“TÍTULO DE CONCESIÓN”</w:t>
      </w:r>
      <w:r>
        <w:rPr>
          <w:rFonts w:ascii="ITC Avant Garde" w:hAnsi="ITC Avant Garde"/>
        </w:rPr>
        <w:t xml:space="preserve"> otorgado a </w:t>
      </w:r>
      <w:r>
        <w:rPr>
          <w:rFonts w:ascii="ITC Avant Garde" w:hAnsi="ITC Avant Garde"/>
          <w:b/>
        </w:rPr>
        <w:t>“TELMEX”</w:t>
      </w:r>
      <w:r w:rsidR="00915D36">
        <w:rPr>
          <w:rFonts w:ascii="ITC Avant Garde" w:hAnsi="ITC Avant Garde"/>
        </w:rPr>
        <w:t>, al cual deba recaer la obligación de la autoridad para emitir una resolución con relación a</w:t>
      </w:r>
      <w:r w:rsidR="00BD5F6D">
        <w:rPr>
          <w:rFonts w:ascii="ITC Avant Garde" w:hAnsi="ITC Avant Garde"/>
        </w:rPr>
        <w:t>l probable incumplimiento de</w:t>
      </w:r>
      <w:r w:rsidR="00915D36">
        <w:rPr>
          <w:rFonts w:ascii="ITC Avant Garde" w:hAnsi="ITC Avant Garde"/>
        </w:rPr>
        <w:t xml:space="preserve"> dicha condición, puesto que la misma nunca fue requerida, de lo que se sigue que contrario a lo señalado por </w:t>
      </w:r>
      <w:r w:rsidR="00915D36">
        <w:rPr>
          <w:rFonts w:ascii="ITC Avant Garde" w:hAnsi="ITC Avant Garde"/>
          <w:b/>
        </w:rPr>
        <w:t>“TELMEX”</w:t>
      </w:r>
      <w:r w:rsidR="00915D36">
        <w:rPr>
          <w:rFonts w:ascii="ITC Avant Garde" w:hAnsi="ITC Avant Garde"/>
        </w:rPr>
        <w:t xml:space="preserve">, pretender que esta autoridad se pronunciara respecto de una condición que no fue materia de un procedimiento de supervisión estaría sujeto </w:t>
      </w:r>
      <w:r w:rsidR="00D61286">
        <w:rPr>
          <w:rFonts w:ascii="ITC Avant Garde" w:hAnsi="ITC Avant Garde"/>
        </w:rPr>
        <w:t xml:space="preserve">a una ilegalidad en cuanto al objeto del requerimiento y en consecuencia, a una violación al principio de seguridad jurídica. </w:t>
      </w:r>
    </w:p>
    <w:p w14:paraId="01C6AB15" w14:textId="77777777" w:rsidR="00B35F13" w:rsidRDefault="00AF7DC3" w:rsidP="00B35F13">
      <w:pPr>
        <w:spacing w:before="240" w:line="360" w:lineRule="auto"/>
        <w:jc w:val="both"/>
        <w:rPr>
          <w:rFonts w:ascii="ITC Avant Garde" w:hAnsi="ITC Avant Garde"/>
        </w:rPr>
      </w:pPr>
      <w:r>
        <w:rPr>
          <w:rFonts w:ascii="ITC Avant Garde" w:hAnsi="ITC Avant Garde"/>
        </w:rPr>
        <w:t>Lo anterior es así si consideramos que la institución jurídica de la caducidad se encuentra estrictamente vinculada con el inicio de un procedimiento administrativo, el cual debe culminar con el dictado de una resolución que determine la situación jurídica del gobernado y en el presente caso no se advierte que derivado de los requerimientos a que se ha hecho mención, se haya dado inicio a un procedimiento administrativo.</w:t>
      </w:r>
    </w:p>
    <w:p w14:paraId="6E24ADEC" w14:textId="77777777" w:rsidR="00B35F13" w:rsidRDefault="00465023" w:rsidP="00B35F13">
      <w:pPr>
        <w:spacing w:before="240" w:line="360" w:lineRule="auto"/>
        <w:jc w:val="both"/>
        <w:rPr>
          <w:rFonts w:ascii="ITC Avant Garde" w:hAnsi="ITC Avant Garde"/>
        </w:rPr>
      </w:pPr>
      <w:r w:rsidRPr="002A2450">
        <w:rPr>
          <w:rFonts w:ascii="ITC Avant Garde" w:hAnsi="ITC Avant Garde"/>
        </w:rPr>
        <w:t xml:space="preserve">En ese sentido, es indudable que el ejercicio de las atribuciones de la </w:t>
      </w:r>
      <w:r w:rsidR="00365BE1" w:rsidRPr="002A2450">
        <w:rPr>
          <w:rFonts w:ascii="ITC Avant Garde" w:hAnsi="ITC Avant Garde"/>
          <w:b/>
        </w:rPr>
        <w:t>“DGS”</w:t>
      </w:r>
      <w:r w:rsidRPr="002A2450">
        <w:rPr>
          <w:rFonts w:ascii="ITC Avant Garde" w:hAnsi="ITC Avant Garde"/>
        </w:rPr>
        <w:t xml:space="preserve">, </w:t>
      </w:r>
      <w:r w:rsidR="00CA471D" w:rsidRPr="002A2450">
        <w:rPr>
          <w:rFonts w:ascii="ITC Avant Garde" w:hAnsi="ITC Avant Garde"/>
        </w:rPr>
        <w:t xml:space="preserve">respecto de los requerimientos formulados a </w:t>
      </w:r>
      <w:r w:rsidR="00CA471D" w:rsidRPr="002A2450">
        <w:rPr>
          <w:rFonts w:ascii="ITC Avant Garde" w:hAnsi="ITC Avant Garde"/>
          <w:b/>
        </w:rPr>
        <w:t>“COFRESA”</w:t>
      </w:r>
      <w:r w:rsidR="00CA471D" w:rsidRPr="002A2450">
        <w:rPr>
          <w:rFonts w:ascii="ITC Avant Garde" w:hAnsi="ITC Avant Garde"/>
        </w:rPr>
        <w:t xml:space="preserve"> y a </w:t>
      </w:r>
      <w:r w:rsidR="00CA471D" w:rsidRPr="002A2450">
        <w:rPr>
          <w:rFonts w:ascii="ITC Avant Garde" w:hAnsi="ITC Avant Garde"/>
          <w:b/>
        </w:rPr>
        <w:t>“TELMEX”</w:t>
      </w:r>
      <w:r w:rsidR="00300F65">
        <w:rPr>
          <w:rFonts w:ascii="ITC Avant Garde" w:hAnsi="ITC Avant Garde"/>
          <w:b/>
        </w:rPr>
        <w:t xml:space="preserve">, </w:t>
      </w:r>
      <w:r w:rsidR="00300F65" w:rsidRPr="00300F65">
        <w:rPr>
          <w:rFonts w:ascii="ITC Avant Garde" w:hAnsi="ITC Avant Garde"/>
        </w:rPr>
        <w:t>correspondía</w:t>
      </w:r>
      <w:r w:rsidR="00300F65">
        <w:rPr>
          <w:rFonts w:ascii="ITC Avant Garde" w:hAnsi="ITC Avant Garde"/>
          <w:b/>
        </w:rPr>
        <w:t xml:space="preserve"> </w:t>
      </w:r>
      <w:r w:rsidR="00300F65" w:rsidRPr="009E34A4">
        <w:rPr>
          <w:rFonts w:ascii="ITC Avant Garde" w:hAnsi="ITC Avant Garde"/>
        </w:rPr>
        <w:t>a una facultad</w:t>
      </w:r>
      <w:r w:rsidR="00300F65">
        <w:rPr>
          <w:rFonts w:ascii="ITC Avant Garde" w:hAnsi="ITC Avant Garde"/>
          <w:b/>
        </w:rPr>
        <w:t xml:space="preserve"> </w:t>
      </w:r>
      <w:r w:rsidR="00300F65">
        <w:rPr>
          <w:rFonts w:ascii="ITC Avant Garde" w:hAnsi="ITC Avant Garde"/>
        </w:rPr>
        <w:t xml:space="preserve">genérica de supervisión sin que se haya limitado a supervisar el cumplimiento de la condición 1-9 del </w:t>
      </w:r>
      <w:r w:rsidR="00300F65">
        <w:rPr>
          <w:rFonts w:ascii="ITC Avant Garde" w:hAnsi="ITC Avant Garde"/>
          <w:b/>
        </w:rPr>
        <w:t>“TÍTULO DE CONCESIÓN”</w:t>
      </w:r>
      <w:r w:rsidR="00300F65">
        <w:rPr>
          <w:rFonts w:ascii="ITC Avant Garde" w:hAnsi="ITC Avant Garde"/>
        </w:rPr>
        <w:t xml:space="preserve"> otorgado a </w:t>
      </w:r>
      <w:r w:rsidR="00300F65">
        <w:rPr>
          <w:rFonts w:ascii="ITC Avant Garde" w:hAnsi="ITC Avant Garde"/>
          <w:b/>
        </w:rPr>
        <w:t>“TELMEX”.</w:t>
      </w:r>
    </w:p>
    <w:p w14:paraId="4A746E2D" w14:textId="77777777" w:rsidR="00B35F13" w:rsidRDefault="00300F65" w:rsidP="00B35F13">
      <w:pPr>
        <w:spacing w:before="240" w:line="360" w:lineRule="auto"/>
        <w:jc w:val="both"/>
        <w:rPr>
          <w:rFonts w:ascii="ITC Avant Garde" w:hAnsi="ITC Avant Garde"/>
        </w:rPr>
      </w:pPr>
      <w:r w:rsidRPr="009E34A4">
        <w:rPr>
          <w:rFonts w:ascii="ITC Avant Garde" w:hAnsi="ITC Avant Garde"/>
        </w:rPr>
        <w:t>Ahora bien,</w:t>
      </w:r>
      <w:r>
        <w:rPr>
          <w:rFonts w:ascii="ITC Avant Garde" w:hAnsi="ITC Avant Garde"/>
          <w:b/>
        </w:rPr>
        <w:t xml:space="preserve"> </w:t>
      </w:r>
      <w:r w:rsidRPr="009E34A4">
        <w:rPr>
          <w:rFonts w:ascii="ITC Avant Garde" w:hAnsi="ITC Avant Garde"/>
        </w:rPr>
        <w:t>suponiendo y sin conceder</w:t>
      </w:r>
      <w:r>
        <w:rPr>
          <w:rFonts w:ascii="ITC Avant Garde" w:hAnsi="ITC Avant Garde"/>
          <w:b/>
        </w:rPr>
        <w:t xml:space="preserve"> </w:t>
      </w:r>
      <w:r w:rsidRPr="009E34A4">
        <w:rPr>
          <w:rFonts w:ascii="ITC Avant Garde" w:hAnsi="ITC Avant Garde"/>
        </w:rPr>
        <w:t>que dichos</w:t>
      </w:r>
      <w:r>
        <w:rPr>
          <w:rFonts w:ascii="ITC Avant Garde" w:hAnsi="ITC Avant Garde"/>
          <w:b/>
        </w:rPr>
        <w:t xml:space="preserve"> </w:t>
      </w:r>
      <w:r>
        <w:rPr>
          <w:rFonts w:ascii="ITC Avant Garde" w:hAnsi="ITC Avant Garde"/>
        </w:rPr>
        <w:t xml:space="preserve">requerimientos </w:t>
      </w:r>
      <w:r w:rsidR="00FA02A6" w:rsidRPr="002A2450">
        <w:rPr>
          <w:rFonts w:ascii="ITC Avant Garde" w:hAnsi="ITC Avant Garde"/>
        </w:rPr>
        <w:t>se encontraba</w:t>
      </w:r>
      <w:r>
        <w:rPr>
          <w:rFonts w:ascii="ITC Avant Garde" w:hAnsi="ITC Avant Garde"/>
        </w:rPr>
        <w:t>n</w:t>
      </w:r>
      <w:r w:rsidR="00FA02A6" w:rsidRPr="002A2450">
        <w:rPr>
          <w:rFonts w:ascii="ITC Avant Garde" w:hAnsi="ITC Avant Garde"/>
        </w:rPr>
        <w:t xml:space="preserve"> </w:t>
      </w:r>
      <w:r w:rsidR="00055FD5" w:rsidRPr="002A2450">
        <w:rPr>
          <w:rFonts w:ascii="ITC Avant Garde" w:hAnsi="ITC Avant Garde"/>
        </w:rPr>
        <w:t>sujeto</w:t>
      </w:r>
      <w:r>
        <w:rPr>
          <w:rFonts w:ascii="ITC Avant Garde" w:hAnsi="ITC Avant Garde"/>
        </w:rPr>
        <w:t>s</w:t>
      </w:r>
      <w:r w:rsidR="00CA471D" w:rsidRPr="002A2450">
        <w:rPr>
          <w:rFonts w:ascii="ITC Avant Garde" w:hAnsi="ITC Avant Garde"/>
        </w:rPr>
        <w:t xml:space="preserve"> a una determinación debe señalarse que es de</w:t>
      </w:r>
      <w:r w:rsidR="00055FD5" w:rsidRPr="002A2450">
        <w:rPr>
          <w:rFonts w:ascii="ITC Avant Garde" w:hAnsi="ITC Avant Garde"/>
        </w:rPr>
        <w:t>l</w:t>
      </w:r>
      <w:r w:rsidR="00CA471D" w:rsidRPr="002A2450">
        <w:rPr>
          <w:rFonts w:ascii="ITC Avant Garde" w:hAnsi="ITC Avant Garde"/>
        </w:rPr>
        <w:t xml:space="preserve"> pleno conocimiento de esta autoridad que, mediante oficio</w:t>
      </w:r>
      <w:r w:rsidR="00EC4505" w:rsidRPr="002A2450">
        <w:rPr>
          <w:rFonts w:ascii="ITC Avant Garde" w:hAnsi="ITC Avant Garde"/>
        </w:rPr>
        <w:t>s</w:t>
      </w:r>
      <w:r w:rsidR="00CA471D" w:rsidRPr="002A2450">
        <w:rPr>
          <w:rFonts w:ascii="ITC Avant Garde" w:hAnsi="ITC Avant Garde"/>
        </w:rPr>
        <w:t xml:space="preserve"> </w:t>
      </w:r>
      <w:r w:rsidR="00EB1E45" w:rsidRPr="002A2450">
        <w:rPr>
          <w:rFonts w:ascii="ITC Avant Garde" w:hAnsi="ITC Avant Garde"/>
          <w:b/>
        </w:rPr>
        <w:t xml:space="preserve">IFT/D04/USV/DGS/1910/2014 </w:t>
      </w:r>
      <w:r w:rsidR="00EB1E45" w:rsidRPr="002A2450">
        <w:rPr>
          <w:rFonts w:ascii="ITC Avant Garde" w:hAnsi="ITC Avant Garde"/>
        </w:rPr>
        <w:t>e</w:t>
      </w:r>
      <w:r w:rsidR="00EB1E45" w:rsidRPr="002A2450">
        <w:rPr>
          <w:rFonts w:ascii="ITC Avant Garde" w:hAnsi="ITC Avant Garde"/>
          <w:b/>
        </w:rPr>
        <w:t xml:space="preserve"> IFT/D04/USV/DGS/1977/2014</w:t>
      </w:r>
      <w:r w:rsidR="00EB1E45" w:rsidRPr="002A2450">
        <w:rPr>
          <w:rFonts w:ascii="ITC Avant Garde" w:hAnsi="ITC Avant Garde"/>
        </w:rPr>
        <w:t xml:space="preserve"> </w:t>
      </w:r>
      <w:r w:rsidR="00CA471D" w:rsidRPr="002A2450">
        <w:rPr>
          <w:rFonts w:ascii="ITC Avant Garde" w:hAnsi="ITC Avant Garde"/>
        </w:rPr>
        <w:t xml:space="preserve">de quince </w:t>
      </w:r>
      <w:r w:rsidR="00EC4505" w:rsidRPr="002A2450">
        <w:rPr>
          <w:rFonts w:ascii="ITC Avant Garde" w:hAnsi="ITC Avant Garde"/>
        </w:rPr>
        <w:t xml:space="preserve">y dieciséis </w:t>
      </w:r>
      <w:r w:rsidR="00CA471D" w:rsidRPr="002A2450">
        <w:rPr>
          <w:rFonts w:ascii="ITC Avant Garde" w:hAnsi="ITC Avant Garde"/>
        </w:rPr>
        <w:t xml:space="preserve">de mayo de dos mil catorce, la </w:t>
      </w:r>
      <w:r w:rsidR="00365BE1" w:rsidRPr="002A2450">
        <w:rPr>
          <w:rFonts w:ascii="ITC Avant Garde" w:hAnsi="ITC Avant Garde"/>
          <w:b/>
        </w:rPr>
        <w:t>“DGS”</w:t>
      </w:r>
      <w:r w:rsidR="00CA471D" w:rsidRPr="002A2450">
        <w:rPr>
          <w:rFonts w:ascii="ITC Avant Garde" w:hAnsi="ITC Avant Garde"/>
        </w:rPr>
        <w:t xml:space="preserve">, de la entonces </w:t>
      </w:r>
      <w:r w:rsidR="00CA471D" w:rsidRPr="002A2450">
        <w:rPr>
          <w:rFonts w:ascii="ITC Avant Garde" w:hAnsi="ITC Avant Garde"/>
          <w:b/>
        </w:rPr>
        <w:t>Unidad de Supervisión y Verificación</w:t>
      </w:r>
      <w:r w:rsidR="00EC4505" w:rsidRPr="002A2450">
        <w:rPr>
          <w:rFonts w:ascii="ITC Avant Garde" w:hAnsi="ITC Avant Garde"/>
          <w:b/>
        </w:rPr>
        <w:t xml:space="preserve">, </w:t>
      </w:r>
      <w:r w:rsidR="00EC4505" w:rsidRPr="002A2450">
        <w:rPr>
          <w:rFonts w:ascii="ITC Avant Garde" w:hAnsi="ITC Avant Garde"/>
        </w:rPr>
        <w:t xml:space="preserve">informó a la Titular de la Unidad de Competencia Económica de este </w:t>
      </w:r>
      <w:r w:rsidR="00EC4505" w:rsidRPr="002A2450">
        <w:rPr>
          <w:rFonts w:ascii="ITC Avant Garde" w:hAnsi="ITC Avant Garde"/>
          <w:b/>
        </w:rPr>
        <w:t>“Instituto”</w:t>
      </w:r>
      <w:r w:rsidR="00EC4505" w:rsidRPr="002A2450">
        <w:rPr>
          <w:rFonts w:ascii="ITC Avant Garde" w:hAnsi="ITC Avant Garde"/>
        </w:rPr>
        <w:t xml:space="preserve"> que de acuerdo a las facultades conferidas en el diverso artículo 26 del Abrogado Estatuto del </w:t>
      </w:r>
      <w:r w:rsidR="00EC4505" w:rsidRPr="002A2450">
        <w:rPr>
          <w:rFonts w:ascii="ITC Avant Garde" w:hAnsi="ITC Avant Garde"/>
          <w:b/>
        </w:rPr>
        <w:t>“IFT”</w:t>
      </w:r>
      <w:r w:rsidR="00EC4505" w:rsidRPr="002A2450">
        <w:rPr>
          <w:rFonts w:ascii="ITC Avant Garde" w:hAnsi="ITC Avant Garde"/>
        </w:rPr>
        <w:t xml:space="preserve"> y considerando que la información difundida en diferentes medios de comunicación entre el diecinueve y veinte de febrero de dos mil catorce, con relación a los </w:t>
      </w:r>
      <w:r w:rsidR="00EC4505" w:rsidRPr="002A2450">
        <w:rPr>
          <w:rFonts w:ascii="ITC Avant Garde" w:hAnsi="ITC Avant Garde"/>
        </w:rPr>
        <w:lastRenderedPageBreak/>
        <w:t xml:space="preserve">acuerdos celebrados entre </w:t>
      </w:r>
      <w:r w:rsidR="00EC4505" w:rsidRPr="002A2450">
        <w:rPr>
          <w:rFonts w:ascii="ITC Avant Garde" w:hAnsi="ITC Avant Garde"/>
          <w:b/>
        </w:rPr>
        <w:t>“COFRESA”</w:t>
      </w:r>
      <w:r w:rsidR="00EC4505" w:rsidRPr="002A2450">
        <w:rPr>
          <w:rFonts w:ascii="ITC Avant Garde" w:hAnsi="ITC Avant Garde"/>
        </w:rPr>
        <w:t xml:space="preserve"> y </w:t>
      </w:r>
      <w:r w:rsidR="00EC4505" w:rsidRPr="002A2450">
        <w:rPr>
          <w:rFonts w:ascii="ITC Avant Garde" w:hAnsi="ITC Avant Garde"/>
          <w:b/>
        </w:rPr>
        <w:t>“TELMEX”</w:t>
      </w:r>
      <w:r w:rsidR="00EC4505" w:rsidRPr="002A2450">
        <w:rPr>
          <w:rFonts w:ascii="ITC Avant Garde" w:hAnsi="ITC Avant Garde"/>
        </w:rPr>
        <w:t xml:space="preserve">, </w:t>
      </w:r>
      <w:r w:rsidR="00055FD5" w:rsidRPr="002A2450">
        <w:rPr>
          <w:rFonts w:ascii="ITC Avant Garde" w:hAnsi="ITC Avant Garde"/>
        </w:rPr>
        <w:t xml:space="preserve">dicha unidad administrativa </w:t>
      </w:r>
      <w:r w:rsidR="00EC4505" w:rsidRPr="002A2450">
        <w:rPr>
          <w:rFonts w:ascii="ITC Avant Garde" w:hAnsi="ITC Avant Garde"/>
        </w:rPr>
        <w:t xml:space="preserve">realizó una serie de requerimientos a los concesionarios mencionados, </w:t>
      </w:r>
      <w:r w:rsidR="00055FD5" w:rsidRPr="002A2450">
        <w:rPr>
          <w:rFonts w:ascii="ITC Avant Garde" w:hAnsi="ITC Avant Garde"/>
        </w:rPr>
        <w:t xml:space="preserve">y </w:t>
      </w:r>
      <w:r w:rsidR="00EC4505" w:rsidRPr="002A2450">
        <w:rPr>
          <w:rFonts w:ascii="ITC Avant Garde" w:hAnsi="ITC Avant Garde"/>
        </w:rPr>
        <w:t xml:space="preserve">advirtiendo que la información recibida en desahogo a los requerimientos formulados, </w:t>
      </w:r>
      <w:r w:rsidR="00E1615F">
        <w:rPr>
          <w:rFonts w:ascii="ITC Avant Garde" w:hAnsi="ITC Avant Garde"/>
        </w:rPr>
        <w:t xml:space="preserve">correspondía a </w:t>
      </w:r>
      <w:r w:rsidR="00055FD5" w:rsidRPr="002A2450">
        <w:rPr>
          <w:rFonts w:ascii="ITC Avant Garde" w:hAnsi="ITC Avant Garde"/>
        </w:rPr>
        <w:t xml:space="preserve">la Unidad de Competencia Económica atendiendo a las </w:t>
      </w:r>
      <w:r w:rsidR="00EC4505" w:rsidRPr="002A2450">
        <w:rPr>
          <w:rFonts w:ascii="ITC Avant Garde" w:hAnsi="ITC Avant Garde"/>
        </w:rPr>
        <w:t xml:space="preserve">facultades que tenía conferidas en </w:t>
      </w:r>
      <w:r w:rsidR="00055FD5" w:rsidRPr="002A2450">
        <w:rPr>
          <w:rFonts w:ascii="ITC Avant Garde" w:hAnsi="ITC Avant Garde"/>
        </w:rPr>
        <w:t xml:space="preserve">el </w:t>
      </w:r>
      <w:r w:rsidR="00EC4505" w:rsidRPr="002A2450">
        <w:rPr>
          <w:rFonts w:ascii="ITC Avant Garde" w:hAnsi="ITC Avant Garde"/>
        </w:rPr>
        <w:t xml:space="preserve">artículo 29 del </w:t>
      </w:r>
      <w:r w:rsidR="005D3E9A" w:rsidRPr="002A2450">
        <w:rPr>
          <w:rFonts w:ascii="ITC Avant Garde" w:hAnsi="ITC Avant Garde"/>
        </w:rPr>
        <w:t xml:space="preserve">Abrogado </w:t>
      </w:r>
      <w:r w:rsidR="00EC4505" w:rsidRPr="002A2450">
        <w:rPr>
          <w:rFonts w:ascii="ITC Avant Garde" w:hAnsi="ITC Avant Garde"/>
        </w:rPr>
        <w:t xml:space="preserve">Estatuto del </w:t>
      </w:r>
      <w:r w:rsidR="00EC4505" w:rsidRPr="002A2450">
        <w:rPr>
          <w:rFonts w:ascii="ITC Avant Garde" w:hAnsi="ITC Avant Garde"/>
          <w:b/>
        </w:rPr>
        <w:t>“IFT”</w:t>
      </w:r>
      <w:r w:rsidR="00EC4505" w:rsidRPr="002A2450">
        <w:rPr>
          <w:rFonts w:ascii="ITC Avant Garde" w:hAnsi="ITC Avant Garde"/>
        </w:rPr>
        <w:t xml:space="preserve">, </w:t>
      </w:r>
      <w:r w:rsidR="00055FD5" w:rsidRPr="002A2450">
        <w:rPr>
          <w:rFonts w:ascii="ITC Avant Garde" w:hAnsi="ITC Avant Garde"/>
        </w:rPr>
        <w:t xml:space="preserve">procedía a remitir </w:t>
      </w:r>
      <w:r w:rsidR="00EC4505" w:rsidRPr="002A2450">
        <w:rPr>
          <w:rFonts w:ascii="ITC Avant Garde" w:hAnsi="ITC Avant Garde"/>
        </w:rPr>
        <w:t>copia certificada de dichas constancias.</w:t>
      </w:r>
    </w:p>
    <w:p w14:paraId="5773ACD3" w14:textId="77777777" w:rsidR="00B35F13" w:rsidRDefault="00FA02A6" w:rsidP="00B35F13">
      <w:pPr>
        <w:pStyle w:val="Textoindependiente"/>
        <w:tabs>
          <w:tab w:val="left" w:pos="993"/>
        </w:tabs>
        <w:spacing w:before="240" w:after="160" w:line="360" w:lineRule="auto"/>
        <w:jc w:val="both"/>
        <w:rPr>
          <w:rFonts w:ascii="ITC Avant Garde" w:hAnsi="ITC Avant Garde"/>
          <w:color w:val="000000"/>
        </w:rPr>
      </w:pPr>
      <w:r w:rsidRPr="002A2450">
        <w:rPr>
          <w:rFonts w:ascii="ITC Avant Garde" w:hAnsi="ITC Avant Garde"/>
          <w:color w:val="000000"/>
        </w:rPr>
        <w:t>Sirve de aplicación por analogía la siguiente jurisprudencia:</w:t>
      </w:r>
    </w:p>
    <w:p w14:paraId="76A925AB" w14:textId="77777777" w:rsidR="00B35F13" w:rsidRDefault="00FA02A6" w:rsidP="00B35F13">
      <w:pPr>
        <w:spacing w:before="240" w:line="360" w:lineRule="auto"/>
        <w:ind w:left="567" w:right="567"/>
        <w:jc w:val="both"/>
        <w:rPr>
          <w:rFonts w:ascii="ITC Avant Garde" w:hAnsi="ITC Avant Garde"/>
          <w:color w:val="000000"/>
        </w:rPr>
      </w:pPr>
      <w:r w:rsidRPr="002A2450">
        <w:rPr>
          <w:rFonts w:ascii="ITC Avant Garde" w:hAnsi="ITC Avant Garde"/>
          <w:b/>
          <w:color w:val="000000"/>
        </w:rPr>
        <w:t>HECHO NOTORIO. LOS MINISTROS PUEDEN INVOCAR COMO TAL, LAS EJECUTORIAS EMITIDAS POR EL TRIBUNAL PLENO O POR LAS SALAS DE LA SUPREMA CORTE DE JUSTICIA.</w:t>
      </w:r>
      <w:r w:rsidRPr="002A2450">
        <w:rPr>
          <w:rFonts w:ascii="ITC Avant Garde" w:hAnsi="ITC Avant Garde"/>
          <w:color w:val="000000"/>
        </w:rPr>
        <w:t xml:space="preserve"> Como los Ministros de la Suprema Corte de Justicia integran tanto el Pleno como las Salas, al resolver los juicios que a cada órgano corresponda, pueden válidamente invocar, de oficio, como hechos notorios, en términos del artículo 88 del Código Federal de Procedimientos Civiles de aplicación supletoria a la Ley de Amparo, las resoluciones que emitan aquéllos, como medio probatorio para fundar la ejecutoria correspondiente, sin que resulte necesaria la certificación de la misma, bastando que se tenga a la vista dicha ejecutoria, pues se trata de una facultad que les otorga la ley y que pueden ejercitar para resolver una contienda judicial.</w:t>
      </w:r>
    </w:p>
    <w:p w14:paraId="58E0FBD5" w14:textId="77777777" w:rsidR="00B35F13" w:rsidRDefault="00FA02A6" w:rsidP="00B35F13">
      <w:pPr>
        <w:spacing w:before="240" w:line="360" w:lineRule="auto"/>
        <w:ind w:left="567" w:right="567"/>
        <w:jc w:val="both"/>
        <w:rPr>
          <w:rFonts w:ascii="ITC Avant Garde" w:hAnsi="ITC Avant Garde"/>
          <w:color w:val="000000"/>
        </w:rPr>
      </w:pPr>
      <w:r w:rsidRPr="002A2450">
        <w:rPr>
          <w:rFonts w:ascii="ITC Avant Garde" w:hAnsi="ITC Avant Garde"/>
          <w:color w:val="000000"/>
          <w:sz w:val="18"/>
        </w:rPr>
        <w:t>Época: Novena Época, Registro: 198220, Instancia: Segunda Sala, Tipo de Tesis: Jurisprudencia, Fuente: Semanario Judicial de la Federación y su Gaceta, Tomo VI, Julio de 1997, Materia(s): Común, Tesis: 2a</w:t>
      </w:r>
      <w:r w:rsidR="00C23776" w:rsidRPr="002A2450">
        <w:rPr>
          <w:rFonts w:ascii="ITC Avant Garde" w:hAnsi="ITC Avant Garde"/>
          <w:color w:val="000000"/>
          <w:sz w:val="18"/>
        </w:rPr>
        <w:t>. /</w:t>
      </w:r>
      <w:r w:rsidRPr="002A2450">
        <w:rPr>
          <w:rFonts w:ascii="ITC Avant Garde" w:hAnsi="ITC Avant Garde"/>
          <w:color w:val="000000"/>
          <w:sz w:val="18"/>
        </w:rPr>
        <w:t xml:space="preserve">J. 27/97, Página: 117 </w:t>
      </w:r>
    </w:p>
    <w:p w14:paraId="46097FD6" w14:textId="77777777" w:rsidR="00B35F13" w:rsidRDefault="00EC4505" w:rsidP="00B35F13">
      <w:pPr>
        <w:spacing w:before="240" w:line="360" w:lineRule="auto"/>
        <w:jc w:val="both"/>
        <w:rPr>
          <w:rFonts w:ascii="ITC Avant Garde" w:hAnsi="ITC Avant Garde"/>
          <w:b/>
        </w:rPr>
      </w:pPr>
      <w:r w:rsidRPr="002A2450">
        <w:rPr>
          <w:rFonts w:ascii="ITC Avant Garde" w:hAnsi="ITC Avant Garde"/>
        </w:rPr>
        <w:t xml:space="preserve">Al respecto, la Titular de la Unidad de Competencia Económica de este </w:t>
      </w:r>
      <w:r w:rsidRPr="002A2450">
        <w:rPr>
          <w:rFonts w:ascii="ITC Avant Garde" w:hAnsi="ITC Avant Garde"/>
          <w:b/>
        </w:rPr>
        <w:t>“IFT”</w:t>
      </w:r>
      <w:r w:rsidRPr="002A2450">
        <w:rPr>
          <w:rFonts w:ascii="ITC Avant Garde" w:hAnsi="ITC Avant Garde"/>
        </w:rPr>
        <w:t xml:space="preserve">, mediante oficio </w:t>
      </w:r>
      <w:r w:rsidRPr="002A2450">
        <w:rPr>
          <w:rFonts w:ascii="ITC Avant Garde" w:hAnsi="ITC Avant Garde"/>
          <w:b/>
        </w:rPr>
        <w:t>IFT/D10/UCE/175/2014</w:t>
      </w:r>
      <w:r w:rsidRPr="002A2450">
        <w:rPr>
          <w:rFonts w:ascii="ITC Avant Garde" w:hAnsi="ITC Avant Garde"/>
        </w:rPr>
        <w:t xml:space="preserve"> de diecinueve de mayo de dos mil catorce, requirió a la </w:t>
      </w:r>
      <w:r w:rsidR="00365BE1" w:rsidRPr="002A2450">
        <w:rPr>
          <w:rFonts w:ascii="ITC Avant Garde" w:hAnsi="ITC Avant Garde"/>
          <w:b/>
        </w:rPr>
        <w:t>“DGS”</w:t>
      </w:r>
      <w:r w:rsidRPr="002A2450">
        <w:rPr>
          <w:rFonts w:ascii="ITC Avant Garde" w:hAnsi="ITC Avant Garde"/>
          <w:b/>
        </w:rPr>
        <w:t xml:space="preserve"> </w:t>
      </w:r>
      <w:r w:rsidR="00973E83" w:rsidRPr="002A2450">
        <w:rPr>
          <w:rFonts w:ascii="ITC Avant Garde" w:hAnsi="ITC Avant Garde"/>
        </w:rPr>
        <w:t xml:space="preserve">copia certificada de todos los escritos y anexos, así como todas las actuaciones que hayan recaído al desahogo de los requerimientos formulados por dicha Dirección General a los oficios </w:t>
      </w:r>
      <w:r w:rsidR="00973E83" w:rsidRPr="002A2450">
        <w:rPr>
          <w:rFonts w:ascii="ITC Avant Garde" w:hAnsi="ITC Avant Garde"/>
          <w:b/>
        </w:rPr>
        <w:t xml:space="preserve">IFT/D04/USV/DGS/1752/2014 </w:t>
      </w:r>
      <w:r w:rsidR="00973E83" w:rsidRPr="002A2450">
        <w:rPr>
          <w:rFonts w:ascii="ITC Avant Garde" w:hAnsi="ITC Avant Garde"/>
        </w:rPr>
        <w:t>y</w:t>
      </w:r>
      <w:r w:rsidR="00973E83" w:rsidRPr="002A2450">
        <w:rPr>
          <w:rFonts w:ascii="ITC Avant Garde" w:hAnsi="ITC Avant Garde"/>
          <w:b/>
        </w:rPr>
        <w:t xml:space="preserve"> IFT/D04/USV/DGS/1753/2014</w:t>
      </w:r>
      <w:r w:rsidR="00973E83" w:rsidRPr="002A2450">
        <w:rPr>
          <w:rFonts w:ascii="ITC Avant Garde" w:hAnsi="ITC Avant Garde"/>
        </w:rPr>
        <w:t xml:space="preserve">, por parte de </w:t>
      </w:r>
      <w:r w:rsidR="00973E83" w:rsidRPr="002A2450">
        <w:rPr>
          <w:rFonts w:ascii="ITC Avant Garde" w:hAnsi="ITC Avant Garde"/>
          <w:b/>
        </w:rPr>
        <w:t xml:space="preserve">“COFRESA” </w:t>
      </w:r>
      <w:r w:rsidR="00973E83" w:rsidRPr="002A2450">
        <w:rPr>
          <w:rFonts w:ascii="ITC Avant Garde" w:hAnsi="ITC Avant Garde"/>
        </w:rPr>
        <w:t xml:space="preserve">y </w:t>
      </w:r>
      <w:r w:rsidR="00973E83" w:rsidRPr="002A2450">
        <w:rPr>
          <w:rFonts w:ascii="ITC Avant Garde" w:hAnsi="ITC Avant Garde"/>
          <w:b/>
        </w:rPr>
        <w:t>“TELMEX”.</w:t>
      </w:r>
    </w:p>
    <w:p w14:paraId="6588A791" w14:textId="77777777" w:rsidR="00B35F13" w:rsidRDefault="00973E83" w:rsidP="00B35F13">
      <w:pPr>
        <w:spacing w:before="240" w:line="360" w:lineRule="auto"/>
        <w:jc w:val="both"/>
        <w:rPr>
          <w:rFonts w:ascii="ITC Avant Garde" w:hAnsi="ITC Avant Garde"/>
          <w:b/>
        </w:rPr>
      </w:pPr>
      <w:r w:rsidRPr="002A2450">
        <w:rPr>
          <w:rFonts w:ascii="ITC Avant Garde" w:hAnsi="ITC Avant Garde"/>
        </w:rPr>
        <w:lastRenderedPageBreak/>
        <w:t xml:space="preserve">En cumplimiento a lo anterior, mediante oficio </w:t>
      </w:r>
      <w:r w:rsidRPr="002A2450">
        <w:rPr>
          <w:rFonts w:ascii="ITC Avant Garde" w:hAnsi="ITC Avant Garde"/>
          <w:b/>
        </w:rPr>
        <w:t>IFT/D04/USV/DGS/1980/2014</w:t>
      </w:r>
      <w:r w:rsidRPr="002A2450">
        <w:rPr>
          <w:rFonts w:ascii="ITC Avant Garde" w:hAnsi="ITC Avant Garde"/>
        </w:rPr>
        <w:t xml:space="preserve"> de veinte de mayo de dos mil catorce, la </w:t>
      </w:r>
      <w:r w:rsidR="00365BE1" w:rsidRPr="002A2450">
        <w:rPr>
          <w:rFonts w:ascii="ITC Avant Garde" w:hAnsi="ITC Avant Garde"/>
          <w:b/>
        </w:rPr>
        <w:t xml:space="preserve">“DGS” </w:t>
      </w:r>
      <w:r w:rsidRPr="002A2450">
        <w:rPr>
          <w:rFonts w:ascii="ITC Avant Garde" w:hAnsi="ITC Avant Garde"/>
        </w:rPr>
        <w:t xml:space="preserve">remitió las constancias solicitadas por la Titular de la Unidad de Competencia Económica de este </w:t>
      </w:r>
      <w:r w:rsidRPr="002A2450">
        <w:rPr>
          <w:rFonts w:ascii="ITC Avant Garde" w:hAnsi="ITC Avant Garde"/>
          <w:b/>
        </w:rPr>
        <w:t>“IFT”.</w:t>
      </w:r>
    </w:p>
    <w:p w14:paraId="51A549EE" w14:textId="77777777" w:rsidR="00B35F13" w:rsidRDefault="00973E83" w:rsidP="00B35F13">
      <w:pPr>
        <w:spacing w:before="240" w:line="360" w:lineRule="auto"/>
        <w:jc w:val="both"/>
        <w:rPr>
          <w:rFonts w:ascii="ITC Avant Garde" w:hAnsi="ITC Avant Garde"/>
        </w:rPr>
      </w:pPr>
      <w:r w:rsidRPr="002A2450">
        <w:rPr>
          <w:rFonts w:ascii="ITC Avant Garde" w:hAnsi="ITC Avant Garde"/>
        </w:rPr>
        <w:t xml:space="preserve">Ahora bien, de acuerdo a los resolutivos Décimo Tercero, Décimo Cuarto, Décimo Quinto y Décimo Sexto, de la resolución emitida por el Pleno de este </w:t>
      </w:r>
      <w:r w:rsidRPr="002A2450">
        <w:rPr>
          <w:rFonts w:ascii="ITC Avant Garde" w:hAnsi="ITC Avant Garde"/>
          <w:b/>
        </w:rPr>
        <w:t>“IFT”</w:t>
      </w:r>
      <w:r w:rsidRPr="002A2450">
        <w:rPr>
          <w:rFonts w:ascii="ITC Avant Garde" w:hAnsi="ITC Avant Garde"/>
        </w:rPr>
        <w:t xml:space="preserve"> el siete de enero de dos mil quince, en los autos del expediente </w:t>
      </w:r>
      <w:r w:rsidRPr="002A2450">
        <w:rPr>
          <w:rFonts w:ascii="ITC Avant Garde" w:hAnsi="ITC Avant Garde"/>
          <w:b/>
        </w:rPr>
        <w:t xml:space="preserve">E-IFT/UC/DGIPM/PMR/003/2013 y acumulados, </w:t>
      </w:r>
      <w:r w:rsidRPr="002A2450">
        <w:rPr>
          <w:rFonts w:ascii="ITC Avant Garde" w:hAnsi="ITC Avant Garde"/>
        </w:rPr>
        <w:t>se advierte lo siguiente:</w:t>
      </w:r>
    </w:p>
    <w:p w14:paraId="2E3EC258" w14:textId="46915CE3" w:rsidR="00973E83" w:rsidRPr="002A2450" w:rsidRDefault="00973E83" w:rsidP="00B35F13">
      <w:pPr>
        <w:spacing w:before="240" w:line="360" w:lineRule="auto"/>
        <w:ind w:left="567" w:right="567"/>
        <w:jc w:val="both"/>
        <w:rPr>
          <w:rFonts w:ascii="ITC Avant Garde" w:hAnsi="ITC Avant Garde"/>
          <w:i/>
        </w:rPr>
      </w:pPr>
      <w:r w:rsidRPr="002A2450">
        <w:rPr>
          <w:rFonts w:ascii="ITC Avant Garde" w:hAnsi="ITC Avant Garde"/>
          <w:i/>
        </w:rPr>
        <w:t>“…</w:t>
      </w:r>
    </w:p>
    <w:p w14:paraId="474968AA" w14:textId="77777777" w:rsidR="00B35F13" w:rsidRDefault="00973E83" w:rsidP="00B35F13">
      <w:pPr>
        <w:spacing w:before="240" w:line="360" w:lineRule="auto"/>
        <w:ind w:left="567" w:right="567"/>
        <w:jc w:val="both"/>
        <w:rPr>
          <w:rFonts w:ascii="ITC Avant Garde" w:hAnsi="ITC Avant Garde"/>
          <w:i/>
        </w:rPr>
      </w:pPr>
      <w:r w:rsidRPr="002A2450">
        <w:rPr>
          <w:rFonts w:ascii="ITC Avant Garde" w:hAnsi="ITC Avant Garde"/>
          <w:i/>
        </w:rPr>
        <w:t xml:space="preserve">DÉCIMO TERCERO. Mediante oficio número IFT/D04/USV/DGS/1910/2014, de fecha quince de mayo de dos mil catorce, el Director General de Supervisión de la USV del Instituto, remitió diversa documentación presentada por </w:t>
      </w:r>
      <w:r w:rsidR="005B601B" w:rsidRPr="002A2450">
        <w:rPr>
          <w:rFonts w:ascii="ITC Avant Garde" w:hAnsi="ITC Avant Garde"/>
          <w:b/>
          <w:i/>
        </w:rPr>
        <w:t>“TELMEX”</w:t>
      </w:r>
      <w:r w:rsidRPr="002A2450">
        <w:rPr>
          <w:rFonts w:ascii="ITC Avant Garde" w:hAnsi="ITC Avant Garde"/>
          <w:i/>
        </w:rPr>
        <w:t xml:space="preserve"> y </w:t>
      </w:r>
      <w:proofErr w:type="spellStart"/>
      <w:r w:rsidRPr="002A2450">
        <w:rPr>
          <w:rFonts w:ascii="ITC Avant Garde" w:hAnsi="ITC Avant Garde"/>
          <w:i/>
        </w:rPr>
        <w:t>Cofresa</w:t>
      </w:r>
      <w:proofErr w:type="spellEnd"/>
      <w:r w:rsidRPr="002A2450">
        <w:rPr>
          <w:rFonts w:ascii="ITC Avant Garde" w:hAnsi="ITC Avant Garde"/>
          <w:i/>
        </w:rPr>
        <w:t xml:space="preserve"> a la UCE. </w:t>
      </w:r>
    </w:p>
    <w:p w14:paraId="68C72588" w14:textId="77777777" w:rsidR="00B35F13" w:rsidRDefault="00973E83" w:rsidP="00B35F13">
      <w:pPr>
        <w:spacing w:before="240" w:line="360" w:lineRule="auto"/>
        <w:ind w:left="567" w:right="567"/>
        <w:jc w:val="both"/>
        <w:rPr>
          <w:rFonts w:ascii="ITC Avant Garde" w:hAnsi="ITC Avant Garde"/>
          <w:i/>
        </w:rPr>
      </w:pPr>
      <w:r w:rsidRPr="002A2450">
        <w:rPr>
          <w:rFonts w:ascii="ITC Avant Garde" w:hAnsi="ITC Avant Garde"/>
          <w:i/>
        </w:rPr>
        <w:t xml:space="preserve">DÉCIMO </w:t>
      </w:r>
      <w:r w:rsidR="00E9648E" w:rsidRPr="002A2450">
        <w:rPr>
          <w:rFonts w:ascii="ITC Avant Garde" w:hAnsi="ITC Avant Garde"/>
          <w:i/>
        </w:rPr>
        <w:t>CUARTO. Mediante oficio número I</w:t>
      </w:r>
      <w:r w:rsidRPr="002A2450">
        <w:rPr>
          <w:rFonts w:ascii="ITC Avant Garde" w:hAnsi="ITC Avant Garde"/>
          <w:i/>
        </w:rPr>
        <w:t>FT</w:t>
      </w:r>
      <w:r w:rsidR="00E9648E" w:rsidRPr="002A2450">
        <w:rPr>
          <w:rFonts w:ascii="ITC Avant Garde" w:hAnsi="ITC Avant Garde"/>
          <w:i/>
        </w:rPr>
        <w:t>/D04/USV/DGS/1977</w:t>
      </w:r>
      <w:r w:rsidRPr="002A2450">
        <w:rPr>
          <w:rFonts w:ascii="ITC Avant Garde" w:hAnsi="ITC Avant Garde"/>
          <w:i/>
        </w:rPr>
        <w:t xml:space="preserve">/2014, de fecha dieciséis de mayo de dos mil catorce, el Director General de Supervisión de la USV del Instituto, remitió diversa documentación presentada por </w:t>
      </w:r>
      <w:r w:rsidR="005B601B" w:rsidRPr="002A2450">
        <w:rPr>
          <w:rFonts w:ascii="ITC Avant Garde" w:hAnsi="ITC Avant Garde"/>
          <w:b/>
          <w:i/>
        </w:rPr>
        <w:t>“TELMEX”</w:t>
      </w:r>
      <w:r w:rsidRPr="002A2450">
        <w:rPr>
          <w:rFonts w:ascii="ITC Avant Garde" w:hAnsi="ITC Avant Garde"/>
          <w:i/>
        </w:rPr>
        <w:t xml:space="preserve"> y </w:t>
      </w:r>
      <w:proofErr w:type="spellStart"/>
      <w:r w:rsidRPr="002A2450">
        <w:rPr>
          <w:rFonts w:ascii="ITC Avant Garde" w:hAnsi="ITC Avant Garde"/>
          <w:i/>
        </w:rPr>
        <w:t>Cofresa</w:t>
      </w:r>
      <w:proofErr w:type="spellEnd"/>
      <w:r w:rsidRPr="002A2450">
        <w:rPr>
          <w:rFonts w:ascii="ITC Avant Garde" w:hAnsi="ITC Avant Garde"/>
          <w:i/>
        </w:rPr>
        <w:t xml:space="preserve"> a la UCE. </w:t>
      </w:r>
    </w:p>
    <w:p w14:paraId="4C74E917" w14:textId="77777777" w:rsidR="00B35F13" w:rsidRDefault="00973E83" w:rsidP="00B35F13">
      <w:pPr>
        <w:spacing w:before="240" w:line="360" w:lineRule="auto"/>
        <w:ind w:left="567" w:right="567"/>
        <w:jc w:val="both"/>
        <w:rPr>
          <w:rFonts w:ascii="ITC Avant Garde" w:hAnsi="ITC Avant Garde"/>
          <w:i/>
        </w:rPr>
      </w:pPr>
      <w:r w:rsidRPr="002A2450">
        <w:rPr>
          <w:rFonts w:ascii="ITC Avant Garde" w:hAnsi="ITC Avant Garde"/>
          <w:i/>
        </w:rPr>
        <w:t xml:space="preserve">DÉCIMO </w:t>
      </w:r>
      <w:r w:rsidR="00E9648E" w:rsidRPr="002A2450">
        <w:rPr>
          <w:rFonts w:ascii="ITC Avant Garde" w:hAnsi="ITC Avant Garde"/>
          <w:i/>
        </w:rPr>
        <w:t>QUINTO. Mediante oficio número IFT/D04/USV</w:t>
      </w:r>
      <w:r w:rsidRPr="002A2450">
        <w:rPr>
          <w:rFonts w:ascii="ITC Avant Garde" w:hAnsi="ITC Avant Garde"/>
          <w:i/>
        </w:rPr>
        <w:t xml:space="preserve">/DGS/1980/2014, de veinte de mayo de dos mil catorce, el Director General de Supervisión de la USV del Instituto, remitió diversa documentación presentada por </w:t>
      </w:r>
      <w:r w:rsidR="005B601B" w:rsidRPr="002A2450">
        <w:rPr>
          <w:rFonts w:ascii="ITC Avant Garde" w:hAnsi="ITC Avant Garde"/>
          <w:b/>
          <w:i/>
        </w:rPr>
        <w:t>“TELMEX”</w:t>
      </w:r>
      <w:r w:rsidRPr="002A2450">
        <w:rPr>
          <w:rFonts w:ascii="ITC Avant Garde" w:hAnsi="ITC Avant Garde"/>
          <w:i/>
        </w:rPr>
        <w:t xml:space="preserve"> y </w:t>
      </w:r>
      <w:proofErr w:type="spellStart"/>
      <w:r w:rsidRPr="002A2450">
        <w:rPr>
          <w:rFonts w:ascii="ITC Avant Garde" w:hAnsi="ITC Avant Garde"/>
          <w:i/>
        </w:rPr>
        <w:t>Cofresa</w:t>
      </w:r>
      <w:proofErr w:type="spellEnd"/>
      <w:r w:rsidRPr="002A2450">
        <w:rPr>
          <w:rFonts w:ascii="ITC Avant Garde" w:hAnsi="ITC Avant Garde"/>
          <w:i/>
        </w:rPr>
        <w:t xml:space="preserve"> a la UCE. </w:t>
      </w:r>
    </w:p>
    <w:p w14:paraId="7DD01D2B" w14:textId="3AF7B8AF" w:rsidR="00973E83" w:rsidRPr="002A2450" w:rsidRDefault="00973E83" w:rsidP="00B35F13">
      <w:pPr>
        <w:spacing w:before="240" w:line="360" w:lineRule="auto"/>
        <w:ind w:left="567" w:right="567"/>
        <w:jc w:val="both"/>
        <w:rPr>
          <w:rFonts w:ascii="ITC Avant Garde" w:hAnsi="ITC Avant Garde"/>
          <w:i/>
        </w:rPr>
      </w:pPr>
      <w:r w:rsidRPr="002A2450">
        <w:rPr>
          <w:rFonts w:ascii="ITC Avant Garde" w:hAnsi="ITC Avant Garde"/>
          <w:i/>
        </w:rPr>
        <w:t>DÉCIMO SEXTO. De la revisión de la información y documentos referidos en los tres antecedentes anteriores, la Titular de la UCE advirtió que los mismos se encontraban relacionad</w:t>
      </w:r>
      <w:r w:rsidR="00055FD5" w:rsidRPr="002A2450">
        <w:rPr>
          <w:rFonts w:ascii="ITC Avant Garde" w:hAnsi="ITC Avant Garde"/>
          <w:i/>
        </w:rPr>
        <w:t>os</w:t>
      </w:r>
      <w:r w:rsidRPr="002A2450">
        <w:rPr>
          <w:rFonts w:ascii="ITC Avant Garde" w:hAnsi="ITC Avant Garde"/>
          <w:i/>
        </w:rPr>
        <w:t xml:space="preserve"> con la investigación desahogada en el Expediente. En consecuencia, al obrar dicha información en los archivos de la UCE del Instituto y, por ende, al considerar que constituían un hecho notorio para esa autoridad, fue tomada en consideración por la misma para la emisión del OPR.</w:t>
      </w:r>
    </w:p>
    <w:p w14:paraId="0AFDD27E" w14:textId="77777777" w:rsidR="00B35F13" w:rsidRDefault="00973E83"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 </w:t>
      </w:r>
    </w:p>
    <w:p w14:paraId="5B4611CC" w14:textId="77777777" w:rsidR="00B35F13" w:rsidRDefault="00973E83" w:rsidP="00B35F13">
      <w:pPr>
        <w:spacing w:before="240" w:line="360" w:lineRule="auto"/>
        <w:jc w:val="both"/>
        <w:rPr>
          <w:rFonts w:ascii="ITC Avant Garde" w:hAnsi="ITC Avant Garde"/>
        </w:rPr>
      </w:pPr>
      <w:r w:rsidRPr="002A2450">
        <w:rPr>
          <w:rFonts w:ascii="ITC Avant Garde" w:hAnsi="ITC Avant Garde"/>
        </w:rPr>
        <w:t xml:space="preserve">Con base en lo anterior, </w:t>
      </w:r>
      <w:r w:rsidR="00633558" w:rsidRPr="002A2450">
        <w:rPr>
          <w:rFonts w:ascii="ITC Avant Garde" w:hAnsi="ITC Avant Garde"/>
        </w:rPr>
        <w:t xml:space="preserve">resulta claro que la información proporcionada por </w:t>
      </w:r>
      <w:r w:rsidR="00633558" w:rsidRPr="002A2450">
        <w:rPr>
          <w:rFonts w:ascii="ITC Avant Garde" w:hAnsi="ITC Avant Garde"/>
          <w:b/>
        </w:rPr>
        <w:t xml:space="preserve">“COFRESA” </w:t>
      </w:r>
      <w:r w:rsidR="00633558" w:rsidRPr="002A2450">
        <w:rPr>
          <w:rFonts w:ascii="ITC Avant Garde" w:hAnsi="ITC Avant Garde"/>
        </w:rPr>
        <w:t xml:space="preserve">y </w:t>
      </w:r>
      <w:r w:rsidR="00633558" w:rsidRPr="002A2450">
        <w:rPr>
          <w:rFonts w:ascii="ITC Avant Garde" w:hAnsi="ITC Avant Garde"/>
          <w:b/>
        </w:rPr>
        <w:t>“TELMEX”</w:t>
      </w:r>
      <w:r w:rsidR="00633558" w:rsidRPr="002A2450">
        <w:rPr>
          <w:rFonts w:ascii="ITC Avant Garde" w:hAnsi="ITC Avant Garde"/>
        </w:rPr>
        <w:t xml:space="preserve"> con motivo de los requerimientos formulados, fueron remitidos a la Unida de Competencia Económica de este </w:t>
      </w:r>
      <w:r w:rsidR="00633558" w:rsidRPr="002A2450">
        <w:rPr>
          <w:rFonts w:ascii="ITC Avant Garde" w:hAnsi="ITC Avant Garde"/>
          <w:b/>
        </w:rPr>
        <w:t xml:space="preserve">“IFT” </w:t>
      </w:r>
      <w:r w:rsidR="00633558" w:rsidRPr="002A2450">
        <w:rPr>
          <w:rFonts w:ascii="ITC Avant Garde" w:hAnsi="ITC Avant Garde"/>
        </w:rPr>
        <w:t xml:space="preserve">al </w:t>
      </w:r>
      <w:r w:rsidR="00E1615F">
        <w:rPr>
          <w:rFonts w:ascii="ITC Avant Garde" w:hAnsi="ITC Avant Garde"/>
        </w:rPr>
        <w:t xml:space="preserve">ser </w:t>
      </w:r>
      <w:r w:rsidR="00633558" w:rsidRPr="002A2450">
        <w:rPr>
          <w:rFonts w:ascii="ITC Avant Garde" w:hAnsi="ITC Avant Garde"/>
        </w:rPr>
        <w:t xml:space="preserve">información </w:t>
      </w:r>
      <w:r w:rsidR="00E1615F">
        <w:rPr>
          <w:rFonts w:ascii="ITC Avant Garde" w:hAnsi="ITC Avant Garde"/>
        </w:rPr>
        <w:t xml:space="preserve">competencia </w:t>
      </w:r>
      <w:r w:rsidR="00055FD5" w:rsidRPr="002A2450">
        <w:rPr>
          <w:rFonts w:ascii="ITC Avant Garde" w:hAnsi="ITC Avant Garde"/>
        </w:rPr>
        <w:t>dicha Unidad</w:t>
      </w:r>
      <w:r w:rsidR="00633558" w:rsidRPr="002A2450">
        <w:rPr>
          <w:rFonts w:ascii="ITC Avant Garde" w:hAnsi="ITC Avant Garde"/>
        </w:rPr>
        <w:t>.</w:t>
      </w:r>
    </w:p>
    <w:p w14:paraId="0112E0D0" w14:textId="77777777" w:rsidR="00B35F13" w:rsidRDefault="00633558" w:rsidP="00B35F13">
      <w:pPr>
        <w:spacing w:before="240" w:line="360" w:lineRule="auto"/>
        <w:jc w:val="both"/>
        <w:rPr>
          <w:rFonts w:ascii="ITC Avant Garde" w:hAnsi="ITC Avant Garde"/>
        </w:rPr>
      </w:pPr>
      <w:r w:rsidRPr="002A2450">
        <w:rPr>
          <w:rFonts w:ascii="ITC Avant Garde" w:hAnsi="ITC Avant Garde"/>
        </w:rPr>
        <w:t xml:space="preserve">Lo anterior, ya que como bien lo señala </w:t>
      </w:r>
      <w:r w:rsidRPr="002A2450">
        <w:rPr>
          <w:rFonts w:ascii="ITC Avant Garde" w:hAnsi="ITC Avant Garde"/>
          <w:b/>
        </w:rPr>
        <w:t>“TELMEX”</w:t>
      </w:r>
      <w:r w:rsidRPr="002A2450">
        <w:rPr>
          <w:rFonts w:ascii="ITC Avant Garde" w:hAnsi="ITC Avant Garde"/>
        </w:rPr>
        <w:t xml:space="preserve">, la investigación iniciada por la entonces Comisión Federal de Competencia inició desde dos mil once y fue hasta el cuatro de octubre de dos mil trece cuando el </w:t>
      </w:r>
      <w:r w:rsidRPr="002A2450">
        <w:rPr>
          <w:rFonts w:ascii="ITC Avant Garde" w:hAnsi="ITC Avant Garde"/>
          <w:b/>
        </w:rPr>
        <w:t>“IFT”</w:t>
      </w:r>
      <w:r w:rsidRPr="002A2450">
        <w:rPr>
          <w:rFonts w:ascii="ITC Avant Garde" w:hAnsi="ITC Avant Garde"/>
        </w:rPr>
        <w:t xml:space="preserve"> y la recién creada Comisión Federal de Competencia Económica celebraron el </w:t>
      </w:r>
      <w:r w:rsidRPr="002A2450">
        <w:rPr>
          <w:rFonts w:ascii="ITC Avant Garde" w:hAnsi="ITC Avant Garde"/>
          <w:i/>
        </w:rPr>
        <w:t>“Acta Administrativa de Entrega - Recepción”</w:t>
      </w:r>
      <w:r w:rsidRPr="002A2450">
        <w:rPr>
          <w:rFonts w:ascii="ITC Avant Garde" w:hAnsi="ITC Avant Garde"/>
        </w:rPr>
        <w:t xml:space="preserve">, en dónde el primero recibió de la segunda las constancias que integraban el expediente DE-021-11 y acumulados del índice de la entonces Comisión Federal de Competencia, el cual mediante acuerdo de dieciséis de octubre de dos mil trece, el Director General de Concentraciones y Condiciones de Competencia, en ausencia del Titular de la Unidad de Competencia Económica del </w:t>
      </w:r>
      <w:r w:rsidRPr="002A2450">
        <w:rPr>
          <w:rFonts w:ascii="ITC Avant Garde" w:hAnsi="ITC Avant Garde"/>
          <w:b/>
        </w:rPr>
        <w:t xml:space="preserve">“IFT” </w:t>
      </w:r>
      <w:r w:rsidRPr="002A2450">
        <w:rPr>
          <w:rFonts w:ascii="ITC Avant Garde" w:hAnsi="ITC Avant Garde"/>
        </w:rPr>
        <w:t xml:space="preserve">se declaró competente para conocer de la investigación recibida y ordenó radicarlo bajo el número de expediente </w:t>
      </w:r>
      <w:r w:rsidR="00E9648E" w:rsidRPr="002A2450">
        <w:rPr>
          <w:rFonts w:ascii="ITC Avant Garde" w:hAnsi="ITC Avant Garde"/>
          <w:b/>
        </w:rPr>
        <w:t>E-IFT/UC/DGIPM/PMR/003/2013 y acumulados.</w:t>
      </w:r>
    </w:p>
    <w:p w14:paraId="64CE6E5B" w14:textId="77777777" w:rsidR="00B35F13" w:rsidRDefault="00E9648E" w:rsidP="00B35F13">
      <w:pPr>
        <w:spacing w:before="240" w:line="360" w:lineRule="auto"/>
        <w:jc w:val="both"/>
        <w:rPr>
          <w:rFonts w:ascii="ITC Avant Garde" w:hAnsi="ITC Avant Garde"/>
        </w:rPr>
      </w:pPr>
      <w:r w:rsidRPr="002A2450">
        <w:rPr>
          <w:rFonts w:ascii="ITC Avant Garde" w:hAnsi="ITC Avant Garde"/>
        </w:rPr>
        <w:t xml:space="preserve">Ahora bien, cabe precisar hasta aquí las siguientes consideraciones: i) la información remitida a la Unidad de Competencia Económica por parte de la </w:t>
      </w:r>
      <w:r w:rsidR="00365BE1" w:rsidRPr="002A2450">
        <w:rPr>
          <w:rFonts w:ascii="ITC Avant Garde" w:hAnsi="ITC Avant Garde"/>
          <w:b/>
        </w:rPr>
        <w:t xml:space="preserve">“DGS” </w:t>
      </w:r>
      <w:r w:rsidRPr="002A2450">
        <w:rPr>
          <w:rFonts w:ascii="ITC Avant Garde" w:hAnsi="ITC Avant Garde"/>
        </w:rPr>
        <w:t xml:space="preserve">de la entonces Unidad de Supervisión y Verificación, de este </w:t>
      </w:r>
      <w:r w:rsidRPr="002A2450">
        <w:rPr>
          <w:rFonts w:ascii="ITC Avant Garde" w:hAnsi="ITC Avant Garde"/>
          <w:b/>
        </w:rPr>
        <w:t>“IFT”</w:t>
      </w:r>
      <w:r w:rsidRPr="002A2450">
        <w:rPr>
          <w:rFonts w:ascii="ITC Avant Garde" w:hAnsi="ITC Avant Garde"/>
        </w:rPr>
        <w:t xml:space="preserve">, fue </w:t>
      </w:r>
      <w:r w:rsidR="00C76295" w:rsidRPr="002A2450">
        <w:rPr>
          <w:rFonts w:ascii="ITC Avant Garde" w:hAnsi="ITC Avant Garde"/>
        </w:rPr>
        <w:t>enviada</w:t>
      </w:r>
      <w:r w:rsidRPr="002A2450">
        <w:rPr>
          <w:rFonts w:ascii="ITC Avant Garde" w:hAnsi="ITC Avant Garde"/>
        </w:rPr>
        <w:t xml:space="preserve"> al considerar que la </w:t>
      </w:r>
      <w:r w:rsidR="00E1615F">
        <w:rPr>
          <w:rFonts w:ascii="ITC Avant Garde" w:hAnsi="ITC Avant Garde"/>
        </w:rPr>
        <w:t>correspondía a</w:t>
      </w:r>
      <w:r w:rsidR="00055FD5" w:rsidRPr="002A2450">
        <w:rPr>
          <w:rFonts w:ascii="ITC Avant Garde" w:hAnsi="ITC Avant Garde"/>
        </w:rPr>
        <w:t xml:space="preserve">l ejercicio de </w:t>
      </w:r>
      <w:r w:rsidRPr="002A2450">
        <w:rPr>
          <w:rFonts w:ascii="ITC Avant Garde" w:hAnsi="ITC Avant Garde"/>
        </w:rPr>
        <w:t xml:space="preserve">las facultades asignadas a dicha Unidad en términos de la investigación recibida por parte de la Comisión Federal de Competencia Económica, y ii) la investigación seguida por la Unidad de Competencia Económica de este </w:t>
      </w:r>
      <w:r w:rsidRPr="002A2450">
        <w:rPr>
          <w:rFonts w:ascii="ITC Avant Garde" w:hAnsi="ITC Avant Garde"/>
          <w:b/>
        </w:rPr>
        <w:t>“IFT”</w:t>
      </w:r>
      <w:r w:rsidRPr="002A2450">
        <w:rPr>
          <w:rFonts w:ascii="ITC Avant Garde" w:hAnsi="ITC Avant Garde"/>
        </w:rPr>
        <w:t xml:space="preserve"> tuvo por objeto determinar si existió una concentración</w:t>
      </w:r>
      <w:r w:rsidR="00F973DB" w:rsidRPr="002A2450">
        <w:rPr>
          <w:rFonts w:ascii="ITC Avant Garde" w:hAnsi="ITC Avant Garde"/>
        </w:rPr>
        <w:t xml:space="preserve"> entre </w:t>
      </w:r>
      <w:r w:rsidR="00F973DB" w:rsidRPr="002A2450">
        <w:rPr>
          <w:rFonts w:ascii="ITC Avant Garde" w:hAnsi="ITC Avant Garde"/>
          <w:b/>
        </w:rPr>
        <w:t xml:space="preserve">“COFRESA” </w:t>
      </w:r>
      <w:r w:rsidR="00F973DB" w:rsidRPr="002A2450">
        <w:rPr>
          <w:rFonts w:ascii="ITC Avant Garde" w:hAnsi="ITC Avant Garde"/>
        </w:rPr>
        <w:t xml:space="preserve">y </w:t>
      </w:r>
      <w:r w:rsidR="00F973DB" w:rsidRPr="002A2450">
        <w:rPr>
          <w:rFonts w:ascii="ITC Avant Garde" w:hAnsi="ITC Avant Garde"/>
          <w:b/>
        </w:rPr>
        <w:t>“TELMEX”</w:t>
      </w:r>
      <w:r w:rsidRPr="002A2450">
        <w:rPr>
          <w:rFonts w:ascii="ITC Avant Garde" w:hAnsi="ITC Avant Garde"/>
        </w:rPr>
        <w:t xml:space="preserve"> que debió haber sido notificada previamente a la Comisión Federal de Competencia.</w:t>
      </w:r>
    </w:p>
    <w:p w14:paraId="037D7C57" w14:textId="77777777" w:rsidR="00B35F13" w:rsidRDefault="00E9648E" w:rsidP="00B35F13">
      <w:pPr>
        <w:spacing w:before="240" w:line="360" w:lineRule="auto"/>
        <w:jc w:val="both"/>
        <w:rPr>
          <w:rFonts w:ascii="ITC Avant Garde" w:hAnsi="ITC Avant Garde"/>
        </w:rPr>
      </w:pPr>
      <w:r w:rsidRPr="002A2450">
        <w:rPr>
          <w:rFonts w:ascii="ITC Avant Garde" w:hAnsi="ITC Avant Garde"/>
        </w:rPr>
        <w:t xml:space="preserve">Aclarado lo anterior, debe señalarse que lo resuelto por el </w:t>
      </w:r>
      <w:r w:rsidRPr="002A2450">
        <w:rPr>
          <w:rFonts w:ascii="ITC Avant Garde" w:hAnsi="ITC Avant Garde"/>
          <w:b/>
        </w:rPr>
        <w:t xml:space="preserve">“IFT” </w:t>
      </w:r>
      <w:r w:rsidRPr="002A2450">
        <w:rPr>
          <w:rFonts w:ascii="ITC Avant Garde" w:hAnsi="ITC Avant Garde"/>
        </w:rPr>
        <w:t>en el expediente</w:t>
      </w:r>
      <w:r w:rsidRPr="002A2450">
        <w:rPr>
          <w:rFonts w:ascii="ITC Avant Garde" w:hAnsi="ITC Avant Garde"/>
          <w:b/>
        </w:rPr>
        <w:t xml:space="preserve"> E-IFT/UC/DGIPM/PMR/003/2013 y acumulados, </w:t>
      </w:r>
      <w:r w:rsidR="00C44551" w:rsidRPr="002A2450">
        <w:rPr>
          <w:rFonts w:ascii="ITC Avant Garde" w:hAnsi="ITC Avant Garde"/>
        </w:rPr>
        <w:t xml:space="preserve">no forma parte de la imputación </w:t>
      </w:r>
      <w:r w:rsidR="00C44551" w:rsidRPr="002A2450">
        <w:rPr>
          <w:rFonts w:ascii="ITC Avant Garde" w:hAnsi="ITC Avant Garde"/>
        </w:rPr>
        <w:lastRenderedPageBreak/>
        <w:t xml:space="preserve">realizada por la Unidad de Cumplimiento a </w:t>
      </w:r>
      <w:r w:rsidR="00C44551" w:rsidRPr="002A2450">
        <w:rPr>
          <w:rFonts w:ascii="ITC Avant Garde" w:hAnsi="ITC Avant Garde"/>
          <w:b/>
        </w:rPr>
        <w:t xml:space="preserve">“TELMEX” </w:t>
      </w:r>
      <w:r w:rsidR="00C44551" w:rsidRPr="002A2450">
        <w:rPr>
          <w:rFonts w:ascii="ITC Avant Garde" w:hAnsi="ITC Avant Garde"/>
        </w:rPr>
        <w:t xml:space="preserve">por el probable incumplimiento al párrafo tercero de la condición 1-9 de su </w:t>
      </w:r>
      <w:r w:rsidR="00C44551" w:rsidRPr="002A2450">
        <w:rPr>
          <w:rFonts w:ascii="ITC Avant Garde" w:hAnsi="ITC Avant Garde"/>
          <w:b/>
        </w:rPr>
        <w:t>“TÍTULO DE CONCESIÓN”</w:t>
      </w:r>
      <w:r w:rsidR="00C44551" w:rsidRPr="002A2450">
        <w:rPr>
          <w:rFonts w:ascii="ITC Avant Garde" w:hAnsi="ITC Avant Garde"/>
        </w:rPr>
        <w:t>.</w:t>
      </w:r>
    </w:p>
    <w:p w14:paraId="2B649DFC" w14:textId="77777777" w:rsidR="00B35F13" w:rsidRDefault="00E9648E" w:rsidP="00B35F13">
      <w:pPr>
        <w:spacing w:before="240" w:line="360" w:lineRule="auto"/>
        <w:jc w:val="both"/>
        <w:rPr>
          <w:rFonts w:ascii="ITC Avant Garde" w:hAnsi="ITC Avant Garde"/>
          <w:b/>
        </w:rPr>
      </w:pPr>
      <w:r w:rsidRPr="002A2450">
        <w:rPr>
          <w:rFonts w:ascii="ITC Avant Garde" w:hAnsi="ITC Avant Garde"/>
        </w:rPr>
        <w:t xml:space="preserve">En tales consideraciones, puede advertirse que su argumento de caducidad derivado de los requerimientos </w:t>
      </w:r>
      <w:r w:rsidR="00F973DB" w:rsidRPr="002A2450">
        <w:rPr>
          <w:rFonts w:ascii="ITC Avant Garde" w:hAnsi="ITC Avant Garde"/>
        </w:rPr>
        <w:t xml:space="preserve">se considera </w:t>
      </w:r>
      <w:r w:rsidRPr="002A2450">
        <w:rPr>
          <w:rFonts w:ascii="ITC Avant Garde" w:hAnsi="ITC Avant Garde"/>
          <w:b/>
          <w:u w:val="single"/>
        </w:rPr>
        <w:t>infundado</w:t>
      </w:r>
      <w:r w:rsidR="000236C9" w:rsidRPr="002A2450">
        <w:rPr>
          <w:rFonts w:ascii="ITC Avant Garde" w:hAnsi="ITC Avant Garde"/>
        </w:rPr>
        <w:t xml:space="preserve"> dado que la información derivada de los citados requerimientos </w:t>
      </w:r>
      <w:r w:rsidR="00AF7DC3">
        <w:rPr>
          <w:rFonts w:ascii="ITC Avant Garde" w:hAnsi="ITC Avant Garde"/>
        </w:rPr>
        <w:t>a la postre formó</w:t>
      </w:r>
      <w:r w:rsidR="007D1D32" w:rsidRPr="002A2450">
        <w:rPr>
          <w:rFonts w:ascii="ITC Avant Garde" w:hAnsi="ITC Avant Garde"/>
        </w:rPr>
        <w:t xml:space="preserve"> parte de un procedimiento en trámite seguido por la Unidad de Competencia Económica de este </w:t>
      </w:r>
      <w:r w:rsidR="007D1D32" w:rsidRPr="002A2450">
        <w:rPr>
          <w:rFonts w:ascii="ITC Avant Garde" w:hAnsi="ITC Avant Garde"/>
          <w:b/>
        </w:rPr>
        <w:t>“IFT”.</w:t>
      </w:r>
    </w:p>
    <w:p w14:paraId="792B8C02" w14:textId="77777777" w:rsidR="00B35F13" w:rsidRDefault="00E9648E" w:rsidP="00B35F13">
      <w:pPr>
        <w:spacing w:before="240" w:line="360" w:lineRule="auto"/>
        <w:jc w:val="both"/>
        <w:rPr>
          <w:rFonts w:ascii="ITC Avant Garde" w:hAnsi="ITC Avant Garde"/>
          <w:b/>
        </w:rPr>
      </w:pPr>
      <w:r w:rsidRPr="002A2450">
        <w:rPr>
          <w:rFonts w:ascii="ITC Avant Garde" w:hAnsi="ITC Avant Garde"/>
        </w:rPr>
        <w:t xml:space="preserve">Lo anterior, ya que si bien es cierto como ha señalado a lo largo del presente apartado, la </w:t>
      </w:r>
      <w:r w:rsidR="00365BE1" w:rsidRPr="002A2450">
        <w:rPr>
          <w:rFonts w:ascii="ITC Avant Garde" w:hAnsi="ITC Avant Garde"/>
          <w:b/>
        </w:rPr>
        <w:t xml:space="preserve">“DGS” </w:t>
      </w:r>
      <w:r w:rsidRPr="002A2450">
        <w:rPr>
          <w:rFonts w:ascii="ITC Avant Garde" w:hAnsi="ITC Avant Garde"/>
        </w:rPr>
        <w:t xml:space="preserve">llevó a cabo una serie de requerimientos tanto a </w:t>
      </w:r>
      <w:r w:rsidRPr="002A2450">
        <w:rPr>
          <w:rFonts w:ascii="ITC Avant Garde" w:hAnsi="ITC Avant Garde"/>
          <w:b/>
        </w:rPr>
        <w:t>“COFRESA”</w:t>
      </w:r>
      <w:r w:rsidRPr="002A2450">
        <w:rPr>
          <w:rFonts w:ascii="ITC Avant Garde" w:hAnsi="ITC Avant Garde"/>
        </w:rPr>
        <w:t xml:space="preserve"> como a </w:t>
      </w:r>
      <w:r w:rsidRPr="002A2450">
        <w:rPr>
          <w:rFonts w:ascii="ITC Avant Garde" w:hAnsi="ITC Avant Garde"/>
          <w:b/>
        </w:rPr>
        <w:t>“TELMEX”</w:t>
      </w:r>
      <w:r w:rsidRPr="002A2450">
        <w:rPr>
          <w:rFonts w:ascii="ITC Avant Garde" w:hAnsi="ITC Avant Garde"/>
        </w:rPr>
        <w:t xml:space="preserve">, con lo cual es indudable que se </w:t>
      </w:r>
      <w:r w:rsidR="007D1D32" w:rsidRPr="002A2450">
        <w:rPr>
          <w:rFonts w:ascii="ITC Avant Garde" w:hAnsi="ITC Avant Garde"/>
        </w:rPr>
        <w:t xml:space="preserve">realizó con el objeto de </w:t>
      </w:r>
      <w:r w:rsidR="00E1615F">
        <w:rPr>
          <w:rFonts w:ascii="ITC Avant Garde" w:hAnsi="ITC Avant Garde"/>
        </w:rPr>
        <w:t>supervisar</w:t>
      </w:r>
      <w:r w:rsidR="007D1D32" w:rsidRPr="002A2450">
        <w:rPr>
          <w:rFonts w:ascii="ITC Avant Garde" w:hAnsi="ITC Avant Garde"/>
        </w:rPr>
        <w:t xml:space="preserve"> </w:t>
      </w:r>
      <w:r w:rsidR="00E1615F" w:rsidRPr="009E34A4">
        <w:rPr>
          <w:rFonts w:ascii="ITC Avant Garde" w:hAnsi="ITC Avant Garde"/>
        </w:rPr>
        <w:t>la prestación de los servicios de telecomunicaciones</w:t>
      </w:r>
      <w:r w:rsidR="00E1615F" w:rsidRPr="00F76758">
        <w:rPr>
          <w:rFonts w:ascii="ITC Avant Garde" w:hAnsi="ITC Avant Garde"/>
          <w:i/>
        </w:rPr>
        <w:t xml:space="preserve"> </w:t>
      </w:r>
      <w:r w:rsidR="007D1D32" w:rsidRPr="002A2450">
        <w:rPr>
          <w:rFonts w:ascii="ITC Avant Garde" w:hAnsi="ITC Avant Garde"/>
        </w:rPr>
        <w:t>a que dichos concesionarios están obligados a observar, así como conocer la operación y explotación de los servicios de telecomunicaciones que tienen autorizado</w:t>
      </w:r>
      <w:r w:rsidR="00E1615F">
        <w:rPr>
          <w:rFonts w:ascii="ITC Avant Garde" w:hAnsi="ITC Avant Garde"/>
        </w:rPr>
        <w:t xml:space="preserve"> sin que se haya requerido acreditar el cumplimiento al </w:t>
      </w:r>
      <w:r w:rsidR="00E1615F">
        <w:rPr>
          <w:rFonts w:ascii="ITC Avant Garde" w:hAnsi="ITC Avant Garde"/>
          <w:b/>
        </w:rPr>
        <w:t xml:space="preserve">Tercer Parrado </w:t>
      </w:r>
      <w:r w:rsidR="00E1615F">
        <w:rPr>
          <w:rFonts w:ascii="ITC Avant Garde" w:hAnsi="ITC Avant Garde"/>
        </w:rPr>
        <w:t xml:space="preserve">de la condición 1-9 del </w:t>
      </w:r>
      <w:r w:rsidR="00E1615F">
        <w:rPr>
          <w:rFonts w:ascii="ITC Avant Garde" w:hAnsi="ITC Avant Garde"/>
          <w:b/>
        </w:rPr>
        <w:t>“TÍTULO DE CONCESIÓN”</w:t>
      </w:r>
      <w:r w:rsidR="00E1615F">
        <w:rPr>
          <w:rFonts w:ascii="ITC Avant Garde" w:hAnsi="ITC Avant Garde"/>
        </w:rPr>
        <w:t xml:space="preserve"> otorgado a </w:t>
      </w:r>
      <w:r w:rsidR="00E1615F">
        <w:rPr>
          <w:rFonts w:ascii="ITC Avant Garde" w:hAnsi="ITC Avant Garde"/>
          <w:b/>
        </w:rPr>
        <w:t>“TELMEX”.</w:t>
      </w:r>
    </w:p>
    <w:p w14:paraId="25306BC4" w14:textId="77777777" w:rsidR="00B35F13" w:rsidRDefault="00E9648E" w:rsidP="00B35F13">
      <w:pPr>
        <w:spacing w:before="240" w:line="360" w:lineRule="auto"/>
        <w:jc w:val="both"/>
        <w:rPr>
          <w:rFonts w:ascii="ITC Avant Garde" w:hAnsi="ITC Avant Garde"/>
        </w:rPr>
      </w:pPr>
      <w:r w:rsidRPr="002A2450">
        <w:rPr>
          <w:rFonts w:ascii="ITC Avant Garde" w:hAnsi="ITC Avant Garde"/>
        </w:rPr>
        <w:t xml:space="preserve">En esa premisa, la actuación de la autoridad </w:t>
      </w:r>
      <w:r w:rsidR="00EE34A0" w:rsidRPr="002A2450">
        <w:rPr>
          <w:rFonts w:ascii="ITC Avant Garde" w:hAnsi="ITC Avant Garde"/>
        </w:rPr>
        <w:t xml:space="preserve">no puede actualizar la caducidad aducida por </w:t>
      </w:r>
      <w:r w:rsidR="00EE34A0" w:rsidRPr="002A2450">
        <w:rPr>
          <w:rFonts w:ascii="ITC Avant Garde" w:hAnsi="ITC Avant Garde"/>
          <w:b/>
        </w:rPr>
        <w:t>“TELMEX”</w:t>
      </w:r>
      <w:r w:rsidR="00EE34A0" w:rsidRPr="002A2450">
        <w:rPr>
          <w:rFonts w:ascii="ITC Avant Garde" w:hAnsi="ITC Avant Garde"/>
        </w:rPr>
        <w:t xml:space="preserve"> ya que precisamente, al considerar que la información recabada correspondía a la Unida de Competencia Económica en el ámbito de su atribuciones y dado que se encontraba abierta una investigación relacionada con la información recibida, es dable concluir que la </w:t>
      </w:r>
      <w:r w:rsidR="00365BE1" w:rsidRPr="002A2450">
        <w:rPr>
          <w:rFonts w:ascii="ITC Avant Garde" w:hAnsi="ITC Avant Garde"/>
          <w:b/>
        </w:rPr>
        <w:t xml:space="preserve">“DGS” </w:t>
      </w:r>
      <w:r w:rsidR="00EE34A0" w:rsidRPr="002A2450">
        <w:rPr>
          <w:rFonts w:ascii="ITC Avant Garde" w:hAnsi="ITC Avant Garde"/>
        </w:rPr>
        <w:t>al estimarse incompetente remitió la información a dicha autoridad.</w:t>
      </w:r>
    </w:p>
    <w:p w14:paraId="00FE7C4A" w14:textId="77777777" w:rsidR="00B35F13" w:rsidRDefault="004F2EE9" w:rsidP="00B35F13">
      <w:pPr>
        <w:spacing w:before="240" w:line="360" w:lineRule="auto"/>
        <w:jc w:val="both"/>
        <w:rPr>
          <w:rFonts w:ascii="ITC Avant Garde" w:hAnsi="ITC Avant Garde"/>
        </w:rPr>
      </w:pPr>
      <w:r w:rsidRPr="002A2450">
        <w:rPr>
          <w:rFonts w:ascii="ITC Avant Garde" w:hAnsi="ITC Avant Garde"/>
        </w:rPr>
        <w:t xml:space="preserve">Por tanto, no puede configurarse la caducidad </w:t>
      </w:r>
      <w:r w:rsidR="00AF7DC3">
        <w:rPr>
          <w:rFonts w:ascii="ITC Avant Garde" w:hAnsi="ITC Avant Garde"/>
        </w:rPr>
        <w:t xml:space="preserve">a partir </w:t>
      </w:r>
      <w:r w:rsidR="00AF7DC3" w:rsidRPr="006359A8">
        <w:rPr>
          <w:rFonts w:ascii="ITC Avant Garde" w:hAnsi="ITC Avant Garde"/>
        </w:rPr>
        <w:t>de un requerimiento</w:t>
      </w:r>
      <w:r w:rsidR="00AF7DC3">
        <w:rPr>
          <w:rFonts w:ascii="ITC Avant Garde" w:hAnsi="ITC Avant Garde"/>
        </w:rPr>
        <w:t xml:space="preserve"> genérico de información</w:t>
      </w:r>
      <w:r w:rsidRPr="002A2450">
        <w:rPr>
          <w:rFonts w:ascii="ITC Avant Garde" w:hAnsi="ITC Avant Garde"/>
        </w:rPr>
        <w:t xml:space="preserve">, toda vez que la </w:t>
      </w:r>
      <w:r w:rsidRPr="002A2450">
        <w:rPr>
          <w:rFonts w:ascii="ITC Avant Garde" w:hAnsi="ITC Avant Garde"/>
          <w:b/>
        </w:rPr>
        <w:t xml:space="preserve">“DGS” </w:t>
      </w:r>
      <w:r w:rsidRPr="002A2450">
        <w:rPr>
          <w:rFonts w:ascii="ITC Avant Garde" w:hAnsi="ITC Avant Garde"/>
        </w:rPr>
        <w:t xml:space="preserve">actuó oportunamente observando lo dispuesto en la </w:t>
      </w:r>
      <w:r w:rsidRPr="002A2450">
        <w:rPr>
          <w:rFonts w:ascii="ITC Avant Garde" w:hAnsi="ITC Avant Garde"/>
          <w:b/>
        </w:rPr>
        <w:t xml:space="preserve">“LFPA” </w:t>
      </w:r>
      <w:r w:rsidRPr="002A2450">
        <w:rPr>
          <w:rFonts w:ascii="ITC Avant Garde" w:hAnsi="ITC Avant Garde"/>
        </w:rPr>
        <w:t>ya que remitió los escritos presentados con motivo de su requerimiento a la Unidad</w:t>
      </w:r>
      <w:r w:rsidRPr="002A2450">
        <w:rPr>
          <w:rFonts w:ascii="ITC Avant Garde" w:hAnsi="ITC Avant Garde"/>
          <w:b/>
        </w:rPr>
        <w:t xml:space="preserve"> </w:t>
      </w:r>
      <w:r w:rsidRPr="002A2450">
        <w:rPr>
          <w:rFonts w:ascii="ITC Avant Garde" w:hAnsi="ITC Avant Garde"/>
        </w:rPr>
        <w:t xml:space="preserve">de Competencia Económica al advertir que los mismos </w:t>
      </w:r>
      <w:r w:rsidR="00F9257F">
        <w:rPr>
          <w:rFonts w:ascii="ITC Avant Garde" w:hAnsi="ITC Avant Garde"/>
        </w:rPr>
        <w:t>correspondían al</w:t>
      </w:r>
      <w:r w:rsidRPr="002A2450">
        <w:rPr>
          <w:rFonts w:ascii="ITC Avant Garde" w:hAnsi="ITC Avant Garde"/>
        </w:rPr>
        <w:t xml:space="preserve"> procedimiento de investigación que se llevaba en esta última Unidad.</w:t>
      </w:r>
    </w:p>
    <w:p w14:paraId="285E35DD" w14:textId="77777777" w:rsidR="00B35F13" w:rsidRDefault="00EE34A0" w:rsidP="00B35F13">
      <w:pPr>
        <w:spacing w:before="240" w:line="360" w:lineRule="auto"/>
        <w:jc w:val="both"/>
        <w:rPr>
          <w:rFonts w:ascii="ITC Avant Garde" w:hAnsi="ITC Avant Garde"/>
          <w:b/>
        </w:rPr>
      </w:pPr>
      <w:r w:rsidRPr="002A2450">
        <w:rPr>
          <w:rFonts w:ascii="ITC Avant Garde" w:hAnsi="ITC Avant Garde"/>
        </w:rPr>
        <w:lastRenderedPageBreak/>
        <w:t xml:space="preserve">La situación anterior, puede ser corroborado con el hecho de que mediante el oficio </w:t>
      </w:r>
      <w:r w:rsidRPr="002A2450">
        <w:rPr>
          <w:rFonts w:ascii="ITC Avant Garde" w:hAnsi="ITC Avant Garde"/>
          <w:b/>
        </w:rPr>
        <w:t xml:space="preserve">IFT/D10/UCE/175/2014 </w:t>
      </w:r>
      <w:r w:rsidRPr="002A2450">
        <w:rPr>
          <w:rFonts w:ascii="ITC Avant Garde" w:hAnsi="ITC Avant Garde"/>
        </w:rPr>
        <w:t xml:space="preserve">de diecinueve de mayo de dos mil catorce, la propia Unidad de Competencia Económica, señaló que no obstante la información remitida requería además que hubiese sido remitida en desahogo de los requerimientos </w:t>
      </w:r>
      <w:r w:rsidRPr="002A2450">
        <w:rPr>
          <w:rFonts w:ascii="ITC Avant Garde" w:hAnsi="ITC Avant Garde"/>
          <w:b/>
        </w:rPr>
        <w:t xml:space="preserve">IFT/D04/USV/DGS/1752/2014 </w:t>
      </w:r>
      <w:r w:rsidRPr="002A2450">
        <w:rPr>
          <w:rFonts w:ascii="ITC Avant Garde" w:hAnsi="ITC Avant Garde"/>
        </w:rPr>
        <w:t>y</w:t>
      </w:r>
      <w:r w:rsidRPr="002A2450">
        <w:rPr>
          <w:rFonts w:ascii="ITC Avant Garde" w:hAnsi="ITC Avant Garde"/>
          <w:b/>
        </w:rPr>
        <w:t xml:space="preserve"> IFT/D04/USV/DGS/1753/2014 </w:t>
      </w:r>
      <w:r w:rsidRPr="002A2450">
        <w:rPr>
          <w:rFonts w:ascii="ITC Avant Garde" w:hAnsi="ITC Avant Garde"/>
        </w:rPr>
        <w:t>suscritos por la</w:t>
      </w:r>
      <w:r w:rsidR="00055FD5" w:rsidRPr="002A2450">
        <w:rPr>
          <w:rFonts w:ascii="ITC Avant Garde" w:hAnsi="ITC Avant Garde"/>
        </w:rPr>
        <w:t xml:space="preserve"> </w:t>
      </w:r>
      <w:r w:rsidR="00055FD5" w:rsidRPr="002A2450">
        <w:rPr>
          <w:rFonts w:ascii="ITC Avant Garde" w:hAnsi="ITC Avant Garde"/>
          <w:b/>
        </w:rPr>
        <w:t>“DGS”</w:t>
      </w:r>
      <w:r w:rsidRPr="002A2450">
        <w:rPr>
          <w:rFonts w:ascii="ITC Avant Garde" w:hAnsi="ITC Avant Garde"/>
          <w:b/>
        </w:rPr>
        <w:t>.</w:t>
      </w:r>
    </w:p>
    <w:p w14:paraId="1562ECAF" w14:textId="77777777" w:rsidR="00B35F13" w:rsidRDefault="00EE34A0" w:rsidP="00B35F13">
      <w:pPr>
        <w:spacing w:before="240" w:line="360" w:lineRule="auto"/>
        <w:jc w:val="both"/>
        <w:rPr>
          <w:rFonts w:ascii="ITC Avant Garde" w:hAnsi="ITC Avant Garde"/>
        </w:rPr>
      </w:pPr>
      <w:r w:rsidRPr="002A2450">
        <w:rPr>
          <w:rFonts w:ascii="ITC Avant Garde" w:hAnsi="ITC Avant Garde"/>
        </w:rPr>
        <w:t xml:space="preserve">Lo anterior corrobora la aceptación de </w:t>
      </w:r>
      <w:r w:rsidR="00C76295" w:rsidRPr="002A2450">
        <w:rPr>
          <w:rFonts w:ascii="ITC Avant Garde" w:hAnsi="ITC Avant Garde"/>
        </w:rPr>
        <w:t xml:space="preserve">dichos documentos </w:t>
      </w:r>
      <w:r w:rsidRPr="002A2450">
        <w:rPr>
          <w:rFonts w:ascii="ITC Avant Garde" w:hAnsi="ITC Avant Garde"/>
        </w:rPr>
        <w:t>y la competencia originar</w:t>
      </w:r>
      <w:r w:rsidR="00043B4F" w:rsidRPr="002A2450">
        <w:rPr>
          <w:rFonts w:ascii="ITC Avant Garde" w:hAnsi="ITC Avant Garde"/>
        </w:rPr>
        <w:t>i</w:t>
      </w:r>
      <w:r w:rsidRPr="002A2450">
        <w:rPr>
          <w:rFonts w:ascii="ITC Avant Garde" w:hAnsi="ITC Avant Garde"/>
        </w:rPr>
        <w:t xml:space="preserve">a para </w:t>
      </w:r>
      <w:r w:rsidR="00E54B7C" w:rsidRPr="002A2450">
        <w:rPr>
          <w:rFonts w:ascii="ITC Avant Garde" w:hAnsi="ITC Avant Garde"/>
        </w:rPr>
        <w:t xml:space="preserve">conocer de la </w:t>
      </w:r>
      <w:r w:rsidR="00FA02A6" w:rsidRPr="002A2450">
        <w:rPr>
          <w:rFonts w:ascii="ITC Avant Garde" w:hAnsi="ITC Avant Garde"/>
        </w:rPr>
        <w:t xml:space="preserve">investigación respecto de la </w:t>
      </w:r>
      <w:r w:rsidR="00E54B7C" w:rsidRPr="002A2450">
        <w:rPr>
          <w:rFonts w:ascii="ITC Avant Garde" w:hAnsi="ITC Avant Garde"/>
        </w:rPr>
        <w:t xml:space="preserve">concentración que debió haber sido previamente notificada por </w:t>
      </w:r>
      <w:r w:rsidR="00E54B7C" w:rsidRPr="002A2450">
        <w:rPr>
          <w:rFonts w:ascii="ITC Avant Garde" w:hAnsi="ITC Avant Garde"/>
          <w:b/>
        </w:rPr>
        <w:t xml:space="preserve">“TELMEX” </w:t>
      </w:r>
      <w:r w:rsidR="00E54B7C" w:rsidRPr="002A2450">
        <w:rPr>
          <w:rFonts w:ascii="ITC Avant Garde" w:hAnsi="ITC Avant Garde"/>
        </w:rPr>
        <w:t>y las demás empresas involucradas.</w:t>
      </w:r>
    </w:p>
    <w:p w14:paraId="25B86FDD" w14:textId="77777777" w:rsidR="00B35F13" w:rsidRDefault="00E54B7C" w:rsidP="00B35F13">
      <w:pPr>
        <w:spacing w:before="240" w:line="360" w:lineRule="auto"/>
        <w:jc w:val="both"/>
        <w:rPr>
          <w:rFonts w:ascii="ITC Avant Garde" w:hAnsi="ITC Avant Garde"/>
        </w:rPr>
      </w:pPr>
      <w:r w:rsidRPr="002A2450">
        <w:rPr>
          <w:rFonts w:ascii="ITC Avant Garde" w:hAnsi="ITC Avant Garde"/>
        </w:rPr>
        <w:t xml:space="preserve">En tales consideraciones, asumiendo que la </w:t>
      </w:r>
      <w:r w:rsidR="00365BE1" w:rsidRPr="002A2450">
        <w:rPr>
          <w:rFonts w:ascii="ITC Avant Garde" w:hAnsi="ITC Avant Garde"/>
          <w:b/>
        </w:rPr>
        <w:t xml:space="preserve">“DGS” </w:t>
      </w:r>
      <w:r w:rsidRPr="002A2450">
        <w:rPr>
          <w:rFonts w:ascii="ITC Avant Garde" w:hAnsi="ITC Avant Garde"/>
        </w:rPr>
        <w:t xml:space="preserve">remitió la información al considerar competente a la Unidad de Competencia </w:t>
      </w:r>
      <w:r w:rsidR="00043B4F" w:rsidRPr="002A2450">
        <w:rPr>
          <w:rFonts w:ascii="ITC Avant Garde" w:hAnsi="ITC Avant Garde"/>
        </w:rPr>
        <w:t>Económica</w:t>
      </w:r>
      <w:r w:rsidRPr="002A2450">
        <w:rPr>
          <w:rFonts w:ascii="ITC Avant Garde" w:hAnsi="ITC Avant Garde"/>
        </w:rPr>
        <w:t xml:space="preserve">, es dable concluir que no puede configurarse la caducidad solicitada por </w:t>
      </w:r>
      <w:r w:rsidRPr="002A2450">
        <w:rPr>
          <w:rFonts w:ascii="ITC Avant Garde" w:hAnsi="ITC Avant Garde"/>
          <w:b/>
        </w:rPr>
        <w:t>“TELMEX”</w:t>
      </w:r>
      <w:r w:rsidRPr="002A2450">
        <w:rPr>
          <w:rFonts w:ascii="ITC Avant Garde" w:hAnsi="ITC Avant Garde"/>
        </w:rPr>
        <w:t xml:space="preserve"> ya que no puede existir en su caso, la caducidad de </w:t>
      </w:r>
      <w:r w:rsidR="00F973DB" w:rsidRPr="002A2450">
        <w:rPr>
          <w:rFonts w:ascii="ITC Avant Garde" w:hAnsi="ITC Avant Garde"/>
        </w:rPr>
        <w:t xml:space="preserve">un procedimiento de comprobación si la </w:t>
      </w:r>
      <w:r w:rsidR="00D76D43" w:rsidRPr="002A2450">
        <w:rPr>
          <w:rFonts w:ascii="ITC Avant Garde" w:hAnsi="ITC Avant Garde"/>
        </w:rPr>
        <w:t xml:space="preserve">documentación </w:t>
      </w:r>
      <w:r w:rsidR="00F973DB" w:rsidRPr="002A2450">
        <w:rPr>
          <w:rFonts w:ascii="ITC Avant Garde" w:hAnsi="ITC Avant Garde"/>
        </w:rPr>
        <w:t xml:space="preserve">a que se refiere el mismo fue materia de un procedimiento diverso al sancionatorio en que se actúa. </w:t>
      </w:r>
    </w:p>
    <w:p w14:paraId="62A806B7" w14:textId="77777777" w:rsidR="00B35F13" w:rsidRDefault="00E54B7C" w:rsidP="00B35F13">
      <w:pPr>
        <w:spacing w:before="240" w:line="360" w:lineRule="auto"/>
        <w:jc w:val="both"/>
        <w:rPr>
          <w:rFonts w:ascii="ITC Avant Garde" w:hAnsi="ITC Avant Garde"/>
        </w:rPr>
      </w:pPr>
      <w:r w:rsidRPr="002A2450">
        <w:rPr>
          <w:rFonts w:ascii="ITC Avant Garde" w:hAnsi="ITC Avant Garde"/>
        </w:rPr>
        <w:t xml:space="preserve">Ahora bien, asumiendo como lo ha señalado los Tribunales Especializados, que </w:t>
      </w:r>
      <w:r w:rsidR="00F973DB" w:rsidRPr="002A2450">
        <w:rPr>
          <w:rFonts w:ascii="ITC Avant Garde" w:hAnsi="ITC Avant Garde"/>
        </w:rPr>
        <w:t xml:space="preserve">respecto de </w:t>
      </w:r>
      <w:r w:rsidRPr="002A2450">
        <w:rPr>
          <w:rFonts w:ascii="ITC Avant Garde" w:hAnsi="ITC Avant Garde"/>
        </w:rPr>
        <w:t xml:space="preserve">los procedimientos iniciados a requerimientos del </w:t>
      </w:r>
      <w:r w:rsidRPr="002A2450">
        <w:rPr>
          <w:rFonts w:ascii="ITC Avant Garde" w:hAnsi="ITC Avant Garde"/>
          <w:b/>
        </w:rPr>
        <w:t>“IFT”</w:t>
      </w:r>
      <w:r w:rsidRPr="002A2450">
        <w:rPr>
          <w:rFonts w:ascii="ITC Avant Garde" w:hAnsi="ITC Avant Garde"/>
        </w:rPr>
        <w:t xml:space="preserve"> debe recaer una resolución que defina su situación jurídica, es dable también concluir que ello se observó en el presente asunto.</w:t>
      </w:r>
    </w:p>
    <w:p w14:paraId="70C0F0B7" w14:textId="77777777" w:rsidR="00B35F13" w:rsidRDefault="00E54B7C" w:rsidP="00B35F13">
      <w:pPr>
        <w:spacing w:before="240" w:line="360" w:lineRule="auto"/>
        <w:jc w:val="both"/>
        <w:rPr>
          <w:rFonts w:ascii="ITC Avant Garde" w:hAnsi="ITC Avant Garde"/>
          <w:b/>
        </w:rPr>
      </w:pPr>
      <w:r w:rsidRPr="002A2450">
        <w:rPr>
          <w:rFonts w:ascii="ITC Avant Garde" w:hAnsi="ITC Avant Garde"/>
        </w:rPr>
        <w:t xml:space="preserve">Lo anterior, ya que como se ha señalado, dicha información sirvió en primer lugar para emitir el oficio de presunta responsabilidad y en segundo, para la emisión por parte del Pleno de este </w:t>
      </w:r>
      <w:r w:rsidRPr="002A2450">
        <w:rPr>
          <w:rFonts w:ascii="ITC Avant Garde" w:hAnsi="ITC Avant Garde"/>
          <w:b/>
        </w:rPr>
        <w:t>“IFT”</w:t>
      </w:r>
      <w:r w:rsidRPr="002A2450">
        <w:rPr>
          <w:rFonts w:ascii="ITC Avant Garde" w:hAnsi="ITC Avant Garde"/>
        </w:rPr>
        <w:t xml:space="preserve"> de la resolución recaída al expediente </w:t>
      </w:r>
      <w:r w:rsidRPr="002A2450">
        <w:rPr>
          <w:rFonts w:ascii="ITC Avant Garde" w:hAnsi="ITC Avant Garde"/>
          <w:b/>
        </w:rPr>
        <w:t>E-IFT/UC/DGIPM/PMR/003/2013 y acumulados.</w:t>
      </w:r>
    </w:p>
    <w:p w14:paraId="000F4865" w14:textId="77777777" w:rsidR="00B35F13" w:rsidRDefault="00E54B7C" w:rsidP="00B35F13">
      <w:pPr>
        <w:spacing w:before="240" w:line="360" w:lineRule="auto"/>
        <w:jc w:val="both"/>
        <w:rPr>
          <w:rFonts w:ascii="ITC Avant Garde" w:hAnsi="ITC Avant Garde"/>
          <w:b/>
        </w:rPr>
      </w:pPr>
      <w:r w:rsidRPr="002A2450">
        <w:rPr>
          <w:rFonts w:ascii="ITC Avant Garde" w:hAnsi="ITC Avant Garde"/>
        </w:rPr>
        <w:t xml:space="preserve">Por tanto, al existir una resolución que definió la situación jurídica de </w:t>
      </w:r>
      <w:r w:rsidRPr="002A2450">
        <w:rPr>
          <w:rFonts w:ascii="ITC Avant Garde" w:hAnsi="ITC Avant Garde"/>
          <w:b/>
        </w:rPr>
        <w:t xml:space="preserve">“TELMEX” </w:t>
      </w:r>
      <w:r w:rsidR="00F973DB" w:rsidRPr="002A2450">
        <w:rPr>
          <w:rFonts w:ascii="ITC Avant Garde" w:hAnsi="ITC Avant Garde"/>
        </w:rPr>
        <w:t>en torno a dichos requerimientos</w:t>
      </w:r>
      <w:r w:rsidRPr="002A2450">
        <w:rPr>
          <w:rFonts w:ascii="ITC Avant Garde" w:hAnsi="ITC Avant Garde"/>
        </w:rPr>
        <w:t>, es indudable entonces, que no se actualizó la caducidad señalad</w:t>
      </w:r>
      <w:r w:rsidR="00F973DB" w:rsidRPr="002A2450">
        <w:rPr>
          <w:rFonts w:ascii="ITC Avant Garde" w:hAnsi="ITC Avant Garde"/>
        </w:rPr>
        <w:t>a</w:t>
      </w:r>
      <w:r w:rsidRPr="002A2450">
        <w:rPr>
          <w:rFonts w:ascii="ITC Avant Garde" w:hAnsi="ITC Avant Garde"/>
        </w:rPr>
        <w:t xml:space="preserve"> por dicha empresa, puesto que al existir el oficio de presunta </w:t>
      </w:r>
      <w:r w:rsidRPr="002A2450">
        <w:rPr>
          <w:rFonts w:ascii="ITC Avant Garde" w:hAnsi="ITC Avant Garde"/>
        </w:rPr>
        <w:lastRenderedPageBreak/>
        <w:t xml:space="preserve">responsabilidad y la resolución emitida por el Pleno de este </w:t>
      </w:r>
      <w:r w:rsidRPr="002A2450">
        <w:rPr>
          <w:rFonts w:ascii="ITC Avant Garde" w:hAnsi="ITC Avant Garde"/>
          <w:b/>
        </w:rPr>
        <w:t>“IFT”</w:t>
      </w:r>
      <w:r w:rsidRPr="002A2450">
        <w:rPr>
          <w:rFonts w:ascii="ITC Avant Garde" w:hAnsi="ITC Avant Garde"/>
        </w:rPr>
        <w:t xml:space="preserve"> en el expediente </w:t>
      </w:r>
      <w:r w:rsidRPr="002A2450">
        <w:rPr>
          <w:rFonts w:ascii="ITC Avant Garde" w:hAnsi="ITC Avant Garde"/>
          <w:b/>
        </w:rPr>
        <w:t>E-IFT/UC/DGIPM/PMR/003/2013 y acumulados</w:t>
      </w:r>
      <w:r w:rsidRPr="002A2450">
        <w:rPr>
          <w:rFonts w:ascii="ITC Avant Garde" w:hAnsi="ITC Avant Garde"/>
        </w:rPr>
        <w:t xml:space="preserve">, se advirtió que existió un acto de autoridad que definió la situación jurídica de dicha concesionaria respecto de los requerimientos formulados por la </w:t>
      </w:r>
      <w:r w:rsidR="00365BE1" w:rsidRPr="002A2450">
        <w:rPr>
          <w:rFonts w:ascii="ITC Avant Garde" w:hAnsi="ITC Avant Garde"/>
          <w:b/>
        </w:rPr>
        <w:t>“DGS”</w:t>
      </w:r>
      <w:r w:rsidRPr="002A2450">
        <w:rPr>
          <w:rFonts w:ascii="ITC Avant Garde" w:hAnsi="ITC Avant Garde"/>
          <w:b/>
        </w:rPr>
        <w:t>.</w:t>
      </w:r>
    </w:p>
    <w:p w14:paraId="241E1226" w14:textId="77777777" w:rsidR="00B35F13" w:rsidRDefault="00E54B7C" w:rsidP="00B35F13">
      <w:pPr>
        <w:spacing w:before="240" w:line="360" w:lineRule="auto"/>
        <w:jc w:val="both"/>
        <w:rPr>
          <w:rFonts w:ascii="ITC Avant Garde" w:hAnsi="ITC Avant Garde"/>
        </w:rPr>
      </w:pPr>
      <w:r w:rsidRPr="002A2450">
        <w:rPr>
          <w:rFonts w:ascii="ITC Avant Garde" w:hAnsi="ITC Avant Garde"/>
        </w:rPr>
        <w:t xml:space="preserve">Finalmente, </w:t>
      </w:r>
      <w:r w:rsidR="00567816" w:rsidRPr="002A2450">
        <w:rPr>
          <w:rFonts w:ascii="ITC Avant Garde" w:hAnsi="ITC Avant Garde"/>
        </w:rPr>
        <w:t xml:space="preserve">el argumento realizado por </w:t>
      </w:r>
      <w:r w:rsidR="00567816" w:rsidRPr="002A2450">
        <w:rPr>
          <w:rFonts w:ascii="ITC Avant Garde" w:hAnsi="ITC Avant Garde"/>
          <w:b/>
        </w:rPr>
        <w:t>“TELMEX”</w:t>
      </w:r>
      <w:r w:rsidR="00567816" w:rsidRPr="002A2450">
        <w:rPr>
          <w:rFonts w:ascii="ITC Avant Garde" w:hAnsi="ITC Avant Garde"/>
        </w:rPr>
        <w:t xml:space="preserve"> respecto de la caducidad derivada de los requerimientos de información realizados por la </w:t>
      </w:r>
      <w:r w:rsidR="00365BE1" w:rsidRPr="002A2450">
        <w:rPr>
          <w:rFonts w:ascii="ITC Avant Garde" w:hAnsi="ITC Avant Garde"/>
          <w:b/>
        </w:rPr>
        <w:t>“DGS”</w:t>
      </w:r>
      <w:r w:rsidR="00567816" w:rsidRPr="002A2450">
        <w:rPr>
          <w:rFonts w:ascii="ITC Avant Garde" w:hAnsi="ITC Avant Garde"/>
        </w:rPr>
        <w:t xml:space="preserve">, </w:t>
      </w:r>
      <w:r w:rsidR="00F973DB" w:rsidRPr="002A2450">
        <w:rPr>
          <w:rFonts w:ascii="ITC Avant Garde" w:hAnsi="ITC Avant Garde"/>
        </w:rPr>
        <w:t xml:space="preserve">se considera de igual forma </w:t>
      </w:r>
      <w:r w:rsidR="00F973DB" w:rsidRPr="002A2450">
        <w:rPr>
          <w:rFonts w:ascii="ITC Avant Garde" w:hAnsi="ITC Avant Garde"/>
          <w:b/>
          <w:u w:val="single"/>
        </w:rPr>
        <w:t>infundado</w:t>
      </w:r>
      <w:r w:rsidR="00F973DB" w:rsidRPr="002A2450">
        <w:rPr>
          <w:rFonts w:ascii="ITC Avant Garde" w:hAnsi="ITC Avant Garde"/>
        </w:rPr>
        <w:t>.</w:t>
      </w:r>
    </w:p>
    <w:p w14:paraId="29540733" w14:textId="77777777" w:rsidR="00B35F13" w:rsidRDefault="00567816" w:rsidP="00B35F13">
      <w:pPr>
        <w:spacing w:before="240" w:line="360" w:lineRule="auto"/>
        <w:jc w:val="both"/>
        <w:rPr>
          <w:rFonts w:ascii="ITC Avant Garde" w:hAnsi="ITC Avant Garde"/>
        </w:rPr>
      </w:pPr>
      <w:r w:rsidRPr="002A2450">
        <w:rPr>
          <w:rFonts w:ascii="ITC Avant Garde" w:hAnsi="ITC Avant Garde"/>
        </w:rPr>
        <w:t xml:space="preserve">Lo anterior, suponiendo sin conceder que, en su caso, la </w:t>
      </w:r>
      <w:r w:rsidR="00365BE1" w:rsidRPr="002A2450">
        <w:rPr>
          <w:rFonts w:ascii="ITC Avant Garde" w:hAnsi="ITC Avant Garde"/>
          <w:b/>
        </w:rPr>
        <w:t xml:space="preserve">“DGS” </w:t>
      </w:r>
      <w:r w:rsidRPr="002A2450">
        <w:rPr>
          <w:rFonts w:ascii="ITC Avant Garde" w:hAnsi="ITC Avant Garde"/>
        </w:rPr>
        <w:t xml:space="preserve">se encontraba obligada a emitir una propuesta por el presunto incumplimiento a la condición 1-9 del </w:t>
      </w:r>
      <w:r w:rsidR="00BD1D1D" w:rsidRPr="002A2450">
        <w:rPr>
          <w:rFonts w:ascii="ITC Avant Garde" w:hAnsi="ITC Avant Garde"/>
          <w:b/>
        </w:rPr>
        <w:t>“TÍTULO</w:t>
      </w:r>
      <w:r w:rsidRPr="002A2450">
        <w:rPr>
          <w:rFonts w:ascii="ITC Avant Garde" w:hAnsi="ITC Avant Garde"/>
          <w:b/>
        </w:rPr>
        <w:t xml:space="preserve"> DE CONCESIÓN</w:t>
      </w:r>
      <w:r w:rsidR="00365BE1"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otorgado a </w:t>
      </w:r>
      <w:r w:rsidRPr="002A2450">
        <w:rPr>
          <w:rFonts w:ascii="ITC Avant Garde" w:hAnsi="ITC Avant Garde"/>
          <w:b/>
        </w:rPr>
        <w:t>“TELMEX”</w:t>
      </w:r>
      <w:r w:rsidRPr="002A2450">
        <w:rPr>
          <w:rFonts w:ascii="ITC Avant Garde" w:hAnsi="ITC Avant Garde"/>
        </w:rPr>
        <w:t xml:space="preserve">, toda vez que entre estos y el acuerdo de inicio pasó más de los tres meses (artículo 17 de la </w:t>
      </w:r>
      <w:r w:rsidRPr="002A2450">
        <w:rPr>
          <w:rFonts w:ascii="ITC Avant Garde" w:hAnsi="ITC Avant Garde"/>
          <w:b/>
        </w:rPr>
        <w:t>“LFPA”</w:t>
      </w:r>
      <w:r w:rsidRPr="002A2450">
        <w:rPr>
          <w:rFonts w:ascii="ITC Avant Garde" w:hAnsi="ITC Avant Garde"/>
        </w:rPr>
        <w:t xml:space="preserve">) más treinta días (artículo 60 de la </w:t>
      </w:r>
      <w:r w:rsidRPr="002A2450">
        <w:rPr>
          <w:rFonts w:ascii="ITC Avant Garde" w:hAnsi="ITC Avant Garde"/>
          <w:b/>
        </w:rPr>
        <w:t>“LFPA”</w:t>
      </w:r>
      <w:r w:rsidRPr="002A2450">
        <w:rPr>
          <w:rFonts w:ascii="ITC Avant Garde" w:hAnsi="ITC Avant Garde"/>
        </w:rPr>
        <w:t xml:space="preserve">) el mismo resultaría </w:t>
      </w:r>
      <w:r w:rsidR="00AF7DC3">
        <w:rPr>
          <w:rFonts w:ascii="ITC Avant Garde" w:hAnsi="ITC Avant Garde"/>
        </w:rPr>
        <w:t>in</w:t>
      </w:r>
      <w:r w:rsidRPr="002A2450">
        <w:rPr>
          <w:rFonts w:ascii="ITC Avant Garde" w:hAnsi="ITC Avant Garde"/>
        </w:rPr>
        <w:t xml:space="preserve">fundado </w:t>
      </w:r>
      <w:r w:rsidR="0029711A" w:rsidRPr="002A2450">
        <w:rPr>
          <w:rFonts w:ascii="ITC Avant Garde" w:hAnsi="ITC Avant Garde"/>
        </w:rPr>
        <w:t xml:space="preserve">puesto que los requerimiento formulados por dicha </w:t>
      </w:r>
      <w:r w:rsidR="00FB7F95" w:rsidRPr="002A2450">
        <w:rPr>
          <w:rFonts w:ascii="ITC Avant Garde" w:hAnsi="ITC Avant Garde"/>
          <w:b/>
        </w:rPr>
        <w:t xml:space="preserve">Dirección General, </w:t>
      </w:r>
      <w:r w:rsidR="0029711A" w:rsidRPr="002A2450">
        <w:rPr>
          <w:rFonts w:ascii="ITC Avant Garde" w:hAnsi="ITC Avant Garde"/>
          <w:b/>
        </w:rPr>
        <w:t xml:space="preserve">no tuvieron por objeto supervisar el cumplimiento de la condición 1-9 del “TÍTULO DE CONCESIÓN” otorgado a </w:t>
      </w:r>
      <w:r w:rsidR="0029711A" w:rsidRPr="009E34A4">
        <w:rPr>
          <w:rFonts w:ascii="ITC Avant Garde" w:hAnsi="ITC Avant Garde"/>
          <w:b/>
        </w:rPr>
        <w:t>“TELMEX”</w:t>
      </w:r>
      <w:r w:rsidR="0029711A" w:rsidRPr="002A2450">
        <w:rPr>
          <w:rFonts w:ascii="ITC Avant Garde" w:hAnsi="ITC Avant Garde"/>
          <w:b/>
        </w:rPr>
        <w:t xml:space="preserve">, </w:t>
      </w:r>
      <w:r w:rsidR="0029711A" w:rsidRPr="009E34A4">
        <w:rPr>
          <w:rFonts w:ascii="ITC Avant Garde" w:hAnsi="ITC Avant Garde"/>
        </w:rPr>
        <w:t>por lo que ello</w:t>
      </w:r>
      <w:r w:rsidR="0029711A" w:rsidRPr="002A2450">
        <w:rPr>
          <w:rFonts w:ascii="ITC Avant Garde" w:hAnsi="ITC Avant Garde"/>
          <w:b/>
        </w:rPr>
        <w:t xml:space="preserve"> </w:t>
      </w:r>
      <w:r w:rsidR="0029711A" w:rsidRPr="002A2450">
        <w:rPr>
          <w:rFonts w:ascii="ITC Avant Garde" w:hAnsi="ITC Avant Garde"/>
        </w:rPr>
        <w:t xml:space="preserve">no </w:t>
      </w:r>
      <w:r w:rsidR="00182CE5" w:rsidRPr="002A2450">
        <w:rPr>
          <w:rFonts w:ascii="ITC Avant Garde" w:hAnsi="ITC Avant Garde"/>
        </w:rPr>
        <w:t xml:space="preserve">demerita </w:t>
      </w:r>
      <w:r w:rsidR="0029711A" w:rsidRPr="002A2450">
        <w:rPr>
          <w:rFonts w:ascii="ITC Avant Garde" w:hAnsi="ITC Avant Garde"/>
        </w:rPr>
        <w:t xml:space="preserve">la posibilidad de que la autoridad con base, </w:t>
      </w:r>
      <w:r w:rsidR="00182CE5" w:rsidRPr="002A2450">
        <w:rPr>
          <w:rFonts w:ascii="ITC Avant Garde" w:hAnsi="ITC Avant Garde"/>
        </w:rPr>
        <w:t>en las constancias que obraban en los archivos de la Unidad de Cumplimiento</w:t>
      </w:r>
      <w:r w:rsidR="0029711A" w:rsidRPr="002A2450">
        <w:rPr>
          <w:rFonts w:ascii="ITC Avant Garde" w:hAnsi="ITC Avant Garde"/>
        </w:rPr>
        <w:t>, pudiera iniciar un procedimiento administrativo</w:t>
      </w:r>
      <w:r w:rsidR="00FB7F95" w:rsidRPr="002A2450">
        <w:rPr>
          <w:rFonts w:ascii="ITC Avant Garde" w:hAnsi="ITC Avant Garde"/>
        </w:rPr>
        <w:t xml:space="preserve"> de imposición de sanción con todos los elementos integrados al expediente que nos </w:t>
      </w:r>
      <w:r w:rsidR="00182CE5" w:rsidRPr="002A2450">
        <w:rPr>
          <w:rFonts w:ascii="ITC Avant Garde" w:hAnsi="ITC Avant Garde"/>
        </w:rPr>
        <w:t>ocupa, esto es, de las denuncias presentadas</w:t>
      </w:r>
      <w:r w:rsidR="00F9257F">
        <w:rPr>
          <w:rFonts w:ascii="ITC Avant Garde" w:hAnsi="ITC Avant Garde"/>
        </w:rPr>
        <w:t xml:space="preserve"> con posterioridad a los requerimientos y por una conducta distinta a la resuelta en el procedimiento sustanciado por la Unida de Competencia Económica de este </w:t>
      </w:r>
      <w:r w:rsidR="00F9257F">
        <w:rPr>
          <w:rFonts w:ascii="ITC Avant Garde" w:hAnsi="ITC Avant Garde"/>
          <w:b/>
        </w:rPr>
        <w:t>“IFT”</w:t>
      </w:r>
      <w:r w:rsidR="00FB7F95" w:rsidRPr="002A2450">
        <w:rPr>
          <w:rFonts w:ascii="ITC Avant Garde" w:hAnsi="ITC Avant Garde"/>
        </w:rPr>
        <w:t>.</w:t>
      </w:r>
    </w:p>
    <w:p w14:paraId="2F62A3F9" w14:textId="77777777" w:rsidR="00B35F13" w:rsidRDefault="00FB7F95" w:rsidP="00B35F13">
      <w:pPr>
        <w:spacing w:before="240" w:line="360" w:lineRule="auto"/>
        <w:jc w:val="both"/>
        <w:rPr>
          <w:rFonts w:ascii="ITC Avant Garde" w:hAnsi="ITC Avant Garde"/>
          <w:b/>
        </w:rPr>
      </w:pPr>
      <w:r w:rsidRPr="002A2450">
        <w:rPr>
          <w:rFonts w:ascii="ITC Avant Garde" w:hAnsi="ITC Avant Garde"/>
        </w:rPr>
        <w:t>Lo anterior, ya que si bien es cierto que la</w:t>
      </w:r>
      <w:r w:rsidR="00FA02A6" w:rsidRPr="002A2450">
        <w:rPr>
          <w:rFonts w:ascii="ITC Avant Garde" w:hAnsi="ITC Avant Garde"/>
        </w:rPr>
        <w:t>s</w:t>
      </w:r>
      <w:r w:rsidRPr="002A2450">
        <w:rPr>
          <w:rFonts w:ascii="ITC Avant Garde" w:hAnsi="ITC Avant Garde"/>
        </w:rPr>
        <w:t xml:space="preserve"> denuncias presentadas no implica</w:t>
      </w:r>
      <w:r w:rsidR="00FA02A6" w:rsidRPr="002A2450">
        <w:rPr>
          <w:rFonts w:ascii="ITC Avant Garde" w:hAnsi="ITC Avant Garde"/>
        </w:rPr>
        <w:t>n</w:t>
      </w:r>
      <w:r w:rsidRPr="002A2450">
        <w:rPr>
          <w:rFonts w:ascii="ITC Avant Garde" w:hAnsi="ITC Avant Garde"/>
        </w:rPr>
        <w:t xml:space="preserve"> que la autoridad de</w:t>
      </w:r>
      <w:r w:rsidR="00FA02A6" w:rsidRPr="002A2450">
        <w:rPr>
          <w:rFonts w:ascii="ITC Avant Garde" w:hAnsi="ITC Avant Garde"/>
        </w:rPr>
        <w:t>be</w:t>
      </w:r>
      <w:r w:rsidRPr="002A2450">
        <w:rPr>
          <w:rFonts w:ascii="ITC Avant Garde" w:hAnsi="ITC Avant Garde"/>
        </w:rPr>
        <w:t xml:space="preserve"> actuar con base en las pretensiones en ellas realizadas, también lo es que la información proporcionada por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“TELMEX”</w:t>
      </w:r>
      <w:r w:rsidRPr="002A2450">
        <w:rPr>
          <w:rFonts w:ascii="ITC Avant Garde" w:hAnsi="ITC Avant Garde"/>
        </w:rPr>
        <w:t xml:space="preserve"> conforman un cúmulo de información respecto de la cual esta autoridad tuvo conocimiento y que derivado del análisis de la</w:t>
      </w:r>
      <w:r w:rsidR="00FD6820" w:rsidRPr="002A2450">
        <w:rPr>
          <w:rFonts w:ascii="ITC Avant Garde" w:hAnsi="ITC Avant Garde"/>
        </w:rPr>
        <w:t>s</w:t>
      </w:r>
      <w:r w:rsidRPr="002A2450">
        <w:rPr>
          <w:rFonts w:ascii="ITC Avant Garde" w:hAnsi="ITC Avant Garde"/>
        </w:rPr>
        <w:t xml:space="preserve"> misma</w:t>
      </w:r>
      <w:r w:rsidR="00FD6820" w:rsidRPr="002A2450">
        <w:rPr>
          <w:rFonts w:ascii="ITC Avant Garde" w:hAnsi="ITC Avant Garde"/>
        </w:rPr>
        <w:t>s</w:t>
      </w:r>
      <w:r w:rsidR="00FA02A6" w:rsidRPr="002A2450">
        <w:rPr>
          <w:rFonts w:ascii="ITC Avant Garde" w:hAnsi="ITC Avant Garde"/>
        </w:rPr>
        <w:t>,</w:t>
      </w:r>
      <w:r w:rsidRPr="002A2450">
        <w:rPr>
          <w:rFonts w:ascii="ITC Avant Garde" w:hAnsi="ITC Avant Garde"/>
        </w:rPr>
        <w:t xml:space="preserve"> </w:t>
      </w:r>
      <w:r w:rsidR="004F2EE9" w:rsidRPr="002A2450">
        <w:rPr>
          <w:rFonts w:ascii="ITC Avant Garde" w:hAnsi="ITC Avant Garde"/>
        </w:rPr>
        <w:t xml:space="preserve">estimó que existían elementos suficientes para determinar el presunto incumplimiento por parte de </w:t>
      </w:r>
      <w:r w:rsidR="004F2EE9" w:rsidRPr="002A2450">
        <w:rPr>
          <w:rFonts w:ascii="ITC Avant Garde" w:hAnsi="ITC Avant Garde"/>
          <w:b/>
        </w:rPr>
        <w:t>“TELMEX”</w:t>
      </w:r>
      <w:r w:rsidR="004F2EE9" w:rsidRPr="002A2450">
        <w:rPr>
          <w:rFonts w:ascii="ITC Avant Garde" w:hAnsi="ITC Avant Garde"/>
        </w:rPr>
        <w:t xml:space="preserve"> al </w:t>
      </w:r>
      <w:r w:rsidR="00841FB0" w:rsidRPr="009E34A4">
        <w:rPr>
          <w:rFonts w:ascii="ITC Avant Garde" w:hAnsi="ITC Avant Garde"/>
          <w:b/>
        </w:rPr>
        <w:t>Tercer Párrafo</w:t>
      </w:r>
      <w:r w:rsidR="004F2EE9" w:rsidRPr="002A2450">
        <w:rPr>
          <w:rFonts w:ascii="ITC Avant Garde" w:hAnsi="ITC Avant Garde"/>
        </w:rPr>
        <w:t xml:space="preserve"> de la condición 1-9 de su </w:t>
      </w:r>
      <w:r w:rsidR="004F2EE9" w:rsidRPr="002A2450">
        <w:rPr>
          <w:rFonts w:ascii="ITC Avant Garde" w:hAnsi="ITC Avant Garde"/>
          <w:b/>
        </w:rPr>
        <w:t>“TÍTULO DE CONCESIÓN”.</w:t>
      </w:r>
    </w:p>
    <w:p w14:paraId="0DD5C625" w14:textId="77777777" w:rsidR="00B35F13" w:rsidRDefault="00F973DB" w:rsidP="00B35F13">
      <w:pPr>
        <w:spacing w:before="240" w:line="360" w:lineRule="auto"/>
        <w:jc w:val="both"/>
        <w:rPr>
          <w:rFonts w:ascii="ITC Avant Garde" w:hAnsi="ITC Avant Garde"/>
        </w:rPr>
      </w:pPr>
      <w:r w:rsidRPr="002A2450">
        <w:rPr>
          <w:rFonts w:ascii="ITC Avant Garde" w:hAnsi="ITC Avant Garde"/>
        </w:rPr>
        <w:lastRenderedPageBreak/>
        <w:t xml:space="preserve">Máxime si tomamos en cuenta que a partir de la presentación de las denuncias que motivaron el inicio del procedimiento sancionatorio en que se actúa, esta autoridad no estuvo sujeta a plazo alguno para llevar a cabo el análisis de las mismas y ejercer sus facultades de comprobación para luego estar en posibilidad de iniciar un procedimiento disciplinario en ejercicio del </w:t>
      </w:r>
      <w:proofErr w:type="spellStart"/>
      <w:r w:rsidRPr="002A2450">
        <w:rPr>
          <w:rFonts w:ascii="ITC Avant Garde" w:hAnsi="ITC Avant Garde"/>
          <w:i/>
        </w:rPr>
        <w:t>ius</w:t>
      </w:r>
      <w:proofErr w:type="spellEnd"/>
      <w:r w:rsidRPr="002A2450">
        <w:rPr>
          <w:rFonts w:ascii="ITC Avant Garde" w:hAnsi="ITC Avant Garde"/>
          <w:i/>
        </w:rPr>
        <w:t xml:space="preserve"> </w:t>
      </w:r>
      <w:proofErr w:type="spellStart"/>
      <w:r w:rsidRPr="002A2450">
        <w:rPr>
          <w:rFonts w:ascii="ITC Avant Garde" w:hAnsi="ITC Avant Garde"/>
          <w:i/>
        </w:rPr>
        <w:t>puniendi</w:t>
      </w:r>
      <w:proofErr w:type="spellEnd"/>
      <w:r w:rsidRPr="002A2450">
        <w:rPr>
          <w:rFonts w:ascii="ITC Avant Garde" w:hAnsi="ITC Avant Garde"/>
        </w:rPr>
        <w:t xml:space="preserve"> del Estado, y</w:t>
      </w:r>
      <w:r w:rsidR="00FD6820" w:rsidRPr="002A2450">
        <w:rPr>
          <w:rFonts w:ascii="ITC Avant Garde" w:hAnsi="ITC Avant Garde"/>
        </w:rPr>
        <w:t xml:space="preserve">a que es </w:t>
      </w:r>
      <w:r w:rsidRPr="002A2450">
        <w:rPr>
          <w:rFonts w:ascii="ITC Avant Garde" w:hAnsi="ITC Avant Garde"/>
        </w:rPr>
        <w:t xml:space="preserve">a través del inicio de dicho procedimiento </w:t>
      </w:r>
      <w:r w:rsidR="00FD6820" w:rsidRPr="002A2450">
        <w:rPr>
          <w:rFonts w:ascii="ITC Avant Garde" w:hAnsi="ITC Avant Garde"/>
        </w:rPr>
        <w:t xml:space="preserve">el momento </w:t>
      </w:r>
      <w:r w:rsidRPr="002A2450">
        <w:rPr>
          <w:rFonts w:ascii="ITC Avant Garde" w:hAnsi="ITC Avant Garde"/>
        </w:rPr>
        <w:t xml:space="preserve">que se hizo del conocimiento de </w:t>
      </w:r>
      <w:r w:rsidRPr="002A2450">
        <w:rPr>
          <w:rFonts w:ascii="ITC Avant Garde" w:hAnsi="ITC Avant Garde"/>
          <w:b/>
        </w:rPr>
        <w:t>“TELMEX”</w:t>
      </w:r>
      <w:r w:rsidR="001157B6" w:rsidRPr="002A2450">
        <w:rPr>
          <w:rFonts w:ascii="ITC Avant Garde" w:hAnsi="ITC Avant Garde"/>
        </w:rPr>
        <w:t xml:space="preserve"> que existían elementos</w:t>
      </w:r>
      <w:r w:rsidR="00FD6820" w:rsidRPr="002A2450">
        <w:rPr>
          <w:rFonts w:ascii="ITC Avant Garde" w:hAnsi="ITC Avant Garde"/>
        </w:rPr>
        <w:t xml:space="preserve"> (información derivada de los requerimientos y las denuncias presentadas en su conjunto)</w:t>
      </w:r>
      <w:r w:rsidR="001157B6" w:rsidRPr="002A2450">
        <w:rPr>
          <w:rFonts w:ascii="ITC Avant Garde" w:hAnsi="ITC Avant Garde"/>
        </w:rPr>
        <w:t xml:space="preserve"> que permitían advertir el probable incumplimiento de su parte y en consecuencia se le otorgó garantía de audiencia.</w:t>
      </w:r>
    </w:p>
    <w:p w14:paraId="106CC0A6" w14:textId="77777777" w:rsidR="00B35F13" w:rsidRDefault="00FB7F95" w:rsidP="00B35F13">
      <w:pPr>
        <w:spacing w:before="240" w:line="360" w:lineRule="auto"/>
        <w:jc w:val="both"/>
        <w:rPr>
          <w:rFonts w:ascii="ITC Avant Garde" w:hAnsi="ITC Avant Garde"/>
        </w:rPr>
      </w:pPr>
      <w:r w:rsidRPr="002A2450">
        <w:rPr>
          <w:rFonts w:ascii="ITC Avant Garde" w:hAnsi="ITC Avant Garde"/>
        </w:rPr>
        <w:t>Con lo anterior, se cumple el requisito básico señalado por los Tribunales Especializados, esto es, que un acto terminal que tenga por objeto un acto privativo, contenga todas las posibilidades para una adecuada defensa, situación que acontece en el presente procedimiento con el acuerdo de inicio de procedimiento administrativo de imposición de sanción.</w:t>
      </w:r>
    </w:p>
    <w:p w14:paraId="7CB45B15" w14:textId="77777777" w:rsidR="00B35F13" w:rsidRDefault="00FB7F95" w:rsidP="00B35F13">
      <w:pPr>
        <w:spacing w:before="240" w:line="360" w:lineRule="auto"/>
        <w:jc w:val="both"/>
        <w:rPr>
          <w:rFonts w:ascii="ITC Avant Garde" w:hAnsi="ITC Avant Garde"/>
        </w:rPr>
      </w:pPr>
      <w:r w:rsidRPr="002A2450">
        <w:rPr>
          <w:rFonts w:ascii="ITC Avant Garde" w:hAnsi="ITC Avant Garde"/>
        </w:rPr>
        <w:t>Al respecto, resulta aplicable la siguiente jurisprudencia:</w:t>
      </w:r>
    </w:p>
    <w:p w14:paraId="48840175" w14:textId="77777777" w:rsidR="00B35F13" w:rsidRDefault="00FB7F95" w:rsidP="00B35F13">
      <w:pPr>
        <w:spacing w:before="240" w:line="360" w:lineRule="auto"/>
        <w:ind w:left="567" w:right="567"/>
        <w:jc w:val="both"/>
        <w:rPr>
          <w:rFonts w:ascii="ITC Avant Garde" w:hAnsi="ITC Avant Garde"/>
        </w:rPr>
      </w:pPr>
      <w:r w:rsidRPr="002A2450">
        <w:rPr>
          <w:rFonts w:ascii="ITC Avant Garde" w:hAnsi="ITC Avant Garde"/>
          <w:b/>
        </w:rPr>
        <w:t>ACTOS TERMINALES EN PROCEDIMIENTOS ADMINISTRATIVOS. DEBEN DISTINGUIRSE ENTRE LOS DE MOLESTIA Y LOS PRIVATIVOS, A FIN DE CONSEGUIR, PRIORITARIAMENTE, LA DEFENSA DE LOS PROBABLES AFECTADOS.</w:t>
      </w:r>
      <w:r w:rsidRPr="002A2450">
        <w:rPr>
          <w:rFonts w:ascii="ITC Avant Garde" w:hAnsi="ITC Avant Garde"/>
        </w:rPr>
        <w:t xml:space="preserve"> La finalidad, el alcance o la trascendencia que tenga el acto terminal es determinante para definir cómo debe conformarse o estructurarse el procedimiento administrativo, de manera que permita conseguir, prioritariamente, la defensa de los probables afectados, por lo que debe distinguirse entre actos de molestia y actos privativos. En relación con éstos, el artículo 14 de la Constitución Política de los Estados Unidos Mexicanos impone, antes de emitirlos, someter a las partes a un esquema de juicio previo donde se observen las formalidades esenciales del procedimiento; de ahí que el diseño estructural y la funcionalidad u operación de estos procedimientos deben atender a estas </w:t>
      </w:r>
      <w:r w:rsidRPr="002A2450">
        <w:rPr>
          <w:rFonts w:ascii="ITC Avant Garde" w:hAnsi="ITC Avant Garde"/>
        </w:rPr>
        <w:lastRenderedPageBreak/>
        <w:t>condicionantes básicas y sine qua non. El mismo tratamiento debe darse a los actos constitutivos de un nuevo status que pueda disminuir prerrogativas o situaciones creadas (impedir acciones, afectar propiedades o situaciones, eliminar posiciones jurídicas, entre otros). En todos estos casos debe satisfacerse el debido proceso legal, con amplias y suficientes posibilidades de defensa. En cambio, cuando el procedimiento tenga como acto terminal uno de molestia o declarativo, sólo debe observarse la garantía de legalidad, prevista en el artículo 16 constitucional.</w:t>
      </w:r>
    </w:p>
    <w:p w14:paraId="1B36C2F6" w14:textId="77777777" w:rsidR="00B35F13" w:rsidRDefault="00FB7F95"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2011340, Instancia: Tribunales Colegiados de Circuito, Tipo de Tesis: Jurisprudencia, Fuente: Gaceta del Semanario Judicial de la Federación, Libro 29, Abril de 2016, Tomo III, Materia(s): Constitucional, Tesis: I.1o.A.E. J/3 (10a.), Página: 1918 </w:t>
      </w:r>
    </w:p>
    <w:p w14:paraId="642DCAF4" w14:textId="77777777" w:rsidR="00B35F13" w:rsidRDefault="00FB7F95"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01 de abril de 2016 a las 10:01 horas en el Semanario Judicial de la Federación y, por ende, se considera de aplicación obligatoria a partir del lunes 04 de abril de 2016, para los efectos previstos en el punto séptimo del Acuerdo General Plenario 19/2013.</w:t>
      </w:r>
    </w:p>
    <w:p w14:paraId="006B1F43" w14:textId="77777777" w:rsidR="00B35F13" w:rsidRDefault="00070DF6" w:rsidP="00B35F13">
      <w:pPr>
        <w:spacing w:before="240" w:line="360" w:lineRule="auto"/>
        <w:jc w:val="both"/>
        <w:rPr>
          <w:rFonts w:ascii="ITC Avant Garde" w:hAnsi="ITC Avant Garde"/>
        </w:rPr>
      </w:pPr>
      <w:r w:rsidRPr="002A2450">
        <w:rPr>
          <w:rFonts w:ascii="ITC Avant Garde" w:hAnsi="ITC Avant Garde"/>
        </w:rPr>
        <w:t>En esas</w:t>
      </w:r>
      <w:r w:rsidR="00FA02A6" w:rsidRPr="002A2450">
        <w:rPr>
          <w:rFonts w:ascii="ITC Avant Garde" w:hAnsi="ITC Avant Garde"/>
        </w:rPr>
        <w:t xml:space="preserve"> consideraciones, </w:t>
      </w:r>
      <w:r w:rsidR="001157B6" w:rsidRPr="002A2450">
        <w:rPr>
          <w:rFonts w:ascii="ITC Avant Garde" w:hAnsi="ITC Avant Garde"/>
        </w:rPr>
        <w:t xml:space="preserve">a partir de las denuncias presentadas, </w:t>
      </w:r>
      <w:r w:rsidRPr="002A2450">
        <w:rPr>
          <w:rFonts w:ascii="ITC Avant Garde" w:hAnsi="ITC Avant Garde"/>
        </w:rPr>
        <w:t xml:space="preserve">la autoridad </w:t>
      </w:r>
      <w:r w:rsidR="001157B6" w:rsidRPr="002A2450">
        <w:rPr>
          <w:rFonts w:ascii="ITC Avant Garde" w:hAnsi="ITC Avant Garde"/>
        </w:rPr>
        <w:t xml:space="preserve">llevó a cabo un análisis exhaustivo de todos los elementos y constancias que hubiera en el </w:t>
      </w:r>
      <w:r w:rsidR="001157B6" w:rsidRPr="002A2450">
        <w:rPr>
          <w:rFonts w:ascii="ITC Avant Garde" w:hAnsi="ITC Avant Garde"/>
          <w:b/>
        </w:rPr>
        <w:t xml:space="preserve">“IFT” </w:t>
      </w:r>
      <w:r w:rsidR="001157B6" w:rsidRPr="002A2450">
        <w:rPr>
          <w:rFonts w:ascii="ITC Avant Garde" w:hAnsi="ITC Avant Garde"/>
        </w:rPr>
        <w:t xml:space="preserve">a efecto de determinar la probable responsabilidad del presunto infractor y es hasta el acuerdo de inicio del procedimiento sancionatorio cuando podría actualizarse algún supuesto de caducidad, haciendo notar que con dicho inicio se cumplieron a cabalidad </w:t>
      </w:r>
      <w:r w:rsidRPr="002A2450">
        <w:rPr>
          <w:rFonts w:ascii="ITC Avant Garde" w:hAnsi="ITC Avant Garde"/>
        </w:rPr>
        <w:t>las formalidades esenciales para una adecuada defensa</w:t>
      </w:r>
      <w:r w:rsidR="001157B6" w:rsidRPr="002A2450">
        <w:rPr>
          <w:rFonts w:ascii="ITC Avant Garde" w:hAnsi="ITC Avant Garde"/>
        </w:rPr>
        <w:t>.</w:t>
      </w:r>
    </w:p>
    <w:p w14:paraId="5C6FCFA0" w14:textId="77777777" w:rsidR="00B35F13" w:rsidRDefault="00070DF6" w:rsidP="00B35F13">
      <w:pPr>
        <w:spacing w:before="240" w:line="360" w:lineRule="auto"/>
        <w:jc w:val="both"/>
        <w:rPr>
          <w:rFonts w:ascii="ITC Avant Garde" w:hAnsi="ITC Avant Garde"/>
        </w:rPr>
      </w:pPr>
      <w:r w:rsidRPr="002A2450">
        <w:rPr>
          <w:rFonts w:ascii="ITC Avant Garde" w:hAnsi="ITC Avant Garde"/>
        </w:rPr>
        <w:t xml:space="preserve">En ese sentido, advirtiendo que en los archivos de este </w:t>
      </w:r>
      <w:r w:rsidRPr="002A2450">
        <w:rPr>
          <w:rFonts w:ascii="ITC Avant Garde" w:hAnsi="ITC Avant Garde"/>
          <w:b/>
        </w:rPr>
        <w:t>“IFT”</w:t>
      </w:r>
      <w:r w:rsidRPr="002A2450">
        <w:rPr>
          <w:rFonts w:ascii="ITC Avant Garde" w:hAnsi="ITC Avant Garde"/>
        </w:rPr>
        <w:t xml:space="preserve"> existen constancias que permiten a esta autoridad </w:t>
      </w:r>
      <w:r w:rsidR="00C67C1D" w:rsidRPr="002A2450">
        <w:rPr>
          <w:rFonts w:ascii="ITC Avant Garde" w:hAnsi="ITC Avant Garde"/>
        </w:rPr>
        <w:t xml:space="preserve">iniciar un procedimiento sancionatorio, es dable concluir que el mismo, </w:t>
      </w:r>
      <w:r w:rsidR="00FD6820" w:rsidRPr="002A2450">
        <w:rPr>
          <w:rFonts w:ascii="ITC Avant Garde" w:hAnsi="ITC Avant Garde"/>
        </w:rPr>
        <w:t xml:space="preserve">puede tener como resultado imponer una sanción respecto de </w:t>
      </w:r>
      <w:r w:rsidR="00C67C1D" w:rsidRPr="002A2450">
        <w:rPr>
          <w:rFonts w:ascii="ITC Avant Garde" w:hAnsi="ITC Avant Garde"/>
        </w:rPr>
        <w:t xml:space="preserve">una conducta que se estima contraria al </w:t>
      </w:r>
      <w:r w:rsidR="00BD1D1D" w:rsidRPr="002A2450">
        <w:rPr>
          <w:rFonts w:ascii="ITC Avant Garde" w:hAnsi="ITC Avant Garde"/>
          <w:b/>
        </w:rPr>
        <w:t>“TÍTULO</w:t>
      </w:r>
      <w:r w:rsidR="00C67C1D" w:rsidRPr="002A2450">
        <w:rPr>
          <w:rFonts w:ascii="ITC Avant Garde" w:hAnsi="ITC Avant Garde"/>
          <w:b/>
        </w:rPr>
        <w:t xml:space="preserve"> DE CONCESIÓN</w:t>
      </w:r>
      <w:r w:rsidR="00365BE1" w:rsidRPr="002A2450">
        <w:rPr>
          <w:rFonts w:ascii="ITC Avant Garde" w:hAnsi="ITC Avant Garde"/>
          <w:b/>
        </w:rPr>
        <w:t>”</w:t>
      </w:r>
      <w:r w:rsidR="00C67C1D" w:rsidRPr="002A2450">
        <w:rPr>
          <w:rFonts w:ascii="ITC Avant Garde" w:hAnsi="ITC Avant Garde"/>
        </w:rPr>
        <w:t xml:space="preserve"> otorgado a </w:t>
      </w:r>
      <w:r w:rsidR="00C67C1D" w:rsidRPr="002A2450">
        <w:rPr>
          <w:rFonts w:ascii="ITC Avant Garde" w:hAnsi="ITC Avant Garde"/>
          <w:b/>
        </w:rPr>
        <w:t>“TELMEX”</w:t>
      </w:r>
      <w:r w:rsidR="00C67C1D" w:rsidRPr="002A2450">
        <w:rPr>
          <w:rFonts w:ascii="ITC Avant Garde" w:hAnsi="ITC Avant Garde"/>
        </w:rPr>
        <w:t xml:space="preserve">, por tanto, </w:t>
      </w:r>
      <w:r w:rsidR="00FD6820" w:rsidRPr="002A2450">
        <w:rPr>
          <w:rFonts w:ascii="ITC Avant Garde" w:hAnsi="ITC Avant Garde"/>
        </w:rPr>
        <w:t xml:space="preserve">dicho inicio de procedimiento administrativo, como acto de autoridad se encuentra </w:t>
      </w:r>
      <w:r w:rsidR="00C67C1D" w:rsidRPr="002A2450">
        <w:rPr>
          <w:rFonts w:ascii="ITC Avant Garde" w:hAnsi="ITC Avant Garde"/>
        </w:rPr>
        <w:t xml:space="preserve">sujeto a la </w:t>
      </w:r>
      <w:r w:rsidR="00FD6820" w:rsidRPr="002A2450">
        <w:rPr>
          <w:rFonts w:ascii="ITC Avant Garde" w:hAnsi="ITC Avant Garde"/>
        </w:rPr>
        <w:t xml:space="preserve">figura de </w:t>
      </w:r>
      <w:r w:rsidR="00C67C1D" w:rsidRPr="002A2450">
        <w:rPr>
          <w:rFonts w:ascii="ITC Avant Garde" w:hAnsi="ITC Avant Garde"/>
        </w:rPr>
        <w:t xml:space="preserve">caducidad, </w:t>
      </w:r>
      <w:r w:rsidR="00FD6820" w:rsidRPr="002A2450">
        <w:rPr>
          <w:rFonts w:ascii="ITC Avant Garde" w:hAnsi="ITC Avant Garde"/>
        </w:rPr>
        <w:t xml:space="preserve">sin embargo, ésta </w:t>
      </w:r>
      <w:r w:rsidR="00C67C1D" w:rsidRPr="002A2450">
        <w:rPr>
          <w:rFonts w:ascii="ITC Avant Garde" w:hAnsi="ITC Avant Garde"/>
        </w:rPr>
        <w:t xml:space="preserve">situación que no </w:t>
      </w:r>
      <w:r w:rsidR="00C67C1D" w:rsidRPr="002A2450">
        <w:rPr>
          <w:rFonts w:ascii="ITC Avant Garde" w:hAnsi="ITC Avant Garde"/>
        </w:rPr>
        <w:lastRenderedPageBreak/>
        <w:t xml:space="preserve">acontece </w:t>
      </w:r>
      <w:r w:rsidR="001157B6" w:rsidRPr="002A2450">
        <w:rPr>
          <w:rFonts w:ascii="ITC Avant Garde" w:hAnsi="ITC Avant Garde"/>
        </w:rPr>
        <w:t xml:space="preserve">respecto de los requerimientos </w:t>
      </w:r>
      <w:r w:rsidR="00FD6820" w:rsidRPr="002A2450">
        <w:rPr>
          <w:rFonts w:ascii="ITC Avant Garde" w:hAnsi="ITC Avant Garde"/>
        </w:rPr>
        <w:t xml:space="preserve">de información </w:t>
      </w:r>
      <w:r w:rsidR="001157B6" w:rsidRPr="002A2450">
        <w:rPr>
          <w:rFonts w:ascii="ITC Avant Garde" w:hAnsi="ITC Avant Garde"/>
        </w:rPr>
        <w:t xml:space="preserve">a que hace referencia </w:t>
      </w:r>
      <w:r w:rsidR="001157B6" w:rsidRPr="002A2450">
        <w:rPr>
          <w:rFonts w:ascii="ITC Avant Garde" w:hAnsi="ITC Avant Garde"/>
          <w:b/>
        </w:rPr>
        <w:t>“TELMEX</w:t>
      </w:r>
      <w:r w:rsidR="004F2EE9" w:rsidRPr="002A2450">
        <w:rPr>
          <w:rFonts w:ascii="ITC Avant Garde" w:hAnsi="ITC Avant Garde"/>
          <w:b/>
        </w:rPr>
        <w:t xml:space="preserve">”, </w:t>
      </w:r>
      <w:r w:rsidR="004F2EE9" w:rsidRPr="002A2450">
        <w:rPr>
          <w:rFonts w:ascii="ITC Avant Garde" w:hAnsi="ITC Avant Garde"/>
        </w:rPr>
        <w:t xml:space="preserve">ya que los mismos no fueron considerados como parte de un procedimiento de comprobación previo al sancionatorio, </w:t>
      </w:r>
      <w:r w:rsidR="00FD6820" w:rsidRPr="002A2450">
        <w:rPr>
          <w:rFonts w:ascii="ITC Avant Garde" w:hAnsi="ITC Avant Garde"/>
        </w:rPr>
        <w:t>esto es, dichos requerimientos forman sólo una parte del cúmulo de información que dio origen al procedimiento que nos ocupa.</w:t>
      </w:r>
    </w:p>
    <w:p w14:paraId="011AA0F1" w14:textId="77777777" w:rsidR="00B35F13" w:rsidRDefault="00C67C1D" w:rsidP="00B35F13">
      <w:pPr>
        <w:spacing w:before="240" w:line="360" w:lineRule="auto"/>
        <w:jc w:val="both"/>
        <w:rPr>
          <w:rFonts w:ascii="ITC Avant Garde" w:hAnsi="ITC Avant Garde"/>
        </w:rPr>
      </w:pPr>
      <w:r w:rsidRPr="002A2450">
        <w:rPr>
          <w:rFonts w:ascii="ITC Avant Garde" w:hAnsi="ITC Avant Garde"/>
        </w:rPr>
        <w:t>Por tanto, al ser el presente procedimiento</w:t>
      </w:r>
      <w:r w:rsidR="00D76D43" w:rsidRPr="002A2450">
        <w:rPr>
          <w:rFonts w:ascii="ITC Avant Garde" w:hAnsi="ITC Avant Garde"/>
        </w:rPr>
        <w:t>,</w:t>
      </w:r>
      <w:r w:rsidRPr="002A2450">
        <w:rPr>
          <w:rFonts w:ascii="ITC Avant Garde" w:hAnsi="ITC Avant Garde"/>
        </w:rPr>
        <w:t xml:space="preserve"> un procedimiento sancionador que no derivó </w:t>
      </w:r>
      <w:r w:rsidR="001157B6" w:rsidRPr="002A2450">
        <w:rPr>
          <w:rFonts w:ascii="ITC Avant Garde" w:hAnsi="ITC Avant Garde"/>
        </w:rPr>
        <w:t xml:space="preserve">de una </w:t>
      </w:r>
      <w:r w:rsidRPr="002A2450">
        <w:rPr>
          <w:rFonts w:ascii="ITC Avant Garde" w:hAnsi="ITC Avant Garde"/>
        </w:rPr>
        <w:t xml:space="preserve">propuesta </w:t>
      </w:r>
      <w:r w:rsidR="001157B6" w:rsidRPr="002A2450">
        <w:rPr>
          <w:rFonts w:ascii="ITC Avant Garde" w:hAnsi="ITC Avant Garde"/>
        </w:rPr>
        <w:t xml:space="preserve">en concreto </w:t>
      </w:r>
      <w:r w:rsidRPr="002A2450">
        <w:rPr>
          <w:rFonts w:ascii="ITC Avant Garde" w:hAnsi="ITC Avant Garde"/>
        </w:rPr>
        <w:t xml:space="preserve">de la </w:t>
      </w:r>
      <w:r w:rsidR="00365BE1" w:rsidRPr="002A2450">
        <w:rPr>
          <w:rFonts w:ascii="ITC Avant Garde" w:hAnsi="ITC Avant Garde"/>
          <w:b/>
        </w:rPr>
        <w:t xml:space="preserve">“DGS” </w:t>
      </w:r>
      <w:r w:rsidR="001157B6" w:rsidRPr="002A2450">
        <w:rPr>
          <w:rFonts w:ascii="ITC Avant Garde" w:hAnsi="ITC Avant Garde"/>
        </w:rPr>
        <w:t>en ejercicio de sus facultades de comprobación</w:t>
      </w:r>
      <w:r w:rsidR="001157B6" w:rsidRPr="002A2450">
        <w:rPr>
          <w:rFonts w:ascii="ITC Avant Garde" w:hAnsi="ITC Avant Garde"/>
          <w:b/>
        </w:rPr>
        <w:t xml:space="preserve"> </w:t>
      </w:r>
      <w:r w:rsidRPr="002A2450">
        <w:rPr>
          <w:rFonts w:ascii="ITC Avant Garde" w:hAnsi="ITC Avant Garde"/>
        </w:rPr>
        <w:t>el mismo no puede considerarse como caduc</w:t>
      </w:r>
      <w:r w:rsidR="00182CE5" w:rsidRPr="002A2450">
        <w:rPr>
          <w:rFonts w:ascii="ITC Avant Garde" w:hAnsi="ITC Avant Garde"/>
        </w:rPr>
        <w:t>o</w:t>
      </w:r>
      <w:r w:rsidRPr="002A2450">
        <w:rPr>
          <w:rFonts w:ascii="ITC Avant Garde" w:hAnsi="ITC Avant Garde"/>
        </w:rPr>
        <w:t>, ya que el mismo</w:t>
      </w:r>
      <w:r w:rsidR="00FA02A6" w:rsidRPr="002A2450">
        <w:rPr>
          <w:rFonts w:ascii="ITC Avant Garde" w:hAnsi="ITC Avant Garde"/>
        </w:rPr>
        <w:t xml:space="preserve"> acuerdo de</w:t>
      </w:r>
      <w:r w:rsidRPr="002A2450">
        <w:rPr>
          <w:rFonts w:ascii="ITC Avant Garde" w:hAnsi="ITC Avant Garde"/>
        </w:rPr>
        <w:t xml:space="preserve"> inici</w:t>
      </w:r>
      <w:r w:rsidR="001157B6" w:rsidRPr="002A2450">
        <w:rPr>
          <w:rFonts w:ascii="ITC Avant Garde" w:hAnsi="ITC Avant Garde"/>
        </w:rPr>
        <w:t>o</w:t>
      </w:r>
      <w:r w:rsidRPr="002A2450">
        <w:rPr>
          <w:rFonts w:ascii="ITC Avant Garde" w:hAnsi="ITC Avant Garde"/>
        </w:rPr>
        <w:t xml:space="preserve"> definió la situación jurídica de </w:t>
      </w:r>
      <w:r w:rsidRPr="002A2450">
        <w:rPr>
          <w:rFonts w:ascii="ITC Avant Garde" w:hAnsi="ITC Avant Garde"/>
          <w:b/>
        </w:rPr>
        <w:t>“TELMEX”</w:t>
      </w:r>
      <w:r w:rsidRPr="002A2450">
        <w:rPr>
          <w:rFonts w:ascii="ITC Avant Garde" w:hAnsi="ITC Avant Garde"/>
        </w:rPr>
        <w:t xml:space="preserve"> otorgándole la posibilidad de una adecuada defensa</w:t>
      </w:r>
      <w:r w:rsidR="00EB1E45" w:rsidRPr="002A2450">
        <w:rPr>
          <w:rFonts w:ascii="ITC Avant Garde" w:hAnsi="ITC Avant Garde"/>
        </w:rPr>
        <w:t>,</w:t>
      </w:r>
      <w:r w:rsidRPr="002A2450">
        <w:rPr>
          <w:rFonts w:ascii="ITC Avant Garde" w:hAnsi="ITC Avant Garde"/>
        </w:rPr>
        <w:t xml:space="preserve"> por lo que en todo caso, el presente procedimiento se encuentra sujeto sólo a la prescripción a partir de que se tuvo conocimiento de los hechos materia del expediente en que se actúa, esto es, a partir de los requerimientos formulados por la </w:t>
      </w:r>
      <w:r w:rsidR="00365BE1" w:rsidRPr="002A2450">
        <w:rPr>
          <w:rFonts w:ascii="ITC Avant Garde" w:hAnsi="ITC Avant Garde"/>
          <w:b/>
        </w:rPr>
        <w:t xml:space="preserve">“DGS” </w:t>
      </w:r>
      <w:r w:rsidRPr="002A2450">
        <w:rPr>
          <w:rFonts w:ascii="ITC Avant Garde" w:hAnsi="ITC Avant Garde"/>
        </w:rPr>
        <w:t>en dos mil catorce.</w:t>
      </w:r>
    </w:p>
    <w:p w14:paraId="1E7BC660" w14:textId="77777777" w:rsidR="00B35F13" w:rsidRDefault="00C67C1D" w:rsidP="00B35F13">
      <w:pPr>
        <w:spacing w:before="240" w:line="360" w:lineRule="auto"/>
        <w:jc w:val="both"/>
        <w:rPr>
          <w:rFonts w:ascii="ITC Avant Garde" w:hAnsi="ITC Avant Garde"/>
          <w:b/>
        </w:rPr>
      </w:pPr>
      <w:r w:rsidRPr="002A2450">
        <w:rPr>
          <w:rFonts w:ascii="ITC Avant Garde" w:hAnsi="ITC Avant Garde"/>
        </w:rPr>
        <w:t>En ese sentido, no han prescrito</w:t>
      </w:r>
      <w:r w:rsidR="00D76D43" w:rsidRPr="002A2450">
        <w:rPr>
          <w:rFonts w:ascii="ITC Avant Garde" w:hAnsi="ITC Avant Garde"/>
        </w:rPr>
        <w:t xml:space="preserve"> ni caducado </w:t>
      </w:r>
      <w:r w:rsidRPr="002A2450">
        <w:rPr>
          <w:rFonts w:ascii="ITC Avant Garde" w:hAnsi="ITC Avant Garde"/>
        </w:rPr>
        <w:t xml:space="preserve">las facultades de esta autoridad para la posible imposición de una sanción en contra de </w:t>
      </w:r>
      <w:r w:rsidRPr="002A2450">
        <w:rPr>
          <w:rFonts w:ascii="ITC Avant Garde" w:hAnsi="ITC Avant Garde"/>
          <w:b/>
        </w:rPr>
        <w:t>“TELMEX”</w:t>
      </w:r>
      <w:r w:rsidRPr="002A2450">
        <w:rPr>
          <w:rFonts w:ascii="ITC Avant Garde" w:hAnsi="ITC Avant Garde"/>
        </w:rPr>
        <w:t xml:space="preserve"> por el presunto incumplimiento a</w:t>
      </w:r>
      <w:r w:rsidR="001157B6" w:rsidRPr="002A2450">
        <w:rPr>
          <w:rFonts w:ascii="ITC Avant Garde" w:hAnsi="ITC Avant Garde"/>
        </w:rPr>
        <w:t xml:space="preserve">l </w:t>
      </w:r>
      <w:r w:rsidR="00841FB0" w:rsidRPr="009E34A4">
        <w:rPr>
          <w:rFonts w:ascii="ITC Avant Garde" w:hAnsi="ITC Avant Garde"/>
          <w:b/>
        </w:rPr>
        <w:t>Tercer Párrafo</w:t>
      </w:r>
      <w:r w:rsidR="001157B6" w:rsidRPr="002A2450">
        <w:rPr>
          <w:rFonts w:ascii="ITC Avant Garde" w:hAnsi="ITC Avant Garde"/>
        </w:rPr>
        <w:t xml:space="preserve"> de</w:t>
      </w:r>
      <w:r w:rsidRPr="002A2450">
        <w:rPr>
          <w:rFonts w:ascii="ITC Avant Garde" w:hAnsi="ITC Avant Garde"/>
        </w:rPr>
        <w:t xml:space="preserve"> la condición 1-9 de su </w:t>
      </w:r>
      <w:r w:rsidR="00BD1D1D" w:rsidRPr="002A2450">
        <w:rPr>
          <w:rFonts w:ascii="ITC Avant Garde" w:hAnsi="ITC Avant Garde"/>
          <w:b/>
        </w:rPr>
        <w:t>“TÍTULO</w:t>
      </w:r>
      <w:r w:rsidRPr="002A2450">
        <w:rPr>
          <w:rFonts w:ascii="ITC Avant Garde" w:hAnsi="ITC Avant Garde"/>
          <w:b/>
        </w:rPr>
        <w:t xml:space="preserve"> DE CONCESIÓN</w:t>
      </w:r>
      <w:r w:rsidR="00365BE1" w:rsidRPr="002A2450">
        <w:rPr>
          <w:rFonts w:ascii="ITC Avant Garde" w:hAnsi="ITC Avant Garde"/>
          <w:b/>
        </w:rPr>
        <w:t>”</w:t>
      </w:r>
      <w:r w:rsidRPr="002A2450">
        <w:rPr>
          <w:rFonts w:ascii="ITC Avant Garde" w:hAnsi="ITC Avant Garde"/>
          <w:b/>
        </w:rPr>
        <w:t>.</w:t>
      </w:r>
    </w:p>
    <w:p w14:paraId="08714A3E" w14:textId="77777777" w:rsidR="00B35F13" w:rsidRDefault="00C67C1D" w:rsidP="00B35F13">
      <w:pPr>
        <w:spacing w:before="240" w:line="360" w:lineRule="auto"/>
        <w:jc w:val="both"/>
        <w:rPr>
          <w:rFonts w:ascii="ITC Avant Garde" w:hAnsi="ITC Avant Garde"/>
        </w:rPr>
      </w:pPr>
      <w:r w:rsidRPr="002A2450">
        <w:rPr>
          <w:rFonts w:ascii="ITC Avant Garde" w:hAnsi="ITC Avant Garde"/>
        </w:rPr>
        <w:t>Sirve de aplicación la siguiente tesis:</w:t>
      </w:r>
    </w:p>
    <w:p w14:paraId="326F995C" w14:textId="77777777" w:rsidR="00B35F13" w:rsidRDefault="00C67C1D" w:rsidP="00B35F13">
      <w:pPr>
        <w:spacing w:before="240" w:line="360" w:lineRule="auto"/>
        <w:ind w:left="567" w:right="567"/>
        <w:jc w:val="both"/>
        <w:rPr>
          <w:rFonts w:ascii="ITC Avant Garde" w:hAnsi="ITC Avant Garde"/>
        </w:rPr>
      </w:pPr>
      <w:r w:rsidRPr="002A2450">
        <w:rPr>
          <w:rFonts w:ascii="ITC Avant Garde" w:hAnsi="ITC Avant Garde"/>
          <w:b/>
        </w:rPr>
        <w:t>CADUCIDAD Y PRESCRIPCIÓN. SUS DIFERENCIAS EN LOS PROCEDIMIENTOS ADMINISTRATIVO (INICIADO DE OFICIO) Y SANCIONADOR, PREVISTOS EN LA LEY FEDERAL DE PROCEDIMIENTO ADMINISTRATIVO.</w:t>
      </w:r>
      <w:r w:rsidRPr="002A2450">
        <w:rPr>
          <w:rFonts w:ascii="ITC Avant Garde" w:hAnsi="ITC Avant Garde"/>
        </w:rPr>
        <w:t xml:space="preserve"> De la ejecutoria que originó las tesis 1a. CLXI/2006 y 1a. CLXII/2006, publicadas en el Semanario Judicial de la Federación y su Gaceta, Novena Época, Tomo XXIV, octubre de 2006, página 275, de rubros: "CADUCIDAD DE FACULTADES DE LAS AUTORIDADES DENTRO DEL PROCEDIMIENTO ADMINISTRATIVO. EL ARTÍCULO 60, PÁRRAFO SEGUNDO, DE LA LEY FEDERAL DE LA MATERIA NO TRANSGREDE LA GARANTÍA DE SEGURIDAD JURÍDICA." y "CADUCIDAD DE FACULTADES DE LAS AUTORIDADES DENTRO DEL PROCEDIMIENTO ADMINISTRATIVO. EL </w:t>
      </w:r>
      <w:r w:rsidRPr="002A2450">
        <w:rPr>
          <w:rFonts w:ascii="ITC Avant Garde" w:hAnsi="ITC Avant Garde"/>
        </w:rPr>
        <w:lastRenderedPageBreak/>
        <w:t xml:space="preserve">ARTÍCULO 60, PÁRRAFO SEGUNDO, DE LA LEY FEDERAL DE LA MATERIA, AL PERMITIR QUE ÉSTAS REINICIEN UN NUEVO PROCEDIMIENTO RESPECTO DE UN ACTO POR EL CUAL SE DECRETÓ AQUÉLLA, NO CONTRAVIENE EL PRINCIPIO NON BIS IN IDEM.", respectivamente, se advierten las diferencias que existen entre la caducidad y prescripción, concretamente, que la primera trasciende al procedimiento administrativo, al nulificar la instancia por la inactividad procesal, sin afectar las pretensiones de fondo de las partes, mientras que la segunda se refiere a la pérdida de facultades de la autoridad para resolver las cuestiones relacionadas con el fondo del asunto, tomando en cuenta que su finalidad es la consolidación de las situaciones jurídicas por el transcurso del tiempo. Lo anterior permite distinguir dos procedimientos en la Ley Federal de Procedimiento Administrativo, uno regulado en su título tercero "Del procedimiento administrativo" (concretamente los artículos 14, 57 y 60) y otro sancionador, previsto en su título cuarto "De las infracciones y sanciones administrativas" (artículos 70 a 80). Por tanto, los procedimientos administrativos iniciados de oficio caducarán y se procederá al archivo de las actuaciones, a solicitud de parte interesada o de oficio, en el plazo de treinta días, contado a partir de la expiración del lapso para dictar resolución, mientras que en los sancionadores, la facultad de la autoridad para imponer sanciones administrativas prescribe en cinco años. De lo que se sigue, por un lado, que si en los procedimientos administrativos iniciados de oficio no se emite la resolución dentro de los plazos previstos para ello, el procedimiento se entenderá caduco y, por el otro, que si la autoridad no impone sanciones dentro del plazo de cinco años a partir de la conducta infractora, prescribirán sus facultades para sancionarla. En este contexto, el cómputo del plazo de treinta días para que opere la caducidad, inicia a partir de que expira el lapso para dictar resolución, mientras que el de </w:t>
      </w:r>
      <w:r w:rsidRPr="002A2450">
        <w:rPr>
          <w:rFonts w:ascii="ITC Avant Garde" w:hAnsi="ITC Avant Garde"/>
        </w:rPr>
        <w:lastRenderedPageBreak/>
        <w:t>cinco años para que se actualice la prescripción, corre a partir de que se realiza la conducta infractora.</w:t>
      </w:r>
    </w:p>
    <w:p w14:paraId="0B5F4177" w14:textId="77777777" w:rsidR="00B35F13" w:rsidRDefault="00C67C1D"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2006049, Instancia: Tribunales Colegiados de Circuito, Tipo de Tesis: Aislada, Fuente: Gaceta del Semanario Judicial de la Federación, Libro 4, Marzo de 2014, Tomo II, Materia(s): Administrativa, Tesis: I.13o.A.6 A (10a.), Página: 1626.</w:t>
      </w:r>
    </w:p>
    <w:p w14:paraId="3E27D790" w14:textId="77777777" w:rsidR="00B35F13" w:rsidRDefault="00C67C1D"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28 de marzo de 2014 a las 10:03 horas en el Semanario Judicial de la Federación.</w:t>
      </w:r>
    </w:p>
    <w:p w14:paraId="32B7B12B" w14:textId="77777777" w:rsidR="00B35F13" w:rsidRDefault="00C67C1D" w:rsidP="00B35F13">
      <w:pPr>
        <w:spacing w:before="240" w:line="360" w:lineRule="auto"/>
        <w:jc w:val="both"/>
        <w:rPr>
          <w:rFonts w:ascii="ITC Avant Garde" w:hAnsi="ITC Avant Garde"/>
        </w:rPr>
      </w:pPr>
      <w:r w:rsidRPr="002A2450">
        <w:rPr>
          <w:rFonts w:ascii="ITC Avant Garde" w:hAnsi="ITC Avant Garde"/>
        </w:rPr>
        <w:t xml:space="preserve">Así las cosas, se estima que los argumentos señalados por </w:t>
      </w:r>
      <w:r w:rsidRPr="002A2450">
        <w:rPr>
          <w:rFonts w:ascii="ITC Avant Garde" w:hAnsi="ITC Avant Garde"/>
          <w:b/>
        </w:rPr>
        <w:t>“TELMEX”</w:t>
      </w:r>
      <w:r w:rsidRPr="002A2450">
        <w:rPr>
          <w:rFonts w:ascii="ITC Avant Garde" w:hAnsi="ITC Avant Garde"/>
        </w:rPr>
        <w:t xml:space="preserve"> respecto de la caducidad del presente procedimiento resultan </w:t>
      </w:r>
      <w:r w:rsidRPr="002A2450">
        <w:rPr>
          <w:rFonts w:ascii="ITC Avant Garde" w:hAnsi="ITC Avant Garde"/>
          <w:b/>
          <w:u w:val="single"/>
        </w:rPr>
        <w:t>infundados</w:t>
      </w:r>
      <w:r w:rsidRPr="002A2450">
        <w:rPr>
          <w:rFonts w:ascii="ITC Avant Garde" w:hAnsi="ITC Avant Garde"/>
        </w:rPr>
        <w:t xml:space="preserve"> en términos de lo señalado en el presente apartado.</w:t>
      </w:r>
    </w:p>
    <w:p w14:paraId="4CB6BDB6" w14:textId="77777777" w:rsidR="00B35F13" w:rsidRPr="00CE1EA8" w:rsidRDefault="00C15F58" w:rsidP="007E623E">
      <w:pPr>
        <w:pStyle w:val="Ttulo4"/>
        <w:numPr>
          <w:ilvl w:val="0"/>
          <w:numId w:val="65"/>
        </w:numPr>
        <w:ind w:left="284" w:hanging="284"/>
        <w:rPr>
          <w:b/>
        </w:rPr>
      </w:pPr>
      <w:r w:rsidRPr="00CE1EA8">
        <w:rPr>
          <w:b/>
        </w:rPr>
        <w:t>DEL BENEFICIO</w:t>
      </w:r>
    </w:p>
    <w:p w14:paraId="1705DDCC" w14:textId="77777777" w:rsidR="00B35F13" w:rsidRDefault="002E2FAB"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hAnsi="ITC Avant Garde"/>
        </w:rPr>
        <w:t xml:space="preserve">Continua manifestando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tres y cuatro)</w:t>
      </w:r>
      <w:r w:rsidRPr="002A2450">
        <w:rPr>
          <w:rFonts w:ascii="ITC Avant Garde" w:eastAsia="Times New Roman" w:hAnsi="ITC Avant Garde"/>
          <w:bCs/>
          <w:color w:val="000000"/>
          <w:lang w:eastAsia="es-MX"/>
        </w:rPr>
        <w:t>:</w:t>
      </w:r>
      <w:r w:rsidR="00A9769E" w:rsidRPr="002A2450">
        <w:rPr>
          <w:rFonts w:ascii="ITC Avant Garde" w:eastAsia="Times New Roman" w:hAnsi="ITC Avant Garde"/>
          <w:bCs/>
          <w:color w:val="000000"/>
          <w:lang w:eastAsia="es-MX"/>
        </w:rPr>
        <w:t xml:space="preserve"> </w:t>
      </w:r>
    </w:p>
    <w:p w14:paraId="329D4DFE" w14:textId="77777777" w:rsidR="00B35F13" w:rsidRDefault="002E2FA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El procedimiento iniciado por la Unidad de Cumplimiento deviene ilegal pues, por anticipado, tipifica una conducta a mi cargo por el incumplimiento a lo dispuesto en la condición 1-9 de su Título de Concesión.</w:t>
      </w:r>
    </w:p>
    <w:p w14:paraId="593A1429" w14:textId="77777777" w:rsidR="00B35F13" w:rsidRDefault="002E2FA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Es ilegal ya que se afirma la existencia de esa conducta sin haber probado o demostrado en qué forma mi representada se ha “beneficiado” o se está beneficiando de las conductas que se le imputan y </w:t>
      </w:r>
      <w:r w:rsidRPr="002A2450">
        <w:rPr>
          <w:rFonts w:ascii="ITC Avant Garde" w:hAnsi="ITC Avant Garde"/>
          <w:b/>
          <w:i/>
          <w:u w:val="single"/>
        </w:rPr>
        <w:t>sin haberle otorgado derecho de audiencia</w:t>
      </w:r>
      <w:r w:rsidRPr="002A2450">
        <w:rPr>
          <w:rFonts w:ascii="ITC Avant Garde" w:hAnsi="ITC Avant Garde"/>
          <w:i/>
        </w:rPr>
        <w:t xml:space="preserve">. </w:t>
      </w:r>
    </w:p>
    <w:p w14:paraId="1FECE347" w14:textId="77777777" w:rsidR="00B35F13" w:rsidRDefault="002E2FA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Se niega lisa y llanamente haberse beneficiado de las conductas que se le imputan así como haber obtenido ingreso alguno.</w:t>
      </w:r>
    </w:p>
    <w:p w14:paraId="3FAB89B7" w14:textId="77777777" w:rsidR="00B35F13" w:rsidRDefault="002E2FAB" w:rsidP="00B35F13">
      <w:pPr>
        <w:spacing w:before="240" w:line="360" w:lineRule="auto"/>
        <w:jc w:val="both"/>
        <w:rPr>
          <w:rFonts w:ascii="ITC Avant Garde" w:hAnsi="ITC Avant Garde"/>
        </w:rPr>
      </w:pPr>
      <w:r w:rsidRPr="002A2450">
        <w:rPr>
          <w:rFonts w:ascii="ITC Avant Garde" w:hAnsi="ITC Avant Garde"/>
        </w:rPr>
        <w:t xml:space="preserve">Al respecto, debe señalarse que sus argumentos resultan </w:t>
      </w:r>
      <w:r w:rsidR="00795EFC" w:rsidRPr="002A2450">
        <w:rPr>
          <w:rFonts w:ascii="ITC Avant Garde" w:hAnsi="ITC Avant Garde"/>
          <w:b/>
        </w:rPr>
        <w:t xml:space="preserve">parcialmente </w:t>
      </w:r>
      <w:r w:rsidRPr="002A2450">
        <w:rPr>
          <w:rFonts w:ascii="ITC Avant Garde" w:hAnsi="ITC Avant Garde"/>
          <w:b/>
          <w:u w:val="single"/>
        </w:rPr>
        <w:t>fundados</w:t>
      </w:r>
      <w:r w:rsidRPr="002A2450">
        <w:rPr>
          <w:rFonts w:ascii="ITC Avant Garde" w:hAnsi="ITC Avant Garde"/>
        </w:rPr>
        <w:t xml:space="preserve"> </w:t>
      </w:r>
      <w:r w:rsidR="004E4D17" w:rsidRPr="002A2450">
        <w:rPr>
          <w:rFonts w:ascii="ITC Avant Garde" w:hAnsi="ITC Avant Garde"/>
          <w:b/>
        </w:rPr>
        <w:t>pero inoperante</w:t>
      </w:r>
      <w:r w:rsidR="004E0FC3" w:rsidRPr="002A2450">
        <w:rPr>
          <w:rFonts w:ascii="ITC Avant Garde" w:hAnsi="ITC Avant Garde"/>
          <w:b/>
        </w:rPr>
        <w:t>s</w:t>
      </w:r>
      <w:r w:rsidR="004E4D17" w:rsidRPr="002A2450">
        <w:rPr>
          <w:rFonts w:ascii="ITC Avant Garde" w:hAnsi="ITC Avant Garde"/>
          <w:b/>
        </w:rPr>
        <w:t xml:space="preserve"> </w:t>
      </w:r>
      <w:r w:rsidRPr="002A2450">
        <w:rPr>
          <w:rFonts w:ascii="ITC Avant Garde" w:hAnsi="ITC Avant Garde"/>
        </w:rPr>
        <w:t>en atención a las siguientes consideraciones:</w:t>
      </w:r>
    </w:p>
    <w:p w14:paraId="4BA19E15" w14:textId="77777777" w:rsidR="00B35F13" w:rsidRDefault="002E2FAB" w:rsidP="00B35F13">
      <w:pPr>
        <w:spacing w:before="240" w:line="360" w:lineRule="auto"/>
        <w:jc w:val="both"/>
        <w:rPr>
          <w:rFonts w:ascii="ITC Avant Garde" w:hAnsi="ITC Avant Garde"/>
        </w:rPr>
      </w:pPr>
      <w:r w:rsidRPr="002A2450">
        <w:rPr>
          <w:rFonts w:ascii="ITC Avant Garde" w:hAnsi="ITC Avant Garde"/>
        </w:rPr>
        <w:lastRenderedPageBreak/>
        <w:t xml:space="preserve">Se ha señalado a lo largo del apartado correspondiente a la caducidad que el acuerdo de inicio del procedimiento administrativo de imposición de sanción, es </w:t>
      </w:r>
      <w:r w:rsidR="001157B6" w:rsidRPr="002A2450">
        <w:rPr>
          <w:rFonts w:ascii="ITC Avant Garde" w:hAnsi="ITC Avant Garde"/>
        </w:rPr>
        <w:t xml:space="preserve">el acto a través del cual la autoridad determina la situación jurídica del presunto infractor ya que hace de su conocimiento que derivado del análisis de las constancias que obran en el expediente respectivo, existe la presunción de que dicha empresa se encuentra llevando a cabo una conducta contraria a las condiciones de su título de concesión y se le otorga la posibilidad de una adecuada defensa para desvirtuar las imputaciones que hasta ese momento se encuentran a nivel presuntivo. </w:t>
      </w:r>
    </w:p>
    <w:p w14:paraId="654DBE86" w14:textId="77777777" w:rsidR="00B35F13" w:rsidRDefault="002E2FAB" w:rsidP="00B35F13">
      <w:pPr>
        <w:spacing w:before="240" w:line="360" w:lineRule="auto"/>
        <w:jc w:val="both"/>
        <w:rPr>
          <w:rFonts w:ascii="ITC Avant Garde" w:hAnsi="ITC Avant Garde"/>
        </w:rPr>
      </w:pPr>
      <w:r w:rsidRPr="002A2450">
        <w:rPr>
          <w:rFonts w:ascii="ITC Avant Garde" w:hAnsi="ITC Avant Garde"/>
        </w:rPr>
        <w:t>Aclarado lo anterior, es indudable que el acuerdo de inicio del procedimiento administrativo de imposición de sanción que nos ocupa,</w:t>
      </w:r>
      <w:r w:rsidR="00B8552D" w:rsidRPr="002A2450">
        <w:rPr>
          <w:rFonts w:ascii="ITC Avant Garde" w:hAnsi="ITC Avant Garde"/>
        </w:rPr>
        <w:t xml:space="preserve"> constituye un acto que puede tener como resultado la imposición de sanción, esto es, un acto privativo, el cual de acuerdo a lo resuelto por los Tribunales Especializados en la materia, debe satisfacerse el debido proceso legal, con amplias y suficientes posibilidades de defensa.</w:t>
      </w:r>
    </w:p>
    <w:p w14:paraId="0BE6568B" w14:textId="77777777" w:rsidR="00B35F13" w:rsidRDefault="00B8552D" w:rsidP="00B35F13">
      <w:pPr>
        <w:spacing w:before="240" w:line="360" w:lineRule="auto"/>
        <w:jc w:val="both"/>
        <w:rPr>
          <w:rFonts w:ascii="ITC Avant Garde" w:hAnsi="ITC Avant Garde"/>
        </w:rPr>
      </w:pPr>
      <w:r w:rsidRPr="002A2450">
        <w:rPr>
          <w:rFonts w:ascii="ITC Avant Garde" w:hAnsi="ITC Avant Garde"/>
        </w:rPr>
        <w:t xml:space="preserve">Lo anterior, en términos de la tesis de rubro: </w:t>
      </w:r>
      <w:r w:rsidRPr="002A2450">
        <w:rPr>
          <w:rFonts w:ascii="ITC Avant Garde" w:hAnsi="ITC Avant Garde"/>
          <w:i/>
        </w:rPr>
        <w:t>“</w:t>
      </w:r>
      <w:r w:rsidRPr="002A2450">
        <w:rPr>
          <w:rFonts w:ascii="ITC Avant Garde" w:hAnsi="ITC Avant Garde"/>
          <w:b/>
          <w:i/>
        </w:rPr>
        <w:t>ACTOS TERMINALES EN PROCEDIMIENTOS ADMINISTRATIVOS. DEBEN DISTINGUIRSE ENTRE LOS DE MOLESTIA Y LOS PRIVATIVOS, A FIN DE CONSEGUIR, PRIORITARIAMENTE, LA DEFENSA DE LOS PROBABLES AFECTADOS.”</w:t>
      </w:r>
      <w:r w:rsidRPr="002A2450">
        <w:rPr>
          <w:rFonts w:ascii="ITC Avant Garde" w:hAnsi="ITC Avant Garde"/>
          <w:b/>
        </w:rPr>
        <w:t>,</w:t>
      </w:r>
      <w:r w:rsidR="008F718E" w:rsidRPr="009E34A4">
        <w:rPr>
          <w:rFonts w:ascii="ITC Avant Garde" w:hAnsi="ITC Avant Garde"/>
          <w:b/>
          <w:color w:val="C00000"/>
        </w:rPr>
        <w:t xml:space="preserve"> </w:t>
      </w:r>
      <w:r w:rsidRPr="002A2450">
        <w:rPr>
          <w:rFonts w:ascii="ITC Avant Garde" w:hAnsi="ITC Avant Garde"/>
        </w:rPr>
        <w:t>la cual en obvio de repeticiones innecesarias se tiene por transcrita para todos los efectos legales a que haya lugar.</w:t>
      </w:r>
    </w:p>
    <w:p w14:paraId="7EB93F06" w14:textId="77777777" w:rsidR="00B35F13" w:rsidRDefault="00B8552D" w:rsidP="00B35F13">
      <w:pPr>
        <w:spacing w:before="240" w:line="360" w:lineRule="auto"/>
        <w:jc w:val="both"/>
        <w:rPr>
          <w:rFonts w:ascii="ITC Avant Garde" w:hAnsi="ITC Avant Garde"/>
        </w:rPr>
      </w:pPr>
      <w:r w:rsidRPr="002A2450">
        <w:rPr>
          <w:rFonts w:ascii="ITC Avant Garde" w:hAnsi="ITC Avant Garde"/>
        </w:rPr>
        <w:t xml:space="preserve">En ese sentido, el acuerdo de inicio de procedimiento administrativo de imposición de sanción, de ninguna manera da por </w:t>
      </w:r>
      <w:r w:rsidR="001157B6" w:rsidRPr="002A2450">
        <w:rPr>
          <w:rFonts w:ascii="ITC Avant Garde" w:hAnsi="ITC Avant Garde"/>
        </w:rPr>
        <w:t xml:space="preserve">hecho </w:t>
      </w:r>
      <w:r w:rsidRPr="002A2450">
        <w:rPr>
          <w:rFonts w:ascii="ITC Avant Garde" w:hAnsi="ITC Avant Garde"/>
          <w:i/>
        </w:rPr>
        <w:t>ex ante</w:t>
      </w:r>
      <w:r w:rsidRPr="002A2450">
        <w:rPr>
          <w:rFonts w:ascii="ITC Avant Garde" w:hAnsi="ITC Avant Garde"/>
        </w:rPr>
        <w:t xml:space="preserve">, que la conducta que se presume </w:t>
      </w:r>
      <w:r w:rsidR="001157B6" w:rsidRPr="002A2450">
        <w:rPr>
          <w:rFonts w:ascii="ITC Avant Garde" w:hAnsi="ITC Avant Garde"/>
        </w:rPr>
        <w:t xml:space="preserve">incumplida por parte de </w:t>
      </w:r>
      <w:r w:rsidRPr="002A2450">
        <w:rPr>
          <w:rFonts w:ascii="ITC Avant Garde" w:hAnsi="ITC Avant Garde"/>
          <w:b/>
        </w:rPr>
        <w:t>“TELMEX”</w:t>
      </w:r>
      <w:r w:rsidRPr="002A2450">
        <w:rPr>
          <w:rFonts w:ascii="ITC Avant Garde" w:hAnsi="ITC Avant Garde"/>
        </w:rPr>
        <w:t xml:space="preserve"> se haya tipificado previamente.</w:t>
      </w:r>
    </w:p>
    <w:p w14:paraId="4283CEE2" w14:textId="77777777" w:rsidR="00B35F13" w:rsidRDefault="00B8552D" w:rsidP="00B35F13">
      <w:pPr>
        <w:spacing w:before="240" w:line="360" w:lineRule="auto"/>
        <w:jc w:val="both"/>
        <w:rPr>
          <w:rFonts w:ascii="ITC Avant Garde" w:hAnsi="ITC Avant Garde"/>
        </w:rPr>
      </w:pPr>
      <w:r w:rsidRPr="002A2450">
        <w:rPr>
          <w:rFonts w:ascii="ITC Avant Garde" w:hAnsi="ITC Avant Garde"/>
        </w:rPr>
        <w:t xml:space="preserve">Al respecto, es importante mencionar que el acuerdo de inicio de procedimiento de imposición de sanción, sólo </w:t>
      </w:r>
      <w:r w:rsidR="001157B6" w:rsidRPr="002A2450">
        <w:rPr>
          <w:rFonts w:ascii="ITC Avant Garde" w:hAnsi="ITC Avant Garde"/>
        </w:rPr>
        <w:t xml:space="preserve">establece </w:t>
      </w:r>
      <w:r w:rsidRPr="002A2450">
        <w:rPr>
          <w:rFonts w:ascii="ITC Avant Garde" w:hAnsi="ITC Avant Garde"/>
        </w:rPr>
        <w:t>el grado de presunción de la conducta que se le atribuye incumplida.</w:t>
      </w:r>
    </w:p>
    <w:p w14:paraId="26647706" w14:textId="77777777" w:rsidR="00B35F13" w:rsidRDefault="00B8552D" w:rsidP="00B35F13">
      <w:pPr>
        <w:spacing w:before="240" w:line="360" w:lineRule="auto"/>
        <w:jc w:val="both"/>
        <w:rPr>
          <w:rFonts w:ascii="ITC Avant Garde" w:hAnsi="ITC Avant Garde"/>
        </w:rPr>
      </w:pPr>
      <w:r w:rsidRPr="002A2450">
        <w:rPr>
          <w:rFonts w:ascii="ITC Avant Garde" w:hAnsi="ITC Avant Garde"/>
        </w:rPr>
        <w:lastRenderedPageBreak/>
        <w:t xml:space="preserve">En tales consideraciones, </w:t>
      </w:r>
      <w:r w:rsidR="00BA52D8" w:rsidRPr="002A2450">
        <w:rPr>
          <w:rFonts w:ascii="ITC Avant Garde" w:hAnsi="ITC Avant Garde"/>
        </w:rPr>
        <w:t>el citado acuerdo no constituye una resolución final, sino que por el contrario, determina el inicio de un procedimiento seguido en forma de juicio, en dónde el presunto responsable se encuentra en la posibilidad de satisfacer su derecho de audiencia realizando las manifestaciones y aportando las pruebas con las que cuenta para poder desvirtuar la conducta que se le imputa.</w:t>
      </w:r>
    </w:p>
    <w:p w14:paraId="1190F447" w14:textId="77777777" w:rsidR="00B35F13" w:rsidRDefault="00BA52D8" w:rsidP="00B35F13">
      <w:pPr>
        <w:spacing w:before="240" w:line="360" w:lineRule="auto"/>
        <w:jc w:val="both"/>
        <w:rPr>
          <w:rFonts w:ascii="ITC Avant Garde" w:hAnsi="ITC Avant Garde"/>
        </w:rPr>
      </w:pPr>
      <w:r w:rsidRPr="002A2450">
        <w:rPr>
          <w:rFonts w:ascii="ITC Avant Garde" w:hAnsi="ITC Avant Garde"/>
        </w:rPr>
        <w:t xml:space="preserve">Los elementos destacados que se han señalado, esto es, la presunta responsabilidad y el debido proceso, han sido materia de pronunciamiento por parte de los Tribunales Colegiados, quien han considerado que la presunción es un grado superior al indicio, así como que, el procedimiento administrativo </w:t>
      </w:r>
      <w:r w:rsidR="001C62B3" w:rsidRPr="002A2450">
        <w:rPr>
          <w:rFonts w:ascii="ITC Avant Garde" w:hAnsi="ITC Avant Garde"/>
        </w:rPr>
        <w:t>debe observarse desde su naturaleza, contenido y alcance para definir si nos encontramos ante un acto terminal o no.</w:t>
      </w:r>
    </w:p>
    <w:p w14:paraId="46E1FB8C" w14:textId="77777777" w:rsidR="00B35F13" w:rsidRDefault="001C62B3" w:rsidP="00B35F13">
      <w:pPr>
        <w:spacing w:before="240" w:line="360" w:lineRule="auto"/>
        <w:jc w:val="both"/>
        <w:rPr>
          <w:rFonts w:ascii="ITC Avant Garde" w:hAnsi="ITC Avant Garde"/>
        </w:rPr>
      </w:pPr>
      <w:r w:rsidRPr="002A2450">
        <w:rPr>
          <w:rFonts w:ascii="ITC Avant Garde" w:hAnsi="ITC Avant Garde"/>
        </w:rPr>
        <w:t>Al respecto, los criterios aludidos encuentran sustento en la siguiente jurisprudencia y tesis que a su letra señalan:</w:t>
      </w:r>
    </w:p>
    <w:p w14:paraId="3C2E639E" w14:textId="77777777" w:rsidR="00B35F13" w:rsidRDefault="00BA52D8" w:rsidP="00B35F13">
      <w:pPr>
        <w:spacing w:before="240" w:line="360" w:lineRule="auto"/>
        <w:ind w:left="567" w:right="567"/>
        <w:jc w:val="both"/>
        <w:rPr>
          <w:rFonts w:ascii="ITC Avant Garde" w:hAnsi="ITC Avant Garde"/>
        </w:rPr>
      </w:pPr>
      <w:r w:rsidRPr="002A2450">
        <w:rPr>
          <w:rFonts w:ascii="ITC Avant Garde" w:hAnsi="ITC Avant Garde"/>
          <w:b/>
        </w:rPr>
        <w:t>PROCEDIMIENTO ADMINISTRATIVO. LA NATURALEZA, CONTENIDO Y ALCANCE DEL ACTO TERMINAL SON LOS ELEMENTOS DETERMINANTES PARA DEFINIR SU ESTRUCTURA.</w:t>
      </w:r>
      <w:r w:rsidR="001C62B3" w:rsidRPr="002A2450">
        <w:rPr>
          <w:rFonts w:ascii="ITC Avant Garde" w:hAnsi="ITC Avant Garde"/>
        </w:rPr>
        <w:t xml:space="preserve"> </w:t>
      </w:r>
      <w:r w:rsidRPr="002A2450">
        <w:rPr>
          <w:rFonts w:ascii="ITC Avant Garde" w:hAnsi="ITC Avant Garde"/>
        </w:rPr>
        <w:t>Los procedimientos administrativos se integran por una cadena de actos de distinto alcance y contenido, como: a) un presupuesto; b) un acto inicial; c) uno o varios actos de trámite; y, d) el acto terminal, que contiene la voluntad final de la administración. En consecuencia, la naturaleza y contenido de este último distinguen su trascendencia, lo cual es determinante para definir cómo debe conformarse o estructurarse el procedimiento, de manera que permita conseguir eficiencias pero, prioritariamente, la defensa de los probables afectados.</w:t>
      </w:r>
    </w:p>
    <w:p w14:paraId="3C8682C2" w14:textId="77777777" w:rsidR="00B35F13" w:rsidRDefault="001C62B3"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2011345, Instancia: Tribunales Colegiados de Circuito, Tipo de Tesis: Jurisprudencia, Fuente: Gaceta del Semanario Judicial de la Federación, Libro 29, Abril de 2016, Tomo III, Materia(s): Constitucional, Administrativa, Tesis: I.1o.A.E. J/2 (10a.), Página: 1904 </w:t>
      </w:r>
    </w:p>
    <w:p w14:paraId="05CC0DC3" w14:textId="77777777" w:rsidR="00B35F13" w:rsidRDefault="00BA52D8" w:rsidP="00B35F13">
      <w:pPr>
        <w:spacing w:before="240" w:line="360" w:lineRule="auto"/>
        <w:ind w:left="567" w:right="567"/>
        <w:jc w:val="both"/>
        <w:rPr>
          <w:rFonts w:ascii="ITC Avant Garde" w:hAnsi="ITC Avant Garde"/>
        </w:rPr>
      </w:pPr>
      <w:r w:rsidRPr="002A2450">
        <w:rPr>
          <w:rFonts w:ascii="ITC Avant Garde" w:hAnsi="ITC Avant Garde"/>
          <w:sz w:val="18"/>
        </w:rPr>
        <w:lastRenderedPageBreak/>
        <w:t>Esta tesis se publicó el viernes 01 de abril de 2016 a las 10:01 horas en el Semanario Judicial de la Federación y, por ende, se considera de aplicación obligatoria a partir del lunes 04 de abril de 2016, para los efectos previstos en el punto séptimo del Acuerdo General Plenario 19/2013.</w:t>
      </w:r>
    </w:p>
    <w:p w14:paraId="19AEF4A4" w14:textId="77777777" w:rsidR="00B35F13" w:rsidRDefault="001C62B3" w:rsidP="00B35F13">
      <w:pPr>
        <w:spacing w:before="240" w:line="360" w:lineRule="auto"/>
        <w:ind w:left="567" w:right="567"/>
        <w:jc w:val="both"/>
        <w:rPr>
          <w:rFonts w:ascii="ITC Avant Garde" w:hAnsi="ITC Avant Garde"/>
        </w:rPr>
      </w:pPr>
      <w:r w:rsidRPr="002A2450">
        <w:rPr>
          <w:rFonts w:ascii="ITC Avant Garde" w:hAnsi="ITC Avant Garde"/>
          <w:b/>
        </w:rPr>
        <w:t>COMISIÓN FEDERAL DE COMPETENCIA. EL OFICIO DE PRESUNTA RESPONSABILIDAD DICTADO EN EL PROCEDIMIENTO DE INVESTIGACIÓN DE PRÁCTICAS MONOPÓLICAS, POR REGLA GENERAL, NO ES UN ACTO QUE CAUSE UN AGRAVIO NO REPARABLE PARA LOS EFECTOS DE LA PROCEDENCIA DEL JUICIO DE AMPARO.</w:t>
      </w:r>
      <w:r w:rsidRPr="002A2450">
        <w:rPr>
          <w:rFonts w:ascii="ITC Avant Garde" w:hAnsi="ITC Avant Garde"/>
        </w:rPr>
        <w:t xml:space="preserve"> El artículo 107, fracción IV, de la Constitución Política de los Estados Unidos Mexicanos dispone que procederá el juicio de amparo en materia administrativa contra resoluciones que causen agravio no reparable mediante algún recurso, juicio o medio de defensa legal; jurisprudencialmente se ha determinado que hay ejecución irreparable cuando se afecta un derecho sustantivo que no sea capaz de ser restituido al dictarse la resolución final, es decir, que se afecten derechos sustantivos del gobernado. Por otra parte, el oficio de presunta responsabilidad a que alude el artículo 30 del Reglamento de la Ley Federal de Competencia Económica, por regla general, tiene como objeto iniciar la segunda fase o etapa del procedimiento de investigación de prácticas monopólicas, señalando los hechos investigados previamente por la Comisión Federal de Competencia, los artículos que se estiman violados de la ley de la materia, así como el nombre y domicilio del presunto responsable. Ahora bien, la circunstancia de que la ley utilice el término "presunto responsable" es insuficiente para considerar que se afectan derechos sustantivos del interesado, pues tal presunción, como su nombre lo indica, únicamente refiere que existen elementos suficientes para estimar en un grado superior al indicio, pero menor a la certeza absoluta, que el responsable incurrió en las conductas que se le imputan, sin que tal declaración afecte su esfera patrimonial o sus derechos legalmente </w:t>
      </w:r>
      <w:r w:rsidRPr="002A2450">
        <w:rPr>
          <w:rFonts w:ascii="ITC Avant Garde" w:hAnsi="ITC Avant Garde"/>
        </w:rPr>
        <w:lastRenderedPageBreak/>
        <w:t>reconocidos, pues será hasta que se resuelva en definitiva el procedimiento de investigación cuando, en su caso, se imponga alguna de las sanciones contenidas en el artículo 35 de la Ley Federal de Competencia Económica. Finalmente, la afectación invocada por la agraviada se destruirá con el sólo hecho de que aquélla obtenga una resolución favorable a sus pretensiones en el procedimiento de investigación seguido ante la Comisión Federal de Competencia, sin dejar huella en su esfera jurídica.</w:t>
      </w:r>
    </w:p>
    <w:p w14:paraId="637117EC" w14:textId="77777777" w:rsidR="00B35F13" w:rsidRDefault="001C62B3"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Novena Época, Registro: 181774, Instancia: Tribunales Colegiados de Circuito, Tipo de Tesis: Aislada, Fuente: Semanario Judicial de la Federación y su Gaceta, Tomo XIX, Abril de 2004, Materia(s): Administrativa, Tesis: I.7o.A.284 A, Página: 1401 </w:t>
      </w:r>
    </w:p>
    <w:p w14:paraId="606E4DDD" w14:textId="77777777" w:rsidR="00B35F13" w:rsidRDefault="001C62B3" w:rsidP="00B35F13">
      <w:pPr>
        <w:spacing w:before="240" w:line="360" w:lineRule="auto"/>
        <w:jc w:val="both"/>
        <w:rPr>
          <w:rFonts w:ascii="ITC Avant Garde" w:hAnsi="ITC Avant Garde"/>
        </w:rPr>
      </w:pPr>
      <w:r w:rsidRPr="002A2450">
        <w:rPr>
          <w:rFonts w:ascii="ITC Avant Garde" w:hAnsi="ITC Avant Garde"/>
        </w:rPr>
        <w:t xml:space="preserve">Advertido lo anterior, el acuerdo de inicio del procedimiento administrativo de imposición de sanción como tal, es el acuerdo que determinó la presunción en contra de </w:t>
      </w:r>
      <w:r w:rsidRPr="002A2450">
        <w:rPr>
          <w:rFonts w:ascii="ITC Avant Garde" w:hAnsi="ITC Avant Garde"/>
          <w:b/>
        </w:rPr>
        <w:t>“TELMEX”</w:t>
      </w:r>
      <w:r w:rsidRPr="002A2450">
        <w:rPr>
          <w:rFonts w:ascii="ITC Avant Garde" w:hAnsi="ITC Avant Garde"/>
        </w:rPr>
        <w:t>, con lo cual se inicia el procedimiento administrativo seguido en forma de juicio, en el cual, de no desvirtuar la conducta que se le imputa a la citada empresa, pudiera resultar en un acto privativo, esto es, con una sanción, de lo que se sigue que en el presente procedimiento se siguió</w:t>
      </w:r>
      <w:r w:rsidR="00FA02A6" w:rsidRPr="002A2450">
        <w:rPr>
          <w:rFonts w:ascii="ITC Avant Garde" w:hAnsi="ITC Avant Garde"/>
        </w:rPr>
        <w:t xml:space="preserve"> de acuerdo con</w:t>
      </w:r>
      <w:r w:rsidRPr="002A2450">
        <w:rPr>
          <w:rFonts w:ascii="ITC Avant Garde" w:hAnsi="ITC Avant Garde"/>
        </w:rPr>
        <w:t xml:space="preserve"> las </w:t>
      </w:r>
      <w:r w:rsidR="00D4174A" w:rsidRPr="002A2450">
        <w:rPr>
          <w:rFonts w:ascii="ITC Avant Garde" w:hAnsi="ITC Avant Garde"/>
        </w:rPr>
        <w:t>formalidades</w:t>
      </w:r>
      <w:r w:rsidRPr="002A2450">
        <w:rPr>
          <w:rFonts w:ascii="ITC Avant Garde" w:hAnsi="ITC Avant Garde"/>
        </w:rPr>
        <w:t xml:space="preserve"> esenciales de todo procedimiento, garantizando con ello, una adecuada defensa</w:t>
      </w:r>
      <w:r w:rsidR="00D055B9" w:rsidRPr="002A2450">
        <w:rPr>
          <w:rFonts w:ascii="ITC Avant Garde" w:hAnsi="ITC Avant Garde"/>
        </w:rPr>
        <w:t>.</w:t>
      </w:r>
    </w:p>
    <w:p w14:paraId="682A51B9" w14:textId="77777777" w:rsidR="00B35F13" w:rsidRDefault="00D055B9" w:rsidP="00B35F13">
      <w:pPr>
        <w:spacing w:before="240" w:line="360" w:lineRule="auto"/>
        <w:jc w:val="both"/>
        <w:rPr>
          <w:rFonts w:ascii="ITC Avant Garde" w:hAnsi="ITC Avant Garde"/>
        </w:rPr>
      </w:pPr>
      <w:r w:rsidRPr="002A2450">
        <w:rPr>
          <w:rFonts w:ascii="ITC Avant Garde" w:hAnsi="ITC Avant Garde"/>
        </w:rPr>
        <w:t>Al respecto, sirve de apoyo a lo anterior, la siguiente jurisprudencia:</w:t>
      </w:r>
    </w:p>
    <w:p w14:paraId="77F78EC0" w14:textId="77777777" w:rsidR="00B35F13" w:rsidRDefault="00D055B9" w:rsidP="00B35F13">
      <w:pPr>
        <w:pStyle w:val="Textoindependiente"/>
        <w:tabs>
          <w:tab w:val="left" w:pos="851"/>
        </w:tabs>
        <w:spacing w:before="240" w:after="16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ACTOS PRIVATIVOS Y ACTOS DE MOLESTIA. ORIGEN Y EFECTOS DE LA </w:t>
      </w:r>
      <w:r w:rsidRPr="006359A8">
        <w:rPr>
          <w:rFonts w:ascii="ITC Avant Garde" w:eastAsia="Times New Roman" w:hAnsi="ITC Avant Garde"/>
          <w:b/>
          <w:bCs/>
          <w:color w:val="000000"/>
          <w:lang w:eastAsia="es-MX"/>
        </w:rPr>
        <w:t>DISTINCI</w:t>
      </w:r>
      <w:r w:rsidR="006359A8" w:rsidRPr="006359A8">
        <w:rPr>
          <w:rFonts w:ascii="ITC Avant Garde" w:eastAsia="Times New Roman" w:hAnsi="ITC Avant Garde"/>
          <w:b/>
          <w:bCs/>
          <w:color w:val="000000"/>
          <w:lang w:eastAsia="es-MX"/>
        </w:rPr>
        <w:t>Ó</w:t>
      </w:r>
      <w:r w:rsidRPr="006359A8">
        <w:rPr>
          <w:rFonts w:ascii="ITC Avant Garde" w:eastAsia="Times New Roman" w:hAnsi="ITC Avant Garde"/>
          <w:b/>
          <w:bCs/>
          <w:color w:val="000000"/>
          <w:lang w:eastAsia="es-MX"/>
        </w:rPr>
        <w:t xml:space="preserve">N. </w:t>
      </w:r>
      <w:r w:rsidRPr="006359A8">
        <w:rPr>
          <w:rFonts w:ascii="ITC Avant Garde" w:eastAsia="Times New Roman" w:hAnsi="ITC Avant Garde"/>
          <w:bCs/>
          <w:color w:val="000000"/>
          <w:lang w:eastAsia="es-MX"/>
        </w:rPr>
        <w:t>El</w:t>
      </w:r>
      <w:r w:rsidRPr="002A2450">
        <w:rPr>
          <w:rFonts w:ascii="ITC Avant Garde" w:eastAsia="Times New Roman" w:hAnsi="ITC Avant Garde"/>
          <w:bCs/>
          <w:color w:val="000000"/>
          <w:lang w:eastAsia="es-MX"/>
        </w:rPr>
        <w:t xml:space="preserve"> artículo 14 constitucional establece, en su segundo párrafo, que nadie podrá ser privado de la vida, de la libertad o de sus propiedades, posesiones o derechos, sino mediante juicio seguido ante los tribunales previamente establecidos, en el que se cumplan las formalidades esenciales del procedimiento y conforme a las leyes expedidas con anterioridad al hecho; en tanto,</w:t>
      </w:r>
      <w:r w:rsidRPr="002A2450">
        <w:rPr>
          <w:rFonts w:ascii="ITC Avant Garde" w:eastAsia="Times New Roman" w:hAnsi="ITC Avant Garde"/>
          <w:b/>
          <w:bCs/>
          <w:color w:val="000000"/>
          <w:u w:val="single"/>
          <w:lang w:eastAsia="es-MX"/>
        </w:rPr>
        <w:t xml:space="preserve"> el artículo 16 de ese mismo Ordenamiento Supremo determina, en su primer párrafo, que </w:t>
      </w:r>
      <w:r w:rsidRPr="002A2450">
        <w:rPr>
          <w:rFonts w:ascii="ITC Avant Garde" w:eastAsia="Times New Roman" w:hAnsi="ITC Avant Garde"/>
          <w:b/>
          <w:bCs/>
          <w:color w:val="000000"/>
          <w:u w:val="single"/>
          <w:lang w:eastAsia="es-MX"/>
        </w:rPr>
        <w:lastRenderedPageBreak/>
        <w:t>nadie puede ser molestado en su persona, familia, domicilio, papeles o posesiones, sino en virtud de mandamiento escrito de la autoridad competente, que funde y motive la causa legal del procedimiento.</w:t>
      </w:r>
      <w:r w:rsidRPr="002A2450">
        <w:rPr>
          <w:rFonts w:ascii="ITC Avant Garde" w:eastAsia="Times New Roman" w:hAnsi="ITC Avant Garde"/>
          <w:bCs/>
          <w:color w:val="000000"/>
          <w:lang w:eastAsia="es-MX"/>
        </w:rPr>
        <w:t xml:space="preserve"> Por consiguiente, la Constitución Federal distingue y regula de manera diferente los actos privativos respecto de los actos de molestia, pues a los primeros, que son aquellos que producen como efecto la disminución, menoscabo o supresión definitiva de un derecho del gobernado, los autoriza solamente a través del cumplimiento de determinados requisitos precisados en el artículo 14, como son, la existencia de un juicio seguido ante un tribunal previamente establecido, que cumpla con las formalidades esenciales del procedimiento y en el que se apliquen las leyes expedidas con anterioridad al hecho juzgado. En cambio, a </w:t>
      </w:r>
      <w:r w:rsidRPr="002A2450">
        <w:rPr>
          <w:rFonts w:ascii="ITC Avant Garde" w:eastAsia="Times New Roman" w:hAnsi="ITC Avant Garde"/>
          <w:b/>
          <w:bCs/>
          <w:color w:val="000000"/>
          <w:u w:val="single"/>
          <w:lang w:eastAsia="es-MX"/>
        </w:rPr>
        <w:t>los actos de molestia que, pese a constituir afectación a la esfera jurídica del gobernado, no producen los mismos efectos que los actos privativos, pues sólo restringen de manera provisional o preventiva un derecho con el objeto de proteger determinados bienes jurídicos, los autoriza, según lo dispuesto por el artículo 16, siempre y cuando preceda mandamiento escrito girado por una autoridad con competencia legal para ello, en donde ésta funde y motive la causa legal del procedimiento.</w:t>
      </w:r>
      <w:r w:rsidRPr="002A2450">
        <w:rPr>
          <w:rFonts w:ascii="ITC Avant Garde" w:eastAsia="Times New Roman" w:hAnsi="ITC Avant Garde"/>
          <w:bCs/>
          <w:color w:val="000000"/>
          <w:lang w:eastAsia="es-MX"/>
        </w:rPr>
        <w:t xml:space="preserve"> Ahora bien, para dilucidar la constitucionalidad o inconstitucionalidad de un acto de autoridad impugnado como privativo, es necesario precisar si verdaderamente lo es y, por ende, requiere del cumplimiento de las formalidades establecidas por el primero de aquellos numerales, o si es un acto de molestia y por ello es suficiente el cumplimiento de los requisitos que el segundo de ellos exige. Para efectuar esa distinción debe advertirse la finalidad que con el acto se persigue, esto es, si la privación de un bien material o inmaterial es la finalidad connatural perseguida por el acto de autoridad, o bien, si por su propia índole tiende sólo a una restricción provisional.</w:t>
      </w:r>
    </w:p>
    <w:p w14:paraId="138E544A" w14:textId="77777777" w:rsidR="00B35F13" w:rsidRDefault="00D055B9" w:rsidP="00B35F13">
      <w:pPr>
        <w:pStyle w:val="Textoindependiente"/>
        <w:tabs>
          <w:tab w:val="left" w:pos="851"/>
        </w:tabs>
        <w:spacing w:before="240" w:after="16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lastRenderedPageBreak/>
        <w:t>Época: Novena Época, Registro: 200080, Instancia: Pleno, Tipo de Tesis: Jurisprudencia, Fuente: Semanario Judicial de la Federación y su Gaceta, Tomo IV, Julio de 1996, Materia(s): Común, Tesis: P</w:t>
      </w:r>
      <w:r w:rsidR="00C23776" w:rsidRPr="002A2450">
        <w:rPr>
          <w:rFonts w:ascii="ITC Avant Garde" w:eastAsia="Times New Roman" w:hAnsi="ITC Avant Garde"/>
          <w:bCs/>
          <w:color w:val="000000"/>
          <w:sz w:val="18"/>
          <w:lang w:eastAsia="es-MX"/>
        </w:rPr>
        <w:t>. /</w:t>
      </w:r>
      <w:r w:rsidRPr="002A2450">
        <w:rPr>
          <w:rFonts w:ascii="ITC Avant Garde" w:eastAsia="Times New Roman" w:hAnsi="ITC Avant Garde"/>
          <w:bCs/>
          <w:color w:val="000000"/>
          <w:sz w:val="18"/>
          <w:lang w:eastAsia="es-MX"/>
        </w:rPr>
        <w:t>J. 40/96, Página: 5</w:t>
      </w:r>
    </w:p>
    <w:p w14:paraId="18255293" w14:textId="77777777" w:rsidR="00B35F13" w:rsidRDefault="00D055B9"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En tales consideraciones, si en el procedimiento administrativo que nos ocupa, se ha seguido: i) </w:t>
      </w:r>
      <w:r w:rsidRPr="002A2450">
        <w:rPr>
          <w:rFonts w:ascii="ITC Avant Garde" w:eastAsia="Times New Roman" w:hAnsi="ITC Avant Garde"/>
          <w:bCs/>
          <w:color w:val="000000"/>
          <w:lang w:eastAsia="es-MX"/>
        </w:rPr>
        <w:t xml:space="preserve">la notificación del inicio del procedimiento; (ii) la oportunidad de ofrecer y desahogar las pruebas en que se finque la defensa; (iii) la oportunidad de alegar; y, (iv) la emisión de una resolución, es indudable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no pueda considerar que el propio inicio del procedimiento sancionatorio constituye una resolución determinante, </w:t>
      </w:r>
      <w:r w:rsidRPr="002A2450">
        <w:rPr>
          <w:rFonts w:ascii="ITC Avant Garde" w:eastAsia="Times New Roman" w:hAnsi="ITC Avant Garde"/>
          <w:bCs/>
          <w:i/>
          <w:color w:val="000000"/>
          <w:lang w:eastAsia="es-MX"/>
        </w:rPr>
        <w:t>ex ante</w:t>
      </w:r>
      <w:r w:rsidRPr="002A2450">
        <w:rPr>
          <w:rFonts w:ascii="ITC Avant Garde" w:eastAsia="Times New Roman" w:hAnsi="ITC Avant Garde"/>
          <w:bCs/>
          <w:color w:val="000000"/>
          <w:lang w:eastAsia="es-MX"/>
        </w:rPr>
        <w:t xml:space="preserve"> y definitiva de las conductas que se le presumen incumplidas.</w:t>
      </w:r>
    </w:p>
    <w:p w14:paraId="52E89340" w14:textId="77777777" w:rsidR="00B35F13" w:rsidRDefault="00D055B9"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 mayor abundamiento, resultan aplicables las siguientes jurisprudencias:</w:t>
      </w:r>
    </w:p>
    <w:p w14:paraId="40F1BE19" w14:textId="77777777" w:rsidR="00B35F13" w:rsidRDefault="00D055B9"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DERECHO AL DEBIDO PROCESO. SU CONTENIDO.</w:t>
      </w:r>
      <w:r w:rsidRPr="002A2450">
        <w:rPr>
          <w:rFonts w:ascii="ITC Avant Garde" w:eastAsia="Times New Roman" w:hAnsi="ITC Avant Garde"/>
          <w:bCs/>
          <w:color w:val="000000"/>
          <w:lang w:eastAsia="es-MX"/>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w:t>
      </w:r>
      <w:r w:rsidRPr="002A2450">
        <w:rPr>
          <w:rFonts w:ascii="ITC Avant Garde" w:eastAsia="Times New Roman" w:hAnsi="ITC Avant Garde"/>
          <w:bCs/>
          <w:color w:val="000000"/>
          <w:lang w:eastAsia="es-MX"/>
        </w:rPr>
        <w:lastRenderedPageBreak/>
        <w:t>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1E2C68CF" w14:textId="77777777" w:rsidR="00B35F13" w:rsidRDefault="00D055B9"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 xml:space="preserve">Época: Décima Época, Registro: 2005716, Instancia: Primera Sala, Tipo de Tesis: </w:t>
      </w:r>
      <w:r w:rsidRPr="002A2450">
        <w:rPr>
          <w:rFonts w:ascii="ITC Avant Garde" w:eastAsia="Times New Roman" w:hAnsi="ITC Avant Garde"/>
          <w:b/>
          <w:bCs/>
          <w:color w:val="000000"/>
          <w:sz w:val="18"/>
          <w:u w:val="single"/>
          <w:lang w:eastAsia="es-MX"/>
        </w:rPr>
        <w:t>Jurisprudencia</w:t>
      </w:r>
      <w:r w:rsidRPr="002A2450">
        <w:rPr>
          <w:rFonts w:ascii="ITC Avant Garde" w:eastAsia="Times New Roman" w:hAnsi="ITC Avant Garde"/>
          <w:bCs/>
          <w:color w:val="000000"/>
          <w:sz w:val="18"/>
          <w:lang w:eastAsia="es-MX"/>
        </w:rPr>
        <w:t>, Fuente: Gaceta del Semanario Judicial de la Federación, Libro 3, Febrero de 2014, Tomo I, Materia(s): Constitucional, Tesis: 1a</w:t>
      </w:r>
      <w:r w:rsidR="00C23776" w:rsidRPr="002A2450">
        <w:rPr>
          <w:rFonts w:ascii="ITC Avant Garde" w:eastAsia="Times New Roman" w:hAnsi="ITC Avant Garde"/>
          <w:bCs/>
          <w:color w:val="000000"/>
          <w:sz w:val="18"/>
          <w:lang w:eastAsia="es-MX"/>
        </w:rPr>
        <w:t>. /</w:t>
      </w:r>
      <w:r w:rsidRPr="002A2450">
        <w:rPr>
          <w:rFonts w:ascii="ITC Avant Garde" w:eastAsia="Times New Roman" w:hAnsi="ITC Avant Garde"/>
          <w:bCs/>
          <w:color w:val="000000"/>
          <w:sz w:val="18"/>
          <w:lang w:eastAsia="es-MX"/>
        </w:rPr>
        <w:t>J. 11/2014 (10a.), Página: 396.</w:t>
      </w:r>
    </w:p>
    <w:p w14:paraId="0993B7CC" w14:textId="77777777" w:rsidR="00B35F13" w:rsidRDefault="00D055B9"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 xml:space="preserve">Esta tesis se publicó el viernes 28 de febrero de 2014 a las 11:02 horas en el Semanario Judicial de la Federación y, por ende, </w:t>
      </w:r>
      <w:r w:rsidRPr="002A2450">
        <w:rPr>
          <w:rFonts w:ascii="ITC Avant Garde" w:eastAsia="Times New Roman" w:hAnsi="ITC Avant Garde"/>
          <w:b/>
          <w:bCs/>
          <w:color w:val="000000"/>
          <w:sz w:val="18"/>
          <w:u w:val="single"/>
          <w:lang w:eastAsia="es-MX"/>
        </w:rPr>
        <w:t>se considera de aplicación obligatoria a partir del lunes 03 de marzo de 2014</w:t>
      </w:r>
      <w:r w:rsidRPr="002A2450">
        <w:rPr>
          <w:rFonts w:ascii="ITC Avant Garde" w:eastAsia="Times New Roman" w:hAnsi="ITC Avant Garde"/>
          <w:bCs/>
          <w:color w:val="000000"/>
          <w:sz w:val="18"/>
          <w:lang w:eastAsia="es-MX"/>
        </w:rPr>
        <w:t xml:space="preserve">, para los efectos previstos en el punto séptimo del </w:t>
      </w:r>
      <w:r w:rsidRPr="002A2450">
        <w:rPr>
          <w:rFonts w:ascii="ITC Avant Garde" w:eastAsia="Times New Roman" w:hAnsi="ITC Avant Garde"/>
          <w:b/>
          <w:bCs/>
          <w:color w:val="000000"/>
          <w:sz w:val="18"/>
          <w:u w:val="single"/>
          <w:lang w:eastAsia="es-MX"/>
        </w:rPr>
        <w:t>Acuerdo General Plenario 19/2013.</w:t>
      </w:r>
    </w:p>
    <w:p w14:paraId="047F3187" w14:textId="77777777" w:rsidR="00B35F13" w:rsidRDefault="00D055B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hAnsi="ITC Avant Garde" w:cs="Calibri"/>
          <w:b/>
        </w:rPr>
        <w:lastRenderedPageBreak/>
        <w:t>FORMALIDADES ESENCIALES DEL PROCEDIMIENTO. SON LAS QUE GARANTIZAN UNA ADECUADA Y OPORTUNA DEFENSA PREVIA AL ACTO PRIVATIVO.</w:t>
      </w:r>
      <w:r w:rsidRPr="002A2450">
        <w:rPr>
          <w:rFonts w:ascii="ITC Avant Garde" w:hAnsi="ITC Avant Garde" w:cs="Calibri"/>
        </w:rPr>
        <w:t xml:space="preserve"> 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w:t>
      </w:r>
      <w:r w:rsidRPr="002A2450">
        <w:rPr>
          <w:rFonts w:ascii="ITC Avant Garde" w:hAnsi="ITC Avant Garde" w:cs="Calibri"/>
          <w:b/>
          <w:u w:val="single"/>
        </w:rPr>
        <w:t>La oportunidad de alegar</w:t>
      </w:r>
      <w:r w:rsidRPr="002A2450">
        <w:rPr>
          <w:rFonts w:ascii="ITC Avant Garde" w:hAnsi="ITC Avant Garde" w:cs="Calibri"/>
        </w:rPr>
        <w:t xml:space="preserve">; y 4) El dictado de una resolución que dirima las cuestiones debatidas. </w:t>
      </w:r>
      <w:r w:rsidRPr="002A2450">
        <w:rPr>
          <w:rFonts w:ascii="ITC Avant Garde" w:hAnsi="ITC Avant Garde" w:cs="Calibri"/>
          <w:b/>
          <w:u w:val="single"/>
        </w:rPr>
        <w:t>De no respetarse estos requisitos, se dejaría de cumplir con el fin de la garantía de audiencia, que es evitar la indefensión del afectado</w:t>
      </w:r>
      <w:r w:rsidRPr="002A2450">
        <w:rPr>
          <w:rFonts w:ascii="ITC Avant Garde" w:hAnsi="ITC Avant Garde" w:cs="Calibri"/>
        </w:rPr>
        <w:t>.</w:t>
      </w:r>
    </w:p>
    <w:p w14:paraId="56A6CF4B" w14:textId="77777777" w:rsidR="00B35F13" w:rsidRDefault="00D055B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hAnsi="ITC Avant Garde" w:cs="Calibri"/>
          <w:sz w:val="18"/>
        </w:rPr>
        <w:t xml:space="preserve">Época: Novena Época, Registro: 1011502, Instancia: Pleno, Tipo de Tesis: Jurisprudencia, Fuente: Apéndice 1917-Septiembre 2011, Tomo I. Constitucional 3. Derechos Fundamentales Primera Parte - SCJN Décima Segunda Sección - Debido proceso, Materia(s): Constitucional, Común, Tesis: 210, Página: 1156 </w:t>
      </w:r>
    </w:p>
    <w:p w14:paraId="2788C9D2" w14:textId="77777777" w:rsidR="00B35F13" w:rsidRDefault="00D055B9"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Así las cosas, esta autoridad considera que el argumento de </w:t>
      </w:r>
      <w:r w:rsidRPr="002A2450">
        <w:rPr>
          <w:rFonts w:ascii="ITC Avant Garde" w:eastAsia="Times New Roman" w:hAnsi="ITC Avant Garde"/>
          <w:b/>
          <w:bCs/>
          <w:color w:val="000000"/>
          <w:lang w:eastAsia="es-MX"/>
        </w:rPr>
        <w:t>“TELMEX”</w:t>
      </w:r>
      <w:r w:rsidRPr="002A2450">
        <w:rPr>
          <w:rFonts w:ascii="ITC Avant Garde" w:hAnsi="ITC Avant Garde"/>
        </w:rPr>
        <w:t xml:space="preserve"> </w:t>
      </w:r>
      <w:r w:rsidRPr="002A2450">
        <w:rPr>
          <w:rFonts w:ascii="ITC Avant Garde" w:eastAsia="Times New Roman" w:hAnsi="ITC Avant Garde"/>
          <w:bCs/>
          <w:color w:val="000000"/>
          <w:lang w:eastAsia="es-MX"/>
        </w:rPr>
        <w:t xml:space="preserve">resulta </w:t>
      </w:r>
      <w:r w:rsidRPr="002A2450">
        <w:rPr>
          <w:rFonts w:ascii="ITC Avant Garde" w:eastAsia="Times New Roman" w:hAnsi="ITC Avant Garde"/>
          <w:b/>
          <w:bCs/>
          <w:color w:val="000000"/>
          <w:u w:val="single"/>
          <w:lang w:eastAsia="es-MX"/>
        </w:rPr>
        <w:t>infundado</w:t>
      </w:r>
      <w:r w:rsidRPr="002A2450">
        <w:rPr>
          <w:rFonts w:ascii="ITC Avant Garde" w:eastAsia="Times New Roman" w:hAnsi="ITC Avant Garde"/>
          <w:bCs/>
          <w:color w:val="000000"/>
          <w:lang w:eastAsia="es-MX"/>
        </w:rPr>
        <w:t xml:space="preserve">, ya que como se ha señalado en el presente apartado, el acuerdo de inicio, detenta una presunción del incumplimiento </w:t>
      </w:r>
      <w:r w:rsidR="001157B6" w:rsidRPr="002A2450">
        <w:rPr>
          <w:rFonts w:ascii="ITC Avant Garde" w:eastAsia="Times New Roman" w:hAnsi="ITC Avant Garde"/>
          <w:bCs/>
          <w:color w:val="000000"/>
          <w:lang w:eastAsia="es-MX"/>
        </w:rPr>
        <w:t xml:space="preserve">al </w:t>
      </w:r>
      <w:r w:rsidR="00841FB0" w:rsidRPr="009E34A4">
        <w:rPr>
          <w:rFonts w:ascii="ITC Avant Garde" w:eastAsia="Times New Roman" w:hAnsi="ITC Avant Garde"/>
          <w:b/>
          <w:bCs/>
          <w:color w:val="000000"/>
          <w:lang w:eastAsia="es-MX"/>
        </w:rPr>
        <w:t>Tercer Párrafo</w:t>
      </w:r>
      <w:r w:rsidR="001157B6" w:rsidRPr="002A2450">
        <w:rPr>
          <w:rFonts w:ascii="ITC Avant Garde" w:eastAsia="Times New Roman" w:hAnsi="ITC Avant Garde"/>
          <w:bCs/>
          <w:color w:val="000000"/>
          <w:lang w:eastAsia="es-MX"/>
        </w:rPr>
        <w:t xml:space="preserve"> de </w:t>
      </w:r>
      <w:r w:rsidRPr="002A2450">
        <w:rPr>
          <w:rFonts w:ascii="ITC Avant Garde" w:eastAsia="Times New Roman" w:hAnsi="ITC Avant Garde"/>
          <w:bCs/>
          <w:color w:val="000000"/>
          <w:lang w:eastAsia="es-MX"/>
        </w:rPr>
        <w:t xml:space="preserve">la condición 1-9 del </w:t>
      </w:r>
      <w:r w:rsidR="00BD1D1D" w:rsidRPr="002A2450">
        <w:rPr>
          <w:rFonts w:ascii="ITC Avant Garde" w:eastAsia="Times New Roman" w:hAnsi="ITC Avant Garde"/>
          <w:b/>
          <w:bCs/>
          <w:color w:val="000000"/>
          <w:lang w:eastAsia="es-MX"/>
        </w:rPr>
        <w:t>“TÍTULO</w:t>
      </w:r>
      <w:r w:rsidRPr="002A2450">
        <w:rPr>
          <w:rFonts w:ascii="ITC Avant Garde" w:eastAsia="Times New Roman" w:hAnsi="ITC Avant Garde"/>
          <w:b/>
          <w:bCs/>
          <w:color w:val="000000"/>
          <w:lang w:eastAsia="es-MX"/>
        </w:rPr>
        <w:t xml:space="preserve"> DE CONCESIÓN</w:t>
      </w:r>
      <w:r w:rsidR="00CA4CA9"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otorgado a dicha concesionaria, de lo que se sigue que</w:t>
      </w:r>
      <w:r w:rsidR="00FA02A6"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en </w:t>
      </w:r>
      <w:r w:rsidR="00A9769E" w:rsidRPr="002A2450">
        <w:rPr>
          <w:rFonts w:ascii="ITC Avant Garde" w:eastAsia="Times New Roman" w:hAnsi="ITC Avant Garde"/>
          <w:bCs/>
          <w:color w:val="000000"/>
          <w:lang w:eastAsia="es-MX"/>
        </w:rPr>
        <w:t xml:space="preserve">el presente caso, al haberse otorgado todas las garantías para una adecuada defensa, es indudable que ello no prejuzga </w:t>
      </w:r>
      <w:r w:rsidR="00A9769E" w:rsidRPr="002A2450">
        <w:rPr>
          <w:rFonts w:ascii="ITC Avant Garde" w:eastAsia="Times New Roman" w:hAnsi="ITC Avant Garde"/>
          <w:bCs/>
          <w:i/>
          <w:color w:val="000000"/>
          <w:lang w:eastAsia="es-MX"/>
        </w:rPr>
        <w:t>per se</w:t>
      </w:r>
      <w:r w:rsidR="00A9769E" w:rsidRPr="002A2450">
        <w:rPr>
          <w:rFonts w:ascii="ITC Avant Garde" w:eastAsia="Times New Roman" w:hAnsi="ITC Avant Garde"/>
          <w:bCs/>
          <w:color w:val="000000"/>
          <w:lang w:eastAsia="es-MX"/>
        </w:rPr>
        <w:t xml:space="preserve"> la comisión de la conducta presuntamente incumplida.</w:t>
      </w:r>
    </w:p>
    <w:p w14:paraId="077C5434" w14:textId="77777777" w:rsidR="00B35F13" w:rsidRDefault="00A9769E"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Al respecto, sirve de apoyo a lo anterior, la siguiente tesis:</w:t>
      </w:r>
    </w:p>
    <w:p w14:paraId="5589034C" w14:textId="77777777" w:rsidR="00B35F13" w:rsidRDefault="00A9769E"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lastRenderedPageBreak/>
        <w:t>PROCEDIMIENTO ADMINISTRATIVO. EN ACATAMIENTO AL DEBIDO PROCESO LEGAL, A LAS DISPOSICIONES PREVISTAS EN LA LEY FEDERAL RELATIVA RESPECTO DEL PROCEDIMIENTO GENÉRICO O ESTÁNDAR, DEBEN ADICIONARSE, EN SU CASO, LAS PERTINENTES DEL DIVERSO DE IMPOSICIÓN DE SANCIONES.</w:t>
      </w:r>
      <w:r w:rsidRPr="002A2450">
        <w:rPr>
          <w:rFonts w:ascii="ITC Avant Garde" w:eastAsia="Times New Roman" w:hAnsi="ITC Avant Garde"/>
          <w:bCs/>
          <w:color w:val="000000"/>
          <w:lang w:eastAsia="es-MX"/>
        </w:rPr>
        <w:t xml:space="preserve"> Dentro de los procedimientos previstos en la Ley Federal de Procedimiento Administrativo se establece uno genérico o estándar, dentro del cual se incluye, como variante, el diverso de imposición de sanciones. El primero, a grandes rasgos, señala su inicio (artículos 42-45), trámite (46-56), eventualmente una dilación probatoria (50-55), fase de alegatos (56) y resolución (57-59). </w:t>
      </w:r>
      <w:r w:rsidRPr="002A2450">
        <w:rPr>
          <w:rFonts w:ascii="ITC Avant Garde" w:eastAsia="Times New Roman" w:hAnsi="ITC Avant Garde"/>
          <w:b/>
          <w:bCs/>
          <w:color w:val="000000"/>
          <w:u w:val="single"/>
          <w:lang w:eastAsia="es-MX"/>
        </w:rPr>
        <w:t>Respecto del procedimiento de imposición de sanciones, la autoridad administrativa deberá notificar su inicio previamente al infractor, para que dentro de los quince días siguientes exponga lo que a su derecho convenga y, en su caso, aporte las pruebas con que cuente; una vez oído éste y desahogadas las pruebas ofrecidas y admitidas se procederá, transcurridos diez días, a dictar por escrito la resolución que proceda (artículo 74), y comenzará a correr el plazo para la caducidad, contenido en el precepto 60, último párrafo, de la ley mencionada</w:t>
      </w:r>
      <w:r w:rsidRPr="002A2450">
        <w:rPr>
          <w:rFonts w:ascii="ITC Avant Garde" w:eastAsia="Times New Roman" w:hAnsi="ITC Avant Garde"/>
          <w:bCs/>
          <w:color w:val="000000"/>
          <w:lang w:eastAsia="es-MX"/>
        </w:rPr>
        <w:t>. En este contexto, dado que el procedimiento genérico o estándar tiene la calidad de básico, en acatamiento al debido proceso legal, a sus disposiciones deben adicionarse, en su caso -por ejemplo, cuando el resultado o consecuencia sea un acto de privación-, las pertinentes del de sanción, en un enfoque sistémico, de congruencia y consistencia, como una opción o modalidad del genérico.</w:t>
      </w:r>
    </w:p>
    <w:p w14:paraId="1C6DA74B" w14:textId="77777777" w:rsidR="00B35F13" w:rsidRDefault="00A9769E"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 xml:space="preserve">Época: Décima Época, Registro: 2010574, Instancia: Tribunales Colegiados de Circuito, Tipo de Tesis: Aislada, Fuente: Gaceta del Semanario Judicial de la Federación, Libro 24, Noviembre de 2015, Tomo IV, Materia(s): Administrativa, Tesis: I.1o.A.E.88 A (10a.), Página: 3601 </w:t>
      </w:r>
    </w:p>
    <w:p w14:paraId="5FAFDBF2" w14:textId="77777777" w:rsidR="00B35F13" w:rsidRDefault="00A9769E"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Esta tesis se publicó el viernes 27 de noviembre de 2015 a las 11:15 horas en el Semanario Judicial de la Federación.</w:t>
      </w:r>
    </w:p>
    <w:p w14:paraId="3CB7774A" w14:textId="35B79A86" w:rsidR="001157B6" w:rsidRPr="002A2450" w:rsidRDefault="001157B6"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A mayor abundamiento</w:t>
      </w:r>
      <w:r w:rsidR="00995844" w:rsidRPr="002A2450">
        <w:rPr>
          <w:rFonts w:ascii="ITC Avant Garde" w:eastAsia="Times New Roman" w:hAnsi="ITC Avant Garde"/>
          <w:bCs/>
          <w:color w:val="000000"/>
          <w:lang w:eastAsia="es-MX"/>
        </w:rPr>
        <w:t xml:space="preserve">, debe considerarse que en el propio acuerdo de inicio se señaló que la conducta presumiblemente infringida únicamente se encontraba a nivel presuntivo, </w:t>
      </w:r>
      <w:r w:rsidR="00CC79D2" w:rsidRPr="002A2450">
        <w:rPr>
          <w:rFonts w:ascii="ITC Avant Garde" w:eastAsia="Times New Roman" w:hAnsi="ITC Avant Garde"/>
          <w:bCs/>
          <w:color w:val="000000"/>
          <w:lang w:eastAsia="es-MX"/>
        </w:rPr>
        <w:t>lo cual se observa claramente de las siguientes imágenes que correspondes a las páginas 1, 75, 76 y 77 del citado acuerdo:</w:t>
      </w:r>
    </w:p>
    <w:p w14:paraId="65682055" w14:textId="2B1B8A12" w:rsidR="0097544C" w:rsidRDefault="006359A8" w:rsidP="006F3516">
      <w:pPr>
        <w:spacing w:before="240"/>
        <w:ind w:left="993"/>
        <w:rPr>
          <w:rFonts w:ascii="ITC Avant Garde" w:eastAsia="Times New Roman" w:hAnsi="ITC Avant Garde"/>
          <w:bCs/>
          <w:color w:val="000000"/>
          <w:lang w:eastAsia="es-MX"/>
        </w:rPr>
      </w:pPr>
      <w:r w:rsidRPr="00836CC0">
        <w:rPr>
          <w:noProof/>
          <w:lang w:eastAsia="es-MX"/>
        </w:rPr>
        <w:drawing>
          <wp:inline distT="0" distB="0" distL="0" distR="0" wp14:anchorId="697EB2D8" wp14:editId="39718EEF">
            <wp:extent cx="4291510" cy="2857742"/>
            <wp:effectExtent l="0" t="0" r="0" b="0"/>
            <wp:docPr id="4" name="Imagen 4" descr="La imagen muestra el acuerdo de la conducta presumiblemente infringida." title="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9595" t="22398" r="28330" b="21626"/>
                    <a:stretch/>
                  </pic:blipFill>
                  <pic:spPr bwMode="auto">
                    <a:xfrm>
                      <a:off x="0" y="0"/>
                      <a:ext cx="4291510" cy="2857742"/>
                    </a:xfrm>
                    <a:prstGeom prst="rect">
                      <a:avLst/>
                    </a:prstGeom>
                    <a:ln>
                      <a:noFill/>
                    </a:ln>
                    <a:extLst>
                      <a:ext uri="{53640926-AAD7-44D8-BBD7-CCE9431645EC}">
                        <a14:shadowObscured xmlns:a14="http://schemas.microsoft.com/office/drawing/2010/main"/>
                      </a:ext>
                    </a:extLst>
                  </pic:spPr>
                </pic:pic>
              </a:graphicData>
            </a:graphic>
          </wp:inline>
        </w:drawing>
      </w:r>
    </w:p>
    <w:p w14:paraId="37724783" w14:textId="3ED310C4" w:rsidR="00CC79D2" w:rsidRPr="002A2450" w:rsidRDefault="00E678CE" w:rsidP="006F3516">
      <w:pPr>
        <w:spacing w:before="240" w:line="360" w:lineRule="auto"/>
        <w:ind w:left="993"/>
        <w:rPr>
          <w:noProof/>
          <w:lang w:eastAsia="es-MX"/>
        </w:rPr>
      </w:pPr>
      <w:r w:rsidRPr="00836CC0">
        <w:rPr>
          <w:noProof/>
          <w:lang w:eastAsia="es-MX"/>
        </w:rPr>
        <w:drawing>
          <wp:inline distT="0" distB="0" distL="0" distR="0" wp14:anchorId="3566ECEA" wp14:editId="31F35305">
            <wp:extent cx="4043279" cy="2451490"/>
            <wp:effectExtent l="0" t="0" r="0" b="6350"/>
            <wp:docPr id="5" name="Imagen 5" descr="La imagen muestra el acuerdo de la conducta presumiblemente infringida." title="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9091" t="24528" r="27730" b="21093"/>
                    <a:stretch/>
                  </pic:blipFill>
                  <pic:spPr bwMode="auto">
                    <a:xfrm>
                      <a:off x="0" y="0"/>
                      <a:ext cx="4043279" cy="2451490"/>
                    </a:xfrm>
                    <a:prstGeom prst="rect">
                      <a:avLst/>
                    </a:prstGeom>
                    <a:ln>
                      <a:noFill/>
                    </a:ln>
                    <a:extLst>
                      <a:ext uri="{53640926-AAD7-44D8-BBD7-CCE9431645EC}">
                        <a14:shadowObscured xmlns:a14="http://schemas.microsoft.com/office/drawing/2010/main"/>
                      </a:ext>
                    </a:extLst>
                  </pic:spPr>
                </pic:pic>
              </a:graphicData>
            </a:graphic>
          </wp:inline>
        </w:drawing>
      </w:r>
    </w:p>
    <w:p w14:paraId="2521CAF9" w14:textId="77777777" w:rsidR="00B35F13" w:rsidRDefault="007E53D6"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Ahora bien,</w:t>
      </w:r>
      <w:r w:rsidR="00136D28" w:rsidRPr="002A2450">
        <w:rPr>
          <w:rFonts w:ascii="ITC Avant Garde" w:eastAsia="Times New Roman" w:hAnsi="ITC Avant Garde"/>
          <w:bCs/>
          <w:color w:val="000000"/>
          <w:lang w:eastAsia="es-MX"/>
        </w:rPr>
        <w:t xml:space="preserve"> </w:t>
      </w:r>
      <w:r w:rsidR="0097544C">
        <w:rPr>
          <w:rFonts w:ascii="ITC Avant Garde" w:eastAsia="Times New Roman" w:hAnsi="ITC Avant Garde"/>
          <w:bCs/>
          <w:color w:val="000000"/>
          <w:lang w:eastAsia="es-MX"/>
        </w:rPr>
        <w:t xml:space="preserve">en cuanto al beneficio, </w:t>
      </w:r>
      <w:r w:rsidR="00EB1E45" w:rsidRPr="002A2450">
        <w:rPr>
          <w:rFonts w:ascii="ITC Avant Garde" w:eastAsia="Times New Roman" w:hAnsi="ITC Avant Garde"/>
          <w:bCs/>
          <w:color w:val="000000"/>
          <w:lang w:eastAsia="es-MX"/>
        </w:rPr>
        <w:t xml:space="preserve">debe declararse </w:t>
      </w:r>
      <w:r w:rsidR="00EB1E45" w:rsidRPr="009E34A4">
        <w:rPr>
          <w:rFonts w:ascii="ITC Avant Garde" w:eastAsia="Times New Roman" w:hAnsi="ITC Avant Garde"/>
          <w:b/>
          <w:bCs/>
          <w:color w:val="000000"/>
          <w:u w:val="single"/>
          <w:lang w:eastAsia="es-MX"/>
        </w:rPr>
        <w:t>fundado</w:t>
      </w:r>
      <w:r w:rsidR="00EB1E45" w:rsidRPr="002A2450">
        <w:rPr>
          <w:rFonts w:ascii="ITC Avant Garde" w:eastAsia="Times New Roman" w:hAnsi="ITC Avant Garde"/>
          <w:bCs/>
          <w:color w:val="000000"/>
          <w:lang w:eastAsia="es-MX"/>
        </w:rPr>
        <w:t xml:space="preserve"> el argumento de </w:t>
      </w:r>
      <w:r w:rsidR="00EB1E45" w:rsidRPr="002A2450">
        <w:rPr>
          <w:rFonts w:ascii="ITC Avant Garde" w:eastAsia="Times New Roman" w:hAnsi="ITC Avant Garde"/>
          <w:b/>
          <w:bCs/>
          <w:color w:val="000000"/>
          <w:lang w:eastAsia="es-MX"/>
        </w:rPr>
        <w:t>“TELMEX”</w:t>
      </w:r>
      <w:r w:rsidR="00EB1E45" w:rsidRPr="002A2450">
        <w:rPr>
          <w:rFonts w:ascii="ITC Avant Garde" w:eastAsia="Times New Roman" w:hAnsi="ITC Avant Garde"/>
          <w:bCs/>
          <w:color w:val="000000"/>
          <w:lang w:eastAsia="es-MX"/>
        </w:rPr>
        <w:t xml:space="preserve"> sobre el hecho de que efectivamente, </w:t>
      </w:r>
      <w:r w:rsidR="00E70143" w:rsidRPr="009E34A4">
        <w:rPr>
          <w:rFonts w:ascii="ITC Avant Garde" w:eastAsia="Times New Roman" w:hAnsi="ITC Avant Garde"/>
          <w:bCs/>
          <w:color w:val="000000"/>
          <w:lang w:eastAsia="es-MX"/>
        </w:rPr>
        <w:t xml:space="preserve">no se </w:t>
      </w:r>
      <w:r w:rsidR="00E54463">
        <w:rPr>
          <w:rFonts w:ascii="ITC Avant Garde" w:eastAsia="Times New Roman" w:hAnsi="ITC Avant Garde"/>
          <w:bCs/>
          <w:color w:val="000000"/>
          <w:lang w:eastAsia="es-MX"/>
        </w:rPr>
        <w:t>encuentra acreditado en el presente procedimiento que haya obtenido</w:t>
      </w:r>
      <w:r w:rsidR="00E70143" w:rsidRPr="009E34A4">
        <w:rPr>
          <w:rFonts w:ascii="ITC Avant Garde" w:eastAsia="Times New Roman" w:hAnsi="ITC Avant Garde"/>
          <w:bCs/>
          <w:color w:val="000000"/>
          <w:lang w:eastAsia="es-MX"/>
        </w:rPr>
        <w:t xml:space="preserve"> </w:t>
      </w:r>
      <w:r w:rsidR="00E54463">
        <w:rPr>
          <w:rFonts w:ascii="ITC Avant Garde" w:eastAsia="Times New Roman" w:hAnsi="ITC Avant Garde"/>
          <w:bCs/>
          <w:color w:val="000000"/>
          <w:lang w:eastAsia="es-MX"/>
        </w:rPr>
        <w:t>un beneficio</w:t>
      </w:r>
      <w:r w:rsidR="00E70143" w:rsidRPr="009E34A4">
        <w:rPr>
          <w:rFonts w:ascii="ITC Avant Garde" w:eastAsia="Times New Roman" w:hAnsi="ITC Avant Garde"/>
          <w:bCs/>
          <w:color w:val="000000"/>
          <w:lang w:eastAsia="es-MX"/>
        </w:rPr>
        <w:t xml:space="preserve"> a través o por conducto de </w:t>
      </w:r>
      <w:r w:rsidR="00E70143" w:rsidRPr="009E34A4">
        <w:rPr>
          <w:rFonts w:ascii="ITC Avant Garde" w:eastAsia="Times New Roman" w:hAnsi="ITC Avant Garde"/>
          <w:b/>
          <w:bCs/>
          <w:color w:val="000000"/>
          <w:lang w:eastAsia="es-MX"/>
        </w:rPr>
        <w:t>“TENINVER”</w:t>
      </w:r>
      <w:r w:rsidR="00E70143" w:rsidRPr="009E34A4">
        <w:rPr>
          <w:rFonts w:ascii="ITC Avant Garde" w:eastAsia="Times New Roman" w:hAnsi="ITC Avant Garde"/>
          <w:bCs/>
          <w:color w:val="000000"/>
          <w:lang w:eastAsia="es-MX"/>
        </w:rPr>
        <w:t xml:space="preserve"> </w:t>
      </w:r>
      <w:r w:rsidR="00E54463">
        <w:rPr>
          <w:rFonts w:ascii="ITC Avant Garde" w:eastAsia="Times New Roman" w:hAnsi="ITC Avant Garde"/>
          <w:bCs/>
          <w:color w:val="000000"/>
          <w:lang w:eastAsia="es-MX"/>
        </w:rPr>
        <w:t xml:space="preserve">con motivo </w:t>
      </w:r>
      <w:r w:rsidR="00E70143" w:rsidRPr="009E34A4">
        <w:rPr>
          <w:rFonts w:ascii="ITC Avant Garde" w:eastAsia="Times New Roman" w:hAnsi="ITC Avant Garde"/>
          <w:bCs/>
          <w:color w:val="000000"/>
          <w:lang w:eastAsia="es-MX"/>
        </w:rPr>
        <w:t xml:space="preserve"> </w:t>
      </w:r>
      <w:r w:rsidR="00E54463">
        <w:rPr>
          <w:rFonts w:ascii="ITC Avant Garde" w:eastAsia="Times New Roman" w:hAnsi="ITC Avant Garde"/>
          <w:bCs/>
          <w:color w:val="000000"/>
          <w:lang w:eastAsia="es-MX"/>
        </w:rPr>
        <w:t>d</w:t>
      </w:r>
      <w:r w:rsidR="00E70143" w:rsidRPr="009E34A4">
        <w:rPr>
          <w:rFonts w:ascii="ITC Avant Garde" w:eastAsia="Times New Roman" w:hAnsi="ITC Avant Garde"/>
          <w:bCs/>
          <w:color w:val="000000"/>
          <w:lang w:eastAsia="es-MX"/>
        </w:rPr>
        <w:t xml:space="preserve">el ejercicio de los derechos sobre la operación de </w:t>
      </w:r>
      <w:r w:rsidR="00E70143" w:rsidRPr="009E34A4">
        <w:rPr>
          <w:rFonts w:ascii="ITC Avant Garde" w:eastAsia="Times New Roman" w:hAnsi="ITC Avant Garde"/>
          <w:b/>
          <w:bCs/>
          <w:color w:val="000000"/>
          <w:lang w:eastAsia="es-MX"/>
        </w:rPr>
        <w:lastRenderedPageBreak/>
        <w:t>"DISH MÉXICO"</w:t>
      </w:r>
      <w:r w:rsidR="00E70143" w:rsidRPr="009E34A4">
        <w:rPr>
          <w:rFonts w:ascii="ITC Avant Garde" w:eastAsia="Times New Roman" w:hAnsi="ITC Avant Garde"/>
          <w:bCs/>
          <w:color w:val="000000"/>
          <w:lang w:eastAsia="es-MX"/>
        </w:rPr>
        <w:t xml:space="preserve"> y de sus subsidiarias, incluida </w:t>
      </w:r>
      <w:r w:rsidR="00E70143" w:rsidRPr="009E34A4">
        <w:rPr>
          <w:rFonts w:ascii="ITC Avant Garde" w:eastAsia="Times New Roman" w:hAnsi="ITC Avant Garde"/>
          <w:b/>
          <w:bCs/>
          <w:color w:val="000000"/>
          <w:lang w:eastAsia="es-MX"/>
        </w:rPr>
        <w:t>“COFRESA”</w:t>
      </w:r>
      <w:r w:rsidR="00E70143" w:rsidRPr="009E34A4">
        <w:rPr>
          <w:rFonts w:ascii="ITC Avant Garde" w:eastAsia="Times New Roman" w:hAnsi="ITC Avant Garde"/>
          <w:bCs/>
          <w:color w:val="000000"/>
          <w:lang w:eastAsia="es-MX"/>
        </w:rPr>
        <w:t xml:space="preserve"> </w:t>
      </w:r>
      <w:r w:rsidR="00E54463">
        <w:rPr>
          <w:rFonts w:ascii="ITC Avant Garde" w:eastAsia="Times New Roman" w:hAnsi="ITC Avant Garde"/>
          <w:bCs/>
          <w:color w:val="000000"/>
          <w:lang w:eastAsia="es-MX"/>
        </w:rPr>
        <w:t xml:space="preserve">a través de </w:t>
      </w:r>
      <w:r w:rsidR="00E70143" w:rsidRPr="009E34A4">
        <w:rPr>
          <w:rFonts w:ascii="ITC Avant Garde" w:eastAsia="Times New Roman" w:hAnsi="ITC Avant Garde"/>
          <w:bCs/>
          <w:color w:val="000000"/>
          <w:lang w:eastAsia="es-MX"/>
        </w:rPr>
        <w:t xml:space="preserve"> los contratos de opción de compra venta y de consecuencias. </w:t>
      </w:r>
      <w:r w:rsidR="00EB1E45" w:rsidRPr="002A2450">
        <w:rPr>
          <w:rFonts w:ascii="ITC Avant Garde" w:eastAsia="Times New Roman" w:hAnsi="ITC Avant Garde"/>
          <w:bCs/>
          <w:color w:val="000000"/>
          <w:lang w:eastAsia="es-MX"/>
        </w:rPr>
        <w:t xml:space="preserve">. </w:t>
      </w:r>
    </w:p>
    <w:p w14:paraId="390CCCC6" w14:textId="77777777" w:rsidR="00B35F13" w:rsidRDefault="00795EFC"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Lo anterior, porque en efecto el pago de dividendos y la adquisición de acciones consistían en una potencialidad, la cual no se actualizó en el periodo de vigencia de los </w:t>
      </w:r>
      <w:r w:rsidR="00136D28" w:rsidRPr="002A2450">
        <w:rPr>
          <w:rFonts w:ascii="ITC Avant Garde" w:eastAsia="Times New Roman" w:hAnsi="ITC Avant Garde"/>
          <w:bCs/>
          <w:color w:val="000000"/>
          <w:lang w:eastAsia="es-MX"/>
        </w:rPr>
        <w:t xml:space="preserve">contratos de opción de compra venta y de consecuencias </w:t>
      </w:r>
      <w:r w:rsidRPr="002A2450">
        <w:rPr>
          <w:rFonts w:ascii="ITC Avant Garde" w:eastAsia="Times New Roman" w:hAnsi="ITC Avant Garde"/>
          <w:bCs/>
          <w:color w:val="000000"/>
          <w:lang w:eastAsia="es-MX"/>
        </w:rPr>
        <w:t xml:space="preserve">que concluyó el </w:t>
      </w:r>
      <w:r w:rsidR="00136D28" w:rsidRPr="002A2450">
        <w:rPr>
          <w:rFonts w:ascii="ITC Avant Garde" w:eastAsia="Times New Roman" w:hAnsi="ITC Avant Garde"/>
          <w:bCs/>
          <w:color w:val="000000"/>
          <w:lang w:eastAsia="es-MX"/>
        </w:rPr>
        <w:t>ocho</w:t>
      </w:r>
      <w:r w:rsidRPr="002A2450">
        <w:rPr>
          <w:rFonts w:ascii="ITC Avant Garde" w:eastAsia="Times New Roman" w:hAnsi="ITC Avant Garde"/>
          <w:bCs/>
          <w:color w:val="000000"/>
          <w:lang w:eastAsia="es-MX"/>
        </w:rPr>
        <w:t xml:space="preserve"> de agosto de</w:t>
      </w:r>
      <w:r w:rsidR="00136D28" w:rsidRPr="002A2450">
        <w:rPr>
          <w:rFonts w:ascii="ITC Avant Garde" w:eastAsia="Times New Roman" w:hAnsi="ITC Avant Garde"/>
          <w:bCs/>
          <w:color w:val="000000"/>
          <w:lang w:eastAsia="es-MX"/>
        </w:rPr>
        <w:t xml:space="preserve"> dos mil catorce</w:t>
      </w:r>
      <w:r w:rsidRPr="002A2450">
        <w:rPr>
          <w:rFonts w:ascii="ITC Avant Garde" w:eastAsia="Times New Roman" w:hAnsi="ITC Avant Garde"/>
          <w:bCs/>
          <w:color w:val="000000"/>
          <w:lang w:eastAsia="es-MX"/>
        </w:rPr>
        <w:t>, con la firma del Convenio de Terminación</w:t>
      </w:r>
      <w:r w:rsidR="004E4D17" w:rsidRPr="002A2450">
        <w:rPr>
          <w:rFonts w:ascii="ITC Avant Garde" w:eastAsia="Times New Roman" w:hAnsi="ITC Avant Garde"/>
          <w:bCs/>
          <w:color w:val="000000"/>
          <w:lang w:eastAsia="es-MX"/>
        </w:rPr>
        <w:t xml:space="preserve">. </w:t>
      </w:r>
    </w:p>
    <w:p w14:paraId="37933BD0" w14:textId="77777777" w:rsidR="00B35F13" w:rsidRDefault="004E4D17"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 tal forma que en efecto, no se acredita que </w:t>
      </w:r>
      <w:r w:rsidR="005853F9" w:rsidRPr="002A2450">
        <w:rPr>
          <w:rFonts w:ascii="ITC Avant Garde" w:eastAsia="Times New Roman" w:hAnsi="ITC Avant Garde"/>
          <w:b/>
          <w:bCs/>
          <w:color w:val="000000"/>
          <w:lang w:eastAsia="es-MX"/>
        </w:rPr>
        <w:t>“TELMEX”</w:t>
      </w:r>
      <w:r w:rsidR="00EB1E45"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 xml:space="preserve">se haya </w:t>
      </w:r>
      <w:r w:rsidRPr="002A2450">
        <w:rPr>
          <w:rFonts w:ascii="ITC Avant Garde" w:eastAsia="Times New Roman" w:hAnsi="ITC Avant Garde"/>
          <w:bCs/>
          <w:i/>
          <w:color w:val="000000"/>
          <w:lang w:eastAsia="es-MX"/>
        </w:rPr>
        <w:t>“beneficiado”</w:t>
      </w:r>
      <w:r w:rsidRPr="002A2450">
        <w:rPr>
          <w:rFonts w:ascii="ITC Avant Garde" w:eastAsia="Times New Roman" w:hAnsi="ITC Avant Garde"/>
          <w:bCs/>
          <w:color w:val="000000"/>
          <w:lang w:eastAsia="es-MX"/>
        </w:rPr>
        <w:t xml:space="preserve"> de las actividades de </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y sus subsidiarias, incluida </w:t>
      </w:r>
      <w:r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lang w:eastAsia="es-MX"/>
        </w:rPr>
        <w:t xml:space="preserve"> </w:t>
      </w:r>
      <w:r w:rsidR="00136D28" w:rsidRPr="002A2450">
        <w:rPr>
          <w:rFonts w:ascii="ITC Avant Garde" w:eastAsia="Times New Roman" w:hAnsi="ITC Avant Garde"/>
          <w:bCs/>
          <w:color w:val="000000"/>
          <w:lang w:eastAsia="es-MX"/>
        </w:rPr>
        <w:t>en los siguientes términos:</w:t>
      </w:r>
    </w:p>
    <w:p w14:paraId="5C316E66" w14:textId="77777777" w:rsidR="00B35F13" w:rsidRDefault="00136D28"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Los contratos </w:t>
      </w:r>
      <w:r w:rsidR="004E0FC3" w:rsidRPr="002A2450">
        <w:rPr>
          <w:rFonts w:ascii="ITC Avant Garde" w:eastAsia="Times New Roman" w:hAnsi="ITC Avant Garde"/>
          <w:bCs/>
          <w:color w:val="000000"/>
          <w:lang w:eastAsia="es-MX"/>
        </w:rPr>
        <w:t xml:space="preserve">de distribución, arrendamiento y prestación de servicios </w:t>
      </w:r>
      <w:r w:rsidRPr="002A2450">
        <w:rPr>
          <w:rFonts w:ascii="ITC Avant Garde" w:eastAsia="Times New Roman" w:hAnsi="ITC Avant Garde"/>
          <w:bCs/>
          <w:color w:val="000000"/>
          <w:lang w:eastAsia="es-MX"/>
        </w:rPr>
        <w:t>fueron analizados por la extinta Comisión Federal de Competencia en el expediente CNT-116-2008</w:t>
      </w:r>
      <w:r w:rsidR="0037479E" w:rsidRPr="002A2450">
        <w:rPr>
          <w:rStyle w:val="Refdenotaalpie"/>
          <w:rFonts w:ascii="ITC Avant Garde" w:eastAsia="Times New Roman" w:hAnsi="ITC Avant Garde"/>
          <w:bCs/>
          <w:color w:val="000000"/>
          <w:lang w:eastAsia="es-MX"/>
        </w:rPr>
        <w:footnoteReference w:id="21"/>
      </w:r>
      <w:r w:rsidRPr="002A2450">
        <w:rPr>
          <w:rFonts w:ascii="ITC Avant Garde" w:eastAsia="Times New Roman" w:hAnsi="ITC Avant Garde"/>
          <w:bCs/>
          <w:color w:val="000000"/>
          <w:lang w:eastAsia="es-MX"/>
        </w:rPr>
        <w:t xml:space="preserve">, </w:t>
      </w:r>
      <w:r w:rsidR="004E0FC3" w:rsidRPr="002A2450">
        <w:rPr>
          <w:rFonts w:ascii="ITC Avant Garde" w:eastAsia="Times New Roman" w:hAnsi="ITC Avant Garde"/>
          <w:bCs/>
          <w:color w:val="000000"/>
          <w:lang w:eastAsia="es-MX"/>
        </w:rPr>
        <w:t xml:space="preserve">de donde se </w:t>
      </w:r>
      <w:r w:rsidRPr="002A2450">
        <w:rPr>
          <w:rFonts w:ascii="ITC Avant Garde" w:eastAsia="Times New Roman" w:hAnsi="ITC Avant Garde"/>
          <w:bCs/>
          <w:color w:val="000000"/>
          <w:lang w:eastAsia="es-MX"/>
        </w:rPr>
        <w:t>advierte que:</w:t>
      </w:r>
    </w:p>
    <w:p w14:paraId="18A06B04" w14:textId="77777777" w:rsidR="00B35F13" w:rsidRDefault="00136D28"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“Los agentes informaron que Teléfonos de México, S.A.B. de C.V. (“Telmex") indirectamente proporcionará a DISH servicios de facturación y cobranza, de arrendamiento, sin que por ello se le considere como un agente económico participante en la concentración.”</w:t>
      </w:r>
    </w:p>
    <w:p w14:paraId="03A48B1A" w14:textId="77777777" w:rsidR="00B35F13" w:rsidRDefault="00E70143"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Dichos contratos fueron materia de una evaluación por parte de autoridad competente en materia de competencia económica, la cual concluyó que esos contratos no actualizan una intervención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las operaciones de </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w:t>
      </w:r>
    </w:p>
    <w:p w14:paraId="52A9B7C5" w14:textId="77777777" w:rsidR="006C67B3" w:rsidRDefault="0037479E" w:rsidP="00B35F13">
      <w:pPr>
        <w:spacing w:before="240" w:line="360" w:lineRule="auto"/>
        <w:jc w:val="both"/>
        <w:rPr>
          <w:rFonts w:ascii="ITC Avant Garde" w:eastAsia="Times New Roman" w:hAnsi="ITC Avant Garde"/>
          <w:bCs/>
          <w:color w:val="000000"/>
          <w:lang w:eastAsia="es-MX"/>
        </w:rPr>
        <w:sectPr w:rsidR="006C67B3" w:rsidSect="009F3771">
          <w:headerReference w:type="default" r:id="rId31"/>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En ese sentido, en dichos </w:t>
      </w:r>
      <w:r w:rsidR="00136D28" w:rsidRPr="002A2450">
        <w:rPr>
          <w:rFonts w:ascii="ITC Avant Garde" w:eastAsia="Times New Roman" w:hAnsi="ITC Avant Garde"/>
          <w:bCs/>
          <w:color w:val="000000"/>
          <w:lang w:eastAsia="es-MX"/>
        </w:rPr>
        <w:t xml:space="preserve">contratos existe </w:t>
      </w:r>
      <w:r w:rsidRPr="002A2450">
        <w:rPr>
          <w:rFonts w:ascii="ITC Avant Garde" w:eastAsia="Times New Roman" w:hAnsi="ITC Avant Garde"/>
          <w:bCs/>
          <w:color w:val="000000"/>
          <w:lang w:eastAsia="es-MX"/>
        </w:rPr>
        <w:t xml:space="preserve">sólo </w:t>
      </w:r>
      <w:r w:rsidR="00136D28" w:rsidRPr="002A2450">
        <w:rPr>
          <w:rFonts w:ascii="ITC Avant Garde" w:eastAsia="Times New Roman" w:hAnsi="ITC Avant Garde"/>
          <w:bCs/>
          <w:color w:val="000000"/>
          <w:lang w:eastAsia="es-MX"/>
        </w:rPr>
        <w:t xml:space="preserve">un sistema de pagos; sin embargo, este sistema corresponde al de una relación comercial que inclusive fue analizada </w:t>
      </w:r>
    </w:p>
    <w:p w14:paraId="70AEE064" w14:textId="3CE021A4" w:rsidR="00B35F13" w:rsidRDefault="00136D28" w:rsidP="00B35F13">
      <w:pPr>
        <w:spacing w:before="240" w:line="360" w:lineRule="auto"/>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y</w:t>
      </w:r>
      <w:proofErr w:type="gramEnd"/>
      <w:r w:rsidRPr="002A2450">
        <w:rPr>
          <w:rFonts w:ascii="ITC Avant Garde" w:eastAsia="Times New Roman" w:hAnsi="ITC Avant Garde"/>
          <w:bCs/>
          <w:color w:val="000000"/>
          <w:lang w:eastAsia="es-MX"/>
        </w:rPr>
        <w:t xml:space="preserve"> autorizada por la extinta Comisión Federal de Competencia. Por lo anterior, el beneficio que pudiere derivarse de estos contratos es análogo al que podría </w:t>
      </w:r>
      <w:r w:rsidR="0097544C">
        <w:rPr>
          <w:rFonts w:ascii="ITC Avant Garde" w:eastAsia="Times New Roman" w:hAnsi="ITC Avant Garde"/>
          <w:bCs/>
          <w:color w:val="000000"/>
          <w:lang w:eastAsia="es-MX"/>
        </w:rPr>
        <w:t xml:space="preserve">obtener </w:t>
      </w:r>
      <w:r w:rsidRPr="002A2450">
        <w:rPr>
          <w:rFonts w:ascii="ITC Avant Garde" w:eastAsia="Times New Roman" w:hAnsi="ITC Avant Garde"/>
          <w:bCs/>
          <w:color w:val="000000"/>
          <w:lang w:eastAsia="es-MX"/>
        </w:rPr>
        <w:t xml:space="preserve">cualquier proveedor de </w:t>
      </w:r>
      <w:r w:rsidR="0037479E"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37479E"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 xml:space="preserve"> </w:t>
      </w:r>
      <w:r w:rsidR="0037479E" w:rsidRPr="002A2450">
        <w:rPr>
          <w:rFonts w:ascii="ITC Avant Garde" w:eastAsia="Times New Roman" w:hAnsi="ITC Avant Garde"/>
          <w:bCs/>
          <w:color w:val="000000"/>
          <w:lang w:eastAsia="es-MX"/>
        </w:rPr>
        <w:t xml:space="preserve">de lo que se sigue que </w:t>
      </w:r>
      <w:r w:rsidRPr="002A2450">
        <w:rPr>
          <w:rFonts w:ascii="ITC Avant Garde" w:eastAsia="Times New Roman" w:hAnsi="ITC Avant Garde"/>
          <w:bCs/>
          <w:color w:val="000000"/>
          <w:lang w:eastAsia="es-MX"/>
        </w:rPr>
        <w:t>no constituye un beneficio proveniente de la participación o intervención de las actividades concesionadas</w:t>
      </w:r>
      <w:r w:rsidR="0097544C">
        <w:rPr>
          <w:rFonts w:ascii="ITC Avant Garde" w:eastAsia="Times New Roman" w:hAnsi="ITC Avant Garde"/>
          <w:bCs/>
          <w:color w:val="000000"/>
          <w:lang w:eastAsia="es-MX"/>
        </w:rPr>
        <w:t>, puesto que ello sólo se mantuvo en la potencialidad de ser ejercido sin que existan elementos en los autos del expediente en que se actúa que ello se haya ejercido o realizado hasta la emisión de la presente resolución</w:t>
      </w:r>
      <w:r w:rsidRPr="002A2450">
        <w:rPr>
          <w:rFonts w:ascii="ITC Avant Garde" w:eastAsia="Times New Roman" w:hAnsi="ITC Avant Garde"/>
          <w:bCs/>
          <w:color w:val="000000"/>
          <w:lang w:eastAsia="es-MX"/>
        </w:rPr>
        <w:t>.</w:t>
      </w:r>
    </w:p>
    <w:p w14:paraId="4C11D0D0" w14:textId="1E95B93C" w:rsidR="00B35F13" w:rsidRDefault="0037479E"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Asimismo debe recalcarse que en términos de las constancias de lo resuelto en el expediente </w:t>
      </w:r>
      <w:r w:rsidRPr="002A2450">
        <w:rPr>
          <w:rFonts w:ascii="ITC Avant Garde" w:eastAsia="Times New Roman" w:hAnsi="ITC Avant Garde"/>
          <w:b/>
          <w:bCs/>
          <w:color w:val="000000"/>
          <w:lang w:eastAsia="es-MX"/>
        </w:rPr>
        <w:t>E-IFT/UC/DGIPM/PMR/003/2013</w:t>
      </w:r>
      <w:r w:rsidRPr="002A2450">
        <w:rPr>
          <w:rFonts w:ascii="ITC Avant Garde" w:eastAsia="Times New Roman" w:hAnsi="ITC Avant Garde"/>
          <w:bCs/>
          <w:color w:val="000000"/>
          <w:lang w:eastAsia="es-MX"/>
        </w:rPr>
        <w:t xml:space="preserve">, </w:t>
      </w:r>
      <w:r w:rsidR="0097544C">
        <w:rPr>
          <w:rFonts w:ascii="ITC Avant Garde" w:eastAsia="Times New Roman" w:hAnsi="ITC Avant Garde"/>
          <w:b/>
          <w:bCs/>
          <w:color w:val="000000"/>
          <w:u w:val="single"/>
          <w:lang w:eastAsia="es-MX"/>
        </w:rPr>
        <w:t xml:space="preserve">sólo </w:t>
      </w:r>
      <w:r w:rsidRPr="002A2450">
        <w:rPr>
          <w:rFonts w:ascii="ITC Avant Garde" w:eastAsia="Times New Roman" w:hAnsi="ITC Avant Garde"/>
          <w:bCs/>
          <w:color w:val="000000"/>
          <w:lang w:eastAsia="es-MX"/>
        </w:rPr>
        <w:t>el Contrato de Consecuencias y el Contrato de Opción de Compra y Venta otorga</w:t>
      </w:r>
      <w:r w:rsidR="004B628C" w:rsidRPr="002A2450">
        <w:rPr>
          <w:rFonts w:ascii="ITC Avant Garde" w:eastAsia="Times New Roman" w:hAnsi="ITC Avant Garde"/>
          <w:bCs/>
          <w:color w:val="000000"/>
          <w:lang w:eastAsia="es-MX"/>
        </w:rPr>
        <w:t>ron</w:t>
      </w:r>
      <w:r w:rsidRPr="002A2450">
        <w:rPr>
          <w:rFonts w:ascii="ITC Avant Garde" w:eastAsia="Times New Roman" w:hAnsi="ITC Avant Garde"/>
          <w:bCs/>
          <w:color w:val="000000"/>
          <w:lang w:eastAsia="es-MX"/>
        </w:rPr>
        <w:t xml:space="preserve"> a </w:t>
      </w:r>
      <w:r w:rsidR="004B628C" w:rsidRPr="002A2450">
        <w:rPr>
          <w:rFonts w:ascii="ITC Avant Garde" w:eastAsia="Times New Roman" w:hAnsi="ITC Avant Garde"/>
          <w:b/>
          <w:bCs/>
          <w:color w:val="000000"/>
          <w:lang w:eastAsia="es-MX"/>
        </w:rPr>
        <w:t>“TENINVER”</w:t>
      </w:r>
      <w:r w:rsidR="004B628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y </w:t>
      </w:r>
      <w:r w:rsidR="004B628C" w:rsidRPr="002A2450">
        <w:rPr>
          <w:rFonts w:ascii="ITC Avant Garde" w:eastAsia="Times New Roman" w:hAnsi="ITC Avant Garde"/>
          <w:bCs/>
          <w:color w:val="000000"/>
          <w:lang w:eastAsia="es-MX"/>
        </w:rPr>
        <w:t xml:space="preserve">como consecuencia a </w:t>
      </w:r>
      <w:r w:rsidR="004B628C" w:rsidRPr="002A2450">
        <w:rPr>
          <w:rFonts w:ascii="ITC Avant Garde" w:eastAsia="Times New Roman" w:hAnsi="ITC Avant Garde"/>
          <w:b/>
          <w:bCs/>
          <w:color w:val="000000"/>
          <w:lang w:eastAsia="es-MX"/>
        </w:rPr>
        <w:t>“TELMEX”</w:t>
      </w:r>
      <w:r w:rsidR="004B628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derechos y obligaciones económicos sobre el capital social de </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tal y como si desde ése momento fueran accionistas</w:t>
      </w:r>
      <w:r w:rsidR="0097544C">
        <w:rPr>
          <w:rFonts w:ascii="ITC Avant Garde" w:eastAsia="Times New Roman" w:hAnsi="ITC Avant Garde"/>
          <w:bCs/>
          <w:color w:val="000000"/>
          <w:lang w:eastAsia="es-MX"/>
        </w:rPr>
        <w:t>, pero no así los contratos de distribución, prestación de servicios y arrendamiento</w:t>
      </w:r>
      <w:r w:rsidRPr="002A2450">
        <w:rPr>
          <w:rFonts w:ascii="ITC Avant Garde" w:eastAsia="Times New Roman" w:hAnsi="ITC Avant Garde"/>
          <w:bCs/>
          <w:color w:val="000000"/>
          <w:lang w:eastAsia="es-MX"/>
        </w:rPr>
        <w:t>.</w:t>
      </w:r>
    </w:p>
    <w:p w14:paraId="15D14629" w14:textId="77777777" w:rsidR="00B35F13" w:rsidRDefault="0097544C" w:rsidP="00B35F13">
      <w:pPr>
        <w:spacing w:before="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Los </w:t>
      </w:r>
      <w:r w:rsidR="0037479E" w:rsidRPr="002A2450">
        <w:rPr>
          <w:rFonts w:ascii="ITC Avant Garde" w:eastAsia="Times New Roman" w:hAnsi="ITC Avant Garde"/>
          <w:bCs/>
          <w:color w:val="000000"/>
          <w:lang w:eastAsia="es-MX"/>
        </w:rPr>
        <w:t xml:space="preserve">contratos </w:t>
      </w:r>
      <w:r w:rsidRPr="00F76758">
        <w:rPr>
          <w:rFonts w:ascii="ITC Avant Garde" w:eastAsia="Times New Roman" w:hAnsi="ITC Avant Garde"/>
          <w:bCs/>
          <w:color w:val="000000"/>
          <w:lang w:eastAsia="es-MX"/>
        </w:rPr>
        <w:t>Consecuencias y el Contrato de Opción de Compra y Venta</w:t>
      </w:r>
      <w:r>
        <w:rPr>
          <w:rFonts w:ascii="ITC Avant Garde" w:eastAsia="Times New Roman" w:hAnsi="ITC Avant Garde"/>
          <w:bCs/>
          <w:color w:val="000000"/>
          <w:lang w:eastAsia="es-MX"/>
        </w:rPr>
        <w:t>,</w:t>
      </w:r>
      <w:r w:rsidRPr="00F76758">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establecieron la posibilidad de que </w:t>
      </w:r>
      <w:r w:rsidR="004B628C" w:rsidRPr="002A2450">
        <w:rPr>
          <w:rFonts w:ascii="ITC Avant Garde" w:eastAsia="Times New Roman" w:hAnsi="ITC Avant Garde"/>
          <w:b/>
          <w:bCs/>
          <w:color w:val="000000"/>
          <w:lang w:eastAsia="es-MX"/>
        </w:rPr>
        <w:t xml:space="preserve">“TENINVER” </w:t>
      </w:r>
      <w:r w:rsidR="0037479E" w:rsidRPr="002A2450">
        <w:rPr>
          <w:rFonts w:ascii="ITC Avant Garde" w:eastAsia="Times New Roman" w:hAnsi="ITC Avant Garde"/>
          <w:b/>
          <w:bCs/>
          <w:color w:val="000000"/>
          <w:lang w:eastAsia="es-MX"/>
        </w:rPr>
        <w:t xml:space="preserve">y </w:t>
      </w:r>
      <w:r w:rsidR="004B628C" w:rsidRPr="002A2450">
        <w:rPr>
          <w:rFonts w:ascii="ITC Avant Garde" w:eastAsia="Times New Roman" w:hAnsi="ITC Avant Garde"/>
          <w:b/>
          <w:bCs/>
          <w:color w:val="000000"/>
          <w:lang w:eastAsia="es-MX"/>
        </w:rPr>
        <w:t>“TELMEX”</w:t>
      </w:r>
      <w:r w:rsidR="0037479E" w:rsidRPr="002A2450">
        <w:rPr>
          <w:rFonts w:ascii="ITC Avant Garde" w:eastAsia="Times New Roman" w:hAnsi="ITC Avant Garde"/>
          <w:bCs/>
          <w:color w:val="000000"/>
          <w:lang w:eastAsia="es-MX"/>
        </w:rPr>
        <w:t xml:space="preserve"> obtuvieran derechos para intervenir en la operación de la actividad concesionada.</w:t>
      </w:r>
    </w:p>
    <w:p w14:paraId="17C54A6A" w14:textId="77777777" w:rsidR="00B35F13" w:rsidRDefault="004B628C" w:rsidP="00CE1EA8">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Sin embargo, </w:t>
      </w:r>
      <w:r w:rsidR="00E54463">
        <w:rPr>
          <w:rFonts w:ascii="ITC Avant Garde" w:eastAsia="Times New Roman" w:hAnsi="ITC Avant Garde"/>
          <w:bCs/>
          <w:color w:val="000000"/>
          <w:lang w:eastAsia="es-MX"/>
        </w:rPr>
        <w:t xml:space="preserve">para efectos de nuestro análisis </w:t>
      </w:r>
      <w:r w:rsidRPr="002A2450">
        <w:rPr>
          <w:rFonts w:ascii="ITC Avant Garde" w:eastAsia="Times New Roman" w:hAnsi="ITC Avant Garde"/>
          <w:bCs/>
          <w:color w:val="000000"/>
          <w:lang w:eastAsia="es-MX"/>
        </w:rPr>
        <w:t xml:space="preserve">ello no acredita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y </w:t>
      </w:r>
      <w:r w:rsidRPr="002A2450">
        <w:rPr>
          <w:rFonts w:ascii="ITC Avant Garde" w:eastAsia="Times New Roman" w:hAnsi="ITC Avant Garde"/>
          <w:b/>
          <w:bCs/>
          <w:color w:val="000000"/>
          <w:lang w:eastAsia="es-MX"/>
        </w:rPr>
        <w:t>“TENINVER”</w:t>
      </w:r>
      <w:r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hayan recibido un beneficio de </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y menos que tal beneficio procediera de las actividades concesionadas a </w:t>
      </w:r>
      <w:r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lang w:eastAsia="es-MX"/>
        </w:rPr>
        <w:t xml:space="preserve"> sino únicamente la posibilidad de tener injerencia en el servicio prestado por ésta última concesionaria</w:t>
      </w:r>
      <w:r w:rsidR="0037479E" w:rsidRPr="002A2450">
        <w:rPr>
          <w:rFonts w:ascii="ITC Avant Garde" w:eastAsia="Times New Roman" w:hAnsi="ITC Avant Garde"/>
          <w:bCs/>
          <w:color w:val="000000"/>
          <w:lang w:eastAsia="es-MX"/>
        </w:rPr>
        <w:t xml:space="preserve">. Para ello </w:t>
      </w:r>
      <w:r w:rsidR="005853F9" w:rsidRPr="002A2450">
        <w:rPr>
          <w:rFonts w:ascii="ITC Avant Garde" w:eastAsia="Times New Roman" w:hAnsi="ITC Avant Garde"/>
          <w:bCs/>
          <w:color w:val="000000"/>
          <w:lang w:eastAsia="es-MX"/>
        </w:rPr>
        <w:t xml:space="preserve">se considera </w:t>
      </w:r>
      <w:r w:rsidR="0037479E" w:rsidRPr="002A2450">
        <w:rPr>
          <w:rFonts w:ascii="ITC Avant Garde" w:eastAsia="Times New Roman" w:hAnsi="ITC Avant Garde"/>
          <w:bCs/>
          <w:color w:val="000000"/>
          <w:lang w:eastAsia="es-MX"/>
        </w:rPr>
        <w:t>lo siguiente:</w:t>
      </w:r>
    </w:p>
    <w:p w14:paraId="690C5E9C" w14:textId="77777777" w:rsidR="006C67B3" w:rsidRDefault="0037479E" w:rsidP="00B35F13">
      <w:pPr>
        <w:spacing w:before="240" w:line="360" w:lineRule="auto"/>
        <w:jc w:val="both"/>
        <w:rPr>
          <w:rFonts w:ascii="ITC Avant Garde" w:eastAsia="Times New Roman" w:hAnsi="ITC Avant Garde"/>
          <w:bCs/>
          <w:color w:val="000000"/>
          <w:lang w:eastAsia="es-MX"/>
        </w:rPr>
        <w:sectPr w:rsidR="006C67B3" w:rsidSect="009F3771">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a) Contrato de Opción de Compra y Venta. El establecimiento de amplias facultades de acceso a información financiera, así como de inspección a favor de </w:t>
      </w:r>
      <w:r w:rsidR="004B628C" w:rsidRPr="002A2450">
        <w:rPr>
          <w:rFonts w:ascii="ITC Avant Garde" w:eastAsia="Times New Roman" w:hAnsi="ITC Avant Garde"/>
          <w:b/>
          <w:bCs/>
          <w:color w:val="000000"/>
          <w:lang w:eastAsia="es-MX"/>
        </w:rPr>
        <w:t>“TELMEX”</w:t>
      </w:r>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Con dichas prerrogativas se otorgan a </w:t>
      </w:r>
      <w:r w:rsidR="004B628C"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a través de </w:t>
      </w:r>
      <w:r w:rsidR="004B628C" w:rsidRPr="002A2450">
        <w:rPr>
          <w:rFonts w:ascii="ITC Avant Garde" w:eastAsia="Times New Roman" w:hAnsi="ITC Avant Garde"/>
          <w:b/>
          <w:bCs/>
          <w:color w:val="000000"/>
          <w:lang w:eastAsia="es-MX"/>
        </w:rPr>
        <w:t>“TENINVER”</w:t>
      </w:r>
      <w:r w:rsidRPr="002A2450">
        <w:rPr>
          <w:rFonts w:ascii="ITC Avant Garde" w:eastAsia="Times New Roman" w:hAnsi="ITC Avant Garde"/>
          <w:bCs/>
          <w:color w:val="000000"/>
          <w:lang w:eastAsia="es-MX"/>
        </w:rPr>
        <w:t xml:space="preserve">, derechos que no se limitan al monitoreo de cuestiones relacionadas directamente con los servicios que </w:t>
      </w:r>
      <w:r w:rsidR="004B628C" w:rsidRPr="002A2450">
        <w:rPr>
          <w:rFonts w:ascii="ITC Avant Garde" w:eastAsia="Times New Roman" w:hAnsi="ITC Avant Garde"/>
          <w:b/>
          <w:bCs/>
          <w:color w:val="000000"/>
          <w:lang w:eastAsia="es-MX"/>
        </w:rPr>
        <w:t>“TELMEX”</w:t>
      </w:r>
      <w:r w:rsidR="004B628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y </w:t>
      </w:r>
      <w:r w:rsidR="004B628C" w:rsidRPr="002A2450">
        <w:rPr>
          <w:rFonts w:ascii="ITC Avant Garde" w:eastAsia="Times New Roman" w:hAnsi="ITC Avant Garde"/>
          <w:b/>
          <w:bCs/>
          <w:color w:val="000000"/>
          <w:lang w:eastAsia="es-MX"/>
        </w:rPr>
        <w:t>“TENINVER”</w:t>
      </w:r>
      <w:r w:rsidR="004B628C"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prestan a </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sino que se </w:t>
      </w:r>
    </w:p>
    <w:p w14:paraId="391C5D27" w14:textId="7D776937" w:rsidR="00B35F13" w:rsidRDefault="0037479E" w:rsidP="00B35F13">
      <w:pPr>
        <w:spacing w:before="240" w:line="360" w:lineRule="auto"/>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les</w:t>
      </w:r>
      <w:proofErr w:type="gramEnd"/>
      <w:r w:rsidRPr="002A2450">
        <w:rPr>
          <w:rFonts w:ascii="ITC Avant Garde" w:eastAsia="Times New Roman" w:hAnsi="ITC Avant Garde"/>
          <w:bCs/>
          <w:color w:val="000000"/>
          <w:lang w:eastAsia="es-MX"/>
        </w:rPr>
        <w:t xml:space="preserve"> otorga el derecho de acceso a información de </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4B628C"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y de sus subsidiarias, entre las cuales figura </w:t>
      </w:r>
      <w:r w:rsidR="004B628C"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vertAlign w:val="superscript"/>
          <w:lang w:eastAsia="es-MX"/>
        </w:rPr>
        <w:footnoteReference w:id="22"/>
      </w:r>
    </w:p>
    <w:p w14:paraId="60A51F3E" w14:textId="77777777" w:rsidR="00B35F13" w:rsidRDefault="004B628C"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Al respecto, dicho </w:t>
      </w:r>
      <w:r w:rsidR="0037479E" w:rsidRPr="002A2450">
        <w:rPr>
          <w:rFonts w:ascii="ITC Avant Garde" w:eastAsia="Times New Roman" w:hAnsi="ITC Avant Garde"/>
          <w:bCs/>
          <w:color w:val="000000"/>
          <w:lang w:eastAsia="es-MX"/>
        </w:rPr>
        <w:t>contrato otorga a</w:t>
      </w:r>
      <w:r w:rsidRPr="002A2450">
        <w:rPr>
          <w:rFonts w:ascii="ITC Avant Garde" w:eastAsia="Times New Roman" w:hAnsi="ITC Avant Garde"/>
          <w:bCs/>
          <w:color w:val="000000"/>
          <w:lang w:eastAsia="es-MX"/>
        </w:rPr>
        <w:t xml:space="preserve"> </w:t>
      </w:r>
      <w:r w:rsidRPr="002A2450">
        <w:rPr>
          <w:rFonts w:ascii="ITC Avant Garde" w:eastAsia="Times New Roman" w:hAnsi="ITC Avant Garde"/>
          <w:b/>
          <w:bCs/>
          <w:color w:val="000000"/>
          <w:lang w:eastAsia="es-MX"/>
        </w:rPr>
        <w:t>“TELMEX”</w:t>
      </w:r>
      <w:r w:rsidR="0037479E"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a través de </w:t>
      </w:r>
      <w:r w:rsidRPr="002A2450">
        <w:rPr>
          <w:rFonts w:ascii="ITC Avant Garde" w:eastAsia="Times New Roman" w:hAnsi="ITC Avant Garde"/>
          <w:b/>
          <w:bCs/>
          <w:color w:val="000000"/>
          <w:lang w:eastAsia="es-MX"/>
        </w:rPr>
        <w:t>“TENINVER”</w:t>
      </w:r>
      <w:r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derechos y obligaciones económicos sobre </w:t>
      </w:r>
      <w:r w:rsidR="00A94C33" w:rsidRPr="002A2450">
        <w:rPr>
          <w:rFonts w:ascii="ITC Avant Garde" w:eastAsia="Times New Roman" w:hAnsi="ITC Avant Garde"/>
          <w:bCs/>
          <w:color w:val="000000"/>
          <w:lang w:eastAsia="es-MX"/>
        </w:rPr>
        <w:t xml:space="preserve">la posibilidad de participar en </w:t>
      </w:r>
      <w:r w:rsidR="0037479E" w:rsidRPr="002A2450">
        <w:rPr>
          <w:rFonts w:ascii="ITC Avant Garde" w:eastAsia="Times New Roman" w:hAnsi="ITC Avant Garde"/>
          <w:bCs/>
          <w:color w:val="000000"/>
          <w:lang w:eastAsia="es-MX"/>
        </w:rPr>
        <w:t xml:space="preserve">el capital social de </w:t>
      </w:r>
      <w:r w:rsidRPr="002A2450">
        <w:rPr>
          <w:rFonts w:ascii="ITC Avant Garde" w:eastAsia="Times New Roman" w:hAnsi="ITC Avant Garde"/>
          <w:b/>
          <w:bCs/>
          <w:color w:val="000000"/>
          <w:lang w:eastAsia="es-MX"/>
        </w:rPr>
        <w:t>“</w:t>
      </w:r>
      <w:r w:rsidR="0037479E" w:rsidRPr="002A2450">
        <w:rPr>
          <w:rFonts w:ascii="ITC Avant Garde" w:eastAsia="Times New Roman" w:hAnsi="ITC Avant Garde"/>
          <w:b/>
          <w:bCs/>
          <w:color w:val="000000"/>
          <w:lang w:eastAsia="es-MX"/>
        </w:rPr>
        <w:t>DISH MÉXICO</w:t>
      </w:r>
      <w:r w:rsidRPr="002A2450">
        <w:rPr>
          <w:rFonts w:ascii="ITC Avant Garde" w:eastAsia="Times New Roman" w:hAnsi="ITC Avant Garde"/>
          <w:b/>
          <w:bCs/>
          <w:color w:val="000000"/>
          <w:lang w:eastAsia="es-MX"/>
        </w:rPr>
        <w:t>”</w:t>
      </w:r>
      <w:r w:rsidR="0037479E" w:rsidRPr="002A2450">
        <w:rPr>
          <w:rFonts w:ascii="ITC Avant Garde" w:eastAsia="Times New Roman" w:hAnsi="ITC Avant Garde"/>
          <w:bCs/>
          <w:color w:val="000000"/>
          <w:lang w:eastAsia="es-MX"/>
        </w:rPr>
        <w:t xml:space="preserve"> como si desde ese momento fuera accionista. </w:t>
      </w:r>
    </w:p>
    <w:p w14:paraId="2AB1F6A9" w14:textId="77777777" w:rsidR="00B35F13" w:rsidRDefault="0037479E"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Al respecto, en el Contrato de Opción de Compra y Venta se estipula lo siguiente:</w:t>
      </w:r>
    </w:p>
    <w:p w14:paraId="10F53CC5" w14:textId="77777777" w:rsidR="00B35F13" w:rsidRDefault="0037479E" w:rsidP="007E623E">
      <w:pPr>
        <w:numPr>
          <w:ilvl w:val="0"/>
          <w:numId w:val="61"/>
        </w:numPr>
        <w:spacing w:before="240" w:line="360" w:lineRule="auto"/>
        <w:ind w:left="284" w:hanging="284"/>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Respecto del otorgamiento de opciones de compra y venta a un precio que no depende del valor de mercado de </w:t>
      </w:r>
      <w:r w:rsidR="005853F9"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5853F9"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w:t>
      </w:r>
    </w:p>
    <w:p w14:paraId="6242AB2E" w14:textId="6AD427E8" w:rsidR="00B35F13" w:rsidRDefault="000216DE" w:rsidP="007E623E">
      <w:pPr>
        <w:numPr>
          <w:ilvl w:val="0"/>
          <w:numId w:val="62"/>
        </w:numPr>
        <w:spacing w:before="240" w:line="360" w:lineRule="auto"/>
        <w:ind w:left="709" w:hanging="283"/>
        <w:jc w:val="both"/>
        <w:rPr>
          <w:rFonts w:ascii="ITC Avant Garde" w:eastAsia="Times New Roman" w:hAnsi="ITC Avant Garde"/>
          <w:bCs/>
          <w:color w:val="000000"/>
          <w:lang w:eastAsia="es-MX"/>
        </w:rPr>
      </w:pPr>
      <w:r w:rsidRPr="006F3516">
        <w:rPr>
          <w:rFonts w:ascii="ITC Avant Garde" w:eastAsiaTheme="majorEastAsia" w:hAnsi="ITC Avant Garde" w:cstheme="majorBidi"/>
          <w:b/>
          <w:color w:val="0000FF"/>
          <w:szCs w:val="32"/>
        </w:rPr>
        <w:t>“CONFIDENCIAL POR LEY”</w:t>
      </w:r>
      <w:r w:rsidR="0037479E" w:rsidRPr="002A2450">
        <w:rPr>
          <w:rFonts w:ascii="ITC Avant Garde" w:eastAsia="Times New Roman" w:hAnsi="ITC Avant Garde"/>
          <w:bCs/>
          <w:color w:val="000000"/>
          <w:vertAlign w:val="superscript"/>
          <w:lang w:eastAsia="es-MX"/>
        </w:rPr>
        <w:footnoteReference w:id="23"/>
      </w:r>
      <w:r w:rsidR="0037479E" w:rsidRPr="002A2450">
        <w:rPr>
          <w:rFonts w:ascii="ITC Avant Garde" w:eastAsia="Times New Roman" w:hAnsi="ITC Avant Garde"/>
          <w:bCs/>
          <w:color w:val="000000"/>
          <w:lang w:eastAsia="es-MX"/>
        </w:rPr>
        <w:t xml:space="preserve"> establece el derecho incondicional e irrevocable de </w:t>
      </w:r>
      <w:r w:rsidR="005853F9" w:rsidRPr="002A2450">
        <w:rPr>
          <w:rFonts w:ascii="ITC Avant Garde" w:eastAsia="Times New Roman" w:hAnsi="ITC Avant Garde"/>
          <w:b/>
          <w:bCs/>
          <w:color w:val="000000"/>
          <w:lang w:eastAsia="es-MX"/>
        </w:rPr>
        <w:t>“TENINVER”</w:t>
      </w:r>
      <w:r w:rsidR="005853F9"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de suscribir una parte social representativa del cincuenta y uno por ciento de los derechos económicos y de voto de </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
          <w:bCs/>
          <w:color w:val="000000"/>
          <w:lang w:eastAsia="es-MX"/>
        </w:rPr>
        <w:t>DISH MÉXICO</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Cs/>
          <w:color w:val="000000"/>
          <w:lang w:eastAsia="es-MX"/>
        </w:rPr>
        <w:t>.</w:t>
      </w:r>
    </w:p>
    <w:p w14:paraId="55F35B0B" w14:textId="4CC63460" w:rsidR="00B35F13" w:rsidRDefault="000216DE" w:rsidP="007E623E">
      <w:pPr>
        <w:numPr>
          <w:ilvl w:val="0"/>
          <w:numId w:val="62"/>
        </w:numPr>
        <w:spacing w:before="240" w:line="360" w:lineRule="auto"/>
        <w:ind w:left="709" w:hanging="283"/>
        <w:jc w:val="both"/>
        <w:rPr>
          <w:rFonts w:ascii="ITC Avant Garde" w:eastAsia="Times New Roman" w:hAnsi="ITC Avant Garde"/>
          <w:bCs/>
          <w:color w:val="000000"/>
          <w:lang w:eastAsia="es-MX"/>
        </w:rPr>
      </w:pPr>
      <w:r w:rsidRPr="006F3516">
        <w:rPr>
          <w:rFonts w:ascii="ITC Avant Garde" w:eastAsiaTheme="majorEastAsia" w:hAnsi="ITC Avant Garde" w:cstheme="majorBidi"/>
          <w:b/>
          <w:color w:val="0000FF"/>
          <w:szCs w:val="32"/>
        </w:rPr>
        <w:t>“CONFIDENCIAL POR LEY”</w:t>
      </w:r>
      <w:r w:rsidR="0037479E" w:rsidRPr="002A2450">
        <w:rPr>
          <w:rFonts w:ascii="ITC Avant Garde" w:eastAsia="Times New Roman" w:hAnsi="ITC Avant Garde"/>
          <w:bCs/>
          <w:color w:val="000000"/>
          <w:vertAlign w:val="superscript"/>
          <w:lang w:eastAsia="es-MX"/>
        </w:rPr>
        <w:footnoteReference w:id="24"/>
      </w:r>
      <w:r w:rsidR="0037479E" w:rsidRPr="002A2450">
        <w:rPr>
          <w:rFonts w:ascii="ITC Avant Garde" w:eastAsia="Times New Roman" w:hAnsi="ITC Avant Garde"/>
          <w:bCs/>
          <w:color w:val="000000"/>
          <w:vertAlign w:val="superscript"/>
          <w:lang w:eastAsia="es-MX"/>
        </w:rPr>
        <w:t xml:space="preserve"> </w:t>
      </w:r>
      <w:r w:rsidR="0037479E" w:rsidRPr="002A2450">
        <w:rPr>
          <w:rFonts w:ascii="ITC Avant Garde" w:eastAsia="Times New Roman" w:hAnsi="ITC Avant Garde"/>
          <w:bCs/>
          <w:color w:val="000000"/>
          <w:lang w:eastAsia="es-MX"/>
        </w:rPr>
        <w:t xml:space="preserve">establece el derecho incondicional e irrevocable de </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
          <w:bCs/>
          <w:color w:val="000000"/>
          <w:lang w:eastAsia="es-MX"/>
        </w:rPr>
        <w:t>DISH MÉXICO</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
          <w:bCs/>
          <w:color w:val="000000"/>
          <w:lang w:eastAsia="es-MX"/>
        </w:rPr>
        <w:t xml:space="preserve"> </w:t>
      </w:r>
      <w:r w:rsidR="0037479E" w:rsidRPr="002A2450">
        <w:rPr>
          <w:rFonts w:ascii="ITC Avant Garde" w:eastAsia="Times New Roman" w:hAnsi="ITC Avant Garde"/>
          <w:bCs/>
          <w:color w:val="000000"/>
          <w:lang w:eastAsia="es-MX"/>
        </w:rPr>
        <w:t xml:space="preserve">de requerir a </w:t>
      </w:r>
      <w:r w:rsidR="005853F9" w:rsidRPr="002A2450">
        <w:rPr>
          <w:rFonts w:ascii="ITC Avant Garde" w:eastAsia="Times New Roman" w:hAnsi="ITC Avant Garde"/>
          <w:b/>
          <w:bCs/>
          <w:color w:val="000000"/>
          <w:lang w:eastAsia="es-MX"/>
        </w:rPr>
        <w:t xml:space="preserve">“TENINVER” </w:t>
      </w:r>
      <w:r w:rsidR="0037479E" w:rsidRPr="002A2450">
        <w:rPr>
          <w:rFonts w:ascii="ITC Avant Garde" w:eastAsia="Times New Roman" w:hAnsi="ITC Avant Garde"/>
          <w:bCs/>
          <w:color w:val="000000"/>
          <w:lang w:eastAsia="es-MX"/>
        </w:rPr>
        <w:t xml:space="preserve">que suscriba una parte social representativa de cincuenta y uno por ciento de los derechos económicos y de voto de </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
          <w:bCs/>
          <w:color w:val="000000"/>
          <w:lang w:eastAsia="es-MX"/>
        </w:rPr>
        <w:t>DISH MÉXICO</w:t>
      </w:r>
      <w:r w:rsidR="005853F9" w:rsidRPr="002A2450">
        <w:rPr>
          <w:rFonts w:ascii="ITC Avant Garde" w:eastAsia="Times New Roman" w:hAnsi="ITC Avant Garde"/>
          <w:b/>
          <w:bCs/>
          <w:color w:val="000000"/>
          <w:lang w:eastAsia="es-MX"/>
        </w:rPr>
        <w:t>”</w:t>
      </w:r>
      <w:r w:rsidR="0037479E" w:rsidRPr="002A2450">
        <w:rPr>
          <w:rFonts w:ascii="ITC Avant Garde" w:eastAsia="Times New Roman" w:hAnsi="ITC Avant Garde"/>
          <w:bCs/>
          <w:color w:val="000000"/>
          <w:lang w:eastAsia="es-MX"/>
        </w:rPr>
        <w:t>.</w:t>
      </w:r>
    </w:p>
    <w:p w14:paraId="25974ADC" w14:textId="24952EA6" w:rsidR="00B35F13" w:rsidRDefault="000216DE" w:rsidP="007E623E">
      <w:pPr>
        <w:numPr>
          <w:ilvl w:val="0"/>
          <w:numId w:val="62"/>
        </w:numPr>
        <w:spacing w:before="240" w:line="360" w:lineRule="auto"/>
        <w:ind w:left="709" w:hanging="283"/>
        <w:jc w:val="both"/>
        <w:rPr>
          <w:rFonts w:ascii="ITC Avant Garde" w:eastAsia="Times New Roman" w:hAnsi="ITC Avant Garde"/>
          <w:bCs/>
          <w:color w:val="000000"/>
          <w:lang w:eastAsia="es-MX"/>
        </w:rPr>
      </w:pPr>
      <w:r w:rsidRPr="006F3516">
        <w:rPr>
          <w:rFonts w:ascii="ITC Avant Garde" w:eastAsiaTheme="majorEastAsia" w:hAnsi="ITC Avant Garde" w:cstheme="majorBidi"/>
          <w:b/>
          <w:color w:val="0000FF"/>
          <w:szCs w:val="32"/>
        </w:rPr>
        <w:t>“CONFIDENCIAL POR LEY”</w:t>
      </w:r>
      <w:r w:rsidR="0037479E" w:rsidRPr="002A2450">
        <w:rPr>
          <w:rFonts w:ascii="ITC Avant Garde" w:eastAsia="Times New Roman" w:hAnsi="ITC Avant Garde"/>
          <w:bCs/>
          <w:color w:val="000000"/>
          <w:vertAlign w:val="superscript"/>
          <w:lang w:eastAsia="es-MX"/>
        </w:rPr>
        <w:footnoteReference w:id="25"/>
      </w:r>
      <w:r w:rsidR="0037479E" w:rsidRPr="002A2450">
        <w:rPr>
          <w:rFonts w:ascii="ITC Avant Garde" w:eastAsia="Times New Roman" w:hAnsi="ITC Avant Garde"/>
          <w:bCs/>
          <w:color w:val="000000"/>
          <w:lang w:eastAsia="es-MX"/>
        </w:rPr>
        <w:t xml:space="preserve"> establece el precio de ejercicio de la opción, el cual asciende a </w:t>
      </w:r>
      <w:r w:rsidR="0037479E" w:rsidRPr="002A2450">
        <w:rPr>
          <w:rFonts w:ascii="ITC Avant Garde" w:eastAsia="Times New Roman" w:hAnsi="ITC Avant Garde"/>
          <w:b/>
          <w:bCs/>
          <w:color w:val="000000"/>
          <w:lang w:eastAsia="es-MX"/>
        </w:rPr>
        <w:t>US</w:t>
      </w:r>
      <w:r w:rsidR="005853F9" w:rsidRPr="002A2450">
        <w:rPr>
          <w:rFonts w:ascii="ITC Avant Garde" w:eastAsia="Times New Roman" w:hAnsi="ITC Avant Garde"/>
          <w:b/>
          <w:bCs/>
          <w:color w:val="000000"/>
          <w:lang w:eastAsia="es-MX"/>
        </w:rPr>
        <w:t>D</w:t>
      </w:r>
      <w:r w:rsidR="0037479E" w:rsidRPr="002A2450">
        <w:rPr>
          <w:rFonts w:ascii="ITC Avant Garde" w:eastAsia="Times New Roman" w:hAnsi="ITC Avant Garde"/>
          <w:b/>
          <w:bCs/>
          <w:color w:val="000000"/>
          <w:lang w:eastAsia="es-MX"/>
        </w:rPr>
        <w:t xml:space="preserve"> $325’000,000.00</w:t>
      </w:r>
      <w:r w:rsidR="0037479E" w:rsidRPr="002A2450">
        <w:rPr>
          <w:rFonts w:ascii="ITC Avant Garde" w:eastAsia="Times New Roman" w:hAnsi="ITC Avant Garde"/>
          <w:bCs/>
          <w:color w:val="000000"/>
          <w:lang w:eastAsia="es-MX"/>
        </w:rPr>
        <w:t xml:space="preserve">. </w:t>
      </w:r>
    </w:p>
    <w:p w14:paraId="2F57BE85" w14:textId="3E8C8D36" w:rsidR="00B35F13" w:rsidRDefault="000216DE" w:rsidP="007E623E">
      <w:pPr>
        <w:numPr>
          <w:ilvl w:val="0"/>
          <w:numId w:val="62"/>
        </w:numPr>
        <w:spacing w:before="240" w:line="360" w:lineRule="auto"/>
        <w:ind w:left="709" w:hanging="283"/>
        <w:jc w:val="both"/>
        <w:rPr>
          <w:rFonts w:ascii="ITC Avant Garde" w:eastAsia="Times New Roman" w:hAnsi="ITC Avant Garde"/>
          <w:bCs/>
          <w:color w:val="000000"/>
          <w:lang w:eastAsia="es-MX"/>
        </w:rPr>
      </w:pPr>
      <w:r w:rsidRPr="006F3516">
        <w:rPr>
          <w:rFonts w:ascii="ITC Avant Garde" w:eastAsiaTheme="majorEastAsia" w:hAnsi="ITC Avant Garde" w:cstheme="majorBidi"/>
          <w:b/>
          <w:color w:val="0000FF"/>
          <w:szCs w:val="32"/>
        </w:rPr>
        <w:t>“CONFIDENCIAL POR LEY”</w:t>
      </w:r>
      <w:r w:rsidR="0037479E" w:rsidRPr="006F3516">
        <w:rPr>
          <w:rFonts w:ascii="ITC Avant Garde" w:eastAsia="Times New Roman" w:hAnsi="ITC Avant Garde"/>
          <w:bCs/>
          <w:color w:val="000000"/>
          <w:lang w:eastAsia="es-MX"/>
        </w:rPr>
        <w:t xml:space="preserve">, </w:t>
      </w:r>
      <w:r w:rsidR="0037479E" w:rsidRPr="002A2450">
        <w:rPr>
          <w:rFonts w:ascii="ITC Avant Garde" w:eastAsia="Times New Roman" w:hAnsi="ITC Avant Garde"/>
          <w:bCs/>
          <w:color w:val="000000"/>
          <w:lang w:eastAsia="es-MX"/>
        </w:rPr>
        <w:t xml:space="preserve">establece que el precio de ejercicio de las opciones se ajusta por las siguientes causas: (i) el paso del tiempo, a una tasa </w:t>
      </w:r>
      <w:r w:rsidR="0037479E" w:rsidRPr="002A2450">
        <w:rPr>
          <w:rFonts w:ascii="ITC Avant Garde" w:eastAsia="Times New Roman" w:hAnsi="ITC Avant Garde"/>
          <w:bCs/>
          <w:color w:val="000000"/>
          <w:lang w:eastAsia="es-MX"/>
        </w:rPr>
        <w:lastRenderedPageBreak/>
        <w:t xml:space="preserve">anual de 5%; (ii) el pago de dividendos en efectivo por parte de DISH MÉXICO a sus tenedores de participación (como </w:t>
      </w:r>
      <w:r w:rsidR="005853F9" w:rsidRPr="002A2450">
        <w:rPr>
          <w:rFonts w:ascii="ITC Avant Garde" w:eastAsia="Times New Roman" w:hAnsi="ITC Avant Garde"/>
          <w:b/>
          <w:bCs/>
          <w:color w:val="000000"/>
          <w:lang w:eastAsia="es-MX"/>
        </w:rPr>
        <w:t>“TELMEX”</w:t>
      </w:r>
      <w:r w:rsidR="0037479E" w:rsidRPr="002A2450">
        <w:rPr>
          <w:rFonts w:ascii="ITC Avant Garde" w:eastAsia="Times New Roman" w:hAnsi="ITC Avant Garde"/>
          <w:b/>
          <w:bCs/>
          <w:color w:val="000000"/>
          <w:lang w:eastAsia="es-MX"/>
        </w:rPr>
        <w:t xml:space="preserve"> y </w:t>
      </w:r>
      <w:r w:rsidR="005853F9" w:rsidRPr="002A2450">
        <w:rPr>
          <w:rFonts w:ascii="ITC Avant Garde" w:eastAsia="Times New Roman" w:hAnsi="ITC Avant Garde"/>
          <w:b/>
          <w:bCs/>
          <w:color w:val="000000"/>
          <w:lang w:eastAsia="es-MX"/>
        </w:rPr>
        <w:t>“TENINVER”</w:t>
      </w:r>
      <w:r w:rsidR="0037479E" w:rsidRPr="002A2450">
        <w:rPr>
          <w:rFonts w:ascii="ITC Avant Garde" w:eastAsia="Times New Roman" w:hAnsi="ITC Avant Garde"/>
          <w:bCs/>
          <w:color w:val="000000"/>
          <w:lang w:eastAsia="es-MX"/>
        </w:rPr>
        <w:t xml:space="preserve">), de forma proporcional a la disminución de valor de la empresa por el pago de dichos dividendos; y (iii) la falta de pago de aportaciones de conformidad con cualquiera de los contratos relacionados. </w:t>
      </w:r>
    </w:p>
    <w:p w14:paraId="05380FDA" w14:textId="77777777" w:rsidR="00B35F13" w:rsidRDefault="0037479E" w:rsidP="007E623E">
      <w:pPr>
        <w:numPr>
          <w:ilvl w:val="0"/>
          <w:numId w:val="61"/>
        </w:numPr>
        <w:spacing w:before="240" w:line="360" w:lineRule="auto"/>
        <w:ind w:left="284" w:hanging="284"/>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Con relación al pago de dividendos, el Contrato de Opción de Compra y Venta establece:</w:t>
      </w:r>
    </w:p>
    <w:p w14:paraId="613FA117" w14:textId="01A65D64" w:rsidR="00B35F13" w:rsidRPr="006F3516" w:rsidRDefault="00A4738B"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50340829" w14:textId="77777777" w:rsidR="00B35F13" w:rsidRDefault="0037479E" w:rsidP="00B35F13">
      <w:pPr>
        <w:spacing w:before="240" w:line="360" w:lineRule="auto"/>
        <w:ind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El propio contrato establece el significado de Participación:</w:t>
      </w:r>
    </w:p>
    <w:p w14:paraId="202BED73" w14:textId="4D8F791C" w:rsidR="00B35F13" w:rsidRPr="006F3516" w:rsidRDefault="00A4738B"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6D954CDD" w14:textId="77777777" w:rsidR="00B35F13" w:rsidRDefault="0037479E" w:rsidP="00B35F13">
      <w:pPr>
        <w:autoSpaceDE w:val="0"/>
        <w:autoSpaceDN w:val="0"/>
        <w:adjustRightInd w:val="0"/>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este sentido, del Contrato de Opción de Compra y venta </w:t>
      </w:r>
      <w:r w:rsidR="005853F9" w:rsidRPr="002A2450">
        <w:rPr>
          <w:rFonts w:ascii="ITC Avant Garde" w:eastAsia="Times New Roman" w:hAnsi="ITC Avant Garde"/>
          <w:b/>
          <w:bCs/>
          <w:color w:val="000000"/>
          <w:lang w:eastAsia="es-MX"/>
        </w:rPr>
        <w:t>“TELMEX”/”TENINVER”</w:t>
      </w:r>
      <w:r w:rsidRPr="002A2450">
        <w:rPr>
          <w:rFonts w:ascii="ITC Avant Garde" w:eastAsia="Times New Roman" w:hAnsi="ITC Avant Garde"/>
          <w:bCs/>
          <w:color w:val="000000"/>
          <w:lang w:eastAsia="es-MX"/>
        </w:rPr>
        <w:t xml:space="preserve"> adquirieron el derecho a participar en los rendimientos de </w:t>
      </w:r>
      <w:r w:rsidR="005853F9"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5853F9"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desde antes del ejercicio de cualquier opción. Es decir, recibir un pago derivado de dividendos desde el momento en que suscribieron el contrato. Inclusive ningún</w:t>
      </w:r>
      <w:r w:rsidRPr="002A2450" w:rsidDel="00CB551A">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tenedor de participación de </w:t>
      </w:r>
      <w:r w:rsidR="00A94C33"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A94C33"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podía obtener un pago por concepto de dividendos si </w:t>
      </w:r>
      <w:r w:rsidR="00A94C33" w:rsidRPr="002A2450">
        <w:rPr>
          <w:rFonts w:ascii="ITC Avant Garde" w:eastAsia="Times New Roman" w:hAnsi="ITC Avant Garde"/>
          <w:b/>
          <w:bCs/>
          <w:color w:val="000000"/>
          <w:lang w:eastAsia="es-MX"/>
        </w:rPr>
        <w:t xml:space="preserve">“TELMEX”/”TENINVER” </w:t>
      </w:r>
      <w:r w:rsidRPr="002A2450">
        <w:rPr>
          <w:rFonts w:ascii="ITC Avant Garde" w:eastAsia="Times New Roman" w:hAnsi="ITC Avant Garde"/>
          <w:bCs/>
          <w:color w:val="000000"/>
          <w:lang w:eastAsia="es-MX"/>
        </w:rPr>
        <w:t>no pueden obtenerlo.</w:t>
      </w:r>
    </w:p>
    <w:p w14:paraId="493EEF74" w14:textId="31123459" w:rsidR="00B35F13" w:rsidRDefault="0037479E" w:rsidP="00B35F13">
      <w:pPr>
        <w:autoSpaceDE w:val="0"/>
        <w:autoSpaceDN w:val="0"/>
        <w:adjustRightInd w:val="0"/>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b) Contrato de Consecuencias.</w:t>
      </w:r>
      <w:r w:rsidRPr="002A2450">
        <w:rPr>
          <w:rFonts w:ascii="ITC Avant Garde" w:eastAsia="Times New Roman" w:hAnsi="ITC Avant Garde"/>
          <w:bCs/>
          <w:color w:val="000000"/>
          <w:vertAlign w:val="superscript"/>
          <w:lang w:eastAsia="es-MX"/>
        </w:rPr>
        <w:footnoteReference w:id="26"/>
      </w:r>
      <w:r w:rsidRPr="002A2450">
        <w:rPr>
          <w:rFonts w:ascii="ITC Avant Garde" w:eastAsia="Times New Roman" w:hAnsi="ITC Avant Garde"/>
          <w:bCs/>
          <w:color w:val="000000"/>
          <w:lang w:eastAsia="es-MX"/>
        </w:rPr>
        <w:t xml:space="preserve"> La existencia de tres cláusulas de no competir, dos de las cuales son aplicables antes de la ejecución de alguna de las opciones previstas en el Contrato de Opción de Compra y Venta y la restante es aplicable una vez que se ejerza alguna de ellas y se instaura un comité de operaciones.</w:t>
      </w:r>
    </w:p>
    <w:p w14:paraId="3A1A7862" w14:textId="77777777" w:rsidR="00B35F13" w:rsidRDefault="0037479E" w:rsidP="00B35F13">
      <w:pPr>
        <w:autoSpaceDE w:val="0"/>
        <w:autoSpaceDN w:val="0"/>
        <w:adjustRightInd w:val="0"/>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Derivado de los contratos previstos en los incisos a) y b), se desprende que </w:t>
      </w:r>
      <w:r w:rsidR="00A94C33" w:rsidRPr="002A2450">
        <w:rPr>
          <w:rFonts w:ascii="ITC Avant Garde" w:eastAsia="Times New Roman" w:hAnsi="ITC Avant Garde"/>
          <w:b/>
          <w:bCs/>
          <w:color w:val="000000"/>
          <w:lang w:eastAsia="es-MX"/>
        </w:rPr>
        <w:t xml:space="preserve">“TELMEX/TENINVER” </w:t>
      </w:r>
      <w:r w:rsidRPr="002A2450">
        <w:rPr>
          <w:rFonts w:ascii="ITC Avant Garde" w:eastAsia="Times New Roman" w:hAnsi="ITC Avant Garde"/>
          <w:bCs/>
          <w:color w:val="000000"/>
          <w:lang w:eastAsia="es-MX"/>
        </w:rPr>
        <w:t xml:space="preserve">podían obtener un beneficio, esto es, el pago de dividendos. </w:t>
      </w:r>
    </w:p>
    <w:p w14:paraId="3D084FE3" w14:textId="77777777" w:rsidR="00B35F13" w:rsidRDefault="0037479E" w:rsidP="00B35F13">
      <w:pPr>
        <w:autoSpaceDE w:val="0"/>
        <w:autoSpaceDN w:val="0"/>
        <w:adjustRightInd w:val="0"/>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La diferencia entre el esquema de pagos derivado de los Contratos de Compra y Venta y Consecuencias y de los tres contratos descritos anteriormente estriba en el riesgo. Es decir, este esquema de pagos está en función del éxito en el mercado de </w:t>
      </w:r>
      <w:r w:rsidR="00A94C33" w:rsidRPr="002A2450">
        <w:rPr>
          <w:rFonts w:ascii="ITC Avant Garde" w:eastAsia="Times New Roman" w:hAnsi="ITC Avant Garde"/>
          <w:b/>
          <w:bCs/>
          <w:color w:val="000000"/>
          <w:sz w:val="24"/>
          <w:lang w:eastAsia="es-MX"/>
        </w:rPr>
        <w:t>“</w:t>
      </w:r>
      <w:r w:rsidRPr="002A2450">
        <w:rPr>
          <w:rFonts w:ascii="ITC Avant Garde" w:eastAsia="Times New Roman" w:hAnsi="ITC Avant Garde"/>
          <w:b/>
          <w:bCs/>
          <w:color w:val="000000"/>
          <w:lang w:eastAsia="es-MX"/>
        </w:rPr>
        <w:t>DISH MÉXICO</w:t>
      </w:r>
      <w:r w:rsidR="00A94C33"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En concreto, se trata del pago que recibiría un socio de la empresa. </w:t>
      </w:r>
    </w:p>
    <w:p w14:paraId="6C03B080" w14:textId="77777777" w:rsidR="00B35F13" w:rsidRDefault="0037479E" w:rsidP="00B35F13">
      <w:pPr>
        <w:autoSpaceDE w:val="0"/>
        <w:autoSpaceDN w:val="0"/>
        <w:adjustRightInd w:val="0"/>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Sin embargo, de conformidad con el Convenio de Terminación, el contrato de opción de compra y venta así como el contrato de consecuencias han quedado sin efectos. Lo anterior, ya que el Convenio de Terminación establece lo siguiente:</w:t>
      </w:r>
    </w:p>
    <w:p w14:paraId="136AF4B0" w14:textId="46EDAA1C" w:rsidR="00B35F13" w:rsidRPr="006F3516" w:rsidRDefault="00A4738B"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084677C7" w14:textId="77777777" w:rsidR="00B35F13" w:rsidRDefault="00A94C33" w:rsidP="00CE1EA8">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Por tanto, </w:t>
      </w:r>
      <w:r w:rsidR="00E54463">
        <w:rPr>
          <w:rFonts w:ascii="ITC Avant Garde" w:eastAsia="Times New Roman" w:hAnsi="ITC Avant Garde"/>
          <w:bCs/>
          <w:color w:val="000000"/>
          <w:lang w:eastAsia="es-MX"/>
        </w:rPr>
        <w:t xml:space="preserve">para efectos del presente procedimiento </w:t>
      </w:r>
      <w:r w:rsidR="0037479E" w:rsidRPr="002A2450">
        <w:rPr>
          <w:rFonts w:ascii="ITC Avant Garde" w:eastAsia="Times New Roman" w:hAnsi="ITC Avant Garde"/>
          <w:bCs/>
          <w:color w:val="000000"/>
          <w:lang w:eastAsia="es-MX"/>
        </w:rPr>
        <w:t xml:space="preserve">no se tienen indicios de que </w:t>
      </w:r>
      <w:r w:rsidRPr="002A2450">
        <w:rPr>
          <w:rFonts w:ascii="ITC Avant Garde" w:eastAsia="Times New Roman" w:hAnsi="ITC Avant Garde"/>
          <w:b/>
          <w:bCs/>
          <w:color w:val="000000"/>
          <w:lang w:eastAsia="es-MX"/>
        </w:rPr>
        <w:t xml:space="preserve">“TELMEX” y “TENINVER” </w:t>
      </w:r>
      <w:r w:rsidR="0037479E" w:rsidRPr="002A2450">
        <w:rPr>
          <w:rFonts w:ascii="ITC Avant Garde" w:eastAsia="Times New Roman" w:hAnsi="ITC Avant Garde"/>
          <w:bCs/>
          <w:color w:val="000000"/>
          <w:lang w:eastAsia="es-MX"/>
        </w:rPr>
        <w:t>en efecto hayan recibido un beneficio</w:t>
      </w:r>
      <w:r w:rsidR="006B2897" w:rsidRPr="002A2450">
        <w:rPr>
          <w:rFonts w:ascii="ITC Avant Garde" w:eastAsia="Times New Roman" w:hAnsi="ITC Avant Garde"/>
          <w:bCs/>
          <w:color w:val="000000"/>
          <w:lang w:eastAsia="es-MX"/>
        </w:rPr>
        <w:t xml:space="preserve"> o ganancia económica </w:t>
      </w:r>
      <w:r w:rsidR="0037479E" w:rsidRPr="002A2450">
        <w:rPr>
          <w:rFonts w:ascii="ITC Avant Garde" w:eastAsia="Times New Roman" w:hAnsi="ITC Avant Garde"/>
          <w:bCs/>
          <w:color w:val="000000"/>
          <w:lang w:eastAsia="es-MX"/>
        </w:rPr>
        <w:t xml:space="preserve"> de </w:t>
      </w:r>
      <w:r w:rsidRPr="002A2450">
        <w:rPr>
          <w:rFonts w:ascii="ITC Avant Garde" w:eastAsia="Times New Roman" w:hAnsi="ITC Avant Garde"/>
          <w:b/>
          <w:bCs/>
          <w:color w:val="000000"/>
          <w:lang w:eastAsia="es-MX"/>
        </w:rPr>
        <w:t xml:space="preserve">“DISH MÉXICO” </w:t>
      </w:r>
      <w:r w:rsidR="0037479E" w:rsidRPr="002A2450">
        <w:rPr>
          <w:rFonts w:ascii="ITC Avant Garde" w:eastAsia="Times New Roman" w:hAnsi="ITC Avant Garde"/>
          <w:bCs/>
          <w:color w:val="000000"/>
          <w:lang w:eastAsia="es-MX"/>
        </w:rPr>
        <w:t xml:space="preserve">proveniente de las actividades concesionadas a </w:t>
      </w:r>
      <w:r w:rsidRPr="002A2450">
        <w:rPr>
          <w:rFonts w:ascii="ITC Avant Garde" w:eastAsia="Times New Roman" w:hAnsi="ITC Avant Garde"/>
          <w:b/>
          <w:bCs/>
          <w:color w:val="000000"/>
          <w:lang w:eastAsia="es-MX"/>
        </w:rPr>
        <w:t>“COFRESA”</w:t>
      </w:r>
      <w:r w:rsidR="00BB58EA" w:rsidRPr="002A2450">
        <w:rPr>
          <w:rFonts w:ascii="ITC Avant Garde" w:eastAsia="Times New Roman" w:hAnsi="ITC Avant Garde"/>
          <w:b/>
          <w:bCs/>
          <w:color w:val="000000"/>
          <w:lang w:eastAsia="es-MX"/>
        </w:rPr>
        <w:t xml:space="preserve"> </w:t>
      </w:r>
      <w:r w:rsidR="00BB58EA" w:rsidRPr="002A2450">
        <w:rPr>
          <w:rFonts w:ascii="ITC Avant Garde" w:eastAsia="Times New Roman" w:hAnsi="ITC Avant Garde"/>
          <w:bCs/>
          <w:color w:val="000000"/>
          <w:lang w:eastAsia="es-MX"/>
        </w:rPr>
        <w:t>de lo que se sigue que s</w:t>
      </w:r>
      <w:r w:rsidR="0037479E" w:rsidRPr="002A2450">
        <w:rPr>
          <w:rFonts w:ascii="ITC Avant Garde" w:eastAsia="Times New Roman" w:hAnsi="ITC Avant Garde"/>
          <w:bCs/>
          <w:color w:val="000000"/>
          <w:lang w:eastAsia="es-MX"/>
        </w:rPr>
        <w:t xml:space="preserve">i bien se acredita que existió el derecho a </w:t>
      </w:r>
      <w:proofErr w:type="gramStart"/>
      <w:r w:rsidR="0037479E" w:rsidRPr="002A2450">
        <w:rPr>
          <w:rFonts w:ascii="ITC Avant Garde" w:eastAsia="Times New Roman" w:hAnsi="ITC Avant Garde"/>
          <w:bCs/>
          <w:color w:val="000000"/>
          <w:lang w:eastAsia="es-MX"/>
        </w:rPr>
        <w:t>obtenerlo</w:t>
      </w:r>
      <w:proofErr w:type="gramEnd"/>
      <w:r w:rsidR="0037479E" w:rsidRPr="002A2450">
        <w:rPr>
          <w:rFonts w:ascii="ITC Avant Garde" w:eastAsia="Times New Roman" w:hAnsi="ITC Avant Garde"/>
          <w:bCs/>
          <w:color w:val="000000"/>
          <w:lang w:eastAsia="es-MX"/>
        </w:rPr>
        <w:t xml:space="preserve">, </w:t>
      </w:r>
      <w:r w:rsidR="0037479E" w:rsidRPr="002A2450">
        <w:rPr>
          <w:rFonts w:ascii="ITC Avant Garde" w:eastAsia="Times New Roman" w:hAnsi="ITC Avant Garde"/>
          <w:b/>
          <w:bCs/>
          <w:color w:val="000000"/>
          <w:u w:val="single"/>
          <w:lang w:eastAsia="es-MX"/>
        </w:rPr>
        <w:t>no se tienen elementos que acrediten que tal beneficio se haya recibido o ejercido</w:t>
      </w:r>
      <w:r w:rsidR="0037479E" w:rsidRPr="002A2450">
        <w:rPr>
          <w:rFonts w:ascii="ITC Avant Garde" w:eastAsia="Times New Roman" w:hAnsi="ITC Avant Garde"/>
          <w:bCs/>
          <w:color w:val="000000"/>
          <w:lang w:eastAsia="es-MX"/>
        </w:rPr>
        <w:t xml:space="preserve">. </w:t>
      </w:r>
    </w:p>
    <w:p w14:paraId="14EB5560" w14:textId="77777777" w:rsidR="00B35F13" w:rsidRDefault="00BB58EA" w:rsidP="00CE1EA8">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Aunado a lo anterior, </w:t>
      </w:r>
      <w:r w:rsidR="0037479E" w:rsidRPr="002A2450">
        <w:rPr>
          <w:rFonts w:ascii="ITC Avant Garde" w:eastAsia="Times New Roman" w:hAnsi="ITC Avant Garde"/>
          <w:bCs/>
          <w:color w:val="000000"/>
          <w:lang w:eastAsia="es-MX"/>
        </w:rPr>
        <w:t xml:space="preserve">se tiene por acreditado que los derechos concluyeron a partir de la firma del Convenio de Terminación que ocurrió el </w:t>
      </w:r>
      <w:r w:rsidRPr="002A2450">
        <w:rPr>
          <w:rFonts w:ascii="ITC Avant Garde" w:eastAsia="Times New Roman" w:hAnsi="ITC Avant Garde"/>
          <w:bCs/>
          <w:color w:val="000000"/>
          <w:lang w:eastAsia="es-MX"/>
        </w:rPr>
        <w:t xml:space="preserve">ocho </w:t>
      </w:r>
      <w:r w:rsidR="0037479E" w:rsidRPr="002A2450">
        <w:rPr>
          <w:rFonts w:ascii="ITC Avant Garde" w:eastAsia="Times New Roman" w:hAnsi="ITC Avant Garde"/>
          <w:bCs/>
          <w:color w:val="000000"/>
          <w:lang w:eastAsia="es-MX"/>
        </w:rPr>
        <w:t>de agosto de</w:t>
      </w:r>
      <w:r w:rsidRPr="002A2450">
        <w:rPr>
          <w:rFonts w:ascii="ITC Avant Garde" w:eastAsia="Times New Roman" w:hAnsi="ITC Avant Garde"/>
          <w:bCs/>
          <w:color w:val="000000"/>
          <w:lang w:eastAsia="es-MX"/>
        </w:rPr>
        <w:t xml:space="preserve"> dos mil catorce</w:t>
      </w:r>
      <w:r w:rsidR="0037479E" w:rsidRPr="002A2450">
        <w:rPr>
          <w:rFonts w:ascii="ITC Avant Garde" w:eastAsia="Times New Roman" w:hAnsi="ITC Avant Garde"/>
          <w:bCs/>
          <w:color w:val="000000"/>
          <w:lang w:eastAsia="es-MX"/>
        </w:rPr>
        <w:t xml:space="preserve">, por lo que la potencialidad de recibir beneficios de la actividad concesionada a </w:t>
      </w:r>
      <w:r w:rsidRPr="002A2450">
        <w:rPr>
          <w:rFonts w:ascii="ITC Avant Garde" w:eastAsia="Times New Roman" w:hAnsi="ITC Avant Garde"/>
          <w:b/>
          <w:bCs/>
          <w:color w:val="000000"/>
          <w:lang w:eastAsia="es-MX"/>
        </w:rPr>
        <w:t xml:space="preserve">“COFRESA” </w:t>
      </w:r>
      <w:r w:rsidR="0037479E" w:rsidRPr="002A2450">
        <w:rPr>
          <w:rFonts w:ascii="ITC Avant Garde" w:eastAsia="Times New Roman" w:hAnsi="ITC Avant Garde"/>
          <w:bCs/>
          <w:color w:val="000000"/>
          <w:lang w:eastAsia="es-MX"/>
        </w:rPr>
        <w:t>se ha extinguido.</w:t>
      </w:r>
    </w:p>
    <w:p w14:paraId="1909DD4F" w14:textId="77777777" w:rsidR="006C67B3" w:rsidRDefault="0037479E" w:rsidP="00CE1EA8">
      <w:pPr>
        <w:spacing w:before="240" w:line="360" w:lineRule="auto"/>
        <w:jc w:val="both"/>
        <w:rPr>
          <w:rFonts w:ascii="ITC Avant Garde" w:eastAsia="Times New Roman" w:hAnsi="ITC Avant Garde"/>
          <w:bCs/>
          <w:color w:val="000000"/>
          <w:lang w:eastAsia="es-MX"/>
        </w:rPr>
        <w:sectPr w:rsidR="006C67B3" w:rsidSect="009F3771">
          <w:headerReference w:type="default" r:id="rId32"/>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De los elementos anteriores se </w:t>
      </w:r>
      <w:r w:rsidR="00BB58EA" w:rsidRPr="002A2450">
        <w:rPr>
          <w:rFonts w:ascii="ITC Avant Garde" w:eastAsia="Times New Roman" w:hAnsi="ITC Avant Garde"/>
          <w:bCs/>
          <w:color w:val="000000"/>
          <w:lang w:eastAsia="es-MX"/>
        </w:rPr>
        <w:t xml:space="preserve">sólo se </w:t>
      </w:r>
      <w:r w:rsidRPr="002A2450">
        <w:rPr>
          <w:rFonts w:ascii="ITC Avant Garde" w:eastAsia="Times New Roman" w:hAnsi="ITC Avant Garde"/>
          <w:bCs/>
          <w:color w:val="000000"/>
          <w:lang w:eastAsia="es-MX"/>
        </w:rPr>
        <w:t xml:space="preserve">acredita que </w:t>
      </w:r>
      <w:r w:rsidR="00BB58EA" w:rsidRPr="002A2450">
        <w:rPr>
          <w:rFonts w:ascii="ITC Avant Garde" w:eastAsia="Times New Roman" w:hAnsi="ITC Avant Garde"/>
          <w:b/>
          <w:bCs/>
          <w:color w:val="000000"/>
          <w:lang w:eastAsia="es-MX"/>
        </w:rPr>
        <w:t xml:space="preserve">“TELMEX” y “TENINVER” </w:t>
      </w:r>
      <w:r w:rsidRPr="002A2450">
        <w:rPr>
          <w:rFonts w:ascii="ITC Avant Garde" w:eastAsia="Times New Roman" w:hAnsi="ITC Avant Garde"/>
          <w:bCs/>
          <w:color w:val="000000"/>
          <w:lang w:eastAsia="es-MX"/>
        </w:rPr>
        <w:t xml:space="preserve">tuvieron derechos para intervenir en la operación de </w:t>
      </w:r>
      <w:r w:rsidR="00BB58EA" w:rsidRPr="002A2450">
        <w:rPr>
          <w:rFonts w:ascii="ITC Avant Garde" w:eastAsia="Times New Roman" w:hAnsi="ITC Avant Garde"/>
          <w:b/>
          <w:bCs/>
          <w:color w:val="000000"/>
          <w:lang w:eastAsia="es-MX"/>
        </w:rPr>
        <w:t>“</w:t>
      </w:r>
      <w:r w:rsidRPr="002A2450">
        <w:rPr>
          <w:rFonts w:ascii="ITC Avant Garde" w:eastAsia="Times New Roman" w:hAnsi="ITC Avant Garde"/>
          <w:b/>
          <w:bCs/>
          <w:color w:val="000000"/>
          <w:lang w:eastAsia="es-MX"/>
        </w:rPr>
        <w:t>DISH MÉXICO</w:t>
      </w:r>
      <w:r w:rsidR="00BB58EA"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y de sus subsidiarias, entre las cuales figura </w:t>
      </w:r>
      <w:r w:rsidR="00BB58EA"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vertAlign w:val="superscript"/>
          <w:lang w:eastAsia="es-MX"/>
        </w:rPr>
        <w:footnoteReference w:id="27"/>
      </w:r>
      <w:r w:rsidR="00BB58EA" w:rsidRPr="002A2450">
        <w:rPr>
          <w:rFonts w:ascii="ITC Avant Garde" w:eastAsia="Times New Roman" w:hAnsi="ITC Avant Garde"/>
          <w:b/>
          <w:bCs/>
          <w:color w:val="000000"/>
          <w:lang w:eastAsia="es-MX"/>
        </w:rPr>
        <w:t xml:space="preserve">, </w:t>
      </w:r>
      <w:r w:rsidR="00BB58EA" w:rsidRPr="002A2450">
        <w:rPr>
          <w:rFonts w:ascii="ITC Avant Garde" w:eastAsia="Times New Roman" w:hAnsi="ITC Avant Garde"/>
          <w:bCs/>
          <w:color w:val="000000"/>
          <w:lang w:eastAsia="es-MX"/>
        </w:rPr>
        <w:t xml:space="preserve">con lo cual sólo se robustece el hecho de que </w:t>
      </w:r>
      <w:r w:rsidR="00BB58EA"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a través de </w:t>
      </w:r>
      <w:r w:rsidR="00BB58EA" w:rsidRPr="002A2450">
        <w:rPr>
          <w:rFonts w:ascii="ITC Avant Garde" w:eastAsia="Times New Roman" w:hAnsi="ITC Avant Garde"/>
          <w:b/>
          <w:bCs/>
          <w:color w:val="000000"/>
          <w:lang w:eastAsia="es-MX"/>
        </w:rPr>
        <w:t xml:space="preserve">“TENINVER” </w:t>
      </w:r>
      <w:r w:rsidRPr="002A2450">
        <w:rPr>
          <w:rFonts w:ascii="ITC Avant Garde" w:eastAsia="Times New Roman" w:hAnsi="ITC Avant Garde"/>
          <w:bCs/>
          <w:color w:val="000000"/>
          <w:lang w:eastAsia="es-MX"/>
        </w:rPr>
        <w:t xml:space="preserve">explotó indirectamente la actividad </w:t>
      </w:r>
    </w:p>
    <w:p w14:paraId="0ED5E835" w14:textId="226F0B1B" w:rsidR="00B35F13" w:rsidRDefault="0037479E" w:rsidP="00CE1EA8">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concesionada a </w:t>
      </w:r>
      <w:r w:rsidR="00BB58EA" w:rsidRPr="002A2450">
        <w:rPr>
          <w:rFonts w:ascii="ITC Avant Garde" w:eastAsia="Times New Roman" w:hAnsi="ITC Avant Garde"/>
          <w:b/>
          <w:bCs/>
          <w:color w:val="000000"/>
          <w:lang w:eastAsia="es-MX"/>
        </w:rPr>
        <w:t>“COFRESA”</w:t>
      </w:r>
      <w:r w:rsidR="00BB58EA" w:rsidRPr="002A2450">
        <w:rPr>
          <w:rFonts w:ascii="ITC Avant Garde" w:eastAsia="Times New Roman" w:hAnsi="ITC Avant Garde"/>
          <w:bCs/>
          <w:color w:val="000000"/>
          <w:lang w:eastAsia="es-MX"/>
        </w:rPr>
        <w:t xml:space="preserve"> derivado de los derechos otorgados en los contratos celebrados</w:t>
      </w:r>
      <w:r w:rsidR="00B155B6" w:rsidRPr="002A2450">
        <w:rPr>
          <w:rFonts w:ascii="ITC Avant Garde" w:eastAsia="Times New Roman" w:hAnsi="ITC Avant Garde"/>
          <w:bCs/>
          <w:color w:val="000000"/>
          <w:lang w:eastAsia="es-MX"/>
        </w:rPr>
        <w:t xml:space="preserve">, </w:t>
      </w:r>
      <w:r w:rsidR="006B2897" w:rsidRPr="002A2450">
        <w:rPr>
          <w:rFonts w:ascii="ITC Avant Garde" w:eastAsia="Times New Roman" w:hAnsi="ITC Avant Garde"/>
          <w:bCs/>
          <w:color w:val="000000"/>
          <w:lang w:eastAsia="es-MX"/>
        </w:rPr>
        <w:t>y particularmente con</w:t>
      </w:r>
      <w:r w:rsidR="00B155B6" w:rsidRPr="002A2450">
        <w:rPr>
          <w:rFonts w:ascii="ITC Avant Garde" w:eastAsia="Times New Roman" w:hAnsi="ITC Avant Garde"/>
          <w:bCs/>
          <w:color w:val="000000"/>
          <w:lang w:eastAsia="es-MX"/>
        </w:rPr>
        <w:t xml:space="preserve"> los contratos de opción y de consecuencias.</w:t>
      </w:r>
    </w:p>
    <w:p w14:paraId="2C5B322F" w14:textId="77777777" w:rsidR="00B35F13" w:rsidRDefault="00B155B6"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Ahora bien, resulta </w:t>
      </w:r>
      <w:r w:rsidR="00EB6911" w:rsidRPr="002A2450">
        <w:rPr>
          <w:rFonts w:ascii="ITC Avant Garde" w:eastAsia="Times New Roman" w:hAnsi="ITC Avant Garde"/>
          <w:bCs/>
          <w:color w:val="000000"/>
          <w:lang w:eastAsia="es-MX"/>
        </w:rPr>
        <w:t xml:space="preserve">importante </w:t>
      </w:r>
      <w:r w:rsidRPr="002A2450">
        <w:rPr>
          <w:rFonts w:ascii="ITC Avant Garde" w:eastAsia="Times New Roman" w:hAnsi="ITC Avant Garde"/>
          <w:bCs/>
          <w:color w:val="000000"/>
          <w:lang w:eastAsia="es-MX"/>
        </w:rPr>
        <w:t xml:space="preserve">precisar que </w:t>
      </w:r>
      <w:r w:rsidR="004E4D17" w:rsidRPr="002A2450">
        <w:rPr>
          <w:rFonts w:ascii="ITC Avant Garde" w:eastAsia="Times New Roman" w:hAnsi="ITC Avant Garde"/>
          <w:bCs/>
          <w:color w:val="000000"/>
          <w:lang w:eastAsia="es-MX"/>
        </w:rPr>
        <w:t xml:space="preserve">la imputación </w:t>
      </w:r>
      <w:r w:rsidRPr="002A2450">
        <w:rPr>
          <w:rFonts w:ascii="ITC Avant Garde" w:eastAsia="Times New Roman" w:hAnsi="ITC Avant Garde"/>
          <w:bCs/>
          <w:color w:val="000000"/>
          <w:lang w:eastAsia="es-MX"/>
        </w:rPr>
        <w:t>realizada a través de</w:t>
      </w:r>
      <w:r w:rsidR="001B5599" w:rsidRPr="002A2450">
        <w:rPr>
          <w:rFonts w:ascii="ITC Avant Garde" w:eastAsia="Times New Roman" w:hAnsi="ITC Avant Garde"/>
          <w:bCs/>
          <w:color w:val="000000"/>
          <w:lang w:eastAsia="es-MX"/>
        </w:rPr>
        <w:t>l</w:t>
      </w:r>
      <w:r w:rsidRPr="002A2450">
        <w:rPr>
          <w:rFonts w:ascii="ITC Avant Garde" w:eastAsia="Times New Roman" w:hAnsi="ITC Avant Garde"/>
          <w:bCs/>
          <w:color w:val="000000"/>
          <w:lang w:eastAsia="es-MX"/>
        </w:rPr>
        <w:t xml:space="preserve"> acuerdo de inicio </w:t>
      </w:r>
      <w:r w:rsidR="004E4D17" w:rsidRPr="002A2450">
        <w:rPr>
          <w:rFonts w:ascii="ITC Avant Garde" w:eastAsia="Times New Roman" w:hAnsi="ITC Avant Garde"/>
          <w:bCs/>
          <w:color w:val="000000"/>
          <w:lang w:eastAsia="es-MX"/>
        </w:rPr>
        <w:t xml:space="preserve">se refiere al derecho para participar o intervenir </w:t>
      </w:r>
      <w:r w:rsidR="00182CE5" w:rsidRPr="002A2450">
        <w:rPr>
          <w:rFonts w:ascii="ITC Avant Garde" w:eastAsia="Times New Roman" w:hAnsi="ITC Avant Garde"/>
          <w:bCs/>
          <w:color w:val="000000"/>
          <w:lang w:eastAsia="es-MX"/>
        </w:rPr>
        <w:t xml:space="preserve">de manera indirecta </w:t>
      </w:r>
      <w:r w:rsidR="004E4D17" w:rsidRPr="002A2450">
        <w:rPr>
          <w:rFonts w:ascii="ITC Avant Garde" w:eastAsia="Times New Roman" w:hAnsi="ITC Avant Garde"/>
          <w:bCs/>
          <w:color w:val="000000"/>
          <w:lang w:eastAsia="es-MX"/>
        </w:rPr>
        <w:t xml:space="preserve">en la toma de decisiones en la operación </w:t>
      </w:r>
      <w:r w:rsidR="001B5599" w:rsidRPr="002A2450">
        <w:rPr>
          <w:rFonts w:ascii="ITC Avant Garde" w:eastAsia="Times New Roman" w:hAnsi="ITC Avant Garde"/>
          <w:bCs/>
          <w:color w:val="000000"/>
          <w:lang w:eastAsia="es-MX"/>
        </w:rPr>
        <w:t xml:space="preserve">y en el ejercicio de los derechos derivados de la concesión de </w:t>
      </w:r>
      <w:r w:rsidR="001B5599" w:rsidRPr="002A2450">
        <w:rPr>
          <w:rFonts w:ascii="ITC Avant Garde" w:eastAsia="Times New Roman" w:hAnsi="ITC Avant Garde"/>
          <w:b/>
          <w:bCs/>
          <w:color w:val="000000"/>
          <w:lang w:eastAsia="es-MX"/>
        </w:rPr>
        <w:t xml:space="preserve">“COFRESA” </w:t>
      </w:r>
      <w:r w:rsidR="001B5599" w:rsidRPr="002A2450">
        <w:rPr>
          <w:rFonts w:ascii="ITC Avant Garde" w:eastAsia="Times New Roman" w:hAnsi="ITC Avant Garde"/>
          <w:bCs/>
          <w:color w:val="000000"/>
          <w:lang w:eastAsia="es-MX"/>
        </w:rPr>
        <w:t>a través de la relación con</w:t>
      </w:r>
      <w:r w:rsidR="004E4D17" w:rsidRPr="002A2450">
        <w:rPr>
          <w:rFonts w:ascii="ITC Avant Garde" w:eastAsia="Times New Roman" w:hAnsi="ITC Avant Garde"/>
          <w:bCs/>
          <w:color w:val="000000"/>
          <w:lang w:eastAsia="es-MX"/>
        </w:rPr>
        <w:t xml:space="preserve"> </w:t>
      </w:r>
      <w:r w:rsidR="004E4D17" w:rsidRPr="002A2450">
        <w:rPr>
          <w:rFonts w:ascii="ITC Avant Garde" w:eastAsia="Times New Roman" w:hAnsi="ITC Avant Garde"/>
          <w:b/>
          <w:bCs/>
          <w:color w:val="000000"/>
          <w:lang w:eastAsia="es-MX"/>
        </w:rPr>
        <w:t>"DISH MÉXICO"</w:t>
      </w:r>
      <w:r w:rsidR="004E4D17" w:rsidRPr="002A2450">
        <w:rPr>
          <w:rFonts w:ascii="ITC Avant Garde" w:eastAsia="Times New Roman" w:hAnsi="ITC Avant Garde"/>
          <w:bCs/>
          <w:color w:val="000000"/>
          <w:lang w:eastAsia="es-MX"/>
        </w:rPr>
        <w:t xml:space="preserve">, lo cual no se desvirtúa </w:t>
      </w:r>
      <w:r w:rsidRPr="002A2450">
        <w:rPr>
          <w:rFonts w:ascii="ITC Avant Garde" w:eastAsia="Times New Roman" w:hAnsi="ITC Avant Garde"/>
          <w:bCs/>
          <w:color w:val="000000"/>
          <w:lang w:eastAsia="es-MX"/>
        </w:rPr>
        <w:t xml:space="preserve">con base en sus manifestaciones </w:t>
      </w:r>
      <w:r w:rsidR="008F2223" w:rsidRPr="002A2450">
        <w:rPr>
          <w:rFonts w:ascii="ITC Avant Garde" w:eastAsia="Times New Roman" w:hAnsi="ITC Avant Garde"/>
          <w:bCs/>
          <w:color w:val="000000"/>
          <w:lang w:eastAsia="es-MX"/>
        </w:rPr>
        <w:t>de a</w:t>
      </w:r>
      <w:r w:rsidR="00662649">
        <w:rPr>
          <w:rFonts w:ascii="ITC Avant Garde" w:eastAsia="Times New Roman" w:hAnsi="ITC Avant Garde"/>
          <w:bCs/>
          <w:color w:val="000000"/>
          <w:lang w:eastAsia="es-MX"/>
        </w:rPr>
        <w:t>ll</w:t>
      </w:r>
      <w:r w:rsidR="008F2223" w:rsidRPr="002A2450">
        <w:rPr>
          <w:rFonts w:ascii="ITC Avant Garde" w:eastAsia="Times New Roman" w:hAnsi="ITC Avant Garde"/>
          <w:bCs/>
          <w:color w:val="000000"/>
          <w:lang w:eastAsia="es-MX"/>
        </w:rPr>
        <w:t xml:space="preserve">í lo </w:t>
      </w:r>
      <w:r w:rsidR="008F2223" w:rsidRPr="002A2450">
        <w:rPr>
          <w:rFonts w:ascii="ITC Avant Garde" w:eastAsia="Times New Roman" w:hAnsi="ITC Avant Garde"/>
          <w:b/>
          <w:bCs/>
          <w:color w:val="000000"/>
          <w:u w:val="single"/>
          <w:lang w:eastAsia="es-MX"/>
        </w:rPr>
        <w:t>insuficiente</w:t>
      </w:r>
      <w:r w:rsidR="008F2223" w:rsidRPr="002A2450">
        <w:rPr>
          <w:rFonts w:ascii="ITC Avant Garde" w:eastAsia="Times New Roman" w:hAnsi="ITC Avant Garde"/>
          <w:bCs/>
          <w:color w:val="000000"/>
          <w:lang w:eastAsia="es-MX"/>
        </w:rPr>
        <w:t xml:space="preserve"> de sus argumentos para desvirtuar la conducta materia del presente procedimiento.</w:t>
      </w:r>
    </w:p>
    <w:p w14:paraId="59A9657B" w14:textId="77777777" w:rsidR="00B35F13" w:rsidRDefault="008F2223"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Al respecto, sirve de aplicación la siguiente tesis: </w:t>
      </w:r>
    </w:p>
    <w:p w14:paraId="6E545218" w14:textId="77777777" w:rsidR="00B35F13" w:rsidRDefault="008F2223"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CONCEPTO DE VIOLACIÓN DIRIGIDO CONTRA LA DESESTIMACIÓN DE UN AGRAVIO. RESULTA INOPERANTE POR INSUFICIENTE SI NO ATACA TODAS LAS CONSIDERACIONES QUE SUSTENTAN ESA DETERMINACIÓN. </w:t>
      </w:r>
      <w:r w:rsidRPr="002A2450">
        <w:rPr>
          <w:rFonts w:ascii="ITC Avant Garde" w:eastAsia="Times New Roman" w:hAnsi="ITC Avant Garde"/>
          <w:bCs/>
          <w:color w:val="000000"/>
          <w:lang w:eastAsia="es-MX"/>
        </w:rPr>
        <w:t>Si la autoridad responsable se basó en varias consideraciones para desestimar un específico agravio que, por sí solas, cada una por separado sustentan el sentido de esa determinación, y el concepto de violación formulado sobre ese particular sólo controvierte una o algunas de esas consideraciones, sin desvirtuarlas todas, entonces se torna inoperante por insuficiente, pues aun fundado lo aducido no produciría beneficio conceder la protección constitucional por ese solo motivo, ante la subsistencia de la consideración o consideraciones no destruidas que continúan rigiendo esa desestimación.</w:t>
      </w:r>
    </w:p>
    <w:p w14:paraId="73EABBE6" w14:textId="77777777" w:rsidR="00B35F13" w:rsidRDefault="008F2223" w:rsidP="00B35F13">
      <w:pPr>
        <w:spacing w:before="240" w:line="360" w:lineRule="auto"/>
        <w:ind w:left="567" w:right="567"/>
        <w:jc w:val="both"/>
        <w:rPr>
          <w:rFonts w:ascii="ITC Avant Garde" w:eastAsia="Times New Roman" w:hAnsi="ITC Avant Garde"/>
          <w:bCs/>
          <w:color w:val="000000"/>
          <w:sz w:val="18"/>
          <w:lang w:eastAsia="es-MX"/>
        </w:rPr>
      </w:pPr>
      <w:r w:rsidRPr="002A2450">
        <w:rPr>
          <w:rFonts w:ascii="ITC Avant Garde" w:eastAsia="Times New Roman" w:hAnsi="ITC Avant Garde"/>
          <w:bCs/>
          <w:color w:val="000000"/>
          <w:sz w:val="18"/>
          <w:lang w:eastAsia="es-MX"/>
        </w:rPr>
        <w:t>Época: Novena Época, Registro: 171512, Instancia: Tribunales Colegiados de Circuito, Tipo de Tesis: Aislada, Fuente: Semanario Judicial de la Federación y su Gaceta, Tomo XXVI, Septiembre de 2007, Materia(s): Común, Tesis: XVII.1o.C.T.38 K, Página: 2501.</w:t>
      </w:r>
    </w:p>
    <w:p w14:paraId="57B0BD5D" w14:textId="77777777" w:rsidR="00B35F13" w:rsidRPr="00CE1EA8" w:rsidRDefault="008F2223" w:rsidP="007E623E">
      <w:pPr>
        <w:pStyle w:val="Ttulo4"/>
        <w:numPr>
          <w:ilvl w:val="0"/>
          <w:numId w:val="65"/>
        </w:numPr>
        <w:ind w:left="284" w:hanging="284"/>
        <w:rPr>
          <w:b/>
        </w:rPr>
      </w:pPr>
      <w:r w:rsidRPr="00CE1EA8" w:rsidDel="008F2223">
        <w:rPr>
          <w:b/>
        </w:rPr>
        <w:t xml:space="preserve"> </w:t>
      </w:r>
      <w:r w:rsidRPr="00CE1EA8">
        <w:rPr>
          <w:b/>
        </w:rPr>
        <w:t xml:space="preserve">DE </w:t>
      </w:r>
      <w:r w:rsidR="004E4D17" w:rsidRPr="00CE1EA8">
        <w:rPr>
          <w:b/>
        </w:rPr>
        <w:t>LA NOTIFICACIÓN DEL INICIO DEL PROCEDIMIENTO</w:t>
      </w:r>
    </w:p>
    <w:p w14:paraId="46B84DA6" w14:textId="77777777" w:rsidR="00B35F13" w:rsidRDefault="00A9769E"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Por otro lado,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continua señalando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cinco, nueve, diecisiete a diecinueve, veintidós a veinticuatro, veinticinco a veintisiete)</w:t>
      </w:r>
      <w:r w:rsidRPr="002A2450">
        <w:rPr>
          <w:rFonts w:ascii="ITC Avant Garde" w:eastAsia="Times New Roman" w:hAnsi="ITC Avant Garde"/>
          <w:bCs/>
          <w:color w:val="000000"/>
          <w:lang w:eastAsia="es-MX"/>
        </w:rPr>
        <w:t xml:space="preserve">: </w:t>
      </w:r>
    </w:p>
    <w:p w14:paraId="1D353580" w14:textId="77777777" w:rsidR="00B35F13" w:rsidRDefault="00A9769E"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El acuerdo 235/2015 a través de cual se notifica el inicio del procedimiento administrativo de imposición de sanción, es violatorio de las disposiciones que invoca la LFPA, particularmente el artículo 14 de dicho ordenamiento y en consecuencia en artículo 14 Constitucional, pues no otorga a mi representada la oportunidad de saber si se inicia de oficio o a petición de parte, ya que </w:t>
      </w:r>
      <w:r w:rsidR="005B601B" w:rsidRPr="002A2450">
        <w:rPr>
          <w:rFonts w:ascii="ITC Avant Garde" w:hAnsi="ITC Avant Garde"/>
          <w:b/>
          <w:i/>
        </w:rPr>
        <w:t>“TELMEX”</w:t>
      </w:r>
      <w:r w:rsidRPr="002A2450">
        <w:rPr>
          <w:rFonts w:ascii="ITC Avant Garde" w:hAnsi="ITC Avant Garde"/>
          <w:i/>
        </w:rPr>
        <w:t xml:space="preserve"> desconoce la razón por la cual se inició, esto es, si se inicia sin que medie la participación de una parte interesada o si una persona ha solicitado la intervención de la autoridad.</w:t>
      </w:r>
    </w:p>
    <w:p w14:paraId="77F70A3B" w14:textId="77777777" w:rsidR="00B35F13" w:rsidRDefault="00A9769E"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La primera formalidad esencial de todo procedimiento es la notificación del inicio y sus consecuencias, esto es, debe poner a disposición todos los elementos que le permitan tener una visión completa del acto privativo que pretende realizar la autoridad. </w:t>
      </w:r>
    </w:p>
    <w:p w14:paraId="3AD582B0" w14:textId="77777777" w:rsidR="00B35F13" w:rsidRDefault="00A9769E"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Lo anterior con la intensión de garantizar que mi representada cuente con la garantía de defensa necesaria ante actuaciones.</w:t>
      </w:r>
    </w:p>
    <w:p w14:paraId="19C59EC1" w14:textId="77777777" w:rsidR="00B35F13" w:rsidRDefault="00A9769E"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Para ejercer el derecho de defensa debe conocer con previsión las causas que orillaron a la autoridad a actuar y en consecuencia, resulta primordial saber si el impulso de esa actuación fue de mutuo propio o a solicitud de una parte interesada.</w:t>
      </w:r>
    </w:p>
    <w:p w14:paraId="2D1B0777"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El procedimiento es violatorio de los artículos 14 y 16 de la Constitución. La Unidad de Cumplimiento funda el inicio en diversas denuncias. Dichas denuncias son insuficientes ya que fueron presentadas por personas morales que carecen de un interés jurídicamente protegido.</w:t>
      </w:r>
    </w:p>
    <w:p w14:paraId="18B84B8D"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Sin perjuicio de lo anterior, es ilegal que la Unidad de Cumplimiento se limite a señalar en el acuerdo de inicio que el expediente podrá ser consultado por el interesado en la oficias de esa Unidad ya que era </w:t>
      </w:r>
      <w:r w:rsidRPr="002A2450">
        <w:rPr>
          <w:rFonts w:ascii="ITC Avant Garde" w:hAnsi="ITC Avant Garde"/>
          <w:i/>
        </w:rPr>
        <w:lastRenderedPageBreak/>
        <w:t>obligación de la autoridad haber corrido traslado de todas y cada una de las denuncias.</w:t>
      </w:r>
    </w:p>
    <w:p w14:paraId="6D14C7FF"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El alcance que se pretende atribuir a los documentos exhibidos por </w:t>
      </w:r>
      <w:r w:rsidR="005B601B" w:rsidRPr="002A2450">
        <w:rPr>
          <w:rFonts w:ascii="ITC Avant Garde" w:hAnsi="ITC Avant Garde"/>
          <w:b/>
          <w:i/>
        </w:rPr>
        <w:t>“TELMEX”</w:t>
      </w:r>
      <w:r w:rsidRPr="002A2450">
        <w:rPr>
          <w:rFonts w:ascii="ITC Avant Garde" w:hAnsi="ITC Avant Garde"/>
          <w:i/>
        </w:rPr>
        <w:t xml:space="preserve"> en respuesta a los requerimientos de la Unidad de Supervisión y Verificación es improcedente ya que con ellos no se acredita alguna conducta que implique un incumplimiento al texto de la condición 1-9 del Título de Concesión.</w:t>
      </w:r>
    </w:p>
    <w:p w14:paraId="07389E35"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En términos de la LFPA y LFPCA, la carga de acreditar la supuesta violación recae íntegramente en la autoridad que está obligada a fundar a motivar debidamente su resolución.</w:t>
      </w:r>
    </w:p>
    <w:p w14:paraId="5CF20FE8"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Las denuncias que sirven de fundamento para el inicio del procedimiento nunca fueron notificadas a </w:t>
      </w:r>
      <w:r w:rsidR="005B601B" w:rsidRPr="002A2450">
        <w:rPr>
          <w:rFonts w:ascii="ITC Avant Garde" w:hAnsi="ITC Avant Garde"/>
          <w:b/>
          <w:i/>
        </w:rPr>
        <w:t>“TELMEX”</w:t>
      </w:r>
      <w:r w:rsidRPr="002A2450">
        <w:rPr>
          <w:rFonts w:ascii="ITC Avant Garde" w:hAnsi="ITC Avant Garde"/>
          <w:i/>
        </w:rPr>
        <w:t>, con lo cual coloca a mi representada en estado de indefensión.</w:t>
      </w:r>
    </w:p>
    <w:p w14:paraId="6C8E0875"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Al respecto, </w:t>
      </w:r>
      <w:r w:rsidR="005B601B" w:rsidRPr="002A2450">
        <w:rPr>
          <w:rFonts w:ascii="ITC Avant Garde" w:hAnsi="ITC Avant Garde"/>
          <w:b/>
          <w:i/>
        </w:rPr>
        <w:t>“TELMEX”</w:t>
      </w:r>
      <w:r w:rsidRPr="002A2450">
        <w:rPr>
          <w:rFonts w:ascii="ITC Avant Garde" w:hAnsi="ITC Avant Garde"/>
          <w:i/>
        </w:rPr>
        <w:t xml:space="preserve"> no pudo manifestarse sobre las denuncias en cuestión, pues nunca fue informada de las mismas.</w:t>
      </w:r>
    </w:p>
    <w:p w14:paraId="0B68D243" w14:textId="77777777" w:rsidR="00B35F13" w:rsidRDefault="0061604B"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El Instituto debió haber dado vista de las mismas a </w:t>
      </w:r>
      <w:r w:rsidR="005B601B" w:rsidRPr="002A2450">
        <w:rPr>
          <w:rFonts w:ascii="ITC Avant Garde" w:hAnsi="ITC Avant Garde"/>
          <w:b/>
          <w:i/>
        </w:rPr>
        <w:t>“TELMEX”</w:t>
      </w:r>
      <w:r w:rsidRPr="002A2450">
        <w:rPr>
          <w:rFonts w:ascii="ITC Avant Garde" w:hAnsi="ITC Avant Garde"/>
          <w:i/>
        </w:rPr>
        <w:t xml:space="preserve"> con la finalidad de que pudiera manifestar lo que a su derecho conviniera y presentar los elementos de prueba que pudiera desacreditar o desvirtuar el dicho de los denunciantes.</w:t>
      </w:r>
    </w:p>
    <w:p w14:paraId="5A0740C2" w14:textId="77777777" w:rsidR="00B35F13" w:rsidRDefault="003315DA" w:rsidP="00B35F13">
      <w:pPr>
        <w:pStyle w:val="Textoindependiente"/>
        <w:tabs>
          <w:tab w:val="left" w:pos="567"/>
        </w:tabs>
        <w:spacing w:before="240" w:after="16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Los antecedentes quinto, sexto, séptimo, noveno, décimo, décimo tercero y décimo cuarto, refieren a la presentación de diversas denuncias.</w:t>
      </w:r>
    </w:p>
    <w:p w14:paraId="7F243060" w14:textId="77777777" w:rsidR="00B35F13" w:rsidRDefault="003315DA" w:rsidP="00B35F13">
      <w:pPr>
        <w:pStyle w:val="Textoindependiente"/>
        <w:tabs>
          <w:tab w:val="left" w:pos="567"/>
        </w:tabs>
        <w:spacing w:before="240" w:after="16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La Unidad de Cumplimiento inicia un procedimiento con base en las denuncias presentadas, las cuales carecen de legitimación activa al tratarse de sociedades que no participan en los mercados de televisión abierta o restringida.</w:t>
      </w:r>
    </w:p>
    <w:p w14:paraId="5E77A4A1" w14:textId="77777777" w:rsidR="00B35F13" w:rsidRDefault="003315DA" w:rsidP="00B35F13">
      <w:pPr>
        <w:pStyle w:val="Textoindependiente"/>
        <w:tabs>
          <w:tab w:val="left" w:pos="567"/>
        </w:tabs>
        <w:spacing w:before="240" w:after="16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El acuerdo de inicio resolvió en su acuerdo tercero que se daba inicio al procedimiento administrativo de imposición de sanción, así como que el expediente se formó con motivo de las denuncias presentadas.</w:t>
      </w:r>
    </w:p>
    <w:p w14:paraId="55176B1A" w14:textId="77777777" w:rsidR="00B35F13" w:rsidRDefault="003315DA" w:rsidP="00B35F13">
      <w:pPr>
        <w:pStyle w:val="Textoindependiente"/>
        <w:tabs>
          <w:tab w:val="left" w:pos="567"/>
        </w:tabs>
        <w:spacing w:before="240" w:after="16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lastRenderedPageBreak/>
        <w:t>Lo anterior, es improcedente iniciar un procedimiento administrativo con motivo de las denuncias presentadas</w:t>
      </w:r>
    </w:p>
    <w:p w14:paraId="5E1C6355" w14:textId="77777777" w:rsidR="00B35F13" w:rsidRDefault="0061604B"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Al respecto, se consideran </w:t>
      </w:r>
      <w:r w:rsidRPr="002A2450">
        <w:rPr>
          <w:rFonts w:ascii="ITC Avant Garde" w:eastAsia="Times New Roman" w:hAnsi="ITC Avant Garde"/>
          <w:b/>
          <w:bCs/>
          <w:color w:val="000000"/>
          <w:u w:val="single"/>
          <w:lang w:eastAsia="es-MX"/>
        </w:rPr>
        <w:t>infundados</w:t>
      </w:r>
      <w:r w:rsidRPr="002A2450">
        <w:rPr>
          <w:rFonts w:ascii="ITC Avant Garde" w:eastAsia="Times New Roman" w:hAnsi="ITC Avant Garde"/>
          <w:bCs/>
          <w:color w:val="000000"/>
          <w:lang w:eastAsia="es-MX"/>
        </w:rPr>
        <w:t xml:space="preserve"> los argumentos realizados por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virtud de las siguientes consideraciones:</w:t>
      </w:r>
    </w:p>
    <w:p w14:paraId="784084AF" w14:textId="77777777" w:rsidR="00B35F13" w:rsidRDefault="0061604B"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De manera particular la concesionaria pretende aducir que existe una violación a su garantía del debido proceso al considerar que, esta autoridad debió darle a conocer el contenido de las denuncias presentadas, para que el mismo pudiera contestarlas y con ello garantizar la eficacia del debido proceso.</w:t>
      </w:r>
    </w:p>
    <w:p w14:paraId="4F52FE21" w14:textId="77777777" w:rsidR="00B35F13" w:rsidRDefault="0061604B"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Pese a lo anterior, se ha señalado en los apartados </w:t>
      </w:r>
      <w:r w:rsidRPr="002A2450">
        <w:rPr>
          <w:rFonts w:ascii="ITC Avant Garde" w:eastAsia="Times New Roman" w:hAnsi="ITC Avant Garde"/>
          <w:b/>
          <w:bCs/>
          <w:color w:val="000000"/>
          <w:lang w:eastAsia="es-MX"/>
        </w:rPr>
        <w:t xml:space="preserve">A) </w:t>
      </w:r>
      <w:r w:rsidRPr="002A2450">
        <w:rPr>
          <w:rFonts w:ascii="ITC Avant Garde" w:eastAsia="Times New Roman" w:hAnsi="ITC Avant Garde"/>
          <w:bCs/>
          <w:color w:val="000000"/>
          <w:lang w:eastAsia="es-MX"/>
        </w:rPr>
        <w:t xml:space="preserve">y </w:t>
      </w:r>
      <w:r w:rsidRPr="002A2450">
        <w:rPr>
          <w:rFonts w:ascii="ITC Avant Garde" w:eastAsia="Times New Roman" w:hAnsi="ITC Avant Garde"/>
          <w:b/>
          <w:bCs/>
          <w:color w:val="000000"/>
          <w:lang w:eastAsia="es-MX"/>
        </w:rPr>
        <w:t>B)</w:t>
      </w:r>
      <w:r w:rsidRPr="002A2450">
        <w:rPr>
          <w:rFonts w:ascii="ITC Avant Garde" w:eastAsia="Times New Roman" w:hAnsi="ITC Avant Garde"/>
          <w:bCs/>
          <w:color w:val="000000"/>
          <w:lang w:eastAsia="es-MX"/>
        </w:rPr>
        <w:t xml:space="preserve"> de la presente Resolución</w:t>
      </w:r>
      <w:r w:rsidR="00CC79D2"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que el acuerdo de inicio del procedimiento administrativo de imposición de sanción, constituye la determinación de la situación jurídica del presunto infractor, señalando las consideración que tuvo la autoridad para emitir el mismo, señalando los elementos que integran el expediente </w:t>
      </w:r>
      <w:r w:rsidR="00CC79D2" w:rsidRPr="002A2450">
        <w:rPr>
          <w:rFonts w:ascii="ITC Avant Garde" w:eastAsia="Times New Roman" w:hAnsi="ITC Avant Garde"/>
          <w:bCs/>
          <w:color w:val="000000"/>
          <w:lang w:eastAsia="es-MX"/>
        </w:rPr>
        <w:t xml:space="preserve">respectivo </w:t>
      </w:r>
      <w:r w:rsidRPr="002A2450">
        <w:rPr>
          <w:rFonts w:ascii="ITC Avant Garde" w:eastAsia="Times New Roman" w:hAnsi="ITC Avant Garde"/>
          <w:bCs/>
          <w:color w:val="000000"/>
          <w:lang w:eastAsia="es-MX"/>
        </w:rPr>
        <w:t>y los motivos que advirtió para realizar la imputación formulada en dicho acuerdo.</w:t>
      </w:r>
    </w:p>
    <w:p w14:paraId="232472D2" w14:textId="77777777" w:rsidR="00B35F13" w:rsidRDefault="0061604B"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Asimismo, se ha señalado que las denuncias por sí mismas, sólo ponen en conocimiento de la autoridad los hechos que a consideración del denunciante son violatorios de la normatividad de la materia, sin que la autoridad se encuentre obligada a signar su actuación con base en las pretensiones de los propios denunciantes.</w:t>
      </w:r>
    </w:p>
    <w:p w14:paraId="19928D05" w14:textId="77777777" w:rsidR="00B35F13" w:rsidRDefault="0061604B" w:rsidP="00B35F13">
      <w:pPr>
        <w:pStyle w:val="Textoindependiente"/>
        <w:tabs>
          <w:tab w:val="left" w:pos="567"/>
        </w:tabs>
        <w:spacing w:before="240" w:after="160" w:line="360" w:lineRule="auto"/>
        <w:jc w:val="both"/>
        <w:rPr>
          <w:rFonts w:ascii="ITC Avant Garde" w:hAnsi="ITC Avant Garde"/>
        </w:rPr>
      </w:pPr>
      <w:r w:rsidRPr="002A2450">
        <w:rPr>
          <w:rFonts w:ascii="ITC Avant Garde" w:eastAsia="Times New Roman" w:hAnsi="ITC Avant Garde"/>
          <w:bCs/>
          <w:color w:val="000000"/>
          <w:lang w:eastAsia="es-MX"/>
        </w:rPr>
        <w:t xml:space="preserve">Lo anterior, ya que las denuncias </w:t>
      </w:r>
      <w:r w:rsidR="008F0EE4" w:rsidRPr="002A2450">
        <w:rPr>
          <w:rFonts w:ascii="ITC Avant Garde" w:hAnsi="ITC Avant Garde"/>
        </w:rPr>
        <w:t>no tienen como propósito fundamental salvaguardar intereses particulares mediante el procedimiento sancionador, sino preservar una prestación óptima del servicio público.</w:t>
      </w:r>
    </w:p>
    <w:p w14:paraId="695B9237" w14:textId="77777777" w:rsidR="00B35F13" w:rsidRDefault="008F0EE4"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 xml:space="preserve">En ese sentido, esta autoridad basó sus consideraciones a partir de las jurisprudencias y tesis bajo los rubros: </w:t>
      </w:r>
      <w:r w:rsidRPr="002A2450">
        <w:rPr>
          <w:rFonts w:ascii="ITC Avant Garde" w:hAnsi="ITC Avant Garde"/>
          <w:i/>
        </w:rPr>
        <w:t>“</w:t>
      </w:r>
      <w:r w:rsidRPr="002A2450">
        <w:rPr>
          <w:rFonts w:ascii="ITC Avant Garde" w:hAnsi="ITC Avant Garde"/>
          <w:b/>
          <w:i/>
        </w:rPr>
        <w:t xml:space="preserve">RESPONSABILIDADES DE LOS SERVIDORES PÚBLICOS. EL DENUNCIANTE DE LA QUEJA ADMINISTRATIVA CARECE DE INTERÉS JURÍDICO PARA IMPUGNAR EN AMPARO LA RESOLUCIÓN QUE LA DECLARA IMPROCEDENTE.”, “RESPONSABILIDADES DE LOS SERVIDORES PÚBLICOS DEL ESTADO </w:t>
      </w:r>
      <w:r w:rsidRPr="002A2450">
        <w:rPr>
          <w:rFonts w:ascii="ITC Avant Garde" w:hAnsi="ITC Avant Garde"/>
          <w:b/>
          <w:i/>
        </w:rPr>
        <w:lastRenderedPageBreak/>
        <w:t>Y MUNICIPIOS DE SAN LUIS POTOSÍ. EL DENUNCIANTE CARECE DE INTERÉS JURÍDICO PARA PROMOVER AMPARO CONTRA LA RESOLUCIÓN QUE DECLARA IMPROCEDENTE O DETERMINA NO TRAMITAR LOS PROCEDIMIENTOS QUE PREVÉ LA LEY RELATIVA”, y “COMPETENCIA ECONÓMICA. LAS CARACTERÍSTICAS DEL PROCEDIMIENTO ESTABLECIDO EN LA LEY FEDERAL CORRESPONDIENTE, LO IDENTIFICAN COMO ADMINISTRATIVO Y NO COMO CIVIL.”</w:t>
      </w:r>
      <w:r w:rsidRPr="002A2450">
        <w:rPr>
          <w:rFonts w:ascii="ITC Avant Garde" w:hAnsi="ITC Avant Garde"/>
          <w:b/>
        </w:rPr>
        <w:t xml:space="preserve">, </w:t>
      </w:r>
      <w:r w:rsidRPr="002A2450">
        <w:rPr>
          <w:rFonts w:ascii="ITC Avant Garde" w:hAnsi="ITC Avant Garde"/>
        </w:rPr>
        <w:t xml:space="preserve">las cuales en obvio de repeticiones innecesarias se tiene aquí por transcritas para todos los efectos legales a que haya lugar. </w:t>
      </w:r>
    </w:p>
    <w:p w14:paraId="57A407CB" w14:textId="77777777" w:rsidR="00B35F13" w:rsidRDefault="008F0EE4"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Así las cosas, al definir el acuerdo de inicio del procedimiento administrativo de imposición de sanción</w:t>
      </w:r>
      <w:r w:rsidR="00CC79D2" w:rsidRPr="002A2450">
        <w:rPr>
          <w:rFonts w:ascii="ITC Avant Garde" w:hAnsi="ITC Avant Garde"/>
        </w:rPr>
        <w:t xml:space="preserve"> la situación jurídica de </w:t>
      </w:r>
      <w:r w:rsidR="00CC79D2" w:rsidRPr="002A2450">
        <w:rPr>
          <w:rFonts w:ascii="ITC Avant Garde" w:hAnsi="ITC Avant Garde"/>
          <w:b/>
        </w:rPr>
        <w:t>“TELMEX”</w:t>
      </w:r>
      <w:r w:rsidRPr="002A2450">
        <w:rPr>
          <w:rFonts w:ascii="ITC Avant Garde" w:hAnsi="ITC Avant Garde"/>
        </w:rPr>
        <w:t xml:space="preserve">, es indudable que la </w:t>
      </w:r>
      <w:proofErr w:type="spellStart"/>
      <w:r w:rsidRPr="002A2450">
        <w:rPr>
          <w:rFonts w:ascii="ITC Avant Garde" w:hAnsi="ITC Avant Garde"/>
          <w:i/>
        </w:rPr>
        <w:t>litis</w:t>
      </w:r>
      <w:proofErr w:type="spellEnd"/>
      <w:r w:rsidRPr="002A2450">
        <w:rPr>
          <w:rFonts w:ascii="ITC Avant Garde" w:hAnsi="ITC Avant Garde"/>
        </w:rPr>
        <w:t xml:space="preserve"> en el presente asunto, es determinar la posible infracción o no al</w:t>
      </w:r>
      <w:r w:rsidR="00D4174A" w:rsidRPr="002A2450">
        <w:rPr>
          <w:rFonts w:ascii="ITC Avant Garde" w:hAnsi="ITC Avant Garde"/>
        </w:rPr>
        <w:t xml:space="preserve"> </w:t>
      </w:r>
      <w:r w:rsidR="00841FB0" w:rsidRPr="009E34A4">
        <w:rPr>
          <w:rFonts w:ascii="ITC Avant Garde" w:hAnsi="ITC Avant Garde"/>
          <w:b/>
        </w:rPr>
        <w:t>Tercer Párrafo</w:t>
      </w:r>
      <w:r w:rsidR="00D4174A" w:rsidRPr="002A2450">
        <w:rPr>
          <w:rFonts w:ascii="ITC Avant Garde" w:hAnsi="ITC Avant Garde"/>
        </w:rPr>
        <w:t xml:space="preserve"> de la</w:t>
      </w:r>
      <w:r w:rsidRPr="002A2450">
        <w:rPr>
          <w:rFonts w:ascii="ITC Avant Garde" w:hAnsi="ITC Avant Garde"/>
        </w:rPr>
        <w:t xml:space="preserve"> condición 1-9 de su </w:t>
      </w:r>
      <w:r w:rsidR="00BD1D1D" w:rsidRPr="002A2450">
        <w:rPr>
          <w:rFonts w:ascii="ITC Avant Garde" w:hAnsi="ITC Avant Garde"/>
          <w:b/>
        </w:rPr>
        <w:t>“TÍTULO</w:t>
      </w:r>
      <w:r w:rsidRPr="002A2450">
        <w:rPr>
          <w:rFonts w:ascii="ITC Avant Garde" w:hAnsi="ITC Avant Garde"/>
          <w:b/>
        </w:rPr>
        <w:t xml:space="preserve"> DE CONCESIÓN</w:t>
      </w:r>
      <w:r w:rsidR="00D4174A" w:rsidRPr="002A2450">
        <w:rPr>
          <w:rFonts w:ascii="ITC Avant Garde" w:hAnsi="ITC Avant Garde"/>
          <w:b/>
        </w:rPr>
        <w:t>”</w:t>
      </w:r>
      <w:r w:rsidRPr="002A2450">
        <w:rPr>
          <w:rFonts w:ascii="ITC Avant Garde" w:hAnsi="ITC Avant Garde"/>
        </w:rPr>
        <w:t xml:space="preserve">, de lo que se sigue que las denuncias presentadas no constituyen </w:t>
      </w:r>
      <w:r w:rsidRPr="002A2450">
        <w:rPr>
          <w:rFonts w:ascii="ITC Avant Garde" w:hAnsi="ITC Avant Garde"/>
          <w:i/>
        </w:rPr>
        <w:t>per se</w:t>
      </w:r>
      <w:r w:rsidRPr="002A2450">
        <w:rPr>
          <w:rFonts w:ascii="ITC Avant Garde" w:hAnsi="ITC Avant Garde"/>
        </w:rPr>
        <w:t xml:space="preserve"> el motivo de</w:t>
      </w:r>
      <w:r w:rsidR="00995844" w:rsidRPr="002A2450">
        <w:rPr>
          <w:rFonts w:ascii="ITC Avant Garde" w:hAnsi="ITC Avant Garde"/>
        </w:rPr>
        <w:t xml:space="preserve"> inicio de</w:t>
      </w:r>
      <w:r w:rsidRPr="002A2450">
        <w:rPr>
          <w:rFonts w:ascii="ITC Avant Garde" w:hAnsi="ITC Avant Garde"/>
        </w:rPr>
        <w:t xml:space="preserve">l presente procedimiento, sino que lo es precisamente </w:t>
      </w:r>
      <w:r w:rsidR="00E310F0" w:rsidRPr="002A2450">
        <w:rPr>
          <w:rFonts w:ascii="ITC Avant Garde" w:hAnsi="ITC Avant Garde"/>
        </w:rPr>
        <w:t xml:space="preserve">los hechos señalados </w:t>
      </w:r>
      <w:r w:rsidRPr="002A2450">
        <w:rPr>
          <w:rFonts w:ascii="ITC Avant Garde" w:hAnsi="ITC Avant Garde"/>
        </w:rPr>
        <w:t>el acuerdo de inicio ya que éste es el acto administrativo que determina la presunta comisión de la conducta imputada.</w:t>
      </w:r>
    </w:p>
    <w:p w14:paraId="08A35571" w14:textId="77777777" w:rsidR="00B35F13" w:rsidRDefault="00DF2E3B" w:rsidP="00B35F13">
      <w:pPr>
        <w:pStyle w:val="Textoindependiente"/>
        <w:tabs>
          <w:tab w:val="left" w:pos="567"/>
        </w:tabs>
        <w:spacing w:before="240" w:after="160" w:line="360" w:lineRule="auto"/>
        <w:jc w:val="both"/>
        <w:rPr>
          <w:rFonts w:ascii="ITC Avant Garde" w:hAnsi="ITC Avant Garde"/>
          <w:b/>
        </w:rPr>
      </w:pPr>
      <w:r w:rsidRPr="002A2450">
        <w:rPr>
          <w:rFonts w:ascii="ITC Avant Garde" w:eastAsia="Times New Roman" w:hAnsi="ITC Avant Garde"/>
          <w:bCs/>
          <w:color w:val="000000"/>
          <w:lang w:eastAsia="es-MX"/>
        </w:rPr>
        <w:t xml:space="preserve">En tales consideraciones, </w:t>
      </w:r>
      <w:r w:rsidRPr="002A2450">
        <w:rPr>
          <w:rFonts w:ascii="ITC Avant Garde" w:hAnsi="ITC Avant Garde"/>
        </w:rPr>
        <w:t xml:space="preserve">en nada le beneficia a </w:t>
      </w:r>
      <w:r w:rsidRPr="002A2450">
        <w:rPr>
          <w:rFonts w:ascii="ITC Avant Garde" w:hAnsi="ITC Avant Garde"/>
          <w:b/>
        </w:rPr>
        <w:t>“TELMEX”</w:t>
      </w:r>
      <w:r w:rsidRPr="002A2450">
        <w:rPr>
          <w:rFonts w:ascii="ITC Avant Garde" w:hAnsi="ITC Avant Garde"/>
        </w:rPr>
        <w:t xml:space="preserve"> señalar que las denuncias presentadas por distintos concesionarios no le fueron notificadas, puesto que como lo señala la presunta infractora, la oportunidad de presentar pruebas y defensas con relación al presente procedimiento es precisamente en la presente instancia, sólo por lo que respecta al presunto incumplimiento al</w:t>
      </w:r>
      <w:r w:rsidR="00D4174A" w:rsidRPr="002A2450">
        <w:rPr>
          <w:rFonts w:ascii="ITC Avant Garde" w:hAnsi="ITC Avant Garde"/>
        </w:rPr>
        <w:t xml:space="preserve"> </w:t>
      </w:r>
      <w:r w:rsidR="00841FB0" w:rsidRPr="009E34A4">
        <w:rPr>
          <w:rFonts w:ascii="ITC Avant Garde" w:hAnsi="ITC Avant Garde"/>
          <w:b/>
        </w:rPr>
        <w:t>Tercer Párrafo</w:t>
      </w:r>
      <w:r w:rsidR="00D4174A" w:rsidRPr="002A2450">
        <w:rPr>
          <w:rFonts w:ascii="ITC Avant Garde" w:hAnsi="ITC Avant Garde"/>
        </w:rPr>
        <w:t xml:space="preserve"> de la</w:t>
      </w:r>
      <w:r w:rsidRPr="002A2450">
        <w:rPr>
          <w:rFonts w:ascii="ITC Avant Garde" w:hAnsi="ITC Avant Garde"/>
        </w:rPr>
        <w:t xml:space="preserve"> condición 1-9 de su </w:t>
      </w:r>
      <w:r w:rsidR="00CC79D2" w:rsidRPr="002A2450">
        <w:rPr>
          <w:rFonts w:ascii="ITC Avant Garde" w:hAnsi="ITC Avant Garde"/>
          <w:b/>
        </w:rPr>
        <w:t>“</w:t>
      </w:r>
      <w:r w:rsidRPr="002A2450">
        <w:rPr>
          <w:rFonts w:ascii="ITC Avant Garde" w:hAnsi="ITC Avant Garde"/>
          <w:b/>
        </w:rPr>
        <w:t>TÍTULO DE CONCESIÓN</w:t>
      </w:r>
      <w:r w:rsidR="00CC79D2" w:rsidRPr="002A2450">
        <w:rPr>
          <w:rFonts w:ascii="ITC Avant Garde" w:hAnsi="ITC Avant Garde"/>
          <w:b/>
        </w:rPr>
        <w:t>”</w:t>
      </w:r>
      <w:r w:rsidR="00CC79D2" w:rsidRPr="002A2450">
        <w:rPr>
          <w:rFonts w:ascii="ITC Avant Garde" w:hAnsi="ITC Avant Garde"/>
        </w:rPr>
        <w:t xml:space="preserve">, máxime si tomamos en cuenta que </w:t>
      </w:r>
      <w:r w:rsidRPr="002A2450">
        <w:rPr>
          <w:rFonts w:ascii="ITC Avant Garde" w:hAnsi="ITC Avant Garde"/>
        </w:rPr>
        <w:t>las denuncias present</w:t>
      </w:r>
      <w:r w:rsidR="00CC79D2" w:rsidRPr="002A2450">
        <w:rPr>
          <w:rFonts w:ascii="ITC Avant Garde" w:hAnsi="ITC Avant Garde"/>
        </w:rPr>
        <w:t xml:space="preserve">adas ponen en conocimiento de esta autoridad diversas conductas de </w:t>
      </w:r>
      <w:r w:rsidR="00CC79D2" w:rsidRPr="002A2450">
        <w:rPr>
          <w:rFonts w:ascii="ITC Avant Garde" w:hAnsi="ITC Avant Garde"/>
          <w:b/>
        </w:rPr>
        <w:t>“TELMEX”</w:t>
      </w:r>
      <w:r w:rsidR="00CC79D2" w:rsidRPr="002A2450">
        <w:rPr>
          <w:rFonts w:ascii="ITC Avant Garde" w:hAnsi="ITC Avant Garde"/>
        </w:rPr>
        <w:t xml:space="preserve"> con los que aparentemente estaría violando otras condiciones de su </w:t>
      </w:r>
      <w:r w:rsidR="00CC79D2" w:rsidRPr="002A2450">
        <w:rPr>
          <w:rFonts w:ascii="ITC Avant Garde" w:hAnsi="ITC Avant Garde"/>
          <w:b/>
        </w:rPr>
        <w:t xml:space="preserve">“TÍTULO DE CONCESIÓN” </w:t>
      </w:r>
      <w:r w:rsidR="00CC79D2" w:rsidRPr="002A2450">
        <w:rPr>
          <w:rFonts w:ascii="ITC Avant Garde" w:hAnsi="ITC Avant Garde"/>
        </w:rPr>
        <w:t xml:space="preserve">y otras disposiciones legales, reglamentarias y administrativas en la materia, sin embargo, esta autoridad determinó que con base en todos los elementos y constancias que obraban en su poder, únicamente se presumía la violación al </w:t>
      </w:r>
      <w:r w:rsidR="00B15C84" w:rsidRPr="009E34A4">
        <w:rPr>
          <w:rFonts w:ascii="ITC Avant Garde" w:hAnsi="ITC Avant Garde"/>
          <w:b/>
        </w:rPr>
        <w:t>Tercer Párrafo</w:t>
      </w:r>
      <w:r w:rsidR="00CC79D2" w:rsidRPr="002A2450">
        <w:rPr>
          <w:rFonts w:ascii="ITC Avant Garde" w:hAnsi="ITC Avant Garde"/>
        </w:rPr>
        <w:t xml:space="preserve"> de la condición 1-9 de su </w:t>
      </w:r>
      <w:r w:rsidR="00CC79D2" w:rsidRPr="002A2450">
        <w:rPr>
          <w:rFonts w:ascii="ITC Avant Garde" w:hAnsi="ITC Avant Garde"/>
          <w:b/>
        </w:rPr>
        <w:t>“TÍTULO DE CONCESIÓN”.</w:t>
      </w:r>
    </w:p>
    <w:p w14:paraId="263FC913" w14:textId="77777777" w:rsidR="00B35F13" w:rsidRDefault="00CC79D2"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lastRenderedPageBreak/>
        <w:t xml:space="preserve">Con independencia de </w:t>
      </w:r>
      <w:r w:rsidR="001E1C51" w:rsidRPr="002A2450">
        <w:rPr>
          <w:rFonts w:ascii="ITC Avant Garde" w:hAnsi="ITC Avant Garde"/>
        </w:rPr>
        <w:t xml:space="preserve">anterior, es sabido que dentro del acuerdo de inicio del procedimiento administrativo de imposición de sanción, se hizo del conocimiento de </w:t>
      </w:r>
      <w:r w:rsidR="001E1C51" w:rsidRPr="002A2450">
        <w:rPr>
          <w:rFonts w:ascii="ITC Avant Garde" w:hAnsi="ITC Avant Garde"/>
          <w:b/>
        </w:rPr>
        <w:t xml:space="preserve">“TELMEX” </w:t>
      </w:r>
      <w:r w:rsidR="001E1C51" w:rsidRPr="002A2450">
        <w:rPr>
          <w:rFonts w:ascii="ITC Avant Garde" w:hAnsi="ITC Avant Garde"/>
        </w:rPr>
        <w:t xml:space="preserve">en </w:t>
      </w:r>
      <w:r w:rsidR="00686F96" w:rsidRPr="002A2450">
        <w:rPr>
          <w:rFonts w:ascii="ITC Avant Garde" w:hAnsi="ITC Avant Garde"/>
        </w:rPr>
        <w:t xml:space="preserve">el </w:t>
      </w:r>
      <w:r w:rsidR="001E1C51" w:rsidRPr="002A2450">
        <w:rPr>
          <w:rFonts w:ascii="ITC Avant Garde" w:hAnsi="ITC Avant Garde"/>
        </w:rPr>
        <w:t xml:space="preserve">numeral </w:t>
      </w:r>
      <w:r w:rsidR="001E1C51" w:rsidRPr="002A2450">
        <w:rPr>
          <w:rFonts w:ascii="ITC Avant Garde" w:hAnsi="ITC Avant Garde"/>
          <w:b/>
        </w:rPr>
        <w:t>SEXTO</w:t>
      </w:r>
      <w:r w:rsidR="001E1C51" w:rsidRPr="002A2450">
        <w:rPr>
          <w:rFonts w:ascii="ITC Avant Garde" w:hAnsi="ITC Avant Garde"/>
        </w:rPr>
        <w:t xml:space="preserve"> lo siguiente:</w:t>
      </w:r>
    </w:p>
    <w:p w14:paraId="40B08C90" w14:textId="7D1192F5" w:rsidR="001E1C51" w:rsidRPr="002A2450" w:rsidRDefault="001E1C51" w:rsidP="00B35F13">
      <w:pPr>
        <w:spacing w:before="240" w:line="360" w:lineRule="auto"/>
        <w:ind w:left="567" w:right="567"/>
        <w:jc w:val="both"/>
        <w:rPr>
          <w:rFonts w:ascii="ITC Avant Garde" w:hAnsi="ITC Avant Garde"/>
          <w:b/>
          <w:i/>
        </w:rPr>
      </w:pPr>
      <w:r w:rsidRPr="002A2450">
        <w:rPr>
          <w:rFonts w:ascii="ITC Avant Garde" w:hAnsi="ITC Avant Garde"/>
          <w:b/>
          <w:i/>
        </w:rPr>
        <w:t>“…</w:t>
      </w:r>
    </w:p>
    <w:p w14:paraId="500D48E1" w14:textId="77777777" w:rsidR="001E1C51" w:rsidRPr="002A2450" w:rsidRDefault="001E1C51" w:rsidP="00B35F13">
      <w:pPr>
        <w:spacing w:before="240" w:line="360" w:lineRule="auto"/>
        <w:ind w:left="567" w:right="567"/>
        <w:jc w:val="both"/>
        <w:rPr>
          <w:rFonts w:ascii="ITC Avant Garde" w:hAnsi="ITC Avant Garde"/>
          <w:i/>
        </w:rPr>
      </w:pPr>
      <w:r w:rsidRPr="002A2450">
        <w:rPr>
          <w:rFonts w:ascii="ITC Avant Garde" w:hAnsi="ITC Avant Garde"/>
          <w:b/>
          <w:i/>
        </w:rPr>
        <w:t>SEXTO</w:t>
      </w:r>
      <w:r w:rsidRPr="002A2450">
        <w:rPr>
          <w:rFonts w:ascii="ITC Avant Garde" w:hAnsi="ITC Avant Garde"/>
          <w:i/>
        </w:rPr>
        <w:t xml:space="preserve">.- Se hace del conocimiento de </w:t>
      </w:r>
      <w:r w:rsidRPr="002A2450">
        <w:rPr>
          <w:rFonts w:ascii="ITC Avant Garde" w:hAnsi="ITC Avant Garde"/>
          <w:b/>
          <w:i/>
        </w:rPr>
        <w:t>TELMEX,</w:t>
      </w:r>
      <w:r w:rsidRPr="002A2450">
        <w:rPr>
          <w:rFonts w:ascii="ITC Avant Garde" w:hAnsi="ITC Avant Garde"/>
          <w:i/>
        </w:rPr>
        <w:t xml:space="preserve"> que en términos de los artículos 3, fracción XVI y 33 de la Ley Federal de Procedimiento Administrativo, el expediente en que se actúa, así como los documentos descritos en el presente oficio podrán ser consultados por el interesado, previa identificación de su representante legal y/o por las personas que autorice para esos efectos, en las oficinas de esta Unidad, ubicadas en el Cuarto Piso del edificio alterno a la sede de este Instituto, con domicilio en Avenida Insurgentes Sur número 838, Colonia Del Valle, Delegación Benito Juárez, México, Distrito Federal, Código Postal 03100, dentro del siguiente horario: de las 9:00 a las 18:00 horas.</w:t>
      </w:r>
    </w:p>
    <w:p w14:paraId="59F3CF01" w14:textId="77777777" w:rsidR="00B35F13" w:rsidRDefault="001E1C51" w:rsidP="00B35F13">
      <w:pPr>
        <w:spacing w:before="240" w:line="360" w:lineRule="auto"/>
        <w:ind w:left="567" w:right="567"/>
        <w:jc w:val="both"/>
        <w:rPr>
          <w:rFonts w:ascii="ITC Avant Garde" w:hAnsi="ITC Avant Garde"/>
          <w:i/>
        </w:rPr>
      </w:pPr>
      <w:r w:rsidRPr="002A2450">
        <w:rPr>
          <w:rFonts w:ascii="ITC Avant Garde" w:hAnsi="ITC Avant Garde"/>
          <w:i/>
        </w:rPr>
        <w:t>…”</w:t>
      </w:r>
    </w:p>
    <w:p w14:paraId="723B7373" w14:textId="77777777" w:rsidR="00B35F13" w:rsidRDefault="00686F96"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 xml:space="preserve">Con base en lo anterior, advirtiendo que lo que determina la situación jurídica de </w:t>
      </w:r>
      <w:r w:rsidRPr="002A2450">
        <w:rPr>
          <w:rFonts w:ascii="ITC Avant Garde" w:hAnsi="ITC Avant Garde"/>
          <w:b/>
        </w:rPr>
        <w:t>“TELMEX”</w:t>
      </w:r>
      <w:r w:rsidRPr="002A2450">
        <w:rPr>
          <w:rFonts w:ascii="ITC Avant Garde" w:hAnsi="ITC Avant Garde"/>
        </w:rPr>
        <w:t xml:space="preserve"> es el acuerdo de inicio del procedimiento administrativo de imposición de sanción, es dable concluir que resulta irrelevante señalar dentro del propio acuerdo de inicio si el procedimiento se origina de </w:t>
      </w:r>
      <w:r w:rsidRPr="002A2450">
        <w:rPr>
          <w:rFonts w:ascii="ITC Avant Garde" w:hAnsi="ITC Avant Garde"/>
          <w:i/>
        </w:rPr>
        <w:t>mutuo propio</w:t>
      </w:r>
      <w:r w:rsidRPr="002A2450">
        <w:rPr>
          <w:rFonts w:ascii="ITC Avant Garde" w:hAnsi="ITC Avant Garde"/>
        </w:rPr>
        <w:t xml:space="preserve"> o fue a petición de parte interesada, dado que en cualquier caso, las denuncias no son vinculantes para esta autoridad tal y como se ha desarrollado previamente en la presente resolución.</w:t>
      </w:r>
    </w:p>
    <w:p w14:paraId="53B226DC" w14:textId="77777777" w:rsidR="00B35F13" w:rsidRDefault="00686F96"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 xml:space="preserve">En ese sentido, cabe precisar el hecho de que efectivamente la autoridad al imputar una conducta presumiblemente contraria a la normatividad de la materia está obligada a señalar los elementos en los cuales se sujetó su actuación. </w:t>
      </w:r>
    </w:p>
    <w:p w14:paraId="615DAF82" w14:textId="77777777" w:rsidR="00B35F13" w:rsidRDefault="00686F96"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lastRenderedPageBreak/>
        <w:t xml:space="preserve">En tales consideraciones, </w:t>
      </w:r>
      <w:r w:rsidRPr="002A2450">
        <w:rPr>
          <w:rFonts w:ascii="ITC Avant Garde" w:hAnsi="ITC Avant Garde"/>
          <w:b/>
        </w:rPr>
        <w:t>“TELMEX”</w:t>
      </w:r>
      <w:r w:rsidRPr="002A2450">
        <w:rPr>
          <w:rFonts w:ascii="ITC Avant Garde" w:hAnsi="ITC Avant Garde"/>
        </w:rPr>
        <w:t xml:space="preserve"> señala que al no haberle notificado las denuncias presentadas, ello irrumpe en la ilegalidad, puesto que lo coloca en un estado de indefensión.</w:t>
      </w:r>
    </w:p>
    <w:p w14:paraId="70952130" w14:textId="77777777" w:rsidR="00B35F13" w:rsidRDefault="00686F96"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 xml:space="preserve">Al respecto, debe señalarse que ello es </w:t>
      </w:r>
      <w:r w:rsidRPr="002A2450">
        <w:rPr>
          <w:rFonts w:ascii="ITC Avant Garde" w:hAnsi="ITC Avant Garde"/>
          <w:b/>
          <w:u w:val="single"/>
        </w:rPr>
        <w:t>infundado</w:t>
      </w:r>
      <w:r w:rsidRPr="002A2450">
        <w:rPr>
          <w:rFonts w:ascii="ITC Avant Garde" w:hAnsi="ITC Avant Garde"/>
        </w:rPr>
        <w:t xml:space="preserve"> toda vez que el acto que pudiera afectar la esfera jurídica es el acuerdo de inicio y no las denuncias presentadas, así como el hecho de que esta autoridad al emitir el acuerdo de inicio, sólo consideró aquellos elementos que le permitieron llegar a la conclusi</w:t>
      </w:r>
      <w:r w:rsidR="00A32694" w:rsidRPr="002A2450">
        <w:rPr>
          <w:rFonts w:ascii="ITC Avant Garde" w:hAnsi="ITC Avant Garde"/>
        </w:rPr>
        <w:t xml:space="preserve">ón del presunto incumplimiento materia del presente procedimiento, de allí que precisamente </w:t>
      </w:r>
      <w:r w:rsidR="00A32694" w:rsidRPr="002A2450">
        <w:rPr>
          <w:rFonts w:ascii="ITC Avant Garde" w:hAnsi="ITC Avant Garde"/>
          <w:b/>
        </w:rPr>
        <w:t>“TELMEX”</w:t>
      </w:r>
      <w:r w:rsidR="00A32694" w:rsidRPr="002A2450">
        <w:rPr>
          <w:rFonts w:ascii="ITC Avant Garde" w:hAnsi="ITC Avant Garde"/>
        </w:rPr>
        <w:t xml:space="preserve"> erra en considerar que debió notificarse las denuncias presentadas con el objeto de desacreditar o desvirtuar la conducta, puesto que lo que debe desvirtuar es la conducta imputadas en el acuerdo de inicio y no así las denuncias presentadas.</w:t>
      </w:r>
    </w:p>
    <w:p w14:paraId="0EE7534F" w14:textId="77777777" w:rsidR="00B35F13" w:rsidRDefault="00A32694"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 xml:space="preserve">A mayor abundamiento, dada la analogía que se advierte en el presente argumento, esta autoridad considera pertinente señalar a </w:t>
      </w:r>
      <w:r w:rsidRPr="002A2450">
        <w:rPr>
          <w:rFonts w:ascii="ITC Avant Garde" w:hAnsi="ITC Avant Garde"/>
          <w:b/>
        </w:rPr>
        <w:t>“TELMEX”</w:t>
      </w:r>
      <w:r w:rsidRPr="002A2450">
        <w:rPr>
          <w:rFonts w:ascii="ITC Avant Garde" w:hAnsi="ITC Avant Garde"/>
        </w:rPr>
        <w:t xml:space="preserve"> que a la luz de lo resuelto por el Poder Judicial de la Federación, por su analogía, las características y alcances de una denuncia sólo pueden ser consideradas como orientadoras para la autoridad y en caso de que los hechos señalados en las mismas trasciendan al sentido del falló éstas son consideradas en la resolución que al respecto se emita, por lo que debe concluirse que en tal caso resulta innecesario que el contenido total de las denuncias se encuentren plasmados y/o notificados de manera conjunta con el acuerdo de inicio. </w:t>
      </w:r>
    </w:p>
    <w:p w14:paraId="034F1B45" w14:textId="77777777" w:rsidR="00B35F13" w:rsidRDefault="00A32694" w:rsidP="00B35F13">
      <w:pPr>
        <w:pStyle w:val="Textoindependiente"/>
        <w:tabs>
          <w:tab w:val="left" w:pos="567"/>
        </w:tabs>
        <w:spacing w:before="240" w:after="160" w:line="360" w:lineRule="auto"/>
        <w:jc w:val="both"/>
        <w:rPr>
          <w:rFonts w:ascii="ITC Avant Garde" w:hAnsi="ITC Avant Garde"/>
        </w:rPr>
      </w:pPr>
      <w:r w:rsidRPr="002A2450">
        <w:rPr>
          <w:rFonts w:ascii="ITC Avant Garde" w:hAnsi="ITC Avant Garde"/>
        </w:rPr>
        <w:t>Al respecto, sirve de aplicación por analogía la siguiente jurisprudencia:</w:t>
      </w:r>
    </w:p>
    <w:p w14:paraId="02BF9E68" w14:textId="77777777" w:rsidR="00B35F13" w:rsidRDefault="00A32694" w:rsidP="00B35F13">
      <w:pPr>
        <w:pStyle w:val="Textoindependiente"/>
        <w:tabs>
          <w:tab w:val="left" w:pos="567"/>
        </w:tabs>
        <w:spacing w:before="240" w:after="160" w:line="360" w:lineRule="auto"/>
        <w:ind w:left="567" w:right="567"/>
        <w:jc w:val="both"/>
        <w:rPr>
          <w:rFonts w:ascii="ITC Avant Garde" w:hAnsi="ITC Avant Garde"/>
        </w:rPr>
      </w:pPr>
      <w:r w:rsidRPr="002A2450">
        <w:rPr>
          <w:rFonts w:ascii="ITC Avant Garde" w:hAnsi="ITC Avant Garde"/>
          <w:b/>
        </w:rPr>
        <w:t xml:space="preserve">COMISIÓN FEDERAL DE COMPETENCIA ECONÓMICA. CARACTERÍSTICAS Y ALCANCES DE LAS ACTAS DE SESIÓN, DICTÁMENES, OPINIONES, INFORMES Y ESTUDIOS ELABORADOS POR SUS DIRECCIONES GENERALES DE ASUNTOS JURÍDICOS Y ESTUDIOS ECONÓMICOS. </w:t>
      </w:r>
      <w:r w:rsidRPr="002A2450">
        <w:rPr>
          <w:rFonts w:ascii="ITC Avant Garde" w:hAnsi="ITC Avant Garde"/>
        </w:rPr>
        <w:t xml:space="preserve">Aun cuando los documentos a que se refieren los artículos 15, 26, fracción III, 28, fracción IV, y 29, fracción II, del Reglamento Interior de la Comisión Federal de </w:t>
      </w:r>
      <w:r w:rsidRPr="002A2450">
        <w:rPr>
          <w:rFonts w:ascii="ITC Avant Garde" w:hAnsi="ITC Avant Garde"/>
        </w:rPr>
        <w:lastRenderedPageBreak/>
        <w:t>Competencia, contienen opiniones, datos, cifras económicas o de mercado y proposiciones respecto de los puntos de controversia materia del procedimiento administrativo que se instrumenta, y su finalidad es orientar la resolución del caso, lo cierto es que si llegara a trascender el criterio plasmado en ellos pasaría a formar parte de las consideraciones de la resolución emitida por la mencionada comisión y, por tanto, sería innecesario requerir la exhibición de aquéllos.</w:t>
      </w:r>
    </w:p>
    <w:p w14:paraId="2ADE5A90" w14:textId="77777777" w:rsidR="00B35F13" w:rsidRDefault="00A32694" w:rsidP="00B35F13">
      <w:pPr>
        <w:pStyle w:val="Textoindependiente"/>
        <w:tabs>
          <w:tab w:val="left" w:pos="567"/>
        </w:tabs>
        <w:spacing w:before="240" w:after="160" w:line="360" w:lineRule="auto"/>
        <w:ind w:left="567" w:right="567"/>
        <w:jc w:val="both"/>
        <w:rPr>
          <w:rFonts w:ascii="ITC Avant Garde" w:hAnsi="ITC Avant Garde"/>
        </w:rPr>
      </w:pPr>
      <w:r w:rsidRPr="002A2450">
        <w:rPr>
          <w:rFonts w:ascii="ITC Avant Garde" w:hAnsi="ITC Avant Garde"/>
          <w:sz w:val="18"/>
        </w:rPr>
        <w:t>Época: Novena Época, Registro: 183334, Instancia: Segunda Sala, Tipo de Tesis: Jurisprudencia, Fuente: Semanario Judicial de la Federación y su Gaceta, Tomo XVIII, Septiembre de 2003, Materia(s): Administrativa, Tesis: 2a</w:t>
      </w:r>
      <w:r w:rsidR="00C23776" w:rsidRPr="002A2450">
        <w:rPr>
          <w:rFonts w:ascii="ITC Avant Garde" w:hAnsi="ITC Avant Garde"/>
          <w:sz w:val="18"/>
        </w:rPr>
        <w:t>. /</w:t>
      </w:r>
      <w:r w:rsidRPr="002A2450">
        <w:rPr>
          <w:rFonts w:ascii="ITC Avant Garde" w:hAnsi="ITC Avant Garde"/>
          <w:sz w:val="18"/>
        </w:rPr>
        <w:t>J. 77/2003, Página: 299</w:t>
      </w:r>
    </w:p>
    <w:p w14:paraId="65BDEB9B" w14:textId="77777777" w:rsidR="00B35F13" w:rsidRDefault="001E1C51"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hAnsi="ITC Avant Garde"/>
        </w:rPr>
        <w:t xml:space="preserve">Así las cosas, no obstante que en nada le beneficia a la presunta infractora lo argumentado, esta autoridad si puso a su disposición las constancias señaladas en el acuerdo de inicio, incluyendo las denuncias </w:t>
      </w:r>
      <w:r w:rsidR="00686F96" w:rsidRPr="002A2450">
        <w:rPr>
          <w:rFonts w:ascii="ITC Avant Garde" w:hAnsi="ITC Avant Garde"/>
        </w:rPr>
        <w:t xml:space="preserve">de las cuales ahora argumenta, </w:t>
      </w:r>
      <w:r w:rsidRPr="002A2450">
        <w:rPr>
          <w:rFonts w:ascii="ITC Avant Garde" w:hAnsi="ITC Avant Garde"/>
        </w:rPr>
        <w:t xml:space="preserve">e incluso, de acuerdo al Resultando </w:t>
      </w:r>
      <w:r w:rsidR="00BD1D1D" w:rsidRPr="002A2450">
        <w:rPr>
          <w:rFonts w:ascii="ITC Avant Garde" w:hAnsi="ITC Avant Garde"/>
          <w:b/>
        </w:rPr>
        <w:t>SÉPTIMO</w:t>
      </w:r>
      <w:r w:rsidR="00BD1D1D" w:rsidRPr="002A2450">
        <w:rPr>
          <w:rFonts w:ascii="ITC Avant Garde" w:hAnsi="ITC Avant Garde"/>
        </w:rPr>
        <w:t xml:space="preserve"> </w:t>
      </w:r>
      <w:r w:rsidR="00FD191C" w:rsidRPr="002A2450">
        <w:rPr>
          <w:rFonts w:ascii="ITC Avant Garde" w:hAnsi="ITC Avant Garde"/>
        </w:rPr>
        <w:t>de la presente R</w:t>
      </w:r>
      <w:r w:rsidRPr="002A2450">
        <w:rPr>
          <w:rFonts w:ascii="ITC Avant Garde" w:hAnsi="ITC Avant Garde"/>
        </w:rPr>
        <w:t xml:space="preserve">esolución, el diecisiete de septiembre de dos mil quince, </w:t>
      </w:r>
      <w:r w:rsidRPr="002A2450">
        <w:rPr>
          <w:rFonts w:ascii="ITC Avant Garde" w:hAnsi="ITC Avant Garde"/>
          <w:b/>
        </w:rPr>
        <w:t>“TELMEX”</w:t>
      </w:r>
      <w:r w:rsidRPr="002A2450">
        <w:rPr>
          <w:rFonts w:ascii="ITC Avant Garde" w:hAnsi="ITC Avant Garde"/>
        </w:rPr>
        <w:t xml:space="preserve"> solicitó copia simple de las constancias que conforman el presente procedimiento, mismas que fueron autorizadas mediante acuerdo de veintiuno de ese mes y año, las cuales fueron recibidas mediante comparecencia del </w:t>
      </w:r>
      <w:r w:rsidRPr="002A2450">
        <w:rPr>
          <w:rFonts w:ascii="ITC Avant Garde" w:eastAsia="Times New Roman" w:hAnsi="ITC Avant Garde"/>
          <w:bCs/>
          <w:color w:val="000000"/>
          <w:lang w:eastAsia="es-MX"/>
        </w:rPr>
        <w:t>veinte de octubre de dos mil quince, por lo que es dable concluir que dicha concesionaria tuvo conocimiento de las denuncias presentadas y que en ese sentido, estuvo en aptitud de presentar sus manifestaciones y pruebas en contra de las mismas, al ser la presente instancia el momento procesal oportuno, situación que no aconteció y que por el contrario argumenta su ilegalidad cuando estuvo en posibilidad de realizar las consideraciones que a su derecho conviniere, situación que no aconteció.</w:t>
      </w:r>
    </w:p>
    <w:p w14:paraId="02D6BA58" w14:textId="1CA0F403" w:rsidR="00B35F13" w:rsidRDefault="001E1C51"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Por tanto, se considera que los argumentos realizados por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resultan </w:t>
      </w:r>
      <w:r w:rsidRPr="002A2450">
        <w:rPr>
          <w:rFonts w:ascii="ITC Avant Garde" w:eastAsia="Times New Roman" w:hAnsi="ITC Avant Garde"/>
          <w:b/>
          <w:bCs/>
          <w:color w:val="000000"/>
          <w:u w:val="single"/>
          <w:lang w:eastAsia="es-MX"/>
        </w:rPr>
        <w:t>infundados</w:t>
      </w:r>
      <w:r w:rsidRPr="002A2450">
        <w:rPr>
          <w:rFonts w:ascii="ITC Avant Garde" w:eastAsia="Times New Roman" w:hAnsi="ITC Avant Garde"/>
          <w:bCs/>
          <w:color w:val="000000"/>
          <w:lang w:eastAsia="es-MX"/>
        </w:rPr>
        <w:t xml:space="preserve"> en términos del presente apartado.</w:t>
      </w:r>
    </w:p>
    <w:p w14:paraId="551E3132" w14:textId="77777777" w:rsidR="00B35F13" w:rsidRPr="00CE1EA8" w:rsidRDefault="004E4D17" w:rsidP="007E623E">
      <w:pPr>
        <w:pStyle w:val="Ttulo4"/>
        <w:numPr>
          <w:ilvl w:val="0"/>
          <w:numId w:val="65"/>
        </w:numPr>
        <w:ind w:left="284" w:hanging="284"/>
        <w:rPr>
          <w:b/>
        </w:rPr>
      </w:pPr>
      <w:r w:rsidRPr="00CE1EA8">
        <w:rPr>
          <w:b/>
        </w:rPr>
        <w:t xml:space="preserve">DENUNCIAS QUE DIERON ORIGEN AL PROCEDIMIENTO </w:t>
      </w:r>
    </w:p>
    <w:p w14:paraId="27AF5502" w14:textId="77777777" w:rsidR="00B35F13" w:rsidRDefault="00FD191C"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lastRenderedPageBreak/>
        <w:t>“TELMEX”</w:t>
      </w:r>
      <w:r w:rsidRPr="002A2450">
        <w:rPr>
          <w:rFonts w:ascii="ITC Avant Garde" w:eastAsia="Times New Roman" w:hAnsi="ITC Avant Garde"/>
          <w:bCs/>
          <w:color w:val="000000"/>
          <w:lang w:eastAsia="es-MX"/>
        </w:rPr>
        <w:t xml:space="preserve"> manifiesta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nueve y diez)</w:t>
      </w:r>
      <w:r w:rsidRPr="002A2450">
        <w:rPr>
          <w:rFonts w:ascii="ITC Avant Garde" w:eastAsia="Times New Roman" w:hAnsi="ITC Avant Garde"/>
          <w:bCs/>
          <w:color w:val="000000"/>
          <w:lang w:eastAsia="es-MX"/>
        </w:rPr>
        <w:t>:</w:t>
      </w:r>
    </w:p>
    <w:p w14:paraId="6745F65E" w14:textId="77777777" w:rsidR="00B35F13" w:rsidRDefault="00FD191C"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En las fojas 4, 5, 6 y 7 del acuerdo de inicio se da cuenta de sendas denuncias presentadas. Sin embargo, todas carecen de un interés jurídicamente protegido para formular denuncias violatorias al título de concesión.</w:t>
      </w:r>
    </w:p>
    <w:p w14:paraId="3C60394B" w14:textId="77777777" w:rsidR="00B35F13" w:rsidRDefault="00FD191C"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La facultad de determinar o supervisar el cumplimiento de las condiciones del Título de Concesión de </w:t>
      </w:r>
      <w:r w:rsidR="005B601B" w:rsidRPr="002A2450">
        <w:rPr>
          <w:rFonts w:ascii="ITC Avant Garde" w:hAnsi="ITC Avant Garde"/>
          <w:b/>
          <w:i/>
        </w:rPr>
        <w:t>“TELMEX”</w:t>
      </w:r>
      <w:r w:rsidRPr="002A2450">
        <w:rPr>
          <w:rFonts w:ascii="ITC Avant Garde" w:hAnsi="ITC Avant Garde"/>
          <w:i/>
        </w:rPr>
        <w:t xml:space="preserve"> corresponde a ese H. Instituto y en su caso a la Secretaría de Comunicaciones y Transportes sin que se reconozca un interés jurídicamente protegido a las empresas que denunciaron.</w:t>
      </w:r>
    </w:p>
    <w:p w14:paraId="00B69B55" w14:textId="77777777" w:rsidR="00B35F13" w:rsidRDefault="00FD191C"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Aunado a lo anterior, dichas empresas son concesionarias de redes públicas de telecomunicaciones, en su caso, de servicios de telefonía móvil o de telefonía fija sin que sufran perjuicio alguno derivado de las conductas que erróneamente le atribuyen a </w:t>
      </w:r>
      <w:r w:rsidR="005B601B" w:rsidRPr="002A2450">
        <w:rPr>
          <w:rFonts w:ascii="ITC Avant Garde" w:hAnsi="ITC Avant Garde"/>
          <w:b/>
          <w:i/>
        </w:rPr>
        <w:t>“TELMEX”</w:t>
      </w:r>
      <w:r w:rsidRPr="002A2450">
        <w:rPr>
          <w:rFonts w:ascii="ITC Avant Garde" w:hAnsi="ITC Avant Garde"/>
          <w:i/>
        </w:rPr>
        <w:t>.</w:t>
      </w:r>
    </w:p>
    <w:p w14:paraId="3EEF15EC" w14:textId="77777777" w:rsidR="00B35F13" w:rsidRDefault="00DE1F52"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Por este motivo, el presente procedimiento debe darse por terminado de inmediato sin mayor trámite.</w:t>
      </w:r>
    </w:p>
    <w:p w14:paraId="39CD1F4D" w14:textId="77777777" w:rsidR="00B35F13" w:rsidRDefault="00DE1F52" w:rsidP="00B35F13">
      <w:pPr>
        <w:spacing w:before="240" w:line="360" w:lineRule="auto"/>
        <w:jc w:val="both"/>
        <w:rPr>
          <w:rFonts w:ascii="ITC Avant Garde" w:hAnsi="ITC Avant Garde"/>
        </w:rPr>
      </w:pPr>
      <w:r w:rsidRPr="002A2450">
        <w:rPr>
          <w:rFonts w:ascii="ITC Avant Garde" w:hAnsi="ITC Avant Garde"/>
        </w:rPr>
        <w:t xml:space="preserve">Al respecto, su argumento resulta </w:t>
      </w:r>
      <w:r w:rsidRPr="002A2450">
        <w:rPr>
          <w:rFonts w:ascii="ITC Avant Garde" w:hAnsi="ITC Avant Garde"/>
          <w:b/>
          <w:u w:val="single"/>
        </w:rPr>
        <w:t>infundado</w:t>
      </w:r>
      <w:r w:rsidRPr="002A2450">
        <w:rPr>
          <w:rFonts w:ascii="ITC Avant Garde" w:hAnsi="ITC Avant Garde"/>
        </w:rPr>
        <w:t xml:space="preserve"> en atención a las siguientes consideraciones:</w:t>
      </w:r>
    </w:p>
    <w:p w14:paraId="038AD82C" w14:textId="77777777" w:rsidR="00B35F13" w:rsidRDefault="00DE1F52"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Al respecto, tal y como se ha sostenido en los tres incisos previos del presente apartado, se ha dejado claro que las denuncias </w:t>
      </w:r>
      <w:r w:rsidRPr="002A2450">
        <w:rPr>
          <w:rFonts w:ascii="ITC Avant Garde" w:eastAsia="Times New Roman" w:hAnsi="ITC Avant Garde"/>
          <w:bCs/>
          <w:color w:val="000000"/>
          <w:lang w:eastAsia="es-MX"/>
        </w:rPr>
        <w:t xml:space="preserve">sólo ponen en conocimiento de la autoridad los hechos que a consideración del denunciante son violatorios de la normatividad de la materia, sin que la autoridad se encuentre obligada a </w:t>
      </w:r>
      <w:r w:rsidR="00C11918" w:rsidRPr="002A2450">
        <w:rPr>
          <w:rFonts w:ascii="ITC Avant Garde" w:eastAsia="Times New Roman" w:hAnsi="ITC Avant Garde"/>
          <w:bCs/>
          <w:color w:val="000000"/>
          <w:lang w:eastAsia="es-MX"/>
        </w:rPr>
        <w:t xml:space="preserve">dirigir </w:t>
      </w:r>
      <w:r w:rsidRPr="002A2450">
        <w:rPr>
          <w:rFonts w:ascii="ITC Avant Garde" w:eastAsia="Times New Roman" w:hAnsi="ITC Avant Garde"/>
          <w:bCs/>
          <w:color w:val="000000"/>
          <w:lang w:eastAsia="es-MX"/>
        </w:rPr>
        <w:t>su actuación con base en las pretensiones de los propios denunciantes.</w:t>
      </w:r>
    </w:p>
    <w:p w14:paraId="3E31A963" w14:textId="77777777" w:rsidR="00B35F13" w:rsidRDefault="00DE1F52"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Ahora bien, el hecho mismo de presentar una denuncia no converge con la finalidad de ventilar intereses particulares, de lo que se sigue que la simple ostentación como concesionario de un servicio de telecomunicaciones, por sí </w:t>
      </w:r>
      <w:r w:rsidRPr="002A2450">
        <w:rPr>
          <w:rFonts w:ascii="ITC Avant Garde" w:eastAsia="Times New Roman" w:hAnsi="ITC Avant Garde"/>
          <w:bCs/>
          <w:color w:val="000000"/>
          <w:lang w:eastAsia="es-MX"/>
        </w:rPr>
        <w:lastRenderedPageBreak/>
        <w:t>misma no le otorga un interés legítimo para apersonarse al presente procedimiento, pero ello no restringe la posibilidad de que pueda dar a conocer hechos que a su consideración pueden resultar violatorios a la normatividad de la materia.</w:t>
      </w:r>
    </w:p>
    <w:p w14:paraId="24E30C64" w14:textId="77777777" w:rsidR="00B35F13" w:rsidRDefault="00E33ADB"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Sirve de apoyo la siguiente tesis:</w:t>
      </w:r>
    </w:p>
    <w:p w14:paraId="1ADBC96F" w14:textId="77777777" w:rsidR="00B35F13" w:rsidRDefault="00E33ADB"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 xml:space="preserve">INTERÉS LEGÍTIMO EN EL AMPARO. CARECEN DE ÉL LOS CONCESIONARIOS DE SERVICIOS PÚBLICOS DE TELECOMUNICACIONES, PARA IMPUGNAR LAS DECISIONES FAVORABLES A OTROS AGENTES, RELATIVAS AL OTORGAMIENTO, MODIFICACIÓN O PRÓRROGA DE CONCESIONES OBTENIDAS A TRAVÉS DE PROCEDIMIENTOS LICITATORIOS EN LOS QUE NO PARTICIPARON. </w:t>
      </w:r>
      <w:r w:rsidRPr="002A2450">
        <w:rPr>
          <w:rFonts w:ascii="ITC Avant Garde" w:eastAsia="Times New Roman" w:hAnsi="ITC Avant Garde"/>
          <w:bCs/>
          <w:color w:val="000000"/>
          <w:lang w:eastAsia="es-MX"/>
        </w:rPr>
        <w:t xml:space="preserve">El solo hecho de contar con una concesión para la explotación de servicios públicos de telecomunicaciones, no confiere al titular de ésta, interés legítimo para impugnar en el amparo las decisiones relativas al otorgamiento, modificación o prórroga de concesiones de esa naturaleza, obtenidas a través de procedimientos licitatorios en los que no participaron, respecto de bandas de frecuencia asignadas, porque el hecho de contar con una concesión no lo coloca en una situación específica y cualificada frente a la relación jurídica que se suscita entre la autoridad y los titulares de las autorizaciones de explotación de los bienes a que aluden esas resoluciones. Lo anterior, porque el escrutinio judicial no puede activarse por el simple señalamiento de que el órgano regulador desatiende la igualdad, la competencia y la libre concurrencia, si no proviene de quien cuente con interés jurídico o legítimo para la impugnación a través del amparo, pues de permitirse su promoción por quien no tenga esa calidad, la sentencia favorable que llegara a dictarse, no le generaría un beneficio jurídico real en su esfera de derechos, debido a que la decisión tendría por objeto, tan sólo dejar insubsistentes dichas resoluciones, sin el consecuente beneficio de darle participación en el uso, aprovechamiento o explotación en esos servicios públicos, por no </w:t>
      </w:r>
      <w:r w:rsidRPr="002A2450">
        <w:rPr>
          <w:rFonts w:ascii="ITC Avant Garde" w:eastAsia="Times New Roman" w:hAnsi="ITC Avant Garde"/>
          <w:bCs/>
          <w:color w:val="000000"/>
          <w:lang w:eastAsia="es-MX"/>
        </w:rPr>
        <w:lastRenderedPageBreak/>
        <w:t>tratarse de un procedimiento licitatorio en el que hubiere participado, ni haber mediado solicitud de su parte para ese efecto, además de que la insubsistencia de las decisiones asumidas afectaría el ejercicio de las atribuciones que corresponden al Estado en la rectoría destinada a garantizar el crecimiento eficaz en las materias de telecomunicaciones y radiodifusión.</w:t>
      </w:r>
    </w:p>
    <w:p w14:paraId="200E2028" w14:textId="77777777" w:rsidR="00B35F13" w:rsidRDefault="00E33ADB"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 xml:space="preserve">Época: Décima Época, Registro: 2011563, Instancia: Tribunales Colegiados de Circuito, Tipo de Tesis: Aislada, Fuente: Gaceta del Semanario Judicial de la Federación, Libro 29, Abril de 2016, Tomo III, Materia(s): Común, Tesis: I.1o.A.E.57 K (10a.), Página: 2368. </w:t>
      </w:r>
    </w:p>
    <w:p w14:paraId="31D25331" w14:textId="77777777" w:rsidR="00B35F13" w:rsidRDefault="00E33ADB"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sz w:val="18"/>
          <w:lang w:eastAsia="es-MX"/>
        </w:rPr>
        <w:t>Esta tesis se publicó el viernes 29 de abril de 2016 a las 10:29 horas en el Semanario Judicial de la Federación.</w:t>
      </w:r>
    </w:p>
    <w:p w14:paraId="53D720D1" w14:textId="58F45E4B" w:rsidR="00DE1F52" w:rsidRPr="002A2450" w:rsidRDefault="00DE1F52" w:rsidP="00B35F13">
      <w:pPr>
        <w:spacing w:before="240" w:line="360" w:lineRule="auto"/>
        <w:jc w:val="both"/>
        <w:rPr>
          <w:rFonts w:ascii="ITC Avant Garde" w:hAnsi="ITC Avant Garde"/>
        </w:rPr>
      </w:pPr>
      <w:r w:rsidRPr="002A2450">
        <w:rPr>
          <w:rFonts w:ascii="ITC Avant Garde" w:hAnsi="ITC Avant Garde"/>
        </w:rPr>
        <w:t xml:space="preserve">Precisado lo anterior, es indudable que la </w:t>
      </w:r>
      <w:proofErr w:type="spellStart"/>
      <w:r w:rsidRPr="002A2450">
        <w:rPr>
          <w:rFonts w:ascii="ITC Avant Garde" w:hAnsi="ITC Avant Garde"/>
          <w:i/>
        </w:rPr>
        <w:t>litis</w:t>
      </w:r>
      <w:proofErr w:type="spellEnd"/>
      <w:r w:rsidRPr="002A2450">
        <w:rPr>
          <w:rFonts w:ascii="ITC Avant Garde" w:hAnsi="ITC Avant Garde"/>
        </w:rPr>
        <w:t xml:space="preserve"> en el procedimiento administrativo de imposición de sanción, no </w:t>
      </w:r>
      <w:r w:rsidR="00C11918" w:rsidRPr="002A2450">
        <w:rPr>
          <w:rFonts w:ascii="ITC Avant Garde" w:hAnsi="ITC Avant Garde"/>
        </w:rPr>
        <w:t xml:space="preserve">se centra en </w:t>
      </w:r>
      <w:r w:rsidRPr="002A2450">
        <w:rPr>
          <w:rFonts w:ascii="ITC Avant Garde" w:hAnsi="ITC Avant Garde"/>
        </w:rPr>
        <w:t>las denuncias exhibidas por los concesionarios señalados en el propio acuerdo de inicio, sino como ya se ha señalado, parte de la presunción que esta autoridad realiza</w:t>
      </w:r>
      <w:r w:rsidR="00C11918" w:rsidRPr="002A2450">
        <w:rPr>
          <w:rFonts w:ascii="ITC Avant Garde" w:hAnsi="ITC Avant Garde"/>
        </w:rPr>
        <w:t xml:space="preserve">, la cual se pone </w:t>
      </w:r>
      <w:r w:rsidRPr="002A2450">
        <w:rPr>
          <w:rFonts w:ascii="ITC Avant Garde" w:hAnsi="ITC Avant Garde"/>
        </w:rPr>
        <w:t>del conocimiento del presunto infractor para iniciar así el procedimiento administrativo de imposición de sanción y/o seguido en forma de juicio.</w:t>
      </w:r>
    </w:p>
    <w:p w14:paraId="3F8DC6E5" w14:textId="77777777" w:rsidR="00B35F13" w:rsidRDefault="00DE1F52" w:rsidP="00B35F13">
      <w:pPr>
        <w:spacing w:before="240" w:line="360" w:lineRule="auto"/>
        <w:jc w:val="both"/>
        <w:rPr>
          <w:rFonts w:ascii="ITC Avant Garde" w:hAnsi="ITC Avant Garde"/>
        </w:rPr>
      </w:pPr>
      <w:r w:rsidRPr="002A2450">
        <w:rPr>
          <w:rFonts w:ascii="ITC Avant Garde" w:hAnsi="ITC Avant Garde"/>
        </w:rPr>
        <w:t xml:space="preserve">En tales consideraciones, el hecho de que diversos concesionarios hayan presentada las denuncias que consideraron pertinentes, </w:t>
      </w:r>
      <w:r w:rsidR="00E33ADB" w:rsidRPr="002A2450">
        <w:rPr>
          <w:rFonts w:ascii="ITC Avant Garde" w:hAnsi="ITC Avant Garde"/>
        </w:rPr>
        <w:t>no es una motivo suficiente para que esta autoridad deba dejar insubsistente el procedimiento que nos ocupa, puesto que al no ser vincula</w:t>
      </w:r>
      <w:r w:rsidR="00EB1E45" w:rsidRPr="002A2450">
        <w:rPr>
          <w:rFonts w:ascii="ITC Avant Garde" w:hAnsi="ITC Avant Garde"/>
        </w:rPr>
        <w:t>ntes</w:t>
      </w:r>
      <w:r w:rsidR="00E33ADB" w:rsidRPr="002A2450">
        <w:rPr>
          <w:rFonts w:ascii="ITC Avant Garde" w:hAnsi="ITC Avant Garde"/>
        </w:rPr>
        <w:t xml:space="preserve"> para esta autoridad, el único acto de autoridad que puede repercutir en la esfera jurídica del presunto infractor es efectivamente el acuerdo de inicio dónde se describe la conducta presuntamente incumplida, de ahí que resulta irrelevante que </w:t>
      </w:r>
      <w:r w:rsidR="00E33ADB" w:rsidRPr="002A2450">
        <w:rPr>
          <w:rFonts w:ascii="ITC Avant Garde" w:hAnsi="ITC Avant Garde"/>
          <w:b/>
        </w:rPr>
        <w:t>“TELMEX”</w:t>
      </w:r>
      <w:r w:rsidR="00E33ADB" w:rsidRPr="002A2450">
        <w:rPr>
          <w:rFonts w:ascii="ITC Avant Garde" w:hAnsi="ITC Avant Garde"/>
        </w:rPr>
        <w:t xml:space="preserve"> considere que el solo motivo de la presentación de una denuncia vulnere sus derechos a ser oído y vencido en el procedimiento, puesto que se insiste que la </w:t>
      </w:r>
      <w:proofErr w:type="spellStart"/>
      <w:r w:rsidR="00E33ADB" w:rsidRPr="002A2450">
        <w:rPr>
          <w:rFonts w:ascii="ITC Avant Garde" w:hAnsi="ITC Avant Garde"/>
          <w:i/>
        </w:rPr>
        <w:t>litis</w:t>
      </w:r>
      <w:proofErr w:type="spellEnd"/>
      <w:r w:rsidR="00E33ADB" w:rsidRPr="002A2450">
        <w:rPr>
          <w:rFonts w:ascii="ITC Avant Garde" w:hAnsi="ITC Avant Garde"/>
        </w:rPr>
        <w:t xml:space="preserve"> materia del presente procedimiento lo es el acuerdo de inicio, como acto administrativo no definitivo con el cual se imputa a dicho concesionario una conducta </w:t>
      </w:r>
      <w:r w:rsidR="00C11918" w:rsidRPr="002A2450">
        <w:rPr>
          <w:rFonts w:ascii="ITC Avant Garde" w:hAnsi="ITC Avant Garde"/>
        </w:rPr>
        <w:t xml:space="preserve">presuntamente </w:t>
      </w:r>
      <w:r w:rsidR="00E33ADB" w:rsidRPr="002A2450">
        <w:rPr>
          <w:rFonts w:ascii="ITC Avant Garde" w:hAnsi="ITC Avant Garde"/>
        </w:rPr>
        <w:t xml:space="preserve">contraria a las obligaciones establecidas en su </w:t>
      </w:r>
      <w:r w:rsidR="00BD1D1D" w:rsidRPr="002A2450">
        <w:rPr>
          <w:rFonts w:ascii="ITC Avant Garde" w:hAnsi="ITC Avant Garde"/>
          <w:b/>
        </w:rPr>
        <w:t>“TÍTULO</w:t>
      </w:r>
      <w:r w:rsidR="00E33ADB" w:rsidRPr="002A2450">
        <w:rPr>
          <w:rFonts w:ascii="ITC Avant Garde" w:hAnsi="ITC Avant Garde"/>
          <w:b/>
        </w:rPr>
        <w:t xml:space="preserve"> DE CONCESIÓN</w:t>
      </w:r>
      <w:r w:rsidR="005F026E" w:rsidRPr="002A2450">
        <w:rPr>
          <w:rFonts w:ascii="ITC Avant Garde" w:hAnsi="ITC Avant Garde"/>
          <w:b/>
        </w:rPr>
        <w:t>”</w:t>
      </w:r>
      <w:r w:rsidR="00E33ADB" w:rsidRPr="002A2450">
        <w:rPr>
          <w:rFonts w:ascii="ITC Avant Garde" w:hAnsi="ITC Avant Garde"/>
        </w:rPr>
        <w:t>.</w:t>
      </w:r>
    </w:p>
    <w:p w14:paraId="44A43583" w14:textId="77777777" w:rsidR="00B35F13" w:rsidRDefault="00E33ADB" w:rsidP="00B35F13">
      <w:pPr>
        <w:spacing w:before="240" w:line="360" w:lineRule="auto"/>
        <w:jc w:val="both"/>
        <w:rPr>
          <w:rFonts w:ascii="ITC Avant Garde" w:hAnsi="ITC Avant Garde"/>
        </w:rPr>
      </w:pPr>
      <w:r w:rsidRPr="002A2450">
        <w:rPr>
          <w:rFonts w:ascii="ITC Avant Garde" w:hAnsi="ITC Avant Garde"/>
        </w:rPr>
        <w:lastRenderedPageBreak/>
        <w:t xml:space="preserve">Lo anterior, aunado al hecho de que </w:t>
      </w:r>
      <w:r w:rsidR="00C11918" w:rsidRPr="002A2450">
        <w:rPr>
          <w:rFonts w:ascii="ITC Avant Garde" w:hAnsi="ITC Avant Garde"/>
        </w:rPr>
        <w:t xml:space="preserve">sus </w:t>
      </w:r>
      <w:r w:rsidR="00CA4CA9" w:rsidRPr="002A2450">
        <w:rPr>
          <w:rFonts w:ascii="ITC Avant Garde" w:hAnsi="ITC Avant Garde"/>
        </w:rPr>
        <w:t>manifestaciones</w:t>
      </w:r>
      <w:r w:rsidRPr="002A2450">
        <w:rPr>
          <w:rFonts w:ascii="ITC Avant Garde" w:hAnsi="ITC Avant Garde"/>
        </w:rPr>
        <w:t xml:space="preserve"> </w:t>
      </w:r>
      <w:r w:rsidR="00C11918" w:rsidRPr="002A2450">
        <w:rPr>
          <w:rFonts w:ascii="ITC Avant Garde" w:hAnsi="ITC Avant Garde"/>
        </w:rPr>
        <w:t xml:space="preserve">al respecto </w:t>
      </w:r>
      <w:r w:rsidRPr="002A2450">
        <w:rPr>
          <w:rFonts w:ascii="ITC Avant Garde" w:hAnsi="ITC Avant Garde"/>
        </w:rPr>
        <w:t>por sí mismas no desvirtúan la conducta imputada en el presente procedimiento, por lo que las mismas al no combatir las consideraciones realizadas por esta autoridad en el citado acuerdo de inicio, resulta ser meras manifestaciones sin sustento y/o fundamento alguno que pueda desacreditar la presunción realizada en el expediente en que se actúa.</w:t>
      </w:r>
    </w:p>
    <w:p w14:paraId="74544CF5" w14:textId="77777777" w:rsidR="00B35F13" w:rsidRDefault="00E33ADB" w:rsidP="00B35F13">
      <w:pPr>
        <w:spacing w:before="240" w:line="360" w:lineRule="auto"/>
        <w:jc w:val="both"/>
        <w:rPr>
          <w:rFonts w:ascii="ITC Avant Garde" w:hAnsi="ITC Avant Garde"/>
        </w:rPr>
      </w:pPr>
      <w:r w:rsidRPr="002A2450">
        <w:rPr>
          <w:rFonts w:ascii="ITC Avant Garde" w:hAnsi="ITC Avant Garde"/>
        </w:rPr>
        <w:t xml:space="preserve">Por lo anterior, se concluye que su argumento resulta </w:t>
      </w:r>
      <w:r w:rsidRPr="002A2450">
        <w:rPr>
          <w:rFonts w:ascii="ITC Avant Garde" w:hAnsi="ITC Avant Garde"/>
          <w:b/>
          <w:u w:val="single"/>
        </w:rPr>
        <w:t>infundado</w:t>
      </w:r>
      <w:r w:rsidRPr="002A2450">
        <w:rPr>
          <w:rFonts w:ascii="ITC Avant Garde" w:hAnsi="ITC Avant Garde"/>
        </w:rPr>
        <w:t>.</w:t>
      </w:r>
    </w:p>
    <w:p w14:paraId="228F416E" w14:textId="6AA5C3C5" w:rsidR="00BD1D1D" w:rsidRPr="00CE1EA8" w:rsidRDefault="00EB4818" w:rsidP="007E623E">
      <w:pPr>
        <w:pStyle w:val="Ttulo4"/>
        <w:numPr>
          <w:ilvl w:val="0"/>
          <w:numId w:val="65"/>
        </w:numPr>
        <w:ind w:left="284" w:hanging="284"/>
        <w:rPr>
          <w:b/>
        </w:rPr>
      </w:pPr>
      <w:r w:rsidRPr="00CE1EA8">
        <w:rPr>
          <w:b/>
        </w:rPr>
        <w:t>NON BIS IN IDEM</w:t>
      </w:r>
    </w:p>
    <w:p w14:paraId="20808DB2" w14:textId="77777777" w:rsidR="00B35F13" w:rsidRDefault="00E33ADB"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Continua manifestando</w:t>
      </w:r>
      <w:r w:rsidRPr="002A2450">
        <w:rPr>
          <w:rFonts w:ascii="ITC Avant Garde" w:eastAsia="Times New Roman" w:hAnsi="ITC Avant Garde"/>
          <w:b/>
          <w:bCs/>
          <w:color w:val="000000"/>
          <w:lang w:eastAsia="es-MX"/>
        </w:rPr>
        <w:t xml:space="preserve"> “TELMEX”</w:t>
      </w:r>
      <w:r w:rsidRPr="002A2450">
        <w:rPr>
          <w:rFonts w:ascii="ITC Avant Garde" w:eastAsia="Times New Roman" w:hAnsi="ITC Avant Garde"/>
          <w:bCs/>
          <w:color w:val="000000"/>
          <w:lang w:eastAsia="es-MX"/>
        </w:rPr>
        <w:t xml:space="preserve">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once a trece, veintisiete a veintinueve)</w:t>
      </w:r>
      <w:r w:rsidRPr="002A2450">
        <w:rPr>
          <w:rFonts w:ascii="ITC Avant Garde" w:eastAsia="Times New Roman" w:hAnsi="ITC Avant Garde"/>
          <w:bCs/>
          <w:color w:val="000000"/>
          <w:lang w:eastAsia="es-MX"/>
        </w:rPr>
        <w:t>:</w:t>
      </w:r>
    </w:p>
    <w:p w14:paraId="755C358F" w14:textId="77777777" w:rsidR="00B35F13" w:rsidRDefault="00676AE8"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Resulta aplicable el principio no bis in ídem previsto en el artículo 23 de la Constitución ya que debe entenderse como no juzgar dos veces por los mismos hechos y conductas, en el presente caso, ya fueron materia del procedimiento llevado ante la Unidad de Competencia.</w:t>
      </w:r>
    </w:p>
    <w:p w14:paraId="56527E35" w14:textId="77777777" w:rsidR="00B35F13" w:rsidRDefault="00676AE8"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Si el procedimiento en que se actúa es parte del diverso tramitado ante la Unidad de Competencia se estaría volviendo a juzgar a mi representada por los mismos hechos. Si la Unidad de Cumplimiento sostiene que el procedimiento que nos ocupa es independiente, de todas formas el mismo es ilegal ya que no se ha desahogado ningún procedimiento nuevo que permita a mi representada ejercer su derecho de defensa/audiencia.</w:t>
      </w:r>
    </w:p>
    <w:p w14:paraId="38F54719" w14:textId="77777777" w:rsidR="00B35F13" w:rsidRDefault="00676AE8"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Como se observa en las fojas 10, 11 y 12 del expediente E-IFT/UC/DGIPM/PMR/003/2013 tramitado ante la Unida de Competencia Económica, la Dirección General de Supervisión de la Unidad de Supervisión y Verificación le remitió a dicha Unidad los documentos presentados por </w:t>
      </w:r>
      <w:r w:rsidR="005B601B" w:rsidRPr="002A2450">
        <w:rPr>
          <w:rFonts w:ascii="ITC Avant Garde" w:hAnsi="ITC Avant Garde"/>
          <w:b/>
          <w:i/>
        </w:rPr>
        <w:t>“TELMEX”</w:t>
      </w:r>
      <w:r w:rsidRPr="002A2450">
        <w:rPr>
          <w:rFonts w:ascii="ITC Avant Garde" w:hAnsi="ITC Avant Garde"/>
          <w:i/>
        </w:rPr>
        <w:t>.</w:t>
      </w:r>
    </w:p>
    <w:p w14:paraId="2AA24A9E" w14:textId="77777777" w:rsidR="00B35F13" w:rsidRDefault="00676AE8"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lastRenderedPageBreak/>
        <w:t>El expediente antes señalado se tuvo por integrado el 3 de noviembre de 2014, plazo a partir del cual corrió el plazo para que ese Instituto emitiera resolución, lo cual tuvo lugar el 7 de enero de 2015 por lo que cualquier actuación que despliegue posteriormente por parte de ese Instituto es ilegal.</w:t>
      </w:r>
    </w:p>
    <w:p w14:paraId="63D4D66F" w14:textId="77777777" w:rsidR="00B35F13" w:rsidRDefault="00380E0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Adicionalmente debe decirse que esa misma Unidad de Cumplimiento inició por su cuenta un procedimiento de investigación el 20 de febrero de 2014, con supuesto origen en una publicación periodística de “El Financiero”. A partir de ese momento dicha Unidad tomo conocimiento de los hechos que ahora decide investigar.</w:t>
      </w:r>
    </w:p>
    <w:p w14:paraId="053998B1" w14:textId="77777777" w:rsidR="00B35F13" w:rsidRDefault="00380E0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Con base en esa investigación envió los documentos a la Unidad de Competencia Económica que sirvieron como pruebas para emitir la ilegal resolución por la que se determinó que </w:t>
      </w:r>
      <w:r w:rsidR="005B601B" w:rsidRPr="002A2450">
        <w:rPr>
          <w:rFonts w:ascii="ITC Avant Garde" w:hAnsi="ITC Avant Garde"/>
          <w:b/>
          <w:i/>
        </w:rPr>
        <w:t>“TELMEX”</w:t>
      </w:r>
      <w:r w:rsidRPr="002A2450">
        <w:rPr>
          <w:rFonts w:ascii="ITC Avant Garde" w:hAnsi="ITC Avant Garde"/>
          <w:i/>
        </w:rPr>
        <w:t xml:space="preserve"> había adquirido el control conjunto de </w:t>
      </w:r>
      <w:proofErr w:type="spellStart"/>
      <w:r w:rsidRPr="002A2450">
        <w:rPr>
          <w:rFonts w:ascii="ITC Avant Garde" w:hAnsi="ITC Avant Garde"/>
          <w:i/>
        </w:rPr>
        <w:t>Cofresa</w:t>
      </w:r>
      <w:proofErr w:type="spellEnd"/>
      <w:r w:rsidRPr="002A2450">
        <w:rPr>
          <w:rFonts w:ascii="ITC Avant Garde" w:hAnsi="ITC Avant Garde"/>
          <w:i/>
        </w:rPr>
        <w:t xml:space="preserve"> y </w:t>
      </w:r>
      <w:proofErr w:type="spellStart"/>
      <w:r w:rsidRPr="002A2450">
        <w:rPr>
          <w:rFonts w:ascii="ITC Avant Garde" w:hAnsi="ITC Avant Garde"/>
          <w:i/>
        </w:rPr>
        <w:t>Dish</w:t>
      </w:r>
      <w:proofErr w:type="spellEnd"/>
      <w:r w:rsidRPr="002A2450">
        <w:rPr>
          <w:rFonts w:ascii="ITC Avant Garde" w:hAnsi="ITC Avant Garde"/>
          <w:i/>
        </w:rPr>
        <w:t xml:space="preserve"> México.</w:t>
      </w:r>
    </w:p>
    <w:p w14:paraId="4F87D109" w14:textId="77777777" w:rsidR="00B35F13" w:rsidRDefault="00380E0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Es de especial importancia señalar que en la resolución E-IFT/UC/DGIPM/PMR/003/2013 y acumulados en los antecedentes décimo tercero, décimo cuarto, décimo quinto y décimo sexto se hace referencia a los oficios mediante los cuales se remitió a la Unidad de Competencia Económica la información relativa a los requerimientos formulados por la Dirección General de Supervisión. </w:t>
      </w:r>
    </w:p>
    <w:p w14:paraId="34593A34" w14:textId="77777777" w:rsidR="00B35F13" w:rsidRDefault="00380E0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En ese sentido se hace valer el principio Non bis in ídem puesto que los hechos materia del procedimiento en que se actúa fueron materia de un procedimiento diverso y no puede emitirse una nueva resolución.</w:t>
      </w:r>
    </w:p>
    <w:p w14:paraId="3E6B9D70" w14:textId="77777777" w:rsidR="00B35F13" w:rsidRDefault="00D112AB" w:rsidP="00B35F13">
      <w:pPr>
        <w:spacing w:before="240" w:line="360" w:lineRule="auto"/>
        <w:jc w:val="both"/>
        <w:rPr>
          <w:rFonts w:ascii="ITC Avant Garde" w:hAnsi="ITC Avant Garde"/>
        </w:rPr>
      </w:pPr>
      <w:r w:rsidRPr="002A2450">
        <w:rPr>
          <w:rFonts w:ascii="ITC Avant Garde" w:hAnsi="ITC Avant Garde"/>
        </w:rPr>
        <w:t xml:space="preserve">Al respecto, se considera que el argumento formulado por </w:t>
      </w:r>
      <w:r w:rsidRPr="002A2450">
        <w:rPr>
          <w:rFonts w:ascii="ITC Avant Garde" w:hAnsi="ITC Avant Garde"/>
          <w:b/>
        </w:rPr>
        <w:t>“TELMEX”</w:t>
      </w:r>
      <w:r w:rsidRPr="002A2450">
        <w:rPr>
          <w:rFonts w:ascii="ITC Avant Garde" w:hAnsi="ITC Avant Garde"/>
        </w:rPr>
        <w:t xml:space="preserve"> es </w:t>
      </w:r>
      <w:r w:rsidRPr="002A2450">
        <w:rPr>
          <w:rFonts w:ascii="ITC Avant Garde" w:hAnsi="ITC Avant Garde"/>
          <w:b/>
          <w:u w:val="single"/>
        </w:rPr>
        <w:t>infundado</w:t>
      </w:r>
      <w:r w:rsidRPr="002A2450">
        <w:rPr>
          <w:rFonts w:ascii="ITC Avant Garde" w:hAnsi="ITC Avant Garde"/>
        </w:rPr>
        <w:t xml:space="preserve"> en virtud de las siguientes consideraciones:</w:t>
      </w:r>
    </w:p>
    <w:p w14:paraId="73C566CC" w14:textId="77777777" w:rsidR="00B35F13" w:rsidRDefault="00D112AB" w:rsidP="00B35F13">
      <w:pPr>
        <w:spacing w:before="240" w:line="360" w:lineRule="auto"/>
        <w:jc w:val="both"/>
        <w:rPr>
          <w:rFonts w:ascii="ITC Avant Garde" w:hAnsi="ITC Avant Garde" w:cs="Arial"/>
          <w:b/>
        </w:rPr>
      </w:pPr>
      <w:r w:rsidRPr="002A2450">
        <w:rPr>
          <w:rFonts w:ascii="ITC Avant Garde" w:hAnsi="ITC Avant Garde"/>
        </w:rPr>
        <w:t xml:space="preserve">Es del conocimiento </w:t>
      </w:r>
      <w:r w:rsidR="00A31E0B" w:rsidRPr="002A2450">
        <w:rPr>
          <w:rFonts w:ascii="ITC Avant Garde" w:hAnsi="ITC Avant Garde"/>
        </w:rPr>
        <w:t xml:space="preserve">tanto </w:t>
      </w:r>
      <w:r w:rsidRPr="002A2450">
        <w:rPr>
          <w:rFonts w:ascii="ITC Avant Garde" w:hAnsi="ITC Avant Garde"/>
        </w:rPr>
        <w:t xml:space="preserve">de esta autoridad como de </w:t>
      </w:r>
      <w:r w:rsidRPr="002A2450">
        <w:rPr>
          <w:rFonts w:ascii="ITC Avant Garde" w:hAnsi="ITC Avant Garde"/>
          <w:b/>
        </w:rPr>
        <w:t xml:space="preserve">“TELMEX” </w:t>
      </w:r>
      <w:r w:rsidRPr="002A2450">
        <w:rPr>
          <w:rFonts w:ascii="ITC Avant Garde" w:hAnsi="ITC Avant Garde"/>
        </w:rPr>
        <w:t xml:space="preserve">que dentro de los autos del expediente </w:t>
      </w:r>
      <w:r w:rsidRPr="002A2450">
        <w:rPr>
          <w:rFonts w:ascii="ITC Avant Garde" w:hAnsi="ITC Avant Garde"/>
          <w:b/>
        </w:rPr>
        <w:t xml:space="preserve">E-IFT/UC/DGIPM/PMR/0003/2013 y acumulados, </w:t>
      </w:r>
      <w:r w:rsidRPr="002A2450">
        <w:rPr>
          <w:rFonts w:ascii="ITC Avant Garde" w:hAnsi="ITC Avant Garde"/>
        </w:rPr>
        <w:t xml:space="preserve">sustanciado por la Unidad de Competencia Económica de este </w:t>
      </w:r>
      <w:r w:rsidRPr="002A2450">
        <w:rPr>
          <w:rFonts w:ascii="ITC Avant Garde" w:hAnsi="ITC Avant Garde"/>
          <w:b/>
        </w:rPr>
        <w:t>“IFT”</w:t>
      </w:r>
      <w:r w:rsidRPr="002A2450">
        <w:rPr>
          <w:rFonts w:ascii="ITC Avant Garde" w:hAnsi="ITC Avant Garde"/>
        </w:rPr>
        <w:t xml:space="preserve">, la conducta que se presumió fue la existencia de una concentración, misma que actualizó lo previsto </w:t>
      </w:r>
      <w:r w:rsidRPr="002A2450">
        <w:rPr>
          <w:rFonts w:ascii="ITC Avant Garde" w:hAnsi="ITC Avant Garde"/>
        </w:rPr>
        <w:lastRenderedPageBreak/>
        <w:t xml:space="preserve">en el artículo 20, fracción I de la Ley Federal de Competencia Económica y que no fue notificada por los involucrados de conformidad con el diverso 18 del Reglamento de la Ley Federal de Competencia Económica, esto es, por las empresas </w:t>
      </w:r>
      <w:r w:rsidRPr="002A2450">
        <w:rPr>
          <w:rFonts w:ascii="ITC Avant Garde" w:hAnsi="ITC Avant Garde"/>
          <w:b/>
        </w:rPr>
        <w:t>“</w:t>
      </w:r>
      <w:r w:rsidRPr="002A2450">
        <w:rPr>
          <w:rFonts w:ascii="ITC Avant Garde" w:hAnsi="ITC Avant Garde" w:cs="Arial"/>
          <w:b/>
        </w:rPr>
        <w:t>GFMTV</w:t>
      </w:r>
      <w:r w:rsidRPr="002A2450">
        <w:rPr>
          <w:rFonts w:ascii="ITC Avant Garde" w:hAnsi="ITC Avant Garde"/>
          <w:b/>
        </w:rPr>
        <w:t>”, “</w:t>
      </w:r>
      <w:r w:rsidRPr="002A2450">
        <w:rPr>
          <w:rFonts w:ascii="ITC Avant Garde" w:hAnsi="ITC Avant Garde" w:cs="Arial"/>
          <w:b/>
        </w:rPr>
        <w:t>ECHOSTAR MEXICO”, “DISH HOLDINGS”, “DISH MÉXICO”, “COFRESA” y “TELMEX”.</w:t>
      </w:r>
    </w:p>
    <w:p w14:paraId="2D59F505" w14:textId="77777777" w:rsidR="00B35F13" w:rsidRDefault="00D112AB" w:rsidP="00B35F13">
      <w:pPr>
        <w:spacing w:before="240" w:line="360" w:lineRule="auto"/>
        <w:jc w:val="both"/>
        <w:rPr>
          <w:rFonts w:ascii="ITC Avant Garde" w:hAnsi="ITC Avant Garde" w:cs="Arial"/>
        </w:rPr>
      </w:pPr>
      <w:r w:rsidRPr="002A2450">
        <w:rPr>
          <w:rFonts w:ascii="ITC Avant Garde" w:hAnsi="ITC Avant Garde" w:cs="Arial"/>
        </w:rPr>
        <w:t xml:space="preserve">La conducta atribuida a dichas empresas recayó en la resolución emitida por el Pleno de este </w:t>
      </w:r>
      <w:r w:rsidRPr="002A2450">
        <w:rPr>
          <w:rFonts w:ascii="ITC Avant Garde" w:hAnsi="ITC Avant Garde" w:cs="Arial"/>
          <w:b/>
        </w:rPr>
        <w:t>“IFT”</w:t>
      </w:r>
      <w:r w:rsidRPr="002A2450">
        <w:rPr>
          <w:rFonts w:ascii="ITC Avant Garde" w:hAnsi="ITC Avant Garde" w:cs="Arial"/>
        </w:rPr>
        <w:t xml:space="preserve"> el siete de enero de dos mil quince, que en su Resolutivo primero señaló:</w:t>
      </w:r>
    </w:p>
    <w:p w14:paraId="40721D31" w14:textId="77777777" w:rsidR="00B35F13" w:rsidRDefault="00D112AB" w:rsidP="00B35F13">
      <w:pPr>
        <w:spacing w:before="240" w:line="360" w:lineRule="auto"/>
        <w:ind w:left="567" w:right="567"/>
        <w:jc w:val="both"/>
        <w:rPr>
          <w:rFonts w:ascii="ITC Avant Garde" w:hAnsi="ITC Avant Garde" w:cs="Arial"/>
          <w:i/>
        </w:rPr>
      </w:pPr>
      <w:r w:rsidRPr="002A2450">
        <w:rPr>
          <w:rFonts w:ascii="ITC Avant Garde" w:hAnsi="ITC Avant Garde" w:cs="Arial"/>
          <w:i/>
        </w:rPr>
        <w:t>“</w:t>
      </w:r>
      <w:r w:rsidRPr="002A2450">
        <w:rPr>
          <w:rFonts w:ascii="ITC Avant Garde" w:hAnsi="ITC Avant Garde" w:cs="Arial"/>
          <w:b/>
          <w:i/>
        </w:rPr>
        <w:t>PRIMERO</w:t>
      </w:r>
      <w:r w:rsidR="00915775" w:rsidRPr="002A2450">
        <w:rPr>
          <w:rFonts w:ascii="ITC Avant Garde" w:hAnsi="ITC Avant Garde" w:cs="Arial"/>
          <w:i/>
        </w:rPr>
        <w:t xml:space="preserve">. Teléfonos de México, S.A.B de C.V., </w:t>
      </w:r>
      <w:proofErr w:type="spellStart"/>
      <w:r w:rsidR="00915775" w:rsidRPr="002A2450">
        <w:rPr>
          <w:rFonts w:ascii="ITC Avant Garde" w:hAnsi="ITC Avant Garde" w:cs="Arial"/>
          <w:i/>
        </w:rPr>
        <w:t>Teninver</w:t>
      </w:r>
      <w:proofErr w:type="spellEnd"/>
      <w:r w:rsidR="00915775" w:rsidRPr="002A2450">
        <w:rPr>
          <w:rFonts w:ascii="ITC Avant Garde" w:hAnsi="ITC Avant Garde" w:cs="Arial"/>
          <w:i/>
        </w:rPr>
        <w:t xml:space="preserve">, S.A. de C.V., Comercializadora de Frecuencias Satelitales, S. de R.L. de C.V., Corporativo de Frecuencias </w:t>
      </w:r>
      <w:proofErr w:type="spellStart"/>
      <w:r w:rsidR="00915775" w:rsidRPr="002A2450">
        <w:rPr>
          <w:rFonts w:ascii="ITC Avant Garde" w:hAnsi="ITC Avant Garde" w:cs="Arial"/>
          <w:i/>
        </w:rPr>
        <w:t>Dish</w:t>
      </w:r>
      <w:proofErr w:type="spellEnd"/>
      <w:r w:rsidR="00915775" w:rsidRPr="002A2450">
        <w:rPr>
          <w:rFonts w:ascii="ITC Avant Garde" w:hAnsi="ITC Avant Garde" w:cs="Arial"/>
          <w:i/>
        </w:rPr>
        <w:t xml:space="preserve">, S.A. de C.V., </w:t>
      </w:r>
      <w:proofErr w:type="spellStart"/>
      <w:r w:rsidR="00915775" w:rsidRPr="002A2450">
        <w:rPr>
          <w:rFonts w:ascii="ITC Avant Garde" w:hAnsi="ITC Avant Garde" w:cs="Arial"/>
          <w:i/>
        </w:rPr>
        <w:t>Dish</w:t>
      </w:r>
      <w:proofErr w:type="spellEnd"/>
      <w:r w:rsidR="00915775" w:rsidRPr="002A2450">
        <w:rPr>
          <w:rFonts w:ascii="ITC Avant Garde" w:hAnsi="ITC Avant Garde" w:cs="Arial"/>
          <w:i/>
        </w:rPr>
        <w:t xml:space="preserve"> México Holdings, S. de R.L. de C.V., </w:t>
      </w:r>
      <w:proofErr w:type="spellStart"/>
      <w:r w:rsidR="00915775" w:rsidRPr="002A2450">
        <w:rPr>
          <w:rFonts w:ascii="ITC Avant Garde" w:hAnsi="ITC Avant Garde" w:cs="Arial"/>
          <w:i/>
        </w:rPr>
        <w:t>Dish</w:t>
      </w:r>
      <w:proofErr w:type="spellEnd"/>
      <w:r w:rsidR="00915775" w:rsidRPr="002A2450">
        <w:rPr>
          <w:rFonts w:ascii="ITC Avant Garde" w:hAnsi="ITC Avant Garde" w:cs="Arial"/>
          <w:i/>
        </w:rPr>
        <w:t xml:space="preserve"> México, S. de R.L. de C.V., Grupo Frecuencia Modulada Televisión, S.A. de C.V. y </w:t>
      </w:r>
      <w:proofErr w:type="spellStart"/>
      <w:r w:rsidR="00915775" w:rsidRPr="002A2450">
        <w:rPr>
          <w:rFonts w:ascii="ITC Avant Garde" w:hAnsi="ITC Avant Garde" w:cs="Arial"/>
          <w:i/>
        </w:rPr>
        <w:t>Echostar</w:t>
      </w:r>
      <w:proofErr w:type="spellEnd"/>
      <w:r w:rsidR="00915775" w:rsidRPr="002A2450">
        <w:rPr>
          <w:rFonts w:ascii="ITC Avant Garde" w:hAnsi="ITC Avant Garde" w:cs="Arial"/>
          <w:i/>
        </w:rPr>
        <w:t xml:space="preserve"> México Holdings </w:t>
      </w:r>
      <w:proofErr w:type="spellStart"/>
      <w:r w:rsidR="00915775" w:rsidRPr="002A2450">
        <w:rPr>
          <w:rFonts w:ascii="ITC Avant Garde" w:hAnsi="ITC Avant Garde" w:cs="Arial"/>
          <w:i/>
        </w:rPr>
        <w:t>Corporation</w:t>
      </w:r>
      <w:proofErr w:type="spellEnd"/>
      <w:r w:rsidR="00915775" w:rsidRPr="002A2450">
        <w:rPr>
          <w:rFonts w:ascii="ITC Avant Garde" w:hAnsi="ITC Avant Garde" w:cs="Arial"/>
          <w:i/>
        </w:rPr>
        <w:t xml:space="preserve"> son responsables de haber llevado a cabo una concentración en términos del artículo 16 de la LFCE e incumplir con la obligación de notificar dicha transacción en términos de lo establecido en los artículo 20 de la LFCE y 18 del RLFCE…</w:t>
      </w:r>
      <w:r w:rsidRPr="002A2450">
        <w:rPr>
          <w:rFonts w:ascii="ITC Avant Garde" w:hAnsi="ITC Avant Garde" w:cs="Arial"/>
          <w:i/>
        </w:rPr>
        <w:t>”</w:t>
      </w:r>
    </w:p>
    <w:p w14:paraId="6C727ADE" w14:textId="77777777" w:rsidR="00B35F13" w:rsidRDefault="00A31E0B" w:rsidP="00B35F13">
      <w:pPr>
        <w:spacing w:before="240" w:line="360" w:lineRule="auto"/>
        <w:jc w:val="both"/>
        <w:rPr>
          <w:rFonts w:ascii="ITC Avant Garde" w:hAnsi="ITC Avant Garde"/>
        </w:rPr>
      </w:pPr>
      <w:r w:rsidRPr="002A2450">
        <w:rPr>
          <w:rFonts w:ascii="ITC Avant Garde" w:hAnsi="ITC Avant Garde"/>
        </w:rPr>
        <w:t xml:space="preserve">Con base en lo anterior, es posible advertir que en el procedimiento de competencia sustanciado en el Expediente </w:t>
      </w:r>
      <w:r w:rsidRPr="002A2450">
        <w:rPr>
          <w:rFonts w:ascii="ITC Avant Garde" w:hAnsi="ITC Avant Garde"/>
          <w:b/>
        </w:rPr>
        <w:t>E-IFT/UC/DGIPM/PMR/003/2013</w:t>
      </w:r>
      <w:r w:rsidRPr="002A2450">
        <w:rPr>
          <w:rFonts w:ascii="ITC Avant Garde" w:hAnsi="ITC Avant Garde"/>
        </w:rPr>
        <w:t xml:space="preserve"> debía determinarse si derivado de los actos realizados por los agentes económicos, se actualizaba la definición de concentración y si ésta debía ser notificada al Instituto en términos de la Ley Federal de Competencia Económica vigente al momento de iniciarse el procedimiento. </w:t>
      </w:r>
    </w:p>
    <w:p w14:paraId="3B391B0F" w14:textId="74D6B88A" w:rsidR="009244EF" w:rsidRPr="002A2450" w:rsidRDefault="009244EF" w:rsidP="00B35F13">
      <w:pPr>
        <w:spacing w:before="240" w:line="360" w:lineRule="auto"/>
        <w:jc w:val="both"/>
        <w:rPr>
          <w:rFonts w:ascii="ITC Avant Garde" w:hAnsi="ITC Avant Garde"/>
        </w:rPr>
      </w:pPr>
      <w:r w:rsidRPr="002A2450">
        <w:rPr>
          <w:rFonts w:ascii="ITC Avant Garde" w:hAnsi="ITC Avant Garde"/>
        </w:rPr>
        <w:t xml:space="preserve">En cambio, en el presente procedimiento debe determinar si los actos realizados por “TELMEX” constituyen una violación a su “TITULO DE </w:t>
      </w:r>
      <w:r w:rsidR="006359A8" w:rsidRPr="006359A8">
        <w:rPr>
          <w:rFonts w:ascii="ITC Avant Garde" w:hAnsi="ITC Avant Garde"/>
        </w:rPr>
        <w:t>C</w:t>
      </w:r>
      <w:r w:rsidRPr="006359A8">
        <w:rPr>
          <w:rFonts w:ascii="ITC Avant Garde" w:hAnsi="ITC Avant Garde"/>
        </w:rPr>
        <w:t>ONCESIÓN”</w:t>
      </w:r>
      <w:r w:rsidR="00DF3016" w:rsidRPr="006359A8">
        <w:rPr>
          <w:rFonts w:ascii="ITC Avant Garde" w:hAnsi="ITC Avant Garde"/>
        </w:rPr>
        <w:t>, a</w:t>
      </w:r>
      <w:r w:rsidRPr="006359A8">
        <w:rPr>
          <w:rFonts w:ascii="ITC Avant Garde" w:hAnsi="ITC Avant Garde"/>
        </w:rPr>
        <w:t>l</w:t>
      </w:r>
      <w:r w:rsidRPr="002A2450">
        <w:rPr>
          <w:rFonts w:ascii="ITC Avant Garde" w:hAnsi="ITC Avant Garde"/>
        </w:rPr>
        <w:t xml:space="preserve"> actualizar la </w:t>
      </w:r>
      <w:r w:rsidRPr="002A2450">
        <w:rPr>
          <w:rFonts w:ascii="ITC Avant Garde" w:hAnsi="ITC Avant Garde"/>
          <w:i/>
        </w:rPr>
        <w:t>“explotación indirecta de una concesión”</w:t>
      </w:r>
      <w:r w:rsidRPr="002A2450">
        <w:rPr>
          <w:rFonts w:ascii="ITC Avant Garde" w:hAnsi="ITC Avant Garde"/>
        </w:rPr>
        <w:t xml:space="preserve">. Por tanto, la materia del procedimiento que nos ocupa es determinar si los hechos consignados en los contratos celebrados entre </w:t>
      </w:r>
      <w:r w:rsidRPr="002A2450">
        <w:rPr>
          <w:rFonts w:ascii="ITC Avant Garde" w:hAnsi="ITC Avant Garde"/>
          <w:b/>
        </w:rPr>
        <w:t xml:space="preserve">“TELMEX” </w:t>
      </w:r>
      <w:r w:rsidRPr="002A2450">
        <w:rPr>
          <w:rFonts w:ascii="ITC Avant Garde" w:hAnsi="ITC Avant Garde"/>
        </w:rPr>
        <w:t xml:space="preserve">por conducto de </w:t>
      </w:r>
      <w:r w:rsidRPr="002A2450">
        <w:rPr>
          <w:rFonts w:ascii="ITC Avant Garde" w:hAnsi="ITC Avant Garde"/>
          <w:b/>
        </w:rPr>
        <w:t xml:space="preserve">“TENINVER” </w:t>
      </w:r>
      <w:r w:rsidRPr="002A2450">
        <w:rPr>
          <w:rFonts w:ascii="ITC Avant Garde" w:hAnsi="ITC Avant Garde"/>
        </w:rPr>
        <w:t xml:space="preserve">y </w:t>
      </w:r>
      <w:r w:rsidRPr="002A2450">
        <w:rPr>
          <w:rFonts w:ascii="ITC Avant Garde" w:hAnsi="ITC Avant Garde"/>
          <w:b/>
        </w:rPr>
        <w:t xml:space="preserve">“DISH </w:t>
      </w:r>
      <w:r w:rsidRPr="002A2450">
        <w:rPr>
          <w:rFonts w:ascii="ITC Avant Garde" w:hAnsi="ITC Avant Garde"/>
          <w:b/>
        </w:rPr>
        <w:lastRenderedPageBreak/>
        <w:t xml:space="preserve">MÉXICO” </w:t>
      </w:r>
      <w:r w:rsidRPr="002A2450">
        <w:rPr>
          <w:rFonts w:ascii="ITC Avant Garde" w:hAnsi="ITC Avant Garde"/>
        </w:rPr>
        <w:t>a través de su subsidiaria</w:t>
      </w:r>
      <w:r w:rsidRPr="002A2450">
        <w:rPr>
          <w:rFonts w:ascii="ITC Avant Garde" w:hAnsi="ITC Avant Garde"/>
          <w:b/>
        </w:rPr>
        <w:t xml:space="preserve"> “COFRESA” </w:t>
      </w:r>
      <w:r w:rsidRPr="002A2450">
        <w:rPr>
          <w:rFonts w:ascii="ITC Avant Garde" w:hAnsi="ITC Avant Garde"/>
        </w:rPr>
        <w:t>otorgaron</w:t>
      </w:r>
      <w:r w:rsidRPr="002A2450">
        <w:rPr>
          <w:rFonts w:ascii="ITC Avant Garde" w:hAnsi="ITC Avant Garde"/>
          <w:b/>
        </w:rPr>
        <w:t xml:space="preserve"> </w:t>
      </w:r>
      <w:r w:rsidRPr="002A2450">
        <w:rPr>
          <w:rFonts w:ascii="ITC Avant Garde" w:hAnsi="ITC Avant Garde"/>
        </w:rPr>
        <w:t xml:space="preserve">a las primeras el derecho de influir en la operación de los servicios que ofrece </w:t>
      </w:r>
      <w:r w:rsidRPr="002A2450">
        <w:rPr>
          <w:rFonts w:ascii="ITC Avant Garde" w:hAnsi="ITC Avant Garde"/>
          <w:b/>
        </w:rPr>
        <w:t>“</w:t>
      </w:r>
      <w:r w:rsidRPr="00751D22">
        <w:rPr>
          <w:rFonts w:ascii="ITC Avant Garde" w:hAnsi="ITC Avant Garde"/>
          <w:b/>
        </w:rPr>
        <w:t>COF</w:t>
      </w:r>
      <w:r w:rsidR="00751D22" w:rsidRPr="00751D22">
        <w:rPr>
          <w:rFonts w:ascii="ITC Avant Garde" w:hAnsi="ITC Avant Garde"/>
          <w:b/>
        </w:rPr>
        <w:t>RE</w:t>
      </w:r>
      <w:r w:rsidRPr="00751D22">
        <w:rPr>
          <w:rFonts w:ascii="ITC Avant Garde" w:hAnsi="ITC Avant Garde"/>
          <w:b/>
        </w:rPr>
        <w:t xml:space="preserve">SA” </w:t>
      </w:r>
      <w:r w:rsidRPr="00751D22">
        <w:rPr>
          <w:rFonts w:ascii="ITC Avant Garde" w:hAnsi="ITC Avant Garde"/>
        </w:rPr>
        <w:t>y</w:t>
      </w:r>
      <w:r w:rsidRPr="002A2450">
        <w:rPr>
          <w:rFonts w:ascii="ITC Avant Garde" w:hAnsi="ITC Avant Garde"/>
        </w:rPr>
        <w:t xml:space="preserve"> si dichos derechos los ejercieron de manera tal que trascendieron a la operación de </w:t>
      </w:r>
      <w:r w:rsidRPr="002A2450">
        <w:rPr>
          <w:rFonts w:ascii="ITC Avant Garde" w:hAnsi="ITC Avant Garde"/>
          <w:b/>
        </w:rPr>
        <w:t>"DISH MÉXICO"</w:t>
      </w:r>
      <w:r w:rsidRPr="002A2450">
        <w:rPr>
          <w:rFonts w:ascii="ITC Avant Garde" w:hAnsi="ITC Avant Garde"/>
        </w:rPr>
        <w:t xml:space="preserve"> y de sus subsidiarias, incluyendo a </w:t>
      </w:r>
      <w:r w:rsidRPr="002A2450">
        <w:rPr>
          <w:rFonts w:ascii="ITC Avant Garde" w:hAnsi="ITC Avant Garde"/>
          <w:b/>
        </w:rPr>
        <w:t>“COFRESA”</w:t>
      </w:r>
      <w:r w:rsidRPr="002A2450">
        <w:rPr>
          <w:rFonts w:ascii="ITC Avant Garde" w:hAnsi="ITC Avant Garde"/>
        </w:rPr>
        <w:t xml:space="preserve">. </w:t>
      </w:r>
    </w:p>
    <w:p w14:paraId="0907FAF2" w14:textId="77777777" w:rsidR="00B35F13" w:rsidRDefault="002237B1" w:rsidP="00B35F13">
      <w:pPr>
        <w:spacing w:before="240" w:line="360" w:lineRule="auto"/>
        <w:jc w:val="both"/>
        <w:rPr>
          <w:rFonts w:ascii="ITC Avant Garde" w:hAnsi="ITC Avant Garde"/>
        </w:rPr>
      </w:pPr>
      <w:r w:rsidRPr="002A2450">
        <w:rPr>
          <w:rFonts w:ascii="ITC Avant Garde" w:hAnsi="ITC Avant Garde"/>
        </w:rPr>
        <w:t>Por tanto</w:t>
      </w:r>
      <w:r w:rsidR="00915775" w:rsidRPr="002A2450">
        <w:rPr>
          <w:rFonts w:ascii="ITC Avant Garde" w:hAnsi="ITC Avant Garde"/>
        </w:rPr>
        <w:t xml:space="preserve">, siguiendo lo señalado por la Primera Sala de la Suprema Corte de Justicia de la Nación, el principio </w:t>
      </w:r>
      <w:r w:rsidR="00915775" w:rsidRPr="002A2450">
        <w:rPr>
          <w:rFonts w:ascii="ITC Avant Garde" w:hAnsi="ITC Avant Garde"/>
          <w:i/>
        </w:rPr>
        <w:t>no bis in ídem</w:t>
      </w:r>
      <w:r w:rsidR="00915775" w:rsidRPr="002A2450">
        <w:rPr>
          <w:rFonts w:ascii="ITC Avant Garde" w:hAnsi="ITC Avant Garde"/>
        </w:rPr>
        <w:t xml:space="preserve"> se actualiza con la concurrencia de la misma conducta típica atribuida en distintos procesos, aun cuando esté prevista en normas de diferentes entidades federativas o en distintos fueros.</w:t>
      </w:r>
    </w:p>
    <w:p w14:paraId="4261C79F" w14:textId="77777777" w:rsidR="00B35F13" w:rsidRDefault="00915775" w:rsidP="00B35F13">
      <w:pPr>
        <w:spacing w:before="240" w:line="360" w:lineRule="auto"/>
        <w:jc w:val="both"/>
        <w:rPr>
          <w:rFonts w:ascii="ITC Avant Garde" w:hAnsi="ITC Avant Garde"/>
        </w:rPr>
      </w:pPr>
      <w:r w:rsidRPr="002A2450">
        <w:rPr>
          <w:rFonts w:ascii="ITC Avant Garde" w:hAnsi="ITC Avant Garde"/>
        </w:rPr>
        <w:t>Al respecto, dicha tesis señala lo siguiente:</w:t>
      </w:r>
    </w:p>
    <w:p w14:paraId="2E28DC66" w14:textId="77777777" w:rsidR="00B35F13" w:rsidRDefault="00915775" w:rsidP="00B35F13">
      <w:pPr>
        <w:spacing w:before="240" w:line="360" w:lineRule="auto"/>
        <w:ind w:left="567" w:right="567"/>
        <w:jc w:val="both"/>
        <w:rPr>
          <w:rFonts w:ascii="ITC Avant Garde" w:hAnsi="ITC Avant Garde"/>
        </w:rPr>
      </w:pPr>
      <w:r w:rsidRPr="002A2450">
        <w:rPr>
          <w:rFonts w:ascii="ITC Avant Garde" w:hAnsi="ITC Avant Garde"/>
          <w:b/>
        </w:rPr>
        <w:t xml:space="preserve">NON BIS IN IDEM. LA VIOLACIÓN A ESTE PRINCIPIO SE ACTUALIZA CON LA CONCURRENCIA DE LA MISMA CONDUCTA TÍPICA ATRIBUIDA AL INCULPADO EN DISTINTOS PROCESOS, AUN CUANDO ESTÉ PREVISTA EN NORMAS DE DIFERENTES ENTIDADES FEDERATIVAS O EN DISTINTOS FUEROS. </w:t>
      </w:r>
      <w:r w:rsidRPr="002A2450">
        <w:rPr>
          <w:rFonts w:ascii="ITC Avant Garde" w:hAnsi="ITC Avant Garde"/>
        </w:rPr>
        <w:t xml:space="preserve">Conforme a la doctrina que la Suprema Corte de Justicia de la Nación ha elaborado del principio non bis in </w:t>
      </w:r>
      <w:proofErr w:type="spellStart"/>
      <w:r w:rsidRPr="002A2450">
        <w:rPr>
          <w:rFonts w:ascii="ITC Avant Garde" w:hAnsi="ITC Avant Garde"/>
        </w:rPr>
        <w:t>idem</w:t>
      </w:r>
      <w:proofErr w:type="spellEnd"/>
      <w:r w:rsidRPr="002A2450">
        <w:rPr>
          <w:rFonts w:ascii="ITC Avant Garde" w:hAnsi="ITC Avant Garde"/>
        </w:rPr>
        <w:t xml:space="preserve"> derivado del artículo 23 de la Constitución Política de los Estados Unidos Mexicanos, que prohíbe el doble juzgamiento a una persona en sus vertientes sustantiva o adjetiva, se actualiza la transgresión a dicho principio cuando concurran tres presupuestos de identidad: a) en el sujeto, b) en el hecho; y, c) en el fundamento normativo. Respecto del último inciso, el fundamento jurídico que describe y sanciona la conducta atribuida al inculpado no debe estar necesariamente previsto en el mismo cuerpo normativo, pues puede ocurrir que se instruya otro proceso penal a una persona por los mismos hechos, pero previstos en una legislación diversa, correspondiente a otra entidad federativa o en distinto fuero, lo que es compatible con la interpretación que sobre ese principio ha realizado la Corte Interamericana de Derechos Humanos en el caso Loayza Tamayo vs. Perú, en relación con el artículo 8, numeral 4, de la Convención Americana sobre Derechos Humanos. De esta forma, los hechos </w:t>
      </w:r>
      <w:r w:rsidRPr="002A2450">
        <w:rPr>
          <w:rFonts w:ascii="ITC Avant Garde" w:hAnsi="ITC Avant Garde"/>
        </w:rPr>
        <w:lastRenderedPageBreak/>
        <w:t xml:space="preserve">atribuidos a una persona, materia de procesamiento o decisión definitiva (condena o absolución), no deben referirse exclusivamente a la misma denominación de delito previsto en un solo ordenamiento o en uno de distinto fuero, pues basta que se describa el mismo hecho punible para que exista transgresión al principio non bis in </w:t>
      </w:r>
      <w:proofErr w:type="spellStart"/>
      <w:r w:rsidRPr="002A2450">
        <w:rPr>
          <w:rFonts w:ascii="ITC Avant Garde" w:hAnsi="ITC Avant Garde"/>
        </w:rPr>
        <w:t>idem</w:t>
      </w:r>
      <w:proofErr w:type="spellEnd"/>
      <w:r w:rsidRPr="002A2450">
        <w:rPr>
          <w:rFonts w:ascii="ITC Avant Garde" w:hAnsi="ITC Avant Garde"/>
        </w:rPr>
        <w:t>.</w:t>
      </w:r>
    </w:p>
    <w:p w14:paraId="2B64D65A" w14:textId="77777777" w:rsidR="00B35F13" w:rsidRDefault="00915775"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2011235, Instancia: Primera Sala, Tipo de Tesis: Aislada, Fuente: Gaceta del Semanario Judicial de la Federación, Libro 28, Marzo de 2016, Tomo I, Materia(s): Constitucional, Tesis: 1a. LXV/2016 (10a.), Página: 988 </w:t>
      </w:r>
    </w:p>
    <w:p w14:paraId="07A9BF96" w14:textId="77777777" w:rsidR="00B35F13" w:rsidRDefault="00915775"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11 de marzo de 2016 a las 10:10 horas en el Semanario Judicial de la Federación.</w:t>
      </w:r>
    </w:p>
    <w:p w14:paraId="08F0F4C0" w14:textId="77777777" w:rsidR="00B35F13" w:rsidRDefault="009244EF" w:rsidP="00B35F13">
      <w:pPr>
        <w:spacing w:before="240" w:line="360" w:lineRule="auto"/>
        <w:jc w:val="both"/>
        <w:rPr>
          <w:rFonts w:ascii="ITC Avant Garde" w:hAnsi="ITC Avant Garde"/>
        </w:rPr>
      </w:pPr>
      <w:r w:rsidRPr="002A2450">
        <w:rPr>
          <w:rFonts w:ascii="ITC Avant Garde" w:hAnsi="ITC Avant Garde"/>
        </w:rPr>
        <w:t>Ahora bien, atendiendo a lo señalado por esa Primera Sala, es dable concluir que la sanción que se originó a partir del procedimiento en materia de competencia económica es sin duda, por haber llevado a cabo una co</w:t>
      </w:r>
      <w:r w:rsidR="00D374EF">
        <w:rPr>
          <w:rFonts w:ascii="ITC Avant Garde" w:hAnsi="ITC Avant Garde"/>
        </w:rPr>
        <w:t xml:space="preserve">ncentración </w:t>
      </w:r>
      <w:r w:rsidRPr="002A2450">
        <w:rPr>
          <w:rFonts w:ascii="ITC Avant Garde" w:hAnsi="ITC Avant Garde"/>
        </w:rPr>
        <w:t>e incumplir con la obligación de notificarla en términos de la Ley Federal de Competencia Económica y su Reglamento.</w:t>
      </w:r>
    </w:p>
    <w:p w14:paraId="15AC948A" w14:textId="77777777" w:rsidR="00B35F13" w:rsidRDefault="00915775" w:rsidP="00B35F13">
      <w:pPr>
        <w:spacing w:before="240" w:line="360" w:lineRule="auto"/>
        <w:jc w:val="both"/>
        <w:rPr>
          <w:rFonts w:ascii="ITC Avant Garde" w:hAnsi="ITC Avant Garde"/>
        </w:rPr>
      </w:pPr>
      <w:r w:rsidRPr="002A2450">
        <w:rPr>
          <w:rFonts w:ascii="ITC Avant Garde" w:hAnsi="ITC Avant Garde"/>
        </w:rPr>
        <w:t xml:space="preserve">Esta conducta sancionada por el Pleno de este </w:t>
      </w:r>
      <w:r w:rsidRPr="002A2450">
        <w:rPr>
          <w:rFonts w:ascii="ITC Avant Garde" w:hAnsi="ITC Avant Garde"/>
          <w:b/>
        </w:rPr>
        <w:t>“IFT”</w:t>
      </w:r>
      <w:r w:rsidRPr="002A2450">
        <w:rPr>
          <w:rFonts w:ascii="ITC Avant Garde" w:hAnsi="ITC Avant Garde"/>
        </w:rPr>
        <w:t xml:space="preserve"> en nada contraviene el citado principio </w:t>
      </w:r>
      <w:r w:rsidRPr="002A2450">
        <w:rPr>
          <w:rFonts w:ascii="ITC Avant Garde" w:hAnsi="ITC Avant Garde"/>
          <w:i/>
        </w:rPr>
        <w:t>no bis in ídem</w:t>
      </w:r>
      <w:r w:rsidRPr="002A2450">
        <w:rPr>
          <w:rFonts w:ascii="ITC Avant Garde" w:hAnsi="ITC Avant Garde"/>
        </w:rPr>
        <w:t xml:space="preserve"> puesto que</w:t>
      </w:r>
      <w:r w:rsidR="009244EF" w:rsidRPr="002A2450">
        <w:rPr>
          <w:rFonts w:ascii="ITC Avant Garde" w:hAnsi="ITC Avant Garde"/>
        </w:rPr>
        <w:t>,</w:t>
      </w:r>
      <w:r w:rsidRPr="002A2450">
        <w:rPr>
          <w:rFonts w:ascii="ITC Avant Garde" w:hAnsi="ITC Avant Garde"/>
        </w:rPr>
        <w:t xml:space="preserve"> lo que es materia de la presente Resolución es determinar el presunto incumplimiento por parte de </w:t>
      </w:r>
      <w:r w:rsidRPr="002A2450">
        <w:rPr>
          <w:rFonts w:ascii="ITC Avant Garde" w:hAnsi="ITC Avant Garde"/>
          <w:b/>
        </w:rPr>
        <w:t>“TELMEX”</w:t>
      </w:r>
      <w:r w:rsidRPr="002A2450">
        <w:rPr>
          <w:rFonts w:ascii="ITC Avant Garde" w:hAnsi="ITC Avant Garde"/>
        </w:rPr>
        <w:t xml:space="preserve"> al</w:t>
      </w:r>
      <w:r w:rsidR="00C11918" w:rsidRPr="002A2450">
        <w:rPr>
          <w:rFonts w:ascii="ITC Avant Garde" w:hAnsi="ITC Avant Garde"/>
        </w:rPr>
        <w:t xml:space="preserve"> </w:t>
      </w:r>
      <w:r w:rsidR="00B15C84" w:rsidRPr="009E34A4">
        <w:rPr>
          <w:rFonts w:ascii="ITC Avant Garde" w:hAnsi="ITC Avant Garde"/>
          <w:b/>
        </w:rPr>
        <w:t>Tercer Párrafo</w:t>
      </w:r>
      <w:r w:rsidR="00C11918" w:rsidRPr="002A2450">
        <w:rPr>
          <w:rFonts w:ascii="ITC Avant Garde" w:hAnsi="ITC Avant Garde"/>
        </w:rPr>
        <w:t xml:space="preserve"> de la</w:t>
      </w:r>
      <w:r w:rsidRPr="002A2450">
        <w:rPr>
          <w:rFonts w:ascii="ITC Avant Garde" w:hAnsi="ITC Avant Garde"/>
        </w:rPr>
        <w:t xml:space="preserve"> condición 1-9 de su </w:t>
      </w:r>
      <w:r w:rsidR="00BD1D1D" w:rsidRPr="002A2450">
        <w:rPr>
          <w:rFonts w:ascii="ITC Avant Garde" w:hAnsi="ITC Avant Garde"/>
          <w:b/>
        </w:rPr>
        <w:t>“TÍTULO</w:t>
      </w:r>
      <w:r w:rsidRPr="002A2450">
        <w:rPr>
          <w:rFonts w:ascii="ITC Avant Garde" w:hAnsi="ITC Avant Garde"/>
          <w:b/>
        </w:rPr>
        <w:t xml:space="preserve"> DE CONCESIÓN</w:t>
      </w:r>
      <w:r w:rsidR="00CA4CA9" w:rsidRPr="002A2450">
        <w:rPr>
          <w:rFonts w:ascii="ITC Avant Garde" w:hAnsi="ITC Avant Garde"/>
          <w:b/>
        </w:rPr>
        <w:t>”</w:t>
      </w:r>
      <w:r w:rsidRPr="002A2450">
        <w:rPr>
          <w:rFonts w:ascii="ITC Avant Garde" w:hAnsi="ITC Avant Garde"/>
        </w:rPr>
        <w:t xml:space="preserve">, de lo que se sigue que de encontrarse incumplida la misma, ello implica una violación a las condiciones establecidas en dicho instrumento, cuya tipicidad es distinta a lo que en su momento se resolvió en el expediente </w:t>
      </w:r>
      <w:r w:rsidRPr="002A2450">
        <w:rPr>
          <w:rFonts w:ascii="ITC Avant Garde" w:hAnsi="ITC Avant Garde"/>
          <w:b/>
        </w:rPr>
        <w:t>E-IFT/UC/DGIPM/PMR/0003/2013 y acumulados</w:t>
      </w:r>
      <w:r w:rsidR="008942E6" w:rsidRPr="002A2450">
        <w:rPr>
          <w:rFonts w:ascii="ITC Avant Garde" w:hAnsi="ITC Avant Garde"/>
        </w:rPr>
        <w:t>.</w:t>
      </w:r>
    </w:p>
    <w:p w14:paraId="461DCFF2" w14:textId="77777777" w:rsidR="00B35F13" w:rsidRDefault="008942E6" w:rsidP="00B35F13">
      <w:pPr>
        <w:spacing w:before="240" w:line="360" w:lineRule="auto"/>
        <w:jc w:val="both"/>
        <w:rPr>
          <w:rFonts w:ascii="ITC Avant Garde" w:hAnsi="ITC Avant Garde"/>
          <w:b/>
        </w:rPr>
      </w:pPr>
      <w:r w:rsidRPr="002A2450">
        <w:rPr>
          <w:rFonts w:ascii="ITC Avant Garde" w:hAnsi="ITC Avant Garde"/>
        </w:rPr>
        <w:t xml:space="preserve">En ese sentido, no existe una concurrencia en la denominación de la tipicidad ni mucho menos se sanciona la misma conducta. Por tanto, no existen elementos que permitan siquiera presumir que el presente expediente tiene por objeto determinar si </w:t>
      </w:r>
      <w:r w:rsidRPr="002A2450">
        <w:rPr>
          <w:rFonts w:ascii="ITC Avant Garde" w:hAnsi="ITC Avant Garde"/>
          <w:b/>
        </w:rPr>
        <w:t>“TELMEX”</w:t>
      </w:r>
      <w:r w:rsidRPr="002A2450">
        <w:rPr>
          <w:rFonts w:ascii="ITC Avant Garde" w:hAnsi="ITC Avant Garde"/>
        </w:rPr>
        <w:t xml:space="preserve"> es responsable de haber llevado una concentración e incumplir la obligación de notificarla, sino que se reitera, lo que </w:t>
      </w:r>
      <w:r w:rsidR="00C11918" w:rsidRPr="002A2450">
        <w:rPr>
          <w:rFonts w:ascii="ITC Avant Garde" w:hAnsi="ITC Avant Garde"/>
        </w:rPr>
        <w:t>es materia d</w:t>
      </w:r>
      <w:r w:rsidRPr="002A2450">
        <w:rPr>
          <w:rFonts w:ascii="ITC Avant Garde" w:hAnsi="ITC Avant Garde"/>
        </w:rPr>
        <w:t xml:space="preserve">el procedimiento </w:t>
      </w:r>
      <w:r w:rsidRPr="002A2450">
        <w:rPr>
          <w:rFonts w:ascii="ITC Avant Garde" w:hAnsi="ITC Avant Garde"/>
        </w:rPr>
        <w:lastRenderedPageBreak/>
        <w:t xml:space="preserve">administrativo de imposición de sanción </w:t>
      </w:r>
      <w:r w:rsidR="00C11918" w:rsidRPr="002A2450">
        <w:rPr>
          <w:rFonts w:ascii="ITC Avant Garde" w:hAnsi="ITC Avant Garde"/>
        </w:rPr>
        <w:t xml:space="preserve">que culmina con el dictado </w:t>
      </w:r>
      <w:r w:rsidRPr="002A2450">
        <w:rPr>
          <w:rFonts w:ascii="ITC Avant Garde" w:hAnsi="ITC Avant Garde"/>
        </w:rPr>
        <w:t>de la Resolución que nos ocupa, es precisamente determinar si existe o no el incumplimiento por parte de dicha concesionaria al</w:t>
      </w:r>
      <w:r w:rsidR="00C11918" w:rsidRPr="002A2450">
        <w:rPr>
          <w:rFonts w:ascii="ITC Avant Garde" w:hAnsi="ITC Avant Garde"/>
        </w:rPr>
        <w:t xml:space="preserve"> </w:t>
      </w:r>
      <w:r w:rsidR="00B15C84" w:rsidRPr="009E34A4">
        <w:rPr>
          <w:rFonts w:ascii="ITC Avant Garde" w:hAnsi="ITC Avant Garde"/>
          <w:b/>
        </w:rPr>
        <w:t>Tercer Párrafo</w:t>
      </w:r>
      <w:r w:rsidR="00C11918" w:rsidRPr="002A2450">
        <w:rPr>
          <w:rFonts w:ascii="ITC Avant Garde" w:hAnsi="ITC Avant Garde"/>
        </w:rPr>
        <w:t xml:space="preserve"> de la </w:t>
      </w:r>
      <w:r w:rsidRPr="002A2450">
        <w:rPr>
          <w:rFonts w:ascii="ITC Avant Garde" w:hAnsi="ITC Avant Garde"/>
        </w:rPr>
        <w:t xml:space="preserve">condición 1-9 de su </w:t>
      </w:r>
      <w:r w:rsidR="00BD1D1D" w:rsidRPr="002A2450">
        <w:rPr>
          <w:rFonts w:ascii="ITC Avant Garde" w:hAnsi="ITC Avant Garde"/>
          <w:b/>
        </w:rPr>
        <w:t>“TÍTULO</w:t>
      </w:r>
      <w:r w:rsidRPr="002A2450">
        <w:rPr>
          <w:rFonts w:ascii="ITC Avant Garde" w:hAnsi="ITC Avant Garde"/>
          <w:b/>
        </w:rPr>
        <w:t xml:space="preserve"> DE CONCESIÓN</w:t>
      </w:r>
      <w:r w:rsidR="00CA4CA9" w:rsidRPr="002A2450">
        <w:rPr>
          <w:rFonts w:ascii="ITC Avant Garde" w:hAnsi="ITC Avant Garde"/>
          <w:b/>
        </w:rPr>
        <w:t>”</w:t>
      </w:r>
      <w:r w:rsidRPr="002A2450">
        <w:rPr>
          <w:rFonts w:ascii="ITC Avant Garde" w:hAnsi="ITC Avant Garde"/>
          <w:b/>
        </w:rPr>
        <w:t>.</w:t>
      </w:r>
    </w:p>
    <w:p w14:paraId="45D1D610" w14:textId="77777777" w:rsidR="00B35F13" w:rsidRDefault="008942E6" w:rsidP="00B35F13">
      <w:pPr>
        <w:spacing w:before="240" w:line="360" w:lineRule="auto"/>
        <w:jc w:val="both"/>
        <w:rPr>
          <w:rFonts w:ascii="ITC Avant Garde" w:hAnsi="ITC Avant Garde"/>
          <w:b/>
        </w:rPr>
      </w:pPr>
      <w:r w:rsidRPr="002A2450">
        <w:rPr>
          <w:rFonts w:ascii="ITC Avant Garde" w:hAnsi="ITC Avant Garde"/>
        </w:rPr>
        <w:t xml:space="preserve">Así las cosas, no existe concurrencia de tipicidad como lo ha resuelto la Primera Sala de la Suprema Corte de Justicia de la Nación, así como que tampoco incide en ordenamientos distintos la conducta que a través del presente procedimiento se resuelve </w:t>
      </w:r>
      <w:r w:rsidR="00C11918" w:rsidRPr="002A2450">
        <w:rPr>
          <w:rFonts w:ascii="ITC Avant Garde" w:hAnsi="ITC Avant Garde"/>
        </w:rPr>
        <w:t>y la conducta que fue sancionada</w:t>
      </w:r>
      <w:r w:rsidRPr="002A2450">
        <w:rPr>
          <w:rFonts w:ascii="ITC Avant Garde" w:hAnsi="ITC Avant Garde"/>
        </w:rPr>
        <w:t xml:space="preserve"> en el citado expediente </w:t>
      </w:r>
      <w:r w:rsidRPr="002A2450">
        <w:rPr>
          <w:rFonts w:ascii="ITC Avant Garde" w:hAnsi="ITC Avant Garde"/>
          <w:b/>
        </w:rPr>
        <w:t>E-IFT/UC/DGIPM/PMR/0003/2013 y acumulados.</w:t>
      </w:r>
    </w:p>
    <w:p w14:paraId="18FF95DC" w14:textId="77777777" w:rsidR="00B35F13" w:rsidRDefault="00DC15E5" w:rsidP="00B35F13">
      <w:pPr>
        <w:spacing w:before="240" w:line="360" w:lineRule="auto"/>
        <w:jc w:val="both"/>
        <w:rPr>
          <w:rFonts w:ascii="ITC Avant Garde" w:hAnsi="ITC Avant Garde"/>
        </w:rPr>
      </w:pPr>
      <w:r w:rsidRPr="009E34A4">
        <w:rPr>
          <w:rFonts w:ascii="ITC Avant Garde" w:hAnsi="ITC Avant Garde"/>
        </w:rPr>
        <w:t>Al respecto, sirve de aplicación la siguiente tesis:</w:t>
      </w:r>
    </w:p>
    <w:p w14:paraId="407A02F1" w14:textId="77777777" w:rsidR="00B35F13" w:rsidRDefault="00DC15E5" w:rsidP="00B35F13">
      <w:pPr>
        <w:pStyle w:val="Textocomentario"/>
        <w:spacing w:before="240" w:after="160" w:line="360" w:lineRule="auto"/>
        <w:ind w:left="567" w:right="567"/>
        <w:jc w:val="both"/>
        <w:rPr>
          <w:rFonts w:ascii="ITC Avant Garde" w:eastAsiaTheme="minorHAnsi" w:hAnsi="ITC Avant Garde" w:cstheme="minorBidi"/>
          <w:sz w:val="22"/>
          <w:szCs w:val="22"/>
          <w:lang w:val="es-MX"/>
        </w:rPr>
      </w:pPr>
      <w:r w:rsidRPr="009E34A4">
        <w:rPr>
          <w:rFonts w:ascii="ITC Avant Garde" w:eastAsiaTheme="minorHAnsi" w:hAnsi="ITC Avant Garde" w:cstheme="minorBidi"/>
          <w:b/>
          <w:sz w:val="22"/>
          <w:szCs w:val="22"/>
          <w:lang w:val="es-MX"/>
        </w:rPr>
        <w:t>SEGURIDAD JURÍDICA. EL DERECHO PREVISTO EN EL ARTÍCULO 23 DE LA CONSTITUCIÓN FEDERAL ES APLICABLE A LA MATERIA ADMINISTRATIVA</w:t>
      </w:r>
      <w:r w:rsidRPr="009E34A4">
        <w:rPr>
          <w:rFonts w:ascii="ITC Avant Garde" w:eastAsiaTheme="minorHAnsi" w:hAnsi="ITC Avant Garde" w:cstheme="minorBidi"/>
          <w:sz w:val="22"/>
          <w:szCs w:val="22"/>
          <w:lang w:val="es-MX"/>
        </w:rPr>
        <w:t xml:space="preserve">. El precepto constitucional citado contiene diversos derechos de seguridad jurídica, dentro de los que se encuentra el relativo a que nadie puede ser juzgado dos veces por la misma falta. Sobre el particular, la Suprema Corte de Justicia de la Nación ha dotado de mayor contenido al derecho en comento, haciéndolo extensivo a materias diversas a la penal, como la administrativa. Así, en esta última materia, el derecho se encuentra dirigido a prohibir que a un particular se le sancione dos veces o por segunda vez por el mismo hecho y para proteger el mismo bien jurídico; en esta tesitura, </w:t>
      </w:r>
      <w:r w:rsidRPr="009E34A4">
        <w:rPr>
          <w:rFonts w:ascii="ITC Avant Garde" w:eastAsiaTheme="minorHAnsi" w:hAnsi="ITC Avant Garde" w:cstheme="minorBidi"/>
          <w:b/>
          <w:sz w:val="22"/>
          <w:szCs w:val="22"/>
          <w:u w:val="single"/>
          <w:lang w:val="es-MX"/>
        </w:rPr>
        <w:t>"lo mismo" se identifica o equipara con la triple identidad de: sujeto, hecho y fundamento</w:t>
      </w:r>
      <w:r w:rsidRPr="009E34A4">
        <w:rPr>
          <w:rFonts w:ascii="ITC Avant Garde" w:eastAsiaTheme="minorHAnsi" w:hAnsi="ITC Avant Garde" w:cstheme="minorBidi"/>
          <w:sz w:val="22"/>
          <w:szCs w:val="22"/>
          <w:lang w:val="es-MX"/>
        </w:rPr>
        <w:t xml:space="preserve">. Por el contrario, cuando un sujeto con uno o más hechos lesiona bienes jurídicos diferentes (diversos ordenamientos jurídicos) o algún bien jurídico varias veces, esa situación ocasiona la comisión de varias infracciones distintas y se sanciona por cada ilícito perpetrado, ya que en este supuesto no existe la triple identidad, toda vez que o no se trata del mismo hecho o falta coincidencia de fundamento, lo que es de suma importancia e indispensable para que surta plena vigencia esa exigencia </w:t>
      </w:r>
      <w:r w:rsidRPr="009E34A4">
        <w:rPr>
          <w:rFonts w:ascii="ITC Avant Garde" w:eastAsiaTheme="minorHAnsi" w:hAnsi="ITC Avant Garde" w:cstheme="minorBidi"/>
          <w:sz w:val="22"/>
          <w:szCs w:val="22"/>
          <w:lang w:val="es-MX"/>
        </w:rPr>
        <w:lastRenderedPageBreak/>
        <w:t xml:space="preserve">constitucional. Ilustra los supuestos que anteceden, lo que establecen los artículos 75, fracción V y 76 del Código Fiscal de la Federación, en virtud de que en el primer numeral mencionado, al existir la triple identidad de sujeto, hecho y fundamento, se prevé que se aplique sólo una sanción; en tanto que en la segunda disposición legal, el supuesto que antecede no se actualiza, en atención a que en esa norma se señalan diversos hechos (infracciones), que implican la inobservancia de distintos ordenamientos jurídicos, situación que tiene como consecuencia la aplicación de las sanciones que correspondan por cada ilícito que se hubiere cometido”. </w:t>
      </w:r>
    </w:p>
    <w:p w14:paraId="6F42D89D" w14:textId="77777777" w:rsidR="00B35F13" w:rsidRDefault="00DC15E5" w:rsidP="00B35F13">
      <w:pPr>
        <w:pStyle w:val="Textocomentario"/>
        <w:spacing w:before="240" w:after="160" w:line="360" w:lineRule="auto"/>
        <w:ind w:left="567" w:right="567"/>
        <w:jc w:val="both"/>
        <w:rPr>
          <w:rFonts w:ascii="ITC Avant Garde" w:eastAsiaTheme="minorHAnsi" w:hAnsi="ITC Avant Garde" w:cstheme="minorBidi"/>
          <w:sz w:val="22"/>
          <w:szCs w:val="22"/>
          <w:lang w:val="es-MX"/>
        </w:rPr>
      </w:pPr>
      <w:r w:rsidRPr="009E34A4">
        <w:rPr>
          <w:rFonts w:ascii="ITC Avant Garde" w:eastAsiaTheme="minorHAnsi" w:hAnsi="ITC Avant Garde" w:cstheme="minorBidi"/>
          <w:sz w:val="18"/>
          <w:szCs w:val="22"/>
          <w:lang w:val="es-MX"/>
        </w:rPr>
        <w:t>Localización: [TA]; 10a Época; 2a Sala; S.J.F. y su Gaceta; Tomo I, Libro 4, Marzo de 2014; Página: 1082; 2a. XXIX/2014 (10a.).</w:t>
      </w:r>
    </w:p>
    <w:p w14:paraId="3DFA141F" w14:textId="77777777" w:rsidR="00B35F13" w:rsidRDefault="00DC15E5" w:rsidP="00B35F13">
      <w:pPr>
        <w:spacing w:before="240" w:line="360" w:lineRule="auto"/>
        <w:jc w:val="both"/>
        <w:rPr>
          <w:rFonts w:ascii="ITC Avant Garde" w:hAnsi="ITC Avant Garde"/>
        </w:rPr>
      </w:pPr>
      <w:r w:rsidRPr="002A2450">
        <w:rPr>
          <w:rFonts w:ascii="ITC Avant Garde" w:hAnsi="ITC Avant Garde"/>
        </w:rPr>
        <w:t xml:space="preserve">Con base en la tesis anterior, dado que no se colman los extremos de la triple identidad, esto, sujeto, hecho y fundamento, es dable concluir que no existe una violación al principio </w:t>
      </w:r>
      <w:r w:rsidRPr="002A2450">
        <w:rPr>
          <w:rFonts w:ascii="ITC Avant Garde" w:hAnsi="ITC Avant Garde"/>
          <w:i/>
        </w:rPr>
        <w:t>no bis in ídem</w:t>
      </w:r>
      <w:r w:rsidRPr="002A2450">
        <w:rPr>
          <w:rFonts w:ascii="ITC Avant Garde" w:hAnsi="ITC Avant Garde"/>
        </w:rPr>
        <w:t xml:space="preserve"> al tratarse de diferentes fundamentos.</w:t>
      </w:r>
    </w:p>
    <w:p w14:paraId="3D69A4E1" w14:textId="77777777" w:rsidR="00B35F13" w:rsidRDefault="00C11918" w:rsidP="00B35F13">
      <w:pPr>
        <w:spacing w:before="240" w:line="360" w:lineRule="auto"/>
        <w:jc w:val="both"/>
        <w:rPr>
          <w:rFonts w:ascii="ITC Avant Garde" w:hAnsi="ITC Avant Garde"/>
        </w:rPr>
      </w:pPr>
      <w:r w:rsidRPr="002A2450">
        <w:rPr>
          <w:rFonts w:ascii="ITC Avant Garde" w:hAnsi="ITC Avant Garde"/>
        </w:rPr>
        <w:t xml:space="preserve">A mayor abundamiento y por lo que hace a la competencia para resolver el presente asunto, </w:t>
      </w:r>
      <w:r w:rsidR="008942E6" w:rsidRPr="002A2450">
        <w:rPr>
          <w:rFonts w:ascii="ITC Avant Garde" w:hAnsi="ITC Avant Garde"/>
        </w:rPr>
        <w:t xml:space="preserve">en términos del artículo 15, fracción XXX, de la </w:t>
      </w:r>
      <w:r w:rsidR="008942E6" w:rsidRPr="002A2450">
        <w:rPr>
          <w:rFonts w:ascii="ITC Avant Garde" w:hAnsi="ITC Avant Garde"/>
          <w:b/>
        </w:rPr>
        <w:t>“</w:t>
      </w:r>
      <w:proofErr w:type="spellStart"/>
      <w:r w:rsidR="008942E6" w:rsidRPr="002A2450">
        <w:rPr>
          <w:rFonts w:ascii="ITC Avant Garde" w:hAnsi="ITC Avant Garde"/>
          <w:b/>
        </w:rPr>
        <w:t>LFTyR</w:t>
      </w:r>
      <w:proofErr w:type="spellEnd"/>
      <w:r w:rsidR="008942E6" w:rsidRPr="002A2450">
        <w:rPr>
          <w:rFonts w:ascii="ITC Avant Garde" w:hAnsi="ITC Avant Garde"/>
          <w:b/>
        </w:rPr>
        <w:t xml:space="preserve">” </w:t>
      </w:r>
      <w:r w:rsidR="008942E6" w:rsidRPr="002A2450">
        <w:rPr>
          <w:rFonts w:ascii="ITC Avant Garde" w:hAnsi="ITC Avant Garde"/>
        </w:rPr>
        <w:t xml:space="preserve">esta autoridad </w:t>
      </w:r>
      <w:r w:rsidRPr="002A2450">
        <w:rPr>
          <w:rFonts w:ascii="ITC Avant Garde" w:hAnsi="ITC Avant Garde"/>
        </w:rPr>
        <w:t xml:space="preserve">tiene facultades </w:t>
      </w:r>
      <w:r w:rsidR="008942E6" w:rsidRPr="002A2450">
        <w:rPr>
          <w:rFonts w:ascii="ITC Avant Garde" w:hAnsi="ITC Avant Garde"/>
        </w:rPr>
        <w:t xml:space="preserve">para conocer y resolver respecto del incumplimiento a lo dispuesto en los títulos de concesión otorgados a los regulados, de lo que se sigue que al no existir un traslape en la tipicidad, en la normatividad y en la conducta, es que el argumento señalado por </w:t>
      </w:r>
      <w:r w:rsidR="008942E6" w:rsidRPr="002A2450">
        <w:rPr>
          <w:rFonts w:ascii="ITC Avant Garde" w:hAnsi="ITC Avant Garde"/>
          <w:b/>
        </w:rPr>
        <w:t>“TELMEX”</w:t>
      </w:r>
      <w:r w:rsidR="008942E6" w:rsidRPr="002A2450">
        <w:rPr>
          <w:rFonts w:ascii="ITC Avant Garde" w:hAnsi="ITC Avant Garde"/>
        </w:rPr>
        <w:t xml:space="preserve"> resulta </w:t>
      </w:r>
      <w:r w:rsidR="008942E6" w:rsidRPr="002A2450">
        <w:rPr>
          <w:rFonts w:ascii="ITC Avant Garde" w:hAnsi="ITC Avant Garde"/>
          <w:b/>
          <w:u w:val="single"/>
        </w:rPr>
        <w:t>infundado</w:t>
      </w:r>
      <w:r w:rsidR="008942E6" w:rsidRPr="002A2450">
        <w:rPr>
          <w:rFonts w:ascii="ITC Avant Garde" w:hAnsi="ITC Avant Garde"/>
        </w:rPr>
        <w:t>.</w:t>
      </w:r>
    </w:p>
    <w:p w14:paraId="75FE376B" w14:textId="77777777" w:rsidR="00B35F13" w:rsidRPr="00CE1EA8" w:rsidRDefault="00EB4818" w:rsidP="007E623E">
      <w:pPr>
        <w:pStyle w:val="Ttulo4"/>
        <w:numPr>
          <w:ilvl w:val="0"/>
          <w:numId w:val="65"/>
        </w:numPr>
        <w:ind w:left="284" w:hanging="284"/>
        <w:rPr>
          <w:b/>
        </w:rPr>
      </w:pPr>
      <w:r w:rsidRPr="00CE1EA8">
        <w:rPr>
          <w:b/>
        </w:rPr>
        <w:t>EL PROCEDIMIENTO ES VIOLATORIO DE LOS ARTÍCULOS 14 Y 16 DE LA CONSTITUCIÓN</w:t>
      </w:r>
    </w:p>
    <w:p w14:paraId="1EEFAC9E" w14:textId="77777777" w:rsidR="00B35F13" w:rsidRDefault="008942E6"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manifiesta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diecinueve a veintidós y veintinueve a treinta y dos)</w:t>
      </w:r>
      <w:r w:rsidRPr="002A2450">
        <w:rPr>
          <w:rFonts w:ascii="ITC Avant Garde" w:eastAsia="Times New Roman" w:hAnsi="ITC Avant Garde"/>
          <w:bCs/>
          <w:color w:val="000000"/>
          <w:lang w:eastAsia="es-MX"/>
        </w:rPr>
        <w:t>:</w:t>
      </w:r>
    </w:p>
    <w:p w14:paraId="723EBBF6" w14:textId="77777777" w:rsidR="00B35F13" w:rsidRDefault="008942E6"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Los requerimientos formulados que sirven de fundamento para el inicio del procedimiento constituyen una pesquisa.</w:t>
      </w:r>
    </w:p>
    <w:p w14:paraId="68D42C03" w14:textId="77777777" w:rsidR="00B35F13" w:rsidRDefault="008942E6" w:rsidP="00B35F13">
      <w:pPr>
        <w:spacing w:before="240" w:line="360" w:lineRule="auto"/>
        <w:ind w:left="567" w:right="567"/>
        <w:jc w:val="both"/>
        <w:rPr>
          <w:rFonts w:ascii="ITC Avant Garde" w:hAnsi="ITC Avant Garde"/>
          <w:i/>
        </w:rPr>
      </w:pPr>
      <w:r w:rsidRPr="002A2450">
        <w:rPr>
          <w:rFonts w:ascii="ITC Avant Garde" w:hAnsi="ITC Avant Garde"/>
          <w:i/>
        </w:rPr>
        <w:t xml:space="preserve">En el antecedente octavo se citan 6 requerimientos, de los cuales sólo 3 fueron notificados a </w:t>
      </w:r>
      <w:r w:rsidR="005B601B" w:rsidRPr="002A2450">
        <w:rPr>
          <w:rFonts w:ascii="ITC Avant Garde" w:hAnsi="ITC Avant Garde"/>
          <w:b/>
          <w:i/>
        </w:rPr>
        <w:t>“TELMEX”</w:t>
      </w:r>
      <w:r w:rsidRPr="002A2450">
        <w:rPr>
          <w:rFonts w:ascii="ITC Avant Garde" w:hAnsi="ITC Avant Garde"/>
          <w:i/>
        </w:rPr>
        <w:t>.</w:t>
      </w:r>
    </w:p>
    <w:p w14:paraId="31F4C664" w14:textId="77777777" w:rsidR="00B35F13" w:rsidRDefault="008942E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Por lo anterior, es improcedente e ilegal el presente procedimiento por ser violatorios a los artículos 14 y 16 de la Constitución puesto que ninguno de los 3 requerimientos hacen referencia a las multicitadas denuncias o se establece con claridad que se estaba investigando.</w:t>
      </w:r>
    </w:p>
    <w:p w14:paraId="3B2FA6E3" w14:textId="77777777" w:rsidR="00B35F13" w:rsidRDefault="008942E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Para que los requerimientos fueran válidos hubiesen tenido que cumplir con una debida fundamentación y motivación señalando los hechos en que se basa la autoridad para formular tales requerimientos.</w:t>
      </w:r>
    </w:p>
    <w:p w14:paraId="6D475DD2" w14:textId="77777777" w:rsidR="00B35F13" w:rsidRDefault="008942E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En su caso, debía haber notificado a todas las partes interesadas para que el acto de desahogo de las pruebas conducentes se pudiera ofrecer otras de descargo y formular alegatos y se tendrían que señalar los medios legales que el interesado tenga a su alcance para combatir cualquier acto que le depare perjuicio.</w:t>
      </w:r>
    </w:p>
    <w:p w14:paraId="7069F751" w14:textId="77777777" w:rsidR="00B35F13" w:rsidRDefault="008942E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En el caso que nos ocupa, ninguno de los requisitos </w:t>
      </w:r>
      <w:proofErr w:type="gramStart"/>
      <w:r w:rsidRPr="002A2450">
        <w:rPr>
          <w:rFonts w:ascii="ITC Avant Garde" w:hAnsi="ITC Avant Garde"/>
          <w:i/>
        </w:rPr>
        <w:t>fueron</w:t>
      </w:r>
      <w:proofErr w:type="gramEnd"/>
      <w:r w:rsidRPr="002A2450">
        <w:rPr>
          <w:rFonts w:ascii="ITC Avant Garde" w:hAnsi="ITC Avant Garde"/>
          <w:i/>
        </w:rPr>
        <w:t xml:space="preserve"> cumplidos pues no se indicó con previsión cual era el hecho a investigar.</w:t>
      </w:r>
    </w:p>
    <w:p w14:paraId="728E6045" w14:textId="77777777" w:rsidR="00B35F13" w:rsidRDefault="008942E6"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Todo lo anterior deja a mi representada en estado de indefensión.</w:t>
      </w:r>
    </w:p>
    <w:p w14:paraId="15876206" w14:textId="77777777" w:rsidR="00B35F13" w:rsidRDefault="00D13F10" w:rsidP="00B35F13">
      <w:pPr>
        <w:spacing w:before="240" w:line="360" w:lineRule="auto"/>
        <w:ind w:left="567" w:right="567"/>
        <w:jc w:val="both"/>
        <w:rPr>
          <w:rFonts w:ascii="ITC Avant Garde" w:hAnsi="ITC Avant Garde"/>
          <w:i/>
        </w:rPr>
      </w:pPr>
      <w:r w:rsidRPr="002A2450">
        <w:rPr>
          <w:rFonts w:ascii="ITC Avant Garde" w:hAnsi="ITC Avant Garde"/>
          <w:i/>
        </w:rPr>
        <w:t>El antecedente octavo del acuerdo de inicio coloca a mí representada en estado de indefensión al no poder conocer con precisión a que requerimientos se refiere el Titular de la Unidad de Cumplimiento.</w:t>
      </w:r>
    </w:p>
    <w:p w14:paraId="6EA30C7B" w14:textId="77777777" w:rsidR="00B35F13" w:rsidRDefault="00D13F10"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Señaló que la Dirección General de Supervisión formuló 6 requerimientos de información a </w:t>
      </w:r>
      <w:r w:rsidR="005B601B" w:rsidRPr="002A2450">
        <w:rPr>
          <w:rFonts w:ascii="ITC Avant Garde" w:hAnsi="ITC Avant Garde"/>
          <w:b/>
          <w:i/>
        </w:rPr>
        <w:t>“TELMEX”</w:t>
      </w:r>
      <w:r w:rsidRPr="002A2450">
        <w:rPr>
          <w:rFonts w:ascii="ITC Avant Garde" w:hAnsi="ITC Avant Garde"/>
          <w:i/>
        </w:rPr>
        <w:t xml:space="preserve"> y </w:t>
      </w:r>
      <w:proofErr w:type="spellStart"/>
      <w:r w:rsidRPr="002A2450">
        <w:rPr>
          <w:rFonts w:ascii="ITC Avant Garde" w:hAnsi="ITC Avant Garde"/>
          <w:i/>
        </w:rPr>
        <w:t>Cofresa</w:t>
      </w:r>
      <w:proofErr w:type="spellEnd"/>
      <w:r w:rsidRPr="002A2450">
        <w:rPr>
          <w:rFonts w:ascii="ITC Avant Garde" w:hAnsi="ITC Avant Garde"/>
          <w:i/>
        </w:rPr>
        <w:t xml:space="preserve"> sin que permita conocer los datos de identificación.</w:t>
      </w:r>
    </w:p>
    <w:p w14:paraId="520A956C" w14:textId="77777777" w:rsidR="00B35F13" w:rsidRDefault="00D13F10"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 xml:space="preserve">Lo anterior, es un tema fundamental en los que descansa el estado de derecho ya que hacer una relación detallada del acto de autoridad, le </w:t>
      </w:r>
      <w:r w:rsidRPr="002A2450">
        <w:rPr>
          <w:rFonts w:ascii="ITC Avant Garde" w:hAnsi="ITC Avant Garde"/>
          <w:i/>
        </w:rPr>
        <w:lastRenderedPageBreak/>
        <w:t>permite al gobernado conocer con precisión el documento en el cual se funda y motiva su actuar.</w:t>
      </w:r>
    </w:p>
    <w:p w14:paraId="27B82CAE" w14:textId="77777777" w:rsidR="00B35F13" w:rsidRDefault="00D13F10"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De hecho mi representada desconoce a cuáles requerimientos se refiere la Unidad de Cumplimiento.</w:t>
      </w:r>
    </w:p>
    <w:p w14:paraId="39104512" w14:textId="77777777" w:rsidR="00B35F13" w:rsidRDefault="00D13F10" w:rsidP="00B35F13">
      <w:pPr>
        <w:spacing w:before="240" w:line="360" w:lineRule="auto"/>
        <w:ind w:left="567" w:right="567"/>
        <w:jc w:val="both"/>
        <w:rPr>
          <w:rFonts w:ascii="ITC Avant Garde" w:hAnsi="ITC Avant Garde"/>
          <w:i/>
        </w:rPr>
      </w:pPr>
      <w:r w:rsidRPr="002A2450">
        <w:rPr>
          <w:rFonts w:ascii="ITC Avant Garde" w:hAnsi="ITC Avant Garde"/>
          <w:i/>
        </w:rPr>
        <w:t>Los únicos requerimientos que mi representada considera pueden ser a lo que se refiere la autoridad son: IFT/D04/USV/DGS/1169/2014 de 20 de febrero de 2014, IFT/D04/USV/DGS/1383/2014 de 13 marzo de 2014 y IFT/D04/USV/DGS/1753/2014 de veinticinco de abril de 2014.</w:t>
      </w:r>
    </w:p>
    <w:p w14:paraId="0A1DE577" w14:textId="77777777" w:rsidR="00B35F13" w:rsidRDefault="00D13F10" w:rsidP="00B35F13">
      <w:pPr>
        <w:spacing w:before="240" w:line="360" w:lineRule="auto"/>
        <w:jc w:val="both"/>
        <w:rPr>
          <w:rFonts w:ascii="ITC Avant Garde" w:hAnsi="ITC Avant Garde"/>
        </w:rPr>
      </w:pPr>
      <w:r w:rsidRPr="002A2450">
        <w:rPr>
          <w:rFonts w:ascii="ITC Avant Garde" w:hAnsi="ITC Avant Garde"/>
        </w:rPr>
        <w:t xml:space="preserve">Al respecto, sus argumentos resultan </w:t>
      </w:r>
      <w:r w:rsidR="00313B85" w:rsidRPr="002A2450">
        <w:rPr>
          <w:rFonts w:ascii="ITC Avant Garde" w:hAnsi="ITC Avant Garde"/>
          <w:b/>
          <w:u w:val="single"/>
        </w:rPr>
        <w:t>insuficientes</w:t>
      </w:r>
      <w:r w:rsidR="00313B85" w:rsidRPr="002A2450">
        <w:rPr>
          <w:rFonts w:ascii="ITC Avant Garde" w:hAnsi="ITC Avant Garde"/>
        </w:rPr>
        <w:t xml:space="preserve"> para desvirtuar la conducta presuntamente incumplida, en atención a las siguientes consideraciones:</w:t>
      </w:r>
    </w:p>
    <w:p w14:paraId="5D91540F" w14:textId="77777777" w:rsidR="00B35F13" w:rsidRDefault="00313B85" w:rsidP="00B35F13">
      <w:pPr>
        <w:spacing w:before="240" w:line="360" w:lineRule="auto"/>
        <w:jc w:val="both"/>
        <w:rPr>
          <w:rFonts w:ascii="ITC Avant Garde" w:hAnsi="ITC Avant Garde"/>
        </w:rPr>
      </w:pPr>
      <w:r w:rsidRPr="002A2450">
        <w:rPr>
          <w:rFonts w:ascii="ITC Avant Garde" w:hAnsi="ITC Avant Garde"/>
        </w:rPr>
        <w:t xml:space="preserve">Es cierto que en el considerando octavo, la Unidad de Cumplimiento señaló que dentro del periodo febrero a abril de dos mil catorce, formuló seis requerimientos de información a </w:t>
      </w:r>
      <w:r w:rsidRPr="002A2450">
        <w:rPr>
          <w:rFonts w:ascii="ITC Avant Garde" w:hAnsi="ITC Avant Garde"/>
          <w:b/>
        </w:rPr>
        <w:t>“TELMEX”</w:t>
      </w:r>
      <w:r w:rsidRPr="002A2450">
        <w:rPr>
          <w:rFonts w:ascii="ITC Avant Garde" w:hAnsi="ITC Avant Garde"/>
        </w:rPr>
        <w:t xml:space="preserve"> y a </w:t>
      </w:r>
      <w:r w:rsidRPr="002A2450">
        <w:rPr>
          <w:rFonts w:ascii="ITC Avant Garde" w:hAnsi="ITC Avant Garde"/>
          <w:b/>
        </w:rPr>
        <w:t>“COFRESA”</w:t>
      </w:r>
      <w:r w:rsidRPr="002A2450">
        <w:rPr>
          <w:rFonts w:ascii="ITC Avant Garde" w:hAnsi="ITC Avant Garde"/>
        </w:rPr>
        <w:t>.</w:t>
      </w:r>
    </w:p>
    <w:p w14:paraId="1FA1C0EE" w14:textId="77777777" w:rsidR="00B35F13" w:rsidRDefault="00313B85" w:rsidP="00B35F13">
      <w:pPr>
        <w:spacing w:before="240" w:line="360" w:lineRule="auto"/>
        <w:jc w:val="both"/>
        <w:rPr>
          <w:rFonts w:ascii="ITC Avant Garde" w:hAnsi="ITC Avant Garde"/>
        </w:rPr>
      </w:pPr>
      <w:r w:rsidRPr="002A2450">
        <w:rPr>
          <w:rFonts w:ascii="ITC Avant Garde" w:hAnsi="ITC Avant Garde"/>
        </w:rPr>
        <w:t xml:space="preserve">En ese sentido, advierte la hoy presunta responsable que al no existir una identificación o precisión en cuanto a los citados documentos se deja de </w:t>
      </w:r>
      <w:r w:rsidR="00DC1438" w:rsidRPr="002A2450">
        <w:rPr>
          <w:rFonts w:ascii="ITC Avant Garde" w:hAnsi="ITC Avant Garde"/>
        </w:rPr>
        <w:t>en estado de indefensión ya que estima que desconoce los mismos.</w:t>
      </w:r>
    </w:p>
    <w:p w14:paraId="2DBFEA49" w14:textId="77777777" w:rsidR="00B35F13" w:rsidRDefault="00DC1438" w:rsidP="00B35F13">
      <w:pPr>
        <w:spacing w:before="240" w:line="360" w:lineRule="auto"/>
        <w:jc w:val="both"/>
        <w:rPr>
          <w:rFonts w:ascii="ITC Avant Garde" w:hAnsi="ITC Avant Garde"/>
        </w:rPr>
      </w:pPr>
      <w:r w:rsidRPr="002A2450">
        <w:rPr>
          <w:rFonts w:ascii="ITC Avant Garde" w:hAnsi="ITC Avant Garde"/>
        </w:rPr>
        <w:t xml:space="preserve">Más adelante </w:t>
      </w:r>
      <w:r w:rsidRPr="002A2450">
        <w:rPr>
          <w:rFonts w:ascii="ITC Avant Garde" w:hAnsi="ITC Avant Garde"/>
          <w:b/>
        </w:rPr>
        <w:t>“TELMEX”</w:t>
      </w:r>
      <w:r w:rsidRPr="002A2450">
        <w:rPr>
          <w:rFonts w:ascii="ITC Avant Garde" w:hAnsi="ITC Avant Garde"/>
        </w:rPr>
        <w:t xml:space="preserve"> manifiesta que atendiendo a las fechas señaladas en el acuerdo de inicio, la misma solo tiene conocimiento de tres oficios signados por la </w:t>
      </w:r>
      <w:r w:rsidR="00CA4CA9" w:rsidRPr="002A2450">
        <w:rPr>
          <w:rFonts w:ascii="ITC Avant Garde" w:hAnsi="ITC Avant Garde"/>
          <w:b/>
        </w:rPr>
        <w:t>“DGS”</w:t>
      </w:r>
      <w:r w:rsidRPr="002A2450">
        <w:rPr>
          <w:rFonts w:ascii="ITC Avant Garde" w:hAnsi="ITC Avant Garde"/>
        </w:rPr>
        <w:t>, los cuales, señala, fueron desahogados oportunamente.</w:t>
      </w:r>
    </w:p>
    <w:p w14:paraId="2CD82F56" w14:textId="77777777" w:rsidR="00B35F13" w:rsidRDefault="00DC1438" w:rsidP="00B35F13">
      <w:pPr>
        <w:spacing w:before="240" w:line="360" w:lineRule="auto"/>
        <w:jc w:val="both"/>
        <w:rPr>
          <w:rFonts w:ascii="ITC Avant Garde" w:hAnsi="ITC Avant Garde"/>
        </w:rPr>
      </w:pPr>
      <w:r w:rsidRPr="002A2450">
        <w:rPr>
          <w:rFonts w:ascii="ITC Avant Garde" w:hAnsi="ITC Avant Garde"/>
        </w:rPr>
        <w:t xml:space="preserve">Al respecto, debe estimarse la falta de precisión en cuanto a los datos de identificación de los requerimientos formulados, constituye una </w:t>
      </w:r>
      <w:r w:rsidR="00C11918" w:rsidRPr="002A2450">
        <w:rPr>
          <w:rFonts w:ascii="ITC Avant Garde" w:hAnsi="ITC Avant Garde"/>
        </w:rPr>
        <w:t xml:space="preserve">circunstancia </w:t>
      </w:r>
      <w:r w:rsidRPr="002A2450">
        <w:rPr>
          <w:rFonts w:ascii="ITC Avant Garde" w:hAnsi="ITC Avant Garde"/>
        </w:rPr>
        <w:t>que resulta intrascendente en virtud de lo siguiente:</w:t>
      </w:r>
    </w:p>
    <w:p w14:paraId="2446E591" w14:textId="77777777" w:rsidR="00B35F13" w:rsidRDefault="00DC1438" w:rsidP="00B35F13">
      <w:pPr>
        <w:spacing w:before="240" w:line="360" w:lineRule="auto"/>
        <w:jc w:val="both"/>
        <w:rPr>
          <w:rFonts w:ascii="ITC Avant Garde" w:hAnsi="ITC Avant Garde"/>
        </w:rPr>
      </w:pPr>
      <w:r w:rsidRPr="002A2450">
        <w:rPr>
          <w:rFonts w:ascii="ITC Avant Garde" w:hAnsi="ITC Avant Garde"/>
        </w:rPr>
        <w:t xml:space="preserve">Por un lado </w:t>
      </w:r>
      <w:r w:rsidRPr="002A2450">
        <w:rPr>
          <w:rFonts w:ascii="ITC Avant Garde" w:hAnsi="ITC Avant Garde"/>
          <w:b/>
        </w:rPr>
        <w:t>“TELMEX”</w:t>
      </w:r>
      <w:r w:rsidRPr="002A2450">
        <w:rPr>
          <w:rFonts w:ascii="ITC Avant Garde" w:hAnsi="ITC Avant Garde"/>
        </w:rPr>
        <w:t xml:space="preserve"> manifiesta que desconoce los requerimientos formulados por la </w:t>
      </w:r>
      <w:r w:rsidR="00CA4CA9" w:rsidRPr="002A2450">
        <w:rPr>
          <w:rFonts w:ascii="ITC Avant Garde" w:hAnsi="ITC Avant Garde"/>
          <w:b/>
        </w:rPr>
        <w:t>“DGS”</w:t>
      </w:r>
      <w:r w:rsidRPr="002A2450">
        <w:rPr>
          <w:rFonts w:ascii="ITC Avant Garde" w:hAnsi="ITC Avant Garde"/>
        </w:rPr>
        <w:t xml:space="preserve"> </w:t>
      </w:r>
      <w:r w:rsidR="00E35541" w:rsidRPr="002A2450">
        <w:rPr>
          <w:rFonts w:ascii="ITC Avant Garde" w:hAnsi="ITC Avant Garde"/>
        </w:rPr>
        <w:t>y en contradicción a ello, señala que los únicos requerimientos que conoce son los siguientes: i) IFT/D04/USV/DGS/1169/2014, ii) IFT/D04/USV/DGS/1383/2014 y iii) IFT/D04/USV/DGS/1753/2014.</w:t>
      </w:r>
    </w:p>
    <w:p w14:paraId="0337E780" w14:textId="7C9CBE8B" w:rsidR="00E35541" w:rsidRPr="002A2450" w:rsidRDefault="00E35541" w:rsidP="00B35F13">
      <w:pPr>
        <w:spacing w:before="240" w:line="360" w:lineRule="auto"/>
        <w:jc w:val="both"/>
        <w:rPr>
          <w:rFonts w:ascii="ITC Avant Garde" w:hAnsi="ITC Avant Garde"/>
        </w:rPr>
      </w:pPr>
      <w:r w:rsidRPr="002A2450">
        <w:rPr>
          <w:rFonts w:ascii="ITC Avant Garde" w:hAnsi="ITC Avant Garde"/>
        </w:rPr>
        <w:lastRenderedPageBreak/>
        <w:t xml:space="preserve">Ahora bien, es preciso señalar que los oficios a lo que se refiere </w:t>
      </w:r>
      <w:r w:rsidRPr="002A2450">
        <w:rPr>
          <w:rFonts w:ascii="ITC Avant Garde" w:hAnsi="ITC Avant Garde"/>
          <w:b/>
        </w:rPr>
        <w:t>“TELMEX”</w:t>
      </w:r>
      <w:r w:rsidRPr="002A2450">
        <w:rPr>
          <w:rFonts w:ascii="ITC Avant Garde" w:hAnsi="ITC Avant Garde"/>
        </w:rPr>
        <w:t xml:space="preserve"> obran en los autos del expediente en que se actúa en las siguientes fojas: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úmeros de oficio y Expedientes"/>
        <w:tblDescription w:val="En una tabla de 2 columnas, se proporcionan los números de oficio del lado izquierdo y las fojas de los expedientes del lado derecho."/>
      </w:tblPr>
      <w:tblGrid>
        <w:gridCol w:w="4414"/>
        <w:gridCol w:w="4414"/>
      </w:tblGrid>
      <w:tr w:rsidR="00E35541" w:rsidRPr="002A2450" w14:paraId="50D55EA4" w14:textId="77777777" w:rsidTr="00DA1110">
        <w:trPr>
          <w:tblHeader/>
        </w:trPr>
        <w:tc>
          <w:tcPr>
            <w:tcW w:w="4414" w:type="dxa"/>
            <w:shd w:val="clear" w:color="auto" w:fill="808080" w:themeFill="background1" w:themeFillShade="80"/>
          </w:tcPr>
          <w:p w14:paraId="539CE706" w14:textId="77777777" w:rsidR="00E35541" w:rsidRPr="002A2450" w:rsidRDefault="00E35541" w:rsidP="00C9499F">
            <w:pPr>
              <w:spacing w:line="360" w:lineRule="auto"/>
              <w:jc w:val="center"/>
              <w:rPr>
                <w:rFonts w:ascii="ITC Avant Garde" w:hAnsi="ITC Avant Garde"/>
                <w:b/>
              </w:rPr>
            </w:pPr>
            <w:r w:rsidRPr="002A2450">
              <w:rPr>
                <w:rFonts w:ascii="ITC Avant Garde" w:hAnsi="ITC Avant Garde"/>
                <w:b/>
              </w:rPr>
              <w:t>No. de Oficio</w:t>
            </w:r>
          </w:p>
        </w:tc>
        <w:tc>
          <w:tcPr>
            <w:tcW w:w="4414" w:type="dxa"/>
            <w:shd w:val="clear" w:color="auto" w:fill="808080" w:themeFill="background1" w:themeFillShade="80"/>
          </w:tcPr>
          <w:p w14:paraId="4557B55C" w14:textId="77777777" w:rsidR="00E35541" w:rsidRPr="002A2450" w:rsidRDefault="00E35541" w:rsidP="00C9499F">
            <w:pPr>
              <w:spacing w:line="360" w:lineRule="auto"/>
              <w:jc w:val="center"/>
              <w:rPr>
                <w:rFonts w:ascii="ITC Avant Garde" w:hAnsi="ITC Avant Garde"/>
                <w:b/>
              </w:rPr>
            </w:pPr>
            <w:r w:rsidRPr="002A2450">
              <w:rPr>
                <w:rFonts w:ascii="ITC Avant Garde" w:hAnsi="ITC Avant Garde"/>
                <w:b/>
              </w:rPr>
              <w:t>Expediente</w:t>
            </w:r>
          </w:p>
        </w:tc>
      </w:tr>
      <w:tr w:rsidR="00E35541" w:rsidRPr="002A2450" w14:paraId="708A09B3" w14:textId="77777777" w:rsidTr="00DA1110">
        <w:tc>
          <w:tcPr>
            <w:tcW w:w="4414" w:type="dxa"/>
          </w:tcPr>
          <w:p w14:paraId="249C99B7" w14:textId="77777777" w:rsidR="00E35541" w:rsidRPr="002A2450" w:rsidRDefault="00E35541" w:rsidP="007E623E">
            <w:pPr>
              <w:pStyle w:val="Prrafodelista"/>
              <w:numPr>
                <w:ilvl w:val="0"/>
                <w:numId w:val="14"/>
              </w:numPr>
              <w:spacing w:line="360" w:lineRule="auto"/>
              <w:ind w:left="313" w:hanging="313"/>
              <w:rPr>
                <w:rFonts w:ascii="ITC Avant Garde" w:hAnsi="ITC Avant Garde"/>
              </w:rPr>
            </w:pPr>
            <w:r w:rsidRPr="002A2450">
              <w:rPr>
                <w:rFonts w:ascii="ITC Avant Garde" w:hAnsi="ITC Avant Garde"/>
              </w:rPr>
              <w:t>IFT/D04/USV/DGS/1169/2014</w:t>
            </w:r>
          </w:p>
        </w:tc>
        <w:tc>
          <w:tcPr>
            <w:tcW w:w="4414" w:type="dxa"/>
          </w:tcPr>
          <w:p w14:paraId="26C1B6AE" w14:textId="77777777" w:rsidR="00E35541" w:rsidRPr="002A2450" w:rsidRDefault="00E35541" w:rsidP="00C9499F">
            <w:pPr>
              <w:spacing w:line="360" w:lineRule="auto"/>
              <w:ind w:firstLine="1432"/>
              <w:rPr>
                <w:rFonts w:ascii="ITC Avant Garde" w:hAnsi="ITC Avant Garde"/>
              </w:rPr>
            </w:pPr>
            <w:r w:rsidRPr="002A2450">
              <w:rPr>
                <w:rFonts w:ascii="ITC Avant Garde" w:hAnsi="ITC Avant Garde"/>
              </w:rPr>
              <w:t>Fojas 6 y 5</w:t>
            </w:r>
          </w:p>
        </w:tc>
      </w:tr>
      <w:tr w:rsidR="00E35541" w:rsidRPr="002A2450" w14:paraId="5DDAF747" w14:textId="77777777" w:rsidTr="00DA1110">
        <w:tc>
          <w:tcPr>
            <w:tcW w:w="4414" w:type="dxa"/>
          </w:tcPr>
          <w:p w14:paraId="7AA305B8" w14:textId="77777777" w:rsidR="00E35541" w:rsidRPr="002A2450" w:rsidRDefault="00E35541" w:rsidP="007E623E">
            <w:pPr>
              <w:pStyle w:val="Prrafodelista"/>
              <w:numPr>
                <w:ilvl w:val="0"/>
                <w:numId w:val="14"/>
              </w:numPr>
              <w:spacing w:line="360" w:lineRule="auto"/>
              <w:ind w:left="313" w:hanging="313"/>
              <w:rPr>
                <w:rFonts w:ascii="ITC Avant Garde" w:hAnsi="ITC Avant Garde"/>
              </w:rPr>
            </w:pPr>
            <w:r w:rsidRPr="002A2450">
              <w:rPr>
                <w:rFonts w:ascii="ITC Avant Garde" w:hAnsi="ITC Avant Garde"/>
              </w:rPr>
              <w:t>IFT/D04/USV/DGS/1383/2014</w:t>
            </w:r>
          </w:p>
        </w:tc>
        <w:tc>
          <w:tcPr>
            <w:tcW w:w="4414" w:type="dxa"/>
          </w:tcPr>
          <w:p w14:paraId="5B1F610C" w14:textId="77777777" w:rsidR="00E35541" w:rsidRPr="002A2450" w:rsidRDefault="00E35541" w:rsidP="00C9499F">
            <w:pPr>
              <w:spacing w:line="360" w:lineRule="auto"/>
              <w:ind w:firstLine="1432"/>
              <w:rPr>
                <w:rFonts w:ascii="ITC Avant Garde" w:hAnsi="ITC Avant Garde"/>
              </w:rPr>
            </w:pPr>
            <w:r w:rsidRPr="002A2450">
              <w:rPr>
                <w:rFonts w:ascii="ITC Avant Garde" w:hAnsi="ITC Avant Garde"/>
              </w:rPr>
              <w:t>Fojas 39 a 43</w:t>
            </w:r>
          </w:p>
        </w:tc>
      </w:tr>
      <w:tr w:rsidR="00E35541" w:rsidRPr="002A2450" w14:paraId="47E079F0" w14:textId="77777777" w:rsidTr="00DA1110">
        <w:tc>
          <w:tcPr>
            <w:tcW w:w="4414" w:type="dxa"/>
          </w:tcPr>
          <w:p w14:paraId="344D4A8A" w14:textId="77777777" w:rsidR="00E35541" w:rsidRPr="002A2450" w:rsidRDefault="00E35541" w:rsidP="007E623E">
            <w:pPr>
              <w:pStyle w:val="Prrafodelista"/>
              <w:numPr>
                <w:ilvl w:val="0"/>
                <w:numId w:val="14"/>
              </w:numPr>
              <w:spacing w:line="360" w:lineRule="auto"/>
              <w:ind w:left="313" w:hanging="313"/>
              <w:rPr>
                <w:rFonts w:ascii="ITC Avant Garde" w:hAnsi="ITC Avant Garde"/>
              </w:rPr>
            </w:pPr>
            <w:r w:rsidRPr="002A2450">
              <w:rPr>
                <w:rFonts w:ascii="ITC Avant Garde" w:hAnsi="ITC Avant Garde"/>
              </w:rPr>
              <w:t>IFT/D04/USV/DGS/1753/2014</w:t>
            </w:r>
          </w:p>
        </w:tc>
        <w:tc>
          <w:tcPr>
            <w:tcW w:w="4414" w:type="dxa"/>
          </w:tcPr>
          <w:p w14:paraId="1431719E" w14:textId="77777777" w:rsidR="00E35541" w:rsidRPr="002A2450" w:rsidRDefault="00E35541" w:rsidP="00C9499F">
            <w:pPr>
              <w:spacing w:line="360" w:lineRule="auto"/>
              <w:ind w:firstLine="1432"/>
              <w:rPr>
                <w:rFonts w:ascii="ITC Avant Garde" w:hAnsi="ITC Avant Garde"/>
              </w:rPr>
            </w:pPr>
            <w:r w:rsidRPr="002A2450">
              <w:rPr>
                <w:rFonts w:ascii="ITC Avant Garde" w:hAnsi="ITC Avant Garde"/>
              </w:rPr>
              <w:t>Fojas 466 a 476</w:t>
            </w:r>
          </w:p>
        </w:tc>
      </w:tr>
    </w:tbl>
    <w:p w14:paraId="415B6490" w14:textId="77777777" w:rsidR="00B35F13" w:rsidRDefault="007D2FBC" w:rsidP="00B35F13">
      <w:pPr>
        <w:spacing w:before="240" w:line="360" w:lineRule="auto"/>
        <w:jc w:val="both"/>
        <w:rPr>
          <w:rFonts w:ascii="ITC Avant Garde" w:hAnsi="ITC Avant Garde"/>
        </w:rPr>
      </w:pPr>
      <w:r w:rsidRPr="002A2450">
        <w:rPr>
          <w:rFonts w:ascii="ITC Avant Garde" w:hAnsi="ITC Avant Garde"/>
        </w:rPr>
        <w:t xml:space="preserve">Al respecto, </w:t>
      </w:r>
      <w:r w:rsidRPr="002A2450">
        <w:rPr>
          <w:rFonts w:ascii="ITC Avant Garde" w:hAnsi="ITC Avant Garde"/>
          <w:b/>
        </w:rPr>
        <w:t>“TELMEX”</w:t>
      </w:r>
      <w:r w:rsidRPr="002A2450">
        <w:rPr>
          <w:rFonts w:ascii="ITC Avant Garde" w:hAnsi="ITC Avant Garde"/>
        </w:rPr>
        <w:t xml:space="preserve"> señala que dichos oficios fueron desahogados mediante escritos presentados el siete de marzo, treinta y uno de marzo y dieciséis de mayo, todos de dos mil catorce.</w:t>
      </w:r>
    </w:p>
    <w:p w14:paraId="7924DC56" w14:textId="77777777" w:rsidR="00B35F13" w:rsidRDefault="007D2FBC" w:rsidP="00B35F13">
      <w:pPr>
        <w:spacing w:before="240" w:line="360" w:lineRule="auto"/>
        <w:jc w:val="both"/>
        <w:rPr>
          <w:rFonts w:ascii="ITC Avant Garde" w:hAnsi="ITC Avant Garde"/>
        </w:rPr>
      </w:pPr>
      <w:r w:rsidRPr="002A2450">
        <w:rPr>
          <w:rFonts w:ascii="ITC Avant Garde" w:hAnsi="ITC Avant Garde"/>
        </w:rPr>
        <w:t>En tales consideraciones se estima que su argumento resulta ser contradictorio, ya que por un lado manifiesta desconocer los requerimientos a que se refiere el acuerdo de inicio (los cuales, como se ha advertido, obran en los autos del expediente en que se actúa) y por otro lado, manifiesta que los requerimientos formulados fueron desahogados en tiempo y forma.</w:t>
      </w:r>
    </w:p>
    <w:p w14:paraId="422FAA33" w14:textId="77777777" w:rsidR="00B35F13" w:rsidRDefault="00575883" w:rsidP="00B35F13">
      <w:pPr>
        <w:spacing w:before="240" w:line="360" w:lineRule="auto"/>
        <w:jc w:val="both"/>
        <w:rPr>
          <w:rFonts w:ascii="ITC Avant Garde" w:hAnsi="ITC Avant Garde"/>
        </w:rPr>
      </w:pPr>
      <w:r w:rsidRPr="002A2450">
        <w:rPr>
          <w:rFonts w:ascii="ITC Avant Garde" w:hAnsi="ITC Avant Garde"/>
        </w:rPr>
        <w:t xml:space="preserve">Al respecto, resulta sustancial precisar que si bien es cierto, </w:t>
      </w:r>
      <w:r w:rsidR="00DF3016">
        <w:rPr>
          <w:rFonts w:ascii="ITC Avant Garde" w:hAnsi="ITC Avant Garde"/>
        </w:rPr>
        <w:t xml:space="preserve">que </w:t>
      </w:r>
      <w:proofErr w:type="spellStart"/>
      <w:r w:rsidR="00DF3016">
        <w:rPr>
          <w:rFonts w:ascii="ITC Avant Garde" w:hAnsi="ITC Avant Garde"/>
        </w:rPr>
        <w:t>aún</w:t>
      </w:r>
      <w:proofErr w:type="spellEnd"/>
      <w:r w:rsidR="00DF3016">
        <w:rPr>
          <w:rFonts w:ascii="ITC Avant Garde" w:hAnsi="ITC Avant Garde"/>
        </w:rPr>
        <w:t xml:space="preserve"> cuando señale que </w:t>
      </w:r>
      <w:r w:rsidRPr="002A2450">
        <w:rPr>
          <w:rFonts w:ascii="ITC Avant Garde" w:hAnsi="ITC Avant Garde"/>
        </w:rPr>
        <w:t xml:space="preserve">en el acuerdo de inicio no se señaló con precisión los datos de identificación de los requerimientos formulados por la </w:t>
      </w:r>
      <w:r w:rsidR="00CA4CA9" w:rsidRPr="002A2450">
        <w:rPr>
          <w:rFonts w:ascii="ITC Avant Garde" w:hAnsi="ITC Avant Garde"/>
          <w:b/>
        </w:rPr>
        <w:t>“DGS”</w:t>
      </w:r>
      <w:r w:rsidRPr="002A2450">
        <w:rPr>
          <w:rFonts w:ascii="ITC Avant Garde" w:hAnsi="ITC Avant Garde"/>
        </w:rPr>
        <w:t xml:space="preserve"> también lo cierto es que de las constancias que obran en el expediente en que se actúa coinciden plenamente con los identificados por </w:t>
      </w:r>
      <w:r w:rsidRPr="002A2450">
        <w:rPr>
          <w:rFonts w:ascii="ITC Avant Garde" w:hAnsi="ITC Avant Garde"/>
          <w:b/>
        </w:rPr>
        <w:t>“TELMEX”</w:t>
      </w:r>
      <w:r w:rsidRPr="002A2450">
        <w:rPr>
          <w:rFonts w:ascii="ITC Avant Garde" w:hAnsi="ITC Avant Garde"/>
        </w:rPr>
        <w:t xml:space="preserve">, es </w:t>
      </w:r>
      <w:r w:rsidR="00995844" w:rsidRPr="002A2450">
        <w:rPr>
          <w:rFonts w:ascii="ITC Avant Garde" w:hAnsi="ITC Avant Garde"/>
        </w:rPr>
        <w:t>decir, no existe un grado de incertidumbre que permita a esta autoridad presumir que dichos requerimientos no eran del conocimiento de la presunta infractora, ya que por el contrario, la misma los cita y señala la fecha en que desahogó los mismos.</w:t>
      </w:r>
    </w:p>
    <w:p w14:paraId="7740E992" w14:textId="77777777" w:rsidR="00B35F13" w:rsidRDefault="00575883" w:rsidP="00B35F13">
      <w:pPr>
        <w:spacing w:before="240" w:line="360" w:lineRule="auto"/>
        <w:jc w:val="both"/>
        <w:rPr>
          <w:rFonts w:ascii="ITC Avant Garde" w:hAnsi="ITC Avant Garde"/>
        </w:rPr>
      </w:pPr>
      <w:r w:rsidRPr="002A2450">
        <w:rPr>
          <w:rFonts w:ascii="ITC Avant Garde" w:hAnsi="ITC Avant Garde"/>
        </w:rPr>
        <w:t xml:space="preserve">Ante dicha incongruencia entre los argumentos planteados es dable concluir que en principio resultarían </w:t>
      </w:r>
      <w:r w:rsidRPr="002A2450">
        <w:rPr>
          <w:rFonts w:ascii="ITC Avant Garde" w:hAnsi="ITC Avant Garde"/>
          <w:b/>
          <w:u w:val="single"/>
        </w:rPr>
        <w:t>inoperantes</w:t>
      </w:r>
      <w:r w:rsidR="00C11918" w:rsidRPr="002A2450">
        <w:rPr>
          <w:rFonts w:ascii="ITC Avant Garde" w:hAnsi="ITC Avant Garde"/>
          <w:b/>
          <w:u w:val="single"/>
        </w:rPr>
        <w:t>,</w:t>
      </w:r>
      <w:r w:rsidRPr="002A2450">
        <w:rPr>
          <w:rFonts w:ascii="ITC Avant Garde" w:hAnsi="ITC Avant Garde"/>
        </w:rPr>
        <w:t xml:space="preserve"> puesto que al existir una contradicción entre los argumentos que se estudian</w:t>
      </w:r>
      <w:r w:rsidR="00C11918" w:rsidRPr="002A2450">
        <w:rPr>
          <w:rFonts w:ascii="ITC Avant Garde" w:hAnsi="ITC Avant Garde"/>
        </w:rPr>
        <w:t>,</w:t>
      </w:r>
      <w:r w:rsidRPr="002A2450">
        <w:rPr>
          <w:rFonts w:ascii="ITC Avant Garde" w:hAnsi="ITC Avant Garde"/>
        </w:rPr>
        <w:t xml:space="preserve"> esta autoridad carece de certidumbre entre los derechos que se pretenden hacer valer, ya que los mismos al ser contradictorios impiden a </w:t>
      </w:r>
      <w:r w:rsidR="00995844" w:rsidRPr="002A2450">
        <w:rPr>
          <w:rFonts w:ascii="ITC Avant Garde" w:hAnsi="ITC Avant Garde"/>
        </w:rPr>
        <w:t xml:space="preserve"> esta autoridad tener certeza de los efectivamente reclamados.</w:t>
      </w:r>
    </w:p>
    <w:p w14:paraId="09492885" w14:textId="77777777" w:rsidR="00B35F13" w:rsidRDefault="00575883" w:rsidP="00B35F13">
      <w:pPr>
        <w:spacing w:before="240" w:line="360" w:lineRule="auto"/>
        <w:jc w:val="both"/>
        <w:rPr>
          <w:rFonts w:ascii="ITC Avant Garde" w:hAnsi="ITC Avant Garde"/>
        </w:rPr>
      </w:pPr>
      <w:r w:rsidRPr="002A2450">
        <w:rPr>
          <w:rFonts w:ascii="ITC Avant Garde" w:hAnsi="ITC Avant Garde"/>
        </w:rPr>
        <w:lastRenderedPageBreak/>
        <w:t xml:space="preserve">Lo anterior, ya que esta autoridad se encuentra impedida de sustituirse </w:t>
      </w:r>
      <w:r w:rsidR="00C11918" w:rsidRPr="002A2450">
        <w:rPr>
          <w:rFonts w:ascii="ITC Avant Garde" w:hAnsi="ITC Avant Garde"/>
        </w:rPr>
        <w:t>en las pretensiones de</w:t>
      </w:r>
      <w:r w:rsidRPr="002A2450">
        <w:rPr>
          <w:rFonts w:ascii="ITC Avant Garde" w:hAnsi="ITC Avant Garde"/>
        </w:rPr>
        <w:t>l presunto infractor y llevar a cabo el análisis respectivo, así como que en su caso, tampoco puede operar la suplencia de la deficiencia marcada en los argumentos en estudio, puesto que de otra manera, esta autoridad faltaría a la naturaleza misma del procedimiento sancionador.</w:t>
      </w:r>
    </w:p>
    <w:p w14:paraId="708B5D72" w14:textId="77777777" w:rsidR="00B35F13" w:rsidRDefault="00575883" w:rsidP="00B35F13">
      <w:pPr>
        <w:spacing w:before="240" w:line="360" w:lineRule="auto"/>
        <w:jc w:val="both"/>
        <w:rPr>
          <w:rFonts w:ascii="ITC Avant Garde" w:hAnsi="ITC Avant Garde"/>
        </w:rPr>
      </w:pPr>
      <w:r w:rsidRPr="002A2450">
        <w:rPr>
          <w:rFonts w:ascii="ITC Avant Garde" w:hAnsi="ITC Avant Garde"/>
        </w:rPr>
        <w:t>Sirven de apoyo a lo anterior, la siguiente jurisprudencia, la cual a su letra señala:</w:t>
      </w:r>
    </w:p>
    <w:p w14:paraId="0D0C2A31" w14:textId="77777777" w:rsidR="00B35F13" w:rsidRDefault="00575883" w:rsidP="00B35F13">
      <w:pPr>
        <w:spacing w:before="240" w:line="360" w:lineRule="auto"/>
        <w:ind w:left="567" w:right="567"/>
        <w:jc w:val="both"/>
        <w:rPr>
          <w:rFonts w:ascii="ITC Avant Garde" w:hAnsi="ITC Avant Garde"/>
        </w:rPr>
      </w:pPr>
      <w:r w:rsidRPr="002A2450">
        <w:rPr>
          <w:rFonts w:ascii="ITC Avant Garde" w:hAnsi="ITC Avant Garde"/>
          <w:b/>
        </w:rPr>
        <w:t>CONTROVERSIA CONSTITUCIONAL. CUANDO LOS ARGUMENTOS EXPUESTOS EN LA AMPLIACIÓN DE LA DEMANDA SEAN CONTRADICTORIOS CON LA ACCIÓN PLANTEADA, DEBEN DESESTIMARSE POR LA SUPREMA CORTE, LA QUE DETERMINARÁ LA MATERIA DE ESTUDIO DEL FONDO DEL ASUNTO.</w:t>
      </w:r>
      <w:r w:rsidRPr="002A2450">
        <w:rPr>
          <w:rFonts w:ascii="ITC Avant Garde" w:hAnsi="ITC Avant Garde"/>
        </w:rPr>
        <w:t xml:space="preserve"> </w:t>
      </w:r>
      <w:r w:rsidRPr="002A2450">
        <w:rPr>
          <w:rFonts w:ascii="ITC Avant Garde" w:hAnsi="ITC Avant Garde"/>
          <w:b/>
          <w:u w:val="single"/>
        </w:rPr>
        <w:t>Si en la ampliación a la demanda en controversia constitucional se plantean argumentos dirigidos a restarle eficacia jurídica al documento en que el actor ejerció su acción, deben desestimarse por estar dirigidos a controvertir un acto que no es el impugnado y, además, por ser contradictorios</w:t>
      </w:r>
      <w:r w:rsidRPr="002A2450">
        <w:rPr>
          <w:rFonts w:ascii="ITC Avant Garde" w:hAnsi="ITC Avant Garde"/>
        </w:rPr>
        <w:t xml:space="preserve"> con la acción intentada. Correspondiendo a esta Suprema Corte de Justicia de la Nación determinar, efectivamente, la acción que se intenta en contra de las normas generales o actos precisos objeto de la controversia, en uso de las facultades que le confieren los artículos 39, 40 y 41, fracción I, de la Ley Reglamentaria de las Fracciones I y II del Artículo 105 de la Constitución Política de los Estados Unidos Mexicanos, para corregir los errores que advierta en la cita de los preceptos invocados, examinar en su conjunto los razonamientos de las partes con el objeto de resolver la cuestión efectivamente planteada, suplir la deficiencia de la demanda, contestación o agravios y precisar las normas generales o actos objeto de la controversia y, en su caso, apreciar las pruebas conducentes a tenerlos o no por demostrados.</w:t>
      </w:r>
    </w:p>
    <w:p w14:paraId="79851A7D" w14:textId="77777777" w:rsidR="00B35F13" w:rsidRDefault="00575883" w:rsidP="00B35F13">
      <w:pPr>
        <w:spacing w:before="240" w:line="360" w:lineRule="auto"/>
        <w:ind w:left="567" w:right="567"/>
        <w:jc w:val="both"/>
        <w:rPr>
          <w:rFonts w:ascii="ITC Avant Garde" w:hAnsi="ITC Avant Garde"/>
        </w:rPr>
      </w:pPr>
      <w:r w:rsidRPr="002A2450">
        <w:rPr>
          <w:rFonts w:ascii="ITC Avant Garde" w:hAnsi="ITC Avant Garde"/>
          <w:sz w:val="18"/>
        </w:rPr>
        <w:lastRenderedPageBreak/>
        <w:t>Época: Novena Época, Registro: 172565, Instancia: Segunda Sala, Tipo de Tesis: Aislada, Fuente: Semanario Judicial de la Federación y su Gaceta, Tomo XXV, Mayo de 2007, Materia(s): Constitucional, Tesis: 2a. XLVI/2007, Página: 1656</w:t>
      </w:r>
      <w:r w:rsidRPr="002A2450">
        <w:rPr>
          <w:rFonts w:ascii="ITC Avant Garde" w:hAnsi="ITC Avant Garde"/>
        </w:rPr>
        <w:t>.</w:t>
      </w:r>
    </w:p>
    <w:p w14:paraId="3F011321" w14:textId="77777777" w:rsidR="00B35F13" w:rsidRDefault="009244EF" w:rsidP="00B35F13">
      <w:pPr>
        <w:spacing w:before="240" w:line="360" w:lineRule="auto"/>
        <w:jc w:val="both"/>
        <w:rPr>
          <w:rFonts w:ascii="ITC Avant Garde" w:hAnsi="ITC Avant Garde"/>
        </w:rPr>
      </w:pPr>
      <w:r w:rsidRPr="002A2450">
        <w:rPr>
          <w:rFonts w:ascii="ITC Avant Garde" w:hAnsi="ITC Avant Garde"/>
        </w:rPr>
        <w:t>Ahora bien, conviene dilucidar si en el presen</w:t>
      </w:r>
      <w:r w:rsidR="003862B9">
        <w:rPr>
          <w:rFonts w:ascii="ITC Avant Garde" w:hAnsi="ITC Avant Garde"/>
        </w:rPr>
        <w:t xml:space="preserve">te procedimiento, la presunta </w:t>
      </w:r>
      <w:r w:rsidRPr="002A2450">
        <w:rPr>
          <w:rFonts w:ascii="ITC Avant Garde" w:hAnsi="ITC Avant Garde"/>
        </w:rPr>
        <w:t xml:space="preserve">omisión que refiere </w:t>
      </w:r>
      <w:r w:rsidRPr="009E34A4">
        <w:rPr>
          <w:rFonts w:ascii="ITC Avant Garde" w:hAnsi="ITC Avant Garde"/>
          <w:b/>
        </w:rPr>
        <w:t>“TELMEX”</w:t>
      </w:r>
      <w:r w:rsidRPr="002A2450">
        <w:rPr>
          <w:rFonts w:ascii="ITC Avant Garde" w:hAnsi="ITC Avant Garde"/>
        </w:rPr>
        <w:t>, restó o no la posibilidad de una adecuada defensa.</w:t>
      </w:r>
    </w:p>
    <w:p w14:paraId="059E6C71" w14:textId="77777777" w:rsidR="00B35F13" w:rsidRDefault="00575883" w:rsidP="00B35F13">
      <w:pPr>
        <w:spacing w:before="240" w:line="360" w:lineRule="auto"/>
        <w:jc w:val="both"/>
        <w:rPr>
          <w:rFonts w:ascii="ITC Avant Garde" w:hAnsi="ITC Avant Garde"/>
        </w:rPr>
      </w:pPr>
      <w:r w:rsidRPr="002A2450">
        <w:rPr>
          <w:rFonts w:ascii="ITC Avant Garde" w:hAnsi="ITC Avant Garde"/>
        </w:rPr>
        <w:t xml:space="preserve">Al respecto, esta autoridad estima que pese a la omisión sostenida, existe </w:t>
      </w:r>
      <w:r w:rsidR="00090F7D" w:rsidRPr="002A2450">
        <w:rPr>
          <w:rFonts w:ascii="ITC Avant Garde" w:hAnsi="ITC Avant Garde"/>
        </w:rPr>
        <w:t xml:space="preserve">certeza que entre los requerimientos que obran en los autos del expediente en que se actúa y los señalados por </w:t>
      </w:r>
      <w:r w:rsidR="00090F7D" w:rsidRPr="002A2450">
        <w:rPr>
          <w:rFonts w:ascii="ITC Avant Garde" w:hAnsi="ITC Avant Garde"/>
          <w:b/>
        </w:rPr>
        <w:t>“TELMEX”</w:t>
      </w:r>
      <w:r w:rsidR="00090F7D" w:rsidRPr="002A2450">
        <w:rPr>
          <w:rFonts w:ascii="ITC Avant Garde" w:hAnsi="ITC Avant Garde"/>
        </w:rPr>
        <w:t xml:space="preserve"> son efectivamente lo</w:t>
      </w:r>
      <w:r w:rsidR="00C11918" w:rsidRPr="002A2450">
        <w:rPr>
          <w:rFonts w:ascii="ITC Avant Garde" w:hAnsi="ITC Avant Garde"/>
        </w:rPr>
        <w:t>s</w:t>
      </w:r>
      <w:r w:rsidR="00090F7D" w:rsidRPr="002A2450">
        <w:rPr>
          <w:rFonts w:ascii="ITC Avant Garde" w:hAnsi="ITC Avant Garde"/>
        </w:rPr>
        <w:t xml:space="preserve"> que esta autoridad consideró como parte del conjunto de elementos para dar inicio al procedimiento administrativo.</w:t>
      </w:r>
    </w:p>
    <w:p w14:paraId="506597D0" w14:textId="77777777" w:rsidR="00B35F13" w:rsidRDefault="00090F7D" w:rsidP="00B35F13">
      <w:pPr>
        <w:spacing w:before="240" w:line="360" w:lineRule="auto"/>
        <w:jc w:val="both"/>
        <w:rPr>
          <w:rFonts w:ascii="ITC Avant Garde" w:hAnsi="ITC Avant Garde"/>
        </w:rPr>
      </w:pPr>
      <w:r w:rsidRPr="002A2450">
        <w:rPr>
          <w:rFonts w:ascii="ITC Avant Garde" w:hAnsi="ITC Avant Garde"/>
        </w:rPr>
        <w:t xml:space="preserve">En tales consideraciones, al estimar que ello no restó la oportunidad de una adecuada defensa a dicha concesionaria y que por el contrario, reconoce que los mismos eran de su conocimiento e incluso, advierte la fecha en que se desahogaron los mismos, es dable concluir que si bien </w:t>
      </w:r>
      <w:r w:rsidR="00C11918" w:rsidRPr="002A2450">
        <w:rPr>
          <w:rFonts w:ascii="ITC Avant Garde" w:hAnsi="ITC Avant Garde"/>
        </w:rPr>
        <w:t xml:space="preserve">pudiera existir la deficiencia hecha valer, </w:t>
      </w:r>
      <w:r w:rsidRPr="002A2450">
        <w:rPr>
          <w:rFonts w:ascii="ITC Avant Garde" w:hAnsi="ITC Avant Garde"/>
        </w:rPr>
        <w:t xml:space="preserve">ello no invalida </w:t>
      </w:r>
      <w:r w:rsidRPr="002A2450">
        <w:rPr>
          <w:rFonts w:ascii="ITC Avant Garde" w:hAnsi="ITC Avant Garde"/>
          <w:i/>
        </w:rPr>
        <w:t>per se</w:t>
      </w:r>
      <w:r w:rsidRPr="002A2450">
        <w:rPr>
          <w:rFonts w:ascii="ITC Avant Garde" w:hAnsi="ITC Avant Garde"/>
        </w:rPr>
        <w:t xml:space="preserve"> el acuerdo de inicio del procedimiento administrativo de imposición y mucho menos destruye la presunción del incumplimiento materia del presente procedimiento.</w:t>
      </w:r>
    </w:p>
    <w:p w14:paraId="4FCB3669" w14:textId="77777777" w:rsidR="00B35F13" w:rsidRDefault="00090F7D" w:rsidP="00B35F13">
      <w:pPr>
        <w:spacing w:before="240" w:line="360" w:lineRule="auto"/>
        <w:jc w:val="both"/>
        <w:rPr>
          <w:rFonts w:ascii="ITC Avant Garde" w:hAnsi="ITC Avant Garde"/>
        </w:rPr>
      </w:pPr>
      <w:r w:rsidRPr="002A2450">
        <w:rPr>
          <w:rFonts w:ascii="ITC Avant Garde" w:hAnsi="ITC Avant Garde"/>
        </w:rPr>
        <w:t xml:space="preserve">Lo anterior, puesto que en cualquier caso, </w:t>
      </w:r>
      <w:r w:rsidR="009244EF" w:rsidRPr="002A2450">
        <w:rPr>
          <w:rFonts w:ascii="ITC Avant Garde" w:hAnsi="ITC Avant Garde"/>
        </w:rPr>
        <w:t xml:space="preserve">de </w:t>
      </w:r>
      <w:r w:rsidRPr="002A2450">
        <w:rPr>
          <w:rFonts w:ascii="ITC Avant Garde" w:hAnsi="ITC Avant Garde"/>
        </w:rPr>
        <w:t xml:space="preserve">declarar fundado dicho argumento sólo tendría como efecto la reposición en su caso, para insertar los datos de identificación de los requerimientos formulados por la </w:t>
      </w:r>
      <w:r w:rsidR="00CA4CA9" w:rsidRPr="002A2450">
        <w:rPr>
          <w:rFonts w:ascii="ITC Avant Garde" w:hAnsi="ITC Avant Garde"/>
          <w:b/>
        </w:rPr>
        <w:t>“DGS”</w:t>
      </w:r>
      <w:r w:rsidRPr="002A2450">
        <w:rPr>
          <w:rFonts w:ascii="ITC Avant Garde" w:hAnsi="ITC Avant Garde"/>
        </w:rPr>
        <w:t xml:space="preserve">, lo cual resultaría ocioso en la medida en que </w:t>
      </w:r>
      <w:r w:rsidR="00C11918" w:rsidRPr="002A2450">
        <w:rPr>
          <w:rFonts w:ascii="ITC Avant Garde" w:hAnsi="ITC Avant Garde"/>
        </w:rPr>
        <w:t>é</w:t>
      </w:r>
      <w:r w:rsidRPr="002A2450">
        <w:rPr>
          <w:rFonts w:ascii="ITC Avant Garde" w:hAnsi="ITC Avant Garde"/>
        </w:rPr>
        <w:t xml:space="preserve">stos, son del conocimiento de </w:t>
      </w:r>
      <w:r w:rsidRPr="002A2450">
        <w:rPr>
          <w:rFonts w:ascii="ITC Avant Garde" w:hAnsi="ITC Avant Garde"/>
          <w:b/>
        </w:rPr>
        <w:t>“TELMEX”</w:t>
      </w:r>
      <w:r w:rsidRPr="002A2450">
        <w:rPr>
          <w:rFonts w:ascii="ITC Avant Garde" w:hAnsi="ITC Avant Garde"/>
        </w:rPr>
        <w:t xml:space="preserve"> y </w:t>
      </w:r>
      <w:r w:rsidR="00C11918" w:rsidRPr="002A2450">
        <w:rPr>
          <w:rFonts w:ascii="ITC Avant Garde" w:hAnsi="ITC Avant Garde"/>
        </w:rPr>
        <w:t xml:space="preserve">en consecuencia no se afectó la </w:t>
      </w:r>
      <w:r w:rsidRPr="002A2450">
        <w:rPr>
          <w:rFonts w:ascii="ITC Avant Garde" w:hAnsi="ITC Avant Garde"/>
        </w:rPr>
        <w:t>posibilidad de una adecuada defensa ni m</w:t>
      </w:r>
      <w:r w:rsidR="00EB1E45" w:rsidRPr="002A2450">
        <w:rPr>
          <w:rFonts w:ascii="ITC Avant Garde" w:hAnsi="ITC Avant Garde"/>
        </w:rPr>
        <w:t>u</w:t>
      </w:r>
      <w:r w:rsidRPr="002A2450">
        <w:rPr>
          <w:rFonts w:ascii="ITC Avant Garde" w:hAnsi="ITC Avant Garde"/>
        </w:rPr>
        <w:t>cho menos trascenderían al resultado final de la presente resolución.</w:t>
      </w:r>
    </w:p>
    <w:p w14:paraId="2D377887" w14:textId="77777777" w:rsidR="00B35F13" w:rsidRDefault="00090F7D" w:rsidP="00B35F13">
      <w:pPr>
        <w:spacing w:before="240" w:line="360" w:lineRule="auto"/>
        <w:jc w:val="both"/>
        <w:rPr>
          <w:rFonts w:ascii="ITC Avant Garde" w:hAnsi="ITC Avant Garde"/>
        </w:rPr>
      </w:pPr>
      <w:r w:rsidRPr="002A2450">
        <w:rPr>
          <w:rFonts w:ascii="ITC Avant Garde" w:hAnsi="ITC Avant Garde"/>
        </w:rPr>
        <w:t>Por tanto, se estima que sus argumentos son de las denominadas ilegalidades no invalidantes.</w:t>
      </w:r>
    </w:p>
    <w:p w14:paraId="5784977C" w14:textId="77777777" w:rsidR="00B35F13" w:rsidRDefault="00090F7D" w:rsidP="00B35F13">
      <w:pPr>
        <w:spacing w:before="240" w:line="360" w:lineRule="auto"/>
        <w:jc w:val="both"/>
        <w:rPr>
          <w:rFonts w:ascii="ITC Avant Garde" w:hAnsi="ITC Avant Garde"/>
        </w:rPr>
      </w:pPr>
      <w:r w:rsidRPr="002A2450">
        <w:rPr>
          <w:rFonts w:ascii="ITC Avant Garde" w:hAnsi="ITC Avant Garde"/>
        </w:rPr>
        <w:t>Sirve de apoyo, la siguiente jurisprudencia:</w:t>
      </w:r>
    </w:p>
    <w:p w14:paraId="6538477A" w14:textId="77777777" w:rsidR="00B35F13" w:rsidRDefault="00090F7D" w:rsidP="00B35F13">
      <w:pPr>
        <w:spacing w:before="240" w:line="360" w:lineRule="auto"/>
        <w:ind w:left="567" w:right="567"/>
        <w:jc w:val="both"/>
        <w:rPr>
          <w:rFonts w:ascii="ITC Avant Garde" w:hAnsi="ITC Avant Garde"/>
        </w:rPr>
      </w:pPr>
      <w:r w:rsidRPr="002A2450">
        <w:rPr>
          <w:rFonts w:ascii="ITC Avant Garde" w:hAnsi="ITC Avant Garde"/>
          <w:b/>
        </w:rPr>
        <w:lastRenderedPageBreak/>
        <w:t>ACTO ADMINISTRATIVO. SU VALIDEZ Y EFICACIA NO SE AFECTAN CON MOTIVO DE "ILEGALIDADES NO INVALIDANTES" QUE NO TRASCIENDEN NI CAUSAN INDEFENSIÓN O AGRAVIO AL PARTICULAR (CÓDIGO FISCAL DE LA FEDERACIÓN VIGENTE HASTA EL 31 DE DICIEMBRE DE 2005).</w:t>
      </w:r>
      <w:r w:rsidRPr="002A2450">
        <w:rPr>
          <w:rFonts w:ascii="ITC Avant Garde" w:hAnsi="ITC Avant Garde"/>
        </w:rPr>
        <w:t xml:space="preserve"> Si la ilegalidad del acto de autoridad no se traduce en un perjuicio que afecte al particular, resulta irrelevante tal vicio, en tanto que se obtuvo el fin deseado, es decir, otorgarle la oportunidad para que ofreciera pruebas y alegara lo que a su derecho conviniere. En consecuencia, es evidente que no se dan los supuestos de ilegalidad a que se refiere el artículo 238, fracción III, del Código Fiscal de la Federación, vigente hasta el 31 de diciembre de 2005, si no se afectaron las defensas del particular, por lo que al no satisfacerse las condiciones legales para la eficacia de la ilegalidad en comento, resulta indebido declarar la nulidad, cuando la ratio </w:t>
      </w:r>
      <w:proofErr w:type="spellStart"/>
      <w:r w:rsidRPr="002A2450">
        <w:rPr>
          <w:rFonts w:ascii="ITC Avant Garde" w:hAnsi="ITC Avant Garde"/>
        </w:rPr>
        <w:t>legis</w:t>
      </w:r>
      <w:proofErr w:type="spellEnd"/>
      <w:r w:rsidRPr="002A2450">
        <w:rPr>
          <w:rFonts w:ascii="ITC Avant Garde" w:hAnsi="ITC Avant Garde"/>
        </w:rPr>
        <w:t xml:space="preserve"> es muy clara en el sentido de preservar y conservar actuaciones de la autoridad administrativa que, aunque ilegales, no generan afectación al particular, pues también debe atenderse y perseguir el beneficio de intereses colectivos, conducentes a asegurar efectos tales como una adecuada y eficiente recaudación fiscal, lo que justifica la prevención, clara e incondicional del legislador, en el sentido de salvaguardar la validez y eficacia de ciertas actuaciones; y es así que el artículo 237 del mismo código y vigencia, desarrolla el principio de presunción de legitimidad y conservación de los actos administrativos, que incluye lo que en la teoría del derecho administrativo se conoce como "ilegalidades no invalidantes", respecto de las cuales no procede declarar su nulidad, sino confirmar la validez del acto administrativo. Luego, es necesario que tales omisiones o vicios afecten las defensas del particular y trasciendan al sentido de la resolución impugnada y que ocasionen un perjuicio efectivo, porque de lo contrario el concepto de anulación esgrimido sería insuficiente y </w:t>
      </w:r>
      <w:r w:rsidRPr="002A2450">
        <w:rPr>
          <w:rFonts w:ascii="ITC Avant Garde" w:hAnsi="ITC Avant Garde"/>
        </w:rPr>
        <w:lastRenderedPageBreak/>
        <w:t>ocioso para declarar la nulidad de la resolución administrativa impugnada.</w:t>
      </w:r>
    </w:p>
    <w:p w14:paraId="7B476D30" w14:textId="14B45547" w:rsidR="00090F7D" w:rsidRPr="002A2450" w:rsidRDefault="00090F7D"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Novena Época, Registro: 171872, Instancia: Tribunales Colegiados de Circuito, Tipo de Tesis: Jurisprudencia, Fuente: Semanario Judicial de la Federación y su Gaceta, Tomo XXVI, Agosto de 2007, Materia(s): Administrativa, Tesis: I.4o.A. J/49, Página: 1138 </w:t>
      </w:r>
    </w:p>
    <w:p w14:paraId="16D4A3DB" w14:textId="77777777" w:rsidR="00B35F13" w:rsidRPr="00CE1EA8" w:rsidRDefault="00EB4818" w:rsidP="007E623E">
      <w:pPr>
        <w:pStyle w:val="Ttulo4"/>
        <w:numPr>
          <w:ilvl w:val="0"/>
          <w:numId w:val="65"/>
        </w:numPr>
        <w:ind w:left="284" w:hanging="284"/>
        <w:rPr>
          <w:b/>
        </w:rPr>
      </w:pPr>
      <w:r w:rsidRPr="00CE1EA8">
        <w:rPr>
          <w:b/>
        </w:rPr>
        <w:t xml:space="preserve"> LOS REQUERIMIENTOS DE INFORMACIÓN FUERON EMITIDOS POR AUTORIDAD INCOMPETENTE</w:t>
      </w:r>
    </w:p>
    <w:p w14:paraId="4688C9F0" w14:textId="77777777" w:rsidR="00B35F13" w:rsidRDefault="00561921" w:rsidP="00B35F13">
      <w:pPr>
        <w:pStyle w:val="Textoindependiente"/>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Continua manifestando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CA4CA9" w:rsidRPr="002A2450">
        <w:rPr>
          <w:rFonts w:ascii="ITC Avant Garde" w:eastAsia="Times New Roman" w:hAnsi="ITC Avant Garde"/>
          <w:bCs/>
          <w:color w:val="000000"/>
          <w:lang w:eastAsia="es-MX"/>
        </w:rPr>
        <w:t xml:space="preserve"> (fojas treinta y tres a treinta y nueve)</w:t>
      </w:r>
      <w:r w:rsidRPr="002A2450">
        <w:rPr>
          <w:rFonts w:ascii="ITC Avant Garde" w:eastAsia="Times New Roman" w:hAnsi="ITC Avant Garde"/>
          <w:bCs/>
          <w:color w:val="000000"/>
          <w:lang w:eastAsia="es-MX"/>
        </w:rPr>
        <w:t>:</w:t>
      </w:r>
    </w:p>
    <w:p w14:paraId="0D5BB615" w14:textId="77777777" w:rsidR="00B35F13" w:rsidRDefault="00561921" w:rsidP="00B35F13">
      <w:pPr>
        <w:spacing w:before="240" w:line="360" w:lineRule="auto"/>
        <w:ind w:left="567" w:right="567"/>
        <w:jc w:val="both"/>
        <w:rPr>
          <w:rFonts w:ascii="ITC Avant Garde" w:hAnsi="ITC Avant Garde"/>
          <w:i/>
        </w:rPr>
      </w:pPr>
      <w:r w:rsidRPr="002A2450">
        <w:rPr>
          <w:rFonts w:ascii="ITC Avant Garde" w:hAnsi="ITC Avant Garde"/>
          <w:i/>
        </w:rPr>
        <w:t>Aunado a lo anterior, los requerimientos formulados por la Dirección General de Supervisión fueron emitidos por autoridad incompetente toda vez que ninguno de los artículos utilizados en los requerimientos faculta a la Dirección General de Supervisión a requerir los documentos e información señalados en los requerimientos.</w:t>
      </w:r>
    </w:p>
    <w:p w14:paraId="4920392F" w14:textId="77777777" w:rsidR="00B35F13" w:rsidRDefault="00561921" w:rsidP="00B35F13">
      <w:pPr>
        <w:spacing w:before="240" w:line="360" w:lineRule="auto"/>
        <w:ind w:left="567" w:right="567"/>
        <w:jc w:val="both"/>
        <w:rPr>
          <w:rFonts w:ascii="ITC Avant Garde" w:hAnsi="ITC Avant Garde"/>
        </w:rPr>
      </w:pPr>
      <w:r w:rsidRPr="002A2450">
        <w:rPr>
          <w:rFonts w:ascii="ITC Avant Garde" w:hAnsi="ITC Avant Garde"/>
          <w:i/>
        </w:rPr>
        <w:t>Lo único para lo que estaba facultado era para supervisar que los concesionarios y demás sujetos regulados, cumplan con las obligaciones y condiciones que implican la presentación de información documental, establecidas en los títulos de concesión.</w:t>
      </w:r>
    </w:p>
    <w:p w14:paraId="2097F833" w14:textId="77777777" w:rsidR="00B35F13" w:rsidRDefault="00561921"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Lo solicitado por esa Dirección General en nada se relaciona con el título de concesión por lo cual dichos requerimientos carecen de fundamento y motivación.</w:t>
      </w:r>
    </w:p>
    <w:p w14:paraId="4A578C1A" w14:textId="77777777" w:rsidR="00B35F13" w:rsidRDefault="00561921"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Es de explorado derecho que las pruebas que se obtienen en un procedimiento viciado de ilegalidades no pueden tener valor probatorio alguno.</w:t>
      </w:r>
    </w:p>
    <w:p w14:paraId="6063EAE1"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Al respecto, debe señalarse que sus argumentos resultan </w:t>
      </w:r>
      <w:r w:rsidRPr="002A2450">
        <w:rPr>
          <w:rFonts w:ascii="ITC Avant Garde" w:hAnsi="ITC Avant Garde"/>
          <w:b/>
          <w:u w:val="single"/>
        </w:rPr>
        <w:t>inatendibles</w:t>
      </w:r>
      <w:r w:rsidRPr="002A2450">
        <w:rPr>
          <w:rFonts w:ascii="ITC Avant Garde" w:hAnsi="ITC Avant Garde"/>
        </w:rPr>
        <w:t xml:space="preserve"> a razón de las siguientes consideraciones.</w:t>
      </w:r>
    </w:p>
    <w:p w14:paraId="70351EFE"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lastRenderedPageBreak/>
        <w:t xml:space="preserve">En la presente resolución se ha señalado que el Pleno de la Suprema Corte de Justicia de la Nación definió al procedimiento administrativo de imposición de sanciones como </w:t>
      </w:r>
      <w:r w:rsidRPr="002A2450">
        <w:rPr>
          <w:rFonts w:ascii="ITC Avant Garde" w:hAnsi="ITC Avant Garde"/>
          <w:i/>
        </w:rPr>
        <w:t xml:space="preserve">“el conjunto de actos o formalidades concatenados entre sí en forma de juicio por autoridad competente, </w:t>
      </w:r>
      <w:r w:rsidRPr="002A2450">
        <w:rPr>
          <w:rFonts w:ascii="ITC Avant Garde" w:hAnsi="ITC Avant Garde"/>
          <w:b/>
          <w:i/>
          <w:u w:val="single"/>
        </w:rPr>
        <w:t>con el objeto de conocer irregularidades o faltas</w:t>
      </w:r>
      <w:r w:rsidRPr="002A2450">
        <w:rPr>
          <w:rFonts w:ascii="ITC Avant Garde" w:hAnsi="ITC Avant Garde"/>
          <w:i/>
        </w:rPr>
        <w:t xml:space="preserve"> ya sean de servidores públicos o particulares, cuya finalidad, en todo caso, sea imponer alguna sanción.”</w:t>
      </w:r>
      <w:r w:rsidRPr="002A2450">
        <w:rPr>
          <w:rStyle w:val="Refdenotaalpie"/>
          <w:rFonts w:ascii="ITC Avant Garde" w:hAnsi="ITC Avant Garde"/>
        </w:rPr>
        <w:footnoteReference w:id="28"/>
      </w:r>
    </w:p>
    <w:p w14:paraId="3F742B48"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2A2450">
        <w:rPr>
          <w:rFonts w:ascii="ITC Avant Garde" w:hAnsi="ITC Avant Garde"/>
          <w:i/>
        </w:rPr>
        <w:t>litis</w:t>
      </w:r>
      <w:proofErr w:type="spellEnd"/>
      <w:r w:rsidRPr="002A2450">
        <w:rPr>
          <w:rFonts w:ascii="ITC Avant Garde" w:hAnsi="ITC Avant Garde"/>
        </w:rPr>
        <w:t xml:space="preserve"> del mismo se sujeta únicamente a acreditar o desvirtuar la comisión de la conducta presumiblemente sancionable, lo cual se fortalece con la imposibilidad de impugnar actos emitidos durante el procedimiento. </w:t>
      </w:r>
    </w:p>
    <w:p w14:paraId="1E43B595" w14:textId="77777777" w:rsidR="00B35F13" w:rsidRDefault="006A31F8" w:rsidP="00B35F13">
      <w:pPr>
        <w:spacing w:before="240" w:line="360" w:lineRule="auto"/>
        <w:jc w:val="both"/>
        <w:rPr>
          <w:rFonts w:ascii="ITC Avant Garde" w:eastAsia="Times New Roman" w:hAnsi="ITC Avant Garde"/>
          <w:b/>
          <w:bCs/>
          <w:color w:val="000000"/>
          <w:lang w:eastAsia="es-MX"/>
        </w:rPr>
      </w:pPr>
      <w:r w:rsidRPr="002A2450">
        <w:rPr>
          <w:rFonts w:ascii="ITC Avant Garde" w:hAnsi="ITC Avant Garde"/>
        </w:rPr>
        <w:t xml:space="preserve">Por tanto, en el procedimiento administrativo de imposición de sanción el análisis de los argumentos deberán en todo caso estar encaminados a desvirtuar las imputaciones realizadas por la autoridad, </w:t>
      </w:r>
      <w:r w:rsidR="00561921" w:rsidRPr="002A2450">
        <w:rPr>
          <w:rFonts w:ascii="ITC Avant Garde" w:hAnsi="ITC Avant Garde"/>
        </w:rPr>
        <w:t xml:space="preserve">consistente en la presunta violación a la condición 1-9 de su </w:t>
      </w:r>
      <w:r w:rsidR="00BD1D1D" w:rsidRPr="002A2450">
        <w:rPr>
          <w:rFonts w:ascii="ITC Avant Garde" w:hAnsi="ITC Avant Garde"/>
          <w:b/>
        </w:rPr>
        <w:t>“TÍTULO</w:t>
      </w:r>
      <w:r w:rsidR="00561921" w:rsidRPr="002A2450">
        <w:rPr>
          <w:rFonts w:ascii="ITC Avant Garde" w:hAnsi="ITC Avant Garde"/>
          <w:b/>
        </w:rPr>
        <w:t xml:space="preserve"> DE CONCESIÓN</w:t>
      </w:r>
      <w:r w:rsidR="00CA4CA9" w:rsidRPr="002A2450">
        <w:rPr>
          <w:rFonts w:ascii="ITC Avant Garde" w:hAnsi="ITC Avant Garde"/>
          <w:b/>
        </w:rPr>
        <w:t>”</w:t>
      </w:r>
      <w:r w:rsidR="00561921" w:rsidRPr="002A2450">
        <w:rPr>
          <w:rFonts w:ascii="ITC Avant Garde" w:eastAsia="Times New Roman" w:hAnsi="ITC Avant Garde"/>
          <w:b/>
          <w:bCs/>
          <w:color w:val="000000"/>
          <w:lang w:eastAsia="es-MX"/>
        </w:rPr>
        <w:t>.</w:t>
      </w:r>
    </w:p>
    <w:p w14:paraId="74A9145E" w14:textId="77777777" w:rsidR="00B35F13" w:rsidRDefault="00561921" w:rsidP="00B35F13">
      <w:pPr>
        <w:spacing w:before="240" w:line="360" w:lineRule="auto"/>
        <w:jc w:val="both"/>
        <w:rPr>
          <w:rFonts w:ascii="ITC Avant Garde" w:hAnsi="ITC Avant Garde"/>
        </w:rPr>
      </w:pPr>
      <w:r w:rsidRPr="002A2450">
        <w:rPr>
          <w:rFonts w:ascii="ITC Avant Garde" w:eastAsia="Times New Roman" w:hAnsi="ITC Avant Garde"/>
          <w:bCs/>
          <w:color w:val="000000"/>
          <w:lang w:eastAsia="es-MX"/>
        </w:rPr>
        <w:t xml:space="preserve">En ese sentido, debe advertirse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pretende a través del presente procedimiento administrativo de imposición de sanción, controvertir los requerimientos emitidos por la entonces </w:t>
      </w:r>
      <w:r w:rsidR="00CA4CA9" w:rsidRPr="002A2450">
        <w:rPr>
          <w:rFonts w:ascii="ITC Avant Garde" w:eastAsia="Times New Roman" w:hAnsi="ITC Avant Garde"/>
          <w:b/>
          <w:bCs/>
          <w:color w:val="000000"/>
          <w:lang w:eastAsia="es-MX"/>
        </w:rPr>
        <w:t>“DGS”</w:t>
      </w:r>
      <w:r w:rsidRPr="002A2450">
        <w:rPr>
          <w:rFonts w:ascii="ITC Avant Garde" w:hAnsi="ITC Avant Garde"/>
        </w:rPr>
        <w:t>.</w:t>
      </w:r>
    </w:p>
    <w:p w14:paraId="4DC34E2B" w14:textId="77777777" w:rsidR="00B35F13" w:rsidRDefault="00B50E11" w:rsidP="00B35F13">
      <w:pPr>
        <w:spacing w:before="240" w:line="360" w:lineRule="auto"/>
        <w:jc w:val="both"/>
        <w:rPr>
          <w:rFonts w:ascii="ITC Avant Garde" w:hAnsi="ITC Avant Garde"/>
        </w:rPr>
      </w:pPr>
      <w:r w:rsidRPr="002A2450">
        <w:rPr>
          <w:rFonts w:ascii="ITC Avant Garde" w:hAnsi="ITC Avant Garde"/>
        </w:rPr>
        <w:t>En tal sentido,</w:t>
      </w:r>
      <w:r w:rsidR="00561921" w:rsidRPr="002A2450">
        <w:rPr>
          <w:rFonts w:ascii="ITC Avant Garde" w:hAnsi="ITC Avant Garde"/>
        </w:rPr>
        <w:t xml:space="preserve"> los requerimientos de información suscritos por la </w:t>
      </w:r>
      <w:r w:rsidR="00CA4CA9" w:rsidRPr="002A2450">
        <w:rPr>
          <w:rFonts w:ascii="ITC Avant Garde" w:hAnsi="ITC Avant Garde"/>
          <w:b/>
        </w:rPr>
        <w:t>“DGS”</w:t>
      </w:r>
      <w:r w:rsidR="00561921" w:rsidRPr="002A2450">
        <w:rPr>
          <w:rFonts w:ascii="ITC Avant Garde" w:hAnsi="ITC Avant Garde"/>
        </w:rPr>
        <w:t>, no son materia del presente procedimiento, por lo que no es posible determinar la legalidad o ilegalidad de los citados requerimientos, puesto que ello no corresponde al presente procedimiento.</w:t>
      </w:r>
    </w:p>
    <w:p w14:paraId="40C08B90" w14:textId="77777777" w:rsidR="00B35F13" w:rsidRDefault="00561921" w:rsidP="00B35F13">
      <w:pPr>
        <w:spacing w:before="240" w:line="360" w:lineRule="auto"/>
        <w:jc w:val="both"/>
        <w:rPr>
          <w:rFonts w:ascii="ITC Avant Garde" w:hAnsi="ITC Avant Garde"/>
          <w:b/>
        </w:rPr>
      </w:pPr>
      <w:r w:rsidRPr="002A2450">
        <w:rPr>
          <w:rFonts w:ascii="ITC Avant Garde" w:hAnsi="ITC Avant Garde"/>
        </w:rPr>
        <w:lastRenderedPageBreak/>
        <w:t xml:space="preserve">En tales consideraciones, esta autoridad no puede conocer de las supuestas irregularidades o vicios de legalidad de los </w:t>
      </w:r>
      <w:r w:rsidR="00346892" w:rsidRPr="002A2450">
        <w:rPr>
          <w:rFonts w:ascii="ITC Avant Garde" w:hAnsi="ITC Avant Garde"/>
        </w:rPr>
        <w:t>requerimientos de información señalados</w:t>
      </w:r>
      <w:r w:rsidR="006A31F8" w:rsidRPr="002A2450">
        <w:rPr>
          <w:rFonts w:ascii="ITC Avant Garde" w:hAnsi="ITC Avant Garde"/>
        </w:rPr>
        <w:t xml:space="preserve"> al no ser </w:t>
      </w:r>
      <w:r w:rsidR="00D67960">
        <w:rPr>
          <w:rFonts w:ascii="ITC Avant Garde" w:hAnsi="ITC Avant Garde"/>
        </w:rPr>
        <w:t xml:space="preserve">el fundamento para </w:t>
      </w:r>
      <w:r w:rsidR="006A31F8" w:rsidRPr="002A2450">
        <w:rPr>
          <w:rFonts w:ascii="ITC Avant Garde" w:hAnsi="ITC Avant Garde"/>
        </w:rPr>
        <w:t xml:space="preserve">el inicio del procedimiento administrativo de imposición de sanción, </w:t>
      </w:r>
      <w:r w:rsidR="00D67960">
        <w:rPr>
          <w:rFonts w:ascii="ITC Avant Garde" w:hAnsi="ITC Avant Garde"/>
        </w:rPr>
        <w:t xml:space="preserve">el </w:t>
      </w:r>
      <w:r w:rsidR="00D67960" w:rsidRPr="00B5536A">
        <w:rPr>
          <w:rFonts w:ascii="ITC Avant Garde" w:hAnsi="ITC Avant Garde"/>
        </w:rPr>
        <w:t xml:space="preserve">cual </w:t>
      </w:r>
      <w:r w:rsidR="00B5536A" w:rsidRPr="00B5536A">
        <w:rPr>
          <w:rFonts w:ascii="ITC Avant Garde" w:hAnsi="ITC Avant Garde"/>
        </w:rPr>
        <w:t>consistió</w:t>
      </w:r>
      <w:r w:rsidR="00D67960" w:rsidRPr="00B5536A">
        <w:rPr>
          <w:rFonts w:ascii="ITC Avant Garde" w:hAnsi="ITC Avant Garde"/>
        </w:rPr>
        <w:t xml:space="preserve"> en</w:t>
      </w:r>
      <w:r w:rsidR="006A31F8" w:rsidRPr="002A2450">
        <w:rPr>
          <w:rFonts w:ascii="ITC Avant Garde" w:hAnsi="ITC Avant Garde"/>
        </w:rPr>
        <w:t xml:space="preserve"> el probable incumplimiento a la condición 1-9 del </w:t>
      </w:r>
      <w:r w:rsidR="006A31F8" w:rsidRPr="002A2450">
        <w:rPr>
          <w:rFonts w:ascii="ITC Avant Garde" w:hAnsi="ITC Avant Garde"/>
          <w:b/>
        </w:rPr>
        <w:t>“TÍTULO DE CONCESIÓN”</w:t>
      </w:r>
      <w:r w:rsidR="006A31F8" w:rsidRPr="002A2450">
        <w:rPr>
          <w:rFonts w:ascii="ITC Avant Garde" w:hAnsi="ITC Avant Garde"/>
        </w:rPr>
        <w:t xml:space="preserve">, concretamente en su </w:t>
      </w:r>
      <w:r w:rsidR="00B15C84" w:rsidRPr="009E34A4">
        <w:rPr>
          <w:rFonts w:ascii="ITC Avant Garde" w:hAnsi="ITC Avant Garde"/>
          <w:b/>
        </w:rPr>
        <w:t>Tercer Párrafo</w:t>
      </w:r>
      <w:r w:rsidR="006A31F8" w:rsidRPr="002A2450">
        <w:rPr>
          <w:rFonts w:ascii="ITC Avant Garde" w:hAnsi="ITC Avant Garde"/>
          <w:b/>
        </w:rPr>
        <w:t>.</w:t>
      </w:r>
    </w:p>
    <w:p w14:paraId="46081F17"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Ahora bien, atendiendo a lo antes señalado, esta autoridad está obligada a conocer del presente asunto en los términos en que fue propuesto </w:t>
      </w:r>
      <w:r w:rsidR="00346892" w:rsidRPr="002A2450">
        <w:rPr>
          <w:rFonts w:ascii="ITC Avant Garde" w:hAnsi="ITC Avant Garde"/>
        </w:rPr>
        <w:t>el acuerdo de inicio d</w:t>
      </w:r>
      <w:r w:rsidRPr="002A2450">
        <w:rPr>
          <w:rFonts w:ascii="ITC Avant Garde" w:hAnsi="ITC Avant Garde"/>
        </w:rPr>
        <w:t>el inicio de procedimiento administrativo de imposición de sanción.</w:t>
      </w:r>
    </w:p>
    <w:p w14:paraId="76D06B3D"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Al respecto, sirve de apoyo la siguiente jurisprudencia, la cual a su letra señala: </w:t>
      </w:r>
    </w:p>
    <w:p w14:paraId="38F5BA66" w14:textId="77777777" w:rsidR="00B35F13" w:rsidRDefault="00561921" w:rsidP="00B35F13">
      <w:pPr>
        <w:spacing w:before="240" w:line="360" w:lineRule="auto"/>
        <w:ind w:left="567" w:right="567"/>
        <w:jc w:val="both"/>
        <w:rPr>
          <w:rFonts w:ascii="ITC Avant Garde" w:hAnsi="ITC Avant Garde"/>
        </w:rPr>
      </w:pPr>
      <w:r w:rsidRPr="002A2450">
        <w:rPr>
          <w:rFonts w:ascii="ITC Avant Garde" w:hAnsi="ITC Avant Garde"/>
          <w:b/>
        </w:rPr>
        <w:t xml:space="preserve">CONCEPTOS DE </w:t>
      </w:r>
      <w:r w:rsidRPr="00B5536A">
        <w:rPr>
          <w:rFonts w:ascii="ITC Avant Garde" w:hAnsi="ITC Avant Garde"/>
          <w:b/>
        </w:rPr>
        <w:t>VIOLACI</w:t>
      </w:r>
      <w:r w:rsidR="00B5536A" w:rsidRPr="00B5536A">
        <w:rPr>
          <w:rFonts w:ascii="ITC Avant Garde" w:hAnsi="ITC Avant Garde"/>
          <w:b/>
        </w:rPr>
        <w:t>Ó</w:t>
      </w:r>
      <w:r w:rsidRPr="00B5536A">
        <w:rPr>
          <w:rFonts w:ascii="ITC Avant Garde" w:hAnsi="ITC Avant Garde"/>
          <w:b/>
        </w:rPr>
        <w:t>N INATENDIBLES</w:t>
      </w:r>
      <w:r w:rsidRPr="002A2450">
        <w:rPr>
          <w:rFonts w:ascii="ITC Avant Garde" w:hAnsi="ITC Avant Garde"/>
          <w:b/>
        </w:rPr>
        <w:t>, CUANDO EN EL AMPARO SE PLANTEAN CUESTIONES QUE NO FUERON ADUCIDAS EN EL JUICIO NATURAL.</w:t>
      </w:r>
      <w:r w:rsidRPr="002A2450">
        <w:rPr>
          <w:rFonts w:ascii="ITC Avant Garde" w:hAnsi="ITC Avant Garde"/>
        </w:rPr>
        <w:t xml:space="preserve"> Si la autoridad responsable no tuvo la oportunidad de dirimir en el juicio las cuestiones aducidas, porque no fueron planteadas en los términos que ahora se esgrimen en el juicio de amparo, no pueden ser motivo de estudio los conceptos de violación aludidos, porque el acto reclamado, de conformidad con el artículo 78 de la Ley de Amparo, debe analizarse tal como aparezca probado ante la autoridad responsable.</w:t>
      </w:r>
    </w:p>
    <w:p w14:paraId="08674161" w14:textId="77777777" w:rsidR="00B35F13" w:rsidRDefault="00561921"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Novena Época, Registro: 205277, Instancia: Tribunales Colegiados de Circuito, Tipo de Tesis: Jurisprudencia, Fuente: Semanario Judicial de la Federación y su Gaceta, Tomo I, Abril de 1995, Materia(s): Común, Tesis: I.6o.T. J/2, Página: 68 </w:t>
      </w:r>
    </w:p>
    <w:p w14:paraId="44E10F81" w14:textId="77777777" w:rsidR="00B35F13" w:rsidRDefault="00561921" w:rsidP="00B35F13">
      <w:pPr>
        <w:spacing w:before="240" w:line="360" w:lineRule="auto"/>
        <w:jc w:val="both"/>
        <w:rPr>
          <w:rFonts w:ascii="ITC Avant Garde" w:hAnsi="ITC Avant Garde"/>
          <w:b/>
        </w:rPr>
      </w:pPr>
      <w:r w:rsidRPr="002A2450">
        <w:rPr>
          <w:rFonts w:ascii="ITC Avant Garde" w:hAnsi="ITC Avant Garde"/>
        </w:rPr>
        <w:t xml:space="preserve">Ahora bien, debe robustecerse lo anterior ya que en cualquier caso, el presente procedimiento administrativo de imposición de sanción, </w:t>
      </w:r>
      <w:r w:rsidR="006A31F8" w:rsidRPr="002A2450">
        <w:rPr>
          <w:rFonts w:ascii="ITC Avant Garde" w:hAnsi="ITC Avant Garde"/>
        </w:rPr>
        <w:t xml:space="preserve">no es la instancia para determinar la legalidad o no de los requerimientos de información emitidos por la </w:t>
      </w:r>
      <w:r w:rsidR="006A31F8" w:rsidRPr="002A2450">
        <w:rPr>
          <w:rFonts w:ascii="ITC Avant Garde" w:hAnsi="ITC Avant Garde"/>
          <w:b/>
        </w:rPr>
        <w:t xml:space="preserve">“DGS” </w:t>
      </w:r>
      <w:r w:rsidR="006A31F8" w:rsidRPr="002A2450">
        <w:rPr>
          <w:rFonts w:ascii="ITC Avant Garde" w:hAnsi="ITC Avant Garde"/>
        </w:rPr>
        <w:t xml:space="preserve">puesto que como ya se ha señalado, al mismo le corresponde determinar </w:t>
      </w:r>
      <w:r w:rsidRPr="002A2450">
        <w:rPr>
          <w:rFonts w:ascii="ITC Avant Garde" w:hAnsi="ITC Avant Garde"/>
        </w:rPr>
        <w:t xml:space="preserve">si </w:t>
      </w:r>
      <w:r w:rsidR="00B50E11" w:rsidRPr="002A2450">
        <w:rPr>
          <w:rFonts w:ascii="ITC Avant Garde" w:hAnsi="ITC Avant Garde"/>
        </w:rPr>
        <w:t xml:space="preserve">se </w:t>
      </w:r>
      <w:r w:rsidRPr="002A2450">
        <w:rPr>
          <w:rFonts w:ascii="ITC Avant Garde" w:hAnsi="ITC Avant Garde"/>
        </w:rPr>
        <w:t>acredita o no el presunto incumplimiento</w:t>
      </w:r>
      <w:r w:rsidR="00346892" w:rsidRPr="002A2450">
        <w:rPr>
          <w:rFonts w:ascii="ITC Avant Garde" w:hAnsi="ITC Avant Garde"/>
        </w:rPr>
        <w:t xml:space="preserve"> materia del presente procedimiento</w:t>
      </w:r>
      <w:r w:rsidRPr="002A2450">
        <w:rPr>
          <w:rFonts w:ascii="ITC Avant Garde" w:hAnsi="ITC Avant Garde"/>
          <w:b/>
        </w:rPr>
        <w:t>.</w:t>
      </w:r>
    </w:p>
    <w:p w14:paraId="5BECE50F" w14:textId="42049551" w:rsidR="00B35F13" w:rsidRDefault="00D67960" w:rsidP="00B35F13">
      <w:pPr>
        <w:spacing w:before="240" w:line="360" w:lineRule="auto"/>
        <w:jc w:val="both"/>
        <w:rPr>
          <w:rFonts w:ascii="ITC Avant Garde" w:hAnsi="ITC Avant Garde"/>
        </w:rPr>
      </w:pPr>
      <w:r>
        <w:rPr>
          <w:rFonts w:ascii="ITC Avant Garde" w:hAnsi="ITC Avant Garde"/>
        </w:rPr>
        <w:lastRenderedPageBreak/>
        <w:t>En tal sentido</w:t>
      </w:r>
      <w:r w:rsidR="00561921" w:rsidRPr="002A2450">
        <w:rPr>
          <w:rFonts w:ascii="ITC Avant Garde" w:hAnsi="ITC Avant Garde"/>
        </w:rPr>
        <w:t xml:space="preserve">, al no ser la presente instancia administrativa la idónea para controvertir </w:t>
      </w:r>
      <w:r w:rsidR="00B50E11" w:rsidRPr="002A2450">
        <w:rPr>
          <w:rFonts w:ascii="ITC Avant Garde" w:hAnsi="ITC Avant Garde"/>
        </w:rPr>
        <w:t>dichos oficios de requerimiento</w:t>
      </w:r>
      <w:r w:rsidR="00561921" w:rsidRPr="002A2450">
        <w:rPr>
          <w:rFonts w:ascii="ITC Avant Garde" w:hAnsi="ITC Avant Garde"/>
        </w:rPr>
        <w:t xml:space="preserve">, </w:t>
      </w:r>
      <w:r>
        <w:rPr>
          <w:rFonts w:ascii="ITC Avant Garde" w:hAnsi="ITC Avant Garde"/>
        </w:rPr>
        <w:t xml:space="preserve">en virtud de que los mismos no son el sustento para el inicio del presente procedimiento sancionador, </w:t>
      </w:r>
      <w:r w:rsidR="00561921" w:rsidRPr="002A2450">
        <w:rPr>
          <w:rFonts w:ascii="ITC Avant Garde" w:hAnsi="ITC Avant Garde"/>
        </w:rPr>
        <w:t>es indudable que también sus argumentos en contra de</w:t>
      </w:r>
      <w:r w:rsidR="00346892" w:rsidRPr="002A2450">
        <w:rPr>
          <w:rFonts w:ascii="ITC Avant Garde" w:hAnsi="ITC Avant Garde"/>
        </w:rPr>
        <w:t xml:space="preserve"> </w:t>
      </w:r>
      <w:r w:rsidR="00561921" w:rsidRPr="002A2450">
        <w:rPr>
          <w:rFonts w:ascii="ITC Avant Garde" w:hAnsi="ITC Avant Garde"/>
        </w:rPr>
        <w:t>l</w:t>
      </w:r>
      <w:r w:rsidR="00346892" w:rsidRPr="002A2450">
        <w:rPr>
          <w:rFonts w:ascii="ITC Avant Garde" w:hAnsi="ITC Avant Garde"/>
        </w:rPr>
        <w:t>os</w:t>
      </w:r>
      <w:r w:rsidR="00561921" w:rsidRPr="002A2450">
        <w:rPr>
          <w:rFonts w:ascii="ITC Avant Garde" w:hAnsi="ITC Avant Garde"/>
        </w:rPr>
        <w:t xml:space="preserve"> mismo</w:t>
      </w:r>
      <w:r w:rsidR="00346892" w:rsidRPr="002A2450">
        <w:rPr>
          <w:rFonts w:ascii="ITC Avant Garde" w:hAnsi="ITC Avant Garde"/>
        </w:rPr>
        <w:t>s</w:t>
      </w:r>
      <w:r w:rsidR="00561921" w:rsidRPr="002A2450">
        <w:rPr>
          <w:rFonts w:ascii="ITC Avant Garde" w:hAnsi="ITC Avant Garde"/>
        </w:rPr>
        <w:t xml:space="preserve"> deben desestimarse puesto que no guardan relación con respecto al incumplimiento materia del presente asunto, así como tampoco podrían ser analizados ya que los mismos no tienden a </w:t>
      </w:r>
      <w:r w:rsidR="00346892" w:rsidRPr="002A2450">
        <w:rPr>
          <w:rFonts w:ascii="ITC Avant Garde" w:hAnsi="ITC Avant Garde"/>
        </w:rPr>
        <w:t xml:space="preserve">desvirtuar el presunto incumplimiento a la condición 1-9 de su </w:t>
      </w:r>
      <w:r w:rsidR="00BD1D1D" w:rsidRPr="002A2450">
        <w:rPr>
          <w:rFonts w:ascii="ITC Avant Garde" w:hAnsi="ITC Avant Garde"/>
          <w:b/>
        </w:rPr>
        <w:t>“TÍTULO</w:t>
      </w:r>
      <w:r w:rsidR="00346892" w:rsidRPr="002A2450">
        <w:rPr>
          <w:rFonts w:ascii="ITC Avant Garde" w:hAnsi="ITC Avant Garde"/>
          <w:b/>
        </w:rPr>
        <w:t xml:space="preserve"> DE CONCESIÓN</w:t>
      </w:r>
      <w:r w:rsidR="00CA4CA9" w:rsidRPr="002A2450">
        <w:rPr>
          <w:rFonts w:ascii="ITC Avant Garde" w:hAnsi="ITC Avant Garde"/>
          <w:b/>
        </w:rPr>
        <w:t>”</w:t>
      </w:r>
      <w:r w:rsidR="00561921" w:rsidRPr="002A2450">
        <w:rPr>
          <w:rFonts w:ascii="ITC Avant Garde" w:hAnsi="ITC Avant Garde"/>
          <w:b/>
        </w:rPr>
        <w:t xml:space="preserve">, </w:t>
      </w:r>
      <w:r w:rsidR="00561921" w:rsidRPr="002A2450">
        <w:rPr>
          <w:rFonts w:ascii="ITC Avant Garde" w:hAnsi="ITC Avant Garde"/>
        </w:rPr>
        <w:t>y en tal sentido</w:t>
      </w:r>
      <w:r w:rsidR="00561921" w:rsidRPr="002A2450">
        <w:rPr>
          <w:rFonts w:ascii="ITC Avant Garde" w:hAnsi="ITC Avant Garde"/>
          <w:b/>
        </w:rPr>
        <w:t xml:space="preserve"> </w:t>
      </w:r>
      <w:r w:rsidR="00561921" w:rsidRPr="002A2450">
        <w:rPr>
          <w:rFonts w:ascii="ITC Avant Garde" w:hAnsi="ITC Avant Garde"/>
        </w:rPr>
        <w:t>dichas consideraciones son suficientes para dejar de lado aquellos argumentos tendientes a controvertir</w:t>
      </w:r>
      <w:r w:rsidR="00346892" w:rsidRPr="002A2450">
        <w:rPr>
          <w:rFonts w:ascii="ITC Avant Garde" w:hAnsi="ITC Avant Garde"/>
        </w:rPr>
        <w:t xml:space="preserve"> los requerimientos citados en el presente apartado</w:t>
      </w:r>
      <w:r w:rsidR="00561921" w:rsidRPr="002A2450">
        <w:rPr>
          <w:rFonts w:ascii="ITC Avant Garde" w:hAnsi="ITC Avant Garde"/>
        </w:rPr>
        <w:t>.</w:t>
      </w:r>
    </w:p>
    <w:p w14:paraId="2A7A07CE"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Asimismo, cabe señalar que esta autoridad considera que aún y cuando se le otorgara el máximo beneficio a </w:t>
      </w:r>
      <w:r w:rsidR="00346892" w:rsidRPr="002A2450">
        <w:rPr>
          <w:rFonts w:ascii="ITC Avant Garde" w:hAnsi="ITC Avant Garde"/>
          <w:b/>
        </w:rPr>
        <w:t>“</w:t>
      </w:r>
      <w:r w:rsidRPr="002A2450">
        <w:rPr>
          <w:rFonts w:ascii="ITC Avant Garde" w:hAnsi="ITC Avant Garde"/>
          <w:b/>
        </w:rPr>
        <w:t>TELMEX</w:t>
      </w:r>
      <w:r w:rsidR="00346892" w:rsidRPr="002A2450">
        <w:rPr>
          <w:rFonts w:ascii="ITC Avant Garde" w:hAnsi="ITC Avant Garde"/>
          <w:b/>
        </w:rPr>
        <w:t>”</w:t>
      </w:r>
      <w:r w:rsidRPr="002A2450">
        <w:rPr>
          <w:rFonts w:ascii="ITC Avant Garde" w:hAnsi="ITC Avant Garde"/>
        </w:rPr>
        <w:t>, esta autoridad incurriría en una grave violación al principio de</w:t>
      </w:r>
      <w:r w:rsidR="00346892" w:rsidRPr="002A2450">
        <w:rPr>
          <w:rFonts w:ascii="ITC Avant Garde" w:hAnsi="ITC Avant Garde"/>
        </w:rPr>
        <w:t xml:space="preserve"> competencia dada la naturaleza del procedimiento administrativo de imposición de sanción</w:t>
      </w:r>
      <w:r w:rsidRPr="002A2450">
        <w:rPr>
          <w:rFonts w:ascii="ITC Avant Garde" w:hAnsi="ITC Avant Garde"/>
        </w:rPr>
        <w:t>, de allí que sus argumentos no puedan ser atendidos en la vía en la que se propone ante esta autoridad y como consecuencia, deben desestimarse.</w:t>
      </w:r>
    </w:p>
    <w:p w14:paraId="65E525F0" w14:textId="091CA1DB"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Es importante destacar que las consideraciones vertidas en el presente apartado, también obedecen al hecho de que existe una autonomía entre </w:t>
      </w:r>
      <w:r w:rsidR="00346892" w:rsidRPr="002A2450">
        <w:rPr>
          <w:rFonts w:ascii="ITC Avant Garde" w:hAnsi="ITC Avant Garde"/>
        </w:rPr>
        <w:t xml:space="preserve">los requerimientos formulados </w:t>
      </w:r>
      <w:r w:rsidRPr="002A2450">
        <w:rPr>
          <w:rFonts w:ascii="ITC Avant Garde" w:hAnsi="ITC Avant Garde"/>
        </w:rPr>
        <w:t xml:space="preserve">(amén de que </w:t>
      </w:r>
      <w:r w:rsidR="00346892" w:rsidRPr="002A2450">
        <w:rPr>
          <w:rFonts w:ascii="ITC Avant Garde" w:hAnsi="ITC Avant Garde"/>
        </w:rPr>
        <w:t xml:space="preserve">los </w:t>
      </w:r>
      <w:r w:rsidRPr="002A2450">
        <w:rPr>
          <w:rFonts w:ascii="ITC Avant Garde" w:hAnsi="ITC Avant Garde"/>
        </w:rPr>
        <w:t>mismo</w:t>
      </w:r>
      <w:r w:rsidR="00346892" w:rsidRPr="002A2450">
        <w:rPr>
          <w:rFonts w:ascii="ITC Avant Garde" w:hAnsi="ITC Avant Garde"/>
        </w:rPr>
        <w:t>s</w:t>
      </w:r>
      <w:r w:rsidRPr="002A2450">
        <w:rPr>
          <w:rFonts w:ascii="ITC Avant Garde" w:hAnsi="ITC Avant Garde"/>
        </w:rPr>
        <w:t xml:space="preserve"> </w:t>
      </w:r>
      <w:r w:rsidR="00D67960">
        <w:rPr>
          <w:rFonts w:ascii="ITC Avant Garde" w:hAnsi="ITC Avant Garde"/>
        </w:rPr>
        <w:t>pudieran considerarse como</w:t>
      </w:r>
      <w:r w:rsidRPr="002A2450">
        <w:rPr>
          <w:rFonts w:ascii="ITC Avant Garde" w:hAnsi="ITC Avant Garde"/>
        </w:rPr>
        <w:t xml:space="preserve"> consentido</w:t>
      </w:r>
      <w:r w:rsidR="00346892" w:rsidRPr="002A2450">
        <w:rPr>
          <w:rFonts w:ascii="ITC Avant Garde" w:hAnsi="ITC Avant Garde"/>
        </w:rPr>
        <w:t>s</w:t>
      </w:r>
      <w:r w:rsidRPr="002A2450">
        <w:rPr>
          <w:rFonts w:ascii="ITC Avant Garde" w:hAnsi="ITC Avant Garde"/>
        </w:rPr>
        <w:t xml:space="preserve">) y por otra parte, el </w:t>
      </w:r>
      <w:r w:rsidR="00346892" w:rsidRPr="002A2450">
        <w:rPr>
          <w:rFonts w:ascii="ITC Avant Garde" w:hAnsi="ITC Avant Garde"/>
        </w:rPr>
        <w:t>presunto incumplimiento al</w:t>
      </w:r>
      <w:r w:rsidR="006928D2" w:rsidRPr="002A2450">
        <w:rPr>
          <w:rFonts w:ascii="ITC Avant Garde" w:hAnsi="ITC Avant Garde"/>
        </w:rPr>
        <w:t xml:space="preserve"> </w:t>
      </w:r>
      <w:r w:rsidR="00B15C84" w:rsidRPr="009E34A4">
        <w:rPr>
          <w:rFonts w:ascii="ITC Avant Garde" w:hAnsi="ITC Avant Garde"/>
          <w:b/>
        </w:rPr>
        <w:t>Tercer Párrafo</w:t>
      </w:r>
      <w:r w:rsidR="006928D2" w:rsidRPr="002A2450">
        <w:rPr>
          <w:rFonts w:ascii="ITC Avant Garde" w:hAnsi="ITC Avant Garde"/>
        </w:rPr>
        <w:t xml:space="preserve"> de la </w:t>
      </w:r>
      <w:r w:rsidR="00346892" w:rsidRPr="002A2450">
        <w:rPr>
          <w:rFonts w:ascii="ITC Avant Garde" w:hAnsi="ITC Avant Garde"/>
        </w:rPr>
        <w:t xml:space="preserve">condición 19- del </w:t>
      </w:r>
      <w:r w:rsidR="00BD1D1D" w:rsidRPr="002A2450">
        <w:rPr>
          <w:rFonts w:ascii="ITC Avant Garde" w:hAnsi="ITC Avant Garde"/>
          <w:b/>
        </w:rPr>
        <w:t>“TÍTULO</w:t>
      </w:r>
      <w:r w:rsidR="00346892" w:rsidRPr="002A2450">
        <w:rPr>
          <w:rFonts w:ascii="ITC Avant Garde" w:hAnsi="ITC Avant Garde"/>
          <w:b/>
        </w:rPr>
        <w:t xml:space="preserve"> DE CONCESIÓN</w:t>
      </w:r>
      <w:r w:rsidR="00CA4CA9" w:rsidRPr="002A2450">
        <w:rPr>
          <w:rFonts w:ascii="ITC Avant Garde" w:hAnsi="ITC Avant Garde"/>
          <w:b/>
        </w:rPr>
        <w:t>”</w:t>
      </w:r>
      <w:r w:rsidRPr="002A2450">
        <w:rPr>
          <w:rFonts w:ascii="ITC Avant Garde" w:hAnsi="ITC Avant Garde"/>
        </w:rPr>
        <w:t>.</w:t>
      </w:r>
    </w:p>
    <w:p w14:paraId="05FBF656"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En esas consideraciones, el incumplimiento materia de la presente instancia administrativa lo es precisamente </w:t>
      </w:r>
      <w:r w:rsidR="004F44F5" w:rsidRPr="002A2450">
        <w:rPr>
          <w:rFonts w:ascii="ITC Avant Garde" w:hAnsi="ITC Avant Garde"/>
        </w:rPr>
        <w:t>determinar la presunta comisión de la conducta que se le atribuye</w:t>
      </w:r>
      <w:r w:rsidR="00B50E11" w:rsidRPr="002A2450">
        <w:rPr>
          <w:rFonts w:ascii="ITC Avant Garde" w:hAnsi="ITC Avant Garde"/>
        </w:rPr>
        <w:t xml:space="preserve"> como</w:t>
      </w:r>
      <w:r w:rsidR="004F44F5" w:rsidRPr="002A2450">
        <w:rPr>
          <w:rFonts w:ascii="ITC Avant Garde" w:hAnsi="ITC Avant Garde"/>
        </w:rPr>
        <w:t xml:space="preserve"> incumplida</w:t>
      </w:r>
      <w:r w:rsidR="00B50E11" w:rsidRPr="002A2450">
        <w:rPr>
          <w:rFonts w:ascii="ITC Avant Garde" w:hAnsi="ITC Avant Garde"/>
        </w:rPr>
        <w:t xml:space="preserve">, cuya naturaleza </w:t>
      </w:r>
      <w:r w:rsidRPr="002A2450">
        <w:rPr>
          <w:rFonts w:ascii="ITC Avant Garde" w:hAnsi="ITC Avant Garde"/>
        </w:rPr>
        <w:t xml:space="preserve">es independiente de lo que en su caso </w:t>
      </w:r>
      <w:r w:rsidR="004F44F5" w:rsidRPr="002A2450">
        <w:rPr>
          <w:rFonts w:ascii="ITC Avant Garde" w:hAnsi="ITC Avant Garde"/>
        </w:rPr>
        <w:t xml:space="preserve">la </w:t>
      </w:r>
      <w:r w:rsidR="00CA4CA9" w:rsidRPr="002A2450">
        <w:rPr>
          <w:rFonts w:ascii="ITC Avant Garde" w:hAnsi="ITC Avant Garde"/>
          <w:b/>
        </w:rPr>
        <w:t>“DGS”</w:t>
      </w:r>
      <w:r w:rsidR="004F44F5" w:rsidRPr="002A2450">
        <w:rPr>
          <w:rFonts w:ascii="ITC Avant Garde" w:hAnsi="ITC Avant Garde"/>
        </w:rPr>
        <w:t xml:space="preserve"> haya requerido.</w:t>
      </w:r>
    </w:p>
    <w:p w14:paraId="004412DE"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El pronunciamiento anterior, resulta relevante para efectos del presente procedimiento, ya que como bien se ha desarrollado, la </w:t>
      </w:r>
      <w:proofErr w:type="spellStart"/>
      <w:r w:rsidRPr="002A2450">
        <w:rPr>
          <w:rFonts w:ascii="ITC Avant Garde" w:hAnsi="ITC Avant Garde"/>
          <w:i/>
        </w:rPr>
        <w:t>litis</w:t>
      </w:r>
      <w:proofErr w:type="spellEnd"/>
      <w:r w:rsidRPr="002A2450">
        <w:rPr>
          <w:rFonts w:ascii="ITC Avant Garde" w:hAnsi="ITC Avant Garde"/>
        </w:rPr>
        <w:t xml:space="preserve"> materia de</w:t>
      </w:r>
      <w:r w:rsidR="004F44F5" w:rsidRPr="002A2450">
        <w:rPr>
          <w:rFonts w:ascii="ITC Avant Garde" w:hAnsi="ITC Avant Garde"/>
        </w:rPr>
        <w:t>l</w:t>
      </w:r>
      <w:r w:rsidRPr="002A2450">
        <w:rPr>
          <w:rFonts w:ascii="ITC Avant Garde" w:hAnsi="ITC Avant Garde"/>
        </w:rPr>
        <w:t xml:space="preserve"> asunto que nos ocupa, no es la validez o legalidad </w:t>
      </w:r>
      <w:r w:rsidR="004F44F5" w:rsidRPr="002A2450">
        <w:rPr>
          <w:rFonts w:ascii="ITC Avant Garde" w:hAnsi="ITC Avant Garde"/>
        </w:rPr>
        <w:t xml:space="preserve">de los requerimientos de información </w:t>
      </w:r>
      <w:r w:rsidRPr="002A2450">
        <w:rPr>
          <w:rFonts w:ascii="ITC Avant Garde" w:hAnsi="ITC Avant Garde"/>
        </w:rPr>
        <w:t xml:space="preserve">sino </w:t>
      </w:r>
      <w:r w:rsidR="004F44F5" w:rsidRPr="002A2450">
        <w:rPr>
          <w:rFonts w:ascii="ITC Avant Garde" w:hAnsi="ITC Avant Garde"/>
        </w:rPr>
        <w:lastRenderedPageBreak/>
        <w:t>el probable incumplimiento al</w:t>
      </w:r>
      <w:r w:rsidR="00B50E11" w:rsidRPr="002A2450">
        <w:rPr>
          <w:rFonts w:ascii="ITC Avant Garde" w:hAnsi="ITC Avant Garde"/>
        </w:rPr>
        <w:t xml:space="preserve"> </w:t>
      </w:r>
      <w:r w:rsidR="00B15C84" w:rsidRPr="009E34A4">
        <w:rPr>
          <w:rFonts w:ascii="ITC Avant Garde" w:hAnsi="ITC Avant Garde"/>
          <w:b/>
        </w:rPr>
        <w:t>Tercer Párrafo</w:t>
      </w:r>
      <w:r w:rsidR="00B50E11" w:rsidRPr="002A2450">
        <w:rPr>
          <w:rFonts w:ascii="ITC Avant Garde" w:hAnsi="ITC Avant Garde"/>
        </w:rPr>
        <w:t xml:space="preserve"> de la</w:t>
      </w:r>
      <w:r w:rsidR="004F44F5" w:rsidRPr="002A2450">
        <w:rPr>
          <w:rFonts w:ascii="ITC Avant Garde" w:hAnsi="ITC Avant Garde"/>
        </w:rPr>
        <w:t xml:space="preserve"> condición 1-9 del </w:t>
      </w:r>
      <w:r w:rsidR="00BD1D1D" w:rsidRPr="002A2450">
        <w:rPr>
          <w:rFonts w:ascii="ITC Avant Garde" w:hAnsi="ITC Avant Garde"/>
          <w:b/>
        </w:rPr>
        <w:t>“TÍTULO</w:t>
      </w:r>
      <w:r w:rsidR="004F44F5" w:rsidRPr="002A2450">
        <w:rPr>
          <w:rFonts w:ascii="ITC Avant Garde" w:hAnsi="ITC Avant Garde"/>
          <w:b/>
        </w:rPr>
        <w:t xml:space="preserve"> DE CONCESIÓN</w:t>
      </w:r>
      <w:r w:rsidR="00CA4CA9" w:rsidRPr="002A2450">
        <w:rPr>
          <w:rFonts w:ascii="ITC Avant Garde" w:hAnsi="ITC Avant Garde"/>
          <w:b/>
        </w:rPr>
        <w:t>”</w:t>
      </w:r>
      <w:r w:rsidR="004F44F5" w:rsidRPr="002A2450">
        <w:rPr>
          <w:rFonts w:ascii="ITC Avant Garde" w:hAnsi="ITC Avant Garde"/>
          <w:b/>
        </w:rPr>
        <w:t xml:space="preserve"> </w:t>
      </w:r>
      <w:r w:rsidR="004F44F5" w:rsidRPr="002A2450">
        <w:rPr>
          <w:rFonts w:ascii="ITC Avant Garde" w:hAnsi="ITC Avant Garde"/>
        </w:rPr>
        <w:t xml:space="preserve">otorgado a </w:t>
      </w:r>
      <w:r w:rsidR="00CA4CA9" w:rsidRPr="002A2450">
        <w:rPr>
          <w:rFonts w:ascii="ITC Avant Garde" w:hAnsi="ITC Avant Garde"/>
        </w:rPr>
        <w:t>“</w:t>
      </w:r>
      <w:r w:rsidRPr="002A2450">
        <w:rPr>
          <w:rFonts w:ascii="ITC Avant Garde" w:hAnsi="ITC Avant Garde"/>
          <w:b/>
        </w:rPr>
        <w:t>TELMEX</w:t>
      </w:r>
      <w:r w:rsidR="00CA4CA9" w:rsidRPr="002A2450">
        <w:rPr>
          <w:rFonts w:ascii="ITC Avant Garde" w:hAnsi="ITC Avant Garde"/>
          <w:b/>
        </w:rPr>
        <w:t>”</w:t>
      </w:r>
      <w:r w:rsidRPr="002A2450">
        <w:rPr>
          <w:rFonts w:ascii="ITC Avant Garde" w:hAnsi="ITC Avant Garde"/>
        </w:rPr>
        <w:t>.</w:t>
      </w:r>
    </w:p>
    <w:p w14:paraId="2FE9B2FA" w14:textId="77777777" w:rsidR="00B35F13" w:rsidRDefault="00561921" w:rsidP="00B35F13">
      <w:pPr>
        <w:spacing w:before="240" w:line="360" w:lineRule="auto"/>
        <w:jc w:val="both"/>
        <w:rPr>
          <w:rFonts w:ascii="ITC Avant Garde" w:hAnsi="ITC Avant Garde"/>
        </w:rPr>
      </w:pPr>
      <w:r w:rsidRPr="002A2450">
        <w:rPr>
          <w:rFonts w:ascii="ITC Avant Garde" w:hAnsi="ITC Avant Garde"/>
        </w:rPr>
        <w:t xml:space="preserve">El criterio anterior, ha sido sostenido por la Segunda Sala de la Suprema Corte de Justicia de la Nación en la Contradicción de Tesis </w:t>
      </w:r>
      <w:r w:rsidRPr="002A2450">
        <w:rPr>
          <w:rFonts w:ascii="ITC Avant Garde" w:hAnsi="ITC Avant Garde"/>
          <w:b/>
        </w:rPr>
        <w:t xml:space="preserve">388/2012 </w:t>
      </w:r>
      <w:r w:rsidRPr="002A2450">
        <w:rPr>
          <w:rFonts w:ascii="ITC Avant Garde" w:hAnsi="ITC Avant Garde"/>
        </w:rPr>
        <w:t xml:space="preserve">en la que se estableció la siguiente </w:t>
      </w:r>
      <w:r w:rsidRPr="002A2450">
        <w:rPr>
          <w:rFonts w:ascii="ITC Avant Garde" w:hAnsi="ITC Avant Garde"/>
          <w:b/>
          <w:u w:val="single"/>
        </w:rPr>
        <w:t>jurisprudencia</w:t>
      </w:r>
      <w:r w:rsidRPr="002A2450">
        <w:rPr>
          <w:rFonts w:ascii="ITC Avant Garde" w:hAnsi="ITC Avant Garde"/>
        </w:rPr>
        <w:t>:</w:t>
      </w:r>
    </w:p>
    <w:p w14:paraId="6579A200" w14:textId="77777777" w:rsidR="00B35F13" w:rsidRDefault="00561921" w:rsidP="00B35F13">
      <w:pPr>
        <w:spacing w:before="240" w:line="360" w:lineRule="auto"/>
        <w:ind w:left="567" w:right="567"/>
        <w:jc w:val="both"/>
        <w:rPr>
          <w:rFonts w:ascii="ITC Avant Garde" w:hAnsi="ITC Avant Garde"/>
        </w:rPr>
      </w:pPr>
      <w:r w:rsidRPr="002A2450">
        <w:rPr>
          <w:rFonts w:ascii="ITC Avant Garde" w:hAnsi="ITC Avant Garde"/>
          <w:b/>
        </w:rPr>
        <w:t>MULTA. EL AUTO QUE HACE EFECTIVO EL APERCIBIMIENTO E IMPONE LA REFERIDA SANCIÓN NO ES UN ACTO DERIVADO DE OTRO CONSENTIDO, AUN CUANDO NO SE HUBIERE IMPUGNADO DICHA PREVENCIÓN.</w:t>
      </w:r>
      <w:r w:rsidRPr="002A2450">
        <w:rPr>
          <w:rFonts w:ascii="ITC Avant Garde" w:hAnsi="ITC Avant Garde"/>
        </w:rPr>
        <w:t xml:space="preserve"> La advertencia de que se impondrá una multa en caso de no acatar una orden, es un acto autónomo y distinto del acuerdo que impone la referida sanción, ya que este último depende de la falta de acatamiento a la orden mencionada por parte del sujeto obligado. Lo anterior quiere decir que la imposición de la multa no deriva propiamente del auto en el que se apercibe con su aplicación, sino de la actuación y omisión del interesado. Por esa razón, la circunstancia de que no se impugne el proveído por el cual se determina que en caso de no cumplir una obligación se harán acreedores a una multa, no conduce a sostener que el auto que hace efectivo el apercibimiento e impone la referida sanción, sea un acto derivado de otro consentido y que, por tanto, el juicio de amparo promovido en su contra sea improcedente, en virtud de que no es una consecuencia legal necesaria de dicho acuerdo.</w:t>
      </w:r>
    </w:p>
    <w:p w14:paraId="31E82595" w14:textId="77777777" w:rsidR="00B35F13" w:rsidRDefault="00561921"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2003086, Instancia: Segunda Sala, Tipo de Tesis: Jurisprudencia, Fuente: Semanario Judicial de la Federación y su Gaceta, Libro XVIII, Marzo de 2013, Tomo 2, Materia(s): Común, Tesis: 2a</w:t>
      </w:r>
      <w:r w:rsidR="00C23776" w:rsidRPr="002A2450">
        <w:rPr>
          <w:rFonts w:ascii="ITC Avant Garde" w:hAnsi="ITC Avant Garde"/>
          <w:sz w:val="18"/>
        </w:rPr>
        <w:t>. /</w:t>
      </w:r>
      <w:r w:rsidRPr="002A2450">
        <w:rPr>
          <w:rFonts w:ascii="ITC Avant Garde" w:hAnsi="ITC Avant Garde"/>
          <w:sz w:val="18"/>
        </w:rPr>
        <w:t xml:space="preserve">J. 1/2013 (10a.), Página: 1426. </w:t>
      </w:r>
    </w:p>
    <w:p w14:paraId="5DDE5A86" w14:textId="77777777" w:rsidR="00B35F13" w:rsidRDefault="00EB1E45" w:rsidP="00B35F13">
      <w:pPr>
        <w:spacing w:before="240" w:line="360" w:lineRule="auto"/>
        <w:jc w:val="both"/>
        <w:rPr>
          <w:rFonts w:ascii="ITC Avant Garde" w:hAnsi="ITC Avant Garde"/>
        </w:rPr>
      </w:pPr>
      <w:r w:rsidRPr="002A2450">
        <w:rPr>
          <w:rFonts w:ascii="ITC Avant Garde" w:hAnsi="ITC Avant Garde"/>
        </w:rPr>
        <w:t xml:space="preserve">Advertido lo anterior, esta autoridad considera que los argumentos de </w:t>
      </w:r>
      <w:r w:rsidRPr="002A2450">
        <w:rPr>
          <w:rFonts w:ascii="ITC Avant Garde" w:hAnsi="ITC Avant Garde"/>
          <w:b/>
        </w:rPr>
        <w:t>“TELMEX”</w:t>
      </w:r>
      <w:r w:rsidRPr="002A2450">
        <w:rPr>
          <w:rFonts w:ascii="ITC Avant Garde" w:hAnsi="ITC Avant Garde"/>
        </w:rPr>
        <w:t xml:space="preserve"> en contra de los requerimientos de información resultan </w:t>
      </w:r>
      <w:r w:rsidRPr="002A2450">
        <w:rPr>
          <w:rFonts w:ascii="ITC Avant Garde" w:hAnsi="ITC Avant Garde"/>
          <w:b/>
          <w:u w:val="single"/>
        </w:rPr>
        <w:t>inatendibles</w:t>
      </w:r>
      <w:r w:rsidRPr="002A2450">
        <w:rPr>
          <w:rFonts w:ascii="ITC Avant Garde" w:hAnsi="ITC Avant Garde"/>
        </w:rPr>
        <w:t xml:space="preserve"> de acuerdo a lo señalado en el presente apartado.</w:t>
      </w:r>
    </w:p>
    <w:p w14:paraId="5B49A1CC" w14:textId="77777777" w:rsidR="00B35F13" w:rsidRDefault="00E12A74" w:rsidP="00B35F13">
      <w:pPr>
        <w:spacing w:before="240" w:line="360" w:lineRule="auto"/>
        <w:jc w:val="both"/>
        <w:rPr>
          <w:rFonts w:ascii="ITC Avant Garde" w:hAnsi="ITC Avant Garde"/>
        </w:rPr>
      </w:pPr>
      <w:r w:rsidRPr="002A2450">
        <w:rPr>
          <w:rFonts w:ascii="ITC Avant Garde" w:hAnsi="ITC Avant Garde"/>
        </w:rPr>
        <w:lastRenderedPageBreak/>
        <w:t>Para robustecer lo anterior, sirve de apoyo la siguiente tesis:</w:t>
      </w:r>
    </w:p>
    <w:p w14:paraId="1659E35D" w14:textId="77777777" w:rsidR="00B35F13" w:rsidRDefault="00E12A74" w:rsidP="00B35F13">
      <w:pPr>
        <w:spacing w:before="240" w:line="360" w:lineRule="auto"/>
        <w:ind w:left="567" w:right="567"/>
        <w:jc w:val="both"/>
        <w:rPr>
          <w:rFonts w:ascii="ITC Avant Garde" w:hAnsi="ITC Avant Garde"/>
        </w:rPr>
      </w:pPr>
      <w:r w:rsidRPr="002A2450">
        <w:rPr>
          <w:rFonts w:ascii="ITC Avant Garde" w:hAnsi="ITC Avant Garde"/>
          <w:b/>
        </w:rPr>
        <w:t xml:space="preserve">ACTOS DE VIGILANCIA Y SUPERVISIÓN PREVISTOS EN EL REGLAMENTO DE INSPECCIÓN DEL TRABAJO PARA EL ESTADO LIBRE Y SOBERANO DE TLAXCALA. CUANDO CON LA PROMOCIÓN DEL AMPARO SE IMPUGNEN EN FORMA DESTACADA PERO YA FUERON EJERCIDAS LAS FACULTADES DE VALORACIÓN Y CALIFICACIÓN DEL ACTA RELATIVA Y DEMÁS DOCUMENTOS E INICIADO EL PROCEDIMIENTO SANCIONADOR, DEBE ENTENDERSE QUE QUEDARON CONSUMADOS IRREPARABLEMENTE Y EN SU CONTRA ES IMPROCEDENTE EL JUICIO DE GARANTÍAS. </w:t>
      </w:r>
      <w:r w:rsidRPr="002A2450">
        <w:rPr>
          <w:rFonts w:ascii="ITC Avant Garde" w:hAnsi="ITC Avant Garde"/>
        </w:rPr>
        <w:t xml:space="preserve">De conformidad con los artículos 9o., fracciones I y II, 13, 18, fracciones II a VI, 22, 26, 47, 56 y 57 del referido reglamento, la orden de visita de inspección y su realización por los inspectores locales del trabajo, que culminan con la remisión del acta relativa y demás documentación a la Dirección del Trabajo y Previsión Social de la citada entidad, constituyen actos de vigilancia y supervisión que son autónomos y no forman parte del procedimiento sancionador laboral, pues éste inicia una vez que la aludida dirección concluye la valoración y calificación de los mencionados documentos y ordena el emplazamiento al patrón para que acuda a defender sus intereses, lo que es así, porque son actos que tienden a preparar la resolución definitiva, con audiencia del interesado. No obstante, cuando con la promoción del juicio de amparo el quejoso impugne en forma destacada los indicados actos previos pero ya fueron ejercidas las aludidas facultades de valoración y calificación e iniciado el procedimiento, debe entenderse que quedaron consumados irreparablemente, en términos del artículo 73, fracción IX, de la Ley de Amparo, y respecto de ellos es improcedente el juicio de garantías, ante la imposibilidad jurídica de restituir al quejoso en el goce de la garantía violada, aun cuando en su realización pudieron verse afectados derechos sustantivos. Lo anterior es así, porque una vez calificado e iniciado el procedimiento sancionador, la afectación al domicilio </w:t>
      </w:r>
      <w:r w:rsidRPr="002A2450">
        <w:rPr>
          <w:rFonts w:ascii="ITC Avant Garde" w:hAnsi="ITC Avant Garde"/>
        </w:rPr>
        <w:lastRenderedPageBreak/>
        <w:t>producida por la inspección se consuma irreparablemente. Ello sin perjuicio de que las observaciones realizadas en el acta de inspección puedan examinarse cuando se impugne la resolución definitiva, si le es desfavorable al interesado, en términos de la fracción II del artículo 114 de la citada ley, pues aun cuando sean autónomas al procedimiento, podrían haber influido en el resultado del fallo, de haberse admitido como prueba.</w:t>
      </w:r>
    </w:p>
    <w:p w14:paraId="2DA79372" w14:textId="77777777" w:rsidR="00B35F13" w:rsidRDefault="00E12A74"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2000705, Instancia: Tribunales Colegiados de Circuito, Tipo de Tesis: Aislada, Fuente: Semanario Judicial de la Federación y su Gaceta, Libro VIII, Mayo de 2012, Tomo 2, Materia(s): Común, Tesis: VII.2o</w:t>
      </w:r>
      <w:r w:rsidR="00C23776" w:rsidRPr="002A2450">
        <w:rPr>
          <w:rFonts w:ascii="ITC Avant Garde" w:hAnsi="ITC Avant Garde"/>
          <w:sz w:val="18"/>
        </w:rPr>
        <w:t>. (</w:t>
      </w:r>
      <w:r w:rsidRPr="002A2450">
        <w:rPr>
          <w:rFonts w:ascii="ITC Avant Garde" w:hAnsi="ITC Avant Garde"/>
          <w:sz w:val="18"/>
        </w:rPr>
        <w:t xml:space="preserve">IV Región) 1 A (10a.), Página: 1774 </w:t>
      </w:r>
    </w:p>
    <w:p w14:paraId="20A9EE65" w14:textId="77777777" w:rsidR="00B35F13" w:rsidRDefault="004F44F5" w:rsidP="00B35F13">
      <w:pPr>
        <w:spacing w:before="240" w:line="360" w:lineRule="auto"/>
        <w:jc w:val="both"/>
        <w:rPr>
          <w:rFonts w:ascii="ITC Avant Garde" w:hAnsi="ITC Avant Garde"/>
        </w:rPr>
      </w:pPr>
      <w:r w:rsidRPr="002A2450">
        <w:rPr>
          <w:rFonts w:ascii="ITC Avant Garde" w:hAnsi="ITC Avant Garde"/>
        </w:rPr>
        <w:t xml:space="preserve">Ahora bien, pese a la insuficiencia de los argumentos antes señalados, </w:t>
      </w:r>
      <w:r w:rsidRPr="002A2450">
        <w:rPr>
          <w:rFonts w:ascii="ITC Avant Garde" w:hAnsi="ITC Avant Garde"/>
          <w:b/>
        </w:rPr>
        <w:t>“TELMEX”</w:t>
      </w:r>
      <w:r w:rsidRPr="002A2450">
        <w:rPr>
          <w:rFonts w:ascii="ITC Avant Garde" w:hAnsi="ITC Avant Garde"/>
        </w:rPr>
        <w:t xml:space="preserve"> manifiesta que la fundamentación utilizada en los citados requerimientos </w:t>
      </w:r>
      <w:r w:rsidR="00BC4CFC" w:rsidRPr="002A2450">
        <w:rPr>
          <w:rFonts w:ascii="ITC Avant Garde" w:hAnsi="ITC Avant Garde"/>
        </w:rPr>
        <w:t xml:space="preserve">no le otorgaba a la entonces </w:t>
      </w:r>
      <w:r w:rsidR="00CA4CA9" w:rsidRPr="002A2450">
        <w:rPr>
          <w:rFonts w:ascii="ITC Avant Garde" w:hAnsi="ITC Avant Garde"/>
          <w:b/>
        </w:rPr>
        <w:t>“DGS”</w:t>
      </w:r>
      <w:r w:rsidR="00BC4CFC" w:rsidRPr="002A2450">
        <w:rPr>
          <w:rFonts w:ascii="ITC Avant Garde" w:hAnsi="ITC Avant Garde"/>
        </w:rPr>
        <w:t xml:space="preserve"> la facultad de requerir la información solicitada en dichos oficios.</w:t>
      </w:r>
    </w:p>
    <w:p w14:paraId="44E47EF6" w14:textId="77777777" w:rsidR="00B35F13" w:rsidRDefault="00BC4CFC" w:rsidP="00B35F13">
      <w:pPr>
        <w:spacing w:before="240" w:line="360" w:lineRule="auto"/>
        <w:jc w:val="both"/>
        <w:rPr>
          <w:rFonts w:ascii="ITC Avant Garde" w:hAnsi="ITC Avant Garde"/>
          <w:b/>
        </w:rPr>
      </w:pPr>
      <w:r w:rsidRPr="002A2450">
        <w:rPr>
          <w:rFonts w:ascii="ITC Avant Garde" w:hAnsi="ITC Avant Garde"/>
        </w:rPr>
        <w:t xml:space="preserve">Al respecto, debe señalarse que su argumento también resultaría infundado, dado que como bien lo advierte </w:t>
      </w:r>
      <w:r w:rsidR="00512D65" w:rsidRPr="002A2450">
        <w:rPr>
          <w:rFonts w:ascii="ITC Avant Garde" w:hAnsi="ITC Avant Garde"/>
        </w:rPr>
        <w:t xml:space="preserve">dicha concesionaria, dicha Dirección General apoyó su competencia en el artículo 26, aparatado A), fracciones II y XI del </w:t>
      </w:r>
      <w:r w:rsidR="00512D65" w:rsidRPr="002A2450">
        <w:rPr>
          <w:rFonts w:ascii="ITC Avant Garde" w:hAnsi="ITC Avant Garde"/>
          <w:b/>
        </w:rPr>
        <w:t xml:space="preserve">Abrogado Estatuto </w:t>
      </w:r>
      <w:r w:rsidR="00512D65" w:rsidRPr="002A2450">
        <w:rPr>
          <w:rFonts w:ascii="ITC Avant Garde" w:hAnsi="ITC Avant Garde"/>
        </w:rPr>
        <w:t xml:space="preserve">del </w:t>
      </w:r>
      <w:r w:rsidR="00512D65" w:rsidRPr="002A2450">
        <w:rPr>
          <w:rFonts w:ascii="ITC Avant Garde" w:hAnsi="ITC Avant Garde"/>
          <w:b/>
        </w:rPr>
        <w:t>“IFT”.</w:t>
      </w:r>
    </w:p>
    <w:p w14:paraId="287EA322" w14:textId="77777777" w:rsidR="00B35F13" w:rsidRDefault="00512D65" w:rsidP="00B35F13">
      <w:pPr>
        <w:spacing w:before="240" w:line="360" w:lineRule="auto"/>
        <w:jc w:val="both"/>
        <w:rPr>
          <w:rFonts w:ascii="ITC Avant Garde" w:hAnsi="ITC Avant Garde"/>
        </w:rPr>
      </w:pPr>
      <w:r w:rsidRPr="002A2450">
        <w:rPr>
          <w:rFonts w:ascii="ITC Avant Garde" w:hAnsi="ITC Avant Garde"/>
        </w:rPr>
        <w:t xml:space="preserve">En dichas porciones normativas se encuentran por un lado, las </w:t>
      </w:r>
      <w:r w:rsidR="00B50E11" w:rsidRPr="002A2450">
        <w:rPr>
          <w:rFonts w:ascii="ITC Avant Garde" w:hAnsi="ITC Avant Garde"/>
        </w:rPr>
        <w:t xml:space="preserve">facultades relativas a </w:t>
      </w:r>
      <w:r w:rsidRPr="002A2450">
        <w:rPr>
          <w:rFonts w:ascii="ITC Avant Garde" w:hAnsi="ITC Avant Garde"/>
        </w:rPr>
        <w:t>requerir información respecto de aquellas obligaciones a las cuales</w:t>
      </w:r>
      <w:r w:rsidR="00B50E11" w:rsidRPr="002A2450">
        <w:rPr>
          <w:rFonts w:ascii="ITC Avant Garde" w:hAnsi="ITC Avant Garde"/>
        </w:rPr>
        <w:t xml:space="preserve"> el concesionario </w:t>
      </w:r>
      <w:r w:rsidRPr="002A2450">
        <w:rPr>
          <w:rFonts w:ascii="ITC Avant Garde" w:hAnsi="ITC Avant Garde"/>
        </w:rPr>
        <w:t>se encuentra obligado a informar en términos de su Título de concesión, y además, la segunda porción normativa señala que podrá requerir información y documentación económica, financiera, administrativa, operativa técnica y cualquier otra que considere necesaria para analizar y resolver los asuntos de su competencia.</w:t>
      </w:r>
    </w:p>
    <w:p w14:paraId="7F78636B" w14:textId="77777777" w:rsidR="00B35F13" w:rsidRDefault="00512D65" w:rsidP="00B35F13">
      <w:pPr>
        <w:spacing w:before="240" w:line="360" w:lineRule="auto"/>
        <w:jc w:val="both"/>
        <w:rPr>
          <w:rFonts w:ascii="ITC Avant Garde" w:hAnsi="ITC Avant Garde"/>
        </w:rPr>
      </w:pPr>
      <w:r w:rsidRPr="002A2450">
        <w:rPr>
          <w:rFonts w:ascii="ITC Avant Garde" w:hAnsi="ITC Avant Garde"/>
        </w:rPr>
        <w:t xml:space="preserve">En ese sentido, es indudable que a la fecha en la que se emitieron los requerimientos, esta autoridad no conocía el contenido y alcance de la </w:t>
      </w:r>
      <w:r w:rsidRPr="002A2450">
        <w:rPr>
          <w:rFonts w:ascii="ITC Avant Garde" w:hAnsi="ITC Avant Garde"/>
        </w:rPr>
        <w:lastRenderedPageBreak/>
        <w:t xml:space="preserve">información solicitada, pues, precisamente, el objetivo de </w:t>
      </w:r>
      <w:r w:rsidR="00B50E11" w:rsidRPr="002A2450">
        <w:rPr>
          <w:rFonts w:ascii="ITC Avant Garde" w:hAnsi="ITC Avant Garde"/>
        </w:rPr>
        <w:t xml:space="preserve">solicitar </w:t>
      </w:r>
      <w:r w:rsidRPr="002A2450">
        <w:rPr>
          <w:rFonts w:ascii="ITC Avant Garde" w:hAnsi="ITC Avant Garde"/>
        </w:rPr>
        <w:t>dicha información era conocer s</w:t>
      </w:r>
      <w:r w:rsidR="00D02963" w:rsidRPr="002A2450">
        <w:rPr>
          <w:rFonts w:ascii="ITC Avant Garde" w:hAnsi="ITC Avant Garde"/>
        </w:rPr>
        <w:t>í</w:t>
      </w:r>
      <w:r w:rsidRPr="002A2450">
        <w:rPr>
          <w:rFonts w:ascii="ITC Avant Garde" w:hAnsi="ITC Avant Garde"/>
        </w:rPr>
        <w:t xml:space="preserve"> la misma representaba información que debió informarse en su momento a esta autoridad como parte del contenido obligacional a que se contraería su Título de Concesión y a las disposiciones legales, reglamentarias y administrativas aplicables.</w:t>
      </w:r>
    </w:p>
    <w:p w14:paraId="19CD90C9" w14:textId="77777777" w:rsidR="00B35F13" w:rsidRDefault="00512D65" w:rsidP="00B35F13">
      <w:pPr>
        <w:spacing w:before="240" w:line="360" w:lineRule="auto"/>
        <w:jc w:val="both"/>
        <w:rPr>
          <w:rFonts w:ascii="ITC Avant Garde" w:hAnsi="ITC Avant Garde"/>
        </w:rPr>
      </w:pPr>
      <w:r w:rsidRPr="002A2450">
        <w:rPr>
          <w:rFonts w:ascii="ITC Avant Garde" w:hAnsi="ITC Avant Garde"/>
        </w:rPr>
        <w:t>En ese sentido, la Primera Sala de la Suprema Corte de Justicia de la Nación ha sostenido que dichas facultades corresponden a las facultades de comprobación, esto es supervisar que se hayan cumplido las obligaciones a q</w:t>
      </w:r>
      <w:r w:rsidR="00B50E11" w:rsidRPr="002A2450">
        <w:rPr>
          <w:rFonts w:ascii="ITC Avant Garde" w:hAnsi="ITC Avant Garde"/>
        </w:rPr>
        <w:t xml:space="preserve">ue se encuentra sujeta un ente </w:t>
      </w:r>
      <w:proofErr w:type="spellStart"/>
      <w:r w:rsidR="00B50E11" w:rsidRPr="002A2450">
        <w:rPr>
          <w:rFonts w:ascii="ITC Avant Garde" w:hAnsi="ITC Avant Garde"/>
        </w:rPr>
        <w:t>regulado</w:t>
      </w:r>
      <w:proofErr w:type="spellEnd"/>
      <w:r w:rsidR="00B50E11" w:rsidRPr="002A2450">
        <w:rPr>
          <w:rFonts w:ascii="ITC Avant Garde" w:hAnsi="ITC Avant Garde"/>
        </w:rPr>
        <w:t>.</w:t>
      </w:r>
    </w:p>
    <w:p w14:paraId="4E81266A" w14:textId="77777777" w:rsidR="00B35F13" w:rsidRDefault="00512D65" w:rsidP="00B35F13">
      <w:pPr>
        <w:spacing w:before="240" w:line="360" w:lineRule="auto"/>
        <w:jc w:val="both"/>
        <w:rPr>
          <w:rFonts w:ascii="ITC Avant Garde" w:hAnsi="ITC Avant Garde"/>
        </w:rPr>
      </w:pPr>
      <w:r w:rsidRPr="002A2450">
        <w:rPr>
          <w:rFonts w:ascii="ITC Avant Garde" w:hAnsi="ITC Avant Garde"/>
        </w:rPr>
        <w:t>Sirve de apoyo a lo anterior, la siguiente tesis:</w:t>
      </w:r>
    </w:p>
    <w:p w14:paraId="108AF720" w14:textId="77777777" w:rsidR="00B35F13" w:rsidRDefault="00E12A74" w:rsidP="00B35F13">
      <w:pPr>
        <w:spacing w:before="240" w:line="360" w:lineRule="auto"/>
        <w:ind w:left="567" w:right="567"/>
        <w:jc w:val="both"/>
        <w:rPr>
          <w:rFonts w:ascii="ITC Avant Garde" w:hAnsi="ITC Avant Garde"/>
        </w:rPr>
      </w:pPr>
      <w:r w:rsidRPr="002A2450">
        <w:rPr>
          <w:rFonts w:ascii="ITC Avant Garde" w:hAnsi="ITC Avant Garde"/>
          <w:b/>
        </w:rPr>
        <w:t>FACULTADES DE COMPROBACIÓN Y DE GESTIÓN DE LAS AUTORIDADES FISCALES. SUS DIFERENCIAS.</w:t>
      </w:r>
      <w:r w:rsidR="00512D65" w:rsidRPr="002A2450">
        <w:rPr>
          <w:rFonts w:ascii="ITC Avant Garde" w:hAnsi="ITC Avant Garde"/>
        </w:rPr>
        <w:t xml:space="preserve"> </w:t>
      </w:r>
      <w:r w:rsidRPr="002A2450">
        <w:rPr>
          <w:rFonts w:ascii="ITC Avant Garde" w:hAnsi="ITC Avant Garde"/>
        </w:rPr>
        <w:t xml:space="preserve">Desde la perspectiva del derecho tributario administrativo, la autoridad fiscal está facultada constitucionalmente en el artículo 16, párrafos primero y décimo sexto, de la Constitución Política de los Estados Unidos Mexicanos para ejercer facultades de gestión (asistencia, control o vigilancia) y de comprobación (inspección, verificación, determinación o liquidación) de la obligación de contribuir prevista en el numeral 31, fracción IV, del mismo ordenamiento supremo, concretizada en la legislación fiscal a través de la obligación tributaria. Ahora, dentro de las facultades de gestión tributaria se encuentran, entre otras, la prevista en el numeral 41, fracción I, del Código Fiscal de la Federación vigente en 2010, por medio de la cual la autoridad fiscal requiere a los contribuyentes la presentación de los documentos por los cuales se acredite el cumplimiento de sus obligaciones fiscales y, en caso de no hacerlo, procederá a imponer la multa correspondiente con el objeto de controlar y vigilar el cumplimiento de dichas obligaciones. En cambio, las facultades de comprobación de la autoridad fiscal se encuentran previstas en el numeral 42 del código tributario invocado, y tienen como finalidad inspeccionar, verificar, determinar o liquidar las </w:t>
      </w:r>
      <w:r w:rsidRPr="002A2450">
        <w:rPr>
          <w:rFonts w:ascii="ITC Avant Garde" w:hAnsi="ITC Avant Garde"/>
        </w:rPr>
        <w:lastRenderedPageBreak/>
        <w:t>citadas obligaciones, facultades que encuentran en el mismo ordenamiento legal invocado una regulación y procedimiento propios que cumplir.</w:t>
      </w:r>
    </w:p>
    <w:p w14:paraId="697D34F1" w14:textId="77777777" w:rsidR="00B35F13" w:rsidRDefault="00512D65"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2000798, Instancia: Primera Sala, Tipo de Tesis: Aislada, Fuente: Semanario Judicial de la Federación y su Gaceta, Libro VIII, Mayo de 2012, Tomo 1, Materia(s): Administrativa, Tesis: 1a. CIII/2012 (10a.), Página: 1094 </w:t>
      </w:r>
    </w:p>
    <w:p w14:paraId="50948DBD" w14:textId="77777777" w:rsidR="00B35F13" w:rsidRDefault="00512D65" w:rsidP="00B35F13">
      <w:pPr>
        <w:spacing w:before="240" w:line="360" w:lineRule="auto"/>
        <w:jc w:val="both"/>
        <w:rPr>
          <w:rFonts w:ascii="ITC Avant Garde" w:hAnsi="ITC Avant Garde"/>
          <w:i/>
        </w:rPr>
      </w:pPr>
      <w:r w:rsidRPr="002A2450">
        <w:rPr>
          <w:rFonts w:ascii="ITC Avant Garde" w:hAnsi="ITC Avant Garde"/>
        </w:rPr>
        <w:t xml:space="preserve">Así las cosas, es indudable que al haber ejercido dicha </w:t>
      </w:r>
      <w:r w:rsidR="0074386A" w:rsidRPr="002A2450">
        <w:rPr>
          <w:rFonts w:ascii="ITC Avant Garde" w:hAnsi="ITC Avant Garde"/>
        </w:rPr>
        <w:t xml:space="preserve">facultad, la misma fue con </w:t>
      </w:r>
      <w:r w:rsidR="0074386A" w:rsidRPr="002A2450">
        <w:rPr>
          <w:rFonts w:ascii="ITC Avant Garde" w:hAnsi="ITC Avant Garde"/>
          <w:i/>
        </w:rPr>
        <w:t>“… la finalidad de asegurar que la prestación del servicio de telecomunicaciones se realice en apego a lo establecido en dicha normatividad atendiendo a la obligación que tiene su representada de proporcionar la información, dato o documento que le sea requerido…”</w:t>
      </w:r>
    </w:p>
    <w:p w14:paraId="3B249C7B" w14:textId="77777777" w:rsidR="00B35F13" w:rsidRDefault="0074386A" w:rsidP="00B35F13">
      <w:pPr>
        <w:spacing w:before="240" w:line="360" w:lineRule="auto"/>
        <w:jc w:val="both"/>
        <w:rPr>
          <w:rFonts w:ascii="ITC Avant Garde" w:hAnsi="ITC Avant Garde"/>
        </w:rPr>
      </w:pPr>
      <w:r w:rsidRPr="002A2450">
        <w:rPr>
          <w:rFonts w:ascii="ITC Avant Garde" w:hAnsi="ITC Avant Garde"/>
        </w:rPr>
        <w:t xml:space="preserve">En tales consideraciones, la información solicitada atendió a naturaleza propia de los artículos señalados, puesto que en ese momento, la información requerida no era del conocimiento de la autoridad, de ahí que el procedimiento lógico era solicitar la misma y proceder a su análisis, tal y como se realizó, al considerar que la misma en términos del </w:t>
      </w:r>
      <w:r w:rsidRPr="002A2450">
        <w:rPr>
          <w:rFonts w:ascii="ITC Avant Garde" w:hAnsi="ITC Avant Garde"/>
          <w:b/>
        </w:rPr>
        <w:t>Abrogado Estatuto</w:t>
      </w:r>
      <w:r w:rsidRPr="002A2450">
        <w:rPr>
          <w:rFonts w:ascii="ITC Avant Garde" w:hAnsi="ITC Avant Garde"/>
        </w:rPr>
        <w:t xml:space="preserve"> correspondía a la Unidad de Competencia Económica.</w:t>
      </w:r>
    </w:p>
    <w:p w14:paraId="73F91748" w14:textId="77777777" w:rsidR="00B35F13" w:rsidRDefault="0074386A" w:rsidP="00B35F13">
      <w:pPr>
        <w:spacing w:before="240" w:line="360" w:lineRule="auto"/>
        <w:jc w:val="both"/>
        <w:rPr>
          <w:rFonts w:ascii="ITC Avant Garde" w:hAnsi="ITC Avant Garde"/>
        </w:rPr>
      </w:pPr>
      <w:r w:rsidRPr="002A2450">
        <w:rPr>
          <w:rFonts w:ascii="ITC Avant Garde" w:hAnsi="ITC Avant Garde"/>
        </w:rPr>
        <w:t xml:space="preserve">Por tanto, al considerar que en su momento dicha información podría corresponder al cumplimiento de las obligaciones a las que se encuentra sujeta </w:t>
      </w:r>
      <w:r w:rsidRPr="002A2450">
        <w:rPr>
          <w:rFonts w:ascii="ITC Avant Garde" w:hAnsi="ITC Avant Garde"/>
          <w:b/>
        </w:rPr>
        <w:t>“TELMEX”</w:t>
      </w:r>
      <w:r w:rsidRPr="002A2450">
        <w:rPr>
          <w:rFonts w:ascii="ITC Avant Garde" w:hAnsi="ITC Avant Garde"/>
        </w:rPr>
        <w:t xml:space="preserve"> esa Dirección General requirió la información solicitada advirtiendo que la misma era para conocer que la prestación del servicio se </w:t>
      </w:r>
      <w:r w:rsidR="004471E3">
        <w:rPr>
          <w:rFonts w:ascii="ITC Avant Garde" w:hAnsi="ITC Avant Garde"/>
        </w:rPr>
        <w:t>hiciera</w:t>
      </w:r>
      <w:r w:rsidR="004471E3" w:rsidRPr="002A2450">
        <w:rPr>
          <w:rFonts w:ascii="ITC Avant Garde" w:hAnsi="ITC Avant Garde"/>
        </w:rPr>
        <w:t xml:space="preserve"> </w:t>
      </w:r>
      <w:r w:rsidRPr="002A2450">
        <w:rPr>
          <w:rFonts w:ascii="ITC Avant Garde" w:hAnsi="ITC Avant Garde"/>
        </w:rPr>
        <w:t>conforme a la normativida</w:t>
      </w:r>
      <w:r w:rsidR="00FD7A39" w:rsidRPr="002A2450">
        <w:rPr>
          <w:rFonts w:ascii="ITC Avant Garde" w:hAnsi="ITC Avant Garde"/>
        </w:rPr>
        <w:t xml:space="preserve">d de la materia, sin que ello pueda desvirtuar la naturaleza misma de las facultades que tenía encomendada dicha </w:t>
      </w:r>
      <w:r w:rsidR="00CA4CA9" w:rsidRPr="002A2450">
        <w:rPr>
          <w:rFonts w:ascii="ITC Avant Garde" w:hAnsi="ITC Avant Garde"/>
          <w:b/>
        </w:rPr>
        <w:t>“DGS”</w:t>
      </w:r>
      <w:r w:rsidR="00FD7A39" w:rsidRPr="002A2450">
        <w:rPr>
          <w:rFonts w:ascii="ITC Avant Garde" w:hAnsi="ITC Avant Garde"/>
          <w:b/>
        </w:rPr>
        <w:t>.</w:t>
      </w:r>
    </w:p>
    <w:p w14:paraId="16BC5E05" w14:textId="77777777" w:rsidR="00B35F13" w:rsidRDefault="00FD7A39" w:rsidP="00B35F13">
      <w:pPr>
        <w:spacing w:before="240" w:line="360" w:lineRule="auto"/>
        <w:jc w:val="both"/>
        <w:rPr>
          <w:rFonts w:ascii="ITC Avant Garde" w:hAnsi="ITC Avant Garde"/>
        </w:rPr>
      </w:pPr>
      <w:r w:rsidRPr="002A2450">
        <w:rPr>
          <w:rFonts w:ascii="ITC Avant Garde" w:hAnsi="ITC Avant Garde"/>
        </w:rPr>
        <w:t>Al respecto, sirve de apoyo la siguiente jurisprudencia:</w:t>
      </w:r>
    </w:p>
    <w:p w14:paraId="7B50044D" w14:textId="77777777" w:rsidR="00B35F13" w:rsidRDefault="00FD7A39" w:rsidP="00B35F13">
      <w:pPr>
        <w:spacing w:before="240" w:line="360" w:lineRule="auto"/>
        <w:ind w:left="567" w:right="567"/>
        <w:jc w:val="both"/>
        <w:rPr>
          <w:rFonts w:ascii="ITC Avant Garde" w:hAnsi="ITC Avant Garde"/>
        </w:rPr>
      </w:pPr>
      <w:r w:rsidRPr="002A2450">
        <w:rPr>
          <w:rFonts w:ascii="ITC Avant Garde" w:hAnsi="ITC Avant Garde"/>
          <w:b/>
        </w:rPr>
        <w:t xml:space="preserve">FACULTADES DE VERIFICACIÓN. LA ESTABLECIDA EN EL ARTÍCULO 52-A, FRACCIÓN II, DEL CÓDIGO FISCAL DE LA FEDERACIÓN, EN RELACIÓN CON EL REQUERIMIENTO DE INFORMACIÓN Y DOCUMENTACIÓN </w:t>
      </w:r>
      <w:r w:rsidRPr="002A2450">
        <w:rPr>
          <w:rFonts w:ascii="ITC Avant Garde" w:hAnsi="ITC Avant Garde"/>
          <w:b/>
        </w:rPr>
        <w:lastRenderedPageBreak/>
        <w:t>DIRIGIDO AL CONTRIBUYENTE, DEBE MOTIVARSE EN TÉRMINOS DEL ARTÍCULO 38 DEL PROPIO CÓDIGO.</w:t>
      </w:r>
      <w:r w:rsidRPr="002A2450">
        <w:rPr>
          <w:rFonts w:ascii="ITC Avant Garde" w:hAnsi="ITC Avant Garde"/>
        </w:rPr>
        <w:t xml:space="preserve"> Conforme al artículo 52-A, fracción I, del Código Fiscal de la Federación, cuando las autoridades fiscales en el ejercicio de sus facultades de comprobación revisen el dictamen de los estados financieros formulado por el contador público registrado, primeramente le requerirán cualquier información que por disposición legal debiera estar incluida en dicho documento, así como la exhibición de los papeles de trabajo elaborados con motivo de la auditoría practicada, y la información que consideren pertinente para cerciorarse del cumplimiento de las obligaciones fiscales del contribuyente. Ahora, conforme a la fracción II del mismo precepto, si a juicio de las autoridades fiscales el dictamen, la información y los documentos mencionados fueran insuficientes, extemporáneos o incompletos, las citadas autoridades podrán, a su juicio, ejercer directamente con el contribuyente sus facultades de comprobación, supuesto en el cual la solicitud respectiva deberá observar lo dispuesto en el artículo 38 del propio Código que regula las formalidades que deben revestir los actos administrativos en materia tributaria federal, es decir, constar por escrito, firmado por la autoridad que la dicta, con el señalamiento del lugar y fecha de emisión, así como el de la persona a la que vaya dirigido, pero sobre todo, el requerimiento deberá estar fundado y motivado, lo cual en el caso concreto exclusivamente se limita en cuanto al primer requisito, además de la invocación de las normas competenciales respectivas, a la cita del precepto en que se basa la actuación de la autoridad y, en relación con el segundo, a identificar la información faltante, bastando para ello señalar lo siguiente: 1) el medio en que se encuentra tal información, esto es, si es a través de documentos, papeles de trabajo, cuentas, libros, comprobantes fiscales, sistemas y registros contables, electrónicos, discos, cintas o cualquier otro medio procesable de almacenamiento de datos, 2) el tipo de contribución que generó la </w:t>
      </w:r>
      <w:r w:rsidRPr="002A2450">
        <w:rPr>
          <w:rFonts w:ascii="ITC Avant Garde" w:hAnsi="ITC Avant Garde"/>
        </w:rPr>
        <w:lastRenderedPageBreak/>
        <w:t>laguna en la información y, 3) el periodo cuya revisión no se pudo verificar, sin que sea necesario que la autoridad pormenorice mayores datos y anticipe algún posible incumplimiento de las obligaciones fiscales del contribuyente, ya que este aspecto es propio de la resolución definitiva que en su momento llegara a dictarse, pues no resulta lógico exigirle mayor precisión sobre lo que en principio estima que ignora. Aunado a lo anterior, el grado de motivación exigible en los actos administrativos es proporcional al perjuicio que ocasionen al particular, y en la especie se advierte que si la información faltante no fuera tomada en cuenta al momento de emitirse la resolución definitiva, eso significa que la petición de ella no ocasionó daño alguno al contribuyente, y por el contrario, si la misma fue decisiva en el resultado al que se llegó, ello será signo inequívoco de que los datos aportados por el propio contribuyente eran indispensables para concluir la revisión, por lo que la motivación para allegarla a su expediente la expondrá la autoridad cuando en el documento con el que culmine el ejercicio de sus facultades de comprobación determine algún crédito, en su caso.</w:t>
      </w:r>
    </w:p>
    <w:p w14:paraId="7A09E19A" w14:textId="77777777" w:rsidR="00B35F13" w:rsidRDefault="00FD7A39"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2003992, Instancia: Segunda Sala, Tipo de Tesis: Jurisprudencia, Fuente: Semanario Judicial de la Federación y su Gaceta, Libro XXII, Julio de 2013, Tomo 1, Materia(s): Administrativa, Tesis: 2a</w:t>
      </w:r>
      <w:r w:rsidR="00C23776" w:rsidRPr="002A2450">
        <w:rPr>
          <w:rFonts w:ascii="ITC Avant Garde" w:hAnsi="ITC Avant Garde"/>
          <w:sz w:val="18"/>
        </w:rPr>
        <w:t>. /</w:t>
      </w:r>
      <w:r w:rsidRPr="002A2450">
        <w:rPr>
          <w:rFonts w:ascii="ITC Avant Garde" w:hAnsi="ITC Avant Garde"/>
          <w:sz w:val="18"/>
        </w:rPr>
        <w:t xml:space="preserve">J. 94/2013 (10a.), Página: 887 </w:t>
      </w:r>
    </w:p>
    <w:p w14:paraId="4F93FEA6" w14:textId="77777777" w:rsidR="00B35F13" w:rsidRDefault="00FD7A39" w:rsidP="00B35F13">
      <w:pPr>
        <w:spacing w:before="240" w:line="360" w:lineRule="auto"/>
        <w:jc w:val="both"/>
        <w:rPr>
          <w:rFonts w:ascii="ITC Avant Garde" w:hAnsi="ITC Avant Garde"/>
        </w:rPr>
      </w:pPr>
      <w:r w:rsidRPr="002A2450">
        <w:rPr>
          <w:rFonts w:ascii="ITC Avant Garde" w:hAnsi="ITC Avant Garde"/>
        </w:rPr>
        <w:t xml:space="preserve">Por tanto, contrario a lo sostenido por </w:t>
      </w:r>
      <w:r w:rsidRPr="002A2450">
        <w:rPr>
          <w:rFonts w:ascii="ITC Avant Garde" w:hAnsi="ITC Avant Garde"/>
          <w:b/>
        </w:rPr>
        <w:t>“TELMEX”</w:t>
      </w:r>
      <w:r w:rsidR="00B50E11" w:rsidRPr="002A2450">
        <w:rPr>
          <w:rFonts w:ascii="ITC Avant Garde" w:hAnsi="ITC Avant Garde"/>
          <w:b/>
        </w:rPr>
        <w:t>,</w:t>
      </w:r>
      <w:r w:rsidRPr="002A2450">
        <w:rPr>
          <w:rFonts w:ascii="ITC Avant Garde" w:hAnsi="ITC Avant Garde"/>
        </w:rPr>
        <w:t xml:space="preserve"> la </w:t>
      </w:r>
      <w:r w:rsidR="00CA4CA9" w:rsidRPr="002A2450">
        <w:rPr>
          <w:rFonts w:ascii="ITC Avant Garde" w:hAnsi="ITC Avant Garde"/>
          <w:b/>
        </w:rPr>
        <w:t>“DGS”</w:t>
      </w:r>
      <w:r w:rsidRPr="002A2450">
        <w:rPr>
          <w:rFonts w:ascii="ITC Avant Garde" w:hAnsi="ITC Avant Garde"/>
        </w:rPr>
        <w:t xml:space="preserve"> contaba con las facultades suficientes para requerir la información solicitada, puesto que como se ha señalado en el presente apartado, la misma resultaba necesaria para analizar y conocer los asuntos de su competencia, en términos del artículo 26, Apartado A), fracción XI, del </w:t>
      </w:r>
      <w:r w:rsidRPr="002A2450">
        <w:rPr>
          <w:rFonts w:ascii="ITC Avant Garde" w:hAnsi="ITC Avant Garde"/>
          <w:b/>
        </w:rPr>
        <w:t>Abrogado Estatuto</w:t>
      </w:r>
      <w:r w:rsidRPr="002A2450">
        <w:rPr>
          <w:rFonts w:ascii="ITC Avant Garde" w:hAnsi="ITC Avant Garde"/>
        </w:rPr>
        <w:t xml:space="preserve"> del </w:t>
      </w:r>
      <w:r w:rsidRPr="002A2450">
        <w:rPr>
          <w:rFonts w:ascii="ITC Avant Garde" w:hAnsi="ITC Avant Garde"/>
          <w:b/>
        </w:rPr>
        <w:t>“IFT”</w:t>
      </w:r>
      <w:r w:rsidRPr="002A2450">
        <w:rPr>
          <w:rFonts w:ascii="ITC Avant Garde" w:hAnsi="ITC Avant Garde"/>
        </w:rPr>
        <w:t xml:space="preserve">, de ahí lo </w:t>
      </w:r>
      <w:r w:rsidR="00490045" w:rsidRPr="002A2450">
        <w:rPr>
          <w:rFonts w:ascii="ITC Avant Garde" w:hAnsi="ITC Avant Garde"/>
          <w:b/>
          <w:u w:val="single"/>
        </w:rPr>
        <w:t>inatendible</w:t>
      </w:r>
      <w:r w:rsidR="00490045" w:rsidRPr="002A2450">
        <w:rPr>
          <w:rFonts w:ascii="ITC Avant Garde" w:hAnsi="ITC Avant Garde"/>
        </w:rPr>
        <w:t xml:space="preserve"> </w:t>
      </w:r>
      <w:r w:rsidRPr="002A2450">
        <w:rPr>
          <w:rFonts w:ascii="ITC Avant Garde" w:hAnsi="ITC Avant Garde"/>
        </w:rPr>
        <w:t>de su argumento.</w:t>
      </w:r>
    </w:p>
    <w:p w14:paraId="5385614F" w14:textId="77777777" w:rsidR="00B35F13" w:rsidRPr="00CE1EA8" w:rsidRDefault="00F441E2" w:rsidP="007E623E">
      <w:pPr>
        <w:pStyle w:val="Ttulo4"/>
        <w:numPr>
          <w:ilvl w:val="0"/>
          <w:numId w:val="65"/>
        </w:numPr>
        <w:ind w:left="284" w:hanging="284"/>
        <w:rPr>
          <w:b/>
        </w:rPr>
      </w:pPr>
      <w:r w:rsidRPr="00CE1EA8">
        <w:rPr>
          <w:b/>
        </w:rPr>
        <w:t>EL ACUERDO DE INICIO PARTE DE HECHOS FALSOS O IMPRECISOS Y ES VIOLATORIA DE LOS ARTÍCULOS 1, 6, 14 Y 16 DE LA CONSTITUCIÓN</w:t>
      </w:r>
    </w:p>
    <w:p w14:paraId="07F45FCB" w14:textId="77777777" w:rsidR="00B35F13" w:rsidRDefault="003D66DF"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lastRenderedPageBreak/>
        <w:t>“TELMEX”</w:t>
      </w:r>
      <w:r w:rsidRPr="002A2450">
        <w:rPr>
          <w:rFonts w:ascii="ITC Avant Garde" w:eastAsia="Times New Roman" w:hAnsi="ITC Avant Garde"/>
          <w:bCs/>
          <w:color w:val="000000"/>
          <w:lang w:eastAsia="es-MX"/>
        </w:rPr>
        <w:t xml:space="preserve"> manifiesta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a manera de resumen lo siguiente</w:t>
      </w:r>
      <w:r w:rsidR="00196E87" w:rsidRPr="002A2450">
        <w:rPr>
          <w:rFonts w:ascii="ITC Avant Garde" w:eastAsia="Times New Roman" w:hAnsi="ITC Avant Garde"/>
          <w:bCs/>
          <w:color w:val="000000"/>
          <w:lang w:eastAsia="es-MX"/>
        </w:rPr>
        <w:t xml:space="preserve"> (fojas treinta y nueve a cuarenta y tres)</w:t>
      </w:r>
      <w:r w:rsidRPr="002A2450">
        <w:rPr>
          <w:rFonts w:ascii="ITC Avant Garde" w:eastAsia="Times New Roman" w:hAnsi="ITC Avant Garde"/>
          <w:bCs/>
          <w:color w:val="000000"/>
          <w:lang w:eastAsia="es-MX"/>
        </w:rPr>
        <w:t>:</w:t>
      </w:r>
    </w:p>
    <w:p w14:paraId="6924C458" w14:textId="77777777" w:rsidR="00B35F13" w:rsidRDefault="007D2113" w:rsidP="00B35F13">
      <w:pPr>
        <w:spacing w:before="240" w:line="360" w:lineRule="auto"/>
        <w:ind w:left="567" w:right="567"/>
        <w:jc w:val="both"/>
        <w:rPr>
          <w:rFonts w:ascii="ITC Avant Garde" w:hAnsi="ITC Avant Garde"/>
          <w:i/>
        </w:rPr>
      </w:pPr>
      <w:r w:rsidRPr="002A2450">
        <w:rPr>
          <w:rFonts w:ascii="ITC Avant Garde" w:hAnsi="ITC Avant Garde"/>
          <w:i/>
        </w:rPr>
        <w:t>Las facultades que se le confieren al IFT no son absolutas ni omnímodas. En el procedimiento que nos ocupa, mi representada manifiesta que el titular es omiso en observar los artículos 1, 6, 14 y 16 de la Constitución, puesto que en el acuerdo de inicio parte de hechos falsos o imprecisos.</w:t>
      </w:r>
    </w:p>
    <w:p w14:paraId="42ED18D1" w14:textId="77777777" w:rsidR="00B35F13" w:rsidRDefault="007D2113" w:rsidP="00B35F13">
      <w:pPr>
        <w:spacing w:before="240" w:line="360" w:lineRule="auto"/>
        <w:ind w:left="567" w:right="567"/>
        <w:jc w:val="both"/>
        <w:rPr>
          <w:rFonts w:ascii="ITC Avant Garde" w:hAnsi="ITC Avant Garde"/>
          <w:i/>
        </w:rPr>
      </w:pPr>
      <w:r w:rsidRPr="002A2450">
        <w:rPr>
          <w:rFonts w:ascii="ITC Avant Garde" w:hAnsi="ITC Avant Garde"/>
          <w:i/>
        </w:rPr>
        <w:t xml:space="preserve">El artículo 15 fracción XXX de la </w:t>
      </w:r>
      <w:proofErr w:type="spellStart"/>
      <w:r w:rsidRPr="002A2450">
        <w:rPr>
          <w:rFonts w:ascii="ITC Avant Garde" w:hAnsi="ITC Avant Garde"/>
          <w:i/>
        </w:rPr>
        <w:t>LFTyR</w:t>
      </w:r>
      <w:proofErr w:type="spellEnd"/>
      <w:r w:rsidRPr="002A2450">
        <w:rPr>
          <w:rFonts w:ascii="ITC Avant Garde" w:hAnsi="ITC Avant Garde"/>
          <w:i/>
        </w:rPr>
        <w:t xml:space="preserve"> no le da competencia ni le atribuye facultades a ese Instituto para que lleve a cabo procedimientos administrativos de imposición de sanción. Más fundar la competencia en este artículo implica una resolución a priori de las conductas que se imputan a mi representada.</w:t>
      </w:r>
    </w:p>
    <w:p w14:paraId="04DCC5E2" w14:textId="77777777" w:rsidR="00B35F13" w:rsidRDefault="007D2113" w:rsidP="00B35F13">
      <w:pPr>
        <w:spacing w:before="240" w:line="360" w:lineRule="auto"/>
        <w:ind w:left="567" w:right="567"/>
        <w:jc w:val="both"/>
        <w:rPr>
          <w:rFonts w:ascii="ITC Avant Garde" w:hAnsi="ITC Avant Garde"/>
          <w:i/>
        </w:rPr>
      </w:pPr>
      <w:r w:rsidRPr="002A2450">
        <w:rPr>
          <w:rFonts w:ascii="ITC Avant Garde" w:hAnsi="ITC Avant Garde"/>
          <w:i/>
        </w:rPr>
        <w:t xml:space="preserve">En cuanto a fundar la competencia en los artículos 41 y 44, fracción I del Estatuto Orgánico, se advierte que se carece de competencia para interpretar el título de concesión de </w:t>
      </w:r>
      <w:r w:rsidR="005B601B" w:rsidRPr="002A2450">
        <w:rPr>
          <w:rFonts w:ascii="ITC Avant Garde" w:hAnsi="ITC Avant Garde"/>
          <w:b/>
          <w:i/>
        </w:rPr>
        <w:t>“TELMEX”</w:t>
      </w:r>
      <w:r w:rsidRPr="002A2450">
        <w:rPr>
          <w:rFonts w:ascii="ITC Avant Garde" w:hAnsi="ITC Avant Garde"/>
          <w:i/>
        </w:rPr>
        <w:t xml:space="preserve">, así como para revocar las resoluciones que a su favor emitió el Subsecretario de Comunicaciones quien dio la interpretación correcta a la condición 1-9, último párrafo, del título de concesión. </w:t>
      </w:r>
    </w:p>
    <w:p w14:paraId="2DD71F63" w14:textId="77777777" w:rsidR="00B35F13" w:rsidRDefault="009244EF" w:rsidP="00B35F13">
      <w:pPr>
        <w:spacing w:before="240" w:line="360" w:lineRule="auto"/>
        <w:jc w:val="both"/>
        <w:rPr>
          <w:rFonts w:ascii="ITC Avant Garde" w:hAnsi="ITC Avant Garde"/>
        </w:rPr>
      </w:pPr>
      <w:r w:rsidRPr="002A2450">
        <w:rPr>
          <w:rFonts w:ascii="ITC Avant Garde" w:hAnsi="ITC Avant Garde"/>
        </w:rPr>
        <w:t xml:space="preserve">Al respecto, su argumento resulta </w:t>
      </w:r>
      <w:r w:rsidRPr="002A2450">
        <w:rPr>
          <w:rFonts w:ascii="ITC Avant Garde" w:hAnsi="ITC Avant Garde"/>
          <w:b/>
          <w:u w:val="single"/>
        </w:rPr>
        <w:t>inoperante</w:t>
      </w:r>
      <w:r w:rsidRPr="002A2450">
        <w:rPr>
          <w:rFonts w:ascii="ITC Avant Garde" w:hAnsi="ITC Avant Garde"/>
        </w:rPr>
        <w:t xml:space="preserve"> en una parte e </w:t>
      </w:r>
      <w:r w:rsidRPr="002A2450">
        <w:rPr>
          <w:rFonts w:ascii="ITC Avant Garde" w:hAnsi="ITC Avant Garde"/>
          <w:b/>
          <w:u w:val="single"/>
        </w:rPr>
        <w:t>infundado</w:t>
      </w:r>
      <w:r w:rsidRPr="002A2450">
        <w:rPr>
          <w:rFonts w:ascii="ITC Avant Garde" w:hAnsi="ITC Avant Garde"/>
        </w:rPr>
        <w:t xml:space="preserve"> en otra, según se explica en las siguientes consideraciones:</w:t>
      </w:r>
    </w:p>
    <w:p w14:paraId="00971F2B" w14:textId="77777777" w:rsidR="00B35F13" w:rsidRDefault="00617E45" w:rsidP="00B35F13">
      <w:pPr>
        <w:spacing w:before="240" w:line="360" w:lineRule="auto"/>
        <w:jc w:val="both"/>
        <w:rPr>
          <w:rFonts w:ascii="ITC Avant Garde" w:hAnsi="ITC Avant Garde"/>
        </w:rPr>
      </w:pPr>
      <w:r w:rsidRPr="002A2450">
        <w:rPr>
          <w:rFonts w:ascii="ITC Avant Garde" w:hAnsi="ITC Avant Garde"/>
        </w:rPr>
        <w:t>Se considera que las manifestaciones señaladas en el presente apartado, son inoperantes ya que si bien señala</w:t>
      </w:r>
      <w:r w:rsidR="00B50E11" w:rsidRPr="002A2450">
        <w:rPr>
          <w:rFonts w:ascii="ITC Avant Garde" w:hAnsi="ITC Avant Garde"/>
        </w:rPr>
        <w:t xml:space="preserve"> que la autoridad no observó lo dispuesto en</w:t>
      </w:r>
      <w:r w:rsidRPr="002A2450">
        <w:rPr>
          <w:rFonts w:ascii="ITC Avant Garde" w:hAnsi="ITC Avant Garde"/>
        </w:rPr>
        <w:t xml:space="preserve"> los artículos 1, 6, 14 y 16 de la Constitución, </w:t>
      </w:r>
      <w:r w:rsidRPr="002A2450">
        <w:rPr>
          <w:rFonts w:ascii="ITC Avant Garde" w:hAnsi="ITC Avant Garde"/>
          <w:b/>
        </w:rPr>
        <w:t>“TELMEX”</w:t>
      </w:r>
      <w:r w:rsidRPr="002A2450">
        <w:rPr>
          <w:rFonts w:ascii="ITC Avant Garde" w:hAnsi="ITC Avant Garde"/>
        </w:rPr>
        <w:t xml:space="preserve"> es omisa en señalar cuáles son los hechos o actos de la autoridad que considera que no cumplieron con los artículos en mención.</w:t>
      </w:r>
    </w:p>
    <w:p w14:paraId="7138A253" w14:textId="77777777" w:rsidR="00B35F13" w:rsidRDefault="00617E45" w:rsidP="00B35F13">
      <w:pPr>
        <w:spacing w:before="240" w:line="360" w:lineRule="auto"/>
        <w:jc w:val="both"/>
        <w:rPr>
          <w:rFonts w:ascii="ITC Avant Garde" w:hAnsi="ITC Avant Garde"/>
        </w:rPr>
      </w:pPr>
      <w:r w:rsidRPr="002A2450">
        <w:rPr>
          <w:rFonts w:ascii="ITC Avant Garde" w:hAnsi="ITC Avant Garde"/>
        </w:rPr>
        <w:lastRenderedPageBreak/>
        <w:t xml:space="preserve">Esto es, no realiza manifestación en la que se pueda observar </w:t>
      </w:r>
      <w:r w:rsidR="00B50E11" w:rsidRPr="002A2450">
        <w:rPr>
          <w:rFonts w:ascii="ITC Avant Garde" w:hAnsi="ITC Avant Garde"/>
        </w:rPr>
        <w:t xml:space="preserve">de qué forma </w:t>
      </w:r>
      <w:r w:rsidRPr="002A2450">
        <w:rPr>
          <w:rFonts w:ascii="ITC Avant Garde" w:hAnsi="ITC Avant Garde"/>
        </w:rPr>
        <w:t>el acuerdo de inicio del procedimiento administrativo incumple con los numerales señalados.</w:t>
      </w:r>
    </w:p>
    <w:p w14:paraId="48A5694C" w14:textId="77777777" w:rsidR="00B35F13" w:rsidRDefault="00617E45" w:rsidP="00B35F13">
      <w:pPr>
        <w:spacing w:before="240" w:line="360" w:lineRule="auto"/>
        <w:jc w:val="both"/>
        <w:rPr>
          <w:rFonts w:ascii="ITC Avant Garde" w:hAnsi="ITC Avant Garde"/>
        </w:rPr>
      </w:pPr>
      <w:r w:rsidRPr="002A2450">
        <w:rPr>
          <w:rFonts w:ascii="ITC Avant Garde" w:hAnsi="ITC Avant Garde"/>
        </w:rPr>
        <w:t xml:space="preserve">Lo anterior, ya que si bien es cierto el artículo 1 Constitucional establece que todas las personas gozarán de los derechos humanos reconocidos en la Constitución y en los Tratados Internacionales, no menos cierto es que </w:t>
      </w:r>
      <w:r w:rsidRPr="002A2450">
        <w:rPr>
          <w:rFonts w:ascii="ITC Avant Garde" w:hAnsi="ITC Avant Garde"/>
          <w:b/>
        </w:rPr>
        <w:t>“TELMEX”</w:t>
      </w:r>
      <w:r w:rsidRPr="002A2450">
        <w:rPr>
          <w:rFonts w:ascii="ITC Avant Garde" w:hAnsi="ITC Avant Garde"/>
        </w:rPr>
        <w:t xml:space="preserve"> no indica cuál es o cuáles fueron esos derechos humanos vulnerados por el acuerdo de inicio.</w:t>
      </w:r>
    </w:p>
    <w:p w14:paraId="0B504819" w14:textId="77777777" w:rsidR="00B35F13" w:rsidRDefault="00617E45" w:rsidP="00B35F13">
      <w:pPr>
        <w:spacing w:before="240" w:line="360" w:lineRule="auto"/>
        <w:jc w:val="both"/>
        <w:rPr>
          <w:rFonts w:ascii="ITC Avant Garde" w:hAnsi="ITC Avant Garde"/>
        </w:rPr>
      </w:pPr>
      <w:r w:rsidRPr="002A2450">
        <w:rPr>
          <w:rFonts w:ascii="ITC Avant Garde" w:hAnsi="ITC Avant Garde"/>
        </w:rPr>
        <w:t>De la misma manera, no señala de qué manera se vulnera el artículo 6 Constitucional, esto es, no describe cómo no se está garantizando el acceso a las tecnologías de la información y comunicación, ni los servicios de radiodifusión y telecomunicaciones con la emisión del citado acuerdo de inicio.</w:t>
      </w:r>
    </w:p>
    <w:p w14:paraId="433D6ED5" w14:textId="77777777" w:rsidR="00B35F13" w:rsidRDefault="00617E45" w:rsidP="00B35F13">
      <w:pPr>
        <w:spacing w:before="240" w:line="360" w:lineRule="auto"/>
        <w:jc w:val="both"/>
        <w:rPr>
          <w:rFonts w:ascii="ITC Avant Garde" w:hAnsi="ITC Avant Garde"/>
        </w:rPr>
      </w:pPr>
      <w:r w:rsidRPr="002A2450">
        <w:rPr>
          <w:rFonts w:ascii="ITC Avant Garde" w:hAnsi="ITC Avant Garde"/>
        </w:rPr>
        <w:t>Ahora bien, en cuanto a la presunta violación a los artículos 14 y 16, de la Constitución, debe señalarse que el acuerdo de inicio del procedimiento administrativo de imposición de sanción, es un acto que pude derivar e</w:t>
      </w:r>
      <w:r w:rsidR="00B50E11" w:rsidRPr="002A2450">
        <w:rPr>
          <w:rFonts w:ascii="ITC Avant Garde" w:hAnsi="ITC Avant Garde"/>
        </w:rPr>
        <w:t>n</w:t>
      </w:r>
      <w:r w:rsidRPr="002A2450">
        <w:rPr>
          <w:rFonts w:ascii="ITC Avant Garde" w:hAnsi="ITC Avant Garde"/>
        </w:rPr>
        <w:t xml:space="preserve"> un acto privativo</w:t>
      </w:r>
      <w:r w:rsidR="00931636" w:rsidRPr="002A2450">
        <w:rPr>
          <w:rFonts w:ascii="ITC Avant Garde" w:hAnsi="ITC Avant Garde"/>
        </w:rPr>
        <w:t xml:space="preserve">, por lo que no le resulta aplicable el artículo </w:t>
      </w:r>
      <w:r w:rsidR="00426144" w:rsidRPr="002A2450">
        <w:rPr>
          <w:rFonts w:ascii="ITC Avant Garde" w:hAnsi="ITC Avant Garde"/>
        </w:rPr>
        <w:t>16</w:t>
      </w:r>
      <w:r w:rsidR="00931636" w:rsidRPr="002A2450">
        <w:rPr>
          <w:rFonts w:ascii="ITC Avant Garde" w:hAnsi="ITC Avant Garde"/>
        </w:rPr>
        <w:t xml:space="preserve"> Constitucional, tal y como se ha señalado </w:t>
      </w:r>
      <w:r w:rsidR="00426144" w:rsidRPr="002A2450">
        <w:rPr>
          <w:rFonts w:ascii="ITC Avant Garde" w:hAnsi="ITC Avant Garde"/>
        </w:rPr>
        <w:t xml:space="preserve">en el inciso </w:t>
      </w:r>
      <w:r w:rsidR="00426144" w:rsidRPr="002A2450">
        <w:rPr>
          <w:rFonts w:ascii="ITC Avant Garde" w:hAnsi="ITC Avant Garde"/>
          <w:b/>
        </w:rPr>
        <w:t>B)</w:t>
      </w:r>
      <w:r w:rsidR="00426144" w:rsidRPr="002A2450">
        <w:rPr>
          <w:rFonts w:ascii="ITC Avant Garde" w:hAnsi="ITC Avant Garde"/>
        </w:rPr>
        <w:t xml:space="preserve"> del presente apartado de la Resolución que nos ocupa, con la jurisprudencia de rubro </w:t>
      </w:r>
      <w:r w:rsidR="00426144" w:rsidRPr="002A2450">
        <w:rPr>
          <w:rFonts w:ascii="ITC Avant Garde" w:hAnsi="ITC Avant Garde"/>
          <w:i/>
        </w:rPr>
        <w:t>“</w:t>
      </w:r>
      <w:r w:rsidR="00426144" w:rsidRPr="002A2450">
        <w:rPr>
          <w:rFonts w:ascii="ITC Avant Garde" w:eastAsia="Times New Roman" w:hAnsi="ITC Avant Garde"/>
          <w:b/>
          <w:bCs/>
          <w:i/>
          <w:color w:val="000000"/>
          <w:lang w:eastAsia="es-MX"/>
        </w:rPr>
        <w:t>ACTOS PRIVATIVOS Y ACTOS DE MOLESTIA. OR</w:t>
      </w:r>
      <w:r w:rsidR="002237B1" w:rsidRPr="002A2450">
        <w:rPr>
          <w:rFonts w:ascii="ITC Avant Garde" w:eastAsia="Times New Roman" w:hAnsi="ITC Avant Garde"/>
          <w:b/>
          <w:bCs/>
          <w:i/>
          <w:color w:val="000000"/>
          <w:lang w:eastAsia="es-MX"/>
        </w:rPr>
        <w:t>Í</w:t>
      </w:r>
      <w:r w:rsidR="00426144" w:rsidRPr="002A2450">
        <w:rPr>
          <w:rFonts w:ascii="ITC Avant Garde" w:eastAsia="Times New Roman" w:hAnsi="ITC Avant Garde"/>
          <w:b/>
          <w:bCs/>
          <w:i/>
          <w:color w:val="000000"/>
          <w:lang w:eastAsia="es-MX"/>
        </w:rPr>
        <w:t>GEN Y EFECTOS DE LA DISTINCI</w:t>
      </w:r>
      <w:r w:rsidR="002237B1" w:rsidRPr="002A2450">
        <w:rPr>
          <w:rFonts w:ascii="ITC Avant Garde" w:eastAsia="Times New Roman" w:hAnsi="ITC Avant Garde"/>
          <w:b/>
          <w:bCs/>
          <w:i/>
          <w:color w:val="000000"/>
          <w:lang w:eastAsia="es-MX"/>
        </w:rPr>
        <w:t>Ó</w:t>
      </w:r>
      <w:r w:rsidR="00426144" w:rsidRPr="002A2450">
        <w:rPr>
          <w:rFonts w:ascii="ITC Avant Garde" w:eastAsia="Times New Roman" w:hAnsi="ITC Avant Garde"/>
          <w:b/>
          <w:bCs/>
          <w:i/>
          <w:color w:val="000000"/>
          <w:lang w:eastAsia="es-MX"/>
        </w:rPr>
        <w:t>N.”</w:t>
      </w:r>
      <w:r w:rsidR="00426144" w:rsidRPr="002A2450">
        <w:rPr>
          <w:rFonts w:ascii="ITC Avant Garde" w:eastAsia="Times New Roman" w:hAnsi="ITC Avant Garde"/>
          <w:b/>
          <w:bCs/>
          <w:color w:val="000000"/>
          <w:lang w:eastAsia="es-MX"/>
        </w:rPr>
        <w:t xml:space="preserve">, </w:t>
      </w:r>
      <w:r w:rsidR="00426144" w:rsidRPr="002A2450">
        <w:rPr>
          <w:rFonts w:ascii="ITC Avant Garde" w:eastAsia="Times New Roman" w:hAnsi="ITC Avant Garde"/>
          <w:bCs/>
          <w:color w:val="000000"/>
          <w:lang w:eastAsia="es-MX"/>
        </w:rPr>
        <w:t>la cual en obvio de repeticiones innecesarias se tiene aquí por reproducida para todos los efectos legales a que haya lugar.</w:t>
      </w:r>
    </w:p>
    <w:p w14:paraId="578F3EF0" w14:textId="77777777" w:rsidR="00B35F13" w:rsidRDefault="00426144" w:rsidP="00B35F13">
      <w:pPr>
        <w:spacing w:before="240" w:line="360" w:lineRule="auto"/>
        <w:jc w:val="both"/>
        <w:rPr>
          <w:rFonts w:ascii="ITC Avant Garde" w:hAnsi="ITC Avant Garde"/>
        </w:rPr>
      </w:pPr>
      <w:r w:rsidRPr="002A2450">
        <w:rPr>
          <w:rFonts w:ascii="ITC Avant Garde" w:hAnsi="ITC Avant Garde"/>
        </w:rPr>
        <w:t xml:space="preserve">En tales consideraciones, al resultar aplicable sólo el artículo 14 Constitucional, es dable concluir que el acuerdo de inicio del procedimiento administrativo de imposición de sanción debe garantizar una adecuada defensa, situación que acontece en el procedimiento que nos ocupa, ya que es en la presente instancia cuando </w:t>
      </w:r>
      <w:r w:rsidR="00EC1EDE" w:rsidRPr="002A2450">
        <w:rPr>
          <w:rFonts w:ascii="ITC Avant Garde" w:hAnsi="ITC Avant Garde"/>
        </w:rPr>
        <w:t xml:space="preserve">se ha otorgado a </w:t>
      </w:r>
      <w:r w:rsidR="00EC1EDE" w:rsidRPr="002A2450">
        <w:rPr>
          <w:rFonts w:ascii="ITC Avant Garde" w:hAnsi="ITC Avant Garde"/>
          <w:b/>
        </w:rPr>
        <w:t xml:space="preserve">“TELMEX” </w:t>
      </w:r>
      <w:r w:rsidR="00EC1EDE" w:rsidRPr="002A2450">
        <w:rPr>
          <w:rFonts w:ascii="ITC Avant Garde" w:hAnsi="ITC Avant Garde"/>
        </w:rPr>
        <w:t>el derecho de audiencia con base en el debido proceso, de ahí es que precisamente no se actualice la violación a dicho numeral.</w:t>
      </w:r>
    </w:p>
    <w:p w14:paraId="7CB45D38" w14:textId="77777777" w:rsidR="00B35F13" w:rsidRDefault="00EC1EDE" w:rsidP="00B35F13">
      <w:pPr>
        <w:spacing w:before="240" w:line="360" w:lineRule="auto"/>
        <w:jc w:val="both"/>
        <w:rPr>
          <w:rFonts w:ascii="ITC Avant Garde" w:hAnsi="ITC Avant Garde"/>
        </w:rPr>
      </w:pPr>
      <w:r w:rsidRPr="002A2450">
        <w:rPr>
          <w:rFonts w:ascii="ITC Avant Garde" w:hAnsi="ITC Avant Garde"/>
        </w:rPr>
        <w:lastRenderedPageBreak/>
        <w:t xml:space="preserve">Así las cosas, al quedar evidenciado que, no existe una violación a los artículos Constitucionales señalados por </w:t>
      </w:r>
      <w:r w:rsidRPr="002A2450">
        <w:rPr>
          <w:rFonts w:ascii="ITC Avant Garde" w:hAnsi="ITC Avant Garde"/>
          <w:b/>
        </w:rPr>
        <w:t xml:space="preserve">“TELMEX”, </w:t>
      </w:r>
      <w:r w:rsidRPr="002A2450">
        <w:rPr>
          <w:rFonts w:ascii="ITC Avant Garde" w:hAnsi="ITC Avant Garde"/>
        </w:rPr>
        <w:t>aunado</w:t>
      </w:r>
      <w:r w:rsidRPr="002A2450">
        <w:rPr>
          <w:rFonts w:ascii="ITC Avant Garde" w:hAnsi="ITC Avant Garde"/>
          <w:b/>
        </w:rPr>
        <w:t xml:space="preserve"> </w:t>
      </w:r>
      <w:r w:rsidRPr="002A2450">
        <w:rPr>
          <w:rFonts w:ascii="ITC Avant Garde" w:hAnsi="ITC Avant Garde"/>
        </w:rPr>
        <w:t>al hecho que tampoco expreso de manera genérica ni específica como fueron violados los mismos, es indudable que esta autoridad se encuentra supeditada a considerar sus argumentos como inoperantes, a la luz de haber resultado meras manifestaciones sin sustento alguno que no trascienden al sentido de la presente resolución.</w:t>
      </w:r>
    </w:p>
    <w:p w14:paraId="15D9B09B" w14:textId="77777777" w:rsidR="00B35F13" w:rsidRDefault="00EC1EDE" w:rsidP="00B35F13">
      <w:pPr>
        <w:spacing w:before="240" w:line="360" w:lineRule="auto"/>
        <w:jc w:val="both"/>
        <w:rPr>
          <w:rFonts w:ascii="ITC Avant Garde" w:hAnsi="ITC Avant Garde"/>
          <w:bCs/>
        </w:rPr>
      </w:pPr>
      <w:r w:rsidRPr="002A2450">
        <w:rPr>
          <w:rFonts w:ascii="ITC Avant Garde" w:hAnsi="ITC Avant Garde"/>
          <w:bCs/>
        </w:rPr>
        <w:t>Sirve de aplicación, por analogía las siguientes jurisprudencias:</w:t>
      </w:r>
    </w:p>
    <w:p w14:paraId="7A58642A" w14:textId="77777777" w:rsidR="00B35F13" w:rsidRDefault="00EC1EDE" w:rsidP="00B35F13">
      <w:pPr>
        <w:spacing w:before="240" w:line="360" w:lineRule="auto"/>
        <w:ind w:left="567" w:right="567"/>
        <w:jc w:val="both"/>
        <w:rPr>
          <w:rFonts w:ascii="ITC Avant Garde" w:hAnsi="ITC Avant Garde"/>
          <w:bCs/>
        </w:rPr>
      </w:pPr>
      <w:r w:rsidRPr="002A2450">
        <w:rPr>
          <w:rFonts w:ascii="ITC Avant Garde" w:hAnsi="ITC Avant Garde"/>
          <w:b/>
          <w:bCs/>
        </w:rPr>
        <w:t xml:space="preserve">CONCEPTOS DE VIOLACIÓN. CARGA PROCESAL MÍNIMA DEL QUEJOSO (INTERPRETACIÓN DEL ARTÍCULO 166, FRACCIÓN VI, DE LA LEY DE AMPARO). </w:t>
      </w:r>
      <w:r w:rsidRPr="002A2450">
        <w:rPr>
          <w:rFonts w:ascii="ITC Avant Garde" w:hAnsi="ITC Avant Garde"/>
          <w:bCs/>
        </w:rPr>
        <w:t xml:space="preserve">Los conceptos de violación deben consistir, en su mejor expresión, en la exposición de argumentos jurídicos dirigidos a demostrar la invalidez constitucional de los actos reclamados, total o parcialmente. Los elementos propios de estos argumentos deben ser, ordinariamente, los de cualquier razonamiento, esto es, la precisión de o las partes del acto reclamado contra las que se dirigen; las disposiciones o principios jurídicos que se estiman contravenidos, y los elementos suficientes para demostrar racionalmente la infracción alegada. Sin embargo, con el ánimo de optimizar el goce del derecho constitucional a la jurisdicción, conocido en otros países como la garantía de acceso efectivo a la justicia, los criterios de tribunales federales mexicanos se han orientado hacia una mayor flexibilidad respecto a los requisitos exigidos en los motivos de las impugnaciones, y con la inspiración en el viejo principio procesal relativo a que las partes exponen los hechos y el Juez aplica el derecho, la exigencia ha quedado en que se precise la causa de pedir, aunada a la manifestación, sencilla y natural, de la afectación al ámbito personal, patrimonial, familiar, laboral, etcétera, sufrida por la peticionaria de garantías, desde su punto de vista y mediante el uso de lenguaje directo y llano, con el propósito evidente de abandonar las exigencias técnicas extremas a las que se había llegado, que sólo los </w:t>
      </w:r>
      <w:r w:rsidRPr="002A2450">
        <w:rPr>
          <w:rFonts w:ascii="ITC Avant Garde" w:hAnsi="ITC Avant Garde"/>
          <w:bCs/>
        </w:rPr>
        <w:lastRenderedPageBreak/>
        <w:t xml:space="preserve">abogados con suficiente experiencia en cada materia jurídica podían satisfacer, con la consecuencia, no intencional pero real, de alejar cada vez más a la generalidad de la población de la posibilidad de obtener la protección de la justicia, a través de la apreciación e interpretación del derecho. No obstante, ni la legislación ni la jurisprudencia se han orientado absolutamente por los principios del sistema procesal inquisitorio, hacia una revisión oficiosa de los actos reclamados, respecto a su constitucionalidad y legalidad, sino que </w:t>
      </w:r>
      <w:r w:rsidRPr="002A2450">
        <w:rPr>
          <w:rFonts w:ascii="ITC Avant Garde" w:hAnsi="ITC Avant Garde"/>
          <w:b/>
          <w:bCs/>
          <w:u w:val="single"/>
        </w:rPr>
        <w:t xml:space="preserve">prevalece una carga procesal mínima para el agraviado, consistente en precisar en la demanda la causa </w:t>
      </w:r>
      <w:proofErr w:type="spellStart"/>
      <w:r w:rsidRPr="002A2450">
        <w:rPr>
          <w:rFonts w:ascii="ITC Avant Garde" w:hAnsi="ITC Avant Garde"/>
          <w:b/>
          <w:bCs/>
          <w:u w:val="single"/>
        </w:rPr>
        <w:t>petendi</w:t>
      </w:r>
      <w:proofErr w:type="spellEnd"/>
      <w:r w:rsidRPr="002A2450">
        <w:rPr>
          <w:rFonts w:ascii="ITC Avant Garde" w:hAnsi="ITC Avant Garde"/>
          <w:b/>
          <w:bCs/>
          <w:u w:val="single"/>
        </w:rPr>
        <w:t xml:space="preserve"> de su solicitud de amparo y la afectación que estime lesiva en su perjuicio. En consecuencia, cuando los peticionarios de la protección constitucional no colman siquiera esa mínima exigencia, lo alegado debe declararse inoperante</w:t>
      </w:r>
      <w:r w:rsidRPr="002A2450">
        <w:rPr>
          <w:rFonts w:ascii="ITC Avant Garde" w:hAnsi="ITC Avant Garde"/>
          <w:bCs/>
        </w:rPr>
        <w:t>.</w:t>
      </w:r>
    </w:p>
    <w:p w14:paraId="39B4381A" w14:textId="77777777" w:rsidR="00B35F13" w:rsidRDefault="00EC1EDE" w:rsidP="00B35F13">
      <w:pPr>
        <w:spacing w:before="240" w:line="360" w:lineRule="auto"/>
        <w:ind w:left="567" w:right="567"/>
        <w:jc w:val="both"/>
        <w:rPr>
          <w:rFonts w:ascii="ITC Avant Garde" w:hAnsi="ITC Avant Garde"/>
          <w:bCs/>
        </w:rPr>
      </w:pPr>
      <w:r w:rsidRPr="002A2450">
        <w:rPr>
          <w:rFonts w:ascii="ITC Avant Garde" w:hAnsi="ITC Avant Garde"/>
          <w:bCs/>
          <w:sz w:val="18"/>
        </w:rPr>
        <w:t xml:space="preserve">Época: Novena Época, Registro: 171511, Instancia: Tribunales Colegiados de Circuito, Tipo de Tesis: </w:t>
      </w:r>
      <w:r w:rsidRPr="002A2450">
        <w:rPr>
          <w:rFonts w:ascii="ITC Avant Garde" w:hAnsi="ITC Avant Garde"/>
          <w:b/>
          <w:bCs/>
          <w:sz w:val="18"/>
          <w:u w:val="single"/>
        </w:rPr>
        <w:t>Jurisprudencia</w:t>
      </w:r>
      <w:r w:rsidRPr="002A2450">
        <w:rPr>
          <w:rFonts w:ascii="ITC Avant Garde" w:hAnsi="ITC Avant Garde"/>
          <w:bCs/>
          <w:sz w:val="18"/>
        </w:rPr>
        <w:t>, Fuente: Semanario Judicial de la Federación y su Gaceta, Tomo XXVI, Septiembre de 2007, Materia(s): Común, Tesis: I.4o.C. J/27, Página: 2362.</w:t>
      </w:r>
    </w:p>
    <w:p w14:paraId="10C3B8AB" w14:textId="77777777" w:rsidR="00B35F13" w:rsidRDefault="00EC1EDE" w:rsidP="00B35F13">
      <w:pPr>
        <w:spacing w:before="240" w:line="360" w:lineRule="auto"/>
        <w:ind w:left="567" w:right="567"/>
        <w:jc w:val="both"/>
        <w:rPr>
          <w:rFonts w:ascii="ITC Avant Garde" w:eastAsia="Times New Roman" w:hAnsi="ITC Avant Garde"/>
          <w:b/>
          <w:bCs/>
          <w:color w:val="000000"/>
          <w:u w:val="single"/>
          <w:lang w:eastAsia="es-MX"/>
        </w:rPr>
      </w:pPr>
      <w:r w:rsidRPr="002A2450">
        <w:rPr>
          <w:rFonts w:ascii="ITC Avant Garde" w:eastAsia="Times New Roman" w:hAnsi="ITC Avant Garde"/>
          <w:b/>
          <w:bCs/>
          <w:color w:val="000000"/>
          <w:lang w:eastAsia="es-MX"/>
        </w:rPr>
        <w:t>CONCEPTOS DE VIOLACIÓN O AGRAVIOS. SON INOPERANTES SI NO SE REFIEREN A LA PRETENSIÓN Y A LA CAUSA DE PEDIR.</w:t>
      </w:r>
      <w:r w:rsidRPr="002A2450">
        <w:rPr>
          <w:rFonts w:ascii="ITC Avant Garde" w:eastAsia="Times New Roman" w:hAnsi="ITC Avant Garde"/>
          <w:bCs/>
          <w:color w:val="000000"/>
          <w:lang w:eastAsia="es-MX"/>
        </w:rPr>
        <w:t xml:space="preserve"> Los conceptos de violación o agravios deben indefectiblemente encontrarse vinculados y relacionados con el contexto litigioso que se sometió a la jurisdicción ordinaria. Como antecedente conviene puntualizar el contenido de la frase "pretensión deducida en el juicio" o </w:t>
      </w:r>
      <w:proofErr w:type="spellStart"/>
      <w:r w:rsidRPr="002A2450">
        <w:rPr>
          <w:rFonts w:ascii="ITC Avant Garde" w:eastAsia="Times New Roman" w:hAnsi="ITC Avant Garde"/>
          <w:bCs/>
          <w:color w:val="000000"/>
          <w:lang w:eastAsia="es-MX"/>
        </w:rPr>
        <w:t>petitum</w:t>
      </w:r>
      <w:proofErr w:type="spellEnd"/>
      <w:r w:rsidRPr="002A2450">
        <w:rPr>
          <w:rFonts w:ascii="ITC Avant Garde" w:eastAsia="Times New Roman" w:hAnsi="ITC Avant Garde"/>
          <w:bCs/>
          <w:color w:val="000000"/>
          <w:lang w:eastAsia="es-MX"/>
        </w:rPr>
        <w:t xml:space="preserve"> al tenor de lo siguiente: a) La causa puede ser una conducta omitida o realizada ilegalmente, o bien, el acto ilícito que desconoce o viola un derecho subjetivo que es motivo de la demanda y determina la condena que se solicita al Juez que declare en su sentencia, es decir, es la exigencia de subordinación del interés ajeno al propio; b) La pretensión o </w:t>
      </w:r>
      <w:proofErr w:type="spellStart"/>
      <w:r w:rsidRPr="002A2450">
        <w:rPr>
          <w:rFonts w:ascii="ITC Avant Garde" w:eastAsia="Times New Roman" w:hAnsi="ITC Avant Garde"/>
          <w:bCs/>
          <w:color w:val="000000"/>
          <w:lang w:eastAsia="es-MX"/>
        </w:rPr>
        <w:t>petitum</w:t>
      </w:r>
      <w:proofErr w:type="spellEnd"/>
      <w:r w:rsidRPr="002A2450">
        <w:rPr>
          <w:rFonts w:ascii="ITC Avant Garde" w:eastAsia="Times New Roman" w:hAnsi="ITC Avant Garde"/>
          <w:bCs/>
          <w:color w:val="000000"/>
          <w:lang w:eastAsia="es-MX"/>
        </w:rPr>
        <w:t xml:space="preserve"> es la manifestación de voluntad de quien afirma ser titular de un derecho y reclama su realización; c) El efecto jurídico perseguido o pretendido con la acción intentada y la tutela que se reclama; y, d) El porqué del </w:t>
      </w:r>
      <w:proofErr w:type="spellStart"/>
      <w:r w:rsidRPr="002A2450">
        <w:rPr>
          <w:rFonts w:ascii="ITC Avant Garde" w:eastAsia="Times New Roman" w:hAnsi="ITC Avant Garde"/>
          <w:bCs/>
          <w:color w:val="000000"/>
          <w:lang w:eastAsia="es-MX"/>
        </w:rPr>
        <w:t>petitum</w:t>
      </w:r>
      <w:proofErr w:type="spellEnd"/>
      <w:r w:rsidRPr="002A2450">
        <w:rPr>
          <w:rFonts w:ascii="ITC Avant Garde" w:eastAsia="Times New Roman" w:hAnsi="ITC Avant Garde"/>
          <w:bCs/>
          <w:color w:val="000000"/>
          <w:lang w:eastAsia="es-MX"/>
        </w:rPr>
        <w:t xml:space="preserve"> es la </w:t>
      </w:r>
      <w:r w:rsidRPr="002A2450">
        <w:rPr>
          <w:rFonts w:ascii="ITC Avant Garde" w:eastAsia="Times New Roman" w:hAnsi="ITC Avant Garde"/>
          <w:bCs/>
          <w:color w:val="000000"/>
          <w:lang w:eastAsia="es-MX"/>
        </w:rPr>
        <w:lastRenderedPageBreak/>
        <w:t xml:space="preserve">causa </w:t>
      </w:r>
      <w:proofErr w:type="spellStart"/>
      <w:r w:rsidRPr="002A2450">
        <w:rPr>
          <w:rFonts w:ascii="ITC Avant Garde" w:eastAsia="Times New Roman" w:hAnsi="ITC Avant Garde"/>
          <w:bCs/>
          <w:color w:val="000000"/>
          <w:lang w:eastAsia="es-MX"/>
        </w:rPr>
        <w:t>petendi</w:t>
      </w:r>
      <w:proofErr w:type="spellEnd"/>
      <w:r w:rsidRPr="002A2450">
        <w:rPr>
          <w:rFonts w:ascii="ITC Avant Garde" w:eastAsia="Times New Roman" w:hAnsi="ITC Avant Garde"/>
          <w:bCs/>
          <w:color w:val="000000"/>
          <w:lang w:eastAsia="es-MX"/>
        </w:rPr>
        <w:t xml:space="preserve"> consistente en la razón y hechos que fundan la demanda. </w:t>
      </w:r>
      <w:r w:rsidRPr="002A2450">
        <w:rPr>
          <w:rFonts w:ascii="ITC Avant Garde" w:eastAsia="Times New Roman" w:hAnsi="ITC Avant Garde"/>
          <w:b/>
          <w:bCs/>
          <w:color w:val="000000"/>
          <w:u w:val="single"/>
          <w:lang w:eastAsia="es-MX"/>
        </w:rPr>
        <w:t xml:space="preserve">Así las cosas, los conceptos de violación o agravios deben referirse, en primer lugar, a la pretensión, esto es, al </w:t>
      </w:r>
      <w:proofErr w:type="spellStart"/>
      <w:r w:rsidRPr="002A2450">
        <w:rPr>
          <w:rFonts w:ascii="ITC Avant Garde" w:eastAsia="Times New Roman" w:hAnsi="ITC Avant Garde"/>
          <w:b/>
          <w:bCs/>
          <w:color w:val="000000"/>
          <w:u w:val="single"/>
          <w:lang w:eastAsia="es-MX"/>
        </w:rPr>
        <w:t>qué</w:t>
      </w:r>
      <w:proofErr w:type="spellEnd"/>
      <w:r w:rsidRPr="002A2450">
        <w:rPr>
          <w:rFonts w:ascii="ITC Avant Garde" w:eastAsia="Times New Roman" w:hAnsi="ITC Avant Garde"/>
          <w:b/>
          <w:bCs/>
          <w:color w:val="000000"/>
          <w:u w:val="single"/>
          <w:lang w:eastAsia="es-MX"/>
        </w:rPr>
        <w:t xml:space="preserve"> se reclama y, en segundo lugar, a la causa </w:t>
      </w:r>
      <w:proofErr w:type="spellStart"/>
      <w:r w:rsidRPr="002A2450">
        <w:rPr>
          <w:rFonts w:ascii="ITC Avant Garde" w:eastAsia="Times New Roman" w:hAnsi="ITC Avant Garde"/>
          <w:b/>
          <w:bCs/>
          <w:color w:val="000000"/>
          <w:u w:val="single"/>
          <w:lang w:eastAsia="es-MX"/>
        </w:rPr>
        <w:t>petendi</w:t>
      </w:r>
      <w:proofErr w:type="spellEnd"/>
      <w:r w:rsidRPr="002A2450">
        <w:rPr>
          <w:rFonts w:ascii="ITC Avant Garde" w:eastAsia="Times New Roman" w:hAnsi="ITC Avant Garde"/>
          <w:b/>
          <w:bCs/>
          <w:color w:val="000000"/>
          <w:u w:val="single"/>
          <w:lang w:eastAsia="es-MX"/>
        </w:rPr>
        <w:t xml:space="preserve"> o causa de pedir, que implica el porqué de la pretensión, incluyendo los fundamentos o razones y los hechos de la demanda, así como las pruebas (que son la base de lo debatido).</w:t>
      </w:r>
      <w:r w:rsidRPr="002A2450">
        <w:rPr>
          <w:rFonts w:ascii="ITC Avant Garde" w:eastAsia="Times New Roman" w:hAnsi="ITC Avant Garde"/>
          <w:bCs/>
          <w:color w:val="000000"/>
          <w:lang w:eastAsia="es-MX"/>
        </w:rPr>
        <w:t xml:space="preserve"> La conexión o relación de estas últimas sólo debe darse con los hechos, que son determinantes y relevantes para efectos de la pretensión, en virtud de ser el único extremo que amerita y exige ser probado para el éxito de la acción deducida, tal como lo establecen los artículos 81 y 86 del Código Federal de Procedimientos Civiles. En tal orden de ideas, </w:t>
      </w:r>
      <w:r w:rsidRPr="002A2450">
        <w:rPr>
          <w:rFonts w:ascii="ITC Avant Garde" w:eastAsia="Times New Roman" w:hAnsi="ITC Avant Garde"/>
          <w:b/>
          <w:bCs/>
          <w:color w:val="000000"/>
          <w:u w:val="single"/>
          <w:lang w:eastAsia="es-MX"/>
        </w:rPr>
        <w:t>si la quejosa no señala la parte de las consideraciones de la sentencia que reclama, motivo de controversia, o se limita a realizar meras afirmaciones, bien sean generales e imprecisas o sin sustento o fundamento, es obvio que tales conceptos de violación son inoperantes y no pueden ser analizados bajo la premisa de que es menester que expresen la causa de pedir.</w:t>
      </w:r>
    </w:p>
    <w:p w14:paraId="1A35AF20" w14:textId="77777777" w:rsidR="00B35F13" w:rsidRDefault="00EC1EDE" w:rsidP="00B35F13">
      <w:pPr>
        <w:spacing w:before="240" w:line="360" w:lineRule="auto"/>
        <w:ind w:left="567" w:right="567"/>
        <w:jc w:val="both"/>
        <w:rPr>
          <w:rFonts w:ascii="ITC Avant Garde" w:eastAsia="Times New Roman" w:hAnsi="ITC Avant Garde"/>
          <w:b/>
          <w:bCs/>
          <w:color w:val="000000"/>
          <w:u w:val="single"/>
          <w:lang w:eastAsia="es-MX"/>
        </w:rPr>
      </w:pPr>
      <w:r w:rsidRPr="002A2450">
        <w:rPr>
          <w:rFonts w:ascii="ITC Avant Garde" w:eastAsia="Times New Roman" w:hAnsi="ITC Avant Garde"/>
          <w:bCs/>
          <w:color w:val="000000"/>
          <w:sz w:val="18"/>
          <w:lang w:eastAsia="es-MX"/>
        </w:rPr>
        <w:t xml:space="preserve">Época: Novena Época, Registro: 180929, Instancia: Tribunales Colegiados de Circuito, Tipo de Tesis: </w:t>
      </w:r>
      <w:r w:rsidRPr="002A2450">
        <w:rPr>
          <w:rFonts w:ascii="ITC Avant Garde" w:eastAsia="Times New Roman" w:hAnsi="ITC Avant Garde"/>
          <w:b/>
          <w:bCs/>
          <w:color w:val="000000"/>
          <w:sz w:val="18"/>
          <w:u w:val="single"/>
          <w:lang w:eastAsia="es-MX"/>
        </w:rPr>
        <w:t>Jurisprudencia</w:t>
      </w:r>
      <w:r w:rsidRPr="002A2450">
        <w:rPr>
          <w:rFonts w:ascii="ITC Avant Garde" w:eastAsia="Times New Roman" w:hAnsi="ITC Avant Garde"/>
          <w:bCs/>
          <w:color w:val="000000"/>
          <w:sz w:val="18"/>
          <w:lang w:eastAsia="es-MX"/>
        </w:rPr>
        <w:t xml:space="preserve">, Fuente: Semanario Judicial de la Federación y su Gaceta, Tomo XX, Agosto de 2004, Materia(s): Común, Tesis: I.4o.A. J/33, Página: 1406 </w:t>
      </w:r>
    </w:p>
    <w:p w14:paraId="53094550" w14:textId="77777777" w:rsidR="00B35F13" w:rsidRDefault="00EC1EDE" w:rsidP="00B35F13">
      <w:pPr>
        <w:spacing w:before="240" w:line="360" w:lineRule="auto"/>
        <w:jc w:val="both"/>
        <w:rPr>
          <w:rFonts w:ascii="ITC Avant Garde" w:hAnsi="ITC Avant Garde"/>
        </w:rPr>
      </w:pPr>
      <w:r w:rsidRPr="002A2450">
        <w:rPr>
          <w:rFonts w:ascii="ITC Avant Garde" w:hAnsi="ITC Avant Garde"/>
        </w:rPr>
        <w:t xml:space="preserve">Ahora bien, en cuanto a que el artículo 15, fracción XXX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no otorga competencia a este </w:t>
      </w:r>
      <w:r w:rsidRPr="002A2450">
        <w:rPr>
          <w:rFonts w:ascii="ITC Avant Garde" w:hAnsi="ITC Avant Garde"/>
          <w:b/>
        </w:rPr>
        <w:t>“IFT”</w:t>
      </w:r>
      <w:r w:rsidRPr="002A2450">
        <w:rPr>
          <w:rFonts w:ascii="ITC Avant Garde" w:hAnsi="ITC Avant Garde"/>
        </w:rPr>
        <w:t xml:space="preserve"> para llevar a cabo procedimientos administrativos de imposición de sanción, sino que el mismo implica una resolución </w:t>
      </w:r>
      <w:r w:rsidRPr="002A2450">
        <w:rPr>
          <w:rFonts w:ascii="ITC Avant Garde" w:hAnsi="ITC Avant Garde"/>
          <w:i/>
        </w:rPr>
        <w:t>a priori</w:t>
      </w:r>
      <w:r w:rsidRPr="002A2450">
        <w:rPr>
          <w:rFonts w:ascii="ITC Avant Garde" w:hAnsi="ITC Avant Garde"/>
        </w:rPr>
        <w:t xml:space="preserve">, debe señalarse que su argumento resulta </w:t>
      </w:r>
      <w:r w:rsidRPr="002A2450">
        <w:rPr>
          <w:rFonts w:ascii="ITC Avant Garde" w:hAnsi="ITC Avant Garde"/>
          <w:b/>
          <w:u w:val="single"/>
        </w:rPr>
        <w:t>infundado</w:t>
      </w:r>
      <w:r w:rsidRPr="002A2450">
        <w:rPr>
          <w:rFonts w:ascii="ITC Avant Garde" w:hAnsi="ITC Avant Garde"/>
        </w:rPr>
        <w:t>.</w:t>
      </w:r>
    </w:p>
    <w:p w14:paraId="279341B4" w14:textId="77777777" w:rsidR="00B35F13" w:rsidRDefault="00EC1EDE" w:rsidP="00B35F13">
      <w:pPr>
        <w:spacing w:before="240" w:line="360" w:lineRule="auto"/>
        <w:jc w:val="both"/>
        <w:rPr>
          <w:rFonts w:ascii="ITC Avant Garde" w:hAnsi="ITC Avant Garde"/>
        </w:rPr>
      </w:pPr>
      <w:r w:rsidRPr="002A2450">
        <w:rPr>
          <w:rFonts w:ascii="ITC Avant Garde" w:hAnsi="ITC Avant Garde"/>
        </w:rPr>
        <w:t xml:space="preserve">Lo anterior, ya que en términos del artículo 15,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establece que para el ejercicio de sus atribuciones, el </w:t>
      </w:r>
      <w:r w:rsidRPr="002A2450">
        <w:rPr>
          <w:rFonts w:ascii="ITC Avant Garde" w:hAnsi="ITC Avant Garde"/>
          <w:b/>
        </w:rPr>
        <w:t>“IFT”</w:t>
      </w:r>
      <w:r w:rsidRPr="002A2450">
        <w:rPr>
          <w:rFonts w:ascii="ITC Avant Garde" w:hAnsi="ITC Avant Garde"/>
        </w:rPr>
        <w:t xml:space="preserve"> tendrá entre sus facultades, </w:t>
      </w:r>
      <w:r w:rsidR="004A4492" w:rsidRPr="002A2450">
        <w:rPr>
          <w:rFonts w:ascii="ITC Avant Garde" w:hAnsi="ITC Avant Garde"/>
        </w:rPr>
        <w:t xml:space="preserve">vigilar el cumplimiento a lo dispuesto en los títulos de concesión otorgados en materia de telecomunicaciones (fracción XXVII) e imponer sanciones por infracciones a las </w:t>
      </w:r>
      <w:r w:rsidR="004A4492" w:rsidRPr="002A2450">
        <w:rPr>
          <w:rFonts w:ascii="ITC Avant Garde" w:hAnsi="ITC Avant Garde"/>
        </w:rPr>
        <w:lastRenderedPageBreak/>
        <w:t>disposiciones legales, reglamentarias o administrativas, o por incumplimiento a lo dispuesto en los títulos de concesión (fracción XXX).</w:t>
      </w:r>
    </w:p>
    <w:p w14:paraId="29E1FFF6" w14:textId="77777777" w:rsidR="00B35F13" w:rsidRDefault="004A4492" w:rsidP="00B35F13">
      <w:pPr>
        <w:spacing w:before="240" w:line="360" w:lineRule="auto"/>
        <w:jc w:val="both"/>
        <w:rPr>
          <w:rFonts w:ascii="ITC Avant Garde" w:hAnsi="ITC Avant Garde"/>
          <w:b/>
        </w:rPr>
      </w:pPr>
      <w:r w:rsidRPr="002A2450">
        <w:rPr>
          <w:rFonts w:ascii="ITC Avant Garde" w:hAnsi="ITC Avant Garde"/>
        </w:rPr>
        <w:t xml:space="preserve">Ahora bien, el acuerdo de inicio, concretamente en la foja setenta y cinco, señaló con especial precisión el artículo 17 último y penúltimo párrafos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cuyos apartados disponen que será el Pleno de este </w:t>
      </w:r>
      <w:r w:rsidRPr="002A2450">
        <w:rPr>
          <w:rFonts w:ascii="ITC Avant Garde" w:hAnsi="ITC Avant Garde"/>
          <w:b/>
        </w:rPr>
        <w:t>“IFT”</w:t>
      </w:r>
      <w:r w:rsidRPr="002A2450">
        <w:rPr>
          <w:rFonts w:ascii="ITC Avant Garde" w:hAnsi="ITC Avant Garde"/>
        </w:rPr>
        <w:t xml:space="preserve"> quien determinará en el </w:t>
      </w:r>
      <w:r w:rsidRPr="002A2450">
        <w:rPr>
          <w:rFonts w:ascii="ITC Avant Garde" w:hAnsi="ITC Avant Garde"/>
          <w:b/>
        </w:rPr>
        <w:t>“ESTATUTO”</w:t>
      </w:r>
      <w:r w:rsidRPr="002A2450">
        <w:rPr>
          <w:rFonts w:ascii="ITC Avant Garde" w:hAnsi="ITC Avant Garde"/>
        </w:rPr>
        <w:t xml:space="preserve"> el ejercicio directo o por delegación de las atribuciones previstas en el señalado artículo 15 de la Ley de la materia; así como que, en el </w:t>
      </w:r>
      <w:r w:rsidRPr="002A2450">
        <w:rPr>
          <w:rFonts w:ascii="ITC Avant Garde" w:hAnsi="ITC Avant Garde"/>
          <w:b/>
        </w:rPr>
        <w:t>“ESTATUTO”</w:t>
      </w:r>
      <w:r w:rsidRPr="002A2450">
        <w:rPr>
          <w:rFonts w:ascii="ITC Avant Garde" w:hAnsi="ITC Avant Garde"/>
        </w:rPr>
        <w:t xml:space="preserve"> se establecerán las facultades que ejercerán las unidades del propio </w:t>
      </w:r>
      <w:r w:rsidRPr="002A2450">
        <w:rPr>
          <w:rFonts w:ascii="ITC Avant Garde" w:hAnsi="ITC Avant Garde"/>
          <w:b/>
        </w:rPr>
        <w:t>“IFT”.</w:t>
      </w:r>
    </w:p>
    <w:p w14:paraId="582DEA01" w14:textId="77777777" w:rsidR="00B35F13" w:rsidRDefault="004A4492" w:rsidP="00B35F13">
      <w:pPr>
        <w:spacing w:before="240" w:line="360" w:lineRule="auto"/>
        <w:jc w:val="both"/>
        <w:rPr>
          <w:rFonts w:ascii="ITC Avant Garde" w:hAnsi="ITC Avant Garde"/>
        </w:rPr>
      </w:pPr>
      <w:r w:rsidRPr="002A2450">
        <w:rPr>
          <w:rFonts w:ascii="ITC Avant Garde" w:hAnsi="ITC Avant Garde"/>
        </w:rPr>
        <w:t xml:space="preserve">En esas consideraciones, al relacionarse dicho artículo 17, con los diversos 41 y 44 del propio </w:t>
      </w:r>
      <w:r w:rsidRPr="002A2450">
        <w:rPr>
          <w:rFonts w:ascii="ITC Avant Garde" w:hAnsi="ITC Avant Garde"/>
          <w:b/>
        </w:rPr>
        <w:t>“ESTATUTO”</w:t>
      </w:r>
      <w:r w:rsidRPr="002A2450">
        <w:rPr>
          <w:rFonts w:ascii="ITC Avant Garde" w:hAnsi="ITC Avant Garde"/>
        </w:rPr>
        <w:t xml:space="preserve">, es innegable que en estos se establece la competencia originaria del Titular de la Unidad de Cumplimiento para la sustanciación de los procedimientos administrativos de imposición de sanción, por el </w:t>
      </w:r>
      <w:r w:rsidR="00B50E11" w:rsidRPr="002A2450">
        <w:rPr>
          <w:rFonts w:ascii="ITC Avant Garde" w:hAnsi="ITC Avant Garde"/>
        </w:rPr>
        <w:t xml:space="preserve">presunto </w:t>
      </w:r>
      <w:r w:rsidRPr="002A2450">
        <w:rPr>
          <w:rFonts w:ascii="ITC Avant Garde" w:hAnsi="ITC Avant Garde"/>
        </w:rPr>
        <w:t>incumplimiento a las condiciones establecidas en los Títulos de Concesión.</w:t>
      </w:r>
    </w:p>
    <w:p w14:paraId="17795596" w14:textId="77777777" w:rsidR="00B35F13" w:rsidRDefault="004A4492" w:rsidP="00B35F13">
      <w:pPr>
        <w:spacing w:before="240" w:line="360" w:lineRule="auto"/>
        <w:jc w:val="both"/>
        <w:rPr>
          <w:rFonts w:ascii="ITC Avant Garde" w:hAnsi="ITC Avant Garde"/>
        </w:rPr>
      </w:pPr>
      <w:r w:rsidRPr="002A2450">
        <w:rPr>
          <w:rFonts w:ascii="ITC Avant Garde" w:hAnsi="ITC Avant Garde"/>
        </w:rPr>
        <w:t xml:space="preserve">Así las cosas, es indudable que </w:t>
      </w:r>
      <w:r w:rsidRPr="002A2450">
        <w:rPr>
          <w:rFonts w:ascii="ITC Avant Garde" w:hAnsi="ITC Avant Garde"/>
          <w:b/>
        </w:rPr>
        <w:t>“TELMEX”</w:t>
      </w:r>
      <w:r w:rsidRPr="002A2450">
        <w:rPr>
          <w:rFonts w:ascii="ITC Avant Garde" w:hAnsi="ITC Avant Garde"/>
        </w:rPr>
        <w:t xml:space="preserve"> pretende fraccionar o sólo observar una parte de los fundamentos que sirvieron de base para determinar la competencia de esta autoridad, puesto que de la interpretación armónica de los citados numerales es indudable que ellos pertenecen necesariamente a la competencia para la sustanciación de un procedimiento administrativo de imposición.</w:t>
      </w:r>
    </w:p>
    <w:p w14:paraId="201BAA32" w14:textId="77777777" w:rsidR="00B35F13" w:rsidRDefault="004A4492" w:rsidP="00B35F13">
      <w:pPr>
        <w:spacing w:before="240" w:line="360" w:lineRule="auto"/>
        <w:jc w:val="both"/>
        <w:rPr>
          <w:rFonts w:ascii="ITC Avant Garde" w:hAnsi="ITC Avant Garde"/>
        </w:rPr>
      </w:pPr>
      <w:r w:rsidRPr="002A2450">
        <w:rPr>
          <w:rFonts w:ascii="ITC Avant Garde" w:hAnsi="ITC Avant Garde"/>
        </w:rPr>
        <w:t xml:space="preserve">Por tanto, </w:t>
      </w:r>
      <w:r w:rsidR="00CE2323" w:rsidRPr="002A2450">
        <w:rPr>
          <w:rFonts w:ascii="ITC Avant Garde" w:hAnsi="ITC Avant Garde"/>
        </w:rPr>
        <w:t xml:space="preserve">el acuerdo de inicio del procedimiento administrativo de imposición, contrario a lo sostenido por </w:t>
      </w:r>
      <w:r w:rsidR="00CE2323" w:rsidRPr="002A2450">
        <w:rPr>
          <w:rFonts w:ascii="ITC Avant Garde" w:hAnsi="ITC Avant Garde"/>
          <w:b/>
        </w:rPr>
        <w:t>“TELMEX”</w:t>
      </w:r>
      <w:r w:rsidR="00CE2323" w:rsidRPr="002A2450">
        <w:rPr>
          <w:rFonts w:ascii="ITC Avant Garde" w:hAnsi="ITC Avant Garde"/>
        </w:rPr>
        <w:t xml:space="preserve"> no determina </w:t>
      </w:r>
      <w:r w:rsidR="00CE2323" w:rsidRPr="002A2450">
        <w:rPr>
          <w:rFonts w:ascii="ITC Avant Garde" w:hAnsi="ITC Avant Garde"/>
          <w:i/>
        </w:rPr>
        <w:t>a priori</w:t>
      </w:r>
      <w:r w:rsidR="00CE2323" w:rsidRPr="002A2450">
        <w:rPr>
          <w:rFonts w:ascii="ITC Avant Garde" w:hAnsi="ITC Avant Garde"/>
        </w:rPr>
        <w:t xml:space="preserve"> la comisión de una conducta, sino que por el contrario, al tratarse de un acto que puede resultar privativo, es que se le otorga su derecho de audiencia con base en el debido proceso.</w:t>
      </w:r>
    </w:p>
    <w:p w14:paraId="69A8247D" w14:textId="77777777" w:rsidR="00B35F13" w:rsidRDefault="00CE2323" w:rsidP="00B35F13">
      <w:pPr>
        <w:spacing w:before="240" w:line="360" w:lineRule="auto"/>
        <w:jc w:val="both"/>
        <w:rPr>
          <w:rFonts w:ascii="ITC Avant Garde" w:hAnsi="ITC Avant Garde"/>
        </w:rPr>
      </w:pPr>
      <w:r w:rsidRPr="002A2450">
        <w:rPr>
          <w:rFonts w:ascii="ITC Avant Garde" w:hAnsi="ITC Avant Garde"/>
        </w:rPr>
        <w:t xml:space="preserve">Ahora bien, debe reiterarse a </w:t>
      </w:r>
      <w:r w:rsidRPr="002A2450">
        <w:rPr>
          <w:rFonts w:ascii="ITC Avant Garde" w:hAnsi="ITC Avant Garde"/>
          <w:b/>
        </w:rPr>
        <w:t>“TELMEX”</w:t>
      </w:r>
      <w:r w:rsidRPr="002A2450">
        <w:rPr>
          <w:rFonts w:ascii="ITC Avant Garde" w:hAnsi="ITC Avant Garde"/>
        </w:rPr>
        <w:t xml:space="preserve"> que en el inciso </w:t>
      </w:r>
      <w:r w:rsidRPr="002A2450">
        <w:rPr>
          <w:rFonts w:ascii="ITC Avant Garde" w:hAnsi="ITC Avant Garde"/>
          <w:b/>
        </w:rPr>
        <w:t>B)</w:t>
      </w:r>
      <w:r w:rsidRPr="002A2450">
        <w:rPr>
          <w:rFonts w:ascii="ITC Avant Garde" w:hAnsi="ITC Avant Garde"/>
        </w:rPr>
        <w:t xml:space="preserve"> del presente apartado, utilizado por analogía la tesis de rubro </w:t>
      </w:r>
      <w:r w:rsidRPr="002A2450">
        <w:rPr>
          <w:rFonts w:ascii="ITC Avant Garde" w:hAnsi="ITC Avant Garde"/>
          <w:i/>
        </w:rPr>
        <w:t>“</w:t>
      </w:r>
      <w:r w:rsidRPr="002A2450">
        <w:rPr>
          <w:rFonts w:ascii="ITC Avant Garde" w:hAnsi="ITC Avant Garde"/>
          <w:b/>
          <w:i/>
        </w:rPr>
        <w:t xml:space="preserve">COMISIÓN FEDERAL DE COMPETENCIA. EL OFICIO DE PRESUNTA RESPONSABILIDAD DICTADO EN EL PROCEDIMIENTO DE INVESTIGACIÓN DE PRÁCTICAS MONOPÓLICAS, POR REGLA GENERAL, NO ES UN </w:t>
      </w:r>
      <w:r w:rsidRPr="002A2450">
        <w:rPr>
          <w:rFonts w:ascii="ITC Avant Garde" w:hAnsi="ITC Avant Garde"/>
          <w:b/>
          <w:i/>
        </w:rPr>
        <w:lastRenderedPageBreak/>
        <w:t>ACTO QUE CAUSE UN AGRAVIO NO REPARABLE PARA LOS EFECTOS DE LA PROCEDENCIA DEL JUICIO DE AMPARO”</w:t>
      </w:r>
      <w:r w:rsidRPr="002A2450">
        <w:rPr>
          <w:rFonts w:ascii="ITC Avant Garde" w:hAnsi="ITC Avant Garde"/>
          <w:b/>
        </w:rPr>
        <w:t xml:space="preserve">, </w:t>
      </w:r>
      <w:r w:rsidRPr="002A2450">
        <w:rPr>
          <w:rFonts w:ascii="ITC Avant Garde" w:hAnsi="ITC Avant Garde"/>
        </w:rPr>
        <w:t>la cual se tiene por reproducida en obvio de repeticiones innecesarias, para todos los efectos legales a que haya lugar, se sostuvo que la presunción señalada en el acuerdo de inicio, puede considerarse como un acto administrativo en el que existen elementos suficientes para estimar en un grado superior al indicio, pero menor a la certeza absoluta la comisión de la conducta que ahora se reprocha a dicha concesionaria</w:t>
      </w:r>
      <w:r w:rsidR="00B50E11" w:rsidRPr="002A2450">
        <w:rPr>
          <w:rFonts w:ascii="ITC Avant Garde" w:hAnsi="ITC Avant Garde"/>
        </w:rPr>
        <w:t>,</w:t>
      </w:r>
      <w:r w:rsidRPr="002A2450">
        <w:rPr>
          <w:rFonts w:ascii="ITC Avant Garde" w:hAnsi="ITC Avant Garde"/>
        </w:rPr>
        <w:t xml:space="preserve"> sin que se haya determinado </w:t>
      </w:r>
      <w:r w:rsidRPr="002A2450">
        <w:rPr>
          <w:rFonts w:ascii="ITC Avant Garde" w:hAnsi="ITC Avant Garde"/>
          <w:i/>
        </w:rPr>
        <w:t xml:space="preserve">ex ante </w:t>
      </w:r>
      <w:r w:rsidRPr="002A2450">
        <w:rPr>
          <w:rFonts w:ascii="ITC Avant Garde" w:hAnsi="ITC Avant Garde"/>
        </w:rPr>
        <w:t xml:space="preserve">la comisión de la misma. </w:t>
      </w:r>
    </w:p>
    <w:p w14:paraId="1C64E9F9" w14:textId="77777777" w:rsidR="00B35F13" w:rsidRDefault="00CE2323" w:rsidP="00B35F13">
      <w:pPr>
        <w:spacing w:before="240" w:line="360" w:lineRule="auto"/>
        <w:jc w:val="both"/>
        <w:rPr>
          <w:rFonts w:ascii="ITC Avant Garde" w:hAnsi="ITC Avant Garde"/>
        </w:rPr>
      </w:pPr>
      <w:r w:rsidRPr="002A2450">
        <w:rPr>
          <w:rFonts w:ascii="ITC Avant Garde" w:hAnsi="ITC Avant Garde"/>
        </w:rPr>
        <w:t>Al respecto, es ilustrativa la siguiente tesis que a su letra señala:</w:t>
      </w:r>
    </w:p>
    <w:p w14:paraId="0BC5A239" w14:textId="77777777" w:rsidR="00B35F13" w:rsidRDefault="00092045" w:rsidP="00B35F13">
      <w:pPr>
        <w:spacing w:before="240" w:line="360" w:lineRule="auto"/>
        <w:ind w:left="567" w:right="567"/>
        <w:jc w:val="both"/>
        <w:rPr>
          <w:rFonts w:ascii="ITC Avant Garde" w:hAnsi="ITC Avant Garde"/>
        </w:rPr>
      </w:pPr>
      <w:r w:rsidRPr="002A2450">
        <w:rPr>
          <w:rFonts w:ascii="ITC Avant Garde" w:hAnsi="ITC Avant Garde"/>
          <w:b/>
        </w:rPr>
        <w:t>TELECOMUNICACIONES. EL JUICIO DE AMPARO ES IMPROCEDENTE CONTRA EL ACUERDO DEL INSTITUTO FEDERAL RELATIVO QUE INICIA EL PROCEDIMIENTO SANCIONATORIO Y CONCLUYE EL DE SUPERVISIÓN O VERIFICACIÓN.</w:t>
      </w:r>
      <w:r w:rsidR="00CE2323" w:rsidRPr="002A2450">
        <w:rPr>
          <w:rFonts w:ascii="ITC Avant Garde" w:hAnsi="ITC Avant Garde"/>
        </w:rPr>
        <w:t xml:space="preserve"> </w:t>
      </w:r>
      <w:r w:rsidRPr="002A2450">
        <w:rPr>
          <w:rFonts w:ascii="ITC Avant Garde" w:hAnsi="ITC Avant Garde"/>
          <w:b/>
          <w:u w:val="single"/>
        </w:rPr>
        <w:t>De conformidad con los artículos 15, fracciones XXVII y XXX, de la Ley Federal de Telecomunicaciones y Radiodifusión</w:t>
      </w:r>
      <w:r w:rsidRPr="002A2450">
        <w:rPr>
          <w:rFonts w:ascii="ITC Avant Garde" w:hAnsi="ITC Avant Garde"/>
        </w:rPr>
        <w:t xml:space="preserve">; 42, fracciones I, II, III, IV, XV, 43, fracciones I, II, III y IV y 44, fracción I, del Estatuto Orgánico del Instituto Federal de Telecomunicaciones, los procedimientos de supervisión o verificación y sancionatorio guardan una estrecha relación, pues uno de los fines del primero es que la autoridad tenga elementos necesarios para decidir si debe o no iniciar el procedimiento sancionatorio; sin embargo, son independientes entre sí, pues en el segundo se determina, en su caso, la sanción por incumplimiento a los títulos de concesión o por infracción a las disposiciones legales, reglamentarias o administrativas. </w:t>
      </w:r>
      <w:r w:rsidRPr="002A2450">
        <w:rPr>
          <w:rFonts w:ascii="ITC Avant Garde" w:hAnsi="ITC Avant Garde"/>
          <w:b/>
          <w:u w:val="single"/>
        </w:rPr>
        <w:t>En ese contexto, si bien el acuerdo de inicio de procedimiento sancionatorio</w:t>
      </w:r>
      <w:r w:rsidRPr="002A2450">
        <w:rPr>
          <w:rFonts w:ascii="ITC Avant Garde" w:hAnsi="ITC Avant Garde"/>
        </w:rPr>
        <w:t xml:space="preserve">, a la vez concluye el de supervisión o verificación, ello </w:t>
      </w:r>
      <w:r w:rsidRPr="002A2450">
        <w:rPr>
          <w:rFonts w:ascii="ITC Avant Garde" w:hAnsi="ITC Avant Garde"/>
          <w:b/>
          <w:u w:val="single"/>
        </w:rPr>
        <w:t>no implica que se trate de una resolución definitiva</w:t>
      </w:r>
      <w:r w:rsidRPr="002A2450">
        <w:rPr>
          <w:rFonts w:ascii="ITC Avant Garde" w:hAnsi="ITC Avant Garde"/>
        </w:rPr>
        <w:t xml:space="preserve"> reclamable en vía de amparo </w:t>
      </w:r>
      <w:r w:rsidRPr="002A2450">
        <w:rPr>
          <w:rFonts w:ascii="ITC Avant Garde" w:hAnsi="ITC Avant Garde"/>
          <w:b/>
          <w:u w:val="single"/>
        </w:rPr>
        <w:t xml:space="preserve">a través de la cual la autoridad determine algún tipo de responsabilidad o infracción administrativa e imponga la sanción respectiva, pues sólo constituye un acto de índole procesal que no genera un menoscabo en el patrimonio </w:t>
      </w:r>
      <w:r w:rsidRPr="002A2450">
        <w:rPr>
          <w:rFonts w:ascii="ITC Avant Garde" w:hAnsi="ITC Avant Garde"/>
          <w:b/>
          <w:u w:val="single"/>
        </w:rPr>
        <w:lastRenderedPageBreak/>
        <w:t>que pudiese afectar derecho sustantivo alguno, dado que no es la última voluntad de la autoridad en el procedimiento sancionatorio respectivo</w:t>
      </w:r>
      <w:r w:rsidRPr="002A2450">
        <w:rPr>
          <w:rFonts w:ascii="ITC Avant Garde" w:hAnsi="ITC Avant Garde"/>
        </w:rPr>
        <w:t xml:space="preserve">. Todo esto, acorde con el artículo 28, vigésimo párrafo, fracción VII, de la Constitución Política de los Estados Unidos Mexicanos, que establece la improcedencia de recurso ordinario o constitucional alguno contra actos </w:t>
      </w:r>
      <w:proofErr w:type="spellStart"/>
      <w:r w:rsidRPr="002A2450">
        <w:rPr>
          <w:rFonts w:ascii="ITC Avant Garde" w:hAnsi="ITC Avant Garde"/>
        </w:rPr>
        <w:t>intraprocesales</w:t>
      </w:r>
      <w:proofErr w:type="spellEnd"/>
      <w:r w:rsidRPr="002A2450">
        <w:rPr>
          <w:rFonts w:ascii="ITC Avant Garde" w:hAnsi="ITC Avant Garde"/>
        </w:rPr>
        <w:t>, con lo cual se buscó que en todos aquellos casos en que el Instituto Federal de Telecomunicaciones resolviera un asunto mediante una secuencia de actos desarrollados progresivamente, el medio de defensa respectivo procediera únicamente contra la resolución definitiva y, en ese sentido, ninguno de los actos dictados dentro del procedimiento, previo a la decisión final, es controvertible.</w:t>
      </w:r>
    </w:p>
    <w:p w14:paraId="1E6C4D3F" w14:textId="77777777" w:rsidR="00B35F13" w:rsidRDefault="00CE2323" w:rsidP="00B35F13">
      <w:pPr>
        <w:spacing w:before="240" w:line="360" w:lineRule="auto"/>
        <w:ind w:left="567" w:right="567"/>
        <w:jc w:val="both"/>
        <w:rPr>
          <w:rFonts w:ascii="ITC Avant Garde" w:hAnsi="ITC Avant Garde"/>
        </w:rPr>
      </w:pPr>
      <w:r w:rsidRPr="002A2450">
        <w:rPr>
          <w:rFonts w:ascii="ITC Avant Garde" w:hAnsi="ITC Avant Garde"/>
          <w:sz w:val="18"/>
        </w:rPr>
        <w:t>Época: Décima Época, Registro: 2010133, Instancia: Tribunales Colegiados de Circuito, Tipo de Tesis: Aislada, Fuente: Gaceta del Semanario Judicial de la Federación, Libro 23, Octubre de 2015, Tomo IV, Materia(s): Común, Tesis: I.1o.A.E.78 A (10a.), Página: 4107.</w:t>
      </w:r>
    </w:p>
    <w:p w14:paraId="0ABA9848" w14:textId="77777777" w:rsidR="00B35F13" w:rsidRDefault="00092045" w:rsidP="00B35F13">
      <w:pPr>
        <w:spacing w:before="240" w:line="360" w:lineRule="auto"/>
        <w:ind w:left="567" w:right="567"/>
        <w:jc w:val="both"/>
        <w:rPr>
          <w:rFonts w:ascii="ITC Avant Garde" w:hAnsi="ITC Avant Garde"/>
        </w:rPr>
      </w:pPr>
      <w:r w:rsidRPr="002A2450">
        <w:rPr>
          <w:rFonts w:ascii="ITC Avant Garde" w:hAnsi="ITC Avant Garde"/>
          <w:sz w:val="18"/>
        </w:rPr>
        <w:t>Esta tesis se publicó el viernes 2 de octubre de 2015 a las 11:30 horas en el Semanario Judicial de la Federación.</w:t>
      </w:r>
    </w:p>
    <w:p w14:paraId="07BB0518" w14:textId="77777777" w:rsidR="00B35F13" w:rsidRDefault="00CE2323" w:rsidP="00B35F13">
      <w:pPr>
        <w:spacing w:before="240" w:line="360" w:lineRule="auto"/>
        <w:jc w:val="both"/>
        <w:rPr>
          <w:rFonts w:ascii="ITC Avant Garde" w:hAnsi="ITC Avant Garde"/>
        </w:rPr>
      </w:pPr>
      <w:r w:rsidRPr="002A2450">
        <w:rPr>
          <w:rFonts w:ascii="ITC Avant Garde" w:hAnsi="ITC Avant Garde"/>
        </w:rPr>
        <w:t>Con base en lo anterior, es claro que los Tribunales Especializados han determinado que el acuerdo de inicio del procedimiento de imposición de sanción, no implica que se trate de una resolución definitiva a través de la cual la autoridad determine algún tipo de responsabilidad o infracción administrativa e imponga la sanción respectiva, pues sólo constituye un acto de índole procesal que no genera un menoscabo en el patrimonio que pudiese afectar derecho sustantivo alguno, dado que no es la última voluntad de la autoridad en el procedimiento sancionatorio respectivo</w:t>
      </w:r>
      <w:r w:rsidR="00746D90" w:rsidRPr="002A2450">
        <w:rPr>
          <w:rFonts w:ascii="ITC Avant Garde" w:hAnsi="ITC Avant Garde"/>
        </w:rPr>
        <w:t>.</w:t>
      </w:r>
    </w:p>
    <w:p w14:paraId="3AE6D7CD" w14:textId="77777777" w:rsidR="00B35F13" w:rsidRDefault="009244EF" w:rsidP="00B35F13">
      <w:pPr>
        <w:spacing w:before="240" w:line="360" w:lineRule="auto"/>
        <w:jc w:val="both"/>
        <w:rPr>
          <w:rFonts w:ascii="ITC Avant Garde" w:hAnsi="ITC Avant Garde"/>
        </w:rPr>
      </w:pPr>
      <w:r w:rsidRPr="002A2450">
        <w:rPr>
          <w:rFonts w:ascii="ITC Avant Garde" w:hAnsi="ITC Avant Garde"/>
        </w:rPr>
        <w:t xml:space="preserve">Así las cosas, la parte del argumento que se indica debe declararse </w:t>
      </w:r>
      <w:r w:rsidRPr="002A2450">
        <w:rPr>
          <w:rFonts w:ascii="ITC Avant Garde" w:hAnsi="ITC Avant Garde"/>
          <w:b/>
          <w:u w:val="single"/>
        </w:rPr>
        <w:t>infundado</w:t>
      </w:r>
      <w:r w:rsidRPr="002A2450">
        <w:rPr>
          <w:rFonts w:ascii="ITC Avant Garde" w:hAnsi="ITC Avant Garde"/>
        </w:rPr>
        <w:t xml:space="preserve"> puesto que como se ha advertido, no existe una incompetencia por parte de este </w:t>
      </w:r>
      <w:r w:rsidRPr="002A2450">
        <w:rPr>
          <w:rFonts w:ascii="ITC Avant Garde" w:hAnsi="ITC Avant Garde"/>
          <w:b/>
        </w:rPr>
        <w:t>“IFT”</w:t>
      </w:r>
      <w:r w:rsidRPr="002A2450">
        <w:rPr>
          <w:rFonts w:ascii="ITC Avant Garde" w:hAnsi="ITC Avant Garde"/>
        </w:rPr>
        <w:t xml:space="preserve"> ni una resolución que determina </w:t>
      </w:r>
      <w:r w:rsidRPr="002A2450">
        <w:rPr>
          <w:rFonts w:ascii="ITC Avant Garde" w:hAnsi="ITC Avant Garde"/>
          <w:i/>
        </w:rPr>
        <w:t>a priori</w:t>
      </w:r>
      <w:r w:rsidRPr="002A2450">
        <w:rPr>
          <w:rFonts w:ascii="ITC Avant Garde" w:hAnsi="ITC Avant Garde"/>
        </w:rPr>
        <w:t xml:space="preserve"> la probable responsabilidad de </w:t>
      </w:r>
      <w:r w:rsidRPr="002A2450">
        <w:rPr>
          <w:rFonts w:ascii="ITC Avant Garde" w:hAnsi="ITC Avant Garde"/>
          <w:b/>
        </w:rPr>
        <w:t>“TELMEX”</w:t>
      </w:r>
      <w:r w:rsidRPr="002A2450">
        <w:rPr>
          <w:rFonts w:ascii="ITC Avant Garde" w:hAnsi="ITC Avant Garde"/>
        </w:rPr>
        <w:t xml:space="preserve"> en el presente procedimiento.</w:t>
      </w:r>
    </w:p>
    <w:p w14:paraId="07505F34" w14:textId="77777777" w:rsidR="00B35F13" w:rsidRDefault="00746D90" w:rsidP="00B35F13">
      <w:pPr>
        <w:spacing w:before="240" w:line="360" w:lineRule="auto"/>
        <w:jc w:val="both"/>
        <w:rPr>
          <w:rFonts w:ascii="ITC Avant Garde" w:hAnsi="ITC Avant Garde"/>
        </w:rPr>
      </w:pPr>
      <w:r w:rsidRPr="002A2450">
        <w:rPr>
          <w:rFonts w:ascii="ITC Avant Garde" w:hAnsi="ITC Avant Garde"/>
        </w:rPr>
        <w:lastRenderedPageBreak/>
        <w:t xml:space="preserve">No escapa de esta autoridad, el hecho de que </w:t>
      </w:r>
      <w:r w:rsidRPr="002A2450">
        <w:rPr>
          <w:rFonts w:ascii="ITC Avant Garde" w:hAnsi="ITC Avant Garde"/>
          <w:b/>
        </w:rPr>
        <w:t xml:space="preserve">“TELMEX” </w:t>
      </w:r>
      <w:r w:rsidRPr="002A2450">
        <w:rPr>
          <w:rFonts w:ascii="ITC Avant Garde" w:hAnsi="ITC Avant Garde"/>
        </w:rPr>
        <w:t xml:space="preserve">haya señalado que este </w:t>
      </w:r>
      <w:r w:rsidRPr="002A2450">
        <w:rPr>
          <w:rFonts w:ascii="ITC Avant Garde" w:hAnsi="ITC Avant Garde"/>
          <w:b/>
        </w:rPr>
        <w:t>“IFT”</w:t>
      </w:r>
      <w:r w:rsidRPr="002A2450">
        <w:rPr>
          <w:rFonts w:ascii="ITC Avant Garde" w:hAnsi="ITC Avant Garde"/>
        </w:rPr>
        <w:t xml:space="preserve"> se encuentra impedido para interpretar el alcance de la condición 1</w:t>
      </w:r>
      <w:r w:rsidR="00395153" w:rsidRPr="002A2450">
        <w:rPr>
          <w:rFonts w:ascii="ITC Avant Garde" w:hAnsi="ITC Avant Garde"/>
        </w:rPr>
        <w:t>-</w:t>
      </w:r>
      <w:r w:rsidRPr="002A2450">
        <w:rPr>
          <w:rFonts w:ascii="ITC Avant Garde" w:hAnsi="ITC Avant Garde"/>
        </w:rPr>
        <w:t xml:space="preserve">9 de su </w:t>
      </w:r>
      <w:r w:rsidR="00BD1D1D" w:rsidRPr="002A2450">
        <w:rPr>
          <w:rFonts w:ascii="ITC Avant Garde" w:hAnsi="ITC Avant Garde"/>
        </w:rPr>
        <w:t>“</w:t>
      </w:r>
      <w:r w:rsidR="00BD1D1D" w:rsidRPr="002A2450">
        <w:rPr>
          <w:rFonts w:ascii="ITC Avant Garde" w:hAnsi="ITC Avant Garde"/>
          <w:b/>
        </w:rPr>
        <w:t>TÍTULO</w:t>
      </w:r>
      <w:r w:rsidRPr="002A2450">
        <w:rPr>
          <w:rFonts w:ascii="ITC Avant Garde" w:hAnsi="ITC Avant Garde"/>
          <w:b/>
        </w:rPr>
        <w:t xml:space="preserve"> DE CONCESIÓN</w:t>
      </w:r>
      <w:r w:rsidR="00BD1D1D" w:rsidRPr="002A2450">
        <w:rPr>
          <w:rFonts w:ascii="ITC Avant Garde" w:hAnsi="ITC Avant Garde"/>
          <w:b/>
        </w:rPr>
        <w:t>”</w:t>
      </w:r>
      <w:r w:rsidRPr="002A2450">
        <w:rPr>
          <w:rFonts w:ascii="ITC Avant Garde" w:hAnsi="ITC Avant Garde"/>
        </w:rPr>
        <w:t>.</w:t>
      </w:r>
    </w:p>
    <w:p w14:paraId="70E8CB8B" w14:textId="77777777" w:rsidR="00B35F13" w:rsidRDefault="00746D90" w:rsidP="00B35F13">
      <w:pPr>
        <w:spacing w:before="240" w:line="360" w:lineRule="auto"/>
        <w:jc w:val="both"/>
        <w:rPr>
          <w:rFonts w:ascii="ITC Avant Garde" w:hAnsi="ITC Avant Garde"/>
        </w:rPr>
      </w:pPr>
      <w:r w:rsidRPr="002A2450">
        <w:rPr>
          <w:rFonts w:ascii="ITC Avant Garde" w:hAnsi="ITC Avant Garde"/>
        </w:rPr>
        <w:t>Al respecto, esta autoridad considera que dicha argumentación, al estar relacionad</w:t>
      </w:r>
      <w:r w:rsidR="00972302" w:rsidRPr="002A2450">
        <w:rPr>
          <w:rFonts w:ascii="ITC Avant Garde" w:hAnsi="ITC Avant Garde"/>
        </w:rPr>
        <w:t>a</w:t>
      </w:r>
      <w:r w:rsidRPr="002A2450">
        <w:rPr>
          <w:rFonts w:ascii="ITC Avant Garde" w:hAnsi="ITC Avant Garde"/>
        </w:rPr>
        <w:t xml:space="preserve"> con otros argumentos señalado por </w:t>
      </w:r>
      <w:r w:rsidRPr="002A2450">
        <w:rPr>
          <w:rFonts w:ascii="ITC Avant Garde" w:hAnsi="ITC Avant Garde"/>
          <w:b/>
        </w:rPr>
        <w:t>“TELMEX”</w:t>
      </w:r>
      <w:r w:rsidRPr="002A2450">
        <w:rPr>
          <w:rFonts w:ascii="ITC Avant Garde" w:hAnsi="ITC Avant Garde"/>
        </w:rPr>
        <w:t xml:space="preserve"> en su escrito de manifestaciones y pruebas, se reserva en esta parte de la Resolución para pronunciarse al respecto, ya que al existir una coincidencia en la causa de pedir con otras manifestaciones señaladas por la propia concesionaria, bajo los principio de economía procesal y congruencia interna debe guardar toda resolución, </w:t>
      </w:r>
      <w:r w:rsidR="00B50E11" w:rsidRPr="002A2450">
        <w:rPr>
          <w:rFonts w:ascii="ITC Avant Garde" w:hAnsi="ITC Avant Garde"/>
        </w:rPr>
        <w:t xml:space="preserve">se </w:t>
      </w:r>
      <w:r w:rsidRPr="002A2450">
        <w:rPr>
          <w:rFonts w:ascii="ITC Avant Garde" w:hAnsi="ITC Avant Garde"/>
        </w:rPr>
        <w:t xml:space="preserve">hará </w:t>
      </w:r>
      <w:r w:rsidR="00B50E11" w:rsidRPr="002A2450">
        <w:rPr>
          <w:rFonts w:ascii="ITC Avant Garde" w:hAnsi="ITC Avant Garde"/>
        </w:rPr>
        <w:t xml:space="preserve">el </w:t>
      </w:r>
      <w:r w:rsidRPr="002A2450">
        <w:rPr>
          <w:rFonts w:ascii="ITC Avant Garde" w:hAnsi="ITC Avant Garde"/>
        </w:rPr>
        <w:t xml:space="preserve">pronunciamiento </w:t>
      </w:r>
      <w:r w:rsidR="00B50E11" w:rsidRPr="002A2450">
        <w:rPr>
          <w:rFonts w:ascii="ITC Avant Garde" w:hAnsi="ITC Avant Garde"/>
        </w:rPr>
        <w:t xml:space="preserve">respectivo </w:t>
      </w:r>
      <w:r w:rsidRPr="002A2450">
        <w:rPr>
          <w:rFonts w:ascii="ITC Avant Garde" w:hAnsi="ITC Avant Garde"/>
        </w:rPr>
        <w:t>en el apartado</w:t>
      </w:r>
      <w:r w:rsidR="00B50E11" w:rsidRPr="002A2450">
        <w:rPr>
          <w:rFonts w:ascii="ITC Avant Garde" w:hAnsi="ITC Avant Garde"/>
        </w:rPr>
        <w:t xml:space="preserve"> que aborde dicha cuestión</w:t>
      </w:r>
      <w:r w:rsidRPr="002A2450">
        <w:rPr>
          <w:rFonts w:ascii="ITC Avant Garde" w:hAnsi="ITC Avant Garde"/>
        </w:rPr>
        <w:t>.</w:t>
      </w:r>
    </w:p>
    <w:p w14:paraId="731D67F7" w14:textId="77777777" w:rsidR="00B35F13" w:rsidRPr="00CE1EA8" w:rsidRDefault="00BD1D1D" w:rsidP="007E623E">
      <w:pPr>
        <w:pStyle w:val="Ttulo4"/>
        <w:numPr>
          <w:ilvl w:val="0"/>
          <w:numId w:val="65"/>
        </w:numPr>
        <w:ind w:left="284" w:hanging="284"/>
        <w:rPr>
          <w:b/>
        </w:rPr>
      </w:pPr>
      <w:r w:rsidRPr="00CE1EA8">
        <w:rPr>
          <w:b/>
        </w:rPr>
        <w:t>CONTRATOS COALIGADOS</w:t>
      </w:r>
    </w:p>
    <w:p w14:paraId="569013C8" w14:textId="77777777" w:rsidR="00B35F13" w:rsidRDefault="008E0A45" w:rsidP="00B35F13">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Por </w:t>
      </w:r>
      <w:r w:rsidR="00B50E11" w:rsidRPr="002A2450">
        <w:rPr>
          <w:rFonts w:ascii="ITC Avant Garde" w:eastAsia="Times New Roman" w:hAnsi="ITC Avant Garde"/>
          <w:bCs/>
          <w:color w:val="000000"/>
          <w:lang w:eastAsia="es-MX"/>
        </w:rPr>
        <w:t xml:space="preserve">razón </w:t>
      </w:r>
      <w:r w:rsidRPr="002A2450">
        <w:rPr>
          <w:rFonts w:ascii="ITC Avant Garde" w:eastAsia="Times New Roman" w:hAnsi="ITC Avant Garde"/>
          <w:bCs/>
          <w:color w:val="000000"/>
          <w:lang w:eastAsia="es-MX"/>
        </w:rPr>
        <w:t>de orden y método, esta autoridad considera que para determinar si existe o no, el probable incumplimiento al</w:t>
      </w:r>
      <w:r w:rsidR="00B50E11" w:rsidRPr="002A2450">
        <w:rPr>
          <w:rFonts w:ascii="ITC Avant Garde" w:eastAsia="Times New Roman" w:hAnsi="ITC Avant Garde"/>
          <w:bCs/>
          <w:color w:val="000000"/>
          <w:lang w:eastAsia="es-MX"/>
        </w:rPr>
        <w:t xml:space="preserve"> </w:t>
      </w:r>
      <w:r w:rsidR="00B15C84" w:rsidRPr="009E34A4">
        <w:rPr>
          <w:rFonts w:ascii="ITC Avant Garde" w:eastAsia="Times New Roman" w:hAnsi="ITC Avant Garde"/>
          <w:b/>
          <w:bCs/>
          <w:color w:val="000000"/>
          <w:lang w:eastAsia="es-MX"/>
        </w:rPr>
        <w:t>Tercer Párrafo</w:t>
      </w:r>
      <w:r w:rsidR="00B50E11" w:rsidRPr="002A2450">
        <w:rPr>
          <w:rFonts w:ascii="ITC Avant Garde" w:eastAsia="Times New Roman" w:hAnsi="ITC Avant Garde"/>
          <w:bCs/>
          <w:color w:val="000000"/>
          <w:lang w:eastAsia="es-MX"/>
        </w:rPr>
        <w:t xml:space="preserve"> de la</w:t>
      </w:r>
      <w:r w:rsidRPr="002A2450">
        <w:rPr>
          <w:rFonts w:ascii="ITC Avant Garde" w:eastAsia="Times New Roman" w:hAnsi="ITC Avant Garde"/>
          <w:bCs/>
          <w:color w:val="000000"/>
          <w:lang w:eastAsia="es-MX"/>
        </w:rPr>
        <w:t xml:space="preserve"> condición 1-9 del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 xml:space="preserve"> otorgado a </w:t>
      </w:r>
      <w:r w:rsidRPr="002A2450">
        <w:rPr>
          <w:rFonts w:ascii="ITC Avant Garde" w:eastAsia="Times New Roman" w:hAnsi="ITC Avant Garde"/>
          <w:b/>
          <w:bCs/>
          <w:color w:val="000000"/>
          <w:lang w:eastAsia="es-MX"/>
        </w:rPr>
        <w:t>“TELMEX”</w:t>
      </w:r>
      <w:r w:rsidR="00B50E11"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es necesario conocer, </w:t>
      </w:r>
      <w:r w:rsidR="00972302" w:rsidRPr="002A2450">
        <w:rPr>
          <w:rFonts w:ascii="ITC Avant Garde" w:eastAsia="Times New Roman" w:hAnsi="ITC Avant Garde"/>
          <w:bCs/>
          <w:color w:val="000000"/>
          <w:lang w:eastAsia="es-MX"/>
        </w:rPr>
        <w:t>sí en términos d</w:t>
      </w:r>
      <w:r w:rsidRPr="002A2450">
        <w:rPr>
          <w:rFonts w:ascii="ITC Avant Garde" w:eastAsia="Times New Roman" w:hAnsi="ITC Avant Garde"/>
          <w:bCs/>
          <w:color w:val="000000"/>
          <w:lang w:eastAsia="es-MX"/>
        </w:rPr>
        <w:t xml:space="preserve">el acuerdo de inicio del procedimiento administrativo de imposición de sanción, que derivado del análisis del contenido obligacional de los contratos celebrados por dicha concesionaria y otras empresas, se materializan facultades y prerrogativas mediante las cuales es posible presumir que la relación sostenida entre dicha empresa y </w:t>
      </w:r>
      <w:r w:rsidRPr="002A2450">
        <w:rPr>
          <w:rFonts w:ascii="ITC Avant Garde" w:eastAsia="Times New Roman" w:hAnsi="ITC Avant Garde"/>
          <w:b/>
          <w:bCs/>
          <w:color w:val="000000"/>
          <w:lang w:eastAsia="es-MX"/>
        </w:rPr>
        <w:t>“COFRESA”, “DISH MÉXICO” y “DISH HOLDINGS”</w:t>
      </w:r>
      <w:r w:rsidRPr="002A2450">
        <w:rPr>
          <w:rFonts w:ascii="ITC Avant Garde" w:eastAsia="Times New Roman" w:hAnsi="ITC Avant Garde"/>
          <w:bCs/>
          <w:color w:val="000000"/>
          <w:lang w:eastAsia="es-MX"/>
        </w:rPr>
        <w:t>, van más allá de una simple relación comercial</w:t>
      </w:r>
      <w:r w:rsidR="008F718E" w:rsidRPr="009E34A4">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 xml:space="preserve">y que de facto entrañan un vínculo jurídico que permite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tener injerencia directa en la operación de las últimas empresas mencionadas que le permite de manera indirecta explotar </w:t>
      </w:r>
      <w:r w:rsidR="00B50E11" w:rsidRPr="002A2450">
        <w:rPr>
          <w:rFonts w:ascii="ITC Avant Garde" w:eastAsia="Times New Roman" w:hAnsi="ITC Avant Garde"/>
          <w:bCs/>
          <w:color w:val="000000"/>
          <w:lang w:eastAsia="es-MX"/>
        </w:rPr>
        <w:t xml:space="preserve">la concesión </w:t>
      </w:r>
      <w:r w:rsidRPr="002A2450">
        <w:rPr>
          <w:rFonts w:ascii="ITC Avant Garde" w:eastAsia="Times New Roman" w:hAnsi="ITC Avant Garde"/>
          <w:bCs/>
          <w:color w:val="000000"/>
          <w:lang w:eastAsia="es-MX"/>
        </w:rPr>
        <w:t xml:space="preserve">que le fue otorgado a </w:t>
      </w:r>
      <w:r w:rsidRPr="002A2450">
        <w:rPr>
          <w:rFonts w:ascii="ITC Avant Garde" w:eastAsia="Times New Roman" w:hAnsi="ITC Avant Garde"/>
          <w:b/>
          <w:bCs/>
          <w:color w:val="000000"/>
          <w:lang w:eastAsia="es-MX"/>
        </w:rPr>
        <w:t>“COFRESA”</w:t>
      </w:r>
      <w:r w:rsidR="00B50E11" w:rsidRPr="002A2450">
        <w:rPr>
          <w:rFonts w:ascii="ITC Avant Garde" w:eastAsia="Times New Roman" w:hAnsi="ITC Avant Garde"/>
          <w:b/>
          <w:bCs/>
          <w:color w:val="000000"/>
          <w:lang w:eastAsia="es-MX"/>
        </w:rPr>
        <w:t xml:space="preserve"> </w:t>
      </w:r>
      <w:r w:rsidR="00B50E11" w:rsidRPr="002A2450">
        <w:rPr>
          <w:rFonts w:ascii="ITC Avant Garde" w:eastAsia="Times New Roman" w:hAnsi="ITC Avant Garde"/>
          <w:bCs/>
          <w:color w:val="000000"/>
          <w:lang w:eastAsia="es-MX"/>
        </w:rPr>
        <w:t xml:space="preserve">para prestar el servicio de televisión restringida en el país y consecuentemente procede en esta parte de la resolución a </w:t>
      </w:r>
      <w:r w:rsidR="00741D16" w:rsidRPr="002A2450">
        <w:rPr>
          <w:rFonts w:ascii="ITC Avant Garde" w:eastAsia="Times New Roman" w:hAnsi="ITC Avant Garde"/>
          <w:bCs/>
          <w:color w:val="000000"/>
          <w:lang w:eastAsia="es-MX"/>
        </w:rPr>
        <w:t xml:space="preserve">analizar si efectivamente los contratos suscritos por las empresas involucradas forman un mecanismo que permite a </w:t>
      </w:r>
      <w:r w:rsidR="00741D16" w:rsidRPr="002A2450">
        <w:rPr>
          <w:rFonts w:ascii="ITC Avant Garde" w:eastAsia="Times New Roman" w:hAnsi="ITC Avant Garde"/>
          <w:b/>
          <w:bCs/>
          <w:color w:val="000000"/>
          <w:lang w:eastAsia="es-MX"/>
        </w:rPr>
        <w:t>“TELMEX”</w:t>
      </w:r>
      <w:r w:rsidR="00741D16" w:rsidRPr="002A2450">
        <w:rPr>
          <w:rFonts w:ascii="ITC Avant Garde" w:eastAsia="Times New Roman" w:hAnsi="ITC Avant Garde"/>
          <w:bCs/>
          <w:color w:val="000000"/>
          <w:lang w:eastAsia="es-MX"/>
        </w:rPr>
        <w:t xml:space="preserve"> sostener una injerencia y/o control indirecto respecto de </w:t>
      </w:r>
      <w:r w:rsidR="00741D16" w:rsidRPr="002A2450">
        <w:rPr>
          <w:rFonts w:ascii="ITC Avant Garde" w:eastAsia="Times New Roman" w:hAnsi="ITC Avant Garde"/>
          <w:b/>
          <w:bCs/>
          <w:color w:val="000000"/>
          <w:lang w:eastAsia="es-MX"/>
        </w:rPr>
        <w:t>“DISH”.</w:t>
      </w:r>
    </w:p>
    <w:p w14:paraId="5AC3037C" w14:textId="77777777" w:rsidR="00B35F13" w:rsidRDefault="00741D16" w:rsidP="00B35F13">
      <w:pPr>
        <w:pStyle w:val="Textoindependiente"/>
        <w:tabs>
          <w:tab w:val="left" w:pos="567"/>
        </w:tabs>
        <w:spacing w:before="240" w:after="160" w:line="360" w:lineRule="auto"/>
        <w:jc w:val="both"/>
        <w:rPr>
          <w:rFonts w:ascii="ITC Avant Garde" w:eastAsia="Times New Roman" w:hAnsi="ITC Avant Garde"/>
          <w:b/>
          <w:bCs/>
          <w:color w:val="000000"/>
          <w:lang w:eastAsia="es-MX"/>
        </w:rPr>
      </w:pPr>
      <w:r w:rsidRPr="002A2450">
        <w:rPr>
          <w:rFonts w:ascii="ITC Avant Garde" w:eastAsia="Times New Roman" w:hAnsi="ITC Avant Garde"/>
          <w:bCs/>
          <w:color w:val="000000"/>
          <w:lang w:eastAsia="es-MX"/>
        </w:rPr>
        <w:lastRenderedPageBreak/>
        <w:t xml:space="preserve">Lo anterior, ya que en caso de encontrase que dichos contratos no forman un mecanismo complejo que permita sostener la imputación realizada en el presente asunto, sería innecesario atender los demás argumentos presentados por </w:t>
      </w:r>
      <w:r w:rsidRPr="002A2450">
        <w:rPr>
          <w:rFonts w:ascii="ITC Avant Garde" w:eastAsia="Times New Roman" w:hAnsi="ITC Avant Garde"/>
          <w:b/>
          <w:bCs/>
          <w:color w:val="000000"/>
          <w:lang w:eastAsia="es-MX"/>
        </w:rPr>
        <w:t>“TELMEX”.</w:t>
      </w:r>
    </w:p>
    <w:p w14:paraId="1947E6E1" w14:textId="77777777" w:rsidR="00B35F13" w:rsidRDefault="00482492"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conviene</w:t>
      </w:r>
      <w:r w:rsidR="009244EF"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para efectos del presente procedimiento</w:t>
      </w:r>
      <w:r w:rsidR="009244EF"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señalar que el mismo tiene por objeto determinar el presunto incumplimiento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al </w:t>
      </w:r>
      <w:r w:rsidR="00B15C84" w:rsidRPr="009E34A4">
        <w:rPr>
          <w:rFonts w:ascii="ITC Avant Garde" w:eastAsia="Times New Roman" w:hAnsi="ITC Avant Garde"/>
          <w:b/>
          <w:bCs/>
          <w:color w:val="000000"/>
          <w:lang w:eastAsia="es-MX"/>
        </w:rPr>
        <w:t>Tercer Párrafo</w:t>
      </w:r>
      <w:r w:rsidRPr="002A2450">
        <w:rPr>
          <w:rFonts w:ascii="ITC Avant Garde" w:eastAsia="Times New Roman" w:hAnsi="ITC Avant Garde"/>
          <w:bCs/>
          <w:color w:val="000000"/>
          <w:lang w:eastAsia="es-MX"/>
        </w:rPr>
        <w:t xml:space="preserve"> de la condición 1-9 de su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 xml:space="preserve">, esto es, explotar indirectamente a través de </w:t>
      </w:r>
      <w:r w:rsidRPr="002A2450">
        <w:rPr>
          <w:rFonts w:ascii="ITC Avant Garde" w:eastAsia="Times New Roman" w:hAnsi="ITC Avant Garde"/>
          <w:b/>
          <w:bCs/>
          <w:color w:val="000000"/>
          <w:lang w:eastAsia="es-MX"/>
        </w:rPr>
        <w:t>“TENINVER”</w:t>
      </w:r>
      <w:r w:rsidRPr="002A2450">
        <w:rPr>
          <w:rFonts w:ascii="ITC Avant Garde" w:eastAsia="Times New Roman" w:hAnsi="ITC Avant Garde"/>
          <w:bCs/>
          <w:color w:val="000000"/>
          <w:lang w:eastAsia="es-MX"/>
        </w:rPr>
        <w:t xml:space="preserve"> una concesión para prestar el servicio de televisión en el país.</w:t>
      </w:r>
    </w:p>
    <w:p w14:paraId="6B87D170" w14:textId="77777777" w:rsidR="00B35F13" w:rsidRDefault="00482492"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Para lo anterior, vale recordar que la explotación </w:t>
      </w:r>
      <w:r w:rsidR="001B5599" w:rsidRPr="002A2450">
        <w:rPr>
          <w:rFonts w:ascii="ITC Avant Garde" w:eastAsia="Times New Roman" w:hAnsi="ITC Avant Garde"/>
          <w:bCs/>
          <w:color w:val="000000"/>
          <w:lang w:eastAsia="es-MX"/>
        </w:rPr>
        <w:t xml:space="preserve">indirecta es un término que no está reconocido en nuestra legislación y que para efectos de nuestro análisis  hubo la necesidad de contextualizar dicho términos en los términos en los que se encuentra previsto en la propia condición. En tal sentido, al estar vinculado estrechamente dicho término con la operación de una concesión, debe </w:t>
      </w:r>
      <w:r w:rsidR="0019279C" w:rsidRPr="002A2450">
        <w:rPr>
          <w:rFonts w:ascii="ITC Avant Garde" w:eastAsia="Times New Roman" w:hAnsi="ITC Avant Garde"/>
          <w:bCs/>
          <w:color w:val="000000"/>
          <w:lang w:eastAsia="es-MX"/>
        </w:rPr>
        <w:t xml:space="preserve">señalarse </w:t>
      </w:r>
      <w:r w:rsidR="001B5599" w:rsidRPr="002A2450">
        <w:rPr>
          <w:rFonts w:ascii="ITC Avant Garde" w:eastAsia="Times New Roman" w:hAnsi="ITC Avant Garde"/>
          <w:bCs/>
          <w:color w:val="000000"/>
          <w:lang w:eastAsia="es-MX"/>
        </w:rPr>
        <w:t xml:space="preserve">que la misma </w:t>
      </w:r>
      <w:r w:rsidRPr="002A2450">
        <w:rPr>
          <w:rFonts w:ascii="ITC Avant Garde" w:eastAsia="Times New Roman" w:hAnsi="ITC Avant Garde"/>
          <w:bCs/>
          <w:color w:val="000000"/>
          <w:lang w:eastAsia="es-MX"/>
        </w:rPr>
        <w:t xml:space="preserve">debe ser entendida como </w:t>
      </w:r>
      <w:r w:rsidR="001B5599" w:rsidRPr="002A2450">
        <w:rPr>
          <w:rFonts w:ascii="ITC Avant Garde" w:eastAsia="Times New Roman" w:hAnsi="ITC Avant Garde"/>
          <w:bCs/>
          <w:color w:val="000000"/>
          <w:lang w:eastAsia="es-MX"/>
        </w:rPr>
        <w:t>l</w:t>
      </w:r>
      <w:r w:rsidRPr="002A2450">
        <w:rPr>
          <w:rFonts w:ascii="ITC Avant Garde" w:eastAsia="Times New Roman" w:hAnsi="ITC Avant Garde"/>
          <w:bCs/>
          <w:color w:val="000000"/>
          <w:lang w:eastAsia="es-MX"/>
        </w:rPr>
        <w:t xml:space="preserve">a capacidad de hecho o de derecho para participar o incidir, a través de cualquier medio, mecanismo o forma, en la operación o los derechos derivados de una concesión otorgada por la autoridad competente para prestar servicios de televisión al público en cualquiera de sus modalidades. </w:t>
      </w:r>
    </w:p>
    <w:p w14:paraId="7F7BE1C8" w14:textId="77777777" w:rsidR="00B35F13" w:rsidRDefault="00482492" w:rsidP="00B35F13">
      <w:pPr>
        <w:pStyle w:val="Textonotapie"/>
        <w:spacing w:before="240" w:after="160" w:line="360" w:lineRule="auto"/>
        <w:jc w:val="both"/>
        <w:rPr>
          <w:rFonts w:eastAsia="Times New Roman" w:cs="Times New Roman"/>
          <w:bCs/>
          <w:color w:val="000000"/>
          <w:sz w:val="22"/>
          <w:szCs w:val="22"/>
          <w:lang w:eastAsia="es-MX"/>
        </w:rPr>
      </w:pPr>
      <w:r w:rsidRPr="002A2450">
        <w:rPr>
          <w:rFonts w:eastAsia="Times New Roman" w:cs="Times New Roman"/>
          <w:bCs/>
          <w:color w:val="000000"/>
          <w:sz w:val="22"/>
          <w:szCs w:val="22"/>
          <w:lang w:eastAsia="es-MX"/>
        </w:rPr>
        <w:t xml:space="preserve">Ahora bien, de acuerdo a las constancias que obran en los autos del expediente E-IFT/UC/DGIPM/PMR/003/2013 (fojas 4779 y 7204) se tiene acreditado que </w:t>
      </w:r>
      <w:r w:rsidRPr="002A2450">
        <w:rPr>
          <w:rFonts w:eastAsia="Times New Roman" w:cs="Times New Roman"/>
          <w:b/>
          <w:bCs/>
          <w:color w:val="000000"/>
          <w:sz w:val="22"/>
          <w:szCs w:val="22"/>
          <w:lang w:eastAsia="es-MX"/>
        </w:rPr>
        <w:t>“TENINVER”</w:t>
      </w:r>
      <w:r w:rsidRPr="002A2450">
        <w:rPr>
          <w:rFonts w:eastAsia="Times New Roman" w:cs="Times New Roman"/>
          <w:bCs/>
          <w:color w:val="000000"/>
          <w:sz w:val="22"/>
          <w:szCs w:val="22"/>
          <w:lang w:eastAsia="es-MX"/>
        </w:rPr>
        <w:t xml:space="preserve"> es subsidiaria de la empresa Integración de Servicios TMX, S.A. de C.V., quien a su vez es subsidiaria de </w:t>
      </w:r>
      <w:r w:rsidRPr="002A2450">
        <w:rPr>
          <w:rFonts w:eastAsia="Times New Roman" w:cs="Times New Roman"/>
          <w:b/>
          <w:bCs/>
          <w:color w:val="000000"/>
          <w:sz w:val="22"/>
          <w:szCs w:val="22"/>
          <w:lang w:eastAsia="es-MX"/>
        </w:rPr>
        <w:t>“TELMEX”</w:t>
      </w:r>
      <w:r w:rsidRPr="002A2450">
        <w:rPr>
          <w:rFonts w:eastAsia="Times New Roman" w:cs="Times New Roman"/>
          <w:bCs/>
          <w:color w:val="000000"/>
          <w:sz w:val="22"/>
          <w:szCs w:val="22"/>
          <w:lang w:eastAsia="es-MX"/>
        </w:rPr>
        <w:t>.</w:t>
      </w:r>
      <w:r w:rsidRPr="002A2450">
        <w:rPr>
          <w:rStyle w:val="Refdenotaalpie"/>
          <w:rFonts w:eastAsia="Times New Roman" w:cs="Times New Roman"/>
          <w:bCs/>
          <w:color w:val="000000"/>
          <w:sz w:val="22"/>
          <w:szCs w:val="22"/>
          <w:lang w:eastAsia="es-MX"/>
        </w:rPr>
        <w:footnoteReference w:id="29"/>
      </w:r>
      <w:r w:rsidRPr="002A2450">
        <w:rPr>
          <w:rFonts w:eastAsia="Times New Roman" w:cs="Times New Roman"/>
          <w:bCs/>
          <w:color w:val="000000"/>
          <w:sz w:val="22"/>
          <w:szCs w:val="22"/>
          <w:lang w:eastAsia="es-MX"/>
        </w:rPr>
        <w:t xml:space="preserve"> </w:t>
      </w:r>
    </w:p>
    <w:p w14:paraId="48679A52" w14:textId="77777777" w:rsidR="00B35F13" w:rsidRDefault="002D3F6F"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Al respecto, el Poder Judicial de la Federación se ha referido con respecto a este punto en los siguientes términos:</w:t>
      </w:r>
    </w:p>
    <w:p w14:paraId="68D6466D" w14:textId="77777777" w:rsidR="00B35F13" w:rsidRDefault="002D3F6F" w:rsidP="00B35F13">
      <w:pPr>
        <w:spacing w:before="240" w:line="360" w:lineRule="auto"/>
        <w:jc w:val="both"/>
        <w:rPr>
          <w:rFonts w:ascii="ITC Avant Garde" w:eastAsia="Calibri" w:hAnsi="ITC Avant Garde" w:cs="Times New Roman"/>
          <w:lang w:eastAsia="es-ES_tradnl"/>
        </w:rPr>
      </w:pPr>
      <w:r w:rsidRPr="002A2450">
        <w:rPr>
          <w:rFonts w:ascii="ITC Avant Garde" w:eastAsia="Calibri" w:hAnsi="ITC Avant Garde" w:cs="Times New Roman"/>
          <w:lang w:eastAsia="es-ES_tradnl"/>
        </w:rPr>
        <w:lastRenderedPageBreak/>
        <w:t>El Cuarto Tribunal Colegiado de Circuito en materia Administrativa del Primer Circuito, al emitir la jurisprudencia por reiteración I.4o.A. J/67, con número de registro 168,587, emitida en la Novena Época y publicada en el Semanario Judicial de la Federación y su Gaceta, (t. XXVIII), en Octubre de 2008, a página 2,286 bajo el rubro:</w:t>
      </w:r>
    </w:p>
    <w:p w14:paraId="0B53C189" w14:textId="77777777" w:rsidR="00B35F13" w:rsidRDefault="002D3F6F" w:rsidP="00B35F13">
      <w:pPr>
        <w:spacing w:before="240" w:line="360" w:lineRule="auto"/>
        <w:ind w:left="284" w:right="332"/>
        <w:jc w:val="both"/>
        <w:rPr>
          <w:rFonts w:ascii="ITC Avant Garde" w:eastAsia="Calibri" w:hAnsi="ITC Avant Garde" w:cs="Times New Roman"/>
          <w:b/>
          <w:sz w:val="20"/>
          <w:szCs w:val="20"/>
          <w:lang w:eastAsia="es-ES_tradnl"/>
        </w:rPr>
      </w:pPr>
      <w:r w:rsidRPr="002A2450">
        <w:rPr>
          <w:rFonts w:ascii="ITC Avant Garde" w:eastAsia="Calibri" w:hAnsi="ITC Avant Garde" w:cs="Times New Roman"/>
          <w:b/>
          <w:sz w:val="20"/>
          <w:szCs w:val="20"/>
          <w:lang w:eastAsia="es-ES_tradnl"/>
        </w:rPr>
        <w:t>PROCEDIMIENTO DE INVESTIGACIÓN DE PRÁCTICAS MONOPÓLICAS. CUANDO LAS CONDUCTAS ATRIBUIDAS A UNA EMPRESA FUERON DESPLEGADAS POR EL GRUPO DE INTERÉS ECONÓMICO AL QUE PERTENECE, LA COMISIÓN FEDERAL DE COMPETENCIA DEBE VINCULAR TANTO AL AGENTE INVESTIGADO COMO A LA INTEGRACIÓN VERTICAL DE OPERACIÓN DEL ALUDIDO GRUPO.</w:t>
      </w:r>
      <w:r w:rsidRPr="002A2450">
        <w:rPr>
          <w:rFonts w:ascii="ITC Avant Garde" w:eastAsia="Calibri" w:hAnsi="ITC Avant Garde" w:cs="Times New Roman"/>
          <w:sz w:val="20"/>
          <w:szCs w:val="20"/>
          <w:lang w:eastAsia="es-ES_tradnl"/>
        </w:rPr>
        <w:t xml:space="preserve"> En los grupos de interés económico es esencial que haya un órgano de coordinación entre sus integrantes, sin cuya existencia no cabría hablar de una asociación de empresas. Por tanto, </w:t>
      </w:r>
      <w:r w:rsidRPr="002A2450">
        <w:rPr>
          <w:rFonts w:ascii="ITC Avant Garde" w:eastAsia="Calibri" w:hAnsi="ITC Avant Garde" w:cs="Times New Roman"/>
          <w:sz w:val="20"/>
          <w:szCs w:val="20"/>
          <w:u w:val="single"/>
          <w:lang w:eastAsia="es-ES_tradnl"/>
        </w:rPr>
        <w:t>a partir de los vínculos de tipo comercial, organizativo, económico, jurídico, relativos al control, autonomía y unidad de comportamiento en el mercado entre las sociedades que puedan existir, es factible demostrar la influencia de una de las empresas sobre la estrategia de las otras, y justificar que se conciban como una sola unidad económica</w:t>
      </w:r>
      <w:r w:rsidRPr="002A2450">
        <w:rPr>
          <w:rFonts w:ascii="ITC Avant Garde" w:eastAsia="Calibri" w:hAnsi="ITC Avant Garde" w:cs="Times New Roman"/>
          <w:sz w:val="20"/>
          <w:szCs w:val="20"/>
          <w:lang w:eastAsia="es-ES_tradnl"/>
        </w:rPr>
        <w:t xml:space="preserve">. Esta circunstancia origina que en la práctica sean muy diversos los procedimientos que pueden utilizar las empresas para ponerse de acuerdo o coordinarse con vistas a restringir la competencia, pudiendo además, en ciertos casos, ser difícil establecer con precisión cómo se ha llegado a un acuerdo o a un comportamiento anticompetitivo concertado, dado el cuidado que los interesados pondrán en ocultar un acuerdo o decisión formal. En esa tesitura, la Comisión Federal de Competencia en el procedimiento de investigación de prácticas monopólicas, cuando las conductas atribuidas a una empresa fueron desplegadas por el grupo de interés económico al que pertenece, debe vincular tanto al agente investigado como a la integración vertical de operación del aludido grupo, </w:t>
      </w:r>
      <w:r w:rsidRPr="002A2450">
        <w:rPr>
          <w:rFonts w:ascii="ITC Avant Garde" w:eastAsia="Calibri" w:hAnsi="ITC Avant Garde" w:cs="Times New Roman"/>
          <w:sz w:val="20"/>
          <w:szCs w:val="20"/>
          <w:u w:val="single"/>
          <w:lang w:eastAsia="es-ES_tradnl"/>
        </w:rPr>
        <w:t>por ser la actividad económica de éste la que se juzga en su conjunto</w:t>
      </w:r>
      <w:r w:rsidRPr="002A2450">
        <w:rPr>
          <w:rFonts w:ascii="ITC Avant Garde" w:eastAsia="Calibri" w:hAnsi="ITC Avant Garde" w:cs="Times New Roman"/>
          <w:sz w:val="20"/>
          <w:szCs w:val="20"/>
          <w:lang w:eastAsia="es-ES_tradnl"/>
        </w:rPr>
        <w:t>.</w:t>
      </w:r>
    </w:p>
    <w:p w14:paraId="1FF625DE" w14:textId="77777777" w:rsidR="00B35F13" w:rsidRDefault="002D3F6F" w:rsidP="00B35F13">
      <w:pPr>
        <w:spacing w:before="240" w:line="360" w:lineRule="auto"/>
        <w:jc w:val="both"/>
        <w:rPr>
          <w:rFonts w:ascii="ITC Avant Garde" w:eastAsia="Calibri" w:hAnsi="ITC Avant Garde" w:cs="Times New Roman"/>
          <w:lang w:eastAsia="es-ES_tradnl"/>
        </w:rPr>
      </w:pPr>
      <w:r w:rsidRPr="002A2450">
        <w:rPr>
          <w:rFonts w:ascii="ITC Avant Garde" w:eastAsia="Calibri" w:hAnsi="ITC Avant Garde" w:cs="Times New Roman"/>
          <w:lang w:eastAsia="es-ES_tradnl"/>
        </w:rPr>
        <w:t xml:space="preserve">Asimismo, la jurisprudencia por reiteración I.4o.A. J/66, con número de registro 168,470, emitida en la Novena Época y publicada en el Semanario Judicial de la Federación y su Gaceta (t. XXVIII), en noviembre de 2008, visible a página 1,244, sirve de apoyo a lo anterior: </w:t>
      </w:r>
    </w:p>
    <w:p w14:paraId="3EC34D46" w14:textId="77777777" w:rsidR="00B35F13" w:rsidRDefault="002D3F6F" w:rsidP="00B35F13">
      <w:pPr>
        <w:spacing w:before="240" w:line="360" w:lineRule="auto"/>
        <w:ind w:left="284" w:right="332"/>
        <w:jc w:val="both"/>
        <w:rPr>
          <w:rFonts w:ascii="ITC Avant Garde" w:eastAsia="Calibri" w:hAnsi="ITC Avant Garde" w:cs="Times New Roman"/>
          <w:sz w:val="20"/>
          <w:szCs w:val="20"/>
          <w:lang w:eastAsia="es-ES_tradnl"/>
        </w:rPr>
      </w:pPr>
      <w:r w:rsidRPr="002A2450">
        <w:rPr>
          <w:rFonts w:ascii="ITC Avant Garde" w:eastAsia="Calibri" w:hAnsi="ITC Avant Garde" w:cs="Times New Roman"/>
          <w:b/>
          <w:sz w:val="20"/>
          <w:szCs w:val="20"/>
          <w:lang w:eastAsia="es-ES_tradnl"/>
        </w:rPr>
        <w:lastRenderedPageBreak/>
        <w:t>GRUPO DE INTERÉS ECONÓMICO. SU CONCEPTO Y ELEMENTOS QUE LO INTEGRAN EN MATERIA DE COMPETENCIA ECONÓMICA.</w:t>
      </w:r>
      <w:r w:rsidRPr="002A2450">
        <w:rPr>
          <w:rFonts w:ascii="ITC Avant Garde" w:eastAsia="Calibri" w:hAnsi="ITC Avant Garde" w:cs="Times New Roman"/>
          <w:sz w:val="20"/>
          <w:szCs w:val="20"/>
          <w:lang w:eastAsia="es-ES_tradnl"/>
        </w:rPr>
        <w:t xml:space="preserve"> En materia de competencia económica se está ante un grupo de interés económico cuando un conjunto de personas físicas o morales </w:t>
      </w:r>
      <w:r w:rsidRPr="002A2450">
        <w:rPr>
          <w:rFonts w:ascii="ITC Avant Garde" w:eastAsia="Calibri" w:hAnsi="ITC Avant Garde" w:cs="Times New Roman"/>
          <w:sz w:val="20"/>
          <w:szCs w:val="20"/>
          <w:u w:val="single"/>
          <w:lang w:eastAsia="es-ES_tradnl"/>
        </w:rPr>
        <w:t>tienen intereses comerciales y financieros afines, y coordinan sus actividades para lograr un determinado objetivo común. Así, aunado a los elementos de interés -comercial y financiero- y de coordinación de actividades, concurren otros como son el control, la autonomía y la unidad de comportamiento en el mercado</w:t>
      </w:r>
      <w:r w:rsidRPr="002A2450">
        <w:rPr>
          <w:rFonts w:ascii="ITC Avant Garde" w:eastAsia="Calibri" w:hAnsi="ITC Avant Garde" w:cs="Times New Roman"/>
          <w:sz w:val="20"/>
          <w:szCs w:val="20"/>
          <w:lang w:eastAsia="es-ES_tradnl"/>
        </w:rPr>
        <w:t xml:space="preserve">. En esa tesitura, el control puede ser real si se refiere a la conducción efectiva de una empresa controladora hacia sus subsidiarias, o bien, latente cuando sea potencial la posibilidad de efectuarlo por medio de medidas persuasivas que pueden darse entre las empresas aun cuando no exista vínculo jurídico centralizado y jerarquizado, pero sí un poder real. </w:t>
      </w:r>
      <w:r w:rsidRPr="002A2450">
        <w:rPr>
          <w:rFonts w:ascii="ITC Avant Garde" w:eastAsia="Calibri" w:hAnsi="ITC Avant Garde" w:cs="Times New Roman"/>
          <w:sz w:val="20"/>
          <w:szCs w:val="20"/>
          <w:u w:val="single"/>
          <w:lang w:eastAsia="es-ES_tradnl"/>
        </w:rPr>
        <w:t>Bajo esta modalidad -poder latente</w:t>
      </w:r>
      <w:r w:rsidRPr="002A2450">
        <w:rPr>
          <w:rFonts w:ascii="ITC Avant Garde" w:eastAsia="Calibri" w:hAnsi="ITC Avant Garde" w:cs="Times New Roman"/>
          <w:sz w:val="20"/>
          <w:szCs w:val="20"/>
          <w:lang w:eastAsia="es-ES_tradnl"/>
        </w:rPr>
        <w:t xml:space="preserve">- es que la autonomía jurídica de las sociedades carece de contenido material, imponiéndose los intereses del grupo o de la entidad económica, entendida como organización unitaria de elementos personales, materiales e inmateriales que persigue de manera duradera un fin económico determinado acorde a los intereses de las sociedades integrantes, es decir, a pesar de la personalidad jurídica propia de cada una de las empresas, éstas se comportan funcionalmente como una sola en el mercado, lo que </w:t>
      </w:r>
      <w:r w:rsidRPr="002A2450">
        <w:rPr>
          <w:rFonts w:ascii="ITC Avant Garde" w:eastAsia="Calibri" w:hAnsi="ITC Avant Garde" w:cs="Times New Roman"/>
          <w:sz w:val="20"/>
          <w:szCs w:val="20"/>
          <w:u w:val="single"/>
          <w:lang w:eastAsia="es-ES_tradnl"/>
        </w:rPr>
        <w:t>implica la pérdida de la libertad individual de actuación</w:t>
      </w:r>
      <w:r w:rsidRPr="002A2450">
        <w:rPr>
          <w:rFonts w:ascii="ITC Avant Garde" w:eastAsia="Calibri" w:hAnsi="ITC Avant Garde" w:cs="Times New Roman"/>
          <w:sz w:val="20"/>
          <w:szCs w:val="20"/>
          <w:lang w:eastAsia="es-ES_tradnl"/>
        </w:rPr>
        <w:t xml:space="preserve">. Por lo tanto, para considerar que existe un grupo económico y que puede tener el carácter de agente económico, para efectos de la Ley Federal de Competencia Económica, se debe analizar </w:t>
      </w:r>
      <w:r w:rsidRPr="002A2450">
        <w:rPr>
          <w:rFonts w:ascii="ITC Avant Garde" w:eastAsia="Calibri" w:hAnsi="ITC Avant Garde" w:cs="Times New Roman"/>
          <w:sz w:val="20"/>
          <w:szCs w:val="20"/>
          <w:u w:val="single"/>
          <w:lang w:eastAsia="es-ES_tradnl"/>
        </w:rPr>
        <w:t>si una persona, directa o indirectamente, coordina las actividades del grupo para operar en los mercados y, además, puede ejercer una influencia decisiva o control sobre la otra, en los términos anotados, sin que sea necesario que se den de manera concomitante</w:t>
      </w:r>
      <w:r w:rsidRPr="002A2450">
        <w:rPr>
          <w:rFonts w:ascii="ITC Avant Garde" w:eastAsia="Calibri" w:hAnsi="ITC Avant Garde" w:cs="Times New Roman"/>
          <w:sz w:val="20"/>
          <w:szCs w:val="20"/>
          <w:lang w:eastAsia="es-ES_tradnl"/>
        </w:rPr>
        <w:t>.</w:t>
      </w:r>
    </w:p>
    <w:p w14:paraId="535BBC5C" w14:textId="77777777" w:rsidR="00B35F13" w:rsidRDefault="002D3F6F" w:rsidP="00B35F13">
      <w:pPr>
        <w:spacing w:before="240" w:line="360" w:lineRule="auto"/>
        <w:jc w:val="both"/>
        <w:rPr>
          <w:rFonts w:ascii="ITC Avant Garde" w:eastAsia="Calibri" w:hAnsi="ITC Avant Garde" w:cs="Times New Roman"/>
          <w:lang w:eastAsia="es-ES_tradnl"/>
        </w:rPr>
      </w:pPr>
      <w:r w:rsidRPr="002A2450">
        <w:rPr>
          <w:rFonts w:ascii="ITC Avant Garde" w:eastAsia="Calibri" w:hAnsi="ITC Avant Garde" w:cs="Times New Roman"/>
          <w:lang w:eastAsia="es-ES_tradnl"/>
        </w:rPr>
        <w:t xml:space="preserve">Conforme a lo anterior, se advierte que el Poder Judicial de la Federación ha establecido que existe un grupo de interés económico cuando un conjunto de personas físicas o morales tienen intereses comerciales y financieros afines, y coordinan sus actividades para lograr un determinado objetivo común. Esto es, que a pesar de la apariencia de una diversidad de personalidades jurídicas, estas comparten vínculos de tipo comercial, organizativo, económico, jurídico </w:t>
      </w:r>
      <w:r w:rsidRPr="002A2450">
        <w:rPr>
          <w:rFonts w:ascii="ITC Avant Garde" w:eastAsia="Calibri" w:hAnsi="ITC Avant Garde" w:cs="Times New Roman"/>
          <w:b/>
          <w:u w:val="single"/>
          <w:lang w:eastAsia="es-ES_tradnl"/>
        </w:rPr>
        <w:t>que ameritan el análisis de la actividad económica del grupo en su conjunto</w:t>
      </w:r>
      <w:r w:rsidRPr="002A2450">
        <w:rPr>
          <w:rFonts w:ascii="ITC Avant Garde" w:eastAsia="Calibri" w:hAnsi="ITC Avant Garde" w:cs="Times New Roman"/>
          <w:lang w:eastAsia="es-ES_tradnl"/>
        </w:rPr>
        <w:t xml:space="preserve">. </w:t>
      </w:r>
    </w:p>
    <w:p w14:paraId="58C2EF45" w14:textId="77777777" w:rsidR="00B35F13" w:rsidRDefault="002D3F6F" w:rsidP="00B35F13">
      <w:pPr>
        <w:spacing w:before="240" w:line="360" w:lineRule="auto"/>
        <w:jc w:val="both"/>
        <w:rPr>
          <w:rFonts w:ascii="ITC Avant Garde" w:eastAsia="Calibri" w:hAnsi="ITC Avant Garde" w:cs="Times New Roman"/>
          <w:lang w:eastAsia="es-ES_tradnl"/>
        </w:rPr>
      </w:pPr>
      <w:r w:rsidRPr="002A2450">
        <w:rPr>
          <w:rFonts w:ascii="ITC Avant Garde" w:eastAsia="Calibri" w:hAnsi="ITC Avant Garde" w:cs="Times New Roman"/>
          <w:lang w:eastAsia="es-ES_tradnl"/>
        </w:rPr>
        <w:lastRenderedPageBreak/>
        <w:t xml:space="preserve">Asimismo, aunado a los elementos de interés -comercial y financiero- y de coordinación de actividades, es necesario identificar si una persona, directa o indirectamente, coordina las actividades del grupo para operar en los mercados y, además, </w:t>
      </w:r>
      <w:r w:rsidRPr="002A2450">
        <w:rPr>
          <w:rFonts w:ascii="ITC Avant Garde" w:eastAsia="Calibri" w:hAnsi="ITC Avant Garde" w:cs="Times New Roman"/>
          <w:b/>
          <w:u w:val="single"/>
          <w:lang w:eastAsia="es-ES_tradnl"/>
        </w:rPr>
        <w:t>puede ejercer una influencia decisiva</w:t>
      </w:r>
      <w:r w:rsidRPr="002A2450">
        <w:rPr>
          <w:rFonts w:ascii="ITC Avant Garde" w:eastAsia="Calibri" w:hAnsi="ITC Avant Garde" w:cs="Times New Roman"/>
          <w:lang w:eastAsia="es-ES_tradnl"/>
        </w:rPr>
        <w:t xml:space="preserve"> o control sobre la otra, </w:t>
      </w:r>
      <w:r w:rsidRPr="002A2450">
        <w:rPr>
          <w:rFonts w:ascii="ITC Avant Garde" w:eastAsia="Calibri" w:hAnsi="ITC Avant Garde" w:cs="Times New Roman"/>
          <w:b/>
          <w:u w:val="single"/>
          <w:lang w:eastAsia="es-ES_tradnl"/>
        </w:rPr>
        <w:t>sin que sea necesario que se den de manera concomitante</w:t>
      </w:r>
      <w:r w:rsidRPr="002A2450">
        <w:rPr>
          <w:rFonts w:ascii="ITC Avant Garde" w:eastAsia="Calibri" w:hAnsi="ITC Avant Garde" w:cs="Times New Roman"/>
          <w:lang w:eastAsia="es-ES_tradnl"/>
        </w:rPr>
        <w:t xml:space="preserve">. Lo anterior puede presentarse como la conducción efectiva de una empresa controladora hacia sus subsidiarias, o bien, como la posibilidad del uso de medidas persuasivas, </w:t>
      </w:r>
      <w:r w:rsidRPr="002A2450">
        <w:rPr>
          <w:rFonts w:ascii="ITC Avant Garde" w:eastAsia="Calibri" w:hAnsi="ITC Avant Garde" w:cs="Times New Roman"/>
          <w:b/>
          <w:u w:val="single"/>
          <w:lang w:eastAsia="es-ES_tradnl"/>
        </w:rPr>
        <w:t>aun cuando no exista vínculo jurídico centralizado y jerarquizado</w:t>
      </w:r>
      <w:r w:rsidRPr="002A2450">
        <w:rPr>
          <w:rFonts w:ascii="ITC Avant Garde" w:eastAsia="Calibri" w:hAnsi="ITC Avant Garde" w:cs="Times New Roman"/>
          <w:lang w:eastAsia="es-ES_tradnl"/>
        </w:rPr>
        <w:t>.</w:t>
      </w:r>
    </w:p>
    <w:p w14:paraId="5167AAF7" w14:textId="77777777" w:rsidR="00B35F13" w:rsidRDefault="0019279C" w:rsidP="00B35F13">
      <w:pPr>
        <w:tabs>
          <w:tab w:val="left" w:pos="567"/>
        </w:tabs>
        <w:spacing w:before="240" w:line="360" w:lineRule="auto"/>
        <w:jc w:val="both"/>
        <w:rPr>
          <w:rFonts w:ascii="ITC Avant Garde" w:eastAsia="Times New Roman" w:hAnsi="ITC Avant Garde" w:cs="Times New Roman"/>
          <w:b/>
          <w:bCs/>
          <w:color w:val="000000"/>
          <w:lang w:eastAsia="es-MX"/>
        </w:rPr>
      </w:pPr>
      <w:r w:rsidRPr="002A2450">
        <w:rPr>
          <w:rFonts w:ascii="ITC Avant Garde" w:eastAsia="Times New Roman" w:hAnsi="ITC Avant Garde" w:cs="Times New Roman"/>
          <w:bCs/>
          <w:color w:val="000000"/>
          <w:lang w:eastAsia="es-MX"/>
        </w:rPr>
        <w:t xml:space="preserve">Asimismo, </w:t>
      </w:r>
      <w:r w:rsidRPr="009E34A4">
        <w:rPr>
          <w:rFonts w:ascii="ITC Avant Garde" w:eastAsia="Times New Roman" w:hAnsi="ITC Avant Garde" w:cs="Times New Roman"/>
          <w:bCs/>
          <w:color w:val="000000"/>
          <w:lang w:eastAsia="es-MX"/>
        </w:rPr>
        <w:t>dentro</w:t>
      </w:r>
      <w:r w:rsidRPr="002A2450">
        <w:rPr>
          <w:rFonts w:ascii="ITC Avant Garde" w:eastAsia="Times New Roman" w:hAnsi="ITC Avant Garde" w:cs="Times New Roman"/>
          <w:bCs/>
          <w:color w:val="000000"/>
          <w:lang w:eastAsia="es-MX"/>
        </w:rPr>
        <w:t xml:space="preserve"> de ese contexto y de las constancias que conforman el expediente </w:t>
      </w:r>
      <w:r w:rsidRPr="00C9499F">
        <w:rPr>
          <w:rFonts w:ascii="ITC Avant Garde" w:eastAsia="Times New Roman" w:hAnsi="ITC Avant Garde" w:cs="Times New Roman"/>
          <w:bCs/>
          <w:color w:val="000000"/>
          <w:lang w:eastAsia="es-MX"/>
        </w:rPr>
        <w:t>E-</w:t>
      </w:r>
      <w:r w:rsidRPr="002A2450">
        <w:rPr>
          <w:rFonts w:ascii="ITC Avant Garde" w:eastAsia="Times New Roman" w:hAnsi="ITC Avant Garde" w:cs="Times New Roman"/>
          <w:bCs/>
          <w:color w:val="000000"/>
          <w:lang w:eastAsia="es-MX"/>
        </w:rPr>
        <w:t xml:space="preserve">IFT/UC/DGIPM/PMR/003/2013 y acumulados, se tiene constancia de que el capital social de </w:t>
      </w:r>
      <w:r w:rsidRPr="002A2450">
        <w:rPr>
          <w:rFonts w:ascii="ITC Avant Garde" w:eastAsia="Times New Roman" w:hAnsi="ITC Avant Garde" w:cs="Times New Roman"/>
          <w:b/>
          <w:bCs/>
          <w:color w:val="000000"/>
          <w:lang w:eastAsia="es-MX"/>
        </w:rPr>
        <w:t>“COFRESA”</w:t>
      </w:r>
      <w:r w:rsidRPr="002A2450">
        <w:rPr>
          <w:rFonts w:ascii="ITC Avant Garde" w:eastAsia="Times New Roman" w:hAnsi="ITC Avant Garde" w:cs="Times New Roman"/>
          <w:bCs/>
          <w:color w:val="000000"/>
          <w:lang w:eastAsia="es-MX"/>
        </w:rPr>
        <w:t xml:space="preserve"> se encuentra integrado por el 99.99% suscrito por </w:t>
      </w:r>
      <w:r w:rsidRPr="002A2450">
        <w:rPr>
          <w:rFonts w:ascii="ITC Avant Garde" w:eastAsia="Times New Roman" w:hAnsi="ITC Avant Garde" w:cs="Times New Roman"/>
          <w:b/>
          <w:bCs/>
          <w:color w:val="000000"/>
          <w:lang w:eastAsia="es-MX"/>
        </w:rPr>
        <w:t xml:space="preserve">“DISH MÉXICO” </w:t>
      </w:r>
      <w:r w:rsidRPr="002A2450">
        <w:rPr>
          <w:rFonts w:ascii="ITC Avant Garde" w:eastAsia="Times New Roman" w:hAnsi="ITC Avant Garde" w:cs="Times New Roman"/>
          <w:bCs/>
          <w:color w:val="000000"/>
          <w:lang w:eastAsia="es-MX"/>
        </w:rPr>
        <w:t xml:space="preserve">y el 0.01% por </w:t>
      </w:r>
      <w:r w:rsidRPr="002A2450">
        <w:rPr>
          <w:rFonts w:ascii="ITC Avant Garde" w:eastAsia="Times New Roman" w:hAnsi="ITC Avant Garde" w:cs="Times New Roman"/>
          <w:b/>
          <w:bCs/>
          <w:color w:val="000000"/>
          <w:lang w:eastAsia="es-MX"/>
        </w:rPr>
        <w:t>“DISH HOLDINGS”.</w:t>
      </w:r>
    </w:p>
    <w:p w14:paraId="2F726D7E" w14:textId="77777777" w:rsidR="00B35F13" w:rsidRDefault="002D3F6F" w:rsidP="00B35F13">
      <w:pPr>
        <w:pStyle w:val="Textoindependiente"/>
        <w:tabs>
          <w:tab w:val="left" w:pos="567"/>
        </w:tabs>
        <w:spacing w:before="240" w:after="160" w:line="360" w:lineRule="auto"/>
        <w:jc w:val="both"/>
        <w:rPr>
          <w:b/>
        </w:rPr>
      </w:pPr>
      <w:r w:rsidRPr="002A2450">
        <w:rPr>
          <w:rFonts w:ascii="ITC Avant Garde" w:eastAsia="Times New Roman" w:hAnsi="ITC Avant Garde"/>
          <w:bCs/>
          <w:color w:val="000000"/>
          <w:lang w:eastAsia="es-MX"/>
        </w:rPr>
        <w:t xml:space="preserve">Con lo cual se permite corroborar el vínculo que una a las empresas y los compromisos asumidos tanto por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a través de</w:t>
      </w:r>
      <w:r w:rsidRPr="002A2450">
        <w:rPr>
          <w:rFonts w:ascii="ITC Avant Garde" w:eastAsia="Times New Roman" w:hAnsi="ITC Avant Garde"/>
          <w:b/>
          <w:bCs/>
          <w:color w:val="000000"/>
          <w:lang w:eastAsia="es-MX"/>
        </w:rPr>
        <w:t xml:space="preserve"> “TENINVER”</w:t>
      </w:r>
      <w:r w:rsidRPr="002A2450">
        <w:t xml:space="preserve"> y </w:t>
      </w:r>
      <w:r w:rsidRPr="002A2450">
        <w:rPr>
          <w:b/>
        </w:rPr>
        <w:t>“</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por conducto de </w:t>
      </w:r>
      <w:r w:rsidRPr="002A2450">
        <w:rPr>
          <w:rFonts w:ascii="ITC Avant Garde" w:eastAsia="Times New Roman" w:hAnsi="ITC Avant Garde"/>
          <w:b/>
          <w:bCs/>
          <w:color w:val="000000"/>
          <w:lang w:eastAsia="es-MX"/>
        </w:rPr>
        <w:t>“COFRESA”.</w:t>
      </w:r>
    </w:p>
    <w:p w14:paraId="3753D883" w14:textId="77777777" w:rsidR="00B35F13" w:rsidRDefault="00F73BDF" w:rsidP="00B35F13">
      <w:pPr>
        <w:spacing w:before="240" w:line="360" w:lineRule="auto"/>
        <w:jc w:val="both"/>
        <w:rPr>
          <w:rFonts w:ascii="ITC Avant Garde" w:hAnsi="ITC Avant Garde"/>
        </w:rPr>
      </w:pPr>
      <w:r w:rsidRPr="002A2450">
        <w:rPr>
          <w:rFonts w:ascii="ITC Avant Garde" w:hAnsi="ITC Avant Garde"/>
        </w:rPr>
        <w:t>Ahora bien, e</w:t>
      </w:r>
      <w:r w:rsidR="00C06F8D" w:rsidRPr="002A2450">
        <w:rPr>
          <w:rFonts w:ascii="ITC Avant Garde" w:hAnsi="ITC Avant Garde"/>
        </w:rPr>
        <w:t>s del conocimiento de esta autoridad que la interdependencia de los contratos no es un esquema novedoso ni mucho menos aislado en la doctrina y jurisprudencia mexicana.</w:t>
      </w:r>
    </w:p>
    <w:p w14:paraId="47F42F12" w14:textId="77777777" w:rsidR="00B35F13" w:rsidRDefault="00C06F8D" w:rsidP="00B35F13">
      <w:pPr>
        <w:spacing w:before="240" w:line="360" w:lineRule="auto"/>
        <w:jc w:val="both"/>
        <w:rPr>
          <w:rFonts w:ascii="ITC Avant Garde" w:hAnsi="ITC Avant Garde"/>
        </w:rPr>
      </w:pPr>
      <w:r w:rsidRPr="002A2450">
        <w:rPr>
          <w:rFonts w:ascii="ITC Avant Garde" w:hAnsi="ITC Avant Garde"/>
        </w:rPr>
        <w:t>Al respecto,</w:t>
      </w:r>
      <w:r w:rsidR="007C700B" w:rsidRPr="002A2450">
        <w:rPr>
          <w:rFonts w:ascii="ITC Avant Garde" w:hAnsi="ITC Avant Garde"/>
        </w:rPr>
        <w:t xml:space="preserve"> desde mil novecientos treinta, el Instituto para la Unificación del Derecho Privado (</w:t>
      </w:r>
      <w:r w:rsidR="007C700B" w:rsidRPr="002A2450">
        <w:rPr>
          <w:rFonts w:ascii="ITC Avant Garde" w:hAnsi="ITC Avant Garde"/>
          <w:b/>
        </w:rPr>
        <w:t>“UNIDROIT”</w:t>
      </w:r>
      <w:r w:rsidR="007C700B" w:rsidRPr="002A2450">
        <w:rPr>
          <w:rFonts w:ascii="ITC Avant Garde" w:hAnsi="ITC Avant Garde"/>
        </w:rPr>
        <w:t xml:space="preserve">) inició con el estudio de la compra venta internacional de mercaderías, mismos que fueron interrumpidos por la Segunda Guerra Mundial y retomados en mil novecientos sesenta y cuatro en la Conferencia Diplomática de La Haya, </w:t>
      </w:r>
      <w:r w:rsidR="00B36601" w:rsidRPr="002A2450">
        <w:rPr>
          <w:rFonts w:ascii="ITC Avant Garde" w:hAnsi="ITC Avant Garde"/>
        </w:rPr>
        <w:t xml:space="preserve">cuyos trabajos fueron </w:t>
      </w:r>
      <w:r w:rsidR="007C700B" w:rsidRPr="002A2450">
        <w:rPr>
          <w:rFonts w:ascii="ITC Avant Garde" w:hAnsi="ITC Avant Garde"/>
        </w:rPr>
        <w:t>culminados el once de abril de mil novecientos ochenta con el Convenio de las Naciones Unidas sobre los contratos de compraventa Internacional de Mercaderías.</w:t>
      </w:r>
    </w:p>
    <w:p w14:paraId="17146578" w14:textId="77777777" w:rsidR="00B35F13" w:rsidRDefault="009E65C4" w:rsidP="00B35F13">
      <w:pPr>
        <w:spacing w:before="240" w:line="360" w:lineRule="auto"/>
        <w:jc w:val="both"/>
        <w:rPr>
          <w:rFonts w:ascii="ITC Avant Garde" w:hAnsi="ITC Avant Garde"/>
        </w:rPr>
      </w:pPr>
      <w:r w:rsidRPr="002A2450">
        <w:rPr>
          <w:rFonts w:ascii="ITC Avant Garde" w:hAnsi="ITC Avant Garde"/>
        </w:rPr>
        <w:t xml:space="preserve">El convenio sobre la prescripción en materia de compraventa internacional de mercaderías, fue adoptado por México el día dieciocho de septiembre de mil </w:t>
      </w:r>
      <w:r w:rsidRPr="002A2450">
        <w:rPr>
          <w:rFonts w:ascii="ITC Avant Garde" w:hAnsi="ITC Avant Garde"/>
        </w:rPr>
        <w:lastRenderedPageBreak/>
        <w:t>novecientos ochenta y nueve, en la ciudad de Nueva York, N.Y., de acuerdo con el protocolo por el que se enmienda la Convención sobre la Prescripción en Materia de Compraventa Internacional de Mercaderías de mil novecientos ochenta.</w:t>
      </w:r>
    </w:p>
    <w:p w14:paraId="0FB736B1" w14:textId="77777777" w:rsidR="00B35F13" w:rsidRDefault="009E65C4" w:rsidP="00B35F13">
      <w:pPr>
        <w:spacing w:before="240" w:line="360" w:lineRule="auto"/>
        <w:jc w:val="both"/>
        <w:rPr>
          <w:rFonts w:ascii="ITC Avant Garde" w:hAnsi="ITC Avant Garde"/>
        </w:rPr>
      </w:pPr>
      <w:r w:rsidRPr="002A2450">
        <w:rPr>
          <w:rFonts w:ascii="ITC Avant Garde" w:hAnsi="ITC Avant Garde"/>
        </w:rPr>
        <w:t xml:space="preserve">Dicha Convención fue aprobada por la Cámara de Senadores del H. Congreso de la Unión, el doce de julio de mil novecientos noventa, de acuerdo al Decreto publicado en el </w:t>
      </w:r>
      <w:r w:rsidRPr="002A2450">
        <w:rPr>
          <w:rFonts w:ascii="ITC Avant Garde" w:hAnsi="ITC Avant Garde"/>
          <w:b/>
        </w:rPr>
        <w:t>“DOF”</w:t>
      </w:r>
      <w:r w:rsidR="00A30D68"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el</w:t>
      </w:r>
      <w:r w:rsidRPr="002A2450">
        <w:rPr>
          <w:rFonts w:ascii="ITC Avant Garde" w:hAnsi="ITC Avant Garde"/>
          <w:b/>
        </w:rPr>
        <w:t xml:space="preserve"> </w:t>
      </w:r>
      <w:r w:rsidRPr="002A2450">
        <w:rPr>
          <w:rFonts w:ascii="ITC Avant Garde" w:hAnsi="ITC Avant Garde"/>
        </w:rPr>
        <w:t>treinta y uno de julio de esa anualidad.</w:t>
      </w:r>
    </w:p>
    <w:p w14:paraId="2F9A7354" w14:textId="77777777" w:rsidR="00B35F13" w:rsidRDefault="009E65C4" w:rsidP="00B35F13">
      <w:pPr>
        <w:spacing w:before="240" w:line="360" w:lineRule="auto"/>
        <w:jc w:val="both"/>
        <w:rPr>
          <w:rFonts w:ascii="ITC Avant Garde" w:hAnsi="ITC Avant Garde"/>
          <w:b/>
        </w:rPr>
      </w:pPr>
      <w:r w:rsidRPr="002A2450">
        <w:rPr>
          <w:rFonts w:ascii="ITC Avant Garde" w:hAnsi="ITC Avant Garde"/>
        </w:rPr>
        <w:t xml:space="preserve">El instrumento de adhesión por parte de México, fue depositado el veintidós de febrero de mil novecientos noventa y uno, ante el Secretario General de la Organización de las Naciones Unidas, mismo que fue publicado el dos de marzo de mil novecientos noventa y dos en el </w:t>
      </w:r>
      <w:r w:rsidRPr="002A2450">
        <w:rPr>
          <w:rFonts w:ascii="ITC Avant Garde" w:hAnsi="ITC Avant Garde"/>
          <w:b/>
        </w:rPr>
        <w:t>“DOF”.</w:t>
      </w:r>
    </w:p>
    <w:p w14:paraId="6A3B33BD" w14:textId="77777777" w:rsidR="00B35F13" w:rsidRDefault="009E65C4" w:rsidP="00B35F13">
      <w:pPr>
        <w:spacing w:before="240" w:line="360" w:lineRule="auto"/>
        <w:jc w:val="both"/>
        <w:rPr>
          <w:rFonts w:ascii="ITC Avant Garde" w:hAnsi="ITC Avant Garde"/>
        </w:rPr>
      </w:pPr>
      <w:r w:rsidRPr="002A2450">
        <w:rPr>
          <w:rFonts w:ascii="ITC Avant Garde" w:hAnsi="ITC Avant Garde"/>
        </w:rPr>
        <w:t xml:space="preserve">Ahora bien, para efectos del presente procedimiento, resulta relevante señalar que dicho Convenio establece en su artículo 6, </w:t>
      </w:r>
      <w:r w:rsidR="002A4BCF" w:rsidRPr="002A2450">
        <w:rPr>
          <w:rFonts w:ascii="ITC Avant Garde" w:hAnsi="ITC Avant Garde"/>
        </w:rPr>
        <w:t>la posibilidad de que existan contratos mixtos en los que se dan elementos característicos de tipos contractuales como: la compraventa de una parte y de los contratos de ejecución de suministro de materiales o de los contratos de suministro de mano de obra o de servicios, así como los contratos en los que la parte principal de las obligaciones del contratante que proporcione las mercaderías</w:t>
      </w:r>
      <w:r w:rsidR="00A30D68" w:rsidRPr="002A2450">
        <w:rPr>
          <w:rFonts w:ascii="ITC Avant Garde" w:hAnsi="ITC Avant Garde"/>
        </w:rPr>
        <w:t>,</w:t>
      </w:r>
      <w:r w:rsidR="002A4BCF" w:rsidRPr="002A2450">
        <w:rPr>
          <w:rFonts w:ascii="ITC Avant Garde" w:hAnsi="ITC Avant Garde"/>
        </w:rPr>
        <w:t xml:space="preserve"> consista en suministrar mano de obra o prestar otros servicios como la prestación de servicios de postventa, asistencia técnica al comprador, instalación o puesta en marcha de los equipos o formación de especialistas o técnicos del comprador.</w:t>
      </w:r>
    </w:p>
    <w:p w14:paraId="49EA9156" w14:textId="53471D48" w:rsidR="002A4BCF" w:rsidRPr="002A2450" w:rsidRDefault="00A30D68" w:rsidP="00B35F13">
      <w:pPr>
        <w:spacing w:before="240" w:line="360" w:lineRule="auto"/>
        <w:jc w:val="both"/>
        <w:rPr>
          <w:rFonts w:ascii="ITC Avant Garde" w:hAnsi="ITC Avant Garde"/>
        </w:rPr>
      </w:pPr>
      <w:r w:rsidRPr="002A2450">
        <w:rPr>
          <w:rFonts w:ascii="ITC Avant Garde" w:hAnsi="ITC Avant Garde"/>
        </w:rPr>
        <w:t>C</w:t>
      </w:r>
      <w:r w:rsidR="002A4BCF" w:rsidRPr="002A2450">
        <w:rPr>
          <w:rFonts w:ascii="ITC Avant Garde" w:hAnsi="ITC Avant Garde"/>
        </w:rPr>
        <w:t xml:space="preserve">on lo establecido en dicho artículo, se puede identificar </w:t>
      </w:r>
      <w:r w:rsidRPr="002A2450">
        <w:rPr>
          <w:rFonts w:ascii="ITC Avant Garde" w:hAnsi="ITC Avant Garde"/>
        </w:rPr>
        <w:t xml:space="preserve">la existencia de una serie de </w:t>
      </w:r>
      <w:r w:rsidR="002A4BCF" w:rsidRPr="002A2450">
        <w:rPr>
          <w:rFonts w:ascii="ITC Avant Garde" w:hAnsi="ITC Avant Garde"/>
        </w:rPr>
        <w:t>contratos para el logro de los suministros necesarios para la prestación del bien o servicio adquirido.</w:t>
      </w:r>
    </w:p>
    <w:p w14:paraId="40855E40" w14:textId="77777777" w:rsidR="00B35F13" w:rsidRDefault="002A4BCF" w:rsidP="00B35F13">
      <w:pPr>
        <w:spacing w:before="240" w:line="360" w:lineRule="auto"/>
        <w:jc w:val="both"/>
        <w:rPr>
          <w:rFonts w:ascii="ITC Avant Garde" w:hAnsi="ITC Avant Garde"/>
        </w:rPr>
      </w:pPr>
      <w:r w:rsidRPr="002A2450">
        <w:rPr>
          <w:rFonts w:ascii="ITC Avant Garde" w:hAnsi="ITC Avant Garde"/>
        </w:rPr>
        <w:t xml:space="preserve">Esta distinción es fundamental para establecer que en México, se ha reconocido la existencia de contratos relacionados o </w:t>
      </w:r>
      <w:r w:rsidR="00217A9B" w:rsidRPr="002A2450">
        <w:rPr>
          <w:rFonts w:ascii="ITC Avant Garde" w:hAnsi="ITC Avant Garde"/>
        </w:rPr>
        <w:t xml:space="preserve">coaligados </w:t>
      </w:r>
      <w:r w:rsidRPr="002A2450">
        <w:rPr>
          <w:rFonts w:ascii="ITC Avant Garde" w:hAnsi="ITC Avant Garde"/>
        </w:rPr>
        <w:t>que sirven para el logro de objetivos comunes.</w:t>
      </w:r>
    </w:p>
    <w:p w14:paraId="05AD3AF7" w14:textId="77777777" w:rsidR="00B35F13" w:rsidRDefault="002A4BCF" w:rsidP="00B35F13">
      <w:pPr>
        <w:spacing w:before="240" w:line="360" w:lineRule="auto"/>
        <w:jc w:val="both"/>
        <w:rPr>
          <w:rFonts w:ascii="ITC Avant Garde" w:hAnsi="ITC Avant Garde"/>
        </w:rPr>
      </w:pPr>
      <w:r w:rsidRPr="002A2450">
        <w:rPr>
          <w:rFonts w:ascii="ITC Avant Garde" w:hAnsi="ITC Avant Garde"/>
        </w:rPr>
        <w:lastRenderedPageBreak/>
        <w:t>Ahora bien,</w:t>
      </w:r>
      <w:r w:rsidR="00DC172D" w:rsidRPr="002A2450">
        <w:rPr>
          <w:rFonts w:ascii="ITC Avant Garde" w:hAnsi="ITC Avant Garde"/>
        </w:rPr>
        <w:t xml:space="preserve"> en</w:t>
      </w:r>
      <w:r w:rsidRPr="002A2450">
        <w:rPr>
          <w:rFonts w:ascii="ITC Avant Garde" w:hAnsi="ITC Avant Garde"/>
        </w:rPr>
        <w:t xml:space="preserve"> la doctrina </w:t>
      </w:r>
      <w:r w:rsidR="00DC172D" w:rsidRPr="002A2450">
        <w:rPr>
          <w:rFonts w:ascii="ITC Avant Garde" w:hAnsi="ITC Avant Garde"/>
        </w:rPr>
        <w:t xml:space="preserve">jurídico-económica </w:t>
      </w:r>
      <w:r w:rsidRPr="002A2450">
        <w:rPr>
          <w:rFonts w:ascii="ITC Avant Garde" w:hAnsi="ITC Avant Garde"/>
        </w:rPr>
        <w:t xml:space="preserve">se habla de contratos conexos, coligados, grupos de contratos, negocios complejos y/o contratos </w:t>
      </w:r>
      <w:r w:rsidR="00E9189A" w:rsidRPr="002A2450">
        <w:rPr>
          <w:rFonts w:ascii="ITC Avant Garde" w:hAnsi="ITC Avant Garde"/>
        </w:rPr>
        <w:t>o negocios coligados, en dónde la esencia de los mismos, es la interdependencia de los contratos celebrados por las partes.</w:t>
      </w:r>
    </w:p>
    <w:p w14:paraId="7D3C7B40" w14:textId="77777777" w:rsidR="00B35F13" w:rsidRDefault="00D42999" w:rsidP="00B35F13">
      <w:pPr>
        <w:spacing w:before="240" w:line="360" w:lineRule="auto"/>
        <w:jc w:val="both"/>
        <w:rPr>
          <w:rFonts w:ascii="ITC Avant Garde" w:hAnsi="ITC Avant Garde"/>
        </w:rPr>
      </w:pPr>
      <w:r w:rsidRPr="002A2450">
        <w:rPr>
          <w:rFonts w:ascii="ITC Avant Garde" w:hAnsi="ITC Avant Garde"/>
        </w:rPr>
        <w:t xml:space="preserve">En </w:t>
      </w:r>
      <w:r w:rsidR="00E9189A" w:rsidRPr="002A2450">
        <w:rPr>
          <w:rFonts w:ascii="ITC Avant Garde" w:hAnsi="ITC Avant Garde"/>
        </w:rPr>
        <w:t xml:space="preserve"> ese sentido, ya existe un camino sumamente explorado en la doctrina contractual</w:t>
      </w:r>
      <w:r w:rsidR="00DC172D" w:rsidRPr="002A2450">
        <w:rPr>
          <w:rFonts w:ascii="ITC Avant Garde" w:hAnsi="ITC Avant Garde"/>
        </w:rPr>
        <w:t xml:space="preserve">, tal es el caso de </w:t>
      </w:r>
      <w:r w:rsidR="00E9189A" w:rsidRPr="002A2450">
        <w:rPr>
          <w:rFonts w:ascii="ITC Avant Garde" w:hAnsi="ITC Avant Garde"/>
        </w:rPr>
        <w:t xml:space="preserve">Italia, Francia, Alemania, Argentina, Chile y España, aunque en México, sólo existen pequeños </w:t>
      </w:r>
      <w:r w:rsidR="0019279C" w:rsidRPr="002A2450">
        <w:rPr>
          <w:rFonts w:ascii="ITC Avant Garde" w:hAnsi="ITC Avant Garde"/>
        </w:rPr>
        <w:t xml:space="preserve">que expliquen de forma detallada este tipo de </w:t>
      </w:r>
      <w:r w:rsidR="0019279C" w:rsidRPr="00B5536A">
        <w:rPr>
          <w:rFonts w:ascii="ITC Avant Garde" w:hAnsi="ITC Avant Garde"/>
        </w:rPr>
        <w:t xml:space="preserve">relación </w:t>
      </w:r>
      <w:r w:rsidR="00B5536A" w:rsidRPr="00B5536A">
        <w:rPr>
          <w:rFonts w:ascii="ITC Avant Garde" w:hAnsi="ITC Avant Garde"/>
        </w:rPr>
        <w:t>contractual</w:t>
      </w:r>
      <w:r w:rsidR="00B5536A" w:rsidRPr="00B5536A" w:rsidDel="0019279C">
        <w:rPr>
          <w:rFonts w:ascii="ITC Avant Garde" w:hAnsi="ITC Avant Garde"/>
        </w:rPr>
        <w:t>.</w:t>
      </w:r>
    </w:p>
    <w:p w14:paraId="09EF4596" w14:textId="77777777" w:rsidR="00B35F13" w:rsidRDefault="00E9189A" w:rsidP="00B35F13">
      <w:pPr>
        <w:spacing w:before="240" w:line="360" w:lineRule="auto"/>
        <w:jc w:val="both"/>
        <w:rPr>
          <w:rFonts w:ascii="ITC Avant Garde" w:hAnsi="ITC Avant Garde"/>
        </w:rPr>
      </w:pPr>
      <w:r w:rsidRPr="002A2450">
        <w:rPr>
          <w:rFonts w:ascii="ITC Avant Garde" w:hAnsi="ITC Avant Garde"/>
        </w:rPr>
        <w:t>Por ejemplo:</w:t>
      </w:r>
      <w:r w:rsidR="00CA540B" w:rsidRPr="002A2450">
        <w:rPr>
          <w:rStyle w:val="Refdenotaalpie"/>
          <w:rFonts w:ascii="ITC Avant Garde" w:hAnsi="ITC Avant Garde"/>
        </w:rPr>
        <w:footnoteReference w:id="30"/>
      </w:r>
    </w:p>
    <w:p w14:paraId="1C6A2DCC" w14:textId="77777777" w:rsidR="00B35F13" w:rsidRDefault="00E9189A" w:rsidP="007E623E">
      <w:pPr>
        <w:pStyle w:val="Prrafodelista"/>
        <w:numPr>
          <w:ilvl w:val="0"/>
          <w:numId w:val="15"/>
        </w:numPr>
        <w:spacing w:before="240" w:line="360" w:lineRule="auto"/>
        <w:jc w:val="both"/>
        <w:rPr>
          <w:rFonts w:ascii="ITC Avant Garde" w:hAnsi="ITC Avant Garde"/>
        </w:rPr>
      </w:pPr>
      <w:r w:rsidRPr="002A2450">
        <w:rPr>
          <w:rFonts w:ascii="ITC Avant Garde" w:hAnsi="ITC Avant Garde"/>
        </w:rPr>
        <w:t>En Italia</w:t>
      </w:r>
      <w:r w:rsidR="006112F7" w:rsidRPr="002A2450">
        <w:rPr>
          <w:rFonts w:ascii="ITC Avant Garde" w:hAnsi="ITC Avant Garde"/>
        </w:rPr>
        <w:t>,</w:t>
      </w:r>
      <w:r w:rsidRPr="002A2450">
        <w:rPr>
          <w:rFonts w:ascii="ITC Avant Garde" w:hAnsi="ITC Avant Garde"/>
        </w:rPr>
        <w:t xml:space="preserve"> Emilio </w:t>
      </w:r>
      <w:proofErr w:type="spellStart"/>
      <w:r w:rsidRPr="002A2450">
        <w:rPr>
          <w:rFonts w:ascii="ITC Avant Garde" w:hAnsi="ITC Avant Garde"/>
        </w:rPr>
        <w:t>Betti</w:t>
      </w:r>
      <w:proofErr w:type="spellEnd"/>
      <w:r w:rsidRPr="002A2450">
        <w:rPr>
          <w:rFonts w:ascii="ITC Avant Garde" w:hAnsi="ITC Avant Garde"/>
        </w:rPr>
        <w:t>, se refiere a los “</w:t>
      </w:r>
      <w:r w:rsidRPr="002A2450">
        <w:rPr>
          <w:rFonts w:ascii="ITC Avant Garde" w:hAnsi="ITC Avant Garde"/>
          <w:i/>
        </w:rPr>
        <w:t>nexos de interdependencia entre negocios</w:t>
      </w:r>
      <w:r w:rsidRPr="002A2450">
        <w:rPr>
          <w:rFonts w:ascii="ITC Avant Garde" w:hAnsi="ITC Avant Garde"/>
        </w:rPr>
        <w:t>” y entre ellos</w:t>
      </w:r>
      <w:r w:rsidR="00DC172D" w:rsidRPr="002A2450">
        <w:rPr>
          <w:rFonts w:ascii="ITC Avant Garde" w:hAnsi="ITC Avant Garde"/>
        </w:rPr>
        <w:t>,</w:t>
      </w:r>
      <w:r w:rsidRPr="002A2450">
        <w:rPr>
          <w:rFonts w:ascii="ITC Avant Garde" w:hAnsi="ITC Avant Garde"/>
        </w:rPr>
        <w:t xml:space="preserve"> estudia los denominados “</w:t>
      </w:r>
      <w:r w:rsidRPr="002A2450">
        <w:rPr>
          <w:rFonts w:ascii="ITC Avant Garde" w:hAnsi="ITC Avant Garde"/>
          <w:i/>
        </w:rPr>
        <w:t>negocios colegiados</w:t>
      </w:r>
      <w:r w:rsidRPr="002A2450">
        <w:rPr>
          <w:rFonts w:ascii="ITC Avant Garde" w:hAnsi="ITC Avant Garde"/>
        </w:rPr>
        <w:t xml:space="preserve">” y Francisco </w:t>
      </w:r>
      <w:proofErr w:type="spellStart"/>
      <w:r w:rsidRPr="002A2450">
        <w:rPr>
          <w:rFonts w:ascii="ITC Avant Garde" w:hAnsi="ITC Avant Garde"/>
        </w:rPr>
        <w:t>Messineo</w:t>
      </w:r>
      <w:proofErr w:type="spellEnd"/>
      <w:r w:rsidR="00A30D68" w:rsidRPr="002A2450">
        <w:rPr>
          <w:rFonts w:ascii="ITC Avant Garde" w:hAnsi="ITC Avant Garde"/>
        </w:rPr>
        <w:t xml:space="preserve">, se refiere </w:t>
      </w:r>
      <w:r w:rsidRPr="002A2450">
        <w:rPr>
          <w:rFonts w:ascii="ITC Avant Garde" w:hAnsi="ITC Avant Garde"/>
        </w:rPr>
        <w:t xml:space="preserve">a negocios jurídicos </w:t>
      </w:r>
      <w:r w:rsidRPr="002A2450">
        <w:rPr>
          <w:rFonts w:ascii="ITC Avant Garde" w:hAnsi="ITC Avant Garde"/>
          <w:i/>
        </w:rPr>
        <w:t>“materialmente conexos”</w:t>
      </w:r>
      <w:r w:rsidRPr="002A2450">
        <w:rPr>
          <w:rFonts w:ascii="ITC Avant Garde" w:hAnsi="ITC Avant Garde"/>
        </w:rPr>
        <w:t xml:space="preserve">. </w:t>
      </w:r>
    </w:p>
    <w:p w14:paraId="2B901397" w14:textId="77777777" w:rsidR="00B35F13" w:rsidRDefault="00E9189A" w:rsidP="007E623E">
      <w:pPr>
        <w:pStyle w:val="Prrafodelista"/>
        <w:numPr>
          <w:ilvl w:val="0"/>
          <w:numId w:val="15"/>
        </w:numPr>
        <w:spacing w:before="240" w:line="360" w:lineRule="auto"/>
        <w:jc w:val="both"/>
        <w:rPr>
          <w:rFonts w:ascii="ITC Avant Garde" w:hAnsi="ITC Avant Garde"/>
        </w:rPr>
      </w:pPr>
      <w:r w:rsidRPr="002A2450">
        <w:rPr>
          <w:rFonts w:ascii="ITC Avant Garde" w:hAnsi="ITC Avant Garde"/>
        </w:rPr>
        <w:t xml:space="preserve">En España, Ana López Frías, se refiere a </w:t>
      </w:r>
      <w:r w:rsidRPr="002A2450">
        <w:rPr>
          <w:rFonts w:ascii="ITC Avant Garde" w:hAnsi="ITC Avant Garde"/>
          <w:i/>
        </w:rPr>
        <w:t>“contratos coligados”</w:t>
      </w:r>
      <w:r w:rsidRPr="002A2450">
        <w:rPr>
          <w:rFonts w:ascii="ITC Avant Garde" w:hAnsi="ITC Avant Garde"/>
        </w:rPr>
        <w:t xml:space="preserve">; en tanto que Luis Diez-Picazo define como </w:t>
      </w:r>
      <w:r w:rsidRPr="002A2450">
        <w:rPr>
          <w:rFonts w:ascii="ITC Avant Garde" w:hAnsi="ITC Avant Garde"/>
          <w:i/>
        </w:rPr>
        <w:t xml:space="preserve">“contratos coligados” </w:t>
      </w:r>
      <w:r w:rsidRPr="002A2450">
        <w:rPr>
          <w:rFonts w:ascii="ITC Avant Garde" w:hAnsi="ITC Avant Garde"/>
        </w:rPr>
        <w:t xml:space="preserve">aquellos </w:t>
      </w:r>
      <w:r w:rsidR="00EF6F3B" w:rsidRPr="002A2450">
        <w:rPr>
          <w:rFonts w:ascii="ITC Avant Garde" w:hAnsi="ITC Avant Garde"/>
        </w:rPr>
        <w:t xml:space="preserve">en los que </w:t>
      </w:r>
      <w:r w:rsidRPr="002A2450">
        <w:rPr>
          <w:rFonts w:ascii="ITC Avant Garde" w:hAnsi="ITC Avant Garde"/>
        </w:rPr>
        <w:t>las partes yuxtaponen varios contratos típicos en un negocio único</w:t>
      </w:r>
      <w:r w:rsidR="00DC172D" w:rsidRPr="002A2450">
        <w:rPr>
          <w:rFonts w:ascii="ITC Avant Garde" w:hAnsi="ITC Avant Garde"/>
        </w:rPr>
        <w:t>,</w:t>
      </w:r>
      <w:r w:rsidRPr="002A2450">
        <w:rPr>
          <w:rFonts w:ascii="ITC Avant Garde" w:hAnsi="ITC Avant Garde"/>
        </w:rPr>
        <w:t xml:space="preserve"> para trata</w:t>
      </w:r>
      <w:r w:rsidR="00EF6F3B" w:rsidRPr="002A2450">
        <w:rPr>
          <w:rFonts w:ascii="ITC Avant Garde" w:hAnsi="ITC Avant Garde"/>
        </w:rPr>
        <w:t>r</w:t>
      </w:r>
      <w:r w:rsidRPr="002A2450">
        <w:rPr>
          <w:rFonts w:ascii="ITC Avant Garde" w:hAnsi="ITC Avant Garde"/>
        </w:rPr>
        <w:t xml:space="preserve"> de alcanzar con la unión de todos ellos</w:t>
      </w:r>
      <w:r w:rsidR="006112F7" w:rsidRPr="002A2450">
        <w:rPr>
          <w:rFonts w:ascii="ITC Avant Garde" w:hAnsi="ITC Avant Garde"/>
        </w:rPr>
        <w:t xml:space="preserve"> </w:t>
      </w:r>
      <w:r w:rsidR="00DC172D" w:rsidRPr="002A2450">
        <w:rPr>
          <w:rFonts w:ascii="ITC Avant Garde" w:hAnsi="ITC Avant Garde"/>
        </w:rPr>
        <w:t xml:space="preserve">la </w:t>
      </w:r>
      <w:r w:rsidRPr="002A2450">
        <w:rPr>
          <w:rFonts w:ascii="ITC Avant Garde" w:hAnsi="ITC Avant Garde"/>
        </w:rPr>
        <w:t>finalidad empírica que persig</w:t>
      </w:r>
      <w:r w:rsidR="00DC172D" w:rsidRPr="002A2450">
        <w:rPr>
          <w:rFonts w:ascii="ITC Avant Garde" w:hAnsi="ITC Avant Garde"/>
        </w:rPr>
        <w:t xml:space="preserve">uen o que </w:t>
      </w:r>
      <w:r w:rsidR="00EF6F3B" w:rsidRPr="002A2450">
        <w:rPr>
          <w:rFonts w:ascii="ITC Avant Garde" w:hAnsi="ITC Avant Garde"/>
        </w:rPr>
        <w:t xml:space="preserve">se </w:t>
      </w:r>
      <w:r w:rsidR="00DC172D" w:rsidRPr="002A2450">
        <w:rPr>
          <w:rFonts w:ascii="ITC Avant Garde" w:hAnsi="ITC Avant Garde"/>
        </w:rPr>
        <w:t>pretende con los mismos</w:t>
      </w:r>
      <w:r w:rsidRPr="002A2450">
        <w:rPr>
          <w:rFonts w:ascii="ITC Avant Garde" w:hAnsi="ITC Avant Garde"/>
        </w:rPr>
        <w:t>, los cuales de acuerdo a Sofía Olarte Encabo, surgen para satisfacer necesidades sociales</w:t>
      </w:r>
      <w:r w:rsidR="00DC172D" w:rsidRPr="002A2450">
        <w:rPr>
          <w:rFonts w:ascii="ITC Avant Garde" w:hAnsi="ITC Avant Garde"/>
        </w:rPr>
        <w:t xml:space="preserve"> y económicas</w:t>
      </w:r>
      <w:r w:rsidR="00CA540B" w:rsidRPr="002A2450">
        <w:rPr>
          <w:rFonts w:ascii="ITC Avant Garde" w:hAnsi="ITC Avant Garde"/>
        </w:rPr>
        <w:t xml:space="preserve">, </w:t>
      </w:r>
      <w:r w:rsidR="00DC172D" w:rsidRPr="002A2450">
        <w:rPr>
          <w:rFonts w:ascii="ITC Avant Garde" w:hAnsi="ITC Avant Garde"/>
        </w:rPr>
        <w:t>que en algunos casos</w:t>
      </w:r>
      <w:r w:rsidR="00EF6F3B" w:rsidRPr="002A2450">
        <w:rPr>
          <w:rFonts w:ascii="ITC Avant Garde" w:hAnsi="ITC Avant Garde"/>
        </w:rPr>
        <w:t>,</w:t>
      </w:r>
      <w:r w:rsidR="00DC172D" w:rsidRPr="002A2450">
        <w:rPr>
          <w:rFonts w:ascii="ITC Avant Garde" w:hAnsi="ITC Avant Garde"/>
        </w:rPr>
        <w:t xml:space="preserve"> son </w:t>
      </w:r>
      <w:r w:rsidR="00CA540B" w:rsidRPr="002A2450">
        <w:rPr>
          <w:rFonts w:ascii="ITC Avant Garde" w:hAnsi="ITC Avant Garde"/>
        </w:rPr>
        <w:t>recogidos por el ordenamiento jurídico a nivel legal o jurisprudencial.</w:t>
      </w:r>
    </w:p>
    <w:p w14:paraId="7587124C" w14:textId="77777777" w:rsidR="00B35F13" w:rsidRDefault="00CA540B" w:rsidP="007E623E">
      <w:pPr>
        <w:pStyle w:val="Prrafodelista"/>
        <w:numPr>
          <w:ilvl w:val="0"/>
          <w:numId w:val="15"/>
        </w:numPr>
        <w:spacing w:before="240" w:line="360" w:lineRule="auto"/>
        <w:jc w:val="both"/>
        <w:rPr>
          <w:rFonts w:ascii="ITC Avant Garde" w:hAnsi="ITC Avant Garde"/>
        </w:rPr>
      </w:pPr>
      <w:r w:rsidRPr="002A2450">
        <w:rPr>
          <w:rFonts w:ascii="ITC Avant Garde" w:hAnsi="ITC Avant Garde"/>
        </w:rPr>
        <w:t xml:space="preserve">En Argentina, </w:t>
      </w:r>
      <w:r w:rsidR="00DC172D" w:rsidRPr="002A2450">
        <w:rPr>
          <w:rFonts w:ascii="ITC Avant Garde" w:hAnsi="ITC Avant Garde"/>
        </w:rPr>
        <w:t xml:space="preserve">sin duda </w:t>
      </w:r>
      <w:r w:rsidRPr="002A2450">
        <w:rPr>
          <w:rFonts w:ascii="ITC Avant Garde" w:hAnsi="ITC Avant Garde"/>
        </w:rPr>
        <w:t xml:space="preserve">Ricardo </w:t>
      </w:r>
      <w:proofErr w:type="spellStart"/>
      <w:r w:rsidRPr="002A2450">
        <w:rPr>
          <w:rFonts w:ascii="ITC Avant Garde" w:hAnsi="ITC Avant Garde"/>
        </w:rPr>
        <w:t>Lorenzetti</w:t>
      </w:r>
      <w:proofErr w:type="spellEnd"/>
      <w:r w:rsidRPr="002A2450">
        <w:rPr>
          <w:rFonts w:ascii="ITC Avant Garde" w:hAnsi="ITC Avant Garde"/>
        </w:rPr>
        <w:t xml:space="preserve"> con s</w:t>
      </w:r>
      <w:r w:rsidR="00DC172D" w:rsidRPr="002A2450">
        <w:rPr>
          <w:rFonts w:ascii="ITC Avant Garde" w:hAnsi="ITC Avant Garde"/>
        </w:rPr>
        <w:t xml:space="preserve">us contratos conexos y en Chile, </w:t>
      </w:r>
      <w:r w:rsidRPr="002A2450">
        <w:rPr>
          <w:rFonts w:ascii="ITC Avant Garde" w:hAnsi="ITC Avant Garde"/>
        </w:rPr>
        <w:t xml:space="preserve">Álvaro </w:t>
      </w:r>
      <w:proofErr w:type="spellStart"/>
      <w:r w:rsidRPr="002A2450">
        <w:rPr>
          <w:rFonts w:ascii="ITC Avant Garde" w:hAnsi="ITC Avant Garde"/>
        </w:rPr>
        <w:t>Puelma</w:t>
      </w:r>
      <w:proofErr w:type="spellEnd"/>
      <w:r w:rsidRPr="002A2450">
        <w:rPr>
          <w:rFonts w:ascii="ITC Avant Garde" w:hAnsi="ITC Avant Garde"/>
        </w:rPr>
        <w:t xml:space="preserve"> y otros, han identificado al negocio jurídico, operación, contrato </w:t>
      </w:r>
      <w:proofErr w:type="spellStart"/>
      <w:r w:rsidRPr="002A2450">
        <w:rPr>
          <w:rFonts w:ascii="ITC Avant Garde" w:hAnsi="ITC Avant Garde"/>
        </w:rPr>
        <w:t>interligado</w:t>
      </w:r>
      <w:proofErr w:type="spellEnd"/>
      <w:r w:rsidRPr="002A2450">
        <w:rPr>
          <w:rFonts w:ascii="ITC Avant Garde" w:hAnsi="ITC Avant Garde"/>
        </w:rPr>
        <w:t xml:space="preserve"> o complejo, sin existir una denominación dominante</w:t>
      </w:r>
      <w:r w:rsidR="00DC172D" w:rsidRPr="002A2450">
        <w:rPr>
          <w:rFonts w:ascii="ITC Avant Garde" w:hAnsi="ITC Avant Garde"/>
        </w:rPr>
        <w:t xml:space="preserve"> sobre la materia</w:t>
      </w:r>
      <w:r w:rsidRPr="002A2450">
        <w:rPr>
          <w:rFonts w:ascii="ITC Avant Garde" w:hAnsi="ITC Avant Garde"/>
        </w:rPr>
        <w:t>.</w:t>
      </w:r>
    </w:p>
    <w:p w14:paraId="7D030DE6" w14:textId="77777777" w:rsidR="00B35F13" w:rsidRDefault="00CA540B" w:rsidP="00B35F13">
      <w:pPr>
        <w:spacing w:before="240" w:line="360" w:lineRule="auto"/>
        <w:jc w:val="both"/>
        <w:rPr>
          <w:rFonts w:ascii="ITC Avant Garde" w:hAnsi="ITC Avant Garde"/>
        </w:rPr>
      </w:pPr>
      <w:r w:rsidRPr="002A2450">
        <w:rPr>
          <w:rFonts w:ascii="ITC Avant Garde" w:hAnsi="ITC Avant Garde"/>
        </w:rPr>
        <w:lastRenderedPageBreak/>
        <w:t>Ahora bien,</w:t>
      </w:r>
      <w:r w:rsidR="00D873A1" w:rsidRPr="002A2450">
        <w:rPr>
          <w:rFonts w:ascii="ITC Avant Garde" w:hAnsi="ITC Avant Garde"/>
        </w:rPr>
        <w:t xml:space="preserve"> siguiendo </w:t>
      </w:r>
      <w:r w:rsidR="00EF6F3B" w:rsidRPr="002A2450">
        <w:rPr>
          <w:rFonts w:ascii="ITC Avant Garde" w:hAnsi="ITC Avant Garde"/>
        </w:rPr>
        <w:t xml:space="preserve">con </w:t>
      </w:r>
      <w:r w:rsidR="00D873A1" w:rsidRPr="002A2450">
        <w:rPr>
          <w:rFonts w:ascii="ITC Avant Garde" w:hAnsi="ITC Avant Garde"/>
        </w:rPr>
        <w:t>el reconocimiento de la relación de contratos, nos encontramos frente a la posibilidad de encontrar ofertas asociadas y/o productos complejos cuando existe</w:t>
      </w:r>
      <w:r w:rsidR="00B50E11" w:rsidRPr="002A2450">
        <w:rPr>
          <w:rFonts w:ascii="ITC Avant Garde" w:hAnsi="ITC Avant Garde"/>
        </w:rPr>
        <w:t>n</w:t>
      </w:r>
      <w:r w:rsidR="00D873A1" w:rsidRPr="002A2450">
        <w:rPr>
          <w:rFonts w:ascii="ITC Avant Garde" w:hAnsi="ITC Avant Garde"/>
        </w:rPr>
        <w:t xml:space="preserve"> entre diversas empresas</w:t>
      </w:r>
      <w:r w:rsidR="00EF6F3B" w:rsidRPr="002A2450">
        <w:rPr>
          <w:rFonts w:ascii="ITC Avant Garde" w:hAnsi="ITC Avant Garde"/>
        </w:rPr>
        <w:t>,</w:t>
      </w:r>
      <w:r w:rsidR="00D873A1" w:rsidRPr="002A2450">
        <w:rPr>
          <w:rFonts w:ascii="ITC Avant Garde" w:hAnsi="ITC Avant Garde"/>
        </w:rPr>
        <w:t xml:space="preserve"> vínculos contractuales para ofrecer a un cliente un producto unificado.</w:t>
      </w:r>
    </w:p>
    <w:p w14:paraId="20080BB5" w14:textId="77777777" w:rsidR="00B35F13" w:rsidRDefault="00D873A1" w:rsidP="00B35F13">
      <w:pPr>
        <w:spacing w:before="240" w:line="360" w:lineRule="auto"/>
        <w:jc w:val="both"/>
        <w:rPr>
          <w:rFonts w:ascii="ITC Avant Garde" w:hAnsi="ITC Avant Garde"/>
        </w:rPr>
      </w:pPr>
      <w:r w:rsidRPr="002A2450">
        <w:rPr>
          <w:rFonts w:ascii="ITC Avant Garde" w:hAnsi="ITC Avant Garde"/>
        </w:rPr>
        <w:t xml:space="preserve">Dicha relación encuentra sentido en lo que la doctrina ha llamado la </w:t>
      </w:r>
      <w:r w:rsidRPr="002A2450">
        <w:rPr>
          <w:rFonts w:ascii="ITC Avant Garde" w:hAnsi="ITC Avant Garde"/>
          <w:i/>
        </w:rPr>
        <w:t>“metáfora de la cadena”</w:t>
      </w:r>
      <w:r w:rsidRPr="002A2450">
        <w:rPr>
          <w:rFonts w:ascii="ITC Avant Garde" w:hAnsi="ITC Avant Garde"/>
        </w:rPr>
        <w:t xml:space="preserve"> la cual consiste en una serie de actos ligados (fabricación, distribución y venta) frente a un consumidor.</w:t>
      </w:r>
    </w:p>
    <w:p w14:paraId="31E3BE57" w14:textId="77777777" w:rsidR="00B35F13" w:rsidRDefault="00D873A1" w:rsidP="00B35F13">
      <w:pPr>
        <w:spacing w:before="240" w:line="360" w:lineRule="auto"/>
        <w:jc w:val="both"/>
        <w:rPr>
          <w:rFonts w:ascii="ITC Avant Garde" w:hAnsi="ITC Avant Garde"/>
        </w:rPr>
      </w:pPr>
      <w:r w:rsidRPr="002A2450">
        <w:rPr>
          <w:rFonts w:ascii="ITC Avant Garde" w:hAnsi="ITC Avant Garde"/>
        </w:rPr>
        <w:t xml:space="preserve">En ese sentido, si una empresa vende a un distribuidor, se está en una relación de cambio, pero si arma una red </w:t>
      </w:r>
      <w:r w:rsidR="00DC172D" w:rsidRPr="002A2450">
        <w:rPr>
          <w:rFonts w:ascii="ITC Avant Garde" w:hAnsi="ITC Avant Garde"/>
        </w:rPr>
        <w:t>contratos</w:t>
      </w:r>
      <w:r w:rsidRPr="002A2450">
        <w:rPr>
          <w:rFonts w:ascii="ITC Avant Garde" w:hAnsi="ITC Avant Garde"/>
        </w:rPr>
        <w:t xml:space="preserve">, </w:t>
      </w:r>
      <w:r w:rsidR="00DC172D" w:rsidRPr="002A2450">
        <w:rPr>
          <w:rFonts w:ascii="ITC Avant Garde" w:hAnsi="ITC Avant Garde"/>
        </w:rPr>
        <w:t>firmándolos con una o varias empresas</w:t>
      </w:r>
      <w:r w:rsidRPr="002A2450">
        <w:rPr>
          <w:rFonts w:ascii="ITC Avant Garde" w:hAnsi="ITC Avant Garde"/>
        </w:rPr>
        <w:t xml:space="preserve">, sin duda existe </w:t>
      </w:r>
      <w:r w:rsidR="00EF6F3B" w:rsidRPr="002A2450">
        <w:rPr>
          <w:rFonts w:ascii="ITC Avant Garde" w:hAnsi="ITC Avant Garde"/>
        </w:rPr>
        <w:t xml:space="preserve">algo </w:t>
      </w:r>
      <w:r w:rsidRPr="002A2450">
        <w:rPr>
          <w:rFonts w:ascii="ITC Avant Garde" w:hAnsi="ITC Avant Garde"/>
        </w:rPr>
        <w:t xml:space="preserve">que a todos los une, esto es, el </w:t>
      </w:r>
      <w:r w:rsidRPr="002A2450">
        <w:rPr>
          <w:rFonts w:ascii="ITC Avant Garde" w:hAnsi="ITC Avant Garde"/>
          <w:b/>
          <w:u w:val="single"/>
        </w:rPr>
        <w:t>interés</w:t>
      </w:r>
      <w:r w:rsidRPr="002A2450">
        <w:rPr>
          <w:rFonts w:ascii="ITC Avant Garde" w:hAnsi="ITC Avant Garde"/>
        </w:rPr>
        <w:t>.</w:t>
      </w:r>
    </w:p>
    <w:p w14:paraId="5D3F0139" w14:textId="77777777" w:rsidR="00B35F13" w:rsidRDefault="00D873A1" w:rsidP="00B35F13">
      <w:pPr>
        <w:spacing w:before="240" w:line="360" w:lineRule="auto"/>
        <w:jc w:val="both"/>
        <w:rPr>
          <w:rFonts w:ascii="ITC Avant Garde" w:hAnsi="ITC Avant Garde"/>
        </w:rPr>
      </w:pPr>
      <w:r w:rsidRPr="002A2450">
        <w:rPr>
          <w:rFonts w:ascii="ITC Avant Garde" w:hAnsi="ITC Avant Garde"/>
        </w:rPr>
        <w:t xml:space="preserve">Lo anterior, ya que el costo que podría suponerse </w:t>
      </w:r>
      <w:r w:rsidR="00BD7EDE" w:rsidRPr="002A2450">
        <w:rPr>
          <w:rFonts w:ascii="ITC Avant Garde" w:hAnsi="ITC Avant Garde"/>
        </w:rPr>
        <w:t xml:space="preserve">por alguna parte del grupo </w:t>
      </w:r>
      <w:r w:rsidR="001C1B1D" w:rsidRPr="002A2450">
        <w:rPr>
          <w:rFonts w:ascii="ITC Avant Garde" w:hAnsi="ITC Avant Garde"/>
        </w:rPr>
        <w:t xml:space="preserve">para separarse </w:t>
      </w:r>
      <w:r w:rsidRPr="002A2450">
        <w:rPr>
          <w:rFonts w:ascii="ITC Avant Garde" w:hAnsi="ITC Avant Garde"/>
        </w:rPr>
        <w:t>de</w:t>
      </w:r>
      <w:r w:rsidR="001C1B1D" w:rsidRPr="002A2450">
        <w:rPr>
          <w:rFonts w:ascii="ITC Avant Garde" w:hAnsi="ITC Avant Garde"/>
        </w:rPr>
        <w:t xml:space="preserve">l </w:t>
      </w:r>
      <w:r w:rsidR="00BD7EDE" w:rsidRPr="002A2450">
        <w:rPr>
          <w:rFonts w:ascii="ITC Avant Garde" w:hAnsi="ITC Avant Garde"/>
        </w:rPr>
        <w:t>mismo</w:t>
      </w:r>
      <w:r w:rsidR="001C1B1D" w:rsidRPr="002A2450">
        <w:rPr>
          <w:rFonts w:ascii="ITC Avant Garde" w:hAnsi="ITC Avant Garde"/>
        </w:rPr>
        <w:t>, es sin duda más alto que seguir perteneciendo a esta cadena de</w:t>
      </w:r>
      <w:r w:rsidR="00BD7EDE" w:rsidRPr="002A2450">
        <w:rPr>
          <w:rFonts w:ascii="ITC Avant Garde" w:hAnsi="ITC Avant Garde"/>
        </w:rPr>
        <w:t xml:space="preserve"> contratos vinculados</w:t>
      </w:r>
      <w:r w:rsidR="001C1B1D" w:rsidRPr="002A2450">
        <w:rPr>
          <w:rFonts w:ascii="ITC Avant Garde" w:hAnsi="ITC Avant Garde"/>
        </w:rPr>
        <w:t>.</w:t>
      </w:r>
    </w:p>
    <w:p w14:paraId="17C02BDD" w14:textId="77777777" w:rsidR="00B35F13" w:rsidRDefault="001C1B1D" w:rsidP="00B35F13">
      <w:pPr>
        <w:spacing w:before="240" w:line="360" w:lineRule="auto"/>
        <w:jc w:val="both"/>
        <w:rPr>
          <w:rFonts w:ascii="ITC Avant Garde" w:hAnsi="ITC Avant Garde"/>
        </w:rPr>
      </w:pPr>
      <w:r w:rsidRPr="002A2450">
        <w:rPr>
          <w:rFonts w:ascii="ITC Avant Garde" w:hAnsi="ITC Avant Garde"/>
        </w:rPr>
        <w:t>Por tanto, surge la necesidad de formar vínculos de conexidad contractual en dónde la solución es relacionar los contratos y el sistema con la causa del contrato y</w:t>
      </w:r>
      <w:r w:rsidR="00EF6F3B" w:rsidRPr="002A2450">
        <w:rPr>
          <w:rFonts w:ascii="ITC Avant Garde" w:hAnsi="ITC Avant Garde"/>
        </w:rPr>
        <w:t xml:space="preserve"> a su vez </w:t>
      </w:r>
      <w:r w:rsidRPr="002A2450">
        <w:rPr>
          <w:rFonts w:ascii="ITC Avant Garde" w:hAnsi="ITC Avant Garde"/>
        </w:rPr>
        <w:t>con la causa del sistema formado en sí mismo.</w:t>
      </w:r>
    </w:p>
    <w:p w14:paraId="6202BFAF" w14:textId="77777777" w:rsidR="00B35F13" w:rsidRDefault="001C1B1D" w:rsidP="00B35F13">
      <w:pPr>
        <w:spacing w:before="240" w:line="360" w:lineRule="auto"/>
        <w:jc w:val="both"/>
        <w:rPr>
          <w:rFonts w:ascii="ITC Avant Garde" w:hAnsi="ITC Avant Garde"/>
        </w:rPr>
      </w:pPr>
      <w:r w:rsidRPr="002A2450">
        <w:rPr>
          <w:rFonts w:ascii="ITC Avant Garde" w:hAnsi="ITC Avant Garde"/>
        </w:rPr>
        <w:t>Luego entonces, la unión de contratos es un medio utilizado para la satisfacción de un interés que en ocasiones no puede llevarse a cabo con las figuras jurídicas existentes, por lo que existen mecanismos alternos como lo son contratos coligados y/o conexos que permiten a las empresas llevar a cabo</w:t>
      </w:r>
      <w:r w:rsidR="00BD7EDE" w:rsidRPr="002A2450">
        <w:rPr>
          <w:rFonts w:ascii="ITC Avant Garde" w:hAnsi="ITC Avant Garde"/>
        </w:rPr>
        <w:t xml:space="preserve"> la ejecución del sistema, a través de </w:t>
      </w:r>
      <w:r w:rsidRPr="002A2450">
        <w:rPr>
          <w:rFonts w:ascii="ITC Avant Garde" w:hAnsi="ITC Avant Garde"/>
        </w:rPr>
        <w:t xml:space="preserve">una colaboración asociativa </w:t>
      </w:r>
      <w:r w:rsidR="00EF6F3B" w:rsidRPr="002A2450">
        <w:rPr>
          <w:rFonts w:ascii="ITC Avant Garde" w:hAnsi="ITC Avant Garde"/>
        </w:rPr>
        <w:t xml:space="preserve">mediante la suscripción </w:t>
      </w:r>
      <w:r w:rsidR="00BD7EDE" w:rsidRPr="002A2450">
        <w:rPr>
          <w:rFonts w:ascii="ITC Avant Garde" w:hAnsi="ITC Avant Garde"/>
        </w:rPr>
        <w:t xml:space="preserve">de </w:t>
      </w:r>
      <w:r w:rsidRPr="002A2450">
        <w:rPr>
          <w:rFonts w:ascii="ITC Avant Garde" w:hAnsi="ITC Avant Garde"/>
        </w:rPr>
        <w:t xml:space="preserve">varios contratos, dónde en ocasiones, dada la regulación sobre los mismos, </w:t>
      </w:r>
      <w:r w:rsidR="00BD7EDE" w:rsidRPr="002A2450">
        <w:rPr>
          <w:rFonts w:ascii="ITC Avant Garde" w:hAnsi="ITC Avant Garde"/>
        </w:rPr>
        <w:t xml:space="preserve">mediante la aceptación de la doctrina clásica de la autonomía contractual, </w:t>
      </w:r>
      <w:r w:rsidR="00EF6F3B" w:rsidRPr="002A2450">
        <w:rPr>
          <w:rFonts w:ascii="ITC Avant Garde" w:hAnsi="ITC Avant Garde"/>
        </w:rPr>
        <w:t xml:space="preserve">se </w:t>
      </w:r>
      <w:r w:rsidRPr="002A2450">
        <w:rPr>
          <w:rFonts w:ascii="ITC Avant Garde" w:hAnsi="ITC Avant Garde"/>
        </w:rPr>
        <w:t xml:space="preserve">escapa del </w:t>
      </w:r>
      <w:r w:rsidR="00BD7EDE" w:rsidRPr="002A2450">
        <w:rPr>
          <w:rFonts w:ascii="ITC Avant Garde" w:hAnsi="ITC Avant Garde"/>
        </w:rPr>
        <w:t>régimen contractual</w:t>
      </w:r>
      <w:r w:rsidR="00EF6F3B" w:rsidRPr="002A2450">
        <w:rPr>
          <w:rFonts w:ascii="ITC Avant Garde" w:hAnsi="ITC Avant Garde"/>
        </w:rPr>
        <w:t xml:space="preserve"> tradicional</w:t>
      </w:r>
      <w:r w:rsidR="00BD7EDE" w:rsidRPr="002A2450">
        <w:rPr>
          <w:rFonts w:ascii="ITC Avant Garde" w:hAnsi="ITC Avant Garde"/>
        </w:rPr>
        <w:t xml:space="preserve">, </w:t>
      </w:r>
      <w:r w:rsidR="00EF6F3B" w:rsidRPr="002A2450">
        <w:rPr>
          <w:rFonts w:ascii="ITC Avant Garde" w:hAnsi="ITC Avant Garde"/>
        </w:rPr>
        <w:t xml:space="preserve">por lo que </w:t>
      </w:r>
      <w:r w:rsidRPr="002A2450">
        <w:rPr>
          <w:rFonts w:ascii="ITC Avant Garde" w:hAnsi="ITC Avant Garde"/>
        </w:rPr>
        <w:t>es necesario recurrir a la interpretación de todos los contratos como un sistema.</w:t>
      </w:r>
    </w:p>
    <w:p w14:paraId="42EF3F4C" w14:textId="77777777" w:rsidR="00B35F13" w:rsidRDefault="001C1B1D" w:rsidP="00B35F13">
      <w:pPr>
        <w:spacing w:before="240" w:line="360" w:lineRule="auto"/>
        <w:jc w:val="both"/>
        <w:rPr>
          <w:rFonts w:ascii="ITC Avant Garde" w:hAnsi="ITC Avant Garde"/>
        </w:rPr>
      </w:pPr>
      <w:r w:rsidRPr="002A2450">
        <w:rPr>
          <w:rFonts w:ascii="ITC Avant Garde" w:hAnsi="ITC Avant Garde"/>
        </w:rPr>
        <w:lastRenderedPageBreak/>
        <w:t>En ese sentido, el derecho anglosajón</w:t>
      </w:r>
      <w:r w:rsidRPr="002A2450">
        <w:rPr>
          <w:rStyle w:val="Refdenotaalpie"/>
          <w:rFonts w:ascii="ITC Avant Garde" w:hAnsi="ITC Avant Garde"/>
        </w:rPr>
        <w:footnoteReference w:id="31"/>
      </w:r>
      <w:r w:rsidR="00D66B4B" w:rsidRPr="002A2450">
        <w:rPr>
          <w:rFonts w:ascii="ITC Avant Garde" w:hAnsi="ITC Avant Garde"/>
        </w:rPr>
        <w:t xml:space="preserve"> ha desarrollado la teoría de los contratos relacionales refiriéndose a dos fenómenos simultáneos: los vínculos de larga duración y las redes contractuales. La teoría clásica contempla al contrato como algo aislado y discontinúo con un objeto definido que las partes harán en el futuro. Sin embargo, el contrato actual, presenta un vacío, puesto que </w:t>
      </w:r>
      <w:r w:rsidR="006112F7" w:rsidRPr="002A2450">
        <w:rPr>
          <w:rFonts w:ascii="ITC Avant Garde" w:hAnsi="ITC Avant Garde"/>
        </w:rPr>
        <w:t xml:space="preserve">realmente </w:t>
      </w:r>
      <w:r w:rsidR="00BD7EDE" w:rsidRPr="002A2450">
        <w:rPr>
          <w:rFonts w:ascii="ITC Avant Garde" w:hAnsi="ITC Avant Garde"/>
        </w:rPr>
        <w:t xml:space="preserve">los contratos vinculados </w:t>
      </w:r>
      <w:r w:rsidR="006112F7" w:rsidRPr="002A2450">
        <w:rPr>
          <w:rFonts w:ascii="ITC Avant Garde" w:hAnsi="ITC Avant Garde"/>
        </w:rPr>
        <w:t>pactan</w:t>
      </w:r>
      <w:r w:rsidR="00D66B4B" w:rsidRPr="002A2450">
        <w:rPr>
          <w:rFonts w:ascii="ITC Avant Garde" w:hAnsi="ITC Avant Garde"/>
        </w:rPr>
        <w:t xml:space="preserve"> procedimientos de actuación, reglas que seguirán las partes que se irán especificando a lo largo de procedimiento y del cumplimiento de las metas establecidas a lo largo de la vida de la relación contractual. </w:t>
      </w:r>
    </w:p>
    <w:p w14:paraId="3E161946" w14:textId="77777777" w:rsidR="00B35F13" w:rsidRDefault="00D66B4B" w:rsidP="00B35F13">
      <w:pPr>
        <w:spacing w:before="240" w:line="360" w:lineRule="auto"/>
        <w:jc w:val="both"/>
        <w:rPr>
          <w:rFonts w:ascii="ITC Avant Garde" w:hAnsi="ITC Avant Garde"/>
        </w:rPr>
      </w:pPr>
      <w:r w:rsidRPr="002A2450">
        <w:rPr>
          <w:rFonts w:ascii="ITC Avant Garde" w:hAnsi="ITC Avant Garde"/>
        </w:rPr>
        <w:t>Por tanto, el contrato actualmente, desde la perspectiva de las negociaciones que inciden en el interés de cada empresa, se encuentran basadas en la cooperación, esto es, en vínculos múltiples entre los agentes para log</w:t>
      </w:r>
      <w:r w:rsidR="002F6358" w:rsidRPr="002A2450">
        <w:rPr>
          <w:rFonts w:ascii="ITC Avant Garde" w:hAnsi="ITC Avant Garde"/>
        </w:rPr>
        <w:t>r</w:t>
      </w:r>
      <w:r w:rsidRPr="002A2450">
        <w:rPr>
          <w:rFonts w:ascii="ITC Avant Garde" w:hAnsi="ITC Avant Garde"/>
        </w:rPr>
        <w:t xml:space="preserve">ar una metodología que les permita llegar al objetivo planeado mediante un </w:t>
      </w:r>
      <w:r w:rsidR="00217A9B" w:rsidRPr="002A2450">
        <w:rPr>
          <w:rFonts w:ascii="ITC Avant Garde" w:hAnsi="ITC Avant Garde"/>
        </w:rPr>
        <w:t xml:space="preserve">sistema </w:t>
      </w:r>
      <w:r w:rsidRPr="002A2450">
        <w:rPr>
          <w:rFonts w:ascii="ITC Avant Garde" w:hAnsi="ITC Avant Garde"/>
        </w:rPr>
        <w:t>flexible que permita superar la adopción clásica del contrato en términos del marco jurídico y ejecutarla con base en el economía actual.</w:t>
      </w:r>
    </w:p>
    <w:p w14:paraId="21A35539" w14:textId="77777777" w:rsidR="00B35F13" w:rsidRDefault="00D75297" w:rsidP="00B35F13">
      <w:pPr>
        <w:spacing w:before="240" w:line="360" w:lineRule="auto"/>
        <w:jc w:val="both"/>
        <w:rPr>
          <w:rFonts w:ascii="ITC Avant Garde" w:hAnsi="ITC Avant Garde"/>
        </w:rPr>
      </w:pPr>
      <w:r w:rsidRPr="002A2450">
        <w:rPr>
          <w:rFonts w:ascii="ITC Avant Garde" w:hAnsi="ITC Avant Garde"/>
        </w:rPr>
        <w:t>Esta concepción permite fijar claramente que existen redes de naturaleza asociativa entre empresas, dónde sin perder desde el punto de vista jurídico su autonomía, logran ejecutar un interés común, repartir un beneficio y gozar de las deficiencias que la doctrina clásica tiene para ligar diversos contratos celebrados entre las partes.</w:t>
      </w:r>
    </w:p>
    <w:p w14:paraId="03939906" w14:textId="77777777" w:rsidR="00B35F13" w:rsidRDefault="00D75297" w:rsidP="00B35F13">
      <w:pPr>
        <w:spacing w:before="240" w:line="360" w:lineRule="auto"/>
        <w:jc w:val="both"/>
        <w:rPr>
          <w:rFonts w:ascii="ITC Avant Garde" w:hAnsi="ITC Avant Garde"/>
        </w:rPr>
      </w:pPr>
      <w:r w:rsidRPr="002A2450">
        <w:rPr>
          <w:rFonts w:ascii="ITC Avant Garde" w:hAnsi="ITC Avant Garde"/>
        </w:rPr>
        <w:t>En ese sentido, la asociación y/o cooperación entre empresas para la consecución de un objetivo en común</w:t>
      </w:r>
      <w:r w:rsidR="00BD7EDE" w:rsidRPr="002A2450">
        <w:rPr>
          <w:rFonts w:ascii="ITC Avant Garde" w:hAnsi="ITC Avant Garde"/>
        </w:rPr>
        <w:t>,</w:t>
      </w:r>
      <w:r w:rsidRPr="002A2450">
        <w:rPr>
          <w:rFonts w:ascii="ITC Avant Garde" w:hAnsi="ITC Avant Garde"/>
        </w:rPr>
        <w:t xml:space="preserve"> jurídicamente representa una ventaja entre quienes los integran, puesto que los mismos obtienen satisfacciones </w:t>
      </w:r>
      <w:r w:rsidR="00BD7EDE" w:rsidRPr="002A2450">
        <w:rPr>
          <w:rFonts w:ascii="ITC Avant Garde" w:hAnsi="ITC Avant Garde"/>
        </w:rPr>
        <w:t xml:space="preserve">directas y/o </w:t>
      </w:r>
      <w:r w:rsidRPr="002A2450">
        <w:rPr>
          <w:rFonts w:ascii="ITC Avant Garde" w:hAnsi="ITC Avant Garde"/>
        </w:rPr>
        <w:t>indirectas a través de la prestación que realiza otra sin que exista un vínculo directo del intercambio realizado.</w:t>
      </w:r>
    </w:p>
    <w:p w14:paraId="63F4DA0F" w14:textId="77777777" w:rsidR="00B35F13" w:rsidRDefault="00D75297" w:rsidP="00B35F13">
      <w:pPr>
        <w:spacing w:before="240" w:line="360" w:lineRule="auto"/>
        <w:jc w:val="both"/>
        <w:rPr>
          <w:rFonts w:ascii="ITC Avant Garde" w:hAnsi="ITC Avant Garde"/>
        </w:rPr>
      </w:pPr>
      <w:r w:rsidRPr="002A2450">
        <w:rPr>
          <w:rFonts w:ascii="ITC Avant Garde" w:hAnsi="ITC Avant Garde"/>
        </w:rPr>
        <w:lastRenderedPageBreak/>
        <w:t xml:space="preserve">Así las cosas, el nexo </w:t>
      </w:r>
      <w:r w:rsidR="00BD7EDE" w:rsidRPr="002A2450">
        <w:rPr>
          <w:rFonts w:ascii="ITC Avant Garde" w:hAnsi="ITC Avant Garde"/>
        </w:rPr>
        <w:t>entre el sistema de contratos</w:t>
      </w:r>
      <w:r w:rsidR="00EF6F3B" w:rsidRPr="002A2450">
        <w:rPr>
          <w:rFonts w:ascii="ITC Avant Garde" w:hAnsi="ITC Avant Garde"/>
        </w:rPr>
        <w:t>,</w:t>
      </w:r>
      <w:r w:rsidR="00BD7EDE" w:rsidRPr="002A2450">
        <w:rPr>
          <w:rFonts w:ascii="ITC Avant Garde" w:hAnsi="ITC Avant Garde"/>
        </w:rPr>
        <w:t xml:space="preserve"> </w:t>
      </w:r>
      <w:r w:rsidRPr="002A2450">
        <w:rPr>
          <w:rFonts w:ascii="ITC Avant Garde" w:hAnsi="ITC Avant Garde"/>
        </w:rPr>
        <w:t>es la voluntad de los contratantes para lograr un objetivo basado en la noción y/o expectativa de la causa</w:t>
      </w:r>
      <w:r w:rsidR="00A601EB" w:rsidRPr="002A2450">
        <w:rPr>
          <w:rFonts w:ascii="ITC Avant Garde" w:hAnsi="ITC Avant Garde"/>
        </w:rPr>
        <w:t xml:space="preserve"> que el negocio genera</w:t>
      </w:r>
      <w:r w:rsidRPr="002A2450">
        <w:rPr>
          <w:rFonts w:ascii="ITC Avant Garde" w:hAnsi="ITC Avant Garde"/>
        </w:rPr>
        <w:t xml:space="preserve">, cuya conexión objetiva </w:t>
      </w:r>
      <w:r w:rsidR="00A601EB" w:rsidRPr="002A2450">
        <w:rPr>
          <w:rFonts w:ascii="ITC Avant Garde" w:hAnsi="ITC Avant Garde"/>
        </w:rPr>
        <w:t>de la voluntad manifiesta</w:t>
      </w:r>
      <w:r w:rsidR="00DC55B7" w:rsidRPr="002A2450">
        <w:rPr>
          <w:rFonts w:ascii="ITC Avant Garde" w:hAnsi="ITC Avant Garde"/>
        </w:rPr>
        <w:t>,</w:t>
      </w:r>
      <w:r w:rsidR="00A601EB" w:rsidRPr="002A2450">
        <w:rPr>
          <w:rFonts w:ascii="ITC Avant Garde" w:hAnsi="ITC Avant Garde"/>
        </w:rPr>
        <w:t xml:space="preserve"> es sin duda </w:t>
      </w:r>
      <w:r w:rsidRPr="002A2450">
        <w:rPr>
          <w:rFonts w:ascii="ITC Avant Garde" w:hAnsi="ITC Avant Garde"/>
        </w:rPr>
        <w:t xml:space="preserve">el contrato </w:t>
      </w:r>
      <w:r w:rsidR="00A601EB" w:rsidRPr="002A2450">
        <w:rPr>
          <w:rFonts w:ascii="ITC Avant Garde" w:hAnsi="ITC Avant Garde"/>
        </w:rPr>
        <w:t xml:space="preserve">o conjunto de contratos celebrados para lograr ejecutarlo. </w:t>
      </w:r>
    </w:p>
    <w:p w14:paraId="186BEEA7" w14:textId="77777777" w:rsidR="00B35F13" w:rsidRDefault="00A601EB" w:rsidP="00B35F13">
      <w:pPr>
        <w:spacing w:before="240" w:line="360" w:lineRule="auto"/>
        <w:jc w:val="both"/>
        <w:rPr>
          <w:rFonts w:ascii="ITC Avant Garde" w:hAnsi="ITC Avant Garde"/>
        </w:rPr>
      </w:pPr>
      <w:r w:rsidRPr="002A2450">
        <w:rPr>
          <w:rFonts w:ascii="ITC Avant Garde" w:hAnsi="ITC Avant Garde"/>
        </w:rPr>
        <w:t xml:space="preserve">En ese sentido, existe una finalidad </w:t>
      </w:r>
      <w:proofErr w:type="spellStart"/>
      <w:r w:rsidRPr="002A2450">
        <w:rPr>
          <w:rFonts w:ascii="ITC Avant Garde" w:hAnsi="ITC Avant Garde"/>
        </w:rPr>
        <w:t>negocial</w:t>
      </w:r>
      <w:proofErr w:type="spellEnd"/>
      <w:r w:rsidRPr="002A2450">
        <w:rPr>
          <w:rFonts w:ascii="ITC Avant Garde" w:hAnsi="ITC Avant Garde"/>
        </w:rPr>
        <w:t xml:space="preserve"> </w:t>
      </w:r>
      <w:proofErr w:type="spellStart"/>
      <w:r w:rsidRPr="002A2450">
        <w:rPr>
          <w:rFonts w:ascii="ITC Avant Garde" w:hAnsi="ITC Avant Garde"/>
        </w:rPr>
        <w:t>supracontractual</w:t>
      </w:r>
      <w:proofErr w:type="spellEnd"/>
      <w:r w:rsidRPr="002A2450">
        <w:rPr>
          <w:rFonts w:ascii="ITC Avant Garde" w:hAnsi="ITC Avant Garde"/>
        </w:rPr>
        <w:t xml:space="preserve"> que justifica el nacimiento y funcionamiento de una serie de contratos, por lo que es necesario conocer el sistema sobre el cual se basan los mismo</w:t>
      </w:r>
      <w:r w:rsidR="00BD7EDE" w:rsidRPr="002A2450">
        <w:rPr>
          <w:rFonts w:ascii="ITC Avant Garde" w:hAnsi="ITC Avant Garde"/>
        </w:rPr>
        <w:t>s</w:t>
      </w:r>
      <w:r w:rsidRPr="002A2450">
        <w:rPr>
          <w:rFonts w:ascii="ITC Avant Garde" w:hAnsi="ITC Avant Garde"/>
        </w:rPr>
        <w:t>, para desentrañar el fin común perseguido por las empresas participantes.</w:t>
      </w:r>
    </w:p>
    <w:p w14:paraId="02FE5D44" w14:textId="77777777" w:rsidR="00B35F13" w:rsidRDefault="00A601EB" w:rsidP="00B35F13">
      <w:pPr>
        <w:spacing w:before="240" w:line="360" w:lineRule="auto"/>
        <w:jc w:val="both"/>
        <w:rPr>
          <w:rFonts w:ascii="ITC Avant Garde" w:hAnsi="ITC Avant Garde"/>
        </w:rPr>
      </w:pPr>
      <w:r w:rsidRPr="002A2450">
        <w:rPr>
          <w:rFonts w:ascii="ITC Avant Garde" w:hAnsi="ITC Avant Garde"/>
        </w:rPr>
        <w:t xml:space="preserve">Para lo anterior, es necesario tener presente que esta relación entre contratos, pasa por un esquema de características </w:t>
      </w:r>
      <w:r w:rsidR="00BD7EDE" w:rsidRPr="002A2450">
        <w:rPr>
          <w:rFonts w:ascii="ITC Avant Garde" w:hAnsi="ITC Avant Garde"/>
        </w:rPr>
        <w:t>que la doctrina ha venido definiendo</w:t>
      </w:r>
      <w:r w:rsidR="00DC55B7" w:rsidRPr="002A2450">
        <w:rPr>
          <w:rFonts w:ascii="ITC Avant Garde" w:hAnsi="ITC Avant Garde"/>
        </w:rPr>
        <w:t xml:space="preserve">, las cuales </w:t>
      </w:r>
      <w:r w:rsidRPr="002A2450">
        <w:rPr>
          <w:rFonts w:ascii="ITC Avant Garde" w:hAnsi="ITC Avant Garde"/>
        </w:rPr>
        <w:t>son necesarias mencionar para su mejor entendimiento:</w:t>
      </w:r>
    </w:p>
    <w:p w14:paraId="6100FF59" w14:textId="77777777" w:rsidR="00B35F13" w:rsidRDefault="00A601EB"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Relación entre las partes</w:t>
      </w:r>
      <w:r w:rsidRPr="002A2450">
        <w:rPr>
          <w:rFonts w:ascii="ITC Avant Garde" w:hAnsi="ITC Avant Garde"/>
        </w:rPr>
        <w:t xml:space="preserve">. El nexo está vinculado con la colaboración entre las partes que lo integran, esto es, la causa sistémica, la finalidad </w:t>
      </w:r>
      <w:proofErr w:type="spellStart"/>
      <w:r w:rsidRPr="002A2450">
        <w:rPr>
          <w:rFonts w:ascii="ITC Avant Garde" w:hAnsi="ITC Avant Garde"/>
        </w:rPr>
        <w:t>supracontractual</w:t>
      </w:r>
      <w:proofErr w:type="spellEnd"/>
      <w:r w:rsidRPr="002A2450">
        <w:rPr>
          <w:rFonts w:ascii="ITC Avant Garde" w:hAnsi="ITC Avant Garde"/>
        </w:rPr>
        <w:t xml:space="preserve"> y reciprocidad de obligaciones, </w:t>
      </w:r>
      <w:r w:rsidR="00EF6F3B" w:rsidRPr="002A2450">
        <w:rPr>
          <w:rFonts w:ascii="ITC Avant Garde" w:hAnsi="ITC Avant Garde"/>
        </w:rPr>
        <w:t xml:space="preserve">estos es, </w:t>
      </w:r>
      <w:r w:rsidRPr="002A2450">
        <w:rPr>
          <w:rFonts w:ascii="ITC Avant Garde" w:hAnsi="ITC Avant Garde"/>
        </w:rPr>
        <w:t>establecen obligaciones principales, secundarias y deberes de conducta entre las partes.</w:t>
      </w:r>
    </w:p>
    <w:p w14:paraId="7F4EBECE" w14:textId="77777777" w:rsidR="00B35F13" w:rsidRDefault="00A601EB"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La relación frente a terceros</w:t>
      </w:r>
      <w:r w:rsidRPr="002A2450">
        <w:rPr>
          <w:rFonts w:ascii="ITC Avant Garde" w:hAnsi="ITC Avant Garde"/>
        </w:rPr>
        <w:t xml:space="preserve">. Necesariamente vinculados a los consumidores, </w:t>
      </w:r>
      <w:r w:rsidR="00524715" w:rsidRPr="002A2450">
        <w:rPr>
          <w:rFonts w:ascii="ITC Avant Garde" w:hAnsi="ITC Avant Garde"/>
        </w:rPr>
        <w:t xml:space="preserve">donde </w:t>
      </w:r>
      <w:r w:rsidRPr="002A2450">
        <w:rPr>
          <w:rFonts w:ascii="ITC Avant Garde" w:hAnsi="ITC Avant Garde"/>
        </w:rPr>
        <w:t xml:space="preserve">la responsabilidad </w:t>
      </w:r>
      <w:r w:rsidR="00524715" w:rsidRPr="002A2450">
        <w:rPr>
          <w:rFonts w:ascii="ITC Avant Garde" w:hAnsi="ITC Avant Garde"/>
        </w:rPr>
        <w:t xml:space="preserve">puede ser </w:t>
      </w:r>
      <w:r w:rsidRPr="002A2450">
        <w:rPr>
          <w:rFonts w:ascii="ITC Avant Garde" w:hAnsi="ITC Avant Garde"/>
        </w:rPr>
        <w:t xml:space="preserve">extracontractual y contractual. </w:t>
      </w:r>
      <w:r w:rsidR="00524715" w:rsidRPr="002A2450">
        <w:rPr>
          <w:rFonts w:ascii="ITC Avant Garde" w:hAnsi="ITC Avant Garde"/>
        </w:rPr>
        <w:t>En l</w:t>
      </w:r>
      <w:r w:rsidRPr="002A2450">
        <w:rPr>
          <w:rFonts w:ascii="ITC Avant Garde" w:hAnsi="ITC Avant Garde"/>
        </w:rPr>
        <w:t xml:space="preserve">a primera, se obstaculiza la existencia de acciones directas en contra de una de las partes en los contratos, v.gr., tratándose de la acción que enfrenta un autorizado del fabricante </w:t>
      </w:r>
      <w:r w:rsidR="00524715" w:rsidRPr="002A2450">
        <w:rPr>
          <w:rFonts w:ascii="ITC Avant Garde" w:hAnsi="ITC Avant Garde"/>
        </w:rPr>
        <w:t xml:space="preserve">que </w:t>
      </w:r>
      <w:r w:rsidR="00BD7EDE" w:rsidRPr="002A2450">
        <w:rPr>
          <w:rFonts w:ascii="ITC Avant Garde" w:hAnsi="ITC Avant Garde"/>
        </w:rPr>
        <w:t xml:space="preserve">delega </w:t>
      </w:r>
      <w:r w:rsidR="00524715" w:rsidRPr="002A2450">
        <w:rPr>
          <w:rFonts w:ascii="ITC Avant Garde" w:hAnsi="ITC Avant Garde"/>
        </w:rPr>
        <w:t>un servicio único para sus productos, dónde el responsable de éste servicio es quien lo presta y no así quien autorizó el servicio único. En la segunda, hay un vínculo directo de responsabilidad, p. ej., tratándose de la responsabilidad directa entre el médico y paciente en una clínica particular.</w:t>
      </w:r>
    </w:p>
    <w:p w14:paraId="5722F784" w14:textId="77777777" w:rsidR="00B35F13" w:rsidRDefault="00524715"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Colaboración de gestoría</w:t>
      </w:r>
      <w:r w:rsidRPr="002A2450">
        <w:rPr>
          <w:rFonts w:ascii="ITC Avant Garde" w:hAnsi="ITC Avant Garde"/>
        </w:rPr>
        <w:t>. Dónde una de las partes se vale de otra para realizar tareas que no puede realizar por sí misma, produciéndose una descentralización de ejecuciones.</w:t>
      </w:r>
    </w:p>
    <w:p w14:paraId="52923FB8" w14:textId="77777777" w:rsidR="00B35F13" w:rsidRDefault="00524715"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lastRenderedPageBreak/>
        <w:t>Colaboración asociativa</w:t>
      </w:r>
      <w:r w:rsidRPr="002A2450">
        <w:rPr>
          <w:rFonts w:ascii="ITC Avant Garde" w:hAnsi="ITC Avant Garde"/>
        </w:rPr>
        <w:t xml:space="preserve">. Hay una finalidad común puesto que se comparte el interés, no se trata del encargo que se da a </w:t>
      </w:r>
      <w:r w:rsidR="00217A9B" w:rsidRPr="002A2450">
        <w:rPr>
          <w:rFonts w:ascii="ITC Avant Garde" w:hAnsi="ITC Avant Garde"/>
        </w:rPr>
        <w:t>otro sino de log</w:t>
      </w:r>
      <w:r w:rsidR="002F6358" w:rsidRPr="002A2450">
        <w:rPr>
          <w:rFonts w:ascii="ITC Avant Garde" w:hAnsi="ITC Avant Garde"/>
        </w:rPr>
        <w:t>r</w:t>
      </w:r>
      <w:r w:rsidR="00217A9B" w:rsidRPr="002A2450">
        <w:rPr>
          <w:rFonts w:ascii="ITC Avant Garde" w:hAnsi="ITC Avant Garde"/>
        </w:rPr>
        <w:t>ar unos objetivos juntos</w:t>
      </w:r>
      <w:r w:rsidRPr="002A2450">
        <w:rPr>
          <w:rFonts w:ascii="ITC Avant Garde" w:hAnsi="ITC Avant Garde"/>
        </w:rPr>
        <w:t>, dónde el objetivo es un resultado o una utilidad a repartir.</w:t>
      </w:r>
    </w:p>
    <w:p w14:paraId="46D302A5" w14:textId="77777777" w:rsidR="00B35F13" w:rsidRDefault="00524715"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Colaboración en las redes contractuales. </w:t>
      </w:r>
      <w:r w:rsidRPr="002A2450">
        <w:rPr>
          <w:rFonts w:ascii="ITC Avant Garde" w:hAnsi="ITC Avant Garde"/>
        </w:rPr>
        <w:t>Cuando hay multiplicidad de contratos que si bien son autónomos, deben convivir, esto es, un efecto de conjunto superior a la suma de individualidades.</w:t>
      </w:r>
    </w:p>
    <w:p w14:paraId="6BB8DB1F" w14:textId="77777777" w:rsidR="00B35F13" w:rsidRDefault="00524715"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Conexión.</w:t>
      </w:r>
      <w:r w:rsidR="00D5399B" w:rsidRPr="002A2450">
        <w:rPr>
          <w:rStyle w:val="Refdenotaalpie"/>
          <w:rFonts w:ascii="ITC Avant Garde" w:hAnsi="ITC Avant Garde"/>
          <w:b/>
        </w:rPr>
        <w:footnoteReference w:id="32"/>
      </w:r>
      <w:r w:rsidRPr="002A2450">
        <w:rPr>
          <w:rFonts w:ascii="ITC Avant Garde" w:hAnsi="ITC Avant Garde"/>
          <w:b/>
        </w:rPr>
        <w:t xml:space="preserve"> </w:t>
      </w:r>
      <w:r w:rsidR="00BD7EDE" w:rsidRPr="002A2450">
        <w:rPr>
          <w:rFonts w:ascii="ITC Avant Garde" w:hAnsi="ITC Avant Garde"/>
        </w:rPr>
        <w:t>En principio no exist</w:t>
      </w:r>
      <w:r w:rsidRPr="002A2450">
        <w:rPr>
          <w:rFonts w:ascii="ITC Avant Garde" w:hAnsi="ITC Avant Garde"/>
        </w:rPr>
        <w:t>e una causa jurídica asociativa inicial que por la vía contractual origine la integración, pero si existe una causa económica que hace que una serie de vínculos deban funcionar como un sistema. Por tanto, la conexidad es un presupuesto del sistema de relaciones interdependientes</w:t>
      </w:r>
      <w:r w:rsidR="00D5399B" w:rsidRPr="002A2450">
        <w:rPr>
          <w:rFonts w:ascii="ITC Avant Garde" w:hAnsi="ITC Avant Garde"/>
        </w:rPr>
        <w:t>.</w:t>
      </w:r>
    </w:p>
    <w:p w14:paraId="006E5B47" w14:textId="77777777" w:rsidR="00B35F13" w:rsidRDefault="00D5399B" w:rsidP="00B35F13">
      <w:pPr>
        <w:pStyle w:val="Prrafodelista"/>
        <w:spacing w:before="240" w:line="360" w:lineRule="auto"/>
        <w:jc w:val="both"/>
        <w:rPr>
          <w:rFonts w:ascii="ITC Avant Garde" w:hAnsi="ITC Avant Garde"/>
        </w:rPr>
      </w:pPr>
      <w:r w:rsidRPr="002A2450">
        <w:rPr>
          <w:rFonts w:ascii="ITC Avant Garde" w:hAnsi="ITC Avant Garde"/>
        </w:rPr>
        <w:t>En la conexidad hay un interés asociativo que se satisface a través de un negocio que requiere varios contratos unidos en un sistema, por lo que la causa asociativa contractual vincula a los sujetos que son partes de distintos contratos.</w:t>
      </w:r>
    </w:p>
    <w:p w14:paraId="1C9E2A45" w14:textId="77777777" w:rsidR="00B35F13" w:rsidRDefault="00D5399B" w:rsidP="00B35F13">
      <w:pPr>
        <w:pStyle w:val="Prrafodelista"/>
        <w:spacing w:before="240" w:line="360" w:lineRule="auto"/>
        <w:jc w:val="both"/>
        <w:rPr>
          <w:rFonts w:ascii="ITC Avant Garde" w:hAnsi="ITC Avant Garde"/>
        </w:rPr>
      </w:pPr>
      <w:r w:rsidRPr="002A2450">
        <w:rPr>
          <w:rFonts w:ascii="ITC Avant Garde" w:hAnsi="ITC Avant Garde"/>
        </w:rPr>
        <w:t>La conexidad se sitúa en el plano del negocio o sistema en el que este inserto</w:t>
      </w:r>
      <w:r w:rsidR="00864AB4" w:rsidRPr="002A2450">
        <w:rPr>
          <w:rFonts w:ascii="ITC Avant Garde" w:hAnsi="ITC Avant Garde"/>
        </w:rPr>
        <w:t>,</w:t>
      </w:r>
      <w:r w:rsidRPr="002A2450">
        <w:rPr>
          <w:rFonts w:ascii="ITC Avant Garde" w:hAnsi="ITC Avant Garde"/>
        </w:rPr>
        <w:t xml:space="preserve"> pero no en el contrato en sí mismo</w:t>
      </w:r>
      <w:r w:rsidR="00864AB4" w:rsidRPr="002A2450">
        <w:rPr>
          <w:rFonts w:ascii="ITC Avant Garde" w:hAnsi="ITC Avant Garde"/>
        </w:rPr>
        <w:t>;</w:t>
      </w:r>
      <w:r w:rsidRPr="002A2450">
        <w:rPr>
          <w:rFonts w:ascii="ITC Avant Garde" w:hAnsi="ITC Avant Garde"/>
        </w:rPr>
        <w:t xml:space="preserve"> la conexidad mantiene unidos a los contratos pero estos conservan su autonomía</w:t>
      </w:r>
      <w:r w:rsidR="00864AB4" w:rsidRPr="002A2450">
        <w:rPr>
          <w:rFonts w:ascii="ITC Avant Garde" w:hAnsi="ITC Avant Garde"/>
        </w:rPr>
        <w:t xml:space="preserve"> desde el punto de vista jurídico</w:t>
      </w:r>
      <w:r w:rsidRPr="002A2450">
        <w:rPr>
          <w:rFonts w:ascii="ITC Avant Garde" w:hAnsi="ITC Avant Garde"/>
        </w:rPr>
        <w:t xml:space="preserve">, </w:t>
      </w:r>
      <w:r w:rsidR="00DC55B7" w:rsidRPr="002A2450">
        <w:rPr>
          <w:rFonts w:ascii="ITC Avant Garde" w:hAnsi="ITC Avant Garde"/>
        </w:rPr>
        <w:t xml:space="preserve">para lo cual se hace </w:t>
      </w:r>
      <w:r w:rsidR="00864AB4" w:rsidRPr="002A2450">
        <w:rPr>
          <w:rFonts w:ascii="ITC Avant Garde" w:hAnsi="ITC Avant Garde"/>
        </w:rPr>
        <w:t xml:space="preserve">necesario recurrir a </w:t>
      </w:r>
      <w:r w:rsidRPr="002A2450">
        <w:rPr>
          <w:rFonts w:ascii="ITC Avant Garde" w:hAnsi="ITC Avant Garde"/>
        </w:rPr>
        <w:t xml:space="preserve">la interpretación </w:t>
      </w:r>
      <w:proofErr w:type="spellStart"/>
      <w:r w:rsidRPr="002A2450">
        <w:rPr>
          <w:rFonts w:ascii="ITC Avant Garde" w:hAnsi="ITC Avant Garde"/>
        </w:rPr>
        <w:t>supracontractual</w:t>
      </w:r>
      <w:proofErr w:type="spellEnd"/>
      <w:r w:rsidRPr="002A2450">
        <w:rPr>
          <w:rFonts w:ascii="ITC Avant Garde" w:hAnsi="ITC Avant Garde"/>
        </w:rPr>
        <w:t xml:space="preserve">, </w:t>
      </w:r>
      <w:r w:rsidR="00DC55B7" w:rsidRPr="002A2450">
        <w:rPr>
          <w:rFonts w:ascii="ITC Avant Garde" w:hAnsi="ITC Avant Garde"/>
        </w:rPr>
        <w:t xml:space="preserve">a efecto de desentrañar la conexidad o intención de las partes al </w:t>
      </w:r>
      <w:r w:rsidR="00C23776" w:rsidRPr="002A2450">
        <w:rPr>
          <w:rFonts w:ascii="ITC Avant Garde" w:hAnsi="ITC Avant Garde"/>
        </w:rPr>
        <w:t>celebrarlos</w:t>
      </w:r>
      <w:r w:rsidR="00DC55B7" w:rsidRPr="002A2450">
        <w:rPr>
          <w:rFonts w:ascii="ITC Avant Garde" w:hAnsi="ITC Avant Garde"/>
        </w:rPr>
        <w:t>.</w:t>
      </w:r>
    </w:p>
    <w:p w14:paraId="741A107A" w14:textId="77777777" w:rsidR="00B35F13" w:rsidRDefault="00BF6681"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El interés</w:t>
      </w:r>
      <w:r w:rsidR="00864AB4" w:rsidRPr="002A2450">
        <w:rPr>
          <w:rFonts w:ascii="ITC Avant Garde" w:hAnsi="ITC Avant Garde"/>
          <w:b/>
        </w:rPr>
        <w:t>.</w:t>
      </w:r>
      <w:r w:rsidRPr="002A2450">
        <w:rPr>
          <w:rFonts w:ascii="ITC Avant Garde" w:hAnsi="ITC Avant Garde"/>
        </w:rPr>
        <w:t xml:space="preserve"> </w:t>
      </w:r>
      <w:r w:rsidR="00864AB4" w:rsidRPr="002A2450">
        <w:rPr>
          <w:rFonts w:ascii="ITC Avant Garde" w:hAnsi="ITC Avant Garde"/>
        </w:rPr>
        <w:t>E</w:t>
      </w:r>
      <w:r w:rsidRPr="002A2450">
        <w:rPr>
          <w:rFonts w:ascii="ITC Avant Garde" w:hAnsi="ITC Avant Garde"/>
        </w:rPr>
        <w:t>s un elemento de la conexidad, el cual es la relación de disfrute de la cosa. El titular del interés es aquel sobre cuyo patrimonio repercuten los efectos del acto para cuya obtención se procura la colaboración del otro.</w:t>
      </w:r>
      <w:r w:rsidR="009B3D9E" w:rsidRPr="002A2450">
        <w:rPr>
          <w:rFonts w:ascii="ITC Avant Garde" w:hAnsi="ITC Avant Garde"/>
        </w:rPr>
        <w:t xml:space="preserve"> El interés es el centro de unión o el cemento que une a los contratos.</w:t>
      </w:r>
    </w:p>
    <w:p w14:paraId="6DA03F04" w14:textId="77777777" w:rsidR="00B35F13" w:rsidRDefault="009B3D9E"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lastRenderedPageBreak/>
        <w:t xml:space="preserve">El principio democrático-conexidad y dominación. </w:t>
      </w:r>
      <w:r w:rsidRPr="002A2450">
        <w:rPr>
          <w:rFonts w:ascii="ITC Avant Garde" w:hAnsi="ITC Avant Garde"/>
        </w:rPr>
        <w:t>Para</w:t>
      </w:r>
      <w:r w:rsidRPr="002A2450">
        <w:rPr>
          <w:rFonts w:ascii="ITC Avant Garde" w:hAnsi="ITC Avant Garde"/>
          <w:b/>
        </w:rPr>
        <w:t xml:space="preserve"> </w:t>
      </w:r>
      <w:r w:rsidRPr="002A2450">
        <w:rPr>
          <w:rFonts w:ascii="ITC Avant Garde" w:hAnsi="ITC Avant Garde"/>
        </w:rPr>
        <w:t xml:space="preserve">identificar el interés del titular del dominio o dueño de negocio se recurre a la voluntad declarada. Pero cuando se habla de interés sistémico la noción pierde su carga subjetiva, puesto que la voluntad se independiza y funciona objetivamente. Para interpretarlo hay que recurrir al sistema y no del sujeto que le dio origen. Sin embargo, no debe perderse de vista </w:t>
      </w:r>
      <w:r w:rsidR="0028312D" w:rsidRPr="002A2450">
        <w:rPr>
          <w:rFonts w:ascii="ITC Avant Garde" w:hAnsi="ITC Avant Garde"/>
        </w:rPr>
        <w:t xml:space="preserve">que </w:t>
      </w:r>
      <w:r w:rsidRPr="002A2450">
        <w:rPr>
          <w:rFonts w:ascii="ITC Avant Garde" w:hAnsi="ITC Avant Garde"/>
        </w:rPr>
        <w:t xml:space="preserve">la conexión puede transformarse en dominación, puesto que desaparece la autonomía </w:t>
      </w:r>
      <w:proofErr w:type="spellStart"/>
      <w:r w:rsidRPr="002A2450">
        <w:rPr>
          <w:rFonts w:ascii="ITC Avant Garde" w:hAnsi="ITC Avant Garde"/>
        </w:rPr>
        <w:t>negocial</w:t>
      </w:r>
      <w:proofErr w:type="spellEnd"/>
      <w:r w:rsidRPr="002A2450">
        <w:rPr>
          <w:rFonts w:ascii="ITC Avant Garde" w:hAnsi="ITC Avant Garde"/>
        </w:rPr>
        <w:t>.</w:t>
      </w:r>
    </w:p>
    <w:p w14:paraId="51C2DD29" w14:textId="77777777" w:rsidR="00B35F13" w:rsidRDefault="009B3D9E"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El principio de coordinación</w:t>
      </w:r>
      <w:r w:rsidRPr="002A2450">
        <w:rPr>
          <w:rFonts w:ascii="ITC Avant Garde" w:hAnsi="ITC Avant Garde"/>
        </w:rPr>
        <w:t>. Deriva de la existencia conexa de contratos en torno al interés sistemático, es decir, la causa de la existencia de las obligaciones.</w:t>
      </w:r>
    </w:p>
    <w:p w14:paraId="35B7DFCA" w14:textId="77777777" w:rsidR="00B35F13" w:rsidRDefault="009B3D9E"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Equilibrio del contrato y del sistema. </w:t>
      </w:r>
      <w:r w:rsidRPr="002A2450">
        <w:rPr>
          <w:rFonts w:ascii="ITC Avant Garde" w:hAnsi="ITC Avant Garde"/>
        </w:rPr>
        <w:t xml:space="preserve">La causa objetiva, la del objeto como operación jurídica considerada por las partes es definido como la consideración, la cual si bien tiene aspectos diferentes, asumen la necesidad de una correspondencia bilateral de las prestaciones. </w:t>
      </w:r>
      <w:r w:rsidR="005F151D" w:rsidRPr="002A2450">
        <w:rPr>
          <w:rFonts w:ascii="ITC Avant Garde" w:hAnsi="ITC Avant Garde"/>
        </w:rPr>
        <w:t>Por tanto, p</w:t>
      </w:r>
      <w:r w:rsidRPr="002A2450">
        <w:rPr>
          <w:rFonts w:ascii="ITC Avant Garde" w:hAnsi="ITC Avant Garde"/>
        </w:rPr>
        <w:t>ara el mantenimiento del equilibrio contractual hay que adicionar obligaciones similares</w:t>
      </w:r>
      <w:r w:rsidR="005F151D" w:rsidRPr="002A2450">
        <w:rPr>
          <w:rFonts w:ascii="ITC Avant Garde" w:hAnsi="ITC Avant Garde"/>
        </w:rPr>
        <w:t xml:space="preserve"> para las partes</w:t>
      </w:r>
      <w:r w:rsidRPr="002A2450">
        <w:rPr>
          <w:rFonts w:ascii="ITC Avant Garde" w:hAnsi="ITC Avant Garde"/>
        </w:rPr>
        <w:t xml:space="preserve">. Luego entonces, la duración </w:t>
      </w:r>
      <w:r w:rsidR="00502F0D" w:rsidRPr="002A2450">
        <w:rPr>
          <w:rFonts w:ascii="ITC Avant Garde" w:hAnsi="ITC Avant Garde"/>
        </w:rPr>
        <w:t xml:space="preserve">es un elemento de la reciprocidad </w:t>
      </w:r>
      <w:r w:rsidR="005F151D" w:rsidRPr="002A2450">
        <w:rPr>
          <w:rFonts w:ascii="ITC Avant Garde" w:hAnsi="ITC Avant Garde"/>
        </w:rPr>
        <w:t xml:space="preserve">que </w:t>
      </w:r>
      <w:r w:rsidR="00502F0D" w:rsidRPr="002A2450">
        <w:rPr>
          <w:rFonts w:ascii="ITC Avant Garde" w:hAnsi="ITC Avant Garde"/>
        </w:rPr>
        <w:t>sirve para descalificar la posibilidad de que resulta onerosa la carga de los contratos celebrados</w:t>
      </w:r>
      <w:r w:rsidR="005F151D" w:rsidRPr="002A2450">
        <w:rPr>
          <w:rFonts w:ascii="ITC Avant Garde" w:hAnsi="ITC Avant Garde"/>
        </w:rPr>
        <w:t>. Asimismo, la existencia de la reciprocidad entre cada uno de los integrantes del sistema obedece a la racionalidad económica de la correspondencia bilateral que otorga equilibrio al sistema.</w:t>
      </w:r>
    </w:p>
    <w:p w14:paraId="2AAEC0AC" w14:textId="77777777" w:rsidR="00B35F13" w:rsidRDefault="005F151D"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Deberes colaterales. </w:t>
      </w:r>
      <w:r w:rsidRPr="002A2450">
        <w:rPr>
          <w:rFonts w:ascii="ITC Avant Garde" w:hAnsi="ITC Avant Garde"/>
        </w:rPr>
        <w:t>Cuando hay un sistema de contratos, si bien son contratos distintos, éstos no pueden convivir uno sin el otro, puesto que de otra manera no</w:t>
      </w:r>
      <w:r w:rsidR="0028312D" w:rsidRPr="002A2450">
        <w:rPr>
          <w:rFonts w:ascii="ITC Avant Garde" w:hAnsi="ITC Avant Garde"/>
        </w:rPr>
        <w:t xml:space="preserve"> funciona el sistema y fracasa.</w:t>
      </w:r>
      <w:r w:rsidRPr="002A2450">
        <w:rPr>
          <w:rFonts w:ascii="ITC Avant Garde" w:hAnsi="ITC Avant Garde"/>
        </w:rPr>
        <w:t xml:space="preserve"> Las uniones de los contratos requieren por tanto una interrelación económica y técnica para conformar el equilibrio objetivo denominado causa sistémica.</w:t>
      </w:r>
    </w:p>
    <w:p w14:paraId="6E8EEE4E" w14:textId="6A1109B8" w:rsidR="008351ED" w:rsidRPr="002A2450" w:rsidRDefault="008351ED"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El riesgo. </w:t>
      </w:r>
      <w:r w:rsidRPr="002A2450">
        <w:rPr>
          <w:rFonts w:ascii="ITC Avant Garde" w:hAnsi="ITC Avant Garde"/>
        </w:rPr>
        <w:t xml:space="preserve">En cualquier negocio contractual se busca la minimización del riesgo, por tanto, la delimitación es natural dado que las empresas no asumen todos los riesgos y por ello, cuando una parte no puede soportarlo, </w:t>
      </w:r>
      <w:r w:rsidRPr="002A2450">
        <w:rPr>
          <w:rFonts w:ascii="ITC Avant Garde" w:hAnsi="ITC Avant Garde"/>
        </w:rPr>
        <w:lastRenderedPageBreak/>
        <w:t>debe considerarse una carga mínima como derecho fundamental con el objeto de que no cause una afectación al propio sistema.</w:t>
      </w:r>
    </w:p>
    <w:p w14:paraId="75BFFC68" w14:textId="77777777" w:rsidR="00B35F13" w:rsidRDefault="0091340C" w:rsidP="00B35F13">
      <w:pPr>
        <w:pStyle w:val="Prrafodelista"/>
        <w:spacing w:before="240" w:line="360" w:lineRule="auto"/>
        <w:jc w:val="both"/>
        <w:rPr>
          <w:rFonts w:ascii="ITC Avant Garde" w:hAnsi="ITC Avant Garde"/>
        </w:rPr>
      </w:pPr>
      <w:r w:rsidRPr="002A2450">
        <w:rPr>
          <w:rFonts w:ascii="ITC Avant Garde" w:hAnsi="ITC Avant Garde"/>
        </w:rPr>
        <w:t>Es natural que las partes desde un punto de vista económico intenten disminuir el riesgo, de ahí que la creación de grupos fuertes que se impongan sobre el resto del mercado es una razón económicamente natural para la disminución de la competencia</w:t>
      </w:r>
      <w:r w:rsidR="00864AB4" w:rsidRPr="002A2450">
        <w:rPr>
          <w:rFonts w:ascii="ITC Avant Garde" w:hAnsi="ITC Avant Garde"/>
        </w:rPr>
        <w:t>,</w:t>
      </w:r>
      <w:r w:rsidRPr="002A2450">
        <w:rPr>
          <w:rFonts w:ascii="ITC Avant Garde" w:hAnsi="ITC Avant Garde"/>
        </w:rPr>
        <w:t xml:space="preserve"> puesto que dichas variables</w:t>
      </w:r>
      <w:r w:rsidR="00864AB4" w:rsidRPr="002A2450">
        <w:rPr>
          <w:rFonts w:ascii="ITC Avant Garde" w:hAnsi="ITC Avant Garde"/>
        </w:rPr>
        <w:t>,</w:t>
      </w:r>
      <w:r w:rsidRPr="002A2450">
        <w:rPr>
          <w:rFonts w:ascii="ITC Avant Garde" w:hAnsi="ITC Avant Garde"/>
        </w:rPr>
        <w:t xml:space="preserve"> de no existir el sistema de contratos, </w:t>
      </w:r>
      <w:r w:rsidR="00864AB4" w:rsidRPr="002A2450">
        <w:rPr>
          <w:rFonts w:ascii="ITC Avant Garde" w:hAnsi="ITC Avant Garde"/>
        </w:rPr>
        <w:t xml:space="preserve">se </w:t>
      </w:r>
      <w:r w:rsidRPr="002A2450">
        <w:rPr>
          <w:rFonts w:ascii="ITC Avant Garde" w:hAnsi="ITC Avant Garde"/>
        </w:rPr>
        <w:t xml:space="preserve">escaparía </w:t>
      </w:r>
      <w:r w:rsidR="00864AB4" w:rsidRPr="002A2450">
        <w:rPr>
          <w:rFonts w:ascii="ITC Avant Garde" w:hAnsi="ITC Avant Garde"/>
        </w:rPr>
        <w:t>el control si participara un solo agente en el mercado</w:t>
      </w:r>
      <w:r w:rsidRPr="002A2450">
        <w:rPr>
          <w:rFonts w:ascii="ITC Avant Garde" w:hAnsi="ITC Avant Garde"/>
        </w:rPr>
        <w:t>.</w:t>
      </w:r>
    </w:p>
    <w:p w14:paraId="6579095E" w14:textId="77777777" w:rsidR="00B35F13" w:rsidRDefault="008351ED"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Su estructura. </w:t>
      </w:r>
      <w:r w:rsidRPr="002A2450">
        <w:rPr>
          <w:rFonts w:ascii="ITC Avant Garde" w:hAnsi="ITC Avant Garde"/>
        </w:rPr>
        <w:t>Si bien la doctrina clásica asume concentraciones horizontales como verticales, la interpretación sistémica de los contratos implica que debe considerarse que todos los integrantes de un sistema realizan actividades conjuntas interactuando entre sí, imponiendo medidas de control entre empresas independientes con el objeto de llevar a cabo el objeto sistémico.</w:t>
      </w:r>
    </w:p>
    <w:p w14:paraId="3361B13A" w14:textId="77777777" w:rsidR="00B35F13" w:rsidRDefault="008351ED"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 xml:space="preserve">Técnicas de control. </w:t>
      </w:r>
      <w:r w:rsidRPr="002A2450">
        <w:rPr>
          <w:rFonts w:ascii="ITC Avant Garde" w:hAnsi="ITC Avant Garde"/>
        </w:rPr>
        <w:t>Entre estas podemos señalar:</w:t>
      </w:r>
    </w:p>
    <w:p w14:paraId="3B0BAC12" w14:textId="6F693D4D" w:rsidR="008351ED" w:rsidRPr="002A2450" w:rsidRDefault="008351ED" w:rsidP="007E623E">
      <w:pPr>
        <w:pStyle w:val="Prrafodelista"/>
        <w:numPr>
          <w:ilvl w:val="0"/>
          <w:numId w:val="17"/>
        </w:numPr>
        <w:spacing w:before="240" w:line="360" w:lineRule="auto"/>
        <w:ind w:left="1434" w:hanging="357"/>
        <w:jc w:val="both"/>
        <w:rPr>
          <w:rFonts w:ascii="ITC Avant Garde" w:hAnsi="ITC Avant Garde"/>
        </w:rPr>
      </w:pPr>
      <w:r w:rsidRPr="002A2450">
        <w:rPr>
          <w:rFonts w:ascii="ITC Avant Garde" w:hAnsi="ITC Avant Garde"/>
        </w:rPr>
        <w:t>Control contractual externo. Préstamos financieros, asistencia técnica, cesión del uso de la marca y otros vínculos que dejan libre a la sociedad controlada en su aspecto interno, pero limitan su campo de actuación, puesto que ha dejado gran parte de sus actividades a otro sujeto que pertenece a la sociedad controlante, de lo que se sig</w:t>
      </w:r>
      <w:r w:rsidR="0028312D" w:rsidRPr="002A2450">
        <w:rPr>
          <w:rFonts w:ascii="ITC Avant Garde" w:hAnsi="ITC Avant Garde"/>
        </w:rPr>
        <w:t>ue que limita su margen de auto</w:t>
      </w:r>
      <w:r w:rsidRPr="002A2450">
        <w:rPr>
          <w:rFonts w:ascii="ITC Avant Garde" w:hAnsi="ITC Avant Garde"/>
        </w:rPr>
        <w:t>determinación.</w:t>
      </w:r>
    </w:p>
    <w:p w14:paraId="49D4EFBA" w14:textId="77777777" w:rsidR="008351ED" w:rsidRPr="002A2450" w:rsidRDefault="008351ED" w:rsidP="007E623E">
      <w:pPr>
        <w:pStyle w:val="Prrafodelista"/>
        <w:numPr>
          <w:ilvl w:val="0"/>
          <w:numId w:val="17"/>
        </w:numPr>
        <w:spacing w:before="240" w:line="360" w:lineRule="auto"/>
        <w:ind w:left="1434" w:hanging="357"/>
        <w:jc w:val="both"/>
        <w:rPr>
          <w:rFonts w:ascii="ITC Avant Garde" w:hAnsi="ITC Avant Garde"/>
        </w:rPr>
      </w:pPr>
      <w:r w:rsidRPr="002A2450">
        <w:rPr>
          <w:rFonts w:ascii="ITC Avant Garde" w:hAnsi="ITC Avant Garde"/>
        </w:rPr>
        <w:t>Control societario interno. Generalmente se logra mediante participaciones societarias.</w:t>
      </w:r>
    </w:p>
    <w:p w14:paraId="08FD8D76" w14:textId="77777777" w:rsidR="008351ED" w:rsidRPr="002A2450" w:rsidRDefault="008351ED" w:rsidP="007E623E">
      <w:pPr>
        <w:pStyle w:val="Prrafodelista"/>
        <w:numPr>
          <w:ilvl w:val="0"/>
          <w:numId w:val="17"/>
        </w:numPr>
        <w:spacing w:before="240" w:line="360" w:lineRule="auto"/>
        <w:ind w:left="1434" w:hanging="357"/>
        <w:jc w:val="both"/>
        <w:rPr>
          <w:rFonts w:ascii="ITC Avant Garde" w:hAnsi="ITC Avant Garde"/>
        </w:rPr>
      </w:pPr>
      <w:r w:rsidRPr="002A2450">
        <w:rPr>
          <w:rFonts w:ascii="ITC Avant Garde" w:hAnsi="ITC Avant Garde"/>
        </w:rPr>
        <w:t xml:space="preserve">Control en el campo laboral y comercial. </w:t>
      </w:r>
      <w:r w:rsidR="0091340C" w:rsidRPr="002A2450">
        <w:rPr>
          <w:rFonts w:ascii="ITC Avant Garde" w:hAnsi="ITC Avant Garde"/>
        </w:rPr>
        <w:t>En virtud de la titularidad del interés, una de las partes concede a la otra el derecho de señalar c</w:t>
      </w:r>
      <w:r w:rsidR="00DC55B7" w:rsidRPr="002A2450">
        <w:rPr>
          <w:rFonts w:ascii="ITC Avant Garde" w:hAnsi="ITC Avant Garde"/>
        </w:rPr>
        <w:t>ó</w:t>
      </w:r>
      <w:r w:rsidR="0091340C" w:rsidRPr="002A2450">
        <w:rPr>
          <w:rFonts w:ascii="ITC Avant Garde" w:hAnsi="ITC Avant Garde"/>
        </w:rPr>
        <w:t>mo desarrollar el encargo, de ahí que exista una intromisión del titular del interés sobre la actividad de quien la realiza.</w:t>
      </w:r>
    </w:p>
    <w:p w14:paraId="0228A803" w14:textId="77777777" w:rsidR="0091340C" w:rsidRPr="002A2450" w:rsidRDefault="0091340C" w:rsidP="007E623E">
      <w:pPr>
        <w:pStyle w:val="Prrafodelista"/>
        <w:numPr>
          <w:ilvl w:val="0"/>
          <w:numId w:val="17"/>
        </w:numPr>
        <w:spacing w:before="240" w:line="360" w:lineRule="auto"/>
        <w:ind w:left="1434" w:hanging="357"/>
        <w:jc w:val="both"/>
        <w:rPr>
          <w:rFonts w:ascii="ITC Avant Garde" w:hAnsi="ITC Avant Garde"/>
        </w:rPr>
      </w:pPr>
      <w:r w:rsidRPr="002A2450">
        <w:rPr>
          <w:rFonts w:ascii="ITC Avant Garde" w:hAnsi="ITC Avant Garde"/>
        </w:rPr>
        <w:t xml:space="preserve">Control sobre los vínculos de colaboración. Referidos a las obligaciones de compra, ventas mínimas, obligación de promoción, </w:t>
      </w:r>
      <w:r w:rsidRPr="002A2450">
        <w:rPr>
          <w:rFonts w:ascii="ITC Avant Garde" w:hAnsi="ITC Avant Garde"/>
        </w:rPr>
        <w:lastRenderedPageBreak/>
        <w:t>de no concurrencia, de diseño de lo</w:t>
      </w:r>
      <w:r w:rsidR="00DC55B7" w:rsidRPr="002A2450">
        <w:rPr>
          <w:rFonts w:ascii="ITC Avant Garde" w:hAnsi="ITC Avant Garde"/>
        </w:rPr>
        <w:t>cales, supervisión contable, pré</w:t>
      </w:r>
      <w:r w:rsidRPr="002A2450">
        <w:rPr>
          <w:rFonts w:ascii="ITC Avant Garde" w:hAnsi="ITC Avant Garde"/>
        </w:rPr>
        <w:t>stamos financieros continuos que ejercen un control, entre otros.</w:t>
      </w:r>
    </w:p>
    <w:p w14:paraId="2B4192EC" w14:textId="77777777" w:rsidR="00B35F13" w:rsidRDefault="0091340C" w:rsidP="007E623E">
      <w:pPr>
        <w:pStyle w:val="Prrafodelista"/>
        <w:numPr>
          <w:ilvl w:val="0"/>
          <w:numId w:val="17"/>
        </w:numPr>
        <w:spacing w:before="240" w:line="360" w:lineRule="auto"/>
        <w:ind w:left="1434" w:hanging="357"/>
        <w:jc w:val="both"/>
        <w:rPr>
          <w:rFonts w:ascii="ITC Avant Garde" w:hAnsi="ITC Avant Garde"/>
        </w:rPr>
      </w:pPr>
      <w:r w:rsidRPr="002A2450">
        <w:rPr>
          <w:rFonts w:ascii="ITC Avant Garde" w:hAnsi="ITC Avant Garde"/>
        </w:rPr>
        <w:t>Control en las cláusulas. Como pueden ser exclusividad de compra, compra y venta recíproca, territorialidad, precio uniforme y mantenimiento o stock.</w:t>
      </w:r>
    </w:p>
    <w:p w14:paraId="6D45220B" w14:textId="77777777" w:rsidR="00B35F13" w:rsidRDefault="0091340C" w:rsidP="007E623E">
      <w:pPr>
        <w:pStyle w:val="Prrafodelista"/>
        <w:numPr>
          <w:ilvl w:val="0"/>
          <w:numId w:val="16"/>
        </w:numPr>
        <w:spacing w:before="240" w:line="360" w:lineRule="auto"/>
        <w:jc w:val="both"/>
        <w:rPr>
          <w:rFonts w:ascii="ITC Avant Garde" w:hAnsi="ITC Avant Garde"/>
        </w:rPr>
      </w:pPr>
      <w:r w:rsidRPr="002A2450">
        <w:rPr>
          <w:rFonts w:ascii="ITC Avant Garde" w:hAnsi="ITC Avant Garde"/>
          <w:b/>
        </w:rPr>
        <w:t>Derecho a la estabilidad</w:t>
      </w:r>
      <w:r w:rsidRPr="002A2450">
        <w:rPr>
          <w:rFonts w:ascii="ITC Avant Garde" w:hAnsi="ITC Avant Garde"/>
        </w:rPr>
        <w:t>. Implica no modificar de forma intempestiva o injustificadamente el vínculo que une al sistema</w:t>
      </w:r>
      <w:r w:rsidR="00E74D4B" w:rsidRPr="002A2450">
        <w:rPr>
          <w:rFonts w:ascii="ITC Avant Garde" w:hAnsi="ITC Avant Garde"/>
        </w:rPr>
        <w:t>.</w:t>
      </w:r>
      <w:r w:rsidRPr="002A2450">
        <w:rPr>
          <w:rFonts w:ascii="ITC Avant Garde" w:hAnsi="ITC Avant Garde"/>
        </w:rPr>
        <w:t xml:space="preserve"> </w:t>
      </w:r>
    </w:p>
    <w:p w14:paraId="4C9DD69B" w14:textId="77777777" w:rsidR="00B35F13" w:rsidRDefault="00681BF9" w:rsidP="00B35F13">
      <w:pPr>
        <w:spacing w:before="240" w:line="360" w:lineRule="auto"/>
        <w:jc w:val="both"/>
        <w:rPr>
          <w:rFonts w:ascii="ITC Avant Garde" w:hAnsi="ITC Avant Garde"/>
        </w:rPr>
      </w:pPr>
      <w:r w:rsidRPr="002A2450">
        <w:rPr>
          <w:rFonts w:ascii="ITC Avant Garde" w:hAnsi="ITC Avant Garde"/>
        </w:rPr>
        <w:t xml:space="preserve">En ese sentido, </w:t>
      </w:r>
      <w:r w:rsidR="00E352D9" w:rsidRPr="002A2450">
        <w:rPr>
          <w:rFonts w:ascii="ITC Avant Garde" w:hAnsi="ITC Avant Garde"/>
        </w:rPr>
        <w:t xml:space="preserve">de las características mencionadas por la doctrina, debe establecerse que </w:t>
      </w:r>
      <w:r w:rsidRPr="002A2450">
        <w:rPr>
          <w:rFonts w:ascii="ITC Avant Garde" w:hAnsi="ITC Avant Garde"/>
        </w:rPr>
        <w:t>existe una conexidad contractual cuando para la realización de un negocio único, se celebran entre las mismas partes o partes diferentes una pluralidad de contratos autónomos vinculados entre sí</w:t>
      </w:r>
      <w:r w:rsidR="00E352D9" w:rsidRPr="002A2450">
        <w:rPr>
          <w:rFonts w:ascii="ITC Avant Garde" w:hAnsi="ITC Avant Garde"/>
        </w:rPr>
        <w:t>,</w:t>
      </w:r>
      <w:r w:rsidRPr="002A2450">
        <w:rPr>
          <w:rFonts w:ascii="ITC Avant Garde" w:hAnsi="ITC Avant Garde"/>
        </w:rPr>
        <w:t xml:space="preserve"> a través de una finalidad económica </w:t>
      </w:r>
      <w:proofErr w:type="spellStart"/>
      <w:r w:rsidRPr="002A2450">
        <w:rPr>
          <w:rFonts w:ascii="ITC Avant Garde" w:hAnsi="ITC Avant Garde"/>
        </w:rPr>
        <w:t>supracontractual</w:t>
      </w:r>
      <w:proofErr w:type="spellEnd"/>
      <w:r w:rsidRPr="002A2450">
        <w:rPr>
          <w:rFonts w:ascii="ITC Avant Garde" w:hAnsi="ITC Avant Garde"/>
        </w:rPr>
        <w:t>.</w:t>
      </w:r>
    </w:p>
    <w:p w14:paraId="2B362BCC" w14:textId="77777777" w:rsidR="00B35F13" w:rsidRDefault="00681BF9" w:rsidP="00B35F13">
      <w:pPr>
        <w:spacing w:before="240" w:line="360" w:lineRule="auto"/>
        <w:jc w:val="both"/>
        <w:rPr>
          <w:rFonts w:ascii="ITC Avant Garde" w:hAnsi="ITC Avant Garde"/>
        </w:rPr>
      </w:pPr>
      <w:r w:rsidRPr="002A2450">
        <w:rPr>
          <w:rFonts w:ascii="ITC Avant Garde" w:hAnsi="ITC Avant Garde"/>
        </w:rPr>
        <w:t xml:space="preserve">Esa finalidad </w:t>
      </w:r>
      <w:proofErr w:type="spellStart"/>
      <w:r w:rsidRPr="002A2450">
        <w:rPr>
          <w:rFonts w:ascii="ITC Avant Garde" w:hAnsi="ITC Avant Garde"/>
        </w:rPr>
        <w:t>supracontractual</w:t>
      </w:r>
      <w:proofErr w:type="spellEnd"/>
      <w:r w:rsidRPr="002A2450">
        <w:rPr>
          <w:rFonts w:ascii="ITC Avant Garde" w:hAnsi="ITC Avant Garde"/>
        </w:rPr>
        <w:t xml:space="preserve"> constituye la razón de unión de varios contratos en un sistema de manera</w:t>
      </w:r>
      <w:r w:rsidR="004170E4" w:rsidRPr="002A2450">
        <w:rPr>
          <w:rFonts w:ascii="ITC Avant Garde" w:hAnsi="ITC Avant Garde"/>
        </w:rPr>
        <w:t xml:space="preserve"> que si se desequilibra </w:t>
      </w:r>
      <w:r w:rsidR="00DC55B7" w:rsidRPr="002A2450">
        <w:rPr>
          <w:rFonts w:ascii="ITC Avant Garde" w:hAnsi="ITC Avant Garde"/>
        </w:rPr>
        <w:t xml:space="preserve">alguno de ellos </w:t>
      </w:r>
      <w:r w:rsidR="004170E4" w:rsidRPr="002A2450">
        <w:rPr>
          <w:rFonts w:ascii="ITC Avant Garde" w:hAnsi="ITC Avant Garde"/>
        </w:rPr>
        <w:t xml:space="preserve">afecta a </w:t>
      </w:r>
      <w:r w:rsidRPr="002A2450">
        <w:rPr>
          <w:rFonts w:ascii="ITC Avant Garde" w:hAnsi="ITC Avant Garde"/>
        </w:rPr>
        <w:t>todo un sistema y no sólo a un contrato, de ahí que puedan existir contratos asociativos y/o interdependientes que no necesariamente deben constituir una nueva persona jurídica, puesto que al existir conexión entre los contratos, se unifica para</w:t>
      </w:r>
      <w:r w:rsidR="0028312D" w:rsidRPr="002A2450">
        <w:rPr>
          <w:rFonts w:ascii="ITC Avant Garde" w:hAnsi="ITC Avant Garde"/>
        </w:rPr>
        <w:t xml:space="preserve"> la</w:t>
      </w:r>
      <w:r w:rsidRPr="002A2450">
        <w:rPr>
          <w:rFonts w:ascii="ITC Avant Garde" w:hAnsi="ITC Avant Garde"/>
        </w:rPr>
        <w:t xml:space="preserve"> consecución de un interés común.</w:t>
      </w:r>
    </w:p>
    <w:p w14:paraId="69C718FA" w14:textId="77777777" w:rsidR="00B35F13" w:rsidRDefault="00E352D9" w:rsidP="00B35F13">
      <w:pPr>
        <w:spacing w:before="240" w:line="360" w:lineRule="auto"/>
        <w:jc w:val="both"/>
        <w:rPr>
          <w:rFonts w:ascii="ITC Avant Garde" w:hAnsi="ITC Avant Garde"/>
        </w:rPr>
      </w:pPr>
      <w:r w:rsidRPr="002A2450">
        <w:rPr>
          <w:rFonts w:ascii="ITC Avant Garde" w:hAnsi="ITC Avant Garde"/>
        </w:rPr>
        <w:t>Con</w:t>
      </w:r>
      <w:r w:rsidR="00681BF9" w:rsidRPr="002A2450">
        <w:rPr>
          <w:rFonts w:ascii="ITC Avant Garde" w:hAnsi="ITC Avant Garde"/>
        </w:rPr>
        <w:t xml:space="preserve"> lo anterior, se puede advertir que los grupos de sociedades se establecen entre sujetos jurídicamente independientes, dotados de su propia individualidad, en donde en ocasiones existe un sistema consensual de toma de decisiones y/o en su caso, una unidad de dirección </w:t>
      </w:r>
      <w:r w:rsidR="0028312D" w:rsidRPr="002A2450">
        <w:rPr>
          <w:rFonts w:ascii="ITC Avant Garde" w:hAnsi="ITC Avant Garde"/>
        </w:rPr>
        <w:t>(</w:t>
      </w:r>
      <w:proofErr w:type="spellStart"/>
      <w:r w:rsidR="0028312D" w:rsidRPr="002A2450">
        <w:rPr>
          <w:rFonts w:ascii="ITC Avant Garde" w:hAnsi="ITC Avant Garde"/>
        </w:rPr>
        <w:t>supracontractual</w:t>
      </w:r>
      <w:proofErr w:type="spellEnd"/>
      <w:r w:rsidR="0028312D" w:rsidRPr="002A2450">
        <w:rPr>
          <w:rFonts w:ascii="ITC Avant Garde" w:hAnsi="ITC Avant Garde"/>
        </w:rPr>
        <w:t xml:space="preserve">) </w:t>
      </w:r>
      <w:r w:rsidR="00681BF9" w:rsidRPr="002A2450">
        <w:rPr>
          <w:rFonts w:ascii="ITC Avant Garde" w:hAnsi="ITC Avant Garde"/>
        </w:rPr>
        <w:t>que da vida a la naturaleza contractual entre las sociedades.</w:t>
      </w:r>
    </w:p>
    <w:p w14:paraId="68DDCFF7" w14:textId="77777777" w:rsidR="00B35F13" w:rsidRDefault="00681BF9" w:rsidP="00B35F13">
      <w:pPr>
        <w:spacing w:before="240" w:line="360" w:lineRule="auto"/>
        <w:jc w:val="both"/>
        <w:rPr>
          <w:rFonts w:ascii="ITC Avant Garde" w:hAnsi="ITC Avant Garde"/>
        </w:rPr>
      </w:pPr>
      <w:r w:rsidRPr="002A2450">
        <w:rPr>
          <w:rFonts w:ascii="ITC Avant Garde" w:hAnsi="ITC Avant Garde"/>
        </w:rPr>
        <w:t>En ese sentido, la ordenación de factores productivos para intervenir en el mercado se puede traducir en la presentación de sujetos independientes que se coordinan para el alcance o consecución del objetivo del interés del grupo</w:t>
      </w:r>
      <w:r w:rsidR="000961AF" w:rsidRPr="002A2450">
        <w:rPr>
          <w:rFonts w:ascii="ITC Avant Garde" w:hAnsi="ITC Avant Garde"/>
        </w:rPr>
        <w:t xml:space="preserve">, esto es, no teniendo el grupo personalidad jurídica, no siendo un sujeto de derecho, no existe la posibilidad de imputar ese interés a persona alguna de manera directa, sin </w:t>
      </w:r>
      <w:r w:rsidR="000961AF" w:rsidRPr="002A2450">
        <w:rPr>
          <w:rFonts w:ascii="ITC Avant Garde" w:hAnsi="ITC Avant Garde"/>
        </w:rPr>
        <w:lastRenderedPageBreak/>
        <w:t>embargo, existe la posibilidad de imputar ese interés a quienes conforman el grupo bajo el seguimiento del fin común.</w:t>
      </w:r>
    </w:p>
    <w:p w14:paraId="70BCEC85" w14:textId="77777777" w:rsidR="00B35F13" w:rsidRDefault="000961AF" w:rsidP="00B35F13">
      <w:pPr>
        <w:spacing w:before="240" w:line="360" w:lineRule="auto"/>
        <w:jc w:val="both"/>
        <w:rPr>
          <w:rFonts w:ascii="ITC Avant Garde" w:hAnsi="ITC Avant Garde"/>
        </w:rPr>
      </w:pPr>
      <w:r w:rsidRPr="002A2450">
        <w:rPr>
          <w:rFonts w:ascii="ITC Avant Garde" w:hAnsi="ITC Avant Garde"/>
        </w:rPr>
        <w:t xml:space="preserve">Lo anterior, ya que efectivamente el interés no es un derecho ni deriva de una relación jurídica, sino que deriva de una de sus acepciones, </w:t>
      </w:r>
      <w:r w:rsidR="00E352D9" w:rsidRPr="002A2450">
        <w:rPr>
          <w:rFonts w:ascii="ITC Avant Garde" w:hAnsi="ITC Avant Garde"/>
        </w:rPr>
        <w:t xml:space="preserve">esto es, </w:t>
      </w:r>
      <w:r w:rsidR="004C00BE" w:rsidRPr="002A2450">
        <w:rPr>
          <w:rFonts w:ascii="ITC Avant Garde" w:hAnsi="ITC Avant Garde"/>
        </w:rPr>
        <w:t>la capacidad de hecho o de derecho para participar o incidir, a través de cualquier medio, mecanismo o forma, en la operación o</w:t>
      </w:r>
      <w:r w:rsidR="00C50FB3" w:rsidRPr="002A2450">
        <w:rPr>
          <w:rFonts w:ascii="ITC Avant Garde" w:hAnsi="ITC Avant Garde"/>
        </w:rPr>
        <w:t xml:space="preserve"> ejercicio de</w:t>
      </w:r>
      <w:r w:rsidR="004C00BE" w:rsidRPr="002A2450">
        <w:rPr>
          <w:rFonts w:ascii="ITC Avant Garde" w:hAnsi="ITC Avant Garde"/>
        </w:rPr>
        <w:t xml:space="preserve"> los derechos derivados de una concesión otorgada por la autoridad competente para prestar servicios de televisión al público en cualquiera de sus modalidades. </w:t>
      </w:r>
    </w:p>
    <w:p w14:paraId="6BDCE369" w14:textId="77777777" w:rsidR="00B35F13" w:rsidRDefault="000961AF" w:rsidP="00B35F13">
      <w:pPr>
        <w:spacing w:before="240" w:line="360" w:lineRule="auto"/>
        <w:jc w:val="both"/>
        <w:rPr>
          <w:rFonts w:ascii="ITC Avant Garde" w:hAnsi="ITC Avant Garde"/>
        </w:rPr>
      </w:pPr>
      <w:r w:rsidRPr="002A2450">
        <w:rPr>
          <w:rFonts w:ascii="ITC Avant Garde" w:hAnsi="ITC Avant Garde"/>
        </w:rPr>
        <w:t>No tiene sentido hablar de interés de grupo cuando se niega la existencia misma del sujeto interesado.</w:t>
      </w:r>
      <w:r w:rsidRPr="002A2450">
        <w:rPr>
          <w:rStyle w:val="Refdenotaalpie"/>
          <w:rFonts w:ascii="ITC Avant Garde" w:hAnsi="ITC Avant Garde"/>
        </w:rPr>
        <w:footnoteReference w:id="33"/>
      </w:r>
      <w:r w:rsidRPr="002A2450">
        <w:rPr>
          <w:rFonts w:ascii="ITC Avant Garde" w:hAnsi="ITC Avant Garde"/>
        </w:rPr>
        <w:t xml:space="preserve"> Se identifica el interés de grupo como un interés supraindividual del que participan los sujetos agrupados.</w:t>
      </w:r>
    </w:p>
    <w:p w14:paraId="54B2061E" w14:textId="77777777" w:rsidR="00B35F13" w:rsidRDefault="000961AF" w:rsidP="00B35F13">
      <w:pPr>
        <w:spacing w:before="240" w:line="360" w:lineRule="auto"/>
        <w:jc w:val="both"/>
        <w:rPr>
          <w:rFonts w:ascii="ITC Avant Garde" w:hAnsi="ITC Avant Garde"/>
        </w:rPr>
      </w:pPr>
      <w:r w:rsidRPr="002A2450">
        <w:rPr>
          <w:rFonts w:ascii="ITC Avant Garde" w:hAnsi="ITC Avant Garde"/>
        </w:rPr>
        <w:t>Estos grupos de hecho, serán todos aquellos que no están reconocidos por el ordenamiento jurídico</w:t>
      </w:r>
      <w:r w:rsidR="00645C79" w:rsidRPr="002A2450">
        <w:rPr>
          <w:rFonts w:ascii="ITC Avant Garde" w:hAnsi="ITC Avant Garde"/>
        </w:rPr>
        <w:t xml:space="preserve">, en tanto que la situación entre sí se hallan en las sociedades agrupadas con independencia </w:t>
      </w:r>
      <w:r w:rsidR="00F46F2A" w:rsidRPr="002A2450">
        <w:rPr>
          <w:rFonts w:ascii="ITC Avant Garde" w:hAnsi="ITC Avant Garde"/>
        </w:rPr>
        <w:t xml:space="preserve">de </w:t>
      </w:r>
      <w:r w:rsidR="00645C79" w:rsidRPr="002A2450">
        <w:rPr>
          <w:rFonts w:ascii="ITC Avant Garde" w:hAnsi="ITC Avant Garde"/>
        </w:rPr>
        <w:t>que exista un contrato entre sociedades que legitime y/o regula la dirección que tienen dichas empresas.</w:t>
      </w:r>
    </w:p>
    <w:p w14:paraId="6BC371F1" w14:textId="77777777" w:rsidR="00B35F13" w:rsidRDefault="00645C79" w:rsidP="00B35F13">
      <w:pPr>
        <w:spacing w:before="240" w:line="360" w:lineRule="auto"/>
        <w:jc w:val="both"/>
        <w:rPr>
          <w:rFonts w:ascii="ITC Avant Garde" w:hAnsi="ITC Avant Garde"/>
        </w:rPr>
      </w:pPr>
      <w:r w:rsidRPr="002A2450">
        <w:rPr>
          <w:rFonts w:ascii="ITC Avant Garde" w:hAnsi="ITC Avant Garde"/>
        </w:rPr>
        <w:t>Algunos de los elementos objetivos de esta clase de grupos es precisamente que los contratos determinarán la posición relativa que cada sociedad ocupara en el grupo, dónde las compensaciones son mayores al sacrificio que tienen que hacer algunas partes del grupo para disfrutar del beneficio que representa el interés común.</w:t>
      </w:r>
    </w:p>
    <w:p w14:paraId="7A4475E6" w14:textId="77777777" w:rsidR="00B35F13" w:rsidRDefault="00645C79" w:rsidP="00B35F13">
      <w:pPr>
        <w:spacing w:before="240" w:line="360" w:lineRule="auto"/>
        <w:jc w:val="both"/>
        <w:rPr>
          <w:rFonts w:ascii="ITC Avant Garde" w:hAnsi="ITC Avant Garde"/>
        </w:rPr>
      </w:pPr>
      <w:r w:rsidRPr="002A2450">
        <w:rPr>
          <w:rFonts w:ascii="ITC Avant Garde" w:hAnsi="ITC Avant Garde"/>
        </w:rPr>
        <w:t>Al respecto, debe señalarse que si bien no existe una personificación jurídica en los grupos de sociedades,</w:t>
      </w:r>
      <w:r w:rsidR="00DC55B7" w:rsidRPr="002A2450">
        <w:rPr>
          <w:rFonts w:ascii="ITC Avant Garde" w:hAnsi="ITC Avant Garde"/>
        </w:rPr>
        <w:t xml:space="preserve"> ésta </w:t>
      </w:r>
      <w:r w:rsidRPr="002A2450">
        <w:rPr>
          <w:rFonts w:ascii="ITC Avant Garde" w:hAnsi="ITC Avant Garde"/>
        </w:rPr>
        <w:t xml:space="preserve">se realiza de manera interna, es decir, cada uno de los miembros actúa bajo su propio nombre frente a terceros, sin embargo, frente a su compañeros o miembros del grupo tienen obligaciones propias de un miembro de </w:t>
      </w:r>
      <w:r w:rsidRPr="002A2450">
        <w:rPr>
          <w:rFonts w:ascii="ITC Avant Garde" w:hAnsi="ITC Avant Garde"/>
        </w:rPr>
        <w:lastRenderedPageBreak/>
        <w:t xml:space="preserve">la sociedad, esto es, la sociedad a la que se le atribuye el poder de dirección hará las veces de una sociedad matriz, pero sólo en sentido de hecho, puesto que formalmente no existe un elemento objetivo que permita así desentrañarlo, por lo que es necesario observar el sistema en su conjunto, donde la legitimación se demuestra a través de la gestión </w:t>
      </w:r>
      <w:r w:rsidR="00282470" w:rsidRPr="002A2450">
        <w:rPr>
          <w:rFonts w:ascii="ITC Avant Garde" w:hAnsi="ITC Avant Garde"/>
        </w:rPr>
        <w:t>basada en vías de hecho, donde todas las sociedades comparten una función como parte del sistema al que se encuentran adheridos, dónde los grupos informales son parte de los elementos objetivos de coordinación.</w:t>
      </w:r>
    </w:p>
    <w:p w14:paraId="588146D8" w14:textId="77777777" w:rsidR="00B35F13" w:rsidRDefault="00282470" w:rsidP="00B35F13">
      <w:pPr>
        <w:spacing w:before="240" w:line="360" w:lineRule="auto"/>
        <w:jc w:val="both"/>
        <w:rPr>
          <w:rFonts w:ascii="ITC Avant Garde" w:hAnsi="ITC Avant Garde"/>
        </w:rPr>
      </w:pPr>
      <w:r w:rsidRPr="002A2450">
        <w:rPr>
          <w:rFonts w:ascii="ITC Avant Garde" w:hAnsi="ITC Avant Garde"/>
        </w:rPr>
        <w:t>Estas relaciones escapan de la doctrina clásica de la dirección unitaria sostenida por el Derecho Alemán y el control, obtenido del Derecho Anglosajón, puesto que los controles de los grupos de sociedades de hecho operan al amparo de las nuevas relaciones entre sociedades, dónde se reitera que no existe una personificación jurídica,</w:t>
      </w:r>
      <w:r w:rsidR="008F718E" w:rsidRPr="009E34A4">
        <w:rPr>
          <w:rFonts w:ascii="ITC Avant Garde" w:hAnsi="ITC Avant Garde"/>
          <w:color w:val="C00000"/>
        </w:rPr>
        <w:t xml:space="preserve"> </w:t>
      </w:r>
      <w:r w:rsidRPr="002A2450">
        <w:rPr>
          <w:rFonts w:ascii="ITC Avant Garde" w:hAnsi="ITC Avant Garde"/>
        </w:rPr>
        <w:t xml:space="preserve">pero si un sistema contractual de acciones coordinadas. </w:t>
      </w:r>
    </w:p>
    <w:p w14:paraId="5D006875" w14:textId="77777777" w:rsidR="00B35F13" w:rsidRDefault="00282470" w:rsidP="00B35F13">
      <w:pPr>
        <w:spacing w:before="240" w:line="360" w:lineRule="auto"/>
        <w:jc w:val="both"/>
        <w:rPr>
          <w:rFonts w:ascii="ITC Avant Garde" w:hAnsi="ITC Avant Garde"/>
        </w:rPr>
      </w:pPr>
      <w:r w:rsidRPr="002A2450">
        <w:rPr>
          <w:rFonts w:ascii="ITC Avant Garde" w:hAnsi="ITC Avant Garde"/>
        </w:rPr>
        <w:t>Dichas relaciones corresponden a nuevas formas de ingeniería societaria dónde no se pone en jueg</w:t>
      </w:r>
      <w:r w:rsidR="003C537A" w:rsidRPr="002A2450">
        <w:rPr>
          <w:rFonts w:ascii="ITC Avant Garde" w:hAnsi="ITC Avant Garde"/>
        </w:rPr>
        <w:t xml:space="preserve">o la independencia económica, sino que se realiza al amparo de la realización conjunta de acciones entre las empresas como un todo, </w:t>
      </w:r>
      <w:r w:rsidR="002D440E" w:rsidRPr="002A2450">
        <w:rPr>
          <w:rFonts w:ascii="ITC Avant Garde" w:hAnsi="ITC Avant Garde"/>
        </w:rPr>
        <w:t>como una forma de competir en el mercado, dónde se excluye la fusión entre las empresas, librando técnicas contractuales clásicas del derecho, que les permite lograr objetivos equiparables a los alcanzados mediante una concentración.</w:t>
      </w:r>
      <w:r w:rsidR="002D440E" w:rsidRPr="002A2450">
        <w:rPr>
          <w:rStyle w:val="Refdenotaalpie"/>
          <w:rFonts w:ascii="ITC Avant Garde" w:hAnsi="ITC Avant Garde"/>
        </w:rPr>
        <w:footnoteReference w:id="34"/>
      </w:r>
    </w:p>
    <w:p w14:paraId="66B44AFE" w14:textId="77777777" w:rsidR="00B35F13" w:rsidRDefault="002D440E" w:rsidP="00B35F13">
      <w:pPr>
        <w:spacing w:before="240" w:line="360" w:lineRule="auto"/>
        <w:jc w:val="both"/>
        <w:rPr>
          <w:rFonts w:ascii="ITC Avant Garde" w:hAnsi="ITC Avant Garde"/>
        </w:rPr>
      </w:pPr>
      <w:r w:rsidRPr="002A2450">
        <w:rPr>
          <w:rFonts w:ascii="ITC Avant Garde" w:hAnsi="ITC Avant Garde"/>
        </w:rPr>
        <w:t>De ahí que un conjunto de acciones conscientes y deliberadas realizadas por dos o más empresas, entre las que no existe relación de subordinación, que optan por coordinar sus independencias, a través de mecanismos que las vinculan en mayor medida que la relación de mercado, sin que se instaure entre ellas una relación jerárquica como la existente en una empresa, para obtener un beneficio mutuo, es precisamente esta relación cooperativa entre sujetos.</w:t>
      </w:r>
    </w:p>
    <w:p w14:paraId="04E00822" w14:textId="77777777" w:rsidR="00B35F13" w:rsidRDefault="002D440E" w:rsidP="00B35F13">
      <w:pPr>
        <w:spacing w:before="240" w:line="360" w:lineRule="auto"/>
        <w:jc w:val="both"/>
        <w:rPr>
          <w:rFonts w:ascii="ITC Avant Garde" w:hAnsi="ITC Avant Garde"/>
        </w:rPr>
      </w:pPr>
      <w:r w:rsidRPr="002A2450">
        <w:rPr>
          <w:rFonts w:ascii="ITC Avant Garde" w:hAnsi="ITC Avant Garde"/>
        </w:rPr>
        <w:lastRenderedPageBreak/>
        <w:t>Por tanto, el incumplimiento de estos contratos lleva a la frustración perseguid</w:t>
      </w:r>
      <w:r w:rsidR="004170E4" w:rsidRPr="002A2450">
        <w:rPr>
          <w:rFonts w:ascii="ITC Avant Garde" w:hAnsi="ITC Avant Garde"/>
        </w:rPr>
        <w:t>a</w:t>
      </w:r>
      <w:r w:rsidRPr="002A2450">
        <w:rPr>
          <w:rFonts w:ascii="ITC Avant Garde" w:hAnsi="ITC Avant Garde"/>
        </w:rPr>
        <w:t xml:space="preserve"> por </w:t>
      </w:r>
      <w:r w:rsidR="004170E4" w:rsidRPr="002A2450">
        <w:rPr>
          <w:rFonts w:ascii="ITC Avant Garde" w:hAnsi="ITC Avant Garde"/>
        </w:rPr>
        <w:t xml:space="preserve">las </w:t>
      </w:r>
      <w:r w:rsidRPr="002A2450">
        <w:rPr>
          <w:rFonts w:ascii="ITC Avant Garde" w:hAnsi="ITC Avant Garde"/>
        </w:rPr>
        <w:t>partes, de ahí nuevamente que el interés económico está relacionado con la obligación y el cumplimiento de los contratos.</w:t>
      </w:r>
      <w:r w:rsidRPr="002A2450">
        <w:rPr>
          <w:rStyle w:val="Refdenotaalpie"/>
          <w:rFonts w:ascii="ITC Avant Garde" w:hAnsi="ITC Avant Garde"/>
        </w:rPr>
        <w:footnoteReference w:id="35"/>
      </w:r>
    </w:p>
    <w:p w14:paraId="4906417F" w14:textId="77777777" w:rsidR="00B35F13" w:rsidRDefault="00B36601" w:rsidP="00B35F13">
      <w:pPr>
        <w:spacing w:before="240" w:line="360" w:lineRule="auto"/>
        <w:jc w:val="both"/>
        <w:rPr>
          <w:rFonts w:ascii="ITC Avant Garde" w:hAnsi="ITC Avant Garde"/>
        </w:rPr>
      </w:pPr>
      <w:r w:rsidRPr="002A2450">
        <w:rPr>
          <w:rFonts w:ascii="ITC Avant Garde" w:hAnsi="ITC Avant Garde"/>
        </w:rPr>
        <w:t>Lo anterior es plausible</w:t>
      </w:r>
      <w:r w:rsidR="00E352D9" w:rsidRPr="002A2450">
        <w:rPr>
          <w:rFonts w:ascii="ITC Avant Garde" w:hAnsi="ITC Avant Garde"/>
        </w:rPr>
        <w:t>,</w:t>
      </w:r>
      <w:r w:rsidRPr="002A2450">
        <w:rPr>
          <w:rFonts w:ascii="ITC Avant Garde" w:hAnsi="ITC Avant Garde"/>
        </w:rPr>
        <w:t xml:space="preserve"> </w:t>
      </w:r>
      <w:r w:rsidR="00E352D9" w:rsidRPr="002A2450">
        <w:rPr>
          <w:rFonts w:ascii="ITC Avant Garde" w:hAnsi="ITC Avant Garde"/>
        </w:rPr>
        <w:t>ya que la pluralidad de empresas, implica desde el punto de vista técnico-económico, administrativo y jurídico, la posibilidad de resolver mediante organizaciones autónomas (desde el punto de vista jurídico, no pierden su individualidad y personalidad jurídica), la generación de una rentabilidad o utilidad.</w:t>
      </w:r>
      <w:r w:rsidR="00E352D9" w:rsidRPr="002A2450">
        <w:rPr>
          <w:rStyle w:val="Refdenotaalpie"/>
          <w:rFonts w:ascii="ITC Avant Garde" w:hAnsi="ITC Avant Garde"/>
        </w:rPr>
        <w:footnoteReference w:id="36"/>
      </w:r>
    </w:p>
    <w:p w14:paraId="219AAAF2" w14:textId="77777777" w:rsidR="00B35F13" w:rsidRDefault="00E352D9" w:rsidP="00B35F13">
      <w:pPr>
        <w:spacing w:before="240" w:line="360" w:lineRule="auto"/>
        <w:jc w:val="both"/>
        <w:rPr>
          <w:rFonts w:ascii="ITC Avant Garde" w:hAnsi="ITC Avant Garde"/>
        </w:rPr>
      </w:pPr>
      <w:r w:rsidRPr="002A2450">
        <w:rPr>
          <w:rFonts w:ascii="ITC Avant Garde" w:hAnsi="ITC Avant Garde"/>
        </w:rPr>
        <w:t xml:space="preserve">En tales consideraciones, dada la concepción de esta cooperación entre empresas para el establecimiento de diversos contratos </w:t>
      </w:r>
      <w:r w:rsidR="00F173C1" w:rsidRPr="002A2450">
        <w:rPr>
          <w:rFonts w:ascii="ITC Avant Garde" w:hAnsi="ITC Avant Garde"/>
        </w:rPr>
        <w:t>y la consecución de un interés común, puede existir de hecho que la celebración de este tipo de contratos otorgue a una de las partes la posibilidad de que las empresas adquieran esquemas de controlada y controlante, dónde adicional a las características señaladas, puedan darse otras como la supervisión y la comprobación, dónde la primera surge como una competencia residual de la controlante y la segunda, como la facultad de comprobar la certeza y realidad de las operaciones entre las sociedades vinculadas.</w:t>
      </w:r>
    </w:p>
    <w:p w14:paraId="2C1319E0" w14:textId="77777777" w:rsidR="00B35F13" w:rsidRDefault="00FD3D85" w:rsidP="00B35F13">
      <w:pPr>
        <w:spacing w:before="240" w:line="360" w:lineRule="auto"/>
        <w:jc w:val="both"/>
        <w:rPr>
          <w:rFonts w:ascii="ITC Avant Garde" w:hAnsi="ITC Avant Garde"/>
        </w:rPr>
      </w:pPr>
      <w:r w:rsidRPr="002A2450">
        <w:rPr>
          <w:rFonts w:ascii="ITC Avant Garde" w:hAnsi="ITC Avant Garde"/>
        </w:rPr>
        <w:t xml:space="preserve">Asimismo, es innegable que la conformación de este tipo de grupos de sociedades asociadas por el interés común de las partes, tenga por efecto que exista la posibilidad de controlar las formas de producción y/o prestación de un servicio, tan es así que las cláusulas de no competencia, son elementos objetivos que permiten establecer garantías mínimas como un síntoma de la prosperidad del negocio, que </w:t>
      </w:r>
      <w:r w:rsidRPr="002A2450">
        <w:rPr>
          <w:rFonts w:ascii="ITC Avant Garde" w:hAnsi="ITC Avant Garde"/>
        </w:rPr>
        <w:lastRenderedPageBreak/>
        <w:t>sumado a las facultades de comprobación y supervisión, da como resultado la posibilidad de una función reguladora entre las partes.</w:t>
      </w:r>
    </w:p>
    <w:p w14:paraId="394A9B09" w14:textId="77777777" w:rsidR="00B35F13" w:rsidRDefault="00FD3D85" w:rsidP="00B35F13">
      <w:pPr>
        <w:spacing w:before="240" w:line="360" w:lineRule="auto"/>
        <w:jc w:val="both"/>
        <w:rPr>
          <w:rFonts w:ascii="ITC Avant Garde" w:hAnsi="ITC Avant Garde"/>
        </w:rPr>
      </w:pPr>
      <w:r w:rsidRPr="002A2450">
        <w:rPr>
          <w:rFonts w:ascii="ITC Avant Garde" w:hAnsi="ITC Avant Garde"/>
        </w:rPr>
        <w:t>Todo lo anterior, en cierta manera es permitido siempre y cuando no se infrinja la norma, puesto que desde el punto de vista de la competencia económica, las mejoras (eficiencias) provocan un cambio que caracteriza a un competidor respecto del resto, pero en ocasiones, pueden suscitarse estas asociaciones entre empresas derivadas de la formación de un cúmulo de contratos vinculados que permiten o pueden permitir la obstaculización de los competidores (interferencias) o en ocasiones, el aprovechamiento del esfuerzo ajeno (parasitismo).</w:t>
      </w:r>
      <w:r w:rsidR="00BB258A" w:rsidRPr="002A2450">
        <w:rPr>
          <w:rStyle w:val="Refdenotaalpie"/>
          <w:rFonts w:ascii="ITC Avant Garde" w:hAnsi="ITC Avant Garde"/>
        </w:rPr>
        <w:footnoteReference w:id="37"/>
      </w:r>
    </w:p>
    <w:p w14:paraId="3C9DE293" w14:textId="77777777" w:rsidR="00B35F13" w:rsidRDefault="00FD3D85" w:rsidP="00B35F13">
      <w:pPr>
        <w:spacing w:before="240" w:line="360" w:lineRule="auto"/>
        <w:jc w:val="both"/>
        <w:rPr>
          <w:rFonts w:ascii="ITC Avant Garde" w:hAnsi="ITC Avant Garde"/>
        </w:rPr>
      </w:pPr>
      <w:r w:rsidRPr="002A2450">
        <w:rPr>
          <w:rFonts w:ascii="ITC Avant Garde" w:hAnsi="ITC Avant Garde"/>
        </w:rPr>
        <w:t xml:space="preserve">Cabe detenernos en este punto para establecer que en el presente procedimiento no se pretende declarar o no los efectos que los contratos tienen en el mercado, pero dicha concepción nos permite </w:t>
      </w:r>
      <w:r w:rsidR="00F63C9C" w:rsidRPr="002A2450">
        <w:rPr>
          <w:rFonts w:ascii="ITC Avant Garde" w:hAnsi="ITC Avant Garde"/>
        </w:rPr>
        <w:t xml:space="preserve">esquematizar como los contratos vinculados pueden consolidar el último elemento en mención, esto es, el </w:t>
      </w:r>
      <w:r w:rsidR="00F63C9C" w:rsidRPr="002A2450">
        <w:rPr>
          <w:rFonts w:ascii="ITC Avant Garde" w:hAnsi="ITC Avant Garde"/>
          <w:i/>
        </w:rPr>
        <w:t>“agente parásito”</w:t>
      </w:r>
      <w:r w:rsidR="00F63C9C" w:rsidRPr="002A2450">
        <w:rPr>
          <w:rFonts w:ascii="ITC Avant Garde" w:hAnsi="ITC Avant Garde"/>
        </w:rPr>
        <w:t>.</w:t>
      </w:r>
    </w:p>
    <w:p w14:paraId="67186C4D" w14:textId="77777777" w:rsidR="00B35F13" w:rsidRDefault="00F63C9C" w:rsidP="00B35F13">
      <w:pPr>
        <w:spacing w:before="240" w:line="360" w:lineRule="auto"/>
        <w:jc w:val="both"/>
        <w:rPr>
          <w:rFonts w:ascii="ITC Avant Garde" w:hAnsi="ITC Avant Garde"/>
        </w:rPr>
      </w:pPr>
      <w:r w:rsidRPr="002A2450">
        <w:rPr>
          <w:rFonts w:ascii="ITC Avant Garde" w:hAnsi="ITC Avant Garde"/>
        </w:rPr>
        <w:t xml:space="preserve">Al respecto, se ha señalado que el conjunto sistémico de contratos es un elemento objetivo del interés común entre las partes, sin embargo, puede haber ocasiones dónde estos intereses comunes se trastocan de tal manera que pueden llegar a que una de las partes ceda </w:t>
      </w:r>
      <w:r w:rsidR="00AA0622" w:rsidRPr="002A2450">
        <w:rPr>
          <w:rFonts w:ascii="ITC Avant Garde" w:hAnsi="ITC Avant Garde"/>
        </w:rPr>
        <w:t xml:space="preserve">en gran parte </w:t>
      </w:r>
      <w:r w:rsidR="00113C8F" w:rsidRPr="002A2450">
        <w:rPr>
          <w:rFonts w:ascii="ITC Avant Garde" w:hAnsi="ITC Avant Garde"/>
        </w:rPr>
        <w:t xml:space="preserve">las actividades que </w:t>
      </w:r>
      <w:r w:rsidR="00113C8F" w:rsidRPr="002A2450">
        <w:rPr>
          <w:rFonts w:ascii="ITC Avant Garde" w:hAnsi="ITC Avant Garde"/>
          <w:i/>
        </w:rPr>
        <w:t>per se</w:t>
      </w:r>
      <w:r w:rsidR="00113C8F" w:rsidRPr="002A2450">
        <w:rPr>
          <w:rFonts w:ascii="ITC Avant Garde" w:hAnsi="ITC Avant Garde"/>
        </w:rPr>
        <w:t xml:space="preserve"> tiene intrínsecas </w:t>
      </w:r>
      <w:r w:rsidR="00FA1314" w:rsidRPr="002A2450">
        <w:rPr>
          <w:rFonts w:ascii="ITC Avant Garde" w:hAnsi="ITC Avant Garde"/>
        </w:rPr>
        <w:t xml:space="preserve">en </w:t>
      </w:r>
      <w:r w:rsidR="00113C8F" w:rsidRPr="002A2450">
        <w:rPr>
          <w:rFonts w:ascii="ITC Avant Garde" w:hAnsi="ITC Avant Garde"/>
        </w:rPr>
        <w:t>una actividad económica</w:t>
      </w:r>
      <w:r w:rsidR="00FA1314" w:rsidRPr="002A2450">
        <w:rPr>
          <w:rFonts w:ascii="ITC Avant Garde" w:hAnsi="ITC Avant Garde"/>
        </w:rPr>
        <w:t xml:space="preserve"> </w:t>
      </w:r>
      <w:r w:rsidR="00DC55B7" w:rsidRPr="002A2450">
        <w:rPr>
          <w:rFonts w:ascii="ITC Avant Garde" w:hAnsi="ITC Avant Garde"/>
        </w:rPr>
        <w:t xml:space="preserve">para que </w:t>
      </w:r>
      <w:r w:rsidR="00FA1314" w:rsidRPr="002A2450">
        <w:rPr>
          <w:rFonts w:ascii="ITC Avant Garde" w:hAnsi="ITC Avant Garde"/>
        </w:rPr>
        <w:t>sean delegadas a un tercero</w:t>
      </w:r>
      <w:r w:rsidR="00113C8F" w:rsidRPr="002A2450">
        <w:rPr>
          <w:rFonts w:ascii="ITC Avant Garde" w:hAnsi="ITC Avant Garde"/>
        </w:rPr>
        <w:t>, esto es, el suministro, comercialización, distribución, atención al cliente, etc.</w:t>
      </w:r>
    </w:p>
    <w:p w14:paraId="22715FE8" w14:textId="77777777" w:rsidR="00B35F13" w:rsidRDefault="00113C8F" w:rsidP="00B35F13">
      <w:pPr>
        <w:spacing w:before="240" w:line="360" w:lineRule="auto"/>
        <w:jc w:val="both"/>
        <w:rPr>
          <w:rFonts w:ascii="ITC Avant Garde" w:hAnsi="ITC Avant Garde"/>
        </w:rPr>
      </w:pPr>
      <w:r w:rsidRPr="002A2450">
        <w:rPr>
          <w:rFonts w:ascii="ITC Avant Garde" w:hAnsi="ITC Avant Garde"/>
        </w:rPr>
        <w:t xml:space="preserve">En este caso, la sociedad que cede todos estos elementos relacionados con el encadenamiento de una actividad económica, si bien conserva su autonomía desde el punto de vista jurídico, desde el punto de vista económica, resulta ser un agente parásito en la relación contractual, puesto que si bien, puede acudirse al mercado con las capacidades instaladas, decide desprenderse de todas aquellas </w:t>
      </w:r>
      <w:r w:rsidRPr="002A2450">
        <w:rPr>
          <w:rFonts w:ascii="ITC Avant Garde" w:hAnsi="ITC Avant Garde"/>
        </w:rPr>
        <w:lastRenderedPageBreak/>
        <w:t>actividades que son necesarias para la ejecución del objeto para el cual fue constituida, e</w:t>
      </w:r>
      <w:r w:rsidR="00FA1314" w:rsidRPr="002A2450">
        <w:rPr>
          <w:rFonts w:ascii="ITC Avant Garde" w:hAnsi="ITC Avant Garde"/>
        </w:rPr>
        <w:t>n</w:t>
      </w:r>
      <w:r w:rsidRPr="002A2450">
        <w:rPr>
          <w:rFonts w:ascii="ITC Avant Garde" w:hAnsi="ITC Avant Garde"/>
        </w:rPr>
        <w:t xml:space="preserve"> tales consideraciones, al reservarse sólo actividades propias de su organización interna (puesto que el cúmulo de contratos vinculados entre sí le prohíbe una libertad absoluta para: i) llevar a cabo actos o acciones diversas a las reglas de operación, ii) modificación de sus estatutos, iii) la no competencia, iv) libertad de</w:t>
      </w:r>
      <w:r w:rsidR="00BB258A" w:rsidRPr="002A2450">
        <w:rPr>
          <w:rFonts w:ascii="ITC Avant Garde" w:hAnsi="ITC Avant Garde"/>
        </w:rPr>
        <w:t xml:space="preserve"> obtener crédito, v) ventas mínimas, etc.</w:t>
      </w:r>
      <w:r w:rsidRPr="002A2450">
        <w:rPr>
          <w:rFonts w:ascii="ITC Avant Garde" w:hAnsi="ITC Avant Garde"/>
        </w:rPr>
        <w:t>)</w:t>
      </w:r>
      <w:r w:rsidR="00BB258A" w:rsidRPr="002A2450">
        <w:rPr>
          <w:rFonts w:ascii="ITC Avant Garde" w:hAnsi="ITC Avant Garde"/>
        </w:rPr>
        <w:t xml:space="preserve">, nos encontramos frente a una situación en dónde esta sociedad sólo participa de las ganancias de las acciones llevadas a cabo por terceros, dónde en estricto sentido, </w:t>
      </w:r>
      <w:r w:rsidR="00DC55B7" w:rsidRPr="002A2450">
        <w:rPr>
          <w:rFonts w:ascii="ITC Avant Garde" w:hAnsi="ITC Avant Garde"/>
        </w:rPr>
        <w:t>é</w:t>
      </w:r>
      <w:r w:rsidR="00BB258A" w:rsidRPr="002A2450">
        <w:rPr>
          <w:rFonts w:ascii="ITC Avant Garde" w:hAnsi="ITC Avant Garde"/>
        </w:rPr>
        <w:t>l sería el titular del interés económico para llevarlo a cabo, esto es, se convierte en un ente inerte que es incapaz de llevar por sí mismo la ejecución de su propio negocio.</w:t>
      </w:r>
    </w:p>
    <w:p w14:paraId="26FC2D5B" w14:textId="77777777" w:rsidR="00B35F13" w:rsidRDefault="00BB258A" w:rsidP="00B35F13">
      <w:pPr>
        <w:spacing w:before="240" w:line="360" w:lineRule="auto"/>
        <w:jc w:val="both"/>
        <w:rPr>
          <w:rFonts w:ascii="ITC Avant Garde" w:hAnsi="ITC Avant Garde"/>
        </w:rPr>
      </w:pPr>
      <w:r w:rsidRPr="002A2450">
        <w:rPr>
          <w:rFonts w:ascii="ITC Avant Garde" w:hAnsi="ITC Avant Garde"/>
        </w:rPr>
        <w:t xml:space="preserve">Este tipo de sociedades, son parásitos societarios que sólo participan en la negociación como partes integrantes del grupo en dónde sólo tienen la función de ceder el derecho que tiene para que sea ejercido por terceros, el cual es necesario para que éstos terceros, quienes no cuentan con el derecho que el primero posee, puedan llevar a cabo la ejecución del negocio, esto es, participa de un derecho que no tiene consignado e incluso, en situaciones extremas, </w:t>
      </w:r>
      <w:r w:rsidR="003770A3" w:rsidRPr="002A2450">
        <w:rPr>
          <w:rFonts w:ascii="ITC Avant Garde" w:hAnsi="ITC Avant Garde"/>
        </w:rPr>
        <w:t xml:space="preserve">llevan </w:t>
      </w:r>
      <w:r w:rsidRPr="002A2450">
        <w:rPr>
          <w:rFonts w:ascii="ITC Avant Garde" w:hAnsi="ITC Avant Garde"/>
        </w:rPr>
        <w:t>a cabo la explotación misma del negocio.</w:t>
      </w:r>
    </w:p>
    <w:p w14:paraId="3CA2BEEB" w14:textId="77777777" w:rsidR="00B35F13" w:rsidRDefault="003770A3" w:rsidP="00B35F13">
      <w:pPr>
        <w:spacing w:before="240" w:line="360" w:lineRule="auto"/>
        <w:jc w:val="both"/>
        <w:rPr>
          <w:rFonts w:ascii="ITC Avant Garde" w:hAnsi="ITC Avant Garde"/>
        </w:rPr>
      </w:pPr>
      <w:r w:rsidRPr="002A2450">
        <w:rPr>
          <w:rFonts w:ascii="ITC Avant Garde" w:hAnsi="ITC Avant Garde"/>
        </w:rPr>
        <w:t>Esta forma de actuación, deriva precisamente de la posibilidad que otorga la concepción clásica del derecho respecto de la autonomía de los contratos, de las concentraciones en materia de competencia económica y de las consideraciones clásicas de la influencia decisiva y el control de sociedades, puesto que las mismas parten de la noción atribuida tradicionalmente al derecho corporativo. Sin embargo, a la luz de un enfoque sistémico de los contratos, es posible, como sistema</w:t>
      </w:r>
      <w:r w:rsidR="00FA1314" w:rsidRPr="002A2450">
        <w:rPr>
          <w:rFonts w:ascii="ITC Avant Garde" w:hAnsi="ITC Avant Garde"/>
        </w:rPr>
        <w:t>,</w:t>
      </w:r>
      <w:r w:rsidRPr="002A2450">
        <w:rPr>
          <w:rFonts w:ascii="ITC Avant Garde" w:hAnsi="ITC Avant Garde"/>
        </w:rPr>
        <w:t xml:space="preserve"> determinar la interpretación objetiva de los mismos.</w:t>
      </w:r>
    </w:p>
    <w:p w14:paraId="2320F8A7" w14:textId="77777777" w:rsidR="00B35F13" w:rsidRDefault="003770A3" w:rsidP="00B35F13">
      <w:pPr>
        <w:spacing w:before="240" w:line="360" w:lineRule="auto"/>
        <w:jc w:val="both"/>
        <w:rPr>
          <w:rFonts w:ascii="ITC Avant Garde" w:hAnsi="ITC Avant Garde"/>
        </w:rPr>
      </w:pPr>
      <w:r w:rsidRPr="002A2450">
        <w:rPr>
          <w:rFonts w:ascii="ITC Avant Garde" w:hAnsi="ITC Avant Garde"/>
        </w:rPr>
        <w:t xml:space="preserve">Ahora bien, las formas de organización de sociedades </w:t>
      </w:r>
      <w:r w:rsidR="004927AE" w:rsidRPr="002A2450">
        <w:rPr>
          <w:rFonts w:ascii="ITC Avant Garde" w:hAnsi="ITC Avant Garde"/>
        </w:rPr>
        <w:t xml:space="preserve">desde el punto de vista actual, se alejan cotidianamente de las estructuras tradicionales, puesto que ello es una forma de participar en el mercado mediante una ingeniería societaria, dónde la concentración de las empresas parece ser una tanto residual, no </w:t>
      </w:r>
      <w:r w:rsidR="004927AE" w:rsidRPr="002A2450">
        <w:rPr>
          <w:rFonts w:ascii="ITC Avant Garde" w:hAnsi="ITC Avant Garde"/>
        </w:rPr>
        <w:lastRenderedPageBreak/>
        <w:t>obstante, esta ingeniería es el resultado de que lo que se conoce como libertad bajo la ley</w:t>
      </w:r>
      <w:r w:rsidR="00D9432E" w:rsidRPr="002A2450">
        <w:rPr>
          <w:rFonts w:ascii="ITC Avant Garde" w:hAnsi="ITC Avant Garde"/>
        </w:rPr>
        <w:t>.</w:t>
      </w:r>
      <w:r w:rsidR="004927AE" w:rsidRPr="002A2450">
        <w:rPr>
          <w:rStyle w:val="Refdenotaalpie"/>
          <w:rFonts w:ascii="ITC Avant Garde" w:hAnsi="ITC Avant Garde"/>
        </w:rPr>
        <w:footnoteReference w:id="38"/>
      </w:r>
    </w:p>
    <w:p w14:paraId="073511E8" w14:textId="77777777" w:rsidR="00B35F13" w:rsidRDefault="00D9432E" w:rsidP="00B35F13">
      <w:pPr>
        <w:spacing w:before="240" w:line="360" w:lineRule="auto"/>
        <w:jc w:val="both"/>
        <w:rPr>
          <w:rFonts w:ascii="ITC Avant Garde" w:hAnsi="ITC Avant Garde"/>
        </w:rPr>
      </w:pPr>
      <w:r w:rsidRPr="002A2450">
        <w:rPr>
          <w:rFonts w:ascii="ITC Avant Garde" w:hAnsi="ITC Avant Garde"/>
        </w:rPr>
        <w:t xml:space="preserve">Sin embargo, pese a las consideraciones de las figuras tradicionales, es posible advertir que las conductas realizadas por empresas al amparo de contratos vinculados entre sí, mediante la interpretación sistémica de sus relaciones, encierran </w:t>
      </w:r>
      <w:r w:rsidR="00DC55B7" w:rsidRPr="002A2450">
        <w:rPr>
          <w:rFonts w:ascii="ITC Avant Garde" w:hAnsi="ITC Avant Garde"/>
        </w:rPr>
        <w:t>determinados objetivos e intereses que en su conjunto pueden ser contrarios a la normatividad en cierta materia</w:t>
      </w:r>
      <w:r w:rsidRPr="002A2450">
        <w:rPr>
          <w:rFonts w:ascii="ITC Avant Garde" w:hAnsi="ITC Avant Garde"/>
        </w:rPr>
        <w:t xml:space="preserve">. </w:t>
      </w:r>
    </w:p>
    <w:p w14:paraId="0E6B9F94" w14:textId="77777777" w:rsidR="00B35F13" w:rsidRDefault="00FA1314" w:rsidP="00B35F13">
      <w:pPr>
        <w:spacing w:before="240" w:line="360" w:lineRule="auto"/>
        <w:jc w:val="both"/>
        <w:rPr>
          <w:rFonts w:ascii="ITC Avant Garde" w:hAnsi="ITC Avant Garde"/>
        </w:rPr>
      </w:pPr>
      <w:r w:rsidRPr="002A2450">
        <w:rPr>
          <w:rFonts w:ascii="ITC Avant Garde" w:hAnsi="ITC Avant Garde"/>
        </w:rPr>
        <w:t>En ese sentido</w:t>
      </w:r>
      <w:r w:rsidR="00D9432E" w:rsidRPr="002A2450">
        <w:rPr>
          <w:rFonts w:ascii="ITC Avant Garde" w:hAnsi="ITC Avant Garde"/>
        </w:rPr>
        <w:t xml:space="preserve"> la existencia de objetivos comunes y la contribución continua entre grupos de empresas, constituyen alianzas estratégicas mediante las cuales permite</w:t>
      </w:r>
      <w:r w:rsidR="00DC55B7" w:rsidRPr="002A2450">
        <w:rPr>
          <w:rFonts w:ascii="ITC Avant Garde" w:hAnsi="ITC Avant Garde"/>
        </w:rPr>
        <w:t>n</w:t>
      </w:r>
      <w:r w:rsidR="00D9432E" w:rsidRPr="002A2450">
        <w:rPr>
          <w:rFonts w:ascii="ITC Avant Garde" w:hAnsi="ITC Avant Garde"/>
        </w:rPr>
        <w:t xml:space="preserve"> que una empresa con un reducido campo competitivo alcance niveles más amplios,</w:t>
      </w:r>
      <w:r w:rsidR="00D9432E" w:rsidRPr="002A2450">
        <w:rPr>
          <w:rStyle w:val="Refdenotaalpie"/>
          <w:rFonts w:ascii="ITC Avant Garde" w:hAnsi="ITC Avant Garde"/>
        </w:rPr>
        <w:footnoteReference w:id="39"/>
      </w:r>
      <w:r w:rsidR="00D9432E" w:rsidRPr="002A2450">
        <w:rPr>
          <w:rFonts w:ascii="ITC Avant Garde" w:hAnsi="ITC Avant Garde"/>
        </w:rPr>
        <w:t xml:space="preserve"> puesto que la esencia misma de estas estrategias no sólo es la reducción de los costos, sino también, el aprovechamiento de entidades sumamente consolidadas</w:t>
      </w:r>
      <w:r w:rsidR="00682932" w:rsidRPr="002A2450">
        <w:rPr>
          <w:rFonts w:ascii="ITC Avant Garde" w:hAnsi="ITC Avant Garde"/>
        </w:rPr>
        <w:t>,</w:t>
      </w:r>
      <w:r w:rsidR="00D9432E" w:rsidRPr="002A2450">
        <w:rPr>
          <w:rStyle w:val="Refdenotaalpie"/>
          <w:rFonts w:ascii="ITC Avant Garde" w:hAnsi="ITC Avant Garde"/>
        </w:rPr>
        <w:footnoteReference w:id="40"/>
      </w:r>
      <w:r w:rsidR="00682932" w:rsidRPr="002A2450">
        <w:rPr>
          <w:rFonts w:ascii="ITC Avant Garde" w:hAnsi="ITC Avant Garde"/>
        </w:rPr>
        <w:t xml:space="preserve"> de ahí que el contexto de la economía que rodea al grupo de</w:t>
      </w:r>
      <w:r w:rsidR="000A33EF" w:rsidRPr="002A2450">
        <w:rPr>
          <w:rFonts w:ascii="ITC Avant Garde" w:hAnsi="ITC Avant Garde"/>
        </w:rPr>
        <w:t xml:space="preserve"> empresas ésta determinado por las alianzas estratégicas o financieras, dónde en la primera, </w:t>
      </w:r>
      <w:r w:rsidRPr="002A2450">
        <w:rPr>
          <w:rFonts w:ascii="ITC Avant Garde" w:hAnsi="ITC Avant Garde"/>
        </w:rPr>
        <w:t xml:space="preserve">se </w:t>
      </w:r>
      <w:r w:rsidR="000A33EF" w:rsidRPr="002A2450">
        <w:rPr>
          <w:rFonts w:ascii="ITC Avant Garde" w:hAnsi="ITC Avant Garde"/>
        </w:rPr>
        <w:t>busca superar la legislación que en su caso pudiera ser restrictiva, limitando como se ha señalado su capacidad de decisión, máxime tratándose de sociedades parásito, y la segunda, como impulso a los proyectos de expansión.</w:t>
      </w:r>
      <w:r w:rsidR="000A33EF" w:rsidRPr="002A2450">
        <w:rPr>
          <w:rStyle w:val="Refdenotaalpie"/>
          <w:rFonts w:ascii="ITC Avant Garde" w:hAnsi="ITC Avant Garde"/>
        </w:rPr>
        <w:footnoteReference w:id="41"/>
      </w:r>
    </w:p>
    <w:p w14:paraId="0F5D89EB" w14:textId="77777777" w:rsidR="00B35F13" w:rsidRDefault="000A33EF" w:rsidP="00B35F13">
      <w:pPr>
        <w:spacing w:before="240" w:line="360" w:lineRule="auto"/>
        <w:jc w:val="both"/>
        <w:rPr>
          <w:rFonts w:ascii="ITC Avant Garde" w:hAnsi="ITC Avant Garde"/>
        </w:rPr>
      </w:pPr>
      <w:r w:rsidRPr="002A2450">
        <w:rPr>
          <w:rFonts w:ascii="ITC Avant Garde" w:hAnsi="ITC Avant Garde"/>
        </w:rPr>
        <w:t>Sin embargo, al actualizarse estas dos últimas consideraciones, es indudable que la relación entre empresas va más allá de una relación comercial unitaria</w:t>
      </w:r>
      <w:r w:rsidR="00E82DAE" w:rsidRPr="002A2450">
        <w:rPr>
          <w:rFonts w:ascii="ITC Avant Garde" w:hAnsi="ITC Avant Garde"/>
        </w:rPr>
        <w:t xml:space="preserve"> y más bien </w:t>
      </w:r>
      <w:r w:rsidR="00E82DAE" w:rsidRPr="002A2450">
        <w:rPr>
          <w:rFonts w:ascii="ITC Avant Garde" w:hAnsi="ITC Avant Garde"/>
        </w:rPr>
        <w:lastRenderedPageBreak/>
        <w:t>representa</w:t>
      </w:r>
      <w:r w:rsidRPr="002A2450">
        <w:rPr>
          <w:rFonts w:ascii="ITC Avant Garde" w:hAnsi="ITC Avant Garde"/>
        </w:rPr>
        <w:t xml:space="preserve"> la integración total del grupo, mediante instrumentos jurídicos contractuales.</w:t>
      </w:r>
    </w:p>
    <w:p w14:paraId="6F009CD4" w14:textId="77777777" w:rsidR="00B35F13" w:rsidRDefault="00FA1314" w:rsidP="00B35F13">
      <w:pPr>
        <w:spacing w:before="240" w:line="360" w:lineRule="auto"/>
        <w:jc w:val="both"/>
        <w:rPr>
          <w:rFonts w:ascii="ITC Avant Garde" w:hAnsi="ITC Avant Garde"/>
        </w:rPr>
      </w:pPr>
      <w:r w:rsidRPr="002A2450">
        <w:rPr>
          <w:rFonts w:ascii="ITC Avant Garde" w:hAnsi="ITC Avant Garde"/>
        </w:rPr>
        <w:t>Dado lo anterior</w:t>
      </w:r>
      <w:r w:rsidR="000C6EF6" w:rsidRPr="002A2450">
        <w:rPr>
          <w:rFonts w:ascii="ITC Avant Garde" w:hAnsi="ITC Avant Garde"/>
        </w:rPr>
        <w:t xml:space="preserve">, la existencia </w:t>
      </w:r>
      <w:r w:rsidRPr="002A2450">
        <w:rPr>
          <w:rFonts w:ascii="ITC Avant Garde" w:hAnsi="ITC Avant Garde"/>
        </w:rPr>
        <w:t xml:space="preserve">de </w:t>
      </w:r>
      <w:r w:rsidR="000C6EF6" w:rsidRPr="002A2450">
        <w:rPr>
          <w:rFonts w:ascii="ITC Avant Garde" w:hAnsi="ITC Avant Garde"/>
        </w:rPr>
        <w:t>contratos vinculados, como se señaló en el presente apartado, no es ajeno de la interpretación que ha realizado el Poder Judicial de la Federación en las siguientes tesis:</w:t>
      </w:r>
    </w:p>
    <w:p w14:paraId="1B23E6C9"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b/>
        </w:rPr>
        <w:t xml:space="preserve">DIVISIÓN DE LA CONTINENCIA DE LA CAUSA. AUN CUANDO NO LO ESTABLEZCA EXPRESAMENTE EL CÓDIGO DE COMERCIO, ES PROCEDENTE LA PRÓRROGA DE LA COMPETENCIA POR RAZÓN DE TERRITORIO PARA EVITARLA. </w:t>
      </w:r>
      <w:r w:rsidRPr="002A2450">
        <w:rPr>
          <w:rFonts w:ascii="ITC Avant Garde" w:hAnsi="ITC Avant Garde"/>
        </w:rPr>
        <w:t xml:space="preserve">De conformidad con lo establecido en el artículo 1121 del Código de Comercio será procedente la prórroga de la jurisdicción por razón de materia a fin de evitar la continencia de la causa, </w:t>
      </w:r>
      <w:r w:rsidRPr="002A2450">
        <w:rPr>
          <w:rFonts w:ascii="ITC Avant Garde" w:hAnsi="ITC Avant Garde"/>
          <w:b/>
          <w:u w:val="single"/>
        </w:rPr>
        <w:t>en aquellos casos en que existan contratos coaligados o las prestaciones tengan íntima conexión entre sí, o por los nexos entre las personas</w:t>
      </w:r>
      <w:r w:rsidRPr="002A2450">
        <w:rPr>
          <w:rFonts w:ascii="ITC Avant Garde" w:hAnsi="ITC Avant Garde"/>
        </w:rPr>
        <w:t xml:space="preserve"> que litiguen, sea por razón de parentesco, negocios, sociedad o similares, o deriven de la misma causa de pedir. La ratio </w:t>
      </w:r>
      <w:proofErr w:type="spellStart"/>
      <w:r w:rsidRPr="002A2450">
        <w:rPr>
          <w:rFonts w:ascii="ITC Avant Garde" w:hAnsi="ITC Avant Garde"/>
        </w:rPr>
        <w:t>legis</w:t>
      </w:r>
      <w:proofErr w:type="spellEnd"/>
      <w:r w:rsidRPr="002A2450">
        <w:rPr>
          <w:rFonts w:ascii="ITC Avant Garde" w:hAnsi="ITC Avant Garde"/>
        </w:rPr>
        <w:t xml:space="preserve"> de esa reforma tuvo como finalidad la de dotar de mayor celeridad a los juicios y, en específico, que las cuestiones de competencia por materia no tuvieran obstáculo en cuanto a su prórroga para fijar la competencia de un Juez, que de declararse incompetente para conocer de un asunto daría lugar a dividir la continencia de la causa o a la multiplicidad de litigios con posibles resoluciones contradictorias; además en observancia a los principios de economía procesal y administración de justicia pronta y expedita. Ahora, si de acuerdo al artículo 1120 de ese mismo ordenamiento, sólo se puede prorrogar la jurisdicción por razón del territorio y materia, entonces, no existe impedimento legal alguno para que en una interpretación extensiva y armónica de dichos numerales, resulte viable y oportuno, a fin de evitar la división de la continencia de la causa, en aras de la economía procesal y una administración de justicia pronta y expedita, la extensión de la prórroga referida a la </w:t>
      </w:r>
      <w:r w:rsidRPr="002A2450">
        <w:rPr>
          <w:rFonts w:ascii="ITC Avant Garde" w:hAnsi="ITC Avant Garde"/>
        </w:rPr>
        <w:lastRenderedPageBreak/>
        <w:t>competencia por razón de territorio. Además, en observancia a lo dispuesto por el principio general del derecho que dispone "donde opera la misma razón debe operar la misma disposición."</w:t>
      </w:r>
    </w:p>
    <w:p w14:paraId="438C239F"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sz w:val="18"/>
        </w:rPr>
        <w:t>Época: Novena Época, Registro: 161638, Instancia: Tribunales Colegiados de Circuito, Tipo de Tesis: Aislada, Fuente: Semanario Judicial de la Federación y su Gaceta, Tomo XXXIV, Julio de 2011, Materia(s): Civil, Tesis: I.3o.C.971 C, Página: 2006</w:t>
      </w:r>
    </w:p>
    <w:p w14:paraId="04E39B0B"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b/>
        </w:rPr>
        <w:t xml:space="preserve">CONTRATOS COALIGADOS. LAS CONTRADICCIONES ENTRE LOS SUSCRITOS POR LAS MISMAS PERSONAS, EN FECHAS DISTINTAS, DEBEN RESOLVERSE CON EL CRITERIO CRONOLÓGICO. </w:t>
      </w:r>
      <w:r w:rsidRPr="002A2450">
        <w:rPr>
          <w:rFonts w:ascii="ITC Avant Garde" w:hAnsi="ITC Avant Garde"/>
          <w:b/>
          <w:u w:val="single"/>
        </w:rPr>
        <w:t>Si en el contenido de varios contratos coaligados suscritos por las mismas personas</w:t>
      </w:r>
      <w:r w:rsidRPr="002A2450">
        <w:rPr>
          <w:rFonts w:ascii="ITC Avant Garde" w:hAnsi="ITC Avant Garde"/>
        </w:rPr>
        <w:t>, en fechas distintas, se encuentran contradicciones, debe acudirse al criterio cronológico, empleado comúnmente para resolver antinomias, entre preceptos legales, conforme al cual, entre dos actos de voluntad de una misma persona, de un conjunto de personas o de un organismo, debe prevalecer el último en tiempo. La explicación que justifica racionalmente la prevalencia del acto posterior radica en que ante la oposición de dos actos de voluntad de una persona, dotada de capacidad y discernimiento, por lo que se presume unidad y coherencia de su actuación, si realiza un acto y posteriormente otro que se opone total o parcialmente al primero, debe entenderse que cambió su decisión inicial, para sustituirla por la nueva, salvo que se pruebe que el acto ulterior es producto de algún vicio de la voluntad.</w:t>
      </w:r>
    </w:p>
    <w:p w14:paraId="16ABF040" w14:textId="77777777" w:rsidR="00B35F13" w:rsidRDefault="003B7329"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Novena Época, Registro: 168961, Instancia: Tribunales Colegiados de Circuito, Tipo de Tesis: Aislada, Fuente: Semanario Judicial de la Federación y su Gaceta, Tomo XXVIII, Septiembre de 2008, Materia(s): Civil, Tesis: I.4o.C.163 C, Página: 1224 </w:t>
      </w:r>
    </w:p>
    <w:p w14:paraId="11809FCF"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b/>
        </w:rPr>
        <w:t>MANDATO. EL MANDANTE PUEDE LIMITARLO CUANDO Y COMO LE PAREZCA.</w:t>
      </w:r>
      <w:r w:rsidRPr="002A2450">
        <w:rPr>
          <w:rFonts w:ascii="ITC Avant Garde" w:hAnsi="ITC Avant Garde"/>
        </w:rPr>
        <w:t xml:space="preserve"> De conformidad con lo dispuesto por el artículo 2476 del Código Civil para el Estado de Tamaulipas "El mandante puede revocar el mandato cuando y como le parezca, menos en aquellos casos en </w:t>
      </w:r>
      <w:r w:rsidRPr="002A2450">
        <w:rPr>
          <w:rFonts w:ascii="ITC Avant Garde" w:hAnsi="ITC Avant Garde"/>
        </w:rPr>
        <w:lastRenderedPageBreak/>
        <w:t xml:space="preserve">que su otorgamiento se hubiere estipulado como una condición en un contrato bilateral o como un medio para cumplir una obligación contraída", es decir, </w:t>
      </w:r>
      <w:r w:rsidRPr="002A2450">
        <w:rPr>
          <w:rFonts w:ascii="ITC Avant Garde" w:hAnsi="ITC Avant Garde"/>
          <w:b/>
          <w:u w:val="single"/>
        </w:rPr>
        <w:t>cuando existan contratos coaligados</w:t>
      </w:r>
      <w:r w:rsidRPr="002A2450">
        <w:rPr>
          <w:rFonts w:ascii="ITC Avant Garde" w:hAnsi="ITC Avant Garde"/>
        </w:rPr>
        <w:t xml:space="preserve"> en las condiciones apuntadas, casos en los cuales tampoco el mandatario puede renunciar el poder, lo que encuentra su explicación en la naturaleza jurídica misma de este contrato, que se otorga con base en la confianza que el mandatario inspira al otorgante de que ejecutará correcta y fielmente los actos jurídicos que se le encomiendan, de tal modo que si desaparece esa confianza en el ánimo del mandante, resulta imposible la subsistencia del contrato. Y si se puede revocar el mandato en estas condiciones, es lógico concluir por mayoría de razón que también puede restringirlo cuando y como le plazca.</w:t>
      </w:r>
    </w:p>
    <w:p w14:paraId="4EE8C8CA" w14:textId="77777777" w:rsidR="00B35F13" w:rsidRDefault="003B7329" w:rsidP="00B35F13">
      <w:pPr>
        <w:spacing w:before="240" w:line="360" w:lineRule="auto"/>
        <w:ind w:left="567" w:right="567"/>
        <w:jc w:val="both"/>
        <w:rPr>
          <w:rFonts w:ascii="ITC Avant Garde" w:hAnsi="ITC Avant Garde"/>
          <w:sz w:val="18"/>
        </w:rPr>
      </w:pPr>
      <w:r w:rsidRPr="002A2450">
        <w:rPr>
          <w:rFonts w:ascii="ITC Avant Garde" w:hAnsi="ITC Avant Garde"/>
          <w:sz w:val="18"/>
        </w:rPr>
        <w:t>Época: Séptima Época, Registro: 240797, Instancia: Tercera Sala, Tipo de Tesis: Aislada, Fuente: Semanario Judicial de la Federación, Volumen 139-144, Cuarta Parte, Materia(s): Civil, Tesis: Página: 79</w:t>
      </w:r>
    </w:p>
    <w:p w14:paraId="6B89C790"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b/>
        </w:rPr>
        <w:t>ARRENDAMIENTO, CONTRATOS COALIGADOS, VINCULADOS O INTERDEPENDIENTES EN MATERIA DE ARRENDAMIENTO</w:t>
      </w:r>
      <w:r w:rsidRPr="002A2450">
        <w:rPr>
          <w:rFonts w:ascii="ITC Avant Garde" w:hAnsi="ITC Avant Garde"/>
        </w:rPr>
        <w:t xml:space="preserve">. </w:t>
      </w:r>
      <w:r w:rsidRPr="002A2450">
        <w:rPr>
          <w:rFonts w:ascii="ITC Avant Garde" w:hAnsi="ITC Avant Garde"/>
          <w:b/>
          <w:u w:val="single"/>
        </w:rPr>
        <w:t>Sólo se puede estar frente a contratos coaligados, vinculados o interdependientes, cuando se trate de convenciones mercantiles, por virtud de negocios coaligados como actos jurídicos interdependientes que tienen una conexión económica objetiva entre sí y una unidad que deriva de la voluntad de las partes</w:t>
      </w:r>
      <w:r w:rsidRPr="002A2450">
        <w:rPr>
          <w:rFonts w:ascii="ITC Avant Garde" w:hAnsi="ITC Avant Garde"/>
        </w:rPr>
        <w:t xml:space="preserve">, mas no cuando se trata de contratos civiles de arrendamiento, caso en el cual </w:t>
      </w:r>
      <w:r w:rsidRPr="002A2450">
        <w:rPr>
          <w:rFonts w:ascii="ITC Avant Garde" w:hAnsi="ITC Avant Garde"/>
          <w:b/>
          <w:u w:val="single"/>
        </w:rPr>
        <w:t>sólo existen contratos coaligados, vinculados o interdependientes, cuando la voluntad de las partes sea manifestada claramente, en el sentido de relacionar entre sí dos contratos</w:t>
      </w:r>
      <w:r w:rsidRPr="002A2450">
        <w:rPr>
          <w:rFonts w:ascii="ITC Avant Garde" w:hAnsi="ITC Avant Garde"/>
        </w:rPr>
        <w:t xml:space="preserve"> de esa naturaleza jurídica, </w:t>
      </w:r>
      <w:r w:rsidRPr="002A2450">
        <w:rPr>
          <w:rFonts w:ascii="ITC Avant Garde" w:hAnsi="ITC Avant Garde"/>
          <w:b/>
          <w:u w:val="single"/>
        </w:rPr>
        <w:t>ya sea en forma coordinada o subordinada,</w:t>
      </w:r>
      <w:r w:rsidRPr="002A2450">
        <w:rPr>
          <w:rFonts w:ascii="ITC Avant Garde" w:hAnsi="ITC Avant Garde"/>
        </w:rPr>
        <w:t xml:space="preserve"> voluntad que debe ser fehacientemente demostrada en el juicio, por quien pretenda valerse de ella, siendo obvio que dos contratos de arrendamiento que se refieren a partes distintas de un inmueble, separadas del terreno, como son la planta alta y el patio, </w:t>
      </w:r>
      <w:r w:rsidRPr="002A2450">
        <w:rPr>
          <w:rFonts w:ascii="ITC Avant Garde" w:hAnsi="ITC Avant Garde"/>
        </w:rPr>
        <w:lastRenderedPageBreak/>
        <w:t>celebrados en fechas diversas y con rentas también diferentes, no pueden ser considerados como contratos coaligados, vinculados o interdependientes entre sí, aun cuando pudiera haber alguna coincidencia en sus aspectos externos o circunstanciados; pero ninguno en el contenido esencial.</w:t>
      </w:r>
    </w:p>
    <w:p w14:paraId="363CB9AB" w14:textId="77777777" w:rsidR="00B35F13" w:rsidRDefault="003B7329"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Séptima Época, Registro: 252672, Instancia: Tribunales Colegiados de Circuito, Tipo de Tesis: Aislada, Fuente: Semanario Judicial de la Federación, Volumen 103-108, Sexta Parte, Materia(s): Civil, Tesis: Página: 35 </w:t>
      </w:r>
    </w:p>
    <w:p w14:paraId="20B9F5A7" w14:textId="77777777" w:rsidR="00B35F13" w:rsidRDefault="000C6EF6" w:rsidP="00B35F13">
      <w:pPr>
        <w:spacing w:before="240" w:line="360" w:lineRule="auto"/>
        <w:ind w:left="567" w:right="567"/>
        <w:jc w:val="both"/>
        <w:rPr>
          <w:rFonts w:ascii="ITC Avant Garde" w:hAnsi="ITC Avant Garde"/>
        </w:rPr>
      </w:pPr>
      <w:r w:rsidRPr="002A2450">
        <w:rPr>
          <w:rFonts w:ascii="ITC Avant Garde" w:hAnsi="ITC Avant Garde"/>
          <w:b/>
        </w:rPr>
        <w:t>CONTRATOS COALIGADOS</w:t>
      </w:r>
      <w:r w:rsidRPr="009F3771">
        <w:rPr>
          <w:rFonts w:ascii="ITC Avant Garde" w:hAnsi="ITC Avant Garde"/>
          <w:b/>
        </w:rPr>
        <w:t>, RESCISION DE</w:t>
      </w:r>
      <w:r w:rsidRPr="002A2450">
        <w:rPr>
          <w:rFonts w:ascii="ITC Avant Garde" w:hAnsi="ITC Avant Garde"/>
          <w:b/>
        </w:rPr>
        <w:t xml:space="preserve"> LOS.</w:t>
      </w:r>
      <w:r w:rsidRPr="002A2450">
        <w:rPr>
          <w:rFonts w:ascii="ITC Avant Garde" w:hAnsi="ITC Avant Garde"/>
        </w:rPr>
        <w:t xml:space="preserve"> </w:t>
      </w:r>
      <w:r w:rsidRPr="002A2450">
        <w:rPr>
          <w:rFonts w:ascii="ITC Avant Garde" w:hAnsi="ITC Avant Garde"/>
          <w:b/>
          <w:u w:val="single"/>
        </w:rPr>
        <w:t>La doctrina jurídica contemporánea ha definido con precisión la figura de los llamados contratos coaligados. Los negocios coaligados como actos jurídicos interdependientes tienen una conexión económica objetiva entre sí y una unidad que deriva de la voluntad de las partes.</w:t>
      </w:r>
      <w:r w:rsidRPr="002A2450">
        <w:rPr>
          <w:rFonts w:ascii="ITC Avant Garde" w:hAnsi="ITC Avant Garde"/>
        </w:rPr>
        <w:t xml:space="preserve"> De los dos elementos objetivo y subjetivo que les atribuye la doctrina, es el segundo el que en nuestro derecho mercantil tiene más trascendencia, pues de acuerdo con el artículo 78 del Código de Comercio, "en las convenciones mercantiles cada uno se obliga en la manera y términos que aparezca que quiso obligarse". Ahora bien, de los tres tipos de vinculación que reconoce la doctrina, la que es verdaderamente importante es la vinculación por dependencia unilateral o bilateral, cuando dos o más negocios, cada uno constituyendo una figura, son deseados como un todo. </w:t>
      </w:r>
      <w:r w:rsidRPr="002A2450">
        <w:rPr>
          <w:rFonts w:ascii="ITC Avant Garde" w:hAnsi="ITC Avant Garde"/>
          <w:b/>
          <w:u w:val="single"/>
        </w:rPr>
        <w:t>En la vinculación unilateral, un negocio predomina y los demás le están subordinados; en la bilateral, los dos o más negocios son totalmente interdependientes, en el sentido de que la voluntad existe sobre todos ellos en un plano de igualdad. Una consecuencia que se desprende de la existencia de contratos vinculados, es que el cumplimiento de un contrato se refleja en los demás y el incumplimiento de uno también tiene que tener relevancia respecto de los demás contratos.</w:t>
      </w:r>
      <w:r w:rsidRPr="002A2450">
        <w:rPr>
          <w:rFonts w:ascii="ITC Avant Garde" w:hAnsi="ITC Avant Garde"/>
        </w:rPr>
        <w:t xml:space="preserve"> La nulidad de uno de los actos jurídicos produce también la de los demás contratos vinculados. La situación de </w:t>
      </w:r>
      <w:r w:rsidRPr="002A2450">
        <w:rPr>
          <w:rFonts w:ascii="ITC Avant Garde" w:hAnsi="ITC Avant Garde"/>
        </w:rPr>
        <w:lastRenderedPageBreak/>
        <w:t>dependencia permite concluir que si se viola un contrato, la contraparte puede pedir la rescisión no únicamente del mismo sino también la de los demás que estén vinculados. Así ocurre en el caso en que en los contratos guardan una situación bilateral o de mutua dependencia o bien cuando la violación se efectúa en un contrato principal al que los demás contratos están subordinados por una relación lógica de dependencia que deriva de la voluntad de las partes.</w:t>
      </w:r>
    </w:p>
    <w:p w14:paraId="59731E88" w14:textId="77777777" w:rsidR="00B35F13" w:rsidRDefault="000C6EF6"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Sexta Época, Registro: 273055, Instancia: Tercera Sala, Tipo de Tesis: Aislada, Fuente: Semanario Judicial de la Federación, Volumen II, Cuarta Parte, Materia(s): Civil, Tesis: Página: 75 </w:t>
      </w:r>
    </w:p>
    <w:p w14:paraId="0386B09E" w14:textId="77777777" w:rsidR="00B35F13" w:rsidRDefault="003B7329" w:rsidP="00B35F13">
      <w:pPr>
        <w:spacing w:before="240" w:line="360" w:lineRule="auto"/>
        <w:ind w:left="567" w:right="567"/>
        <w:jc w:val="both"/>
        <w:rPr>
          <w:rFonts w:ascii="ITC Avant Garde" w:hAnsi="ITC Avant Garde"/>
        </w:rPr>
      </w:pPr>
      <w:r w:rsidRPr="002A2450">
        <w:rPr>
          <w:rFonts w:ascii="ITC Avant Garde" w:hAnsi="ITC Avant Garde"/>
          <w:b/>
        </w:rPr>
        <w:t xml:space="preserve">MANDATO. CASOS EN QUE ES IRREVOCABLE. </w:t>
      </w:r>
      <w:r w:rsidRPr="009F3771">
        <w:rPr>
          <w:rFonts w:ascii="ITC Avant Garde" w:hAnsi="ITC Avant Garde"/>
          <w:b/>
        </w:rPr>
        <w:t>CODIGO CIVIL DEL</w:t>
      </w:r>
      <w:r w:rsidRPr="002A2450">
        <w:rPr>
          <w:rFonts w:ascii="ITC Avant Garde" w:hAnsi="ITC Avant Garde"/>
          <w:b/>
        </w:rPr>
        <w:t xml:space="preserve"> DISTRITO FEDERAL.</w:t>
      </w:r>
      <w:r w:rsidRPr="002A2450">
        <w:rPr>
          <w:rFonts w:ascii="ITC Avant Garde" w:hAnsi="ITC Avant Garde"/>
        </w:rPr>
        <w:t xml:space="preserve"> Las dos restricciones que señala el artículo 2596, y que impiden que el mandato se puede revocar por el mandante cuando le plazca, son: a) Cuando el otorgamiento del mandato se estipula como una condición en un contrato bilateral y b) Cuando su otorgamiento se hubiese estipulado como un medio para cumplir una obligación contraída. Es decir, y esto debe destacarse, en la primera restricción se habla de un mandato estipulado como una condición en un diverso contrato y no como lo entiende el quejoso (mandato estipulado con la de que rigiera por diez años). Distinguiéndose que en el primer caso </w:t>
      </w:r>
      <w:r w:rsidRPr="002A2450">
        <w:rPr>
          <w:rFonts w:ascii="ITC Avant Garde" w:hAnsi="ITC Avant Garde"/>
          <w:b/>
          <w:u w:val="single"/>
        </w:rPr>
        <w:t>se está hablando de dos contratos que suponen la preexistencia de un pacto principal (coaligados) en el que la voluntad de las partes es celebrar uno</w:t>
      </w:r>
      <w:r w:rsidRPr="002A2450">
        <w:rPr>
          <w:rFonts w:ascii="ITC Avant Garde" w:hAnsi="ITC Avant Garde"/>
        </w:rPr>
        <w:t xml:space="preserve"> en el que se estipule el otorgamiento de un mandato a determinada persona, es decir, la condición es que se otorgue un mandato, dentro del diverso contrato celebrado. El mandato otorgado en estos términos resulta, explicablemente, irrevocable por la sola voluntad del mandante. Cosa distinta ocurre en el contrato de comisión, que si bien es un mandato aplicado a actos de comercio, en él se estipuló que durara diez años, lo cual obviamente, significa que se señaló un término y no una condición como lo pretende el quejoso. Se </w:t>
      </w:r>
      <w:r w:rsidRPr="002A2450">
        <w:rPr>
          <w:rFonts w:ascii="ITC Avant Garde" w:hAnsi="ITC Avant Garde"/>
        </w:rPr>
        <w:lastRenderedPageBreak/>
        <w:t>trata pues, de un contrato sujeto a término y no de un mandato otorgado como condición de otro contrato, que es el primer caso de excepción que señala el numeral invocado. En la segunda excepción que impone el artículo 2596 comentado, se habla de un mandato estipulado como un medio para cumplir una obligación. Aquí se trata del mandato que el mandante otorga para que el mandatario cumpla una obligación o contrato. Debe entenderse pues, que la obligación de que se habla es anterior al mandato, supuesto que éste es otorgado para que se cumpla aquélla, de aquí se desprende que el quejoso confundió la obligación preexistente (anterior al mandato) con las obligaciones que se derivan del mandato mismo pues, en la especie se otorgó una comisión y las únicas obligaciones existentes son las derivadas de ese mismo contrato ya que la comisión no se otorgó para que el comisionista cumpliera con una obligación que ya desde antes tuviera el comitente con alguna otra persona. (Las dos modalidades son de contratos coaligados en el caso el mandato es contrato único).</w:t>
      </w:r>
    </w:p>
    <w:p w14:paraId="624CD36F" w14:textId="77777777" w:rsidR="00B35F13" w:rsidRDefault="003B7329"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Séptima Época, Registro: 387708, Instancia: Tercera Sala, Tipo de Tesis: Aislada, Fuente: Informes, Informe 1979, Parte II, Materia(s): Civil, Tesis: 49, Página: 40 </w:t>
      </w:r>
    </w:p>
    <w:p w14:paraId="2A12DF5E" w14:textId="77777777" w:rsidR="00B35F13" w:rsidRDefault="00FA1314" w:rsidP="00B35F13">
      <w:pPr>
        <w:spacing w:before="240" w:line="360" w:lineRule="auto"/>
        <w:jc w:val="both"/>
        <w:rPr>
          <w:rFonts w:ascii="ITC Avant Garde" w:hAnsi="ITC Avant Garde"/>
        </w:rPr>
      </w:pPr>
      <w:r w:rsidRPr="002A2450">
        <w:rPr>
          <w:rFonts w:ascii="ITC Avant Garde" w:hAnsi="ITC Avant Garde"/>
        </w:rPr>
        <w:t>Al respecto, d</w:t>
      </w:r>
      <w:r w:rsidR="00E8017B" w:rsidRPr="002A2450">
        <w:rPr>
          <w:rFonts w:ascii="ITC Avant Garde" w:hAnsi="ITC Avant Garde"/>
        </w:rPr>
        <w:t>e las tesis mencionadas, pueden rescatarse algunos elementos considerados en la jurisprudencia mexicana,</w:t>
      </w:r>
      <w:r w:rsidR="000D6F22" w:rsidRPr="002A2450">
        <w:rPr>
          <w:rStyle w:val="Refdenotaalpie"/>
          <w:rFonts w:ascii="ITC Avant Garde" w:hAnsi="ITC Avant Garde"/>
        </w:rPr>
        <w:footnoteReference w:id="42"/>
      </w:r>
      <w:r w:rsidR="00E8017B" w:rsidRPr="002A2450">
        <w:rPr>
          <w:rFonts w:ascii="ITC Avant Garde" w:hAnsi="ITC Avant Garde"/>
        </w:rPr>
        <w:t xml:space="preserve"> dónde se advierte la existencia de contratos </w:t>
      </w:r>
      <w:r w:rsidR="00E8017B" w:rsidRPr="002A2450">
        <w:rPr>
          <w:rFonts w:ascii="ITC Avant Garde" w:hAnsi="ITC Avant Garde"/>
          <w:i/>
        </w:rPr>
        <w:t>“coaligados”</w:t>
      </w:r>
      <w:r w:rsidR="00E8017B" w:rsidRPr="002A2450">
        <w:rPr>
          <w:rFonts w:ascii="ITC Avant Garde" w:hAnsi="ITC Avant Garde"/>
        </w:rPr>
        <w:t>.</w:t>
      </w:r>
    </w:p>
    <w:p w14:paraId="284D326C" w14:textId="38582F14" w:rsidR="00E8017B" w:rsidRPr="002A2450" w:rsidRDefault="000D6F22" w:rsidP="007E623E">
      <w:pPr>
        <w:pStyle w:val="Prrafodelista"/>
        <w:numPr>
          <w:ilvl w:val="0"/>
          <w:numId w:val="18"/>
        </w:numPr>
        <w:spacing w:before="240" w:line="360" w:lineRule="auto"/>
        <w:jc w:val="both"/>
        <w:rPr>
          <w:rFonts w:ascii="ITC Avant Garde" w:hAnsi="ITC Avant Garde"/>
        </w:rPr>
      </w:pPr>
      <w:r w:rsidRPr="002A2450">
        <w:rPr>
          <w:rFonts w:ascii="ITC Avant Garde" w:hAnsi="ITC Avant Garde"/>
        </w:rPr>
        <w:t>Los contratos tienen una conexión entre sí o por nexos entre las personas</w:t>
      </w:r>
    </w:p>
    <w:p w14:paraId="349416E7" w14:textId="77777777" w:rsidR="000D6F22" w:rsidRPr="002A2450" w:rsidRDefault="000D6F22" w:rsidP="007E623E">
      <w:pPr>
        <w:pStyle w:val="Prrafodelista"/>
        <w:numPr>
          <w:ilvl w:val="0"/>
          <w:numId w:val="18"/>
        </w:numPr>
        <w:spacing w:before="240" w:line="360" w:lineRule="auto"/>
        <w:jc w:val="both"/>
        <w:rPr>
          <w:rFonts w:ascii="ITC Avant Garde" w:hAnsi="ITC Avant Garde"/>
        </w:rPr>
      </w:pPr>
      <w:r w:rsidRPr="002A2450">
        <w:rPr>
          <w:rFonts w:ascii="ITC Avant Garde" w:hAnsi="ITC Avant Garde"/>
        </w:rPr>
        <w:t>Los contratos pueden ser suscritos por las mismas personas</w:t>
      </w:r>
    </w:p>
    <w:p w14:paraId="303F6234" w14:textId="77777777" w:rsidR="000D6F22" w:rsidRPr="002A2450" w:rsidRDefault="000D6F22" w:rsidP="007E623E">
      <w:pPr>
        <w:pStyle w:val="Prrafodelista"/>
        <w:numPr>
          <w:ilvl w:val="0"/>
          <w:numId w:val="18"/>
        </w:numPr>
        <w:spacing w:before="240" w:line="360" w:lineRule="auto"/>
        <w:jc w:val="both"/>
        <w:rPr>
          <w:rFonts w:ascii="ITC Avant Garde" w:hAnsi="ITC Avant Garde"/>
        </w:rPr>
      </w:pPr>
      <w:r w:rsidRPr="002A2450">
        <w:rPr>
          <w:rFonts w:ascii="ITC Avant Garde" w:hAnsi="ITC Avant Garde"/>
        </w:rPr>
        <w:lastRenderedPageBreak/>
        <w:t>Los contratos (coaligados, vinculados o interdependientes) tienen una conexión económica objetiva entre sí y una unidad que deriva de la voluntad de las partes.</w:t>
      </w:r>
    </w:p>
    <w:p w14:paraId="0AA726E8" w14:textId="77777777" w:rsidR="000D6F22" w:rsidRPr="002A2450" w:rsidRDefault="000D6F22" w:rsidP="007E623E">
      <w:pPr>
        <w:pStyle w:val="Prrafodelista"/>
        <w:numPr>
          <w:ilvl w:val="0"/>
          <w:numId w:val="18"/>
        </w:numPr>
        <w:spacing w:before="240" w:line="360" w:lineRule="auto"/>
        <w:jc w:val="both"/>
        <w:rPr>
          <w:rFonts w:ascii="ITC Avant Garde" w:hAnsi="ITC Avant Garde"/>
        </w:rPr>
      </w:pPr>
      <w:r w:rsidRPr="002A2450">
        <w:rPr>
          <w:rFonts w:ascii="ITC Avant Garde" w:hAnsi="ITC Avant Garde"/>
        </w:rPr>
        <w:t>Existen contratos coaligados, vinculados o interdependientes, cuando la voluntad de las partes sea manifestada claramente, en el sentido de relacionar entre sí dos o más contratos, ya sea en forma coordinada o subordinada.</w:t>
      </w:r>
    </w:p>
    <w:p w14:paraId="4B628BA9" w14:textId="77777777" w:rsidR="00B35F13" w:rsidRDefault="000D6F22" w:rsidP="007E623E">
      <w:pPr>
        <w:pStyle w:val="Prrafodelista"/>
        <w:numPr>
          <w:ilvl w:val="0"/>
          <w:numId w:val="18"/>
        </w:numPr>
        <w:spacing w:before="240" w:line="360" w:lineRule="auto"/>
        <w:jc w:val="both"/>
        <w:rPr>
          <w:rFonts w:ascii="ITC Avant Garde" w:hAnsi="ITC Avant Garde"/>
        </w:rPr>
      </w:pPr>
      <w:r w:rsidRPr="002A2450">
        <w:rPr>
          <w:rFonts w:ascii="ITC Avant Garde" w:hAnsi="ITC Avant Garde"/>
        </w:rPr>
        <w:t>En la vinculación unilateral, un negocio predomina y los demás le están subordinados; en la bilateral, los dos o más negocios son totalmente interdependientes, en el sentido de que la voluntad existe sobre todos ellos en un plano de igualdad. Una consecuencia que se desprende de la existencia de contratos vinculados, es que el cumplimiento de un contrato se refleja en los demás y el incumplimiento de uno también tiene que tener relevancia respecto de los demás contratos</w:t>
      </w:r>
    </w:p>
    <w:p w14:paraId="48D6E903" w14:textId="77777777" w:rsidR="00B35F13" w:rsidRDefault="000D6F22" w:rsidP="00B35F13">
      <w:pPr>
        <w:spacing w:before="240" w:line="360" w:lineRule="auto"/>
        <w:jc w:val="both"/>
        <w:rPr>
          <w:rFonts w:ascii="ITC Avant Garde" w:hAnsi="ITC Avant Garde"/>
        </w:rPr>
      </w:pPr>
      <w:r w:rsidRPr="002A2450">
        <w:rPr>
          <w:rFonts w:ascii="ITC Avant Garde" w:hAnsi="ITC Avant Garde"/>
        </w:rPr>
        <w:t xml:space="preserve">Con base en lo anterior, con el objeto de llegar a un consenso en cuanto a la denominación de los contratos que se encuentran vinculados, siguiendo lo señalado por el Poder Judicial de la Federación, se estima conveniente hablar en lo </w:t>
      </w:r>
      <w:r w:rsidR="00E82DAE" w:rsidRPr="002A2450">
        <w:rPr>
          <w:rFonts w:ascii="ITC Avant Garde" w:hAnsi="ITC Avant Garde"/>
        </w:rPr>
        <w:t xml:space="preserve">sucesivo </w:t>
      </w:r>
      <w:r w:rsidRPr="002A2450">
        <w:rPr>
          <w:rFonts w:ascii="ITC Avant Garde" w:hAnsi="ITC Avant Garde"/>
        </w:rPr>
        <w:t xml:space="preserve">de </w:t>
      </w:r>
      <w:r w:rsidRPr="002A2450">
        <w:rPr>
          <w:rFonts w:ascii="ITC Avant Garde" w:hAnsi="ITC Avant Garde"/>
          <w:b/>
          <w:u w:val="single"/>
        </w:rPr>
        <w:t>contratos coaligados</w:t>
      </w:r>
      <w:r w:rsidRPr="002A2450">
        <w:rPr>
          <w:rFonts w:ascii="ITC Avant Garde" w:hAnsi="ITC Avant Garde"/>
        </w:rPr>
        <w:t xml:space="preserve"> a efecto de evitar </w:t>
      </w:r>
      <w:r w:rsidR="002F2F1B" w:rsidRPr="002A2450">
        <w:rPr>
          <w:rFonts w:ascii="ITC Avant Garde" w:hAnsi="ITC Avant Garde"/>
        </w:rPr>
        <w:t xml:space="preserve">confusión en cuanto a los argumentos señalados por </w:t>
      </w:r>
      <w:r w:rsidR="002F2F1B" w:rsidRPr="002A2450">
        <w:rPr>
          <w:rFonts w:ascii="ITC Avant Garde" w:hAnsi="ITC Avant Garde"/>
          <w:b/>
        </w:rPr>
        <w:t>“TELMEX”</w:t>
      </w:r>
      <w:r w:rsidR="002F2F1B" w:rsidRPr="002A2450">
        <w:rPr>
          <w:rFonts w:ascii="ITC Avant Garde" w:hAnsi="ITC Avant Garde"/>
        </w:rPr>
        <w:t>.</w:t>
      </w:r>
    </w:p>
    <w:p w14:paraId="19C16CA1" w14:textId="1E82B88F" w:rsidR="00032A33" w:rsidRDefault="002F2F1B" w:rsidP="00B35F13">
      <w:pPr>
        <w:spacing w:before="240" w:line="360" w:lineRule="auto"/>
        <w:jc w:val="both"/>
        <w:rPr>
          <w:rFonts w:ascii="ITC Avant Garde" w:hAnsi="ITC Avant Garde"/>
        </w:rPr>
      </w:pPr>
      <w:r w:rsidRPr="002A2450">
        <w:rPr>
          <w:rFonts w:ascii="ITC Avant Garde" w:hAnsi="ITC Avant Garde"/>
        </w:rPr>
        <w:t xml:space="preserve">Aclarado lo anterior, asumiendo </w:t>
      </w:r>
      <w:r w:rsidR="00E82DAE" w:rsidRPr="002A2450">
        <w:rPr>
          <w:rFonts w:ascii="ITC Avant Garde" w:hAnsi="ITC Avant Garde"/>
        </w:rPr>
        <w:t xml:space="preserve">la </w:t>
      </w:r>
      <w:r w:rsidRPr="002A2450">
        <w:rPr>
          <w:rFonts w:ascii="ITC Avant Garde" w:hAnsi="ITC Avant Garde"/>
        </w:rPr>
        <w:t>exist</w:t>
      </w:r>
      <w:r w:rsidR="00821272" w:rsidRPr="002A2450">
        <w:rPr>
          <w:rFonts w:ascii="ITC Avant Garde" w:hAnsi="ITC Avant Garde"/>
        </w:rPr>
        <w:t xml:space="preserve">encia </w:t>
      </w:r>
      <w:r w:rsidR="00E82DAE" w:rsidRPr="002A2450">
        <w:rPr>
          <w:rFonts w:ascii="ITC Avant Garde" w:hAnsi="ITC Avant Garde"/>
        </w:rPr>
        <w:t xml:space="preserve">y reconocimiento </w:t>
      </w:r>
      <w:r w:rsidRPr="002A2450">
        <w:rPr>
          <w:rFonts w:ascii="ITC Avant Garde" w:hAnsi="ITC Avant Garde"/>
        </w:rPr>
        <w:t xml:space="preserve">en nuestro sistema jurídico </w:t>
      </w:r>
      <w:r w:rsidR="00821272" w:rsidRPr="002A2450">
        <w:rPr>
          <w:rFonts w:ascii="ITC Avant Garde" w:hAnsi="ITC Avant Garde"/>
        </w:rPr>
        <w:t xml:space="preserve">de </w:t>
      </w:r>
      <w:r w:rsidRPr="002A2450">
        <w:rPr>
          <w:rFonts w:ascii="ITC Avant Garde" w:hAnsi="ITC Avant Garde"/>
        </w:rPr>
        <w:t xml:space="preserve">la celebración de contratos coaligados, esta autoridad considera que el paso obligado para conocer respecto del probable incumplimiento de </w:t>
      </w:r>
      <w:r w:rsidRPr="002A2450">
        <w:rPr>
          <w:rFonts w:ascii="ITC Avant Garde" w:hAnsi="ITC Avant Garde"/>
          <w:b/>
        </w:rPr>
        <w:t>“TELMEX”</w:t>
      </w:r>
      <w:r w:rsidRPr="002A2450">
        <w:rPr>
          <w:rFonts w:ascii="ITC Avant Garde" w:hAnsi="ITC Avant Garde"/>
        </w:rPr>
        <w:t xml:space="preserve"> al</w:t>
      </w:r>
      <w:r w:rsidR="00E82DAE" w:rsidRPr="002A2450">
        <w:rPr>
          <w:rFonts w:ascii="ITC Avant Garde" w:hAnsi="ITC Avant Garde"/>
        </w:rPr>
        <w:t xml:space="preserve"> </w:t>
      </w:r>
      <w:r w:rsidR="00B15C84" w:rsidRPr="009E34A4">
        <w:rPr>
          <w:rFonts w:ascii="ITC Avant Garde" w:hAnsi="ITC Avant Garde"/>
          <w:b/>
        </w:rPr>
        <w:t>Tercer Párrafo</w:t>
      </w:r>
      <w:r w:rsidR="00E82DAE" w:rsidRPr="002A2450">
        <w:rPr>
          <w:rFonts w:ascii="ITC Avant Garde" w:hAnsi="ITC Avant Garde"/>
        </w:rPr>
        <w:t xml:space="preserve"> de la</w:t>
      </w:r>
      <w:r w:rsidRPr="002A2450">
        <w:rPr>
          <w:rFonts w:ascii="ITC Avant Garde" w:hAnsi="ITC Avant Garde"/>
        </w:rPr>
        <w:t xml:space="preserve"> condición 1-9 del su </w:t>
      </w:r>
      <w:r w:rsidRPr="002A2450">
        <w:rPr>
          <w:rFonts w:ascii="ITC Avant Garde" w:hAnsi="ITC Avant Garde"/>
          <w:b/>
        </w:rPr>
        <w:t>TÍTULO DE CONCESIÓN</w:t>
      </w:r>
      <w:r w:rsidRPr="002A2450">
        <w:rPr>
          <w:rFonts w:ascii="ITC Avant Garde" w:hAnsi="ITC Avant Garde"/>
        </w:rPr>
        <w:t xml:space="preserve"> es determinar si los contratos celebrados por dicha concesionaria </w:t>
      </w:r>
      <w:r w:rsidR="00E82DAE" w:rsidRPr="002A2450">
        <w:rPr>
          <w:rFonts w:ascii="ITC Avant Garde" w:hAnsi="ITC Avant Garde"/>
        </w:rPr>
        <w:t xml:space="preserve">con </w:t>
      </w:r>
      <w:r w:rsidR="00E82DAE" w:rsidRPr="002A2450">
        <w:rPr>
          <w:rFonts w:ascii="ITC Avant Garde" w:hAnsi="ITC Avant Garde"/>
          <w:b/>
        </w:rPr>
        <w:t>“COFRESA”</w:t>
      </w:r>
      <w:r w:rsidR="00E82DAE" w:rsidRPr="002A2450">
        <w:rPr>
          <w:rFonts w:ascii="ITC Avant Garde" w:hAnsi="ITC Avant Garde"/>
        </w:rPr>
        <w:t xml:space="preserve"> y otras empresas relacionadas, </w:t>
      </w:r>
      <w:r w:rsidRPr="002A2450">
        <w:rPr>
          <w:rFonts w:ascii="ITC Avant Garde" w:hAnsi="ITC Avant Garde"/>
        </w:rPr>
        <w:t xml:space="preserve">constituyen un mecanismo coaligado para la explotación del servicio de </w:t>
      </w:r>
      <w:r w:rsidR="00E82DAE" w:rsidRPr="002A2450">
        <w:rPr>
          <w:rFonts w:ascii="ITC Avant Garde" w:hAnsi="ITC Avant Garde"/>
          <w:b/>
        </w:rPr>
        <w:t>“</w:t>
      </w:r>
      <w:r w:rsidRPr="002A2450">
        <w:rPr>
          <w:rFonts w:ascii="ITC Avant Garde" w:hAnsi="ITC Avant Garde"/>
          <w:b/>
        </w:rPr>
        <w:t>DTH</w:t>
      </w:r>
      <w:r w:rsidR="00E82DAE" w:rsidRPr="002A2450">
        <w:rPr>
          <w:rFonts w:ascii="ITC Avant Garde" w:hAnsi="ITC Avant Garde"/>
          <w:b/>
        </w:rPr>
        <w:t>”</w:t>
      </w:r>
      <w:r w:rsidRPr="002A2450">
        <w:rPr>
          <w:rFonts w:ascii="ITC Avant Garde" w:hAnsi="ITC Avant Garde"/>
        </w:rPr>
        <w:t xml:space="preserve"> en México.</w:t>
      </w:r>
      <w:r w:rsidR="00032A33">
        <w:rPr>
          <w:rFonts w:ascii="ITC Avant Garde" w:hAnsi="ITC Avant Garde"/>
        </w:rPr>
        <w:br w:type="page"/>
      </w:r>
    </w:p>
    <w:p w14:paraId="17EEFE5F" w14:textId="77777777" w:rsidR="00B35F13" w:rsidRDefault="00B35F13" w:rsidP="00B35F13">
      <w:pPr>
        <w:spacing w:before="240" w:line="360" w:lineRule="auto"/>
        <w:jc w:val="both"/>
        <w:rPr>
          <w:rFonts w:ascii="ITC Avant Garde" w:hAnsi="ITC Avant Garde"/>
        </w:rPr>
      </w:pPr>
    </w:p>
    <w:p w14:paraId="3616293E" w14:textId="77777777" w:rsidR="00032A33" w:rsidRDefault="0035443B" w:rsidP="006C67B3">
      <w:pPr>
        <w:spacing w:before="240" w:line="360" w:lineRule="auto"/>
        <w:jc w:val="both"/>
        <w:rPr>
          <w:rFonts w:ascii="ITC Avant Garde" w:hAnsi="ITC Avant Garde"/>
        </w:rPr>
      </w:pPr>
      <w:r w:rsidRPr="002A2450">
        <w:rPr>
          <w:rFonts w:ascii="ITC Avant Garde" w:hAnsi="ITC Avant Garde"/>
        </w:rPr>
        <w:t xml:space="preserve">En ese sentido, atento al desahogo realizado por </w:t>
      </w:r>
      <w:r w:rsidRPr="002A2450">
        <w:rPr>
          <w:rFonts w:ascii="ITC Avant Garde" w:hAnsi="ITC Avant Garde"/>
          <w:b/>
        </w:rPr>
        <w:t>“COFRESA”</w:t>
      </w:r>
      <w:r w:rsidRPr="002A2450">
        <w:rPr>
          <w:rFonts w:ascii="ITC Avant Garde" w:hAnsi="ITC Avant Garde"/>
        </w:rPr>
        <w:t xml:space="preserve"> al oficio </w:t>
      </w:r>
      <w:r w:rsidRPr="002A2450">
        <w:rPr>
          <w:rFonts w:ascii="ITC Avant Garde" w:hAnsi="ITC Avant Garde"/>
          <w:b/>
        </w:rPr>
        <w:t>IFT/D04/USV/DGS/1608/2014</w:t>
      </w:r>
      <w:r w:rsidRPr="002A2450">
        <w:rPr>
          <w:rFonts w:ascii="ITC Avant Garde" w:hAnsi="ITC Avant Garde"/>
        </w:rPr>
        <w:t xml:space="preserve"> se observa </w:t>
      </w:r>
      <w:r w:rsidR="005D7672" w:rsidRPr="002A2450">
        <w:rPr>
          <w:rFonts w:ascii="ITC Avant Garde" w:hAnsi="ITC Avant Garde"/>
        </w:rPr>
        <w:t xml:space="preserve">que dicha empresa acompañó los </w:t>
      </w:r>
      <w:r w:rsidRPr="002A2450">
        <w:rPr>
          <w:rFonts w:ascii="ITC Avant Garde" w:hAnsi="ITC Avant Garde"/>
        </w:rPr>
        <w:t>siguiente</w:t>
      </w:r>
      <w:r w:rsidR="005D7672" w:rsidRPr="002A2450">
        <w:rPr>
          <w:rFonts w:ascii="ITC Avant Garde" w:hAnsi="ITC Avant Garde"/>
        </w:rPr>
        <w:t>s contratos</w:t>
      </w:r>
      <w:r w:rsidRPr="002A2450">
        <w:rPr>
          <w:rFonts w:ascii="ITC Avant Garde" w:hAnsi="ITC Avant Garde"/>
        </w:rPr>
        <w:t>:</w:t>
      </w:r>
    </w:p>
    <w:p w14:paraId="6EC48C51" w14:textId="0B38F01D" w:rsidR="00686462" w:rsidRPr="00C9499F" w:rsidRDefault="00C9499F" w:rsidP="00032A33">
      <w:pPr>
        <w:spacing w:before="240" w:line="360" w:lineRule="auto"/>
        <w:jc w:val="center"/>
        <w:rPr>
          <w:rFonts w:ascii="ITC Avant Garde" w:hAnsi="ITC Avant Garde"/>
          <w:color w:val="000000" w:themeColor="text1"/>
          <w:sz w:val="28"/>
          <w:szCs w:val="28"/>
        </w:rPr>
      </w:pPr>
      <w:r w:rsidRPr="00C9499F">
        <w:rPr>
          <w:rFonts w:ascii="ITC Avant Garde" w:hAnsi="ITC Avant Garde"/>
          <w:b/>
          <w:color w:val="000000" w:themeColor="text1"/>
          <w:sz w:val="28"/>
          <w:szCs w:val="28"/>
        </w:rPr>
        <w:t>SIN TEXTO</w:t>
      </w:r>
    </w:p>
    <w:p w14:paraId="49B68F84" w14:textId="77777777" w:rsidR="00836CC0" w:rsidRDefault="00836CC0" w:rsidP="00B35F13">
      <w:pPr>
        <w:spacing w:before="240" w:line="360" w:lineRule="auto"/>
        <w:jc w:val="both"/>
        <w:rPr>
          <w:rFonts w:ascii="ITC Avant Garde" w:hAnsi="ITC Avant Garde"/>
        </w:rPr>
        <w:sectPr w:rsidR="00836CC0" w:rsidSect="009F3771">
          <w:headerReference w:type="default" r:id="rId33"/>
          <w:pgSz w:w="12240" w:h="15840"/>
          <w:pgMar w:top="1985" w:right="1701" w:bottom="1418" w:left="1701" w:header="709" w:footer="709" w:gutter="0"/>
          <w:cols w:space="708"/>
          <w:docGrid w:linePitch="360"/>
        </w:sectPr>
      </w:pPr>
    </w:p>
    <w:p w14:paraId="7BAC8714" w14:textId="77777777" w:rsidR="00E07343" w:rsidRPr="002A2450" w:rsidRDefault="00D83948" w:rsidP="00B35F13">
      <w:pPr>
        <w:pStyle w:val="Ttulo10"/>
        <w:spacing w:before="240" w:after="160"/>
      </w:pPr>
      <w:r w:rsidRPr="002A2450">
        <w:lastRenderedPageBreak/>
        <w:t xml:space="preserve">DIAGRAMA: 1. </w:t>
      </w:r>
      <w:r w:rsidRPr="002A2450">
        <w:rPr>
          <w:b w:val="0"/>
        </w:rPr>
        <w:t>Conjunto de operaciones realizadas por Grupo MVS (con motivo de la Alianza Estratégica con “TELMEX”)</w:t>
      </w:r>
    </w:p>
    <w:p w14:paraId="004E8D59" w14:textId="75943BD4" w:rsidR="001C3E67" w:rsidRPr="006F3516" w:rsidRDefault="00AE31F3" w:rsidP="00C9499F">
      <w:pPr>
        <w:spacing w:before="240" w:line="360" w:lineRule="auto"/>
        <w:ind w:left="567" w:right="567"/>
        <w:jc w:val="center"/>
        <w:rPr>
          <w:rFonts w:ascii="ITC Avant Garde" w:hAnsi="ITC Avant Garde"/>
          <w:b/>
          <w:i/>
          <w:sz w:val="28"/>
          <w:szCs w:val="28"/>
        </w:rPr>
      </w:pPr>
      <w:r w:rsidRPr="006F3516">
        <w:rPr>
          <w:rFonts w:ascii="ITC Avant Garde" w:eastAsiaTheme="majorEastAsia" w:hAnsi="ITC Avant Garde" w:cstheme="majorBidi"/>
          <w:b/>
          <w:color w:val="0000FF"/>
          <w:sz w:val="28"/>
          <w:szCs w:val="28"/>
        </w:rPr>
        <w:t>“CONFIDENCIAL POR LEY”</w:t>
      </w:r>
    </w:p>
    <w:p w14:paraId="60914654" w14:textId="77777777" w:rsidR="00836CC0" w:rsidRDefault="00836CC0" w:rsidP="00B35F13">
      <w:pPr>
        <w:pStyle w:val="Prrafodelista"/>
        <w:spacing w:before="240" w:line="360" w:lineRule="auto"/>
        <w:ind w:left="567"/>
        <w:jc w:val="center"/>
        <w:rPr>
          <w:rFonts w:ascii="ITC Avant Garde" w:hAnsi="ITC Avant Garde"/>
          <w:i/>
        </w:rPr>
        <w:sectPr w:rsidR="00836CC0" w:rsidSect="0035443B">
          <w:headerReference w:type="default" r:id="rId34"/>
          <w:pgSz w:w="15840" w:h="12240" w:orient="landscape"/>
          <w:pgMar w:top="1701" w:right="1418" w:bottom="1701" w:left="1418" w:header="709" w:footer="709" w:gutter="0"/>
          <w:cols w:space="708"/>
          <w:docGrid w:linePitch="360"/>
        </w:sectPr>
      </w:pPr>
    </w:p>
    <w:p w14:paraId="07DD4FA6" w14:textId="77777777" w:rsidR="00B35F13" w:rsidRDefault="00B539F5" w:rsidP="00B35F13">
      <w:pPr>
        <w:spacing w:before="240" w:line="360" w:lineRule="auto"/>
        <w:jc w:val="both"/>
        <w:rPr>
          <w:rFonts w:ascii="ITC Avant Garde" w:hAnsi="ITC Avant Garde"/>
        </w:rPr>
      </w:pPr>
      <w:r w:rsidRPr="002A2450">
        <w:rPr>
          <w:rFonts w:ascii="ITC Avant Garde" w:hAnsi="ITC Avant Garde"/>
        </w:rPr>
        <w:lastRenderedPageBreak/>
        <w:t xml:space="preserve">Ahora bien, </w:t>
      </w:r>
      <w:r w:rsidR="009C2D93" w:rsidRPr="002A2450">
        <w:rPr>
          <w:rFonts w:ascii="ITC Avant Garde" w:hAnsi="ITC Avant Garde"/>
        </w:rPr>
        <w:t>a la serie de actos contemplados en el diagrama anterior, es necesario para su mejor comprensión citar algunas notas de las características relevantes de l</w:t>
      </w:r>
      <w:r w:rsidR="005D7672" w:rsidRPr="002A2450">
        <w:rPr>
          <w:rFonts w:ascii="ITC Avant Garde" w:hAnsi="ITC Avant Garde"/>
        </w:rPr>
        <w:t>o</w:t>
      </w:r>
      <w:r w:rsidR="009C2D93" w:rsidRPr="002A2450">
        <w:rPr>
          <w:rFonts w:ascii="ITC Avant Garde" w:hAnsi="ITC Avant Garde"/>
        </w:rPr>
        <w:t>s mism</w:t>
      </w:r>
      <w:r w:rsidR="005D7672" w:rsidRPr="002A2450">
        <w:rPr>
          <w:rFonts w:ascii="ITC Avant Garde" w:hAnsi="ITC Avant Garde"/>
        </w:rPr>
        <w:t>o</w:t>
      </w:r>
      <w:r w:rsidR="009C2D93" w:rsidRPr="002A2450">
        <w:rPr>
          <w:rFonts w:ascii="ITC Avant Garde" w:hAnsi="ITC Avant Garde"/>
        </w:rPr>
        <w:t>s:</w:t>
      </w:r>
    </w:p>
    <w:p w14:paraId="0CBEF813" w14:textId="303DF6D6" w:rsidR="00B35F13" w:rsidRPr="00CE1EA8" w:rsidRDefault="00984D69"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Contrato de operación</w:t>
      </w:r>
    </w:p>
    <w:p w14:paraId="44447DE9" w14:textId="77777777" w:rsidR="00B35F13" w:rsidRDefault="00D83948" w:rsidP="00B35F13">
      <w:pPr>
        <w:pStyle w:val="Prrafodelista"/>
        <w:spacing w:before="240" w:line="360" w:lineRule="auto"/>
        <w:ind w:left="567"/>
        <w:jc w:val="both"/>
        <w:rPr>
          <w:rFonts w:ascii="ITC Avant Garde" w:hAnsi="ITC Avant Garde"/>
        </w:rPr>
      </w:pPr>
      <w:r w:rsidRPr="002A2450">
        <w:rPr>
          <w:rFonts w:ascii="ITC Avant Garde" w:hAnsi="ITC Avant Garde"/>
        </w:rPr>
        <w:t xml:space="preserve">Empresas: </w:t>
      </w:r>
      <w:r w:rsidRPr="002A2450">
        <w:rPr>
          <w:rFonts w:ascii="ITC Avant Garde" w:hAnsi="ITC Avant Garde" w:cs="Arial"/>
          <w:b/>
        </w:rPr>
        <w:t xml:space="preserve">“ECHOSTAR MEXICO”, “GRUPO MVS”, “GFMTV”, “MVS MULTIVISIÓN”, “DISH MÉXICO”, “COFRESA”, “DISH HOLDINGS” </w:t>
      </w:r>
      <w:r w:rsidRPr="002A2450">
        <w:rPr>
          <w:rFonts w:ascii="ITC Avant Garde" w:hAnsi="ITC Avant Garde" w:cs="Arial"/>
        </w:rPr>
        <w:t xml:space="preserve">y </w:t>
      </w:r>
      <w:r w:rsidRPr="002A2450">
        <w:rPr>
          <w:rFonts w:ascii="ITC Avant Garde" w:hAnsi="ITC Avant Garde" w:cs="Arial"/>
          <w:b/>
        </w:rPr>
        <w:t>“ECHOSTAR CORPORATION”</w:t>
      </w:r>
    </w:p>
    <w:p w14:paraId="0235E1FA" w14:textId="77777777" w:rsidR="00B35F13" w:rsidRPr="00C30718" w:rsidRDefault="00F423B0" w:rsidP="00C30718">
      <w:pPr>
        <w:spacing w:before="240" w:line="360" w:lineRule="auto"/>
        <w:jc w:val="both"/>
        <w:rPr>
          <w:rFonts w:ascii="ITC Avant Garde" w:hAnsi="ITC Avant Garde"/>
        </w:rPr>
      </w:pPr>
      <w:r w:rsidRPr="00C30718">
        <w:rPr>
          <w:rFonts w:ascii="ITC Avant Garde" w:hAnsi="ITC Avant Garde"/>
        </w:rPr>
        <w:t>Este contrato, establece de manera general la operación realizada entre las empresas involucradas y que dan origen a los contratos que más adelante se señalan.</w:t>
      </w:r>
    </w:p>
    <w:p w14:paraId="2005A486" w14:textId="25718D22" w:rsidR="00B35F13" w:rsidRPr="006F3516" w:rsidRDefault="00AE31F3" w:rsidP="00C9499F">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7EA1B74A" w14:textId="268A3AFC" w:rsidR="00B35F13" w:rsidRPr="00CE1EA8" w:rsidRDefault="009C2D93"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Compraventa de Acciones</w:t>
      </w:r>
    </w:p>
    <w:p w14:paraId="5CD5EFC6" w14:textId="1A5B5728" w:rsidR="00B35F13" w:rsidRPr="006F3516" w:rsidRDefault="008B1D1B"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72E84B27" w14:textId="77777777" w:rsidR="00B35F13" w:rsidRPr="00CE1EA8" w:rsidRDefault="00B03AD2"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Transformación de MVS MULTIVISIÓN DEL BAJÍO, S.A. DE C.V. a “DISH MÉXICO”</w:t>
      </w:r>
    </w:p>
    <w:p w14:paraId="69DF4804" w14:textId="4BAEF1F3" w:rsidR="00B35F13" w:rsidRPr="006F3516" w:rsidRDefault="008B1D1B"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r w:rsidR="00C9499F" w:rsidRPr="006F3516">
        <w:rPr>
          <w:rFonts w:ascii="ITC Avant Garde" w:eastAsiaTheme="majorEastAsia" w:hAnsi="ITC Avant Garde" w:cstheme="majorBidi"/>
          <w:b/>
          <w:color w:val="0000FF"/>
          <w:szCs w:val="32"/>
        </w:rPr>
        <w:t>”</w:t>
      </w:r>
      <w:r w:rsidRPr="006F3516">
        <w:rPr>
          <w:rFonts w:ascii="ITC Avant Garde" w:hAnsi="ITC Avant Garde"/>
          <w:b/>
          <w:i/>
        </w:rPr>
        <w:t xml:space="preserve"> </w:t>
      </w:r>
    </w:p>
    <w:p w14:paraId="2463BA48" w14:textId="77777777" w:rsidR="00B35F13" w:rsidRPr="00CE1EA8" w:rsidRDefault="008113A7"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Cesión de derechos</w:t>
      </w:r>
    </w:p>
    <w:p w14:paraId="6C7DB61C" w14:textId="0185666D" w:rsidR="00B35F13" w:rsidRPr="006F3516" w:rsidRDefault="008B1D1B"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43AD7DA8" w14:textId="77777777" w:rsidR="00B35F13" w:rsidRPr="00CE1EA8" w:rsidRDefault="008C70C9"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Arrendamiento de infraestructura y servicios</w:t>
      </w:r>
    </w:p>
    <w:p w14:paraId="18DE2A20" w14:textId="0A8D1622" w:rsidR="00B35F13" w:rsidRPr="006F3516" w:rsidRDefault="008B1D1B"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6CD8FB8B" w14:textId="77777777" w:rsidR="00B35F13" w:rsidRPr="00CE1EA8" w:rsidRDefault="00CD0184"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Licencia de marcas</w:t>
      </w:r>
    </w:p>
    <w:p w14:paraId="6628D7B5" w14:textId="1EE6CE24" w:rsidR="00B35F13" w:rsidRPr="006F3516" w:rsidRDefault="008B1D1B" w:rsidP="00B35F13">
      <w:pPr>
        <w:pStyle w:val="Prrafodelista"/>
        <w:spacing w:before="240" w:line="360" w:lineRule="auto"/>
        <w:ind w:left="567"/>
        <w:jc w:val="both"/>
        <w:rPr>
          <w:rFonts w:ascii="ITC Avant Garde" w:hAnsi="ITC Avant Garde"/>
          <w:b/>
        </w:rPr>
      </w:pPr>
      <w:r w:rsidRPr="006F3516">
        <w:rPr>
          <w:rFonts w:ascii="ITC Avant Garde" w:eastAsiaTheme="majorEastAsia" w:hAnsi="ITC Avant Garde" w:cstheme="majorBidi"/>
          <w:b/>
          <w:color w:val="0000FF"/>
          <w:szCs w:val="32"/>
        </w:rPr>
        <w:t>“CONFIDENCIAL POR LEY”</w:t>
      </w:r>
      <w:r w:rsidRPr="006F3516">
        <w:rPr>
          <w:rFonts w:ascii="ITC Avant Garde" w:hAnsi="ITC Avant Garde"/>
          <w:b/>
          <w:i/>
        </w:rPr>
        <w:t xml:space="preserve"> </w:t>
      </w:r>
    </w:p>
    <w:p w14:paraId="2F8FE431" w14:textId="77777777" w:rsidR="00B35F13" w:rsidRPr="00CE1EA8" w:rsidRDefault="00CD0184"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Servicios de transmisión</w:t>
      </w:r>
    </w:p>
    <w:p w14:paraId="1D04394D" w14:textId="14B649E9" w:rsidR="00B35F13" w:rsidRPr="006F3516" w:rsidRDefault="00497C25" w:rsidP="00B35F13">
      <w:pPr>
        <w:pStyle w:val="Prrafodelista"/>
        <w:spacing w:before="240" w:line="360" w:lineRule="auto"/>
        <w:ind w:left="567"/>
        <w:jc w:val="both"/>
        <w:rPr>
          <w:rFonts w:ascii="ITC Avant Garde" w:hAnsi="ITC Avant Garde"/>
          <w:b/>
          <w:i/>
        </w:rPr>
      </w:pPr>
      <w:r w:rsidRPr="006F3516">
        <w:rPr>
          <w:rFonts w:ascii="ITC Avant Garde" w:eastAsiaTheme="majorEastAsia" w:hAnsi="ITC Avant Garde" w:cstheme="majorBidi"/>
          <w:b/>
          <w:color w:val="0000FF"/>
          <w:szCs w:val="32"/>
        </w:rPr>
        <w:t>“CONFIDENCIAL POR LEY”</w:t>
      </w:r>
    </w:p>
    <w:p w14:paraId="79F290DA" w14:textId="77777777" w:rsidR="00B35F13" w:rsidRPr="00CE1EA8" w:rsidRDefault="001B410F"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Provisión de capacidad</w:t>
      </w:r>
    </w:p>
    <w:p w14:paraId="660A4C6A" w14:textId="5DE426ED" w:rsidR="001B410F" w:rsidRPr="006F3516" w:rsidRDefault="00497C25" w:rsidP="00B35F13">
      <w:pPr>
        <w:pStyle w:val="Prrafodelista"/>
        <w:spacing w:before="240" w:line="360" w:lineRule="auto"/>
        <w:ind w:left="567"/>
        <w:jc w:val="both"/>
        <w:rPr>
          <w:rFonts w:ascii="ITC Avant Garde" w:hAnsi="ITC Avant Garde"/>
          <w:b/>
        </w:rPr>
      </w:pPr>
      <w:r w:rsidRPr="006F3516">
        <w:rPr>
          <w:rFonts w:ascii="ITC Avant Garde" w:eastAsiaTheme="majorEastAsia" w:hAnsi="ITC Avant Garde" w:cstheme="majorBidi"/>
          <w:b/>
          <w:color w:val="0000FF"/>
          <w:szCs w:val="32"/>
        </w:rPr>
        <w:t>“CONFIDENCIAL POR LEY</w:t>
      </w:r>
      <w:r w:rsidR="00C9499F" w:rsidRPr="006F3516">
        <w:rPr>
          <w:rFonts w:ascii="ITC Avant Garde" w:eastAsiaTheme="majorEastAsia" w:hAnsi="ITC Avant Garde" w:cstheme="majorBidi"/>
          <w:b/>
          <w:color w:val="0000FF"/>
          <w:szCs w:val="32"/>
        </w:rPr>
        <w:t>”</w:t>
      </w:r>
      <w:r w:rsidRPr="006F3516">
        <w:rPr>
          <w:rFonts w:ascii="ITC Avant Garde" w:hAnsi="ITC Avant Garde"/>
          <w:b/>
          <w:i/>
        </w:rPr>
        <w:t xml:space="preserve"> </w:t>
      </w:r>
    </w:p>
    <w:p w14:paraId="0306CA31" w14:textId="77777777" w:rsidR="00B35F13" w:rsidRPr="00CE1EA8" w:rsidRDefault="001B410F"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Cesión de derechos (2)</w:t>
      </w:r>
    </w:p>
    <w:p w14:paraId="043031B4" w14:textId="2E1CE865" w:rsidR="00B35F13" w:rsidRPr="006F3516" w:rsidRDefault="00497C25" w:rsidP="00B35F13">
      <w:pPr>
        <w:pStyle w:val="Prrafodelista"/>
        <w:spacing w:before="240" w:line="360" w:lineRule="auto"/>
        <w:ind w:left="567"/>
        <w:jc w:val="both"/>
        <w:rPr>
          <w:rFonts w:ascii="ITC Avant Garde" w:hAnsi="ITC Avant Garde"/>
          <w:b/>
        </w:rPr>
      </w:pPr>
      <w:r w:rsidRPr="006F3516">
        <w:rPr>
          <w:rFonts w:ascii="ITC Avant Garde" w:eastAsiaTheme="majorEastAsia" w:hAnsi="ITC Avant Garde" w:cstheme="majorBidi"/>
          <w:b/>
          <w:color w:val="0000FF"/>
          <w:szCs w:val="32"/>
        </w:rPr>
        <w:lastRenderedPageBreak/>
        <w:t>“CONFIDENCIAL POR LEY”</w:t>
      </w:r>
      <w:r w:rsidRPr="006F3516">
        <w:rPr>
          <w:rFonts w:ascii="ITC Avant Garde" w:hAnsi="ITC Avant Garde"/>
          <w:b/>
          <w:i/>
        </w:rPr>
        <w:t xml:space="preserve"> </w:t>
      </w:r>
    </w:p>
    <w:p w14:paraId="4AB57937" w14:textId="77777777" w:rsidR="00B35F13" w:rsidRPr="00CE1EA8" w:rsidRDefault="001B410F"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Cesión de uso irrevocable</w:t>
      </w:r>
    </w:p>
    <w:p w14:paraId="7CC5E952" w14:textId="196C9078" w:rsidR="00B35F13" w:rsidRPr="006F3516" w:rsidRDefault="00497C25"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1E5F6682" w14:textId="77777777" w:rsidR="00B35F13" w:rsidRPr="00CE1EA8" w:rsidRDefault="001B410F"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Prestación de servicios</w:t>
      </w:r>
    </w:p>
    <w:p w14:paraId="1F09A9BF" w14:textId="43E7C71A" w:rsidR="00B35F13" w:rsidRPr="006F3516" w:rsidRDefault="00497C25" w:rsidP="00B35F13">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32475000" w14:textId="77777777" w:rsidR="00B35F13" w:rsidRPr="00CE1EA8" w:rsidRDefault="00EA4331"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Compra venta de CPE</w:t>
      </w:r>
    </w:p>
    <w:p w14:paraId="28214303" w14:textId="54316F0E" w:rsidR="00B35F13" w:rsidRPr="006F3516" w:rsidRDefault="00497C25" w:rsidP="006F3516">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715E271E" w14:textId="77777777" w:rsidR="00B35F13" w:rsidRDefault="00430978" w:rsidP="00B35F13">
      <w:pPr>
        <w:spacing w:before="240" w:line="360" w:lineRule="auto"/>
        <w:jc w:val="both"/>
        <w:rPr>
          <w:rFonts w:ascii="ITC Avant Garde" w:hAnsi="ITC Avant Garde"/>
        </w:rPr>
      </w:pPr>
      <w:r w:rsidRPr="002A2450">
        <w:rPr>
          <w:rFonts w:ascii="ITC Avant Garde" w:hAnsi="ITC Avant Garde"/>
        </w:rPr>
        <w:t xml:space="preserve">Cabe precisar que la serie de contratos antes descritos, forman parte de las consideraciones señaladas en el contrato de operación celebrado entre las empresas </w:t>
      </w:r>
      <w:r w:rsidR="00F44310" w:rsidRPr="002A2450">
        <w:rPr>
          <w:rFonts w:ascii="ITC Avant Garde" w:hAnsi="ITC Avant Garde"/>
        </w:rPr>
        <w:t xml:space="preserve">referidas </w:t>
      </w:r>
      <w:r w:rsidRPr="002A2450">
        <w:rPr>
          <w:rFonts w:ascii="ITC Avant Garde" w:hAnsi="ITC Avant Garde"/>
        </w:rPr>
        <w:t>en el diagrama</w:t>
      </w:r>
      <w:r w:rsidR="00F44310" w:rsidRPr="002A2450">
        <w:rPr>
          <w:rFonts w:ascii="ITC Avant Garde" w:hAnsi="ITC Avant Garde"/>
        </w:rPr>
        <w:t xml:space="preserve"> denominado</w:t>
      </w:r>
      <w:r w:rsidR="00F44310" w:rsidRPr="002A2450">
        <w:rPr>
          <w:rFonts w:ascii="ITC Avant Garde" w:hAnsi="ITC Avant Garde"/>
          <w:b/>
          <w:noProof/>
          <w:sz w:val="20"/>
          <w:lang w:eastAsia="es-MX"/>
        </w:rPr>
        <w:t xml:space="preserve"> “</w:t>
      </w:r>
      <w:r w:rsidR="00F44310" w:rsidRPr="002A2450">
        <w:rPr>
          <w:rFonts w:ascii="ITC Avant Garde" w:hAnsi="ITC Avant Garde"/>
          <w:b/>
          <w:i/>
          <w:noProof/>
          <w:sz w:val="20"/>
          <w:lang w:eastAsia="es-MX"/>
        </w:rPr>
        <w:t>DIAGRAMA: 1. Conjunto de operaciones realizadas por Grupo MVS (con motivo de la Alianza Estratégica con “TELMEX”)”</w:t>
      </w:r>
      <w:r w:rsidR="00F44310" w:rsidRPr="002A2450">
        <w:rPr>
          <w:rFonts w:ascii="ITC Avant Garde" w:hAnsi="ITC Avant Garde"/>
        </w:rPr>
        <w:t xml:space="preserve"> </w:t>
      </w:r>
      <w:r w:rsidRPr="002A2450">
        <w:rPr>
          <w:rFonts w:ascii="ITC Avant Garde" w:hAnsi="ITC Avant Garde"/>
        </w:rPr>
        <w:t xml:space="preserve">, </w:t>
      </w:r>
      <w:r w:rsidR="00EF419B" w:rsidRPr="002A2450">
        <w:rPr>
          <w:rFonts w:ascii="ITC Avant Garde" w:hAnsi="ITC Avant Garde"/>
        </w:rPr>
        <w:t>dónde se destaca la siguiente:</w:t>
      </w:r>
    </w:p>
    <w:p w14:paraId="28FA6DD0" w14:textId="030B3557" w:rsidR="00B35F13" w:rsidRPr="006F3516" w:rsidRDefault="00497C25" w:rsidP="00B35F13">
      <w:pPr>
        <w:spacing w:before="240" w:line="360" w:lineRule="auto"/>
        <w:ind w:left="567" w:righ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 xml:space="preserve">“CONFIDENCIAL POR LEY” </w:t>
      </w:r>
    </w:p>
    <w:p w14:paraId="634FD9D7" w14:textId="77777777" w:rsidR="00B35F13" w:rsidRDefault="001E07FE" w:rsidP="00B35F13">
      <w:pPr>
        <w:spacing w:before="240" w:line="360" w:lineRule="auto"/>
        <w:jc w:val="both"/>
        <w:rPr>
          <w:rFonts w:ascii="ITC Avant Garde" w:hAnsi="ITC Avant Garde"/>
        </w:rPr>
      </w:pPr>
      <w:r w:rsidRPr="002A2450">
        <w:rPr>
          <w:rFonts w:ascii="ITC Avant Garde" w:hAnsi="ITC Avant Garde"/>
        </w:rPr>
        <w:t xml:space="preserve">Asimismo, la </w:t>
      </w:r>
      <w:r w:rsidR="00497C25" w:rsidRPr="006F3516">
        <w:rPr>
          <w:rFonts w:ascii="ITC Avant Garde" w:eastAsiaTheme="majorEastAsia" w:hAnsi="ITC Avant Garde" w:cstheme="majorBidi"/>
          <w:b/>
          <w:color w:val="0000FF"/>
          <w:szCs w:val="32"/>
        </w:rPr>
        <w:t>“CONFIDENCIAL POR LEY”</w:t>
      </w:r>
      <w:r w:rsidRPr="006F3516">
        <w:rPr>
          <w:rFonts w:ascii="ITC Avant Garde" w:hAnsi="ITC Avant Garde"/>
        </w:rPr>
        <w:t>,</w:t>
      </w:r>
      <w:r w:rsidRPr="006F3516">
        <w:rPr>
          <w:rFonts w:ascii="ITC Avant Garde" w:hAnsi="ITC Avant Garde"/>
          <w:b/>
        </w:rPr>
        <w:t xml:space="preserve"> </w:t>
      </w:r>
      <w:r w:rsidRPr="002A2450">
        <w:rPr>
          <w:rFonts w:ascii="ITC Avant Garde" w:hAnsi="ITC Avant Garde"/>
        </w:rPr>
        <w:t xml:space="preserve">del contrato de operación destaca en su </w:t>
      </w:r>
      <w:r w:rsidR="00497C25" w:rsidRPr="006F3516">
        <w:rPr>
          <w:rFonts w:ascii="ITC Avant Garde" w:eastAsiaTheme="majorEastAsia" w:hAnsi="ITC Avant Garde" w:cstheme="majorBidi"/>
          <w:b/>
          <w:color w:val="0000FF"/>
          <w:szCs w:val="32"/>
        </w:rPr>
        <w:t>“CONFIDENCIAL POR LEY”</w:t>
      </w:r>
      <w:r w:rsidRPr="002A2450">
        <w:rPr>
          <w:rFonts w:ascii="ITC Avant Garde" w:hAnsi="ITC Avant Garde"/>
        </w:rPr>
        <w:t>, lo siguiente:</w:t>
      </w:r>
    </w:p>
    <w:p w14:paraId="023B5E37" w14:textId="662F6D72" w:rsidR="00B35F13" w:rsidRPr="006F3516" w:rsidRDefault="00497C25" w:rsidP="006F3516">
      <w:pPr>
        <w:pStyle w:val="Prrafodelista"/>
        <w:spacing w:before="240" w:line="360" w:lineRule="auto"/>
        <w:ind w:left="567"/>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442F58EE" w14:textId="77777777" w:rsidR="00B35F13" w:rsidRDefault="00A02A08" w:rsidP="00B35F13">
      <w:pPr>
        <w:spacing w:before="240" w:line="360" w:lineRule="auto"/>
        <w:jc w:val="both"/>
        <w:rPr>
          <w:rFonts w:ascii="ITC Avant Garde" w:hAnsi="ITC Avant Garde"/>
        </w:rPr>
      </w:pPr>
      <w:r w:rsidRPr="002A2450">
        <w:rPr>
          <w:rFonts w:ascii="ITC Avant Garde" w:hAnsi="ITC Avant Garde"/>
        </w:rPr>
        <w:t xml:space="preserve">En este sentido, de las constancias que obran en los autos del expediente en que se actúa, </w:t>
      </w:r>
      <w:r w:rsidRPr="002A2450">
        <w:rPr>
          <w:rFonts w:ascii="ITC Avant Garde" w:hAnsi="ITC Avant Garde"/>
          <w:b/>
        </w:rPr>
        <w:t>“COFRESA”</w:t>
      </w:r>
      <w:r w:rsidRPr="002A2450">
        <w:rPr>
          <w:rFonts w:ascii="ITC Avant Garde" w:hAnsi="ITC Avant Garde"/>
        </w:rPr>
        <w:t xml:space="preserve"> en respuesta al requerimiento formulado por la </w:t>
      </w:r>
      <w:r w:rsidR="0090416F" w:rsidRPr="002A2450">
        <w:rPr>
          <w:rFonts w:ascii="ITC Avant Garde" w:hAnsi="ITC Avant Garde"/>
          <w:b/>
        </w:rPr>
        <w:t xml:space="preserve">“DGS” </w:t>
      </w:r>
      <w:r w:rsidRPr="002A2450">
        <w:rPr>
          <w:rFonts w:ascii="ITC Avant Garde" w:hAnsi="ITC Avant Garde"/>
        </w:rPr>
        <w:t xml:space="preserve">mediante el oficio </w:t>
      </w:r>
      <w:r w:rsidRPr="002A2450">
        <w:rPr>
          <w:rFonts w:ascii="ITC Avant Garde" w:hAnsi="ITC Avant Garde"/>
          <w:b/>
        </w:rPr>
        <w:t>IFT/D04/USV/DGS/1384/2014</w:t>
      </w:r>
      <w:r w:rsidRPr="002A2450">
        <w:rPr>
          <w:rFonts w:ascii="ITC Avant Garde" w:hAnsi="ITC Avant Garde"/>
        </w:rPr>
        <w:t xml:space="preserve"> de trece de marzo de dos mil catorce, señaló en su </w:t>
      </w:r>
      <w:r w:rsidRPr="002A2450">
        <w:rPr>
          <w:rFonts w:ascii="ITC Avant Garde" w:hAnsi="ITC Avant Garde"/>
          <w:b/>
        </w:rPr>
        <w:t>Anexo 2</w:t>
      </w:r>
      <w:r w:rsidRPr="002A2450">
        <w:rPr>
          <w:rFonts w:ascii="ITC Avant Garde" w:hAnsi="ITC Avant Garde"/>
        </w:rPr>
        <w:t xml:space="preserve">, la estructura corporativa de las empresas que conforman </w:t>
      </w:r>
      <w:r w:rsidRPr="002A2450">
        <w:rPr>
          <w:rFonts w:ascii="ITC Avant Garde" w:hAnsi="ITC Avant Garde"/>
          <w:b/>
        </w:rPr>
        <w:t>“DISH HOLDINGS”</w:t>
      </w:r>
      <w:r w:rsidRPr="002A2450">
        <w:rPr>
          <w:rFonts w:ascii="ITC Avant Garde" w:hAnsi="ITC Avant Garde"/>
        </w:rPr>
        <w:t>, bajo el siguiente esquema:</w:t>
      </w:r>
    </w:p>
    <w:p w14:paraId="00C25E76" w14:textId="6EB7A313" w:rsidR="00B35F13" w:rsidRPr="006F3516" w:rsidRDefault="002F4529" w:rsidP="00B35F13">
      <w:pPr>
        <w:spacing w:before="240" w:line="360" w:lineRule="auto"/>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2EB23249" w14:textId="13856D64" w:rsidR="00B35F13" w:rsidRDefault="00A02A08" w:rsidP="00B35F13">
      <w:pPr>
        <w:spacing w:before="240" w:line="360" w:lineRule="auto"/>
        <w:jc w:val="both"/>
        <w:rPr>
          <w:rFonts w:ascii="ITC Avant Garde" w:hAnsi="ITC Avant Garde"/>
        </w:rPr>
      </w:pPr>
      <w:r w:rsidRPr="002A2450">
        <w:rPr>
          <w:rFonts w:ascii="ITC Avant Garde" w:hAnsi="ITC Avant Garde"/>
        </w:rPr>
        <w:t>Ahora bien, basta señalar que el contrato de operación</w:t>
      </w:r>
      <w:r w:rsidR="00F44310" w:rsidRPr="002A2450">
        <w:rPr>
          <w:rFonts w:ascii="ITC Avant Garde" w:hAnsi="ITC Avant Garde"/>
        </w:rPr>
        <w:t xml:space="preserve"> antes relacionado</w:t>
      </w:r>
      <w:r w:rsidRPr="002A2450">
        <w:rPr>
          <w:rFonts w:ascii="ITC Avant Garde" w:hAnsi="ITC Avant Garde"/>
        </w:rPr>
        <w:t xml:space="preserve">, forma parte de la serie de contratos que fueron celebrados como parte de la reestructura de </w:t>
      </w:r>
      <w:r w:rsidRPr="002A2450">
        <w:rPr>
          <w:rFonts w:ascii="ITC Avant Garde" w:hAnsi="ITC Avant Garde"/>
          <w:b/>
        </w:rPr>
        <w:t xml:space="preserve">“DISH HOLDINGS”, </w:t>
      </w:r>
      <w:r w:rsidRPr="002A2450">
        <w:rPr>
          <w:rFonts w:ascii="ITC Avant Garde" w:hAnsi="ITC Avant Garde"/>
        </w:rPr>
        <w:t xml:space="preserve">los cuales fueron celebrados en su mayoría el </w:t>
      </w:r>
      <w:r w:rsidRPr="002A2450">
        <w:rPr>
          <w:rFonts w:ascii="ITC Avant Garde" w:hAnsi="ITC Avant Garde"/>
        </w:rPr>
        <w:lastRenderedPageBreak/>
        <w:t xml:space="preserve">veinticuatro de noviembre de dos mil ocho, así como que en los mismos se menciona que </w:t>
      </w:r>
      <w:r w:rsidRPr="002A2450">
        <w:rPr>
          <w:rFonts w:ascii="ITC Avant Garde" w:hAnsi="ITC Avant Garde"/>
          <w:b/>
        </w:rPr>
        <w:t xml:space="preserve">“ECHOSTAR MÉXICO” </w:t>
      </w:r>
      <w:r w:rsidRPr="002A2450">
        <w:rPr>
          <w:rFonts w:ascii="ITC Avant Garde" w:hAnsi="ITC Avant Garde"/>
        </w:rPr>
        <w:t xml:space="preserve">y </w:t>
      </w:r>
      <w:r w:rsidRPr="002A2450">
        <w:rPr>
          <w:rFonts w:ascii="ITC Avant Garde" w:hAnsi="ITC Avant Garde"/>
          <w:b/>
        </w:rPr>
        <w:t xml:space="preserve">“GFMTV” </w:t>
      </w:r>
      <w:r w:rsidRPr="002A2450">
        <w:rPr>
          <w:rFonts w:ascii="ITC Avant Garde" w:hAnsi="ITC Avant Garde"/>
        </w:rPr>
        <w:t xml:space="preserve">negociaron con </w:t>
      </w:r>
      <w:r w:rsidRPr="002A2450">
        <w:rPr>
          <w:rFonts w:ascii="ITC Avant Garde" w:hAnsi="ITC Avant Garde"/>
          <w:b/>
        </w:rPr>
        <w:t>“TELMEX”</w:t>
      </w:r>
      <w:r w:rsidRPr="002A2450">
        <w:rPr>
          <w:rFonts w:ascii="ITC Avant Garde" w:hAnsi="ITC Avant Garde"/>
        </w:rPr>
        <w:t xml:space="preserve"> una alianza estratégica para llevar a cabo </w:t>
      </w:r>
      <w:r w:rsidR="00A401E4" w:rsidRPr="002A2450">
        <w:rPr>
          <w:rFonts w:ascii="ITC Avant Garde" w:hAnsi="ITC Avant Garde"/>
        </w:rPr>
        <w:t xml:space="preserve">la prestación del servicio </w:t>
      </w:r>
      <w:r w:rsidR="00A401E4" w:rsidRPr="002A2450">
        <w:rPr>
          <w:rFonts w:ascii="ITC Avant Garde" w:hAnsi="ITC Avant Garde"/>
          <w:b/>
        </w:rPr>
        <w:t>DTH</w:t>
      </w:r>
      <w:r w:rsidR="00A401E4" w:rsidRPr="002A2450">
        <w:rPr>
          <w:rFonts w:ascii="ITC Avant Garde" w:hAnsi="ITC Avant Garde"/>
        </w:rPr>
        <w:t xml:space="preserve"> en México.</w:t>
      </w:r>
    </w:p>
    <w:p w14:paraId="728844A0" w14:textId="16EA1EF4" w:rsidR="004F1DF9" w:rsidRDefault="00A401E4" w:rsidP="00B35F13">
      <w:pPr>
        <w:spacing w:before="240" w:line="360" w:lineRule="auto"/>
        <w:jc w:val="both"/>
        <w:rPr>
          <w:rFonts w:ascii="ITC Avant Garde" w:hAnsi="ITC Avant Garde"/>
        </w:rPr>
      </w:pPr>
      <w:r w:rsidRPr="002A2450">
        <w:rPr>
          <w:rFonts w:ascii="ITC Avant Garde" w:hAnsi="ITC Avant Garde"/>
        </w:rPr>
        <w:t xml:space="preserve">En ese sentido, corresponde en este apartado señalar, la serie de contratos celebrados con </w:t>
      </w:r>
      <w:r w:rsidRPr="002A2450">
        <w:rPr>
          <w:rFonts w:ascii="ITC Avant Garde" w:hAnsi="ITC Avant Garde"/>
          <w:b/>
        </w:rPr>
        <w:t>“TELMEX”</w:t>
      </w:r>
      <w:r w:rsidRPr="002A2450">
        <w:rPr>
          <w:rFonts w:ascii="ITC Avant Garde" w:hAnsi="ITC Avant Garde"/>
        </w:rPr>
        <w:t>, al tenor del siguiente diagrama.</w:t>
      </w:r>
    </w:p>
    <w:p w14:paraId="3A0E3D02" w14:textId="67C8A3AC" w:rsidR="00C30718" w:rsidRPr="006F3516" w:rsidRDefault="00C30718" w:rsidP="00C30718">
      <w:pPr>
        <w:spacing w:before="240" w:line="240" w:lineRule="auto"/>
        <w:ind w:right="-425"/>
        <w:jc w:val="center"/>
        <w:rPr>
          <w:rFonts w:ascii="ITC Avant Garde" w:hAnsi="ITC Avant Garde" w:cs="ITC Avant Garde"/>
          <w:b/>
          <w:color w:val="000000" w:themeColor="text1"/>
          <w:sz w:val="16"/>
          <w:szCs w:val="16"/>
          <w:lang w:eastAsia="es-MX"/>
        </w:rPr>
        <w:sectPr w:rsidR="00C30718" w:rsidRPr="006F3516" w:rsidSect="00C30718">
          <w:pgSz w:w="12240" w:h="15840"/>
          <w:pgMar w:top="1418" w:right="1701" w:bottom="1418" w:left="1985" w:header="709" w:footer="709" w:gutter="0"/>
          <w:cols w:space="708"/>
          <w:docGrid w:linePitch="360"/>
        </w:sectPr>
      </w:pPr>
      <w:r w:rsidRPr="006F3516">
        <w:rPr>
          <w:rFonts w:ascii="ITC Avant Garde" w:hAnsi="ITC Avant Garde"/>
          <w:b/>
          <w:color w:val="000000" w:themeColor="text1"/>
          <w:sz w:val="28"/>
          <w:szCs w:val="28"/>
        </w:rPr>
        <w:t>SIN TEXTO</w:t>
      </w:r>
    </w:p>
    <w:p w14:paraId="7F2CDA82" w14:textId="77777777" w:rsidR="00B35F13" w:rsidRDefault="002F4529" w:rsidP="00B35F13">
      <w:pPr>
        <w:pStyle w:val="Ttulo10"/>
        <w:spacing w:before="240" w:after="160"/>
        <w:rPr>
          <w:i/>
        </w:rPr>
      </w:pPr>
      <w:r w:rsidRPr="002A2450">
        <w:lastRenderedPageBreak/>
        <w:t xml:space="preserve">DIAGRAMA: 2. </w:t>
      </w:r>
      <w:r w:rsidRPr="002A2450">
        <w:rPr>
          <w:b w:val="0"/>
        </w:rPr>
        <w:t xml:space="preserve">Contratos celebrados con “TELMEX” con motivo de la </w:t>
      </w:r>
      <w:r w:rsidRPr="002A2450">
        <w:rPr>
          <w:b w:val="0"/>
          <w:i/>
        </w:rPr>
        <w:t>Alianza Estratégica</w:t>
      </w:r>
    </w:p>
    <w:p w14:paraId="4E83E25E" w14:textId="2AF0DDDE" w:rsidR="004F1DF9" w:rsidRPr="006F3516" w:rsidRDefault="002F4529" w:rsidP="00C9499F">
      <w:pPr>
        <w:spacing w:before="240" w:line="360" w:lineRule="auto"/>
        <w:jc w:val="center"/>
        <w:rPr>
          <w:b/>
          <w:i/>
          <w:sz w:val="28"/>
          <w:szCs w:val="28"/>
        </w:rPr>
      </w:pPr>
      <w:r w:rsidRPr="006F3516">
        <w:rPr>
          <w:rFonts w:ascii="ITC Avant Garde" w:eastAsiaTheme="majorEastAsia" w:hAnsi="ITC Avant Garde" w:cstheme="majorBidi"/>
          <w:b/>
          <w:color w:val="0000FF"/>
          <w:sz w:val="28"/>
          <w:szCs w:val="28"/>
        </w:rPr>
        <w:t>“CONFIDENCIAL POR LEY”</w:t>
      </w:r>
    </w:p>
    <w:p w14:paraId="440C993C" w14:textId="77777777" w:rsidR="00836CC0" w:rsidRDefault="00836CC0" w:rsidP="00B35F13">
      <w:pPr>
        <w:spacing w:before="240" w:line="360" w:lineRule="auto"/>
        <w:rPr>
          <w:rFonts w:ascii="ITC Avant Garde" w:hAnsi="ITC Avant Garde"/>
        </w:rPr>
        <w:sectPr w:rsidR="00836CC0" w:rsidSect="009F3771">
          <w:pgSz w:w="15840" w:h="12240" w:orient="landscape"/>
          <w:pgMar w:top="1985" w:right="1418" w:bottom="1701" w:left="1418" w:header="709" w:footer="709" w:gutter="0"/>
          <w:cols w:space="708"/>
          <w:docGrid w:linePitch="360"/>
        </w:sectPr>
      </w:pPr>
    </w:p>
    <w:p w14:paraId="0153D4CF" w14:textId="0C189564" w:rsidR="009951F9" w:rsidRPr="002A2450" w:rsidRDefault="009951F9" w:rsidP="00C30718">
      <w:pPr>
        <w:spacing w:before="240" w:line="360" w:lineRule="auto"/>
        <w:jc w:val="both"/>
        <w:rPr>
          <w:rFonts w:ascii="ITC Avant Garde" w:hAnsi="ITC Avant Garde"/>
        </w:rPr>
      </w:pPr>
      <w:r w:rsidRPr="002A2450">
        <w:rPr>
          <w:rFonts w:ascii="ITC Avant Garde" w:hAnsi="ITC Avant Garde"/>
        </w:rPr>
        <w:lastRenderedPageBreak/>
        <w:t xml:space="preserve">Ahora bien, con base en el diagrama anterior, es necesario para su mejor comprensión citar algunas notas de las características relevantes de los contratos celebrados con </w:t>
      </w:r>
      <w:r w:rsidRPr="002A2450">
        <w:rPr>
          <w:rFonts w:ascii="ITC Avant Garde" w:hAnsi="ITC Avant Garde"/>
          <w:b/>
        </w:rPr>
        <w:t>“TELMEX”</w:t>
      </w:r>
      <w:r w:rsidR="00C30718">
        <w:rPr>
          <w:rFonts w:ascii="ITC Avant Garde" w:hAnsi="ITC Avant Garde"/>
        </w:rPr>
        <w:t>:</w:t>
      </w:r>
    </w:p>
    <w:p w14:paraId="63F6767C" w14:textId="77777777" w:rsidR="00B35F13" w:rsidRPr="00CE1EA8" w:rsidRDefault="009951F9"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Distribución</w:t>
      </w:r>
    </w:p>
    <w:p w14:paraId="1D269FC6" w14:textId="77777777" w:rsidR="00B35F13" w:rsidRDefault="009951F9" w:rsidP="00B35F13">
      <w:pPr>
        <w:pStyle w:val="Prrafodelista"/>
        <w:spacing w:before="240" w:line="360" w:lineRule="auto"/>
        <w:ind w:left="567"/>
        <w:jc w:val="both"/>
        <w:rPr>
          <w:rFonts w:ascii="ITC Avant Garde" w:hAnsi="ITC Avant Garde"/>
          <w:b/>
        </w:rPr>
      </w:pPr>
      <w:r w:rsidRPr="002A2450">
        <w:rPr>
          <w:rFonts w:ascii="ITC Avant Garde" w:hAnsi="ITC Avant Garde"/>
        </w:rPr>
        <w:t xml:space="preserve">La intención de </w:t>
      </w:r>
      <w:r w:rsidRPr="002A2450">
        <w:rPr>
          <w:rFonts w:ascii="ITC Avant Garde" w:hAnsi="ITC Avant Garde"/>
          <w:b/>
        </w:rPr>
        <w:t xml:space="preserve">“COFRESA” </w:t>
      </w:r>
      <w:r w:rsidRPr="002A2450">
        <w:rPr>
          <w:rFonts w:ascii="ITC Avant Garde" w:hAnsi="ITC Avant Garde"/>
        </w:rPr>
        <w:t xml:space="preserve">es utilizar los diversos canales de ventas y distribución de </w:t>
      </w:r>
      <w:r w:rsidRPr="002A2450">
        <w:rPr>
          <w:rFonts w:ascii="ITC Avant Garde" w:hAnsi="ITC Avant Garde"/>
          <w:b/>
        </w:rPr>
        <w:t xml:space="preserve">“TELMEX” </w:t>
      </w:r>
      <w:r w:rsidRPr="002A2450">
        <w:rPr>
          <w:rFonts w:ascii="ITC Avant Garde" w:hAnsi="ITC Avant Garde"/>
        </w:rPr>
        <w:t xml:space="preserve">y </w:t>
      </w:r>
      <w:r w:rsidRPr="002A2450">
        <w:rPr>
          <w:rFonts w:ascii="ITC Avant Garde" w:hAnsi="ITC Avant Garde"/>
          <w:b/>
        </w:rPr>
        <w:t>“TENINVER”</w:t>
      </w:r>
      <w:r w:rsidR="00561170" w:rsidRPr="002A2450">
        <w:rPr>
          <w:rFonts w:ascii="ITC Avant Garde" w:hAnsi="ITC Avant Garde"/>
          <w:b/>
        </w:rPr>
        <w:t xml:space="preserve"> </w:t>
      </w:r>
      <w:r w:rsidR="00561170" w:rsidRPr="002A2450">
        <w:rPr>
          <w:rFonts w:ascii="ITC Avant Garde" w:hAnsi="ITC Avant Garde"/>
        </w:rPr>
        <w:t>a todos los suscriptores presente</w:t>
      </w:r>
      <w:r w:rsidR="00F44310" w:rsidRPr="002A2450">
        <w:rPr>
          <w:rFonts w:ascii="ITC Avant Garde" w:hAnsi="ITC Avant Garde"/>
        </w:rPr>
        <w:t>s</w:t>
      </w:r>
      <w:r w:rsidR="00561170" w:rsidRPr="002A2450">
        <w:rPr>
          <w:rFonts w:ascii="ITC Avant Garde" w:hAnsi="ITC Avant Garde"/>
        </w:rPr>
        <w:t xml:space="preserve"> y futuros de los servicios de telecomunicaciones de </w:t>
      </w:r>
      <w:r w:rsidR="00F44310" w:rsidRPr="002A2450">
        <w:rPr>
          <w:rFonts w:ascii="ITC Avant Garde" w:hAnsi="ITC Avant Garde"/>
          <w:b/>
        </w:rPr>
        <w:t xml:space="preserve">“TELMEX”, </w:t>
      </w:r>
      <w:r w:rsidR="00F44310" w:rsidRPr="002A2450">
        <w:rPr>
          <w:rFonts w:ascii="ITC Avant Garde" w:hAnsi="ITC Avant Garde"/>
        </w:rPr>
        <w:t xml:space="preserve">a efecto de </w:t>
      </w:r>
      <w:r w:rsidR="00BF6BAC" w:rsidRPr="002A2450">
        <w:rPr>
          <w:rFonts w:ascii="ITC Avant Garde" w:hAnsi="ITC Avant Garde"/>
        </w:rPr>
        <w:t xml:space="preserve">ofrecer y vender los servicios </w:t>
      </w:r>
      <w:r w:rsidR="00BF6BAC" w:rsidRPr="002A2450">
        <w:rPr>
          <w:rFonts w:ascii="ITC Avant Garde" w:hAnsi="ITC Avant Garde"/>
          <w:b/>
        </w:rPr>
        <w:t>“DTH”</w:t>
      </w:r>
      <w:r w:rsidR="00BF6BAC" w:rsidRPr="002A2450">
        <w:rPr>
          <w:rFonts w:ascii="ITC Avant Garde" w:hAnsi="ITC Avant Garde"/>
        </w:rPr>
        <w:t xml:space="preserve"> de </w:t>
      </w:r>
      <w:r w:rsidR="00BF6BAC" w:rsidRPr="002A2450">
        <w:rPr>
          <w:rFonts w:ascii="ITC Avant Garde" w:hAnsi="ITC Avant Garde"/>
          <w:b/>
        </w:rPr>
        <w:t>“COFRESA.”</w:t>
      </w:r>
    </w:p>
    <w:p w14:paraId="48557790" w14:textId="225C55C6" w:rsidR="00C9499F"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2912E207" w14:textId="77777777" w:rsidR="00B35F13" w:rsidRPr="00CE1EA8" w:rsidRDefault="00246787"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Prestación de servicios</w:t>
      </w:r>
    </w:p>
    <w:p w14:paraId="4895BF5A" w14:textId="77777777" w:rsidR="00B35F13" w:rsidRDefault="003410C4" w:rsidP="00B35F13">
      <w:pPr>
        <w:pStyle w:val="Prrafodelista"/>
        <w:spacing w:before="240" w:line="360" w:lineRule="auto"/>
        <w:ind w:left="567"/>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cuenta con la capacidad y los medios (humanos y técnicos) para el cumplimiento de sus obligaciones y su deseo es prestar o causar que se presten a los suscriptores de los servicios de </w:t>
      </w:r>
      <w:r w:rsidRPr="002A2450">
        <w:rPr>
          <w:rFonts w:ascii="ITC Avant Garde" w:hAnsi="ITC Avant Garde"/>
          <w:b/>
        </w:rPr>
        <w:t>DTH</w:t>
      </w:r>
      <w:r w:rsidRPr="002A2450">
        <w:rPr>
          <w:rFonts w:ascii="ITC Avant Garde" w:hAnsi="ITC Avant Garde"/>
        </w:rPr>
        <w:t xml:space="preserve"> ofrecidos por </w:t>
      </w:r>
      <w:r w:rsidRPr="002A2450">
        <w:rPr>
          <w:rFonts w:ascii="ITC Avant Garde" w:hAnsi="ITC Avant Garde"/>
          <w:b/>
        </w:rPr>
        <w:t>“COFRESA”</w:t>
      </w:r>
      <w:r w:rsidRPr="002A2450">
        <w:rPr>
          <w:rFonts w:ascii="ITC Avant Garde" w:hAnsi="ITC Avant Garde"/>
        </w:rPr>
        <w:t xml:space="preserve"> quienes son a su vez suscriptores de </w:t>
      </w:r>
      <w:r w:rsidRPr="002A2450">
        <w:rPr>
          <w:rFonts w:ascii="ITC Avant Garde" w:hAnsi="ITC Avant Garde"/>
          <w:b/>
        </w:rPr>
        <w:t xml:space="preserve">“TELMEX” </w:t>
      </w:r>
      <w:r w:rsidRPr="002A2450">
        <w:rPr>
          <w:rFonts w:ascii="ITC Avant Garde" w:hAnsi="ITC Avant Garde"/>
        </w:rPr>
        <w:t>la facturación y servicios de cobranza, así como servicio al cliente y otros servicios acordados entre ambas empresas.</w:t>
      </w:r>
    </w:p>
    <w:p w14:paraId="334F5705" w14:textId="15B67EA5" w:rsidR="00B35F13"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4FAA67AD" w14:textId="3BAE9322" w:rsidR="00B35F13" w:rsidRPr="00CE1EA8" w:rsidRDefault="003D7330"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Arrendamiento</w:t>
      </w:r>
    </w:p>
    <w:p w14:paraId="6E76D319" w14:textId="77777777" w:rsidR="00B35F13" w:rsidRDefault="00BF6BAC" w:rsidP="00B35F13">
      <w:pPr>
        <w:pStyle w:val="Prrafodelista"/>
        <w:spacing w:before="240" w:line="360" w:lineRule="auto"/>
        <w:ind w:left="567"/>
        <w:jc w:val="both"/>
        <w:rPr>
          <w:rFonts w:ascii="ITC Avant Garde" w:hAnsi="ITC Avant Garde"/>
        </w:rPr>
      </w:pPr>
      <w:r w:rsidRPr="002A2450">
        <w:rPr>
          <w:rFonts w:ascii="ITC Avant Garde" w:hAnsi="ITC Avant Garde"/>
        </w:rPr>
        <w:t>En</w:t>
      </w:r>
      <w:r w:rsidR="003D7330" w:rsidRPr="002A2450">
        <w:rPr>
          <w:rFonts w:ascii="ITC Avant Garde" w:hAnsi="ITC Avant Garde"/>
        </w:rPr>
        <w:t xml:space="preserve"> dicho contrato participa </w:t>
      </w:r>
      <w:r w:rsidR="003D7330" w:rsidRPr="002A2450">
        <w:rPr>
          <w:rFonts w:ascii="ITC Avant Garde" w:hAnsi="ITC Avant Garde"/>
          <w:b/>
        </w:rPr>
        <w:t xml:space="preserve">“TENINVER” </w:t>
      </w:r>
      <w:r w:rsidR="003D7330" w:rsidRPr="002A2450">
        <w:rPr>
          <w:rFonts w:ascii="ITC Avant Garde" w:hAnsi="ITC Avant Garde"/>
        </w:rPr>
        <w:t xml:space="preserve">en su carácter de arrendador y </w:t>
      </w:r>
      <w:r w:rsidR="003D7330" w:rsidRPr="002A2450">
        <w:rPr>
          <w:rFonts w:ascii="ITC Avant Garde" w:hAnsi="ITC Avant Garde"/>
          <w:b/>
        </w:rPr>
        <w:t xml:space="preserve">“COFRESA” </w:t>
      </w:r>
      <w:r w:rsidR="003D7330" w:rsidRPr="002A2450">
        <w:rPr>
          <w:rFonts w:ascii="ITC Avant Garde" w:hAnsi="ITC Avant Garde"/>
        </w:rPr>
        <w:t xml:space="preserve">como arrendatario, con la comparecencia de </w:t>
      </w:r>
      <w:r w:rsidR="003D7330" w:rsidRPr="002A2450">
        <w:rPr>
          <w:rFonts w:ascii="ITC Avant Garde" w:hAnsi="ITC Avant Garde"/>
          <w:b/>
        </w:rPr>
        <w:t>“TELMEX” y “DISH HOLDINGS”</w:t>
      </w:r>
      <w:r w:rsidR="003D7330" w:rsidRPr="002A2450">
        <w:rPr>
          <w:rFonts w:ascii="ITC Avant Garde" w:hAnsi="ITC Avant Garde"/>
        </w:rPr>
        <w:t>.</w:t>
      </w:r>
    </w:p>
    <w:p w14:paraId="4B4F963C" w14:textId="797DA515" w:rsidR="00B35F13" w:rsidRPr="00032A33" w:rsidRDefault="00032A33" w:rsidP="00032A33">
      <w:pPr>
        <w:pStyle w:val="Prrafodelista"/>
        <w:spacing w:before="240" w:line="360" w:lineRule="auto"/>
        <w:ind w:left="567"/>
        <w:jc w:val="both"/>
        <w:rPr>
          <w:rFonts w:ascii="ITC Avant Garde" w:hAnsi="ITC Avant Garde"/>
        </w:rPr>
      </w:pPr>
      <w:r>
        <w:rPr>
          <w:rFonts w:ascii="ITC Avant Garde" w:hAnsi="ITC Avant Garde"/>
        </w:rPr>
        <w:t>E</w:t>
      </w:r>
      <w:r w:rsidR="003D7330" w:rsidRPr="00032A33">
        <w:rPr>
          <w:rFonts w:ascii="ITC Avant Garde" w:hAnsi="ITC Avant Garde"/>
        </w:rPr>
        <w:t xml:space="preserve">n dicho instrumento </w:t>
      </w:r>
      <w:r w:rsidR="003D7330" w:rsidRPr="00032A33">
        <w:rPr>
          <w:rFonts w:ascii="ITC Avant Garde" w:hAnsi="ITC Avant Garde"/>
          <w:b/>
        </w:rPr>
        <w:t xml:space="preserve">“TENINVER” </w:t>
      </w:r>
      <w:r w:rsidR="00BF6BAC" w:rsidRPr="00032A33">
        <w:rPr>
          <w:rFonts w:ascii="ITC Avant Garde" w:hAnsi="ITC Avant Garde"/>
        </w:rPr>
        <w:t>se obliga a adquirir</w:t>
      </w:r>
      <w:r w:rsidR="00BF6BAC" w:rsidRPr="00032A33">
        <w:rPr>
          <w:rFonts w:ascii="ITC Avant Garde" w:hAnsi="ITC Avant Garde"/>
          <w:b/>
        </w:rPr>
        <w:t xml:space="preserve"> </w:t>
      </w:r>
      <w:r w:rsidR="003D7330" w:rsidRPr="00032A33">
        <w:rPr>
          <w:rFonts w:ascii="ITC Avant Garde" w:hAnsi="ITC Avant Garde"/>
        </w:rPr>
        <w:t xml:space="preserve">un millón ciento cincuenta mil Kits CPE </w:t>
      </w:r>
      <w:r w:rsidR="003D7330" w:rsidRPr="00032A33">
        <w:rPr>
          <w:rFonts w:ascii="ITC Avant Garde" w:hAnsi="ITC Avant Garde" w:cs="Arial"/>
        </w:rPr>
        <w:t>iniciales</w:t>
      </w:r>
      <w:r w:rsidR="003D7330" w:rsidRPr="00032A33">
        <w:rPr>
          <w:rFonts w:ascii="ITC Avant Garde" w:hAnsi="ITC Avant Garde"/>
        </w:rPr>
        <w:t xml:space="preserve"> a un precio de compra de EUA$55.00 (Cincuenta y cinco dólares 00/100</w:t>
      </w:r>
      <w:r w:rsidR="00AB48AD" w:rsidRPr="00032A33">
        <w:rPr>
          <w:rFonts w:ascii="ITC Avant Garde" w:hAnsi="ITC Avant Garde"/>
        </w:rPr>
        <w:t xml:space="preserve"> de Estados Unidos de América</w:t>
      </w:r>
      <w:r w:rsidR="003D7330" w:rsidRPr="00032A33">
        <w:rPr>
          <w:rFonts w:ascii="ITC Avant Garde" w:hAnsi="ITC Avant Garde"/>
        </w:rPr>
        <w:t>)</w:t>
      </w:r>
      <w:r w:rsidR="00372557" w:rsidRPr="00032A33">
        <w:rPr>
          <w:rFonts w:ascii="ITC Avant Garde" w:hAnsi="ITC Avant Garde"/>
        </w:rPr>
        <w:t xml:space="preserve">. El arrendatario llevara a cabo sus esfuerzos para hacer que tales equipos se encuentren disponibles (2.1 Adquisición de los Kits CPE iniciales). </w:t>
      </w:r>
    </w:p>
    <w:p w14:paraId="38478EBB" w14:textId="219389AF" w:rsidR="00B35F13"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lastRenderedPageBreak/>
        <w:t>“CONFIDENCIAL POR LEY”</w:t>
      </w:r>
    </w:p>
    <w:p w14:paraId="69365DBC" w14:textId="05CA2DB1" w:rsidR="00B35F13" w:rsidRPr="00CE1EA8" w:rsidRDefault="00343035"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Opción de compra</w:t>
      </w:r>
    </w:p>
    <w:p w14:paraId="35D2AE3C" w14:textId="77777777" w:rsidR="00B35F13" w:rsidRDefault="00BF6BAC" w:rsidP="00B35F13">
      <w:pPr>
        <w:pStyle w:val="Prrafodelista"/>
        <w:spacing w:before="240" w:line="360" w:lineRule="auto"/>
        <w:ind w:left="567"/>
        <w:jc w:val="both"/>
        <w:rPr>
          <w:rFonts w:ascii="ITC Avant Garde" w:hAnsi="ITC Avant Garde"/>
        </w:rPr>
      </w:pPr>
      <w:r w:rsidRPr="002A2450">
        <w:rPr>
          <w:rFonts w:ascii="ITC Avant Garde" w:hAnsi="ITC Avant Garde"/>
        </w:rPr>
        <w:t xml:space="preserve">Empresas: </w:t>
      </w:r>
      <w:r w:rsidRPr="002A2450">
        <w:rPr>
          <w:rFonts w:ascii="ITC Avant Garde" w:hAnsi="ITC Avant Garde"/>
          <w:b/>
        </w:rPr>
        <w:t>“TELMEX”, “TENINVER”</w:t>
      </w:r>
      <w:r w:rsidRPr="002A2450">
        <w:rPr>
          <w:rFonts w:ascii="ITC Avant Garde" w:hAnsi="ITC Avant Garde" w:cs="Arial"/>
          <w:b/>
        </w:rPr>
        <w:t>, “DISH MÉXICO”, “DISH HOLDINGS”, “GFMTV”, “ECHOSTAR MEXICO” y</w:t>
      </w:r>
      <w:r w:rsidRPr="002A2450">
        <w:rPr>
          <w:rFonts w:ascii="ITC Avant Garde" w:hAnsi="ITC Avant Garde" w:cs="Arial"/>
        </w:rPr>
        <w:t xml:space="preserve"> </w:t>
      </w:r>
      <w:r w:rsidRPr="002A2450">
        <w:rPr>
          <w:rFonts w:ascii="ITC Avant Garde" w:hAnsi="ITC Avant Garde" w:cs="Arial"/>
          <w:b/>
        </w:rPr>
        <w:t>“ECHOSTAR CORPORATION”</w:t>
      </w:r>
    </w:p>
    <w:p w14:paraId="4DF0629F" w14:textId="41A2C819" w:rsidR="00B35F13"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 xml:space="preserve">“CONFIDENCIAL POR LEY” </w:t>
      </w:r>
    </w:p>
    <w:p w14:paraId="30B1B6D3" w14:textId="77777777" w:rsidR="00B35F13" w:rsidRDefault="00B70B2D" w:rsidP="00B35F13">
      <w:pPr>
        <w:pStyle w:val="Prrafodelista"/>
        <w:spacing w:before="240" w:line="360" w:lineRule="auto"/>
        <w:ind w:left="567"/>
        <w:jc w:val="both"/>
        <w:rPr>
          <w:rFonts w:ascii="ITC Avant Garde" w:hAnsi="ITC Avant Garde" w:cs="Arial"/>
        </w:rPr>
      </w:pPr>
      <w:r w:rsidRPr="002A2450">
        <w:rPr>
          <w:rFonts w:ascii="ITC Avant Garde" w:hAnsi="ITC Avant Garde" w:cs="Arial"/>
        </w:rPr>
        <w:t xml:space="preserve">En ese sentido, como resultado de la coinversión realizada y mediante la cual se crea </w:t>
      </w:r>
      <w:r w:rsidRPr="002A2450">
        <w:rPr>
          <w:rFonts w:ascii="ITC Avant Garde" w:hAnsi="ITC Avant Garde" w:cs="Arial"/>
          <w:b/>
        </w:rPr>
        <w:t>“DISH MÉXICO”</w:t>
      </w:r>
      <w:r w:rsidRPr="002A2450">
        <w:rPr>
          <w:rFonts w:ascii="ITC Avant Garde" w:hAnsi="ITC Avant Garde" w:cs="Arial"/>
        </w:rPr>
        <w:t xml:space="preserve">, ésta desea otorgar a </w:t>
      </w:r>
      <w:r w:rsidRPr="002A2450">
        <w:rPr>
          <w:rFonts w:ascii="ITC Avant Garde" w:hAnsi="ITC Avant Garde" w:cs="Arial"/>
          <w:b/>
        </w:rPr>
        <w:t>“TENINVER”</w:t>
      </w:r>
      <w:r w:rsidRPr="002A2450">
        <w:rPr>
          <w:rFonts w:ascii="ITC Avant Garde" w:hAnsi="ITC Avant Garde" w:cs="Arial"/>
        </w:rPr>
        <w:t xml:space="preserve"> el derecho de suscribir una parte social clase “A” de la primera en mención, representativa del 51% de las partes sociales con derecho a voto y económicos, determinado en una base de disolución total, después de dar efecto a la suscripción de dicha parte social y de manera recíproca, </w:t>
      </w:r>
      <w:r w:rsidRPr="002A2450">
        <w:rPr>
          <w:rFonts w:ascii="ITC Avant Garde" w:hAnsi="ITC Avant Garde" w:cs="Arial"/>
          <w:b/>
        </w:rPr>
        <w:t xml:space="preserve">“DISH MÉXICO” </w:t>
      </w:r>
      <w:r w:rsidRPr="002A2450">
        <w:rPr>
          <w:rFonts w:ascii="ITC Avant Garde" w:hAnsi="ITC Avant Garde" w:cs="Arial"/>
        </w:rPr>
        <w:t xml:space="preserve">tendrá el derecho de requerir a </w:t>
      </w:r>
      <w:r w:rsidRPr="002A2450">
        <w:rPr>
          <w:rFonts w:ascii="ITC Avant Garde" w:hAnsi="ITC Avant Garde" w:cs="Arial"/>
          <w:b/>
        </w:rPr>
        <w:t>“TENINVER”</w:t>
      </w:r>
      <w:r w:rsidR="00FC7E87" w:rsidRPr="002A2450">
        <w:rPr>
          <w:rFonts w:ascii="ITC Avant Garde" w:hAnsi="ITC Avant Garde" w:cs="Arial"/>
        </w:rPr>
        <w:t xml:space="preserve"> la suscripción de la parte social antes mencionada.</w:t>
      </w:r>
    </w:p>
    <w:p w14:paraId="2C8449BD" w14:textId="5210F401" w:rsidR="000A3344"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4DD1E7E0" w14:textId="77777777" w:rsidR="00B35F13" w:rsidRPr="00CE1EA8" w:rsidRDefault="00575281" w:rsidP="007E623E">
      <w:pPr>
        <w:pStyle w:val="Prrafodelista"/>
        <w:numPr>
          <w:ilvl w:val="0"/>
          <w:numId w:val="64"/>
        </w:numPr>
        <w:spacing w:before="240" w:line="360" w:lineRule="auto"/>
        <w:ind w:left="284" w:hanging="284"/>
        <w:jc w:val="both"/>
        <w:rPr>
          <w:rFonts w:ascii="ITC Avant Garde" w:hAnsi="ITC Avant Garde"/>
          <w:b/>
        </w:rPr>
      </w:pPr>
      <w:r w:rsidRPr="00CE1EA8">
        <w:rPr>
          <w:rFonts w:ascii="ITC Avant Garde" w:hAnsi="ITC Avant Garde"/>
          <w:b/>
        </w:rPr>
        <w:t>Contrato de consecuencias</w:t>
      </w:r>
    </w:p>
    <w:p w14:paraId="00026007" w14:textId="04AD2E06" w:rsidR="00B35F13" w:rsidRPr="006F3516" w:rsidRDefault="000A3344" w:rsidP="006F3516">
      <w:pPr>
        <w:spacing w:before="240" w:line="360" w:lineRule="auto"/>
        <w:ind w:left="567" w:hanging="141"/>
        <w:jc w:val="both"/>
        <w:rPr>
          <w:rFonts w:ascii="ITC Avant Garde" w:eastAsiaTheme="majorEastAsia" w:hAnsi="ITC Avant Garde" w:cstheme="majorBidi"/>
          <w:b/>
          <w:color w:val="0000FF"/>
          <w:szCs w:val="32"/>
        </w:rPr>
      </w:pPr>
      <w:r w:rsidRPr="006F3516">
        <w:rPr>
          <w:rFonts w:ascii="ITC Avant Garde" w:eastAsiaTheme="majorEastAsia" w:hAnsi="ITC Avant Garde" w:cstheme="majorBidi"/>
          <w:b/>
          <w:color w:val="0000FF"/>
          <w:szCs w:val="32"/>
        </w:rPr>
        <w:t>“CONFIDENCIAL POR LEY”</w:t>
      </w:r>
    </w:p>
    <w:p w14:paraId="327226BB" w14:textId="2C3B74F3" w:rsidR="00B35F13" w:rsidRDefault="008644FC" w:rsidP="00B35F13">
      <w:pPr>
        <w:pStyle w:val="Prrafodelista"/>
        <w:spacing w:before="240" w:line="360" w:lineRule="auto"/>
        <w:ind w:left="567"/>
        <w:jc w:val="both"/>
        <w:rPr>
          <w:rFonts w:ascii="ITC Avant Garde" w:hAnsi="ITC Avant Garde" w:cs="Arial"/>
          <w:b/>
        </w:rPr>
      </w:pPr>
      <w:r w:rsidRPr="002A2450">
        <w:rPr>
          <w:rFonts w:ascii="ITC Avant Garde" w:hAnsi="ITC Avant Garde" w:cs="Arial"/>
        </w:rPr>
        <w:t>En tales consideraciones celebran dicho contrato</w:t>
      </w:r>
      <w:r w:rsidR="008B2110" w:rsidRPr="002A2450">
        <w:rPr>
          <w:rFonts w:ascii="ITC Avant Garde" w:hAnsi="ITC Avant Garde" w:cs="Arial"/>
        </w:rPr>
        <w:t xml:space="preserve"> (el de consecuencias)</w:t>
      </w:r>
      <w:r w:rsidRPr="002A2450">
        <w:rPr>
          <w:rFonts w:ascii="ITC Avant Garde" w:hAnsi="ITC Avant Garde" w:cs="Arial"/>
        </w:rPr>
        <w:t xml:space="preserve"> para estipular las obligaciones de las partes </w:t>
      </w:r>
      <w:r w:rsidRPr="002A2450">
        <w:rPr>
          <w:rFonts w:ascii="ITC Avant Garde" w:hAnsi="ITC Avant Garde" w:cs="Arial"/>
          <w:b/>
        </w:rPr>
        <w:t>“TELMEX”</w:t>
      </w:r>
      <w:r w:rsidRPr="002A2450">
        <w:rPr>
          <w:rFonts w:ascii="ITC Avant Garde" w:hAnsi="ITC Avant Garde" w:cs="Arial"/>
        </w:rPr>
        <w:t xml:space="preserve"> y de las demás partes entre otras: (i) otorgar el derecho de participar en relación con cualesquiera de acuerdos de negocios futuros relacionados con el servicio de </w:t>
      </w:r>
      <w:r w:rsidRPr="002A2450">
        <w:rPr>
          <w:rFonts w:ascii="ITC Avant Garde" w:hAnsi="ITC Avant Garde" w:cs="Arial"/>
          <w:b/>
        </w:rPr>
        <w:t>“DTH”</w:t>
      </w:r>
      <w:r w:rsidRPr="002A2450">
        <w:rPr>
          <w:rFonts w:ascii="ITC Avant Garde" w:hAnsi="ITC Avant Garde" w:cs="Arial"/>
        </w:rPr>
        <w:t xml:space="preserve"> en México; (ii) otorgar un derecho de preferencia de </w:t>
      </w:r>
      <w:r w:rsidRPr="002A2450">
        <w:rPr>
          <w:rFonts w:ascii="ITC Avant Garde" w:hAnsi="ITC Avant Garde" w:cs="Arial"/>
          <w:b/>
        </w:rPr>
        <w:t>“DISH MÉXICO”</w:t>
      </w:r>
      <w:r w:rsidRPr="002A2450">
        <w:rPr>
          <w:rFonts w:ascii="ITC Avant Garde" w:hAnsi="ITC Avant Garde" w:cs="Arial"/>
        </w:rPr>
        <w:t xml:space="preserve"> en relación con cualesquier negocio futuros en materia de video móvil en México; (iii) abstenerse de competir de manera directa o indirecta con el servicio </w:t>
      </w:r>
      <w:r w:rsidRPr="002A2450">
        <w:rPr>
          <w:rFonts w:ascii="ITC Avant Garde" w:hAnsi="ITC Avant Garde" w:cs="Arial"/>
          <w:b/>
        </w:rPr>
        <w:t>“DTH”</w:t>
      </w:r>
      <w:r w:rsidRPr="002A2450">
        <w:rPr>
          <w:rFonts w:ascii="ITC Avant Garde" w:hAnsi="ITC Avant Garde" w:cs="Arial"/>
        </w:rPr>
        <w:t xml:space="preserve"> de </w:t>
      </w:r>
      <w:r w:rsidRPr="002A2450">
        <w:rPr>
          <w:rFonts w:ascii="ITC Avant Garde" w:hAnsi="ITC Avant Garde" w:cs="Arial"/>
          <w:b/>
        </w:rPr>
        <w:t>“DISH MÉXICO”</w:t>
      </w:r>
      <w:r w:rsidRPr="002A2450">
        <w:rPr>
          <w:rFonts w:ascii="ITC Avant Garde" w:hAnsi="ITC Avant Garde" w:cs="Arial"/>
        </w:rPr>
        <w:t xml:space="preserve"> una vez consumada cualquiera de las opciones; y (iv) otorgar una opción de venta a </w:t>
      </w:r>
      <w:r w:rsidRPr="002A2450">
        <w:rPr>
          <w:rFonts w:ascii="ITC Avant Garde" w:hAnsi="ITC Avant Garde" w:cs="Arial"/>
          <w:b/>
        </w:rPr>
        <w:t>“DISH HOLDINGS”</w:t>
      </w:r>
      <w:r w:rsidRPr="002A2450">
        <w:rPr>
          <w:rFonts w:ascii="ITC Avant Garde" w:hAnsi="ITC Avant Garde" w:cs="Arial"/>
        </w:rPr>
        <w:t xml:space="preserve"> para vender a </w:t>
      </w:r>
      <w:r w:rsidRPr="002A2450">
        <w:rPr>
          <w:rFonts w:ascii="ITC Avant Garde" w:hAnsi="ITC Avant Garde" w:cs="Arial"/>
          <w:b/>
        </w:rPr>
        <w:t>“TENINVER”</w:t>
      </w:r>
      <w:r w:rsidRPr="002A2450">
        <w:rPr>
          <w:rFonts w:ascii="ITC Avant Garde" w:hAnsi="ITC Avant Garde" w:cs="Arial"/>
        </w:rPr>
        <w:t xml:space="preserve"> </w:t>
      </w:r>
      <w:r w:rsidRPr="002A2450">
        <w:rPr>
          <w:rFonts w:ascii="ITC Avant Garde" w:hAnsi="ITC Avant Garde" w:cs="Arial"/>
        </w:rPr>
        <w:lastRenderedPageBreak/>
        <w:t xml:space="preserve">la parte social clase “A” o clase “B” (según sea aplicable) de </w:t>
      </w:r>
      <w:r w:rsidRPr="002A2450">
        <w:rPr>
          <w:rFonts w:ascii="ITC Avant Garde" w:hAnsi="ITC Avant Garde" w:cs="Arial"/>
          <w:b/>
        </w:rPr>
        <w:t>“DISH MÉXICO”</w:t>
      </w:r>
      <w:r w:rsidRPr="002A2450">
        <w:rPr>
          <w:rFonts w:ascii="ITC Avant Garde" w:hAnsi="ITC Avant Garde" w:cs="Arial"/>
        </w:rPr>
        <w:t xml:space="preserve"> propiedad de </w:t>
      </w:r>
      <w:r w:rsidRPr="002A2450">
        <w:rPr>
          <w:rFonts w:ascii="ITC Avant Garde" w:hAnsi="ITC Avant Garde" w:cs="Arial"/>
          <w:b/>
        </w:rPr>
        <w:t>“DISH HOLDINGS”.</w:t>
      </w:r>
    </w:p>
    <w:p w14:paraId="44A0640D" w14:textId="24957BBC" w:rsidR="00B35F13" w:rsidRPr="0047339C" w:rsidRDefault="004366C5" w:rsidP="0047339C">
      <w:pPr>
        <w:spacing w:before="240" w:line="360" w:lineRule="auto"/>
        <w:ind w:left="567" w:hanging="141"/>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01E42685" w14:textId="4347076D" w:rsidR="00CB5842" w:rsidRPr="0047339C" w:rsidRDefault="00C9499F" w:rsidP="00C9499F">
      <w:pPr>
        <w:spacing w:before="240" w:line="360" w:lineRule="auto"/>
        <w:jc w:val="center"/>
        <w:rPr>
          <w:rFonts w:ascii="ITC Avant Garde" w:hAnsi="ITC Avant Garde"/>
          <w:b/>
          <w:color w:val="000000" w:themeColor="text1"/>
          <w:sz w:val="28"/>
          <w:szCs w:val="28"/>
        </w:rPr>
      </w:pPr>
      <w:r w:rsidRPr="0047339C">
        <w:rPr>
          <w:rFonts w:ascii="ITC Avant Garde" w:hAnsi="ITC Avant Garde"/>
          <w:b/>
          <w:color w:val="000000" w:themeColor="text1"/>
          <w:sz w:val="28"/>
          <w:szCs w:val="28"/>
        </w:rPr>
        <w:t>SIN TEXTO</w:t>
      </w:r>
      <w:r w:rsidR="00CB5842" w:rsidRPr="0047339C">
        <w:rPr>
          <w:rFonts w:ascii="ITC Avant Garde" w:hAnsi="ITC Avant Garde"/>
          <w:color w:val="000000" w:themeColor="text1"/>
          <w:sz w:val="28"/>
          <w:szCs w:val="28"/>
        </w:rPr>
        <w:br w:type="page"/>
      </w:r>
    </w:p>
    <w:p w14:paraId="28A66FCB" w14:textId="77777777" w:rsidR="00836CC0" w:rsidRDefault="00836CC0" w:rsidP="00B35F13">
      <w:pPr>
        <w:spacing w:before="240" w:line="360" w:lineRule="auto"/>
        <w:rPr>
          <w:rFonts w:ascii="ITC Avant Garde" w:hAnsi="ITC Avant Garde"/>
        </w:rPr>
        <w:sectPr w:rsidR="00836CC0" w:rsidSect="009F3771">
          <w:pgSz w:w="12240" w:h="15840"/>
          <w:pgMar w:top="1985" w:right="1701" w:bottom="1418" w:left="1701" w:header="709" w:footer="709" w:gutter="0"/>
          <w:cols w:space="708"/>
          <w:docGrid w:linePitch="360"/>
        </w:sectPr>
      </w:pPr>
    </w:p>
    <w:p w14:paraId="141B906C" w14:textId="7A9DE957" w:rsidR="0096035B" w:rsidRPr="002A2450" w:rsidRDefault="0096035B" w:rsidP="00B35F13">
      <w:pPr>
        <w:pStyle w:val="Ttulo10"/>
        <w:spacing w:before="240" w:after="160"/>
      </w:pPr>
      <w:r w:rsidRPr="002A2450">
        <w:lastRenderedPageBreak/>
        <w:t xml:space="preserve">DIAGRAMA: 3. </w:t>
      </w:r>
      <w:r w:rsidRPr="002A2450">
        <w:rPr>
          <w:b w:val="0"/>
        </w:rPr>
        <w:t>MODELO DE ORGANIZACIÓN CONTRACTUAL</w:t>
      </w:r>
    </w:p>
    <w:p w14:paraId="00406C3F" w14:textId="515F20B6" w:rsidR="004366C5" w:rsidRPr="0047339C" w:rsidRDefault="004366C5" w:rsidP="00C9499F">
      <w:pPr>
        <w:spacing w:before="240" w:line="360" w:lineRule="auto"/>
        <w:jc w:val="center"/>
        <w:rPr>
          <w:rFonts w:ascii="ITC Avant Garde" w:eastAsiaTheme="majorEastAsia" w:hAnsi="ITC Avant Garde" w:cstheme="majorBidi"/>
          <w:b/>
          <w:color w:val="0000FF"/>
          <w:sz w:val="28"/>
          <w:szCs w:val="28"/>
        </w:rPr>
      </w:pPr>
      <w:r w:rsidRPr="0047339C">
        <w:rPr>
          <w:rFonts w:ascii="ITC Avant Garde" w:eastAsiaTheme="majorEastAsia" w:hAnsi="ITC Avant Garde" w:cstheme="majorBidi"/>
          <w:b/>
          <w:color w:val="0000FF"/>
          <w:sz w:val="28"/>
          <w:szCs w:val="28"/>
        </w:rPr>
        <w:t>“CONFIDENCIAL POR LEY”</w:t>
      </w:r>
    </w:p>
    <w:p w14:paraId="00804945" w14:textId="77777777" w:rsidR="00836CC0" w:rsidRDefault="008D3653" w:rsidP="00B35F13">
      <w:pPr>
        <w:spacing w:before="240" w:line="360" w:lineRule="auto"/>
        <w:rPr>
          <w:rFonts w:ascii="ITC Avant Garde" w:hAnsi="ITC Avant Garde"/>
        </w:rPr>
        <w:sectPr w:rsidR="00836CC0" w:rsidSect="004E70DB">
          <w:pgSz w:w="15840" w:h="12240" w:orient="landscape"/>
          <w:pgMar w:top="1701" w:right="1418" w:bottom="1701" w:left="1418" w:header="709" w:footer="709" w:gutter="0"/>
          <w:cols w:space="708"/>
          <w:docGrid w:linePitch="360"/>
        </w:sectPr>
      </w:pPr>
      <w:r w:rsidRPr="002A2450">
        <w:rPr>
          <w:rFonts w:ascii="ITC Avant Garde" w:hAnsi="ITC Avant Garde"/>
        </w:rPr>
        <w:br w:type="page"/>
      </w:r>
    </w:p>
    <w:p w14:paraId="0A78BB62" w14:textId="77777777" w:rsidR="00B35F13" w:rsidRDefault="00C31C96" w:rsidP="00B35F13">
      <w:pPr>
        <w:spacing w:before="240" w:line="360" w:lineRule="auto"/>
        <w:jc w:val="both"/>
        <w:rPr>
          <w:rFonts w:ascii="ITC Avant Garde" w:hAnsi="ITC Avant Garde"/>
        </w:rPr>
      </w:pPr>
      <w:r w:rsidRPr="002A2450">
        <w:rPr>
          <w:rFonts w:ascii="ITC Avant Garde" w:hAnsi="ITC Avant Garde"/>
        </w:rPr>
        <w:lastRenderedPageBreak/>
        <w:t xml:space="preserve">Con base en el esquema anterior, se puede observar que los contratos formaron un complejo sistema de derechos y obligaciones con el objeto de dotar a </w:t>
      </w:r>
      <w:r w:rsidRPr="002A2450">
        <w:rPr>
          <w:rFonts w:ascii="ITC Avant Garde" w:hAnsi="ITC Avant Garde"/>
          <w:b/>
        </w:rPr>
        <w:t>“COFRESA”</w:t>
      </w:r>
      <w:r w:rsidRPr="002A2450">
        <w:rPr>
          <w:rFonts w:ascii="ITC Avant Garde" w:hAnsi="ITC Avant Garde"/>
        </w:rPr>
        <w:t xml:space="preserve"> de los insumos necesarios para poder llevar a cabo la </w:t>
      </w:r>
      <w:r w:rsidR="0096035B" w:rsidRPr="002A2450">
        <w:rPr>
          <w:rFonts w:ascii="ITC Avant Garde" w:hAnsi="ITC Avant Garde"/>
        </w:rPr>
        <w:t xml:space="preserve">expansión de su negocio </w:t>
      </w:r>
      <w:r w:rsidRPr="002A2450">
        <w:rPr>
          <w:rFonts w:ascii="ITC Avant Garde" w:hAnsi="ITC Avant Garde"/>
          <w:b/>
        </w:rPr>
        <w:t>“DTH”</w:t>
      </w:r>
      <w:r w:rsidR="0096035B" w:rsidRPr="002A2450">
        <w:rPr>
          <w:rFonts w:ascii="ITC Avant Garde" w:hAnsi="ITC Avant Garde"/>
        </w:rPr>
        <w:t xml:space="preserve"> en México a partir de la explotación del título de concesión que le fue otorgado para prestar el servicio de televisión restringida en el país el siete de abril de dos mil ocho. </w:t>
      </w:r>
    </w:p>
    <w:p w14:paraId="65970F0A" w14:textId="77777777" w:rsidR="00B35F13" w:rsidRDefault="00C31C96" w:rsidP="00B35F13">
      <w:pPr>
        <w:spacing w:before="240" w:line="360" w:lineRule="auto"/>
        <w:jc w:val="both"/>
        <w:rPr>
          <w:rFonts w:ascii="ITC Avant Garde" w:hAnsi="ITC Avant Garde"/>
        </w:rPr>
      </w:pPr>
      <w:r w:rsidRPr="002A2450">
        <w:rPr>
          <w:rFonts w:ascii="ITC Avant Garde" w:hAnsi="ITC Avant Garde"/>
        </w:rPr>
        <w:t xml:space="preserve">Para lo anterior, debe recapitularse el hecho de que </w:t>
      </w:r>
      <w:r w:rsidRPr="002A2450">
        <w:rPr>
          <w:rFonts w:ascii="ITC Avant Garde" w:hAnsi="ITC Avant Garde"/>
          <w:b/>
        </w:rPr>
        <w:t>“</w:t>
      </w:r>
      <w:r w:rsidRPr="002A2450">
        <w:rPr>
          <w:rFonts w:ascii="ITC Avant Garde" w:hAnsi="ITC Avant Garde" w:cs="Arial"/>
          <w:b/>
        </w:rPr>
        <w:t>ECHOSTAR CORPORATION”</w:t>
      </w:r>
      <w:r w:rsidRPr="002A2450">
        <w:rPr>
          <w:rFonts w:ascii="ITC Avant Garde" w:hAnsi="ITC Avant Garde" w:cs="Arial"/>
        </w:rPr>
        <w:t xml:space="preserve"> </w:t>
      </w:r>
      <w:r w:rsidRPr="002A2450">
        <w:rPr>
          <w:rFonts w:ascii="ITC Avant Garde" w:hAnsi="ITC Avant Garde"/>
        </w:rPr>
        <w:t>es una sociedad que se organizó en octubre de dos mil siete bajo las leyes del estado de Nevada, Estados Unidos de América. </w:t>
      </w:r>
    </w:p>
    <w:p w14:paraId="4EA88D51" w14:textId="54B958F8" w:rsidR="00C31C96" w:rsidRPr="002A2450" w:rsidRDefault="00C31C96" w:rsidP="00B35F13">
      <w:pPr>
        <w:spacing w:before="240" w:line="360" w:lineRule="auto"/>
        <w:jc w:val="both"/>
        <w:rPr>
          <w:rFonts w:ascii="ITC Avant Garde" w:hAnsi="ITC Avant Garde"/>
        </w:rPr>
      </w:pPr>
      <w:r w:rsidRPr="002A2450">
        <w:rPr>
          <w:rFonts w:ascii="ITC Avant Garde" w:hAnsi="ITC Avant Garde"/>
        </w:rPr>
        <w:t>Dicha empresa es un proveedor global de operaciones de servicios por satélite, soluciones de distribución de video, decodificadores digitales, tecnologías satelitales de banda ancha y servicios de banda ancha para los clientes domésticos y de oficina.</w:t>
      </w:r>
      <w:r w:rsidRPr="002A2450">
        <w:rPr>
          <w:rStyle w:val="Refdenotaalpie"/>
          <w:rFonts w:ascii="ITC Avant Garde" w:hAnsi="ITC Avant Garde"/>
        </w:rPr>
        <w:footnoteReference w:id="43"/>
      </w:r>
      <w:r w:rsidRPr="002A2450">
        <w:rPr>
          <w:rFonts w:ascii="ITC Avant Garde" w:hAnsi="ITC Avant Garde"/>
        </w:rPr>
        <w:t>  </w:t>
      </w:r>
    </w:p>
    <w:p w14:paraId="0BD448A6" w14:textId="77777777" w:rsidR="00B35F13" w:rsidRDefault="00C31C96" w:rsidP="00B35F13">
      <w:pPr>
        <w:spacing w:before="240" w:line="360" w:lineRule="auto"/>
        <w:rPr>
          <w:rFonts w:ascii="ITC Avant Garde" w:hAnsi="ITC Avant Garde"/>
        </w:rPr>
      </w:pPr>
      <w:r w:rsidRPr="002A2450">
        <w:rPr>
          <w:rFonts w:ascii="ITC Avant Garde" w:hAnsi="ITC Avant Garde"/>
        </w:rPr>
        <w:t xml:space="preserve">Actualmente </w:t>
      </w:r>
      <w:r w:rsidR="00994ADA" w:rsidRPr="002A2450">
        <w:rPr>
          <w:rFonts w:ascii="ITC Avant Garde" w:hAnsi="ITC Avant Garde"/>
        </w:rPr>
        <w:t xml:space="preserve">opera </w:t>
      </w:r>
      <w:r w:rsidRPr="002A2450">
        <w:rPr>
          <w:rFonts w:ascii="ITC Avant Garde" w:hAnsi="ITC Avant Garde"/>
        </w:rPr>
        <w:t>en los segmentos de:</w:t>
      </w:r>
    </w:p>
    <w:p w14:paraId="006AD5C7" w14:textId="77777777" w:rsidR="00032A33" w:rsidRDefault="00994ADA" w:rsidP="007E623E">
      <w:pPr>
        <w:pStyle w:val="Prrafodelista"/>
        <w:numPr>
          <w:ilvl w:val="0"/>
          <w:numId w:val="20"/>
        </w:numPr>
        <w:spacing w:before="240" w:line="360" w:lineRule="auto"/>
        <w:jc w:val="both"/>
        <w:rPr>
          <w:rFonts w:ascii="ITC Avant Garde" w:hAnsi="ITC Avant Garde"/>
        </w:rPr>
        <w:sectPr w:rsidR="00032A33" w:rsidSect="009F3771">
          <w:headerReference w:type="default" r:id="rId35"/>
          <w:pgSz w:w="12240" w:h="15840"/>
          <w:pgMar w:top="1985" w:right="1701" w:bottom="1418" w:left="1701" w:header="709" w:footer="709" w:gutter="0"/>
          <w:cols w:space="708"/>
          <w:docGrid w:linePitch="360"/>
        </w:sectPr>
      </w:pPr>
      <w:r w:rsidRPr="002A2450">
        <w:rPr>
          <w:rFonts w:ascii="ITC Avant Garde" w:hAnsi="ITC Avant Garde"/>
          <w:i/>
        </w:rPr>
        <w:t>Hughes</w:t>
      </w:r>
      <w:r w:rsidRPr="002A2450">
        <w:rPr>
          <w:rFonts w:ascii="ITC Avant Garde" w:hAnsi="ITC Avant Garde"/>
        </w:rPr>
        <w:t> - proporciona tecnologías de satélite de banda ancha y servicios de banda ancha a los clientes domésticos y de oficina y tecnologías de red, servicios gestionados y soluciones de comunicación para clientes nacionales e internacionales de consumidores, empresas y gobiernos. </w:t>
      </w:r>
      <w:r w:rsidR="00C82DA6" w:rsidRPr="002A2450">
        <w:rPr>
          <w:rFonts w:ascii="ITC Avant Garde" w:hAnsi="ITC Avant Garde"/>
        </w:rPr>
        <w:t xml:space="preserve">Asimismo, </w:t>
      </w:r>
      <w:r w:rsidRPr="002A2450">
        <w:rPr>
          <w:rFonts w:ascii="ITC Avant Garde" w:hAnsi="ITC Avant Garde"/>
        </w:rPr>
        <w:t>proporciona servicios gestionados, hardware y servicios de satélite para grandes empresas y clientes gubernamentales, y suministra e instala puerta de enlace y los equipos terminales a los clientes para otros sistemas de satélite.</w:t>
      </w:r>
    </w:p>
    <w:p w14:paraId="478BACEA" w14:textId="77777777" w:rsidR="00B35F13" w:rsidRDefault="00994ADA" w:rsidP="007E623E">
      <w:pPr>
        <w:pStyle w:val="Prrafodelista"/>
        <w:numPr>
          <w:ilvl w:val="0"/>
          <w:numId w:val="20"/>
        </w:numPr>
        <w:spacing w:before="240" w:line="360" w:lineRule="auto"/>
        <w:jc w:val="both"/>
        <w:rPr>
          <w:rFonts w:ascii="ITC Avant Garde" w:hAnsi="ITC Avant Garde"/>
        </w:rPr>
      </w:pPr>
      <w:r w:rsidRPr="002A2450">
        <w:rPr>
          <w:rFonts w:ascii="ITC Avant Garde" w:hAnsi="ITC Avant Garde"/>
          <w:i/>
        </w:rPr>
        <w:lastRenderedPageBreak/>
        <w:t>EchoStar Technologies</w:t>
      </w:r>
      <w:r w:rsidRPr="002A2450">
        <w:rPr>
          <w:rFonts w:ascii="ITC Avant Garde" w:hAnsi="ITC Avant Garde"/>
        </w:rPr>
        <w:t xml:space="preserve"> - diseña, desarrolla y distribuye soluciones de tecnología de vídeo seguras de extremo a extremo, </w:t>
      </w:r>
      <w:r w:rsidRPr="002A2450">
        <w:rPr>
          <w:rFonts w:ascii="ITC Avant Garde" w:hAnsi="ITC Avant Garde"/>
          <w:u w:val="single"/>
        </w:rPr>
        <w:t>incluyendo cajas decodificadoras digitales</w:t>
      </w:r>
      <w:r w:rsidRPr="002A2450">
        <w:rPr>
          <w:rFonts w:ascii="ITC Avant Garde" w:hAnsi="ITC Avant Garde"/>
        </w:rPr>
        <w:t xml:space="preserve"> y productos relacionados y tecnología, principalmente </w:t>
      </w:r>
      <w:r w:rsidRPr="002A2450">
        <w:rPr>
          <w:rFonts w:ascii="ITC Avant Garde" w:hAnsi="ITC Avant Garde"/>
          <w:u w:val="single"/>
        </w:rPr>
        <w:t>para los proveedores de servicios de televisión por satélite</w:t>
      </w:r>
      <w:r w:rsidRPr="002A2450">
        <w:rPr>
          <w:rFonts w:ascii="ITC Avant Garde" w:hAnsi="ITC Avant Garde"/>
        </w:rPr>
        <w:t xml:space="preserve"> y las compañías de telecomunicaciones. </w:t>
      </w:r>
      <w:r w:rsidR="0096035B" w:rsidRPr="002A2450">
        <w:rPr>
          <w:rFonts w:ascii="ITC Avant Garde" w:hAnsi="ITC Avant Garde"/>
        </w:rPr>
        <w:t>El</w:t>
      </w:r>
      <w:r w:rsidRPr="002A2450">
        <w:rPr>
          <w:rFonts w:ascii="ITC Avant Garde" w:hAnsi="ITC Avant Garde"/>
        </w:rPr>
        <w:t xml:space="preserve"> segmento de EchoStar Technologies </w:t>
      </w:r>
      <w:r w:rsidRPr="002A2450">
        <w:rPr>
          <w:rFonts w:ascii="ITC Avant Garde" w:hAnsi="ITC Avant Garde"/>
          <w:u w:val="single"/>
        </w:rPr>
        <w:t>también ofrece operaciones de transmisión digital por satélite</w:t>
      </w:r>
      <w:r w:rsidRPr="002A2450">
        <w:rPr>
          <w:rFonts w:ascii="ITC Avant Garde" w:hAnsi="ITC Avant Garde"/>
        </w:rPr>
        <w:t xml:space="preserve">, incluyendo enlaces ascendentes / descendentes, </w:t>
      </w:r>
      <w:r w:rsidRPr="002A2450">
        <w:rPr>
          <w:rFonts w:ascii="ITC Avant Garde" w:hAnsi="ITC Avant Garde"/>
          <w:u w:val="single"/>
        </w:rPr>
        <w:t>servicios de transmisión, procesamiento de señales, gestión de acceso condicional y otros servicios,</w:t>
      </w:r>
      <w:r w:rsidRPr="002A2450">
        <w:rPr>
          <w:rFonts w:ascii="ITC Avant Garde" w:hAnsi="ITC Avant Garde"/>
        </w:rPr>
        <w:t xml:space="preserve"> principalmente a DISH Network </w:t>
      </w:r>
      <w:proofErr w:type="spellStart"/>
      <w:r w:rsidRPr="002A2450">
        <w:rPr>
          <w:rFonts w:ascii="ITC Avant Garde" w:hAnsi="ITC Avant Garde"/>
        </w:rPr>
        <w:t>Corporation</w:t>
      </w:r>
      <w:proofErr w:type="spellEnd"/>
      <w:r w:rsidRPr="002A2450">
        <w:rPr>
          <w:rFonts w:ascii="ITC Avant Garde" w:hAnsi="ITC Avant Garde"/>
        </w:rPr>
        <w:t xml:space="preserve"> y sus filiales ( "DISH Network") y </w:t>
      </w:r>
      <w:proofErr w:type="spellStart"/>
      <w:r w:rsidRPr="002A2450">
        <w:rPr>
          <w:rFonts w:ascii="ITC Avant Garde" w:hAnsi="ITC Avant Garde"/>
          <w:u w:val="single"/>
        </w:rPr>
        <w:t>Dish</w:t>
      </w:r>
      <w:proofErr w:type="spellEnd"/>
      <w:r w:rsidRPr="002A2450">
        <w:rPr>
          <w:rFonts w:ascii="ITC Avant Garde" w:hAnsi="ITC Avant Garde"/>
          <w:u w:val="single"/>
        </w:rPr>
        <w:t xml:space="preserve"> México, S. de R</w:t>
      </w:r>
      <w:r w:rsidR="00C82DA6" w:rsidRPr="002A2450">
        <w:rPr>
          <w:rFonts w:ascii="ITC Avant Garde" w:hAnsi="ITC Avant Garde"/>
          <w:u w:val="single"/>
        </w:rPr>
        <w:t>.</w:t>
      </w:r>
      <w:r w:rsidRPr="002A2450">
        <w:rPr>
          <w:rFonts w:ascii="ITC Avant Garde" w:hAnsi="ITC Avant Garde"/>
          <w:u w:val="single"/>
        </w:rPr>
        <w:t>L</w:t>
      </w:r>
      <w:r w:rsidR="00C82DA6" w:rsidRPr="002A2450">
        <w:rPr>
          <w:rFonts w:ascii="ITC Avant Garde" w:hAnsi="ITC Avant Garde"/>
          <w:u w:val="single"/>
        </w:rPr>
        <w:t>.</w:t>
      </w:r>
      <w:r w:rsidRPr="002A2450">
        <w:rPr>
          <w:rFonts w:ascii="ITC Avant Garde" w:hAnsi="ITC Avant Garde"/>
          <w:u w:val="single"/>
        </w:rPr>
        <w:t xml:space="preserve"> de C</w:t>
      </w:r>
      <w:r w:rsidR="00C82DA6" w:rsidRPr="002A2450">
        <w:rPr>
          <w:rFonts w:ascii="ITC Avant Garde" w:hAnsi="ITC Avant Garde"/>
          <w:u w:val="single"/>
        </w:rPr>
        <w:t>.</w:t>
      </w:r>
      <w:r w:rsidRPr="002A2450">
        <w:rPr>
          <w:rFonts w:ascii="ITC Avant Garde" w:hAnsi="ITC Avant Garde"/>
          <w:u w:val="single"/>
        </w:rPr>
        <w:t>V</w:t>
      </w:r>
      <w:r w:rsidR="00C82DA6" w:rsidRPr="002A2450">
        <w:rPr>
          <w:rFonts w:ascii="ITC Avant Garde" w:hAnsi="ITC Avant Garde"/>
          <w:u w:val="single"/>
        </w:rPr>
        <w:t>.</w:t>
      </w:r>
      <w:r w:rsidRPr="002A2450">
        <w:rPr>
          <w:rFonts w:ascii="ITC Avant Garde" w:hAnsi="ITC Avant Garde"/>
          <w:u w:val="single"/>
        </w:rPr>
        <w:t xml:space="preserve"> ( "</w:t>
      </w:r>
      <w:proofErr w:type="spellStart"/>
      <w:r w:rsidRPr="002A2450">
        <w:rPr>
          <w:rFonts w:ascii="ITC Avant Garde" w:hAnsi="ITC Avant Garde"/>
          <w:u w:val="single"/>
        </w:rPr>
        <w:t>Dish</w:t>
      </w:r>
      <w:proofErr w:type="spellEnd"/>
      <w:r w:rsidRPr="002A2450">
        <w:rPr>
          <w:rFonts w:ascii="ITC Avant Garde" w:hAnsi="ITC Avant Garde"/>
          <w:u w:val="single"/>
        </w:rPr>
        <w:t xml:space="preserve"> México")</w:t>
      </w:r>
      <w:r w:rsidRPr="002A2450">
        <w:rPr>
          <w:rFonts w:ascii="ITC Avant Garde" w:hAnsi="ITC Avant Garde"/>
        </w:rPr>
        <w:t xml:space="preserve">, empresa </w:t>
      </w:r>
      <w:r w:rsidR="0096035B" w:rsidRPr="002A2450">
        <w:rPr>
          <w:rFonts w:ascii="ITC Avant Garde" w:hAnsi="ITC Avant Garde"/>
        </w:rPr>
        <w:t xml:space="preserve">constituida </w:t>
      </w:r>
      <w:r w:rsidRPr="002A2450">
        <w:rPr>
          <w:rFonts w:ascii="ITC Avant Garde" w:hAnsi="ITC Avant Garde"/>
        </w:rPr>
        <w:t>en</w:t>
      </w:r>
      <w:r w:rsidR="00C82DA6" w:rsidRPr="002A2450">
        <w:rPr>
          <w:rFonts w:ascii="ITC Avant Garde" w:hAnsi="ITC Avant Garde"/>
        </w:rPr>
        <w:t xml:space="preserve"> dos mil ocho</w:t>
      </w:r>
      <w:r w:rsidRPr="002A2450">
        <w:rPr>
          <w:rFonts w:ascii="ITC Avant Garde" w:hAnsi="ITC Avant Garde"/>
        </w:rPr>
        <w:t xml:space="preserve">. Además, ofrece tecnología de TV en cualquier lugar a través de unidades </w:t>
      </w:r>
      <w:proofErr w:type="spellStart"/>
      <w:r w:rsidRPr="002A2450">
        <w:rPr>
          <w:rFonts w:ascii="ITC Avant Garde" w:hAnsi="ITC Avant Garde"/>
        </w:rPr>
        <w:t>Slingbox</w:t>
      </w:r>
      <w:proofErr w:type="spellEnd"/>
      <w:r w:rsidRPr="002A2450">
        <w:rPr>
          <w:rFonts w:ascii="ITC Avant Garde" w:hAnsi="ITC Avant Garde"/>
        </w:rPr>
        <w:t>® directamente a los consumidores a través de puntos de venta y en línea, así como a la televisión de pago mercado de los operadores. A partir de</w:t>
      </w:r>
      <w:r w:rsidR="00C82DA6" w:rsidRPr="002A2450">
        <w:rPr>
          <w:rFonts w:ascii="ITC Avant Garde" w:hAnsi="ITC Avant Garde"/>
        </w:rPr>
        <w:t xml:space="preserve"> dos mil quince</w:t>
      </w:r>
      <w:r w:rsidRPr="002A2450">
        <w:rPr>
          <w:rFonts w:ascii="ITC Avant Garde" w:hAnsi="ITC Avant Garde"/>
        </w:rPr>
        <w:t xml:space="preserve">, este segmento también incluye </w:t>
      </w:r>
      <w:proofErr w:type="spellStart"/>
      <w:r w:rsidRPr="002A2450">
        <w:rPr>
          <w:rFonts w:ascii="ITC Avant Garde" w:hAnsi="ITC Avant Garde"/>
        </w:rPr>
        <w:t>Move</w:t>
      </w:r>
      <w:proofErr w:type="spellEnd"/>
      <w:r w:rsidRPr="002A2450">
        <w:rPr>
          <w:rFonts w:ascii="ITC Avant Garde" w:hAnsi="ITC Avant Garde"/>
        </w:rPr>
        <w:t xml:space="preserve"> Networks, </w:t>
      </w:r>
      <w:r w:rsidR="0096035B" w:rsidRPr="002A2450">
        <w:rPr>
          <w:rFonts w:ascii="ITC Avant Garde" w:hAnsi="ITC Avant Garde"/>
        </w:rPr>
        <w:t xml:space="preserve">que es su </w:t>
      </w:r>
      <w:proofErr w:type="spellStart"/>
      <w:r w:rsidRPr="002A2450">
        <w:rPr>
          <w:rFonts w:ascii="ITC Avant Garde" w:hAnsi="ITC Avant Garde"/>
        </w:rPr>
        <w:t>over</w:t>
      </w:r>
      <w:proofErr w:type="spellEnd"/>
      <w:r w:rsidRPr="002A2450">
        <w:rPr>
          <w:rFonts w:ascii="ITC Avant Garde" w:hAnsi="ITC Avant Garde"/>
        </w:rPr>
        <w:t>-</w:t>
      </w:r>
      <w:proofErr w:type="spellStart"/>
      <w:r w:rsidRPr="002A2450">
        <w:rPr>
          <w:rFonts w:ascii="ITC Avant Garde" w:hAnsi="ITC Avant Garde"/>
        </w:rPr>
        <w:t>the</w:t>
      </w:r>
      <w:proofErr w:type="spellEnd"/>
      <w:r w:rsidRPr="002A2450">
        <w:rPr>
          <w:rFonts w:ascii="ITC Avant Garde" w:hAnsi="ITC Avant Garde"/>
        </w:rPr>
        <w:t xml:space="preserve">-top ("OTT"), </w:t>
      </w:r>
      <w:proofErr w:type="spellStart"/>
      <w:r w:rsidRPr="002A2450">
        <w:rPr>
          <w:rFonts w:ascii="ITC Avant Garde" w:hAnsi="ITC Avant Garde"/>
        </w:rPr>
        <w:t>st</w:t>
      </w:r>
      <w:r w:rsidR="00C82DA6" w:rsidRPr="002A2450">
        <w:rPr>
          <w:rFonts w:ascii="ITC Avant Garde" w:hAnsi="ITC Avant Garde"/>
        </w:rPr>
        <w:t>reaming</w:t>
      </w:r>
      <w:proofErr w:type="spellEnd"/>
      <w:r w:rsidR="00C82DA6" w:rsidRPr="002A2450">
        <w:rPr>
          <w:rFonts w:ascii="ITC Avant Garde" w:hAnsi="ITC Avant Garde"/>
        </w:rPr>
        <w:t xml:space="preserve"> de vídeo bajo demanda (</w:t>
      </w:r>
      <w:r w:rsidRPr="002A2450">
        <w:rPr>
          <w:rFonts w:ascii="ITC Avant Garde" w:hAnsi="ITC Avant Garde"/>
        </w:rPr>
        <w:t>"SVOD") plataforma de negocios, que ofrece principalmente servicios de apoyo a DISH de la red TM servicio ("</w:t>
      </w:r>
      <w:proofErr w:type="spellStart"/>
      <w:r w:rsidRPr="002A2450">
        <w:rPr>
          <w:rFonts w:ascii="ITC Avant Garde" w:hAnsi="ITC Avant Garde"/>
        </w:rPr>
        <w:t>Sling</w:t>
      </w:r>
      <w:proofErr w:type="spellEnd"/>
      <w:r w:rsidRPr="002A2450">
        <w:rPr>
          <w:rFonts w:ascii="ITC Avant Garde" w:hAnsi="ITC Avant Garde"/>
        </w:rPr>
        <w:t xml:space="preserve"> TELEVISIÓN").</w:t>
      </w:r>
    </w:p>
    <w:p w14:paraId="351A39F9" w14:textId="77777777" w:rsidR="00B35F13" w:rsidRDefault="00994ADA" w:rsidP="007E623E">
      <w:pPr>
        <w:pStyle w:val="Prrafodelista"/>
        <w:numPr>
          <w:ilvl w:val="0"/>
          <w:numId w:val="20"/>
        </w:numPr>
        <w:spacing w:before="240" w:line="360" w:lineRule="auto"/>
        <w:jc w:val="both"/>
        <w:rPr>
          <w:rFonts w:ascii="ITC Avant Garde" w:hAnsi="ITC Avant Garde"/>
          <w:i/>
        </w:rPr>
      </w:pPr>
      <w:r w:rsidRPr="002A2450">
        <w:rPr>
          <w:rFonts w:ascii="ITC Avant Garde" w:hAnsi="ITC Avant Garde"/>
          <w:i/>
        </w:rPr>
        <w:t xml:space="preserve">EchoStar </w:t>
      </w:r>
      <w:proofErr w:type="spellStart"/>
      <w:r w:rsidRPr="002A2450">
        <w:rPr>
          <w:rFonts w:ascii="ITC Avant Garde" w:hAnsi="ITC Avant Garde"/>
          <w:i/>
        </w:rPr>
        <w:t>Satellite</w:t>
      </w:r>
      <w:proofErr w:type="spellEnd"/>
      <w:r w:rsidRPr="002A2450">
        <w:rPr>
          <w:rFonts w:ascii="ITC Avant Garde" w:hAnsi="ITC Avant Garde"/>
          <w:i/>
        </w:rPr>
        <w:t xml:space="preserve"> </w:t>
      </w:r>
      <w:proofErr w:type="spellStart"/>
      <w:r w:rsidRPr="002A2450">
        <w:rPr>
          <w:rFonts w:ascii="ITC Avant Garde" w:hAnsi="ITC Avant Garde"/>
          <w:i/>
        </w:rPr>
        <w:t>Services</w:t>
      </w:r>
      <w:proofErr w:type="spellEnd"/>
      <w:r w:rsidRPr="002A2450">
        <w:rPr>
          <w:rFonts w:ascii="ITC Avant Garde" w:hAnsi="ITC Avant Garde"/>
          <w:i/>
        </w:rPr>
        <w:t xml:space="preserve"> (“ESS”)</w:t>
      </w:r>
      <w:r w:rsidR="00C82DA6" w:rsidRPr="002A2450">
        <w:rPr>
          <w:rFonts w:ascii="ITC Avant Garde" w:hAnsi="ITC Avant Garde"/>
          <w:i/>
        </w:rPr>
        <w:t xml:space="preserve"> </w:t>
      </w:r>
      <w:r w:rsidRPr="002A2450">
        <w:rPr>
          <w:rFonts w:ascii="ITC Avant Garde" w:hAnsi="ITC Avant Garde"/>
        </w:rPr>
        <w:t xml:space="preserve">utiliza </w:t>
      </w:r>
      <w:r w:rsidR="0096035B" w:rsidRPr="002A2450">
        <w:rPr>
          <w:rFonts w:ascii="ITC Avant Garde" w:hAnsi="ITC Avant Garde"/>
        </w:rPr>
        <w:t xml:space="preserve">sus propios </w:t>
      </w:r>
      <w:r w:rsidRPr="002A2450">
        <w:rPr>
          <w:rFonts w:ascii="ITC Avant Garde" w:hAnsi="ITC Avant Garde"/>
        </w:rPr>
        <w:t>satélites y alquiler en órbita y sus correspondientes licencias para proporcionar operaciones de servicios por satélite y soluciones de distribución de video en un tiempo completo.</w:t>
      </w:r>
    </w:p>
    <w:p w14:paraId="0230C42F" w14:textId="77777777" w:rsidR="00B35F13" w:rsidRDefault="00C82DA6" w:rsidP="00B35F13">
      <w:pPr>
        <w:spacing w:before="240" w:line="360" w:lineRule="auto"/>
        <w:jc w:val="both"/>
        <w:rPr>
          <w:rFonts w:ascii="ITC Avant Garde" w:eastAsiaTheme="majorEastAsia" w:hAnsi="ITC Avant Garde" w:cstheme="majorBidi"/>
          <w:color w:val="0000FF"/>
          <w:szCs w:val="32"/>
        </w:rPr>
      </w:pPr>
      <w:r w:rsidRPr="002A2450">
        <w:rPr>
          <w:rFonts w:ascii="ITC Avant Garde" w:hAnsi="ITC Avant Garde"/>
        </w:rPr>
        <w:t xml:space="preserve">Ahora bien, la alianza estratégica fue conformada precisamente entre </w:t>
      </w:r>
      <w:r w:rsidRPr="002A2450">
        <w:rPr>
          <w:rFonts w:ascii="ITC Avant Garde" w:hAnsi="ITC Avant Garde"/>
          <w:b/>
        </w:rPr>
        <w:t>“</w:t>
      </w:r>
      <w:r w:rsidRPr="002A2450">
        <w:rPr>
          <w:rFonts w:ascii="ITC Avant Garde" w:hAnsi="ITC Avant Garde" w:cs="Arial"/>
          <w:b/>
        </w:rPr>
        <w:t xml:space="preserve">ECHOSTAR MÉXICO” </w:t>
      </w:r>
      <w:r w:rsidRPr="002A2450">
        <w:rPr>
          <w:rFonts w:ascii="ITC Avant Garde" w:hAnsi="ITC Avant Garde" w:cs="Arial"/>
        </w:rPr>
        <w:t xml:space="preserve">(empresa subsidiaria de </w:t>
      </w:r>
      <w:r w:rsidRPr="002A2450">
        <w:rPr>
          <w:rFonts w:ascii="ITC Avant Garde" w:hAnsi="ITC Avant Garde" w:cs="Arial"/>
          <w:b/>
        </w:rPr>
        <w:t xml:space="preserve">“ECHOSTAR CORPORATION”) </w:t>
      </w:r>
      <w:r w:rsidRPr="002A2450">
        <w:rPr>
          <w:rFonts w:ascii="ITC Avant Garde" w:hAnsi="ITC Avant Garde" w:cs="Arial"/>
        </w:rPr>
        <w:t xml:space="preserve">para la consecución de la explotación de los servicios de </w:t>
      </w:r>
      <w:r w:rsidRPr="002A2450">
        <w:rPr>
          <w:rFonts w:ascii="ITC Avant Garde" w:hAnsi="ITC Avant Garde" w:cs="Arial"/>
          <w:b/>
        </w:rPr>
        <w:t>“DTH”</w:t>
      </w:r>
      <w:r w:rsidRPr="002A2450">
        <w:rPr>
          <w:rFonts w:ascii="ITC Avant Garde" w:hAnsi="ITC Avant Garde" w:cs="Arial"/>
        </w:rPr>
        <w:t xml:space="preserve"> en México de manera conjunta con </w:t>
      </w:r>
      <w:r w:rsidRPr="002A2450">
        <w:rPr>
          <w:rFonts w:ascii="ITC Avant Garde" w:hAnsi="ITC Avant Garde" w:cs="Arial"/>
          <w:b/>
        </w:rPr>
        <w:t>“GFMTV”</w:t>
      </w:r>
      <w:r w:rsidR="002E689D" w:rsidRPr="002A2450">
        <w:rPr>
          <w:rFonts w:ascii="ITC Avant Garde" w:hAnsi="ITC Avant Garde" w:cs="Arial"/>
          <w:b/>
        </w:rPr>
        <w:t>.</w:t>
      </w:r>
      <w:r w:rsidR="006C1299" w:rsidRPr="002A2450">
        <w:rPr>
          <w:rFonts w:ascii="ITC Avant Garde" w:hAnsi="ITC Avant Garde" w:cs="Arial"/>
        </w:rPr>
        <w:t xml:space="preserve"> </w:t>
      </w:r>
      <w:r w:rsidR="004366C5" w:rsidRPr="0047339C">
        <w:rPr>
          <w:rFonts w:ascii="ITC Avant Garde" w:eastAsiaTheme="majorEastAsia" w:hAnsi="ITC Avant Garde" w:cstheme="majorBidi"/>
          <w:b/>
          <w:color w:val="0000FF"/>
          <w:szCs w:val="32"/>
        </w:rPr>
        <w:t>“CONFIDENCIAL POR LEY”</w:t>
      </w:r>
    </w:p>
    <w:p w14:paraId="2EE5C04E" w14:textId="77777777" w:rsidR="00032A33" w:rsidRDefault="006C1299" w:rsidP="00B35F13">
      <w:pPr>
        <w:spacing w:before="240" w:line="360" w:lineRule="auto"/>
        <w:jc w:val="both"/>
        <w:rPr>
          <w:rFonts w:ascii="ITC Avant Garde" w:hAnsi="ITC Avant Garde"/>
        </w:rPr>
        <w:sectPr w:rsidR="00032A33" w:rsidSect="009F3771">
          <w:headerReference w:type="default" r:id="rId36"/>
          <w:pgSz w:w="12240" w:h="15840"/>
          <w:pgMar w:top="1985" w:right="1701" w:bottom="1418" w:left="1701" w:header="709" w:footer="709" w:gutter="0"/>
          <w:cols w:space="708"/>
          <w:docGrid w:linePitch="360"/>
        </w:sectPr>
      </w:pPr>
      <w:r w:rsidRPr="002A2450">
        <w:rPr>
          <w:rFonts w:ascii="ITC Avant Garde" w:hAnsi="ITC Avant Garde" w:cs="Arial"/>
        </w:rPr>
        <w:t xml:space="preserve">En ese sentido, para la consecución de los servicios de </w:t>
      </w:r>
      <w:r w:rsidRPr="002A2450">
        <w:rPr>
          <w:rFonts w:ascii="ITC Avant Garde" w:hAnsi="ITC Avant Garde" w:cs="Arial"/>
          <w:b/>
        </w:rPr>
        <w:t>“DTH”</w:t>
      </w:r>
      <w:r w:rsidRPr="002A2450">
        <w:rPr>
          <w:rFonts w:ascii="ITC Avant Garde" w:hAnsi="ITC Avant Garde" w:cs="Arial"/>
        </w:rPr>
        <w:t xml:space="preserve">, </w:t>
      </w:r>
      <w:r w:rsidRPr="002A2450">
        <w:rPr>
          <w:rFonts w:ascii="ITC Avant Garde" w:hAnsi="ITC Avant Garde"/>
          <w:b/>
        </w:rPr>
        <w:t>“</w:t>
      </w:r>
      <w:r w:rsidRPr="002A2450">
        <w:rPr>
          <w:rFonts w:ascii="ITC Avant Garde" w:hAnsi="ITC Avant Garde" w:cs="Arial"/>
          <w:b/>
        </w:rPr>
        <w:t xml:space="preserve">ECHOSTAR MÉXICO” </w:t>
      </w:r>
      <w:r w:rsidRPr="002A2450">
        <w:rPr>
          <w:rFonts w:ascii="ITC Avant Garde" w:hAnsi="ITC Avant Garde" w:cs="Arial"/>
        </w:rPr>
        <w:t xml:space="preserve">(empresa que produce, distribuye y comercializa decodificadores de señales satelitales; transmisiones digitales, </w:t>
      </w:r>
      <w:r w:rsidRPr="002A2450">
        <w:rPr>
          <w:rFonts w:ascii="ITC Avant Garde" w:hAnsi="ITC Avant Garde"/>
        </w:rPr>
        <w:t xml:space="preserve">transmisión, procesamiento de señales, gestión </w:t>
      </w:r>
    </w:p>
    <w:p w14:paraId="53C2256E" w14:textId="40AC592C" w:rsidR="00B35F13" w:rsidRDefault="006C1299" w:rsidP="00B35F13">
      <w:pPr>
        <w:spacing w:before="240" w:line="360" w:lineRule="auto"/>
        <w:jc w:val="both"/>
        <w:rPr>
          <w:rFonts w:ascii="ITC Avant Garde" w:hAnsi="ITC Avant Garde"/>
        </w:rPr>
      </w:pPr>
      <w:proofErr w:type="gramStart"/>
      <w:r w:rsidRPr="002A2450">
        <w:rPr>
          <w:rFonts w:ascii="ITC Avant Garde" w:hAnsi="ITC Avant Garde"/>
        </w:rPr>
        <w:lastRenderedPageBreak/>
        <w:t>de</w:t>
      </w:r>
      <w:proofErr w:type="gramEnd"/>
      <w:r w:rsidRPr="002A2450">
        <w:rPr>
          <w:rFonts w:ascii="ITC Avant Garde" w:hAnsi="ITC Avant Garde"/>
        </w:rPr>
        <w:t xml:space="preserve"> acceso condicional y otros servicio) y </w:t>
      </w:r>
      <w:r w:rsidRPr="002A2450">
        <w:rPr>
          <w:rFonts w:ascii="ITC Avant Garde" w:hAnsi="ITC Avant Garde"/>
          <w:b/>
        </w:rPr>
        <w:t>“GFMTV”</w:t>
      </w:r>
      <w:r w:rsidRPr="002A2450">
        <w:rPr>
          <w:rFonts w:ascii="ITC Avant Garde" w:hAnsi="ITC Avant Garde"/>
        </w:rPr>
        <w:t xml:space="preserve"> (empresa poseedora entre otras cosas de la concesión perteneciente a </w:t>
      </w:r>
      <w:r w:rsidRPr="002A2450">
        <w:rPr>
          <w:rFonts w:ascii="ITC Avant Garde" w:hAnsi="ITC Avant Garde"/>
          <w:b/>
        </w:rPr>
        <w:t>“COFRESA”</w:t>
      </w:r>
      <w:r w:rsidRPr="002A2450">
        <w:rPr>
          <w:rFonts w:ascii="ITC Avant Garde" w:hAnsi="ITC Avant Garde"/>
        </w:rPr>
        <w:t>)</w:t>
      </w:r>
      <w:r w:rsidRPr="002A2450">
        <w:rPr>
          <w:rFonts w:ascii="ITC Avant Garde" w:hAnsi="ITC Avant Garde"/>
          <w:b/>
        </w:rPr>
        <w:t xml:space="preserve"> </w:t>
      </w:r>
      <w:r w:rsidRPr="002A2450">
        <w:rPr>
          <w:rFonts w:ascii="ITC Avant Garde" w:hAnsi="ITC Avant Garde"/>
        </w:rPr>
        <w:t>diseñaron</w:t>
      </w:r>
      <w:r w:rsidRPr="002A2450">
        <w:rPr>
          <w:rFonts w:ascii="ITC Avant Garde" w:hAnsi="ITC Avant Garde"/>
          <w:b/>
        </w:rPr>
        <w:t xml:space="preserve"> </w:t>
      </w:r>
      <w:r w:rsidRPr="002A2450">
        <w:rPr>
          <w:rFonts w:ascii="ITC Avant Garde" w:hAnsi="ITC Avant Garde"/>
        </w:rPr>
        <w:t xml:space="preserve">al amparo de los contratos celebrados, un mecanismo que les permitirá dotar a </w:t>
      </w:r>
      <w:r w:rsidRPr="002A2450">
        <w:rPr>
          <w:rFonts w:ascii="ITC Avant Garde" w:hAnsi="ITC Avant Garde"/>
          <w:b/>
        </w:rPr>
        <w:t>“COFRESA”</w:t>
      </w:r>
      <w:r w:rsidRPr="002A2450">
        <w:rPr>
          <w:rFonts w:ascii="ITC Avant Garde" w:hAnsi="ITC Avant Garde"/>
        </w:rPr>
        <w:t xml:space="preserve"> de los insumos necesarios para la prestación del servicio de </w:t>
      </w:r>
      <w:r w:rsidRPr="002A2450">
        <w:rPr>
          <w:rFonts w:ascii="ITC Avant Garde" w:hAnsi="ITC Avant Garde"/>
          <w:b/>
        </w:rPr>
        <w:t>“DTH”</w:t>
      </w:r>
      <w:r w:rsidRPr="002A2450">
        <w:rPr>
          <w:rFonts w:ascii="ITC Avant Garde" w:hAnsi="ITC Avant Garde"/>
        </w:rPr>
        <w:t xml:space="preserve"> en México.</w:t>
      </w:r>
    </w:p>
    <w:p w14:paraId="0716EB46" w14:textId="77777777" w:rsidR="00B35F13" w:rsidRDefault="006C1299" w:rsidP="00B35F13">
      <w:pPr>
        <w:spacing w:before="240" w:line="360" w:lineRule="auto"/>
        <w:jc w:val="both"/>
        <w:rPr>
          <w:rFonts w:ascii="ITC Avant Garde" w:hAnsi="ITC Avant Garde"/>
        </w:rPr>
      </w:pPr>
      <w:r w:rsidRPr="002A2450">
        <w:rPr>
          <w:rFonts w:ascii="ITC Avant Garde" w:hAnsi="ITC Avant Garde"/>
        </w:rPr>
        <w:t>Para lo anterior, basta observar el diagrama de la serie de contratos celebrados (Contrato de Operación</w:t>
      </w:r>
      <w:r w:rsidR="00133C36" w:rsidRPr="002A2450">
        <w:rPr>
          <w:rFonts w:ascii="ITC Avant Garde" w:hAnsi="ITC Avant Garde"/>
        </w:rPr>
        <w:t xml:space="preserve"> y contratos celebrados con </w:t>
      </w:r>
      <w:r w:rsidR="00133C36" w:rsidRPr="002A2450">
        <w:rPr>
          <w:rFonts w:ascii="ITC Avant Garde" w:hAnsi="ITC Avant Garde"/>
          <w:b/>
        </w:rPr>
        <w:t>“TELMEX”</w:t>
      </w:r>
      <w:r w:rsidRPr="002A2450">
        <w:rPr>
          <w:rFonts w:ascii="ITC Avant Garde" w:hAnsi="ITC Avant Garde"/>
        </w:rPr>
        <w:t xml:space="preserve">) para concluir que en el mismo, se dotó a </w:t>
      </w:r>
      <w:r w:rsidRPr="002A2450">
        <w:rPr>
          <w:rFonts w:ascii="ITC Avant Garde" w:hAnsi="ITC Avant Garde"/>
          <w:b/>
        </w:rPr>
        <w:t>“COFRESA”</w:t>
      </w:r>
      <w:r w:rsidRPr="002A2450">
        <w:rPr>
          <w:rFonts w:ascii="ITC Avant Garde" w:hAnsi="ITC Avant Garde"/>
        </w:rPr>
        <w:t xml:space="preserve"> de los siguientes elementos:</w:t>
      </w:r>
    </w:p>
    <w:p w14:paraId="3B705B24" w14:textId="5A22E0CC" w:rsidR="006C1299" w:rsidRPr="002A2450" w:rsidRDefault="006C1299"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Cesión parcial de derechos y de uso irrevocable </w:t>
      </w:r>
      <w:r w:rsidR="00FC1943" w:rsidRPr="002A2450">
        <w:rPr>
          <w:rFonts w:ascii="ITC Avant Garde" w:hAnsi="ITC Avant Garde"/>
        </w:rPr>
        <w:t xml:space="preserve">de los títulos de red y de bandas en posesión de </w:t>
      </w:r>
      <w:r w:rsidR="00FC1943" w:rsidRPr="002A2450">
        <w:rPr>
          <w:rFonts w:ascii="ITC Avant Garde" w:hAnsi="ITC Avant Garde"/>
          <w:b/>
        </w:rPr>
        <w:t>“MVS MULTIVISIÓN”.</w:t>
      </w:r>
    </w:p>
    <w:p w14:paraId="60654479" w14:textId="77777777"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Los servicios de transmisión a cargo de </w:t>
      </w:r>
      <w:r w:rsidRPr="002A2450">
        <w:rPr>
          <w:rFonts w:ascii="ITC Avant Garde" w:hAnsi="ITC Avant Garde"/>
          <w:b/>
        </w:rPr>
        <w:t>“ECHOSTAR BROADCASTING CORPORATION”.</w:t>
      </w:r>
    </w:p>
    <w:p w14:paraId="2800D257" w14:textId="77777777"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Provisión de capacidad por parte de </w:t>
      </w:r>
      <w:r w:rsidRPr="002A2450">
        <w:rPr>
          <w:rFonts w:ascii="ITC Avant Garde" w:hAnsi="ITC Avant Garde"/>
          <w:b/>
        </w:rPr>
        <w:t>“QUETSAT”</w:t>
      </w:r>
      <w:r w:rsidRPr="002A2450">
        <w:rPr>
          <w:rFonts w:ascii="ITC Avant Garde" w:hAnsi="ITC Avant Garde"/>
        </w:rPr>
        <w:t xml:space="preserve"> a través de un satélite propiedad de </w:t>
      </w:r>
      <w:r w:rsidRPr="002A2450">
        <w:rPr>
          <w:rFonts w:ascii="ITC Avant Garde" w:hAnsi="ITC Avant Garde"/>
          <w:b/>
        </w:rPr>
        <w:t>“ECHOSTAR CORPORATION”</w:t>
      </w:r>
      <w:r w:rsidRPr="002A2450">
        <w:rPr>
          <w:rFonts w:ascii="ITC Avant Garde" w:hAnsi="ITC Avant Garde"/>
        </w:rPr>
        <w:t xml:space="preserve">, </w:t>
      </w:r>
    </w:p>
    <w:p w14:paraId="42921B2A" w14:textId="77777777"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Licencia de marcas (</w:t>
      </w:r>
      <w:r w:rsidRPr="002A2450">
        <w:rPr>
          <w:rFonts w:ascii="ITC Avant Garde" w:hAnsi="ITC Avant Garde"/>
          <w:b/>
        </w:rPr>
        <w:t>“DISH”</w:t>
      </w:r>
      <w:r w:rsidRPr="002A2450">
        <w:rPr>
          <w:rFonts w:ascii="ITC Avant Garde" w:hAnsi="ITC Avant Garde"/>
        </w:rPr>
        <w:t>) por parte de “</w:t>
      </w:r>
      <w:r w:rsidRPr="002A2450">
        <w:rPr>
          <w:rFonts w:ascii="ITC Avant Garde" w:hAnsi="ITC Avant Garde"/>
          <w:b/>
        </w:rPr>
        <w:t>DISH NETWORKS CORPORATION”</w:t>
      </w:r>
    </w:p>
    <w:p w14:paraId="7A28DFA3" w14:textId="1BBB211B"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La compra y venta de </w:t>
      </w:r>
      <w:r w:rsidR="00DB48C0">
        <w:rPr>
          <w:rFonts w:ascii="ITC Avant Garde" w:hAnsi="ITC Avant Garde"/>
        </w:rPr>
        <w:t>Kits</w:t>
      </w:r>
      <w:r w:rsidRPr="002A2450">
        <w:rPr>
          <w:rFonts w:ascii="ITC Avant Garde" w:hAnsi="ITC Avant Garde"/>
        </w:rPr>
        <w:t xml:space="preserve"> CPE que son producidos por </w:t>
      </w:r>
      <w:r w:rsidRPr="002A2450">
        <w:rPr>
          <w:rFonts w:ascii="ITC Avant Garde" w:hAnsi="ITC Avant Garde"/>
          <w:b/>
        </w:rPr>
        <w:t>“ECHOSTAR TECHNOLOGIES”</w:t>
      </w:r>
      <w:r w:rsidRPr="002A2450">
        <w:rPr>
          <w:rFonts w:ascii="ITC Avant Garde" w:hAnsi="ITC Avant Garde"/>
        </w:rPr>
        <w:t xml:space="preserve"> subsidiaria de </w:t>
      </w:r>
      <w:r w:rsidRPr="002A2450">
        <w:rPr>
          <w:rFonts w:ascii="ITC Avant Garde" w:hAnsi="ITC Avant Garde"/>
          <w:b/>
        </w:rPr>
        <w:t>“ECHOSTAR CORPORATION”</w:t>
      </w:r>
    </w:p>
    <w:p w14:paraId="0D187810" w14:textId="77777777"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Un sistema de distribución, coordinación de mercadotecnia y el establecimiento de órdenes de instalación por parte de </w:t>
      </w:r>
      <w:r w:rsidRPr="002A2450">
        <w:rPr>
          <w:rFonts w:ascii="ITC Avant Garde" w:hAnsi="ITC Avant Garde"/>
          <w:b/>
        </w:rPr>
        <w:t>“TELMEX”/”TENINVER”</w:t>
      </w:r>
    </w:p>
    <w:p w14:paraId="7EC2BD6C" w14:textId="77777777" w:rsidR="00FC1943" w:rsidRPr="002A2450"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La facturación y cobranza a través de los canales de distribución con los que cuenta </w:t>
      </w:r>
      <w:r w:rsidRPr="002A2450">
        <w:rPr>
          <w:rFonts w:ascii="ITC Avant Garde" w:hAnsi="ITC Avant Garde"/>
          <w:b/>
        </w:rPr>
        <w:t>“TELMEX”/”TENINVER”</w:t>
      </w:r>
      <w:r w:rsidRPr="002A2450">
        <w:rPr>
          <w:rFonts w:ascii="ITC Avant Garde" w:hAnsi="ITC Avant Garde"/>
        </w:rPr>
        <w:t xml:space="preserve"> en todo el país.</w:t>
      </w:r>
    </w:p>
    <w:p w14:paraId="3392FBF7" w14:textId="77777777" w:rsidR="00B35F13" w:rsidRDefault="00FC1943" w:rsidP="007E623E">
      <w:pPr>
        <w:pStyle w:val="Prrafodelista"/>
        <w:numPr>
          <w:ilvl w:val="0"/>
          <w:numId w:val="21"/>
        </w:numPr>
        <w:spacing w:before="240" w:line="360" w:lineRule="auto"/>
        <w:jc w:val="both"/>
        <w:rPr>
          <w:rFonts w:ascii="ITC Avant Garde" w:hAnsi="ITC Avant Garde"/>
        </w:rPr>
      </w:pPr>
      <w:r w:rsidRPr="002A2450">
        <w:rPr>
          <w:rFonts w:ascii="ITC Avant Garde" w:hAnsi="ITC Avant Garde"/>
        </w:rPr>
        <w:t xml:space="preserve">El arrendamiento de los equipos que en principio son adquiridos por </w:t>
      </w:r>
      <w:r w:rsidRPr="002A2450">
        <w:rPr>
          <w:rFonts w:ascii="ITC Avant Garde" w:hAnsi="ITC Avant Garde"/>
          <w:b/>
        </w:rPr>
        <w:t>“COFRESA”</w:t>
      </w:r>
      <w:r w:rsidRPr="002A2450">
        <w:rPr>
          <w:rFonts w:ascii="ITC Avant Garde" w:hAnsi="ITC Avant Garde"/>
        </w:rPr>
        <w:t xml:space="preserve"> de </w:t>
      </w:r>
      <w:r w:rsidRPr="002A2450">
        <w:rPr>
          <w:rFonts w:ascii="ITC Avant Garde" w:hAnsi="ITC Avant Garde"/>
          <w:b/>
        </w:rPr>
        <w:t>“ECHOSTAR TECHNOLOGIES”</w:t>
      </w:r>
      <w:r w:rsidRPr="002A2450">
        <w:rPr>
          <w:rFonts w:ascii="ITC Avant Garde" w:hAnsi="ITC Avant Garde"/>
        </w:rPr>
        <w:t xml:space="preserve"> subsidiaria de </w:t>
      </w:r>
      <w:r w:rsidRPr="002A2450">
        <w:rPr>
          <w:rFonts w:ascii="ITC Avant Garde" w:hAnsi="ITC Avant Garde"/>
          <w:b/>
        </w:rPr>
        <w:t xml:space="preserve">“ECHOSTAR CORPORATION” </w:t>
      </w:r>
      <w:r w:rsidRPr="002A2450">
        <w:rPr>
          <w:rFonts w:ascii="ITC Avant Garde" w:hAnsi="ITC Avant Garde"/>
        </w:rPr>
        <w:t xml:space="preserve">y a su vez adquiridos por </w:t>
      </w:r>
      <w:r w:rsidRPr="002A2450">
        <w:rPr>
          <w:rFonts w:ascii="ITC Avant Garde" w:hAnsi="ITC Avant Garde"/>
          <w:b/>
        </w:rPr>
        <w:t>“TENINVER”</w:t>
      </w:r>
      <w:r w:rsidRPr="002A2450">
        <w:rPr>
          <w:rFonts w:ascii="ITC Avant Garde" w:hAnsi="ITC Avant Garde"/>
        </w:rPr>
        <w:t xml:space="preserve"> para ser arrendados </w:t>
      </w:r>
      <w:r w:rsidR="00F13EE0" w:rsidRPr="002A2450">
        <w:rPr>
          <w:rFonts w:ascii="ITC Avant Garde" w:hAnsi="ITC Avant Garde"/>
        </w:rPr>
        <w:t xml:space="preserve">por </w:t>
      </w:r>
      <w:r w:rsidR="00F13EE0" w:rsidRPr="002A2450">
        <w:rPr>
          <w:rFonts w:ascii="ITC Avant Garde" w:hAnsi="ITC Avant Garde"/>
          <w:b/>
        </w:rPr>
        <w:t>“COFRESA”</w:t>
      </w:r>
    </w:p>
    <w:p w14:paraId="18C542E5" w14:textId="154C84E5" w:rsidR="00254267" w:rsidRDefault="00133C36" w:rsidP="00B35F13">
      <w:pPr>
        <w:spacing w:before="240" w:line="360" w:lineRule="auto"/>
        <w:jc w:val="both"/>
        <w:rPr>
          <w:rFonts w:ascii="ITC Avant Garde" w:hAnsi="ITC Avant Garde"/>
        </w:rPr>
      </w:pPr>
      <w:r w:rsidRPr="002A2450">
        <w:rPr>
          <w:rFonts w:ascii="ITC Avant Garde" w:hAnsi="ITC Avant Garde"/>
        </w:rPr>
        <w:lastRenderedPageBreak/>
        <w:t xml:space="preserve">Dichos elementos constituyen el modelo mediante el cual, </w:t>
      </w:r>
      <w:r w:rsidRPr="002A2450">
        <w:rPr>
          <w:rFonts w:ascii="ITC Avant Garde" w:hAnsi="ITC Avant Garde"/>
          <w:b/>
        </w:rPr>
        <w:t>“COFRESA”</w:t>
      </w:r>
      <w:r w:rsidRPr="002A2450">
        <w:rPr>
          <w:rFonts w:ascii="ITC Avant Garde" w:hAnsi="ITC Avant Garde"/>
        </w:rPr>
        <w:t xml:space="preserve"> lleva a cabo la prestación del servicio de </w:t>
      </w:r>
      <w:r w:rsidRPr="002A2450">
        <w:rPr>
          <w:rFonts w:ascii="ITC Avant Garde" w:hAnsi="ITC Avant Garde"/>
          <w:b/>
        </w:rPr>
        <w:t>“DTH”</w:t>
      </w:r>
      <w:r w:rsidRPr="002A2450">
        <w:rPr>
          <w:rFonts w:ascii="ITC Avant Garde" w:hAnsi="ITC Avant Garde"/>
        </w:rPr>
        <w:t xml:space="preserve"> en México, </w:t>
      </w:r>
      <w:r w:rsidR="00254267" w:rsidRPr="002A2450">
        <w:rPr>
          <w:rFonts w:ascii="ITC Avant Garde" w:hAnsi="ITC Avant Garde"/>
        </w:rPr>
        <w:t xml:space="preserve">como puede </w:t>
      </w:r>
      <w:r w:rsidRPr="002A2450">
        <w:rPr>
          <w:rFonts w:ascii="ITC Avant Garde" w:hAnsi="ITC Avant Garde"/>
        </w:rPr>
        <w:t>observarse en el siguiente esquema:</w:t>
      </w:r>
    </w:p>
    <w:p w14:paraId="287F3D54" w14:textId="7B7F9459" w:rsidR="00B35F13" w:rsidRPr="0047339C" w:rsidRDefault="00C9499F" w:rsidP="00C9499F">
      <w:pPr>
        <w:spacing w:before="240" w:line="360" w:lineRule="auto"/>
        <w:jc w:val="center"/>
        <w:rPr>
          <w:rFonts w:ascii="ITC Avant Garde" w:hAnsi="ITC Avant Garde"/>
          <w:b/>
          <w:color w:val="000000" w:themeColor="text1"/>
          <w:sz w:val="28"/>
          <w:szCs w:val="28"/>
        </w:rPr>
      </w:pPr>
      <w:r w:rsidRPr="0047339C">
        <w:rPr>
          <w:rFonts w:ascii="ITC Avant Garde" w:hAnsi="ITC Avant Garde"/>
          <w:b/>
          <w:color w:val="000000" w:themeColor="text1"/>
          <w:sz w:val="28"/>
          <w:szCs w:val="28"/>
        </w:rPr>
        <w:t>SIN TEXTO</w:t>
      </w:r>
    </w:p>
    <w:p w14:paraId="466D81CC" w14:textId="28D9041B" w:rsidR="00836CC0" w:rsidRDefault="00836CC0" w:rsidP="00B35F13">
      <w:pPr>
        <w:spacing w:before="240" w:line="360" w:lineRule="auto"/>
        <w:jc w:val="both"/>
        <w:rPr>
          <w:rFonts w:ascii="ITC Avant Garde" w:hAnsi="ITC Avant Garde"/>
        </w:rPr>
        <w:sectPr w:rsidR="00836CC0" w:rsidSect="009F3771">
          <w:headerReference w:type="default" r:id="rId37"/>
          <w:pgSz w:w="12240" w:h="15840"/>
          <w:pgMar w:top="1985" w:right="1701" w:bottom="1418" w:left="1701" w:header="709" w:footer="709" w:gutter="0"/>
          <w:cols w:space="708"/>
          <w:docGrid w:linePitch="360"/>
        </w:sectPr>
      </w:pPr>
    </w:p>
    <w:p w14:paraId="73E32389" w14:textId="77777777" w:rsidR="00B35F13" w:rsidRDefault="00254267" w:rsidP="00B35F13">
      <w:pPr>
        <w:pStyle w:val="Ttulo10"/>
        <w:spacing w:before="240" w:after="160"/>
      </w:pPr>
      <w:r w:rsidRPr="002A2450">
        <w:lastRenderedPageBreak/>
        <w:t xml:space="preserve">DIAGRAMA: 4. </w:t>
      </w:r>
      <w:r w:rsidRPr="002A2450">
        <w:rPr>
          <w:b w:val="0"/>
        </w:rPr>
        <w:t>Modelo de organización Contractual</w:t>
      </w:r>
    </w:p>
    <w:p w14:paraId="3376117F" w14:textId="5C15C1F0" w:rsidR="00254267" w:rsidRPr="0047339C" w:rsidRDefault="004366C5" w:rsidP="00C9499F">
      <w:pPr>
        <w:spacing w:before="240" w:line="360" w:lineRule="auto"/>
        <w:ind w:left="567" w:right="567"/>
        <w:jc w:val="center"/>
        <w:rPr>
          <w:rFonts w:ascii="ITC Avant Garde" w:hAnsi="ITC Avant Garde"/>
          <w:b/>
          <w:sz w:val="28"/>
          <w:szCs w:val="28"/>
        </w:rPr>
      </w:pPr>
      <w:r w:rsidRPr="0047339C">
        <w:rPr>
          <w:rFonts w:ascii="ITC Avant Garde" w:eastAsiaTheme="majorEastAsia" w:hAnsi="ITC Avant Garde" w:cstheme="majorBidi"/>
          <w:b/>
          <w:color w:val="0000FF"/>
          <w:sz w:val="28"/>
          <w:szCs w:val="28"/>
        </w:rPr>
        <w:t>“CONFIDENCIAL POR LEY”</w:t>
      </w:r>
      <w:r w:rsidRPr="0047339C">
        <w:rPr>
          <w:rFonts w:ascii="ITC Avant Garde" w:hAnsi="ITC Avant Garde"/>
          <w:b/>
          <w:i/>
          <w:sz w:val="28"/>
          <w:szCs w:val="28"/>
        </w:rPr>
        <w:t xml:space="preserve"> </w:t>
      </w:r>
      <w:r w:rsidR="00254267" w:rsidRPr="0047339C">
        <w:rPr>
          <w:rFonts w:ascii="ITC Avant Garde" w:hAnsi="ITC Avant Garde"/>
          <w:b/>
          <w:sz w:val="28"/>
          <w:szCs w:val="28"/>
        </w:rPr>
        <w:br w:type="page"/>
      </w:r>
    </w:p>
    <w:p w14:paraId="5389FC05" w14:textId="77777777" w:rsidR="00836CC0" w:rsidRDefault="00836CC0" w:rsidP="00B35F13">
      <w:pPr>
        <w:spacing w:before="240" w:line="360" w:lineRule="auto"/>
        <w:jc w:val="both"/>
        <w:rPr>
          <w:rFonts w:ascii="ITC Avant Garde" w:hAnsi="ITC Avant Garde"/>
        </w:rPr>
        <w:sectPr w:rsidR="00836CC0" w:rsidSect="009F3771">
          <w:headerReference w:type="default" r:id="rId38"/>
          <w:pgSz w:w="15840" w:h="12240" w:orient="landscape"/>
          <w:pgMar w:top="1985" w:right="1418" w:bottom="1701" w:left="1418" w:header="709" w:footer="709" w:gutter="0"/>
          <w:cols w:space="708"/>
          <w:docGrid w:linePitch="360"/>
        </w:sectPr>
      </w:pPr>
    </w:p>
    <w:p w14:paraId="3BA047E4" w14:textId="77777777" w:rsidR="00B35F13" w:rsidRDefault="00133C36" w:rsidP="00B35F13">
      <w:pPr>
        <w:spacing w:before="240" w:line="360" w:lineRule="auto"/>
        <w:jc w:val="both"/>
        <w:rPr>
          <w:rFonts w:ascii="ITC Avant Garde" w:hAnsi="ITC Avant Garde"/>
        </w:rPr>
      </w:pPr>
      <w:r w:rsidRPr="002A2450">
        <w:rPr>
          <w:rFonts w:ascii="ITC Avant Garde" w:hAnsi="ITC Avant Garde"/>
        </w:rPr>
        <w:lastRenderedPageBreak/>
        <w:t xml:space="preserve">Con base en lo anterior, se puede apreciar claramente que </w:t>
      </w:r>
      <w:r w:rsidRPr="002A2450">
        <w:rPr>
          <w:rFonts w:ascii="ITC Avant Garde" w:hAnsi="ITC Avant Garde"/>
          <w:b/>
        </w:rPr>
        <w:t>“COFRESA”</w:t>
      </w:r>
      <w:r w:rsidRPr="002A2450">
        <w:rPr>
          <w:rFonts w:ascii="ITC Avant Garde" w:hAnsi="ITC Avant Garde"/>
        </w:rPr>
        <w:t xml:space="preserve"> por sí misma no realiza acción alguna inherente a la consecución de la prestación de</w:t>
      </w:r>
      <w:r w:rsidR="0035631C" w:rsidRPr="002A2450">
        <w:rPr>
          <w:rFonts w:ascii="ITC Avant Garde" w:hAnsi="ITC Avant Garde"/>
        </w:rPr>
        <w:t xml:space="preserve">l servicio de </w:t>
      </w:r>
      <w:r w:rsidR="0035631C" w:rsidRPr="002A2450">
        <w:rPr>
          <w:rFonts w:ascii="ITC Avant Garde" w:hAnsi="ITC Avant Garde"/>
          <w:b/>
        </w:rPr>
        <w:t>“DTH”</w:t>
      </w:r>
      <w:r w:rsidR="0035631C" w:rsidRPr="002A2450">
        <w:rPr>
          <w:rFonts w:ascii="ITC Avant Garde" w:hAnsi="ITC Avant Garde"/>
        </w:rPr>
        <w:t xml:space="preserve"> en México, puesto que los insumos esenciales para ello, le fueron transferidos a través de diversos contratos y cesiones entre las empresas filiales y/o subsidiarias de </w:t>
      </w:r>
      <w:r w:rsidR="0035631C" w:rsidRPr="002A2450">
        <w:rPr>
          <w:rFonts w:ascii="ITC Avant Garde" w:hAnsi="ITC Avant Garde"/>
          <w:b/>
        </w:rPr>
        <w:t>“GFMTV”</w:t>
      </w:r>
      <w:r w:rsidR="0035631C" w:rsidRPr="002A2450">
        <w:rPr>
          <w:rFonts w:ascii="ITC Avant Garde" w:hAnsi="ITC Avant Garde"/>
        </w:rPr>
        <w:t xml:space="preserve"> y </w:t>
      </w:r>
      <w:r w:rsidR="0035631C" w:rsidRPr="002A2450">
        <w:rPr>
          <w:rFonts w:ascii="ITC Avant Garde" w:hAnsi="ITC Avant Garde"/>
          <w:b/>
        </w:rPr>
        <w:t>“ECHOSTAR CORPORATION”</w:t>
      </w:r>
      <w:r w:rsidR="0035631C" w:rsidRPr="002A2450">
        <w:rPr>
          <w:rFonts w:ascii="ITC Avant Garde" w:hAnsi="ITC Avant Garde"/>
        </w:rPr>
        <w:t xml:space="preserve"> en tanto que la operación misma, es realizada a través de </w:t>
      </w:r>
      <w:r w:rsidR="0035631C" w:rsidRPr="002A2450">
        <w:rPr>
          <w:rFonts w:ascii="ITC Avant Garde" w:hAnsi="ITC Avant Garde"/>
          <w:b/>
        </w:rPr>
        <w:t>“TENINVER”/”TELMEX”</w:t>
      </w:r>
      <w:r w:rsidR="0035631C" w:rsidRPr="002A2450">
        <w:rPr>
          <w:rFonts w:ascii="ITC Avant Garde" w:hAnsi="ITC Avant Garde"/>
        </w:rPr>
        <w:t>.</w:t>
      </w:r>
    </w:p>
    <w:p w14:paraId="1443A2BA" w14:textId="77777777" w:rsidR="00B35F13" w:rsidRDefault="0035631C" w:rsidP="00B35F13">
      <w:pPr>
        <w:spacing w:before="240" w:line="360" w:lineRule="auto"/>
        <w:jc w:val="both"/>
        <w:rPr>
          <w:rFonts w:ascii="ITC Avant Garde" w:hAnsi="ITC Avant Garde"/>
        </w:rPr>
      </w:pPr>
      <w:r w:rsidRPr="002A2450">
        <w:rPr>
          <w:rFonts w:ascii="ITC Avant Garde" w:hAnsi="ITC Avant Garde"/>
        </w:rPr>
        <w:t xml:space="preserve">Así las cosas, el convenio de consecuencias </w:t>
      </w:r>
      <w:r w:rsidR="002F0A15" w:rsidRPr="002A2450">
        <w:rPr>
          <w:rFonts w:ascii="ITC Avant Garde" w:hAnsi="ITC Avant Garde"/>
        </w:rPr>
        <w:t>y el de socios constituyen u</w:t>
      </w:r>
      <w:r w:rsidRPr="002A2450">
        <w:rPr>
          <w:rFonts w:ascii="ITC Avant Garde" w:hAnsi="ITC Avant Garde"/>
        </w:rPr>
        <w:t>n límite al ejercicio del derecho corporativo de las empresas involucradas</w:t>
      </w:r>
      <w:r w:rsidR="00254267" w:rsidRPr="002A2450">
        <w:rPr>
          <w:rFonts w:ascii="ITC Avant Garde" w:hAnsi="ITC Avant Garde"/>
        </w:rPr>
        <w:t>,</w:t>
      </w:r>
      <w:r w:rsidRPr="002A2450">
        <w:rPr>
          <w:rFonts w:ascii="ITC Avant Garde" w:hAnsi="ITC Avant Garde"/>
        </w:rPr>
        <w:t xml:space="preserve"> con el único efecto de que de llegar el momento y de ejercerse la opción de compra por parte de </w:t>
      </w:r>
      <w:r w:rsidRPr="002A2450">
        <w:rPr>
          <w:rFonts w:ascii="ITC Avant Garde" w:hAnsi="ITC Avant Garde"/>
          <w:b/>
        </w:rPr>
        <w:t>“TENINVER”/”TELMEX”</w:t>
      </w:r>
      <w:r w:rsidRPr="002A2450">
        <w:rPr>
          <w:rFonts w:ascii="ITC Avant Garde" w:hAnsi="ITC Avant Garde"/>
        </w:rPr>
        <w:t>, ésta se ejecute con base en lo señalado en los contratos antes señalados.</w:t>
      </w:r>
    </w:p>
    <w:p w14:paraId="320A2AFE" w14:textId="0EF2D0DF" w:rsidR="00C4558C" w:rsidRPr="002A2450" w:rsidRDefault="00C4558C" w:rsidP="00B35F13">
      <w:pPr>
        <w:spacing w:before="240" w:line="360" w:lineRule="auto"/>
        <w:jc w:val="both"/>
        <w:rPr>
          <w:rFonts w:ascii="ITC Avant Garde" w:hAnsi="ITC Avant Garde"/>
        </w:rPr>
      </w:pPr>
      <w:r w:rsidRPr="002A2450">
        <w:rPr>
          <w:rFonts w:ascii="ITC Avant Garde" w:hAnsi="ITC Avant Garde"/>
        </w:rPr>
        <w:t>Ahora bien, con el objeto de establecer sí los contratos analizados en la presente resolución comparten las características que la doctrina y jurisprudencia ha sostenido, esta autoridad considera llevar a cabo la comparación de dichas características con respecto de los contratos celebrados, lo cual se realiza en los siguientes términos:</w:t>
      </w:r>
    </w:p>
    <w:tbl>
      <w:tblPr>
        <w:tblStyle w:val="Tablaconcuadrcula1"/>
        <w:tblW w:w="5000" w:type="pct"/>
        <w:tblLook w:val="04A0" w:firstRow="1" w:lastRow="0" w:firstColumn="1" w:lastColumn="0" w:noHBand="0" w:noVBand="1"/>
        <w:tblCaption w:val="Características de los contratos"/>
      </w:tblPr>
      <w:tblGrid>
        <w:gridCol w:w="4414"/>
        <w:gridCol w:w="4414"/>
      </w:tblGrid>
      <w:tr w:rsidR="00C4558C" w:rsidRPr="002A2450" w14:paraId="53D7435F" w14:textId="77777777" w:rsidTr="00DA1110">
        <w:trPr>
          <w:tblHeader/>
        </w:trPr>
        <w:tc>
          <w:tcPr>
            <w:tcW w:w="2500" w:type="pct"/>
            <w:shd w:val="clear" w:color="auto" w:fill="808080" w:themeFill="background1" w:themeFillShade="80"/>
          </w:tcPr>
          <w:p w14:paraId="2AB0F893" w14:textId="77777777" w:rsidR="00C4558C" w:rsidRPr="002A2450" w:rsidRDefault="00C4558C" w:rsidP="00B35F13">
            <w:pPr>
              <w:spacing w:before="240" w:line="360" w:lineRule="auto"/>
              <w:jc w:val="center"/>
              <w:rPr>
                <w:rFonts w:ascii="ITC Avant Garde" w:hAnsi="ITC Avant Garde"/>
                <w:smallCaps/>
              </w:rPr>
            </w:pPr>
            <w:r w:rsidRPr="002A2450">
              <w:rPr>
                <w:rFonts w:ascii="ITC Avant Garde" w:hAnsi="ITC Avant Garde"/>
                <w:b/>
                <w:smallCaps/>
              </w:rPr>
              <w:t>Características</w:t>
            </w:r>
          </w:p>
        </w:tc>
        <w:tc>
          <w:tcPr>
            <w:tcW w:w="2500" w:type="pct"/>
            <w:shd w:val="clear" w:color="auto" w:fill="808080" w:themeFill="background1" w:themeFillShade="80"/>
          </w:tcPr>
          <w:p w14:paraId="623CDC2B" w14:textId="77777777" w:rsidR="00C4558C" w:rsidRPr="002A2450" w:rsidRDefault="00C4558C" w:rsidP="00B35F13">
            <w:pPr>
              <w:spacing w:before="240" w:line="360" w:lineRule="auto"/>
              <w:jc w:val="center"/>
              <w:rPr>
                <w:rFonts w:ascii="ITC Avant Garde" w:hAnsi="ITC Avant Garde"/>
                <w:b/>
                <w:smallCaps/>
              </w:rPr>
            </w:pPr>
            <w:r w:rsidRPr="002A2450">
              <w:rPr>
                <w:rFonts w:ascii="ITC Avant Garde" w:hAnsi="ITC Avant Garde"/>
                <w:b/>
                <w:smallCaps/>
              </w:rPr>
              <w:t>Contratos</w:t>
            </w:r>
          </w:p>
        </w:tc>
      </w:tr>
      <w:tr w:rsidR="00C4558C" w:rsidRPr="002A2450" w14:paraId="489B036D" w14:textId="77777777" w:rsidTr="00C9499F">
        <w:tc>
          <w:tcPr>
            <w:tcW w:w="2500" w:type="pct"/>
          </w:tcPr>
          <w:p w14:paraId="044086FB" w14:textId="77777777" w:rsidR="00C4558C" w:rsidRPr="002A2450" w:rsidRDefault="00920047" w:rsidP="00B35F13">
            <w:pPr>
              <w:spacing w:before="240" w:line="360" w:lineRule="auto"/>
              <w:rPr>
                <w:rFonts w:ascii="ITC Avant Garde" w:hAnsi="ITC Avant Garde"/>
              </w:rPr>
            </w:pPr>
            <w:r w:rsidRPr="002A2450">
              <w:rPr>
                <w:rFonts w:ascii="ITC Avant Garde" w:hAnsi="ITC Avant Garde"/>
                <w:b/>
              </w:rPr>
              <w:t>Relación entre las partes</w:t>
            </w:r>
            <w:r w:rsidRPr="002A2450">
              <w:rPr>
                <w:rFonts w:ascii="ITC Avant Garde" w:hAnsi="ITC Avant Garde"/>
              </w:rPr>
              <w:t xml:space="preserve">. El nexo está vinculado con la colaboración entre las partes que lo integran, esto es, la causa sistémica, la finalidad </w:t>
            </w:r>
            <w:proofErr w:type="spellStart"/>
            <w:r w:rsidRPr="002A2450">
              <w:rPr>
                <w:rFonts w:ascii="ITC Avant Garde" w:hAnsi="ITC Avant Garde"/>
              </w:rPr>
              <w:t>supracontractual</w:t>
            </w:r>
            <w:proofErr w:type="spellEnd"/>
            <w:r w:rsidRPr="002A2450">
              <w:rPr>
                <w:rFonts w:ascii="ITC Avant Garde" w:hAnsi="ITC Avant Garde"/>
              </w:rPr>
              <w:t xml:space="preserve"> y reciprocidad de obligaciones, </w:t>
            </w:r>
            <w:r w:rsidR="00254267" w:rsidRPr="002A2450">
              <w:rPr>
                <w:rFonts w:ascii="ITC Avant Garde" w:hAnsi="ITC Avant Garde"/>
              </w:rPr>
              <w:t xml:space="preserve">están íntimamente relacionadas y por ello </w:t>
            </w:r>
            <w:r w:rsidRPr="002A2450">
              <w:rPr>
                <w:rFonts w:ascii="ITC Avant Garde" w:hAnsi="ITC Avant Garde"/>
              </w:rPr>
              <w:t xml:space="preserve">establecen obligaciones </w:t>
            </w:r>
            <w:r w:rsidRPr="002A2450">
              <w:rPr>
                <w:rFonts w:ascii="ITC Avant Garde" w:hAnsi="ITC Avant Garde"/>
              </w:rPr>
              <w:lastRenderedPageBreak/>
              <w:t>principales, secundarias y deberes de conducta entre las partes.</w:t>
            </w:r>
          </w:p>
        </w:tc>
        <w:tc>
          <w:tcPr>
            <w:tcW w:w="2500" w:type="pct"/>
            <w:vAlign w:val="center"/>
          </w:tcPr>
          <w:p w14:paraId="2ECEA4F4" w14:textId="5156C61E" w:rsidR="0047206A" w:rsidRPr="0047339C" w:rsidRDefault="004366C5" w:rsidP="00C9499F">
            <w:pPr>
              <w:spacing w:before="240" w:line="360" w:lineRule="auto"/>
              <w:ind w:left="567" w:right="567"/>
              <w:jc w:val="center"/>
              <w:rPr>
                <w:rFonts w:ascii="ITC Avant Garde" w:hAnsi="ITC Avant Garde"/>
                <w:b/>
              </w:rPr>
            </w:pPr>
            <w:r w:rsidRPr="0047339C">
              <w:rPr>
                <w:rFonts w:ascii="ITC Avant Garde" w:eastAsiaTheme="majorEastAsia" w:hAnsi="ITC Avant Garde" w:cstheme="majorBidi"/>
                <w:b/>
                <w:color w:val="0000FF"/>
                <w:szCs w:val="32"/>
              </w:rPr>
              <w:lastRenderedPageBreak/>
              <w:t>“CONFIDENCIAL POR LEY”</w:t>
            </w:r>
          </w:p>
        </w:tc>
      </w:tr>
      <w:tr w:rsidR="00C9499F" w:rsidRPr="002A2450" w14:paraId="0D9BF46B" w14:textId="77777777" w:rsidTr="00C9499F">
        <w:tc>
          <w:tcPr>
            <w:tcW w:w="2500" w:type="pct"/>
          </w:tcPr>
          <w:p w14:paraId="7DDF3DD1"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La relación frente a terceros</w:t>
            </w:r>
            <w:r w:rsidRPr="002A2450">
              <w:rPr>
                <w:rFonts w:ascii="ITC Avant Garde" w:hAnsi="ITC Avant Garde"/>
              </w:rPr>
              <w:t>. Necesariamente vinculados a los consumidores, donde la responsabilidad puede ser extracontractual y contractual. En la primera, se obstaculiza la existencia de acciones directas en contra de una de las partes en los contratos, v.gr., tratándose de la acción que enfrenta un autorizado del fabricante que delega un servicio único para sus productos, dónde el responsable de éste servicio es quien lo presta y no así quien autorizó el servicio único. En la segunda, hay un vínculo directo de responsabilidad.</w:t>
            </w:r>
          </w:p>
        </w:tc>
        <w:tc>
          <w:tcPr>
            <w:tcW w:w="2500" w:type="pct"/>
            <w:vAlign w:val="center"/>
          </w:tcPr>
          <w:p w14:paraId="3511F976" w14:textId="1C88DA12"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52F9F0B6" w14:textId="77777777" w:rsidTr="00C9499F">
        <w:tc>
          <w:tcPr>
            <w:tcW w:w="2500" w:type="pct"/>
          </w:tcPr>
          <w:p w14:paraId="188D168C" w14:textId="0A8681A4" w:rsidR="00C9499F" w:rsidRPr="00C30718" w:rsidRDefault="00C9499F" w:rsidP="00C30718">
            <w:pPr>
              <w:spacing w:before="240" w:line="360" w:lineRule="auto"/>
              <w:rPr>
                <w:rFonts w:ascii="ITC Avant Garde" w:hAnsi="ITC Avant Garde"/>
              </w:rPr>
            </w:pPr>
            <w:r w:rsidRPr="002A2450">
              <w:rPr>
                <w:rFonts w:ascii="ITC Avant Garde" w:hAnsi="ITC Avant Garde"/>
                <w:b/>
              </w:rPr>
              <w:t>Colaboración de gestoría</w:t>
            </w:r>
            <w:r w:rsidRPr="002A2450">
              <w:rPr>
                <w:rFonts w:ascii="ITC Avant Garde" w:hAnsi="ITC Avant Garde"/>
              </w:rPr>
              <w:t>. Dónde una de las partes se vale de otra para realizar tareas que no puede realizar por sí misma, produciéndose una de</w:t>
            </w:r>
            <w:r w:rsidR="00C30718">
              <w:rPr>
                <w:rFonts w:ascii="ITC Avant Garde" w:hAnsi="ITC Avant Garde"/>
              </w:rPr>
              <w:t>scentralización de ejecuciones.</w:t>
            </w:r>
          </w:p>
        </w:tc>
        <w:tc>
          <w:tcPr>
            <w:tcW w:w="2500" w:type="pct"/>
            <w:vAlign w:val="center"/>
          </w:tcPr>
          <w:p w14:paraId="77A6BEFD" w14:textId="519007B5"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55704F4B" w14:textId="77777777" w:rsidTr="00C9499F">
        <w:tc>
          <w:tcPr>
            <w:tcW w:w="2500" w:type="pct"/>
          </w:tcPr>
          <w:p w14:paraId="5994593F"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Colaboración asociativa</w:t>
            </w:r>
            <w:r w:rsidRPr="002A2450">
              <w:rPr>
                <w:rFonts w:ascii="ITC Avant Garde" w:hAnsi="ITC Avant Garde"/>
              </w:rPr>
              <w:t>. Hay una finalidad común puesto que se comparte el interés, no se trata del encargo que se da a otro sino de lograr unos objetivos juntos, dónde el objetivo es un resultado o una utilidad a repartir.</w:t>
            </w:r>
          </w:p>
        </w:tc>
        <w:tc>
          <w:tcPr>
            <w:tcW w:w="2500" w:type="pct"/>
            <w:vAlign w:val="center"/>
          </w:tcPr>
          <w:p w14:paraId="159D7A7A" w14:textId="011BBEAB"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2F4064A4" w14:textId="77777777" w:rsidTr="00C9499F">
        <w:tc>
          <w:tcPr>
            <w:tcW w:w="2500" w:type="pct"/>
          </w:tcPr>
          <w:p w14:paraId="509EDA32"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t xml:space="preserve">Colaboración en las redes contractuales. </w:t>
            </w:r>
            <w:r w:rsidRPr="002A2450">
              <w:rPr>
                <w:rFonts w:ascii="ITC Avant Garde" w:hAnsi="ITC Avant Garde"/>
              </w:rPr>
              <w:t>Cuando hay multiplicidad de contratos que si bien son autónomos, deben convivir, esto es, un efecto de conjunto superior a la suma de individualidades.</w:t>
            </w:r>
          </w:p>
        </w:tc>
        <w:tc>
          <w:tcPr>
            <w:tcW w:w="2500" w:type="pct"/>
            <w:vAlign w:val="center"/>
          </w:tcPr>
          <w:p w14:paraId="792583DB" w14:textId="456D08E0"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73620599" w14:textId="77777777" w:rsidTr="00C9499F">
        <w:tc>
          <w:tcPr>
            <w:tcW w:w="2500" w:type="pct"/>
          </w:tcPr>
          <w:p w14:paraId="441B04FE" w14:textId="7066BE4D" w:rsidR="00C9499F" w:rsidRPr="00C30718" w:rsidRDefault="00C9499F" w:rsidP="00C30718">
            <w:pPr>
              <w:spacing w:before="240" w:line="360" w:lineRule="auto"/>
              <w:rPr>
                <w:rFonts w:ascii="ITC Avant Garde" w:hAnsi="ITC Avant Garde"/>
              </w:rPr>
            </w:pPr>
            <w:r w:rsidRPr="002A2450">
              <w:rPr>
                <w:rFonts w:ascii="ITC Avant Garde" w:hAnsi="ITC Avant Garde"/>
                <w:b/>
              </w:rPr>
              <w:t>Conexión.</w:t>
            </w:r>
            <w:r w:rsidRPr="002A2450">
              <w:rPr>
                <w:rFonts w:ascii="ITC Avant Garde" w:hAnsi="ITC Avant Garde"/>
              </w:rPr>
              <w:t xml:space="preserve"> En principio no existe una causa jurídica asociativa inicial que por la vía contractual que origine la integración, pero si existe una causa económica que hace que una serie de vínculos deban funcionar como un sistema. Por tanto, la conexidad es un presupuesto del sistema d</w:t>
            </w:r>
            <w:r w:rsidR="00C30718">
              <w:rPr>
                <w:rFonts w:ascii="ITC Avant Garde" w:hAnsi="ITC Avant Garde"/>
              </w:rPr>
              <w:t>e relaciones interdependientes.</w:t>
            </w:r>
          </w:p>
        </w:tc>
        <w:tc>
          <w:tcPr>
            <w:tcW w:w="2500" w:type="pct"/>
            <w:vAlign w:val="center"/>
          </w:tcPr>
          <w:p w14:paraId="5B9B6441" w14:textId="5764519E"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16B1AB81" w14:textId="77777777" w:rsidTr="00C9499F">
        <w:tc>
          <w:tcPr>
            <w:tcW w:w="2500" w:type="pct"/>
          </w:tcPr>
          <w:p w14:paraId="127DC5AE"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El interés.</w:t>
            </w:r>
            <w:r w:rsidRPr="002A2450">
              <w:rPr>
                <w:rFonts w:ascii="ITC Avant Garde" w:hAnsi="ITC Avant Garde"/>
              </w:rPr>
              <w:t xml:space="preserve"> Es un elemento de la conexidad, el cual es la relación de disfrute de la cosa. El titular del interés es aquel sobre cuyo patrimonio repercuten los efectos del acto para cuya obtención se procura la colaboración del otro. El interés es el centro de unión o el cemento que une a los contratos.</w:t>
            </w:r>
          </w:p>
        </w:tc>
        <w:tc>
          <w:tcPr>
            <w:tcW w:w="2500" w:type="pct"/>
            <w:vAlign w:val="center"/>
          </w:tcPr>
          <w:p w14:paraId="7E156ADD" w14:textId="00DBA67E"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196E251D" w14:textId="77777777" w:rsidTr="00C9499F">
        <w:tc>
          <w:tcPr>
            <w:tcW w:w="2500" w:type="pct"/>
          </w:tcPr>
          <w:p w14:paraId="390D3A39"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t xml:space="preserve">El principio democrático-conexidad y dominación. </w:t>
            </w:r>
            <w:r w:rsidRPr="002A2450">
              <w:rPr>
                <w:rFonts w:ascii="ITC Avant Garde" w:hAnsi="ITC Avant Garde"/>
              </w:rPr>
              <w:t>Para</w:t>
            </w:r>
            <w:r w:rsidRPr="002A2450">
              <w:rPr>
                <w:rFonts w:ascii="ITC Avant Garde" w:hAnsi="ITC Avant Garde"/>
                <w:b/>
              </w:rPr>
              <w:t xml:space="preserve"> </w:t>
            </w:r>
            <w:r w:rsidRPr="002A2450">
              <w:rPr>
                <w:rFonts w:ascii="ITC Avant Garde" w:hAnsi="ITC Avant Garde"/>
              </w:rPr>
              <w:t xml:space="preserve">identificar el interés del titular del dominio o dueño de negocio se recurre a la voluntad declarada. Pero cuando se habla de interés sistémico la noción pierde su carga subjetiva, puesto que la voluntad se independiza y funciona objetivamente. Para interpretarlo hay que recurrir al sistema y no del sujeto que le dio origen. Sin embargo, no debe perderse de vista que la conexión puede transformarse en dominación, puesto que desaparece la autonomía </w:t>
            </w:r>
            <w:proofErr w:type="spellStart"/>
            <w:r w:rsidRPr="002A2450">
              <w:rPr>
                <w:rFonts w:ascii="ITC Avant Garde" w:hAnsi="ITC Avant Garde"/>
              </w:rPr>
              <w:t>negocial</w:t>
            </w:r>
            <w:proofErr w:type="spellEnd"/>
            <w:r w:rsidRPr="002A2450">
              <w:rPr>
                <w:rFonts w:ascii="ITC Avant Garde" w:hAnsi="ITC Avant Garde"/>
              </w:rPr>
              <w:t>.</w:t>
            </w:r>
          </w:p>
        </w:tc>
        <w:tc>
          <w:tcPr>
            <w:tcW w:w="2500" w:type="pct"/>
            <w:vAlign w:val="center"/>
          </w:tcPr>
          <w:p w14:paraId="1D852F23" w14:textId="5699B572" w:rsidR="00C9499F" w:rsidRPr="0047339C" w:rsidRDefault="00C9499F" w:rsidP="007E623E">
            <w:pPr>
              <w:pStyle w:val="Prrafodelista"/>
              <w:numPr>
                <w:ilvl w:val="0"/>
                <w:numId w:val="24"/>
              </w:num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59C213EF" w14:textId="77777777" w:rsidTr="00C9499F">
        <w:tc>
          <w:tcPr>
            <w:tcW w:w="2500" w:type="pct"/>
          </w:tcPr>
          <w:p w14:paraId="31928362"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El principio de coordinación</w:t>
            </w:r>
            <w:r w:rsidRPr="002A2450">
              <w:rPr>
                <w:rFonts w:ascii="ITC Avant Garde" w:hAnsi="ITC Avant Garde"/>
              </w:rPr>
              <w:t>. Deriva de la existencia conexa de contratos en torno al interés sistemático, es decir, la causa de la existencia de las obligaciones.</w:t>
            </w:r>
          </w:p>
        </w:tc>
        <w:tc>
          <w:tcPr>
            <w:tcW w:w="2500" w:type="pct"/>
            <w:vAlign w:val="center"/>
          </w:tcPr>
          <w:p w14:paraId="5CC702C4" w14:textId="6E201A74"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3D267AAB" w14:textId="77777777" w:rsidTr="00C9499F">
        <w:tc>
          <w:tcPr>
            <w:tcW w:w="2500" w:type="pct"/>
          </w:tcPr>
          <w:p w14:paraId="26801583" w14:textId="0C4506D5" w:rsidR="00C9499F" w:rsidRPr="00C30718" w:rsidRDefault="00C9499F" w:rsidP="00C30718">
            <w:pPr>
              <w:spacing w:before="240" w:line="360" w:lineRule="auto"/>
              <w:rPr>
                <w:rFonts w:ascii="ITC Avant Garde" w:hAnsi="ITC Avant Garde"/>
              </w:rPr>
            </w:pPr>
            <w:r w:rsidRPr="002A2450">
              <w:rPr>
                <w:rFonts w:ascii="ITC Avant Garde" w:hAnsi="ITC Avant Garde"/>
                <w:b/>
              </w:rPr>
              <w:t xml:space="preserve">Equilibrio del contrato y del sistema. </w:t>
            </w:r>
            <w:r w:rsidRPr="002A2450">
              <w:rPr>
                <w:rFonts w:ascii="ITC Avant Garde" w:hAnsi="ITC Avant Garde"/>
              </w:rPr>
              <w:t xml:space="preserve">La causa objetiva, la del objeto como operación jurídica considerada por las partes es definido como la consideración, la cual si bien tiene aspectos diferentes, asumen la necesidad de una correspondencia bilateral de las prestaciones. Por tanto, para el mantenimiento del equilibrio contractual hay que adicionar obligaciones similares para las partes. Luego entonces, la duración es un elemento de la reciprocidad que sirve para descalificar la posibilidad de que resulta onerosa la carga de los contratos celebrados. Asimismo, la existencia de la reciprocidad entre cada uno de los integrantes del sistema obedece a la racionalidad </w:t>
            </w:r>
            <w:r w:rsidRPr="002A2450">
              <w:rPr>
                <w:rFonts w:ascii="ITC Avant Garde" w:hAnsi="ITC Avant Garde"/>
              </w:rPr>
              <w:lastRenderedPageBreak/>
              <w:t>económica de la correspondencia bilateral qu</w:t>
            </w:r>
            <w:r w:rsidR="00C30718">
              <w:rPr>
                <w:rFonts w:ascii="ITC Avant Garde" w:hAnsi="ITC Avant Garde"/>
              </w:rPr>
              <w:t>e otorga equilibrio al sistema.</w:t>
            </w:r>
          </w:p>
        </w:tc>
        <w:tc>
          <w:tcPr>
            <w:tcW w:w="2500" w:type="pct"/>
            <w:vAlign w:val="center"/>
          </w:tcPr>
          <w:p w14:paraId="1AC61BD5" w14:textId="03E5D608"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lastRenderedPageBreak/>
              <w:t>“CONFIDENCIAL POR LEY”</w:t>
            </w:r>
          </w:p>
        </w:tc>
      </w:tr>
      <w:tr w:rsidR="00C9499F" w:rsidRPr="002A2450" w14:paraId="113B0B8E" w14:textId="77777777" w:rsidTr="00C9499F">
        <w:tc>
          <w:tcPr>
            <w:tcW w:w="2500" w:type="pct"/>
          </w:tcPr>
          <w:p w14:paraId="083CC61F"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 xml:space="preserve">Deberes colaterales. </w:t>
            </w:r>
            <w:r w:rsidRPr="002A2450">
              <w:rPr>
                <w:rFonts w:ascii="ITC Avant Garde" w:hAnsi="ITC Avant Garde"/>
              </w:rPr>
              <w:t>Cuando hay un sistema de contratos, si bien son contratos distintos, éstos no pueden convivir uno sin el otro, puesto que de otra manera no funciona el sistema y fracasa. Las uniones de los contratos requieren por tanto una interrelación económica y técnica para conformar el equilibrio objetivo denominado causa sistémica.</w:t>
            </w:r>
          </w:p>
        </w:tc>
        <w:tc>
          <w:tcPr>
            <w:tcW w:w="2500" w:type="pct"/>
            <w:vAlign w:val="center"/>
          </w:tcPr>
          <w:p w14:paraId="1E893821" w14:textId="6A291977"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5DF64738" w14:textId="77777777" w:rsidTr="00C9499F">
        <w:tc>
          <w:tcPr>
            <w:tcW w:w="2500" w:type="pct"/>
          </w:tcPr>
          <w:p w14:paraId="54C52DC0" w14:textId="48F5120C" w:rsidR="00C9499F" w:rsidRPr="00C30718" w:rsidRDefault="00C9499F" w:rsidP="00C30718">
            <w:pPr>
              <w:spacing w:before="240" w:line="360" w:lineRule="auto"/>
              <w:rPr>
                <w:rFonts w:ascii="ITC Avant Garde" w:hAnsi="ITC Avant Garde"/>
              </w:rPr>
            </w:pPr>
            <w:r w:rsidRPr="002A2450">
              <w:rPr>
                <w:rFonts w:ascii="ITC Avant Garde" w:hAnsi="ITC Avant Garde"/>
                <w:b/>
              </w:rPr>
              <w:t xml:space="preserve">El riesgo. </w:t>
            </w:r>
            <w:r w:rsidRPr="002A2450">
              <w:rPr>
                <w:rFonts w:ascii="ITC Avant Garde" w:hAnsi="ITC Avant Garde"/>
              </w:rPr>
              <w:t>En cualquier negocio contractual se busca la minimización del riesgo, por tanto, la delimitación es natural dado que las empresas no asumen todos los riesgos y por ello, cuando una parte no puede soportarlo, debe considerarse una carga mínima como derecho fundamental con el objeto de que no cause un</w:t>
            </w:r>
            <w:r w:rsidR="00C30718">
              <w:rPr>
                <w:rFonts w:ascii="ITC Avant Garde" w:hAnsi="ITC Avant Garde"/>
              </w:rPr>
              <w:t>a afectación al propio sistema.</w:t>
            </w:r>
          </w:p>
        </w:tc>
        <w:tc>
          <w:tcPr>
            <w:tcW w:w="2500" w:type="pct"/>
            <w:vAlign w:val="center"/>
          </w:tcPr>
          <w:p w14:paraId="2B790D0C" w14:textId="610A5D1B"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6201AEB6" w14:textId="77777777" w:rsidTr="00C9499F">
        <w:tc>
          <w:tcPr>
            <w:tcW w:w="2500" w:type="pct"/>
          </w:tcPr>
          <w:p w14:paraId="4C172295"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 xml:space="preserve">Su estructura. </w:t>
            </w:r>
            <w:r w:rsidRPr="002A2450">
              <w:rPr>
                <w:rFonts w:ascii="ITC Avant Garde" w:hAnsi="ITC Avant Garde"/>
              </w:rPr>
              <w:t>Si bien la doctrina clásica asume concentraciones horizontales como verticales, la interpretación sistémica de los contratos implica que debe considerarse que todos los integrantes de un sistema realizan actividades conjuntas interactuando entre sí, imponiendo medidas de control entre empresas independientes con el objeto de llevar a cabo el objeto sistémico.</w:t>
            </w:r>
          </w:p>
        </w:tc>
        <w:tc>
          <w:tcPr>
            <w:tcW w:w="2500" w:type="pct"/>
            <w:vAlign w:val="center"/>
          </w:tcPr>
          <w:p w14:paraId="2E9695E8" w14:textId="323A4C9E"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r w:rsidR="00C9499F" w:rsidRPr="002A2450" w14:paraId="6084B1E7" w14:textId="77777777" w:rsidTr="00C9499F">
        <w:tc>
          <w:tcPr>
            <w:tcW w:w="2500" w:type="pct"/>
          </w:tcPr>
          <w:p w14:paraId="35DEE52F" w14:textId="77777777" w:rsidR="00C9499F" w:rsidRDefault="00C9499F" w:rsidP="00C9499F">
            <w:pPr>
              <w:spacing w:before="240" w:line="360" w:lineRule="auto"/>
              <w:rPr>
                <w:rFonts w:ascii="ITC Avant Garde" w:hAnsi="ITC Avant Garde"/>
              </w:rPr>
            </w:pPr>
            <w:r w:rsidRPr="002A2450">
              <w:rPr>
                <w:rFonts w:ascii="ITC Avant Garde" w:hAnsi="ITC Avant Garde"/>
                <w:b/>
              </w:rPr>
              <w:t xml:space="preserve">Técnicas de control. </w:t>
            </w:r>
            <w:r w:rsidRPr="002A2450">
              <w:rPr>
                <w:rFonts w:ascii="ITC Avant Garde" w:hAnsi="ITC Avant Garde"/>
              </w:rPr>
              <w:t>Entre estas podemos señalar:</w:t>
            </w:r>
          </w:p>
          <w:p w14:paraId="1C460FD2" w14:textId="77777777" w:rsidR="00C9499F" w:rsidRDefault="00C9499F" w:rsidP="007E623E">
            <w:pPr>
              <w:pStyle w:val="Prrafodelista"/>
              <w:numPr>
                <w:ilvl w:val="0"/>
                <w:numId w:val="17"/>
              </w:numPr>
              <w:spacing w:before="240" w:line="360" w:lineRule="auto"/>
              <w:ind w:left="596" w:hanging="283"/>
              <w:rPr>
                <w:rFonts w:ascii="ITC Avant Garde" w:hAnsi="ITC Avant Garde"/>
              </w:rPr>
            </w:pPr>
            <w:r w:rsidRPr="002A2450">
              <w:rPr>
                <w:rFonts w:ascii="ITC Avant Garde" w:hAnsi="ITC Avant Garde"/>
              </w:rPr>
              <w:t xml:space="preserve">Control contractual externo. Préstamos financieros, asistencia técnica, cesión del uso de la marca y otros vínculos que dejan libre a la sociedad controlada en su aspecto interno, pero limitan su campo de actuación, puesto que ha dejado gran parte de sus actividades a otro sujeto que pertenece a la sociedad controlante, de lo que se sigue </w:t>
            </w:r>
            <w:r w:rsidRPr="002A2450">
              <w:rPr>
                <w:rFonts w:ascii="ITC Avant Garde" w:hAnsi="ITC Avant Garde"/>
              </w:rPr>
              <w:lastRenderedPageBreak/>
              <w:t>que limita su margen de autodeterminación.</w:t>
            </w:r>
          </w:p>
          <w:p w14:paraId="29DCC6A3" w14:textId="77777777" w:rsidR="00C9499F" w:rsidRDefault="00C9499F" w:rsidP="007E623E">
            <w:pPr>
              <w:pStyle w:val="Prrafodelista"/>
              <w:numPr>
                <w:ilvl w:val="0"/>
                <w:numId w:val="17"/>
              </w:numPr>
              <w:spacing w:before="240" w:line="360" w:lineRule="auto"/>
              <w:ind w:left="596" w:hanging="283"/>
              <w:rPr>
                <w:rFonts w:ascii="ITC Avant Garde" w:hAnsi="ITC Avant Garde"/>
              </w:rPr>
            </w:pPr>
            <w:r w:rsidRPr="002A2450">
              <w:rPr>
                <w:rFonts w:ascii="ITC Avant Garde" w:hAnsi="ITC Avant Garde"/>
              </w:rPr>
              <w:t>Control societario interno. Generalmente se logra mediante participaciones societarias.</w:t>
            </w:r>
          </w:p>
          <w:p w14:paraId="16335110" w14:textId="77777777" w:rsidR="00C9499F" w:rsidRDefault="00C9499F" w:rsidP="007E623E">
            <w:pPr>
              <w:pStyle w:val="Prrafodelista"/>
              <w:numPr>
                <w:ilvl w:val="0"/>
                <w:numId w:val="17"/>
              </w:numPr>
              <w:spacing w:before="240" w:line="360" w:lineRule="auto"/>
              <w:ind w:left="596" w:hanging="283"/>
              <w:rPr>
                <w:rFonts w:ascii="ITC Avant Garde" w:hAnsi="ITC Avant Garde"/>
              </w:rPr>
            </w:pPr>
            <w:r w:rsidRPr="002A2450">
              <w:rPr>
                <w:rFonts w:ascii="ITC Avant Garde" w:hAnsi="ITC Avant Garde"/>
              </w:rPr>
              <w:t>Control en el campo laboral y comercial. En virtud de la titularidad del interés, una de las partes concede a la otra el derecho de señalar cómo desarrollar el encargo, de ahí que exista una intromisión del titular del interés sobre la actividad de quien la realiza.</w:t>
            </w:r>
          </w:p>
          <w:p w14:paraId="6FA35C8F" w14:textId="77777777" w:rsidR="00C9499F" w:rsidRDefault="00C9499F" w:rsidP="007E623E">
            <w:pPr>
              <w:pStyle w:val="Prrafodelista"/>
              <w:numPr>
                <w:ilvl w:val="0"/>
                <w:numId w:val="17"/>
              </w:numPr>
              <w:spacing w:before="240" w:line="360" w:lineRule="auto"/>
              <w:ind w:left="596" w:hanging="283"/>
              <w:rPr>
                <w:rFonts w:ascii="ITC Avant Garde" w:hAnsi="ITC Avant Garde"/>
              </w:rPr>
            </w:pPr>
            <w:r w:rsidRPr="002A2450">
              <w:rPr>
                <w:rFonts w:ascii="ITC Avant Garde" w:hAnsi="ITC Avant Garde"/>
              </w:rPr>
              <w:t>Control sobre los vínculos de colaboración. Referidos a las obligaciones de compra, ventas mínimas, obligación de promoción, de no concurrencia, de diseño de locales, supervisión contable, prestamos financieros continuos que ejercen un control, entre otros.</w:t>
            </w:r>
          </w:p>
          <w:p w14:paraId="59F2B68F" w14:textId="6D3AC03C" w:rsidR="00C9499F" w:rsidRPr="00C30718" w:rsidRDefault="00C9499F" w:rsidP="007E623E">
            <w:pPr>
              <w:pStyle w:val="Prrafodelista"/>
              <w:numPr>
                <w:ilvl w:val="0"/>
                <w:numId w:val="17"/>
              </w:numPr>
              <w:spacing w:before="240" w:line="360" w:lineRule="auto"/>
              <w:ind w:left="596" w:hanging="283"/>
              <w:rPr>
                <w:rFonts w:ascii="ITC Avant Garde" w:hAnsi="ITC Avant Garde"/>
              </w:rPr>
            </w:pPr>
            <w:r w:rsidRPr="002A2450">
              <w:rPr>
                <w:rFonts w:ascii="ITC Avant Garde" w:hAnsi="ITC Avant Garde"/>
              </w:rPr>
              <w:t xml:space="preserve">Control en las cláusulas. Como pueden ser exclusividad de compra, compra y venta recíproca, territorialidad, precio </w:t>
            </w:r>
            <w:r w:rsidRPr="002A2450">
              <w:rPr>
                <w:rFonts w:ascii="ITC Avant Garde" w:hAnsi="ITC Avant Garde"/>
              </w:rPr>
              <w:lastRenderedPageBreak/>
              <w:t>uniforme y mantenimiento o stock.</w:t>
            </w:r>
          </w:p>
        </w:tc>
        <w:tc>
          <w:tcPr>
            <w:tcW w:w="2500" w:type="pct"/>
            <w:vAlign w:val="center"/>
          </w:tcPr>
          <w:p w14:paraId="734CB33A" w14:textId="0F7221EA" w:rsidR="00C9499F" w:rsidRPr="0047339C" w:rsidRDefault="00C9499F" w:rsidP="00C9499F">
            <w:pPr>
              <w:spacing w:before="240" w:line="360" w:lineRule="auto"/>
              <w:jc w:val="center"/>
              <w:rPr>
                <w:rFonts w:ascii="ITC Avant Garde" w:hAnsi="ITC Avant Garde"/>
                <w:b/>
              </w:rPr>
            </w:pPr>
            <w:r w:rsidRPr="0047339C">
              <w:rPr>
                <w:rFonts w:ascii="ITC Avant Garde" w:eastAsiaTheme="majorEastAsia" w:hAnsi="ITC Avant Garde" w:cstheme="majorBidi"/>
                <w:b/>
                <w:color w:val="0000FF"/>
                <w:szCs w:val="32"/>
              </w:rPr>
              <w:lastRenderedPageBreak/>
              <w:t>“CONFIDENCIAL POR LEY”</w:t>
            </w:r>
          </w:p>
        </w:tc>
      </w:tr>
      <w:tr w:rsidR="00C9499F" w:rsidRPr="002A2450" w14:paraId="56A3B783" w14:textId="77777777" w:rsidTr="00C9499F">
        <w:tc>
          <w:tcPr>
            <w:tcW w:w="2500" w:type="pct"/>
          </w:tcPr>
          <w:p w14:paraId="5DA9D23E" w14:textId="77777777" w:rsidR="00C9499F" w:rsidRPr="002A2450" w:rsidRDefault="00C9499F" w:rsidP="00C9499F">
            <w:pPr>
              <w:spacing w:before="240" w:line="360" w:lineRule="auto"/>
              <w:rPr>
                <w:rFonts w:ascii="ITC Avant Garde" w:hAnsi="ITC Avant Garde"/>
                <w:b/>
              </w:rPr>
            </w:pPr>
            <w:r w:rsidRPr="002A2450">
              <w:rPr>
                <w:rFonts w:ascii="ITC Avant Garde" w:hAnsi="ITC Avant Garde"/>
                <w:b/>
              </w:rPr>
              <w:lastRenderedPageBreak/>
              <w:t>Derecho a la estabilidad</w:t>
            </w:r>
            <w:r w:rsidRPr="002A2450">
              <w:rPr>
                <w:rFonts w:ascii="ITC Avant Garde" w:hAnsi="ITC Avant Garde"/>
              </w:rPr>
              <w:t>. Implica no modificar de forma intempestiva o injustificadamente el vínculo que une al sistema.</w:t>
            </w:r>
          </w:p>
        </w:tc>
        <w:tc>
          <w:tcPr>
            <w:tcW w:w="2500" w:type="pct"/>
            <w:vAlign w:val="center"/>
          </w:tcPr>
          <w:p w14:paraId="56F380DE" w14:textId="17678E3F" w:rsidR="00C9499F" w:rsidRPr="0047339C" w:rsidRDefault="00C9499F" w:rsidP="00C9499F">
            <w:pPr>
              <w:spacing w:before="240" w:line="360" w:lineRule="auto"/>
              <w:ind w:left="567" w:right="567"/>
              <w:jc w:val="center"/>
              <w:rPr>
                <w:rFonts w:ascii="ITC Avant Garde" w:hAnsi="ITC Avant Garde"/>
                <w:b/>
              </w:rPr>
            </w:pPr>
            <w:r w:rsidRPr="0047339C">
              <w:rPr>
                <w:rFonts w:ascii="ITC Avant Garde" w:eastAsiaTheme="majorEastAsia" w:hAnsi="ITC Avant Garde" w:cstheme="majorBidi"/>
                <w:b/>
                <w:color w:val="0000FF"/>
                <w:szCs w:val="32"/>
              </w:rPr>
              <w:t>“CONFIDENCIAL POR LEY”</w:t>
            </w:r>
          </w:p>
        </w:tc>
      </w:tr>
    </w:tbl>
    <w:p w14:paraId="386F6D80" w14:textId="7A8747B9" w:rsidR="00C4558C" w:rsidRDefault="00856E3D" w:rsidP="00B35F13">
      <w:pPr>
        <w:spacing w:before="240" w:line="360" w:lineRule="auto"/>
        <w:jc w:val="both"/>
        <w:rPr>
          <w:rFonts w:ascii="ITC Avant Garde" w:hAnsi="ITC Avant Garde"/>
        </w:rPr>
      </w:pPr>
      <w:r w:rsidRPr="002A2450">
        <w:rPr>
          <w:rFonts w:ascii="ITC Avant Garde" w:hAnsi="ITC Avant Garde"/>
        </w:rPr>
        <w:t xml:space="preserve">Aunado a lo anterior, </w:t>
      </w:r>
      <w:r w:rsidR="00016AC1" w:rsidRPr="002A2450">
        <w:rPr>
          <w:rFonts w:ascii="ITC Avant Garde" w:hAnsi="ITC Avant Garde"/>
        </w:rPr>
        <w:t xml:space="preserve">resulta importante analizar </w:t>
      </w:r>
      <w:r w:rsidRPr="002A2450">
        <w:rPr>
          <w:rFonts w:ascii="ITC Avant Garde" w:hAnsi="ITC Avant Garde"/>
        </w:rPr>
        <w:t>las características que la jurisprudencia mexicana ha</w:t>
      </w:r>
      <w:r w:rsidR="00016AC1" w:rsidRPr="002A2450">
        <w:rPr>
          <w:rFonts w:ascii="ITC Avant Garde" w:hAnsi="ITC Avant Garde"/>
        </w:rPr>
        <w:t xml:space="preserve"> identificado</w:t>
      </w:r>
      <w:r w:rsidRPr="002A2450">
        <w:rPr>
          <w:rFonts w:ascii="ITC Avant Garde" w:hAnsi="ITC Avant Garde"/>
        </w:rPr>
        <w:t>, tratándose de contratos coaligados</w:t>
      </w:r>
      <w:r w:rsidR="00016AC1" w:rsidRPr="002A2450">
        <w:rPr>
          <w:rFonts w:ascii="ITC Avant Garde" w:hAnsi="ITC Avant Garde"/>
        </w:rPr>
        <w:t xml:space="preserve">, a la luz de los contratos a que se ha hecho referencia: </w:t>
      </w:r>
    </w:p>
    <w:tbl>
      <w:tblPr>
        <w:tblStyle w:val="Tablaconcuadrcula1"/>
        <w:tblW w:w="0" w:type="auto"/>
        <w:tblLook w:val="04A0" w:firstRow="1" w:lastRow="0" w:firstColumn="1" w:lastColumn="0" w:noHBand="0" w:noVBand="1"/>
        <w:tblCaption w:val="Características de los contratos"/>
      </w:tblPr>
      <w:tblGrid>
        <w:gridCol w:w="4414"/>
        <w:gridCol w:w="4414"/>
      </w:tblGrid>
      <w:tr w:rsidR="00BF3598" w:rsidRPr="002A2450" w14:paraId="1A96C60B" w14:textId="77777777" w:rsidTr="00DA1110">
        <w:trPr>
          <w:tblHeader/>
        </w:trPr>
        <w:tc>
          <w:tcPr>
            <w:tcW w:w="4414" w:type="dxa"/>
            <w:shd w:val="clear" w:color="auto" w:fill="808080" w:themeFill="background1" w:themeFillShade="80"/>
          </w:tcPr>
          <w:p w14:paraId="1CA5FAFF" w14:textId="77777777" w:rsidR="00BF3598" w:rsidRPr="002A2450" w:rsidRDefault="00BF3598" w:rsidP="00B35F13">
            <w:pPr>
              <w:pStyle w:val="Textoindependiente"/>
              <w:tabs>
                <w:tab w:val="left" w:pos="567"/>
              </w:tabs>
              <w:spacing w:before="240" w:after="160" w:line="360" w:lineRule="auto"/>
              <w:jc w:val="center"/>
              <w:rPr>
                <w:rFonts w:ascii="ITC Avant Garde" w:eastAsia="Times New Roman" w:hAnsi="ITC Avant Garde"/>
                <w:b/>
                <w:bCs/>
                <w:smallCaps/>
                <w:color w:val="000000"/>
                <w:lang w:eastAsia="es-MX"/>
              </w:rPr>
            </w:pPr>
            <w:r w:rsidRPr="002A2450">
              <w:rPr>
                <w:rFonts w:ascii="ITC Avant Garde" w:eastAsia="Times New Roman" w:hAnsi="ITC Avant Garde"/>
                <w:b/>
                <w:bCs/>
                <w:smallCaps/>
                <w:color w:val="000000"/>
                <w:lang w:eastAsia="es-MX"/>
              </w:rPr>
              <w:lastRenderedPageBreak/>
              <w:t xml:space="preserve">Características </w:t>
            </w:r>
          </w:p>
        </w:tc>
        <w:tc>
          <w:tcPr>
            <w:tcW w:w="4414" w:type="dxa"/>
            <w:shd w:val="clear" w:color="auto" w:fill="808080" w:themeFill="background1" w:themeFillShade="80"/>
          </w:tcPr>
          <w:p w14:paraId="269AC57B" w14:textId="77777777" w:rsidR="00BF3598" w:rsidRPr="002A2450" w:rsidRDefault="00BF3598" w:rsidP="00B35F13">
            <w:pPr>
              <w:pStyle w:val="Textoindependiente"/>
              <w:tabs>
                <w:tab w:val="left" w:pos="567"/>
              </w:tabs>
              <w:spacing w:before="240" w:after="160" w:line="360" w:lineRule="auto"/>
              <w:jc w:val="center"/>
              <w:rPr>
                <w:rFonts w:ascii="ITC Avant Garde" w:eastAsia="Times New Roman" w:hAnsi="ITC Avant Garde"/>
                <w:b/>
                <w:bCs/>
                <w:smallCaps/>
                <w:color w:val="000000"/>
                <w:lang w:eastAsia="es-MX"/>
              </w:rPr>
            </w:pPr>
            <w:r w:rsidRPr="002A2450">
              <w:rPr>
                <w:rFonts w:ascii="ITC Avant Garde" w:eastAsia="Times New Roman" w:hAnsi="ITC Avant Garde"/>
                <w:b/>
                <w:bCs/>
                <w:smallCaps/>
                <w:color w:val="000000"/>
                <w:lang w:eastAsia="es-MX"/>
              </w:rPr>
              <w:t>Contratos</w:t>
            </w:r>
          </w:p>
        </w:tc>
      </w:tr>
      <w:tr w:rsidR="00C9499F" w:rsidRPr="002A2450" w14:paraId="6D00B67F" w14:textId="77777777" w:rsidTr="00C9499F">
        <w:trPr>
          <w:tblHeader/>
        </w:trPr>
        <w:tc>
          <w:tcPr>
            <w:tcW w:w="4414" w:type="dxa"/>
          </w:tcPr>
          <w:p w14:paraId="25385CFA" w14:textId="77777777" w:rsidR="00C9499F" w:rsidRPr="002A2450" w:rsidRDefault="00C9499F" w:rsidP="00C9499F">
            <w:pPr>
              <w:pStyle w:val="Textoindependiente"/>
              <w:tabs>
                <w:tab w:val="left" w:pos="567"/>
              </w:tabs>
              <w:spacing w:before="240" w:after="160" w:line="360" w:lineRule="auto"/>
              <w:rPr>
                <w:rFonts w:ascii="ITC Avant Garde" w:eastAsia="Times New Roman" w:hAnsi="ITC Avant Garde"/>
                <w:bCs/>
                <w:color w:val="000000"/>
                <w:lang w:eastAsia="es-MX"/>
              </w:rPr>
            </w:pPr>
            <w:r w:rsidRPr="002A2450">
              <w:rPr>
                <w:rFonts w:ascii="ITC Avant Garde" w:hAnsi="ITC Avant Garde"/>
              </w:rPr>
              <w:t>Los contratos tienen una conexión entre sí o por nexos entre las personas</w:t>
            </w:r>
          </w:p>
        </w:tc>
        <w:tc>
          <w:tcPr>
            <w:tcW w:w="4414" w:type="dxa"/>
            <w:vAlign w:val="center"/>
          </w:tcPr>
          <w:p w14:paraId="7E53B982" w14:textId="0D582E55" w:rsidR="00C9499F" w:rsidRPr="0047339C" w:rsidRDefault="00C9499F" w:rsidP="00C9499F">
            <w:pPr>
              <w:pStyle w:val="Textoindependiente"/>
              <w:tabs>
                <w:tab w:val="left" w:pos="567"/>
              </w:tabs>
              <w:spacing w:before="240" w:after="160" w:line="360" w:lineRule="auto"/>
              <w:jc w:val="center"/>
              <w:rPr>
                <w:rFonts w:ascii="ITC Avant Garde" w:eastAsia="Times New Roman" w:hAnsi="ITC Avant Garde"/>
                <w:b/>
                <w:bCs/>
                <w:color w:val="000000"/>
                <w:lang w:eastAsia="es-MX"/>
              </w:rPr>
            </w:pPr>
            <w:r w:rsidRPr="0047339C">
              <w:rPr>
                <w:rFonts w:ascii="ITC Avant Garde" w:eastAsiaTheme="majorEastAsia" w:hAnsi="ITC Avant Garde" w:cstheme="majorBidi"/>
                <w:b/>
                <w:color w:val="0000FF"/>
                <w:szCs w:val="32"/>
              </w:rPr>
              <w:t>“CONFIDENCIAL POR LEY”</w:t>
            </w:r>
          </w:p>
        </w:tc>
      </w:tr>
      <w:tr w:rsidR="00C9499F" w:rsidRPr="002A2450" w14:paraId="1ED8DE0C" w14:textId="77777777" w:rsidTr="00C9499F">
        <w:trPr>
          <w:tblHeader/>
        </w:trPr>
        <w:tc>
          <w:tcPr>
            <w:tcW w:w="4414" w:type="dxa"/>
          </w:tcPr>
          <w:p w14:paraId="4F661328" w14:textId="77777777" w:rsidR="00C9499F" w:rsidRPr="002A2450" w:rsidRDefault="00C9499F" w:rsidP="00C9499F">
            <w:pPr>
              <w:pStyle w:val="Textoindependiente"/>
              <w:tabs>
                <w:tab w:val="left" w:pos="567"/>
              </w:tabs>
              <w:spacing w:before="240" w:after="160" w:line="360" w:lineRule="auto"/>
              <w:rPr>
                <w:rFonts w:ascii="ITC Avant Garde" w:eastAsia="Times New Roman" w:hAnsi="ITC Avant Garde"/>
                <w:bCs/>
                <w:color w:val="000000"/>
                <w:lang w:eastAsia="es-MX"/>
              </w:rPr>
            </w:pPr>
            <w:r w:rsidRPr="002A2450">
              <w:rPr>
                <w:rFonts w:ascii="ITC Avant Garde" w:hAnsi="ITC Avant Garde"/>
              </w:rPr>
              <w:t>Los contratos pueden ser suscritos por las mismas personas</w:t>
            </w:r>
          </w:p>
        </w:tc>
        <w:tc>
          <w:tcPr>
            <w:tcW w:w="4414" w:type="dxa"/>
            <w:vAlign w:val="center"/>
          </w:tcPr>
          <w:p w14:paraId="19F9CA76" w14:textId="1E9D9494" w:rsidR="00C9499F" w:rsidRPr="0047339C" w:rsidRDefault="00C9499F" w:rsidP="00C9499F">
            <w:pPr>
              <w:pStyle w:val="Textoindependiente"/>
              <w:tabs>
                <w:tab w:val="left" w:pos="567"/>
              </w:tabs>
              <w:spacing w:before="240" w:after="160" w:line="360" w:lineRule="auto"/>
              <w:jc w:val="center"/>
              <w:rPr>
                <w:rFonts w:ascii="ITC Avant Garde" w:eastAsia="Times New Roman" w:hAnsi="ITC Avant Garde"/>
                <w:b/>
                <w:bCs/>
                <w:color w:val="000000"/>
                <w:lang w:eastAsia="es-MX"/>
              </w:rPr>
            </w:pPr>
            <w:r w:rsidRPr="0047339C">
              <w:rPr>
                <w:rFonts w:ascii="ITC Avant Garde" w:eastAsiaTheme="majorEastAsia" w:hAnsi="ITC Avant Garde" w:cstheme="majorBidi"/>
                <w:b/>
                <w:color w:val="0000FF"/>
                <w:szCs w:val="32"/>
              </w:rPr>
              <w:t>“CONFIDENCIAL POR LEY”</w:t>
            </w:r>
          </w:p>
        </w:tc>
      </w:tr>
      <w:tr w:rsidR="00C9499F" w:rsidRPr="002A2450" w14:paraId="299546DF" w14:textId="77777777" w:rsidTr="00C9499F">
        <w:trPr>
          <w:tblHeader/>
        </w:trPr>
        <w:tc>
          <w:tcPr>
            <w:tcW w:w="4414" w:type="dxa"/>
          </w:tcPr>
          <w:p w14:paraId="00CB2949" w14:textId="77777777" w:rsidR="00C9499F" w:rsidRPr="002A2450" w:rsidRDefault="00C9499F" w:rsidP="00C9499F">
            <w:pPr>
              <w:pStyle w:val="Textoindependiente"/>
              <w:tabs>
                <w:tab w:val="left" w:pos="567"/>
              </w:tabs>
              <w:spacing w:before="240" w:after="160" w:line="360" w:lineRule="auto"/>
              <w:rPr>
                <w:rFonts w:ascii="ITC Avant Garde" w:hAnsi="ITC Avant Garde"/>
              </w:rPr>
            </w:pPr>
            <w:r w:rsidRPr="002A2450">
              <w:rPr>
                <w:rFonts w:ascii="ITC Avant Garde" w:hAnsi="ITC Avant Garde"/>
              </w:rPr>
              <w:t>Los contratos (coaligados, vinculados o interdependientes) tienen una conexión económica objetiva entre sí y una unidad que deriva de la voluntad de las partes</w:t>
            </w:r>
          </w:p>
        </w:tc>
        <w:tc>
          <w:tcPr>
            <w:tcW w:w="4414" w:type="dxa"/>
            <w:vAlign w:val="center"/>
          </w:tcPr>
          <w:p w14:paraId="0CFB8E78" w14:textId="74D0D765" w:rsidR="00C9499F" w:rsidRPr="0047339C" w:rsidRDefault="00C9499F" w:rsidP="00C9499F">
            <w:pPr>
              <w:pStyle w:val="Textoindependiente"/>
              <w:tabs>
                <w:tab w:val="left" w:pos="567"/>
              </w:tabs>
              <w:spacing w:before="240" w:after="160" w:line="360" w:lineRule="auto"/>
              <w:jc w:val="center"/>
              <w:rPr>
                <w:rFonts w:ascii="ITC Avant Garde" w:eastAsia="Times New Roman" w:hAnsi="ITC Avant Garde"/>
                <w:b/>
                <w:bCs/>
                <w:color w:val="000000"/>
                <w:lang w:eastAsia="es-MX"/>
              </w:rPr>
            </w:pPr>
            <w:r w:rsidRPr="0047339C">
              <w:rPr>
                <w:rFonts w:ascii="ITC Avant Garde" w:eastAsiaTheme="majorEastAsia" w:hAnsi="ITC Avant Garde" w:cstheme="majorBidi"/>
                <w:b/>
                <w:color w:val="0000FF"/>
                <w:szCs w:val="32"/>
              </w:rPr>
              <w:t>“CONFIDENCIAL POR LEY”</w:t>
            </w:r>
          </w:p>
        </w:tc>
      </w:tr>
      <w:tr w:rsidR="00C9499F" w:rsidRPr="002A2450" w14:paraId="7843A812" w14:textId="77777777" w:rsidTr="00C9499F">
        <w:trPr>
          <w:tblHeader/>
        </w:trPr>
        <w:tc>
          <w:tcPr>
            <w:tcW w:w="4414" w:type="dxa"/>
          </w:tcPr>
          <w:p w14:paraId="5ECC9D9B" w14:textId="77777777" w:rsidR="00C9499F" w:rsidRPr="002A2450" w:rsidRDefault="00C9499F" w:rsidP="00C9499F">
            <w:pPr>
              <w:pStyle w:val="Textoindependiente"/>
              <w:tabs>
                <w:tab w:val="left" w:pos="567"/>
              </w:tabs>
              <w:spacing w:before="240" w:after="160" w:line="360" w:lineRule="auto"/>
              <w:rPr>
                <w:rFonts w:ascii="ITC Avant Garde" w:hAnsi="ITC Avant Garde"/>
              </w:rPr>
            </w:pPr>
            <w:r w:rsidRPr="002A2450">
              <w:rPr>
                <w:rFonts w:ascii="ITC Avant Garde" w:hAnsi="ITC Avant Garde"/>
              </w:rPr>
              <w:t>Existen contratos coaligados, vinculados o interdependientes, cuando la voluntad de las partes sea manifestada claramente, en el sentido de relacionar entre sí dos o más contratos, ya sea en forma coordinada o subordinada</w:t>
            </w:r>
          </w:p>
        </w:tc>
        <w:tc>
          <w:tcPr>
            <w:tcW w:w="4414" w:type="dxa"/>
            <w:vAlign w:val="center"/>
          </w:tcPr>
          <w:p w14:paraId="6AC73B87" w14:textId="6D223A3C" w:rsidR="00C9499F" w:rsidRPr="0047339C" w:rsidRDefault="00C9499F" w:rsidP="00C9499F">
            <w:pPr>
              <w:pStyle w:val="Textoindependiente"/>
              <w:tabs>
                <w:tab w:val="left" w:pos="567"/>
              </w:tabs>
              <w:spacing w:before="240" w:after="160" w:line="360" w:lineRule="auto"/>
              <w:jc w:val="center"/>
              <w:rPr>
                <w:rFonts w:ascii="ITC Avant Garde" w:eastAsia="Times New Roman" w:hAnsi="ITC Avant Garde"/>
                <w:b/>
                <w:bCs/>
                <w:color w:val="000000"/>
                <w:lang w:eastAsia="es-MX"/>
              </w:rPr>
            </w:pPr>
            <w:r w:rsidRPr="0047339C">
              <w:rPr>
                <w:rFonts w:ascii="ITC Avant Garde" w:eastAsiaTheme="majorEastAsia" w:hAnsi="ITC Avant Garde" w:cstheme="majorBidi"/>
                <w:b/>
                <w:color w:val="0000FF"/>
                <w:szCs w:val="32"/>
              </w:rPr>
              <w:t>“CONFIDENCIAL POR LEY”</w:t>
            </w:r>
          </w:p>
        </w:tc>
      </w:tr>
      <w:tr w:rsidR="00C9499F" w:rsidRPr="002A2450" w14:paraId="4F58649A" w14:textId="77777777" w:rsidTr="00C9499F">
        <w:trPr>
          <w:tblHeader/>
        </w:trPr>
        <w:tc>
          <w:tcPr>
            <w:tcW w:w="4414" w:type="dxa"/>
          </w:tcPr>
          <w:p w14:paraId="5693A875" w14:textId="77777777" w:rsidR="00C9499F" w:rsidRPr="002A2450" w:rsidRDefault="00C9499F" w:rsidP="00C9499F">
            <w:pPr>
              <w:pStyle w:val="Textoindependiente"/>
              <w:tabs>
                <w:tab w:val="left" w:pos="567"/>
              </w:tabs>
              <w:spacing w:before="240" w:after="160" w:line="360" w:lineRule="auto"/>
              <w:rPr>
                <w:rFonts w:ascii="ITC Avant Garde" w:hAnsi="ITC Avant Garde"/>
              </w:rPr>
            </w:pPr>
            <w:r w:rsidRPr="002A2450">
              <w:rPr>
                <w:rFonts w:ascii="ITC Avant Garde" w:hAnsi="ITC Avant Garde"/>
              </w:rPr>
              <w:lastRenderedPageBreak/>
              <w:t>En la vinculación unilateral, un negocio predomina y los demás le están subordinados; en la bilateral, los dos o más negocios son totalmente interdependientes, en el sentido de que la voluntad existe sobre todos ellos en un plano de igualdad. Una consecuencia que se desprende de la existencia de contratos vinculados, es que el cumplimiento de un contrato se refleja en los demás y el incumplimiento de uno también tiene que tener relevancia respecto de los demás contratos</w:t>
            </w:r>
          </w:p>
        </w:tc>
        <w:tc>
          <w:tcPr>
            <w:tcW w:w="4414" w:type="dxa"/>
            <w:vAlign w:val="center"/>
          </w:tcPr>
          <w:p w14:paraId="79B27C53" w14:textId="6E4A9A5F" w:rsidR="00C9499F" w:rsidRPr="0047339C" w:rsidRDefault="00C9499F" w:rsidP="00C9499F">
            <w:pPr>
              <w:pStyle w:val="Textoindependiente"/>
              <w:tabs>
                <w:tab w:val="left" w:pos="567"/>
              </w:tabs>
              <w:spacing w:before="240" w:after="160" w:line="360" w:lineRule="auto"/>
              <w:jc w:val="center"/>
              <w:rPr>
                <w:rFonts w:ascii="ITC Avant Garde" w:eastAsia="Times New Roman" w:hAnsi="ITC Avant Garde"/>
                <w:b/>
                <w:bCs/>
                <w:color w:val="000000"/>
                <w:lang w:eastAsia="es-MX"/>
              </w:rPr>
            </w:pPr>
            <w:r w:rsidRPr="0047339C">
              <w:rPr>
                <w:rFonts w:ascii="ITC Avant Garde" w:eastAsiaTheme="majorEastAsia" w:hAnsi="ITC Avant Garde" w:cstheme="majorBidi"/>
                <w:b/>
                <w:color w:val="0000FF"/>
                <w:szCs w:val="32"/>
              </w:rPr>
              <w:t>“CONFIDENCIAL POR LEY”</w:t>
            </w:r>
          </w:p>
        </w:tc>
      </w:tr>
    </w:tbl>
    <w:p w14:paraId="759FA3F3" w14:textId="77777777" w:rsidR="00B35F13" w:rsidRDefault="00831D47" w:rsidP="00B35F13">
      <w:pPr>
        <w:pStyle w:val="Textoindependiente"/>
        <w:tabs>
          <w:tab w:val="left" w:pos="567"/>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Aclarado lo anterior, se procede al estudio de los argumentos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ha señalado en su escrito presentado el veintiocho de septiembre de dos mil quince, ante la Oficialía de Partes de este </w:t>
      </w:r>
      <w:r w:rsidRPr="002A2450">
        <w:rPr>
          <w:rFonts w:ascii="ITC Avant Garde" w:eastAsia="Times New Roman" w:hAnsi="ITC Avant Garde"/>
          <w:b/>
          <w:bCs/>
          <w:color w:val="000000"/>
          <w:lang w:eastAsia="es-MX"/>
        </w:rPr>
        <w:t>“Instituto”</w:t>
      </w:r>
      <w:r w:rsidRPr="002A2450">
        <w:rPr>
          <w:rFonts w:ascii="ITC Avant Garde" w:eastAsia="Times New Roman" w:hAnsi="ITC Avant Garde"/>
          <w:bCs/>
          <w:color w:val="000000"/>
          <w:lang w:eastAsia="es-MX"/>
        </w:rPr>
        <w:t xml:space="preserve"> en las fojas </w:t>
      </w:r>
      <w:r w:rsidRPr="002A2450">
        <w:rPr>
          <w:rFonts w:ascii="ITC Avant Garde" w:eastAsia="Times New Roman" w:hAnsi="ITC Avant Garde"/>
          <w:b/>
          <w:bCs/>
          <w:color w:val="000000"/>
          <w:u w:val="single"/>
          <w:lang w:eastAsia="es-MX"/>
        </w:rPr>
        <w:t>sesenta y nueve a ciento treinta y tres</w:t>
      </w:r>
      <w:r w:rsidRPr="002A2450">
        <w:rPr>
          <w:rFonts w:ascii="ITC Avant Garde" w:eastAsia="Times New Roman" w:hAnsi="ITC Avant Garde"/>
          <w:bCs/>
          <w:color w:val="000000"/>
          <w:lang w:eastAsia="es-MX"/>
        </w:rPr>
        <w:t xml:space="preserve"> que a manera de resumen establecen lo siguiente:</w:t>
      </w:r>
    </w:p>
    <w:p w14:paraId="21DEFBA4" w14:textId="77777777"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ANÁLISIS DE LAS RELACIONES SOCIETARIAS</w:t>
      </w:r>
    </w:p>
    <w:p w14:paraId="7EB64F8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Mi representada, no realizó algún acto o adquirió capacidad alguna que le permitiera el control o le otorgara influencia a nivel decisorio para beneficiarse de la explotación de la concesión de televisión satelital.</w:t>
      </w:r>
    </w:p>
    <w:p w14:paraId="0042C642" w14:textId="77777777" w:rsidR="00C9499F" w:rsidRDefault="00831D47" w:rsidP="00B35F13">
      <w:pPr>
        <w:spacing w:before="240" w:line="360" w:lineRule="auto"/>
        <w:ind w:left="567" w:right="567"/>
        <w:jc w:val="both"/>
        <w:rPr>
          <w:rFonts w:ascii="ITC Avant Garde" w:hAnsi="ITC Avant Garde"/>
          <w:i/>
        </w:rPr>
        <w:sectPr w:rsidR="00C9499F" w:rsidSect="009F3771">
          <w:headerReference w:type="default" r:id="rId39"/>
          <w:pgSz w:w="12240" w:h="15840"/>
          <w:pgMar w:top="1985" w:right="1701" w:bottom="1418" w:left="1701" w:header="709" w:footer="709" w:gutter="0"/>
          <w:cols w:space="708"/>
          <w:docGrid w:linePitch="360"/>
        </w:sectPr>
      </w:pPr>
      <w:r w:rsidRPr="002A2450">
        <w:rPr>
          <w:rFonts w:ascii="ITC Avant Garde" w:hAnsi="ITC Avant Garde"/>
          <w:i/>
        </w:rPr>
        <w:t xml:space="preserve">Al respecto, </w:t>
      </w:r>
      <w:r w:rsidR="005B601B" w:rsidRPr="002A2450">
        <w:rPr>
          <w:rFonts w:ascii="ITC Avant Garde" w:hAnsi="ITC Avant Garde"/>
          <w:b/>
          <w:i/>
        </w:rPr>
        <w:t>“TELMEX”</w:t>
      </w:r>
      <w:r w:rsidRPr="002A2450">
        <w:rPr>
          <w:rFonts w:ascii="ITC Avant Garde" w:hAnsi="ITC Avant Garde"/>
          <w:i/>
        </w:rPr>
        <w:t xml:space="preserve"> no tiene control o influencia decisiva en </w:t>
      </w:r>
      <w:proofErr w:type="spellStart"/>
      <w:r w:rsidRPr="002A2450">
        <w:rPr>
          <w:rFonts w:ascii="ITC Avant Garde" w:hAnsi="ITC Avant Garde"/>
          <w:i/>
        </w:rPr>
        <w:t>Cofresa</w:t>
      </w:r>
      <w:proofErr w:type="spellEnd"/>
      <w:r w:rsidRPr="002A2450">
        <w:rPr>
          <w:rFonts w:ascii="ITC Avant Garde" w:hAnsi="ITC Avant Garde"/>
          <w:i/>
        </w:rPr>
        <w:t xml:space="preserve">, toda vez que no: es titular de acciones de voto limitado, no disfruta de </w:t>
      </w:r>
    </w:p>
    <w:p w14:paraId="2FF864F6" w14:textId="06D3A3E2" w:rsidR="00831D47" w:rsidRPr="002A2450" w:rsidRDefault="00831D47" w:rsidP="00B35F13">
      <w:pPr>
        <w:spacing w:before="240" w:line="360" w:lineRule="auto"/>
        <w:ind w:left="567" w:right="567"/>
        <w:jc w:val="both"/>
        <w:rPr>
          <w:rFonts w:ascii="ITC Avant Garde" w:hAnsi="ITC Avant Garde"/>
          <w:i/>
        </w:rPr>
      </w:pPr>
      <w:proofErr w:type="gramStart"/>
      <w:r w:rsidRPr="002A2450">
        <w:rPr>
          <w:rFonts w:ascii="ITC Avant Garde" w:hAnsi="ITC Avant Garde"/>
          <w:i/>
        </w:rPr>
        <w:lastRenderedPageBreak/>
        <w:t>acciones</w:t>
      </w:r>
      <w:proofErr w:type="gramEnd"/>
      <w:r w:rsidRPr="002A2450">
        <w:rPr>
          <w:rFonts w:ascii="ITC Avant Garde" w:hAnsi="ITC Avant Garde"/>
          <w:i/>
        </w:rPr>
        <w:t xml:space="preserve"> de trabajo, no tiene derecho de veto, no designa consejeros ni comisarios.</w:t>
      </w:r>
    </w:p>
    <w:p w14:paraId="771DA87D"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5710AC" w:rsidRPr="002A2450">
        <w:rPr>
          <w:rFonts w:ascii="ITC Avant Garde" w:hAnsi="ITC Avant Garde"/>
          <w:i/>
        </w:rPr>
        <w:t>/</w:t>
      </w:r>
      <w:proofErr w:type="spellStart"/>
      <w:r w:rsidR="005710AC" w:rsidRPr="002A2450">
        <w:rPr>
          <w:rFonts w:ascii="ITC Avant Garde" w:hAnsi="ITC Avant Garde"/>
          <w:i/>
        </w:rPr>
        <w:t>Teninver</w:t>
      </w:r>
      <w:proofErr w:type="spellEnd"/>
      <w:r w:rsidR="005710AC" w:rsidRPr="002A2450">
        <w:rPr>
          <w:rFonts w:ascii="ITC Avant Garde" w:hAnsi="ITC Avant Garde"/>
          <w:i/>
        </w:rPr>
        <w:t xml:space="preserve"> no tienen control o influencia decisiva en </w:t>
      </w:r>
      <w:proofErr w:type="spellStart"/>
      <w:r w:rsidR="005710AC" w:rsidRPr="002A2450">
        <w:rPr>
          <w:rFonts w:ascii="ITC Avant Garde" w:hAnsi="ITC Avant Garde"/>
          <w:i/>
        </w:rPr>
        <w:t>Cofresa</w:t>
      </w:r>
      <w:proofErr w:type="spellEnd"/>
      <w:r w:rsidR="005710AC" w:rsidRPr="002A2450">
        <w:rPr>
          <w:rFonts w:ascii="ITC Avant Garde" w:hAnsi="ITC Avant Garde"/>
          <w:i/>
        </w:rPr>
        <w:t>, toda vez que carece de acciones mercantiles, ni tiene facultad para designar Consejeros, Comisarios, Directivos o Generantes en aquellas empresas, ni lo han hecho.</w:t>
      </w:r>
    </w:p>
    <w:p w14:paraId="6CE3E531" w14:textId="77777777" w:rsidR="00B35F13" w:rsidRDefault="00D2065E" w:rsidP="00B35F13">
      <w:pPr>
        <w:spacing w:before="240" w:line="360" w:lineRule="auto"/>
        <w:jc w:val="both"/>
        <w:rPr>
          <w:rFonts w:ascii="ITC Avant Garde" w:hAnsi="ITC Avant Garde"/>
        </w:rPr>
      </w:pPr>
      <w:r w:rsidRPr="002A2450">
        <w:rPr>
          <w:rFonts w:ascii="ITC Avant Garde" w:hAnsi="ITC Avant Garde"/>
        </w:rPr>
        <w:t xml:space="preserve">Los argumentos señalados por </w:t>
      </w:r>
      <w:r w:rsidRPr="002A2450">
        <w:rPr>
          <w:rFonts w:ascii="ITC Avant Garde" w:hAnsi="ITC Avant Garde"/>
          <w:b/>
        </w:rPr>
        <w:t>“TELMEX”</w:t>
      </w:r>
      <w:r w:rsidRPr="002A2450">
        <w:rPr>
          <w:rFonts w:ascii="ITC Avant Garde" w:hAnsi="ITC Avant Garde"/>
        </w:rPr>
        <w:t xml:space="preserve"> resultan </w:t>
      </w:r>
      <w:r w:rsidRPr="002A2450">
        <w:rPr>
          <w:rFonts w:ascii="ITC Avant Garde" w:hAnsi="ITC Avant Garde"/>
          <w:b/>
          <w:u w:val="single"/>
        </w:rPr>
        <w:t>infundados</w:t>
      </w:r>
      <w:r w:rsidRPr="002A2450">
        <w:rPr>
          <w:rFonts w:ascii="ITC Avant Garde" w:hAnsi="ITC Avant Garde"/>
        </w:rPr>
        <w:t xml:space="preserve"> e </w:t>
      </w:r>
      <w:r w:rsidRPr="002A2450">
        <w:rPr>
          <w:rFonts w:ascii="ITC Avant Garde" w:hAnsi="ITC Avant Garde"/>
          <w:b/>
          <w:u w:val="single"/>
        </w:rPr>
        <w:t>insuficientes</w:t>
      </w:r>
      <w:r w:rsidRPr="002A2450">
        <w:rPr>
          <w:rFonts w:ascii="ITC Avant Garde" w:hAnsi="ITC Avant Garde"/>
        </w:rPr>
        <w:t xml:space="preserve"> para desvirtuar la conducta imputada en el presente asunto a razón de lo siguiente:</w:t>
      </w:r>
    </w:p>
    <w:p w14:paraId="10F0D825" w14:textId="77777777" w:rsidR="00B35F13" w:rsidRDefault="00D2065E" w:rsidP="00B35F13">
      <w:pPr>
        <w:spacing w:before="240" w:line="360" w:lineRule="auto"/>
        <w:jc w:val="both"/>
        <w:rPr>
          <w:rFonts w:ascii="ITC Avant Garde" w:hAnsi="ITC Avant Garde"/>
        </w:rPr>
      </w:pPr>
      <w:r w:rsidRPr="002A2450">
        <w:rPr>
          <w:rFonts w:ascii="ITC Avant Garde" w:hAnsi="ITC Avant Garde"/>
        </w:rPr>
        <w:t xml:space="preserve">De acuerdo a lo señalado en el presente apartado, esta autoridad considera que para llevar a cabo la prestación del servicio de </w:t>
      </w:r>
      <w:r w:rsidRPr="002A2450">
        <w:rPr>
          <w:rFonts w:ascii="ITC Avant Garde" w:hAnsi="ITC Avant Garde"/>
          <w:b/>
        </w:rPr>
        <w:t>“DTH”</w:t>
      </w:r>
      <w:r w:rsidRPr="002A2450">
        <w:rPr>
          <w:rFonts w:ascii="ITC Avant Garde" w:hAnsi="ITC Avant Garde"/>
        </w:rPr>
        <w:t xml:space="preserve"> ofrecido por </w:t>
      </w:r>
      <w:r w:rsidRPr="002A2450">
        <w:rPr>
          <w:rFonts w:ascii="ITC Avant Garde" w:hAnsi="ITC Avant Garde"/>
          <w:b/>
        </w:rPr>
        <w:t>“COFRESA”</w:t>
      </w:r>
      <w:r w:rsidRPr="002A2450">
        <w:rPr>
          <w:rFonts w:ascii="ITC Avant Garde" w:hAnsi="ITC Avant Garde"/>
        </w:rPr>
        <w:t xml:space="preserve"> </w:t>
      </w:r>
      <w:r w:rsidR="007F28AD" w:rsidRPr="002A2450">
        <w:rPr>
          <w:rFonts w:ascii="ITC Avant Garde" w:hAnsi="ITC Avant Garde"/>
        </w:rPr>
        <w:t xml:space="preserve">esta </w:t>
      </w:r>
      <w:r w:rsidRPr="002A2450">
        <w:rPr>
          <w:rFonts w:ascii="ITC Avant Garde" w:hAnsi="ITC Avant Garde"/>
        </w:rPr>
        <w:t>debe analizarse desde una perspectiva diferente al derecho de competencia, dónde el vínculo patrimonial y el control societario no son el objeto de estudio en el presente asunto sino el probable incumplimiento al</w:t>
      </w:r>
      <w:r w:rsidR="00E34891" w:rsidRPr="002A2450">
        <w:rPr>
          <w:rFonts w:ascii="ITC Avant Garde" w:hAnsi="ITC Avant Garde"/>
        </w:rPr>
        <w:t xml:space="preserve"> </w:t>
      </w:r>
      <w:r w:rsidR="00B15C84" w:rsidRPr="009E34A4">
        <w:rPr>
          <w:rFonts w:ascii="ITC Avant Garde" w:hAnsi="ITC Avant Garde"/>
          <w:b/>
        </w:rPr>
        <w:t>Tercer Párrafo</w:t>
      </w:r>
      <w:r w:rsidR="00E34891" w:rsidRPr="002A2450">
        <w:rPr>
          <w:rFonts w:ascii="ITC Avant Garde" w:hAnsi="ITC Avant Garde"/>
        </w:rPr>
        <w:t xml:space="preserve"> de la</w:t>
      </w:r>
      <w:r w:rsidRPr="002A2450">
        <w:rPr>
          <w:rFonts w:ascii="ITC Avant Garde" w:hAnsi="ITC Avant Garde"/>
        </w:rPr>
        <w:t xml:space="preserve"> condición 1-9 del </w:t>
      </w:r>
      <w:r w:rsidRPr="002A2450">
        <w:rPr>
          <w:rFonts w:ascii="ITC Avant Garde" w:hAnsi="ITC Avant Garde"/>
          <w:b/>
        </w:rPr>
        <w:t xml:space="preserve">“TÍTULO DE CONCESIÓN” </w:t>
      </w:r>
      <w:r w:rsidRPr="002A2450">
        <w:rPr>
          <w:rFonts w:ascii="ITC Avant Garde" w:hAnsi="ITC Avant Garde"/>
        </w:rPr>
        <w:t xml:space="preserve">otorgado a </w:t>
      </w:r>
      <w:r w:rsidRPr="002A2450">
        <w:rPr>
          <w:rFonts w:ascii="ITC Avant Garde" w:hAnsi="ITC Avant Garde"/>
          <w:b/>
        </w:rPr>
        <w:t>“TELMEX”</w:t>
      </w:r>
      <w:r w:rsidRPr="002A2450">
        <w:rPr>
          <w:rFonts w:ascii="ITC Avant Garde" w:hAnsi="ITC Avant Garde"/>
        </w:rPr>
        <w:t>.</w:t>
      </w:r>
    </w:p>
    <w:p w14:paraId="6B879C2D" w14:textId="77777777" w:rsidR="00B35F13" w:rsidRDefault="0019279C" w:rsidP="00B35F13">
      <w:pPr>
        <w:spacing w:before="240" w:line="360" w:lineRule="auto"/>
        <w:jc w:val="both"/>
        <w:rPr>
          <w:rFonts w:ascii="ITC Avant Garde" w:hAnsi="ITC Avant Garde"/>
        </w:rPr>
      </w:pPr>
      <w:r w:rsidRPr="002A2450">
        <w:rPr>
          <w:rFonts w:ascii="ITC Avant Garde" w:hAnsi="ITC Avant Garde"/>
        </w:rPr>
        <w:t xml:space="preserve">En tales consideraciones, resulta irrelevante que </w:t>
      </w:r>
      <w:r w:rsidRPr="002A2450">
        <w:rPr>
          <w:rFonts w:ascii="ITC Avant Garde" w:hAnsi="ITC Avant Garde"/>
          <w:b/>
        </w:rPr>
        <w:t>“TELMEX”</w:t>
      </w:r>
      <w:r w:rsidRPr="002A2450">
        <w:rPr>
          <w:rFonts w:ascii="ITC Avant Garde" w:hAnsi="ITC Avant Garde"/>
        </w:rPr>
        <w:t xml:space="preserve"> haya señalado que no realizó ningún acto mediante el cual adquirió capacidad alguna que le permitiera el control o le otorgara influencia en la toma de decisiones para la explotación del servicio </w:t>
      </w:r>
      <w:r w:rsidRPr="002A2450">
        <w:rPr>
          <w:rFonts w:ascii="ITC Avant Garde" w:hAnsi="ITC Avant Garde"/>
          <w:b/>
        </w:rPr>
        <w:t>“DTH”</w:t>
      </w:r>
      <w:r w:rsidRPr="002A2450">
        <w:rPr>
          <w:rFonts w:ascii="ITC Avant Garde" w:hAnsi="ITC Avant Garde"/>
        </w:rPr>
        <w:t xml:space="preserve"> puesto que el análisis de la concentración realizada entre dicha concesionaria y diversas empresas relacionadas con </w:t>
      </w:r>
      <w:r w:rsidRPr="002A2450">
        <w:rPr>
          <w:rFonts w:ascii="ITC Avant Garde" w:hAnsi="ITC Avant Garde"/>
          <w:b/>
        </w:rPr>
        <w:t>“DISH”</w:t>
      </w:r>
      <w:r w:rsidRPr="002A2450">
        <w:rPr>
          <w:rFonts w:ascii="ITC Avant Garde" w:hAnsi="ITC Avant Garde"/>
        </w:rPr>
        <w:t xml:space="preserve"> fue resuelto por el Pleno de este </w:t>
      </w:r>
      <w:r w:rsidRPr="002A2450">
        <w:rPr>
          <w:rFonts w:ascii="ITC Avant Garde" w:hAnsi="ITC Avant Garde"/>
          <w:b/>
        </w:rPr>
        <w:t>“IFT”</w:t>
      </w:r>
      <w:r w:rsidRPr="002A2450">
        <w:rPr>
          <w:rFonts w:ascii="ITC Avant Garde" w:hAnsi="ITC Avant Garde"/>
        </w:rPr>
        <w:t xml:space="preserve"> el siete de enero de dos mil quince, en su III Sesión Ordinaria, de lo que se sigue que dicho argumento, al encontrarse fuera de la </w:t>
      </w:r>
      <w:proofErr w:type="spellStart"/>
      <w:r w:rsidRPr="002A2450">
        <w:rPr>
          <w:rFonts w:ascii="ITC Avant Garde" w:hAnsi="ITC Avant Garde"/>
        </w:rPr>
        <w:t>litis</w:t>
      </w:r>
      <w:proofErr w:type="spellEnd"/>
      <w:r w:rsidRPr="002A2450">
        <w:rPr>
          <w:rFonts w:ascii="ITC Avant Garde" w:hAnsi="ITC Avant Garde"/>
        </w:rPr>
        <w:t xml:space="preserve"> materia del presente procedimiento, debe declararse insuficiente para desvirtuar la conducta materia del presente procedimiento.</w:t>
      </w:r>
    </w:p>
    <w:p w14:paraId="4EF3CE3A" w14:textId="77777777" w:rsidR="00B35F13" w:rsidRDefault="00D2065E" w:rsidP="00B35F13">
      <w:pPr>
        <w:spacing w:before="240" w:line="360" w:lineRule="auto"/>
        <w:jc w:val="both"/>
        <w:rPr>
          <w:rFonts w:ascii="ITC Avant Garde" w:hAnsi="ITC Avant Garde"/>
        </w:rPr>
      </w:pPr>
      <w:r w:rsidRPr="002A2450">
        <w:rPr>
          <w:rFonts w:ascii="ITC Avant Garde" w:hAnsi="ITC Avant Garde"/>
        </w:rPr>
        <w:t xml:space="preserve">No obstante lo anterior, resulta necesario precisar que el presunto incumplimiento es precisamente la </w:t>
      </w:r>
      <w:r w:rsidR="008F718E" w:rsidRPr="009E34A4">
        <w:rPr>
          <w:rFonts w:ascii="ITC Avant Garde" w:hAnsi="ITC Avant Garde"/>
        </w:rPr>
        <w:t xml:space="preserve">explotación indirecta </w:t>
      </w:r>
      <w:r w:rsidR="007F28AD" w:rsidRPr="002A2450">
        <w:rPr>
          <w:rFonts w:ascii="ITC Avant Garde" w:hAnsi="ITC Avant Garde"/>
        </w:rPr>
        <w:t xml:space="preserve">por parte de </w:t>
      </w:r>
      <w:r w:rsidR="007F28AD" w:rsidRPr="002A2450">
        <w:rPr>
          <w:rFonts w:ascii="ITC Avant Garde" w:hAnsi="ITC Avant Garde"/>
          <w:b/>
        </w:rPr>
        <w:t>“TELMEX”</w:t>
      </w:r>
      <w:r w:rsidR="008F718E" w:rsidRPr="002A2450">
        <w:rPr>
          <w:rFonts w:ascii="ITC Avant Garde" w:hAnsi="ITC Avant Garde"/>
          <w:color w:val="C00000"/>
        </w:rPr>
        <w:t xml:space="preserve"> </w:t>
      </w:r>
      <w:r w:rsidR="007F28AD" w:rsidRPr="002A2450">
        <w:rPr>
          <w:rFonts w:ascii="ITC Avant Garde" w:hAnsi="ITC Avant Garde"/>
        </w:rPr>
        <w:t xml:space="preserve">de una concesión </w:t>
      </w:r>
      <w:r w:rsidRPr="002A2450">
        <w:rPr>
          <w:rFonts w:ascii="ITC Avant Garde" w:hAnsi="ITC Avant Garde"/>
        </w:rPr>
        <w:t xml:space="preserve">de servicios de televisión al país, por lo que en todo caso, el control o influencia significativa no es un elemento </w:t>
      </w:r>
      <w:r w:rsidR="007F28AD" w:rsidRPr="002A2450">
        <w:rPr>
          <w:rFonts w:ascii="ITC Avant Garde" w:hAnsi="ITC Avant Garde"/>
        </w:rPr>
        <w:t xml:space="preserve">por sí solo </w:t>
      </w:r>
      <w:r w:rsidRPr="002A2450">
        <w:rPr>
          <w:rFonts w:ascii="ITC Avant Garde" w:hAnsi="ITC Avant Garde"/>
        </w:rPr>
        <w:t xml:space="preserve">que pueda determinar a desvirtuar su </w:t>
      </w:r>
      <w:r w:rsidRPr="002A2450">
        <w:rPr>
          <w:rFonts w:ascii="ITC Avant Garde" w:hAnsi="ITC Avant Garde"/>
        </w:rPr>
        <w:lastRenderedPageBreak/>
        <w:t xml:space="preserve">incumplimiento, ya que precisamente, el análisis previo realizado en el presente apartado, tuvo por objeto desentrañar el contenido y efecto provocado con la celebración de los mismos respecto del presunto incumplimiento materia del presente procedimiento, de lo que se sigue que esta autoridad no podría pronunciarse respecto </w:t>
      </w:r>
      <w:r w:rsidR="005710AC" w:rsidRPr="002A2450">
        <w:rPr>
          <w:rFonts w:ascii="ITC Avant Garde" w:hAnsi="ITC Avant Garde"/>
        </w:rPr>
        <w:t>de las acciones realizadas por dicha concesionaria para obtener el control o influencia significativa que señala al no ser parte de la materia del presente procedimiento.</w:t>
      </w:r>
    </w:p>
    <w:p w14:paraId="5132D123" w14:textId="77777777" w:rsidR="00B35F13" w:rsidRDefault="005710AC" w:rsidP="00B35F13">
      <w:pPr>
        <w:spacing w:before="240" w:line="360" w:lineRule="auto"/>
        <w:ind w:right="567"/>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 xml:space="preserve">“TELMEX” </w:t>
      </w:r>
      <w:r w:rsidRPr="002A2450">
        <w:rPr>
          <w:rFonts w:ascii="ITC Avant Garde" w:hAnsi="ITC Avant Garde"/>
        </w:rPr>
        <w:t>lo siguiente:</w:t>
      </w:r>
    </w:p>
    <w:p w14:paraId="561B9760"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Adicionalmente debe decirse que no existen intereses comerciales y financieros, ni coordina </w:t>
      </w:r>
      <w:r w:rsidR="005B601B" w:rsidRPr="002A2450">
        <w:rPr>
          <w:rFonts w:ascii="ITC Avant Garde" w:hAnsi="ITC Avant Garde"/>
          <w:b/>
          <w:i/>
        </w:rPr>
        <w:t>“TELMEX”</w:t>
      </w:r>
      <w:r w:rsidRPr="002A2450">
        <w:rPr>
          <w:rFonts w:ascii="ITC Avant Garde" w:hAnsi="ITC Avant Garde"/>
          <w:i/>
        </w:rPr>
        <w:t xml:space="preserve"> actividades de </w:t>
      </w:r>
      <w:proofErr w:type="spellStart"/>
      <w:r w:rsidRPr="002A2450">
        <w:rPr>
          <w:rFonts w:ascii="ITC Avant Garde" w:hAnsi="ITC Avant Garde"/>
          <w:i/>
        </w:rPr>
        <w:t>Cofresa</w:t>
      </w:r>
      <w:proofErr w:type="spellEnd"/>
      <w:r w:rsidRPr="002A2450">
        <w:rPr>
          <w:rFonts w:ascii="ITC Avant Garde" w:hAnsi="ITC Avant Garde"/>
          <w:i/>
        </w:rPr>
        <w:t xml:space="preserve"> y/o </w:t>
      </w:r>
      <w:proofErr w:type="spellStart"/>
      <w:r w:rsidRPr="002A2450">
        <w:rPr>
          <w:rFonts w:ascii="ITC Avant Garde" w:hAnsi="ITC Avant Garde"/>
          <w:i/>
        </w:rPr>
        <w:t>Dish</w:t>
      </w:r>
      <w:proofErr w:type="spellEnd"/>
      <w:r w:rsidRPr="002A2450">
        <w:rPr>
          <w:rFonts w:ascii="ITC Avant Garde" w:hAnsi="ITC Avant Garde"/>
          <w:i/>
        </w:rPr>
        <w:t xml:space="preserve"> para log</w:t>
      </w:r>
      <w:r w:rsidR="002F6358" w:rsidRPr="002A2450">
        <w:rPr>
          <w:rFonts w:ascii="ITC Avant Garde" w:hAnsi="ITC Avant Garde"/>
          <w:i/>
        </w:rPr>
        <w:t>r</w:t>
      </w:r>
      <w:r w:rsidRPr="002A2450">
        <w:rPr>
          <w:rFonts w:ascii="ITC Avant Garde" w:hAnsi="ITC Avant Garde"/>
          <w:i/>
        </w:rPr>
        <w:t>ar un objetivo en común.</w:t>
      </w:r>
    </w:p>
    <w:p w14:paraId="23DA04FB"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 xml:space="preserve">Al respecto, resulta insostenible y por tanto </w:t>
      </w:r>
      <w:r w:rsidRPr="002A2450">
        <w:rPr>
          <w:rFonts w:ascii="ITC Avant Garde" w:hAnsi="ITC Avant Garde"/>
          <w:b/>
          <w:u w:val="single"/>
        </w:rPr>
        <w:t>insuficiente</w:t>
      </w:r>
      <w:r w:rsidRPr="002A2450">
        <w:rPr>
          <w:rFonts w:ascii="ITC Avant Garde" w:hAnsi="ITC Avant Garde"/>
          <w:b/>
        </w:rPr>
        <w:t xml:space="preserve"> </w:t>
      </w:r>
      <w:r w:rsidRPr="002A2450">
        <w:rPr>
          <w:rFonts w:ascii="ITC Avant Garde" w:hAnsi="ITC Avant Garde"/>
        </w:rPr>
        <w:t xml:space="preserve">que </w:t>
      </w:r>
      <w:r w:rsidRPr="002A2450">
        <w:rPr>
          <w:rFonts w:ascii="ITC Avant Garde" w:hAnsi="ITC Avant Garde"/>
          <w:b/>
        </w:rPr>
        <w:t>“TELMEX”</w:t>
      </w:r>
      <w:r w:rsidRPr="002A2450">
        <w:rPr>
          <w:rFonts w:ascii="ITC Avant Garde" w:hAnsi="ITC Avant Garde"/>
        </w:rPr>
        <w:t xml:space="preserve"> manifieste que: </w:t>
      </w:r>
      <w:r w:rsidRPr="002A2450">
        <w:rPr>
          <w:rFonts w:ascii="ITC Avant Garde" w:hAnsi="ITC Avant Garde"/>
          <w:i/>
        </w:rPr>
        <w:t xml:space="preserve">“…no existen intereses comerciales y financieros, ni coordina </w:t>
      </w:r>
      <w:r w:rsidR="005B601B" w:rsidRPr="002A2450">
        <w:rPr>
          <w:rFonts w:ascii="ITC Avant Garde" w:hAnsi="ITC Avant Garde"/>
          <w:b/>
          <w:i/>
        </w:rPr>
        <w:t>“TELMEX”</w:t>
      </w:r>
      <w:r w:rsidRPr="002A2450">
        <w:rPr>
          <w:rFonts w:ascii="ITC Avant Garde" w:hAnsi="ITC Avant Garde"/>
          <w:i/>
        </w:rPr>
        <w:t xml:space="preserve"> actividades de </w:t>
      </w:r>
      <w:proofErr w:type="spellStart"/>
      <w:r w:rsidRPr="002A2450">
        <w:rPr>
          <w:rFonts w:ascii="ITC Avant Garde" w:hAnsi="ITC Avant Garde"/>
          <w:i/>
        </w:rPr>
        <w:t>Cofresa</w:t>
      </w:r>
      <w:proofErr w:type="spellEnd"/>
      <w:r w:rsidRPr="002A2450">
        <w:rPr>
          <w:rFonts w:ascii="ITC Avant Garde" w:hAnsi="ITC Avant Garde"/>
          <w:i/>
        </w:rPr>
        <w:t xml:space="preserve"> y/o </w:t>
      </w:r>
      <w:proofErr w:type="spellStart"/>
      <w:r w:rsidRPr="002A2450">
        <w:rPr>
          <w:rFonts w:ascii="ITC Avant Garde" w:hAnsi="ITC Avant Garde"/>
          <w:i/>
        </w:rPr>
        <w:t>Dish</w:t>
      </w:r>
      <w:proofErr w:type="spellEnd"/>
      <w:r w:rsidRPr="002A2450">
        <w:rPr>
          <w:rFonts w:ascii="ITC Avant Garde" w:hAnsi="ITC Avant Garde"/>
          <w:i/>
        </w:rPr>
        <w:t xml:space="preserve"> para log</w:t>
      </w:r>
      <w:r w:rsidR="002F6358" w:rsidRPr="002A2450">
        <w:rPr>
          <w:rFonts w:ascii="ITC Avant Garde" w:hAnsi="ITC Avant Garde"/>
          <w:i/>
        </w:rPr>
        <w:t>r</w:t>
      </w:r>
      <w:r w:rsidRPr="002A2450">
        <w:rPr>
          <w:rFonts w:ascii="ITC Avant Garde" w:hAnsi="ITC Avant Garde"/>
          <w:i/>
        </w:rPr>
        <w:t>ar un objetivo en común…”</w:t>
      </w:r>
      <w:r w:rsidRPr="002A2450">
        <w:rPr>
          <w:rFonts w:ascii="ITC Avant Garde" w:hAnsi="ITC Avant Garde"/>
        </w:rPr>
        <w:t xml:space="preserve"> puesto que negar el interés es negar la participación en los contratos celebrados por dicha concesionaria. </w:t>
      </w:r>
    </w:p>
    <w:p w14:paraId="0CC7498D"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A lo largo del presente apartado se ha señalado que el estudio sistémico de los contratos coaligados sirve para desentrañar el verdadero sentido</w:t>
      </w:r>
      <w:r w:rsidR="007F28AD" w:rsidRPr="002A2450">
        <w:rPr>
          <w:rFonts w:ascii="ITC Avant Garde" w:hAnsi="ITC Avant Garde"/>
        </w:rPr>
        <w:t xml:space="preserve"> y alcance</w:t>
      </w:r>
      <w:r w:rsidR="008F718E" w:rsidRPr="002A2450">
        <w:rPr>
          <w:rFonts w:ascii="ITC Avant Garde" w:hAnsi="ITC Avant Garde"/>
          <w:color w:val="C00000"/>
        </w:rPr>
        <w:t xml:space="preserve"> </w:t>
      </w:r>
      <w:r w:rsidRPr="002A2450">
        <w:rPr>
          <w:rFonts w:ascii="ITC Avant Garde" w:hAnsi="ITC Avant Garde"/>
        </w:rPr>
        <w:t xml:space="preserve">de la celebración de los mismos, de lo que se sigue que con base en lo señalado en los propios contratos, tal y como se ha esquematizado en la presente resolución, existe un interés conjunto de diversas empresas para prestar el servicio de </w:t>
      </w:r>
      <w:r w:rsidRPr="002A2450">
        <w:rPr>
          <w:rFonts w:ascii="ITC Avant Garde" w:hAnsi="ITC Avant Garde"/>
          <w:b/>
        </w:rPr>
        <w:t>“DTH”</w:t>
      </w:r>
      <w:r w:rsidRPr="002A2450">
        <w:rPr>
          <w:rFonts w:ascii="ITC Avant Garde" w:hAnsi="ITC Avant Garde"/>
        </w:rPr>
        <w:t xml:space="preserve"> en México, iniciando por </w:t>
      </w:r>
      <w:r w:rsidRPr="002A2450">
        <w:rPr>
          <w:rFonts w:ascii="ITC Avant Garde" w:hAnsi="ITC Avant Garde"/>
          <w:b/>
        </w:rPr>
        <w:t>“ECHOSTAR CORPORATION”</w:t>
      </w:r>
      <w:r w:rsidRPr="002A2450">
        <w:rPr>
          <w:rFonts w:ascii="ITC Avant Garde" w:hAnsi="ITC Avant Garde"/>
        </w:rPr>
        <w:t xml:space="preserve"> y finalizado por </w:t>
      </w:r>
      <w:r w:rsidRPr="002A2450">
        <w:rPr>
          <w:rFonts w:ascii="ITC Avant Garde" w:hAnsi="ITC Avant Garde"/>
          <w:b/>
        </w:rPr>
        <w:t>“TELMEX”</w:t>
      </w:r>
      <w:r w:rsidRPr="002A2450">
        <w:rPr>
          <w:rFonts w:ascii="ITC Avant Garde" w:hAnsi="ITC Avant Garde"/>
        </w:rPr>
        <w:t xml:space="preserve"> a través de la suscripción de un contrato de opción de compra y venta.</w:t>
      </w:r>
    </w:p>
    <w:p w14:paraId="1CDC72FA"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 xml:space="preserve">Ahora bien, asumiendo que efectivamente no existe un interés comercial por parte de </w:t>
      </w:r>
      <w:r w:rsidRPr="002A2450">
        <w:rPr>
          <w:rFonts w:ascii="ITC Avant Garde" w:hAnsi="ITC Avant Garde"/>
          <w:b/>
        </w:rPr>
        <w:t xml:space="preserve">“TELMEX” </w:t>
      </w:r>
      <w:r w:rsidR="00D42999" w:rsidRPr="009E34A4">
        <w:rPr>
          <w:rFonts w:ascii="ITC Avant Garde" w:hAnsi="ITC Avant Garde"/>
        </w:rPr>
        <w:t>no resulta claro</w:t>
      </w:r>
      <w:r w:rsidR="00D42999" w:rsidRPr="002A2450">
        <w:rPr>
          <w:rFonts w:ascii="ITC Avant Garde" w:hAnsi="ITC Avant Garde"/>
          <w:b/>
        </w:rPr>
        <w:t xml:space="preserve"> </w:t>
      </w:r>
      <w:r w:rsidRPr="002A2450">
        <w:rPr>
          <w:rFonts w:ascii="ITC Avant Garde" w:hAnsi="ITC Avant Garde"/>
        </w:rPr>
        <w:t xml:space="preserve">para esta autoridad </w:t>
      </w:r>
      <w:r w:rsidR="00D42999" w:rsidRPr="002A2450">
        <w:rPr>
          <w:rFonts w:ascii="ITC Avant Garde" w:hAnsi="ITC Avant Garde"/>
        </w:rPr>
        <w:t xml:space="preserve">entonces, cuál es o son </w:t>
      </w:r>
      <w:r w:rsidRPr="002A2450">
        <w:rPr>
          <w:rFonts w:ascii="ITC Avant Garde" w:hAnsi="ITC Avant Garde"/>
        </w:rPr>
        <w:t>raz</w:t>
      </w:r>
      <w:r w:rsidR="00D42999" w:rsidRPr="002A2450">
        <w:rPr>
          <w:rFonts w:ascii="ITC Avant Garde" w:hAnsi="ITC Avant Garde"/>
        </w:rPr>
        <w:t>ones</w:t>
      </w:r>
      <w:r w:rsidRPr="002A2450">
        <w:rPr>
          <w:rFonts w:ascii="ITC Avant Garde" w:hAnsi="ITC Avant Garde"/>
        </w:rPr>
        <w:t xml:space="preserve"> jurídica</w:t>
      </w:r>
      <w:r w:rsidR="00D42999" w:rsidRPr="002A2450">
        <w:rPr>
          <w:rFonts w:ascii="ITC Avant Garde" w:hAnsi="ITC Avant Garde"/>
        </w:rPr>
        <w:t>s</w:t>
      </w:r>
      <w:r w:rsidRPr="002A2450">
        <w:rPr>
          <w:rFonts w:ascii="ITC Avant Garde" w:hAnsi="ITC Avant Garde"/>
        </w:rPr>
        <w:t>, económica</w:t>
      </w:r>
      <w:r w:rsidR="00D42999" w:rsidRPr="002A2450">
        <w:rPr>
          <w:rFonts w:ascii="ITC Avant Garde" w:hAnsi="ITC Avant Garde"/>
        </w:rPr>
        <w:t>s</w:t>
      </w:r>
      <w:r w:rsidRPr="002A2450">
        <w:rPr>
          <w:rFonts w:ascii="ITC Avant Garde" w:hAnsi="ITC Avant Garde"/>
        </w:rPr>
        <w:t xml:space="preserve"> o técnica</w:t>
      </w:r>
      <w:r w:rsidR="00D42999" w:rsidRPr="002A2450">
        <w:rPr>
          <w:rFonts w:ascii="ITC Avant Garde" w:hAnsi="ITC Avant Garde"/>
        </w:rPr>
        <w:t>s</w:t>
      </w:r>
      <w:r w:rsidRPr="002A2450">
        <w:rPr>
          <w:rFonts w:ascii="ITC Avant Garde" w:hAnsi="ITC Avant Garde"/>
        </w:rPr>
        <w:t xml:space="preserve"> que le permita evidenciar la falta de un interés conjunto sobre la explotación del servicio de </w:t>
      </w:r>
      <w:r w:rsidRPr="002A2450">
        <w:rPr>
          <w:rFonts w:ascii="ITC Avant Garde" w:hAnsi="ITC Avant Garde"/>
          <w:b/>
        </w:rPr>
        <w:t xml:space="preserve">“DTH” </w:t>
      </w:r>
      <w:r w:rsidRPr="002A2450">
        <w:rPr>
          <w:rFonts w:ascii="ITC Avant Garde" w:hAnsi="ITC Avant Garde"/>
        </w:rPr>
        <w:t>en México.</w:t>
      </w:r>
    </w:p>
    <w:p w14:paraId="681D1EA3"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lastRenderedPageBreak/>
        <w:t xml:space="preserve">De las constancias que obran en los autos del expediente en que se actúa, contrario a lo manifestado por </w:t>
      </w:r>
      <w:r w:rsidRPr="002A2450">
        <w:rPr>
          <w:rFonts w:ascii="ITC Avant Garde" w:hAnsi="ITC Avant Garde"/>
          <w:b/>
        </w:rPr>
        <w:t>“TELMEX”</w:t>
      </w:r>
      <w:r w:rsidRPr="002A2450">
        <w:rPr>
          <w:rFonts w:ascii="ITC Avant Garde" w:hAnsi="ITC Avant Garde"/>
        </w:rPr>
        <w:t xml:space="preserve"> se advierte claramente la intención de celebrar los respectivos contratos e incluso, más allá, la posibilidad de tener una opción de compra respecto del capital social de </w:t>
      </w:r>
      <w:r w:rsidRPr="002A2450">
        <w:rPr>
          <w:rFonts w:ascii="ITC Avant Garde" w:hAnsi="ITC Avant Garde"/>
          <w:b/>
        </w:rPr>
        <w:t>“DISH MÉXICO”</w:t>
      </w:r>
      <w:r w:rsidRPr="002A2450">
        <w:rPr>
          <w:rFonts w:ascii="ITC Avant Garde" w:hAnsi="ITC Avant Garde"/>
        </w:rPr>
        <w:t xml:space="preserve">, por lo que dicho argumento </w:t>
      </w:r>
      <w:r w:rsidR="007F28AD" w:rsidRPr="002A2450">
        <w:rPr>
          <w:rFonts w:ascii="ITC Avant Garde" w:hAnsi="ITC Avant Garde"/>
        </w:rPr>
        <w:t xml:space="preserve">además </w:t>
      </w:r>
      <w:r w:rsidRPr="002A2450">
        <w:rPr>
          <w:rFonts w:ascii="ITC Avant Garde" w:hAnsi="ITC Avant Garde"/>
        </w:rPr>
        <w:t xml:space="preserve">de no desvirtuar la conducta materia del presente procedimiento </w:t>
      </w:r>
      <w:r w:rsidR="007F28AD" w:rsidRPr="002A2450">
        <w:rPr>
          <w:rFonts w:ascii="ITC Avant Garde" w:hAnsi="ITC Avant Garde"/>
        </w:rPr>
        <w:t>carece de tod</w:t>
      </w:r>
      <w:r w:rsidR="00D42999" w:rsidRPr="002A2450">
        <w:rPr>
          <w:rFonts w:ascii="ITC Avant Garde" w:hAnsi="ITC Avant Garde"/>
        </w:rPr>
        <w:t>o</w:t>
      </w:r>
      <w:r w:rsidR="007F28AD" w:rsidRPr="002A2450">
        <w:rPr>
          <w:rFonts w:ascii="ITC Avant Garde" w:hAnsi="ITC Avant Garde"/>
        </w:rPr>
        <w:t xml:space="preserve"> </w:t>
      </w:r>
      <w:r w:rsidR="00D42999" w:rsidRPr="002A2450">
        <w:rPr>
          <w:rFonts w:ascii="ITC Avant Garde" w:hAnsi="ITC Avant Garde"/>
        </w:rPr>
        <w:t>fundamento</w:t>
      </w:r>
      <w:r w:rsidR="007F28AD" w:rsidRPr="002A2450">
        <w:rPr>
          <w:rFonts w:ascii="ITC Avant Garde" w:hAnsi="ITC Avant Garde"/>
        </w:rPr>
        <w:t xml:space="preserve">, ya que </w:t>
      </w:r>
      <w:r w:rsidRPr="002A2450">
        <w:rPr>
          <w:rFonts w:ascii="ITC Avant Garde" w:hAnsi="ITC Avant Garde"/>
        </w:rPr>
        <w:t xml:space="preserve">no señala cuál es entonces la intención que tuvo </w:t>
      </w:r>
      <w:r w:rsidRPr="002A2450">
        <w:rPr>
          <w:rFonts w:ascii="ITC Avant Garde" w:hAnsi="ITC Avant Garde"/>
          <w:b/>
        </w:rPr>
        <w:t xml:space="preserve">“TELMEX” </w:t>
      </w:r>
      <w:r w:rsidRPr="002A2450">
        <w:rPr>
          <w:rFonts w:ascii="ITC Avant Garde" w:hAnsi="ITC Avant Garde"/>
        </w:rPr>
        <w:t>para la celebración de los contratos.</w:t>
      </w:r>
    </w:p>
    <w:p w14:paraId="25170ADB"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 xml:space="preserve">Así las cosas, aun considerando que la serie de contratos celebrados por </w:t>
      </w:r>
      <w:r w:rsidRPr="002A2450">
        <w:rPr>
          <w:rFonts w:ascii="ITC Avant Garde" w:hAnsi="ITC Avant Garde"/>
          <w:b/>
        </w:rPr>
        <w:t xml:space="preserve">“TELMEX” </w:t>
      </w:r>
      <w:r w:rsidRPr="002A2450">
        <w:rPr>
          <w:rFonts w:ascii="ITC Avant Garde" w:hAnsi="ITC Avant Garde"/>
        </w:rPr>
        <w:t xml:space="preserve">y diversas empresas del </w:t>
      </w:r>
      <w:r w:rsidRPr="002A2450">
        <w:rPr>
          <w:rFonts w:ascii="ITC Avant Garde" w:hAnsi="ITC Avant Garde"/>
          <w:i/>
        </w:rPr>
        <w:t xml:space="preserve">“Grupo MVS” </w:t>
      </w:r>
      <w:r w:rsidRPr="002A2450">
        <w:rPr>
          <w:rFonts w:ascii="ITC Avant Garde" w:hAnsi="ITC Avant Garde"/>
        </w:rPr>
        <w:t xml:space="preserve">no derivan de un interés común, la misma también es omisa en manifestar cual es el elemento que lo llevó a celebrar dicha alianza estratégica, de ahí que sus argumentos sólo sean meras manifestaciones de hecho sin que puedan desvirtuar la conducta materia del presente procedimiento. </w:t>
      </w:r>
    </w:p>
    <w:p w14:paraId="57F5E617" w14:textId="77777777" w:rsidR="00B35F13" w:rsidRDefault="005710AC" w:rsidP="00B35F13">
      <w:pPr>
        <w:spacing w:before="240" w:line="360" w:lineRule="auto"/>
        <w:ind w:right="567"/>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manifiesta lo siguiente:</w:t>
      </w:r>
    </w:p>
    <w:p w14:paraId="118BFF71"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w:t>
      </w:r>
      <w:proofErr w:type="spellStart"/>
      <w:r w:rsidR="00831D47" w:rsidRPr="002A2450">
        <w:rPr>
          <w:rFonts w:ascii="ITC Avant Garde" w:hAnsi="ITC Avant Garde"/>
          <w:i/>
        </w:rPr>
        <w:t>Teninver</w:t>
      </w:r>
      <w:proofErr w:type="spellEnd"/>
      <w:r w:rsidR="00831D47" w:rsidRPr="002A2450">
        <w:rPr>
          <w:rFonts w:ascii="ITC Avant Garde" w:hAnsi="ITC Avant Garde"/>
          <w:i/>
        </w:rPr>
        <w:t xml:space="preserve"> están sujetos única y exclusivamente a los contratos que tienen firmados, con excepción del que, con motivo del procedimiento previo y que se refiere a lo largo de este ocurso, sea dejado sin efectos.</w:t>
      </w:r>
    </w:p>
    <w:p w14:paraId="3C8CAFD2"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Al respecto, vale la pena recapitular que mediante escrito presentado el diez de septiembre de dos mil quince</w:t>
      </w:r>
      <w:r w:rsidR="002F6358" w:rsidRPr="002A2450">
        <w:rPr>
          <w:rFonts w:ascii="ITC Avant Garde" w:hAnsi="ITC Avant Garde"/>
        </w:rPr>
        <w:t>, tal y como quedó señalado en el Resultando Tercero de la presente Resolución</w:t>
      </w:r>
      <w:r w:rsidRPr="002A2450">
        <w:rPr>
          <w:rFonts w:ascii="ITC Avant Garde" w:hAnsi="ITC Avant Garde"/>
        </w:rPr>
        <w:t xml:space="preserve">, </w:t>
      </w:r>
      <w:r w:rsidRPr="002A2450">
        <w:rPr>
          <w:rFonts w:ascii="ITC Avant Garde" w:hAnsi="ITC Avant Garde"/>
          <w:b/>
        </w:rPr>
        <w:t xml:space="preserve">“TELMEX” </w:t>
      </w:r>
      <w:r w:rsidRPr="002A2450">
        <w:rPr>
          <w:rFonts w:ascii="ITC Avant Garde" w:hAnsi="ITC Avant Garde"/>
        </w:rPr>
        <w:t>acompañó</w:t>
      </w:r>
      <w:r w:rsidRPr="002A2450">
        <w:rPr>
          <w:rFonts w:ascii="ITC Avant Garde" w:hAnsi="ITC Avant Garde"/>
          <w:b/>
        </w:rPr>
        <w:t xml:space="preserve"> </w:t>
      </w:r>
      <w:r w:rsidR="007F28AD" w:rsidRPr="002A2450">
        <w:rPr>
          <w:rFonts w:ascii="ITC Avant Garde" w:hAnsi="ITC Avant Garde"/>
        </w:rPr>
        <w:t>copia</w:t>
      </w:r>
      <w:r w:rsidR="007F28AD" w:rsidRPr="002A2450">
        <w:rPr>
          <w:rFonts w:ascii="ITC Avant Garde" w:hAnsi="ITC Avant Garde"/>
          <w:b/>
        </w:rPr>
        <w:t xml:space="preserve"> </w:t>
      </w:r>
      <w:r w:rsidRPr="002A2450">
        <w:rPr>
          <w:rFonts w:ascii="ITC Avant Garde" w:hAnsi="ITC Avant Garde"/>
        </w:rPr>
        <w:t xml:space="preserve">certificada del </w:t>
      </w:r>
      <w:r w:rsidRPr="002A2450">
        <w:rPr>
          <w:rFonts w:ascii="ITC Avant Garde" w:hAnsi="ITC Avant Garde"/>
          <w:b/>
          <w:i/>
        </w:rPr>
        <w:t>CONVENIO DE TERMINACIÓN AL CONTRATO DE OPCIÓN DE COMPRA Y VENTA Y AL CONTRATO DE CON</w:t>
      </w:r>
      <w:r w:rsidR="00F46F2A" w:rsidRPr="002A2450">
        <w:rPr>
          <w:rFonts w:ascii="ITC Avant Garde" w:hAnsi="ITC Avant Garde"/>
          <w:b/>
          <w:i/>
        </w:rPr>
        <w:t>S</w:t>
      </w:r>
      <w:r w:rsidRPr="002A2450">
        <w:rPr>
          <w:rFonts w:ascii="ITC Avant Garde" w:hAnsi="ITC Avant Garde"/>
          <w:b/>
          <w:i/>
        </w:rPr>
        <w:t>ECUENCIAS</w:t>
      </w:r>
      <w:r w:rsidR="002F6358" w:rsidRPr="002A2450">
        <w:rPr>
          <w:rFonts w:ascii="ITC Avant Garde" w:hAnsi="ITC Avant Garde"/>
          <w:b/>
          <w:i/>
        </w:rPr>
        <w:t xml:space="preserve"> </w:t>
      </w:r>
      <w:r w:rsidR="002F6358" w:rsidRPr="002A2450">
        <w:rPr>
          <w:rFonts w:ascii="ITC Avant Garde" w:hAnsi="ITC Avant Garde"/>
        </w:rPr>
        <w:t>(mismo que obra a fojas dos mil ciento diecinueve a dos mil ciento veintiuno)</w:t>
      </w:r>
      <w:r w:rsidR="0061074D" w:rsidRPr="002A2450">
        <w:rPr>
          <w:rFonts w:ascii="ITC Avant Garde" w:hAnsi="ITC Avant Garde"/>
          <w:b/>
        </w:rPr>
        <w:t xml:space="preserve">, </w:t>
      </w:r>
      <w:r w:rsidR="0061074D" w:rsidRPr="002A2450">
        <w:rPr>
          <w:rFonts w:ascii="ITC Avant Garde" w:hAnsi="ITC Avant Garde"/>
        </w:rPr>
        <w:t xml:space="preserve">el cual en términos de los artículos 197 y 202 del </w:t>
      </w:r>
      <w:r w:rsidR="0061074D" w:rsidRPr="002A2450">
        <w:rPr>
          <w:rFonts w:ascii="ITC Avant Garde" w:hAnsi="ITC Avant Garde"/>
          <w:b/>
        </w:rPr>
        <w:t>“CFPC”</w:t>
      </w:r>
      <w:r w:rsidR="0061074D" w:rsidRPr="002A2450">
        <w:rPr>
          <w:rFonts w:ascii="ITC Avant Garde" w:hAnsi="ITC Avant Garde"/>
        </w:rPr>
        <w:t xml:space="preserve"> de aplicación supletoria en términos del artículo 6, fracción IV de la </w:t>
      </w:r>
      <w:r w:rsidR="0061074D" w:rsidRPr="002A2450">
        <w:rPr>
          <w:rFonts w:ascii="ITC Avant Garde" w:hAnsi="ITC Avant Garde"/>
          <w:b/>
        </w:rPr>
        <w:t>“</w:t>
      </w:r>
      <w:proofErr w:type="spellStart"/>
      <w:r w:rsidR="0061074D" w:rsidRPr="002A2450">
        <w:rPr>
          <w:rFonts w:ascii="ITC Avant Garde" w:hAnsi="ITC Avant Garde"/>
          <w:b/>
        </w:rPr>
        <w:t>LFTyR</w:t>
      </w:r>
      <w:proofErr w:type="spellEnd"/>
      <w:r w:rsidR="0061074D" w:rsidRPr="002A2450">
        <w:rPr>
          <w:rFonts w:ascii="ITC Avant Garde" w:hAnsi="ITC Avant Garde"/>
          <w:b/>
        </w:rPr>
        <w:t>”</w:t>
      </w:r>
      <w:r w:rsidR="0061074D" w:rsidRPr="002A2450">
        <w:rPr>
          <w:rFonts w:ascii="ITC Avant Garde" w:hAnsi="ITC Avant Garde"/>
        </w:rPr>
        <w:t xml:space="preserve"> es prueba plena de su suscripción en los términos en que el mismo fue emitido toda vez que el mismo obra en copia certificada en los autos del expediente en que se actúa.</w:t>
      </w:r>
    </w:p>
    <w:p w14:paraId="072832DA" w14:textId="77777777" w:rsidR="00B35F13" w:rsidRDefault="0061074D" w:rsidP="00B35F13">
      <w:pPr>
        <w:spacing w:before="240" w:line="360" w:lineRule="auto"/>
        <w:jc w:val="both"/>
        <w:rPr>
          <w:rFonts w:ascii="ITC Avant Garde" w:hAnsi="ITC Avant Garde"/>
        </w:rPr>
      </w:pPr>
      <w:r w:rsidRPr="002A2450">
        <w:rPr>
          <w:rFonts w:ascii="ITC Avant Garde" w:hAnsi="ITC Avant Garde"/>
        </w:rPr>
        <w:lastRenderedPageBreak/>
        <w:t xml:space="preserve">Ahora bien, en dicho </w:t>
      </w:r>
      <w:r w:rsidR="005710AC" w:rsidRPr="002A2450">
        <w:rPr>
          <w:rFonts w:ascii="ITC Avant Garde" w:hAnsi="ITC Avant Garde"/>
        </w:rPr>
        <w:t>escrito, más allá de desvirtuar la conducta que se le imputa, sólo corrobora la existencia de los contratos celebrados (opción de compra y venta y convenio de consecuencias), su vigencia y efectos, así como la terminación de los mismos.</w:t>
      </w:r>
    </w:p>
    <w:p w14:paraId="52D7E015"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 xml:space="preserve">Por tanto, resulta innegable que durante </w:t>
      </w:r>
      <w:r w:rsidR="00506E03" w:rsidRPr="002A2450">
        <w:rPr>
          <w:rFonts w:ascii="ITC Avant Garde" w:hAnsi="ITC Avant Garde"/>
        </w:rPr>
        <w:t>la</w:t>
      </w:r>
      <w:r w:rsidRPr="002A2450">
        <w:rPr>
          <w:rFonts w:ascii="ITC Avant Garde" w:hAnsi="ITC Avant Garde"/>
        </w:rPr>
        <w:t xml:space="preserve"> vigencia de esos contratos, se llevaron a cabo las acciones </w:t>
      </w:r>
      <w:r w:rsidR="00506E03" w:rsidRPr="002A2450">
        <w:rPr>
          <w:rFonts w:ascii="ITC Avant Garde" w:hAnsi="ITC Avant Garde"/>
        </w:rPr>
        <w:t>a efecto de implementar los mismos</w:t>
      </w:r>
      <w:r w:rsidRPr="002A2450">
        <w:rPr>
          <w:rFonts w:ascii="ITC Avant Garde" w:hAnsi="ITC Avant Garde"/>
        </w:rPr>
        <w:t>, puesto que de las constancias que obran en el presente expediente no se advierta que exista acción alguna en el que las partes hayan solicitado el cumplimiento de una obligación a su cargo, la exigencia de dar cumplimiento a cualquiera de las obligaciones relacionadas con los contratos y/o haber sido requerida por parte de autoridad jurisdiccional competente el cumplimiento de alguna de sus obligaciones, de ahí la presunción de la vigencia y aplicabilidad de dichos contratos a las empresas que intervinieron.</w:t>
      </w:r>
    </w:p>
    <w:p w14:paraId="5DA6F93E" w14:textId="77777777" w:rsidR="00B35F13" w:rsidRDefault="005710AC" w:rsidP="00B35F13">
      <w:pPr>
        <w:spacing w:before="240" w:line="360" w:lineRule="auto"/>
        <w:jc w:val="both"/>
        <w:rPr>
          <w:rFonts w:ascii="ITC Avant Garde" w:hAnsi="ITC Avant Garde"/>
        </w:rPr>
      </w:pPr>
      <w:r w:rsidRPr="002A2450">
        <w:rPr>
          <w:rFonts w:ascii="ITC Avant Garde" w:hAnsi="ITC Avant Garde"/>
        </w:rPr>
        <w:t xml:space="preserve">Sin embargo, pese a lo señalado por </w:t>
      </w:r>
      <w:r w:rsidRPr="002A2450">
        <w:rPr>
          <w:rFonts w:ascii="ITC Avant Garde" w:hAnsi="ITC Avant Garde"/>
          <w:b/>
        </w:rPr>
        <w:t>“TELMEX”</w:t>
      </w:r>
      <w:r w:rsidRPr="002A2450">
        <w:rPr>
          <w:rFonts w:ascii="ITC Avant Garde" w:hAnsi="ITC Avant Garde"/>
        </w:rPr>
        <w:t xml:space="preserve"> la terminación de dichos contratos no son manifestaciones respecto de las cuales pueda desvirtuar el presunto incumplimiento materia del presente procedimiento</w:t>
      </w:r>
      <w:r w:rsidR="007F28AD" w:rsidRPr="002A2450">
        <w:rPr>
          <w:rFonts w:ascii="ITC Avant Garde" w:hAnsi="ITC Avant Garde"/>
        </w:rPr>
        <w:t>, ya que en todo caso lo único que acreditan es que a partir de su terminación, dejaron de ser exigibles las obligaciones contenidas en los mismos</w:t>
      </w:r>
      <w:r w:rsidRPr="002A2450">
        <w:rPr>
          <w:rFonts w:ascii="ITC Avant Garde" w:hAnsi="ITC Avant Garde"/>
        </w:rPr>
        <w:t xml:space="preserve">. </w:t>
      </w:r>
    </w:p>
    <w:p w14:paraId="55689D09"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 xml:space="preserve">“TELMEX” </w:t>
      </w:r>
      <w:r w:rsidRPr="002A2450">
        <w:rPr>
          <w:rFonts w:ascii="ITC Avant Garde" w:hAnsi="ITC Avant Garde"/>
        </w:rPr>
        <w:t>lo siguiente:</w:t>
      </w:r>
    </w:p>
    <w:p w14:paraId="7A86FC7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conoce cuáles son las características de la Primera Sala de la Suprema Corte de Justicia de la Nación que ha identificado el concepto de influencia decisiva o control sobre otro agente económico.</w:t>
      </w:r>
    </w:p>
    <w:p w14:paraId="45C046A3"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controla ni ejerce influencia decisiva sobre actividades para log</w:t>
      </w:r>
      <w:r w:rsidR="002F6358" w:rsidRPr="002A2450">
        <w:rPr>
          <w:rFonts w:ascii="ITC Avant Garde" w:hAnsi="ITC Avant Garde"/>
          <w:i/>
        </w:rPr>
        <w:t>r</w:t>
      </w:r>
      <w:r w:rsidR="00831D47" w:rsidRPr="002A2450">
        <w:rPr>
          <w:rFonts w:ascii="ITC Avant Garde" w:hAnsi="ITC Avant Garde"/>
          <w:i/>
        </w:rPr>
        <w:t xml:space="preserve">ar un determinado fin común, no tiene elementos de control, autonomía y comportamiento, no coordina actividades, no tiene facultad de dirigir y administrar a </w:t>
      </w:r>
      <w:proofErr w:type="spellStart"/>
      <w:r w:rsidR="00831D47" w:rsidRPr="002A2450">
        <w:rPr>
          <w:rFonts w:ascii="ITC Avant Garde" w:hAnsi="ITC Avant Garde"/>
          <w:i/>
        </w:rPr>
        <w:t>Cofresa</w:t>
      </w:r>
      <w:proofErr w:type="spellEnd"/>
      <w:r w:rsidR="00831D47" w:rsidRPr="002A2450">
        <w:rPr>
          <w:rFonts w:ascii="ITC Avant Garde" w:hAnsi="ITC Avant Garde"/>
          <w:i/>
        </w:rPr>
        <w:t xml:space="preserve"> en virtud de un contrato en </w:t>
      </w:r>
      <w:r w:rsidR="00831D47" w:rsidRPr="002A2450">
        <w:rPr>
          <w:rFonts w:ascii="ITC Avant Garde" w:hAnsi="ITC Avant Garde"/>
          <w:i/>
        </w:rPr>
        <w:lastRenderedPageBreak/>
        <w:t>específico, por lo que no puede influir en la operación y explotación de los servicios de telecomunicaciones.</w:t>
      </w:r>
    </w:p>
    <w:p w14:paraId="720AC8C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Los ingresos de </w:t>
      </w:r>
      <w:proofErr w:type="spellStart"/>
      <w:r w:rsidRPr="002A2450">
        <w:rPr>
          <w:rFonts w:ascii="ITC Avant Garde" w:hAnsi="ITC Avant Garde"/>
          <w:i/>
        </w:rPr>
        <w:t>Cofresa</w:t>
      </w:r>
      <w:proofErr w:type="spellEnd"/>
      <w:r w:rsidRPr="002A2450">
        <w:rPr>
          <w:rFonts w:ascii="ITC Avant Garde" w:hAnsi="ITC Avant Garde"/>
          <w:i/>
        </w:rPr>
        <w:t xml:space="preserve"> no dependen de la venta de los productos de </w:t>
      </w:r>
      <w:r w:rsidR="005B601B" w:rsidRPr="002A2450">
        <w:rPr>
          <w:rFonts w:ascii="ITC Avant Garde" w:hAnsi="ITC Avant Garde"/>
          <w:b/>
          <w:i/>
        </w:rPr>
        <w:t>“TELMEX”</w:t>
      </w:r>
      <w:r w:rsidRPr="002A2450">
        <w:rPr>
          <w:rFonts w:ascii="ITC Avant Garde" w:hAnsi="ITC Avant Garde"/>
          <w:i/>
        </w:rPr>
        <w:t xml:space="preserve">, ni </w:t>
      </w:r>
      <w:r w:rsidR="005B601B" w:rsidRPr="002A2450">
        <w:rPr>
          <w:rFonts w:ascii="ITC Avant Garde" w:hAnsi="ITC Avant Garde"/>
          <w:b/>
          <w:i/>
        </w:rPr>
        <w:t>“TELMEX”</w:t>
      </w:r>
      <w:r w:rsidRPr="002A2450">
        <w:rPr>
          <w:rFonts w:ascii="ITC Avant Garde" w:hAnsi="ITC Avant Garde"/>
          <w:i/>
        </w:rPr>
        <w:t xml:space="preserve"> tiene la capacidad o derecho de designar la mayoría de los miembros del consejo de administración, ni existe la capacidad de designar director, gerente o factor principal, ni tiene vínculos de parentesco consanguíneo o afinidad con socios, consejeros o directores de dicha empresa.</w:t>
      </w:r>
    </w:p>
    <w:p w14:paraId="0FF5C97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Esta Unidad de Cumplimiento afirma que en realidad se trata de un control o influencia decisiva, sin que acredite la existencia de algún documento vigente en el que esté establecida dicha circunstancia.</w:t>
      </w:r>
    </w:p>
    <w:p w14:paraId="11FA97E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sentencia dictada por la Primera Sala de la Suprema Corte de Justicia de la Nación hace referencia a los casos en lo</w:t>
      </w:r>
      <w:r w:rsidR="007F28AD" w:rsidRPr="002A2450">
        <w:rPr>
          <w:rFonts w:ascii="ITC Avant Garde" w:hAnsi="ITC Avant Garde"/>
          <w:i/>
        </w:rPr>
        <w:t>s</w:t>
      </w:r>
      <w:r w:rsidRPr="002A2450">
        <w:rPr>
          <w:rFonts w:ascii="ITC Avant Garde" w:hAnsi="ITC Avant Garde"/>
          <w:i/>
        </w:rPr>
        <w:t xml:space="preserve"> que ningún socio tiene mayoría absoluta, pero un socio minoritario puede obtener la mayoría de los votos presentes dado el nivel de asistencia, la oposición de otros accionistas y el interés financiero, se parte siempre de la base de que se trata de socios de la empresa o de aquellas personas que ejercen derechos de voto. </w:t>
      </w:r>
    </w:p>
    <w:p w14:paraId="5657FD0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consecuencia, para determinar si existe un control o influencia decisiva susceptible de ser adquirida, debe atenderse estos elementos en atención a la proporción o participación accionaria de la que dispone. Alternativamente dos socios pueden tener un control conjunto.</w:t>
      </w:r>
    </w:p>
    <w:p w14:paraId="34CED88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Si no puede determinarse lo anterior, entonces se puede llegar a determinar un poder de facto por criterios indirectos.</w:t>
      </w:r>
    </w:p>
    <w:p w14:paraId="2DBAE8F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tanto, si un socio ejerce el control o influencia decisiva de una sociedad a virtud de su tenencia accionaria o bien, dos socios ejercen </w:t>
      </w:r>
      <w:r w:rsidRPr="002A2450">
        <w:rPr>
          <w:rFonts w:ascii="ITC Avant Garde" w:hAnsi="ITC Avant Garde"/>
          <w:i/>
        </w:rPr>
        <w:lastRenderedPageBreak/>
        <w:t>el control conjunto no puede atribuirse el control o influencia decisiva de esa misma sociedad a un tercero.</w:t>
      </w:r>
    </w:p>
    <w:p w14:paraId="42323BF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teoría reconoce también el control o influencia decisiva en conjunto cuando se requiere necesariamente del voto favorable de dos socios para que se puedan aprobar resoluciones que determinen las resoluciones importantes de negocios de la sociedad. </w:t>
      </w:r>
    </w:p>
    <w:p w14:paraId="07FC0BB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Ante la ausencia de una definición formal para establecer que se entiende por adquirir influencia decisiva o control de un agente económico, el órgano debió buscar en otras disposiciones el alcance y en contenido.</w:t>
      </w:r>
    </w:p>
    <w:p w14:paraId="58DE3C3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todo caso, desde un punto de vista lógico, control es la posibilidad que tiene otra persona de tomar decisiones fundamentales de negocios.</w:t>
      </w:r>
    </w:p>
    <w:p w14:paraId="3CB32F1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una sociedad anónima, quien tiene en principio la facultad de decisión es aquel propietario de la mayoría de las acciones. Dicho control o influencia decisiva los ejercen desde el momento que se constituye la sociedad y se aprueban sus estatutos, o bien aprobando acuerdos en las asambleas generales de accionistas.</w:t>
      </w:r>
    </w:p>
    <w:p w14:paraId="521D236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control o influencia decisiva indirecta se ejercer por conducto de una sociedad de que la que se tenga la titularidad de las acciones, esencialmente conforme al control mismo previamente descrito.</w:t>
      </w:r>
    </w:p>
    <w:p w14:paraId="5D27E4E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Si esa Unidad de Cumplimiento consideró que no existía en nuestro ordenamiento jurídico una norma aplicable a la figura de control o influencia decisiva pudo haber recurrido a las normas específicas o a las sentencias emitidas en otros sistemas jurídicos.</w:t>
      </w:r>
    </w:p>
    <w:p w14:paraId="1F7A9CE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El Reglamento 139/2014 del Consejo de la Comunidad Europea (hoy Consejo de la Unión Europea) señala que se confiere la posibilidad de </w:t>
      </w:r>
      <w:r w:rsidRPr="002A2450">
        <w:rPr>
          <w:rFonts w:ascii="ITC Avant Garde" w:hAnsi="ITC Avant Garde"/>
          <w:i/>
        </w:rPr>
        <w:lastRenderedPageBreak/>
        <w:t>una influencia decisiva: derechos de propiedad o de uso de la totalidad o de una parte de los activos de una empresa; influir decisivamente sobre la composición, las deliberaciones o las decisiones de los órganos de una empresa y, se entenderá por control a quienes sean titulares de esos derechos o beneficiarios de esos contratos.</w:t>
      </w:r>
    </w:p>
    <w:p w14:paraId="19AD3A7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la medida que la empresa adquiere derechos que afecten la estrategia comercial y el detalle del manejo financiero de la empresa controlada, debe considerarse los derechos de los otros accionistas para determinar si se ejerce control o influencia decisiva sobre la empresa supuestamente controlada.</w:t>
      </w:r>
    </w:p>
    <w:p w14:paraId="692B849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alcance al concepto de influencia decisiva, los Tribunales Europeos ha determinado en qué casos se puede establecer que hay influencia decisiva como sinónimo de adquisición de control.</w:t>
      </w:r>
    </w:p>
    <w:p w14:paraId="5DB38AD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nuestro país la Ley del Mercado de Valores señala que quien tenga la titularidad de derechos que permitan, directa o indirectamente, ejercer el voto respecto de cuando menos el 20% del capital social de una persona moral.</w:t>
      </w:r>
    </w:p>
    <w:p w14:paraId="6E15C90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Como puede apreciarse la adquisición o control de influencia decisiva a que se refiere la Ley del Mercado de Valores, la sentencia del amparo en revisión 169/2007 y el Reglamento Comunitario de Concentraciones de la Unión Europea, coinciden con las leyes de sociedades mercantiles en sus puntos esenciales. </w:t>
      </w:r>
    </w:p>
    <w:p w14:paraId="25D2F0C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lo que resulta evidente que esa Unidad de Cumplimiento no ha </w:t>
      </w:r>
      <w:r w:rsidR="004F4897" w:rsidRPr="002A2450">
        <w:rPr>
          <w:rFonts w:ascii="ITC Avant Garde" w:hAnsi="ITC Avant Garde"/>
          <w:i/>
        </w:rPr>
        <w:t>a</w:t>
      </w:r>
      <w:r w:rsidRPr="002A2450">
        <w:rPr>
          <w:rFonts w:ascii="ITC Avant Garde" w:hAnsi="ITC Avant Garde"/>
          <w:i/>
        </w:rPr>
        <w:t xml:space="preserve">tendido de estas normas jurídicas y mal interpretó el criterio de la Suprema Corte de Justicia de la Nación pretendiendo que el concepto de control o influencia decisiva es de apreciación libre y que en </w:t>
      </w:r>
      <w:r w:rsidRPr="002A2450">
        <w:rPr>
          <w:rFonts w:ascii="ITC Avant Garde" w:hAnsi="ITC Avant Garde"/>
          <w:i/>
        </w:rPr>
        <w:lastRenderedPageBreak/>
        <w:t>consecuencia se puede ignorar tanto los aspectos económicos y legales.</w:t>
      </w:r>
    </w:p>
    <w:p w14:paraId="4474576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otro lado, se pretende acreditar un supuesto control o influencia decisiva en el que participa </w:t>
      </w:r>
      <w:r w:rsidR="005B601B" w:rsidRPr="002A2450">
        <w:rPr>
          <w:rFonts w:ascii="ITC Avant Garde" w:hAnsi="ITC Avant Garde"/>
          <w:b/>
          <w:i/>
        </w:rPr>
        <w:t>“TELMEX”</w:t>
      </w:r>
      <w:r w:rsidRPr="002A2450">
        <w:rPr>
          <w:rFonts w:ascii="ITC Avant Garde" w:hAnsi="ITC Avant Garde"/>
          <w:i/>
        </w:rPr>
        <w:t xml:space="preserve"> de la sociedad </w:t>
      </w:r>
      <w:proofErr w:type="spellStart"/>
      <w:r w:rsidRPr="002A2450">
        <w:rPr>
          <w:rFonts w:ascii="ITC Avant Garde" w:hAnsi="ITC Avant Garde"/>
          <w:i/>
        </w:rPr>
        <w:t>Cofresa</w:t>
      </w:r>
      <w:proofErr w:type="spellEnd"/>
      <w:r w:rsidRPr="002A2450">
        <w:rPr>
          <w:rFonts w:ascii="ITC Avant Garde" w:hAnsi="ITC Avant Garde"/>
          <w:i/>
        </w:rPr>
        <w:t xml:space="preserve"> partiendo de una serie de supuestos que de ninguna manera justifican el extremo que la autoridad pretende probar y además carece de congruencia.</w:t>
      </w:r>
    </w:p>
    <w:p w14:paraId="38D12F9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Es preciso reiterar que </w:t>
      </w:r>
      <w:r w:rsidR="005B601B" w:rsidRPr="002A2450">
        <w:rPr>
          <w:rFonts w:ascii="ITC Avant Garde" w:hAnsi="ITC Avant Garde"/>
          <w:b/>
          <w:i/>
        </w:rPr>
        <w:t>“TELMEX”</w:t>
      </w:r>
      <w:r w:rsidRPr="002A2450">
        <w:rPr>
          <w:rFonts w:ascii="ITC Avant Garde" w:hAnsi="ITC Avant Garde"/>
          <w:i/>
        </w:rPr>
        <w:t xml:space="preserve"> no ha adquirido acciones de </w:t>
      </w:r>
      <w:proofErr w:type="spellStart"/>
      <w:r w:rsidRPr="002A2450">
        <w:rPr>
          <w:rFonts w:ascii="ITC Avant Garde" w:hAnsi="ITC Avant Garde"/>
          <w:i/>
        </w:rPr>
        <w:t>Cofresa</w:t>
      </w:r>
      <w:proofErr w:type="spellEnd"/>
      <w:r w:rsidRPr="002A2450">
        <w:rPr>
          <w:rFonts w:ascii="ITC Avant Garde" w:hAnsi="ITC Avant Garde"/>
          <w:i/>
        </w:rPr>
        <w:t xml:space="preserve">, por lo que no puede de iure ni de hecho determinar las principales decisiones de negocio. </w:t>
      </w:r>
    </w:p>
    <w:p w14:paraId="4B30EBEE"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Dichas manifestaciones resulta </w:t>
      </w:r>
      <w:r w:rsidRPr="002A2450">
        <w:rPr>
          <w:rFonts w:ascii="ITC Avant Garde" w:hAnsi="ITC Avant Garde"/>
          <w:b/>
          <w:u w:val="single"/>
        </w:rPr>
        <w:t>insuficientes</w:t>
      </w:r>
      <w:r w:rsidRPr="002A2450">
        <w:rPr>
          <w:rFonts w:ascii="ITC Avant Garde" w:hAnsi="ITC Avant Garde"/>
          <w:b/>
        </w:rPr>
        <w:t xml:space="preserve"> </w:t>
      </w:r>
      <w:r w:rsidRPr="002A2450">
        <w:rPr>
          <w:rFonts w:ascii="ITC Avant Garde" w:hAnsi="ITC Avant Garde"/>
        </w:rPr>
        <w:t>para desvirtuar la conducta materia del presente procedimiento de acuerdo a las siguientes consideraciones:</w:t>
      </w:r>
    </w:p>
    <w:p w14:paraId="2D9C1719"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En primer lugar, debe reiterarse a </w:t>
      </w:r>
      <w:r w:rsidRPr="002A2450">
        <w:rPr>
          <w:rFonts w:ascii="ITC Avant Garde" w:hAnsi="ITC Avant Garde"/>
          <w:b/>
        </w:rPr>
        <w:t>“TELMEX”</w:t>
      </w:r>
      <w:r w:rsidRPr="002A2450">
        <w:rPr>
          <w:rFonts w:ascii="ITC Avant Garde" w:hAnsi="ITC Avant Garde"/>
        </w:rPr>
        <w:t xml:space="preserve"> que no es </w:t>
      </w:r>
      <w:r w:rsidR="00506E03" w:rsidRPr="002A2450">
        <w:rPr>
          <w:rFonts w:ascii="ITC Avant Garde" w:hAnsi="ITC Avant Garde"/>
        </w:rPr>
        <w:t xml:space="preserve">materia </w:t>
      </w:r>
      <w:r w:rsidRPr="002A2450">
        <w:rPr>
          <w:rFonts w:ascii="ITC Avant Garde" w:hAnsi="ITC Avant Garde"/>
        </w:rPr>
        <w:t>de</w:t>
      </w:r>
      <w:r w:rsidR="007F28AD" w:rsidRPr="002A2450">
        <w:rPr>
          <w:rFonts w:ascii="ITC Avant Garde" w:hAnsi="ITC Avant Garde"/>
        </w:rPr>
        <w:t>l</w:t>
      </w:r>
      <w:r w:rsidRPr="002A2450">
        <w:rPr>
          <w:rFonts w:ascii="ITC Avant Garde" w:hAnsi="ITC Avant Garde"/>
        </w:rPr>
        <w:t xml:space="preserve"> presente procedimiento determinar si existe un control o influencia significativa respecto de </w:t>
      </w:r>
      <w:r w:rsidRPr="002A2450">
        <w:rPr>
          <w:rFonts w:ascii="ITC Avant Garde" w:hAnsi="ITC Avant Garde"/>
          <w:b/>
        </w:rPr>
        <w:t>“DISH MÉXICO”</w:t>
      </w:r>
      <w:r w:rsidRPr="002A2450">
        <w:rPr>
          <w:rFonts w:ascii="ITC Avant Garde" w:hAnsi="ITC Avant Garde"/>
        </w:rPr>
        <w:t xml:space="preserve"> puesto que como quedó apuntado, ello fue materia del procedimiento resuelto por el Pleno de este instituto el siete de enero de dos mil quince.</w:t>
      </w:r>
    </w:p>
    <w:p w14:paraId="1CEE8F4C"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Por otro lado, debe señalarse que contrario a lo señalado por </w:t>
      </w:r>
      <w:r w:rsidRPr="002A2450">
        <w:rPr>
          <w:rFonts w:ascii="ITC Avant Garde" w:hAnsi="ITC Avant Garde"/>
          <w:b/>
        </w:rPr>
        <w:t>“TELMEX”</w:t>
      </w:r>
      <w:r w:rsidRPr="002A2450">
        <w:rPr>
          <w:rFonts w:ascii="ITC Avant Garde" w:hAnsi="ITC Avant Garde"/>
        </w:rPr>
        <w:t xml:space="preserve">, esta autoridad no desconoce la sentencia dictada por la Primera Sala de la Suprema Corte de Justicia de la Nación, tan es así que precisamente se ha desvinculado de las interpretaciones relacionadas con el control e influencia decisiva materia de dicha ejecutoria, puesto que el análisis a considerar en el presente asunto es determinar si </w:t>
      </w:r>
      <w:r w:rsidRPr="009E68A7">
        <w:rPr>
          <w:rFonts w:ascii="ITC Avant Garde" w:hAnsi="ITC Avant Garde"/>
        </w:rPr>
        <w:t xml:space="preserve">mediante la serie de contratos celebrados por dicha concesionaria, estos le permiten llevar a cabo la </w:t>
      </w:r>
      <w:r w:rsidR="008F718E" w:rsidRPr="009E34A4">
        <w:rPr>
          <w:rFonts w:ascii="ITC Avant Garde" w:hAnsi="ITC Avant Garde"/>
        </w:rPr>
        <w:t xml:space="preserve">explotación indirecta </w:t>
      </w:r>
      <w:r w:rsidRPr="002A2450">
        <w:rPr>
          <w:rFonts w:ascii="ITC Avant Garde" w:hAnsi="ITC Avant Garde"/>
        </w:rPr>
        <w:t>de una concesión para prestar el servicio de televisión en el país, de lo que se sigue que sus manifestaciones no tienden a desvirtua</w:t>
      </w:r>
      <w:r w:rsidR="007F28AD" w:rsidRPr="002A2450">
        <w:rPr>
          <w:rFonts w:ascii="ITC Avant Garde" w:hAnsi="ITC Avant Garde"/>
        </w:rPr>
        <w:t>r</w:t>
      </w:r>
      <w:r w:rsidRPr="002A2450">
        <w:rPr>
          <w:rFonts w:ascii="ITC Avant Garde" w:hAnsi="ITC Avant Garde"/>
        </w:rPr>
        <w:t xml:space="preserve"> c</w:t>
      </w:r>
      <w:r w:rsidR="007F28AD" w:rsidRPr="002A2450">
        <w:rPr>
          <w:rFonts w:ascii="ITC Avant Garde" w:hAnsi="ITC Avant Garde"/>
        </w:rPr>
        <w:t>ó</w:t>
      </w:r>
      <w:r w:rsidRPr="002A2450">
        <w:rPr>
          <w:rFonts w:ascii="ITC Avant Garde" w:hAnsi="ITC Avant Garde"/>
        </w:rPr>
        <w:t xml:space="preserve">mo </w:t>
      </w:r>
      <w:r w:rsidR="007F28AD" w:rsidRPr="002A2450">
        <w:rPr>
          <w:rFonts w:ascii="ITC Avant Garde" w:hAnsi="ITC Avant Garde"/>
        </w:rPr>
        <w:t xml:space="preserve">y en qué medida </w:t>
      </w:r>
      <w:r w:rsidRPr="002A2450">
        <w:rPr>
          <w:rFonts w:ascii="ITC Avant Garde" w:hAnsi="ITC Avant Garde"/>
        </w:rPr>
        <w:t>los contratos y cláusulas señaladas en el acuerdo de inicio</w:t>
      </w:r>
      <w:r w:rsidR="007F28AD" w:rsidRPr="002A2450">
        <w:rPr>
          <w:rFonts w:ascii="ITC Avant Garde" w:hAnsi="ITC Avant Garde"/>
        </w:rPr>
        <w:t>,</w:t>
      </w:r>
      <w:r w:rsidRPr="002A2450">
        <w:rPr>
          <w:rFonts w:ascii="ITC Avant Garde" w:hAnsi="ITC Avant Garde"/>
        </w:rPr>
        <w:t xml:space="preserve"> </w:t>
      </w:r>
      <w:r w:rsidR="00622846" w:rsidRPr="002A2450">
        <w:rPr>
          <w:rFonts w:ascii="ITC Avant Garde" w:hAnsi="ITC Avant Garde"/>
        </w:rPr>
        <w:t xml:space="preserve">efectivamente no le permiten llevar a cabo la </w:t>
      </w:r>
      <w:r w:rsidR="008F718E" w:rsidRPr="009E34A4">
        <w:rPr>
          <w:rFonts w:ascii="ITC Avant Garde" w:hAnsi="ITC Avant Garde"/>
        </w:rPr>
        <w:t xml:space="preserve">explotación indirecta </w:t>
      </w:r>
      <w:r w:rsidR="00622846" w:rsidRPr="002A2450">
        <w:rPr>
          <w:rFonts w:ascii="ITC Avant Garde" w:hAnsi="ITC Avant Garde"/>
        </w:rPr>
        <w:t>presuntamente imputada.</w:t>
      </w:r>
    </w:p>
    <w:p w14:paraId="0E919A5D" w14:textId="77777777" w:rsidR="00B35F13" w:rsidRDefault="00622846" w:rsidP="00B35F13">
      <w:pPr>
        <w:spacing w:before="240" w:line="360" w:lineRule="auto"/>
        <w:jc w:val="both"/>
        <w:rPr>
          <w:rFonts w:ascii="ITC Avant Garde" w:hAnsi="ITC Avant Garde"/>
        </w:rPr>
      </w:pPr>
      <w:r w:rsidRPr="002A2450">
        <w:rPr>
          <w:rFonts w:ascii="ITC Avant Garde" w:hAnsi="ITC Avant Garde"/>
        </w:rPr>
        <w:lastRenderedPageBreak/>
        <w:t xml:space="preserve">Así las cosas, no es la presente instancia y procedimiento para </w:t>
      </w:r>
      <w:r w:rsidR="008A42CA" w:rsidRPr="002A2450">
        <w:rPr>
          <w:rFonts w:ascii="ITC Avant Garde" w:hAnsi="ITC Avant Garde"/>
        </w:rPr>
        <w:t xml:space="preserve">realizar </w:t>
      </w:r>
      <w:r w:rsidRPr="002A2450">
        <w:rPr>
          <w:rFonts w:ascii="ITC Avant Garde" w:hAnsi="ITC Avant Garde"/>
        </w:rPr>
        <w:t>las consideraciones mencionadas a raíz de que precisamente las mismas se tornan en un contexto distinto a la materia</w:t>
      </w:r>
      <w:r w:rsidR="008A42CA" w:rsidRPr="002A2450">
        <w:rPr>
          <w:rFonts w:ascii="ITC Avant Garde" w:hAnsi="ITC Avant Garde"/>
        </w:rPr>
        <w:t xml:space="preserve"> del presente procedimiento, de lo que se sigue que al no formar parte de la </w:t>
      </w:r>
      <w:proofErr w:type="spellStart"/>
      <w:r w:rsidR="008A42CA" w:rsidRPr="002A2450">
        <w:rPr>
          <w:rFonts w:ascii="ITC Avant Garde" w:hAnsi="ITC Avant Garde"/>
        </w:rPr>
        <w:t>litis</w:t>
      </w:r>
      <w:proofErr w:type="spellEnd"/>
      <w:r w:rsidR="008A42CA" w:rsidRPr="002A2450">
        <w:rPr>
          <w:rFonts w:ascii="ITC Avant Garde" w:hAnsi="ITC Avant Garde"/>
        </w:rPr>
        <w:t xml:space="preserve"> planteada las manifestaciones en estudio las mismas resultan insuficientes para desvirtuar la conducta materia del presente procedimiento.</w:t>
      </w:r>
    </w:p>
    <w:p w14:paraId="40557658"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Así las cosa</w:t>
      </w:r>
      <w:r w:rsidR="007F28AD" w:rsidRPr="002A2450">
        <w:rPr>
          <w:rFonts w:ascii="ITC Avant Garde" w:hAnsi="ITC Avant Garde"/>
        </w:rPr>
        <w:t>s</w:t>
      </w:r>
      <w:r w:rsidRPr="002A2450">
        <w:rPr>
          <w:rFonts w:ascii="ITC Avant Garde" w:hAnsi="ITC Avant Garde"/>
        </w:rPr>
        <w:t xml:space="preserve">, no obstante que </w:t>
      </w:r>
      <w:r w:rsidR="00D7502A" w:rsidRPr="002A2450">
        <w:rPr>
          <w:rFonts w:ascii="ITC Avant Garde" w:hAnsi="ITC Avant Garde"/>
        </w:rPr>
        <w:t>la Primera Sala de la Suprema Corte de Justicia de la Nación</w:t>
      </w:r>
      <w:r w:rsidRPr="002A2450">
        <w:rPr>
          <w:rFonts w:ascii="ITC Avant Garde" w:hAnsi="ITC Avant Garde"/>
        </w:rPr>
        <w:t xml:space="preserve"> se haya pronunciado </w:t>
      </w:r>
      <w:r w:rsidR="00D7502A" w:rsidRPr="002A2450">
        <w:rPr>
          <w:rFonts w:ascii="ITC Avant Garde" w:hAnsi="ITC Avant Garde"/>
        </w:rPr>
        <w:t xml:space="preserve">respecto al control o influencia decisiva, </w:t>
      </w:r>
      <w:r w:rsidRPr="002A2450">
        <w:rPr>
          <w:rFonts w:ascii="ITC Avant Garde" w:hAnsi="ITC Avant Garde"/>
        </w:rPr>
        <w:t>tal situación no resulta relevante en el presente asunto</w:t>
      </w:r>
      <w:r w:rsidR="00D7502A" w:rsidRPr="002A2450">
        <w:rPr>
          <w:rFonts w:ascii="ITC Avant Garde" w:hAnsi="ITC Avant Garde"/>
        </w:rPr>
        <w:t xml:space="preserve"> tal y como quedó apuntado en el presente apartado, </w:t>
      </w:r>
      <w:r w:rsidRPr="002A2450">
        <w:rPr>
          <w:rFonts w:ascii="ITC Avant Garde" w:hAnsi="ITC Avant Garde"/>
        </w:rPr>
        <w:t xml:space="preserve">ya que </w:t>
      </w:r>
      <w:r w:rsidR="00D7502A" w:rsidRPr="002A2450">
        <w:rPr>
          <w:rFonts w:ascii="ITC Avant Garde" w:hAnsi="ITC Avant Garde"/>
        </w:rPr>
        <w:t xml:space="preserve">no es un procedimiento signado en el derecho de competencia </w:t>
      </w:r>
      <w:r w:rsidRPr="002A2450">
        <w:rPr>
          <w:rFonts w:ascii="ITC Avant Garde" w:hAnsi="ITC Avant Garde"/>
        </w:rPr>
        <w:t xml:space="preserve">puesto que </w:t>
      </w:r>
      <w:r w:rsidR="00D7502A" w:rsidRPr="002A2450">
        <w:rPr>
          <w:rFonts w:ascii="ITC Avant Garde" w:hAnsi="ITC Avant Garde"/>
        </w:rPr>
        <w:t xml:space="preserve">lo que compete analizar es </w:t>
      </w:r>
      <w:r w:rsidRPr="002A2450">
        <w:rPr>
          <w:rFonts w:ascii="ITC Avant Garde" w:hAnsi="ITC Avant Garde"/>
        </w:rPr>
        <w:t xml:space="preserve">determinar si existe o no </w:t>
      </w:r>
      <w:r w:rsidR="00D7502A" w:rsidRPr="002A2450">
        <w:rPr>
          <w:rFonts w:ascii="ITC Avant Garde" w:hAnsi="ITC Avant Garde"/>
        </w:rPr>
        <w:t xml:space="preserve">el probable incumplimiento por parte de </w:t>
      </w:r>
      <w:r w:rsidR="00D7502A" w:rsidRPr="002A2450">
        <w:rPr>
          <w:rFonts w:ascii="ITC Avant Garde" w:hAnsi="ITC Avant Garde"/>
          <w:b/>
        </w:rPr>
        <w:t>“TELMEX”</w:t>
      </w:r>
      <w:r w:rsidR="00D7502A" w:rsidRPr="002A2450">
        <w:rPr>
          <w:rFonts w:ascii="ITC Avant Garde" w:hAnsi="ITC Avant Garde"/>
        </w:rPr>
        <w:t xml:space="preserve"> a la condición 1-9 de su </w:t>
      </w:r>
      <w:r w:rsidR="00D7502A" w:rsidRPr="002A2450">
        <w:rPr>
          <w:rFonts w:ascii="ITC Avant Garde" w:hAnsi="ITC Avant Garde"/>
          <w:b/>
        </w:rPr>
        <w:t>“TÍTULO DE CONCESIÓN”</w:t>
      </w:r>
      <w:r w:rsidR="00D7502A" w:rsidRPr="002A2450">
        <w:rPr>
          <w:rFonts w:ascii="ITC Avant Garde" w:hAnsi="ITC Avant Garde"/>
        </w:rPr>
        <w:t>.</w:t>
      </w:r>
    </w:p>
    <w:p w14:paraId="756E4189"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Para lo anterior, esta autoridad dejó claro que el análisis de los contratos coaligados signados por dicha concesionaria no serían analizados desde la perspectiva tradicional del derecho de competencia sino a través del análisis sistémico de los mismos con el objeto de desentrañar el mecanismo instaurado en dichos contratos para determinar si con los mismos </w:t>
      </w:r>
      <w:r w:rsidRPr="002A2450">
        <w:rPr>
          <w:rFonts w:ascii="ITC Avant Garde" w:hAnsi="ITC Avant Garde"/>
          <w:b/>
        </w:rPr>
        <w:t>“TELMEX”</w:t>
      </w:r>
      <w:r w:rsidRPr="002A2450">
        <w:rPr>
          <w:rFonts w:ascii="ITC Avant Garde" w:hAnsi="ITC Avant Garde"/>
        </w:rPr>
        <w:t xml:space="preserve"> incumple o no lo señalado en su Título de Concesión.</w:t>
      </w:r>
    </w:p>
    <w:p w14:paraId="08AD7992" w14:textId="77777777" w:rsidR="00B35F13" w:rsidRDefault="00D7502A" w:rsidP="00B35F13">
      <w:pPr>
        <w:spacing w:before="240" w:line="360" w:lineRule="auto"/>
        <w:jc w:val="both"/>
        <w:rPr>
          <w:rFonts w:ascii="ITC Avant Garde" w:hAnsi="ITC Avant Garde"/>
          <w:b/>
        </w:rPr>
      </w:pPr>
      <w:r w:rsidRPr="002A2450">
        <w:rPr>
          <w:rFonts w:ascii="ITC Avant Garde" w:hAnsi="ITC Avant Garde"/>
        </w:rPr>
        <w:t xml:space="preserve">Por tanto, en nada beneficia que </w:t>
      </w:r>
      <w:r w:rsidRPr="002A2450">
        <w:rPr>
          <w:rFonts w:ascii="ITC Avant Garde" w:hAnsi="ITC Avant Garde"/>
          <w:b/>
        </w:rPr>
        <w:t>“TELMEX”</w:t>
      </w:r>
      <w:r w:rsidRPr="002A2450">
        <w:rPr>
          <w:rFonts w:ascii="ITC Avant Garde" w:hAnsi="ITC Avant Garde"/>
        </w:rPr>
        <w:t xml:space="preserve"> insista en que esta autoridad se pronuncie respecto del posible control o influencia decisiva en </w:t>
      </w:r>
      <w:r w:rsidRPr="002A2450">
        <w:rPr>
          <w:rFonts w:ascii="ITC Avant Garde" w:hAnsi="ITC Avant Garde"/>
          <w:b/>
        </w:rPr>
        <w:t>“DISH MÉXICO”</w:t>
      </w:r>
      <w:r w:rsidRPr="002A2450">
        <w:rPr>
          <w:rFonts w:ascii="ITC Avant Garde" w:hAnsi="ITC Avant Garde"/>
        </w:rPr>
        <w:t xml:space="preserve"> puesto que ello ya fue resuelto por el Pleno de este “</w:t>
      </w:r>
      <w:r w:rsidRPr="002A2450">
        <w:rPr>
          <w:rFonts w:ascii="ITC Avant Garde" w:hAnsi="ITC Avant Garde"/>
          <w:b/>
        </w:rPr>
        <w:t>IFT</w:t>
      </w:r>
      <w:r w:rsidRPr="002A2450">
        <w:rPr>
          <w:rFonts w:ascii="ITC Avant Garde" w:hAnsi="ITC Avant Garde"/>
        </w:rPr>
        <w:t xml:space="preserve">”, de lo que se sigue que en el presente asunto se debe analizar la observancia o no del </w:t>
      </w:r>
      <w:r w:rsidR="00E34891" w:rsidRPr="002A2450">
        <w:rPr>
          <w:rFonts w:ascii="ITC Avant Garde" w:hAnsi="ITC Avant Garde"/>
          <w:b/>
        </w:rPr>
        <w:t>“TÍTULO DE CONCESIÓN”</w:t>
      </w:r>
      <w:r w:rsidR="00E34891" w:rsidRPr="002A2450">
        <w:rPr>
          <w:rFonts w:ascii="ITC Avant Garde" w:hAnsi="ITC Avant Garde"/>
        </w:rPr>
        <w:t xml:space="preserve"> </w:t>
      </w:r>
      <w:r w:rsidRPr="002A2450">
        <w:rPr>
          <w:rFonts w:ascii="ITC Avant Garde" w:hAnsi="ITC Avant Garde"/>
        </w:rPr>
        <w:t xml:space="preserve">otorgado a </w:t>
      </w:r>
      <w:r w:rsidRPr="002A2450">
        <w:rPr>
          <w:rFonts w:ascii="ITC Avant Garde" w:hAnsi="ITC Avant Garde"/>
          <w:b/>
        </w:rPr>
        <w:t>“TELMEX”.</w:t>
      </w:r>
    </w:p>
    <w:p w14:paraId="41FAC115" w14:textId="77777777" w:rsidR="00B35F13" w:rsidRDefault="00D7502A" w:rsidP="00B35F13">
      <w:pPr>
        <w:spacing w:before="240" w:line="360" w:lineRule="auto"/>
        <w:jc w:val="both"/>
        <w:rPr>
          <w:rFonts w:ascii="ITC Avant Garde" w:hAnsi="ITC Avant Garde"/>
        </w:rPr>
      </w:pPr>
      <w:r w:rsidRPr="002A2450">
        <w:rPr>
          <w:rFonts w:ascii="ITC Avant Garde" w:hAnsi="ITC Avant Garde"/>
        </w:rPr>
        <w:t xml:space="preserve">En ese sentido, las referencias citadas al Reglamento 139/2014 del Consejo de la Comunidad Europea (hoy Consejo de la Unión Europea) y a la Ley del Mercado de Valores, no pueden ser consideradas en la presente resolución puesto que en el primer caso, </w:t>
      </w:r>
      <w:r w:rsidRPr="002A2450">
        <w:rPr>
          <w:rFonts w:ascii="ITC Avant Garde" w:hAnsi="ITC Avant Garde"/>
          <w:b/>
        </w:rPr>
        <w:t>“TELMEX”</w:t>
      </w:r>
      <w:r w:rsidRPr="002A2450">
        <w:rPr>
          <w:rFonts w:ascii="ITC Avant Garde" w:hAnsi="ITC Avant Garde"/>
        </w:rPr>
        <w:t xml:space="preserve"> no acredita la aplicación de dicha normatividad en el </w:t>
      </w:r>
      <w:r w:rsidRPr="002A2450">
        <w:rPr>
          <w:rFonts w:ascii="ITC Avant Garde" w:hAnsi="ITC Avant Garde"/>
        </w:rPr>
        <w:lastRenderedPageBreak/>
        <w:t xml:space="preserve">presente procedimiento en términos del artículo 86 bis del </w:t>
      </w:r>
      <w:r w:rsidRPr="002A2450">
        <w:rPr>
          <w:rFonts w:ascii="ITC Avant Garde" w:hAnsi="ITC Avant Garde"/>
          <w:b/>
        </w:rPr>
        <w:t>“CFPC”</w:t>
      </w:r>
      <w:r w:rsidRPr="002A2450">
        <w:rPr>
          <w:rFonts w:ascii="ITC Avant Garde" w:hAnsi="ITC Avant Garde"/>
        </w:rPr>
        <w:t xml:space="preserve"> y en el caso de la segunda normatividad, la misma se encuentra fuera de la </w:t>
      </w:r>
      <w:proofErr w:type="spellStart"/>
      <w:r w:rsidRPr="002A2450">
        <w:rPr>
          <w:rFonts w:ascii="ITC Avant Garde" w:hAnsi="ITC Avant Garde"/>
          <w:i/>
        </w:rPr>
        <w:t>litis</w:t>
      </w:r>
      <w:proofErr w:type="spellEnd"/>
      <w:r w:rsidRPr="002A2450">
        <w:rPr>
          <w:rFonts w:ascii="ITC Avant Garde" w:hAnsi="ITC Avant Garde"/>
        </w:rPr>
        <w:t>, considerando que no es el control o influencia decisiva la materia del presente asunto.</w:t>
      </w:r>
    </w:p>
    <w:p w14:paraId="3D522E54"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Por tanto, sus manifestaciones resultan </w:t>
      </w:r>
      <w:r w:rsidRPr="002A2450">
        <w:rPr>
          <w:rFonts w:ascii="ITC Avant Garde" w:hAnsi="ITC Avant Garde"/>
          <w:b/>
          <w:u w:val="single"/>
        </w:rPr>
        <w:t>insuficientes</w:t>
      </w:r>
      <w:r w:rsidRPr="002A2450">
        <w:rPr>
          <w:rFonts w:ascii="ITC Avant Garde" w:hAnsi="ITC Avant Garde"/>
        </w:rPr>
        <w:t xml:space="preserve"> para desvirtuar la conducta materia del presente procedimiento.</w:t>
      </w:r>
    </w:p>
    <w:p w14:paraId="5D43C63D" w14:textId="77777777" w:rsidR="00B35F13" w:rsidRDefault="00C33AF5" w:rsidP="00B35F13">
      <w:pPr>
        <w:spacing w:before="240" w:line="360" w:lineRule="auto"/>
        <w:ind w:right="567"/>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continua manifestando lo siguiente:</w:t>
      </w:r>
    </w:p>
    <w:p w14:paraId="6A84A1F9" w14:textId="762AA689"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ANÁLISIS DEL CONTENIDO OBLIGACIONAL DE LOS CONTRATOS</w:t>
      </w:r>
    </w:p>
    <w:p w14:paraId="206F1C8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Afirma la autoridad que los contratos analizados están relacionados, lo que implica que exista interdependencia y condicionalidad. Sin embargo, la confusión radica en que si bien los contratos pueden estar relacionados, no implica que puedan ser independientes y autosuficientes. Cada contrato tiene razón propia de negocios, autonomía jurídica y eficacia propia. No existe disposición que los vincule o condición que permita mezclarlos.</w:t>
      </w:r>
    </w:p>
    <w:p w14:paraId="2F1FCA1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No se genera ningún mecanismo de control con la firma de los contratos; la administración y la operación del servicio público de televisión restringida </w:t>
      </w:r>
      <w:proofErr w:type="gramStart"/>
      <w:r w:rsidRPr="002A2450">
        <w:rPr>
          <w:rFonts w:ascii="ITC Avant Garde" w:hAnsi="ITC Avant Garde"/>
          <w:i/>
        </w:rPr>
        <w:t>es</w:t>
      </w:r>
      <w:proofErr w:type="gramEnd"/>
      <w:r w:rsidRPr="002A2450">
        <w:rPr>
          <w:rFonts w:ascii="ITC Avant Garde" w:hAnsi="ITC Avant Garde"/>
          <w:i/>
        </w:rPr>
        <w:t xml:space="preserve"> ajena a </w:t>
      </w:r>
      <w:r w:rsidR="005B601B" w:rsidRPr="002A2450">
        <w:rPr>
          <w:rFonts w:ascii="ITC Avant Garde" w:hAnsi="ITC Avant Garde"/>
          <w:b/>
          <w:i/>
        </w:rPr>
        <w:t>“TELMEX”</w:t>
      </w:r>
      <w:r w:rsidRPr="002A2450">
        <w:rPr>
          <w:rFonts w:ascii="ITC Avant Garde" w:hAnsi="ITC Avant Garde"/>
          <w:i/>
        </w:rPr>
        <w:t xml:space="preserve"> y está a cargo de </w:t>
      </w:r>
      <w:proofErr w:type="spellStart"/>
      <w:r w:rsidRPr="002A2450">
        <w:rPr>
          <w:rFonts w:ascii="ITC Avant Garde" w:hAnsi="ITC Avant Garde"/>
          <w:i/>
        </w:rPr>
        <w:t>Cofresa</w:t>
      </w:r>
      <w:proofErr w:type="spellEnd"/>
      <w:r w:rsidRPr="002A2450">
        <w:rPr>
          <w:rFonts w:ascii="ITC Avant Garde" w:hAnsi="ITC Avant Garde"/>
          <w:i/>
        </w:rPr>
        <w:t xml:space="preserve"> y sus socios.</w:t>
      </w:r>
    </w:p>
    <w:p w14:paraId="743239B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Esa Unidad de Cumplimiento se basa en consideraciones y en fórmulas anglosajonas en un claro error de traducción y de entendimiento de fórmulas extranjeras.</w:t>
      </w:r>
    </w:p>
    <w:p w14:paraId="753ED43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fórmula “</w:t>
      </w:r>
      <w:proofErr w:type="spellStart"/>
      <w:r w:rsidRPr="002A2450">
        <w:rPr>
          <w:rFonts w:ascii="ITC Avant Garde" w:hAnsi="ITC Avant Garde"/>
          <w:i/>
        </w:rPr>
        <w:t>for</w:t>
      </w:r>
      <w:proofErr w:type="spellEnd"/>
      <w:r w:rsidRPr="002A2450">
        <w:rPr>
          <w:rFonts w:ascii="ITC Avant Garde" w:hAnsi="ITC Avant Garde"/>
          <w:i/>
        </w:rPr>
        <w:t xml:space="preserve"> </w:t>
      </w:r>
      <w:proofErr w:type="spellStart"/>
      <w:r w:rsidRPr="002A2450">
        <w:rPr>
          <w:rFonts w:ascii="ITC Avant Garde" w:hAnsi="ITC Avant Garde"/>
          <w:i/>
        </w:rPr>
        <w:t>good</w:t>
      </w:r>
      <w:proofErr w:type="spellEnd"/>
      <w:r w:rsidRPr="002A2450">
        <w:rPr>
          <w:rFonts w:ascii="ITC Avant Garde" w:hAnsi="ITC Avant Garde"/>
          <w:i/>
        </w:rPr>
        <w:t xml:space="preserve"> </w:t>
      </w:r>
      <w:proofErr w:type="spellStart"/>
      <w:r w:rsidRPr="002A2450">
        <w:rPr>
          <w:rFonts w:ascii="ITC Avant Garde" w:hAnsi="ITC Avant Garde"/>
          <w:i/>
        </w:rPr>
        <w:t>an</w:t>
      </w:r>
      <w:proofErr w:type="spellEnd"/>
      <w:r w:rsidRPr="002A2450">
        <w:rPr>
          <w:rFonts w:ascii="ITC Avant Garde" w:hAnsi="ITC Avant Garde"/>
          <w:i/>
        </w:rPr>
        <w:t xml:space="preserve"> </w:t>
      </w:r>
      <w:proofErr w:type="spellStart"/>
      <w:r w:rsidRPr="002A2450">
        <w:rPr>
          <w:rFonts w:ascii="ITC Avant Garde" w:hAnsi="ITC Avant Garde"/>
          <w:i/>
        </w:rPr>
        <w:t>valuable</w:t>
      </w:r>
      <w:proofErr w:type="spellEnd"/>
      <w:r w:rsidRPr="002A2450">
        <w:rPr>
          <w:rFonts w:ascii="ITC Avant Garde" w:hAnsi="ITC Avant Garde"/>
          <w:i/>
        </w:rPr>
        <w:t xml:space="preserve"> </w:t>
      </w:r>
      <w:proofErr w:type="spellStart"/>
      <w:r w:rsidRPr="002A2450">
        <w:rPr>
          <w:rFonts w:ascii="ITC Avant Garde" w:hAnsi="ITC Avant Garde"/>
          <w:i/>
        </w:rPr>
        <w:t>consideration</w:t>
      </w:r>
      <w:proofErr w:type="spellEnd"/>
      <w:r w:rsidRPr="002A2450">
        <w:rPr>
          <w:rFonts w:ascii="ITC Avant Garde" w:hAnsi="ITC Avant Garde"/>
          <w:i/>
        </w:rPr>
        <w:t xml:space="preserve">” se refiere a una fórmula legal norteamericana dónde las partes afirman que ambas tuvieron un beneficio o se evitaron un perjuicio al entrar a la relación contractual que se trate. Es un simple legalismo que intenta mitigar el riesgo de un reclamo posterior de una de las partes bajo el argumento de que no </w:t>
      </w:r>
      <w:r w:rsidRPr="002A2450">
        <w:rPr>
          <w:rFonts w:ascii="ITC Avant Garde" w:hAnsi="ITC Avant Garde"/>
          <w:i/>
        </w:rPr>
        <w:lastRenderedPageBreak/>
        <w:t>tuvo interés alguno al haber formado parte de un contrato, equivalente en México a nuestro derecho civil “lesión”.</w:t>
      </w:r>
    </w:p>
    <w:p w14:paraId="4C8371C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este caso, cada uno de los contratos es autosuficiente e independiente. </w:t>
      </w:r>
    </w:p>
    <w:p w14:paraId="49E99BAF" w14:textId="77777777" w:rsidR="00B35F13" w:rsidRDefault="00831D47" w:rsidP="00B35F13">
      <w:pPr>
        <w:spacing w:before="240" w:line="360" w:lineRule="auto"/>
        <w:ind w:left="567" w:right="567"/>
        <w:jc w:val="both"/>
        <w:rPr>
          <w:rFonts w:ascii="ITC Avant Garde" w:hAnsi="ITC Avant Garde"/>
        </w:rPr>
      </w:pPr>
      <w:r w:rsidRPr="002A2450">
        <w:rPr>
          <w:rFonts w:ascii="ITC Avant Garde" w:hAnsi="ITC Avant Garde"/>
          <w:i/>
        </w:rPr>
        <w:t>La Unidad de Cumplimiento no depura ni decanta en razones consideraciones del porqué las declaraciones de los contratos van más allá de la simple relación comercial, tampoco precisa que cláusulas de los contratos muestra lo anterior, ya que únicamente se limita a mencionar la palabra cláusulas sin dar mayores detalles o precisiones, por lo que se actualiza el estado de indefensión al no conocer las consideraciones que se imputan a mi representada.</w:t>
      </w:r>
    </w:p>
    <w:p w14:paraId="6BC9195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Si es cierto que </w:t>
      </w:r>
      <w:r w:rsidR="005B601B" w:rsidRPr="002A2450">
        <w:rPr>
          <w:rFonts w:ascii="ITC Avant Garde" w:hAnsi="ITC Avant Garde"/>
          <w:b/>
          <w:i/>
        </w:rPr>
        <w:t>“TELMEX”</w:t>
      </w:r>
      <w:r w:rsidRPr="002A2450">
        <w:rPr>
          <w:rFonts w:ascii="ITC Avant Garde" w:hAnsi="ITC Avant Garde"/>
          <w:i/>
        </w:rPr>
        <w:t xml:space="preserve"> presta estos servicios, como lo hace con otros clientes y el hecho de que existiera la posibilidad futura y revelada de participar en el capital de </w:t>
      </w:r>
      <w:proofErr w:type="spellStart"/>
      <w:r w:rsidRPr="002A2450">
        <w:rPr>
          <w:rFonts w:ascii="ITC Avant Garde" w:hAnsi="ITC Avant Garde"/>
          <w:i/>
        </w:rPr>
        <w:t>Dish</w:t>
      </w:r>
      <w:proofErr w:type="spellEnd"/>
      <w:r w:rsidRPr="002A2450">
        <w:rPr>
          <w:rFonts w:ascii="ITC Avant Garde" w:hAnsi="ITC Avant Garde"/>
          <w:i/>
        </w:rPr>
        <w:t xml:space="preserve"> México, sujeto a la aprobación de las autoridades no implica una operación ilegal que actualiza cualquier hipótesis de nuestro sistema jurídico que implique sanción.</w:t>
      </w:r>
    </w:p>
    <w:p w14:paraId="258C687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propósito de los contratos debe leerse en su letra como lo señala nuestro propio Código Civil, en caso de duda se puede acudir a la intención de las partes, la cual debe basarse en elementos objetivos que compruebe la intención de las mismas al celebrar el contrato, tal y como lo establece el artículo 1851 de esa normatividad.</w:t>
      </w:r>
    </w:p>
    <w:p w14:paraId="4073D0D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Después de realizar una transcripción de los contratos de operación, opción de compra y venta, entre socios, de distribución, prestación de servicios, arrendamiento y consecuencias, la Unidad de Cumplimiento llega a conclusiones que escapan de la realidad y del verdadero fondo de los contratos ya que se limita hacer transcripciones parciales.</w:t>
      </w:r>
    </w:p>
    <w:p w14:paraId="0DF2657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Para empezar, el convenio de socios nunca se celebró ni se firmó, por lo que </w:t>
      </w:r>
      <w:r w:rsidR="007F28AD" w:rsidRPr="002A2450">
        <w:rPr>
          <w:rFonts w:ascii="ITC Avant Garde" w:hAnsi="ITC Avant Garde"/>
          <w:i/>
        </w:rPr>
        <w:t xml:space="preserve">no </w:t>
      </w:r>
      <w:r w:rsidRPr="002A2450">
        <w:rPr>
          <w:rFonts w:ascii="ITC Avant Garde" w:hAnsi="ITC Avant Garde"/>
          <w:i/>
        </w:rPr>
        <w:t>nació a la vida jurídica, razón por la cual las conclusiones son falsas e imprecisas.</w:t>
      </w:r>
    </w:p>
    <w:p w14:paraId="3D1E6B49" w14:textId="77777777" w:rsidR="00B35F13" w:rsidRDefault="00C33AF5"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a lo largo de su escrito de contestación al acuerdo de inicio del procedimiento administrativo señala la autonomía jurídica y la eficacia propia de los contratos celebrados por dicha empresa, pretendiendo resaltar el hecho de los formulismos expresados en dichos contratos corresponden a fórmulas legales y que por ello existe una evidente equivocación en la interpretación de los mismos.</w:t>
      </w:r>
    </w:p>
    <w:p w14:paraId="3F547A59"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Asimismo, abunda en el hecho de considerar que el acuerdo de inicio no establece porqué las declaraciones en los contratos son más que una relación comercial, así como el hecho de tener la posibilidad de participar en el capital de </w:t>
      </w:r>
      <w:r w:rsidRPr="002A2450">
        <w:rPr>
          <w:rFonts w:ascii="ITC Avant Garde" w:hAnsi="ITC Avant Garde"/>
          <w:b/>
        </w:rPr>
        <w:t>“DISH MÉXICO”</w:t>
      </w:r>
      <w:r w:rsidRPr="002A2450">
        <w:rPr>
          <w:rFonts w:ascii="ITC Avant Garde" w:hAnsi="ITC Avant Garde"/>
        </w:rPr>
        <w:t xml:space="preserve"> </w:t>
      </w:r>
      <w:r w:rsidRPr="002A2450">
        <w:rPr>
          <w:rFonts w:ascii="ITC Avant Garde" w:hAnsi="ITC Avant Garde"/>
          <w:i/>
        </w:rPr>
        <w:t xml:space="preserve">per se </w:t>
      </w:r>
      <w:r w:rsidRPr="002A2450">
        <w:rPr>
          <w:rFonts w:ascii="ITC Avant Garde" w:hAnsi="ITC Avant Garde"/>
        </w:rPr>
        <w:t>no es una conducta ilegal que implique una sanción y en todo caso debe acudirse a las formulas señaladas en el artículo 1851 del Código Civil para interpretar los contratos y descubrir mediante elementos objetivos la intención de los mismos.</w:t>
      </w:r>
    </w:p>
    <w:p w14:paraId="72EED13C"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Al respecto, debe señalarse, tal y como aconteció en el acuerdo de inicio del procedimiento administrativo de imposición de sanción,</w:t>
      </w:r>
      <w:r w:rsidR="007F28AD" w:rsidRPr="002A2450">
        <w:rPr>
          <w:rFonts w:ascii="ITC Avant Garde" w:hAnsi="ITC Avant Garde"/>
        </w:rPr>
        <w:t xml:space="preserve"> que </w:t>
      </w:r>
      <w:r w:rsidRPr="002A2450">
        <w:rPr>
          <w:rFonts w:ascii="ITC Avant Garde" w:hAnsi="ITC Avant Garde"/>
        </w:rPr>
        <w:t xml:space="preserve">la imputación realizada </w:t>
      </w:r>
      <w:r w:rsidR="0006428E" w:rsidRPr="002A2450">
        <w:rPr>
          <w:rFonts w:ascii="ITC Avant Garde" w:hAnsi="ITC Avant Garde"/>
        </w:rPr>
        <w:t xml:space="preserve">no se basa en la traducción exhibida por </w:t>
      </w:r>
      <w:r w:rsidR="0006428E" w:rsidRPr="002A2450">
        <w:rPr>
          <w:rFonts w:ascii="ITC Avant Garde" w:hAnsi="ITC Avant Garde"/>
          <w:b/>
        </w:rPr>
        <w:t xml:space="preserve">“TELMEX” </w:t>
      </w:r>
      <w:r w:rsidR="0006428E" w:rsidRPr="002A2450">
        <w:rPr>
          <w:rFonts w:ascii="ITC Avant Garde" w:hAnsi="ITC Avant Garde"/>
        </w:rPr>
        <w:t>ni sobre las formas jurídicas anglosajonas, sino a partir de</w:t>
      </w:r>
      <w:r w:rsidR="00357EBE" w:rsidRPr="002A2450">
        <w:rPr>
          <w:rFonts w:ascii="ITC Avant Garde" w:hAnsi="ITC Avant Garde"/>
        </w:rPr>
        <w:t>l análisis realizado con base en</w:t>
      </w:r>
      <w:r w:rsidR="0006428E" w:rsidRPr="002A2450">
        <w:rPr>
          <w:rFonts w:ascii="ITC Avant Garde" w:hAnsi="ITC Avant Garde"/>
        </w:rPr>
        <w:t xml:space="preserve"> la voluntad de las partes, esto es, a partir de la comunidad de esfuerzos señalados en los contratos respectivos para logar desarrollar la prestación del servicio </w:t>
      </w:r>
      <w:r w:rsidR="0006428E" w:rsidRPr="002A2450">
        <w:rPr>
          <w:rFonts w:ascii="ITC Avant Garde" w:hAnsi="ITC Avant Garde"/>
          <w:b/>
        </w:rPr>
        <w:t>“DTH”</w:t>
      </w:r>
      <w:r w:rsidR="0006428E" w:rsidRPr="002A2450">
        <w:rPr>
          <w:rFonts w:ascii="ITC Avant Garde" w:hAnsi="ITC Avant Garde"/>
        </w:rPr>
        <w:t xml:space="preserve"> en México.</w:t>
      </w:r>
    </w:p>
    <w:p w14:paraId="53F7C618" w14:textId="26E67A4E" w:rsidR="00C33AF5" w:rsidRPr="002A2450" w:rsidRDefault="0006428E" w:rsidP="00B35F13">
      <w:pPr>
        <w:spacing w:before="240" w:line="360" w:lineRule="auto"/>
        <w:jc w:val="both"/>
        <w:rPr>
          <w:rFonts w:ascii="ITC Avant Garde" w:hAnsi="ITC Avant Garde"/>
        </w:rPr>
      </w:pPr>
      <w:r w:rsidRPr="002A2450">
        <w:rPr>
          <w:rFonts w:ascii="ITC Avant Garde" w:hAnsi="ITC Avant Garde"/>
        </w:rPr>
        <w:t xml:space="preserve">Lo anterior, ya que precisamente </w:t>
      </w:r>
      <w:r w:rsidR="00C33AF5" w:rsidRPr="002A2450">
        <w:rPr>
          <w:rFonts w:ascii="ITC Avant Garde" w:hAnsi="ITC Avant Garde"/>
        </w:rPr>
        <w:t xml:space="preserve">a partir de las nuevas formas de organización y mecanismos de control que los concesionarios han implementado para la prestación de servicios en materia de telecomunicaciones, </w:t>
      </w:r>
      <w:r w:rsidRPr="002A2450">
        <w:rPr>
          <w:rFonts w:ascii="ITC Avant Garde" w:hAnsi="ITC Avant Garde"/>
        </w:rPr>
        <w:t xml:space="preserve">rebasan el </w:t>
      </w:r>
      <w:r w:rsidR="00C33AF5" w:rsidRPr="002A2450">
        <w:rPr>
          <w:rFonts w:ascii="ITC Avant Garde" w:hAnsi="ITC Avant Garde"/>
        </w:rPr>
        <w:t xml:space="preserve">derecho de competencia y el derecho corporativo </w:t>
      </w:r>
      <w:r w:rsidRPr="002A2450">
        <w:rPr>
          <w:rFonts w:ascii="ITC Avant Garde" w:hAnsi="ITC Avant Garde"/>
        </w:rPr>
        <w:t>y en consecuencia la autoridad debe realizar un análisis de los mismos a partir de la voluntad de las partes y desentrañar el contenido en conjunto de los contratos, tal es el caso de</w:t>
      </w:r>
      <w:r w:rsidR="00C33AF5" w:rsidRPr="002A2450">
        <w:rPr>
          <w:rFonts w:ascii="ITC Avant Garde" w:hAnsi="ITC Avant Garde"/>
        </w:rPr>
        <w:t xml:space="preserve">l modelo de </w:t>
      </w:r>
      <w:r w:rsidR="00C33AF5" w:rsidRPr="002A2450">
        <w:rPr>
          <w:rFonts w:ascii="ITC Avant Garde" w:hAnsi="ITC Avant Garde"/>
        </w:rPr>
        <w:lastRenderedPageBreak/>
        <w:t xml:space="preserve">organización contractual desarrollado por </w:t>
      </w:r>
      <w:r w:rsidR="00C33AF5" w:rsidRPr="002A2450">
        <w:rPr>
          <w:rFonts w:ascii="ITC Avant Garde" w:hAnsi="ITC Avant Garde"/>
          <w:b/>
        </w:rPr>
        <w:t>“TELMEX”</w:t>
      </w:r>
      <w:r w:rsidR="00C33AF5" w:rsidRPr="002A2450">
        <w:rPr>
          <w:rFonts w:ascii="ITC Avant Garde" w:hAnsi="ITC Avant Garde"/>
        </w:rPr>
        <w:t xml:space="preserve"> </w:t>
      </w:r>
      <w:r w:rsidRPr="002A2450">
        <w:rPr>
          <w:rFonts w:ascii="ITC Avant Garde" w:hAnsi="ITC Avant Garde"/>
        </w:rPr>
        <w:t xml:space="preserve">con base en </w:t>
      </w:r>
      <w:r w:rsidR="00C33AF5" w:rsidRPr="002A2450">
        <w:rPr>
          <w:rFonts w:ascii="ITC Avant Garde" w:hAnsi="ITC Avant Garde"/>
        </w:rPr>
        <w:t xml:space="preserve">los contratos celebrados con </w:t>
      </w:r>
      <w:r w:rsidR="00C33AF5" w:rsidRPr="002A2450">
        <w:rPr>
          <w:rFonts w:ascii="ITC Avant Garde" w:hAnsi="ITC Avant Garde"/>
          <w:i/>
        </w:rPr>
        <w:t>“GRUPO MVS”</w:t>
      </w:r>
      <w:r w:rsidR="00C33AF5" w:rsidRPr="002A2450">
        <w:rPr>
          <w:rFonts w:ascii="ITC Avant Garde" w:hAnsi="ITC Avant Garde"/>
        </w:rPr>
        <w:t>.</w:t>
      </w:r>
    </w:p>
    <w:p w14:paraId="2E57412C"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En ese sentido, vale recordar a </w:t>
      </w:r>
      <w:r w:rsidRPr="002A2450">
        <w:rPr>
          <w:rFonts w:ascii="ITC Avant Garde" w:hAnsi="ITC Avant Garde"/>
          <w:b/>
        </w:rPr>
        <w:t>“TELMEX”</w:t>
      </w:r>
      <w:r w:rsidRPr="002A2450">
        <w:rPr>
          <w:rFonts w:ascii="ITC Avant Garde" w:hAnsi="ITC Avant Garde"/>
        </w:rPr>
        <w:t xml:space="preserve"> que el análisis empleado corresponde a la doctrina de los contratos coaligados, mismos que son reconocidos por México desde el </w:t>
      </w:r>
      <w:r w:rsidRPr="002A2450">
        <w:rPr>
          <w:rFonts w:ascii="ITC Avant Garde" w:hAnsi="ITC Avant Garde"/>
          <w:i/>
        </w:rPr>
        <w:t>Acuerdo de Mercaderías</w:t>
      </w:r>
      <w:r w:rsidRPr="002A2450">
        <w:rPr>
          <w:rFonts w:ascii="ITC Avant Garde" w:hAnsi="ITC Avant Garde"/>
        </w:rPr>
        <w:t xml:space="preserve"> y las tesis que el Poder Judicial de la Federación ha señalado con relación a la </w:t>
      </w:r>
      <w:proofErr w:type="spellStart"/>
      <w:r w:rsidRPr="002A2450">
        <w:rPr>
          <w:rFonts w:ascii="ITC Avant Garde" w:hAnsi="ITC Avant Garde"/>
        </w:rPr>
        <w:t>falsación</w:t>
      </w:r>
      <w:proofErr w:type="spellEnd"/>
      <w:r w:rsidRPr="002A2450">
        <w:rPr>
          <w:rFonts w:ascii="ITC Avant Garde" w:hAnsi="ITC Avant Garde"/>
        </w:rPr>
        <w:t xml:space="preserve"> de la autonomía jurídica de los contratos</w:t>
      </w:r>
      <w:r w:rsidR="0006428E" w:rsidRPr="002A2450">
        <w:rPr>
          <w:rFonts w:ascii="ITC Avant Garde" w:hAnsi="ITC Avant Garde"/>
        </w:rPr>
        <w:t xml:space="preserve"> cuando se establece una relación de interdependencia</w:t>
      </w:r>
      <w:r w:rsidRPr="002A2450">
        <w:rPr>
          <w:rFonts w:ascii="ITC Avant Garde" w:hAnsi="ITC Avant Garde"/>
        </w:rPr>
        <w:t>.</w:t>
      </w:r>
    </w:p>
    <w:p w14:paraId="1C515691"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Por ello, previo al análisis de </w:t>
      </w:r>
      <w:r w:rsidR="0006428E" w:rsidRPr="002A2450">
        <w:rPr>
          <w:rFonts w:ascii="ITC Avant Garde" w:hAnsi="ITC Avant Garde"/>
        </w:rPr>
        <w:t xml:space="preserve">las </w:t>
      </w:r>
      <w:r w:rsidRPr="002A2450">
        <w:rPr>
          <w:rFonts w:ascii="ITC Avant Garde" w:hAnsi="ITC Avant Garde"/>
        </w:rPr>
        <w:t xml:space="preserve">manifestaciones </w:t>
      </w:r>
      <w:r w:rsidR="0006428E" w:rsidRPr="002A2450">
        <w:rPr>
          <w:rFonts w:ascii="ITC Avant Garde" w:hAnsi="ITC Avant Garde"/>
        </w:rPr>
        <w:t xml:space="preserve">realizadas por </w:t>
      </w:r>
      <w:r w:rsidR="0006428E" w:rsidRPr="002A2450">
        <w:rPr>
          <w:rFonts w:ascii="ITC Avant Garde" w:hAnsi="ITC Avant Garde"/>
          <w:b/>
        </w:rPr>
        <w:t xml:space="preserve">“TELMEX” </w:t>
      </w:r>
      <w:r w:rsidRPr="002A2450">
        <w:rPr>
          <w:rFonts w:ascii="ITC Avant Garde" w:hAnsi="ITC Avant Garde"/>
        </w:rPr>
        <w:t xml:space="preserve">se resaltó </w:t>
      </w:r>
      <w:r w:rsidR="0006428E" w:rsidRPr="002A2450">
        <w:rPr>
          <w:rFonts w:ascii="ITC Avant Garde" w:hAnsi="ITC Avant Garde"/>
        </w:rPr>
        <w:t xml:space="preserve">que </w:t>
      </w:r>
      <w:r w:rsidRPr="002A2450">
        <w:rPr>
          <w:rFonts w:ascii="ITC Avant Garde" w:hAnsi="ITC Avant Garde"/>
        </w:rPr>
        <w:t xml:space="preserve">el modelo de estudio </w:t>
      </w:r>
      <w:r w:rsidR="00D649E4" w:rsidRPr="002A2450">
        <w:rPr>
          <w:rFonts w:ascii="ITC Avant Garde" w:hAnsi="ITC Avant Garde"/>
        </w:rPr>
        <w:t xml:space="preserve">para el análisis de contratos celebrados debía ser el sistémico a partir de los contratos coaligados, mismo </w:t>
      </w:r>
      <w:r w:rsidRPr="002A2450">
        <w:rPr>
          <w:rFonts w:ascii="ITC Avant Garde" w:hAnsi="ITC Avant Garde"/>
        </w:rPr>
        <w:t>que fue reconocido desde el acuerdo de inicio hasta la emisión de la presente resolución.</w:t>
      </w:r>
    </w:p>
    <w:p w14:paraId="05968218" w14:textId="77777777" w:rsidR="00B35F13" w:rsidRDefault="007F28AD" w:rsidP="00B35F13">
      <w:pPr>
        <w:spacing w:before="240" w:line="360" w:lineRule="auto"/>
        <w:jc w:val="both"/>
        <w:rPr>
          <w:rFonts w:ascii="ITC Avant Garde" w:hAnsi="ITC Avant Garde"/>
        </w:rPr>
      </w:pPr>
      <w:r w:rsidRPr="002A2450">
        <w:rPr>
          <w:rFonts w:ascii="ITC Avant Garde" w:hAnsi="ITC Avant Garde"/>
        </w:rPr>
        <w:t>En ese sentido</w:t>
      </w:r>
      <w:r w:rsidR="00C33AF5" w:rsidRPr="002A2450">
        <w:rPr>
          <w:rFonts w:ascii="ITC Avant Garde" w:hAnsi="ITC Avant Garde"/>
        </w:rPr>
        <w:t xml:space="preserve">, </w:t>
      </w:r>
      <w:r w:rsidR="00C33AF5" w:rsidRPr="002A2450">
        <w:rPr>
          <w:rFonts w:ascii="ITC Avant Garde" w:hAnsi="ITC Avant Garde"/>
          <w:b/>
        </w:rPr>
        <w:t xml:space="preserve">“TELMEX” </w:t>
      </w:r>
      <w:r w:rsidR="00C33AF5" w:rsidRPr="002A2450">
        <w:rPr>
          <w:rFonts w:ascii="ITC Avant Garde" w:hAnsi="ITC Avant Garde"/>
        </w:rPr>
        <w:t xml:space="preserve">parte de la premisa errónea de considerar que todos los contratos pueden ser autónomos, puesto que como se ha precisado en el presente apartado, ello es equívoco a razón de que existe la posibilidad de la suscripción de contratos coaligados para la obtención de un fin común y corresponde a esta autoridad determinar si con ellos, dicha concesionaria viola o no su </w:t>
      </w:r>
      <w:r w:rsidR="00C33AF5" w:rsidRPr="002A2450">
        <w:rPr>
          <w:rFonts w:ascii="ITC Avant Garde" w:hAnsi="ITC Avant Garde"/>
          <w:b/>
        </w:rPr>
        <w:t>“TÍTULO DE CONCESIÓN”</w:t>
      </w:r>
      <w:r w:rsidR="00C33AF5" w:rsidRPr="002A2450">
        <w:rPr>
          <w:rFonts w:ascii="ITC Avant Garde" w:hAnsi="ITC Avant Garde"/>
        </w:rPr>
        <w:t xml:space="preserve">, de lo que se sigue que sus argumentos referentes a la autonomía de los contratos por si mismos son insuficientes para desvirtuar la conducta materia del presente procedimiento máxime que esta autoridad ha logrado obtener de los mismos la vinculación </w:t>
      </w:r>
      <w:r w:rsidR="004E36B3" w:rsidRPr="002A2450">
        <w:rPr>
          <w:rFonts w:ascii="ITC Avant Garde" w:hAnsi="ITC Avant Garde"/>
        </w:rPr>
        <w:t>existente entre ellos.</w:t>
      </w:r>
    </w:p>
    <w:p w14:paraId="59B6061D"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Adicional a lo anterior, en nada </w:t>
      </w:r>
      <w:r w:rsidR="007F28AD" w:rsidRPr="002A2450">
        <w:rPr>
          <w:rFonts w:ascii="ITC Avant Garde" w:hAnsi="ITC Avant Garde"/>
        </w:rPr>
        <w:t>beneficia</w:t>
      </w:r>
      <w:r w:rsidRPr="002A2450">
        <w:rPr>
          <w:rFonts w:ascii="ITC Avant Garde" w:hAnsi="ITC Avant Garde"/>
        </w:rPr>
        <w:t xml:space="preserve"> a </w:t>
      </w:r>
      <w:r w:rsidRPr="002A2450">
        <w:rPr>
          <w:rFonts w:ascii="ITC Avant Garde" w:hAnsi="ITC Avant Garde"/>
          <w:b/>
        </w:rPr>
        <w:t>“TELMEX”</w:t>
      </w:r>
      <w:r w:rsidRPr="002A2450">
        <w:rPr>
          <w:rFonts w:ascii="ITC Avant Garde" w:hAnsi="ITC Avant Garde"/>
        </w:rPr>
        <w:t xml:space="preserve"> señalar que con la suscripción de los contratos se obtenga la administración y/o la operación del servicio de televisión restringida, puesto que </w:t>
      </w:r>
      <w:r w:rsidR="004E36B3" w:rsidRPr="002A2450">
        <w:rPr>
          <w:rFonts w:ascii="ITC Avant Garde" w:hAnsi="ITC Avant Garde"/>
        </w:rPr>
        <w:t xml:space="preserve">como se ha señalado en el presente apartado, los contratos celebrados por dicha concesionaria anticipan el suministro de recursos operacionales necesarios para la explotación de </w:t>
      </w:r>
      <w:r w:rsidR="004E36B3" w:rsidRPr="002A2450">
        <w:rPr>
          <w:rFonts w:ascii="ITC Avant Garde" w:hAnsi="ITC Avant Garde"/>
          <w:b/>
        </w:rPr>
        <w:t>“DISH”</w:t>
      </w:r>
      <w:r w:rsidR="004E36B3" w:rsidRPr="002A2450">
        <w:rPr>
          <w:rFonts w:ascii="ITC Avant Garde" w:hAnsi="ITC Avant Garde"/>
        </w:rPr>
        <w:t xml:space="preserve"> los cuales son esenciales para la comercialización, operación y facturación y cobranza de los servicios, por lo que dichos contratos, a la luz de lo analizado en el presente apartado, se puede advertir como los mismos,</w:t>
      </w:r>
      <w:r w:rsidR="00D649E4" w:rsidRPr="002A2450">
        <w:rPr>
          <w:rFonts w:ascii="ITC Avant Garde" w:hAnsi="ITC Avant Garde"/>
        </w:rPr>
        <w:t xml:space="preserve"> se encuentran </w:t>
      </w:r>
      <w:r w:rsidR="004E36B3" w:rsidRPr="002A2450">
        <w:rPr>
          <w:rFonts w:ascii="ITC Avant Garde" w:hAnsi="ITC Avant Garde"/>
        </w:rPr>
        <w:t xml:space="preserve">sujetos al contrato de </w:t>
      </w:r>
      <w:r w:rsidR="004E36B3" w:rsidRPr="002A2450">
        <w:rPr>
          <w:rFonts w:ascii="ITC Avant Garde" w:hAnsi="ITC Avant Garde"/>
        </w:rPr>
        <w:lastRenderedPageBreak/>
        <w:t xml:space="preserve">opción de compra y venta así como a las garantías para el pago de dividendos en su caso, corresponden en la misma proporción de la inversión realizada en la compra de los kits CPE, que sumado a la </w:t>
      </w:r>
      <w:r w:rsidRPr="002A2450">
        <w:rPr>
          <w:rFonts w:ascii="ITC Avant Garde" w:hAnsi="ITC Avant Garde"/>
        </w:rPr>
        <w:t>limita</w:t>
      </w:r>
      <w:r w:rsidR="004E36B3" w:rsidRPr="002A2450">
        <w:rPr>
          <w:rFonts w:ascii="ITC Avant Garde" w:hAnsi="ITC Avant Garde"/>
        </w:rPr>
        <w:t>ción del</w:t>
      </w:r>
      <w:r w:rsidRPr="002A2450">
        <w:rPr>
          <w:rFonts w:ascii="ITC Avant Garde" w:hAnsi="ITC Avant Garde"/>
        </w:rPr>
        <w:t xml:space="preserve"> derecho corporativo inherente a los mismos para disponer libremente de sus acciones sujeto a condiciones suspensivas a largo plazo, derechos </w:t>
      </w:r>
      <w:r w:rsidR="004E36B3" w:rsidRPr="002A2450">
        <w:rPr>
          <w:rFonts w:ascii="ITC Avant Garde" w:hAnsi="ITC Avant Garde"/>
        </w:rPr>
        <w:t xml:space="preserve">de </w:t>
      </w:r>
      <w:r w:rsidRPr="002A2450">
        <w:rPr>
          <w:rFonts w:ascii="ITC Avant Garde" w:hAnsi="ITC Avant Garde"/>
        </w:rPr>
        <w:t>supervisión del negocio y de la obtención de información</w:t>
      </w:r>
      <w:r w:rsidR="008F718E" w:rsidRPr="009E34A4">
        <w:rPr>
          <w:rFonts w:ascii="ITC Avant Garde" w:hAnsi="ITC Avant Garde"/>
          <w:color w:val="C00000"/>
        </w:rPr>
        <w:t xml:space="preserve"> </w:t>
      </w:r>
      <w:r w:rsidRPr="002A2450">
        <w:rPr>
          <w:rFonts w:ascii="ITC Avant Garde" w:hAnsi="ITC Avant Garde"/>
        </w:rPr>
        <w:t xml:space="preserve">relacionada con las empresas involucradas; así como la aportación de recursos operativos para la presentación del servicio de </w:t>
      </w:r>
      <w:r w:rsidRPr="002A2450">
        <w:rPr>
          <w:rFonts w:ascii="ITC Avant Garde" w:hAnsi="ITC Avant Garde"/>
          <w:b/>
        </w:rPr>
        <w:t>“DTH”</w:t>
      </w:r>
      <w:r w:rsidR="004E36B3" w:rsidRPr="002A2450">
        <w:rPr>
          <w:rFonts w:ascii="ITC Avant Garde" w:hAnsi="ITC Avant Garde"/>
        </w:rPr>
        <w:t xml:space="preserve"> en México, </w:t>
      </w:r>
      <w:r w:rsidR="007F28AD" w:rsidRPr="002A2450">
        <w:rPr>
          <w:rFonts w:ascii="ITC Avant Garde" w:hAnsi="ITC Avant Garde"/>
        </w:rPr>
        <w:t xml:space="preserve">dan cuenta del </w:t>
      </w:r>
      <w:r w:rsidR="004E36B3" w:rsidRPr="002A2450">
        <w:rPr>
          <w:rFonts w:ascii="ITC Avant Garde" w:hAnsi="ITC Avant Garde"/>
        </w:rPr>
        <w:t xml:space="preserve">manejo </w:t>
      </w:r>
      <w:r w:rsidR="007F28AD" w:rsidRPr="002A2450">
        <w:rPr>
          <w:rFonts w:ascii="ITC Avant Garde" w:hAnsi="ITC Avant Garde"/>
        </w:rPr>
        <w:t xml:space="preserve">en la </w:t>
      </w:r>
      <w:r w:rsidR="004E36B3" w:rsidRPr="002A2450">
        <w:rPr>
          <w:rFonts w:ascii="ITC Avant Garde" w:hAnsi="ITC Avant Garde"/>
        </w:rPr>
        <w:t>operación de dicho servicio.</w:t>
      </w:r>
    </w:p>
    <w:p w14:paraId="495B9D57"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Lo anterior, tal y como se advirtió en el acuerdo de inicio de procedimiento administrativo de imposición de sanción y que fue pla</w:t>
      </w:r>
      <w:r w:rsidR="004E36B3" w:rsidRPr="002A2450">
        <w:rPr>
          <w:rFonts w:ascii="ITC Avant Garde" w:hAnsi="ITC Avant Garde"/>
        </w:rPr>
        <w:t xml:space="preserve">smado en la presente resolución mediante los esquemas realizados en la misma, sin que </w:t>
      </w:r>
      <w:r w:rsidR="007F28AD" w:rsidRPr="002A2450">
        <w:rPr>
          <w:rFonts w:ascii="ITC Avant Garde" w:hAnsi="ITC Avant Garde"/>
        </w:rPr>
        <w:t xml:space="preserve">las </w:t>
      </w:r>
      <w:r w:rsidR="004E36B3" w:rsidRPr="002A2450">
        <w:rPr>
          <w:rFonts w:ascii="ITC Avant Garde" w:hAnsi="ITC Avant Garde"/>
        </w:rPr>
        <w:t xml:space="preserve">manifestaciones </w:t>
      </w:r>
      <w:r w:rsidR="007F28AD" w:rsidRPr="002A2450">
        <w:rPr>
          <w:rFonts w:ascii="ITC Avant Garde" w:hAnsi="ITC Avant Garde"/>
        </w:rPr>
        <w:t xml:space="preserve">de </w:t>
      </w:r>
      <w:r w:rsidR="007F28AD" w:rsidRPr="002A2450">
        <w:rPr>
          <w:rFonts w:ascii="ITC Avant Garde" w:hAnsi="ITC Avant Garde"/>
          <w:b/>
        </w:rPr>
        <w:t xml:space="preserve">“TELMEX” </w:t>
      </w:r>
      <w:r w:rsidR="004E36B3" w:rsidRPr="002A2450">
        <w:rPr>
          <w:rFonts w:ascii="ITC Avant Garde" w:hAnsi="ITC Avant Garde"/>
        </w:rPr>
        <w:t>puedan por si misma</w:t>
      </w:r>
      <w:r w:rsidR="007F28AD" w:rsidRPr="002A2450">
        <w:rPr>
          <w:rFonts w:ascii="ITC Avant Garde" w:hAnsi="ITC Avant Garde"/>
        </w:rPr>
        <w:t>s</w:t>
      </w:r>
      <w:r w:rsidR="004E36B3" w:rsidRPr="002A2450">
        <w:rPr>
          <w:rFonts w:ascii="ITC Avant Garde" w:hAnsi="ITC Avant Garde"/>
        </w:rPr>
        <w:t xml:space="preserve"> desvirtuar la conducta mat</w:t>
      </w:r>
      <w:r w:rsidR="00D649E4" w:rsidRPr="002A2450">
        <w:rPr>
          <w:rFonts w:ascii="ITC Avant Garde" w:hAnsi="ITC Avant Garde"/>
        </w:rPr>
        <w:t>eria del presente procedimiento ni mucho menos la voluntad e interdependencia de los contratos celebrados.</w:t>
      </w:r>
    </w:p>
    <w:p w14:paraId="2BBDCFB0" w14:textId="77777777" w:rsidR="00B35F13" w:rsidRDefault="00C33AF5" w:rsidP="00B35F13">
      <w:pPr>
        <w:spacing w:before="240" w:line="360" w:lineRule="auto"/>
        <w:jc w:val="both"/>
        <w:rPr>
          <w:rFonts w:ascii="ITC Avant Garde" w:eastAsia="Times New Roman" w:hAnsi="ITC Avant Garde"/>
          <w:bCs/>
          <w:lang w:eastAsia="es-MX"/>
        </w:rPr>
      </w:pPr>
      <w:r w:rsidRPr="002A2450">
        <w:rPr>
          <w:rFonts w:ascii="ITC Avant Garde" w:hAnsi="ITC Avant Garde"/>
        </w:rPr>
        <w:t xml:space="preserve">Ahora bien, </w:t>
      </w:r>
      <w:r w:rsidRPr="002A2450">
        <w:rPr>
          <w:rFonts w:ascii="ITC Avant Garde" w:hAnsi="ITC Avant Garde"/>
          <w:b/>
        </w:rPr>
        <w:t>“TELMEX”</w:t>
      </w:r>
      <w:r w:rsidRPr="002A2450">
        <w:rPr>
          <w:rFonts w:ascii="ITC Avant Garde" w:hAnsi="ITC Avant Garde"/>
        </w:rPr>
        <w:t xml:space="preserve"> señala que existe un error en la interpretación de los contratos celebrados </w:t>
      </w:r>
      <w:r w:rsidR="007F28AD" w:rsidRPr="002A2450">
        <w:rPr>
          <w:rFonts w:ascii="ITC Avant Garde" w:hAnsi="ITC Avant Garde"/>
        </w:rPr>
        <w:t xml:space="preserve">y un </w:t>
      </w:r>
      <w:r w:rsidRPr="002A2450">
        <w:rPr>
          <w:rFonts w:ascii="ITC Avant Garde" w:hAnsi="ITC Avant Garde"/>
        </w:rPr>
        <w:t xml:space="preserve">claro error de traducción y del entendimiento de fórmulas extrajeras utilizadas en los contratos, sin embargo, esta autoridad considera que sus argumentaciones más allá de ser vagas y que no desvirtúan la conducta materia del presente procedimiento, </w:t>
      </w:r>
      <w:r w:rsidR="004E36B3" w:rsidRPr="002A2450">
        <w:rPr>
          <w:rFonts w:ascii="ITC Avant Garde" w:hAnsi="ITC Avant Garde"/>
        </w:rPr>
        <w:t xml:space="preserve">con </w:t>
      </w:r>
      <w:r w:rsidRPr="002A2450">
        <w:rPr>
          <w:rFonts w:ascii="ITC Avant Garde" w:hAnsi="ITC Avant Garde"/>
        </w:rPr>
        <w:t xml:space="preserve">las mismas pretenden </w:t>
      </w:r>
      <w:r w:rsidRPr="002A2450">
        <w:rPr>
          <w:rFonts w:ascii="ITC Avant Garde" w:eastAsia="Times New Roman" w:hAnsi="ITC Avant Garde"/>
          <w:bCs/>
          <w:lang w:eastAsia="es-MX"/>
        </w:rPr>
        <w:t>beneficiarse de su propio dolo</w:t>
      </w:r>
      <w:r w:rsidR="00D649E4" w:rsidRPr="002A2450">
        <w:rPr>
          <w:rFonts w:ascii="ITC Avant Garde" w:eastAsia="Times New Roman" w:hAnsi="ITC Avant Garde"/>
          <w:bCs/>
          <w:lang w:eastAsia="es-MX"/>
        </w:rPr>
        <w:t xml:space="preserve"> por lo que hace a su traducción</w:t>
      </w:r>
      <w:r w:rsidRPr="002A2450">
        <w:rPr>
          <w:rFonts w:ascii="ITC Avant Garde" w:eastAsia="Times New Roman" w:hAnsi="ITC Avant Garde"/>
          <w:bCs/>
          <w:lang w:eastAsia="es-MX"/>
        </w:rPr>
        <w:t xml:space="preserve">, esto es, </w:t>
      </w:r>
      <w:r w:rsidRPr="002A2450">
        <w:rPr>
          <w:rFonts w:ascii="ITC Avant Garde" w:eastAsia="Times New Roman" w:hAnsi="ITC Avant Garde"/>
          <w:bCs/>
          <w:i/>
          <w:lang w:eastAsia="es-MX"/>
        </w:rPr>
        <w:t>"</w:t>
      </w:r>
      <w:proofErr w:type="spellStart"/>
      <w:r w:rsidRPr="002A2450">
        <w:rPr>
          <w:rFonts w:ascii="ITC Avant Garde" w:eastAsia="Times New Roman" w:hAnsi="ITC Avant Garde"/>
          <w:bCs/>
          <w:i/>
          <w:lang w:eastAsia="es-MX"/>
        </w:rPr>
        <w:t>Venire</w:t>
      </w:r>
      <w:proofErr w:type="spellEnd"/>
      <w:r w:rsidRPr="002A2450">
        <w:rPr>
          <w:rFonts w:ascii="ITC Avant Garde" w:eastAsia="Times New Roman" w:hAnsi="ITC Avant Garde"/>
          <w:bCs/>
          <w:i/>
          <w:lang w:eastAsia="es-MX"/>
        </w:rPr>
        <w:t xml:space="preserve"> contra </w:t>
      </w:r>
      <w:proofErr w:type="spellStart"/>
      <w:r w:rsidRPr="002A2450">
        <w:rPr>
          <w:rFonts w:ascii="ITC Avant Garde" w:eastAsia="Times New Roman" w:hAnsi="ITC Avant Garde"/>
          <w:bCs/>
          <w:i/>
          <w:lang w:eastAsia="es-MX"/>
        </w:rPr>
        <w:t>actum</w:t>
      </w:r>
      <w:proofErr w:type="spellEnd"/>
      <w:r w:rsidRPr="002A2450">
        <w:rPr>
          <w:rFonts w:ascii="ITC Avant Garde" w:eastAsia="Times New Roman" w:hAnsi="ITC Avant Garde"/>
          <w:bCs/>
          <w:i/>
          <w:lang w:eastAsia="es-MX"/>
        </w:rPr>
        <w:t xml:space="preserve"> </w:t>
      </w:r>
      <w:proofErr w:type="spellStart"/>
      <w:r w:rsidRPr="002A2450">
        <w:rPr>
          <w:rFonts w:ascii="ITC Avant Garde" w:eastAsia="Times New Roman" w:hAnsi="ITC Avant Garde"/>
          <w:bCs/>
          <w:i/>
          <w:lang w:eastAsia="es-MX"/>
        </w:rPr>
        <w:t>propium</w:t>
      </w:r>
      <w:proofErr w:type="spellEnd"/>
      <w:r w:rsidRPr="002A2450">
        <w:rPr>
          <w:rFonts w:ascii="ITC Avant Garde" w:eastAsia="Times New Roman" w:hAnsi="ITC Avant Garde"/>
          <w:bCs/>
          <w:i/>
          <w:lang w:eastAsia="es-MX"/>
        </w:rPr>
        <w:t>"</w:t>
      </w:r>
      <w:r w:rsidRPr="002A2450">
        <w:rPr>
          <w:rFonts w:ascii="ITC Avant Garde" w:eastAsia="Times New Roman" w:hAnsi="ITC Avant Garde"/>
          <w:bCs/>
          <w:lang w:eastAsia="es-MX"/>
        </w:rPr>
        <w:t xml:space="preserve">, puesto que cabe recordar que a requerimiento de la </w:t>
      </w:r>
      <w:r w:rsidR="00055FD5" w:rsidRPr="002A2450">
        <w:rPr>
          <w:rFonts w:ascii="ITC Avant Garde" w:hAnsi="ITC Avant Garde"/>
          <w:b/>
        </w:rPr>
        <w:t xml:space="preserve">“DGS”, </w:t>
      </w:r>
      <w:r w:rsidRPr="002A2450">
        <w:rPr>
          <w:rFonts w:ascii="ITC Avant Garde" w:eastAsia="Times New Roman" w:hAnsi="ITC Avant Garde"/>
          <w:bCs/>
          <w:lang w:eastAsia="es-MX"/>
        </w:rPr>
        <w:t xml:space="preserve">fue </w:t>
      </w:r>
      <w:r w:rsidR="007F28AD" w:rsidRPr="002A2450">
        <w:rPr>
          <w:rFonts w:ascii="ITC Avant Garde" w:eastAsia="Times New Roman" w:hAnsi="ITC Avant Garde"/>
          <w:bCs/>
          <w:lang w:eastAsia="es-MX"/>
        </w:rPr>
        <w:t xml:space="preserve">la propia </w:t>
      </w:r>
      <w:r w:rsidR="007F28AD" w:rsidRPr="002A2450">
        <w:rPr>
          <w:rFonts w:ascii="ITC Avant Garde" w:eastAsia="Times New Roman" w:hAnsi="ITC Avant Garde"/>
          <w:b/>
          <w:bCs/>
          <w:lang w:eastAsia="es-MX"/>
        </w:rPr>
        <w:t>“TELMEX”</w:t>
      </w:r>
      <w:r w:rsidR="008F718E" w:rsidRPr="009E34A4">
        <w:rPr>
          <w:rFonts w:ascii="ITC Avant Garde" w:eastAsia="Times New Roman" w:hAnsi="ITC Avant Garde"/>
          <w:bCs/>
          <w:color w:val="C00000"/>
          <w:lang w:eastAsia="es-MX"/>
        </w:rPr>
        <w:t xml:space="preserve"> </w:t>
      </w:r>
      <w:r w:rsidRPr="002A2450">
        <w:rPr>
          <w:rFonts w:ascii="ITC Avant Garde" w:eastAsia="Times New Roman" w:hAnsi="ITC Avant Garde"/>
          <w:bCs/>
          <w:lang w:eastAsia="es-MX"/>
        </w:rPr>
        <w:t>quien exhibió en idioma español la traducción de los contratos celebrados.</w:t>
      </w:r>
    </w:p>
    <w:p w14:paraId="3502E83E" w14:textId="77777777" w:rsidR="00B35F13" w:rsidRDefault="00C33AF5"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Sirve de aplicación las siguientes tesis:</w:t>
      </w:r>
    </w:p>
    <w:p w14:paraId="1744C683"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lang w:eastAsia="es-MX"/>
        </w:rPr>
      </w:pPr>
      <w:r w:rsidRPr="002A2450">
        <w:rPr>
          <w:rFonts w:ascii="ITC Avant Garde" w:eastAsia="Times New Roman" w:hAnsi="ITC Avant Garde"/>
          <w:b/>
          <w:bCs/>
          <w:lang w:eastAsia="es-MX"/>
        </w:rPr>
        <w:t xml:space="preserve">PRESUNCIONES DERIVADAS DE LA CONDUCTA PROCESAL DE LAS PARTES. </w:t>
      </w:r>
      <w:r w:rsidRPr="002A2450">
        <w:rPr>
          <w:rFonts w:ascii="ITC Avant Garde" w:eastAsia="Times New Roman" w:hAnsi="ITC Avant Garde"/>
          <w:b/>
          <w:bCs/>
          <w:u w:val="single"/>
          <w:lang w:eastAsia="es-MX"/>
        </w:rPr>
        <w:t>La conducta procesal de las partes es un elemento básico, puesto que proporciona al juzgador elementos objetivos de convicción</w:t>
      </w:r>
      <w:r w:rsidRPr="002A2450">
        <w:rPr>
          <w:rFonts w:ascii="ITC Avant Garde" w:eastAsia="Times New Roman" w:hAnsi="ITC Avant Garde"/>
          <w:bCs/>
          <w:lang w:eastAsia="es-MX"/>
        </w:rPr>
        <w:t xml:space="preserve"> que deben tomarse en cuenta para derivar de ellas las presunciones que lógica y legalmente se deduzcan; </w:t>
      </w:r>
      <w:r w:rsidRPr="002A2450">
        <w:rPr>
          <w:rFonts w:ascii="ITC Avant Garde" w:eastAsia="Times New Roman" w:hAnsi="ITC Avant Garde"/>
          <w:b/>
          <w:bCs/>
          <w:u w:val="single"/>
          <w:lang w:eastAsia="es-MX"/>
        </w:rPr>
        <w:t xml:space="preserve">por tanto, si se advierte que durante el juicio </w:t>
      </w:r>
      <w:r w:rsidRPr="002A2450">
        <w:rPr>
          <w:rFonts w:ascii="ITC Avant Garde" w:eastAsia="Times New Roman" w:hAnsi="ITC Avant Garde"/>
          <w:b/>
          <w:bCs/>
          <w:u w:val="single"/>
          <w:lang w:eastAsia="es-MX"/>
        </w:rPr>
        <w:lastRenderedPageBreak/>
        <w:t>alguna de las partes obró dolosamente, al afirmar hechos o circunstancias de los que posteriormente se contradice</w:t>
      </w:r>
      <w:r w:rsidRPr="002A2450">
        <w:rPr>
          <w:rFonts w:ascii="ITC Avant Garde" w:eastAsia="Times New Roman" w:hAnsi="ITC Avant Garde"/>
          <w:bCs/>
          <w:lang w:eastAsia="es-MX"/>
        </w:rPr>
        <w:t xml:space="preserve">, deberá ponderarse esa conducta contradictoria, la cual </w:t>
      </w:r>
      <w:r w:rsidRPr="002A2450">
        <w:rPr>
          <w:rFonts w:ascii="ITC Avant Garde" w:eastAsia="Times New Roman" w:hAnsi="ITC Avant Garde"/>
          <w:b/>
          <w:bCs/>
          <w:u w:val="single"/>
          <w:lang w:eastAsia="es-MX"/>
        </w:rPr>
        <w:t>es un dato objetivo que puede utilizarse como argumento de prueba</w:t>
      </w:r>
      <w:r w:rsidRPr="002A2450">
        <w:rPr>
          <w:rFonts w:ascii="ITC Avant Garde" w:eastAsia="Times New Roman" w:hAnsi="ITC Avant Garde"/>
          <w:bCs/>
          <w:lang w:eastAsia="es-MX"/>
        </w:rPr>
        <w:t>, el cual, adminiculado con el resto del material probatorio y las circunstancias del caso, será de utilidad para averiguar la verdad de los hechos controvertidos. La apreciación conjunta de estos elementos determinará el grado de probabilidad del hecho que se pretende demostrar, en la inteligencia de que el hecho presumido debe inferirse, de manera lógica, de la conducta procesal.</w:t>
      </w:r>
    </w:p>
    <w:p w14:paraId="0A85133A"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 xml:space="preserve">Época: Novena Época, Registro: 180829, Instancia: Tribunales Colegiados de Circuito, Tipo de Tesis: Aislada, Fuente: Semanario Judicial de la Federación y su Gaceta, Tomo XX, Agosto de 2004, Materia(s): Civil, Común, Tesis: I.4o.C.69 C, Página: 1653 </w:t>
      </w:r>
    </w:p>
    <w:p w14:paraId="4D9847A7"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lang w:eastAsia="es-MX"/>
        </w:rPr>
      </w:pPr>
      <w:r w:rsidRPr="002A2450">
        <w:rPr>
          <w:rFonts w:ascii="ITC Avant Garde" w:eastAsia="Times New Roman" w:hAnsi="ITC Avant Garde"/>
          <w:b/>
          <w:bCs/>
          <w:lang w:eastAsia="es-MX"/>
        </w:rPr>
        <w:t>CONDUCTA PROCESAL DE LAS PARTES</w:t>
      </w:r>
      <w:r w:rsidRPr="002A2450">
        <w:rPr>
          <w:rFonts w:ascii="ITC Avant Garde" w:eastAsia="Times New Roman" w:hAnsi="ITC Avant Garde"/>
          <w:bCs/>
          <w:lang w:eastAsia="es-MX"/>
        </w:rPr>
        <w:t xml:space="preserve">. La jurisprudencia número 467, visible a páginas 812 de la Segunda Parte del Apéndice al Semanario Judicial de la Federación 1917-1988, con el rubro que se indica, </w:t>
      </w:r>
      <w:r w:rsidRPr="002A2450">
        <w:rPr>
          <w:rFonts w:ascii="ITC Avant Garde" w:eastAsia="Times New Roman" w:hAnsi="ITC Avant Garde"/>
          <w:b/>
          <w:bCs/>
          <w:u w:val="single"/>
          <w:lang w:eastAsia="es-MX"/>
        </w:rPr>
        <w:t>sanciona como regla de derecho el aforismo jurídico "</w:t>
      </w:r>
      <w:proofErr w:type="spellStart"/>
      <w:r w:rsidRPr="002A2450">
        <w:rPr>
          <w:rFonts w:ascii="ITC Avant Garde" w:eastAsia="Times New Roman" w:hAnsi="ITC Avant Garde"/>
          <w:b/>
          <w:bCs/>
          <w:u w:val="single"/>
          <w:lang w:eastAsia="es-MX"/>
        </w:rPr>
        <w:t>Venire</w:t>
      </w:r>
      <w:proofErr w:type="spellEnd"/>
      <w:r w:rsidRPr="002A2450">
        <w:rPr>
          <w:rFonts w:ascii="ITC Avant Garde" w:eastAsia="Times New Roman" w:hAnsi="ITC Avant Garde"/>
          <w:b/>
          <w:bCs/>
          <w:u w:val="single"/>
          <w:lang w:eastAsia="es-MX"/>
        </w:rPr>
        <w:t xml:space="preserve"> contra </w:t>
      </w:r>
      <w:proofErr w:type="spellStart"/>
      <w:r w:rsidRPr="002A2450">
        <w:rPr>
          <w:rFonts w:ascii="ITC Avant Garde" w:eastAsia="Times New Roman" w:hAnsi="ITC Avant Garde"/>
          <w:b/>
          <w:bCs/>
          <w:u w:val="single"/>
          <w:lang w:eastAsia="es-MX"/>
        </w:rPr>
        <w:t>actum</w:t>
      </w:r>
      <w:proofErr w:type="spellEnd"/>
      <w:r w:rsidRPr="002A2450">
        <w:rPr>
          <w:rFonts w:ascii="ITC Avant Garde" w:eastAsia="Times New Roman" w:hAnsi="ITC Avant Garde"/>
          <w:b/>
          <w:bCs/>
          <w:u w:val="single"/>
          <w:lang w:eastAsia="es-MX"/>
        </w:rPr>
        <w:t xml:space="preserve"> </w:t>
      </w:r>
      <w:proofErr w:type="spellStart"/>
      <w:r w:rsidRPr="002A2450">
        <w:rPr>
          <w:rFonts w:ascii="ITC Avant Garde" w:eastAsia="Times New Roman" w:hAnsi="ITC Avant Garde"/>
          <w:b/>
          <w:bCs/>
          <w:u w:val="single"/>
          <w:lang w:eastAsia="es-MX"/>
        </w:rPr>
        <w:t>propium</w:t>
      </w:r>
      <w:proofErr w:type="spellEnd"/>
      <w:r w:rsidRPr="002A2450">
        <w:rPr>
          <w:rFonts w:ascii="ITC Avant Garde" w:eastAsia="Times New Roman" w:hAnsi="ITC Avant Garde"/>
          <w:b/>
          <w:bCs/>
          <w:u w:val="single"/>
          <w:lang w:eastAsia="es-MX"/>
        </w:rPr>
        <w:t>"</w:t>
      </w:r>
      <w:r w:rsidRPr="002A2450">
        <w:rPr>
          <w:rFonts w:ascii="ITC Avant Garde" w:eastAsia="Times New Roman" w:hAnsi="ITC Avant Garde"/>
          <w:bCs/>
          <w:lang w:eastAsia="es-MX"/>
        </w:rPr>
        <w:t xml:space="preserve">, de </w:t>
      </w:r>
      <w:r w:rsidRPr="002A2450">
        <w:rPr>
          <w:rFonts w:ascii="ITC Avant Garde" w:eastAsia="Times New Roman" w:hAnsi="ITC Avant Garde"/>
          <w:b/>
          <w:bCs/>
          <w:u w:val="single"/>
          <w:lang w:eastAsia="es-MX"/>
        </w:rPr>
        <w:t>no ser lícito a nadie ir, ni obrar, contra sus propios actos</w:t>
      </w:r>
      <w:r w:rsidRPr="002A2450">
        <w:rPr>
          <w:rFonts w:ascii="ITC Avant Garde" w:eastAsia="Times New Roman" w:hAnsi="ITC Avant Garde"/>
          <w:bCs/>
          <w:lang w:eastAsia="es-MX"/>
        </w:rPr>
        <w:t xml:space="preserve">, en el caso actos de reconocimiento, que implican renuncia a la defensa o excepción hecha valer en la </w:t>
      </w:r>
      <w:proofErr w:type="spellStart"/>
      <w:r w:rsidRPr="002A2450">
        <w:rPr>
          <w:rFonts w:ascii="ITC Avant Garde" w:eastAsia="Times New Roman" w:hAnsi="ITC Avant Garde"/>
          <w:bCs/>
          <w:lang w:eastAsia="es-MX"/>
        </w:rPr>
        <w:t>litis</w:t>
      </w:r>
      <w:proofErr w:type="spellEnd"/>
      <w:r w:rsidRPr="002A2450">
        <w:rPr>
          <w:rFonts w:ascii="ITC Avant Garde" w:eastAsia="Times New Roman" w:hAnsi="ITC Avant Garde"/>
          <w:bCs/>
          <w:lang w:eastAsia="es-MX"/>
        </w:rPr>
        <w:t xml:space="preserve"> de la que emana el acto reclamado, por carecer el reo de aptitud legal para oponerla, dado el acto de reconocimiento; y al no estimarlo así el tribunal responsable infringe el expresado principio que veda esa inconsecuencia jurídica, </w:t>
      </w:r>
      <w:r w:rsidRPr="002A2450">
        <w:rPr>
          <w:rFonts w:ascii="ITC Avant Garde" w:eastAsia="Times New Roman" w:hAnsi="ITC Avant Garde"/>
          <w:b/>
          <w:bCs/>
          <w:u w:val="single"/>
          <w:lang w:eastAsia="es-MX"/>
        </w:rPr>
        <w:t>pues dicha regla de derecho establece un límite del ejercicio de los derechos subjetivos o de las facultades jurídicas, impuesto por la buena fe, conforme al cual se decreta la inadmisibilidad de toda pretensión, contradictoria con el sentido objetivo de la conducta anterior del titular</w:t>
      </w:r>
      <w:r w:rsidRPr="002A2450">
        <w:rPr>
          <w:rFonts w:ascii="ITC Avant Garde" w:eastAsia="Times New Roman" w:hAnsi="ITC Avant Garde"/>
          <w:bCs/>
          <w:lang w:eastAsia="es-MX"/>
        </w:rPr>
        <w:t>.</w:t>
      </w:r>
    </w:p>
    <w:p w14:paraId="67C47B6A"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Época: Octava Época, Registro: 222109, Instancia: Tribunales Colegiados de Circuito, Tipo de Tesis: Aislada, Fuente: Semanario Judicial de la Federación, Tomo VIII, Agosto de 1991, Materia(s): Civil, Tesis: Página: 165.</w:t>
      </w:r>
    </w:p>
    <w:p w14:paraId="0A938CD0"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lang w:eastAsia="es-MX"/>
        </w:rPr>
      </w:pPr>
      <w:r w:rsidRPr="002A2450">
        <w:rPr>
          <w:rFonts w:ascii="ITC Avant Garde" w:eastAsia="Times New Roman" w:hAnsi="ITC Avant Garde"/>
          <w:b/>
          <w:bCs/>
          <w:lang w:eastAsia="es-MX"/>
        </w:rPr>
        <w:lastRenderedPageBreak/>
        <w:t>CONDUCTA PROCESAL DE LAS PARTES.</w:t>
      </w:r>
      <w:r w:rsidRPr="002A2450">
        <w:rPr>
          <w:rFonts w:ascii="ITC Avant Garde" w:eastAsia="Times New Roman" w:hAnsi="ITC Avant Garde"/>
          <w:bCs/>
          <w:lang w:eastAsia="es-MX"/>
        </w:rPr>
        <w:t xml:space="preserve"> La jurisprudencia número 101 visible a páginas 278, de la Cuarta Parte del último Apéndice al Semanario Judicial de la Federación, con el rubro "Conducta procesal de las partes", sanciona como regla de derecho el aforismo jurídico "</w:t>
      </w:r>
      <w:proofErr w:type="spellStart"/>
      <w:r w:rsidRPr="002A2450">
        <w:rPr>
          <w:rFonts w:ascii="ITC Avant Garde" w:eastAsia="Times New Roman" w:hAnsi="ITC Avant Garde"/>
          <w:bCs/>
          <w:lang w:eastAsia="es-MX"/>
        </w:rPr>
        <w:t>venire</w:t>
      </w:r>
      <w:proofErr w:type="spellEnd"/>
      <w:r w:rsidRPr="002A2450">
        <w:rPr>
          <w:rFonts w:ascii="ITC Avant Garde" w:eastAsia="Times New Roman" w:hAnsi="ITC Avant Garde"/>
          <w:bCs/>
          <w:lang w:eastAsia="es-MX"/>
        </w:rPr>
        <w:t xml:space="preserve"> contra </w:t>
      </w:r>
      <w:proofErr w:type="spellStart"/>
      <w:r w:rsidRPr="002A2450">
        <w:rPr>
          <w:rFonts w:ascii="ITC Avant Garde" w:eastAsia="Times New Roman" w:hAnsi="ITC Avant Garde"/>
          <w:bCs/>
          <w:lang w:eastAsia="es-MX"/>
        </w:rPr>
        <w:t>actum</w:t>
      </w:r>
      <w:proofErr w:type="spellEnd"/>
      <w:r w:rsidRPr="002A2450">
        <w:rPr>
          <w:rFonts w:ascii="ITC Avant Garde" w:eastAsia="Times New Roman" w:hAnsi="ITC Avant Garde"/>
          <w:bCs/>
          <w:lang w:eastAsia="es-MX"/>
        </w:rPr>
        <w:t xml:space="preserve"> </w:t>
      </w:r>
      <w:proofErr w:type="spellStart"/>
      <w:r w:rsidRPr="002A2450">
        <w:rPr>
          <w:rFonts w:ascii="ITC Avant Garde" w:eastAsia="Times New Roman" w:hAnsi="ITC Avant Garde"/>
          <w:bCs/>
          <w:lang w:eastAsia="es-MX"/>
        </w:rPr>
        <w:t>propium</w:t>
      </w:r>
      <w:proofErr w:type="spellEnd"/>
      <w:r w:rsidRPr="002A2450">
        <w:rPr>
          <w:rFonts w:ascii="ITC Avant Garde" w:eastAsia="Times New Roman" w:hAnsi="ITC Avant Garde"/>
          <w:bCs/>
          <w:lang w:eastAsia="es-MX"/>
        </w:rPr>
        <w:t xml:space="preserve">", de no ser lícito a nadie ir, ni obrar, contra sus propios actos, </w:t>
      </w:r>
      <w:r w:rsidRPr="002A2450">
        <w:rPr>
          <w:rFonts w:ascii="ITC Avant Garde" w:eastAsia="Times New Roman" w:hAnsi="ITC Avant Garde"/>
          <w:b/>
          <w:bCs/>
          <w:u w:val="single"/>
          <w:lang w:eastAsia="es-MX"/>
        </w:rPr>
        <w:t xml:space="preserve">en el caso actos de reconocimiento, que implican renuncia a la defensa o excepción hecha valer en la </w:t>
      </w:r>
      <w:proofErr w:type="spellStart"/>
      <w:r w:rsidRPr="002A2450">
        <w:rPr>
          <w:rFonts w:ascii="ITC Avant Garde" w:eastAsia="Times New Roman" w:hAnsi="ITC Avant Garde"/>
          <w:b/>
          <w:bCs/>
          <w:u w:val="single"/>
          <w:lang w:eastAsia="es-MX"/>
        </w:rPr>
        <w:t>litis</w:t>
      </w:r>
      <w:proofErr w:type="spellEnd"/>
      <w:r w:rsidRPr="002A2450">
        <w:rPr>
          <w:rFonts w:ascii="ITC Avant Garde" w:eastAsia="Times New Roman" w:hAnsi="ITC Avant Garde"/>
          <w:b/>
          <w:bCs/>
          <w:u w:val="single"/>
          <w:lang w:eastAsia="es-MX"/>
        </w:rPr>
        <w:t xml:space="preserve"> de la que emana el acto reclamado, por carecer el reo de aptitud legal para oponerla, dado el acto de reconocimiento;</w:t>
      </w:r>
      <w:r w:rsidRPr="002A2450">
        <w:rPr>
          <w:rFonts w:ascii="ITC Avant Garde" w:eastAsia="Times New Roman" w:hAnsi="ITC Avant Garde"/>
          <w:bCs/>
          <w:lang w:eastAsia="es-MX"/>
        </w:rPr>
        <w:t xml:space="preserve"> y al no estimarlo así </w:t>
      </w:r>
      <w:r w:rsidRPr="002A2450">
        <w:rPr>
          <w:rFonts w:ascii="ITC Avant Garde" w:eastAsia="Times New Roman" w:hAnsi="ITC Avant Garde"/>
          <w:b/>
          <w:bCs/>
          <w:u w:val="single"/>
          <w:lang w:eastAsia="es-MX"/>
        </w:rPr>
        <w:t>el tribunal responsable infringe el expresado principio que veda esa inconsecuencia jurídica; pues dicha regla de derecho establece un límite del ejercicio de los derechos subjetivos o de las facultades jurídicas, impuesto por la buena fe, conforme al cual se decreta la inadmisibilidad de toda pretensión, contradictoria con el sentido objetivo de la conducta anterior del titular</w:t>
      </w:r>
      <w:r w:rsidRPr="002A2450">
        <w:rPr>
          <w:rFonts w:ascii="ITC Avant Garde" w:eastAsia="Times New Roman" w:hAnsi="ITC Avant Garde"/>
          <w:bCs/>
          <w:lang w:eastAsia="es-MX"/>
        </w:rPr>
        <w:t>.</w:t>
      </w:r>
    </w:p>
    <w:p w14:paraId="2B47D796" w14:textId="77777777" w:rsidR="00B35F13" w:rsidRDefault="00C33AF5" w:rsidP="00B35F13">
      <w:pPr>
        <w:pStyle w:val="Textoindependiente"/>
        <w:tabs>
          <w:tab w:val="left" w:pos="851"/>
        </w:tabs>
        <w:spacing w:before="240" w:after="160" w:line="360" w:lineRule="auto"/>
        <w:ind w:left="567" w:right="567"/>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 xml:space="preserve">Época: Séptima Época, Registro: 246691, Instancia: Tribunales Colegiados de Circuito, Tipo de Tesis: Aislada, Fuente: Semanario Judicial de la Federación, Volumen 217-228, Sexta Parte, Materia(s): Común Tesis: Página: 164 </w:t>
      </w:r>
    </w:p>
    <w:p w14:paraId="1FA74E4D"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Ahora bien, </w:t>
      </w:r>
      <w:r w:rsidR="00D649E4" w:rsidRPr="002A2450">
        <w:rPr>
          <w:rFonts w:ascii="ITC Avant Garde" w:hAnsi="ITC Avant Garde"/>
        </w:rPr>
        <w:t xml:space="preserve">en cuanto a la interpretación de realizada por esta autoridad derivada de la utilización de formalismos anglosajones, debe señalarse que en principio </w:t>
      </w:r>
      <w:r w:rsidRPr="002A2450">
        <w:rPr>
          <w:rFonts w:ascii="ITC Avant Garde" w:hAnsi="ITC Avant Garde"/>
        </w:rPr>
        <w:t xml:space="preserve">ello no es suficiente para desconocer que existe entre todas las empresas involucradas </w:t>
      </w:r>
      <w:r w:rsidR="00D649E4" w:rsidRPr="002A2450">
        <w:rPr>
          <w:rFonts w:ascii="ITC Avant Garde" w:hAnsi="ITC Avant Garde"/>
        </w:rPr>
        <w:t xml:space="preserve">un </w:t>
      </w:r>
      <w:r w:rsidRPr="002A2450">
        <w:rPr>
          <w:rFonts w:ascii="ITC Avant Garde" w:hAnsi="ITC Avant Garde"/>
        </w:rPr>
        <w:t xml:space="preserve">interés </w:t>
      </w:r>
      <w:r w:rsidR="00D649E4" w:rsidRPr="002A2450">
        <w:rPr>
          <w:rFonts w:ascii="ITC Avant Garde" w:hAnsi="ITC Avant Garde"/>
        </w:rPr>
        <w:t xml:space="preserve">común </w:t>
      </w:r>
      <w:r w:rsidRPr="002A2450">
        <w:rPr>
          <w:rFonts w:ascii="ITC Avant Garde" w:hAnsi="ITC Avant Garde"/>
        </w:rPr>
        <w:t xml:space="preserve">entre ellas para la celebración de los contratos respectivos </w:t>
      </w:r>
      <w:r w:rsidR="00D649E4" w:rsidRPr="002A2450">
        <w:rPr>
          <w:rFonts w:ascii="ITC Avant Garde" w:hAnsi="ITC Avant Garde"/>
        </w:rPr>
        <w:t xml:space="preserve">y en segundo lugar, la interpretación otorgada </w:t>
      </w:r>
      <w:r w:rsidR="00E64B69" w:rsidRPr="002A2450">
        <w:rPr>
          <w:rFonts w:ascii="ITC Avant Garde" w:hAnsi="ITC Avant Garde"/>
        </w:rPr>
        <w:t>a las formulas extranjeras no es tampoco un motivo para desvirtuar la conducta imputada puesto que independientemente de dichos formalismos (esto es, que intenta mitigar el riesgo de un reclamo posterior de una de las partes bajo el argumento de que no tuvo interés alguno al haber formado parte de un contrato, equivalente en México a nuestro derecho civil “lesión”), la in</w:t>
      </w:r>
      <w:r w:rsidR="00357EBE" w:rsidRPr="002A2450">
        <w:rPr>
          <w:rFonts w:ascii="ITC Avant Garde" w:hAnsi="ITC Avant Garde"/>
        </w:rPr>
        <w:t>t</w:t>
      </w:r>
      <w:r w:rsidR="00E64B69" w:rsidRPr="002A2450">
        <w:rPr>
          <w:rFonts w:ascii="ITC Avant Garde" w:hAnsi="ITC Avant Garde"/>
        </w:rPr>
        <w:t>ención o voluntad de las partes no se concreta con</w:t>
      </w:r>
      <w:r w:rsidR="00357EBE" w:rsidRPr="002A2450">
        <w:rPr>
          <w:rFonts w:ascii="ITC Avant Garde" w:hAnsi="ITC Avant Garde"/>
        </w:rPr>
        <w:t xml:space="preserve"> un simple formalismo anglosajón</w:t>
      </w:r>
      <w:r w:rsidR="00E64B69" w:rsidRPr="002A2450">
        <w:rPr>
          <w:rFonts w:ascii="ITC Avant Garde" w:hAnsi="ITC Avant Garde"/>
        </w:rPr>
        <w:t xml:space="preserve"> sino que la imputación se realiz</w:t>
      </w:r>
      <w:r w:rsidR="00357EBE" w:rsidRPr="002A2450">
        <w:rPr>
          <w:rFonts w:ascii="ITC Avant Garde" w:hAnsi="ITC Avant Garde"/>
        </w:rPr>
        <w:t xml:space="preserve">ó fue producto </w:t>
      </w:r>
      <w:r w:rsidR="00E64B69" w:rsidRPr="002A2450">
        <w:rPr>
          <w:rFonts w:ascii="ITC Avant Garde" w:hAnsi="ITC Avant Garde"/>
        </w:rPr>
        <w:t xml:space="preserve">del análisis </w:t>
      </w:r>
      <w:r w:rsidR="00357EBE" w:rsidRPr="002A2450">
        <w:rPr>
          <w:rFonts w:ascii="ITC Avant Garde" w:hAnsi="ITC Avant Garde"/>
        </w:rPr>
        <w:t xml:space="preserve">en </w:t>
      </w:r>
      <w:r w:rsidR="00E64B69" w:rsidRPr="002A2450">
        <w:rPr>
          <w:rFonts w:ascii="ITC Avant Garde" w:hAnsi="ITC Avant Garde"/>
        </w:rPr>
        <w:t xml:space="preserve">conjunto de los contratos celebrados y en ese sentido, la formula anglosajona </w:t>
      </w:r>
      <w:r w:rsidR="00E64B69" w:rsidRPr="002A2450">
        <w:rPr>
          <w:rFonts w:ascii="ITC Avant Garde" w:hAnsi="ITC Avant Garde"/>
        </w:rPr>
        <w:lastRenderedPageBreak/>
        <w:t xml:space="preserve">señalada sólo podría servir para confirmar la existencia de un interés </w:t>
      </w:r>
      <w:r w:rsidR="00357EBE" w:rsidRPr="002A2450">
        <w:rPr>
          <w:rFonts w:ascii="ITC Avant Garde" w:hAnsi="ITC Avant Garde"/>
        </w:rPr>
        <w:t xml:space="preserve">de las partes </w:t>
      </w:r>
      <w:r w:rsidR="00E64B69" w:rsidRPr="002A2450">
        <w:rPr>
          <w:rFonts w:ascii="ITC Avant Garde" w:hAnsi="ITC Avant Garde"/>
        </w:rPr>
        <w:t xml:space="preserve">respecto </w:t>
      </w:r>
      <w:r w:rsidR="00357EBE" w:rsidRPr="002A2450">
        <w:rPr>
          <w:rFonts w:ascii="ITC Avant Garde" w:hAnsi="ITC Avant Garde"/>
        </w:rPr>
        <w:t xml:space="preserve">de la </w:t>
      </w:r>
      <w:r w:rsidR="00E64B69" w:rsidRPr="002A2450">
        <w:rPr>
          <w:rFonts w:ascii="ITC Avant Garde" w:hAnsi="ITC Avant Garde"/>
          <w:i/>
        </w:rPr>
        <w:t xml:space="preserve">Alianza Estratégica </w:t>
      </w:r>
      <w:r w:rsidR="00357EBE" w:rsidRPr="002A2450">
        <w:rPr>
          <w:rFonts w:ascii="ITC Avant Garde" w:hAnsi="ITC Avant Garde"/>
        </w:rPr>
        <w:t xml:space="preserve">formada con </w:t>
      </w:r>
      <w:r w:rsidR="00357EBE" w:rsidRPr="002A2450">
        <w:rPr>
          <w:rFonts w:ascii="ITC Avant Garde" w:hAnsi="ITC Avant Garde"/>
          <w:b/>
        </w:rPr>
        <w:t xml:space="preserve">“TELMEX” </w:t>
      </w:r>
      <w:r w:rsidR="00E64B69" w:rsidRPr="002A2450">
        <w:rPr>
          <w:rFonts w:ascii="ITC Avant Garde" w:hAnsi="ITC Avant Garde"/>
        </w:rPr>
        <w:t xml:space="preserve">sin que </w:t>
      </w:r>
      <w:r w:rsidR="00357EBE" w:rsidRPr="002A2450">
        <w:rPr>
          <w:rFonts w:ascii="ITC Avant Garde" w:hAnsi="ITC Avant Garde"/>
        </w:rPr>
        <w:t xml:space="preserve">dentro de los contratos celebrados (por obvia razón) </w:t>
      </w:r>
      <w:r w:rsidR="00E64B69" w:rsidRPr="002A2450">
        <w:rPr>
          <w:rFonts w:ascii="ITC Avant Garde" w:hAnsi="ITC Avant Garde"/>
        </w:rPr>
        <w:t xml:space="preserve">exista un ánimo de lesión alguno, situación que no es desvirtuada en el presente caso y por tanto, sus manifestaciones </w:t>
      </w:r>
      <w:r w:rsidRPr="002A2450">
        <w:rPr>
          <w:rFonts w:ascii="ITC Avant Garde" w:hAnsi="ITC Avant Garde"/>
        </w:rPr>
        <w:t xml:space="preserve">resultan ser meras </w:t>
      </w:r>
      <w:r w:rsidR="00E64B69" w:rsidRPr="002A2450">
        <w:rPr>
          <w:rFonts w:ascii="ITC Avant Garde" w:hAnsi="ITC Avant Garde"/>
        </w:rPr>
        <w:t xml:space="preserve">consideraciones </w:t>
      </w:r>
      <w:r w:rsidRPr="002A2450">
        <w:rPr>
          <w:rFonts w:ascii="ITC Avant Garde" w:hAnsi="ITC Avant Garde"/>
        </w:rPr>
        <w:t xml:space="preserve">de hecho sin sustento alguno. </w:t>
      </w:r>
    </w:p>
    <w:p w14:paraId="1DD26A1B"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Ahora bien, </w:t>
      </w:r>
      <w:r w:rsidRPr="002A2450">
        <w:rPr>
          <w:rFonts w:ascii="ITC Avant Garde" w:hAnsi="ITC Avant Garde"/>
          <w:b/>
        </w:rPr>
        <w:t>“TELMEX”</w:t>
      </w:r>
      <w:r w:rsidRPr="002A2450">
        <w:rPr>
          <w:rFonts w:ascii="ITC Avant Garde" w:hAnsi="ITC Avant Garde"/>
        </w:rPr>
        <w:t xml:space="preserve"> manifiesta que dentro del acuerdo de inicio del procedimiento administrativo de imposición de sanción no se depuran las razones por que se considera que existe una relación más allá de la comercial y qu</w:t>
      </w:r>
      <w:r w:rsidR="007F28AD" w:rsidRPr="002A2450">
        <w:rPr>
          <w:rFonts w:ascii="ITC Avant Garde" w:hAnsi="ITC Avant Garde"/>
        </w:rPr>
        <w:t>é</w:t>
      </w:r>
      <w:r w:rsidRPr="002A2450">
        <w:rPr>
          <w:rFonts w:ascii="ITC Avant Garde" w:hAnsi="ITC Avant Garde"/>
        </w:rPr>
        <w:t xml:space="preserve"> cláusulas así lo señalan.</w:t>
      </w:r>
    </w:p>
    <w:p w14:paraId="4748C4CF"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Al respecto, debe señalarse que </w:t>
      </w:r>
      <w:r w:rsidRPr="002A2450">
        <w:rPr>
          <w:rFonts w:ascii="ITC Avant Garde" w:hAnsi="ITC Avant Garde"/>
          <w:b/>
        </w:rPr>
        <w:t>“TELMEX”</w:t>
      </w:r>
      <w:r w:rsidRPr="002A2450">
        <w:rPr>
          <w:rFonts w:ascii="ITC Avant Garde" w:hAnsi="ITC Avant Garde"/>
        </w:rPr>
        <w:t xml:space="preserve"> parte de una idea equivocada, puesto </w:t>
      </w:r>
      <w:r w:rsidR="00506E03" w:rsidRPr="002A2450">
        <w:rPr>
          <w:rFonts w:ascii="ITC Avant Garde" w:hAnsi="ITC Avant Garde"/>
        </w:rPr>
        <w:t xml:space="preserve">que el acuerdo de inicio debe entenderse como el acto de autoridad que </w:t>
      </w:r>
      <w:r w:rsidR="004471E3">
        <w:rPr>
          <w:rFonts w:ascii="ITC Avant Garde" w:hAnsi="ITC Avant Garde"/>
        </w:rPr>
        <w:t xml:space="preserve">establece de manera presuntiva la conducta cometida por </w:t>
      </w:r>
      <w:r w:rsidR="00506E03" w:rsidRPr="002A2450">
        <w:rPr>
          <w:rFonts w:ascii="ITC Avant Garde" w:hAnsi="ITC Avant Garde"/>
        </w:rPr>
        <w:t xml:space="preserve">el presunto responsable </w:t>
      </w:r>
      <w:r w:rsidR="00C833BE" w:rsidRPr="002A2450">
        <w:rPr>
          <w:rFonts w:ascii="ITC Avant Garde" w:hAnsi="ITC Avant Garde"/>
        </w:rPr>
        <w:t xml:space="preserve">ante </w:t>
      </w:r>
      <w:r w:rsidR="00702143" w:rsidRPr="002A2450">
        <w:rPr>
          <w:rFonts w:ascii="ITC Avant Garde" w:hAnsi="ITC Avant Garde"/>
        </w:rPr>
        <w:t>un</w:t>
      </w:r>
      <w:r w:rsidR="00C833BE" w:rsidRPr="002A2450">
        <w:rPr>
          <w:rFonts w:ascii="ITC Avant Garde" w:hAnsi="ITC Avant Garde"/>
        </w:rPr>
        <w:t xml:space="preserve"> eventual incumplimiento de sus obligaciones y en consecuencia lo sujeta a </w:t>
      </w:r>
      <w:r w:rsidRPr="002A2450">
        <w:rPr>
          <w:rFonts w:ascii="ITC Avant Garde" w:hAnsi="ITC Avant Garde"/>
        </w:rPr>
        <w:t>un procedimiento administrativo de imposición de sanción.</w:t>
      </w:r>
    </w:p>
    <w:p w14:paraId="6A5B7363"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En ese sentido</w:t>
      </w:r>
      <w:r w:rsidR="00506E03" w:rsidRPr="002A2450">
        <w:rPr>
          <w:rFonts w:ascii="ITC Avant Garde" w:hAnsi="ITC Avant Garde"/>
        </w:rPr>
        <w:t xml:space="preserve"> la conducta que se reprocha como incumplida no puede estar sujeta sólo a una parte o consideración señalada en el propio acuerdo de inicio sino que debe de analizarse en su conjunto, sobre la totalidad de elementos que la conforman para poder estimar cuáles fueron las consideraciones que la autoridad tomó en consideración para emitirlo.</w:t>
      </w:r>
    </w:p>
    <w:p w14:paraId="681E5280"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En el presente caso, el acuerdo de inicio del procedimiento administrativo de imposición de sanción </w:t>
      </w:r>
      <w:r w:rsidR="00C833BE" w:rsidRPr="002A2450">
        <w:rPr>
          <w:rFonts w:ascii="ITC Avant Garde" w:hAnsi="ITC Avant Garde"/>
        </w:rPr>
        <w:t xml:space="preserve">establece todo </w:t>
      </w:r>
      <w:r w:rsidRPr="002A2450">
        <w:rPr>
          <w:rFonts w:ascii="ITC Avant Garde" w:hAnsi="ITC Avant Garde"/>
        </w:rPr>
        <w:t xml:space="preserve">un capitulado con el objeto de señalar las consideraciones que </w:t>
      </w:r>
      <w:r w:rsidR="00C833BE" w:rsidRPr="002A2450">
        <w:rPr>
          <w:rFonts w:ascii="ITC Avant Garde" w:hAnsi="ITC Avant Garde"/>
        </w:rPr>
        <w:t xml:space="preserve">la autoridad </w:t>
      </w:r>
      <w:r w:rsidRPr="002A2450">
        <w:rPr>
          <w:rFonts w:ascii="ITC Avant Garde" w:hAnsi="ITC Avant Garde"/>
        </w:rPr>
        <w:t>estimó para realizar la imputación materia del presente procedimiento.</w:t>
      </w:r>
    </w:p>
    <w:p w14:paraId="0819DBB6"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Dicho capitulado es el siguiente:</w:t>
      </w:r>
    </w:p>
    <w:p w14:paraId="16D67714" w14:textId="6E4FD7E2" w:rsidR="00C33AF5" w:rsidRPr="002A2450" w:rsidRDefault="00C33AF5" w:rsidP="007E623E">
      <w:pPr>
        <w:pStyle w:val="Prrafodelista"/>
        <w:numPr>
          <w:ilvl w:val="0"/>
          <w:numId w:val="22"/>
        </w:numPr>
        <w:spacing w:before="240" w:line="360" w:lineRule="auto"/>
        <w:jc w:val="both"/>
        <w:rPr>
          <w:rFonts w:ascii="ITC Avant Garde" w:hAnsi="ITC Avant Garde"/>
        </w:rPr>
      </w:pPr>
      <w:r w:rsidRPr="002A2450">
        <w:rPr>
          <w:rFonts w:ascii="ITC Avant Garde" w:hAnsi="ITC Avant Garde"/>
        </w:rPr>
        <w:t xml:space="preserve">Análisis de las relaciones societarias </w:t>
      </w:r>
    </w:p>
    <w:p w14:paraId="3CA3068B" w14:textId="77777777" w:rsidR="00C33AF5" w:rsidRPr="002A2450" w:rsidRDefault="00C33AF5" w:rsidP="007E623E">
      <w:pPr>
        <w:pStyle w:val="Prrafodelista"/>
        <w:numPr>
          <w:ilvl w:val="0"/>
          <w:numId w:val="22"/>
        </w:numPr>
        <w:spacing w:before="240" w:line="360" w:lineRule="auto"/>
        <w:jc w:val="both"/>
        <w:rPr>
          <w:rFonts w:ascii="ITC Avant Garde" w:hAnsi="ITC Avant Garde"/>
        </w:rPr>
      </w:pPr>
      <w:r w:rsidRPr="002A2450">
        <w:rPr>
          <w:rFonts w:ascii="ITC Avant Garde" w:hAnsi="ITC Avant Garde"/>
        </w:rPr>
        <w:t>Análisis del contenido obligacional de los contratos</w:t>
      </w:r>
    </w:p>
    <w:p w14:paraId="553ED8E3" w14:textId="77777777" w:rsidR="00C33AF5" w:rsidRPr="002A2450" w:rsidRDefault="00C33AF5" w:rsidP="007E623E">
      <w:pPr>
        <w:pStyle w:val="Prrafodelista"/>
        <w:numPr>
          <w:ilvl w:val="0"/>
          <w:numId w:val="22"/>
        </w:numPr>
        <w:spacing w:before="240" w:line="360" w:lineRule="auto"/>
        <w:jc w:val="both"/>
        <w:rPr>
          <w:rFonts w:ascii="ITC Avant Garde" w:hAnsi="ITC Avant Garde"/>
        </w:rPr>
      </w:pPr>
      <w:r w:rsidRPr="002A2450">
        <w:rPr>
          <w:rFonts w:ascii="ITC Avant Garde" w:hAnsi="ITC Avant Garde"/>
        </w:rPr>
        <w:lastRenderedPageBreak/>
        <w:t xml:space="preserve">Presunto incumplimiento a la condición 1-9 del Título de Concesión de </w:t>
      </w:r>
      <w:r w:rsidRPr="002A2450">
        <w:rPr>
          <w:rFonts w:ascii="ITC Avant Garde" w:hAnsi="ITC Avant Garde"/>
          <w:b/>
        </w:rPr>
        <w:t>“TELMEX”</w:t>
      </w:r>
    </w:p>
    <w:p w14:paraId="671366DC"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Injerencia y participación en la toma de decisiones</w:t>
      </w:r>
    </w:p>
    <w:p w14:paraId="6E5E036D"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 xml:space="preserve">Posibilidad de </w:t>
      </w:r>
      <w:r w:rsidRPr="002A2450">
        <w:rPr>
          <w:rFonts w:ascii="ITC Avant Garde" w:hAnsi="ITC Avant Garde"/>
          <w:b/>
        </w:rPr>
        <w:t>“TELMEX”</w:t>
      </w:r>
      <w:r w:rsidRPr="002A2450">
        <w:rPr>
          <w:rFonts w:ascii="ITC Avant Garde" w:hAnsi="ITC Avant Garde"/>
        </w:rPr>
        <w:t xml:space="preserve"> para participar en el pago de dividendos</w:t>
      </w:r>
    </w:p>
    <w:p w14:paraId="27B64FF4"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 xml:space="preserve">De la inversión (simulada) de </w:t>
      </w:r>
      <w:r w:rsidRPr="002A2450">
        <w:rPr>
          <w:rFonts w:ascii="ITC Avant Garde" w:hAnsi="ITC Avant Garde"/>
          <w:b/>
        </w:rPr>
        <w:t>“TELMEX”</w:t>
      </w:r>
    </w:p>
    <w:p w14:paraId="18261816"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Influencia de</w:t>
      </w:r>
      <w:r w:rsidRPr="002A2450">
        <w:rPr>
          <w:rFonts w:ascii="ITC Avant Garde" w:hAnsi="ITC Avant Garde"/>
          <w:b/>
        </w:rPr>
        <w:t xml:space="preserve"> </w:t>
      </w:r>
      <w:r w:rsidRPr="002A2450">
        <w:rPr>
          <w:rFonts w:ascii="ITC Avant Garde" w:hAnsi="ITC Avant Garde"/>
        </w:rPr>
        <w:t xml:space="preserve">“TELMEX” en la comercialización del servicio </w:t>
      </w:r>
      <w:r w:rsidRPr="002A2450">
        <w:rPr>
          <w:rFonts w:ascii="ITC Avant Garde" w:hAnsi="ITC Avant Garde"/>
          <w:b/>
        </w:rPr>
        <w:t>“DTH”</w:t>
      </w:r>
    </w:p>
    <w:p w14:paraId="0876D2AC"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 xml:space="preserve">Control indirecto y negativo de </w:t>
      </w:r>
      <w:r w:rsidRPr="002A2450">
        <w:rPr>
          <w:rFonts w:ascii="ITC Avant Garde" w:hAnsi="ITC Avant Garde"/>
          <w:b/>
        </w:rPr>
        <w:t>“TELMEX”</w:t>
      </w:r>
    </w:p>
    <w:p w14:paraId="517CB952" w14:textId="77777777" w:rsidR="00C33AF5" w:rsidRPr="002A2450" w:rsidRDefault="00C33AF5" w:rsidP="007E623E">
      <w:pPr>
        <w:pStyle w:val="Prrafodelista"/>
        <w:numPr>
          <w:ilvl w:val="1"/>
          <w:numId w:val="23"/>
        </w:numPr>
        <w:spacing w:before="240" w:line="360" w:lineRule="auto"/>
        <w:jc w:val="both"/>
        <w:rPr>
          <w:rFonts w:ascii="ITC Avant Garde" w:hAnsi="ITC Avant Garde"/>
        </w:rPr>
      </w:pPr>
      <w:r w:rsidRPr="002A2450">
        <w:rPr>
          <w:rFonts w:ascii="ITC Avant Garde" w:hAnsi="ITC Avant Garde"/>
        </w:rPr>
        <w:t xml:space="preserve">Obligación de participación conjunta en negocios que compitan con el de </w:t>
      </w:r>
      <w:r w:rsidRPr="002A2450">
        <w:rPr>
          <w:rFonts w:ascii="ITC Avant Garde" w:hAnsi="ITC Avant Garde"/>
          <w:b/>
        </w:rPr>
        <w:t>“DISH”</w:t>
      </w:r>
      <w:r w:rsidRPr="002A2450">
        <w:rPr>
          <w:rFonts w:ascii="ITC Avant Garde" w:hAnsi="ITC Avant Garde"/>
        </w:rPr>
        <w:t xml:space="preserve"> </w:t>
      </w:r>
    </w:p>
    <w:p w14:paraId="38DE5867" w14:textId="77777777" w:rsidR="00C33AF5" w:rsidRPr="002A2450" w:rsidRDefault="00C33AF5" w:rsidP="007E623E">
      <w:pPr>
        <w:pStyle w:val="Prrafodelista"/>
        <w:numPr>
          <w:ilvl w:val="1"/>
          <w:numId w:val="23"/>
        </w:numPr>
        <w:spacing w:before="240" w:line="360" w:lineRule="auto"/>
        <w:jc w:val="both"/>
        <w:rPr>
          <w:rFonts w:ascii="ITC Avant Garde" w:hAnsi="ITC Avant Garde"/>
        </w:rPr>
      </w:pPr>
      <w:r w:rsidRPr="002A2450">
        <w:rPr>
          <w:rFonts w:ascii="ITC Avant Garde" w:hAnsi="ITC Avant Garde"/>
        </w:rPr>
        <w:t>Restricciones para enajenar partes sociales, comprar activos, constituir gravámenes, asumir deuda, modificar su línea de negocios</w:t>
      </w:r>
    </w:p>
    <w:p w14:paraId="44F24A8C" w14:textId="77777777" w:rsidR="00C33AF5" w:rsidRPr="002A2450" w:rsidRDefault="00C33AF5" w:rsidP="007E623E">
      <w:pPr>
        <w:pStyle w:val="Prrafodelista"/>
        <w:numPr>
          <w:ilvl w:val="1"/>
          <w:numId w:val="23"/>
        </w:numPr>
        <w:spacing w:before="240" w:line="360" w:lineRule="auto"/>
        <w:jc w:val="both"/>
        <w:rPr>
          <w:rFonts w:ascii="ITC Avant Garde" w:hAnsi="ITC Avant Garde"/>
        </w:rPr>
      </w:pPr>
      <w:r w:rsidRPr="002A2450">
        <w:rPr>
          <w:rFonts w:ascii="ITC Avant Garde" w:hAnsi="ITC Avant Garde"/>
        </w:rPr>
        <w:t>Cláusula de no competencia</w:t>
      </w:r>
    </w:p>
    <w:p w14:paraId="1E22C29D"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 xml:space="preserve">De la composición societaria </w:t>
      </w:r>
    </w:p>
    <w:p w14:paraId="3690CE23" w14:textId="77777777" w:rsidR="00C33AF5" w:rsidRPr="002A2450"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De la explotación</w:t>
      </w:r>
    </w:p>
    <w:p w14:paraId="3FD47E4E" w14:textId="77777777" w:rsidR="00B35F13" w:rsidRDefault="00C33AF5" w:rsidP="007E623E">
      <w:pPr>
        <w:pStyle w:val="Prrafodelista"/>
        <w:numPr>
          <w:ilvl w:val="0"/>
          <w:numId w:val="23"/>
        </w:numPr>
        <w:spacing w:before="240" w:line="360" w:lineRule="auto"/>
        <w:jc w:val="both"/>
        <w:rPr>
          <w:rFonts w:ascii="ITC Avant Garde" w:hAnsi="ITC Avant Garde"/>
        </w:rPr>
      </w:pPr>
      <w:r w:rsidRPr="002A2450">
        <w:rPr>
          <w:rFonts w:ascii="ITC Avant Garde" w:hAnsi="ITC Avant Garde"/>
        </w:rPr>
        <w:t xml:space="preserve">Conclusión </w:t>
      </w:r>
    </w:p>
    <w:p w14:paraId="176AEAA1" w14:textId="77777777" w:rsidR="00B35F13" w:rsidRDefault="004E36B3" w:rsidP="00B35F13">
      <w:pPr>
        <w:spacing w:before="240" w:line="360" w:lineRule="auto"/>
        <w:jc w:val="both"/>
        <w:rPr>
          <w:rFonts w:ascii="ITC Avant Garde" w:hAnsi="ITC Avant Garde"/>
        </w:rPr>
      </w:pPr>
      <w:r w:rsidRPr="002A2450">
        <w:rPr>
          <w:rFonts w:ascii="ITC Avant Garde" w:hAnsi="ITC Avant Garde"/>
        </w:rPr>
        <w:t>D</w:t>
      </w:r>
      <w:r w:rsidR="00C33AF5" w:rsidRPr="002A2450">
        <w:rPr>
          <w:rFonts w:ascii="ITC Avant Garde" w:hAnsi="ITC Avant Garde"/>
        </w:rPr>
        <w:t xml:space="preserve">el capitulado anterior, se establecen las consideraciones observadas de los contratos sometidos a estudio, su análisis y la conclusión arribada por esta autoridad, en dónde efectivamente se </w:t>
      </w:r>
      <w:r w:rsidR="00C833BE" w:rsidRPr="002A2450">
        <w:rPr>
          <w:rFonts w:ascii="ITC Avant Garde" w:hAnsi="ITC Avant Garde"/>
        </w:rPr>
        <w:t xml:space="preserve">esgrimieron de forma detallada </w:t>
      </w:r>
      <w:r w:rsidR="00C33AF5" w:rsidRPr="002A2450">
        <w:rPr>
          <w:rFonts w:ascii="ITC Avant Garde" w:hAnsi="ITC Avant Garde"/>
        </w:rPr>
        <w:t>las razones que esta autoridad estimo pertinente para el inicio del procedimiento administrativo de imposición.</w:t>
      </w:r>
    </w:p>
    <w:p w14:paraId="556D43DA" w14:textId="77777777" w:rsidR="00B35F13" w:rsidRDefault="00C833BE" w:rsidP="00B35F13">
      <w:pPr>
        <w:spacing w:before="240" w:line="360" w:lineRule="auto"/>
        <w:jc w:val="both"/>
        <w:rPr>
          <w:rFonts w:ascii="ITC Avant Garde" w:hAnsi="ITC Avant Garde"/>
        </w:rPr>
      </w:pPr>
      <w:r w:rsidRPr="002A2450">
        <w:rPr>
          <w:rFonts w:ascii="ITC Avant Garde" w:hAnsi="ITC Avant Garde"/>
        </w:rPr>
        <w:t xml:space="preserve">En dicho acuerdo de inicio de procedimiento administrativo, se abarcó la prohibición que tiene </w:t>
      </w:r>
      <w:r w:rsidRPr="002A2450">
        <w:rPr>
          <w:rFonts w:ascii="ITC Avant Garde" w:hAnsi="ITC Avant Garde"/>
          <w:b/>
        </w:rPr>
        <w:t xml:space="preserve">“TELMEX” </w:t>
      </w:r>
      <w:r w:rsidRPr="002A2450">
        <w:rPr>
          <w:rFonts w:ascii="ITC Avant Garde" w:hAnsi="ITC Avant Garde"/>
        </w:rPr>
        <w:t xml:space="preserve">para explotar indirectamente una concesión para prestar el servicio de televisión en el país, en términos del </w:t>
      </w:r>
      <w:r w:rsidR="00B15C84" w:rsidRPr="009E34A4">
        <w:rPr>
          <w:rFonts w:ascii="ITC Avant Garde" w:hAnsi="ITC Avant Garde"/>
          <w:b/>
        </w:rPr>
        <w:t>Tercer Párrafo</w:t>
      </w:r>
      <w:r w:rsidRPr="002A2450">
        <w:rPr>
          <w:rFonts w:ascii="ITC Avant Garde" w:hAnsi="ITC Avant Garde"/>
        </w:rPr>
        <w:t xml:space="preserve"> de la condición 1-9 de su </w:t>
      </w:r>
      <w:r w:rsidRPr="002A2450">
        <w:rPr>
          <w:rFonts w:ascii="ITC Avant Garde" w:hAnsi="ITC Avant Garde"/>
          <w:b/>
        </w:rPr>
        <w:t xml:space="preserve">“TÍTULO DE CONCESIÓN”, </w:t>
      </w:r>
      <w:r w:rsidRPr="002A2450">
        <w:rPr>
          <w:rFonts w:ascii="ITC Avant Garde" w:hAnsi="ITC Avant Garde"/>
        </w:rPr>
        <w:t xml:space="preserve">acudiendo a la interpretación gramatical y teleológica de dicha condición. </w:t>
      </w:r>
    </w:p>
    <w:p w14:paraId="77878C13" w14:textId="77777777" w:rsidR="00B35F13" w:rsidRDefault="00C833BE" w:rsidP="00B35F13">
      <w:pPr>
        <w:spacing w:before="240" w:line="360" w:lineRule="auto"/>
        <w:jc w:val="both"/>
        <w:rPr>
          <w:rFonts w:ascii="ITC Avant Garde" w:hAnsi="ITC Avant Garde"/>
        </w:rPr>
      </w:pPr>
      <w:r w:rsidRPr="002A2450">
        <w:rPr>
          <w:rFonts w:ascii="ITC Avant Garde" w:hAnsi="ITC Avant Garde"/>
        </w:rPr>
        <w:lastRenderedPageBreak/>
        <w:t xml:space="preserve">Asimismo, se analizaron las formas de control societario existentes para después observar el contenido obligacional de los contratos celebrados por </w:t>
      </w:r>
      <w:r w:rsidRPr="002A2450">
        <w:rPr>
          <w:rFonts w:ascii="ITC Avant Garde" w:hAnsi="ITC Avant Garde"/>
          <w:b/>
        </w:rPr>
        <w:t>“TELMEX”</w:t>
      </w:r>
      <w:r w:rsidRPr="002A2450">
        <w:rPr>
          <w:rFonts w:ascii="ITC Avant Garde" w:hAnsi="ITC Avant Garde"/>
        </w:rPr>
        <w:t xml:space="preserve"> y a partir de ello, es como se pudo llegar a presumir el incumplimiento de la citada condición.</w:t>
      </w:r>
    </w:p>
    <w:p w14:paraId="299DE0E3"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Por tanto, contrario a lo señalado por </w:t>
      </w:r>
      <w:r w:rsidRPr="002A2450">
        <w:rPr>
          <w:rFonts w:ascii="ITC Avant Garde" w:hAnsi="ITC Avant Garde"/>
          <w:b/>
        </w:rPr>
        <w:t>“TELMEX”</w:t>
      </w:r>
      <w:r w:rsidRPr="002A2450">
        <w:rPr>
          <w:rFonts w:ascii="ITC Avant Garde" w:hAnsi="ITC Avant Garde"/>
        </w:rPr>
        <w:t xml:space="preserve"> esta autoridad si manifestó las razones por las que consideró que dicha concesionario probablemente incumplió lo establecido en </w:t>
      </w:r>
      <w:r w:rsidR="00C833BE" w:rsidRPr="002A2450">
        <w:rPr>
          <w:rFonts w:ascii="ITC Avant Garde" w:hAnsi="ITC Avant Garde"/>
        </w:rPr>
        <w:t>e</w:t>
      </w:r>
      <w:r w:rsidRPr="002A2450">
        <w:rPr>
          <w:rFonts w:ascii="ITC Avant Garde" w:hAnsi="ITC Avant Garde"/>
        </w:rPr>
        <w:t xml:space="preserve">l </w:t>
      </w:r>
      <w:r w:rsidR="00B15C84" w:rsidRPr="009E34A4">
        <w:rPr>
          <w:rFonts w:ascii="ITC Avant Garde" w:hAnsi="ITC Avant Garde"/>
          <w:b/>
        </w:rPr>
        <w:t>Tercer Párrafo</w:t>
      </w:r>
      <w:r w:rsidR="00C833BE" w:rsidRPr="002A2450">
        <w:rPr>
          <w:rFonts w:ascii="ITC Avant Garde" w:hAnsi="ITC Avant Garde"/>
        </w:rPr>
        <w:t xml:space="preserve"> de la </w:t>
      </w:r>
      <w:r w:rsidRPr="002A2450">
        <w:rPr>
          <w:rFonts w:ascii="ITC Avant Garde" w:hAnsi="ITC Avant Garde"/>
        </w:rPr>
        <w:t xml:space="preserve">condición 19- de su </w:t>
      </w:r>
      <w:r w:rsidR="00773895" w:rsidRPr="002A2450">
        <w:rPr>
          <w:rFonts w:ascii="ITC Avant Garde" w:hAnsi="ITC Avant Garde"/>
          <w:b/>
        </w:rPr>
        <w:t>“TÍTULO DE CONCESIÓN”</w:t>
      </w:r>
      <w:r w:rsidRPr="002A2450">
        <w:rPr>
          <w:rFonts w:ascii="ITC Avant Garde" w:hAnsi="ITC Avant Garde"/>
        </w:rPr>
        <w:t>.</w:t>
      </w:r>
    </w:p>
    <w:p w14:paraId="4640A35E"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En ese sentido, las manifestaciones realizadas por dicha empresa son parciales y pretende</w:t>
      </w:r>
      <w:r w:rsidR="00C833BE" w:rsidRPr="002A2450">
        <w:rPr>
          <w:rFonts w:ascii="ITC Avant Garde" w:hAnsi="ITC Avant Garde"/>
        </w:rPr>
        <w:t>n</w:t>
      </w:r>
      <w:r w:rsidRPr="002A2450">
        <w:rPr>
          <w:rFonts w:ascii="ITC Avant Garde" w:hAnsi="ITC Avant Garde"/>
        </w:rPr>
        <w:t xml:space="preserve"> sacar de contexto el razonamiento formulado en el acuerdo de inicio cuando en realidad dicho documento debe ser valorado e interpretado en su totalidad.</w:t>
      </w:r>
    </w:p>
    <w:p w14:paraId="733E960D"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En tales consideraciones sus argumentos resultan insuficientes para desvirtuar la conducta materia del presente procedimiento al ser únicamente meras manifestaciones s</w:t>
      </w:r>
      <w:r w:rsidR="001F1E7D" w:rsidRPr="002A2450">
        <w:rPr>
          <w:rFonts w:ascii="ITC Avant Garde" w:hAnsi="ITC Avant Garde"/>
        </w:rPr>
        <w:t xml:space="preserve">in fundamento y sustento alguno, puesto que como se ha advertido, esta autoridad si expuso las razones por las que imputó la conducta materia del presente procedimiento sin que </w:t>
      </w:r>
      <w:r w:rsidR="00C833BE" w:rsidRPr="002A2450">
        <w:rPr>
          <w:rFonts w:ascii="ITC Avant Garde" w:hAnsi="ITC Avant Garde"/>
        </w:rPr>
        <w:t xml:space="preserve">respecto a </w:t>
      </w:r>
      <w:r w:rsidR="001F1E7D" w:rsidRPr="002A2450">
        <w:rPr>
          <w:rFonts w:ascii="ITC Avant Garde" w:hAnsi="ITC Avant Garde"/>
        </w:rPr>
        <w:t xml:space="preserve">las mismas </w:t>
      </w:r>
      <w:r w:rsidR="001F1E7D" w:rsidRPr="002A2450">
        <w:rPr>
          <w:rFonts w:ascii="ITC Avant Garde" w:hAnsi="ITC Avant Garde"/>
          <w:b/>
        </w:rPr>
        <w:t>“TELMEX”</w:t>
      </w:r>
      <w:r w:rsidR="001F1E7D" w:rsidRPr="002A2450">
        <w:rPr>
          <w:rFonts w:ascii="ITC Avant Garde" w:hAnsi="ITC Avant Garde"/>
        </w:rPr>
        <w:t xml:space="preserve"> manifieste en forma concreta cómo dichas consideraciones no pueden determinar la conclusión a la que esta autoridad arribo, por lo que es dable concluir que sus manifestaciones son meras manifestaciones sin sustento alguno. </w:t>
      </w:r>
    </w:p>
    <w:p w14:paraId="4115F529"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Ahora bien, bajo esa línea argumentativa </w:t>
      </w:r>
      <w:r w:rsidRPr="002A2450">
        <w:rPr>
          <w:rFonts w:ascii="ITC Avant Garde" w:hAnsi="ITC Avant Garde"/>
          <w:b/>
        </w:rPr>
        <w:t>“TELMEX”</w:t>
      </w:r>
      <w:r w:rsidRPr="002A2450">
        <w:rPr>
          <w:rFonts w:ascii="ITC Avant Garde" w:hAnsi="ITC Avant Garde"/>
        </w:rPr>
        <w:t xml:space="preserve"> pretende señalar que sólo existe una relación vacía en la transcripción de las disposiciones contractuales sin que de las mismas se llegue a conocer el fondo de dichos contratos.</w:t>
      </w:r>
    </w:p>
    <w:p w14:paraId="5C915019" w14:textId="77777777" w:rsidR="00B35F13" w:rsidRDefault="00C33AF5" w:rsidP="00B35F13">
      <w:pPr>
        <w:spacing w:before="240" w:line="360" w:lineRule="auto"/>
        <w:jc w:val="both"/>
        <w:rPr>
          <w:rFonts w:ascii="ITC Avant Garde" w:hAnsi="ITC Avant Garde"/>
          <w:b/>
        </w:rPr>
      </w:pPr>
      <w:r w:rsidRPr="002A2450">
        <w:rPr>
          <w:rFonts w:ascii="ITC Avant Garde" w:hAnsi="ITC Avant Garde"/>
        </w:rPr>
        <w:t xml:space="preserve">Al respecto, debe reiterarse lo señalado en líneas previas, esto es, el acuerdo de inicio debe ser interpretado como un todo, de ahí que efectivamente la transcripción del contenido obligacional de ciertas cláusulas de los contratos celebrados de manera independiente, jurídicamente no acreditan conducta </w:t>
      </w:r>
      <w:r w:rsidRPr="002A2450">
        <w:rPr>
          <w:rFonts w:ascii="ITC Avant Garde" w:hAnsi="ITC Avant Garde"/>
        </w:rPr>
        <w:lastRenderedPageBreak/>
        <w:t xml:space="preserve">alguna, sin embargo, a la luz de una interpretación conjunta de los mismos es posible observar el mecanismo generado por los mismos, de lo que se sigue que para llegar a la interpretación correcta del acuerdo de inicio del procedimiento administrativo de imposición de sanción debe realizarse de manera conjunta con lo señalado en cada parte de su capitulado para obtener una interpretación completa de la imputación y no parcial y sesgada como lo pretende hacer ver </w:t>
      </w:r>
      <w:r w:rsidRPr="002A2450">
        <w:rPr>
          <w:rFonts w:ascii="ITC Avant Garde" w:hAnsi="ITC Avant Garde"/>
          <w:b/>
        </w:rPr>
        <w:t>“TELMEX”.</w:t>
      </w:r>
    </w:p>
    <w:p w14:paraId="1022898E"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 xml:space="preserve">En ese sentido, vale la pena señalar que </w:t>
      </w:r>
      <w:r w:rsidRPr="002A2450">
        <w:rPr>
          <w:rFonts w:ascii="ITC Avant Garde" w:hAnsi="ITC Avant Garde"/>
          <w:b/>
        </w:rPr>
        <w:t xml:space="preserve">“TELMEX” </w:t>
      </w:r>
      <w:r w:rsidRPr="002A2450">
        <w:rPr>
          <w:rFonts w:ascii="ITC Avant Garde" w:hAnsi="ITC Avant Garde"/>
        </w:rPr>
        <w:t>advierte que el convenio entre socios nunca se firmó, razón por la cual el acuerdo de inicio llegó a conclusiones erróneas e imprecisas.</w:t>
      </w:r>
    </w:p>
    <w:p w14:paraId="63B52E6E" w14:textId="77777777" w:rsidR="00B35F13" w:rsidRDefault="00DC15E5" w:rsidP="00B35F13">
      <w:pPr>
        <w:spacing w:before="240" w:line="360" w:lineRule="auto"/>
        <w:jc w:val="both"/>
        <w:rPr>
          <w:rFonts w:ascii="ITC Avant Garde" w:hAnsi="ITC Avant Garde"/>
        </w:rPr>
      </w:pPr>
      <w:r w:rsidRPr="002A2450">
        <w:rPr>
          <w:rFonts w:ascii="ITC Avant Garde" w:hAnsi="ITC Avant Garde"/>
        </w:rPr>
        <w:t xml:space="preserve">Al respecto, debe señalarse que el argumento señalado por </w:t>
      </w:r>
      <w:r w:rsidRPr="002A2450">
        <w:rPr>
          <w:rFonts w:ascii="ITC Avant Garde" w:hAnsi="ITC Avant Garde"/>
          <w:b/>
        </w:rPr>
        <w:t>“TELMEX”</w:t>
      </w:r>
      <w:r w:rsidRPr="002A2450">
        <w:rPr>
          <w:rFonts w:ascii="ITC Avant Garde" w:hAnsi="ITC Avant Garde"/>
        </w:rPr>
        <w:t xml:space="preserve"> también es erróneo </w:t>
      </w:r>
      <w:r w:rsidR="00911148">
        <w:rPr>
          <w:rFonts w:ascii="ITC Avant Garde" w:hAnsi="ITC Avant Garde"/>
        </w:rPr>
        <w:t>en</w:t>
      </w:r>
      <w:r w:rsidRPr="002A2450">
        <w:rPr>
          <w:rFonts w:ascii="ITC Avant Garde" w:hAnsi="ITC Avant Garde"/>
        </w:rPr>
        <w:t xml:space="preserve"> razón de que de la transcripción de las cláusulas </w:t>
      </w:r>
      <w:r w:rsidR="00911148">
        <w:rPr>
          <w:rFonts w:ascii="ITC Avant Garde" w:hAnsi="ITC Avant Garde"/>
        </w:rPr>
        <w:t xml:space="preserve">relativas al convenio entre socios  </w:t>
      </w:r>
      <w:r w:rsidRPr="002A2450">
        <w:rPr>
          <w:rFonts w:ascii="ITC Avant Garde" w:hAnsi="ITC Avant Garde"/>
        </w:rPr>
        <w:t>fue realizad</w:t>
      </w:r>
      <w:r w:rsidR="00911148">
        <w:rPr>
          <w:rFonts w:ascii="ITC Avant Garde" w:hAnsi="ITC Avant Garde"/>
        </w:rPr>
        <w:t>a</w:t>
      </w:r>
      <w:r w:rsidRPr="002A2450">
        <w:rPr>
          <w:rFonts w:ascii="ITC Avant Garde" w:hAnsi="ITC Avant Garde"/>
        </w:rPr>
        <w:t xml:space="preserve"> </w:t>
      </w:r>
      <w:r w:rsidR="001B1FD0" w:rsidRPr="002A2450">
        <w:rPr>
          <w:rFonts w:ascii="ITC Avant Garde" w:hAnsi="ITC Avant Garde"/>
        </w:rPr>
        <w:t xml:space="preserve">de manera previa al </w:t>
      </w:r>
      <w:r w:rsidRPr="002A2450">
        <w:rPr>
          <w:rFonts w:ascii="ITC Avant Garde" w:hAnsi="ITC Avant Garde"/>
        </w:rPr>
        <w:t xml:space="preserve">escrito presentado el diez de septiembre de dos mil quince por parte de </w:t>
      </w:r>
      <w:r w:rsidRPr="002A2450">
        <w:rPr>
          <w:rFonts w:ascii="ITC Avant Garde" w:hAnsi="ITC Avant Garde"/>
          <w:b/>
        </w:rPr>
        <w:t>“TELMEX”,</w:t>
      </w:r>
      <w:r w:rsidRPr="002A2450">
        <w:rPr>
          <w:rFonts w:ascii="ITC Avant Garde" w:hAnsi="ITC Avant Garde"/>
        </w:rPr>
        <w:t xml:space="preserve"> en el cual exhibió el convenio de terminación de los convenios de opción y consecuencias, </w:t>
      </w:r>
      <w:r w:rsidR="00911148">
        <w:rPr>
          <w:rFonts w:ascii="ITC Avant Garde" w:hAnsi="ITC Avant Garde"/>
        </w:rPr>
        <w:t xml:space="preserve">de donde se desprende con claridad que dicho convenio entre socios no se celebró.  Por tal </w:t>
      </w:r>
      <w:r w:rsidRPr="002A2450">
        <w:rPr>
          <w:rFonts w:ascii="ITC Avant Garde" w:hAnsi="ITC Avant Garde"/>
        </w:rPr>
        <w:t>motivo</w:t>
      </w:r>
      <w:r w:rsidR="001B1FD0" w:rsidRPr="002A2450">
        <w:rPr>
          <w:rFonts w:ascii="ITC Avant Garde" w:hAnsi="ITC Avant Garde"/>
        </w:rPr>
        <w:t>,</w:t>
      </w:r>
      <w:r w:rsidRPr="002A2450">
        <w:rPr>
          <w:rFonts w:ascii="ITC Avant Garde" w:hAnsi="ITC Avant Garde"/>
        </w:rPr>
        <w:t xml:space="preserve"> al momento de la emisión del acuerdo de inicio</w:t>
      </w:r>
      <w:r w:rsidR="001B1FD0" w:rsidRPr="002A2450">
        <w:rPr>
          <w:rFonts w:ascii="ITC Avant Garde" w:hAnsi="ITC Avant Garde"/>
        </w:rPr>
        <w:t>,</w:t>
      </w:r>
      <w:r w:rsidRPr="002A2450">
        <w:rPr>
          <w:rFonts w:ascii="ITC Avant Garde" w:hAnsi="ITC Avant Garde"/>
        </w:rPr>
        <w:t xml:space="preserve"> dichos elementos no formaban parte de la imputación realizada. </w:t>
      </w:r>
    </w:p>
    <w:p w14:paraId="305A6A1C" w14:textId="77777777" w:rsidR="00B35F13" w:rsidRDefault="00DC15E5" w:rsidP="00B35F13">
      <w:pPr>
        <w:spacing w:before="240" w:line="360" w:lineRule="auto"/>
        <w:jc w:val="both"/>
        <w:rPr>
          <w:rFonts w:ascii="ITC Avant Garde" w:hAnsi="ITC Avant Garde"/>
        </w:rPr>
      </w:pPr>
      <w:r w:rsidRPr="002A2450">
        <w:rPr>
          <w:rFonts w:ascii="ITC Avant Garde" w:hAnsi="ITC Avant Garde"/>
        </w:rPr>
        <w:t xml:space="preserve">En ese sentido, terminado o no dicho contrato, antes o después del acuerdo de inicio, el mismo no resulta relevante para determinar la presunta responsabilidad determinada a </w:t>
      </w:r>
      <w:r w:rsidRPr="002A2450">
        <w:rPr>
          <w:rFonts w:ascii="ITC Avant Garde" w:hAnsi="ITC Avant Garde"/>
          <w:b/>
        </w:rPr>
        <w:t>“TELMEX”</w:t>
      </w:r>
      <w:r w:rsidRPr="002A2450">
        <w:rPr>
          <w:rFonts w:ascii="ITC Avant Garde" w:hAnsi="ITC Avant Garde"/>
        </w:rPr>
        <w:t xml:space="preserve"> puesto que la transcripción realizada en el acuerdo de inicio sirvió únicamente para resaltar la interdependencia de los contratos</w:t>
      </w:r>
      <w:r w:rsidR="00911148">
        <w:rPr>
          <w:rFonts w:ascii="ITC Avant Garde" w:hAnsi="ITC Avant Garde"/>
        </w:rPr>
        <w:t>, particularmente por lo que hace a las declaraciones de las partes contratantes</w:t>
      </w:r>
      <w:r w:rsidRPr="002A2450">
        <w:rPr>
          <w:rFonts w:ascii="ITC Avant Garde" w:hAnsi="ITC Avant Garde"/>
        </w:rPr>
        <w:t>.</w:t>
      </w:r>
    </w:p>
    <w:p w14:paraId="40B6CF45" w14:textId="77777777" w:rsidR="00B35F13" w:rsidRDefault="006821B3" w:rsidP="00B35F13">
      <w:pPr>
        <w:spacing w:before="240" w:line="360" w:lineRule="auto"/>
        <w:jc w:val="both"/>
        <w:rPr>
          <w:rFonts w:ascii="ITC Avant Garde" w:hAnsi="ITC Avant Garde"/>
        </w:rPr>
      </w:pPr>
      <w:r w:rsidRPr="002A2450">
        <w:rPr>
          <w:rFonts w:ascii="ITC Avant Garde" w:hAnsi="ITC Avant Garde"/>
        </w:rPr>
        <w:t xml:space="preserve">En tales consideraciones, </w:t>
      </w:r>
      <w:r w:rsidR="006C5A3F" w:rsidRPr="002A2450">
        <w:rPr>
          <w:rFonts w:ascii="ITC Avant Garde" w:hAnsi="ITC Avant Garde"/>
        </w:rPr>
        <w:t xml:space="preserve">su argumento </w:t>
      </w:r>
      <w:r w:rsidRPr="002A2450">
        <w:rPr>
          <w:rFonts w:ascii="ITC Avant Garde" w:hAnsi="ITC Avant Garde"/>
        </w:rPr>
        <w:t xml:space="preserve"> resulta insuficiente para desvirtuar la conducta materia del presente procedimiento, puesto que la imputación realizada por esta autoridad a lo largo del acuerdo de inicio se encuentra sustentada a razón de los demás contratos celebrados como puede observarse de las páginas </w:t>
      </w:r>
      <w:r w:rsidRPr="002A2450">
        <w:rPr>
          <w:rFonts w:ascii="ITC Avant Garde" w:hAnsi="ITC Avant Garde"/>
        </w:rPr>
        <w:lastRenderedPageBreak/>
        <w:t>siguientes del propio acuerdo de inicio del procedimiento administrativo, de ahí que su argumento resulte insuficiente.</w:t>
      </w:r>
    </w:p>
    <w:p w14:paraId="18CD2757" w14:textId="77777777" w:rsidR="00B35F13" w:rsidRDefault="00C33AF5" w:rsidP="00B35F13">
      <w:pPr>
        <w:spacing w:before="240" w:line="360" w:lineRule="auto"/>
        <w:jc w:val="both"/>
        <w:rPr>
          <w:rFonts w:ascii="ITC Avant Garde" w:hAnsi="ITC Avant Garde"/>
        </w:rPr>
      </w:pPr>
      <w:r w:rsidRPr="002A2450">
        <w:rPr>
          <w:rFonts w:ascii="ITC Avant Garde" w:hAnsi="ITC Avant Garde"/>
        </w:rPr>
        <w:t>Por tanto, sus manifestaciones resultar ser meras manifestaciones sin sustento o fundamento alguno que no desvirtúa</w:t>
      </w:r>
      <w:r w:rsidR="00446341" w:rsidRPr="002A2450">
        <w:rPr>
          <w:rFonts w:ascii="ITC Avant Garde" w:hAnsi="ITC Avant Garde"/>
        </w:rPr>
        <w:t>n</w:t>
      </w:r>
      <w:r w:rsidRPr="002A2450">
        <w:rPr>
          <w:rFonts w:ascii="ITC Avant Garde" w:hAnsi="ITC Avant Garde"/>
        </w:rPr>
        <w:t xml:space="preserve"> la conducta imputada en el presente procedimiento.</w:t>
      </w:r>
    </w:p>
    <w:p w14:paraId="4CC685C4" w14:textId="77777777" w:rsidR="00B35F13" w:rsidRDefault="006821B3" w:rsidP="00B35F13">
      <w:pPr>
        <w:spacing w:before="240" w:line="360" w:lineRule="auto"/>
        <w:jc w:val="both"/>
        <w:rPr>
          <w:rFonts w:ascii="ITC Avant Garde" w:hAnsi="ITC Avant Garde"/>
          <w:b/>
        </w:rPr>
      </w:pPr>
      <w:r w:rsidRPr="002A2450">
        <w:rPr>
          <w:rFonts w:ascii="ITC Avant Garde" w:hAnsi="ITC Avant Garde"/>
        </w:rPr>
        <w:t xml:space="preserve">Continúa manifestando </w:t>
      </w:r>
      <w:r w:rsidRPr="002A2450">
        <w:rPr>
          <w:rFonts w:ascii="ITC Avant Garde" w:hAnsi="ITC Avant Garde"/>
          <w:b/>
        </w:rPr>
        <w:t>“TELMEX”:</w:t>
      </w:r>
    </w:p>
    <w:p w14:paraId="52FB81D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ninguna parte del acuerdo de inicio se demuestra con pruebas idóneas lo que se asevera, por lo que se violenta el principio de quien afirma debe probar, así como los principios de seguridad jurídica y debido proceso.</w:t>
      </w:r>
    </w:p>
    <w:p w14:paraId="6F16EADD" w14:textId="77777777" w:rsidR="00B35F13" w:rsidRDefault="007C6233" w:rsidP="00B35F13">
      <w:pPr>
        <w:spacing w:before="240" w:line="360" w:lineRule="auto"/>
        <w:jc w:val="both"/>
        <w:rPr>
          <w:rFonts w:ascii="ITC Avant Garde" w:hAnsi="ITC Avant Garde"/>
        </w:rPr>
      </w:pPr>
      <w:r w:rsidRPr="002A2450">
        <w:rPr>
          <w:rFonts w:ascii="ITC Avant Garde" w:hAnsi="ITC Avant Garde"/>
        </w:rPr>
        <w:t xml:space="preserve">Dicho argumento resulta </w:t>
      </w:r>
      <w:r w:rsidRPr="002A2450">
        <w:rPr>
          <w:rFonts w:ascii="ITC Avant Garde" w:hAnsi="ITC Avant Garde"/>
          <w:b/>
          <w:u w:val="single"/>
        </w:rPr>
        <w:t>infundado</w:t>
      </w:r>
      <w:r w:rsidRPr="002A2450">
        <w:rPr>
          <w:rFonts w:ascii="ITC Avant Garde" w:hAnsi="ITC Avant Garde"/>
        </w:rPr>
        <w:t>, en atención a las siguientes consideraciones:</w:t>
      </w:r>
    </w:p>
    <w:p w14:paraId="0A5C8C75" w14:textId="77777777" w:rsidR="00B35F13" w:rsidRDefault="007C6233"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señala que en ninguna parte del acuerdo de inicio se demuestra con pruebas la conducta imputada. Sin embargo, dicha empresa cae en un error en cuanto a la imputación realizada, ya que la conducta materia del presente procedimiento es la comisión de una conducta que </w:t>
      </w:r>
      <w:r w:rsidRPr="002A2450">
        <w:rPr>
          <w:rFonts w:ascii="ITC Avant Garde" w:hAnsi="ITC Avant Garde"/>
          <w:i/>
        </w:rPr>
        <w:t>per se</w:t>
      </w:r>
      <w:r w:rsidRPr="002A2450">
        <w:rPr>
          <w:rFonts w:ascii="ITC Avant Garde" w:hAnsi="ITC Avant Garde"/>
        </w:rPr>
        <w:t xml:space="preserve"> tiene prohibida, esto es, en términos del</w:t>
      </w:r>
      <w:r w:rsidR="00D347A7" w:rsidRPr="002A2450">
        <w:rPr>
          <w:rFonts w:ascii="ITC Avant Garde" w:hAnsi="ITC Avant Garde"/>
        </w:rPr>
        <w:t xml:space="preserve"> </w:t>
      </w:r>
      <w:r w:rsidR="00B15C84" w:rsidRPr="009E34A4">
        <w:rPr>
          <w:rFonts w:ascii="ITC Avant Garde" w:hAnsi="ITC Avant Garde"/>
          <w:b/>
        </w:rPr>
        <w:t>Tercer Párrafo</w:t>
      </w:r>
      <w:r w:rsidR="00D347A7" w:rsidRPr="002A2450">
        <w:rPr>
          <w:rFonts w:ascii="ITC Avant Garde" w:hAnsi="ITC Avant Garde"/>
        </w:rPr>
        <w:t xml:space="preserve"> de la</w:t>
      </w:r>
      <w:r w:rsidRPr="002A2450">
        <w:rPr>
          <w:rFonts w:ascii="ITC Avant Garde" w:hAnsi="ITC Avant Garde"/>
        </w:rPr>
        <w:t xml:space="preserve"> condición 1-9 de su </w:t>
      </w:r>
      <w:r w:rsidRPr="002A2450">
        <w:rPr>
          <w:rFonts w:ascii="ITC Avant Garde" w:hAnsi="ITC Avant Garde"/>
          <w:b/>
        </w:rPr>
        <w:t>“TÍTULO DE CONCESIÓN”</w:t>
      </w:r>
      <w:r w:rsidRPr="002A2450">
        <w:rPr>
          <w:rFonts w:ascii="ITC Avant Garde" w:hAnsi="ITC Avant Garde"/>
        </w:rPr>
        <w:t xml:space="preserve">, </w:t>
      </w:r>
      <w:r w:rsidRPr="002A2450">
        <w:rPr>
          <w:rFonts w:ascii="ITC Avant Garde" w:hAnsi="ITC Avant Garde"/>
          <w:b/>
        </w:rPr>
        <w:t>“TELMEX”</w:t>
      </w:r>
      <w:r w:rsidRPr="002A2450">
        <w:rPr>
          <w:rFonts w:ascii="ITC Avant Garde" w:hAnsi="ITC Avant Garde"/>
        </w:rPr>
        <w:t xml:space="preserve"> no podrá explotar, directa o indirectamente, ninguna concesión de servicios de televisión al público en el país.</w:t>
      </w:r>
    </w:p>
    <w:p w14:paraId="5CEA1EDC" w14:textId="77777777" w:rsidR="00B35F13" w:rsidRDefault="007C6233" w:rsidP="00B35F13">
      <w:pPr>
        <w:spacing w:before="240" w:line="360" w:lineRule="auto"/>
        <w:jc w:val="both"/>
        <w:rPr>
          <w:rFonts w:ascii="ITC Avant Garde" w:hAnsi="ITC Avant Garde"/>
        </w:rPr>
      </w:pPr>
      <w:r w:rsidRPr="002A2450">
        <w:rPr>
          <w:rFonts w:ascii="ITC Avant Garde" w:hAnsi="ITC Avant Garde"/>
        </w:rPr>
        <w:t xml:space="preserve">Con lo anterior, resulta claro que la obligación de dicha concesionaria </w:t>
      </w:r>
      <w:r w:rsidR="00446341" w:rsidRPr="002A2450">
        <w:rPr>
          <w:rFonts w:ascii="ITC Avant Garde" w:hAnsi="ITC Avant Garde"/>
        </w:rPr>
        <w:t xml:space="preserve">consiste en </w:t>
      </w:r>
      <w:r w:rsidRPr="002A2450">
        <w:rPr>
          <w:rFonts w:ascii="ITC Avant Garde" w:hAnsi="ITC Avant Garde"/>
        </w:rPr>
        <w:t xml:space="preserve">un </w:t>
      </w:r>
      <w:r w:rsidRPr="002A2450">
        <w:rPr>
          <w:rFonts w:ascii="ITC Avant Garde" w:hAnsi="ITC Avant Garde"/>
          <w:i/>
        </w:rPr>
        <w:t>“no hacer”</w:t>
      </w:r>
      <w:r w:rsidRPr="002A2450">
        <w:rPr>
          <w:rFonts w:ascii="ITC Avant Garde" w:hAnsi="ITC Avant Garde"/>
        </w:rPr>
        <w:t xml:space="preserve">, el cual como fuente generadora de obligaciones, al ser un hecho negativo no puede probarse, por tanto, queda a cargo de la autoridad señalar las conductas realizadas por el presunto infractor (en el presente caso </w:t>
      </w:r>
      <w:r w:rsidRPr="002A2450">
        <w:rPr>
          <w:rFonts w:ascii="ITC Avant Garde" w:hAnsi="ITC Avant Garde"/>
          <w:b/>
        </w:rPr>
        <w:t>“TELMEX”)</w:t>
      </w:r>
      <w:r w:rsidRPr="002A2450">
        <w:rPr>
          <w:rFonts w:ascii="ITC Avant Garde" w:hAnsi="ITC Avant Garde"/>
        </w:rPr>
        <w:t xml:space="preserve">, </w:t>
      </w:r>
      <w:r w:rsidR="00446341" w:rsidRPr="002A2450">
        <w:rPr>
          <w:rFonts w:ascii="ITC Avant Garde" w:hAnsi="ITC Avant Garde"/>
        </w:rPr>
        <w:t xml:space="preserve">especificando en el caso </w:t>
      </w:r>
      <w:r w:rsidRPr="002A2450">
        <w:rPr>
          <w:rFonts w:ascii="ITC Avant Garde" w:hAnsi="ITC Avant Garde"/>
        </w:rPr>
        <w:t>el caso concreto cuál o cuáles fueron las conductas (</w:t>
      </w:r>
      <w:r w:rsidRPr="002A2450">
        <w:rPr>
          <w:rFonts w:ascii="ITC Avant Garde" w:hAnsi="ITC Avant Garde"/>
          <w:i/>
        </w:rPr>
        <w:t>“un hacer”</w:t>
      </w:r>
      <w:r w:rsidRPr="002A2450">
        <w:rPr>
          <w:rFonts w:ascii="ITC Avant Garde" w:hAnsi="ITC Avant Garde"/>
        </w:rPr>
        <w:t xml:space="preserve">) que llevó a cabo el presunto infractor que permiten presumir que vulneró la condición </w:t>
      </w:r>
      <w:r w:rsidR="00446341" w:rsidRPr="002A2450">
        <w:rPr>
          <w:rFonts w:ascii="ITC Avant Garde" w:hAnsi="ITC Avant Garde"/>
        </w:rPr>
        <w:t xml:space="preserve">en estudio </w:t>
      </w:r>
      <w:r w:rsidRPr="002A2450">
        <w:rPr>
          <w:rFonts w:ascii="ITC Avant Garde" w:hAnsi="ITC Avant Garde"/>
        </w:rPr>
        <w:t xml:space="preserve">de su </w:t>
      </w:r>
      <w:r w:rsidR="00773895" w:rsidRPr="002A2450">
        <w:rPr>
          <w:rFonts w:ascii="ITC Avant Garde" w:hAnsi="ITC Avant Garde"/>
          <w:b/>
        </w:rPr>
        <w:t>“TÍTULO DE CONCESIÓN”</w:t>
      </w:r>
      <w:r w:rsidRPr="002A2450">
        <w:rPr>
          <w:rFonts w:ascii="ITC Avant Garde" w:hAnsi="ITC Avant Garde"/>
        </w:rPr>
        <w:t>.</w:t>
      </w:r>
    </w:p>
    <w:p w14:paraId="7ABA6CBC" w14:textId="77777777" w:rsidR="00B35F13" w:rsidRDefault="007C6233" w:rsidP="00B35F13">
      <w:pPr>
        <w:spacing w:before="240" w:line="360" w:lineRule="auto"/>
        <w:jc w:val="both"/>
        <w:rPr>
          <w:rFonts w:ascii="ITC Avant Garde" w:hAnsi="ITC Avant Garde"/>
        </w:rPr>
      </w:pPr>
      <w:r w:rsidRPr="002A2450">
        <w:rPr>
          <w:rFonts w:ascii="ITC Avant Garde" w:hAnsi="ITC Avant Garde"/>
        </w:rPr>
        <w:lastRenderedPageBreak/>
        <w:t xml:space="preserve">En tales consideraciones, al iniciar el presente procedimiento se estableció que </w:t>
      </w:r>
      <w:r w:rsidRPr="002A2450">
        <w:rPr>
          <w:rFonts w:ascii="ITC Avant Garde" w:hAnsi="ITC Avant Garde"/>
          <w:b/>
        </w:rPr>
        <w:t>“TELMEX”</w:t>
      </w:r>
      <w:r w:rsidRPr="002A2450">
        <w:rPr>
          <w:rFonts w:ascii="ITC Avant Garde" w:hAnsi="ITC Avant Garde"/>
        </w:rPr>
        <w:t xml:space="preserve"> llevó a cabo </w:t>
      </w:r>
      <w:r w:rsidR="00446341" w:rsidRPr="002A2450">
        <w:rPr>
          <w:rFonts w:ascii="ITC Avant Garde" w:hAnsi="ITC Avant Garde"/>
        </w:rPr>
        <w:t xml:space="preserve">la celebración de </w:t>
      </w:r>
      <w:r w:rsidRPr="002A2450">
        <w:rPr>
          <w:rFonts w:ascii="ITC Avant Garde" w:hAnsi="ITC Avant Garde"/>
        </w:rPr>
        <w:t xml:space="preserve">una serie de contratos con los cuales se estima que </w:t>
      </w:r>
      <w:r w:rsidR="00446341" w:rsidRPr="002A2450">
        <w:rPr>
          <w:rFonts w:ascii="ITC Avant Garde" w:hAnsi="ITC Avant Garde"/>
        </w:rPr>
        <w:t xml:space="preserve">atendiendo a su contenido obligacional y concatenados entre sí, le permiten desarrollar una serie de actividades que presuponen una </w:t>
      </w:r>
      <w:r w:rsidR="008F718E" w:rsidRPr="009E34A4">
        <w:rPr>
          <w:rFonts w:ascii="ITC Avant Garde" w:hAnsi="ITC Avant Garde"/>
        </w:rPr>
        <w:t xml:space="preserve">explotación indirecta </w:t>
      </w:r>
      <w:r w:rsidRPr="002A2450">
        <w:rPr>
          <w:rFonts w:ascii="ITC Avant Garde" w:hAnsi="ITC Avant Garde"/>
        </w:rPr>
        <w:t xml:space="preserve">del título de concesión otorgado a </w:t>
      </w:r>
      <w:r w:rsidRPr="00815B0C">
        <w:rPr>
          <w:rFonts w:ascii="ITC Avant Garde" w:hAnsi="ITC Avant Garde"/>
          <w:b/>
        </w:rPr>
        <w:t>“COFRESA”</w:t>
      </w:r>
      <w:r w:rsidRPr="002A2450">
        <w:rPr>
          <w:rFonts w:ascii="ITC Avant Garde" w:hAnsi="ITC Avant Garde"/>
        </w:rPr>
        <w:t xml:space="preserve"> para la prestación del servicio de televisión del público en el país, de lo que se sigue que contrario a lo señalado por dicha concesionaria, corresponde a </w:t>
      </w:r>
      <w:r w:rsidRPr="002A2450">
        <w:rPr>
          <w:rFonts w:ascii="ITC Avant Garde" w:hAnsi="ITC Avant Garde"/>
          <w:b/>
        </w:rPr>
        <w:t>“TELMEX”</w:t>
      </w:r>
      <w:r w:rsidRPr="002A2450">
        <w:rPr>
          <w:rFonts w:ascii="ITC Avant Garde" w:hAnsi="ITC Avant Garde"/>
        </w:rPr>
        <w:t xml:space="preserve"> desvirtuar dicha presunción y no a esta autoridad acreditar una prohibición, de ahí que sus argumentos resulten insuficientes para desvirtuar la conducta materia del presente procedimiento.</w:t>
      </w:r>
    </w:p>
    <w:p w14:paraId="26BDB36D" w14:textId="77777777" w:rsidR="00B35F13" w:rsidRDefault="007C6233" w:rsidP="00B35F13">
      <w:pPr>
        <w:spacing w:before="240" w:line="360" w:lineRule="auto"/>
        <w:jc w:val="both"/>
        <w:rPr>
          <w:rFonts w:ascii="ITC Avant Garde" w:hAnsi="ITC Avant Garde"/>
        </w:rPr>
      </w:pPr>
      <w:r w:rsidRPr="002A2450">
        <w:rPr>
          <w:rFonts w:ascii="ITC Avant Garde" w:hAnsi="ITC Avant Garde"/>
        </w:rPr>
        <w:t>Al respecto, resulta aplicable por analogía la siguiente tesis:</w:t>
      </w:r>
    </w:p>
    <w:p w14:paraId="4AF60476" w14:textId="77777777" w:rsidR="00B35F13" w:rsidRDefault="007C6233" w:rsidP="00B35F13">
      <w:pPr>
        <w:spacing w:before="240" w:line="360" w:lineRule="auto"/>
        <w:ind w:left="567" w:right="567"/>
        <w:jc w:val="both"/>
        <w:rPr>
          <w:rFonts w:ascii="ITC Avant Garde" w:hAnsi="ITC Avant Garde"/>
        </w:rPr>
      </w:pPr>
      <w:r w:rsidRPr="002A2450">
        <w:rPr>
          <w:rFonts w:ascii="ITC Avant Garde" w:hAnsi="ITC Avant Garde"/>
          <w:b/>
        </w:rPr>
        <w:t>HECHOS NEGATIVOS. FORMA EN QUE DEBEN DEMOSTRARSE POR LA PARTE QUE LOS FORMULA CUANDO CON BASE EN ELLOS SUSTENTA UNA ACCIÓN DE INCUMPLIMIENTO (INTERPRETACIÓN DE LA FRACCIÓN IV DEL ARTÍCULO 282 DEL CÓDIGO DE PROCEDIMIENTOS CIVILES PARA EL DISTRITO FEDERAL).</w:t>
      </w:r>
      <w:r w:rsidRPr="002A2450">
        <w:rPr>
          <w:rFonts w:ascii="ITC Avant Garde" w:hAnsi="ITC Avant Garde"/>
        </w:rPr>
        <w:t xml:space="preserve"> El artículo 282 fracción IV del Código de Procedimientos Civiles para el Distrito Federal, establece que el que niega está obligado a probar cuando su negativa constituya un elemento constitutivo de su acción; esta regla no puede interpretarse literalmente, sino que debe tomarse en consideración la naturaleza tanto de la acción como de los hechos en que se funda, toda vez que sólo puede ser demostrado aquello que existe (hecho positivo), mas no así algo que no existe (hecho negativo sustancial). En este orden de ideas, la hipótesis normativa que nos ocupa atiende a la circunstancia de que no puede pretender obtener sentencia favorable quien sólo demanda con hechos negativos y pretende acreditar los mismos con su dicho, para así arrojar la carga de la prueba a la parte demandada; sino sólo aquel que, en todo caso, demuestra el hecho positivo que da origen al hecho negativo que se reclama. En consecuencia, cuando se </w:t>
      </w:r>
      <w:r w:rsidRPr="002A2450">
        <w:rPr>
          <w:rFonts w:ascii="ITC Avant Garde" w:hAnsi="ITC Avant Garde"/>
        </w:rPr>
        <w:lastRenderedPageBreak/>
        <w:t>demanda el incumplimiento de una obligación (aspecto negativo del cumplimiento), el actor tiene el deber procesal de acreditar la existencia de dicha obligación a efecto de demostrar que su incumplimiento es susceptible de actualizarse, mas no así la carga probatoria respecto del incumplimiento en cuestión, ya que éste constituye un hecho negativo sustancial que no es susceptible de ser demostrado. Más aún si se toma en consideración que el cumplimiento de una obligación se traduce en un hecho positivo, que debe ser demostrado por la parte demandada, ya que es ésta quien tiene la necesidad y facilidad lógica de acreditar esa situación a efecto de desvirtuar la acción ejercitada en su contra.</w:t>
      </w:r>
    </w:p>
    <w:p w14:paraId="735BF6A4" w14:textId="77777777" w:rsidR="00B35F13" w:rsidRDefault="007C6233"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Novena Época, Registro: 170306, Instancia: Tribunales Colegiados de Circuito, Tipo de Tesis: Aislada, Fuente: Semanario Judicial de la Federación y su Gaceta, Tomo XXVII, Febrero de 2008, Materia(s): Civil, Tesis: I.3o.C.663 C, Página: 2299 </w:t>
      </w:r>
    </w:p>
    <w:p w14:paraId="0D167BC0" w14:textId="77777777" w:rsidR="00B35F13" w:rsidRDefault="007C6233" w:rsidP="00B35F13">
      <w:pPr>
        <w:spacing w:before="240" w:line="360" w:lineRule="auto"/>
        <w:ind w:right="567"/>
        <w:jc w:val="both"/>
        <w:rPr>
          <w:rFonts w:ascii="ITC Avant Garde" w:hAnsi="ITC Avant Garde"/>
        </w:rPr>
      </w:pPr>
      <w:r w:rsidRPr="002A2450">
        <w:rPr>
          <w:rFonts w:ascii="ITC Avant Garde" w:hAnsi="ITC Avant Garde"/>
        </w:rPr>
        <w:t xml:space="preserve">Continúa señalado </w:t>
      </w:r>
      <w:r w:rsidRPr="002A2450">
        <w:rPr>
          <w:rFonts w:ascii="ITC Avant Garde" w:hAnsi="ITC Avant Garde"/>
          <w:b/>
        </w:rPr>
        <w:t xml:space="preserve">“TELMEX” </w:t>
      </w:r>
      <w:r w:rsidRPr="002A2450">
        <w:rPr>
          <w:rFonts w:ascii="ITC Avant Garde" w:hAnsi="ITC Avant Garde"/>
        </w:rPr>
        <w:t>lo siguiente:</w:t>
      </w:r>
    </w:p>
    <w:p w14:paraId="44F9B19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Unidad de Cumplimiento configura un silogismo incorrecto ya que: (i) cada contrato tiene su propia finalidad y sustancia, (ii) no acredita la existencia de una intervención indirecta o de una </w:t>
      </w:r>
      <w:r w:rsidR="008F718E" w:rsidRPr="009E34A4">
        <w:rPr>
          <w:rFonts w:ascii="ITC Avant Garde" w:hAnsi="ITC Avant Garde"/>
          <w:i/>
        </w:rPr>
        <w:t>explotación indirecta</w:t>
      </w:r>
      <w:r w:rsidR="008F718E" w:rsidRPr="002A2450">
        <w:rPr>
          <w:rFonts w:ascii="ITC Avant Garde" w:hAnsi="ITC Avant Garde"/>
          <w:i/>
        </w:rPr>
        <w:t xml:space="preserve"> </w:t>
      </w:r>
      <w:r w:rsidRPr="002A2450">
        <w:rPr>
          <w:rFonts w:ascii="ITC Avant Garde" w:hAnsi="ITC Avant Garde"/>
          <w:i/>
        </w:rPr>
        <w:t xml:space="preserve">, (iii) crea un conjunto artificial sin soporte respecto a los elementos considerados para la creación de este conjunto, y (iv) consecuentemente no se proporciona evidencia de alguna operación que no haya sido transparentada en el texto de los contratos y en las divulgaciones realizadas por </w:t>
      </w:r>
      <w:r w:rsidR="005B601B" w:rsidRPr="002A2450">
        <w:rPr>
          <w:rFonts w:ascii="ITC Avant Garde" w:hAnsi="ITC Avant Garde"/>
          <w:b/>
          <w:i/>
        </w:rPr>
        <w:t>“TELMEX”</w:t>
      </w:r>
      <w:r w:rsidRPr="002A2450">
        <w:rPr>
          <w:rFonts w:ascii="ITC Avant Garde" w:hAnsi="ITC Avant Garde"/>
          <w:i/>
        </w:rPr>
        <w:t>.</w:t>
      </w:r>
    </w:p>
    <w:p w14:paraId="538AB9FC" w14:textId="77777777" w:rsidR="00B35F13" w:rsidRDefault="00112214" w:rsidP="00B35F13">
      <w:pPr>
        <w:spacing w:before="240" w:line="360" w:lineRule="auto"/>
        <w:ind w:right="567"/>
        <w:jc w:val="both"/>
        <w:rPr>
          <w:rFonts w:ascii="ITC Avant Garde" w:hAnsi="ITC Avant Garde"/>
        </w:rPr>
      </w:pPr>
      <w:r w:rsidRPr="002A2450">
        <w:rPr>
          <w:rFonts w:ascii="ITC Avant Garde" w:hAnsi="ITC Avant Garde"/>
        </w:rPr>
        <w:t xml:space="preserve">Al respecto, debe señalarse que su argumento resulta </w:t>
      </w:r>
      <w:r w:rsidRPr="002A2450">
        <w:rPr>
          <w:rFonts w:ascii="ITC Avant Garde" w:hAnsi="ITC Avant Garde"/>
          <w:b/>
          <w:u w:val="single"/>
        </w:rPr>
        <w:t>insuficiente</w:t>
      </w:r>
      <w:r w:rsidRPr="002A2450">
        <w:rPr>
          <w:rFonts w:ascii="ITC Avant Garde" w:hAnsi="ITC Avant Garde"/>
        </w:rPr>
        <w:t xml:space="preserve"> en virtud de las siguientes consideraciones:</w:t>
      </w:r>
    </w:p>
    <w:p w14:paraId="0C29F0A9" w14:textId="77777777" w:rsidR="00B35F13" w:rsidRDefault="00112214" w:rsidP="00B35F13">
      <w:pPr>
        <w:spacing w:before="240" w:line="360" w:lineRule="auto"/>
        <w:ind w:right="567"/>
        <w:jc w:val="both"/>
        <w:rPr>
          <w:rFonts w:ascii="ITC Avant Garde" w:hAnsi="ITC Avant Garde"/>
        </w:rPr>
      </w:pPr>
      <w:r w:rsidRPr="002A2450">
        <w:rPr>
          <w:rFonts w:ascii="ITC Avant Garde" w:hAnsi="ITC Avant Garde"/>
        </w:rPr>
        <w:t xml:space="preserve">Como se ha sostenido en la presente resolución, la autonomía contractual puede ser superada dada la interrelación entre </w:t>
      </w:r>
      <w:r w:rsidR="001B19F4" w:rsidRPr="002A2450">
        <w:rPr>
          <w:rFonts w:ascii="ITC Avant Garde" w:hAnsi="ITC Avant Garde"/>
        </w:rPr>
        <w:t xml:space="preserve">los </w:t>
      </w:r>
      <w:r w:rsidRPr="002A2450">
        <w:rPr>
          <w:rFonts w:ascii="ITC Avant Garde" w:hAnsi="ITC Avant Garde"/>
        </w:rPr>
        <w:t>contratos celebrados por las partes</w:t>
      </w:r>
      <w:r w:rsidR="001B19F4" w:rsidRPr="002A2450">
        <w:rPr>
          <w:rFonts w:ascii="ITC Avant Garde" w:hAnsi="ITC Avant Garde"/>
        </w:rPr>
        <w:t>, los cuales de acuerdo a la jurisprudencia deben ser considerados como contratos coaligados.</w:t>
      </w:r>
    </w:p>
    <w:p w14:paraId="336C933E" w14:textId="77777777" w:rsidR="00B35F13" w:rsidRDefault="001B19F4"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En ese sentido, contrario a lo señalado por </w:t>
      </w:r>
      <w:r w:rsidRPr="002A2450">
        <w:rPr>
          <w:rFonts w:ascii="ITC Avant Garde" w:hAnsi="ITC Avant Garde"/>
          <w:b/>
        </w:rPr>
        <w:t>“TELMEX”</w:t>
      </w:r>
      <w:r w:rsidRPr="002A2450">
        <w:rPr>
          <w:rFonts w:ascii="ITC Avant Garde" w:hAnsi="ITC Avant Garde"/>
        </w:rPr>
        <w:t>, los contratos no necesariamente pueden ser interpretados por su finalidad y sustancia unitaria o autónoma sino que además</w:t>
      </w:r>
      <w:r w:rsidR="006A1ABF" w:rsidRPr="002A2450">
        <w:rPr>
          <w:rFonts w:ascii="ITC Avant Garde" w:hAnsi="ITC Avant Garde"/>
        </w:rPr>
        <w:t>,</w:t>
      </w:r>
      <w:r w:rsidRPr="002A2450">
        <w:rPr>
          <w:rFonts w:ascii="ITC Avant Garde" w:hAnsi="ITC Avant Garde"/>
        </w:rPr>
        <w:t xml:space="preserve"> </w:t>
      </w:r>
      <w:r w:rsidR="006A1ABF" w:rsidRPr="002A2450">
        <w:rPr>
          <w:rFonts w:ascii="ITC Avant Garde" w:hAnsi="ITC Avant Garde"/>
        </w:rPr>
        <w:t xml:space="preserve">los contratos celebrados como parte de un sistema pueden ser analizados como un todo en virtud de la </w:t>
      </w:r>
      <w:r w:rsidRPr="002A2450">
        <w:rPr>
          <w:rFonts w:ascii="ITC Avant Garde" w:hAnsi="ITC Avant Garde"/>
        </w:rPr>
        <w:t>interdependen</w:t>
      </w:r>
      <w:r w:rsidR="006A1ABF" w:rsidRPr="002A2450">
        <w:rPr>
          <w:rFonts w:ascii="ITC Avant Garde" w:hAnsi="ITC Avant Garde"/>
        </w:rPr>
        <w:t>cia signada en los mismos.</w:t>
      </w:r>
    </w:p>
    <w:p w14:paraId="6CCF13CC" w14:textId="77777777" w:rsidR="00B35F13" w:rsidRDefault="006A1ABF" w:rsidP="00B35F13">
      <w:pPr>
        <w:spacing w:before="240" w:line="360" w:lineRule="auto"/>
        <w:ind w:right="567"/>
        <w:jc w:val="both"/>
        <w:rPr>
          <w:rFonts w:ascii="ITC Avant Garde" w:hAnsi="ITC Avant Garde"/>
        </w:rPr>
      </w:pPr>
      <w:r w:rsidRPr="002A2450">
        <w:rPr>
          <w:rFonts w:ascii="ITC Avant Garde" w:hAnsi="ITC Avant Garde"/>
        </w:rPr>
        <w:t xml:space="preserve">En tales consideraciones, resulta insuficiente que </w:t>
      </w:r>
      <w:r w:rsidRPr="002A2450">
        <w:rPr>
          <w:rFonts w:ascii="ITC Avant Garde" w:hAnsi="ITC Avant Garde"/>
          <w:b/>
        </w:rPr>
        <w:t>“TELMEX”</w:t>
      </w:r>
      <w:r w:rsidRPr="002A2450">
        <w:rPr>
          <w:rFonts w:ascii="ITC Avant Garde" w:hAnsi="ITC Avant Garde"/>
        </w:rPr>
        <w:t xml:space="preserve"> pretenda advertir una conclusión errónea por parte de esta autoridad en el acuerdo de inicio del procedimiento administrativo cuando su propia argumentación es equívoca en cuanto a la autonomía contractual.</w:t>
      </w:r>
    </w:p>
    <w:p w14:paraId="6C1C3BEA" w14:textId="77777777" w:rsidR="00B35F13" w:rsidRDefault="00446341" w:rsidP="00B35F13">
      <w:pPr>
        <w:spacing w:before="240" w:line="360" w:lineRule="auto"/>
        <w:ind w:right="567"/>
        <w:jc w:val="both"/>
        <w:rPr>
          <w:rFonts w:ascii="ITC Avant Garde" w:hAnsi="ITC Avant Garde"/>
        </w:rPr>
      </w:pPr>
      <w:r w:rsidRPr="002A2450">
        <w:rPr>
          <w:rFonts w:ascii="ITC Avant Garde" w:hAnsi="ITC Avant Garde"/>
        </w:rPr>
        <w:t xml:space="preserve">Para lo anterior, basta de una lectura a los contratos celebrados por </w:t>
      </w:r>
      <w:r w:rsidRPr="002A2450">
        <w:rPr>
          <w:rFonts w:ascii="ITC Avant Garde" w:hAnsi="ITC Avant Garde"/>
          <w:b/>
        </w:rPr>
        <w:t>“TELMEX”</w:t>
      </w:r>
      <w:r w:rsidRPr="002A2450">
        <w:rPr>
          <w:rFonts w:ascii="ITC Avant Garde" w:hAnsi="ITC Avant Garde"/>
        </w:rPr>
        <w:t xml:space="preserve"> para advertir que interdependencia de los contratos no es subjetiva sino que la misma es objetiva a razón de que los mismos señalan en su capítulo de definiciones </w:t>
      </w:r>
      <w:r w:rsidRPr="002A2450">
        <w:rPr>
          <w:rFonts w:ascii="ITC Avant Garde" w:hAnsi="ITC Avant Garde"/>
          <w:i/>
        </w:rPr>
        <w:t>contratos relacionados</w:t>
      </w:r>
      <w:r w:rsidRPr="002A2450">
        <w:rPr>
          <w:rFonts w:ascii="ITC Avant Garde" w:hAnsi="ITC Avant Garde"/>
        </w:rPr>
        <w:t xml:space="preserve">, esto es, los demás contratos que formaron parte de la </w:t>
      </w:r>
      <w:r w:rsidRPr="002A2450">
        <w:rPr>
          <w:rFonts w:ascii="ITC Avant Garde" w:hAnsi="ITC Avant Garde"/>
          <w:i/>
        </w:rPr>
        <w:t xml:space="preserve">Alianza Estratégica </w:t>
      </w:r>
      <w:r w:rsidRPr="002A2450">
        <w:rPr>
          <w:rFonts w:ascii="ITC Avant Garde" w:hAnsi="ITC Avant Garde"/>
        </w:rPr>
        <w:t>con dicha concesionaria, de lo que se sigue que la conexidad en los mismos se aborda como parte integrante de un conjunto de contratos, los cuales siguen un objetivo común, y que por ello, deben atender su función como si se tratara de un eslabón en la maquinaria designada en la compleja maquinaria contractual.</w:t>
      </w:r>
    </w:p>
    <w:p w14:paraId="5D3A8465" w14:textId="77777777" w:rsidR="00B35F13" w:rsidRDefault="006A1ABF" w:rsidP="00B35F13">
      <w:pPr>
        <w:spacing w:before="240" w:line="360" w:lineRule="auto"/>
        <w:ind w:right="567"/>
        <w:jc w:val="both"/>
        <w:rPr>
          <w:rFonts w:ascii="ITC Avant Garde" w:hAnsi="ITC Avant Garde"/>
        </w:rPr>
      </w:pPr>
      <w:r w:rsidRPr="002A2450">
        <w:rPr>
          <w:rFonts w:ascii="ITC Avant Garde" w:hAnsi="ITC Avant Garde"/>
        </w:rPr>
        <w:t xml:space="preserve">Ahora bien, en cuanto a lo señalado respecto de la intervención directa, debe señalarse que dicha figura no es materia del presente procedimiento, esto es, la existencia o no de un control o influencia decisiva por parte de </w:t>
      </w:r>
      <w:r w:rsidRPr="002A2450">
        <w:rPr>
          <w:rFonts w:ascii="ITC Avant Garde" w:hAnsi="ITC Avant Garde"/>
          <w:b/>
        </w:rPr>
        <w:t>“TELMEX”</w:t>
      </w:r>
      <w:r w:rsidRPr="002A2450">
        <w:rPr>
          <w:rFonts w:ascii="ITC Avant Garde" w:hAnsi="ITC Avant Garde"/>
        </w:rPr>
        <w:t xml:space="preserve"> sobre </w:t>
      </w:r>
      <w:r w:rsidRPr="002A2450">
        <w:rPr>
          <w:rFonts w:ascii="ITC Avant Garde" w:hAnsi="ITC Avant Garde"/>
          <w:b/>
        </w:rPr>
        <w:t>“DISH MÉXICO”</w:t>
      </w:r>
      <w:r w:rsidRPr="002A2450">
        <w:rPr>
          <w:rFonts w:ascii="ITC Avant Garde" w:hAnsi="ITC Avant Garde"/>
        </w:rPr>
        <w:t xml:space="preserve">, toda vez que el presente procedimiento tiende a verificar si el mecanismo empleado por la primera vulnera lo dispuesto en </w:t>
      </w:r>
      <w:r w:rsidR="00446341" w:rsidRPr="002A2450">
        <w:rPr>
          <w:rFonts w:ascii="ITC Avant Garde" w:hAnsi="ITC Avant Garde"/>
        </w:rPr>
        <w:t xml:space="preserve">el </w:t>
      </w:r>
      <w:r w:rsidR="00B15C84" w:rsidRPr="009E34A4">
        <w:rPr>
          <w:rFonts w:ascii="ITC Avant Garde" w:hAnsi="ITC Avant Garde"/>
          <w:b/>
        </w:rPr>
        <w:t>Tercer Párrafo</w:t>
      </w:r>
      <w:r w:rsidR="00446341" w:rsidRPr="002A2450">
        <w:rPr>
          <w:rFonts w:ascii="ITC Avant Garde" w:hAnsi="ITC Avant Garde"/>
        </w:rPr>
        <w:t xml:space="preserve"> de </w:t>
      </w:r>
      <w:r w:rsidRPr="002A2450">
        <w:rPr>
          <w:rFonts w:ascii="ITC Avant Garde" w:hAnsi="ITC Avant Garde"/>
        </w:rPr>
        <w:t xml:space="preserve">la condición 1-9 de su </w:t>
      </w:r>
      <w:r w:rsidRPr="002A2450">
        <w:rPr>
          <w:rFonts w:ascii="ITC Avant Garde" w:hAnsi="ITC Avant Garde"/>
          <w:b/>
        </w:rPr>
        <w:t>“TÍTULO DE CONCESIÓN”</w:t>
      </w:r>
      <w:r w:rsidR="00446341" w:rsidRPr="002A2450">
        <w:rPr>
          <w:rFonts w:ascii="ITC Avant Garde" w:hAnsi="ITC Avant Garde"/>
          <w:b/>
        </w:rPr>
        <w:t xml:space="preserve"> </w:t>
      </w:r>
      <w:r w:rsidR="00446341" w:rsidRPr="002A2450">
        <w:rPr>
          <w:rFonts w:ascii="ITC Avant Garde" w:hAnsi="ITC Avant Garde"/>
        </w:rPr>
        <w:t>por lo que hace</w:t>
      </w:r>
      <w:r w:rsidR="00446341" w:rsidRPr="002A2450">
        <w:rPr>
          <w:rFonts w:ascii="ITC Avant Garde" w:hAnsi="ITC Avant Garde"/>
          <w:b/>
        </w:rPr>
        <w:t xml:space="preserve"> </w:t>
      </w:r>
      <w:r w:rsidR="00446341" w:rsidRPr="002A2450">
        <w:rPr>
          <w:rFonts w:ascii="ITC Avant Garde" w:hAnsi="ITC Avant Garde"/>
        </w:rPr>
        <w:t xml:space="preserve">a una </w:t>
      </w:r>
      <w:r w:rsidR="008F718E" w:rsidRPr="009E34A4">
        <w:rPr>
          <w:rFonts w:ascii="ITC Avant Garde" w:hAnsi="ITC Avant Garde"/>
        </w:rPr>
        <w:t>explotación indirecta</w:t>
      </w:r>
      <w:r w:rsidR="00E972D1" w:rsidRPr="002A2450">
        <w:rPr>
          <w:rFonts w:ascii="ITC Avant Garde" w:hAnsi="ITC Avant Garde"/>
        </w:rPr>
        <w:t>, de ahí que sus manifestaciones no puedan desvirtuar la conducta materia del presente procedimiento.</w:t>
      </w:r>
    </w:p>
    <w:p w14:paraId="7F07F857" w14:textId="77777777" w:rsidR="00B35F13" w:rsidRDefault="00E972D1"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Ahora bien, en cuanto a los elementos que presuntamente acreditan la conducta materia del presente procedimiento, debe señalarse que </w:t>
      </w:r>
      <w:r w:rsidR="00937784" w:rsidRPr="002A2450">
        <w:rPr>
          <w:rFonts w:ascii="ITC Avant Garde" w:hAnsi="ITC Avant Garde"/>
        </w:rPr>
        <w:t>en líneas previas</w:t>
      </w:r>
      <w:r w:rsidRPr="002A2450">
        <w:rPr>
          <w:rFonts w:ascii="ITC Avant Garde" w:hAnsi="ITC Avant Garde"/>
        </w:rPr>
        <w:t xml:space="preserve">, se advirtió que la prohibición establecida en </w:t>
      </w:r>
      <w:r w:rsidR="00446341" w:rsidRPr="002A2450">
        <w:rPr>
          <w:rFonts w:ascii="ITC Avant Garde" w:hAnsi="ITC Avant Garde"/>
        </w:rPr>
        <w:t>e</w:t>
      </w:r>
      <w:r w:rsidRPr="002A2450">
        <w:rPr>
          <w:rFonts w:ascii="ITC Avant Garde" w:hAnsi="ITC Avant Garde"/>
        </w:rPr>
        <w:t>l</w:t>
      </w:r>
      <w:r w:rsidR="00446341" w:rsidRPr="002A2450">
        <w:rPr>
          <w:rFonts w:ascii="ITC Avant Garde" w:hAnsi="ITC Avant Garde"/>
        </w:rPr>
        <w:t xml:space="preserve"> </w:t>
      </w:r>
      <w:r w:rsidR="00B15C84" w:rsidRPr="009E34A4">
        <w:rPr>
          <w:rFonts w:ascii="ITC Avant Garde" w:hAnsi="ITC Avant Garde"/>
          <w:b/>
        </w:rPr>
        <w:t>Tercer Párrafo</w:t>
      </w:r>
      <w:r w:rsidR="00446341" w:rsidRPr="002A2450">
        <w:rPr>
          <w:rFonts w:ascii="ITC Avant Garde" w:hAnsi="ITC Avant Garde"/>
        </w:rPr>
        <w:t xml:space="preserve"> de l</w:t>
      </w:r>
      <w:r w:rsidRPr="002A2450">
        <w:rPr>
          <w:rFonts w:ascii="ITC Avant Garde" w:hAnsi="ITC Avant Garde"/>
        </w:rPr>
        <w:t xml:space="preserve">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constituye un </w:t>
      </w:r>
      <w:r w:rsidRPr="002A2450">
        <w:rPr>
          <w:rFonts w:ascii="ITC Avant Garde" w:hAnsi="ITC Avant Garde"/>
          <w:i/>
        </w:rPr>
        <w:t>no hacer</w:t>
      </w:r>
      <w:r w:rsidRPr="002A2450">
        <w:rPr>
          <w:rFonts w:ascii="ITC Avant Garde" w:hAnsi="ITC Avant Garde"/>
        </w:rPr>
        <w:t xml:space="preserve">, conducta que de acuerdo al Poder Judicial de la Federación sólo puede ser acreditada mediante </w:t>
      </w:r>
      <w:r w:rsidR="00937784" w:rsidRPr="002A2450">
        <w:rPr>
          <w:rFonts w:ascii="ITC Avant Garde" w:hAnsi="ITC Avant Garde"/>
        </w:rPr>
        <w:t>acciones que acreditan la violación presuntamente infringida, por lo que si en el presente caso, esta autoridad presumió la comisión de la conducta imputada mediante la suscripción de los contratos celebrados por dicha concesionaria, es dable concluir que la presunta infracción cuenta con los elementos necesarios y suficientes para su imputación, por lo que no le asiste razón a dicha empresa al considerar que existe un silogismo incorrecto en el acuerdo de inicio del procedimien</w:t>
      </w:r>
      <w:r w:rsidR="00344E6D" w:rsidRPr="002A2450">
        <w:rPr>
          <w:rFonts w:ascii="ITC Avant Garde" w:hAnsi="ITC Avant Garde"/>
        </w:rPr>
        <w:t>to de inicio,</w:t>
      </w:r>
      <w:r w:rsidR="00446341" w:rsidRPr="002A2450">
        <w:rPr>
          <w:rFonts w:ascii="ITC Avant Garde" w:hAnsi="ITC Avant Garde"/>
        </w:rPr>
        <w:t xml:space="preserve"> y en consecuencia</w:t>
      </w:r>
      <w:r w:rsidR="00344E6D" w:rsidRPr="002A2450">
        <w:rPr>
          <w:rFonts w:ascii="ITC Avant Garde" w:hAnsi="ITC Avant Garde"/>
        </w:rPr>
        <w:t xml:space="preserve"> sus manifestaciones resultan insuficientes para desvirtuar la conducta materia del presente procedimiento.</w:t>
      </w:r>
      <w:r w:rsidR="00937784" w:rsidRPr="002A2450">
        <w:rPr>
          <w:rFonts w:ascii="ITC Avant Garde" w:hAnsi="ITC Avant Garde"/>
        </w:rPr>
        <w:t xml:space="preserve"> </w:t>
      </w:r>
    </w:p>
    <w:p w14:paraId="78BB2F15" w14:textId="77777777" w:rsidR="00B35F13" w:rsidRDefault="00344E6D" w:rsidP="00B35F13">
      <w:pPr>
        <w:spacing w:before="240" w:line="360" w:lineRule="auto"/>
        <w:ind w:right="567"/>
        <w:jc w:val="both"/>
        <w:rPr>
          <w:rFonts w:ascii="ITC Avant Garde" w:hAnsi="ITC Avant Garde"/>
        </w:rPr>
      </w:pPr>
      <w:r w:rsidRPr="002A2450">
        <w:rPr>
          <w:rFonts w:ascii="ITC Avant Garde" w:hAnsi="ITC Avant Garde"/>
        </w:rPr>
        <w:t xml:space="preserve">Finalmente, en cuanto al hecho de que no se proporciona evidencia de alguna operación que no haya sido transparentada en el texto de los contratos y en las divulgaciones realizadas por </w:t>
      </w:r>
      <w:r w:rsidR="005B601B" w:rsidRPr="002A2450">
        <w:rPr>
          <w:rFonts w:ascii="ITC Avant Garde" w:hAnsi="ITC Avant Garde"/>
          <w:b/>
        </w:rPr>
        <w:t>“TELMEX”</w:t>
      </w:r>
      <w:r w:rsidRPr="002A2450">
        <w:rPr>
          <w:rFonts w:ascii="ITC Avant Garde" w:hAnsi="ITC Avant Garde"/>
        </w:rPr>
        <w:t>, dichas consideraciones por sí mismos resultan estériles a razón de que precisamente, las operaciones transparentes y divulgadas permitieron a esta autoridad presumir el incumplimiento a que se refiere el acuerdo de inicio del procedimiento administrativo de imposición de sanción, de ahí que sus manifestaciones no pueden ser suficientes para desvirtuar la conducta materia del presente procedimiento.</w:t>
      </w:r>
    </w:p>
    <w:p w14:paraId="634A1417" w14:textId="77777777" w:rsidR="00B35F13" w:rsidRDefault="00446341" w:rsidP="00B35F13">
      <w:pPr>
        <w:spacing w:before="240" w:line="360" w:lineRule="auto"/>
        <w:ind w:right="567"/>
        <w:jc w:val="both"/>
        <w:rPr>
          <w:rFonts w:ascii="ITC Avant Garde" w:hAnsi="ITC Avant Garde"/>
        </w:rPr>
      </w:pPr>
      <w:r w:rsidRPr="002A2450">
        <w:rPr>
          <w:rFonts w:ascii="ITC Avant Garde" w:hAnsi="ITC Avant Garde"/>
        </w:rPr>
        <w:t xml:space="preserve">Continúa manifestando </w:t>
      </w:r>
      <w:r w:rsidR="00344E6D" w:rsidRPr="002A2450">
        <w:rPr>
          <w:rFonts w:ascii="ITC Avant Garde" w:hAnsi="ITC Avant Garde"/>
          <w:b/>
        </w:rPr>
        <w:t>“TELMEX”</w:t>
      </w:r>
      <w:r w:rsidR="00344E6D" w:rsidRPr="002A2450">
        <w:rPr>
          <w:rFonts w:ascii="ITC Avant Garde" w:hAnsi="ITC Avant Garde"/>
        </w:rPr>
        <w:t xml:space="preserve"> lo siguiente:</w:t>
      </w:r>
    </w:p>
    <w:p w14:paraId="6EFEAB4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Se aclara que la alineación de intereses entre dos partes no es ilegí</w:t>
      </w:r>
      <w:r w:rsidR="00446341" w:rsidRPr="002A2450">
        <w:rPr>
          <w:rFonts w:ascii="ITC Avant Garde" w:hAnsi="ITC Avant Garde"/>
          <w:i/>
        </w:rPr>
        <w:t xml:space="preserve">tima ni extraordinaria per se si </w:t>
      </w:r>
      <w:r w:rsidRPr="002A2450">
        <w:rPr>
          <w:rFonts w:ascii="ITC Avant Garde" w:hAnsi="ITC Avant Garde"/>
          <w:i/>
        </w:rPr>
        <w:t>no son competidores. El comercio es un constante alineamiento de intereses solo en caso de conflicto hay confrontación de intereses.</w:t>
      </w:r>
    </w:p>
    <w:p w14:paraId="2827ECD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Los contratos contienen acuerdos comerciales estándares y comunes, tales como el compromiso de invitarse mutuamente a participar en un posible negocio futuro. Ahora bien, también contienen un acuerdo de no competir pero que únicamente se refiere al caso, contingente que se hubiese ejercido la opción y fuese </w:t>
      </w:r>
      <w:r w:rsidR="005B601B" w:rsidRPr="002A2450">
        <w:rPr>
          <w:rFonts w:ascii="ITC Avant Garde" w:hAnsi="ITC Avant Garde"/>
          <w:b/>
          <w:i/>
        </w:rPr>
        <w:t>“TELMEX”</w:t>
      </w:r>
      <w:r w:rsidRPr="002A2450">
        <w:rPr>
          <w:rFonts w:ascii="ITC Avant Garde" w:hAnsi="ITC Avant Garde"/>
          <w:i/>
        </w:rPr>
        <w:t xml:space="preserve"> socio de </w:t>
      </w:r>
      <w:proofErr w:type="spellStart"/>
      <w:r w:rsidRPr="002A2450">
        <w:rPr>
          <w:rFonts w:ascii="ITC Avant Garde" w:hAnsi="ITC Avant Garde"/>
          <w:i/>
        </w:rPr>
        <w:t>Cofresa</w:t>
      </w:r>
      <w:proofErr w:type="spellEnd"/>
      <w:r w:rsidRPr="002A2450">
        <w:rPr>
          <w:rFonts w:ascii="ITC Avant Garde" w:hAnsi="ITC Avant Garde"/>
          <w:i/>
        </w:rPr>
        <w:t>.</w:t>
      </w:r>
    </w:p>
    <w:p w14:paraId="1D62B96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lo que se reitera, por lo que hace al monto de las contraprestaciones que </w:t>
      </w:r>
      <w:proofErr w:type="spellStart"/>
      <w:r w:rsidRPr="002A2450">
        <w:rPr>
          <w:rFonts w:ascii="ITC Avant Garde" w:hAnsi="ITC Avant Garde"/>
          <w:i/>
        </w:rPr>
        <w:t>Cofresa</w:t>
      </w:r>
      <w:proofErr w:type="spellEnd"/>
      <w:r w:rsidRPr="002A2450">
        <w:rPr>
          <w:rFonts w:ascii="ITC Avant Garde" w:hAnsi="ITC Avant Garde"/>
          <w:i/>
        </w:rPr>
        <w:t xml:space="preserve"> y </w:t>
      </w:r>
      <w:r w:rsidR="005B601B" w:rsidRPr="002A2450">
        <w:rPr>
          <w:rFonts w:ascii="ITC Avant Garde" w:hAnsi="ITC Avant Garde"/>
          <w:b/>
          <w:i/>
        </w:rPr>
        <w:t>“TELMEX”</w:t>
      </w:r>
      <w:r w:rsidRPr="002A2450">
        <w:rPr>
          <w:rFonts w:ascii="ITC Avant Garde" w:hAnsi="ITC Avant Garde"/>
          <w:i/>
        </w:rPr>
        <w:t xml:space="preserve"> no son competidores y que es legítimo y normal que partes en una relación comercial alineen sus intereses al mismo tiempo que tienen contradicciones.</w:t>
      </w:r>
    </w:p>
    <w:p w14:paraId="39FCD648" w14:textId="77777777" w:rsidR="00B35F13" w:rsidRDefault="00446341" w:rsidP="00B35F13">
      <w:pPr>
        <w:spacing w:before="240" w:line="360" w:lineRule="auto"/>
        <w:ind w:left="567" w:right="567"/>
        <w:jc w:val="both"/>
        <w:rPr>
          <w:rFonts w:ascii="ITC Avant Garde" w:hAnsi="ITC Avant Garde"/>
          <w:i/>
        </w:rPr>
      </w:pPr>
      <w:r w:rsidRPr="002A2450">
        <w:rPr>
          <w:rFonts w:ascii="ITC Avant Garde" w:hAnsi="ITC Avant Garde"/>
          <w:i/>
        </w:rPr>
        <w:t>Lo anterior, es e</w:t>
      </w:r>
      <w:r w:rsidR="00831D47" w:rsidRPr="002A2450">
        <w:rPr>
          <w:rFonts w:ascii="ITC Avant Garde" w:hAnsi="ITC Avant Garde"/>
          <w:i/>
        </w:rPr>
        <w:t xml:space="preserve">l objeto de cualquier contrato y de cualquier relación comercial, por lo que </w:t>
      </w:r>
      <w:r w:rsidR="005B601B" w:rsidRPr="002A2450">
        <w:rPr>
          <w:rFonts w:ascii="ITC Avant Garde" w:hAnsi="ITC Avant Garde"/>
          <w:b/>
          <w:i/>
        </w:rPr>
        <w:t>“TELMEX”</w:t>
      </w:r>
      <w:r w:rsidR="00831D47" w:rsidRPr="002A2450">
        <w:rPr>
          <w:rFonts w:ascii="ITC Avant Garde" w:hAnsi="ITC Avant Garde"/>
          <w:i/>
        </w:rPr>
        <w:t xml:space="preserve"> no puede controlar si en esta alineación, legítima y estándar de intereses, la imaginación de los denunciantes y de estrategia que hace que una parte pierda autonomía para cedérsela a la otra, o que hace que actúe en el mercado como una sola entidad con un mismo fin.</w:t>
      </w:r>
    </w:p>
    <w:p w14:paraId="4FDC4C8D" w14:textId="77777777" w:rsidR="00B35F13" w:rsidRDefault="00344E6D" w:rsidP="00B35F13">
      <w:pPr>
        <w:spacing w:before="240" w:line="360" w:lineRule="auto"/>
        <w:ind w:right="567"/>
        <w:jc w:val="both"/>
        <w:rPr>
          <w:rFonts w:ascii="ITC Avant Garde" w:hAnsi="ITC Avant Garde"/>
        </w:rPr>
      </w:pPr>
      <w:r w:rsidRPr="002A2450">
        <w:rPr>
          <w:rFonts w:ascii="ITC Avant Garde" w:hAnsi="ITC Avant Garde"/>
        </w:rPr>
        <w:t xml:space="preserve">Al respecto, debe señalarse que sus argumentos resultan insuficientes para desvirtuar </w:t>
      </w:r>
      <w:r w:rsidR="001D3C12" w:rsidRPr="002A2450">
        <w:rPr>
          <w:rFonts w:ascii="ITC Avant Garde" w:hAnsi="ITC Avant Garde"/>
        </w:rPr>
        <w:t xml:space="preserve">la conducta </w:t>
      </w:r>
      <w:r w:rsidR="00702143" w:rsidRPr="002A2450">
        <w:rPr>
          <w:rFonts w:ascii="ITC Avant Garde" w:hAnsi="ITC Avant Garde"/>
        </w:rPr>
        <w:t>materia</w:t>
      </w:r>
      <w:r w:rsidR="001D3C12" w:rsidRPr="002A2450">
        <w:rPr>
          <w:rFonts w:ascii="ITC Avant Garde" w:hAnsi="ITC Avant Garde"/>
        </w:rPr>
        <w:t xml:space="preserve"> del presente procedimiento en virtud de las siguientes consideraciones:</w:t>
      </w:r>
    </w:p>
    <w:p w14:paraId="0DC2D23B" w14:textId="77777777" w:rsidR="00B35F13" w:rsidRDefault="001D3C12" w:rsidP="00B35F13">
      <w:pPr>
        <w:spacing w:before="240" w:line="360" w:lineRule="auto"/>
        <w:ind w:right="567"/>
        <w:jc w:val="both"/>
        <w:rPr>
          <w:rFonts w:ascii="ITC Avant Garde" w:hAnsi="ITC Avant Garde"/>
        </w:rPr>
      </w:pPr>
      <w:r w:rsidRPr="002A2450">
        <w:rPr>
          <w:rFonts w:ascii="ITC Avant Garde" w:hAnsi="ITC Avant Garde"/>
        </w:rPr>
        <w:t xml:space="preserve">La alineación de intereses entre dos partes efectivamente no resulta </w:t>
      </w:r>
      <w:r w:rsidRPr="002A2450">
        <w:rPr>
          <w:rFonts w:ascii="ITC Avant Garde" w:hAnsi="ITC Avant Garde"/>
          <w:i/>
        </w:rPr>
        <w:t>per se</w:t>
      </w:r>
      <w:r w:rsidRPr="002A2450">
        <w:rPr>
          <w:rFonts w:ascii="ITC Avant Garde" w:hAnsi="ITC Avant Garde"/>
        </w:rPr>
        <w:t xml:space="preserve"> violatoria a la norma jurídica, sin embargo, lo que </w:t>
      </w:r>
      <w:r w:rsidRPr="002A2450">
        <w:rPr>
          <w:rFonts w:ascii="ITC Avant Garde" w:hAnsi="ITC Avant Garde"/>
          <w:b/>
        </w:rPr>
        <w:t xml:space="preserve">“TELMEX” </w:t>
      </w:r>
      <w:r w:rsidRPr="002A2450">
        <w:rPr>
          <w:rFonts w:ascii="ITC Avant Garde" w:hAnsi="ITC Avant Garde"/>
        </w:rPr>
        <w:t>pasa por alto es el hecho de que la libertad contractual de las partes se encuentra limitada cuando una de ellas, en virtud de su calidad de sujeto regulado,</w:t>
      </w:r>
      <w:r w:rsidR="007544B5" w:rsidRPr="002A2450">
        <w:rPr>
          <w:rFonts w:ascii="ITC Avant Garde" w:hAnsi="ITC Avant Garde"/>
        </w:rPr>
        <w:t xml:space="preserve"> </w:t>
      </w:r>
      <w:r w:rsidR="00D42999" w:rsidRPr="002A2450">
        <w:rPr>
          <w:rFonts w:ascii="ITC Avant Garde" w:hAnsi="ITC Avant Garde"/>
        </w:rPr>
        <w:t xml:space="preserve">lleva a cabo convenios o acciones que </w:t>
      </w:r>
      <w:r w:rsidRPr="002A2450">
        <w:rPr>
          <w:rFonts w:ascii="ITC Avant Garde" w:hAnsi="ITC Avant Garde"/>
        </w:rPr>
        <w:t>tiene expresamente prohibido.</w:t>
      </w:r>
    </w:p>
    <w:p w14:paraId="74324F51" w14:textId="77777777" w:rsidR="00B35F13" w:rsidRDefault="001D3C12" w:rsidP="00B35F13">
      <w:pPr>
        <w:spacing w:before="240" w:line="360" w:lineRule="auto"/>
        <w:ind w:right="567"/>
        <w:jc w:val="both"/>
        <w:rPr>
          <w:rFonts w:ascii="ITC Avant Garde" w:hAnsi="ITC Avant Garde"/>
        </w:rPr>
      </w:pPr>
      <w:r w:rsidRPr="002A2450">
        <w:rPr>
          <w:rFonts w:ascii="ITC Avant Garde" w:hAnsi="ITC Avant Garde"/>
        </w:rPr>
        <w:t xml:space="preserve">En ese sentido, vale reconocer que de acuerdo al derecho común: i) la voluntad de los particulares no puede eximir de la observancia de la ley, ni alterarla o modificarla (artículo 6 del Código Civil Federal), y ii) los actos ejecutados contra el tenor de las leyes prohibitivas o de interés público serán </w:t>
      </w:r>
      <w:r w:rsidRPr="002A2450">
        <w:rPr>
          <w:rFonts w:ascii="ITC Avant Garde" w:hAnsi="ITC Avant Garde"/>
        </w:rPr>
        <w:lastRenderedPageBreak/>
        <w:t>nulos, excepto en los casos en que la ley ordene lo contrario (artículo 8 del Código Civil Federal).</w:t>
      </w:r>
    </w:p>
    <w:p w14:paraId="7C2114B4" w14:textId="77777777" w:rsidR="00B35F13" w:rsidRDefault="001D3C12" w:rsidP="00B35F13">
      <w:pPr>
        <w:spacing w:before="240" w:line="360" w:lineRule="auto"/>
        <w:ind w:right="567"/>
        <w:jc w:val="both"/>
        <w:rPr>
          <w:rFonts w:ascii="ITC Avant Garde" w:hAnsi="ITC Avant Garde"/>
        </w:rPr>
      </w:pPr>
      <w:r w:rsidRPr="002A2450">
        <w:rPr>
          <w:rFonts w:ascii="ITC Avant Garde" w:hAnsi="ITC Avant Garde"/>
        </w:rPr>
        <w:t xml:space="preserve">Así las cosas, al tener </w:t>
      </w:r>
      <w:r w:rsidRPr="002A2450">
        <w:rPr>
          <w:rFonts w:ascii="ITC Avant Garde" w:hAnsi="ITC Avant Garde"/>
          <w:b/>
        </w:rPr>
        <w:t>“TELMEX”</w:t>
      </w:r>
      <w:r w:rsidRPr="002A2450">
        <w:rPr>
          <w:rFonts w:ascii="ITC Avant Garde" w:hAnsi="ITC Avant Garde"/>
        </w:rPr>
        <w:t xml:space="preserve"> una prohibición expresa</w:t>
      </w:r>
      <w:r w:rsidR="00446341" w:rsidRPr="002A2450">
        <w:rPr>
          <w:rFonts w:ascii="ITC Avant Garde" w:hAnsi="ITC Avant Garde"/>
        </w:rPr>
        <w:t xml:space="preserve"> en su </w:t>
      </w:r>
      <w:r w:rsidR="00773895" w:rsidRPr="002A2450">
        <w:rPr>
          <w:rFonts w:ascii="ITC Avant Garde" w:hAnsi="ITC Avant Garde"/>
          <w:b/>
        </w:rPr>
        <w:t>“TÍTULO DE CONCESIÓN”</w:t>
      </w:r>
      <w:r w:rsidRPr="002A2450">
        <w:rPr>
          <w:rFonts w:ascii="ITC Avant Garde" w:hAnsi="ITC Avant Garde"/>
        </w:rPr>
        <w:t>, como sujeto regulado</w:t>
      </w:r>
      <w:r w:rsidR="00446341" w:rsidRPr="002A2450">
        <w:rPr>
          <w:rFonts w:ascii="ITC Avant Garde" w:hAnsi="ITC Avant Garde"/>
        </w:rPr>
        <w:t xml:space="preserve"> en la prestación de un servicio público</w:t>
      </w:r>
      <w:r w:rsidRPr="002A2450">
        <w:rPr>
          <w:rFonts w:ascii="ITC Avant Garde" w:hAnsi="ITC Avant Garde"/>
        </w:rPr>
        <w:t>, sus intereses no pueden estar por encima de la norma ni mucho menos vulnerar el régimen jurídico al que se sujetó, puesto que de otra manera la voluntad de las partes estaría sujeta a la vol</w:t>
      </w:r>
      <w:r w:rsidR="00446341" w:rsidRPr="002A2450">
        <w:rPr>
          <w:rFonts w:ascii="ITC Avant Garde" w:hAnsi="ITC Avant Garde"/>
        </w:rPr>
        <w:t>untad de los particulares y no é</w:t>
      </w:r>
      <w:r w:rsidRPr="002A2450">
        <w:rPr>
          <w:rFonts w:ascii="ITC Avant Garde" w:hAnsi="ITC Avant Garde"/>
        </w:rPr>
        <w:t>stos a la norma.</w:t>
      </w:r>
    </w:p>
    <w:p w14:paraId="32454575" w14:textId="77777777" w:rsidR="00B35F13" w:rsidRDefault="00400B37" w:rsidP="00B35F13">
      <w:pPr>
        <w:spacing w:before="240" w:line="360" w:lineRule="auto"/>
        <w:ind w:right="567"/>
        <w:jc w:val="both"/>
        <w:rPr>
          <w:rFonts w:ascii="ITC Avant Garde" w:hAnsi="ITC Avant Garde"/>
        </w:rPr>
      </w:pPr>
      <w:r w:rsidRPr="002A2450">
        <w:rPr>
          <w:rFonts w:ascii="ITC Avant Garde" w:hAnsi="ITC Avant Garde"/>
        </w:rPr>
        <w:t xml:space="preserve">En tales consideraciones, en nada beneficia a </w:t>
      </w:r>
      <w:r w:rsidRPr="002A2450">
        <w:rPr>
          <w:rFonts w:ascii="ITC Avant Garde" w:hAnsi="ITC Avant Garde"/>
          <w:b/>
        </w:rPr>
        <w:t>“TELMEX”</w:t>
      </w:r>
      <w:r w:rsidRPr="002A2450">
        <w:rPr>
          <w:rFonts w:ascii="ITC Avant Garde" w:hAnsi="ITC Avant Garde"/>
        </w:rPr>
        <w:t xml:space="preserve"> señalar que el comercio, por sí mismo, es un alineamiento constante de intereses puesto que como se ha señalado, dicha libertad sólo puede verse limitada cuando una de las partes se encuentra sujeta a un régimen jurídico exorbitante.</w:t>
      </w:r>
    </w:p>
    <w:p w14:paraId="0C4F07D0" w14:textId="77777777" w:rsidR="00B35F13" w:rsidRDefault="00400B37" w:rsidP="00B35F13">
      <w:pPr>
        <w:spacing w:before="240" w:line="360" w:lineRule="auto"/>
        <w:ind w:right="567"/>
        <w:jc w:val="both"/>
        <w:rPr>
          <w:rFonts w:ascii="ITC Avant Garde" w:hAnsi="ITC Avant Garde"/>
        </w:rPr>
      </w:pPr>
      <w:r w:rsidRPr="002A2450">
        <w:rPr>
          <w:rFonts w:ascii="ITC Avant Garde" w:hAnsi="ITC Avant Garde"/>
        </w:rPr>
        <w:t xml:space="preserve">Bajo esas consideraciones, en nada cambia el hecho de que </w:t>
      </w:r>
      <w:r w:rsidRPr="002A2450">
        <w:rPr>
          <w:rFonts w:ascii="ITC Avant Garde" w:hAnsi="ITC Avant Garde"/>
          <w:b/>
        </w:rPr>
        <w:t>“TELMEX”</w:t>
      </w:r>
      <w:r w:rsidRPr="002A2450">
        <w:rPr>
          <w:rFonts w:ascii="ITC Avant Garde" w:hAnsi="ITC Avant Garde"/>
        </w:rPr>
        <w:t xml:space="preserve"> advierta que </w:t>
      </w:r>
      <w:r w:rsidRPr="002A2450">
        <w:rPr>
          <w:rFonts w:ascii="ITC Avant Garde" w:hAnsi="ITC Avant Garde"/>
          <w:b/>
        </w:rPr>
        <w:t>“COFRESA”</w:t>
      </w:r>
      <w:r w:rsidRPr="002A2450">
        <w:rPr>
          <w:rFonts w:ascii="ITC Avant Garde" w:hAnsi="ITC Avant Garde"/>
        </w:rPr>
        <w:t xml:space="preserve"> no es su competidor, puesto que ello resulta irrelevante para efectos del presente procedimiento, ya que se reitera la prohibición expresa que tiene la primera, respecto de su </w:t>
      </w:r>
      <w:r w:rsidRPr="002A2450">
        <w:rPr>
          <w:rFonts w:ascii="ITC Avant Garde" w:hAnsi="ITC Avant Garde"/>
          <w:b/>
        </w:rPr>
        <w:t>“TÍTULO DE CONCESIÓN”</w:t>
      </w:r>
      <w:r w:rsidR="00031366" w:rsidRPr="002A2450">
        <w:rPr>
          <w:rFonts w:ascii="ITC Avant Garde" w:hAnsi="ITC Avant Garde"/>
          <w:b/>
        </w:rPr>
        <w:t xml:space="preserve"> </w:t>
      </w:r>
      <w:r w:rsidR="00031366" w:rsidRPr="002A2450">
        <w:rPr>
          <w:rFonts w:ascii="ITC Avant Garde" w:hAnsi="ITC Avant Garde"/>
        </w:rPr>
        <w:t>constituye un impedimento para ejercer su libertad contractual de manera irrestricta,</w:t>
      </w:r>
      <w:r w:rsidR="008F718E" w:rsidRPr="002A2450">
        <w:rPr>
          <w:rFonts w:ascii="ITC Avant Garde" w:hAnsi="ITC Avant Garde"/>
          <w:color w:val="C00000"/>
        </w:rPr>
        <w:t xml:space="preserve"> </w:t>
      </w:r>
      <w:r w:rsidRPr="002A2450">
        <w:rPr>
          <w:rFonts w:ascii="ITC Avant Garde" w:hAnsi="ITC Avant Garde"/>
        </w:rPr>
        <w:t>de ahí que ello no pueda ser una manifestación que por sí misma desvirtué la conducta imputada.</w:t>
      </w:r>
    </w:p>
    <w:p w14:paraId="379ABB74" w14:textId="77777777" w:rsidR="00B35F13" w:rsidRDefault="00400B37" w:rsidP="00B35F13">
      <w:pPr>
        <w:spacing w:before="240" w:line="360" w:lineRule="auto"/>
        <w:ind w:right="567"/>
        <w:jc w:val="both"/>
        <w:rPr>
          <w:rFonts w:ascii="ITC Avant Garde" w:hAnsi="ITC Avant Garde"/>
        </w:rPr>
      </w:pPr>
      <w:r w:rsidRPr="002A2450">
        <w:rPr>
          <w:rFonts w:ascii="ITC Avant Garde" w:hAnsi="ITC Avant Garde"/>
        </w:rPr>
        <w:t xml:space="preserve">Sin perjuicio de lo anterior, vale precisar y hacer notar a </w:t>
      </w:r>
      <w:r w:rsidRPr="002A2450">
        <w:rPr>
          <w:rFonts w:ascii="ITC Avant Garde" w:hAnsi="ITC Avant Garde"/>
          <w:b/>
        </w:rPr>
        <w:t>“TELMEX”</w:t>
      </w:r>
      <w:r w:rsidRPr="002A2450">
        <w:rPr>
          <w:rFonts w:ascii="ITC Avant Garde" w:hAnsi="ITC Avant Garde"/>
        </w:rPr>
        <w:t xml:space="preserve"> que el presunto alineamiento de intereses por sí mismo resulta un argumento contradictorio a lo sostenido en el presente apartado</w:t>
      </w:r>
      <w:r w:rsidR="00031366" w:rsidRPr="002A2450">
        <w:rPr>
          <w:rFonts w:ascii="ITC Avant Garde" w:hAnsi="ITC Avant Garde"/>
        </w:rPr>
        <w:t>,</w:t>
      </w:r>
      <w:r w:rsidRPr="002A2450">
        <w:rPr>
          <w:rFonts w:ascii="ITC Avant Garde" w:hAnsi="ITC Avant Garde"/>
        </w:rPr>
        <w:t xml:space="preserve"> cuando dicha concesionaria señal</w:t>
      </w:r>
      <w:r w:rsidR="00031366" w:rsidRPr="002A2450">
        <w:rPr>
          <w:rFonts w:ascii="ITC Avant Garde" w:hAnsi="ITC Avant Garde"/>
        </w:rPr>
        <w:t>ó</w:t>
      </w:r>
      <w:r w:rsidRPr="002A2450">
        <w:rPr>
          <w:rFonts w:ascii="ITC Avant Garde" w:hAnsi="ITC Avant Garde"/>
        </w:rPr>
        <w:t xml:space="preserve"> que </w:t>
      </w:r>
      <w:r w:rsidR="00031366" w:rsidRPr="002A2450">
        <w:rPr>
          <w:rFonts w:ascii="ITC Avant Garde" w:hAnsi="ITC Avant Garde"/>
          <w:i/>
        </w:rPr>
        <w:t>“</w:t>
      </w:r>
      <w:r w:rsidRPr="002A2450">
        <w:rPr>
          <w:rFonts w:ascii="ITC Avant Garde" w:hAnsi="ITC Avant Garde"/>
          <w:i/>
        </w:rPr>
        <w:t xml:space="preserve">no existen intereses comerciales y financieros, ni coordina </w:t>
      </w:r>
      <w:r w:rsidR="005B601B" w:rsidRPr="002A2450">
        <w:rPr>
          <w:rFonts w:ascii="ITC Avant Garde" w:hAnsi="ITC Avant Garde"/>
          <w:b/>
          <w:i/>
        </w:rPr>
        <w:t>“TELMEX”</w:t>
      </w:r>
      <w:r w:rsidRPr="002A2450">
        <w:rPr>
          <w:rFonts w:ascii="ITC Avant Garde" w:hAnsi="ITC Avant Garde"/>
          <w:i/>
        </w:rPr>
        <w:t xml:space="preserve"> actividades de </w:t>
      </w:r>
      <w:proofErr w:type="spellStart"/>
      <w:r w:rsidRPr="002A2450">
        <w:rPr>
          <w:rFonts w:ascii="ITC Avant Garde" w:hAnsi="ITC Avant Garde"/>
          <w:i/>
        </w:rPr>
        <w:t>Cofresa</w:t>
      </w:r>
      <w:proofErr w:type="spellEnd"/>
      <w:r w:rsidRPr="002A2450">
        <w:rPr>
          <w:rFonts w:ascii="ITC Avant Garde" w:hAnsi="ITC Avant Garde"/>
          <w:i/>
        </w:rPr>
        <w:t xml:space="preserve"> y/o </w:t>
      </w:r>
      <w:proofErr w:type="spellStart"/>
      <w:r w:rsidRPr="002A2450">
        <w:rPr>
          <w:rFonts w:ascii="ITC Avant Garde" w:hAnsi="ITC Avant Garde"/>
          <w:i/>
        </w:rPr>
        <w:t>Dish</w:t>
      </w:r>
      <w:proofErr w:type="spellEnd"/>
      <w:r w:rsidRPr="002A2450">
        <w:rPr>
          <w:rFonts w:ascii="ITC Avant Garde" w:hAnsi="ITC Avant Garde"/>
          <w:i/>
        </w:rPr>
        <w:t xml:space="preserve"> para log</w:t>
      </w:r>
      <w:r w:rsidR="002F6358" w:rsidRPr="002A2450">
        <w:rPr>
          <w:rFonts w:ascii="ITC Avant Garde" w:hAnsi="ITC Avant Garde"/>
          <w:i/>
        </w:rPr>
        <w:t>r</w:t>
      </w:r>
      <w:r w:rsidRPr="002A2450">
        <w:rPr>
          <w:rFonts w:ascii="ITC Avant Garde" w:hAnsi="ITC Avant Garde"/>
          <w:i/>
        </w:rPr>
        <w:t>ar un objetivo en común</w:t>
      </w:r>
      <w:r w:rsidR="00031366" w:rsidRPr="002A2450">
        <w:rPr>
          <w:rFonts w:ascii="ITC Avant Garde" w:hAnsi="ITC Avant Garde"/>
          <w:i/>
        </w:rPr>
        <w:t>”</w:t>
      </w:r>
      <w:r w:rsidRPr="002A2450">
        <w:rPr>
          <w:rFonts w:ascii="ITC Avant Garde" w:hAnsi="ITC Avant Garde"/>
        </w:rPr>
        <w:t xml:space="preserve">, lo cual pone </w:t>
      </w:r>
      <w:r w:rsidR="00031366" w:rsidRPr="002A2450">
        <w:rPr>
          <w:rFonts w:ascii="ITC Avant Garde" w:hAnsi="ITC Avant Garde"/>
        </w:rPr>
        <w:t xml:space="preserve">de manifiesto </w:t>
      </w:r>
      <w:r w:rsidRPr="002A2450">
        <w:rPr>
          <w:rFonts w:ascii="ITC Avant Garde" w:hAnsi="ITC Avant Garde"/>
        </w:rPr>
        <w:t>la contradicción argumentativa de dicha empresa.</w:t>
      </w:r>
    </w:p>
    <w:p w14:paraId="5A146105" w14:textId="77777777" w:rsidR="00B35F13" w:rsidRDefault="00167346"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Ahora bien, </w:t>
      </w:r>
      <w:r w:rsidRPr="002A2450">
        <w:rPr>
          <w:rFonts w:ascii="ITC Avant Garde" w:hAnsi="ITC Avant Garde"/>
          <w:b/>
        </w:rPr>
        <w:t>“TELMEX”</w:t>
      </w:r>
      <w:r w:rsidRPr="002A2450">
        <w:rPr>
          <w:rFonts w:ascii="ITC Avant Garde" w:hAnsi="ITC Avant Garde"/>
        </w:rPr>
        <w:t xml:space="preserve"> manifiesta que los contratos celebrados no implican que una de las partes pierda su autonomía y que a su vez actúen de manera conjunta en el mercado como una sola entidad.</w:t>
      </w:r>
    </w:p>
    <w:p w14:paraId="1ACE0129" w14:textId="77777777" w:rsidR="00B35F13" w:rsidRDefault="00167346" w:rsidP="00B35F13">
      <w:pPr>
        <w:spacing w:before="240" w:line="360" w:lineRule="auto"/>
        <w:ind w:right="567"/>
        <w:jc w:val="both"/>
        <w:rPr>
          <w:rFonts w:ascii="ITC Avant Garde" w:hAnsi="ITC Avant Garde"/>
        </w:rPr>
      </w:pPr>
      <w:r w:rsidRPr="002A2450">
        <w:rPr>
          <w:rFonts w:ascii="ITC Avant Garde" w:hAnsi="ITC Avant Garde"/>
        </w:rPr>
        <w:t xml:space="preserve">Al respecto, debe señalarse que una de las premisas señaladas en la presente resolución, </w:t>
      </w:r>
      <w:r w:rsidR="002F7A4F" w:rsidRPr="002A2450">
        <w:rPr>
          <w:rFonts w:ascii="ITC Avant Garde" w:hAnsi="ITC Avant Garde"/>
        </w:rPr>
        <w:t xml:space="preserve">fue </w:t>
      </w:r>
      <w:r w:rsidRPr="002A2450">
        <w:rPr>
          <w:rFonts w:ascii="ITC Avant Garde" w:hAnsi="ITC Avant Garde"/>
        </w:rPr>
        <w:t>precisamente el hecho de establecer que este tipo de modelos de org</w:t>
      </w:r>
      <w:r w:rsidR="002C0AC2" w:rsidRPr="002A2450">
        <w:rPr>
          <w:rFonts w:ascii="ITC Avant Garde" w:hAnsi="ITC Avant Garde"/>
        </w:rPr>
        <w:t xml:space="preserve">anización contractual </w:t>
      </w:r>
      <w:r w:rsidR="002F7A4F" w:rsidRPr="002A2450">
        <w:rPr>
          <w:rFonts w:ascii="ITC Avant Garde" w:hAnsi="ITC Avant Garde"/>
        </w:rPr>
        <w:t>permite la alineación de intereses entre las partes delegando actividades intrínsecas del titular de un derecho, puesto que de esta forma, no existe jurídicamente la posibilidad de imputar la responsabilidad a persona determinada, ya que el sistema logra vulnerar el vacío que existe entre el derecho privado, el derecho corporativo y el derecho de competencia para que las empresas logren un efecto conjunto a través de la infraestructura creada y con ello, ser partícipes del producto o servicio prestado.</w:t>
      </w:r>
    </w:p>
    <w:p w14:paraId="1F1D6813" w14:textId="77777777" w:rsidR="00B35F13" w:rsidRDefault="002F7A4F" w:rsidP="00B35F13">
      <w:pPr>
        <w:spacing w:before="240" w:line="360" w:lineRule="auto"/>
        <w:ind w:right="567"/>
        <w:jc w:val="both"/>
        <w:rPr>
          <w:rFonts w:ascii="ITC Avant Garde" w:hAnsi="ITC Avant Garde"/>
        </w:rPr>
      </w:pPr>
      <w:r w:rsidRPr="002A2450">
        <w:rPr>
          <w:rFonts w:ascii="ITC Avant Garde" w:hAnsi="ITC Avant Garde"/>
        </w:rPr>
        <w:t xml:space="preserve">En ese sentido, la materia del presente procedimiento, contrario a lo señalado por </w:t>
      </w:r>
      <w:r w:rsidRPr="002A2450">
        <w:rPr>
          <w:rFonts w:ascii="ITC Avant Garde" w:hAnsi="ITC Avant Garde"/>
          <w:b/>
        </w:rPr>
        <w:t>“TELMEX”</w:t>
      </w:r>
      <w:r w:rsidRPr="002A2450">
        <w:rPr>
          <w:rFonts w:ascii="ITC Avant Garde" w:hAnsi="ITC Avant Garde"/>
        </w:rPr>
        <w:t xml:space="preserve"> no pasa por la reflexión de </w:t>
      </w:r>
      <w:r w:rsidR="00031366" w:rsidRPr="002A2450">
        <w:rPr>
          <w:rFonts w:ascii="ITC Avant Garde" w:hAnsi="ITC Avant Garde"/>
        </w:rPr>
        <w:t xml:space="preserve">la calidad y autonomía de las partes contratantes </w:t>
      </w:r>
      <w:r w:rsidRPr="002A2450">
        <w:rPr>
          <w:rFonts w:ascii="ITC Avant Garde" w:hAnsi="ITC Avant Garde"/>
        </w:rPr>
        <w:t xml:space="preserve">sino del análisis realizado a los contratos celebrados por dicha concesionaria, así como por el estudio a la posible infracción a su </w:t>
      </w:r>
      <w:r w:rsidRPr="002A2450">
        <w:rPr>
          <w:rFonts w:ascii="ITC Avant Garde" w:hAnsi="ITC Avant Garde"/>
          <w:b/>
        </w:rPr>
        <w:t>“TÍTULO DE CONCESIÓN”</w:t>
      </w:r>
      <w:r w:rsidRPr="002A2450">
        <w:rPr>
          <w:rFonts w:ascii="ITC Avant Garde" w:hAnsi="ITC Avant Garde"/>
        </w:rPr>
        <w:t>.</w:t>
      </w:r>
    </w:p>
    <w:p w14:paraId="7AE0997A" w14:textId="77777777" w:rsidR="00B35F13" w:rsidRDefault="002F7A4F" w:rsidP="00B35F13">
      <w:pPr>
        <w:spacing w:before="240" w:line="360" w:lineRule="auto"/>
        <w:ind w:right="567"/>
        <w:jc w:val="both"/>
        <w:rPr>
          <w:rFonts w:ascii="ITC Avant Garde" w:hAnsi="ITC Avant Garde"/>
        </w:rPr>
      </w:pPr>
      <w:r w:rsidRPr="002A2450">
        <w:rPr>
          <w:rFonts w:ascii="ITC Avant Garde" w:hAnsi="ITC Avant Garde"/>
        </w:rPr>
        <w:t xml:space="preserve">Por tanto, las manifestaciones realizadas por </w:t>
      </w:r>
      <w:r w:rsidRPr="002A2450">
        <w:rPr>
          <w:rFonts w:ascii="ITC Avant Garde" w:hAnsi="ITC Avant Garde"/>
          <w:b/>
        </w:rPr>
        <w:t>“TELMEX”</w:t>
      </w:r>
      <w:r w:rsidRPr="002A2450">
        <w:rPr>
          <w:rFonts w:ascii="ITC Avant Garde" w:hAnsi="ITC Avant Garde"/>
        </w:rPr>
        <w:t xml:space="preserve"> resultan insuficientes para desvirtuar la materia del presente procedimiento, máxime que las mismas no</w:t>
      </w:r>
      <w:r w:rsidR="00D578DF" w:rsidRPr="002A2450">
        <w:rPr>
          <w:rFonts w:ascii="ITC Avant Garde" w:hAnsi="ITC Avant Garde"/>
        </w:rPr>
        <w:t xml:space="preserve"> tienden a desvirtuar </w:t>
      </w:r>
      <w:r w:rsidRPr="002A2450">
        <w:rPr>
          <w:rFonts w:ascii="ITC Avant Garde" w:hAnsi="ITC Avant Garde"/>
        </w:rPr>
        <w:t xml:space="preserve">la probable responsabilidad </w:t>
      </w:r>
      <w:r w:rsidR="00D578DF" w:rsidRPr="002A2450">
        <w:rPr>
          <w:rFonts w:ascii="ITC Avant Garde" w:hAnsi="ITC Avant Garde"/>
        </w:rPr>
        <w:t>señalada en el acuerdo de inicio del procedimiento administrativo de imposición de sanción.</w:t>
      </w:r>
    </w:p>
    <w:p w14:paraId="0978D217" w14:textId="77777777" w:rsidR="00B35F13" w:rsidRDefault="00031366" w:rsidP="00B35F13">
      <w:pPr>
        <w:spacing w:before="240" w:line="360" w:lineRule="auto"/>
        <w:ind w:right="567"/>
        <w:jc w:val="both"/>
        <w:rPr>
          <w:rFonts w:ascii="ITC Avant Garde" w:hAnsi="ITC Avant Garde"/>
        </w:rPr>
      </w:pPr>
      <w:r w:rsidRPr="002A2450">
        <w:rPr>
          <w:rFonts w:ascii="ITC Avant Garde" w:hAnsi="ITC Avant Garde"/>
        </w:rPr>
        <w:t xml:space="preserve">Por otra parte </w:t>
      </w:r>
      <w:r w:rsidRPr="002A2450">
        <w:rPr>
          <w:rFonts w:ascii="ITC Avant Garde" w:hAnsi="ITC Avant Garde"/>
          <w:b/>
        </w:rPr>
        <w:t>“TELMEX”</w:t>
      </w:r>
      <w:r w:rsidRPr="002A2450">
        <w:rPr>
          <w:rFonts w:ascii="ITC Avant Garde" w:hAnsi="ITC Avant Garde"/>
        </w:rPr>
        <w:t xml:space="preserve"> manifiesta que:</w:t>
      </w:r>
    </w:p>
    <w:p w14:paraId="2632B2C5"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actúa a través de </w:t>
      </w:r>
      <w:proofErr w:type="spellStart"/>
      <w:r w:rsidR="00831D47" w:rsidRPr="002A2450">
        <w:rPr>
          <w:rFonts w:ascii="ITC Avant Garde" w:hAnsi="ITC Avant Garde"/>
          <w:i/>
        </w:rPr>
        <w:t>Cofresa</w:t>
      </w:r>
      <w:proofErr w:type="spellEnd"/>
      <w:r w:rsidR="00831D47" w:rsidRPr="002A2450">
        <w:rPr>
          <w:rFonts w:ascii="ITC Avant Garde" w:hAnsi="ITC Avant Garde"/>
          <w:i/>
        </w:rPr>
        <w:t xml:space="preserve"> ni influye de manera determinante en la estrategia de negocios de </w:t>
      </w:r>
      <w:proofErr w:type="spellStart"/>
      <w:r w:rsidR="00831D47" w:rsidRPr="002A2450">
        <w:rPr>
          <w:rFonts w:ascii="ITC Avant Garde" w:hAnsi="ITC Avant Garde"/>
          <w:i/>
        </w:rPr>
        <w:t>Cofresa</w:t>
      </w:r>
      <w:proofErr w:type="spellEnd"/>
      <w:r w:rsidR="00831D47" w:rsidRPr="002A2450">
        <w:rPr>
          <w:rFonts w:ascii="ITC Avant Garde" w:hAnsi="ITC Avant Garde"/>
          <w:i/>
        </w:rPr>
        <w:t xml:space="preserve">. Los activos, servicios proporcionados en ninguna caso se mezclaron o unieron activos y servicios para crear un mecanismo con el cual se pretenda </w:t>
      </w:r>
      <w:r w:rsidR="00831D47" w:rsidRPr="002A2450">
        <w:rPr>
          <w:rFonts w:ascii="ITC Avant Garde" w:hAnsi="ITC Avant Garde"/>
          <w:i/>
        </w:rPr>
        <w:lastRenderedPageBreak/>
        <w:t xml:space="preserve">establecer un vínculo de tal naturaleza que genere las condiciones para una intervención indirecta por parte de </w:t>
      </w:r>
      <w:r w:rsidRPr="002A2450">
        <w:rPr>
          <w:rFonts w:ascii="ITC Avant Garde" w:hAnsi="ITC Avant Garde"/>
          <w:b/>
          <w:i/>
        </w:rPr>
        <w:t>“TELMEX”</w:t>
      </w:r>
      <w:r w:rsidR="00831D47" w:rsidRPr="002A2450">
        <w:rPr>
          <w:rFonts w:ascii="ITC Avant Garde" w:hAnsi="ITC Avant Garde"/>
          <w:i/>
        </w:rPr>
        <w:t>.</w:t>
      </w:r>
    </w:p>
    <w:p w14:paraId="787D1E5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Aún si pudiera interpretarse que los contratos pudiesen alinear ciertos intereses, esto no implica que cada parte haya perdido su autonomía o capacidad de acción.</w:t>
      </w:r>
    </w:p>
    <w:p w14:paraId="5732D35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este apartado esa Unidad de Cumplimiento únicamente concluye en transcripciones parciales de los contratos con el cual pretende establecer un vínculo de tal naturaleza que genere las condiciones para una intervención indirecta por parte de </w:t>
      </w:r>
      <w:r w:rsidR="005B601B" w:rsidRPr="002A2450">
        <w:rPr>
          <w:rFonts w:ascii="ITC Avant Garde" w:hAnsi="ITC Avant Garde"/>
          <w:b/>
          <w:i/>
        </w:rPr>
        <w:t>“TELMEX”</w:t>
      </w:r>
      <w:r w:rsidRPr="002A2450">
        <w:rPr>
          <w:rFonts w:ascii="ITC Avant Garde" w:hAnsi="ITC Avant Garde"/>
          <w:i/>
        </w:rPr>
        <w:t>.</w:t>
      </w:r>
    </w:p>
    <w:p w14:paraId="5C2D04B4" w14:textId="77777777" w:rsidR="00B35F13" w:rsidRDefault="00D578DF" w:rsidP="00B35F13">
      <w:pPr>
        <w:spacing w:before="240" w:line="360" w:lineRule="auto"/>
        <w:ind w:right="567"/>
        <w:jc w:val="both"/>
        <w:rPr>
          <w:rFonts w:ascii="ITC Avant Garde" w:hAnsi="ITC Avant Garde"/>
        </w:rPr>
      </w:pPr>
      <w:r w:rsidRPr="002A2450">
        <w:rPr>
          <w:rFonts w:ascii="ITC Avant Garde" w:hAnsi="ITC Avant Garde"/>
        </w:rPr>
        <w:t xml:space="preserve">Los argumentos señalados por </w:t>
      </w:r>
      <w:r w:rsidRPr="002A2450">
        <w:rPr>
          <w:rFonts w:ascii="ITC Avant Garde" w:hAnsi="ITC Avant Garde"/>
          <w:b/>
        </w:rPr>
        <w:t>“TELMEX”</w:t>
      </w:r>
      <w:r w:rsidRPr="002A2450">
        <w:rPr>
          <w:rFonts w:ascii="ITC Avant Garde" w:hAnsi="ITC Avant Garde"/>
        </w:rPr>
        <w:t xml:space="preserve"> resultan </w:t>
      </w:r>
      <w:r w:rsidRPr="002A2450">
        <w:rPr>
          <w:rFonts w:ascii="ITC Avant Garde" w:hAnsi="ITC Avant Garde"/>
          <w:b/>
          <w:u w:val="single"/>
        </w:rPr>
        <w:t>insuficientes</w:t>
      </w:r>
      <w:r w:rsidRPr="002A2450">
        <w:rPr>
          <w:rFonts w:ascii="ITC Avant Garde" w:hAnsi="ITC Avant Garde"/>
        </w:rPr>
        <w:t xml:space="preserve"> para desvirtuar la materia del presente procedimiento, en virtud de las siguientes consideraciones:</w:t>
      </w:r>
    </w:p>
    <w:p w14:paraId="7A78E51A" w14:textId="77777777" w:rsidR="00B35F13" w:rsidRDefault="00D578DF" w:rsidP="00B35F13">
      <w:pPr>
        <w:spacing w:before="240" w:line="360" w:lineRule="auto"/>
        <w:ind w:right="567"/>
        <w:jc w:val="both"/>
        <w:rPr>
          <w:rFonts w:ascii="ITC Avant Garde" w:hAnsi="ITC Avant Garde"/>
        </w:rPr>
      </w:pPr>
      <w:r w:rsidRPr="002A2450">
        <w:rPr>
          <w:rFonts w:ascii="ITC Avant Garde" w:hAnsi="ITC Avant Garde"/>
        </w:rPr>
        <w:t>El acuerdo de inicio del procedimiento administrativo de imposición de sanción, señaló el probable incumplimiento al</w:t>
      </w:r>
      <w:r w:rsidR="00031366" w:rsidRPr="002A2450">
        <w:rPr>
          <w:rFonts w:ascii="ITC Avant Garde" w:hAnsi="ITC Avant Garde"/>
        </w:rPr>
        <w:t xml:space="preserve"> </w:t>
      </w:r>
      <w:r w:rsidR="00B15C84" w:rsidRPr="009E34A4">
        <w:rPr>
          <w:rFonts w:ascii="ITC Avant Garde" w:hAnsi="ITC Avant Garde"/>
          <w:b/>
        </w:rPr>
        <w:t>Tercer Párrafo</w:t>
      </w:r>
      <w:r w:rsidR="00031366" w:rsidRPr="002A2450">
        <w:rPr>
          <w:rFonts w:ascii="ITC Avant Garde" w:hAnsi="ITC Avant Garde"/>
        </w:rPr>
        <w:t xml:space="preserve"> de la </w:t>
      </w:r>
      <w:r w:rsidRPr="002A2450">
        <w:rPr>
          <w:rFonts w:ascii="ITC Avant Garde" w:hAnsi="ITC Avant Garde"/>
        </w:rPr>
        <w:t xml:space="preserve">condición 1-9 del </w:t>
      </w:r>
      <w:r w:rsidRPr="002A2450">
        <w:rPr>
          <w:rFonts w:ascii="ITC Avant Garde" w:hAnsi="ITC Avant Garde"/>
          <w:b/>
        </w:rPr>
        <w:t xml:space="preserve">“TÍTULO DE CONCESIÓN” </w:t>
      </w:r>
      <w:r w:rsidRPr="002A2450">
        <w:rPr>
          <w:rFonts w:ascii="ITC Avant Garde" w:hAnsi="ITC Avant Garde"/>
        </w:rPr>
        <w:t xml:space="preserve">otorgado por </w:t>
      </w:r>
      <w:r w:rsidRPr="002A2450">
        <w:rPr>
          <w:rFonts w:ascii="ITC Avant Garde" w:hAnsi="ITC Avant Garde"/>
          <w:b/>
        </w:rPr>
        <w:t>“TELMEX”</w:t>
      </w:r>
      <w:r w:rsidRPr="002A2450">
        <w:rPr>
          <w:rFonts w:ascii="ITC Avant Garde" w:hAnsi="ITC Avant Garde"/>
        </w:rPr>
        <w:t>.</w:t>
      </w:r>
    </w:p>
    <w:p w14:paraId="348C0F59" w14:textId="77777777" w:rsidR="00B35F13" w:rsidRDefault="00D578DF" w:rsidP="00B35F13">
      <w:pPr>
        <w:spacing w:before="240" w:line="360" w:lineRule="auto"/>
        <w:ind w:right="567"/>
        <w:jc w:val="both"/>
        <w:rPr>
          <w:rFonts w:ascii="ITC Avant Garde" w:hAnsi="ITC Avant Garde"/>
        </w:rPr>
      </w:pPr>
      <w:r w:rsidRPr="002A2450">
        <w:rPr>
          <w:rFonts w:ascii="ITC Avant Garde" w:hAnsi="ITC Avant Garde"/>
        </w:rPr>
        <w:t xml:space="preserve">En ese sentido, compete determinar si con la celebración de los contratos suscritos por dicha concesionaria se viola o no, la condición 1-9 de su </w:t>
      </w:r>
      <w:r w:rsidR="00031366" w:rsidRPr="002A2450">
        <w:rPr>
          <w:rFonts w:ascii="ITC Avant Garde" w:hAnsi="ITC Avant Garde"/>
          <w:b/>
        </w:rPr>
        <w:t xml:space="preserve">“TÍTULO DE CONCESIÓN”, </w:t>
      </w:r>
      <w:r w:rsidR="00031366" w:rsidRPr="002A2450">
        <w:rPr>
          <w:rFonts w:ascii="ITC Avant Garde" w:hAnsi="ITC Avant Garde"/>
        </w:rPr>
        <w:t>en la citada porción normativa.</w:t>
      </w:r>
    </w:p>
    <w:p w14:paraId="31B5F5AA" w14:textId="77777777" w:rsidR="00B35F13" w:rsidRDefault="00D578DF" w:rsidP="00B35F13">
      <w:pPr>
        <w:spacing w:before="240" w:line="360" w:lineRule="auto"/>
        <w:ind w:right="567"/>
        <w:jc w:val="both"/>
        <w:rPr>
          <w:rFonts w:ascii="ITC Avant Garde" w:hAnsi="ITC Avant Garde"/>
        </w:rPr>
      </w:pPr>
      <w:r w:rsidRPr="002A2450">
        <w:rPr>
          <w:rFonts w:ascii="ITC Avant Garde" w:hAnsi="ITC Avant Garde"/>
        </w:rPr>
        <w:t xml:space="preserve">Por tanto, en nada beneficia a </w:t>
      </w:r>
      <w:r w:rsidRPr="002A2450">
        <w:rPr>
          <w:rFonts w:ascii="ITC Avant Garde" w:hAnsi="ITC Avant Garde"/>
          <w:b/>
        </w:rPr>
        <w:t>“TELMEX”</w:t>
      </w:r>
      <w:r w:rsidRPr="002A2450">
        <w:rPr>
          <w:rFonts w:ascii="ITC Avant Garde" w:hAnsi="ITC Avant Garde"/>
        </w:rPr>
        <w:t xml:space="preserve"> señalar que no existen uniones de activos entre las partes en los contratos, así como que la suscripción de los contratos no implica que cada parte pierda autonomía, puesto que ello se insiste, ya fuera materia de resolución por parte de esta autoridad en un procedimiento diverso, tal y como se ha señalado, por lo que dichas manifestaciones no tienden a desvirtuar </w:t>
      </w:r>
      <w:r w:rsidR="00462923" w:rsidRPr="002A2450">
        <w:rPr>
          <w:rFonts w:ascii="ITC Avant Garde" w:hAnsi="ITC Avant Garde"/>
        </w:rPr>
        <w:t xml:space="preserve">la presunta infracción materia del presente procedimiento, de lo que se sigue que sus manifestaciones son meras consideraciones que no atienden a la presente </w:t>
      </w:r>
      <w:proofErr w:type="spellStart"/>
      <w:r w:rsidR="00462923" w:rsidRPr="002A2450">
        <w:rPr>
          <w:rFonts w:ascii="ITC Avant Garde" w:hAnsi="ITC Avant Garde"/>
          <w:i/>
        </w:rPr>
        <w:t>litis</w:t>
      </w:r>
      <w:proofErr w:type="spellEnd"/>
      <w:r w:rsidR="00462923" w:rsidRPr="002A2450">
        <w:rPr>
          <w:rFonts w:ascii="ITC Avant Garde" w:hAnsi="ITC Avant Garde"/>
          <w:i/>
        </w:rPr>
        <w:t xml:space="preserve"> </w:t>
      </w:r>
      <w:r w:rsidR="00462923" w:rsidRPr="002A2450">
        <w:rPr>
          <w:rFonts w:ascii="ITC Avant Garde" w:hAnsi="ITC Avant Garde"/>
        </w:rPr>
        <w:t>y por ello, resultan insuficientes para desvirtuar la materia del presente procedimiento.</w:t>
      </w:r>
    </w:p>
    <w:p w14:paraId="50514C91" w14:textId="77777777" w:rsidR="00B35F13" w:rsidRDefault="00462923"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Continúa manifestado </w:t>
      </w:r>
      <w:r w:rsidRPr="002A2450">
        <w:rPr>
          <w:rFonts w:ascii="ITC Avant Garde" w:hAnsi="ITC Avant Garde"/>
          <w:b/>
        </w:rPr>
        <w:t>“TELMEX”</w:t>
      </w:r>
      <w:r w:rsidRPr="002A2450">
        <w:rPr>
          <w:rFonts w:ascii="ITC Avant Garde" w:hAnsi="ITC Avant Garde"/>
        </w:rPr>
        <w:t xml:space="preserve"> lo siguiente:</w:t>
      </w:r>
    </w:p>
    <w:p w14:paraId="6000DBFD" w14:textId="77777777" w:rsidR="00B35F13" w:rsidRDefault="00F73BDF" w:rsidP="00B35F13">
      <w:pPr>
        <w:spacing w:before="240" w:line="360" w:lineRule="auto"/>
        <w:ind w:left="567" w:right="567"/>
        <w:jc w:val="center"/>
        <w:rPr>
          <w:rFonts w:ascii="ITC Avant Garde" w:hAnsi="ITC Avant Garde"/>
          <w:i/>
        </w:rPr>
      </w:pPr>
      <w:r w:rsidRPr="002A2450">
        <w:rPr>
          <w:rFonts w:ascii="ITC Avant Garde" w:hAnsi="ITC Avant Garde"/>
          <w:b/>
          <w:i/>
        </w:rPr>
        <w:t>PRESUNTO INCUMPLIMIENTO</w:t>
      </w:r>
    </w:p>
    <w:p w14:paraId="6E4BD16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el presente apartado, la Unidad de Cumplimiento parte de un supuesto equivocado.</w:t>
      </w:r>
    </w:p>
    <w:p w14:paraId="101FB29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 anterior, ya que se limita a afirmar, sin que exhiba prueba que demuestre su aseveración que la relación entre </w:t>
      </w:r>
      <w:r w:rsidR="005B601B" w:rsidRPr="002A2450">
        <w:rPr>
          <w:rFonts w:ascii="ITC Avant Garde" w:hAnsi="ITC Avant Garde"/>
          <w:b/>
          <w:i/>
        </w:rPr>
        <w:t>“TELMEX”</w:t>
      </w:r>
      <w:r w:rsidRPr="002A2450">
        <w:rPr>
          <w:rFonts w:ascii="ITC Avant Garde" w:hAnsi="ITC Avant Garde"/>
          <w:i/>
        </w:rPr>
        <w:t xml:space="preserve"> y </w:t>
      </w:r>
      <w:proofErr w:type="spellStart"/>
      <w:r w:rsidRPr="002A2450">
        <w:rPr>
          <w:rFonts w:ascii="ITC Avant Garde" w:hAnsi="ITC Avant Garde"/>
          <w:i/>
        </w:rPr>
        <w:t>Cofresa</w:t>
      </w:r>
      <w:proofErr w:type="spellEnd"/>
      <w:r w:rsidRPr="002A2450">
        <w:rPr>
          <w:rFonts w:ascii="ITC Avant Garde" w:hAnsi="ITC Avant Garde"/>
          <w:i/>
        </w:rPr>
        <w:t xml:space="preserve"> queda plenamente acreditada dada la estrecha relación que existe entre estas empresas derivado de los contratos y pasa a enumerar lo que a su consideración son los elementos.</w:t>
      </w:r>
    </w:p>
    <w:p w14:paraId="787342E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Sin embargo, como primera observación, debe señalarse que es omisa en comprobar las mismas.</w:t>
      </w:r>
    </w:p>
    <w:p w14:paraId="0159214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cuanto a la relación comercial entre </w:t>
      </w:r>
      <w:r w:rsidR="005B601B" w:rsidRPr="002A2450">
        <w:rPr>
          <w:rFonts w:ascii="ITC Avant Garde" w:hAnsi="ITC Avant Garde"/>
          <w:b/>
          <w:i/>
        </w:rPr>
        <w:t>“TELMEX”</w:t>
      </w:r>
      <w:r w:rsidRPr="002A2450">
        <w:rPr>
          <w:rFonts w:ascii="ITC Avant Garde" w:hAnsi="ITC Avant Garde"/>
          <w:i/>
        </w:rPr>
        <w:t>/</w:t>
      </w:r>
      <w:proofErr w:type="spellStart"/>
      <w:r w:rsidRPr="002A2450">
        <w:rPr>
          <w:rFonts w:ascii="ITC Avant Garde" w:hAnsi="ITC Avant Garde"/>
          <w:i/>
        </w:rPr>
        <w:t>Teninver</w:t>
      </w:r>
      <w:proofErr w:type="spellEnd"/>
      <w:r w:rsidRPr="002A2450">
        <w:rPr>
          <w:rFonts w:ascii="ITC Avant Garde" w:hAnsi="ITC Avant Garde"/>
          <w:i/>
        </w:rPr>
        <w:t xml:space="preserve"> en efecto, se trata de una relación comercial y de negocios pero no “corporativa” como se asegura, pero ello no permite a </w:t>
      </w:r>
      <w:r w:rsidR="005B601B" w:rsidRPr="002A2450">
        <w:rPr>
          <w:rFonts w:ascii="ITC Avant Garde" w:hAnsi="ITC Avant Garde"/>
          <w:b/>
          <w:i/>
        </w:rPr>
        <w:t>“TELMEX”</w:t>
      </w:r>
      <w:r w:rsidRPr="002A2450">
        <w:rPr>
          <w:rFonts w:ascii="ITC Avant Garde" w:hAnsi="ITC Avant Garde"/>
          <w:i/>
        </w:rPr>
        <w:t xml:space="preserve"> tener una explotación directa o indirecta de la concesión de </w:t>
      </w:r>
      <w:proofErr w:type="spellStart"/>
      <w:r w:rsidRPr="002A2450">
        <w:rPr>
          <w:rFonts w:ascii="ITC Avant Garde" w:hAnsi="ITC Avant Garde"/>
          <w:i/>
        </w:rPr>
        <w:t>Cofresa</w:t>
      </w:r>
      <w:proofErr w:type="spellEnd"/>
      <w:r w:rsidRPr="002A2450">
        <w:rPr>
          <w:rFonts w:ascii="ITC Avant Garde" w:hAnsi="ITC Avant Garde"/>
          <w:i/>
        </w:rPr>
        <w:t>.</w:t>
      </w:r>
    </w:p>
    <w:p w14:paraId="5BD8143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afirmación de la Unidad de cumplimiento es incorrecta, ni </w:t>
      </w:r>
      <w:proofErr w:type="spellStart"/>
      <w:r w:rsidRPr="002A2450">
        <w:rPr>
          <w:rFonts w:ascii="ITC Avant Garde" w:hAnsi="ITC Avant Garde"/>
          <w:i/>
        </w:rPr>
        <w:t>Dish</w:t>
      </w:r>
      <w:proofErr w:type="spellEnd"/>
      <w:r w:rsidRPr="002A2450">
        <w:rPr>
          <w:rFonts w:ascii="ITC Avant Garde" w:hAnsi="ITC Avant Garde"/>
          <w:i/>
        </w:rPr>
        <w:t xml:space="preserve"> México ni </w:t>
      </w:r>
      <w:proofErr w:type="spellStart"/>
      <w:r w:rsidRPr="002A2450">
        <w:rPr>
          <w:rFonts w:ascii="ITC Avant Garde" w:hAnsi="ITC Avant Garde"/>
          <w:i/>
        </w:rPr>
        <w:t>Cofresa</w:t>
      </w:r>
      <w:proofErr w:type="spellEnd"/>
      <w:r w:rsidRPr="002A2450">
        <w:rPr>
          <w:rFonts w:ascii="ITC Avant Garde" w:hAnsi="ITC Avant Garde"/>
          <w:i/>
        </w:rPr>
        <w:t xml:space="preserve"> han perdido la independencia en la toma de decisiones, porque los derechos de </w:t>
      </w:r>
      <w:r w:rsidR="005B601B" w:rsidRPr="002A2450">
        <w:rPr>
          <w:rFonts w:ascii="ITC Avant Garde" w:hAnsi="ITC Avant Garde"/>
          <w:b/>
          <w:i/>
        </w:rPr>
        <w:t>“TELMEX”</w:t>
      </w:r>
      <w:r w:rsidRPr="002A2450">
        <w:rPr>
          <w:rFonts w:ascii="ITC Avant Garde" w:hAnsi="ITC Avant Garde"/>
          <w:i/>
        </w:rPr>
        <w:t xml:space="preserve"> no son similares a los de los accionistas, no participan en su gobierno corporativo ni en sus resultados.</w:t>
      </w:r>
    </w:p>
    <w:p w14:paraId="0CF6F2F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Si existen derechos similares a los de un acreedor para proteger sus legítimos intereses de derechos personales pero no con posibilidad alguna de interferir en la conducción de la concesión de </w:t>
      </w:r>
      <w:proofErr w:type="spellStart"/>
      <w:r w:rsidRPr="002A2450">
        <w:rPr>
          <w:rFonts w:ascii="ITC Avant Garde" w:hAnsi="ITC Avant Garde"/>
          <w:i/>
        </w:rPr>
        <w:t>Cofresa</w:t>
      </w:r>
      <w:proofErr w:type="spellEnd"/>
      <w:r w:rsidRPr="002A2450">
        <w:rPr>
          <w:rFonts w:ascii="ITC Avant Garde" w:hAnsi="ITC Avant Garde"/>
          <w:i/>
        </w:rPr>
        <w:t>.</w:t>
      </w:r>
    </w:p>
    <w:p w14:paraId="56837EC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Esto es la confusión de la lectura rápida de ese Instituto, confundir entre un acreedor y un accionista, pero como se ha dicho, los derechos de </w:t>
      </w:r>
      <w:r w:rsidR="005B601B" w:rsidRPr="002A2450">
        <w:rPr>
          <w:rFonts w:ascii="ITC Avant Garde" w:hAnsi="ITC Avant Garde"/>
          <w:b/>
          <w:i/>
        </w:rPr>
        <w:t>“TELMEX”</w:t>
      </w:r>
      <w:r w:rsidRPr="002A2450">
        <w:rPr>
          <w:rFonts w:ascii="ITC Avant Garde" w:hAnsi="ITC Avant Garde"/>
          <w:i/>
        </w:rPr>
        <w:t xml:space="preserve"> </w:t>
      </w:r>
      <w:r w:rsidR="00031366" w:rsidRPr="002A2450">
        <w:rPr>
          <w:rFonts w:ascii="ITC Avant Garde" w:hAnsi="ITC Avant Garde"/>
          <w:i/>
        </w:rPr>
        <w:t>son</w:t>
      </w:r>
      <w:r w:rsidRPr="002A2450">
        <w:rPr>
          <w:rFonts w:ascii="ITC Avant Garde" w:hAnsi="ITC Avant Garde"/>
          <w:i/>
        </w:rPr>
        <w:t xml:space="preserve"> equivalentes a un acreedor y no a un accionista.</w:t>
      </w:r>
    </w:p>
    <w:p w14:paraId="3052DC24" w14:textId="77777777" w:rsidR="00B35F13" w:rsidRDefault="00462923"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Dichas manifestaciones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65B91F79" w14:textId="77777777" w:rsidR="00B35F13" w:rsidRDefault="00462923" w:rsidP="00B35F13">
      <w:pPr>
        <w:spacing w:before="240" w:line="360" w:lineRule="auto"/>
        <w:ind w:right="567"/>
        <w:jc w:val="both"/>
        <w:rPr>
          <w:rFonts w:ascii="ITC Avant Garde" w:hAnsi="ITC Avant Garde"/>
        </w:rPr>
      </w:pPr>
      <w:r w:rsidRPr="002A2450">
        <w:rPr>
          <w:rFonts w:ascii="ITC Avant Garde" w:hAnsi="ITC Avant Garde"/>
        </w:rPr>
        <w:t xml:space="preserve">Respecto de lo señalado por </w:t>
      </w:r>
      <w:r w:rsidRPr="002A2450">
        <w:rPr>
          <w:rFonts w:ascii="ITC Avant Garde" w:hAnsi="ITC Avant Garde"/>
          <w:b/>
        </w:rPr>
        <w:t>“TELMEX”</w:t>
      </w:r>
      <w:r w:rsidRPr="002A2450">
        <w:rPr>
          <w:rFonts w:ascii="ITC Avant Garde" w:hAnsi="ITC Avant Garde"/>
        </w:rPr>
        <w:t xml:space="preserve"> a que existe </w:t>
      </w:r>
      <w:r w:rsidR="00031366" w:rsidRPr="002A2450">
        <w:rPr>
          <w:rFonts w:ascii="ITC Avant Garde" w:hAnsi="ITC Avant Garde"/>
        </w:rPr>
        <w:t>una supuesta confusión</w:t>
      </w:r>
      <w:r w:rsidRPr="002A2450">
        <w:rPr>
          <w:rFonts w:ascii="ITC Avant Garde" w:hAnsi="ITC Avant Garde"/>
        </w:rPr>
        <w:t xml:space="preserve"> por parte de esta autoridad, ya que la relación comercial sostenida por dicha concesionaria y </w:t>
      </w:r>
      <w:r w:rsidRPr="002A2450">
        <w:rPr>
          <w:rFonts w:ascii="ITC Avant Garde" w:hAnsi="ITC Avant Garde"/>
          <w:b/>
        </w:rPr>
        <w:t>“TENINVER”</w:t>
      </w:r>
      <w:r w:rsidRPr="002A2450">
        <w:rPr>
          <w:rFonts w:ascii="ITC Avant Garde" w:hAnsi="ITC Avant Garde"/>
        </w:rPr>
        <w:t xml:space="preserve"> es comercial y de negocios y que las empresas involucradas no han perdido independencia alguna; los derechos señalados en los contr</w:t>
      </w:r>
      <w:r w:rsidR="00031366" w:rsidRPr="002A2450">
        <w:rPr>
          <w:rFonts w:ascii="ITC Avant Garde" w:hAnsi="ITC Avant Garde"/>
        </w:rPr>
        <w:t>atos corresponden a lo</w:t>
      </w:r>
      <w:r w:rsidRPr="002A2450">
        <w:rPr>
          <w:rFonts w:ascii="ITC Avant Garde" w:hAnsi="ITC Avant Garde"/>
        </w:rPr>
        <w:t xml:space="preserve">s de un acreedor para proteger sus intereses, pero no con la posibilidad de interferir en la condición de la concesión otorgada a </w:t>
      </w:r>
      <w:r w:rsidRPr="002A2450">
        <w:rPr>
          <w:rFonts w:ascii="ITC Avant Garde" w:hAnsi="ITC Avant Garde"/>
          <w:b/>
        </w:rPr>
        <w:t>“COFRESA”</w:t>
      </w:r>
      <w:r w:rsidRPr="002A2450">
        <w:rPr>
          <w:rFonts w:ascii="ITC Avant Garde" w:hAnsi="ITC Avant Garde"/>
        </w:rPr>
        <w:t>, máxime que la autoridad no ofrece prueba alguna.</w:t>
      </w:r>
    </w:p>
    <w:p w14:paraId="3F712A27" w14:textId="77777777" w:rsidR="00B35F13" w:rsidRDefault="00462923" w:rsidP="00B35F13">
      <w:pPr>
        <w:spacing w:before="240" w:line="360" w:lineRule="auto"/>
        <w:ind w:right="567"/>
        <w:jc w:val="both"/>
        <w:rPr>
          <w:rFonts w:ascii="ITC Avant Garde" w:hAnsi="ITC Avant Garde"/>
        </w:rPr>
      </w:pPr>
      <w:r w:rsidRPr="002A2450">
        <w:rPr>
          <w:rFonts w:ascii="ITC Avant Garde" w:hAnsi="ITC Avant Garde"/>
        </w:rPr>
        <w:t xml:space="preserve">Al respecto, debe señalarse que la imputación realizada a </w:t>
      </w:r>
      <w:r w:rsidRPr="002A2450">
        <w:rPr>
          <w:rFonts w:ascii="ITC Avant Garde" w:hAnsi="ITC Avant Garde"/>
          <w:b/>
        </w:rPr>
        <w:t>“TELMEX”</w:t>
      </w:r>
      <w:r w:rsidRPr="002A2450">
        <w:rPr>
          <w:rFonts w:ascii="ITC Avant Garde" w:hAnsi="ITC Avant Garde"/>
        </w:rPr>
        <w:t xml:space="preserve"> parte del pronunciamiento y declaraciones señaladas </w:t>
      </w:r>
      <w:r w:rsidR="009F0901" w:rsidRPr="002A2450">
        <w:rPr>
          <w:rFonts w:ascii="ITC Avant Garde" w:hAnsi="ITC Avant Garde"/>
        </w:rPr>
        <w:t xml:space="preserve">en los </w:t>
      </w:r>
      <w:r w:rsidR="00031366" w:rsidRPr="002A2450">
        <w:rPr>
          <w:rFonts w:ascii="ITC Avant Garde" w:hAnsi="ITC Avant Garde"/>
        </w:rPr>
        <w:t xml:space="preserve">propios </w:t>
      </w:r>
      <w:r w:rsidR="009F0901" w:rsidRPr="002A2450">
        <w:rPr>
          <w:rFonts w:ascii="ITC Avant Garde" w:hAnsi="ITC Avant Garde"/>
        </w:rPr>
        <w:t xml:space="preserve">contratos, </w:t>
      </w:r>
      <w:r w:rsidR="00031366" w:rsidRPr="002A2450">
        <w:rPr>
          <w:rFonts w:ascii="ITC Avant Garde" w:hAnsi="ITC Avant Garde"/>
        </w:rPr>
        <w:t xml:space="preserve">de cuyo análisis </w:t>
      </w:r>
      <w:r w:rsidR="009F0901" w:rsidRPr="002A2450">
        <w:rPr>
          <w:rFonts w:ascii="ITC Avant Garde" w:hAnsi="ITC Avant Garde"/>
        </w:rPr>
        <w:t>se advirt</w:t>
      </w:r>
      <w:r w:rsidR="00031366" w:rsidRPr="002A2450">
        <w:rPr>
          <w:rFonts w:ascii="ITC Avant Garde" w:hAnsi="ITC Avant Garde"/>
        </w:rPr>
        <w:t>ió</w:t>
      </w:r>
      <w:r w:rsidR="009F0901" w:rsidRPr="002A2450">
        <w:rPr>
          <w:rFonts w:ascii="ITC Avant Garde" w:hAnsi="ITC Avant Garde"/>
        </w:rPr>
        <w:t xml:space="preserve"> que </w:t>
      </w:r>
      <w:r w:rsidR="00031366" w:rsidRPr="002A2450">
        <w:rPr>
          <w:rFonts w:ascii="ITC Avant Garde" w:hAnsi="ITC Avant Garde"/>
        </w:rPr>
        <w:t xml:space="preserve">los mismos están </w:t>
      </w:r>
      <w:r w:rsidR="009F0901" w:rsidRPr="002A2450">
        <w:rPr>
          <w:rFonts w:ascii="ITC Avant Garde" w:hAnsi="ITC Avant Garde"/>
        </w:rPr>
        <w:t>coaligados, dada la interdependencia entre ellos</w:t>
      </w:r>
      <w:r w:rsidR="00031366" w:rsidRPr="002A2450">
        <w:rPr>
          <w:rFonts w:ascii="ITC Avant Garde" w:hAnsi="ITC Avant Garde"/>
        </w:rPr>
        <w:t>,</w:t>
      </w:r>
      <w:r w:rsidR="008F718E" w:rsidRPr="002A2450">
        <w:rPr>
          <w:rFonts w:ascii="ITC Avant Garde" w:hAnsi="ITC Avant Garde"/>
          <w:color w:val="C00000"/>
        </w:rPr>
        <w:t xml:space="preserve"> </w:t>
      </w:r>
      <w:r w:rsidR="009F0901" w:rsidRPr="002A2450">
        <w:rPr>
          <w:rFonts w:ascii="ITC Avant Garde" w:hAnsi="ITC Avant Garde"/>
        </w:rPr>
        <w:t xml:space="preserve">así también se observa que la infraestructura de </w:t>
      </w:r>
      <w:r w:rsidR="009F0901" w:rsidRPr="002A2450">
        <w:rPr>
          <w:rFonts w:ascii="ITC Avant Garde" w:hAnsi="ITC Avant Garde"/>
          <w:b/>
        </w:rPr>
        <w:t>“TELMEX”</w:t>
      </w:r>
      <w:r w:rsidR="009F0901" w:rsidRPr="002A2450">
        <w:rPr>
          <w:rFonts w:ascii="ITC Avant Garde" w:hAnsi="ITC Avant Garde"/>
        </w:rPr>
        <w:t xml:space="preserve"> permite a </w:t>
      </w:r>
      <w:r w:rsidR="009F0901" w:rsidRPr="002A2450">
        <w:rPr>
          <w:rFonts w:ascii="ITC Avant Garde" w:hAnsi="ITC Avant Garde"/>
          <w:b/>
        </w:rPr>
        <w:t>“COFRESA”</w:t>
      </w:r>
      <w:r w:rsidR="009F0901" w:rsidRPr="002A2450">
        <w:rPr>
          <w:rFonts w:ascii="ITC Avant Garde" w:hAnsi="ITC Avant Garde"/>
        </w:rPr>
        <w:t xml:space="preserve"> delegar el insumo operacional de la concesión (facturación y cobranza, distribución y prestación de servicios), con la expectativa de que en el fututo </w:t>
      </w:r>
      <w:r w:rsidR="009F0901" w:rsidRPr="002A2450">
        <w:rPr>
          <w:rFonts w:ascii="ITC Avant Garde" w:hAnsi="ITC Avant Garde"/>
          <w:b/>
        </w:rPr>
        <w:t>“TELMEX”</w:t>
      </w:r>
      <w:r w:rsidR="009F0901" w:rsidRPr="002A2450">
        <w:rPr>
          <w:rFonts w:ascii="ITC Avant Garde" w:hAnsi="ITC Avant Garde"/>
        </w:rPr>
        <w:t xml:space="preserve"> podría adquirir parte del capital social de </w:t>
      </w:r>
      <w:r w:rsidR="009F0901" w:rsidRPr="002A2450">
        <w:rPr>
          <w:rFonts w:ascii="ITC Avant Garde" w:hAnsi="ITC Avant Garde"/>
          <w:b/>
        </w:rPr>
        <w:t>“DISH MÉXICO”</w:t>
      </w:r>
      <w:r w:rsidR="009F0901" w:rsidRPr="002A2450">
        <w:rPr>
          <w:rFonts w:ascii="ITC Avant Garde" w:hAnsi="ITC Avant Garde"/>
        </w:rPr>
        <w:t xml:space="preserve"> y a su vez, convertirse en una controladora de </w:t>
      </w:r>
      <w:r w:rsidR="009F0901" w:rsidRPr="002A2450">
        <w:rPr>
          <w:rFonts w:ascii="ITC Avant Garde" w:hAnsi="ITC Avant Garde"/>
          <w:b/>
        </w:rPr>
        <w:t>“COFRESA”</w:t>
      </w:r>
      <w:r w:rsidR="009F0901" w:rsidRPr="002A2450">
        <w:rPr>
          <w:rFonts w:ascii="ITC Avant Garde" w:hAnsi="ITC Avant Garde"/>
        </w:rPr>
        <w:t xml:space="preserve"> quien ofrece servicios de televisión en el país, actividad que tiene prohibida </w:t>
      </w:r>
      <w:r w:rsidR="009F0901" w:rsidRPr="002A2450">
        <w:rPr>
          <w:rFonts w:ascii="ITC Avant Garde" w:hAnsi="ITC Avant Garde"/>
          <w:b/>
        </w:rPr>
        <w:t>“TELMEX”.</w:t>
      </w:r>
    </w:p>
    <w:p w14:paraId="69E8F958" w14:textId="77777777" w:rsidR="00B35F13" w:rsidRDefault="009F0901" w:rsidP="00B35F13">
      <w:pPr>
        <w:spacing w:before="240" w:line="360" w:lineRule="auto"/>
        <w:ind w:right="567"/>
        <w:jc w:val="both"/>
        <w:rPr>
          <w:rFonts w:ascii="ITC Avant Garde" w:hAnsi="ITC Avant Garde"/>
        </w:rPr>
      </w:pPr>
      <w:r w:rsidRPr="002A2450">
        <w:rPr>
          <w:rFonts w:ascii="ITC Avant Garde" w:hAnsi="ITC Avant Garde"/>
        </w:rPr>
        <w:t xml:space="preserve">Para lo anterior, las partes acordaron celebrar entre otros contratos el llamado de opción de compra y venta, en el que las partes reconocen que en determinado plazo </w:t>
      </w:r>
      <w:r w:rsidRPr="002A2450">
        <w:rPr>
          <w:rFonts w:ascii="ITC Avant Garde" w:hAnsi="ITC Avant Garde"/>
          <w:b/>
        </w:rPr>
        <w:t xml:space="preserve">“TELMEX” </w:t>
      </w:r>
      <w:r w:rsidRPr="002A2450">
        <w:rPr>
          <w:rFonts w:ascii="ITC Avant Garde" w:hAnsi="ITC Avant Garde"/>
        </w:rPr>
        <w:t>podría</w:t>
      </w:r>
      <w:r w:rsidRPr="002A2450">
        <w:rPr>
          <w:rFonts w:ascii="ITC Avant Garde" w:hAnsi="ITC Avant Garde"/>
          <w:b/>
        </w:rPr>
        <w:t xml:space="preserve"> </w:t>
      </w:r>
      <w:r w:rsidRPr="002A2450">
        <w:rPr>
          <w:rFonts w:ascii="ITC Avant Garde" w:hAnsi="ITC Avant Garde"/>
        </w:rPr>
        <w:t xml:space="preserve">adquirir de </w:t>
      </w:r>
      <w:r w:rsidRPr="002A2450">
        <w:rPr>
          <w:rFonts w:ascii="ITC Avant Garde" w:hAnsi="ITC Avant Garde"/>
          <w:b/>
        </w:rPr>
        <w:t xml:space="preserve">“DISH MÉXICO” </w:t>
      </w:r>
      <w:r w:rsidRPr="002A2450">
        <w:rPr>
          <w:rFonts w:ascii="ITC Avant Garde" w:hAnsi="ITC Avant Garde"/>
        </w:rPr>
        <w:t xml:space="preserve">el 51% de su capital social, convirtiéndose en controladora de </w:t>
      </w:r>
      <w:r w:rsidRPr="002A2450">
        <w:rPr>
          <w:rFonts w:ascii="ITC Avant Garde" w:hAnsi="ITC Avant Garde"/>
          <w:b/>
        </w:rPr>
        <w:t>“COFRESA”</w:t>
      </w:r>
      <w:r w:rsidRPr="002A2450">
        <w:rPr>
          <w:rFonts w:ascii="ITC Avant Garde" w:hAnsi="ITC Avant Garde"/>
        </w:rPr>
        <w:t>.</w:t>
      </w:r>
    </w:p>
    <w:p w14:paraId="42697DD5" w14:textId="77777777" w:rsidR="00B35F13" w:rsidRDefault="009F0901" w:rsidP="00B35F13">
      <w:pPr>
        <w:spacing w:before="240" w:line="360" w:lineRule="auto"/>
        <w:ind w:right="567"/>
        <w:jc w:val="both"/>
        <w:rPr>
          <w:rFonts w:ascii="ITC Avant Garde" w:hAnsi="ITC Avant Garde"/>
        </w:rPr>
      </w:pPr>
      <w:r w:rsidRPr="002A2450">
        <w:rPr>
          <w:rFonts w:ascii="ITC Avant Garde" w:hAnsi="ITC Avant Garde"/>
        </w:rPr>
        <w:t xml:space="preserve">Sin embargo, al ser una condición suspensiva, </w:t>
      </w:r>
      <w:r w:rsidRPr="002A2450">
        <w:rPr>
          <w:rFonts w:ascii="ITC Avant Garde" w:hAnsi="ITC Avant Garde"/>
          <w:b/>
        </w:rPr>
        <w:t>“TELMEX”</w:t>
      </w:r>
      <w:r w:rsidRPr="002A2450">
        <w:rPr>
          <w:rFonts w:ascii="ITC Avant Garde" w:hAnsi="ITC Avant Garde"/>
        </w:rPr>
        <w:t xml:space="preserve"> en términos del acuerdo de consecuencias, contrato de </w:t>
      </w:r>
      <w:r w:rsidR="00031366" w:rsidRPr="002A2450">
        <w:rPr>
          <w:rFonts w:ascii="ITC Avant Garde" w:hAnsi="ITC Avant Garde"/>
        </w:rPr>
        <w:t>facturación</w:t>
      </w:r>
      <w:r w:rsidRPr="002A2450">
        <w:rPr>
          <w:rFonts w:ascii="ITC Avant Garde" w:hAnsi="ITC Avant Garde"/>
        </w:rPr>
        <w:t xml:space="preserve"> y cobranza, distribución, prestación de servicios e incluso en el propio contrato de opción, </w:t>
      </w:r>
      <w:r w:rsidR="00031366" w:rsidRPr="002A2450">
        <w:rPr>
          <w:rFonts w:ascii="ITC Avant Garde" w:hAnsi="ITC Avant Garde"/>
        </w:rPr>
        <w:t xml:space="preserve">estuvo en aptitud </w:t>
      </w:r>
      <w:r w:rsidRPr="002A2450">
        <w:rPr>
          <w:rFonts w:ascii="ITC Avant Garde" w:hAnsi="ITC Avant Garde"/>
        </w:rPr>
        <w:t xml:space="preserve">de ser un monitor constante del servicio </w:t>
      </w:r>
      <w:r w:rsidRPr="002A2450">
        <w:rPr>
          <w:rFonts w:ascii="ITC Avant Garde" w:hAnsi="ITC Avant Garde"/>
          <w:b/>
        </w:rPr>
        <w:t>“D</w:t>
      </w:r>
      <w:r w:rsidR="00B61711" w:rsidRPr="002A2450">
        <w:rPr>
          <w:rFonts w:ascii="ITC Avant Garde" w:hAnsi="ITC Avant Garde"/>
          <w:b/>
        </w:rPr>
        <w:t>TH</w:t>
      </w:r>
      <w:r w:rsidRPr="002A2450">
        <w:rPr>
          <w:rFonts w:ascii="ITC Avant Garde" w:hAnsi="ITC Avant Garde"/>
          <w:b/>
        </w:rPr>
        <w:t>”</w:t>
      </w:r>
      <w:r w:rsidRPr="002A2450">
        <w:rPr>
          <w:rFonts w:ascii="ITC Avant Garde" w:hAnsi="ITC Avant Garde"/>
        </w:rPr>
        <w:t xml:space="preserve"> en México a través de </w:t>
      </w:r>
      <w:r w:rsidRPr="002A2450">
        <w:rPr>
          <w:rFonts w:ascii="ITC Avant Garde" w:hAnsi="ITC Avant Garde"/>
        </w:rPr>
        <w:lastRenderedPageBreak/>
        <w:t xml:space="preserve">atribuciones de supervisión y auditoria, así como la prohibición de la circulación de los títulos constitutivos del capital entre las empresas </w:t>
      </w:r>
      <w:r w:rsidRPr="002A2450">
        <w:rPr>
          <w:rFonts w:ascii="ITC Avant Garde" w:hAnsi="ITC Avant Garde"/>
          <w:i/>
        </w:rPr>
        <w:t>“Grupo MVS”</w:t>
      </w:r>
      <w:r w:rsidR="005E5574" w:rsidRPr="002A2450">
        <w:rPr>
          <w:rFonts w:ascii="ITC Avant Garde" w:hAnsi="ITC Avant Garde"/>
        </w:rPr>
        <w:t xml:space="preserve"> y la posibilidad de participar en el reparto de dividendos al contar con una opción y </w:t>
      </w:r>
      <w:r w:rsidR="00EB361E" w:rsidRPr="002A2450">
        <w:rPr>
          <w:rFonts w:ascii="ITC Avant Garde" w:hAnsi="ITC Avant Garde"/>
        </w:rPr>
        <w:t xml:space="preserve">tener la facultad de solicitar </w:t>
      </w:r>
      <w:r w:rsidR="005E5574" w:rsidRPr="002A2450">
        <w:rPr>
          <w:rFonts w:ascii="ITC Avant Garde" w:hAnsi="ITC Avant Garde"/>
        </w:rPr>
        <w:t>toda la información del negocio como si fuera socio.</w:t>
      </w:r>
    </w:p>
    <w:p w14:paraId="69E39E4E" w14:textId="77777777" w:rsidR="00B35F13" w:rsidRDefault="00EB361E" w:rsidP="00B35F13">
      <w:pPr>
        <w:spacing w:before="240" w:line="360" w:lineRule="auto"/>
        <w:ind w:right="567"/>
        <w:jc w:val="both"/>
        <w:rPr>
          <w:rFonts w:ascii="ITC Avant Garde" w:hAnsi="ITC Avant Garde"/>
        </w:rPr>
      </w:pPr>
      <w:r w:rsidRPr="002A2450">
        <w:rPr>
          <w:rFonts w:ascii="ITC Avant Garde" w:hAnsi="ITC Avant Garde"/>
        </w:rPr>
        <w:t xml:space="preserve">Lo anterior, aunado a que en todos los casos </w:t>
      </w:r>
      <w:r w:rsidRPr="002A2450">
        <w:rPr>
          <w:rFonts w:ascii="ITC Avant Garde" w:hAnsi="ITC Avant Garde"/>
          <w:b/>
        </w:rPr>
        <w:t>“TENINVER”</w:t>
      </w:r>
      <w:r w:rsidRPr="002A2450">
        <w:rPr>
          <w:rFonts w:ascii="ITC Avant Garde" w:hAnsi="ITC Avant Garde"/>
        </w:rPr>
        <w:t xml:space="preserve"> podría solicitar un préstamo a nombre </w:t>
      </w:r>
      <w:r w:rsidRPr="002A2450">
        <w:rPr>
          <w:rFonts w:ascii="ITC Avant Garde" w:hAnsi="ITC Avant Garde"/>
          <w:b/>
        </w:rPr>
        <w:t>“COFRESA”</w:t>
      </w:r>
      <w:r w:rsidRPr="002A2450">
        <w:rPr>
          <w:rFonts w:ascii="ITC Avant Garde" w:hAnsi="ITC Avant Garde"/>
        </w:rPr>
        <w:t xml:space="preserve"> que garantizaría en su caso el pago de dividendos que es igual a la cantidad que </w:t>
      </w:r>
      <w:r w:rsidRPr="002A2450">
        <w:rPr>
          <w:rFonts w:ascii="ITC Avant Garde" w:hAnsi="ITC Avant Garde"/>
          <w:b/>
        </w:rPr>
        <w:t>“TENINVER”</w:t>
      </w:r>
      <w:r w:rsidRPr="002A2450">
        <w:rPr>
          <w:rFonts w:ascii="ITC Avant Garde" w:hAnsi="ITC Avant Garde"/>
        </w:rPr>
        <w:t xml:space="preserve"> tiene que invertir en la compra de los kits CPE, los cuales son adquiridos por </w:t>
      </w:r>
      <w:r w:rsidRPr="002A2450">
        <w:rPr>
          <w:rFonts w:ascii="ITC Avant Garde" w:hAnsi="ITC Avant Garde"/>
          <w:b/>
        </w:rPr>
        <w:t>“COFRESA”</w:t>
      </w:r>
      <w:r w:rsidRPr="002A2450">
        <w:rPr>
          <w:rFonts w:ascii="ITC Avant Garde" w:hAnsi="ITC Avant Garde"/>
        </w:rPr>
        <w:t xml:space="preserve"> y vendidos a </w:t>
      </w:r>
      <w:r w:rsidRPr="002A2450">
        <w:rPr>
          <w:rFonts w:ascii="ITC Avant Garde" w:hAnsi="ITC Avant Garde"/>
          <w:b/>
        </w:rPr>
        <w:t>“TENINVER”</w:t>
      </w:r>
      <w:r w:rsidRPr="002A2450">
        <w:rPr>
          <w:rFonts w:ascii="ITC Avant Garde" w:hAnsi="ITC Avant Garde"/>
        </w:rPr>
        <w:t xml:space="preserve"> para que éste último los otorgue en arrendamiento a </w:t>
      </w:r>
      <w:r w:rsidRPr="002A2450">
        <w:rPr>
          <w:rFonts w:ascii="ITC Avant Garde" w:hAnsi="ITC Avant Garde"/>
          <w:b/>
        </w:rPr>
        <w:t>“COFRESA”</w:t>
      </w:r>
      <w:r w:rsidRPr="002A2450">
        <w:rPr>
          <w:rFonts w:ascii="ITC Avant Garde" w:hAnsi="ITC Avant Garde"/>
        </w:rPr>
        <w:t>.</w:t>
      </w:r>
    </w:p>
    <w:p w14:paraId="2C4C1830" w14:textId="77777777" w:rsidR="00B35F13" w:rsidRDefault="00EB361E" w:rsidP="00B35F13">
      <w:pPr>
        <w:spacing w:before="240" w:line="360" w:lineRule="auto"/>
        <w:ind w:right="567"/>
        <w:jc w:val="both"/>
        <w:rPr>
          <w:rFonts w:ascii="ITC Avant Garde" w:hAnsi="ITC Avant Garde"/>
        </w:rPr>
      </w:pPr>
      <w:r w:rsidRPr="002A2450">
        <w:rPr>
          <w:rFonts w:ascii="ITC Avant Garde" w:hAnsi="ITC Avant Garde"/>
        </w:rPr>
        <w:t xml:space="preserve">Las consideraciones anteriores, que forman parte del acuerdo de inicio, </w:t>
      </w:r>
      <w:r w:rsidR="00031366" w:rsidRPr="002A2450">
        <w:rPr>
          <w:rFonts w:ascii="ITC Avant Garde" w:hAnsi="ITC Avant Garde"/>
        </w:rPr>
        <w:t xml:space="preserve">y que </w:t>
      </w:r>
      <w:r w:rsidRPr="002A2450">
        <w:rPr>
          <w:rFonts w:ascii="ITC Avant Garde" w:hAnsi="ITC Avant Garde"/>
        </w:rPr>
        <w:t xml:space="preserve">sirvieron </w:t>
      </w:r>
      <w:r w:rsidR="00031366" w:rsidRPr="002A2450">
        <w:rPr>
          <w:rFonts w:ascii="ITC Avant Garde" w:hAnsi="ITC Avant Garde"/>
        </w:rPr>
        <w:t xml:space="preserve">de base </w:t>
      </w:r>
      <w:r w:rsidRPr="002A2450">
        <w:rPr>
          <w:rFonts w:ascii="ITC Avant Garde" w:hAnsi="ITC Avant Garde"/>
        </w:rPr>
        <w:t xml:space="preserve">para realizar la imputación a </w:t>
      </w:r>
      <w:r w:rsidRPr="002A2450">
        <w:rPr>
          <w:rFonts w:ascii="ITC Avant Garde" w:hAnsi="ITC Avant Garde"/>
          <w:b/>
        </w:rPr>
        <w:t>“TELMEX”</w:t>
      </w:r>
      <w:r w:rsidRPr="002A2450">
        <w:rPr>
          <w:rFonts w:ascii="ITC Avant Garde" w:hAnsi="ITC Avant Garde"/>
        </w:rPr>
        <w:t xml:space="preserve">, </w:t>
      </w:r>
      <w:r w:rsidR="00031366" w:rsidRPr="002A2450">
        <w:rPr>
          <w:rFonts w:ascii="ITC Avant Garde" w:hAnsi="ITC Avant Garde"/>
        </w:rPr>
        <w:t xml:space="preserve">fueron valorados por esta autoridad para concluir </w:t>
      </w:r>
      <w:r w:rsidRPr="002A2450">
        <w:rPr>
          <w:rFonts w:ascii="ITC Avant Garde" w:hAnsi="ITC Avant Garde"/>
        </w:rPr>
        <w:t xml:space="preserve">que dicho contenido obligacional no sólo es una relación comercial entre un acreedor y deudor sino que la misma va más allá en virtud de los derechos concedidos entre las partes y las limitaciones que los propios contratos </w:t>
      </w:r>
      <w:r w:rsidR="00752BAC" w:rsidRPr="002A2450">
        <w:rPr>
          <w:rFonts w:ascii="ITC Avant Garde" w:hAnsi="ITC Avant Garde"/>
        </w:rPr>
        <w:t>establecen.</w:t>
      </w:r>
    </w:p>
    <w:p w14:paraId="47E892EE" w14:textId="77777777" w:rsidR="00B35F13" w:rsidRDefault="00752BAC" w:rsidP="00B35F13">
      <w:pPr>
        <w:spacing w:before="240" w:line="360" w:lineRule="auto"/>
        <w:ind w:right="567"/>
        <w:jc w:val="both"/>
        <w:rPr>
          <w:rFonts w:ascii="ITC Avant Garde" w:hAnsi="ITC Avant Garde"/>
        </w:rPr>
      </w:pPr>
      <w:r w:rsidRPr="002A2450">
        <w:rPr>
          <w:rFonts w:ascii="ITC Avant Garde" w:hAnsi="ITC Avant Garde"/>
        </w:rPr>
        <w:t>Así las cosas, esta autoridad con base en los hechos que se encuentran acreditados</w:t>
      </w:r>
      <w:r w:rsidR="00031366" w:rsidRPr="002A2450">
        <w:rPr>
          <w:rFonts w:ascii="ITC Avant Garde" w:hAnsi="ITC Avant Garde"/>
        </w:rPr>
        <w:t xml:space="preserve"> con motivo de la celebración de los contratos</w:t>
      </w:r>
      <w:r w:rsidRPr="002A2450">
        <w:rPr>
          <w:rFonts w:ascii="ITC Avant Garde" w:hAnsi="ITC Avant Garde"/>
        </w:rPr>
        <w:t xml:space="preserve">, imputó a </w:t>
      </w:r>
      <w:r w:rsidRPr="002A2450">
        <w:rPr>
          <w:rFonts w:ascii="ITC Avant Garde" w:hAnsi="ITC Avant Garde"/>
          <w:b/>
        </w:rPr>
        <w:t>“TELMEX”</w:t>
      </w:r>
      <w:r w:rsidRPr="002A2450">
        <w:rPr>
          <w:rFonts w:ascii="ITC Avant Garde" w:hAnsi="ITC Avant Garde"/>
        </w:rPr>
        <w:t xml:space="preserve"> la presunta violación a una prohibición señalada expresamente en su </w:t>
      </w:r>
      <w:r w:rsidRPr="002A2450">
        <w:rPr>
          <w:rFonts w:ascii="ITC Avant Garde" w:hAnsi="ITC Avant Garde"/>
          <w:b/>
        </w:rPr>
        <w:t xml:space="preserve">“TÍTULO DE CONCESIÓN” </w:t>
      </w:r>
      <w:r w:rsidRPr="002A2450">
        <w:rPr>
          <w:rFonts w:ascii="ITC Avant Garde" w:hAnsi="ITC Avant Garde"/>
        </w:rPr>
        <w:t xml:space="preserve">que de acuerdo a lo señalado en la presente resolución implica un </w:t>
      </w:r>
      <w:r w:rsidRPr="002A2450">
        <w:rPr>
          <w:rFonts w:ascii="ITC Avant Garde" w:hAnsi="ITC Avant Garde"/>
          <w:i/>
        </w:rPr>
        <w:t xml:space="preserve">no hacer </w:t>
      </w:r>
      <w:r w:rsidRPr="002A2450">
        <w:rPr>
          <w:rFonts w:ascii="ITC Avant Garde" w:hAnsi="ITC Avant Garde"/>
        </w:rPr>
        <w:t>de lo que se sigue que, basta acreditar la conducta realiza</w:t>
      </w:r>
      <w:r w:rsidR="00031366" w:rsidRPr="002A2450">
        <w:rPr>
          <w:rFonts w:ascii="ITC Avant Garde" w:hAnsi="ITC Avant Garde"/>
        </w:rPr>
        <w:t>da</w:t>
      </w:r>
      <w:r w:rsidRPr="002A2450">
        <w:rPr>
          <w:rFonts w:ascii="ITC Avant Garde" w:hAnsi="ITC Avant Garde"/>
        </w:rPr>
        <w:t xml:space="preserve"> para poder reprochar </w:t>
      </w:r>
      <w:r w:rsidR="00031366" w:rsidRPr="002A2450">
        <w:rPr>
          <w:rFonts w:ascii="ITC Avant Garde" w:hAnsi="ITC Avant Garde"/>
        </w:rPr>
        <w:t xml:space="preserve">su comisión al presunto infractor toda vez que la misma la </w:t>
      </w:r>
      <w:r w:rsidRPr="002A2450">
        <w:rPr>
          <w:rFonts w:ascii="ITC Avant Garde" w:hAnsi="ITC Avant Garde"/>
        </w:rPr>
        <w:t>tiene prohibida.</w:t>
      </w:r>
    </w:p>
    <w:p w14:paraId="48C5D9D9" w14:textId="77777777" w:rsidR="00B35F13" w:rsidRDefault="00752BAC" w:rsidP="00B35F13">
      <w:pPr>
        <w:spacing w:before="240" w:line="360" w:lineRule="auto"/>
        <w:ind w:right="567"/>
        <w:jc w:val="both"/>
        <w:rPr>
          <w:rFonts w:ascii="ITC Avant Garde" w:hAnsi="ITC Avant Garde"/>
        </w:rPr>
      </w:pPr>
      <w:r w:rsidRPr="002A2450">
        <w:rPr>
          <w:rFonts w:ascii="ITC Avant Garde" w:hAnsi="ITC Avant Garde"/>
        </w:rPr>
        <w:t xml:space="preserve">En tales consideraciones, contrario a lo señalado por </w:t>
      </w:r>
      <w:r w:rsidRPr="002A2450">
        <w:rPr>
          <w:rFonts w:ascii="ITC Avant Garde" w:hAnsi="ITC Avant Garde"/>
          <w:b/>
        </w:rPr>
        <w:t>“TELMEX”,</w:t>
      </w:r>
      <w:r w:rsidRPr="002A2450">
        <w:rPr>
          <w:rFonts w:ascii="ITC Avant Garde" w:hAnsi="ITC Avant Garde"/>
        </w:rPr>
        <w:t xml:space="preserve"> esta autoridad acreditó la existencia</w:t>
      </w:r>
      <w:r w:rsidR="00031366" w:rsidRPr="002A2450">
        <w:rPr>
          <w:rFonts w:ascii="ITC Avant Garde" w:hAnsi="ITC Avant Garde"/>
        </w:rPr>
        <w:t xml:space="preserve"> y celebración</w:t>
      </w:r>
      <w:r w:rsidRPr="002A2450">
        <w:rPr>
          <w:rFonts w:ascii="ITC Avant Garde" w:hAnsi="ITC Avant Garde"/>
        </w:rPr>
        <w:t xml:space="preserve"> de los contratos y por ello la presunta violación al</w:t>
      </w:r>
      <w:r w:rsidR="00031366" w:rsidRPr="002A2450">
        <w:rPr>
          <w:rFonts w:ascii="ITC Avant Garde" w:hAnsi="ITC Avant Garde"/>
        </w:rPr>
        <w:t xml:space="preserve"> </w:t>
      </w:r>
      <w:r w:rsidR="00B15C84" w:rsidRPr="009E34A4">
        <w:rPr>
          <w:rFonts w:ascii="ITC Avant Garde" w:hAnsi="ITC Avant Garde"/>
          <w:b/>
        </w:rPr>
        <w:t>Tercer Párrafo</w:t>
      </w:r>
      <w:r w:rsidR="00031366" w:rsidRPr="002A2450">
        <w:rPr>
          <w:rFonts w:ascii="ITC Avant Garde" w:hAnsi="ITC Avant Garde"/>
        </w:rPr>
        <w:t xml:space="preserve"> de la</w:t>
      </w:r>
      <w:r w:rsidRPr="002A2450">
        <w:rPr>
          <w:rFonts w:ascii="ITC Avant Garde" w:hAnsi="ITC Avant Garde"/>
        </w:rPr>
        <w:t xml:space="preserve"> condición 1-9 de su </w:t>
      </w:r>
      <w:r w:rsidRPr="002A2450">
        <w:rPr>
          <w:rFonts w:ascii="ITC Avant Garde" w:hAnsi="ITC Avant Garde"/>
          <w:b/>
        </w:rPr>
        <w:t>“TÍTULO DE CONCESIÓN”</w:t>
      </w:r>
      <w:r w:rsidR="00031366" w:rsidRPr="002A2450">
        <w:rPr>
          <w:rFonts w:ascii="ITC Avant Garde" w:hAnsi="ITC Avant Garde"/>
          <w:b/>
        </w:rPr>
        <w:t xml:space="preserve">, </w:t>
      </w:r>
      <w:r w:rsidR="00031366" w:rsidRPr="002A2450">
        <w:rPr>
          <w:rFonts w:ascii="ITC Avant Garde" w:hAnsi="ITC Avant Garde"/>
        </w:rPr>
        <w:t xml:space="preserve">no con la simple celebración de los mismos, sino mediante el análisis y el desmembramiento de su contenido obligacional y atendiendo de igual forma </w:t>
      </w:r>
      <w:r w:rsidR="00031366" w:rsidRPr="002A2450">
        <w:rPr>
          <w:rFonts w:ascii="ITC Avant Garde" w:hAnsi="ITC Avant Garde"/>
        </w:rPr>
        <w:lastRenderedPageBreak/>
        <w:t>a los vínculos jurídicos, económicos y corporativos que los mismos generaron entre las partes.</w:t>
      </w:r>
    </w:p>
    <w:p w14:paraId="5369D06A" w14:textId="77777777" w:rsidR="00B35F13" w:rsidRDefault="00752BAC" w:rsidP="00B35F13">
      <w:pPr>
        <w:spacing w:before="240" w:line="360" w:lineRule="auto"/>
        <w:ind w:right="567"/>
        <w:jc w:val="both"/>
        <w:rPr>
          <w:rFonts w:ascii="ITC Avant Garde" w:hAnsi="ITC Avant Garde"/>
        </w:rPr>
      </w:pPr>
      <w:r w:rsidRPr="002A2450">
        <w:rPr>
          <w:rFonts w:ascii="ITC Avant Garde" w:hAnsi="ITC Avant Garde"/>
        </w:rPr>
        <w:t xml:space="preserve">En virtud de lo anterior, se estima que lo señalado por </w:t>
      </w:r>
      <w:r w:rsidRPr="002A2450">
        <w:rPr>
          <w:rFonts w:ascii="ITC Avant Garde" w:hAnsi="ITC Avant Garde"/>
          <w:b/>
        </w:rPr>
        <w:t>“TELMEX”</w:t>
      </w:r>
      <w:r w:rsidRPr="002A2450">
        <w:rPr>
          <w:rFonts w:ascii="ITC Avant Garde" w:hAnsi="ITC Avant Garde"/>
        </w:rPr>
        <w:t xml:space="preserve"> es insuficiente para desvirtuar la conducta materia del presente procedimiento,</w:t>
      </w:r>
      <w:r w:rsidR="000F572C" w:rsidRPr="002A2450">
        <w:rPr>
          <w:rFonts w:ascii="ITC Avant Garde" w:hAnsi="ITC Avant Garde"/>
        </w:rPr>
        <w:t xml:space="preserve"> puesto que como se advierte de lo antes señalado, la relación no sólo es comercial sino que </w:t>
      </w:r>
      <w:r w:rsidR="00031366" w:rsidRPr="002A2450">
        <w:rPr>
          <w:rFonts w:ascii="ITC Avant Garde" w:hAnsi="ITC Avant Garde"/>
        </w:rPr>
        <w:t xml:space="preserve">prevé </w:t>
      </w:r>
      <w:r w:rsidR="000F572C" w:rsidRPr="002A2450">
        <w:rPr>
          <w:rFonts w:ascii="ITC Avant Garde" w:hAnsi="ITC Avant Garde"/>
        </w:rPr>
        <w:t>la transferencia de partes sociales entre las partes, lo cual evidente</w:t>
      </w:r>
      <w:r w:rsidR="00031366" w:rsidRPr="002A2450">
        <w:rPr>
          <w:rFonts w:ascii="ITC Avant Garde" w:hAnsi="ITC Avant Garde"/>
        </w:rPr>
        <w:t>mente</w:t>
      </w:r>
      <w:r w:rsidR="000F572C" w:rsidRPr="002A2450">
        <w:rPr>
          <w:rFonts w:ascii="ITC Avant Garde" w:hAnsi="ITC Avant Garde"/>
        </w:rPr>
        <w:t xml:space="preserve"> va más allá de una relación comercial, esto es, un plan de negocios respecto de los cuales </w:t>
      </w:r>
      <w:r w:rsidR="000F572C" w:rsidRPr="002A2450">
        <w:rPr>
          <w:rFonts w:ascii="ITC Avant Garde" w:hAnsi="ITC Avant Garde"/>
          <w:b/>
        </w:rPr>
        <w:t>“TELMEX”</w:t>
      </w:r>
      <w:r w:rsidR="000F572C" w:rsidRPr="002A2450">
        <w:rPr>
          <w:rFonts w:ascii="ITC Avant Garde" w:hAnsi="ITC Avant Garde"/>
        </w:rPr>
        <w:t xml:space="preserve"> otorga al negocio </w:t>
      </w:r>
      <w:r w:rsidR="000F572C" w:rsidRPr="002A2450">
        <w:rPr>
          <w:rFonts w:ascii="ITC Avant Garde" w:hAnsi="ITC Avant Garde"/>
          <w:b/>
        </w:rPr>
        <w:t>“DISH”</w:t>
      </w:r>
      <w:r w:rsidR="000F572C" w:rsidRPr="002A2450">
        <w:rPr>
          <w:rFonts w:ascii="ITC Avant Garde" w:hAnsi="ITC Avant Garde"/>
        </w:rPr>
        <w:t xml:space="preserve"> el insumo operacional suficiente para su explotación, el cual tiene expresamente prohibido en su </w:t>
      </w:r>
      <w:r w:rsidR="000F572C" w:rsidRPr="002A2450">
        <w:rPr>
          <w:rFonts w:ascii="ITC Avant Garde" w:hAnsi="ITC Avant Garde"/>
          <w:b/>
        </w:rPr>
        <w:t>“TÍTULO DE CONCESIÓN”</w:t>
      </w:r>
      <w:r w:rsidR="000F572C" w:rsidRPr="002A2450">
        <w:rPr>
          <w:rFonts w:ascii="ITC Avant Garde" w:hAnsi="ITC Avant Garde"/>
        </w:rPr>
        <w:t>, de ahí que sus manifestaciones no desvirtúen la conducta materia del presente procedimiento.</w:t>
      </w:r>
    </w:p>
    <w:p w14:paraId="039B5514" w14:textId="77777777" w:rsidR="00B35F13" w:rsidRDefault="00120AE8" w:rsidP="00B35F13">
      <w:pPr>
        <w:spacing w:before="240" w:line="360" w:lineRule="auto"/>
        <w:ind w:right="567"/>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manifiesta lo siguiente:</w:t>
      </w:r>
    </w:p>
    <w:p w14:paraId="32F6E693" w14:textId="77777777"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INJERENCIA EN LA PARTICIPACIÓN EN LA TOMA DE DECISIONES</w:t>
      </w:r>
    </w:p>
    <w:p w14:paraId="08607FC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carece de sustento ya que se limita hacer una serie de afirmaciones carentes de sustento.</w:t>
      </w:r>
    </w:p>
    <w:p w14:paraId="37E1BDD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Sólo realiza transcripciones parciales del contrato de consecuencias y de su anexo C, denominado Reglas de Operación del Comité Conjunto de Operaciones, así como hace un listado de 35 reuniones en el que se señala la fecha, asistentes, y temas y documento de cada una de las mismas.</w:t>
      </w:r>
    </w:p>
    <w:p w14:paraId="500F056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Sin embargo, se parte de suposiciones que no pueden tomarse como válidas para dictar una resolución en perjuicio de mi representada, ya que ese Instituto no cuenta con pruebas para demostrar sus imputaciones y únicamente se limita a hacer aseveraciones con base en suposiciones.</w:t>
      </w:r>
    </w:p>
    <w:p w14:paraId="31CEF95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Posteriormente, trata de armar un argumento de diversas transcripciones parciales de la Sección 3. Obligaciones del Contrato de Opción de Compra y Venta, para tratar de soportar su argumento en el sentido de con la firma de los contratos aludidos y de las reuniones que se llevaron a cabo se establecieron canales de comunicación entre las partes.</w:t>
      </w:r>
    </w:p>
    <w:p w14:paraId="73BD391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Lo anterior carece de fundamento alguno en virtud de las siguientes razones:</w:t>
      </w:r>
    </w:p>
    <w:p w14:paraId="7F09B88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El Contrato de Consecuencias prevé la posibilidad de constituir un comité operativo encargado de supervisar la implementación del Contrato de Servicios, el de Distribución y el de Arrendamiento. </w:t>
      </w:r>
      <w:r w:rsidR="00120AE8" w:rsidRPr="002A2450">
        <w:rPr>
          <w:rFonts w:ascii="ITC Avant Garde" w:hAnsi="ITC Avant Garde"/>
          <w:i/>
        </w:rPr>
        <w:t>En e</w:t>
      </w:r>
      <w:r w:rsidRPr="002A2450">
        <w:rPr>
          <w:rFonts w:ascii="ITC Avant Garde" w:hAnsi="ITC Avant Garde"/>
          <w:i/>
        </w:rPr>
        <w:t>ste comité podría</w:t>
      </w:r>
      <w:r w:rsidR="00120AE8" w:rsidRPr="002A2450">
        <w:rPr>
          <w:rFonts w:ascii="ITC Avant Garde" w:hAnsi="ITC Avant Garde"/>
          <w:i/>
        </w:rPr>
        <w:t>n</w:t>
      </w:r>
      <w:r w:rsidRPr="002A2450">
        <w:rPr>
          <w:rFonts w:ascii="ITC Avant Garde" w:hAnsi="ITC Avant Garde"/>
          <w:i/>
        </w:rPr>
        <w:t xml:space="preserve"> participar representantes de </w:t>
      </w:r>
      <w:r w:rsidR="005B601B" w:rsidRPr="002A2450">
        <w:rPr>
          <w:rFonts w:ascii="ITC Avant Garde" w:hAnsi="ITC Avant Garde"/>
          <w:b/>
          <w:i/>
        </w:rPr>
        <w:t>“TELMEX”</w:t>
      </w:r>
      <w:r w:rsidRPr="002A2450">
        <w:rPr>
          <w:rFonts w:ascii="ITC Avant Garde" w:hAnsi="ITC Avant Garde"/>
          <w:i/>
        </w:rPr>
        <w:t>.</w:t>
      </w:r>
    </w:p>
    <w:p w14:paraId="0436B21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Pese a lo anterior, dicho Comité, conforme al propio contrato, tenía como objetivo hacer más eficiente la implementación de los contratos operativos, no </w:t>
      </w:r>
      <w:r w:rsidR="00120AE8" w:rsidRPr="002A2450">
        <w:rPr>
          <w:rFonts w:ascii="ITC Avant Garde" w:hAnsi="ITC Avant Garde"/>
          <w:i/>
        </w:rPr>
        <w:t xml:space="preserve">dirigir </w:t>
      </w:r>
      <w:r w:rsidRPr="002A2450">
        <w:rPr>
          <w:rFonts w:ascii="ITC Avant Garde" w:hAnsi="ITC Avant Garde"/>
          <w:i/>
        </w:rPr>
        <w:t xml:space="preserve">el negocio de </w:t>
      </w:r>
      <w:proofErr w:type="spellStart"/>
      <w:r w:rsidRPr="002A2450">
        <w:rPr>
          <w:rFonts w:ascii="ITC Avant Garde" w:hAnsi="ITC Avant Garde"/>
          <w:i/>
        </w:rPr>
        <w:t>Dish</w:t>
      </w:r>
      <w:proofErr w:type="spellEnd"/>
      <w:r w:rsidRPr="002A2450">
        <w:rPr>
          <w:rFonts w:ascii="ITC Avant Garde" w:hAnsi="ITC Avant Garde"/>
          <w:i/>
        </w:rPr>
        <w:t xml:space="preserve"> México. Cabe mencionar que este Comité nunca se constituyó.</w:t>
      </w:r>
    </w:p>
    <w:p w14:paraId="72DEAB3D" w14:textId="77777777" w:rsidR="00B35F13" w:rsidRDefault="00E03298" w:rsidP="00B35F13">
      <w:pPr>
        <w:spacing w:before="240" w:line="360" w:lineRule="auto"/>
        <w:ind w:left="567" w:right="567"/>
        <w:jc w:val="both"/>
        <w:rPr>
          <w:rFonts w:ascii="ITC Avant Garde" w:hAnsi="ITC Avant Garde"/>
          <w:i/>
        </w:rPr>
      </w:pPr>
      <w:r w:rsidRPr="002A2450">
        <w:rPr>
          <w:rFonts w:ascii="ITC Avant Garde" w:hAnsi="ITC Avant Garde"/>
          <w:i/>
        </w:rPr>
        <w:t>El que hubiera habido intención de reunirse no es ilícito. El hecho de que personas independientes entre sí se reúnan no implica que hay control entre ellas o que se reúnan para controlar a un tercero, lo cual es contrario a la seguridad y certidumbre jurídica que un acuerdo para celebrar reuniones pueda ser tan manipulado y magnificado para actualizar un supuesto de intervención indirecta.</w:t>
      </w:r>
    </w:p>
    <w:p w14:paraId="0349B6D4" w14:textId="77777777" w:rsidR="00032A33" w:rsidRDefault="00E03298" w:rsidP="00B35F13">
      <w:pPr>
        <w:spacing w:before="240" w:line="360" w:lineRule="auto"/>
        <w:ind w:left="567" w:right="567"/>
        <w:jc w:val="both"/>
        <w:rPr>
          <w:rFonts w:ascii="ITC Avant Garde" w:hAnsi="ITC Avant Garde"/>
          <w:i/>
        </w:rPr>
        <w:sectPr w:rsidR="00032A33" w:rsidSect="009F3771">
          <w:headerReference w:type="default" r:id="rId40"/>
          <w:pgSz w:w="12240" w:h="15840"/>
          <w:pgMar w:top="1985" w:right="1701" w:bottom="1418" w:left="1701" w:header="709" w:footer="709" w:gutter="0"/>
          <w:cols w:space="708"/>
          <w:docGrid w:linePitch="360"/>
        </w:sectPr>
      </w:pPr>
      <w:r w:rsidRPr="002A2450">
        <w:rPr>
          <w:rFonts w:ascii="ITC Avant Garde" w:hAnsi="ITC Avant Garde"/>
          <w:i/>
        </w:rPr>
        <w:t xml:space="preserve">Las reuniones se celebraron para mejorar la implementación de ciertos contratos en las que no se hubiese podido decidir sobre temas fundamentales. Consecuentemente los canales de transmisión de información y comunicación entre las partes no tienen como propósito ni efecto la toma de decisiones conjuntas en relación con el negocio de </w:t>
      </w:r>
    </w:p>
    <w:p w14:paraId="63551231" w14:textId="3299BEC0" w:rsidR="00B35F13" w:rsidRDefault="00E03298" w:rsidP="00B35F13">
      <w:pPr>
        <w:spacing w:before="240" w:line="360" w:lineRule="auto"/>
        <w:ind w:left="567" w:right="567"/>
        <w:jc w:val="both"/>
        <w:rPr>
          <w:rFonts w:ascii="ITC Avant Garde" w:hAnsi="ITC Avant Garde"/>
          <w:i/>
        </w:rPr>
      </w:pPr>
      <w:proofErr w:type="spellStart"/>
      <w:r w:rsidRPr="002A2450">
        <w:rPr>
          <w:rFonts w:ascii="ITC Avant Garde" w:hAnsi="ITC Avant Garde"/>
          <w:i/>
        </w:rPr>
        <w:lastRenderedPageBreak/>
        <w:t>Dish</w:t>
      </w:r>
      <w:proofErr w:type="spellEnd"/>
      <w:r w:rsidRPr="002A2450">
        <w:rPr>
          <w:rFonts w:ascii="ITC Avant Garde" w:hAnsi="ITC Avant Garde"/>
          <w:i/>
        </w:rPr>
        <w:t xml:space="preserve"> México, ni establecieron para que </w:t>
      </w:r>
      <w:r w:rsidR="005B601B" w:rsidRPr="002A2450">
        <w:rPr>
          <w:rFonts w:ascii="ITC Avant Garde" w:hAnsi="ITC Avant Garde"/>
          <w:b/>
          <w:i/>
        </w:rPr>
        <w:t>“TELMEX”</w:t>
      </w:r>
      <w:r w:rsidRPr="002A2450">
        <w:rPr>
          <w:rFonts w:ascii="ITC Avant Garde" w:hAnsi="ITC Avant Garde"/>
          <w:i/>
        </w:rPr>
        <w:t xml:space="preserve"> influya en la conducta estratégica de </w:t>
      </w:r>
      <w:proofErr w:type="spellStart"/>
      <w:r w:rsidRPr="002A2450">
        <w:rPr>
          <w:rFonts w:ascii="ITC Avant Garde" w:hAnsi="ITC Avant Garde"/>
          <w:i/>
        </w:rPr>
        <w:t>Dish</w:t>
      </w:r>
      <w:proofErr w:type="spellEnd"/>
      <w:r w:rsidRPr="002A2450">
        <w:rPr>
          <w:rFonts w:ascii="ITC Avant Garde" w:hAnsi="ITC Avant Garde"/>
          <w:i/>
        </w:rPr>
        <w:t xml:space="preserve"> México.</w:t>
      </w:r>
    </w:p>
    <w:p w14:paraId="2CEFDC11" w14:textId="77777777" w:rsidR="00B35F13" w:rsidRDefault="00E03298" w:rsidP="00B35F13">
      <w:pPr>
        <w:spacing w:before="240" w:line="360" w:lineRule="auto"/>
        <w:ind w:left="567" w:right="567"/>
        <w:jc w:val="both"/>
        <w:rPr>
          <w:rFonts w:ascii="ITC Avant Garde" w:hAnsi="ITC Avant Garde"/>
          <w:i/>
        </w:rPr>
      </w:pPr>
      <w:r w:rsidRPr="002A2450">
        <w:rPr>
          <w:rFonts w:ascii="ITC Avant Garde" w:hAnsi="ITC Avant Garde"/>
          <w:i/>
        </w:rPr>
        <w:t>Las comunicaciones tienen como propósito monitorear a un cliente respecto al cual se tenía una opción de suscripción, puesto que como ya era del conocimiento de ese Instituto el contrato de consecuencias y el contrato de opción se dieron por terminados desde el 8 de agosto de dos mil catorce.</w:t>
      </w:r>
    </w:p>
    <w:p w14:paraId="39F69BB9" w14:textId="77777777" w:rsidR="00B35F13" w:rsidRDefault="00AB352E" w:rsidP="00B35F13">
      <w:pPr>
        <w:spacing w:before="240" w:line="360" w:lineRule="auto"/>
        <w:jc w:val="both"/>
        <w:rPr>
          <w:rFonts w:ascii="ITC Avant Garde" w:hAnsi="ITC Avant Garde"/>
        </w:rPr>
      </w:pPr>
      <w:r w:rsidRPr="002A2450">
        <w:rPr>
          <w:rFonts w:ascii="ITC Avant Garde" w:hAnsi="ITC Avant Garde"/>
        </w:rPr>
        <w:t xml:space="preserve">Dicho argumento, resulta </w:t>
      </w:r>
      <w:r w:rsidRPr="002A2450">
        <w:rPr>
          <w:rFonts w:ascii="ITC Avant Garde" w:hAnsi="ITC Avant Garde"/>
          <w:b/>
          <w:u w:val="single"/>
        </w:rPr>
        <w:t>insuficiente</w:t>
      </w:r>
      <w:r w:rsidRPr="002A2450">
        <w:rPr>
          <w:rFonts w:ascii="ITC Avant Garde" w:hAnsi="ITC Avant Garde"/>
        </w:rPr>
        <w:t xml:space="preserve"> por las siguientes consideraciones:</w:t>
      </w:r>
    </w:p>
    <w:p w14:paraId="339BFB57" w14:textId="77777777" w:rsidR="00B35F13" w:rsidRDefault="00AB352E" w:rsidP="00B35F13">
      <w:pPr>
        <w:spacing w:before="240" w:line="360" w:lineRule="auto"/>
        <w:jc w:val="both"/>
        <w:rPr>
          <w:rFonts w:ascii="ITC Avant Garde" w:hAnsi="ITC Avant Garde"/>
        </w:rPr>
      </w:pPr>
      <w:r w:rsidRPr="002A2450">
        <w:rPr>
          <w:rFonts w:ascii="ITC Avant Garde" w:hAnsi="ITC Avant Garde"/>
        </w:rPr>
        <w:t xml:space="preserve">En términos del acuerdo de inicio del procedimiento administrativo de imposición de sanción, el Contrato de Consecuencias establece en </w:t>
      </w:r>
      <w:r w:rsidRPr="0047339C">
        <w:rPr>
          <w:rFonts w:ascii="ITC Avant Garde" w:hAnsi="ITC Avant Garde"/>
          <w:b/>
        </w:rPr>
        <w:t xml:space="preserve">su </w:t>
      </w:r>
      <w:r w:rsidR="005F1A23"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r w:rsidR="00671C23" w:rsidRPr="002A2450">
        <w:rPr>
          <w:rFonts w:ascii="ITC Avant Garde" w:hAnsi="ITC Avant Garde"/>
        </w:rPr>
        <w:t xml:space="preserve">la conformación de un </w:t>
      </w:r>
      <w:r w:rsidRPr="002A2450">
        <w:rPr>
          <w:rFonts w:ascii="ITC Avant Garde" w:hAnsi="ITC Avant Garde"/>
        </w:rPr>
        <w:t>Comité de Operaciones, dentro del cual se determina que con base en las reglas señaladas para el mismo</w:t>
      </w:r>
      <w:r w:rsidR="00671C23" w:rsidRPr="002A2450">
        <w:rPr>
          <w:rFonts w:ascii="ITC Avant Garde" w:hAnsi="ITC Avant Garde"/>
        </w:rPr>
        <w:t>,</w:t>
      </w:r>
      <w:r w:rsidRPr="002A2450">
        <w:rPr>
          <w:rFonts w:ascii="ITC Avant Garde" w:hAnsi="ITC Avant Garde"/>
        </w:rPr>
        <w:t xml:space="preserve"> se conduciría la operación de sus negocios.</w:t>
      </w:r>
    </w:p>
    <w:p w14:paraId="3A0D7E7B" w14:textId="77777777" w:rsidR="00B35F13" w:rsidRDefault="00535BA5" w:rsidP="00B35F13">
      <w:pPr>
        <w:spacing w:before="240" w:line="360" w:lineRule="auto"/>
        <w:jc w:val="both"/>
        <w:rPr>
          <w:rFonts w:ascii="ITC Avant Garde" w:hAnsi="ITC Avant Garde"/>
        </w:rPr>
      </w:pPr>
      <w:r w:rsidRPr="002A2450">
        <w:rPr>
          <w:rFonts w:ascii="ITC Avant Garde" w:hAnsi="ITC Avant Garde"/>
        </w:rPr>
        <w:t>Dentro de las reglas de operación para el citado Comité de Operación se establecen entre otras las siguientes:</w:t>
      </w:r>
    </w:p>
    <w:p w14:paraId="048B81E5" w14:textId="0205F826" w:rsidR="00535BA5" w:rsidRPr="002A2450" w:rsidRDefault="00535BA5" w:rsidP="007E623E">
      <w:pPr>
        <w:pStyle w:val="Prrafodelista"/>
        <w:numPr>
          <w:ilvl w:val="0"/>
          <w:numId w:val="25"/>
        </w:numPr>
        <w:spacing w:before="240" w:line="360" w:lineRule="auto"/>
        <w:jc w:val="both"/>
        <w:rPr>
          <w:rFonts w:ascii="ITC Avant Garde" w:hAnsi="ITC Avant Garde"/>
        </w:rPr>
      </w:pPr>
      <w:r w:rsidRPr="002A2450">
        <w:rPr>
          <w:rFonts w:ascii="ITC Avant Garde" w:hAnsi="ITC Avant Garde"/>
        </w:rPr>
        <w:t xml:space="preserve">Revisar y evaluar la operación diaria de las acciones respecto de los contratos de distribución, servicios, arrendamiento y </w:t>
      </w:r>
      <w:r w:rsidRPr="002A2450">
        <w:rPr>
          <w:rFonts w:ascii="ITC Avant Garde" w:hAnsi="ITC Avant Garde"/>
          <w:b/>
          <w:u w:val="single"/>
        </w:rPr>
        <w:t>los demás contratos</w:t>
      </w:r>
      <w:r w:rsidRPr="002A2450">
        <w:rPr>
          <w:rFonts w:ascii="ITC Avant Garde" w:hAnsi="ITC Avant Garde"/>
        </w:rPr>
        <w:t xml:space="preserve"> incluyendo </w:t>
      </w:r>
      <w:r w:rsidRPr="002A2450">
        <w:rPr>
          <w:rFonts w:ascii="ITC Avant Garde" w:hAnsi="ITC Avant Garde"/>
          <w:b/>
          <w:u w:val="single"/>
        </w:rPr>
        <w:t xml:space="preserve">la administración del despliegue del Servicio DTH de “DISH </w:t>
      </w:r>
      <w:r w:rsidR="002A1A72" w:rsidRPr="002A2450">
        <w:rPr>
          <w:rFonts w:ascii="ITC Avant Garde" w:hAnsi="ITC Avant Garde"/>
          <w:b/>
          <w:u w:val="single"/>
        </w:rPr>
        <w:t>MÉXICO</w:t>
      </w:r>
      <w:r w:rsidRPr="002A2450">
        <w:rPr>
          <w:rFonts w:ascii="ITC Avant Garde" w:hAnsi="ITC Avant Garde"/>
          <w:b/>
          <w:u w:val="single"/>
        </w:rPr>
        <w:t>”</w:t>
      </w:r>
      <w:r w:rsidRPr="002A2450">
        <w:rPr>
          <w:rFonts w:ascii="ITC Avant Garde" w:hAnsi="ITC Avant Garde"/>
          <w:b/>
        </w:rPr>
        <w:t>.</w:t>
      </w:r>
    </w:p>
    <w:p w14:paraId="7702EF14" w14:textId="77777777" w:rsidR="00535BA5" w:rsidRPr="002A2450" w:rsidRDefault="00535BA5" w:rsidP="007E623E">
      <w:pPr>
        <w:pStyle w:val="Prrafodelista"/>
        <w:numPr>
          <w:ilvl w:val="0"/>
          <w:numId w:val="25"/>
        </w:numPr>
        <w:spacing w:before="240" w:line="360" w:lineRule="auto"/>
        <w:jc w:val="both"/>
        <w:rPr>
          <w:rFonts w:ascii="ITC Avant Garde" w:hAnsi="ITC Avant Garde"/>
        </w:rPr>
      </w:pPr>
      <w:r w:rsidRPr="002A2450">
        <w:rPr>
          <w:rFonts w:ascii="ITC Avant Garde" w:hAnsi="ITC Avant Garde"/>
        </w:rPr>
        <w:t xml:space="preserve">Asistir a las sesiones del consejo de administración de </w:t>
      </w:r>
      <w:r w:rsidR="002A1A72" w:rsidRPr="002A2450">
        <w:rPr>
          <w:rFonts w:ascii="ITC Avant Garde" w:hAnsi="ITC Avant Garde"/>
          <w:b/>
        </w:rPr>
        <w:t xml:space="preserve">“DISH MÉXICO” </w:t>
      </w:r>
      <w:r w:rsidR="002A1A72" w:rsidRPr="002A2450">
        <w:rPr>
          <w:rFonts w:ascii="ITC Avant Garde" w:hAnsi="ITC Avant Garde"/>
        </w:rPr>
        <w:t xml:space="preserve">o </w:t>
      </w:r>
      <w:r w:rsidR="002A1A72" w:rsidRPr="002A2450">
        <w:rPr>
          <w:rFonts w:ascii="ITC Avant Garde" w:hAnsi="ITC Avant Garde"/>
          <w:b/>
        </w:rPr>
        <w:t>“COFRESA”</w:t>
      </w:r>
      <w:r w:rsidR="002A1A72" w:rsidRPr="002A2450">
        <w:rPr>
          <w:rFonts w:ascii="ITC Avant Garde" w:hAnsi="ITC Avant Garde"/>
        </w:rPr>
        <w:t xml:space="preserve"> </w:t>
      </w:r>
    </w:p>
    <w:p w14:paraId="2508C7A9" w14:textId="77777777" w:rsidR="00B35F13" w:rsidRDefault="002A1A72" w:rsidP="007E623E">
      <w:pPr>
        <w:pStyle w:val="Prrafodelista"/>
        <w:numPr>
          <w:ilvl w:val="0"/>
          <w:numId w:val="25"/>
        </w:numPr>
        <w:spacing w:before="240" w:line="360" w:lineRule="auto"/>
        <w:jc w:val="both"/>
        <w:rPr>
          <w:rFonts w:ascii="ITC Avant Garde" w:hAnsi="ITC Avant Garde"/>
        </w:rPr>
      </w:pPr>
      <w:r w:rsidRPr="002A2450">
        <w:rPr>
          <w:rFonts w:ascii="ITC Avant Garde" w:hAnsi="ITC Avant Garde"/>
        </w:rPr>
        <w:t xml:space="preserve">Recibir a solicitud de comité copias de los libros y registros de </w:t>
      </w:r>
      <w:r w:rsidRPr="002A2450">
        <w:rPr>
          <w:rFonts w:ascii="ITC Avant Garde" w:hAnsi="ITC Avant Garde"/>
          <w:b/>
        </w:rPr>
        <w:t>“DISH MÉXICO”</w:t>
      </w:r>
      <w:r w:rsidRPr="002A2450">
        <w:rPr>
          <w:rFonts w:ascii="ITC Avant Garde" w:hAnsi="ITC Avant Garde"/>
        </w:rPr>
        <w:t xml:space="preserve"> y/o </w:t>
      </w:r>
      <w:r w:rsidRPr="002A2450">
        <w:rPr>
          <w:rFonts w:ascii="ITC Avant Garde" w:hAnsi="ITC Avant Garde"/>
          <w:b/>
        </w:rPr>
        <w:t>“COFRESA”.</w:t>
      </w:r>
    </w:p>
    <w:p w14:paraId="283E00D2" w14:textId="77777777" w:rsidR="00B35F13" w:rsidRDefault="00E23C40"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se tiene conocimiento de la existencia de por lo menos 35 reuniones entre </w:t>
      </w:r>
      <w:r w:rsidRPr="002A2450">
        <w:rPr>
          <w:rFonts w:ascii="ITC Avant Garde" w:hAnsi="ITC Avant Garde"/>
          <w:b/>
        </w:rPr>
        <w:t>“DISH MÉXICO”</w:t>
      </w:r>
      <w:r w:rsidRPr="002A2450">
        <w:rPr>
          <w:rFonts w:ascii="ITC Avant Garde" w:hAnsi="ITC Avant Garde"/>
        </w:rPr>
        <w:t xml:space="preserve"> y </w:t>
      </w:r>
      <w:r w:rsidRPr="002A2450">
        <w:rPr>
          <w:rFonts w:ascii="ITC Avant Garde" w:hAnsi="ITC Avant Garde"/>
          <w:b/>
        </w:rPr>
        <w:t>“TELMEX”</w:t>
      </w:r>
      <w:r w:rsidRPr="002A2450">
        <w:rPr>
          <w:rFonts w:ascii="ITC Avant Garde" w:hAnsi="ITC Avant Garde"/>
        </w:rPr>
        <w:t xml:space="preserve"> las cuales se encuentran relacionadas en el acuerdo de inicio.</w:t>
      </w:r>
    </w:p>
    <w:p w14:paraId="67850D07" w14:textId="77777777" w:rsidR="00B35F13" w:rsidRDefault="00E23C40" w:rsidP="00B35F13">
      <w:pPr>
        <w:spacing w:before="240" w:line="360" w:lineRule="auto"/>
        <w:jc w:val="both"/>
        <w:rPr>
          <w:rFonts w:ascii="ITC Avant Garde" w:hAnsi="ITC Avant Garde"/>
        </w:rPr>
      </w:pPr>
      <w:r w:rsidRPr="002A2450">
        <w:rPr>
          <w:rFonts w:ascii="ITC Avant Garde" w:hAnsi="ITC Avant Garde"/>
        </w:rPr>
        <w:t>Ahora bien, de las constancias que obran en los autos del expediente en que se actúa, concretamente en las fojas 446 a 4</w:t>
      </w:r>
      <w:r w:rsidR="00D8643B" w:rsidRPr="002A2450">
        <w:rPr>
          <w:rFonts w:ascii="ITC Avant Garde" w:hAnsi="ITC Avant Garde"/>
        </w:rPr>
        <w:t>49</w:t>
      </w:r>
      <w:r w:rsidRPr="002A2450">
        <w:rPr>
          <w:rFonts w:ascii="ITC Avant Garde" w:hAnsi="ITC Avant Garde"/>
        </w:rPr>
        <w:t xml:space="preserve"> se observa </w:t>
      </w:r>
      <w:r w:rsidR="00D8643B" w:rsidRPr="002A2450">
        <w:rPr>
          <w:rFonts w:ascii="ITC Avant Garde" w:hAnsi="ITC Avant Garde"/>
        </w:rPr>
        <w:t xml:space="preserve">la existencia de 4 minutas levantadas con motivo de las </w:t>
      </w:r>
      <w:r w:rsidR="00D8643B" w:rsidRPr="002A2450">
        <w:rPr>
          <w:rFonts w:ascii="ITC Avant Garde" w:hAnsi="ITC Avant Garde"/>
          <w:i/>
        </w:rPr>
        <w:t>“Reuniones Operativas y Administrativas”</w:t>
      </w:r>
      <w:r w:rsidR="00D8643B" w:rsidRPr="002A2450">
        <w:rPr>
          <w:rFonts w:ascii="ITC Avant Garde" w:hAnsi="ITC Avant Garde"/>
        </w:rPr>
        <w:t xml:space="preserve"> realizadas el veinticuatro de septiembre y veintiséis de noviembre de dos mil trece y catorce de enero y veinticinco de febrero de dos mil catorce, dentro de las cuales se observa que los temas a tratar fueron </w:t>
      </w:r>
      <w:r w:rsidR="00D8643B" w:rsidRPr="002A2450">
        <w:rPr>
          <w:rFonts w:ascii="ITC Avant Garde" w:hAnsi="ITC Avant Garde"/>
          <w:b/>
        </w:rPr>
        <w:t>“Temas operativos y administrativos”</w:t>
      </w:r>
      <w:r w:rsidR="00D8643B" w:rsidRPr="002A2450">
        <w:rPr>
          <w:rFonts w:ascii="ITC Avant Garde" w:hAnsi="ITC Avant Garde"/>
        </w:rPr>
        <w:t xml:space="preserve"> esto es, no comerciales.</w:t>
      </w:r>
    </w:p>
    <w:p w14:paraId="37F41AE4" w14:textId="77777777" w:rsidR="00B35F13" w:rsidRDefault="00D8643B" w:rsidP="00B35F13">
      <w:pPr>
        <w:spacing w:before="240" w:line="360" w:lineRule="auto"/>
        <w:jc w:val="both"/>
        <w:rPr>
          <w:rFonts w:ascii="ITC Avant Garde" w:hAnsi="ITC Avant Garde"/>
        </w:rPr>
      </w:pPr>
      <w:r w:rsidRPr="002A2450">
        <w:rPr>
          <w:rFonts w:ascii="ITC Avant Garde" w:hAnsi="ITC Avant Garde"/>
        </w:rPr>
        <w:t>Dentro de los temas señalados fueron:</w:t>
      </w:r>
    </w:p>
    <w:p w14:paraId="63DCB344" w14:textId="7651B75B" w:rsidR="00D8643B" w:rsidRPr="002A2450" w:rsidRDefault="00D8643B" w:rsidP="007E623E">
      <w:pPr>
        <w:pStyle w:val="Prrafodelista"/>
        <w:numPr>
          <w:ilvl w:val="0"/>
          <w:numId w:val="26"/>
        </w:numPr>
        <w:spacing w:before="240" w:line="360" w:lineRule="auto"/>
        <w:jc w:val="both"/>
        <w:rPr>
          <w:rFonts w:ascii="ITC Avant Garde" w:hAnsi="ITC Avant Garde"/>
        </w:rPr>
      </w:pPr>
      <w:r w:rsidRPr="002A2450">
        <w:rPr>
          <w:rFonts w:ascii="ITC Avant Garde" w:hAnsi="ITC Avant Garde"/>
        </w:rPr>
        <w:t xml:space="preserve">La posibilidad de que </w:t>
      </w:r>
      <w:r w:rsidRPr="002A2450">
        <w:rPr>
          <w:rFonts w:ascii="ITC Avant Garde" w:hAnsi="ITC Avant Garde"/>
          <w:b/>
        </w:rPr>
        <w:t>“TELMEX”</w:t>
      </w:r>
      <w:r w:rsidRPr="002A2450">
        <w:rPr>
          <w:rFonts w:ascii="ITC Avant Garde" w:hAnsi="ITC Avant Garde"/>
        </w:rPr>
        <w:t xml:space="preserve"> tenga posiciones en el </w:t>
      </w:r>
      <w:proofErr w:type="spellStart"/>
      <w:r w:rsidRPr="002A2450">
        <w:rPr>
          <w:rFonts w:ascii="ITC Avant Garde" w:hAnsi="ITC Avant Garde"/>
          <w:i/>
        </w:rPr>
        <w:t>Call</w:t>
      </w:r>
      <w:proofErr w:type="spellEnd"/>
      <w:r w:rsidRPr="002A2450">
        <w:rPr>
          <w:rFonts w:ascii="ITC Avant Garde" w:hAnsi="ITC Avant Garde"/>
          <w:i/>
        </w:rPr>
        <w:t xml:space="preserve"> Center </w:t>
      </w:r>
      <w:r w:rsidRPr="002A2450">
        <w:rPr>
          <w:rFonts w:ascii="ITC Avant Garde" w:hAnsi="ITC Avant Garde"/>
        </w:rPr>
        <w:t>de Morelia</w:t>
      </w:r>
      <w:r w:rsidR="005570CF" w:rsidRPr="002A2450">
        <w:rPr>
          <w:rFonts w:ascii="ITC Avant Garde" w:hAnsi="ITC Avant Garde"/>
        </w:rPr>
        <w:t>.</w:t>
      </w:r>
    </w:p>
    <w:p w14:paraId="24D62CBE" w14:textId="77777777" w:rsidR="00D8643B" w:rsidRPr="002A2450" w:rsidRDefault="00D8643B" w:rsidP="007E623E">
      <w:pPr>
        <w:pStyle w:val="Prrafodelista"/>
        <w:numPr>
          <w:ilvl w:val="0"/>
          <w:numId w:val="26"/>
        </w:numPr>
        <w:spacing w:before="240" w:line="360" w:lineRule="auto"/>
        <w:jc w:val="both"/>
        <w:rPr>
          <w:rFonts w:ascii="ITC Avant Garde" w:hAnsi="ITC Avant Garde"/>
        </w:rPr>
      </w:pPr>
      <w:r w:rsidRPr="002A2450">
        <w:rPr>
          <w:rFonts w:ascii="ITC Avant Garde" w:hAnsi="ITC Avant Garde"/>
        </w:rPr>
        <w:t xml:space="preserve">Analizar el interés de </w:t>
      </w:r>
      <w:r w:rsidRPr="002A2450">
        <w:rPr>
          <w:rFonts w:ascii="ITC Avant Garde" w:hAnsi="ITC Avant Garde"/>
          <w:b/>
        </w:rPr>
        <w:t>“TELMEX”</w:t>
      </w:r>
      <w:r w:rsidRPr="002A2450">
        <w:rPr>
          <w:rFonts w:ascii="ITC Avant Garde" w:hAnsi="ITC Avant Garde"/>
        </w:rPr>
        <w:t xml:space="preserve"> para utilizar el servicio de los</w:t>
      </w:r>
      <w:r w:rsidR="005570CF" w:rsidRPr="002A2450">
        <w:rPr>
          <w:rFonts w:ascii="ITC Avant Garde" w:hAnsi="ITC Avant Garde"/>
        </w:rPr>
        <w:t xml:space="preserve"> despachos externos de cobranza.</w:t>
      </w:r>
    </w:p>
    <w:p w14:paraId="7F79E923" w14:textId="77777777" w:rsidR="00B35F13" w:rsidRDefault="005570CF" w:rsidP="007E623E">
      <w:pPr>
        <w:pStyle w:val="Prrafodelista"/>
        <w:numPr>
          <w:ilvl w:val="0"/>
          <w:numId w:val="26"/>
        </w:numPr>
        <w:spacing w:before="240" w:line="360" w:lineRule="auto"/>
        <w:jc w:val="both"/>
        <w:rPr>
          <w:rFonts w:ascii="ITC Avant Garde" w:hAnsi="ITC Avant Garde"/>
        </w:rPr>
      </w:pPr>
      <w:r w:rsidRPr="002A2450">
        <w:rPr>
          <w:rFonts w:ascii="ITC Avant Garde" w:hAnsi="ITC Avant Garde"/>
        </w:rPr>
        <w:t xml:space="preserve">La posibilidad de que </w:t>
      </w:r>
      <w:r w:rsidRPr="002A2450">
        <w:rPr>
          <w:rFonts w:ascii="ITC Avant Garde" w:hAnsi="ITC Avant Garde"/>
          <w:b/>
        </w:rPr>
        <w:t>“TELMEX”</w:t>
      </w:r>
      <w:r w:rsidRPr="002A2450">
        <w:rPr>
          <w:rFonts w:ascii="ITC Avant Garde" w:hAnsi="ITC Avant Garde"/>
        </w:rPr>
        <w:t xml:space="preserve"> adquiera cotizaciones para que pueda adquirir CPE a un mejor precio.</w:t>
      </w:r>
    </w:p>
    <w:p w14:paraId="1500BD47" w14:textId="77777777" w:rsidR="00B35F13" w:rsidRDefault="005570CF" w:rsidP="00B35F13">
      <w:pPr>
        <w:spacing w:before="240" w:line="360" w:lineRule="auto"/>
        <w:jc w:val="both"/>
        <w:rPr>
          <w:rFonts w:ascii="ITC Avant Garde" w:hAnsi="ITC Avant Garde"/>
        </w:rPr>
      </w:pPr>
      <w:r w:rsidRPr="002A2450">
        <w:rPr>
          <w:rFonts w:ascii="ITC Avant Garde" w:hAnsi="ITC Avant Garde"/>
        </w:rPr>
        <w:t>En dichas reuniones asistieron</w:t>
      </w:r>
      <w:r w:rsidR="00795D72" w:rsidRPr="002A2450">
        <w:rPr>
          <w:rFonts w:ascii="ITC Avant Garde" w:hAnsi="ITC Avant Garde"/>
        </w:rPr>
        <w:t xml:space="preserve"> por parte de </w:t>
      </w:r>
      <w:r w:rsidR="00795D72" w:rsidRPr="002A2450">
        <w:rPr>
          <w:rFonts w:ascii="ITC Avant Garde" w:hAnsi="ITC Avant Garde"/>
          <w:b/>
        </w:rPr>
        <w:t xml:space="preserve">“DISH MÉXICO”: </w:t>
      </w:r>
      <w:r w:rsidR="005F1A23" w:rsidRPr="000B55ED">
        <w:rPr>
          <w:rFonts w:ascii="ITC Avant Garde" w:eastAsiaTheme="majorEastAsia" w:hAnsi="ITC Avant Garde" w:cstheme="majorBidi"/>
          <w:color w:val="0000FF"/>
          <w:szCs w:val="32"/>
        </w:rPr>
        <w:t>“</w:t>
      </w:r>
      <w:r w:rsidR="005F1A23" w:rsidRPr="0047339C">
        <w:rPr>
          <w:rFonts w:ascii="ITC Avant Garde" w:eastAsiaTheme="majorEastAsia" w:hAnsi="ITC Avant Garde" w:cstheme="majorBidi"/>
          <w:b/>
          <w:color w:val="0000FF"/>
          <w:szCs w:val="32"/>
        </w:rPr>
        <w:t>CONFIDENCIAL POR LEY”</w:t>
      </w:r>
      <w:r w:rsidR="00795D72" w:rsidRPr="002A2450">
        <w:rPr>
          <w:rFonts w:ascii="ITC Avant Garde" w:hAnsi="ITC Avant Garde"/>
        </w:rPr>
        <w:t xml:space="preserve">, y por parte de </w:t>
      </w:r>
      <w:r w:rsidR="00795D72" w:rsidRPr="002A2450">
        <w:rPr>
          <w:rFonts w:ascii="ITC Avant Garde" w:hAnsi="ITC Avant Garde"/>
          <w:b/>
        </w:rPr>
        <w:t>“TELMEX”</w:t>
      </w:r>
      <w:r w:rsidR="00795D72" w:rsidRPr="002A2450">
        <w:rPr>
          <w:rFonts w:ascii="ITC Avant Garde" w:hAnsi="ITC Avant Garde"/>
        </w:rPr>
        <w:t xml:space="preserve">: </w:t>
      </w:r>
      <w:r w:rsidR="005F1A23" w:rsidRPr="0047339C">
        <w:rPr>
          <w:rFonts w:ascii="ITC Avant Garde" w:eastAsiaTheme="majorEastAsia" w:hAnsi="ITC Avant Garde" w:cstheme="majorBidi"/>
          <w:b/>
          <w:color w:val="0000FF"/>
          <w:szCs w:val="32"/>
        </w:rPr>
        <w:t>“CONFIDENCIAL POR LEY”</w:t>
      </w:r>
      <w:r w:rsidR="009112DC" w:rsidRPr="002A2450">
        <w:rPr>
          <w:rFonts w:ascii="ITC Avant Garde" w:hAnsi="ITC Avant Garde"/>
        </w:rPr>
        <w:t>, quienes forman parte del consejo de administración en diversas empresas en sus respectivos grupos.</w:t>
      </w:r>
    </w:p>
    <w:p w14:paraId="747CAC8B" w14:textId="77777777" w:rsidR="00B35F13" w:rsidRDefault="009112DC" w:rsidP="00B35F13">
      <w:pPr>
        <w:spacing w:before="240" w:line="360" w:lineRule="auto"/>
        <w:jc w:val="both"/>
        <w:rPr>
          <w:rFonts w:ascii="ITC Avant Garde" w:hAnsi="ITC Avant Garde"/>
        </w:rPr>
      </w:pPr>
      <w:r w:rsidRPr="002A2450">
        <w:rPr>
          <w:rFonts w:ascii="ITC Avant Garde" w:hAnsi="ITC Avant Garde"/>
        </w:rPr>
        <w:t xml:space="preserve">Como se puede apreciar, constituido o no el Comité de Operaciones, sí se llevaron a cabo reuniones entre ambos grupos y tomaron acciones para la implementación de los servicios operativos que </w:t>
      </w:r>
      <w:r w:rsidRPr="002A2450">
        <w:rPr>
          <w:rFonts w:ascii="ITC Avant Garde" w:hAnsi="ITC Avant Garde"/>
          <w:b/>
        </w:rPr>
        <w:t>“TELMEX”</w:t>
      </w:r>
      <w:r w:rsidRPr="002A2450">
        <w:rPr>
          <w:rFonts w:ascii="ITC Avant Garde" w:hAnsi="ITC Avant Garde"/>
        </w:rPr>
        <w:t xml:space="preserve"> proporciona.</w:t>
      </w:r>
    </w:p>
    <w:p w14:paraId="4D421D62" w14:textId="77777777" w:rsidR="00B35F13" w:rsidRDefault="009112DC" w:rsidP="00B35F13">
      <w:pPr>
        <w:spacing w:before="240" w:line="360" w:lineRule="auto"/>
        <w:jc w:val="both"/>
        <w:rPr>
          <w:rFonts w:ascii="ITC Avant Garde" w:hAnsi="ITC Avant Garde"/>
        </w:rPr>
      </w:pPr>
      <w:r w:rsidRPr="002A2450">
        <w:rPr>
          <w:rFonts w:ascii="ITC Avant Garde" w:hAnsi="ITC Avant Garde"/>
        </w:rPr>
        <w:t xml:space="preserve">En ese sentido, contrario a lo señalado por </w:t>
      </w:r>
      <w:r w:rsidRPr="002A2450">
        <w:rPr>
          <w:rFonts w:ascii="ITC Avant Garde" w:hAnsi="ITC Avant Garde"/>
          <w:b/>
        </w:rPr>
        <w:t>“TELMEX”</w:t>
      </w:r>
      <w:r w:rsidRPr="002A2450">
        <w:rPr>
          <w:rFonts w:ascii="ITC Avant Garde" w:hAnsi="ITC Avant Garde"/>
        </w:rPr>
        <w:t xml:space="preserve"> independiente de la denominación que pueda atribuirse a las reuniones sostenidas, el objeto del contrato de consecuencias se llevó a cabo con dichas reuniones, puesto que la </w:t>
      </w:r>
      <w:r w:rsidRPr="002A2450">
        <w:rPr>
          <w:rFonts w:ascii="ITC Avant Garde" w:hAnsi="ITC Avant Garde"/>
        </w:rPr>
        <w:lastRenderedPageBreak/>
        <w:t xml:space="preserve">finalidad de los mismos era precisamente </w:t>
      </w:r>
      <w:proofErr w:type="spellStart"/>
      <w:r w:rsidRPr="002A2450">
        <w:rPr>
          <w:rFonts w:ascii="ITC Avant Garde" w:hAnsi="ITC Avant Garde"/>
        </w:rPr>
        <w:t>eficient</w:t>
      </w:r>
      <w:r w:rsidR="00671C23" w:rsidRPr="002A2450">
        <w:rPr>
          <w:rFonts w:ascii="ITC Avant Garde" w:hAnsi="ITC Avant Garde"/>
        </w:rPr>
        <w:t>ar</w:t>
      </w:r>
      <w:proofErr w:type="spellEnd"/>
      <w:r w:rsidRPr="002A2450">
        <w:rPr>
          <w:rFonts w:ascii="ITC Avant Garde" w:hAnsi="ITC Avant Garde"/>
        </w:rPr>
        <w:t xml:space="preserve"> la operación de los contratos celebrados.</w:t>
      </w:r>
    </w:p>
    <w:p w14:paraId="25369131" w14:textId="77777777" w:rsidR="00B35F13" w:rsidRDefault="007355C6" w:rsidP="00B35F13">
      <w:pPr>
        <w:spacing w:before="240" w:line="360" w:lineRule="auto"/>
        <w:jc w:val="both"/>
        <w:rPr>
          <w:rFonts w:ascii="ITC Avant Garde" w:hAnsi="ITC Avant Garde"/>
          <w:b/>
          <w:u w:val="single"/>
        </w:rPr>
      </w:pPr>
      <w:r w:rsidRPr="002A2450">
        <w:rPr>
          <w:rFonts w:ascii="ITC Avant Garde" w:hAnsi="ITC Avant Garde"/>
        </w:rPr>
        <w:t xml:space="preserve">Adicionalmente, no debe perderse de vista que en términos de las Reglas de Operación del citado Comité uno de sus objetivos es </w:t>
      </w:r>
      <w:r w:rsidRPr="002A2450">
        <w:rPr>
          <w:rFonts w:ascii="ITC Avant Garde" w:hAnsi="ITC Avant Garde"/>
          <w:b/>
          <w:u w:val="single"/>
        </w:rPr>
        <w:t>la administración del despliegue del Servicio DTH de “DISH MÉXICO”.</w:t>
      </w:r>
    </w:p>
    <w:p w14:paraId="1CF735AC" w14:textId="77777777" w:rsidR="00B35F13" w:rsidRDefault="007355C6" w:rsidP="00B35F13">
      <w:pPr>
        <w:spacing w:before="240" w:line="360" w:lineRule="auto"/>
        <w:jc w:val="both"/>
        <w:rPr>
          <w:rFonts w:ascii="ITC Avant Garde" w:hAnsi="ITC Avant Garde"/>
        </w:rPr>
      </w:pPr>
      <w:r w:rsidRPr="002A2450">
        <w:rPr>
          <w:rFonts w:ascii="ITC Avant Garde" w:hAnsi="ITC Avant Garde"/>
        </w:rPr>
        <w:t xml:space="preserve">Por tanto, si las reuniones tuvieron por objeto </w:t>
      </w:r>
      <w:proofErr w:type="spellStart"/>
      <w:r w:rsidRPr="002A2450">
        <w:rPr>
          <w:rFonts w:ascii="ITC Avant Garde" w:hAnsi="ITC Avant Garde"/>
        </w:rPr>
        <w:t>eficientar</w:t>
      </w:r>
      <w:proofErr w:type="spellEnd"/>
      <w:r w:rsidRPr="002A2450">
        <w:rPr>
          <w:rFonts w:ascii="ITC Avant Garde" w:hAnsi="ITC Avant Garde"/>
        </w:rPr>
        <w:t xml:space="preserve"> </w:t>
      </w:r>
      <w:r w:rsidR="00671C23" w:rsidRPr="002A2450">
        <w:rPr>
          <w:rFonts w:ascii="ITC Avant Garde" w:hAnsi="ITC Avant Garde"/>
        </w:rPr>
        <w:t xml:space="preserve">la </w:t>
      </w:r>
      <w:r w:rsidRPr="002A2450">
        <w:rPr>
          <w:rFonts w:ascii="ITC Avant Garde" w:hAnsi="ITC Avant Garde"/>
        </w:rPr>
        <w:t xml:space="preserve">operación de los contratos de operación del propio servicio </w:t>
      </w:r>
      <w:r w:rsidR="00671C23" w:rsidRPr="002A2450">
        <w:rPr>
          <w:rFonts w:ascii="ITC Avant Garde" w:hAnsi="ITC Avant Garde"/>
        </w:rPr>
        <w:t xml:space="preserve">de televisión restringida satelital, </w:t>
      </w:r>
      <w:r w:rsidRPr="002A2450">
        <w:rPr>
          <w:rFonts w:ascii="ITC Avant Garde" w:hAnsi="ITC Avant Garde"/>
        </w:rPr>
        <w:t xml:space="preserve">es indudable que existe un intercambio de información y por tanto, que existiera una injerencia </w:t>
      </w:r>
      <w:r w:rsidR="0026517E" w:rsidRPr="002A2450">
        <w:rPr>
          <w:rFonts w:ascii="ITC Avant Garde" w:hAnsi="ITC Avant Garde"/>
        </w:rPr>
        <w:t xml:space="preserve">en la conducción del negocio. </w:t>
      </w:r>
    </w:p>
    <w:p w14:paraId="7AA2F24B" w14:textId="77777777" w:rsidR="00B35F13" w:rsidRDefault="007355C6" w:rsidP="00B35F13">
      <w:pPr>
        <w:spacing w:before="240" w:line="360" w:lineRule="auto"/>
        <w:jc w:val="both"/>
        <w:rPr>
          <w:rFonts w:ascii="ITC Avant Garde" w:hAnsi="ITC Avant Garde"/>
        </w:rPr>
      </w:pPr>
      <w:r w:rsidRPr="002A2450">
        <w:rPr>
          <w:rFonts w:ascii="ITC Avant Garde" w:hAnsi="ITC Avant Garde"/>
        </w:rPr>
        <w:t>Lo anterior, incluso puede ser corroborado en la</w:t>
      </w:r>
      <w:r w:rsidR="00F03C81" w:rsidRPr="002A2450">
        <w:rPr>
          <w:rFonts w:ascii="ITC Avant Garde" w:hAnsi="ITC Avant Garde"/>
        </w:rPr>
        <w:t>s</w:t>
      </w:r>
      <w:r w:rsidRPr="002A2450">
        <w:rPr>
          <w:rFonts w:ascii="ITC Avant Garde" w:hAnsi="ITC Avant Garde"/>
        </w:rPr>
        <w:t xml:space="preserve"> min</w:t>
      </w:r>
      <w:r w:rsidR="00F03C81" w:rsidRPr="002A2450">
        <w:rPr>
          <w:rFonts w:ascii="ITC Avant Garde" w:hAnsi="ITC Avant Garde"/>
        </w:rPr>
        <w:t>u</w:t>
      </w:r>
      <w:r w:rsidRPr="002A2450">
        <w:rPr>
          <w:rFonts w:ascii="ITC Avant Garde" w:hAnsi="ITC Avant Garde"/>
        </w:rPr>
        <w:t>ta</w:t>
      </w:r>
      <w:r w:rsidR="00F03C81" w:rsidRPr="002A2450">
        <w:rPr>
          <w:rFonts w:ascii="ITC Avant Garde" w:hAnsi="ITC Avant Garde"/>
        </w:rPr>
        <w:t>s</w:t>
      </w:r>
      <w:r w:rsidRPr="002A2450">
        <w:rPr>
          <w:rFonts w:ascii="ITC Avant Garde" w:hAnsi="ITC Avant Garde"/>
        </w:rPr>
        <w:t xml:space="preserve"> del veinticuatro de septiembre de dos mil trece</w:t>
      </w:r>
      <w:r w:rsidR="00F03C81" w:rsidRPr="002A2450">
        <w:rPr>
          <w:rFonts w:ascii="ITC Avant Garde" w:hAnsi="ITC Avant Garde"/>
        </w:rPr>
        <w:t xml:space="preserve"> y catorce de enero de dos mil catorce</w:t>
      </w:r>
      <w:r w:rsidRPr="002A2450">
        <w:rPr>
          <w:rFonts w:ascii="ITC Avant Garde" w:hAnsi="ITC Avant Garde"/>
        </w:rPr>
        <w:t>, en l</w:t>
      </w:r>
      <w:r w:rsidR="00F03C81" w:rsidRPr="002A2450">
        <w:rPr>
          <w:rFonts w:ascii="ITC Avant Garde" w:hAnsi="ITC Avant Garde"/>
        </w:rPr>
        <w:t>os</w:t>
      </w:r>
      <w:r w:rsidRPr="002A2450">
        <w:rPr>
          <w:rFonts w:ascii="ITC Avant Garde" w:hAnsi="ITC Avant Garde"/>
        </w:rPr>
        <w:t xml:space="preserve"> numeral</w:t>
      </w:r>
      <w:r w:rsidR="00F03C81" w:rsidRPr="002A2450">
        <w:rPr>
          <w:rFonts w:ascii="ITC Avant Garde" w:hAnsi="ITC Avant Garde"/>
        </w:rPr>
        <w:t>es</w:t>
      </w:r>
      <w:r w:rsidRPr="002A2450">
        <w:rPr>
          <w:rFonts w:ascii="ITC Avant Garde" w:hAnsi="ITC Avant Garde"/>
        </w:rPr>
        <w:t xml:space="preserve"> III.4 </w:t>
      </w:r>
      <w:r w:rsidR="00F03C81" w:rsidRPr="002A2450">
        <w:rPr>
          <w:rFonts w:ascii="ITC Avant Garde" w:hAnsi="ITC Avant Garde"/>
        </w:rPr>
        <w:t xml:space="preserve">y 1.3, respectivamente, </w:t>
      </w:r>
      <w:r w:rsidRPr="002A2450">
        <w:rPr>
          <w:rFonts w:ascii="ITC Avant Garde" w:hAnsi="ITC Avant Garde"/>
        </w:rPr>
        <w:t xml:space="preserve">en </w:t>
      </w:r>
      <w:r w:rsidR="00F03C81" w:rsidRPr="002A2450">
        <w:rPr>
          <w:rFonts w:ascii="ITC Avant Garde" w:hAnsi="ITC Avant Garde"/>
        </w:rPr>
        <w:t xml:space="preserve">los </w:t>
      </w:r>
      <w:r w:rsidRPr="002A2450">
        <w:rPr>
          <w:rFonts w:ascii="ITC Avant Garde" w:hAnsi="ITC Avant Garde"/>
        </w:rPr>
        <w:t>que se menciona lo siguiente:</w:t>
      </w:r>
    </w:p>
    <w:p w14:paraId="2F18C999" w14:textId="059EBC5D" w:rsidR="00B35F13" w:rsidRPr="0047339C" w:rsidRDefault="0047339C" w:rsidP="0047339C">
      <w:pPr>
        <w:spacing w:before="240" w:line="360" w:lineRule="auto"/>
        <w:ind w:left="709"/>
        <w:jc w:val="both"/>
        <w:rPr>
          <w:rFonts w:ascii="ITC Avant Garde" w:eastAsiaTheme="majorEastAsia" w:hAnsi="ITC Avant Garde" w:cstheme="majorBidi"/>
          <w:b/>
          <w:color w:val="0000FF"/>
          <w:szCs w:val="32"/>
        </w:rPr>
      </w:pPr>
      <w:r>
        <w:rPr>
          <w:rFonts w:ascii="ITC Avant Garde" w:eastAsiaTheme="majorEastAsia" w:hAnsi="ITC Avant Garde" w:cstheme="majorBidi"/>
          <w:b/>
          <w:color w:val="0000FF"/>
          <w:szCs w:val="32"/>
        </w:rPr>
        <w:t>“</w:t>
      </w:r>
      <w:r w:rsidR="005F1A23" w:rsidRPr="0047339C">
        <w:rPr>
          <w:rFonts w:ascii="ITC Avant Garde" w:eastAsiaTheme="majorEastAsia" w:hAnsi="ITC Avant Garde" w:cstheme="majorBidi"/>
          <w:b/>
          <w:color w:val="0000FF"/>
          <w:szCs w:val="32"/>
        </w:rPr>
        <w:t>CONFIDENCIAL POR LEY”</w:t>
      </w:r>
    </w:p>
    <w:p w14:paraId="00C3E7FA" w14:textId="77777777" w:rsidR="00B35F13" w:rsidRDefault="007355C6" w:rsidP="00B35F13">
      <w:pPr>
        <w:spacing w:before="240" w:line="360" w:lineRule="auto"/>
        <w:jc w:val="both"/>
        <w:rPr>
          <w:rFonts w:ascii="ITC Avant Garde" w:hAnsi="ITC Avant Garde"/>
        </w:rPr>
      </w:pPr>
      <w:r w:rsidRPr="002A2450">
        <w:rPr>
          <w:rFonts w:ascii="ITC Avant Garde" w:hAnsi="ITC Avant Garde"/>
        </w:rPr>
        <w:t xml:space="preserve">Lo anterior, ejemplifica el grado de colaboración e injerencia entre esas empresas para lograr </w:t>
      </w:r>
      <w:r w:rsidR="00671C23" w:rsidRPr="002A2450">
        <w:rPr>
          <w:rFonts w:ascii="ITC Avant Garde" w:hAnsi="ITC Avant Garde"/>
        </w:rPr>
        <w:t xml:space="preserve">un objetivo común a la conducción del negocio relativo a la explotación de una concesión para prestar el servicio de televisión satelital </w:t>
      </w:r>
      <w:r w:rsidRPr="002A2450">
        <w:rPr>
          <w:rFonts w:ascii="ITC Avant Garde" w:hAnsi="ITC Avant Garde"/>
        </w:rPr>
        <w:t>en el país,</w:t>
      </w:r>
      <w:r w:rsidR="00EB5D53" w:rsidRPr="002A2450">
        <w:rPr>
          <w:rFonts w:ascii="ITC Avant Garde" w:hAnsi="ITC Avant Garde"/>
        </w:rPr>
        <w:t xml:space="preserve"> consideración que </w:t>
      </w:r>
      <w:r w:rsidR="007544B5" w:rsidRPr="002A2450">
        <w:rPr>
          <w:rFonts w:ascii="ITC Avant Garde" w:hAnsi="ITC Avant Garde"/>
        </w:rPr>
        <w:t xml:space="preserve">derivó </w:t>
      </w:r>
      <w:r w:rsidR="00EB5D53" w:rsidRPr="002A2450">
        <w:rPr>
          <w:rFonts w:ascii="ITC Avant Garde" w:hAnsi="ITC Avant Garde"/>
        </w:rPr>
        <w:t xml:space="preserve">precisamente de las propias actuaciones que </w:t>
      </w:r>
      <w:r w:rsidR="00EB5D53" w:rsidRPr="002A2450">
        <w:rPr>
          <w:rFonts w:ascii="ITC Avant Garde" w:hAnsi="ITC Avant Garde"/>
          <w:b/>
        </w:rPr>
        <w:t>“TELMEX”</w:t>
      </w:r>
      <w:r w:rsidR="00EB5D53" w:rsidRPr="002A2450">
        <w:rPr>
          <w:rFonts w:ascii="ITC Avant Garde" w:hAnsi="ITC Avant Garde"/>
        </w:rPr>
        <w:t xml:space="preserve"> desarrolló con motivo de los contratos celebrados </w:t>
      </w:r>
      <w:r w:rsidR="007544B5" w:rsidRPr="002A2450">
        <w:rPr>
          <w:rFonts w:ascii="ITC Avant Garde" w:hAnsi="ITC Avant Garde"/>
        </w:rPr>
        <w:t xml:space="preserve">es </w:t>
      </w:r>
      <w:r w:rsidR="00EB5D53" w:rsidRPr="002A2450">
        <w:rPr>
          <w:rFonts w:ascii="ITC Avant Garde" w:hAnsi="ITC Avant Garde"/>
        </w:rPr>
        <w:t xml:space="preserve">que </w:t>
      </w:r>
      <w:r w:rsidR="007544B5" w:rsidRPr="002A2450">
        <w:rPr>
          <w:rFonts w:ascii="ITC Avant Garde" w:hAnsi="ITC Avant Garde"/>
        </w:rPr>
        <w:t xml:space="preserve">se </w:t>
      </w:r>
      <w:r w:rsidR="00EB5D53" w:rsidRPr="002A2450">
        <w:rPr>
          <w:rFonts w:ascii="ITC Avant Garde" w:hAnsi="ITC Avant Garde"/>
        </w:rPr>
        <w:t>presume la ejecución del contrato de consecuencias.</w:t>
      </w:r>
    </w:p>
    <w:p w14:paraId="01874632" w14:textId="77777777" w:rsidR="00B35F13" w:rsidRDefault="0026517E" w:rsidP="00B35F13">
      <w:pPr>
        <w:spacing w:before="240" w:line="360" w:lineRule="auto"/>
        <w:jc w:val="both"/>
        <w:rPr>
          <w:rFonts w:ascii="ITC Avant Garde" w:hAnsi="ITC Avant Garde"/>
        </w:rPr>
      </w:pPr>
      <w:r w:rsidRPr="002A2450">
        <w:rPr>
          <w:rFonts w:ascii="ITC Avant Garde" w:hAnsi="ITC Avant Garde"/>
        </w:rPr>
        <w:t xml:space="preserve">A mayor abundamiento, debe resaltarse el hecho de que las reuniones sostenidas no sólo comentaron acciones operativas para el servicio de </w:t>
      </w:r>
      <w:r w:rsidRPr="002A2450">
        <w:rPr>
          <w:rFonts w:ascii="ITC Avant Garde" w:hAnsi="ITC Avant Garde"/>
          <w:b/>
        </w:rPr>
        <w:t>“DTH”</w:t>
      </w:r>
      <w:r w:rsidRPr="002A2450">
        <w:rPr>
          <w:rFonts w:ascii="ITC Avant Garde" w:hAnsi="ITC Avant Garde"/>
        </w:rPr>
        <w:t xml:space="preserve"> en México, sino que las mismas tuvieron un seguimiento en plena ejecución de los acuerdos allí tomados.</w:t>
      </w:r>
    </w:p>
    <w:p w14:paraId="39CB091A" w14:textId="77777777" w:rsidR="00B35F13" w:rsidRDefault="0026517E" w:rsidP="00B35F13">
      <w:pPr>
        <w:spacing w:before="240" w:line="360" w:lineRule="auto"/>
        <w:jc w:val="both"/>
        <w:rPr>
          <w:rFonts w:ascii="ITC Avant Garde" w:hAnsi="ITC Avant Garde"/>
        </w:rPr>
      </w:pPr>
      <w:r w:rsidRPr="002A2450">
        <w:rPr>
          <w:rFonts w:ascii="ITC Avant Garde" w:hAnsi="ITC Avant Garde"/>
        </w:rPr>
        <w:t>Para lo anterior basta observar lo siguiente:</w:t>
      </w:r>
    </w:p>
    <w:p w14:paraId="6720B283" w14:textId="77777777" w:rsidR="00B35F13" w:rsidRDefault="0026517E" w:rsidP="007E623E">
      <w:pPr>
        <w:pStyle w:val="Prrafodelista"/>
        <w:numPr>
          <w:ilvl w:val="0"/>
          <w:numId w:val="59"/>
        </w:numPr>
        <w:spacing w:before="240" w:line="360" w:lineRule="auto"/>
        <w:jc w:val="both"/>
        <w:rPr>
          <w:rFonts w:ascii="ITC Avant Garde" w:hAnsi="ITC Avant Garde"/>
        </w:rPr>
      </w:pPr>
      <w:r w:rsidRPr="002A2450">
        <w:rPr>
          <w:rFonts w:ascii="ITC Avant Garde" w:hAnsi="ITC Avant Garde"/>
        </w:rPr>
        <w:lastRenderedPageBreak/>
        <w:t>Minuta de trabajo de veinticuatro de septiembre de dos mil trece:</w:t>
      </w:r>
    </w:p>
    <w:p w14:paraId="3535BC9F" w14:textId="33E30187" w:rsidR="00B35F13" w:rsidRPr="0047339C" w:rsidRDefault="00C9499F" w:rsidP="00B35F13">
      <w:pPr>
        <w:pStyle w:val="Prrafodelista"/>
        <w:spacing w:before="240" w:line="360" w:lineRule="auto"/>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w:t>
      </w:r>
      <w:r w:rsidR="005F1A23" w:rsidRPr="0047339C">
        <w:rPr>
          <w:rFonts w:ascii="ITC Avant Garde" w:eastAsiaTheme="majorEastAsia" w:hAnsi="ITC Avant Garde" w:cstheme="majorBidi"/>
          <w:b/>
          <w:color w:val="0000FF"/>
          <w:szCs w:val="32"/>
        </w:rPr>
        <w:t>CONFIDENCIAL POR LEY”</w:t>
      </w:r>
    </w:p>
    <w:p w14:paraId="1EA02BF3" w14:textId="77777777" w:rsidR="00B35F13" w:rsidRDefault="0026517E" w:rsidP="007E623E">
      <w:pPr>
        <w:pStyle w:val="Prrafodelista"/>
        <w:numPr>
          <w:ilvl w:val="0"/>
          <w:numId w:val="59"/>
        </w:numPr>
        <w:spacing w:before="240" w:line="360" w:lineRule="auto"/>
        <w:jc w:val="both"/>
        <w:rPr>
          <w:rFonts w:ascii="ITC Avant Garde" w:hAnsi="ITC Avant Garde"/>
        </w:rPr>
      </w:pPr>
      <w:r w:rsidRPr="002A2450">
        <w:rPr>
          <w:rFonts w:ascii="ITC Avant Garde" w:hAnsi="ITC Avant Garde"/>
        </w:rPr>
        <w:t>Minuta de trabajo de veintiséis de octubre de dos mil trece</w:t>
      </w:r>
    </w:p>
    <w:p w14:paraId="7379D4B9" w14:textId="63DDA8A4" w:rsidR="0026517E" w:rsidRPr="0047339C" w:rsidRDefault="00C9499F" w:rsidP="00B35F13">
      <w:pPr>
        <w:pStyle w:val="Prrafodelista"/>
        <w:spacing w:before="240" w:line="360" w:lineRule="auto"/>
        <w:jc w:val="both"/>
        <w:rPr>
          <w:rFonts w:ascii="ITC Avant Garde" w:hAnsi="ITC Avant Garde"/>
          <w:b/>
        </w:rPr>
      </w:pPr>
      <w:r w:rsidRPr="0047339C">
        <w:rPr>
          <w:rFonts w:ascii="ITC Avant Garde" w:eastAsiaTheme="majorEastAsia" w:hAnsi="ITC Avant Garde" w:cstheme="majorBidi"/>
          <w:b/>
          <w:color w:val="0000FF"/>
          <w:szCs w:val="32"/>
        </w:rPr>
        <w:t>“</w:t>
      </w:r>
      <w:r w:rsidR="005F1A23" w:rsidRPr="0047339C">
        <w:rPr>
          <w:rFonts w:ascii="ITC Avant Garde" w:eastAsiaTheme="majorEastAsia" w:hAnsi="ITC Avant Garde" w:cstheme="majorBidi"/>
          <w:b/>
          <w:color w:val="0000FF"/>
          <w:szCs w:val="32"/>
        </w:rPr>
        <w:t>CONFIDENCIAL POR LEY”</w:t>
      </w:r>
    </w:p>
    <w:p w14:paraId="29037070" w14:textId="77777777" w:rsidR="00B35F13" w:rsidRDefault="00C24B2B" w:rsidP="007E623E">
      <w:pPr>
        <w:pStyle w:val="Prrafodelista"/>
        <w:numPr>
          <w:ilvl w:val="0"/>
          <w:numId w:val="59"/>
        </w:numPr>
        <w:spacing w:before="240" w:line="360" w:lineRule="auto"/>
        <w:jc w:val="both"/>
        <w:rPr>
          <w:rFonts w:ascii="ITC Avant Garde" w:hAnsi="ITC Avant Garde"/>
        </w:rPr>
      </w:pPr>
      <w:r w:rsidRPr="002A2450">
        <w:rPr>
          <w:rFonts w:ascii="ITC Avant Garde" w:hAnsi="ITC Avant Garde"/>
        </w:rPr>
        <w:t>Minuta de trabajo de veinticinco de febrero de dos mil catorce.</w:t>
      </w:r>
    </w:p>
    <w:p w14:paraId="27F2321E" w14:textId="66C16A9A" w:rsidR="00B35F13" w:rsidRPr="0047339C" w:rsidRDefault="00C9499F" w:rsidP="0017636B">
      <w:pPr>
        <w:pStyle w:val="Prrafodelista"/>
        <w:spacing w:before="240" w:line="360" w:lineRule="auto"/>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w:t>
      </w:r>
      <w:r w:rsidR="005F1A23" w:rsidRPr="0047339C">
        <w:rPr>
          <w:rFonts w:ascii="ITC Avant Garde" w:eastAsiaTheme="majorEastAsia" w:hAnsi="ITC Avant Garde" w:cstheme="majorBidi"/>
          <w:b/>
          <w:color w:val="0000FF"/>
          <w:szCs w:val="32"/>
        </w:rPr>
        <w:t>CONFIDENCIAL POR LEY</w:t>
      </w:r>
      <w:r w:rsidRPr="0047339C">
        <w:rPr>
          <w:rFonts w:ascii="ITC Avant Garde" w:eastAsiaTheme="majorEastAsia" w:hAnsi="ITC Avant Garde" w:cstheme="majorBidi"/>
          <w:b/>
          <w:color w:val="0000FF"/>
          <w:szCs w:val="32"/>
        </w:rPr>
        <w:t>”</w:t>
      </w:r>
    </w:p>
    <w:p w14:paraId="7A2CA5C6" w14:textId="77777777" w:rsidR="00B35F13" w:rsidRDefault="00C24B2B" w:rsidP="00B35F13">
      <w:pPr>
        <w:spacing w:before="240" w:line="360" w:lineRule="auto"/>
        <w:jc w:val="both"/>
        <w:rPr>
          <w:rFonts w:ascii="ITC Avant Garde" w:hAnsi="ITC Avant Garde"/>
        </w:rPr>
      </w:pPr>
      <w:r w:rsidRPr="002A2450">
        <w:rPr>
          <w:rFonts w:ascii="ITC Avant Garde" w:hAnsi="ITC Avant Garde"/>
        </w:rPr>
        <w:t xml:space="preserve">Con base en lo anterior, queda demostrado que las reuniones de trabajo no sólo dieron una supervisión a los contratos de distribución, facturación y cobranza y arrendamiento, sino que también comprendieron temas operativos para la prestación del servicio de </w:t>
      </w:r>
      <w:r w:rsidRPr="002A2450">
        <w:rPr>
          <w:rFonts w:ascii="ITC Avant Garde" w:hAnsi="ITC Avant Garde"/>
          <w:b/>
        </w:rPr>
        <w:t>“DTH”</w:t>
      </w:r>
      <w:r w:rsidRPr="002A2450">
        <w:rPr>
          <w:rFonts w:ascii="ITC Avant Garde" w:hAnsi="ITC Avant Garde"/>
        </w:rPr>
        <w:t xml:space="preserve"> en México que involucró un seguimiento de las partes para canalizar sus esfuerzos a la consolidación de los temas tratados en dichas reuniones, lo que presume la existencia de acuerdos operativos con el objeto de logar un fin común.</w:t>
      </w:r>
    </w:p>
    <w:p w14:paraId="4B8BE373" w14:textId="77777777" w:rsidR="00B35F13" w:rsidRDefault="00C24B2B" w:rsidP="00B35F13">
      <w:pPr>
        <w:spacing w:before="240" w:line="360" w:lineRule="auto"/>
        <w:jc w:val="both"/>
        <w:rPr>
          <w:rFonts w:ascii="ITC Avant Garde" w:hAnsi="ITC Avant Garde"/>
        </w:rPr>
      </w:pPr>
      <w:r w:rsidRPr="002A2450">
        <w:rPr>
          <w:rFonts w:ascii="ITC Avant Garde" w:hAnsi="ITC Avant Garde"/>
        </w:rPr>
        <w:t xml:space="preserve">Ahora bien, no pasa desapercibido </w:t>
      </w:r>
      <w:r w:rsidR="002627DC" w:rsidRPr="002A2450">
        <w:rPr>
          <w:rFonts w:ascii="ITC Avant Garde" w:hAnsi="ITC Avant Garde"/>
        </w:rPr>
        <w:t xml:space="preserve">de que del análisis de las constancias que obran en el expediente </w:t>
      </w:r>
      <w:r w:rsidR="00462172" w:rsidRPr="002A2450">
        <w:rPr>
          <w:rFonts w:ascii="ITC Avant Garde" w:hAnsi="ITC Avant Garde"/>
          <w:b/>
        </w:rPr>
        <w:t>“TELMEX”</w:t>
      </w:r>
      <w:r w:rsidR="002627DC" w:rsidRPr="002A2450">
        <w:rPr>
          <w:rFonts w:ascii="ITC Avant Garde" w:hAnsi="ITC Avant Garde"/>
          <w:b/>
        </w:rPr>
        <w:t xml:space="preserve"> </w:t>
      </w:r>
      <w:r w:rsidR="00801494" w:rsidRPr="002A2450">
        <w:rPr>
          <w:rFonts w:ascii="ITC Avant Garde" w:hAnsi="ITC Avant Garde"/>
        </w:rPr>
        <w:t>haya</w:t>
      </w:r>
      <w:r w:rsidR="00801494" w:rsidRPr="002A2450">
        <w:rPr>
          <w:rFonts w:ascii="ITC Avant Garde" w:hAnsi="ITC Avant Garde"/>
          <w:b/>
        </w:rPr>
        <w:t xml:space="preserve"> </w:t>
      </w:r>
      <w:r w:rsidR="00801494" w:rsidRPr="002A2450">
        <w:rPr>
          <w:rFonts w:ascii="ITC Avant Garde" w:hAnsi="ITC Avant Garde"/>
        </w:rPr>
        <w:t xml:space="preserve">señalado </w:t>
      </w:r>
      <w:r w:rsidR="002627DC" w:rsidRPr="002A2450">
        <w:rPr>
          <w:rFonts w:ascii="ITC Avant Garde" w:hAnsi="ITC Avant Garde"/>
        </w:rPr>
        <w:t>que</w:t>
      </w:r>
      <w:r w:rsidR="00462172" w:rsidRPr="002A2450">
        <w:rPr>
          <w:rFonts w:ascii="ITC Avant Garde" w:hAnsi="ITC Avant Garde"/>
        </w:rPr>
        <w:t>:</w:t>
      </w:r>
    </w:p>
    <w:p w14:paraId="696A6EF8" w14:textId="1DE0939E" w:rsidR="00462172" w:rsidRPr="002A2450" w:rsidRDefault="00462172" w:rsidP="00B35F13">
      <w:pPr>
        <w:spacing w:before="240" w:line="360" w:lineRule="auto"/>
        <w:ind w:left="567" w:right="567"/>
        <w:jc w:val="both"/>
        <w:rPr>
          <w:rFonts w:ascii="ITC Avant Garde" w:hAnsi="ITC Avant Garde"/>
          <w:i/>
        </w:rPr>
      </w:pPr>
      <w:r w:rsidRPr="002A2450">
        <w:rPr>
          <w:rFonts w:ascii="ITC Avant Garde" w:hAnsi="ITC Avant Garde"/>
          <w:i/>
        </w:rPr>
        <w:t>“…</w:t>
      </w:r>
    </w:p>
    <w:p w14:paraId="358A4CB1" w14:textId="77777777" w:rsidR="00032A33" w:rsidRDefault="00462172" w:rsidP="00B35F13">
      <w:pPr>
        <w:spacing w:before="240" w:line="360" w:lineRule="auto"/>
        <w:ind w:left="567" w:right="567"/>
        <w:jc w:val="both"/>
        <w:rPr>
          <w:rFonts w:ascii="ITC Avant Garde" w:hAnsi="ITC Avant Garde"/>
          <w:i/>
        </w:rPr>
        <w:sectPr w:rsidR="00032A33" w:rsidSect="009F3771">
          <w:headerReference w:type="default" r:id="rId41"/>
          <w:pgSz w:w="12240" w:h="15840"/>
          <w:pgMar w:top="1985" w:right="1701" w:bottom="1418" w:left="1701" w:header="709" w:footer="709" w:gutter="0"/>
          <w:cols w:space="708"/>
          <w:docGrid w:linePitch="360"/>
        </w:sectPr>
      </w:pPr>
      <w:r w:rsidRPr="002A2450">
        <w:rPr>
          <w:rFonts w:ascii="ITC Avant Garde" w:hAnsi="ITC Avant Garde"/>
          <w:i/>
        </w:rPr>
        <w:t xml:space="preserve">No obstante todo lo hasta aquí manifestado, se hace del conocimiento de ese Instituto que con la finalidad de supervisar la implementación y avance de los contratos de servicios de facturación y cobranza; de distribución y arrendamiento de equipos, se han llevado a cabo diversas reuniones administrativas y operativas, de las cuales, mi representada tiene conocimiento de los documentos que se acompañan al presente escrito como anexo 8. Respecto de los citados documentos se hace la aclaración que no han sido autorizados, avalados ni ratificados por parte de </w:t>
      </w:r>
      <w:r w:rsidR="005B601B" w:rsidRPr="002A2450">
        <w:rPr>
          <w:rFonts w:ascii="ITC Avant Garde" w:hAnsi="ITC Avant Garde"/>
          <w:b/>
          <w:i/>
        </w:rPr>
        <w:t>“TELMEX”</w:t>
      </w:r>
      <w:r w:rsidRPr="002A2450">
        <w:rPr>
          <w:rFonts w:ascii="ITC Avant Garde" w:hAnsi="ITC Avant Garde"/>
          <w:i/>
        </w:rPr>
        <w:t xml:space="preserve"> y por ello no implican compromiso, acuerdo o de manera alguna obligación a cargo de las partes.”</w:t>
      </w:r>
    </w:p>
    <w:p w14:paraId="7E13345C" w14:textId="77777777" w:rsidR="00B35F13" w:rsidRDefault="00DA4014" w:rsidP="00B35F13">
      <w:pPr>
        <w:spacing w:before="240" w:line="360" w:lineRule="auto"/>
        <w:jc w:val="both"/>
        <w:rPr>
          <w:rFonts w:ascii="ITC Avant Garde" w:hAnsi="ITC Avant Garde"/>
        </w:rPr>
      </w:pPr>
      <w:r w:rsidRPr="002A2450">
        <w:rPr>
          <w:rFonts w:ascii="ITC Avant Garde" w:hAnsi="ITC Avant Garde"/>
        </w:rPr>
        <w:lastRenderedPageBreak/>
        <w:t xml:space="preserve">Lo anterior, ya que de acuerdo al seguimiento realizado en las minutas antes señaladas, existe una ejecución formal y material de los </w:t>
      </w:r>
      <w:r w:rsidR="00801494" w:rsidRPr="002A2450">
        <w:rPr>
          <w:rFonts w:ascii="ITC Avant Garde" w:hAnsi="ITC Avant Garde"/>
        </w:rPr>
        <w:t xml:space="preserve">acuerdos </w:t>
      </w:r>
      <w:r w:rsidRPr="002A2450">
        <w:rPr>
          <w:rFonts w:ascii="ITC Avant Garde" w:hAnsi="ITC Avant Garde"/>
        </w:rPr>
        <w:t>en dichas reuniones, esto</w:t>
      </w:r>
      <w:r w:rsidR="00801494" w:rsidRPr="002A2450">
        <w:rPr>
          <w:rFonts w:ascii="ITC Avant Garde" w:hAnsi="ITC Avant Garde"/>
        </w:rPr>
        <w:t xml:space="preserve"> es,</w:t>
      </w:r>
      <w:r w:rsidRPr="002A2450">
        <w:rPr>
          <w:rFonts w:ascii="ITC Avant Garde" w:hAnsi="ITC Avant Garde"/>
        </w:rPr>
        <w:t xml:space="preserve"> se llevaron a cabo </w:t>
      </w:r>
      <w:r w:rsidR="00801494" w:rsidRPr="002A2450">
        <w:rPr>
          <w:rFonts w:ascii="ITC Avant Garde" w:hAnsi="ITC Avant Garde"/>
        </w:rPr>
        <w:t xml:space="preserve">todos los </w:t>
      </w:r>
      <w:r w:rsidRPr="002A2450">
        <w:rPr>
          <w:rFonts w:ascii="ITC Avant Garde" w:hAnsi="ITC Avant Garde"/>
        </w:rPr>
        <w:t xml:space="preserve">actos que indudablemente presumen un seguimiento respecto de los temas tratados, de lo que se sigue que independientemente de que se hayan </w:t>
      </w:r>
      <w:r w:rsidR="0089101C" w:rsidRPr="002A2450">
        <w:rPr>
          <w:rFonts w:ascii="ITC Avant Garde" w:hAnsi="ITC Avant Garde"/>
        </w:rPr>
        <w:t xml:space="preserve">formalizado y/o ratificado las minutas de trabajo celebradas, </w:t>
      </w:r>
      <w:r w:rsidR="007544B5" w:rsidRPr="002A2450">
        <w:rPr>
          <w:rFonts w:ascii="ITC Avant Garde" w:hAnsi="ITC Avant Garde"/>
        </w:rPr>
        <w:t>lo cierto es que existe evidencia del seguimiento y la consumación de los hechos allí tratados,</w:t>
      </w:r>
      <w:r w:rsidR="00801494" w:rsidRPr="002A2450">
        <w:rPr>
          <w:rFonts w:ascii="ITC Avant Garde" w:hAnsi="ITC Avant Garde"/>
        </w:rPr>
        <w:t xml:space="preserve"> lo que en cualquier caso resulta irrelevante que las propias minutas hayan sido autorizadas o avaladas ya que como se advierte de las mismas, éstas se encuentran consumadas con el seguimiento a los propios acuerdos y de allí la ejecución material de las mismas.</w:t>
      </w:r>
    </w:p>
    <w:p w14:paraId="6416A5E8" w14:textId="77777777" w:rsidR="00B35F13" w:rsidRDefault="00EB5D53" w:rsidP="00B35F13">
      <w:pPr>
        <w:spacing w:before="240" w:line="360" w:lineRule="auto"/>
        <w:jc w:val="both"/>
        <w:rPr>
          <w:rFonts w:ascii="ITC Avant Garde" w:hAnsi="ITC Avant Garde"/>
        </w:rPr>
      </w:pPr>
      <w:r w:rsidRPr="002A2450">
        <w:rPr>
          <w:rFonts w:ascii="ITC Avant Garde" w:hAnsi="ITC Avant Garde"/>
        </w:rPr>
        <w:t xml:space="preserve">Por lo anterior, en nada beneficia a </w:t>
      </w:r>
      <w:r w:rsidRPr="002A2450">
        <w:rPr>
          <w:rFonts w:ascii="ITC Avant Garde" w:hAnsi="ITC Avant Garde"/>
          <w:b/>
        </w:rPr>
        <w:t>“TELMEX”</w:t>
      </w:r>
      <w:r w:rsidRPr="002A2450">
        <w:rPr>
          <w:rFonts w:ascii="ITC Avant Garde" w:hAnsi="ITC Avant Garde"/>
        </w:rPr>
        <w:t xml:space="preserve"> el hecho de señalar que el comité nunca se constituyó puesto que como se advierte de las constancias que obran en el presente expediente, dichas reuniones si se llevaron a cabo, en las cuales se tocaron temas relativos a la condición del servicio </w:t>
      </w:r>
      <w:r w:rsidRPr="002A2450">
        <w:rPr>
          <w:rFonts w:ascii="ITC Avant Garde" w:hAnsi="ITC Avant Garde"/>
          <w:b/>
        </w:rPr>
        <w:t>“D</w:t>
      </w:r>
      <w:r w:rsidR="00B61711" w:rsidRPr="002A2450">
        <w:rPr>
          <w:rFonts w:ascii="ITC Avant Garde" w:hAnsi="ITC Avant Garde"/>
          <w:b/>
        </w:rPr>
        <w:t>TH</w:t>
      </w:r>
      <w:r w:rsidRPr="002A2450">
        <w:rPr>
          <w:rFonts w:ascii="ITC Avant Garde" w:hAnsi="ITC Avant Garde"/>
          <w:b/>
        </w:rPr>
        <w:t>”</w:t>
      </w:r>
      <w:r w:rsidRPr="002A2450">
        <w:rPr>
          <w:rFonts w:ascii="ITC Avant Garde" w:hAnsi="ITC Avant Garde"/>
        </w:rPr>
        <w:t xml:space="preserve"> mediante </w:t>
      </w:r>
      <w:r w:rsidR="00E03298" w:rsidRPr="002A2450">
        <w:rPr>
          <w:rFonts w:ascii="ITC Avant Garde" w:hAnsi="ITC Avant Garde"/>
        </w:rPr>
        <w:t>la implementación de esquemas de cobro y la utilización de esquemas mercadológicos para potencializar la venta del servicio.</w:t>
      </w:r>
    </w:p>
    <w:p w14:paraId="759587FE" w14:textId="77777777" w:rsidR="00B35F13" w:rsidRDefault="00E03298" w:rsidP="00B35F13">
      <w:pPr>
        <w:spacing w:before="240" w:line="360" w:lineRule="auto"/>
        <w:jc w:val="both"/>
        <w:rPr>
          <w:rFonts w:ascii="ITC Avant Garde" w:hAnsi="ITC Avant Garde"/>
        </w:rPr>
      </w:pPr>
      <w:r w:rsidRPr="002A2450">
        <w:rPr>
          <w:rFonts w:ascii="ITC Avant Garde" w:hAnsi="ITC Avant Garde"/>
        </w:rPr>
        <w:t>En ese sentido, la parte operacional de los contratos, determina la dirección que las empresas deben emprender para la consecución de un objetivo, de lo que se sigue que el ejercicio operacional</w:t>
      </w:r>
      <w:r w:rsidR="008F718E" w:rsidRPr="002A2450">
        <w:rPr>
          <w:rFonts w:ascii="ITC Avant Garde" w:hAnsi="ITC Avant Garde"/>
          <w:color w:val="C00000"/>
        </w:rPr>
        <w:t xml:space="preserve"> </w:t>
      </w:r>
      <w:r w:rsidRPr="002A2450">
        <w:rPr>
          <w:rFonts w:ascii="ITC Avant Garde" w:hAnsi="ITC Avant Garde"/>
        </w:rPr>
        <w:t>para la prestación del servicio es un elemento básico que determina las acciones futuras de una empresa, por lo que es innegable que al reunirse las empresas para el intercambio de información y determinar los eventos que han de realizarse, implica una</w:t>
      </w:r>
      <w:r w:rsidR="008F718E" w:rsidRPr="002A2450">
        <w:rPr>
          <w:rFonts w:ascii="ITC Avant Garde" w:hAnsi="ITC Avant Garde"/>
          <w:color w:val="C00000"/>
        </w:rPr>
        <w:t xml:space="preserve"> </w:t>
      </w:r>
      <w:r w:rsidR="00671C23" w:rsidRPr="002A2450">
        <w:rPr>
          <w:rFonts w:ascii="ITC Avant Garde" w:hAnsi="ITC Avant Garde"/>
        </w:rPr>
        <w:t xml:space="preserve">toma de decisiones en forma conjunta, que de no existir tal injerencia </w:t>
      </w:r>
      <w:r w:rsidR="00671C23" w:rsidRPr="002A2450">
        <w:rPr>
          <w:rFonts w:ascii="ITC Avant Garde" w:hAnsi="ITC Avant Garde"/>
          <w:b/>
        </w:rPr>
        <w:t xml:space="preserve">“COFRESA” </w:t>
      </w:r>
      <w:r w:rsidR="00671C23" w:rsidRPr="002A2450">
        <w:rPr>
          <w:rFonts w:ascii="ITC Avant Garde" w:hAnsi="ITC Avant Garde"/>
        </w:rPr>
        <w:t xml:space="preserve">las </w:t>
      </w:r>
      <w:r w:rsidRPr="002A2450">
        <w:rPr>
          <w:rFonts w:ascii="ITC Avant Garde" w:hAnsi="ITC Avant Garde"/>
        </w:rPr>
        <w:t>pudiera tomar de manera unilateral, situación que en el presente asunto no ocurre así sino que por el contrario, las acciones son tomadas previo acuerdo entre entes que aparentemente son independientes pero coaligados a par</w:t>
      </w:r>
      <w:r w:rsidR="00671C23" w:rsidRPr="002A2450">
        <w:rPr>
          <w:rFonts w:ascii="ITC Avant Garde" w:hAnsi="ITC Avant Garde"/>
        </w:rPr>
        <w:t>tir de los contratos celebrados, dan cuenta de esa decisión de las partes contratantes para optar decisiones en cuanto a la conducción del negocio de manera colegiada, atendiendo a los intereses de ambas.</w:t>
      </w:r>
    </w:p>
    <w:p w14:paraId="7D88F23E" w14:textId="77777777" w:rsidR="00B35F13" w:rsidRDefault="002C6A21" w:rsidP="00B35F13">
      <w:pPr>
        <w:spacing w:before="240" w:line="360" w:lineRule="auto"/>
        <w:jc w:val="both"/>
        <w:rPr>
          <w:rFonts w:ascii="ITC Avant Garde" w:hAnsi="ITC Avant Garde"/>
        </w:rPr>
      </w:pPr>
      <w:r w:rsidRPr="002A2450">
        <w:rPr>
          <w:rFonts w:ascii="ITC Avant Garde" w:hAnsi="ITC Avant Garde"/>
        </w:rPr>
        <w:lastRenderedPageBreak/>
        <w:t xml:space="preserve">Por tanto, las manifestaciones de </w:t>
      </w:r>
      <w:r w:rsidRPr="002A2450">
        <w:rPr>
          <w:rFonts w:ascii="ITC Avant Garde" w:hAnsi="ITC Avant Garde"/>
          <w:b/>
        </w:rPr>
        <w:t>“TELMEX”</w:t>
      </w:r>
      <w:r w:rsidRPr="002A2450">
        <w:rPr>
          <w:rFonts w:ascii="ITC Avant Garde" w:hAnsi="ITC Avant Garde"/>
        </w:rPr>
        <w:t xml:space="preserve"> resultan insuficientes para desvirtuar la materia del presente procedimiento, máxime que tampoco </w:t>
      </w:r>
      <w:r w:rsidRPr="009E34A4">
        <w:rPr>
          <w:rFonts w:ascii="ITC Avant Garde" w:hAnsi="ITC Avant Garde"/>
        </w:rPr>
        <w:t>acredita</w:t>
      </w:r>
      <w:r w:rsidRPr="002A2450">
        <w:rPr>
          <w:rFonts w:ascii="ITC Avant Garde" w:hAnsi="ITC Avant Garde"/>
        </w:rPr>
        <w:t xml:space="preserve"> que en tales reuniones se hubiesen tratado temas </w:t>
      </w:r>
      <w:r w:rsidR="00EB0D05">
        <w:rPr>
          <w:rFonts w:ascii="ITC Avant Garde" w:hAnsi="ITC Avant Garde"/>
        </w:rPr>
        <w:t xml:space="preserve">distintos a </w:t>
      </w:r>
      <w:r w:rsidRPr="002A2450">
        <w:rPr>
          <w:rFonts w:ascii="ITC Avant Garde" w:hAnsi="ITC Avant Garde"/>
        </w:rPr>
        <w:t xml:space="preserve"> la operación de los contratos celebrados, cuando de las constancias se advierte precisamente que eran otros los objetivos la operación de los mismos.</w:t>
      </w:r>
    </w:p>
    <w:p w14:paraId="7BE62472" w14:textId="77777777" w:rsidR="00B35F13" w:rsidRDefault="00E03298" w:rsidP="00B35F13">
      <w:pPr>
        <w:spacing w:before="240" w:line="360" w:lineRule="auto"/>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“TELMEX”</w:t>
      </w:r>
      <w:r w:rsidRPr="002A2450">
        <w:rPr>
          <w:rFonts w:ascii="ITC Avant Garde" w:hAnsi="ITC Avant Garde"/>
        </w:rPr>
        <w:t xml:space="preserve"> lo siguiente:</w:t>
      </w:r>
    </w:p>
    <w:p w14:paraId="7A1171B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propia Corte ha resuelto que para hablar de una dirección económica unitaria requiere de la intrusión de tal magnitud en la empresa controlada que de facto, se</w:t>
      </w:r>
      <w:r w:rsidR="008C068B" w:rsidRPr="002A2450">
        <w:rPr>
          <w:rFonts w:ascii="ITC Avant Garde" w:hAnsi="ITC Avant Garde"/>
          <w:i/>
        </w:rPr>
        <w:t>a</w:t>
      </w:r>
      <w:r w:rsidRPr="002A2450">
        <w:rPr>
          <w:rFonts w:ascii="ITC Avant Garde" w:hAnsi="ITC Avant Garde"/>
          <w:i/>
        </w:rPr>
        <w:t xml:space="preserve"> la controladora la que administre.</w:t>
      </w:r>
    </w:p>
    <w:p w14:paraId="0B6E1C9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Los mecanismos de comunicación en los contratos no ceden la administración de </w:t>
      </w:r>
      <w:proofErr w:type="spellStart"/>
      <w:r w:rsidRPr="002A2450">
        <w:rPr>
          <w:rFonts w:ascii="ITC Avant Garde" w:hAnsi="ITC Avant Garde"/>
          <w:i/>
        </w:rPr>
        <w:t>Dish</w:t>
      </w:r>
      <w:proofErr w:type="spellEnd"/>
      <w:r w:rsidRPr="002A2450">
        <w:rPr>
          <w:rFonts w:ascii="ITC Avant Garde" w:hAnsi="ITC Avant Garde"/>
          <w:i/>
        </w:rPr>
        <w:t xml:space="preserve"> México a </w:t>
      </w:r>
      <w:r w:rsidR="005B601B" w:rsidRPr="002A2450">
        <w:rPr>
          <w:rFonts w:ascii="ITC Avant Garde" w:hAnsi="ITC Avant Garde"/>
          <w:b/>
          <w:i/>
        </w:rPr>
        <w:t>“TELMEX”</w:t>
      </w:r>
      <w:r w:rsidRPr="002A2450">
        <w:rPr>
          <w:rFonts w:ascii="ITC Avant Garde" w:hAnsi="ITC Avant Garde"/>
          <w:i/>
        </w:rPr>
        <w:t>. El Instituto infiere de dichas reuniones que se permitió el intercambio de información así como llegar a acuerdos.</w:t>
      </w:r>
    </w:p>
    <w:p w14:paraId="0521666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Ahora bien, los mecanismos de comunicación previstos no son más que eso, mecanismos de comunicación que la Unidad de Cumplimiento quiere hacer aparecer como un mecanismo simulado de ejercicio de control cuando no lo son.</w:t>
      </w:r>
    </w:p>
    <w:p w14:paraId="085D206C"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está obligada a probar hechos negativos como que no controla ese activo, </w:t>
      </w:r>
      <w:r w:rsidRPr="002A2450">
        <w:rPr>
          <w:rFonts w:ascii="ITC Avant Garde" w:hAnsi="ITC Avant Garde"/>
          <w:b/>
          <w:i/>
        </w:rPr>
        <w:t>“TELMEX”</w:t>
      </w:r>
      <w:r w:rsidR="00831D47" w:rsidRPr="002A2450">
        <w:rPr>
          <w:rFonts w:ascii="ITC Avant Garde" w:hAnsi="ITC Avant Garde"/>
          <w:i/>
        </w:rPr>
        <w:t xml:space="preserve"> destaca que esta clase de reuniones, en contratos de largo plazo y tracto sucesivo, como lo son contratos operativos, las partes no pueden prever todas y cada una de las consecuencias, por lo que es natural que las partes establezcan mecanismos de información para suplir nuevos eventos y ajustarse a las nuevas circunstancias no previstas en los contratos.</w:t>
      </w:r>
    </w:p>
    <w:p w14:paraId="6F2CDA9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Mantener comunicación y reuniones, es un mecanismo común para el seguimiento a los contratos de tracto sucesivo, considerando que no es </w:t>
      </w:r>
      <w:r w:rsidRPr="002A2450">
        <w:rPr>
          <w:rFonts w:ascii="ITC Avant Garde" w:hAnsi="ITC Avant Garde"/>
          <w:i/>
        </w:rPr>
        <w:lastRenderedPageBreak/>
        <w:t>viable prever todas las situaciones que puedan surgir en esta clase de contratos.</w:t>
      </w:r>
    </w:p>
    <w:p w14:paraId="3E856B2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Ahora bien, el Instituto refiere a mecanismos de intervención cuando lo plasmado en esas reuniones más que notas de los discutido no producen derechos no obligaciones, no hay una consecuencia para su incumplimiento.</w:t>
      </w:r>
    </w:p>
    <w:p w14:paraId="5018E42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Como se lee al rubro “TEMAS” en todas las reuniones el objeto se limitó a revisión de actividades operativas y administrativas derivadas de los contratos de arrendamientos de cajas, distribución y comisión de ventas y contrato de cobranza.</w:t>
      </w:r>
    </w:p>
    <w:p w14:paraId="1B197EC0"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participación de los temas en las reuniones ni siquiera se llegó a conclusiones respecto a la administración de la concesión otorgada a </w:t>
      </w:r>
      <w:proofErr w:type="spellStart"/>
      <w:r w:rsidRPr="002A2450">
        <w:rPr>
          <w:rFonts w:ascii="ITC Avant Garde" w:hAnsi="ITC Avant Garde"/>
          <w:i/>
        </w:rPr>
        <w:t>Cofresa</w:t>
      </w:r>
      <w:proofErr w:type="spellEnd"/>
      <w:r w:rsidRPr="002A2450">
        <w:rPr>
          <w:rFonts w:ascii="ITC Avant Garde" w:hAnsi="ITC Avant Garde"/>
          <w:i/>
        </w:rPr>
        <w:t>. No se tomaron decisiones respecto a acciones específicas en los rubros discutidos y más aún ninguno se refiere a una estrategia específica de negocio a seguir.</w:t>
      </w:r>
    </w:p>
    <w:p w14:paraId="3C8B0137"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el contrario, los temas referidos son temas básicos de seguimiento respecto a la viabilidad de la empresa y su capacidad financiera. Además, recordemos que en 2008 </w:t>
      </w:r>
      <w:r w:rsidR="005B601B" w:rsidRPr="002A2450">
        <w:rPr>
          <w:rFonts w:ascii="ITC Avant Garde" w:hAnsi="ITC Avant Garde"/>
          <w:b/>
          <w:i/>
        </w:rPr>
        <w:t>“TELMEX”</w:t>
      </w:r>
      <w:r w:rsidRPr="002A2450">
        <w:rPr>
          <w:rFonts w:ascii="ITC Avant Garde" w:hAnsi="ITC Avant Garde"/>
          <w:i/>
        </w:rPr>
        <w:t xml:space="preserve"> era una sociedad anónima bursátil por lo que le era aplicable la Ley del Mercado de Valores que impone al Consejo de Administración y a los directivos relevantes el deber fiduciario de actuar con diligencia y en el mejor interés en la sociedad.</w:t>
      </w:r>
    </w:p>
    <w:p w14:paraId="55FAB958" w14:textId="77777777" w:rsidR="00032A33" w:rsidRDefault="00831D47" w:rsidP="00B35F13">
      <w:pPr>
        <w:spacing w:before="240" w:line="360" w:lineRule="auto"/>
        <w:ind w:left="567" w:right="567"/>
        <w:jc w:val="both"/>
        <w:rPr>
          <w:rFonts w:ascii="ITC Avant Garde" w:hAnsi="ITC Avant Garde"/>
          <w:i/>
        </w:rPr>
        <w:sectPr w:rsidR="00032A33" w:rsidSect="009F3771">
          <w:headerReference w:type="default" r:id="rId42"/>
          <w:pgSz w:w="12240" w:h="15840"/>
          <w:pgMar w:top="1985" w:right="1701" w:bottom="1418" w:left="1701" w:header="709" w:footer="709" w:gutter="0"/>
          <w:cols w:space="708"/>
          <w:docGrid w:linePitch="360"/>
        </w:sectPr>
      </w:pPr>
      <w:r w:rsidRPr="002A2450">
        <w:rPr>
          <w:rFonts w:ascii="ITC Avant Garde" w:hAnsi="ITC Avant Garde"/>
          <w:i/>
        </w:rPr>
        <w:t xml:space="preserve">Por tanto, no sería un comportamiento diligente observar cuando un cliente representa un riesgo de crédito para reducir costos. El Código de Mejores Prácticas Corporativas y en los deberes impuestos por la Ley de Mercado de Valores, es un deber de los consejeros y funcionarios de </w:t>
      </w:r>
      <w:r w:rsidR="005B601B" w:rsidRPr="002A2450">
        <w:rPr>
          <w:rFonts w:ascii="ITC Avant Garde" w:hAnsi="ITC Avant Garde"/>
          <w:b/>
          <w:i/>
        </w:rPr>
        <w:t>“TELMEX”</w:t>
      </w:r>
      <w:r w:rsidRPr="002A2450">
        <w:rPr>
          <w:rFonts w:ascii="ITC Avant Garde" w:hAnsi="ITC Avant Garde"/>
          <w:i/>
        </w:rPr>
        <w:t xml:space="preserve"> monitorear riesgos de crédito e inversiones.</w:t>
      </w:r>
    </w:p>
    <w:p w14:paraId="4F0C3B93" w14:textId="77777777" w:rsidR="00B35F13" w:rsidRDefault="00B63A27" w:rsidP="00B35F13">
      <w:pPr>
        <w:spacing w:before="240" w:line="360" w:lineRule="auto"/>
        <w:jc w:val="both"/>
        <w:rPr>
          <w:rFonts w:ascii="ITC Avant Garde" w:hAnsi="ITC Avant Garde"/>
        </w:rPr>
      </w:pPr>
      <w:r w:rsidRPr="002A2450">
        <w:rPr>
          <w:rFonts w:ascii="ITC Avant Garde" w:hAnsi="ITC Avant Garde"/>
        </w:rPr>
        <w:lastRenderedPageBreak/>
        <w:t xml:space="preserve">Dichos argumentos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42C9BB41" w14:textId="77777777" w:rsidR="00B35F13" w:rsidRDefault="00B63A27" w:rsidP="00B35F13">
      <w:pPr>
        <w:spacing w:before="240" w:line="360" w:lineRule="auto"/>
        <w:jc w:val="both"/>
        <w:rPr>
          <w:rFonts w:ascii="ITC Avant Garde" w:hAnsi="ITC Avant Garde"/>
        </w:rPr>
      </w:pPr>
      <w:r w:rsidRPr="002A2450">
        <w:rPr>
          <w:rFonts w:ascii="ITC Avant Garde" w:hAnsi="ITC Avant Garde"/>
        </w:rPr>
        <w:t>Esta autoridad no desconoce los criterios que en derecho de competencia ha emitido la Suprema Corte de Justicia de la Nación, dónde efectivamente, como se ha señalado en la presente resolución el control y la influencia decisiva son elementos propios de la materia al estudiarse una concentración.</w:t>
      </w:r>
    </w:p>
    <w:p w14:paraId="30B44760" w14:textId="77777777" w:rsidR="00B35F13" w:rsidRDefault="00B63A27" w:rsidP="00B35F13">
      <w:pPr>
        <w:spacing w:before="240" w:line="360" w:lineRule="auto"/>
        <w:jc w:val="both"/>
        <w:rPr>
          <w:rFonts w:ascii="ITC Avant Garde" w:hAnsi="ITC Avant Garde"/>
        </w:rPr>
      </w:pPr>
      <w:r w:rsidRPr="002A2450">
        <w:rPr>
          <w:rFonts w:ascii="ITC Avant Garde" w:hAnsi="ITC Avant Garde"/>
        </w:rPr>
        <w:t xml:space="preserve">Sin embargo, </w:t>
      </w:r>
      <w:r w:rsidR="00671C23" w:rsidRPr="002A2450">
        <w:rPr>
          <w:rFonts w:ascii="ITC Avant Garde" w:hAnsi="ITC Avant Garde"/>
        </w:rPr>
        <w:t xml:space="preserve">vale la pena apuntar que en </w:t>
      </w:r>
      <w:r w:rsidRPr="002A2450">
        <w:rPr>
          <w:rFonts w:ascii="ITC Avant Garde" w:hAnsi="ITC Avant Garde"/>
        </w:rPr>
        <w:t xml:space="preserve">el presente asunto se inició considerando que los contratos celebrados por </w:t>
      </w:r>
      <w:r w:rsidRPr="002A2450">
        <w:rPr>
          <w:rFonts w:ascii="ITC Avant Garde" w:hAnsi="ITC Avant Garde"/>
          <w:b/>
        </w:rPr>
        <w:t>“TELMEX”</w:t>
      </w:r>
      <w:r w:rsidRPr="002A2450">
        <w:rPr>
          <w:rFonts w:ascii="ITC Avant Garde" w:hAnsi="ITC Avant Garde"/>
        </w:rPr>
        <w:t xml:space="preserve"> </w:t>
      </w:r>
      <w:r w:rsidR="00671C23" w:rsidRPr="002A2450">
        <w:rPr>
          <w:rFonts w:ascii="ITC Avant Garde" w:hAnsi="ITC Avant Garde"/>
        </w:rPr>
        <w:t xml:space="preserve">que </w:t>
      </w:r>
      <w:r w:rsidRPr="002A2450">
        <w:rPr>
          <w:rFonts w:ascii="ITC Avant Garde" w:hAnsi="ITC Avant Garde"/>
        </w:rPr>
        <w:t xml:space="preserve">en su conjunto le permitieron </w:t>
      </w:r>
      <w:r w:rsidR="00671C23" w:rsidRPr="002A2450">
        <w:rPr>
          <w:rFonts w:ascii="ITC Avant Garde" w:hAnsi="ITC Avant Garde"/>
        </w:rPr>
        <w:t xml:space="preserve">tener injerencia en </w:t>
      </w:r>
      <w:r w:rsidRPr="002A2450">
        <w:rPr>
          <w:rFonts w:ascii="ITC Avant Garde" w:hAnsi="ITC Avant Garde"/>
        </w:rPr>
        <w:t xml:space="preserve">la operación del sistema </w:t>
      </w:r>
      <w:r w:rsidRPr="002A2450">
        <w:rPr>
          <w:rFonts w:ascii="ITC Avant Garde" w:hAnsi="ITC Avant Garde"/>
          <w:b/>
        </w:rPr>
        <w:t>“DISH”</w:t>
      </w:r>
      <w:r w:rsidRPr="002A2450">
        <w:rPr>
          <w:rFonts w:ascii="ITC Avant Garde" w:hAnsi="ITC Avant Garde"/>
        </w:rPr>
        <w:t xml:space="preserve"> y con ello explotar indirectamente una concesión de servicios </w:t>
      </w:r>
      <w:r w:rsidR="00671C23" w:rsidRPr="002A2450">
        <w:rPr>
          <w:rFonts w:ascii="ITC Avant Garde" w:hAnsi="ITC Avant Garde"/>
        </w:rPr>
        <w:t xml:space="preserve">de televisión </w:t>
      </w:r>
      <w:r w:rsidRPr="002A2450">
        <w:rPr>
          <w:rFonts w:ascii="ITC Avant Garde" w:hAnsi="ITC Avant Garde"/>
        </w:rPr>
        <w:t>al público en el país.</w:t>
      </w:r>
    </w:p>
    <w:p w14:paraId="4BAA0325" w14:textId="77777777" w:rsidR="00B35F13" w:rsidRDefault="00B63A27" w:rsidP="00B35F13">
      <w:pPr>
        <w:spacing w:before="240" w:line="360" w:lineRule="auto"/>
        <w:jc w:val="both"/>
        <w:rPr>
          <w:rFonts w:ascii="ITC Avant Garde" w:hAnsi="ITC Avant Garde"/>
        </w:rPr>
      </w:pPr>
      <w:r w:rsidRPr="002A2450">
        <w:rPr>
          <w:rFonts w:ascii="ITC Avant Garde" w:hAnsi="ITC Avant Garde"/>
        </w:rPr>
        <w:t xml:space="preserve">Por tanto, en nada beneficia a </w:t>
      </w:r>
      <w:r w:rsidRPr="002A2450">
        <w:rPr>
          <w:rFonts w:ascii="ITC Avant Garde" w:hAnsi="ITC Avant Garde"/>
          <w:b/>
        </w:rPr>
        <w:t xml:space="preserve">“TELMEX” </w:t>
      </w:r>
      <w:r w:rsidRPr="002A2450">
        <w:rPr>
          <w:rFonts w:ascii="ITC Avant Garde" w:hAnsi="ITC Avant Garde"/>
        </w:rPr>
        <w:t>hablar de una dirección económica como lo ha resuelto la Suprema</w:t>
      </w:r>
      <w:r w:rsidR="003A682F" w:rsidRPr="002A2450">
        <w:rPr>
          <w:rFonts w:ascii="ITC Avant Garde" w:hAnsi="ITC Avant Garde"/>
        </w:rPr>
        <w:t xml:space="preserve"> Corte de Justicia de la Nación al no resultar aplicable en el presente asunto.</w:t>
      </w:r>
    </w:p>
    <w:p w14:paraId="58CD616B" w14:textId="3ABB64C9" w:rsidR="00B35F13" w:rsidRDefault="00B63A27" w:rsidP="00B35F13">
      <w:pPr>
        <w:spacing w:before="240" w:line="360" w:lineRule="auto"/>
        <w:jc w:val="both"/>
        <w:rPr>
          <w:rFonts w:ascii="ITC Avant Garde" w:hAnsi="ITC Avant Garde"/>
        </w:rPr>
      </w:pPr>
      <w:r w:rsidRPr="002A2450">
        <w:rPr>
          <w:rFonts w:ascii="ITC Avant Garde" w:hAnsi="ITC Avant Garde"/>
        </w:rPr>
        <w:t xml:space="preserve">Ahora bien, es innegable que las reuniones de trabajo sustentadas en el presente apartado, tuvieron por objeto intercambiar información de la operación del sistema </w:t>
      </w:r>
      <w:r w:rsidRPr="002A2450">
        <w:rPr>
          <w:rFonts w:ascii="ITC Avant Garde" w:hAnsi="ITC Avant Garde"/>
          <w:b/>
        </w:rPr>
        <w:t>“DISH”</w:t>
      </w:r>
      <w:r w:rsidRPr="002A2450">
        <w:rPr>
          <w:rFonts w:ascii="ITC Avant Garde" w:hAnsi="ITC Avant Garde"/>
        </w:rPr>
        <w:t xml:space="preserve"> puesto que en dichas minutas </w:t>
      </w:r>
      <w:r w:rsidR="00834D4F" w:rsidRPr="002A2450">
        <w:rPr>
          <w:rFonts w:ascii="ITC Avant Garde" w:hAnsi="ITC Avant Garde"/>
        </w:rPr>
        <w:t xml:space="preserve">y/o actas de trabajo </w:t>
      </w:r>
      <w:r w:rsidR="003A682F" w:rsidRPr="002A2450">
        <w:rPr>
          <w:rFonts w:ascii="ITC Avant Garde" w:hAnsi="ITC Avant Garde"/>
        </w:rPr>
        <w:t xml:space="preserve">se revelan </w:t>
      </w:r>
      <w:r w:rsidR="00834D4F" w:rsidRPr="002A2450">
        <w:rPr>
          <w:rFonts w:ascii="ITC Avant Garde" w:hAnsi="ITC Avant Garde"/>
        </w:rPr>
        <w:t xml:space="preserve">temas </w:t>
      </w:r>
      <w:r w:rsidR="002A3570" w:rsidRPr="002A2450">
        <w:rPr>
          <w:rFonts w:ascii="ITC Avant Garde" w:hAnsi="ITC Avant Garde"/>
        </w:rPr>
        <w:t xml:space="preserve">relevantes para </w:t>
      </w:r>
      <w:r w:rsidR="00834D4F" w:rsidRPr="002A2450">
        <w:rPr>
          <w:rFonts w:ascii="ITC Avant Garde" w:hAnsi="ITC Avant Garde"/>
        </w:rPr>
        <w:t>la operación del servicio.</w:t>
      </w:r>
    </w:p>
    <w:p w14:paraId="778BF53A" w14:textId="77777777" w:rsidR="00B35F13" w:rsidRDefault="00834D4F" w:rsidP="00B35F13">
      <w:pPr>
        <w:spacing w:before="240" w:line="360" w:lineRule="auto"/>
        <w:jc w:val="both"/>
        <w:rPr>
          <w:rFonts w:ascii="ITC Avant Garde" w:hAnsi="ITC Avant Garde"/>
        </w:rPr>
      </w:pPr>
      <w:r w:rsidRPr="002A2450">
        <w:rPr>
          <w:rFonts w:ascii="ITC Avant Garde" w:hAnsi="ITC Avant Garde"/>
        </w:rPr>
        <w:t xml:space="preserve">Al respecto, el veinticuatro de septiembre y veintiséis de noviembre de dos mil trece </w:t>
      </w:r>
      <w:proofErr w:type="gramStart"/>
      <w:r w:rsidRPr="002A2450">
        <w:rPr>
          <w:rFonts w:ascii="ITC Avant Garde" w:hAnsi="ITC Avant Garde"/>
        </w:rPr>
        <w:t>y</w:t>
      </w:r>
      <w:proofErr w:type="gramEnd"/>
      <w:r w:rsidRPr="002A2450">
        <w:rPr>
          <w:rFonts w:ascii="ITC Avant Garde" w:hAnsi="ITC Avant Garde"/>
        </w:rPr>
        <w:t xml:space="preserve"> catorce de enero y veinticinco de febrero de dos mil catorce</w:t>
      </w:r>
      <w:r w:rsidR="003A682F" w:rsidRPr="002A2450">
        <w:rPr>
          <w:rFonts w:ascii="ITC Avant Garde" w:hAnsi="ITC Avant Garde"/>
        </w:rPr>
        <w:t xml:space="preserve"> las minutas y/o actas de trabajo señalan lo siguiente:</w:t>
      </w:r>
    </w:p>
    <w:p w14:paraId="226282E0" w14:textId="77777777" w:rsidR="00B35F13" w:rsidRDefault="002A3570" w:rsidP="00B35F13">
      <w:pPr>
        <w:spacing w:before="240" w:line="360" w:lineRule="auto"/>
        <w:jc w:val="both"/>
        <w:rPr>
          <w:rFonts w:ascii="ITC Avant Garde" w:hAnsi="ITC Avant Garde"/>
        </w:rPr>
      </w:pPr>
      <w:r w:rsidRPr="002A2450">
        <w:rPr>
          <w:rFonts w:ascii="ITC Avant Garde" w:hAnsi="ITC Avant Garde"/>
        </w:rPr>
        <w:t>Minuta y/o acta de trabajo de veinticuatro de septiembre de dos mil trece:</w:t>
      </w:r>
    </w:p>
    <w:p w14:paraId="1457357A" w14:textId="6FF73F3D" w:rsidR="00B35F13" w:rsidRPr="0047339C" w:rsidRDefault="005B0590" w:rsidP="0017636B">
      <w:pPr>
        <w:spacing w:before="240" w:line="360" w:lineRule="auto"/>
        <w:ind w:lef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w:t>
      </w:r>
      <w:r w:rsidR="005F1A23" w:rsidRPr="0047339C">
        <w:rPr>
          <w:rFonts w:ascii="ITC Avant Garde" w:eastAsiaTheme="majorEastAsia" w:hAnsi="ITC Avant Garde" w:cstheme="majorBidi"/>
          <w:b/>
          <w:color w:val="0000FF"/>
          <w:szCs w:val="32"/>
        </w:rPr>
        <w:t>CONFIDENCIAL POR LEY”</w:t>
      </w:r>
    </w:p>
    <w:p w14:paraId="75E8FD07" w14:textId="77777777" w:rsidR="00B35F13" w:rsidRDefault="002A3570" w:rsidP="00B35F13">
      <w:pPr>
        <w:spacing w:before="240" w:line="360" w:lineRule="auto"/>
        <w:jc w:val="both"/>
        <w:rPr>
          <w:rFonts w:ascii="ITC Avant Garde" w:hAnsi="ITC Avant Garde"/>
        </w:rPr>
      </w:pPr>
      <w:r w:rsidRPr="002A2450">
        <w:rPr>
          <w:rFonts w:ascii="ITC Avant Garde" w:hAnsi="ITC Avant Garde"/>
        </w:rPr>
        <w:t xml:space="preserve">Minuta y/o acta de trabajo de </w:t>
      </w:r>
      <w:r w:rsidR="00B579DC" w:rsidRPr="002A2450">
        <w:rPr>
          <w:rFonts w:ascii="ITC Avant Garde" w:hAnsi="ITC Avant Garde"/>
        </w:rPr>
        <w:t xml:space="preserve">veintiséis de noviembre </w:t>
      </w:r>
      <w:r w:rsidRPr="002A2450">
        <w:rPr>
          <w:rFonts w:ascii="ITC Avant Garde" w:hAnsi="ITC Avant Garde"/>
        </w:rPr>
        <w:t>de dos mil trece:</w:t>
      </w:r>
    </w:p>
    <w:p w14:paraId="5B6518EE" w14:textId="4DCD77A4" w:rsidR="00B35F13" w:rsidRPr="0047339C" w:rsidRDefault="005F1A23" w:rsidP="0017636B">
      <w:pPr>
        <w:spacing w:before="240" w:line="360" w:lineRule="auto"/>
        <w:ind w:lef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7EAFAD63" w14:textId="77777777" w:rsidR="00B35F13" w:rsidRDefault="00DD10D3" w:rsidP="00B35F13">
      <w:pPr>
        <w:spacing w:before="240" w:line="360" w:lineRule="auto"/>
        <w:jc w:val="both"/>
        <w:rPr>
          <w:rFonts w:ascii="ITC Avant Garde" w:hAnsi="ITC Avant Garde"/>
        </w:rPr>
      </w:pPr>
      <w:r w:rsidRPr="002A2450">
        <w:rPr>
          <w:rFonts w:ascii="ITC Avant Garde" w:hAnsi="ITC Avant Garde"/>
        </w:rPr>
        <w:lastRenderedPageBreak/>
        <w:t>Minuta y/o acta de trabajo de catorce de enero de dos mil catorce:</w:t>
      </w:r>
    </w:p>
    <w:p w14:paraId="54A72A44" w14:textId="70AE83C0" w:rsidR="00B35F13" w:rsidRPr="0047339C" w:rsidRDefault="005F1A23" w:rsidP="00B35F13">
      <w:pPr>
        <w:spacing w:before="240" w:line="360" w:lineRule="auto"/>
        <w:ind w:lef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153B624D" w14:textId="77777777" w:rsidR="00B35F13" w:rsidRDefault="0016061B" w:rsidP="00B35F13">
      <w:pPr>
        <w:spacing w:before="240" w:line="360" w:lineRule="auto"/>
        <w:jc w:val="both"/>
        <w:rPr>
          <w:rFonts w:ascii="ITC Avant Garde" w:hAnsi="ITC Avant Garde"/>
        </w:rPr>
      </w:pPr>
      <w:r w:rsidRPr="002A2450">
        <w:rPr>
          <w:rFonts w:ascii="ITC Avant Garde" w:hAnsi="ITC Avant Garde"/>
        </w:rPr>
        <w:t>Minuta y/o acta de trabajo de veinticinco de febrero de dos mil catorce:</w:t>
      </w:r>
    </w:p>
    <w:p w14:paraId="2D81021D" w14:textId="2DA88FD5" w:rsidR="00B35F13" w:rsidRPr="0047339C" w:rsidRDefault="005F1A23" w:rsidP="0017636B">
      <w:pPr>
        <w:spacing w:before="240" w:line="360" w:lineRule="auto"/>
        <w:ind w:lef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72F5A2C7" w14:textId="77777777" w:rsidR="00B35F13" w:rsidRDefault="00B555A4" w:rsidP="00B35F13">
      <w:pPr>
        <w:spacing w:before="240" w:line="360" w:lineRule="auto"/>
        <w:jc w:val="both"/>
        <w:rPr>
          <w:rFonts w:ascii="ITC Avant Garde" w:hAnsi="ITC Avant Garde"/>
        </w:rPr>
      </w:pPr>
      <w:r w:rsidRPr="002A2450">
        <w:rPr>
          <w:rFonts w:ascii="ITC Avant Garde" w:hAnsi="ITC Avant Garde"/>
        </w:rPr>
        <w:t xml:space="preserve">Con base en lo anterior, se puede determinar que si existen elementos que permitieron intercambio de información respecto de la operación de </w:t>
      </w:r>
      <w:r w:rsidRPr="002A2450">
        <w:rPr>
          <w:rFonts w:ascii="ITC Avant Garde" w:hAnsi="ITC Avant Garde"/>
          <w:b/>
        </w:rPr>
        <w:t>“DISH”</w:t>
      </w:r>
      <w:r w:rsidRPr="002A2450">
        <w:rPr>
          <w:rFonts w:ascii="ITC Avant Garde" w:hAnsi="ITC Avant Garde"/>
        </w:rPr>
        <w:t xml:space="preserve"> como lo son los siguientes temas:</w:t>
      </w:r>
    </w:p>
    <w:p w14:paraId="4F16ACE2" w14:textId="38AE7046" w:rsidR="00B35F13" w:rsidRPr="0047339C" w:rsidRDefault="005F1A23" w:rsidP="0047339C">
      <w:pPr>
        <w:spacing w:before="240" w:line="360" w:lineRule="auto"/>
        <w:ind w:lef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176C7013" w14:textId="77777777" w:rsidR="00B35F13" w:rsidRDefault="009F4A41" w:rsidP="00B35F13">
      <w:pPr>
        <w:spacing w:before="240" w:line="360" w:lineRule="auto"/>
        <w:jc w:val="both"/>
        <w:rPr>
          <w:rFonts w:ascii="ITC Avant Garde" w:hAnsi="ITC Avant Garde"/>
        </w:rPr>
      </w:pPr>
      <w:r w:rsidRPr="002A2450">
        <w:rPr>
          <w:rFonts w:ascii="ITC Avant Garde" w:hAnsi="ITC Avant Garde"/>
        </w:rPr>
        <w:t xml:space="preserve">Los temas antes señalados, sin duda revelan la coordinación entre </w:t>
      </w:r>
      <w:r w:rsidRPr="002A2450">
        <w:rPr>
          <w:rFonts w:ascii="ITC Avant Garde" w:hAnsi="ITC Avant Garde"/>
          <w:b/>
        </w:rPr>
        <w:t>“DISH MÉXICO”</w:t>
      </w:r>
      <w:r w:rsidRPr="002A2450">
        <w:rPr>
          <w:rFonts w:ascii="ITC Avant Garde" w:hAnsi="ITC Avant Garde"/>
        </w:rPr>
        <w:t xml:space="preserve"> y </w:t>
      </w:r>
      <w:r w:rsidRPr="002A2450">
        <w:rPr>
          <w:rFonts w:ascii="ITC Avant Garde" w:hAnsi="ITC Avant Garde"/>
          <w:b/>
        </w:rPr>
        <w:t>“TELMEX”</w:t>
      </w:r>
      <w:r w:rsidRPr="002A2450">
        <w:rPr>
          <w:rFonts w:ascii="ITC Avant Garde" w:hAnsi="ITC Avant Garde"/>
        </w:rPr>
        <w:t xml:space="preserve"> para lograr </w:t>
      </w:r>
      <w:proofErr w:type="spellStart"/>
      <w:r w:rsidR="002F5C77" w:rsidRPr="002A2450">
        <w:rPr>
          <w:rFonts w:ascii="ITC Avant Garde" w:hAnsi="ITC Avant Garde"/>
        </w:rPr>
        <w:t>eficientar</w:t>
      </w:r>
      <w:proofErr w:type="spellEnd"/>
      <w:r w:rsidR="002F5C77" w:rsidRPr="002A2450">
        <w:rPr>
          <w:rFonts w:ascii="ITC Avant Garde" w:hAnsi="ITC Avant Garde"/>
        </w:rPr>
        <w:t xml:space="preserve"> </w:t>
      </w:r>
      <w:r w:rsidRPr="002A2450">
        <w:rPr>
          <w:rFonts w:ascii="ITC Avant Garde" w:hAnsi="ITC Avant Garde"/>
        </w:rPr>
        <w:t xml:space="preserve">la operación de </w:t>
      </w:r>
      <w:r w:rsidRPr="002A2450">
        <w:rPr>
          <w:rFonts w:ascii="ITC Avant Garde" w:hAnsi="ITC Avant Garde"/>
          <w:b/>
        </w:rPr>
        <w:t>“DISH”</w:t>
      </w:r>
      <w:r w:rsidRPr="002A2450">
        <w:rPr>
          <w:rFonts w:ascii="ITC Avant Garde" w:hAnsi="ITC Avant Garde"/>
        </w:rPr>
        <w:t xml:space="preserve"> y con ello el intercambio de información para su ejercicio.</w:t>
      </w:r>
    </w:p>
    <w:p w14:paraId="4314F320" w14:textId="77777777" w:rsidR="00B35F13" w:rsidRDefault="009F4A41" w:rsidP="00B35F13">
      <w:pPr>
        <w:spacing w:before="240" w:line="360" w:lineRule="auto"/>
        <w:jc w:val="both"/>
        <w:rPr>
          <w:rFonts w:ascii="ITC Avant Garde" w:hAnsi="ITC Avant Garde"/>
        </w:rPr>
      </w:pPr>
      <w:r w:rsidRPr="002A2450">
        <w:rPr>
          <w:rFonts w:ascii="ITC Avant Garde" w:hAnsi="ITC Avant Garde"/>
        </w:rPr>
        <w:t xml:space="preserve">En tales consideraciones, contrario a lo señalado por </w:t>
      </w:r>
      <w:r w:rsidRPr="002A2450">
        <w:rPr>
          <w:rFonts w:ascii="ITC Avant Garde" w:hAnsi="ITC Avant Garde"/>
          <w:b/>
        </w:rPr>
        <w:t>“TELMEX”</w:t>
      </w:r>
      <w:r w:rsidRPr="002A2450">
        <w:rPr>
          <w:rFonts w:ascii="ITC Avant Garde" w:hAnsi="ITC Avant Garde"/>
        </w:rPr>
        <w:t xml:space="preserve"> las reuniones no sólo tuvieron por objeto concertar la estrategia y operativa para el sistema </w:t>
      </w:r>
      <w:r w:rsidRPr="002A2450">
        <w:rPr>
          <w:rFonts w:ascii="ITC Avant Garde" w:hAnsi="ITC Avant Garde"/>
          <w:b/>
        </w:rPr>
        <w:t>“DISH”</w:t>
      </w:r>
      <w:r w:rsidRPr="002A2450">
        <w:rPr>
          <w:rFonts w:ascii="ITC Avant Garde" w:hAnsi="ITC Avant Garde"/>
        </w:rPr>
        <w:t xml:space="preserve"> sino que implicó una serie de acciones relacionadas con la operación misma del sistema, ya que precisamente se analizó y se autorizó la compra de insumos correspondientes a los </w:t>
      </w:r>
      <w:proofErr w:type="spellStart"/>
      <w:r w:rsidRPr="002A2450">
        <w:rPr>
          <w:rFonts w:ascii="ITC Avant Garde" w:hAnsi="ITC Avant Garde"/>
        </w:rPr>
        <w:t>STBs</w:t>
      </w:r>
      <w:proofErr w:type="spellEnd"/>
      <w:r w:rsidRPr="002A2450">
        <w:rPr>
          <w:rFonts w:ascii="ITC Avant Garde" w:hAnsi="ITC Avant Garde"/>
        </w:rPr>
        <w:t xml:space="preserve"> y CPE, así como el establecimiento de espacios relacionados con el </w:t>
      </w:r>
      <w:proofErr w:type="spellStart"/>
      <w:r w:rsidRPr="002A2450">
        <w:rPr>
          <w:rFonts w:ascii="ITC Avant Garde" w:hAnsi="ITC Avant Garde"/>
        </w:rPr>
        <w:t>Call</w:t>
      </w:r>
      <w:proofErr w:type="spellEnd"/>
      <w:r w:rsidRPr="002A2450">
        <w:rPr>
          <w:rFonts w:ascii="ITC Avant Garde" w:hAnsi="ITC Avant Garde"/>
        </w:rPr>
        <w:t xml:space="preserve"> Center de Morelia y finalmente la elaboración de presupuestos conjuntos para el año dos mil catorce, donde efectivamente para su desarrollo</w:t>
      </w:r>
      <w:r w:rsidR="00C0687E" w:rsidRPr="002A2450">
        <w:rPr>
          <w:rFonts w:ascii="ITC Avant Garde" w:hAnsi="ITC Avant Garde"/>
        </w:rPr>
        <w:t>,</w:t>
      </w:r>
      <w:r w:rsidRPr="002A2450">
        <w:rPr>
          <w:rFonts w:ascii="ITC Avant Garde" w:hAnsi="ITC Avant Garde"/>
        </w:rPr>
        <w:t xml:space="preserve"> era inevitable el intercambio de in</w:t>
      </w:r>
      <w:r w:rsidR="00C0687E" w:rsidRPr="002A2450">
        <w:rPr>
          <w:rFonts w:ascii="ITC Avant Garde" w:hAnsi="ITC Avant Garde"/>
        </w:rPr>
        <w:t>formación, máxime que lo que se buscaba era la ampliación de las ventas y el desarrollo de una marketing conjunto para su puesta en marcha.</w:t>
      </w:r>
    </w:p>
    <w:p w14:paraId="6D2BFB89" w14:textId="77777777" w:rsidR="00032A33" w:rsidRDefault="003D1950" w:rsidP="00B35F13">
      <w:pPr>
        <w:spacing w:before="240" w:line="360" w:lineRule="auto"/>
        <w:jc w:val="both"/>
        <w:rPr>
          <w:rFonts w:ascii="ITC Avant Garde" w:hAnsi="ITC Avant Garde"/>
        </w:rPr>
        <w:sectPr w:rsidR="00032A33" w:rsidSect="009F3771">
          <w:headerReference w:type="default" r:id="rId43"/>
          <w:pgSz w:w="12240" w:h="15840"/>
          <w:pgMar w:top="1985" w:right="1701" w:bottom="1418" w:left="1701" w:header="709" w:footer="709" w:gutter="0"/>
          <w:cols w:space="708"/>
          <w:docGrid w:linePitch="360"/>
        </w:sectPr>
      </w:pPr>
      <w:r w:rsidRPr="002A2450">
        <w:rPr>
          <w:rFonts w:ascii="ITC Avant Garde" w:hAnsi="ITC Avant Garde"/>
        </w:rPr>
        <w:t xml:space="preserve">Ahora bien, es importante señalar que de los temas tratados en las reuniones señaladas, contrario a lo que </w:t>
      </w:r>
      <w:r w:rsidRPr="002A2450">
        <w:rPr>
          <w:rFonts w:ascii="ITC Avant Garde" w:hAnsi="ITC Avant Garde"/>
          <w:b/>
        </w:rPr>
        <w:t>“TELMEX”</w:t>
      </w:r>
      <w:r w:rsidRPr="002A2450">
        <w:rPr>
          <w:rFonts w:ascii="ITC Avant Garde" w:hAnsi="ITC Avant Garde"/>
        </w:rPr>
        <w:t xml:space="preserve"> señala, si existió un seguimiento para los temas planteados, de lo que se sigue que dichas reuniones no sólo tenían como </w:t>
      </w:r>
    </w:p>
    <w:p w14:paraId="7C4D2084" w14:textId="442F7F1B" w:rsidR="00B35F13" w:rsidRDefault="003D1950" w:rsidP="00B35F13">
      <w:pPr>
        <w:spacing w:before="240" w:line="360" w:lineRule="auto"/>
        <w:jc w:val="both"/>
        <w:rPr>
          <w:rFonts w:ascii="ITC Avant Garde" w:hAnsi="ITC Avant Garde"/>
        </w:rPr>
      </w:pPr>
      <w:proofErr w:type="gramStart"/>
      <w:r w:rsidRPr="002A2450">
        <w:rPr>
          <w:rFonts w:ascii="ITC Avant Garde" w:hAnsi="ITC Avant Garde"/>
        </w:rPr>
        <w:lastRenderedPageBreak/>
        <w:t>finalidad</w:t>
      </w:r>
      <w:proofErr w:type="gramEnd"/>
      <w:r w:rsidRPr="002A2450">
        <w:rPr>
          <w:rFonts w:ascii="ITC Avant Garde" w:hAnsi="ITC Avant Garde"/>
        </w:rPr>
        <w:t xml:space="preserve"> el intercambio de información sino el establecimiento de </w:t>
      </w:r>
      <w:r w:rsidR="002F5C77" w:rsidRPr="002A2450">
        <w:rPr>
          <w:rFonts w:ascii="ITC Avant Garde" w:hAnsi="ITC Avant Garde"/>
        </w:rPr>
        <w:t xml:space="preserve">estrategias y </w:t>
      </w:r>
      <w:r w:rsidRPr="002A2450">
        <w:rPr>
          <w:rFonts w:ascii="ITC Avant Garde" w:hAnsi="ITC Avant Garde"/>
        </w:rPr>
        <w:t xml:space="preserve">compromisos que derivaron por las empresas participantes como una actuación inherente para la </w:t>
      </w:r>
      <w:r w:rsidR="002F5C77" w:rsidRPr="002A2450">
        <w:rPr>
          <w:rFonts w:ascii="ITC Avant Garde" w:hAnsi="ITC Avant Garde"/>
        </w:rPr>
        <w:t xml:space="preserve">correcta y eficiente </w:t>
      </w:r>
      <w:r w:rsidRPr="002A2450">
        <w:rPr>
          <w:rFonts w:ascii="ITC Avant Garde" w:hAnsi="ITC Avant Garde"/>
        </w:rPr>
        <w:t xml:space="preserve">operación de </w:t>
      </w:r>
      <w:r w:rsidRPr="002A2450">
        <w:rPr>
          <w:rFonts w:ascii="ITC Avant Garde" w:hAnsi="ITC Avant Garde"/>
          <w:b/>
        </w:rPr>
        <w:t>“DISH”</w:t>
      </w:r>
      <w:r w:rsidRPr="002A2450">
        <w:rPr>
          <w:rFonts w:ascii="ITC Avant Garde" w:hAnsi="ITC Avant Garde"/>
        </w:rPr>
        <w:t>.</w:t>
      </w:r>
    </w:p>
    <w:p w14:paraId="3A7B137E" w14:textId="77777777" w:rsidR="00B35F13" w:rsidRDefault="003D1950" w:rsidP="00B35F13">
      <w:pPr>
        <w:spacing w:before="240" w:line="360" w:lineRule="auto"/>
        <w:jc w:val="both"/>
        <w:rPr>
          <w:rFonts w:ascii="ITC Avant Garde" w:hAnsi="ITC Avant Garde"/>
        </w:rPr>
      </w:pPr>
      <w:r w:rsidRPr="002A2450">
        <w:rPr>
          <w:rFonts w:ascii="ITC Avant Garde" w:hAnsi="ITC Avant Garde"/>
        </w:rPr>
        <w:t>Ahora bien, lo</w:t>
      </w:r>
      <w:r w:rsidR="002F5C77" w:rsidRPr="002A2450">
        <w:rPr>
          <w:rFonts w:ascii="ITC Avant Garde" w:hAnsi="ITC Avant Garde"/>
        </w:rPr>
        <w:t>s</w:t>
      </w:r>
      <w:r w:rsidRPr="002A2450">
        <w:rPr>
          <w:rFonts w:ascii="ITC Avant Garde" w:hAnsi="ITC Avant Garde"/>
        </w:rPr>
        <w:t xml:space="preserve"> temas tratados no se limitaron a la revisión de actividades operativas y administrativas como lo señala </w:t>
      </w:r>
      <w:r w:rsidRPr="002A2450">
        <w:rPr>
          <w:rFonts w:ascii="ITC Avant Garde" w:hAnsi="ITC Avant Garde"/>
          <w:b/>
        </w:rPr>
        <w:t>“TELMEX”</w:t>
      </w:r>
      <w:r w:rsidRPr="002A2450">
        <w:rPr>
          <w:rFonts w:ascii="ITC Avant Garde" w:hAnsi="ITC Avant Garde"/>
        </w:rPr>
        <w:t xml:space="preserve"> sino que se previeron acciones concretas </w:t>
      </w:r>
      <w:r w:rsidR="002F5C77" w:rsidRPr="002A2450">
        <w:rPr>
          <w:rFonts w:ascii="ITC Avant Garde" w:hAnsi="ITC Avant Garde"/>
        </w:rPr>
        <w:t xml:space="preserve">relativas a </w:t>
      </w:r>
      <w:r w:rsidRPr="002A2450">
        <w:rPr>
          <w:rFonts w:ascii="ITC Avant Garde" w:hAnsi="ITC Avant Garde"/>
        </w:rPr>
        <w:t xml:space="preserve">la operación del sistema </w:t>
      </w:r>
      <w:r w:rsidRPr="002A2450">
        <w:rPr>
          <w:rFonts w:ascii="ITC Avant Garde" w:hAnsi="ITC Avant Garde"/>
          <w:b/>
        </w:rPr>
        <w:t>“DISH”</w:t>
      </w:r>
      <w:r w:rsidRPr="002A2450">
        <w:rPr>
          <w:rFonts w:ascii="ITC Avant Garde" w:hAnsi="ITC Avant Garde"/>
        </w:rPr>
        <w:t xml:space="preserve"> como lo fue la mercadotecnia conjunta, la estrategia de precios menores para los CPE y el presupuesto anual, con lo cual sin duda corresponde a actividades propias de una organización societaria en </w:t>
      </w:r>
      <w:r w:rsidR="002F5C77" w:rsidRPr="002A2450">
        <w:rPr>
          <w:rFonts w:ascii="ITC Avant Garde" w:hAnsi="ITC Avant Garde"/>
        </w:rPr>
        <w:t xml:space="preserve">la </w:t>
      </w:r>
      <w:r w:rsidRPr="002A2450">
        <w:rPr>
          <w:rFonts w:ascii="ITC Avant Garde" w:hAnsi="ITC Avant Garde"/>
        </w:rPr>
        <w:t>búsqueda de un objetivo común</w:t>
      </w:r>
      <w:r w:rsidR="002F5C77" w:rsidRPr="002A2450">
        <w:rPr>
          <w:rFonts w:ascii="ITC Avant Garde" w:hAnsi="ITC Avant Garde"/>
        </w:rPr>
        <w:t>,</w:t>
      </w:r>
      <w:r w:rsidRPr="002A2450">
        <w:rPr>
          <w:rFonts w:ascii="ITC Avant Garde" w:hAnsi="ITC Avant Garde"/>
        </w:rPr>
        <w:t xml:space="preserve"> ligadas por el interés de las empresas participantes de log</w:t>
      </w:r>
      <w:r w:rsidR="002F6358" w:rsidRPr="002A2450">
        <w:rPr>
          <w:rFonts w:ascii="ITC Avant Garde" w:hAnsi="ITC Avant Garde"/>
        </w:rPr>
        <w:t>r</w:t>
      </w:r>
      <w:r w:rsidRPr="002A2450">
        <w:rPr>
          <w:rFonts w:ascii="ITC Avant Garde" w:hAnsi="ITC Avant Garde"/>
        </w:rPr>
        <w:t>ar la consecución del negocio.</w:t>
      </w:r>
    </w:p>
    <w:p w14:paraId="1E19699A" w14:textId="77777777" w:rsidR="00B35F13" w:rsidRDefault="003D1950" w:rsidP="00B35F13">
      <w:pPr>
        <w:spacing w:before="240" w:line="360" w:lineRule="auto"/>
        <w:jc w:val="both"/>
        <w:rPr>
          <w:rFonts w:ascii="ITC Avant Garde" w:hAnsi="ITC Avant Garde"/>
        </w:rPr>
      </w:pPr>
      <w:r w:rsidRPr="002A2450">
        <w:rPr>
          <w:rFonts w:ascii="ITC Avant Garde" w:hAnsi="ITC Avant Garde"/>
        </w:rPr>
        <w:t>Asimismo, no pasa desapercibido el hecho de que e</w:t>
      </w:r>
      <w:r w:rsidR="002F5C77" w:rsidRPr="002A2450">
        <w:rPr>
          <w:rFonts w:ascii="ITC Avant Garde" w:hAnsi="ITC Avant Garde"/>
        </w:rPr>
        <w:t>n</w:t>
      </w:r>
      <w:r w:rsidRPr="002A2450">
        <w:rPr>
          <w:rFonts w:ascii="ITC Avant Garde" w:hAnsi="ITC Avant Garde"/>
        </w:rPr>
        <w:t xml:space="preserve"> las propias reuniones se autoriza </w:t>
      </w:r>
      <w:r w:rsidR="00644DD1" w:rsidRPr="002A2450">
        <w:rPr>
          <w:rFonts w:ascii="ITC Avant Garde" w:hAnsi="ITC Avant Garde"/>
        </w:rPr>
        <w:t>la compra</w:t>
      </w:r>
      <w:r w:rsidR="00644DD1" w:rsidRPr="002A2450">
        <w:rPr>
          <w:rFonts w:ascii="ITC Avant Garde" w:hAnsi="ITC Avant Garde"/>
          <w:b/>
        </w:rPr>
        <w:t xml:space="preserve"> </w:t>
      </w:r>
      <w:r w:rsidR="00644DD1" w:rsidRPr="002A2450">
        <w:rPr>
          <w:rFonts w:ascii="ITC Avant Garde" w:hAnsi="ITC Avant Garde"/>
        </w:rPr>
        <w:t xml:space="preserve">de CPE </w:t>
      </w:r>
      <w:r w:rsidRPr="002A2450">
        <w:rPr>
          <w:rFonts w:ascii="ITC Avant Garde" w:hAnsi="ITC Avant Garde"/>
        </w:rPr>
        <w:t xml:space="preserve">a </w:t>
      </w:r>
      <w:r w:rsidRPr="002A2450">
        <w:rPr>
          <w:rFonts w:ascii="ITC Avant Garde" w:hAnsi="ITC Avant Garde"/>
          <w:b/>
        </w:rPr>
        <w:t>“DISH MÉXICO”</w:t>
      </w:r>
      <w:r w:rsidR="00644DD1" w:rsidRPr="002A2450">
        <w:rPr>
          <w:rFonts w:ascii="ITC Avant Garde" w:hAnsi="ITC Avant Garde"/>
        </w:rPr>
        <w:t xml:space="preserve">, lo cual escenifica el grado de interrelación societaria entre las empresas involucradas, puesto que no guarda relación y/o proporción del porqué la misma tendría que ser autorizada por </w:t>
      </w:r>
      <w:r w:rsidR="00644DD1" w:rsidRPr="002A2450">
        <w:rPr>
          <w:rFonts w:ascii="ITC Avant Garde" w:hAnsi="ITC Avant Garde"/>
          <w:b/>
        </w:rPr>
        <w:t>“TELMEX”</w:t>
      </w:r>
      <w:r w:rsidR="002F5C77" w:rsidRPr="002A2450">
        <w:rPr>
          <w:rFonts w:ascii="ITC Avant Garde" w:hAnsi="ITC Avant Garde"/>
          <w:b/>
        </w:rPr>
        <w:t>,</w:t>
      </w:r>
      <w:r w:rsidR="00644DD1" w:rsidRPr="002A2450">
        <w:rPr>
          <w:rFonts w:ascii="ITC Avant Garde" w:hAnsi="ITC Avant Garde"/>
        </w:rPr>
        <w:t xml:space="preserve"> de ahí que precisamente se estime que dicha concesionaria no participaba en esas reuniones como un seguimiento operativo a los contratos celebrados sino como un agente con voz y voto en las operaci</w:t>
      </w:r>
      <w:r w:rsidR="002F5C77" w:rsidRPr="002A2450">
        <w:rPr>
          <w:rFonts w:ascii="ITC Avant Garde" w:hAnsi="ITC Avant Garde"/>
        </w:rPr>
        <w:t>ones que en</w:t>
      </w:r>
      <w:r w:rsidR="00644DD1" w:rsidRPr="002A2450">
        <w:rPr>
          <w:rFonts w:ascii="ITC Avant Garde" w:hAnsi="ITC Avant Garde"/>
        </w:rPr>
        <w:t xml:space="preserve"> principio pueden estimarse corresponden sólo a una entidad autónoma, situación que se presume no acontecen en el presente caso.</w:t>
      </w:r>
    </w:p>
    <w:p w14:paraId="02219CC8" w14:textId="77777777" w:rsidR="00B35F13" w:rsidRDefault="00E02F4D" w:rsidP="00B35F13">
      <w:pPr>
        <w:spacing w:before="240" w:line="360" w:lineRule="auto"/>
        <w:jc w:val="both"/>
        <w:rPr>
          <w:rFonts w:ascii="ITC Avant Garde" w:hAnsi="ITC Avant Garde"/>
        </w:rPr>
      </w:pPr>
      <w:r w:rsidRPr="002A2450">
        <w:rPr>
          <w:rFonts w:ascii="ITC Avant Garde" w:hAnsi="ITC Avant Garde"/>
        </w:rPr>
        <w:t xml:space="preserve">Ahora bien, </w:t>
      </w:r>
      <w:r w:rsidRPr="002A2450">
        <w:rPr>
          <w:rFonts w:ascii="ITC Avant Garde" w:hAnsi="ITC Avant Garde"/>
          <w:b/>
        </w:rPr>
        <w:t>“TELMEX”</w:t>
      </w:r>
      <w:r w:rsidRPr="002A2450">
        <w:rPr>
          <w:rFonts w:ascii="ITC Avant Garde" w:hAnsi="ITC Avant Garde"/>
        </w:rPr>
        <w:t xml:space="preserve"> manifiesta por un lado que las operaciones realizadas en los contratos sólo tienen un carácter estrictamente mercantil y que por ello, no existe ningún vínculo más allá del comercial, sin embargo, en el presente apartado, pareciera que dicha concesionaria cambia de manifestaciones al señalar que en términos de la Ley del Mercado de Valores, los consejeros y funcionarios tienen el deber de monitorear los riesgos de crédito e inversiones.</w:t>
      </w:r>
    </w:p>
    <w:p w14:paraId="2EFA89EA" w14:textId="77777777" w:rsidR="00B35F13" w:rsidRDefault="00E02F4D" w:rsidP="00B35F13">
      <w:pPr>
        <w:spacing w:before="240" w:line="360" w:lineRule="auto"/>
        <w:jc w:val="both"/>
        <w:rPr>
          <w:rFonts w:ascii="ITC Avant Garde" w:hAnsi="ITC Avant Garde"/>
        </w:rPr>
      </w:pPr>
      <w:r w:rsidRPr="002A2450">
        <w:rPr>
          <w:rFonts w:ascii="ITC Avant Garde" w:hAnsi="ITC Avant Garde"/>
        </w:rPr>
        <w:t xml:space="preserve">Lo anterior, resulta contradictorio ya que por un lado </w:t>
      </w:r>
      <w:r w:rsidRPr="002A2450">
        <w:rPr>
          <w:rFonts w:ascii="ITC Avant Garde" w:hAnsi="ITC Avant Garde"/>
          <w:b/>
        </w:rPr>
        <w:t xml:space="preserve">“TELMEX” </w:t>
      </w:r>
      <w:r w:rsidRPr="002A2450">
        <w:rPr>
          <w:rFonts w:ascii="ITC Avant Garde" w:hAnsi="ITC Avant Garde"/>
        </w:rPr>
        <w:t xml:space="preserve">manifiesta que los contratos son estrictamente mercantiles y por otro, que los contratos representan </w:t>
      </w:r>
      <w:r w:rsidRPr="002A2450">
        <w:rPr>
          <w:rFonts w:ascii="ITC Avant Garde" w:hAnsi="ITC Avant Garde"/>
        </w:rPr>
        <w:lastRenderedPageBreak/>
        <w:t>un crédito e inversión y que por ello, se encontraba obligada a monitorear el ejercicio de los contratos celebrados.</w:t>
      </w:r>
    </w:p>
    <w:p w14:paraId="29FAE032" w14:textId="77777777" w:rsidR="00B35F13" w:rsidRDefault="00E02F4D" w:rsidP="00B35F13">
      <w:pPr>
        <w:spacing w:before="240" w:line="360" w:lineRule="auto"/>
        <w:jc w:val="both"/>
        <w:rPr>
          <w:rFonts w:ascii="ITC Avant Garde" w:hAnsi="ITC Avant Garde"/>
        </w:rPr>
      </w:pPr>
      <w:r w:rsidRPr="002A2450">
        <w:rPr>
          <w:rFonts w:ascii="ITC Avant Garde" w:hAnsi="ITC Avant Garde"/>
        </w:rPr>
        <w:t xml:space="preserve">En ese sentido, esta autoridad considera que existe una contradicción respecto de lo argumentado por </w:t>
      </w:r>
      <w:r w:rsidRPr="002A2450">
        <w:rPr>
          <w:rFonts w:ascii="ITC Avant Garde" w:hAnsi="ITC Avant Garde"/>
          <w:b/>
        </w:rPr>
        <w:t>“TELMEX”</w:t>
      </w:r>
      <w:r w:rsidRPr="002A2450">
        <w:rPr>
          <w:rFonts w:ascii="ITC Avant Garde" w:hAnsi="ITC Avant Garde"/>
        </w:rPr>
        <w:t xml:space="preserve"> puesto que como se ha señalado en el presente apartado, las reuniones de trabajo sostenidas entre </w:t>
      </w:r>
      <w:r w:rsidRPr="002A2450">
        <w:rPr>
          <w:rFonts w:ascii="ITC Avant Garde" w:hAnsi="ITC Avant Garde"/>
          <w:b/>
        </w:rPr>
        <w:t>“DISH MÉXICO”</w:t>
      </w:r>
      <w:r w:rsidRPr="002A2450">
        <w:rPr>
          <w:rFonts w:ascii="ITC Avant Garde" w:hAnsi="ITC Avant Garde"/>
        </w:rPr>
        <w:t xml:space="preserve"> y </w:t>
      </w:r>
      <w:r w:rsidRPr="002A2450">
        <w:rPr>
          <w:rFonts w:ascii="ITC Avant Garde" w:hAnsi="ITC Avant Garde"/>
          <w:b/>
        </w:rPr>
        <w:t>“TELMEX”</w:t>
      </w:r>
      <w:r w:rsidRPr="002A2450">
        <w:rPr>
          <w:rFonts w:ascii="ITC Avant Garde" w:hAnsi="ITC Avant Garde"/>
        </w:rPr>
        <w:t xml:space="preserve"> </w:t>
      </w:r>
      <w:r w:rsidR="002F5C77" w:rsidRPr="002A2450">
        <w:rPr>
          <w:rFonts w:ascii="ITC Avant Garde" w:hAnsi="ITC Avant Garde"/>
        </w:rPr>
        <w:t xml:space="preserve">no </w:t>
      </w:r>
      <w:r w:rsidRPr="002A2450">
        <w:rPr>
          <w:rFonts w:ascii="ITC Avant Garde" w:hAnsi="ITC Avant Garde"/>
        </w:rPr>
        <w:t xml:space="preserve">representan un seguimiento operativo de los contratos por su propia naturaleza sino un seguimiento operativo para la operación del sistema </w:t>
      </w:r>
      <w:r w:rsidRPr="002A2450">
        <w:rPr>
          <w:rFonts w:ascii="ITC Avant Garde" w:hAnsi="ITC Avant Garde"/>
          <w:b/>
        </w:rPr>
        <w:t>“DISH”</w:t>
      </w:r>
      <w:r w:rsidRPr="002A2450">
        <w:rPr>
          <w:rFonts w:ascii="ITC Avant Garde" w:hAnsi="ITC Avant Garde"/>
        </w:rPr>
        <w:t xml:space="preserve"> </w:t>
      </w:r>
      <w:r w:rsidR="002F5C77" w:rsidRPr="002A2450">
        <w:rPr>
          <w:rFonts w:ascii="ITC Avant Garde" w:hAnsi="ITC Avant Garde"/>
        </w:rPr>
        <w:t xml:space="preserve">además de que evidencian algo semejante a </w:t>
      </w:r>
      <w:r w:rsidRPr="002A2450">
        <w:rPr>
          <w:rFonts w:ascii="ITC Avant Garde" w:hAnsi="ITC Avant Garde"/>
        </w:rPr>
        <w:t xml:space="preserve">una relación societaria </w:t>
      </w:r>
      <w:r w:rsidR="00BD29D4" w:rsidRPr="002A2450">
        <w:rPr>
          <w:rFonts w:ascii="ITC Avant Garde" w:hAnsi="ITC Avant Garde"/>
        </w:rPr>
        <w:t xml:space="preserve">que cuenta con facultades de supervisión respecto de la puesta en marcha de un negocio y no </w:t>
      </w:r>
      <w:r w:rsidR="002F5C77" w:rsidRPr="002A2450">
        <w:rPr>
          <w:rFonts w:ascii="ITC Avant Garde" w:hAnsi="ITC Avant Garde"/>
        </w:rPr>
        <w:t xml:space="preserve">únicamente como parte </w:t>
      </w:r>
      <w:r w:rsidR="00BD29D4" w:rsidRPr="002A2450">
        <w:rPr>
          <w:rFonts w:ascii="ITC Avant Garde" w:hAnsi="ITC Avant Garde"/>
        </w:rPr>
        <w:t xml:space="preserve">de una revisión a las obligaciones </w:t>
      </w:r>
      <w:r w:rsidR="002F5C77" w:rsidRPr="002A2450">
        <w:rPr>
          <w:rFonts w:ascii="ITC Avant Garde" w:hAnsi="ITC Avant Garde"/>
        </w:rPr>
        <w:t xml:space="preserve">establecidas </w:t>
      </w:r>
      <w:r w:rsidR="00BD29D4" w:rsidRPr="002A2450">
        <w:rPr>
          <w:rFonts w:ascii="ITC Avant Garde" w:hAnsi="ITC Avant Garde"/>
        </w:rPr>
        <w:t>en los contratos celebrados.</w:t>
      </w:r>
    </w:p>
    <w:p w14:paraId="3F90C170" w14:textId="77777777" w:rsidR="00B35F13" w:rsidRDefault="00BD29D4" w:rsidP="00B35F13">
      <w:pPr>
        <w:spacing w:before="240" w:line="360" w:lineRule="auto"/>
        <w:jc w:val="both"/>
        <w:rPr>
          <w:rFonts w:ascii="ITC Avant Garde" w:hAnsi="ITC Avant Garde"/>
        </w:rPr>
      </w:pPr>
      <w:r w:rsidRPr="002A2450">
        <w:rPr>
          <w:rFonts w:ascii="ITC Avant Garde" w:hAnsi="ITC Avant Garde"/>
        </w:rPr>
        <w:t xml:space="preserve">En ese sentido, se considera que las manifestaciones de </w:t>
      </w:r>
      <w:r w:rsidRPr="002A2450">
        <w:rPr>
          <w:rFonts w:ascii="ITC Avant Garde" w:hAnsi="ITC Avant Garde"/>
          <w:b/>
        </w:rPr>
        <w:t>“TELMEX”</w:t>
      </w:r>
      <w:r w:rsidRPr="002A2450">
        <w:rPr>
          <w:rFonts w:ascii="ITC Avant Garde" w:hAnsi="ITC Avant Garde"/>
        </w:rPr>
        <w:t xml:space="preserve"> resultan insuficientes para desvirtuar la materia del presente procedimiento.</w:t>
      </w:r>
    </w:p>
    <w:p w14:paraId="2137EE2A" w14:textId="008FBCA0" w:rsidR="00B35F13" w:rsidRDefault="00BD29D4" w:rsidP="00B35F13">
      <w:pPr>
        <w:spacing w:before="240" w:line="360" w:lineRule="auto"/>
        <w:jc w:val="both"/>
        <w:rPr>
          <w:rFonts w:ascii="ITC Avant Garde" w:hAnsi="ITC Avant Garde"/>
        </w:rPr>
      </w:pPr>
      <w:r w:rsidRPr="002A2450">
        <w:rPr>
          <w:rFonts w:ascii="ITC Avant Garde" w:hAnsi="ITC Avant Garde"/>
          <w:b/>
        </w:rPr>
        <w:t xml:space="preserve">“TELMEX” </w:t>
      </w:r>
      <w:r w:rsidRPr="002A2450">
        <w:rPr>
          <w:rFonts w:ascii="ITC Avant Garde" w:hAnsi="ITC Avant Garde"/>
        </w:rPr>
        <w:t>continúa manifestado lo siguiente:</w:t>
      </w:r>
    </w:p>
    <w:p w14:paraId="386833AC" w14:textId="11E85395" w:rsidR="00B35F13" w:rsidRDefault="005B601B" w:rsidP="00032A33">
      <w:pPr>
        <w:spacing w:before="240" w:line="360" w:lineRule="auto"/>
        <w:ind w:left="567" w:right="567"/>
        <w:jc w:val="both"/>
        <w:rPr>
          <w:rFonts w:ascii="ITC Avant Garde" w:hAnsi="ITC Avant Garde"/>
          <w:i/>
        </w:rPr>
      </w:pPr>
      <w:r w:rsidRPr="002A2450">
        <w:rPr>
          <w:rFonts w:ascii="ITC Avant Garde" w:hAnsi="ITC Avant Garde"/>
          <w:b/>
          <w:i/>
        </w:rPr>
        <w:t>“TELMEX”</w:t>
      </w:r>
      <w:r w:rsidR="008F28C2" w:rsidRPr="002A2450">
        <w:rPr>
          <w:rFonts w:ascii="ITC Avant Garde" w:hAnsi="ITC Avant Garde"/>
          <w:i/>
        </w:rPr>
        <w:t xml:space="preserve"> hubiese sido negligente y fallado en sus deberes básicos si se hubiese mantenido indiferente al observar importantes oportunidades de mejora en un negocio que le representa un riesgo de crédito, pero no implica control ni influencia decisiva en </w:t>
      </w:r>
      <w:proofErr w:type="spellStart"/>
      <w:r w:rsidR="008F28C2" w:rsidRPr="002A2450">
        <w:rPr>
          <w:rFonts w:ascii="ITC Avant Garde" w:hAnsi="ITC Avant Garde"/>
          <w:i/>
        </w:rPr>
        <w:t>Dish</w:t>
      </w:r>
      <w:proofErr w:type="spellEnd"/>
      <w:r w:rsidR="008F28C2" w:rsidRPr="002A2450">
        <w:rPr>
          <w:rFonts w:ascii="ITC Avant Garde" w:hAnsi="ITC Avant Garde"/>
          <w:i/>
        </w:rPr>
        <w:t xml:space="preserve"> México.</w:t>
      </w:r>
    </w:p>
    <w:p w14:paraId="75A68BDC" w14:textId="77777777" w:rsidR="00B35F13" w:rsidRDefault="008F28C2" w:rsidP="00B35F13">
      <w:pPr>
        <w:spacing w:before="240" w:line="360" w:lineRule="auto"/>
        <w:ind w:left="567" w:right="567"/>
        <w:jc w:val="both"/>
        <w:rPr>
          <w:rFonts w:ascii="ITC Avant Garde" w:hAnsi="ITC Avant Garde"/>
          <w:i/>
        </w:rPr>
      </w:pPr>
      <w:r w:rsidRPr="002A2450">
        <w:rPr>
          <w:rFonts w:ascii="ITC Avant Garde" w:hAnsi="ITC Avant Garde"/>
          <w:i/>
        </w:rPr>
        <w:t xml:space="preserve">Además, no hay temas que impliquen dirección ni control, sino que los temas se refieren a sugerencias de negocio, operativas, para mejorar. El hecho de que </w:t>
      </w:r>
      <w:proofErr w:type="spellStart"/>
      <w:r w:rsidRPr="002A2450">
        <w:rPr>
          <w:rFonts w:ascii="ITC Avant Garde" w:hAnsi="ITC Avant Garde"/>
          <w:i/>
        </w:rPr>
        <w:t>Dish</w:t>
      </w:r>
      <w:proofErr w:type="spellEnd"/>
      <w:r w:rsidRPr="002A2450">
        <w:rPr>
          <w:rFonts w:ascii="ITC Avant Garde" w:hAnsi="ITC Avant Garde"/>
          <w:i/>
        </w:rPr>
        <w:t xml:space="preserve"> Holdings y </w:t>
      </w:r>
      <w:proofErr w:type="spellStart"/>
      <w:r w:rsidRPr="002A2450">
        <w:rPr>
          <w:rFonts w:ascii="ITC Avant Garde" w:hAnsi="ITC Avant Garde"/>
          <w:i/>
        </w:rPr>
        <w:t>Dish</w:t>
      </w:r>
      <w:proofErr w:type="spellEnd"/>
      <w:r w:rsidRPr="002A2450">
        <w:rPr>
          <w:rFonts w:ascii="ITC Avant Garde" w:hAnsi="ITC Avant Garde"/>
          <w:i/>
        </w:rPr>
        <w:t xml:space="preserve"> México tenían la facultad absoluta de rechazar cualquier sugerencia de </w:t>
      </w:r>
      <w:r w:rsidR="005B601B" w:rsidRPr="002A2450">
        <w:rPr>
          <w:rFonts w:ascii="ITC Avant Garde" w:hAnsi="ITC Avant Garde"/>
          <w:b/>
          <w:i/>
        </w:rPr>
        <w:t>“TELMEX”</w:t>
      </w:r>
      <w:r w:rsidRPr="002A2450">
        <w:rPr>
          <w:rFonts w:ascii="ITC Avant Garde" w:hAnsi="ITC Avant Garde"/>
          <w:i/>
        </w:rPr>
        <w:t xml:space="preserve"> es evidencia irrefutable de que en estas reuniones no se utilizaron como vías de ejercicio de control conjunto, ni legal ni fáctico.</w:t>
      </w:r>
    </w:p>
    <w:p w14:paraId="1CA34164" w14:textId="77777777" w:rsidR="00A80E02" w:rsidRDefault="008F28C2" w:rsidP="00B35F13">
      <w:pPr>
        <w:spacing w:before="240" w:line="360" w:lineRule="auto"/>
        <w:ind w:left="567" w:right="567"/>
        <w:jc w:val="both"/>
        <w:rPr>
          <w:rFonts w:ascii="ITC Avant Garde" w:hAnsi="ITC Avant Garde"/>
          <w:i/>
        </w:rPr>
        <w:sectPr w:rsidR="00A80E02" w:rsidSect="009F3771">
          <w:headerReference w:type="default" r:id="rId44"/>
          <w:pgSz w:w="12240" w:h="15840"/>
          <w:pgMar w:top="1985" w:right="1701" w:bottom="1418" w:left="1701" w:header="709" w:footer="709" w:gutter="0"/>
          <w:cols w:space="708"/>
          <w:docGrid w:linePitch="360"/>
        </w:sectPr>
      </w:pPr>
      <w:r w:rsidRPr="002A2450">
        <w:rPr>
          <w:rFonts w:ascii="ITC Avant Garde" w:hAnsi="ITC Avant Garde"/>
          <w:i/>
        </w:rPr>
        <w:t xml:space="preserve">El hecho de los mecanismos previstos en los contratos e incluso no previstos, hayan sido usados por funcionarios de </w:t>
      </w:r>
      <w:r w:rsidR="005B601B" w:rsidRPr="002A2450">
        <w:rPr>
          <w:rFonts w:ascii="ITC Avant Garde" w:hAnsi="ITC Avant Garde"/>
          <w:b/>
          <w:i/>
        </w:rPr>
        <w:t>“TELMEX”</w:t>
      </w:r>
      <w:r w:rsidRPr="002A2450">
        <w:rPr>
          <w:rFonts w:ascii="ITC Avant Garde" w:hAnsi="ITC Avant Garde"/>
          <w:i/>
        </w:rPr>
        <w:t xml:space="preserve">, que pudieron ser miembros del consejo de administración o no, no implica que </w:t>
      </w:r>
    </w:p>
    <w:p w14:paraId="55A3A7A2" w14:textId="0179118F" w:rsidR="00B35F13" w:rsidRDefault="008F28C2" w:rsidP="00B35F13">
      <w:pPr>
        <w:spacing w:before="240" w:line="360" w:lineRule="auto"/>
        <w:ind w:left="567" w:right="567"/>
        <w:jc w:val="both"/>
        <w:rPr>
          <w:rFonts w:ascii="ITC Avant Garde" w:hAnsi="ITC Avant Garde"/>
          <w:i/>
        </w:rPr>
      </w:pPr>
      <w:proofErr w:type="gramStart"/>
      <w:r w:rsidRPr="002A2450">
        <w:rPr>
          <w:rFonts w:ascii="ITC Avant Garde" w:hAnsi="ITC Avant Garde"/>
          <w:i/>
        </w:rPr>
        <w:lastRenderedPageBreak/>
        <w:t>asistieron</w:t>
      </w:r>
      <w:proofErr w:type="gramEnd"/>
      <w:r w:rsidRPr="002A2450">
        <w:rPr>
          <w:rFonts w:ascii="ITC Avant Garde" w:hAnsi="ITC Avant Garde"/>
          <w:i/>
        </w:rPr>
        <w:t xml:space="preserve"> con dicho cargo, lo que no implica que se hayan utilizado como un mecanismo de control ni de influencia significativa en las estrategias de conducción del negocio de </w:t>
      </w:r>
      <w:proofErr w:type="spellStart"/>
      <w:r w:rsidRPr="002A2450">
        <w:rPr>
          <w:rFonts w:ascii="ITC Avant Garde" w:hAnsi="ITC Avant Garde"/>
          <w:i/>
        </w:rPr>
        <w:t>Dish</w:t>
      </w:r>
      <w:proofErr w:type="spellEnd"/>
      <w:r w:rsidRPr="002A2450">
        <w:rPr>
          <w:rFonts w:ascii="ITC Avant Garde" w:hAnsi="ITC Avant Garde"/>
          <w:i/>
        </w:rPr>
        <w:t xml:space="preserve"> México.</w:t>
      </w:r>
    </w:p>
    <w:p w14:paraId="224A0131" w14:textId="77777777" w:rsidR="00B35F13" w:rsidRDefault="008F28C2" w:rsidP="00B35F13">
      <w:pPr>
        <w:spacing w:before="240" w:line="360" w:lineRule="auto"/>
        <w:ind w:left="567" w:right="567"/>
        <w:jc w:val="both"/>
        <w:rPr>
          <w:rFonts w:ascii="ITC Avant Garde" w:hAnsi="ITC Avant Garde"/>
          <w:i/>
        </w:rPr>
      </w:pPr>
      <w:r w:rsidRPr="002A2450">
        <w:rPr>
          <w:rFonts w:ascii="ITC Avant Garde" w:hAnsi="ITC Avant Garde"/>
          <w:i/>
        </w:rPr>
        <w:t xml:space="preserve">Además, los contratos contienen cláusulas que expresamente excluyen la posible relación de control o involucramiento por parte de </w:t>
      </w:r>
      <w:r w:rsidR="005B601B" w:rsidRPr="002A2450">
        <w:rPr>
          <w:rFonts w:ascii="ITC Avant Garde" w:hAnsi="ITC Avant Garde"/>
          <w:b/>
          <w:i/>
        </w:rPr>
        <w:t>“TELMEX”</w:t>
      </w:r>
      <w:r w:rsidRPr="002A2450">
        <w:rPr>
          <w:rFonts w:ascii="ITC Avant Garde" w:hAnsi="ITC Avant Garde"/>
          <w:i/>
        </w:rPr>
        <w:t xml:space="preserve"> y/o </w:t>
      </w:r>
      <w:proofErr w:type="spellStart"/>
      <w:r w:rsidRPr="002A2450">
        <w:rPr>
          <w:rFonts w:ascii="ITC Avant Garde" w:hAnsi="ITC Avant Garde"/>
          <w:i/>
        </w:rPr>
        <w:t>Teninver</w:t>
      </w:r>
      <w:proofErr w:type="spellEnd"/>
      <w:r w:rsidRPr="002A2450">
        <w:rPr>
          <w:rFonts w:ascii="ITC Avant Garde" w:hAnsi="ITC Avant Garde"/>
          <w:i/>
        </w:rPr>
        <w:t xml:space="preserve"> en la operación de </w:t>
      </w:r>
      <w:proofErr w:type="spellStart"/>
      <w:r w:rsidRPr="002A2450">
        <w:rPr>
          <w:rFonts w:ascii="ITC Avant Garde" w:hAnsi="ITC Avant Garde"/>
          <w:i/>
        </w:rPr>
        <w:t>Dish</w:t>
      </w:r>
      <w:proofErr w:type="spellEnd"/>
      <w:r w:rsidRPr="002A2450">
        <w:rPr>
          <w:rFonts w:ascii="ITC Avant Garde" w:hAnsi="ITC Avant Garde"/>
          <w:i/>
        </w:rPr>
        <w:t xml:space="preserve"> México o en la prestación de los servicios por parte de </w:t>
      </w:r>
      <w:proofErr w:type="spellStart"/>
      <w:r w:rsidRPr="002A2450">
        <w:rPr>
          <w:rFonts w:ascii="ITC Avant Garde" w:hAnsi="ITC Avant Garde"/>
          <w:i/>
        </w:rPr>
        <w:t>D</w:t>
      </w:r>
      <w:r w:rsidR="00702143" w:rsidRPr="002A2450">
        <w:rPr>
          <w:rFonts w:ascii="ITC Avant Garde" w:hAnsi="ITC Avant Garde"/>
          <w:i/>
        </w:rPr>
        <w:t>i</w:t>
      </w:r>
      <w:r w:rsidRPr="002A2450">
        <w:rPr>
          <w:rFonts w:ascii="ITC Avant Garde" w:hAnsi="ITC Avant Garde"/>
          <w:i/>
        </w:rPr>
        <w:t>sh</w:t>
      </w:r>
      <w:proofErr w:type="spellEnd"/>
      <w:r w:rsidRPr="002A2450">
        <w:rPr>
          <w:rFonts w:ascii="ITC Avant Garde" w:hAnsi="ITC Avant Garde"/>
          <w:i/>
        </w:rPr>
        <w:t xml:space="preserve"> México a sus suscriptores. Tales como:</w:t>
      </w:r>
    </w:p>
    <w:p w14:paraId="3B93D50B" w14:textId="079822B3" w:rsidR="00B35F13" w:rsidRPr="0047339C" w:rsidRDefault="005B0590" w:rsidP="00B35F13">
      <w:pPr>
        <w:spacing w:before="240" w:line="360" w:lineRule="auto"/>
        <w:ind w:left="567" w:righ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w:t>
      </w:r>
      <w:r w:rsidR="001158B8" w:rsidRPr="0047339C">
        <w:rPr>
          <w:rFonts w:ascii="ITC Avant Garde" w:eastAsiaTheme="majorEastAsia" w:hAnsi="ITC Avant Garde" w:cstheme="majorBidi"/>
          <w:b/>
          <w:color w:val="0000FF"/>
          <w:szCs w:val="32"/>
        </w:rPr>
        <w:t>CONFIDENCIAL POR LEY”</w:t>
      </w:r>
    </w:p>
    <w:p w14:paraId="6A98DAB1" w14:textId="77777777" w:rsidR="00B35F13" w:rsidRDefault="008F28C2" w:rsidP="00B35F13">
      <w:pPr>
        <w:spacing w:before="240" w:line="360" w:lineRule="auto"/>
        <w:ind w:left="567" w:right="567"/>
        <w:jc w:val="both"/>
        <w:rPr>
          <w:rFonts w:ascii="ITC Avant Garde" w:hAnsi="ITC Avant Garde"/>
          <w:i/>
        </w:rPr>
      </w:pPr>
      <w:r w:rsidRPr="002A2450">
        <w:rPr>
          <w:rFonts w:ascii="ITC Avant Garde" w:hAnsi="ITC Avant Garde"/>
          <w:i/>
        </w:rPr>
        <w:t>Los contratos no contienen las típicas cláusulas que si estarían en una relación de control o de socios. Tan es así que al diseñar el clausulado respectivo incluyeron cláusulas sólo en caso de celebrarse el contrato de opción.</w:t>
      </w:r>
    </w:p>
    <w:p w14:paraId="03726B49" w14:textId="77777777" w:rsidR="00B35F13" w:rsidRDefault="008F28C2" w:rsidP="00B35F13">
      <w:pPr>
        <w:spacing w:before="240" w:line="360" w:lineRule="auto"/>
        <w:ind w:left="567" w:right="567"/>
        <w:jc w:val="both"/>
        <w:rPr>
          <w:rFonts w:ascii="ITC Avant Garde" w:hAnsi="ITC Avant Garde"/>
          <w:i/>
        </w:rPr>
      </w:pPr>
      <w:r w:rsidRPr="002A2450">
        <w:rPr>
          <w:rFonts w:ascii="ITC Avant Garde" w:hAnsi="ITC Avant Garde"/>
          <w:i/>
        </w:rPr>
        <w:t xml:space="preserve">Al respecto, este tipo de cláusulas no aplican por no haberse ejercido la opción y no ser titulares de capital en </w:t>
      </w:r>
      <w:proofErr w:type="spellStart"/>
      <w:r w:rsidRPr="002A2450">
        <w:rPr>
          <w:rFonts w:ascii="ITC Avant Garde" w:hAnsi="ITC Avant Garde"/>
          <w:i/>
        </w:rPr>
        <w:t>Dish</w:t>
      </w:r>
      <w:proofErr w:type="spellEnd"/>
      <w:r w:rsidRPr="002A2450">
        <w:rPr>
          <w:rFonts w:ascii="ITC Avant Garde" w:hAnsi="ITC Avant Garde"/>
          <w:i/>
        </w:rPr>
        <w:t xml:space="preserve"> México.</w:t>
      </w:r>
    </w:p>
    <w:p w14:paraId="78B637F6" w14:textId="77777777" w:rsidR="00B35F13" w:rsidRDefault="008F28C2" w:rsidP="00B35F13">
      <w:pPr>
        <w:spacing w:before="240" w:line="360" w:lineRule="auto"/>
        <w:jc w:val="both"/>
        <w:rPr>
          <w:rFonts w:ascii="ITC Avant Garde" w:hAnsi="ITC Avant Garde"/>
        </w:rPr>
      </w:pPr>
      <w:r w:rsidRPr="002A2450">
        <w:rPr>
          <w:rFonts w:ascii="ITC Avant Garde" w:hAnsi="ITC Avant Garde"/>
        </w:rPr>
        <w:t xml:space="preserve">Dichas consideraciones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363F12E1" w14:textId="77777777" w:rsidR="00B35F13" w:rsidRDefault="008F28C2" w:rsidP="00B35F13">
      <w:pPr>
        <w:spacing w:before="240" w:line="360" w:lineRule="auto"/>
        <w:jc w:val="both"/>
        <w:rPr>
          <w:rFonts w:ascii="ITC Avant Garde" w:hAnsi="ITC Avant Garde"/>
        </w:rPr>
      </w:pPr>
      <w:r w:rsidRPr="002A2450">
        <w:rPr>
          <w:rFonts w:ascii="ITC Avant Garde" w:hAnsi="ITC Avant Garde"/>
        </w:rPr>
        <w:t xml:space="preserve">Al respecto, debe señalarse que </w:t>
      </w:r>
      <w:r w:rsidRPr="002A2450">
        <w:rPr>
          <w:rFonts w:ascii="ITC Avant Garde" w:hAnsi="ITC Avant Garde"/>
          <w:b/>
        </w:rPr>
        <w:t>“TELMEX”</w:t>
      </w:r>
      <w:r w:rsidRPr="002A2450">
        <w:rPr>
          <w:rFonts w:ascii="ITC Avant Garde" w:hAnsi="ITC Avant Garde"/>
        </w:rPr>
        <w:t xml:space="preserve"> vuelve a considerar a los contratos no como una relación comercial sino como una inversión, la cual es susceptible de riesgo, motivo por el que considera que su supervisión es un proceso natural en este tipo de operaciones.</w:t>
      </w:r>
    </w:p>
    <w:p w14:paraId="401C2B78" w14:textId="77777777" w:rsidR="00A80E02" w:rsidRDefault="008F28C2" w:rsidP="00B35F13">
      <w:pPr>
        <w:spacing w:before="240" w:line="360" w:lineRule="auto"/>
        <w:jc w:val="both"/>
        <w:rPr>
          <w:rFonts w:ascii="ITC Avant Garde" w:hAnsi="ITC Avant Garde"/>
        </w:rPr>
        <w:sectPr w:rsidR="00A80E02" w:rsidSect="009F3771">
          <w:headerReference w:type="default" r:id="rId45"/>
          <w:pgSz w:w="12240" w:h="15840"/>
          <w:pgMar w:top="1985" w:right="1701" w:bottom="1418" w:left="1701" w:header="709" w:footer="709" w:gutter="0"/>
          <w:cols w:space="708"/>
          <w:docGrid w:linePitch="360"/>
        </w:sectPr>
      </w:pPr>
      <w:r w:rsidRPr="002A2450">
        <w:rPr>
          <w:rFonts w:ascii="ITC Avant Garde" w:hAnsi="ITC Avant Garde"/>
        </w:rPr>
        <w:t xml:space="preserve">En ese sentido, cabe señalar que esta autoridad no encuentra una justificación racional de la conducta adoptada por </w:t>
      </w:r>
      <w:r w:rsidRPr="002A2450">
        <w:rPr>
          <w:rFonts w:ascii="ITC Avant Garde" w:hAnsi="ITC Avant Garde"/>
          <w:b/>
        </w:rPr>
        <w:t>“TELMEX”</w:t>
      </w:r>
      <w:r w:rsidRPr="002A2450">
        <w:rPr>
          <w:rFonts w:ascii="ITC Avant Garde" w:hAnsi="ITC Avant Garde"/>
        </w:rPr>
        <w:t xml:space="preserve"> en el presente procedimiento, puesto que si efectivamente la relación comercial sostenida en dichos contratos sólo era mercantil, la operación y la delegación de sus funciones sólo atenderían al objeto del o de los contratos señalados, sin embargo, dado que el contrato de </w:t>
      </w:r>
    </w:p>
    <w:p w14:paraId="7757DCF2" w14:textId="0C3749F0" w:rsidR="00B35F13" w:rsidRDefault="008F28C2" w:rsidP="00B35F13">
      <w:pPr>
        <w:spacing w:before="240" w:line="360" w:lineRule="auto"/>
        <w:jc w:val="both"/>
        <w:rPr>
          <w:rFonts w:ascii="ITC Avant Garde" w:hAnsi="ITC Avant Garde"/>
        </w:rPr>
      </w:pPr>
      <w:r w:rsidRPr="002A2450">
        <w:rPr>
          <w:rFonts w:ascii="ITC Avant Garde" w:hAnsi="ITC Avant Garde"/>
        </w:rPr>
        <w:lastRenderedPageBreak/>
        <w:t xml:space="preserve">opción representó la posibilidad de participar en el capital social de </w:t>
      </w:r>
      <w:r w:rsidRPr="002A2450">
        <w:rPr>
          <w:rFonts w:ascii="ITC Avant Garde" w:hAnsi="ITC Avant Garde"/>
          <w:b/>
        </w:rPr>
        <w:t>“DISH MÉXICO”</w:t>
      </w:r>
      <w:r w:rsidRPr="002A2450">
        <w:rPr>
          <w:rFonts w:ascii="ITC Avant Garde" w:hAnsi="ITC Avant Garde"/>
        </w:rPr>
        <w:t xml:space="preserve"> es indudable que el interés sobre la operación del sistema </w:t>
      </w:r>
      <w:r w:rsidRPr="002A2450">
        <w:rPr>
          <w:rFonts w:ascii="ITC Avant Garde" w:hAnsi="ITC Avant Garde"/>
          <w:b/>
        </w:rPr>
        <w:t>“DISH”</w:t>
      </w:r>
      <w:r w:rsidRPr="002A2450">
        <w:rPr>
          <w:rFonts w:ascii="ITC Avant Garde" w:hAnsi="ITC Avant Garde"/>
        </w:rPr>
        <w:t xml:space="preserve"> resulte ser de gran envergadura para no sólo supervisar la operación del negocio sino como </w:t>
      </w:r>
      <w:r w:rsidRPr="002A2450">
        <w:rPr>
          <w:rFonts w:ascii="ITC Avant Garde" w:hAnsi="ITC Avant Garde"/>
          <w:b/>
        </w:rPr>
        <w:t>“TELMEX”</w:t>
      </w:r>
      <w:r w:rsidRPr="002A2450">
        <w:rPr>
          <w:rFonts w:ascii="ITC Avant Garde" w:hAnsi="ITC Avant Garde"/>
        </w:rPr>
        <w:t xml:space="preserve"> señala, importantes mejoras en un negocio respecto del cual tiene una inversión.</w:t>
      </w:r>
    </w:p>
    <w:p w14:paraId="00D5C7E4" w14:textId="77777777" w:rsidR="00B35F13" w:rsidRDefault="008F28C2" w:rsidP="00B35F13">
      <w:pPr>
        <w:spacing w:before="240" w:line="360" w:lineRule="auto"/>
        <w:jc w:val="both"/>
        <w:rPr>
          <w:rFonts w:ascii="ITC Avant Garde" w:hAnsi="ITC Avant Garde"/>
        </w:rPr>
      </w:pPr>
      <w:r w:rsidRPr="002A2450">
        <w:rPr>
          <w:rFonts w:ascii="ITC Avant Garde" w:hAnsi="ITC Avant Garde"/>
        </w:rPr>
        <w:t xml:space="preserve">En ese sentido, de acuerdo a las minutas y/o hojas de trabajo a que se ha hecho referencia en los apartados anteriores, ello no acredita ni justifica cómo en estas el seguimiento de los temas tratados son consensados, aprobados y ejecutados, como si se tratara de una sola entidad, de lo que se sigue que canalizar los temas discutidos como parte de una operación </w:t>
      </w:r>
      <w:r w:rsidR="00830F6B" w:rsidRPr="002A2450">
        <w:rPr>
          <w:rFonts w:ascii="ITC Avant Garde" w:hAnsi="ITC Avant Garde"/>
        </w:rPr>
        <w:t xml:space="preserve">de un ente económico es de todo natural, pero la intervención de </w:t>
      </w:r>
      <w:r w:rsidR="00BA6E9C" w:rsidRPr="002A2450">
        <w:rPr>
          <w:rFonts w:ascii="ITC Avant Garde" w:hAnsi="ITC Avant Garde"/>
          <w:b/>
        </w:rPr>
        <w:t>“TELMEX”</w:t>
      </w:r>
      <w:r w:rsidR="00BA6E9C" w:rsidRPr="002A2450">
        <w:rPr>
          <w:rFonts w:ascii="ITC Avant Garde" w:hAnsi="ITC Avant Garde"/>
        </w:rPr>
        <w:t xml:space="preserve"> en dicho procedimiento presume la coexistencia de un interés en la operación de un negocio que no es propio de dicha concesionaria de ahí que efectivamente existan elementos para presumir que con dichas conductas, </w:t>
      </w:r>
      <w:r w:rsidR="00BA6E9C" w:rsidRPr="002A2450">
        <w:rPr>
          <w:rFonts w:ascii="ITC Avant Garde" w:hAnsi="ITC Avant Garde"/>
          <w:b/>
        </w:rPr>
        <w:t>“TELMEX”</w:t>
      </w:r>
      <w:r w:rsidR="00BA6E9C" w:rsidRPr="002A2450">
        <w:rPr>
          <w:rFonts w:ascii="ITC Avant Garde" w:hAnsi="ITC Avant Garde"/>
        </w:rPr>
        <w:t xml:space="preserve"> participa no como proveedor sino como un verdadero miembro </w:t>
      </w:r>
      <w:r w:rsidR="002F5C77" w:rsidRPr="002A2450">
        <w:rPr>
          <w:rFonts w:ascii="ITC Avant Garde" w:hAnsi="ITC Avant Garde"/>
        </w:rPr>
        <w:t xml:space="preserve">en la conducción </w:t>
      </w:r>
      <w:r w:rsidR="00BA6E9C" w:rsidRPr="002A2450">
        <w:rPr>
          <w:rFonts w:ascii="ITC Avant Garde" w:hAnsi="ITC Avant Garde"/>
        </w:rPr>
        <w:t xml:space="preserve">del sistema </w:t>
      </w:r>
      <w:r w:rsidR="00BA6E9C" w:rsidRPr="002A2450">
        <w:rPr>
          <w:rFonts w:ascii="ITC Avant Garde" w:hAnsi="ITC Avant Garde"/>
          <w:b/>
        </w:rPr>
        <w:t>“DISH”</w:t>
      </w:r>
      <w:r w:rsidR="00BA6E9C" w:rsidRPr="002A2450">
        <w:rPr>
          <w:rFonts w:ascii="ITC Avant Garde" w:hAnsi="ITC Avant Garde"/>
        </w:rPr>
        <w:t>.</w:t>
      </w:r>
    </w:p>
    <w:p w14:paraId="65E88638" w14:textId="77777777" w:rsidR="00B35F13" w:rsidRDefault="00BA6E9C" w:rsidP="00B35F13">
      <w:pPr>
        <w:spacing w:before="240" w:line="360" w:lineRule="auto"/>
        <w:jc w:val="both"/>
        <w:rPr>
          <w:rFonts w:ascii="ITC Avant Garde" w:hAnsi="ITC Avant Garde"/>
        </w:rPr>
      </w:pPr>
      <w:r w:rsidRPr="002A2450">
        <w:rPr>
          <w:rFonts w:ascii="ITC Avant Garde" w:hAnsi="ITC Avant Garde"/>
        </w:rPr>
        <w:t xml:space="preserve">En tales consideraciones, las oportunidades de mejora como lo señala </w:t>
      </w:r>
      <w:r w:rsidRPr="002A2450">
        <w:rPr>
          <w:rFonts w:ascii="ITC Avant Garde" w:hAnsi="ITC Avant Garde"/>
          <w:b/>
        </w:rPr>
        <w:t>“TELMEX”</w:t>
      </w:r>
      <w:r w:rsidRPr="002A2450">
        <w:rPr>
          <w:rFonts w:ascii="ITC Avant Garde" w:hAnsi="ITC Avant Garde"/>
        </w:rPr>
        <w:t xml:space="preserve"> no fueron respecto de los contratos celebrados sino respecto de la totalidad del negocio</w:t>
      </w:r>
      <w:r w:rsidR="002F5C77" w:rsidRPr="002A2450">
        <w:rPr>
          <w:rFonts w:ascii="ITC Avant Garde" w:hAnsi="ITC Avant Garde"/>
        </w:rPr>
        <w:t>,</w:t>
      </w:r>
      <w:r w:rsidRPr="002A2450">
        <w:rPr>
          <w:rFonts w:ascii="ITC Avant Garde" w:hAnsi="ITC Avant Garde"/>
        </w:rPr>
        <w:t xml:space="preserve"> al existir consensos de marketing, presupuestos y costos, los cuales innegablemente corresponden por su naturaleza a una entidad autónoma, sin embargo, en el presente caso, dicha naturaleza se ve desvirtuada dada la existencia de contratos coaligados y de acciones que presumen</w:t>
      </w:r>
      <w:r w:rsidR="002F5C77" w:rsidRPr="002A2450">
        <w:rPr>
          <w:rFonts w:ascii="ITC Avant Garde" w:hAnsi="ITC Avant Garde"/>
        </w:rPr>
        <w:t xml:space="preserve"> la coparticipación de ambas empresas en las decisiones de negocio</w:t>
      </w:r>
      <w:r w:rsidRPr="002A2450">
        <w:rPr>
          <w:rFonts w:ascii="ITC Avant Garde" w:hAnsi="ITC Avant Garde"/>
        </w:rPr>
        <w:t>.</w:t>
      </w:r>
    </w:p>
    <w:p w14:paraId="44BEC358" w14:textId="77777777" w:rsidR="00B35F13" w:rsidRDefault="00BA6E9C" w:rsidP="00B35F13">
      <w:pPr>
        <w:spacing w:before="240" w:line="360" w:lineRule="auto"/>
        <w:jc w:val="both"/>
        <w:rPr>
          <w:rFonts w:ascii="ITC Avant Garde" w:hAnsi="ITC Avant Garde"/>
          <w:b/>
        </w:rPr>
      </w:pPr>
      <w:r w:rsidRPr="002A2450">
        <w:rPr>
          <w:rFonts w:ascii="ITC Avant Garde" w:hAnsi="ITC Avant Garde"/>
        </w:rPr>
        <w:t xml:space="preserve">Ahora bien, de las minutas y/o hojas de trabajo que se han transcrito en líneas superiores, esta autoridad tampoco advierte que los temas discutidos refieren necesariamente sobre la base de los contratos firmados sino respecto de la operación del servicio </w:t>
      </w:r>
      <w:r w:rsidRPr="002A2450">
        <w:rPr>
          <w:rFonts w:ascii="ITC Avant Garde" w:hAnsi="ITC Avant Garde"/>
          <w:b/>
        </w:rPr>
        <w:t>“D</w:t>
      </w:r>
      <w:r w:rsidR="00B61711" w:rsidRPr="002A2450">
        <w:rPr>
          <w:rFonts w:ascii="ITC Avant Garde" w:hAnsi="ITC Avant Garde"/>
          <w:b/>
        </w:rPr>
        <w:t>TH</w:t>
      </w:r>
      <w:r w:rsidRPr="002A2450">
        <w:rPr>
          <w:rFonts w:ascii="ITC Avant Garde" w:hAnsi="ITC Avant Garde"/>
          <w:b/>
        </w:rPr>
        <w:t>”</w:t>
      </w:r>
      <w:r w:rsidRPr="002A2450">
        <w:rPr>
          <w:rFonts w:ascii="ITC Avant Garde" w:hAnsi="ITC Avant Garde"/>
        </w:rPr>
        <w:t>, puesto que no existen sugerencias de operación o mejoras respecto de los contratos</w:t>
      </w:r>
      <w:r w:rsidRPr="002A2450">
        <w:rPr>
          <w:rFonts w:ascii="ITC Avant Garde" w:hAnsi="ITC Avant Garde"/>
          <w:b/>
        </w:rPr>
        <w:t>.</w:t>
      </w:r>
    </w:p>
    <w:p w14:paraId="1D98782B" w14:textId="77777777" w:rsidR="00B35F13" w:rsidRDefault="00BA6E9C" w:rsidP="00B35F13">
      <w:pPr>
        <w:spacing w:before="240" w:line="360" w:lineRule="auto"/>
        <w:jc w:val="both"/>
        <w:rPr>
          <w:rFonts w:ascii="ITC Avant Garde" w:hAnsi="ITC Avant Garde"/>
        </w:rPr>
      </w:pPr>
      <w:r w:rsidRPr="002A2450">
        <w:rPr>
          <w:rFonts w:ascii="ITC Avant Garde" w:hAnsi="ITC Avant Garde"/>
        </w:rPr>
        <w:t xml:space="preserve">En ese sentido, en nada beneficia que </w:t>
      </w:r>
      <w:r w:rsidRPr="002A2450">
        <w:rPr>
          <w:rFonts w:ascii="ITC Avant Garde" w:hAnsi="ITC Avant Garde"/>
          <w:b/>
        </w:rPr>
        <w:t>“TELMEX”</w:t>
      </w:r>
      <w:r w:rsidRPr="002A2450">
        <w:rPr>
          <w:rFonts w:ascii="ITC Avant Garde" w:hAnsi="ITC Avant Garde"/>
        </w:rPr>
        <w:t xml:space="preserve"> advierta que los mecanismos propuestos en los contratos concedan o no el control conjunto, legal o de facto </w:t>
      </w:r>
      <w:r w:rsidRPr="002A2450">
        <w:rPr>
          <w:rFonts w:ascii="ITC Avant Garde" w:hAnsi="ITC Avant Garde"/>
        </w:rPr>
        <w:lastRenderedPageBreak/>
        <w:t xml:space="preserve">sobre </w:t>
      </w:r>
      <w:r w:rsidRPr="002A2450">
        <w:rPr>
          <w:rFonts w:ascii="ITC Avant Garde" w:hAnsi="ITC Avant Garde"/>
          <w:b/>
        </w:rPr>
        <w:t>“DISH MÉXICO”</w:t>
      </w:r>
      <w:r w:rsidRPr="002A2450">
        <w:rPr>
          <w:rFonts w:ascii="ITC Avant Garde" w:hAnsi="ITC Avant Garde"/>
        </w:rPr>
        <w:t xml:space="preserve"> puesto que ello no es la materia del presente procedimiento sino cómo a través de los contratos se permitió la </w:t>
      </w:r>
      <w:r w:rsidR="008F718E" w:rsidRPr="009E34A4">
        <w:rPr>
          <w:rFonts w:ascii="ITC Avant Garde" w:hAnsi="ITC Avant Garde"/>
        </w:rPr>
        <w:t xml:space="preserve">explotación indirecta </w:t>
      </w:r>
      <w:r w:rsidRPr="002A2450">
        <w:rPr>
          <w:rFonts w:ascii="ITC Avant Garde" w:hAnsi="ITC Avant Garde"/>
        </w:rPr>
        <w:t xml:space="preserve">de un título de concesión </w:t>
      </w:r>
      <w:r w:rsidR="00F705FB" w:rsidRPr="002A2450">
        <w:rPr>
          <w:rFonts w:ascii="ITC Avant Garde" w:hAnsi="ITC Avant Garde"/>
        </w:rPr>
        <w:t xml:space="preserve">que no fue otorgado directamente a </w:t>
      </w:r>
      <w:r w:rsidR="00F705FB" w:rsidRPr="002A2450">
        <w:rPr>
          <w:rFonts w:ascii="ITC Avant Garde" w:hAnsi="ITC Avant Garde"/>
          <w:b/>
        </w:rPr>
        <w:t>“TELMEX”</w:t>
      </w:r>
      <w:r w:rsidR="00F705FB" w:rsidRPr="002A2450">
        <w:rPr>
          <w:rFonts w:ascii="ITC Avant Garde" w:hAnsi="ITC Avant Garde"/>
        </w:rPr>
        <w:t xml:space="preserve"> de ahí que los elementos constitutivos de control o influencia significativa resulten irrelevantes en el presente asunto y por ello insuficientes.</w:t>
      </w:r>
    </w:p>
    <w:p w14:paraId="1E2D359E" w14:textId="77777777" w:rsidR="00B35F13" w:rsidRDefault="00F705FB" w:rsidP="00B35F13">
      <w:pPr>
        <w:spacing w:before="240" w:line="360" w:lineRule="auto"/>
        <w:jc w:val="both"/>
        <w:rPr>
          <w:rFonts w:ascii="ITC Avant Garde" w:hAnsi="ITC Avant Garde"/>
        </w:rPr>
      </w:pPr>
      <w:r w:rsidRPr="002A2450">
        <w:rPr>
          <w:rFonts w:ascii="ITC Avant Garde" w:hAnsi="ITC Avant Garde"/>
        </w:rPr>
        <w:t xml:space="preserve">Por otro lado, tampoco desvirtúa la conducta materia del presente procedimiento el hecho de que </w:t>
      </w:r>
      <w:r w:rsidRPr="002A2450">
        <w:rPr>
          <w:rFonts w:ascii="ITC Avant Garde" w:hAnsi="ITC Avant Garde"/>
          <w:b/>
        </w:rPr>
        <w:t>“TELMEX”</w:t>
      </w:r>
      <w:r w:rsidRPr="002A2450">
        <w:rPr>
          <w:rFonts w:ascii="ITC Avant Garde" w:hAnsi="ITC Avant Garde"/>
        </w:rPr>
        <w:t xml:space="preserve"> manifieste que a las reuniones sostenidas con </w:t>
      </w:r>
      <w:r w:rsidRPr="002A2450">
        <w:rPr>
          <w:rFonts w:ascii="ITC Avant Garde" w:hAnsi="ITC Avant Garde"/>
          <w:b/>
        </w:rPr>
        <w:t>“DISH MÉXICO”</w:t>
      </w:r>
      <w:r w:rsidRPr="002A2450">
        <w:rPr>
          <w:rFonts w:ascii="ITC Avant Garde" w:hAnsi="ITC Avant Garde"/>
        </w:rPr>
        <w:t xml:space="preserve"> pudieran o no ser miembros del consejo de administración ni mucho menos que hubiesen actuado con ese cargo, puesto que siendo o no miembros del consejo de administración las personas que actuaron en dichas reuniones bajo la presunción prevista en el artículo 11 de la Ley Federal de Trabajo pueden considerarse como representantes de </w:t>
      </w:r>
      <w:r w:rsidRPr="002A2450">
        <w:rPr>
          <w:rFonts w:ascii="ITC Avant Garde" w:hAnsi="ITC Avant Garde"/>
          <w:b/>
        </w:rPr>
        <w:t>“TELMEX”</w:t>
      </w:r>
      <w:r w:rsidRPr="002A2450">
        <w:rPr>
          <w:rFonts w:ascii="ITC Avant Garde" w:hAnsi="ITC Avant Garde"/>
        </w:rPr>
        <w:t xml:space="preserve"> puesto que en cualquier otro caso, no se justifica su asistencia</w:t>
      </w:r>
      <w:r w:rsidR="002F5C77" w:rsidRPr="002A2450">
        <w:rPr>
          <w:rFonts w:ascii="ITC Avant Garde" w:hAnsi="ITC Avant Garde"/>
        </w:rPr>
        <w:t>,</w:t>
      </w:r>
      <w:r w:rsidRPr="002A2450">
        <w:rPr>
          <w:rFonts w:ascii="ITC Avant Garde" w:hAnsi="ITC Avant Garde"/>
        </w:rPr>
        <w:t xml:space="preserve"> aunado a que tampoco dicha concesionaria acredita que acudieron por su propio derecho ni mucho menos que acudieron de manera personalísima a tocar temas, en su caso, de un negocio que no es propio, esto es, no existe una desvinculaci</w:t>
      </w:r>
      <w:r w:rsidR="002F5C77" w:rsidRPr="002A2450">
        <w:rPr>
          <w:rFonts w:ascii="ITC Avant Garde" w:hAnsi="ITC Avant Garde"/>
        </w:rPr>
        <w:t>ón como la que pretende hacer vale</w:t>
      </w:r>
      <w:r w:rsidRPr="002A2450">
        <w:rPr>
          <w:rFonts w:ascii="ITC Avant Garde" w:hAnsi="ITC Avant Garde"/>
        </w:rPr>
        <w:t xml:space="preserve">r </w:t>
      </w:r>
      <w:r w:rsidRPr="002A2450">
        <w:rPr>
          <w:rFonts w:ascii="ITC Avant Garde" w:hAnsi="ITC Avant Garde"/>
          <w:b/>
        </w:rPr>
        <w:t>“TELMEX”</w:t>
      </w:r>
      <w:r w:rsidRPr="002A2450">
        <w:rPr>
          <w:rFonts w:ascii="ITC Avant Garde" w:hAnsi="ITC Avant Garde"/>
        </w:rPr>
        <w:t xml:space="preserve"> sino que por el contrario, existen elementos que permiten presumir que acudieron en representación de esa concesionaria a tocar temas de interés de esa empresa para establecer mecanismos de operación para la mejora en la operación del servicio prestado</w:t>
      </w:r>
      <w:r w:rsidR="001715DA" w:rsidRPr="002A2450">
        <w:rPr>
          <w:rFonts w:ascii="ITC Avant Garde" w:hAnsi="ITC Avant Garde"/>
        </w:rPr>
        <w:t>, puesto que aun suponiendo sin conceder que actuaron a nombre propio, no existen elementos que permitan presumir lo contrario, de ahí que dichas manifestaciones sólo sean argumentaciones sin fundamento ni prueba alguna.</w:t>
      </w:r>
      <w:r w:rsidR="002F5C77" w:rsidRPr="002A2450">
        <w:rPr>
          <w:rFonts w:ascii="ITC Avant Garde" w:hAnsi="ITC Avant Garde"/>
        </w:rPr>
        <w:t xml:space="preserve"> Lo anterior al margen de que entre los asistentes a dichas reuniones estaban presentes personas del más alto nivel de ambas empresas.</w:t>
      </w:r>
    </w:p>
    <w:p w14:paraId="7D753B51" w14:textId="77777777" w:rsidR="00B35F13" w:rsidRDefault="007148FB" w:rsidP="00B35F13">
      <w:pPr>
        <w:spacing w:before="240" w:line="360" w:lineRule="auto"/>
        <w:jc w:val="both"/>
        <w:rPr>
          <w:rFonts w:ascii="ITC Avant Garde" w:hAnsi="ITC Avant Garde"/>
        </w:rPr>
      </w:pPr>
      <w:r w:rsidRPr="002A2450">
        <w:rPr>
          <w:rFonts w:ascii="ITC Avant Garde" w:hAnsi="ITC Avant Garde"/>
        </w:rPr>
        <w:t>Ahora bien, por lo que respecta a las cláusulas por la</w:t>
      </w:r>
      <w:r w:rsidR="00474BE5" w:rsidRPr="002A2450">
        <w:rPr>
          <w:rFonts w:ascii="ITC Avant Garde" w:hAnsi="ITC Avant Garde"/>
        </w:rPr>
        <w:t>s</w:t>
      </w:r>
      <w:r w:rsidRPr="002A2450">
        <w:rPr>
          <w:rFonts w:ascii="ITC Avant Garde" w:hAnsi="ITC Avant Garde"/>
        </w:rPr>
        <w:t xml:space="preserve"> que </w:t>
      </w:r>
      <w:r w:rsidRPr="002A2450">
        <w:rPr>
          <w:rFonts w:ascii="ITC Avant Garde" w:hAnsi="ITC Avant Garde"/>
          <w:b/>
        </w:rPr>
        <w:t>“TELMEX”</w:t>
      </w:r>
      <w:r w:rsidRPr="002A2450">
        <w:rPr>
          <w:rFonts w:ascii="ITC Avant Garde" w:hAnsi="ITC Avant Garde"/>
        </w:rPr>
        <w:t xml:space="preserve"> señala </w:t>
      </w:r>
      <w:r w:rsidR="00474BE5" w:rsidRPr="002A2450">
        <w:rPr>
          <w:rFonts w:ascii="ITC Avant Garde" w:hAnsi="ITC Avant Garde"/>
        </w:rPr>
        <w:t>que existe la exclusión de un posible control, debe señalarse que las mismas sólo advierten que lo señalado en el contrato</w:t>
      </w:r>
      <w:r w:rsidR="00A90AC5" w:rsidRPr="002A2450">
        <w:rPr>
          <w:rFonts w:ascii="ITC Avant Garde" w:hAnsi="ITC Avant Garde"/>
        </w:rPr>
        <w:t>:</w:t>
      </w:r>
      <w:r w:rsidR="00474BE5" w:rsidRPr="002A2450">
        <w:rPr>
          <w:rFonts w:ascii="ITC Avant Garde" w:hAnsi="ITC Avant Garde"/>
        </w:rPr>
        <w:t xml:space="preserve"> </w:t>
      </w:r>
      <w:r w:rsidR="00A90AC5" w:rsidRPr="002A2450">
        <w:rPr>
          <w:rFonts w:ascii="ITC Avant Garde" w:hAnsi="ITC Avant Garde"/>
        </w:rPr>
        <w:t xml:space="preserve">i) no se interpretaría como una prohibición, ii) la relación entre empresas como contratistas independientes, iii) la inexistencia de una sociedad conjunta, iv) la no vinculación salvo la señalada en </w:t>
      </w:r>
      <w:r w:rsidR="00A90AC5" w:rsidRPr="002A2450">
        <w:rPr>
          <w:rFonts w:ascii="ITC Avant Garde" w:hAnsi="ITC Avant Garde"/>
        </w:rPr>
        <w:lastRenderedPageBreak/>
        <w:t xml:space="preserve">el propio contrato; v) la distribución y/o comercialización de los programas </w:t>
      </w:r>
      <w:r w:rsidR="00A90AC5" w:rsidRPr="002A2450">
        <w:rPr>
          <w:rFonts w:ascii="ITC Avant Garde" w:hAnsi="ITC Avant Garde"/>
          <w:b/>
        </w:rPr>
        <w:t xml:space="preserve">”DTH”; </w:t>
      </w:r>
      <w:r w:rsidR="00A90AC5" w:rsidRPr="002A2450">
        <w:rPr>
          <w:rFonts w:ascii="ITC Avant Garde" w:hAnsi="ITC Avant Garde"/>
        </w:rPr>
        <w:t>vi) la no exclusividad; y vi) el ejercicio de la opción.</w:t>
      </w:r>
    </w:p>
    <w:p w14:paraId="3E165EA3" w14:textId="77777777" w:rsidR="00B35F13" w:rsidRDefault="00A90AC5" w:rsidP="00B35F13">
      <w:pPr>
        <w:spacing w:before="240" w:line="360" w:lineRule="auto"/>
        <w:jc w:val="both"/>
        <w:rPr>
          <w:rFonts w:ascii="ITC Avant Garde" w:hAnsi="ITC Avant Garde"/>
        </w:rPr>
      </w:pPr>
      <w:r w:rsidRPr="002A2450">
        <w:rPr>
          <w:rFonts w:ascii="ITC Avant Garde" w:hAnsi="ITC Avant Garde"/>
        </w:rPr>
        <w:t xml:space="preserve">Sin embargo, dichas cláusulas no limitan la posibilidad de llevar a cabo reuniones entre las empresas, acordar la operación del sistema </w:t>
      </w:r>
      <w:r w:rsidRPr="002A2450">
        <w:rPr>
          <w:rFonts w:ascii="ITC Avant Garde" w:hAnsi="ITC Avant Garde"/>
          <w:b/>
        </w:rPr>
        <w:t>“DISH”</w:t>
      </w:r>
      <w:r w:rsidRPr="002A2450">
        <w:rPr>
          <w:rFonts w:ascii="ITC Avant Garde" w:hAnsi="ITC Avant Garde"/>
        </w:rPr>
        <w:t xml:space="preserve"> y la prohibición de llegar acuerdos operativos para la prestación del servicio.</w:t>
      </w:r>
    </w:p>
    <w:p w14:paraId="63A0F4B3" w14:textId="77777777" w:rsidR="00B35F13" w:rsidRDefault="00A90AC5" w:rsidP="00B35F13">
      <w:pPr>
        <w:spacing w:before="240" w:line="360" w:lineRule="auto"/>
        <w:jc w:val="both"/>
        <w:rPr>
          <w:rFonts w:ascii="ITC Avant Garde" w:hAnsi="ITC Avant Garde"/>
        </w:rPr>
      </w:pPr>
      <w:r w:rsidRPr="002A2450">
        <w:rPr>
          <w:rFonts w:ascii="ITC Avant Garde" w:hAnsi="ITC Avant Garde"/>
        </w:rPr>
        <w:t xml:space="preserve">Por tanto, contrario a lo sostenida por </w:t>
      </w:r>
      <w:r w:rsidRPr="002A2450">
        <w:rPr>
          <w:rFonts w:ascii="ITC Avant Garde" w:hAnsi="ITC Avant Garde"/>
          <w:b/>
        </w:rPr>
        <w:t>“TELMEX”</w:t>
      </w:r>
      <w:r w:rsidRPr="002A2450">
        <w:rPr>
          <w:rFonts w:ascii="ITC Avant Garde" w:hAnsi="ITC Avant Garde"/>
        </w:rPr>
        <w:t xml:space="preserve"> dichas cláusulas no desvirtúan en primer lugar la toma de acciones conjuntas derivado de las reuniones sostenidas y en segundo lugar, la conducta materia del presente procedimiento, de lo que se s</w:t>
      </w:r>
      <w:r w:rsidR="002F5C77" w:rsidRPr="002A2450">
        <w:rPr>
          <w:rFonts w:ascii="ITC Avant Garde" w:hAnsi="ITC Avant Garde"/>
        </w:rPr>
        <w:t xml:space="preserve">igue que sus argumentos </w:t>
      </w:r>
      <w:r w:rsidR="00702143" w:rsidRPr="002A2450">
        <w:rPr>
          <w:rFonts w:ascii="ITC Avant Garde" w:hAnsi="ITC Avant Garde"/>
        </w:rPr>
        <w:t>resultan</w:t>
      </w:r>
      <w:r w:rsidRPr="002A2450">
        <w:rPr>
          <w:rFonts w:ascii="ITC Avant Garde" w:hAnsi="ITC Avant Garde"/>
        </w:rPr>
        <w:t xml:space="preserve"> insuficientes para desvirtuar la conducta seguida en la presente resolución.</w:t>
      </w:r>
    </w:p>
    <w:p w14:paraId="75FF222E" w14:textId="77777777" w:rsidR="00B35F13" w:rsidRDefault="00A90AC5" w:rsidP="00B35F13">
      <w:pPr>
        <w:spacing w:before="240" w:line="360" w:lineRule="auto"/>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“TELMEX”</w:t>
      </w:r>
      <w:r w:rsidRPr="002A2450">
        <w:rPr>
          <w:rFonts w:ascii="ITC Avant Garde" w:hAnsi="ITC Avant Garde"/>
        </w:rPr>
        <w:t xml:space="preserve"> lo siguiente:</w:t>
      </w:r>
    </w:p>
    <w:p w14:paraId="42184680" w14:textId="77777777" w:rsidR="00B35F13" w:rsidRDefault="00131710" w:rsidP="00B35F13">
      <w:pPr>
        <w:spacing w:before="240" w:line="360" w:lineRule="auto"/>
        <w:ind w:left="567" w:right="567"/>
        <w:jc w:val="center"/>
        <w:rPr>
          <w:rFonts w:ascii="ITC Avant Garde" w:hAnsi="ITC Avant Garde"/>
          <w:b/>
          <w:i/>
        </w:rPr>
      </w:pPr>
      <w:r w:rsidRPr="002A2450">
        <w:rPr>
          <w:rFonts w:ascii="ITC Avant Garde" w:hAnsi="ITC Avant Garde"/>
          <w:b/>
          <w:i/>
        </w:rPr>
        <w:t>POSIBILIDAD DE TELMEX PARA PARTICIPAR EN EL PAGO DE DIVIDENDOS</w:t>
      </w:r>
    </w:p>
    <w:p w14:paraId="40F4A16D" w14:textId="77777777" w:rsidR="00B35F13" w:rsidRDefault="00131710" w:rsidP="00B35F13">
      <w:pPr>
        <w:spacing w:before="240" w:line="360" w:lineRule="auto"/>
        <w:ind w:left="567" w:right="567"/>
        <w:jc w:val="both"/>
        <w:rPr>
          <w:rFonts w:ascii="ITC Avant Garde" w:hAnsi="ITC Avant Garde"/>
          <w:i/>
        </w:rPr>
      </w:pPr>
      <w:r w:rsidRPr="002A2450">
        <w:rPr>
          <w:rFonts w:ascii="ITC Avant Garde" w:hAnsi="ITC Avant Garde"/>
          <w:i/>
        </w:rPr>
        <w:t xml:space="preserve">La Unidad de Cumplimiento pretende establecer que por la sola posibilidad de que se llegara a materializar un hecho futuro a que se refiere el contrato de opción, </w:t>
      </w:r>
      <w:r w:rsidR="009C1E85" w:rsidRPr="002A2450">
        <w:rPr>
          <w:rFonts w:ascii="ITC Avant Garde" w:hAnsi="ITC Avant Garde"/>
          <w:i/>
        </w:rPr>
        <w:t xml:space="preserve">lo cual la </w:t>
      </w:r>
      <w:r w:rsidRPr="002A2450">
        <w:rPr>
          <w:rFonts w:ascii="ITC Avant Garde" w:hAnsi="ITC Avant Garde"/>
          <w:i/>
        </w:rPr>
        <w:t>hace llegar a conclusiones y afirmaciones por demás alejadas de la realidad.</w:t>
      </w:r>
    </w:p>
    <w:p w14:paraId="0239C687" w14:textId="77777777" w:rsidR="00B35F13" w:rsidRDefault="00131710" w:rsidP="00B35F13">
      <w:pPr>
        <w:spacing w:before="240" w:line="360" w:lineRule="auto"/>
        <w:ind w:left="567" w:right="567"/>
        <w:jc w:val="both"/>
        <w:rPr>
          <w:rFonts w:ascii="ITC Avant Garde" w:hAnsi="ITC Avant Garde"/>
          <w:i/>
        </w:rPr>
      </w:pPr>
      <w:r w:rsidRPr="002A2450">
        <w:rPr>
          <w:rFonts w:ascii="ITC Avant Garde" w:hAnsi="ITC Avant Garde"/>
          <w:i/>
        </w:rPr>
        <w:t>Aunque esta Unidad de Cumplimiento reconoce con el organigrama que dichas empresas no son accionistas, hace parecer lo contrario.</w:t>
      </w:r>
    </w:p>
    <w:p w14:paraId="7C59F071" w14:textId="77777777" w:rsidR="00B35F13" w:rsidRDefault="00131710" w:rsidP="00B35F13">
      <w:pPr>
        <w:spacing w:before="240" w:line="360" w:lineRule="auto"/>
        <w:ind w:left="567" w:right="567"/>
        <w:jc w:val="both"/>
        <w:rPr>
          <w:rFonts w:ascii="ITC Avant Garde" w:hAnsi="ITC Avant Garde"/>
          <w:i/>
        </w:rPr>
      </w:pPr>
      <w:r w:rsidRPr="002A2450">
        <w:rPr>
          <w:rFonts w:ascii="ITC Avant Garde" w:hAnsi="ITC Avant Garde"/>
          <w:i/>
        </w:rPr>
        <w:t xml:space="preserve">En el diagrama parece demostrarse que </w:t>
      </w:r>
      <w:r w:rsidR="005B601B" w:rsidRPr="002A2450">
        <w:rPr>
          <w:rFonts w:ascii="ITC Avant Garde" w:hAnsi="ITC Avant Garde"/>
          <w:b/>
          <w:i/>
        </w:rPr>
        <w:t>“TELMEX”</w:t>
      </w:r>
      <w:r w:rsidRPr="002A2450">
        <w:rPr>
          <w:rFonts w:ascii="ITC Avant Garde" w:hAnsi="ITC Avant Garde"/>
          <w:i/>
        </w:rPr>
        <w:t xml:space="preserve"> por conducto de </w:t>
      </w:r>
      <w:proofErr w:type="spellStart"/>
      <w:r w:rsidRPr="002A2450">
        <w:rPr>
          <w:rFonts w:ascii="ITC Avant Garde" w:hAnsi="ITC Avant Garde"/>
          <w:i/>
        </w:rPr>
        <w:t>Teninver</w:t>
      </w:r>
      <w:proofErr w:type="spellEnd"/>
      <w:r w:rsidRPr="002A2450">
        <w:rPr>
          <w:rFonts w:ascii="ITC Avant Garde" w:hAnsi="ITC Avant Garde"/>
          <w:i/>
        </w:rPr>
        <w:t xml:space="preserve"> y Echo </w:t>
      </w:r>
      <w:proofErr w:type="spellStart"/>
      <w:r w:rsidRPr="002A2450">
        <w:rPr>
          <w:rFonts w:ascii="ITC Avant Garde" w:hAnsi="ITC Avant Garde"/>
          <w:i/>
        </w:rPr>
        <w:t>Star</w:t>
      </w:r>
      <w:proofErr w:type="spellEnd"/>
      <w:r w:rsidRPr="002A2450">
        <w:rPr>
          <w:rFonts w:ascii="ITC Avant Garde" w:hAnsi="ITC Avant Garde"/>
          <w:i/>
        </w:rPr>
        <w:t xml:space="preserve"> y MVS por conducto de </w:t>
      </w:r>
      <w:proofErr w:type="spellStart"/>
      <w:r w:rsidRPr="002A2450">
        <w:rPr>
          <w:rFonts w:ascii="ITC Avant Garde" w:hAnsi="ITC Avant Garde"/>
          <w:i/>
        </w:rPr>
        <w:t>Dish</w:t>
      </w:r>
      <w:proofErr w:type="spellEnd"/>
      <w:r w:rsidRPr="002A2450">
        <w:rPr>
          <w:rFonts w:ascii="ITC Avant Garde" w:hAnsi="ITC Avant Garde"/>
          <w:i/>
        </w:rPr>
        <w:t xml:space="preserve"> México Holding son propietarios de </w:t>
      </w:r>
      <w:proofErr w:type="spellStart"/>
      <w:r w:rsidRPr="002A2450">
        <w:rPr>
          <w:rFonts w:ascii="ITC Avant Garde" w:hAnsi="ITC Avant Garde"/>
          <w:i/>
        </w:rPr>
        <w:t>Dish</w:t>
      </w:r>
      <w:proofErr w:type="spellEnd"/>
      <w:r w:rsidRPr="002A2450">
        <w:rPr>
          <w:rFonts w:ascii="ITC Avant Garde" w:hAnsi="ITC Avant Garde"/>
          <w:i/>
        </w:rPr>
        <w:t xml:space="preserve"> México y de </w:t>
      </w:r>
      <w:proofErr w:type="spellStart"/>
      <w:r w:rsidRPr="002A2450">
        <w:rPr>
          <w:rFonts w:ascii="ITC Avant Garde" w:hAnsi="ITC Avant Garde"/>
          <w:i/>
        </w:rPr>
        <w:t>Cofresa</w:t>
      </w:r>
      <w:proofErr w:type="spellEnd"/>
      <w:r w:rsidRPr="002A2450">
        <w:rPr>
          <w:rFonts w:ascii="ITC Avant Garde" w:hAnsi="ITC Avant Garde"/>
          <w:i/>
        </w:rPr>
        <w:t>.</w:t>
      </w:r>
    </w:p>
    <w:p w14:paraId="619210BC" w14:textId="77777777" w:rsidR="00A80E02" w:rsidRDefault="00131710" w:rsidP="00B35F13">
      <w:pPr>
        <w:spacing w:before="240" w:line="360" w:lineRule="auto"/>
        <w:ind w:left="567" w:right="567"/>
        <w:jc w:val="both"/>
        <w:rPr>
          <w:rFonts w:ascii="ITC Avant Garde" w:hAnsi="ITC Avant Garde"/>
          <w:i/>
        </w:rPr>
        <w:sectPr w:rsidR="00A80E02" w:rsidSect="009F3771">
          <w:headerReference w:type="default" r:id="rId46"/>
          <w:pgSz w:w="12240" w:h="15840"/>
          <w:pgMar w:top="1985" w:right="1701" w:bottom="1418" w:left="1701" w:header="709" w:footer="709" w:gutter="0"/>
          <w:cols w:space="708"/>
          <w:docGrid w:linePitch="360"/>
        </w:sectPr>
      </w:pPr>
      <w:r w:rsidRPr="002A2450">
        <w:rPr>
          <w:rFonts w:ascii="ITC Avant Garde" w:hAnsi="ITC Avant Garde"/>
          <w:i/>
        </w:rPr>
        <w:t xml:space="preserve">Sin embargo, la estructura de propiedad de </w:t>
      </w:r>
      <w:proofErr w:type="spellStart"/>
      <w:r w:rsidRPr="002A2450">
        <w:rPr>
          <w:rFonts w:ascii="ITC Avant Garde" w:hAnsi="ITC Avant Garde"/>
          <w:i/>
        </w:rPr>
        <w:t>Cofresa</w:t>
      </w:r>
      <w:proofErr w:type="spellEnd"/>
      <w:r w:rsidRPr="002A2450">
        <w:rPr>
          <w:rFonts w:ascii="ITC Avant Garde" w:hAnsi="ITC Avant Garde"/>
          <w:i/>
        </w:rPr>
        <w:t xml:space="preserve"> fue producto de la transacción celebrada entre Echo </w:t>
      </w:r>
      <w:proofErr w:type="spellStart"/>
      <w:r w:rsidRPr="002A2450">
        <w:rPr>
          <w:rFonts w:ascii="ITC Avant Garde" w:hAnsi="ITC Avant Garde"/>
          <w:i/>
        </w:rPr>
        <w:t>Star</w:t>
      </w:r>
      <w:proofErr w:type="spellEnd"/>
      <w:r w:rsidRPr="002A2450">
        <w:rPr>
          <w:rFonts w:ascii="ITC Avant Garde" w:hAnsi="ITC Avant Garde"/>
          <w:i/>
        </w:rPr>
        <w:t xml:space="preserve"> México, Grupo MVS y GFMTV como dueños de </w:t>
      </w:r>
      <w:proofErr w:type="spellStart"/>
      <w:r w:rsidRPr="002A2450">
        <w:rPr>
          <w:rFonts w:ascii="ITC Avant Garde" w:hAnsi="ITC Avant Garde"/>
          <w:i/>
        </w:rPr>
        <w:t>Dish</w:t>
      </w:r>
      <w:proofErr w:type="spellEnd"/>
      <w:r w:rsidRPr="002A2450">
        <w:rPr>
          <w:rFonts w:ascii="ITC Avant Garde" w:hAnsi="ITC Avant Garde"/>
          <w:i/>
        </w:rPr>
        <w:t xml:space="preserve"> México Holding quien a su vez es propietaria de </w:t>
      </w:r>
      <w:proofErr w:type="spellStart"/>
      <w:r w:rsidRPr="002A2450">
        <w:rPr>
          <w:rFonts w:ascii="ITC Avant Garde" w:hAnsi="ITC Avant Garde"/>
          <w:i/>
        </w:rPr>
        <w:t>Dish</w:t>
      </w:r>
      <w:proofErr w:type="spellEnd"/>
      <w:r w:rsidRPr="002A2450">
        <w:rPr>
          <w:rFonts w:ascii="ITC Avant Garde" w:hAnsi="ITC Avant Garde"/>
          <w:i/>
        </w:rPr>
        <w:t xml:space="preserve"> México, accionista de </w:t>
      </w:r>
      <w:proofErr w:type="spellStart"/>
      <w:r w:rsidRPr="002A2450">
        <w:rPr>
          <w:rFonts w:ascii="ITC Avant Garde" w:hAnsi="ITC Avant Garde"/>
          <w:i/>
        </w:rPr>
        <w:t>Cofresa</w:t>
      </w:r>
      <w:proofErr w:type="spellEnd"/>
      <w:r w:rsidRPr="002A2450">
        <w:rPr>
          <w:rFonts w:ascii="ITC Avant Garde" w:hAnsi="ITC Avant Garde"/>
          <w:i/>
        </w:rPr>
        <w:t>.</w:t>
      </w:r>
    </w:p>
    <w:p w14:paraId="33CD0B59" w14:textId="77777777" w:rsidR="00B35F13" w:rsidRDefault="00131710"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Con lo cual puede apreciarse que Grupo MVS y Echo </w:t>
      </w:r>
      <w:proofErr w:type="spellStart"/>
      <w:r w:rsidRPr="002A2450">
        <w:rPr>
          <w:rFonts w:ascii="ITC Avant Garde" w:hAnsi="ITC Avant Garde"/>
          <w:i/>
        </w:rPr>
        <w:t>Star</w:t>
      </w:r>
      <w:proofErr w:type="spellEnd"/>
      <w:r w:rsidRPr="002A2450">
        <w:rPr>
          <w:rFonts w:ascii="ITC Avant Garde" w:hAnsi="ITC Avant Garde"/>
          <w:i/>
        </w:rPr>
        <w:t xml:space="preserve"> México son propietarias al 100% de </w:t>
      </w:r>
      <w:proofErr w:type="spellStart"/>
      <w:r w:rsidRPr="002A2450">
        <w:rPr>
          <w:rFonts w:ascii="ITC Avant Garde" w:hAnsi="ITC Avant Garde"/>
          <w:i/>
        </w:rPr>
        <w:t>Dish</w:t>
      </w:r>
      <w:proofErr w:type="spellEnd"/>
      <w:r w:rsidRPr="002A2450">
        <w:rPr>
          <w:rFonts w:ascii="ITC Avant Garde" w:hAnsi="ITC Avant Garde"/>
          <w:i/>
        </w:rPr>
        <w:t xml:space="preserve"> México Holding que a su vez es dueña de </w:t>
      </w:r>
      <w:proofErr w:type="spellStart"/>
      <w:r w:rsidRPr="002A2450">
        <w:rPr>
          <w:rFonts w:ascii="ITC Avant Garde" w:hAnsi="ITC Avant Garde"/>
          <w:i/>
        </w:rPr>
        <w:t>Dish</w:t>
      </w:r>
      <w:proofErr w:type="spellEnd"/>
      <w:r w:rsidRPr="002A2450">
        <w:rPr>
          <w:rFonts w:ascii="ITC Avant Garde" w:hAnsi="ITC Avant Garde"/>
          <w:i/>
        </w:rPr>
        <w:t xml:space="preserve"> México, que a su vez es dueña de </w:t>
      </w:r>
      <w:proofErr w:type="spellStart"/>
      <w:r w:rsidRPr="002A2450">
        <w:rPr>
          <w:rFonts w:ascii="ITC Avant Garde" w:hAnsi="ITC Avant Garde"/>
          <w:i/>
        </w:rPr>
        <w:t>Cofresa</w:t>
      </w:r>
      <w:proofErr w:type="spellEnd"/>
      <w:r w:rsidRPr="002A2450">
        <w:rPr>
          <w:rFonts w:ascii="ITC Avant Garde" w:hAnsi="ITC Avant Garde"/>
          <w:i/>
        </w:rPr>
        <w:t xml:space="preserve">. Ni </w:t>
      </w:r>
      <w:r w:rsidR="005B601B" w:rsidRPr="002A2450">
        <w:rPr>
          <w:rFonts w:ascii="ITC Avant Garde" w:hAnsi="ITC Avant Garde"/>
          <w:b/>
          <w:i/>
        </w:rPr>
        <w:t>“TELMEX”</w:t>
      </w:r>
      <w:r w:rsidRPr="002A2450">
        <w:rPr>
          <w:rFonts w:ascii="ITC Avant Garde" w:hAnsi="ITC Avant Garde"/>
          <w:i/>
        </w:rPr>
        <w:t xml:space="preserve"> ni </w:t>
      </w:r>
      <w:proofErr w:type="spellStart"/>
      <w:r w:rsidRPr="002A2450">
        <w:rPr>
          <w:rFonts w:ascii="ITC Avant Garde" w:hAnsi="ITC Avant Garde"/>
          <w:i/>
        </w:rPr>
        <w:t>Teninver</w:t>
      </w:r>
      <w:proofErr w:type="spellEnd"/>
      <w:r w:rsidRPr="002A2450">
        <w:rPr>
          <w:rFonts w:ascii="ITC Avant Garde" w:hAnsi="ITC Avant Garde"/>
          <w:i/>
        </w:rPr>
        <w:t xml:space="preserve"> son propietarias de acción alguna emitida por dichas empresas.</w:t>
      </w:r>
    </w:p>
    <w:p w14:paraId="15724396" w14:textId="77777777" w:rsidR="00B35F13" w:rsidRDefault="009C1E85" w:rsidP="00B35F13">
      <w:pPr>
        <w:spacing w:before="240" w:line="360" w:lineRule="auto"/>
        <w:jc w:val="both"/>
        <w:rPr>
          <w:rFonts w:ascii="ITC Avant Garde" w:hAnsi="ITC Avant Garde"/>
        </w:rPr>
      </w:pPr>
      <w:r w:rsidRPr="002A2450">
        <w:rPr>
          <w:rFonts w:ascii="ITC Avant Garde" w:hAnsi="ITC Avant Garde"/>
        </w:rPr>
        <w:t>Dichos argumentos resultan insuficientes en virtud de las siguientes consideraciones:</w:t>
      </w:r>
    </w:p>
    <w:p w14:paraId="60AF3A6D" w14:textId="0F31D41E" w:rsidR="00B35F13" w:rsidRDefault="00E257BA" w:rsidP="005B0590">
      <w:pPr>
        <w:spacing w:before="240" w:line="360" w:lineRule="auto"/>
        <w:jc w:val="both"/>
        <w:rPr>
          <w:rFonts w:ascii="ITC Avant Garde" w:hAnsi="ITC Avant Garde"/>
        </w:rPr>
      </w:pPr>
      <w:r w:rsidRPr="002A2450">
        <w:rPr>
          <w:rFonts w:ascii="ITC Avant Garde" w:hAnsi="ITC Avant Garde"/>
        </w:rPr>
        <w:t xml:space="preserve">En términos del acuerdo de inicio del procedimiento administrativo de imposición de sanción, se señaló que el contrato de opción de compra y venta en su </w:t>
      </w:r>
      <w:r w:rsidR="001158B8" w:rsidRPr="0047339C">
        <w:rPr>
          <w:rFonts w:ascii="ITC Avant Garde" w:eastAsiaTheme="majorEastAsia" w:hAnsi="ITC Avant Garde" w:cstheme="majorBidi"/>
          <w:b/>
          <w:color w:val="0000FF"/>
          <w:szCs w:val="32"/>
        </w:rPr>
        <w:t>“CONFIDENCIAL POR LEY”</w:t>
      </w:r>
      <w:r w:rsidRPr="0047339C">
        <w:rPr>
          <w:rFonts w:ascii="ITC Avant Garde" w:hAnsi="ITC Avant Garde"/>
          <w:b/>
        </w:rPr>
        <w:t>,</w:t>
      </w:r>
      <w:r w:rsidRPr="002A2450">
        <w:rPr>
          <w:rFonts w:ascii="ITC Avant Garde" w:hAnsi="ITC Avant Garde"/>
        </w:rPr>
        <w:t xml:space="preserve"> señalaba lo siguiente:</w:t>
      </w:r>
    </w:p>
    <w:p w14:paraId="589C45E6" w14:textId="137D847B" w:rsidR="00B35F13" w:rsidRPr="0047339C" w:rsidRDefault="001158B8" w:rsidP="0047339C">
      <w:pPr>
        <w:spacing w:before="240" w:line="360" w:lineRule="auto"/>
        <w:ind w:left="709" w:right="567"/>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70C14E29" w14:textId="77777777" w:rsidR="00B35F13" w:rsidRDefault="00E33FEC" w:rsidP="00B35F13">
      <w:pPr>
        <w:spacing w:before="240" w:line="360" w:lineRule="auto"/>
        <w:jc w:val="both"/>
        <w:rPr>
          <w:rFonts w:ascii="ITC Avant Garde" w:hAnsi="ITC Avant Garde"/>
          <w:i/>
        </w:rPr>
      </w:pPr>
      <w:r w:rsidRPr="002A2450">
        <w:rPr>
          <w:rFonts w:ascii="ITC Avant Garde" w:hAnsi="ITC Avant Garde"/>
        </w:rPr>
        <w:t xml:space="preserve">Ahora bien, también se señaló en el acuerdo de inicio que en términos de la </w:t>
      </w:r>
      <w:r w:rsidR="001158B8"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r w:rsidRPr="002A2450">
        <w:rPr>
          <w:rFonts w:ascii="ITC Avant Garde" w:hAnsi="ITC Avant Garde"/>
          <w:i/>
        </w:rPr>
        <w:t>“Definiciones”</w:t>
      </w:r>
      <w:r w:rsidRPr="002A2450">
        <w:rPr>
          <w:rFonts w:ascii="ITC Avant Garde" w:hAnsi="ITC Avant Garde"/>
        </w:rPr>
        <w:t xml:space="preserve"> se entendía por </w:t>
      </w:r>
      <w:r w:rsidR="002F5C77" w:rsidRPr="002A2450">
        <w:rPr>
          <w:rFonts w:ascii="ITC Avant Garde" w:hAnsi="ITC Avant Garde"/>
          <w:i/>
        </w:rPr>
        <w:t>“</w:t>
      </w:r>
      <w:r w:rsidRPr="002A2450">
        <w:rPr>
          <w:rFonts w:ascii="ITC Avant Garde" w:hAnsi="ITC Avant Garde"/>
          <w:i/>
        </w:rPr>
        <w:t>participación</w:t>
      </w:r>
      <w:r w:rsidR="002F5C77" w:rsidRPr="002A2450">
        <w:rPr>
          <w:rFonts w:ascii="ITC Avant Garde" w:hAnsi="ITC Avant Garde"/>
          <w:i/>
        </w:rPr>
        <w:t>”</w:t>
      </w:r>
      <w:r w:rsidRPr="002A2450">
        <w:rPr>
          <w:rFonts w:ascii="ITC Avant Garde" w:hAnsi="ITC Avant Garde"/>
        </w:rPr>
        <w:t xml:space="preserve"> lo siguiente: </w:t>
      </w:r>
      <w:r w:rsidRPr="002A2450">
        <w:rPr>
          <w:rFonts w:ascii="ITC Avant Garde" w:hAnsi="ITC Avant Garde"/>
          <w:i/>
        </w:rPr>
        <w:t xml:space="preserve">“Participación” significa respecto de cualquier Persona, cualesquiera y todos lo valores (incluidos título ligados a acciones), participaciones (incluyendo partes sociales), </w:t>
      </w:r>
      <w:r w:rsidRPr="002A2450">
        <w:rPr>
          <w:rFonts w:ascii="ITC Avant Garde" w:hAnsi="ITC Avant Garde"/>
          <w:b/>
          <w:i/>
          <w:u w:val="single"/>
        </w:rPr>
        <w:t>derechos de compra</w:t>
      </w:r>
      <w:r w:rsidRPr="002A2450">
        <w:rPr>
          <w:rFonts w:ascii="ITC Avant Garde" w:hAnsi="ITC Avant Garde"/>
          <w:i/>
        </w:rPr>
        <w:t>, warrants o títulos opcionales, opciones, participaciones u otros equivalentes u otros intereses (cualquiera que sea su denominación)</w:t>
      </w:r>
      <w:r w:rsidR="00671902" w:rsidRPr="002A2450">
        <w:rPr>
          <w:rFonts w:ascii="ITC Avant Garde" w:hAnsi="ITC Avant Garde"/>
          <w:i/>
        </w:rPr>
        <w:t xml:space="preserve"> en el capital de dicha persona.</w:t>
      </w:r>
    </w:p>
    <w:p w14:paraId="3483F202" w14:textId="77777777" w:rsidR="00B35F13" w:rsidRDefault="00671902" w:rsidP="00B35F13">
      <w:pPr>
        <w:spacing w:before="240" w:line="360" w:lineRule="auto"/>
        <w:jc w:val="both"/>
        <w:rPr>
          <w:rFonts w:ascii="ITC Avant Garde" w:hAnsi="ITC Avant Garde"/>
        </w:rPr>
      </w:pPr>
      <w:r w:rsidRPr="002A2450">
        <w:rPr>
          <w:rFonts w:ascii="ITC Avant Garde" w:hAnsi="ITC Avant Garde"/>
        </w:rPr>
        <w:t xml:space="preserve">Con base en lo anterior, se estableció que efectivamente </w:t>
      </w:r>
      <w:r w:rsidRPr="002A2450">
        <w:rPr>
          <w:rFonts w:ascii="ITC Avant Garde" w:hAnsi="ITC Avant Garde"/>
          <w:b/>
        </w:rPr>
        <w:t>“TELMEX”</w:t>
      </w:r>
      <w:r w:rsidRPr="002A2450">
        <w:rPr>
          <w:rFonts w:ascii="ITC Avant Garde" w:hAnsi="ITC Avant Garde"/>
        </w:rPr>
        <w:t xml:space="preserve"> reservaba para sí la posibilidad de participar en el pago de dividendos pese a que no participara en el capital social, adquiriendo un carácter de accionista sin propiamente serlo</w:t>
      </w:r>
      <w:r w:rsidR="002F5C77" w:rsidRPr="002A2450">
        <w:rPr>
          <w:rFonts w:ascii="ITC Avant Garde" w:hAnsi="ITC Avant Garde"/>
        </w:rPr>
        <w:t>, o dicho de otra forma se estaba atribuyendo el carácter de socio de facto</w:t>
      </w:r>
      <w:r w:rsidRPr="002A2450">
        <w:rPr>
          <w:rFonts w:ascii="ITC Avant Garde" w:hAnsi="ITC Avant Garde"/>
        </w:rPr>
        <w:t>.</w:t>
      </w:r>
    </w:p>
    <w:p w14:paraId="14F3064F" w14:textId="77777777" w:rsidR="00B35F13" w:rsidRDefault="002F5C77" w:rsidP="00B35F13">
      <w:pPr>
        <w:spacing w:before="240" w:line="360" w:lineRule="auto"/>
        <w:jc w:val="both"/>
        <w:rPr>
          <w:rFonts w:ascii="ITC Avant Garde" w:hAnsi="ITC Avant Garde"/>
        </w:rPr>
      </w:pPr>
      <w:r w:rsidRPr="002A2450">
        <w:rPr>
          <w:rFonts w:ascii="ITC Avant Garde" w:hAnsi="ITC Avant Garde"/>
        </w:rPr>
        <w:t xml:space="preserve">Lo anterior es así dado que dicha empresa al tener una opción de compra, automáticamente lo convertía en tenedor de una </w:t>
      </w:r>
      <w:r w:rsidRPr="002A2450">
        <w:rPr>
          <w:rFonts w:ascii="ITC Avant Garde" w:hAnsi="ITC Avant Garde"/>
          <w:i/>
        </w:rPr>
        <w:t xml:space="preserve">“Participación”, </w:t>
      </w:r>
      <w:r w:rsidRPr="002A2450">
        <w:rPr>
          <w:rFonts w:ascii="ITC Avant Garde" w:hAnsi="ITC Avant Garde"/>
        </w:rPr>
        <w:t>y en consecuencia era sujeto activo para recibir dividendos.</w:t>
      </w:r>
    </w:p>
    <w:p w14:paraId="2F727278" w14:textId="77777777" w:rsidR="00A80E02" w:rsidRDefault="00671902" w:rsidP="00B35F13">
      <w:pPr>
        <w:spacing w:before="240" w:line="360" w:lineRule="auto"/>
        <w:jc w:val="both"/>
        <w:rPr>
          <w:rFonts w:ascii="ITC Avant Garde" w:hAnsi="ITC Avant Garde"/>
        </w:rPr>
        <w:sectPr w:rsidR="00A80E02" w:rsidSect="009F3771">
          <w:headerReference w:type="default" r:id="rId47"/>
          <w:pgSz w:w="12240" w:h="15840"/>
          <w:pgMar w:top="1985" w:right="1701" w:bottom="1418" w:left="1701" w:header="709" w:footer="709" w:gutter="0"/>
          <w:cols w:space="708"/>
          <w:docGrid w:linePitch="360"/>
        </w:sectPr>
      </w:pPr>
      <w:r w:rsidRPr="002A2450">
        <w:rPr>
          <w:rFonts w:ascii="ITC Avant Garde" w:hAnsi="ITC Avant Garde"/>
        </w:rPr>
        <w:t xml:space="preserve">En tales consideraciones, debe advertirse que lo señalado por </w:t>
      </w:r>
      <w:r w:rsidRPr="002A2450">
        <w:rPr>
          <w:rFonts w:ascii="ITC Avant Garde" w:hAnsi="ITC Avant Garde"/>
          <w:b/>
        </w:rPr>
        <w:t>“TELMEX”</w:t>
      </w:r>
      <w:r w:rsidRPr="002A2450">
        <w:rPr>
          <w:rFonts w:ascii="ITC Avant Garde" w:hAnsi="ITC Avant Garde"/>
        </w:rPr>
        <w:t xml:space="preserve"> en ningún momento desvirtúa esa posibilidad, esto es, de ser partícipe de los dividendos que </w:t>
      </w:r>
    </w:p>
    <w:p w14:paraId="7135B6D1" w14:textId="45642F2C" w:rsidR="00B35F13" w:rsidRDefault="00671902" w:rsidP="00B35F13">
      <w:pPr>
        <w:spacing w:before="240" w:line="360" w:lineRule="auto"/>
        <w:jc w:val="both"/>
        <w:rPr>
          <w:rFonts w:ascii="ITC Avant Garde" w:hAnsi="ITC Avant Garde"/>
        </w:rPr>
      </w:pPr>
      <w:r w:rsidRPr="002A2450">
        <w:rPr>
          <w:rFonts w:ascii="ITC Avant Garde" w:hAnsi="ITC Avant Garde"/>
        </w:rPr>
        <w:lastRenderedPageBreak/>
        <w:t>en su momento pudieron pagarse a los tenedores de las opciones</w:t>
      </w:r>
      <w:r w:rsidR="002F5C77" w:rsidRPr="002A2450">
        <w:rPr>
          <w:rFonts w:ascii="ITC Avant Garde" w:hAnsi="ITC Avant Garde"/>
        </w:rPr>
        <w:t xml:space="preserve"> </w:t>
      </w:r>
      <w:r w:rsidR="00702143" w:rsidRPr="002A2450">
        <w:rPr>
          <w:rFonts w:ascii="ITC Avant Garde" w:hAnsi="ITC Avant Garde"/>
        </w:rPr>
        <w:t>aún</w:t>
      </w:r>
      <w:r w:rsidR="002F5C77" w:rsidRPr="002A2450">
        <w:rPr>
          <w:rFonts w:ascii="ITC Avant Garde" w:hAnsi="ITC Avant Garde"/>
        </w:rPr>
        <w:t xml:space="preserve"> sin concretarse la opción</w:t>
      </w:r>
      <w:r w:rsidRPr="002A2450">
        <w:rPr>
          <w:rFonts w:ascii="ITC Avant Garde" w:hAnsi="ITC Avant Garde"/>
        </w:rPr>
        <w:t xml:space="preserve">, de lo que se sigue que en nada le beneficia a </w:t>
      </w:r>
      <w:r w:rsidRPr="002A2450">
        <w:rPr>
          <w:rFonts w:ascii="ITC Avant Garde" w:hAnsi="ITC Avant Garde"/>
          <w:b/>
        </w:rPr>
        <w:t xml:space="preserve">“TELMEX” </w:t>
      </w:r>
      <w:r w:rsidRPr="002A2450">
        <w:rPr>
          <w:rFonts w:ascii="ITC Avant Garde" w:hAnsi="ITC Avant Garde"/>
        </w:rPr>
        <w:t xml:space="preserve">el señalar las participaciones y las composiciones accionarias de las demás empresas involucradas ya que precisamente, el carácter coaligado de los contratos, más allá de establecer un sistema operacional del negocio </w:t>
      </w:r>
      <w:r w:rsidRPr="002A2450">
        <w:rPr>
          <w:rFonts w:ascii="ITC Avant Garde" w:hAnsi="ITC Avant Garde"/>
          <w:b/>
        </w:rPr>
        <w:t>“DISH”</w:t>
      </w:r>
      <w:r w:rsidRPr="002A2450">
        <w:rPr>
          <w:rFonts w:ascii="ITC Avant Garde" w:hAnsi="ITC Avant Garde"/>
        </w:rPr>
        <w:t xml:space="preserve"> los mismos </w:t>
      </w:r>
      <w:r w:rsidR="002F5C77" w:rsidRPr="002A2450">
        <w:rPr>
          <w:rFonts w:ascii="ITC Avant Garde" w:hAnsi="ITC Avant Garde"/>
        </w:rPr>
        <w:t xml:space="preserve">permitían </w:t>
      </w:r>
      <w:r w:rsidRPr="002A2450">
        <w:rPr>
          <w:rFonts w:ascii="ITC Avant Garde" w:hAnsi="ITC Avant Garde"/>
        </w:rPr>
        <w:t xml:space="preserve">que </w:t>
      </w:r>
      <w:r w:rsidRPr="002A2450">
        <w:rPr>
          <w:rFonts w:ascii="ITC Avant Garde" w:hAnsi="ITC Avant Garde"/>
          <w:b/>
        </w:rPr>
        <w:t>“TELMEX”</w:t>
      </w:r>
      <w:r w:rsidRPr="002A2450">
        <w:rPr>
          <w:rFonts w:ascii="ITC Avant Garde" w:hAnsi="ITC Avant Garde"/>
        </w:rPr>
        <w:t xml:space="preserve"> </w:t>
      </w:r>
      <w:r w:rsidR="006E7D32" w:rsidRPr="002A2450">
        <w:rPr>
          <w:rFonts w:ascii="ITC Avant Garde" w:hAnsi="ITC Avant Garde"/>
        </w:rPr>
        <w:t xml:space="preserve">mantuviera </w:t>
      </w:r>
      <w:r w:rsidRPr="002A2450">
        <w:rPr>
          <w:rFonts w:ascii="ITC Avant Garde" w:hAnsi="ITC Avant Garde"/>
        </w:rPr>
        <w:t>la posibilidad de obtener el p</w:t>
      </w:r>
      <w:r w:rsidR="006E7D32" w:rsidRPr="002A2450">
        <w:rPr>
          <w:rFonts w:ascii="ITC Avant Garde" w:hAnsi="ITC Avant Garde"/>
        </w:rPr>
        <w:t>ago de dividendos, algo que sin duda es propio de una persona física o moral que tenga la calidad de accionista.</w:t>
      </w:r>
    </w:p>
    <w:p w14:paraId="6129A798" w14:textId="77777777" w:rsidR="00B35F13" w:rsidRDefault="00671902" w:rsidP="00B35F13">
      <w:pPr>
        <w:spacing w:before="240" w:line="360" w:lineRule="auto"/>
        <w:jc w:val="both"/>
        <w:rPr>
          <w:rFonts w:ascii="ITC Avant Garde" w:hAnsi="ITC Avant Garde"/>
        </w:rPr>
      </w:pPr>
      <w:r w:rsidRPr="002A2450">
        <w:rPr>
          <w:rFonts w:ascii="ITC Avant Garde" w:hAnsi="ITC Avant Garde"/>
        </w:rPr>
        <w:t xml:space="preserve">Así las cosas, lo señalado en el acuerdo de inicio del procedimiento administrativo no deriva como lo señala </w:t>
      </w:r>
      <w:r w:rsidRPr="002A2450">
        <w:rPr>
          <w:rFonts w:ascii="ITC Avant Garde" w:hAnsi="ITC Avant Garde"/>
          <w:b/>
        </w:rPr>
        <w:t>“TELMEX”</w:t>
      </w:r>
      <w:r w:rsidRPr="002A2450">
        <w:rPr>
          <w:rFonts w:ascii="ITC Avant Garde" w:hAnsi="ITC Avant Garde"/>
        </w:rPr>
        <w:t xml:space="preserve"> de la posibilidad de un evento futuro sino que de acuerdo al contenido obligacional del mismo se advierte que esa posibilidad sucediendo o no el ejercicio de la opción de compra o de venta, el pago de dividendos podría generarse en cualquier momento, asumiendo por tanto, la posibilidad de participar en el mismo los tenedores de</w:t>
      </w:r>
      <w:r w:rsidR="006E7D32" w:rsidRPr="002A2450">
        <w:rPr>
          <w:rFonts w:ascii="ITC Avant Garde" w:hAnsi="ITC Avant Garde"/>
        </w:rPr>
        <w:t xml:space="preserve"> la</w:t>
      </w:r>
      <w:r w:rsidRPr="002A2450">
        <w:rPr>
          <w:rFonts w:ascii="ITC Avant Garde" w:hAnsi="ITC Avant Garde"/>
        </w:rPr>
        <w:t xml:space="preserve"> opción.</w:t>
      </w:r>
    </w:p>
    <w:p w14:paraId="686C1900" w14:textId="77777777" w:rsidR="00B35F13" w:rsidRDefault="00671902" w:rsidP="00B35F13">
      <w:pPr>
        <w:spacing w:before="240" w:line="360" w:lineRule="auto"/>
        <w:jc w:val="both"/>
        <w:rPr>
          <w:rFonts w:ascii="ITC Avant Garde" w:hAnsi="ITC Avant Garde"/>
        </w:rPr>
      </w:pPr>
      <w:r w:rsidRPr="002A2450">
        <w:rPr>
          <w:rFonts w:ascii="ITC Avant Garde" w:hAnsi="ITC Avant Garde"/>
        </w:rPr>
        <w:t>Por lo anterior, esta autoridad estima que sus manifestaciones resulta</w:t>
      </w:r>
      <w:r w:rsidR="003A28DF" w:rsidRPr="002A2450">
        <w:rPr>
          <w:rFonts w:ascii="ITC Avant Garde" w:hAnsi="ITC Avant Garde"/>
        </w:rPr>
        <w:t>n</w:t>
      </w:r>
      <w:r w:rsidRPr="002A2450">
        <w:rPr>
          <w:rFonts w:ascii="ITC Avant Garde" w:hAnsi="ITC Avant Garde"/>
        </w:rPr>
        <w:t xml:space="preserve"> </w:t>
      </w:r>
      <w:r w:rsidRPr="002A2450">
        <w:rPr>
          <w:rFonts w:ascii="ITC Avant Garde" w:hAnsi="ITC Avant Garde"/>
          <w:b/>
          <w:u w:val="single"/>
        </w:rPr>
        <w:t>insuficientes</w:t>
      </w:r>
      <w:r w:rsidRPr="002A2450">
        <w:rPr>
          <w:rFonts w:ascii="ITC Avant Garde" w:hAnsi="ITC Avant Garde"/>
        </w:rPr>
        <w:t xml:space="preserve"> para desvirtuar la posibilidad de participar en el reparto de dividendos y con ello la posibilidad que genera el interés intrínseco </w:t>
      </w:r>
      <w:r w:rsidR="006E7D32" w:rsidRPr="002A2450">
        <w:rPr>
          <w:rFonts w:ascii="ITC Avant Garde" w:hAnsi="ITC Avant Garde"/>
        </w:rPr>
        <w:t xml:space="preserve">en </w:t>
      </w:r>
      <w:r w:rsidRPr="002A2450">
        <w:rPr>
          <w:rFonts w:ascii="ITC Avant Garde" w:hAnsi="ITC Avant Garde"/>
        </w:rPr>
        <w:t xml:space="preserve">la operación </w:t>
      </w:r>
      <w:r w:rsidR="006E7D32" w:rsidRPr="002A2450">
        <w:rPr>
          <w:rFonts w:ascii="ITC Avant Garde" w:hAnsi="ITC Avant Garde"/>
        </w:rPr>
        <w:t xml:space="preserve">de un negocio que tiene como actividad principal </w:t>
      </w:r>
      <w:r w:rsidRPr="002A2450">
        <w:rPr>
          <w:rFonts w:ascii="ITC Avant Garde" w:hAnsi="ITC Avant Garde"/>
        </w:rPr>
        <w:t xml:space="preserve">la explotación de </w:t>
      </w:r>
      <w:r w:rsidR="006E7D32" w:rsidRPr="002A2450">
        <w:rPr>
          <w:rFonts w:ascii="ITC Avant Garde" w:hAnsi="ITC Avant Garde"/>
        </w:rPr>
        <w:t xml:space="preserve">una concesión para prestar </w:t>
      </w:r>
      <w:r w:rsidRPr="002A2450">
        <w:rPr>
          <w:rFonts w:ascii="ITC Avant Garde" w:hAnsi="ITC Avant Garde"/>
        </w:rPr>
        <w:t xml:space="preserve">un servicio de televisión </w:t>
      </w:r>
      <w:r w:rsidR="006E7D32" w:rsidRPr="002A2450">
        <w:rPr>
          <w:rFonts w:ascii="ITC Avant Garde" w:hAnsi="ITC Avant Garde"/>
        </w:rPr>
        <w:t xml:space="preserve">satelital </w:t>
      </w:r>
      <w:r w:rsidRPr="002A2450">
        <w:rPr>
          <w:rFonts w:ascii="ITC Avant Garde" w:hAnsi="ITC Avant Garde"/>
        </w:rPr>
        <w:t xml:space="preserve">en </w:t>
      </w:r>
      <w:r w:rsidR="006E7D32" w:rsidRPr="002A2450">
        <w:rPr>
          <w:rFonts w:ascii="ITC Avant Garde" w:hAnsi="ITC Avant Garde"/>
        </w:rPr>
        <w:t xml:space="preserve">el </w:t>
      </w:r>
      <w:r w:rsidRPr="002A2450">
        <w:rPr>
          <w:rFonts w:ascii="ITC Avant Garde" w:hAnsi="ITC Avant Garde"/>
        </w:rPr>
        <w:t>país.</w:t>
      </w:r>
    </w:p>
    <w:p w14:paraId="31DC7382" w14:textId="160F6A42" w:rsidR="004663F1" w:rsidRPr="002A2450" w:rsidRDefault="004663F1"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continúa manifestando lo siguiente:</w:t>
      </w:r>
    </w:p>
    <w:p w14:paraId="4D64B19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Los únicos contratos que se celebraron con la participación de </w:t>
      </w:r>
      <w:r w:rsidR="005B601B" w:rsidRPr="002A2450">
        <w:rPr>
          <w:rFonts w:ascii="ITC Avant Garde" w:hAnsi="ITC Avant Garde"/>
          <w:b/>
          <w:i/>
        </w:rPr>
        <w:t>“TELMEX”</w:t>
      </w:r>
      <w:r w:rsidRPr="002A2450">
        <w:rPr>
          <w:rFonts w:ascii="ITC Avant Garde" w:hAnsi="ITC Avant Garde"/>
          <w:i/>
        </w:rPr>
        <w:t>/</w:t>
      </w:r>
      <w:proofErr w:type="spellStart"/>
      <w:r w:rsidRPr="002A2450">
        <w:rPr>
          <w:rFonts w:ascii="ITC Avant Garde" w:hAnsi="ITC Avant Garde"/>
          <w:i/>
        </w:rPr>
        <w:t>Teninver</w:t>
      </w:r>
      <w:proofErr w:type="spellEnd"/>
      <w:r w:rsidRPr="002A2450">
        <w:rPr>
          <w:rFonts w:ascii="ITC Avant Garde" w:hAnsi="ITC Avant Garde"/>
          <w:i/>
        </w:rPr>
        <w:t xml:space="preserve"> fueron </w:t>
      </w:r>
      <w:r w:rsidR="006E7D32" w:rsidRPr="002A2450">
        <w:rPr>
          <w:rFonts w:ascii="ITC Avant Garde" w:hAnsi="ITC Avant Garde"/>
          <w:i/>
        </w:rPr>
        <w:t xml:space="preserve">el </w:t>
      </w:r>
      <w:r w:rsidRPr="002A2450">
        <w:rPr>
          <w:rFonts w:ascii="ITC Avant Garde" w:hAnsi="ITC Avant Garde"/>
          <w:i/>
        </w:rPr>
        <w:t xml:space="preserve">Contrato de Distribución, Contrato de Servicios y contrato de arrendamiento. Estos contratos fueron exhibidos por MVS y Echo </w:t>
      </w:r>
      <w:proofErr w:type="spellStart"/>
      <w:r w:rsidRPr="002A2450">
        <w:rPr>
          <w:rFonts w:ascii="ITC Avant Garde" w:hAnsi="ITC Avant Garde"/>
          <w:i/>
        </w:rPr>
        <w:t>Star</w:t>
      </w:r>
      <w:proofErr w:type="spellEnd"/>
      <w:r w:rsidRPr="002A2450">
        <w:rPr>
          <w:rFonts w:ascii="ITC Avant Garde" w:hAnsi="ITC Avant Garde"/>
          <w:i/>
        </w:rPr>
        <w:t xml:space="preserve"> con motivo de la concentración y aprobados por la COFECE.</w:t>
      </w:r>
    </w:p>
    <w:p w14:paraId="3397CC21" w14:textId="77777777" w:rsidR="00A80E02" w:rsidRDefault="00831D47" w:rsidP="00B35F13">
      <w:pPr>
        <w:spacing w:before="240" w:line="360" w:lineRule="auto"/>
        <w:ind w:left="567" w:right="567"/>
        <w:jc w:val="both"/>
        <w:rPr>
          <w:rFonts w:ascii="ITC Avant Garde" w:hAnsi="ITC Avant Garde"/>
          <w:i/>
        </w:rPr>
        <w:sectPr w:rsidR="00A80E02" w:rsidSect="009F3771">
          <w:headerReference w:type="default" r:id="rId48"/>
          <w:pgSz w:w="12240" w:h="15840"/>
          <w:pgMar w:top="1985" w:right="1701" w:bottom="1418" w:left="1701" w:header="709" w:footer="709" w:gutter="0"/>
          <w:cols w:space="708"/>
          <w:docGrid w:linePitch="360"/>
        </w:sectPr>
      </w:pPr>
      <w:r w:rsidRPr="002A2450">
        <w:rPr>
          <w:rFonts w:ascii="ITC Avant Garde" w:hAnsi="ITC Avant Garde"/>
          <w:i/>
        </w:rPr>
        <w:t>Adicionalmente los contratos de opción y de consecuencias que se dieron por terminados el ocho de agosto de dos mil catorce, fecha anterior a las denuncias.</w:t>
      </w:r>
    </w:p>
    <w:p w14:paraId="79D743A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Por lo que se estima que los contratos sobre los que se basa las consideraciones de la Unidad de Cumplimiento quedaron sin efectos por virtud de la firma del Convenio de Terminación al contrato de opción como al Contrato de Consecuencias.</w:t>
      </w:r>
    </w:p>
    <w:p w14:paraId="22AA238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No obstante lo anterior, se realizan las siguientes aclaraciones:</w:t>
      </w:r>
    </w:p>
    <w:p w14:paraId="5C617B7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Respecto del pago de dividendos, </w:t>
      </w:r>
      <w:r w:rsidRPr="0047339C">
        <w:rPr>
          <w:rFonts w:ascii="ITC Avant Garde" w:hAnsi="ITC Avant Garde"/>
          <w:b/>
          <w:i/>
        </w:rPr>
        <w:t xml:space="preserve">la </w:t>
      </w:r>
      <w:r w:rsidR="001158B8" w:rsidRPr="0047339C">
        <w:rPr>
          <w:rFonts w:ascii="ITC Avant Garde" w:eastAsiaTheme="majorEastAsia" w:hAnsi="ITC Avant Garde" w:cstheme="majorBidi"/>
          <w:b/>
          <w:color w:val="0000FF"/>
          <w:szCs w:val="32"/>
        </w:rPr>
        <w:t>“CONFIDENCIAL POR LEY”</w:t>
      </w:r>
      <w:r w:rsidRPr="002A2450">
        <w:rPr>
          <w:rFonts w:ascii="ITC Avant Garde" w:hAnsi="ITC Avant Garde"/>
          <w:i/>
        </w:rPr>
        <w:t xml:space="preserve"> del Contrato de Opción estipula que en caso de pago de dividendos en efecto a los socios </w:t>
      </w:r>
      <w:proofErr w:type="spellStart"/>
      <w:r w:rsidRPr="002A2450">
        <w:rPr>
          <w:rFonts w:ascii="ITC Avant Garde" w:hAnsi="ITC Avant Garde"/>
          <w:i/>
        </w:rPr>
        <w:t>Dish</w:t>
      </w:r>
      <w:proofErr w:type="spellEnd"/>
      <w:r w:rsidRPr="002A2450">
        <w:rPr>
          <w:rFonts w:ascii="ITC Avant Garde" w:hAnsi="ITC Avant Garde"/>
          <w:i/>
        </w:rPr>
        <w:t xml:space="preserve"> México, del precio de ejercicio de las opciones se descontará una cantidad proporcional al pago de dividendos, pero no ordena que se paguen dividendos a </w:t>
      </w:r>
      <w:r w:rsidR="005B601B" w:rsidRPr="002A2450">
        <w:rPr>
          <w:rFonts w:ascii="ITC Avant Garde" w:hAnsi="ITC Avant Garde"/>
          <w:b/>
          <w:i/>
        </w:rPr>
        <w:t>“TELMEX”</w:t>
      </w:r>
      <w:r w:rsidRPr="002A2450">
        <w:rPr>
          <w:rFonts w:ascii="ITC Avant Garde" w:hAnsi="ITC Avant Garde"/>
          <w:i/>
        </w:rPr>
        <w:t>/</w:t>
      </w:r>
      <w:proofErr w:type="spellStart"/>
      <w:r w:rsidRPr="002A2450">
        <w:rPr>
          <w:rFonts w:ascii="ITC Avant Garde" w:hAnsi="ITC Avant Garde"/>
          <w:i/>
        </w:rPr>
        <w:t>Teninver</w:t>
      </w:r>
      <w:proofErr w:type="spellEnd"/>
      <w:r w:rsidRPr="002A2450">
        <w:rPr>
          <w:rFonts w:ascii="ITC Avant Garde" w:hAnsi="ITC Avant Garde"/>
          <w:i/>
        </w:rPr>
        <w:t>.</w:t>
      </w:r>
    </w:p>
    <w:p w14:paraId="51F07DD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Además, la </w:t>
      </w:r>
      <w:r w:rsidR="001158B8" w:rsidRPr="0047339C">
        <w:rPr>
          <w:rFonts w:ascii="ITC Avant Garde" w:eastAsiaTheme="majorEastAsia" w:hAnsi="ITC Avant Garde" w:cstheme="majorBidi"/>
          <w:b/>
          <w:color w:val="0000FF"/>
          <w:szCs w:val="32"/>
        </w:rPr>
        <w:t>“CONFIDENCIAL POR LEY”</w:t>
      </w:r>
      <w:r w:rsidRPr="002A2450">
        <w:rPr>
          <w:rFonts w:ascii="ITC Avant Garde" w:hAnsi="ITC Avant Garde"/>
          <w:i/>
        </w:rPr>
        <w:t xml:space="preserve"> del contrato de opción de compra y venta prohíbe la entrega de dividendos en efecto si, derivado de los ajustes correspondientes al precio de ejercicio, este fuera igual a cero.</w:t>
      </w:r>
    </w:p>
    <w:p w14:paraId="4A43ABDF" w14:textId="77777777" w:rsidR="00B35F13" w:rsidRDefault="00831D47" w:rsidP="00B35F13">
      <w:pPr>
        <w:spacing w:before="240" w:line="360" w:lineRule="auto"/>
        <w:ind w:left="567" w:right="567"/>
        <w:jc w:val="both"/>
        <w:rPr>
          <w:rFonts w:ascii="ITC Avant Garde" w:hAnsi="ITC Avant Garde"/>
          <w:i/>
        </w:rPr>
      </w:pPr>
      <w:proofErr w:type="spellStart"/>
      <w:r w:rsidRPr="002A2450">
        <w:rPr>
          <w:rFonts w:ascii="ITC Avant Garde" w:hAnsi="ITC Avant Garde"/>
          <w:i/>
        </w:rPr>
        <w:t>Teninver</w:t>
      </w:r>
      <w:proofErr w:type="spellEnd"/>
      <w:r w:rsidRPr="002A2450">
        <w:rPr>
          <w:rFonts w:ascii="ITC Avant Garde" w:hAnsi="ITC Avant Garde"/>
          <w:i/>
        </w:rPr>
        <w:t xml:space="preserve"> sí protegió su riesgo de crédito acordando una restricción al reparto de dividendos si dicho reparto descapitalizaría a la compañía, una práctica muy común el que los contratos de crédito contengan restricciones a la distribución de dividendos.</w:t>
      </w:r>
    </w:p>
    <w:p w14:paraId="6F98B1C7" w14:textId="77777777" w:rsidR="00A80E02" w:rsidRDefault="00831D47" w:rsidP="00B35F13">
      <w:pPr>
        <w:spacing w:before="240" w:line="360" w:lineRule="auto"/>
        <w:ind w:left="567" w:right="567"/>
        <w:jc w:val="both"/>
        <w:rPr>
          <w:rFonts w:ascii="ITC Avant Garde" w:hAnsi="ITC Avant Garde"/>
          <w:i/>
        </w:rPr>
        <w:sectPr w:rsidR="00A80E02" w:rsidSect="009F3771">
          <w:headerReference w:type="default" r:id="rId49"/>
          <w:pgSz w:w="12240" w:h="15840"/>
          <w:pgMar w:top="1985" w:right="1701" w:bottom="1418" w:left="1701" w:header="709" w:footer="709" w:gutter="0"/>
          <w:cols w:space="708"/>
          <w:docGrid w:linePitch="360"/>
        </w:sectPr>
      </w:pPr>
      <w:r w:rsidRPr="002A2450">
        <w:rPr>
          <w:rFonts w:ascii="ITC Avant Garde" w:hAnsi="ITC Avant Garde"/>
          <w:i/>
        </w:rPr>
        <w:t xml:space="preserve">Es correcto que una distribución de utilidades ajustaría el precio de la opción, pero resulta extremo afirmar que este ajuste implicaría que </w:t>
      </w:r>
      <w:proofErr w:type="spellStart"/>
      <w:r w:rsidRPr="002A2450">
        <w:rPr>
          <w:rFonts w:ascii="ITC Avant Garde" w:hAnsi="ITC Avant Garde"/>
          <w:i/>
        </w:rPr>
        <w:t>Teninver</w:t>
      </w:r>
      <w:proofErr w:type="spellEnd"/>
      <w:r w:rsidRPr="002A2450">
        <w:rPr>
          <w:rFonts w:ascii="ITC Avant Garde" w:hAnsi="ITC Avant Garde"/>
          <w:i/>
        </w:rPr>
        <w:t xml:space="preserve"> recibiera contraprestaciones por los resultados de </w:t>
      </w:r>
      <w:proofErr w:type="spellStart"/>
      <w:r w:rsidRPr="002A2450">
        <w:rPr>
          <w:rFonts w:ascii="ITC Avant Garde" w:hAnsi="ITC Avant Garde"/>
          <w:i/>
        </w:rPr>
        <w:t>Dish</w:t>
      </w:r>
      <w:proofErr w:type="spellEnd"/>
      <w:r w:rsidRPr="002A2450">
        <w:rPr>
          <w:rFonts w:ascii="ITC Avant Garde" w:hAnsi="ITC Avant Garde"/>
          <w:i/>
        </w:rPr>
        <w:t xml:space="preserve"> México equivalente a un socio a pesar de no tener una participación accionaria.</w:t>
      </w:r>
    </w:p>
    <w:p w14:paraId="47E1807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Los dividendos son salidas de recursos, es natural que el precio de suscripción de las acciones se ve afectada por el volumen de su caja, por los recursos con lo que cuenta y sus niveles de capitalización.</w:t>
      </w:r>
    </w:p>
    <w:p w14:paraId="4E8E49DC"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ha adquirido participación social en </w:t>
      </w:r>
      <w:proofErr w:type="spellStart"/>
      <w:r w:rsidR="00831D47" w:rsidRPr="002A2450">
        <w:rPr>
          <w:rFonts w:ascii="ITC Avant Garde" w:hAnsi="ITC Avant Garde"/>
          <w:i/>
        </w:rPr>
        <w:t>Dish</w:t>
      </w:r>
      <w:proofErr w:type="spellEnd"/>
      <w:r w:rsidR="00831D47" w:rsidRPr="002A2450">
        <w:rPr>
          <w:rFonts w:ascii="ITC Avant Garde" w:hAnsi="ITC Avant Garde"/>
          <w:i/>
        </w:rPr>
        <w:t xml:space="preserve"> México, tan es así que no puede gozar de ella, no puede votar ni recibe distribuciones o dividendos y, menos aún, podría disponer de ella.</w:t>
      </w:r>
    </w:p>
    <w:p w14:paraId="77A251D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El caso que nos ocupa, los contratos en ningún momento otorgaban a </w:t>
      </w:r>
      <w:r w:rsidR="005B601B" w:rsidRPr="002A2450">
        <w:rPr>
          <w:rFonts w:ascii="ITC Avant Garde" w:hAnsi="ITC Avant Garde"/>
          <w:b/>
          <w:i/>
        </w:rPr>
        <w:t>“TELMEX”</w:t>
      </w:r>
      <w:r w:rsidRPr="002A2450">
        <w:rPr>
          <w:rFonts w:ascii="ITC Avant Garde" w:hAnsi="ITC Avant Garde"/>
          <w:i/>
        </w:rPr>
        <w:t xml:space="preserve"> o </w:t>
      </w:r>
      <w:proofErr w:type="spellStart"/>
      <w:r w:rsidRPr="002A2450">
        <w:rPr>
          <w:rFonts w:ascii="ITC Avant Garde" w:hAnsi="ITC Avant Garde"/>
          <w:i/>
        </w:rPr>
        <w:t>Teninver</w:t>
      </w:r>
      <w:proofErr w:type="spellEnd"/>
      <w:r w:rsidRPr="002A2450">
        <w:rPr>
          <w:rFonts w:ascii="ITC Avant Garde" w:hAnsi="ITC Avant Garde"/>
          <w:i/>
        </w:rPr>
        <w:t xml:space="preserve"> un derecho real sobre la participación del capital social de </w:t>
      </w:r>
      <w:proofErr w:type="spellStart"/>
      <w:r w:rsidRPr="002A2450">
        <w:rPr>
          <w:rFonts w:ascii="ITC Avant Garde" w:hAnsi="ITC Avant Garde"/>
          <w:i/>
        </w:rPr>
        <w:t>Dish</w:t>
      </w:r>
      <w:proofErr w:type="spellEnd"/>
      <w:r w:rsidRPr="002A2450">
        <w:rPr>
          <w:rFonts w:ascii="ITC Avant Garde" w:hAnsi="ITC Avant Garde"/>
          <w:i/>
        </w:rPr>
        <w:t xml:space="preserve"> México sino que se contempla un derecho personal oponible únicamente y exclusivamente a </w:t>
      </w:r>
      <w:proofErr w:type="spellStart"/>
      <w:r w:rsidRPr="002A2450">
        <w:rPr>
          <w:rFonts w:ascii="ITC Avant Garde" w:hAnsi="ITC Avant Garde"/>
          <w:i/>
        </w:rPr>
        <w:t>Dish</w:t>
      </w:r>
      <w:proofErr w:type="spellEnd"/>
      <w:r w:rsidRPr="002A2450">
        <w:rPr>
          <w:rFonts w:ascii="ITC Avant Garde" w:hAnsi="ITC Avant Garde"/>
          <w:i/>
        </w:rPr>
        <w:t xml:space="preserve"> México Holdings, sujeto a una autorización gubernamental futura.</w:t>
      </w:r>
    </w:p>
    <w:p w14:paraId="45BDB6E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No debe confundirse con una facultad de dominio de </w:t>
      </w:r>
      <w:r w:rsidR="005B601B" w:rsidRPr="002A2450">
        <w:rPr>
          <w:rFonts w:ascii="ITC Avant Garde" w:hAnsi="ITC Avant Garde"/>
          <w:b/>
          <w:i/>
        </w:rPr>
        <w:t>“TELMEX”</w:t>
      </w:r>
      <w:r w:rsidRPr="002A2450">
        <w:rPr>
          <w:rFonts w:ascii="ITC Avant Garde" w:hAnsi="ITC Avant Garde"/>
          <w:i/>
        </w:rPr>
        <w:t xml:space="preserve"> sobre el capital social de </w:t>
      </w:r>
      <w:proofErr w:type="spellStart"/>
      <w:r w:rsidRPr="002A2450">
        <w:rPr>
          <w:rFonts w:ascii="ITC Avant Garde" w:hAnsi="ITC Avant Garde"/>
          <w:i/>
        </w:rPr>
        <w:t>Dish</w:t>
      </w:r>
      <w:proofErr w:type="spellEnd"/>
      <w:r w:rsidRPr="002A2450">
        <w:rPr>
          <w:rFonts w:ascii="ITC Avant Garde" w:hAnsi="ITC Avant Garde"/>
          <w:i/>
        </w:rPr>
        <w:t xml:space="preserve"> México, máxime considerando que la actualización de dicho derecho de opción se encontraba sujeto a la aprobación y autorización de las autoridades competentes.</w:t>
      </w:r>
    </w:p>
    <w:p w14:paraId="0815142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 titularidad de una participación social trae aparejada una serie de derechos corporativos o societarios. No es hasta el momento en que se constituye un derecho real sobre la participación en que el Titular podrá hacer uso de tales derechos inherentes a la cosa.</w:t>
      </w:r>
    </w:p>
    <w:p w14:paraId="1539AD4F"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 anterior es relevante toda vez que, el hecho de que haya existido un derecho de opción a favor de </w:t>
      </w:r>
      <w:r w:rsidR="005B601B" w:rsidRPr="002A2450">
        <w:rPr>
          <w:rFonts w:ascii="ITC Avant Garde" w:hAnsi="ITC Avant Garde"/>
          <w:b/>
          <w:i/>
        </w:rPr>
        <w:t>“TELMEX”</w:t>
      </w:r>
      <w:r w:rsidRPr="002A2450">
        <w:rPr>
          <w:rFonts w:ascii="ITC Avant Garde" w:hAnsi="ITC Avant Garde"/>
          <w:i/>
        </w:rPr>
        <w:t xml:space="preserve"> sobre una participación social de </w:t>
      </w:r>
      <w:proofErr w:type="spellStart"/>
      <w:r w:rsidRPr="002A2450">
        <w:rPr>
          <w:rFonts w:ascii="ITC Avant Garde" w:hAnsi="ITC Avant Garde"/>
          <w:i/>
        </w:rPr>
        <w:t>Dish</w:t>
      </w:r>
      <w:proofErr w:type="spellEnd"/>
      <w:r w:rsidRPr="002A2450">
        <w:rPr>
          <w:rFonts w:ascii="ITC Avant Garde" w:hAnsi="ITC Avant Garde"/>
          <w:i/>
        </w:rPr>
        <w:t xml:space="preserve"> México no implicó que dichos derechos hayan sido ejercidos.</w:t>
      </w:r>
    </w:p>
    <w:p w14:paraId="6D94B7D0"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Haciendo uso del elemento </w:t>
      </w:r>
      <w:proofErr w:type="spellStart"/>
      <w:r w:rsidRPr="002A2450">
        <w:rPr>
          <w:rFonts w:ascii="ITC Avant Garde" w:hAnsi="ITC Avant Garde"/>
          <w:i/>
        </w:rPr>
        <w:t>oponibilidad</w:t>
      </w:r>
      <w:proofErr w:type="spellEnd"/>
      <w:r w:rsidRPr="002A2450">
        <w:rPr>
          <w:rFonts w:ascii="ITC Avant Garde" w:hAnsi="ITC Avant Garde"/>
          <w:i/>
        </w:rPr>
        <w:t xml:space="preserve"> de los derechos reales, es claro que </w:t>
      </w:r>
      <w:r w:rsidR="005B601B" w:rsidRPr="002A2450">
        <w:rPr>
          <w:rFonts w:ascii="ITC Avant Garde" w:hAnsi="ITC Avant Garde"/>
          <w:b/>
          <w:i/>
        </w:rPr>
        <w:t>“TELMEX”</w:t>
      </w:r>
      <w:r w:rsidRPr="002A2450">
        <w:rPr>
          <w:rFonts w:ascii="ITC Avant Garde" w:hAnsi="ITC Avant Garde"/>
          <w:i/>
        </w:rPr>
        <w:t xml:space="preserve">, al no tener la propiedad de dicha participación, no podrá hacer valer dicho derecho toda vez que carece de título legítimo para así hacerlo. </w:t>
      </w:r>
    </w:p>
    <w:p w14:paraId="6531ADA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Conforme a los derechos reales, los cuales debe recaer sobre un bien actual, material y objeto de aprovechamiento, es inconcebible considerar que </w:t>
      </w:r>
      <w:r w:rsidR="005B601B" w:rsidRPr="002A2450">
        <w:rPr>
          <w:rFonts w:ascii="ITC Avant Garde" w:hAnsi="ITC Avant Garde"/>
          <w:b/>
          <w:i/>
        </w:rPr>
        <w:t>“TELMEX”</w:t>
      </w:r>
      <w:r w:rsidRPr="002A2450">
        <w:rPr>
          <w:rFonts w:ascii="ITC Avant Garde" w:hAnsi="ITC Avant Garde"/>
          <w:i/>
        </w:rPr>
        <w:t xml:space="preserve"> goce de un derecho de tal índole sobre la participación en el capital de </w:t>
      </w:r>
      <w:proofErr w:type="spellStart"/>
      <w:r w:rsidRPr="002A2450">
        <w:rPr>
          <w:rFonts w:ascii="ITC Avant Garde" w:hAnsi="ITC Avant Garde"/>
          <w:i/>
        </w:rPr>
        <w:t>Dish</w:t>
      </w:r>
      <w:proofErr w:type="spellEnd"/>
      <w:r w:rsidRPr="002A2450">
        <w:rPr>
          <w:rFonts w:ascii="ITC Avant Garde" w:hAnsi="ITC Avant Garde"/>
          <w:i/>
        </w:rPr>
        <w:t xml:space="preserve"> México.</w:t>
      </w:r>
    </w:p>
    <w:p w14:paraId="36B1EA2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Es preciso exponer, conforme a la regla general de la imputación de la norma, un silogismo jurídico que origina una conclusión.</w:t>
      </w:r>
    </w:p>
    <w:p w14:paraId="2F3CBEF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ese sentido, el contrato de opción de compra y venta de acciones establecía que </w:t>
      </w:r>
      <w:proofErr w:type="spellStart"/>
      <w:r w:rsidRPr="002A2450">
        <w:rPr>
          <w:rFonts w:ascii="ITC Avant Garde" w:hAnsi="ITC Avant Garde"/>
          <w:i/>
        </w:rPr>
        <w:t>Dish</w:t>
      </w:r>
      <w:proofErr w:type="spellEnd"/>
      <w:r w:rsidRPr="002A2450">
        <w:rPr>
          <w:rFonts w:ascii="ITC Avant Garde" w:hAnsi="ITC Avant Garde"/>
          <w:i/>
        </w:rPr>
        <w:t xml:space="preserve"> México otorgaba a </w:t>
      </w:r>
      <w:proofErr w:type="spellStart"/>
      <w:r w:rsidRPr="002A2450">
        <w:rPr>
          <w:rFonts w:ascii="ITC Avant Garde" w:hAnsi="ITC Avant Garde"/>
          <w:i/>
        </w:rPr>
        <w:t>Teninver</w:t>
      </w:r>
      <w:proofErr w:type="spellEnd"/>
      <w:r w:rsidRPr="002A2450">
        <w:rPr>
          <w:rFonts w:ascii="ITC Avant Garde" w:hAnsi="ITC Avant Garde"/>
          <w:i/>
        </w:rPr>
        <w:t xml:space="preserve"> el derecho incondicional e irrevocable de suscribir 51% de sus acciones con derecho a voto y económicos (Opción de compra) y al mismo tiempo </w:t>
      </w:r>
      <w:proofErr w:type="spellStart"/>
      <w:r w:rsidRPr="002A2450">
        <w:rPr>
          <w:rFonts w:ascii="ITC Avant Garde" w:hAnsi="ITC Avant Garde"/>
          <w:i/>
        </w:rPr>
        <w:t>Teninver</w:t>
      </w:r>
      <w:proofErr w:type="spellEnd"/>
      <w:r w:rsidRPr="002A2450">
        <w:rPr>
          <w:rFonts w:ascii="ITC Avant Garde" w:hAnsi="ITC Avant Garde"/>
          <w:i/>
        </w:rPr>
        <w:t xml:space="preserve"> otorgaba a </w:t>
      </w:r>
      <w:proofErr w:type="spellStart"/>
      <w:r w:rsidRPr="002A2450">
        <w:rPr>
          <w:rFonts w:ascii="ITC Avant Garde" w:hAnsi="ITC Avant Garde"/>
          <w:i/>
        </w:rPr>
        <w:t>Dish</w:t>
      </w:r>
      <w:proofErr w:type="spellEnd"/>
      <w:r w:rsidRPr="002A2450">
        <w:rPr>
          <w:rFonts w:ascii="ITC Avant Garde" w:hAnsi="ITC Avant Garde"/>
          <w:i/>
        </w:rPr>
        <w:t xml:space="preserve"> México el derecho incondicional e irrevocable de requerir a </w:t>
      </w:r>
      <w:proofErr w:type="spellStart"/>
      <w:r w:rsidRPr="002A2450">
        <w:rPr>
          <w:rFonts w:ascii="ITC Avant Garde" w:hAnsi="ITC Avant Garde"/>
          <w:i/>
        </w:rPr>
        <w:t>Teninver</w:t>
      </w:r>
      <w:proofErr w:type="spellEnd"/>
      <w:r w:rsidRPr="002A2450">
        <w:rPr>
          <w:rFonts w:ascii="ITC Avant Garde" w:hAnsi="ITC Avant Garde"/>
          <w:i/>
        </w:rPr>
        <w:t xml:space="preserve"> que suscribiera el 51% de sus acciones con derecho de voto y económicos (Opción de venta).</w:t>
      </w:r>
    </w:p>
    <w:p w14:paraId="1CA4C664"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ejercicio de las opciones estaba sujeto a que: i) la COFECE emitiera resolución que autorizara la transacción y ii) que ninguna autoridad administrativa o judicial emitiera alguna orden que prohibiera su ejercicio.</w:t>
      </w:r>
    </w:p>
    <w:p w14:paraId="7090592C"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 xml:space="preserve">Dichos argumentos resultan </w:t>
      </w:r>
      <w:r w:rsidRPr="002A2450">
        <w:rPr>
          <w:rFonts w:ascii="ITC Avant Garde" w:hAnsi="ITC Avant Garde"/>
          <w:b/>
          <w:u w:val="single"/>
        </w:rPr>
        <w:t>infundado</w:t>
      </w:r>
      <w:r w:rsidR="005D52D7" w:rsidRPr="002A2450">
        <w:rPr>
          <w:rFonts w:ascii="ITC Avant Garde" w:hAnsi="ITC Avant Garde"/>
          <w:b/>
          <w:u w:val="single"/>
        </w:rPr>
        <w:t>s</w:t>
      </w:r>
      <w:r w:rsidRPr="002A2450">
        <w:rPr>
          <w:rFonts w:ascii="ITC Avant Garde" w:hAnsi="ITC Avant Garde"/>
        </w:rPr>
        <w:t xml:space="preserve"> en virtud de las siguientes consideraciones:</w:t>
      </w:r>
    </w:p>
    <w:p w14:paraId="34909364"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 xml:space="preserve">En principio, esta autoridad se ha pronunciado respecto de la posibilidad de la participación en los dividendos en cualquier momento, tal y como se advirtió en líneas anteriores, ahora bien, </w:t>
      </w:r>
      <w:r w:rsidRPr="002A2450">
        <w:rPr>
          <w:rFonts w:ascii="ITC Avant Garde" w:hAnsi="ITC Avant Garde"/>
          <w:b/>
        </w:rPr>
        <w:t>“TELMEX”</w:t>
      </w:r>
      <w:r w:rsidRPr="002A2450">
        <w:rPr>
          <w:rFonts w:ascii="ITC Avant Garde" w:hAnsi="ITC Avant Garde"/>
        </w:rPr>
        <w:t xml:space="preserve"> de acuerdo a lo señalado pretende esgrimir dos consideraciones diferentes de las señaladas en el contrato.</w:t>
      </w:r>
    </w:p>
    <w:p w14:paraId="443AF516"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La posibilidad de participar en los dividendos deriva de una cláusula habilitante y no necesariamente sujeta a una temporalidad, puesto que la misma señala que el pago de los mismos podría realizarse en cualquier momento.</w:t>
      </w:r>
    </w:p>
    <w:p w14:paraId="3B62B7A7"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lastRenderedPageBreak/>
        <w:t xml:space="preserve">Sin embargo, lo </w:t>
      </w:r>
      <w:r w:rsidR="006E7D32" w:rsidRPr="002A2450">
        <w:rPr>
          <w:rFonts w:ascii="ITC Avant Garde" w:hAnsi="ITC Avant Garde"/>
        </w:rPr>
        <w:t xml:space="preserve">único </w:t>
      </w:r>
      <w:r w:rsidRPr="002A2450">
        <w:rPr>
          <w:rFonts w:ascii="ITC Avant Garde" w:hAnsi="ITC Avant Garde"/>
        </w:rPr>
        <w:t>que est</w:t>
      </w:r>
      <w:r w:rsidR="006E7D32" w:rsidRPr="002A2450">
        <w:rPr>
          <w:rFonts w:ascii="ITC Avant Garde" w:hAnsi="ITC Avant Garde"/>
        </w:rPr>
        <w:t>aba</w:t>
      </w:r>
      <w:r w:rsidRPr="002A2450">
        <w:rPr>
          <w:rFonts w:ascii="ITC Avant Garde" w:hAnsi="ITC Avant Garde"/>
        </w:rPr>
        <w:t xml:space="preserve"> sujeto a una autorización por parte de la autoridad y su aprobación es precisamente el ejercicio de la opción, esto es, la suscripción del 51% de las acciones representativas del capital de </w:t>
      </w:r>
      <w:r w:rsidRPr="002A2450">
        <w:rPr>
          <w:rFonts w:ascii="ITC Avant Garde" w:hAnsi="ITC Avant Garde"/>
          <w:b/>
        </w:rPr>
        <w:t>“DISH MÉXICO”</w:t>
      </w:r>
      <w:r w:rsidRPr="002A2450">
        <w:rPr>
          <w:rFonts w:ascii="ITC Avant Garde" w:hAnsi="ITC Avant Garde"/>
        </w:rPr>
        <w:t>, el cual se insiste tendría que ser en su caso autorizado por la autoridad competente.</w:t>
      </w:r>
    </w:p>
    <w:p w14:paraId="2107642D"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Luego entonces, se estima que el ejercicio de la opción por sí misma es una condición suspensiva que otorga la posibilidad de suscribir y de requerir la propia suscripción de los títulos representativos del capital.</w:t>
      </w:r>
    </w:p>
    <w:p w14:paraId="589A8829"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 xml:space="preserve">No obstante, el pago de dividendos como lo señala la propia concesionaria, si es un derecho </w:t>
      </w:r>
      <w:r w:rsidR="006E7D32" w:rsidRPr="002A2450">
        <w:rPr>
          <w:rFonts w:ascii="ITC Avant Garde" w:hAnsi="ITC Avant Garde"/>
        </w:rPr>
        <w:t xml:space="preserve">efectivo </w:t>
      </w:r>
      <w:r w:rsidRPr="002A2450">
        <w:rPr>
          <w:rFonts w:ascii="ITC Avant Garde" w:hAnsi="ITC Avant Garde"/>
        </w:rPr>
        <w:t xml:space="preserve">que puede ejercerse independientemente del ejercicio o no de la opción, puesto que el contenido obligacional del contrato de opción de compra y venta no limita dicho ejercicio </w:t>
      </w:r>
      <w:r w:rsidR="006E7D32" w:rsidRPr="002A2450">
        <w:rPr>
          <w:rFonts w:ascii="ITC Avant Garde" w:hAnsi="ITC Avant Garde"/>
        </w:rPr>
        <w:t xml:space="preserve">a la autorización de una </w:t>
      </w:r>
      <w:r w:rsidRPr="002A2450">
        <w:rPr>
          <w:rFonts w:ascii="ITC Avant Garde" w:hAnsi="ITC Avant Garde"/>
        </w:rPr>
        <w:t>a una autoridad</w:t>
      </w:r>
      <w:r w:rsidR="006E7D32" w:rsidRPr="002A2450">
        <w:rPr>
          <w:rFonts w:ascii="ITC Avant Garde" w:hAnsi="ITC Avant Garde"/>
        </w:rPr>
        <w:t xml:space="preserve"> o a la actualización de algún evento.</w:t>
      </w:r>
    </w:p>
    <w:p w14:paraId="656B6A58" w14:textId="77777777" w:rsidR="00B35F13" w:rsidRDefault="00807F12" w:rsidP="00B35F13">
      <w:pPr>
        <w:spacing w:before="240" w:line="360" w:lineRule="auto"/>
        <w:jc w:val="both"/>
        <w:rPr>
          <w:rFonts w:ascii="ITC Avant Garde" w:hAnsi="ITC Avant Garde"/>
        </w:rPr>
      </w:pPr>
      <w:r w:rsidRPr="002A2450">
        <w:rPr>
          <w:rFonts w:ascii="ITC Avant Garde" w:hAnsi="ITC Avant Garde"/>
        </w:rPr>
        <w:t>En tales consideraciones nos encontramos frente a dos figuras jurídicas diferentes que por naturaleza son excluyentes</w:t>
      </w:r>
      <w:r w:rsidR="006E7D32" w:rsidRPr="002A2450">
        <w:rPr>
          <w:rFonts w:ascii="ITC Avant Garde" w:hAnsi="ITC Avant Garde"/>
        </w:rPr>
        <w:t>,</w:t>
      </w:r>
      <w:r w:rsidRPr="002A2450">
        <w:rPr>
          <w:rFonts w:ascii="ITC Avant Garde" w:hAnsi="ITC Avant Garde"/>
        </w:rPr>
        <w:t xml:space="preserve"> toda vez que el pago de dividendos es un derecho que </w:t>
      </w:r>
      <w:r w:rsidR="006E7D32" w:rsidRPr="002A2450">
        <w:rPr>
          <w:rFonts w:ascii="ITC Avant Garde" w:hAnsi="ITC Avant Garde"/>
        </w:rPr>
        <w:t xml:space="preserve">adquirió </w:t>
      </w:r>
      <w:r w:rsidR="006E7D32" w:rsidRPr="002A2450">
        <w:rPr>
          <w:rFonts w:ascii="ITC Avant Garde" w:hAnsi="ITC Avant Garde"/>
          <w:b/>
        </w:rPr>
        <w:t xml:space="preserve">“TELMEX” </w:t>
      </w:r>
      <w:r w:rsidR="006E7D32" w:rsidRPr="002A2450">
        <w:rPr>
          <w:rFonts w:ascii="ITC Avant Garde" w:hAnsi="ITC Avant Garde"/>
        </w:rPr>
        <w:t xml:space="preserve">al </w:t>
      </w:r>
      <w:r w:rsidRPr="002A2450">
        <w:rPr>
          <w:rFonts w:ascii="ITC Avant Garde" w:hAnsi="ITC Avant Garde"/>
        </w:rPr>
        <w:t>momento de la suscripción del conjunto de contratos coaligados</w:t>
      </w:r>
      <w:r w:rsidR="006E7D32" w:rsidRPr="002A2450">
        <w:rPr>
          <w:rFonts w:ascii="ITC Avant Garde" w:hAnsi="ITC Avant Garde"/>
        </w:rPr>
        <w:t xml:space="preserve">, a través de los cuales </w:t>
      </w:r>
      <w:r w:rsidRPr="002A2450">
        <w:rPr>
          <w:rFonts w:ascii="ITC Avant Garde" w:hAnsi="ITC Avant Garde"/>
        </w:rPr>
        <w:t xml:space="preserve">le otorgaron a </w:t>
      </w:r>
      <w:r w:rsidR="006E7D32" w:rsidRPr="002A2450">
        <w:rPr>
          <w:rFonts w:ascii="ITC Avant Garde" w:hAnsi="ITC Avant Garde"/>
        </w:rPr>
        <w:t xml:space="preserve">dicha empresa la posibilidad real de </w:t>
      </w:r>
      <w:r w:rsidRPr="002A2450">
        <w:rPr>
          <w:rFonts w:ascii="ITC Avant Garde" w:hAnsi="ITC Avant Garde"/>
        </w:rPr>
        <w:t>ser partícipe de los dividendos</w:t>
      </w:r>
      <w:r w:rsidR="006E7D32" w:rsidRPr="002A2450">
        <w:rPr>
          <w:rFonts w:ascii="ITC Avant Garde" w:hAnsi="ITC Avant Garde"/>
        </w:rPr>
        <w:t xml:space="preserve">, </w:t>
      </w:r>
      <w:r w:rsidRPr="002A2450">
        <w:rPr>
          <w:rFonts w:ascii="ITC Avant Garde" w:hAnsi="ITC Avant Garde"/>
        </w:rPr>
        <w:t>l</w:t>
      </w:r>
      <w:r w:rsidR="006E7D32" w:rsidRPr="002A2450">
        <w:rPr>
          <w:rFonts w:ascii="ITC Avant Garde" w:hAnsi="ITC Avant Garde"/>
        </w:rPr>
        <w:t>a</w:t>
      </w:r>
      <w:r w:rsidRPr="002A2450">
        <w:rPr>
          <w:rFonts w:ascii="ITC Avant Garde" w:hAnsi="ITC Avant Garde"/>
        </w:rPr>
        <w:t xml:space="preserve"> cual no requiere au</w:t>
      </w:r>
      <w:r w:rsidR="0065456B" w:rsidRPr="002A2450">
        <w:rPr>
          <w:rFonts w:ascii="ITC Avant Garde" w:hAnsi="ITC Avant Garde"/>
        </w:rPr>
        <w:t>torización de autoridad compete</w:t>
      </w:r>
      <w:r w:rsidR="006E7D32" w:rsidRPr="002A2450">
        <w:rPr>
          <w:rFonts w:ascii="ITC Avant Garde" w:hAnsi="ITC Avant Garde"/>
        </w:rPr>
        <w:t>nte</w:t>
      </w:r>
      <w:r w:rsidR="0065456B" w:rsidRPr="002A2450">
        <w:rPr>
          <w:rFonts w:ascii="ITC Avant Garde" w:hAnsi="ITC Avant Garde"/>
        </w:rPr>
        <w:t>.</w:t>
      </w:r>
    </w:p>
    <w:p w14:paraId="55E591FE" w14:textId="77777777" w:rsidR="00B35F13" w:rsidRDefault="0065456B" w:rsidP="00B35F13">
      <w:pPr>
        <w:spacing w:before="240" w:line="360" w:lineRule="auto"/>
        <w:jc w:val="both"/>
        <w:rPr>
          <w:rFonts w:ascii="ITC Avant Garde" w:hAnsi="ITC Avant Garde"/>
        </w:rPr>
      </w:pPr>
      <w:r w:rsidRPr="002A2450">
        <w:rPr>
          <w:rFonts w:ascii="ITC Avant Garde" w:hAnsi="ITC Avant Garde"/>
        </w:rPr>
        <w:t>En cambio, por lo que hace al ejercicio de la opción</w:t>
      </w:r>
      <w:r w:rsidR="006E7D32" w:rsidRPr="002A2450">
        <w:rPr>
          <w:rFonts w:ascii="ITC Avant Garde" w:hAnsi="ITC Avant Garde"/>
        </w:rPr>
        <w:t>,</w:t>
      </w:r>
      <w:r w:rsidRPr="002A2450">
        <w:rPr>
          <w:rFonts w:ascii="ITC Avant Garde" w:hAnsi="ITC Avant Garde"/>
        </w:rPr>
        <w:t xml:space="preserve"> sus consecuencias son diferentes, puesto que el ejercicio </w:t>
      </w:r>
      <w:r w:rsidRPr="002A2450">
        <w:rPr>
          <w:rFonts w:ascii="ITC Avant Garde" w:hAnsi="ITC Avant Garde"/>
          <w:i/>
        </w:rPr>
        <w:t xml:space="preserve">per se </w:t>
      </w:r>
      <w:r w:rsidRPr="002A2450">
        <w:rPr>
          <w:rFonts w:ascii="ITC Avant Garde" w:hAnsi="ITC Avant Garde"/>
        </w:rPr>
        <w:t>requeriría una autorización gubernamental para su eficacia y en caso de ser aprobada, la situación jurídica del tenedor de la opción se convertiría en accionista de la sociedad con sus propios derechos y limitaciones.</w:t>
      </w:r>
    </w:p>
    <w:p w14:paraId="263F14BA" w14:textId="77777777" w:rsidR="00B35F13" w:rsidRDefault="0065456B" w:rsidP="00B35F13">
      <w:pPr>
        <w:spacing w:before="240" w:line="360" w:lineRule="auto"/>
        <w:jc w:val="both"/>
        <w:rPr>
          <w:rFonts w:ascii="ITC Avant Garde" w:hAnsi="ITC Avant Garde"/>
        </w:rPr>
      </w:pPr>
      <w:r w:rsidRPr="002A2450">
        <w:rPr>
          <w:rFonts w:ascii="ITC Avant Garde" w:hAnsi="ITC Avant Garde"/>
        </w:rPr>
        <w:t xml:space="preserve">En tales consideraciones, tal y como se ha advertido, la posibilidad de participar en el reparto de dividendos otorga a sus tenedores un derecho similar al de un accionista sin serlo, puesto que en caso de que se </w:t>
      </w:r>
      <w:r w:rsidR="006E7D32" w:rsidRPr="002A2450">
        <w:rPr>
          <w:rFonts w:ascii="ITC Avant Garde" w:hAnsi="ITC Avant Garde"/>
        </w:rPr>
        <w:t xml:space="preserve">actualizara dicha situación </w:t>
      </w:r>
      <w:r w:rsidRPr="002A2450">
        <w:rPr>
          <w:rFonts w:ascii="ITC Avant Garde" w:hAnsi="ITC Avant Garde"/>
        </w:rPr>
        <w:t xml:space="preserve">(el reparto de dividendos) </w:t>
      </w:r>
      <w:r w:rsidR="006E7D32" w:rsidRPr="002A2450">
        <w:rPr>
          <w:rFonts w:ascii="ITC Avant Garde" w:hAnsi="ITC Avant Garde"/>
          <w:b/>
        </w:rPr>
        <w:t xml:space="preserve">“TELMEX” </w:t>
      </w:r>
      <w:r w:rsidR="006E7D32" w:rsidRPr="002A2450">
        <w:rPr>
          <w:rFonts w:ascii="ITC Avant Garde" w:hAnsi="ITC Avant Garde"/>
        </w:rPr>
        <w:t xml:space="preserve">hubiera accedido </w:t>
      </w:r>
      <w:r w:rsidRPr="002A2450">
        <w:rPr>
          <w:rFonts w:ascii="ITC Avant Garde" w:hAnsi="ITC Avant Garde"/>
        </w:rPr>
        <w:t>a dichos recursos.</w:t>
      </w:r>
    </w:p>
    <w:p w14:paraId="08F63ED7" w14:textId="77777777" w:rsidR="00B35F13" w:rsidRDefault="0065456B" w:rsidP="00B35F13">
      <w:pPr>
        <w:spacing w:before="240" w:line="360" w:lineRule="auto"/>
        <w:jc w:val="both"/>
        <w:rPr>
          <w:rFonts w:ascii="ITC Avant Garde" w:hAnsi="ITC Avant Garde"/>
        </w:rPr>
      </w:pPr>
      <w:r w:rsidRPr="002A2450">
        <w:rPr>
          <w:rFonts w:ascii="ITC Avant Garde" w:hAnsi="ITC Avant Garde"/>
        </w:rPr>
        <w:lastRenderedPageBreak/>
        <w:t xml:space="preserve">Así las cosas, en nada beneficia a </w:t>
      </w:r>
      <w:r w:rsidRPr="002A2450">
        <w:rPr>
          <w:rFonts w:ascii="ITC Avant Garde" w:hAnsi="ITC Avant Garde"/>
          <w:b/>
        </w:rPr>
        <w:t>“TELMEX”</w:t>
      </w:r>
      <w:r w:rsidRPr="002A2450">
        <w:rPr>
          <w:rFonts w:ascii="ITC Avant Garde" w:hAnsi="ITC Avant Garde"/>
        </w:rPr>
        <w:t xml:space="preserve"> señalar que no ha adquirido participación alguna en </w:t>
      </w:r>
      <w:r w:rsidRPr="002A2450">
        <w:rPr>
          <w:rFonts w:ascii="ITC Avant Garde" w:hAnsi="ITC Avant Garde"/>
          <w:b/>
        </w:rPr>
        <w:t>“DISH MÉXICO”</w:t>
      </w:r>
      <w:r w:rsidRPr="002A2450">
        <w:rPr>
          <w:rFonts w:ascii="ITC Avant Garde" w:hAnsi="ITC Avant Garde"/>
        </w:rPr>
        <w:t xml:space="preserve"> y manifestar que el ejercicio de la opción estaba limitada a la autorización respectiva, puesto que como se ha señalado, ambas figuras por naturaleza tienen un contexto diferente y consecuencias diversas, por lo que no obst</w:t>
      </w:r>
      <w:r w:rsidR="006E7D32" w:rsidRPr="002A2450">
        <w:rPr>
          <w:rFonts w:ascii="ITC Avant Garde" w:hAnsi="ITC Avant Garde"/>
        </w:rPr>
        <w:t xml:space="preserve">ante </w:t>
      </w:r>
      <w:r w:rsidRPr="002A2450">
        <w:rPr>
          <w:rFonts w:ascii="ITC Avant Garde" w:hAnsi="ITC Avant Garde"/>
        </w:rPr>
        <w:t>de que se haya</w:t>
      </w:r>
      <w:r w:rsidR="006E7D32" w:rsidRPr="002A2450">
        <w:rPr>
          <w:rFonts w:ascii="ITC Avant Garde" w:hAnsi="ITC Avant Garde"/>
        </w:rPr>
        <w:t>n</w:t>
      </w:r>
      <w:r w:rsidRPr="002A2450">
        <w:rPr>
          <w:rFonts w:ascii="ITC Avant Garde" w:hAnsi="ITC Avant Garde"/>
        </w:rPr>
        <w:t xml:space="preserve"> dado por terminado los contratos de opción de compra y venta y el contrato de consecuencias, la posibilidad estuvo vigentes hasta su terminación, de lo que se sigue que dicha concesionaria guardaba para sí una expectativa real, concreta y personal de participar en los dividendos</w:t>
      </w:r>
      <w:r w:rsidR="006E7D32" w:rsidRPr="002A2450">
        <w:rPr>
          <w:rFonts w:ascii="ITC Avant Garde" w:hAnsi="ITC Avant Garde"/>
        </w:rPr>
        <w:t xml:space="preserve"> del negocio de </w:t>
      </w:r>
      <w:r w:rsidR="006E7D32" w:rsidRPr="002A2450">
        <w:rPr>
          <w:rFonts w:ascii="ITC Avant Garde" w:hAnsi="ITC Avant Garde"/>
          <w:b/>
        </w:rPr>
        <w:t>“DISH”</w:t>
      </w:r>
      <w:r w:rsidR="00884423" w:rsidRPr="002A2450">
        <w:rPr>
          <w:rFonts w:ascii="ITC Avant Garde" w:hAnsi="ITC Avant Garde"/>
        </w:rPr>
        <w:t>.</w:t>
      </w:r>
    </w:p>
    <w:p w14:paraId="3A6DCA14" w14:textId="77777777" w:rsidR="00B35F13" w:rsidRDefault="00884423" w:rsidP="00B35F13">
      <w:pPr>
        <w:spacing w:before="240" w:line="360" w:lineRule="auto"/>
        <w:jc w:val="both"/>
        <w:rPr>
          <w:rFonts w:ascii="ITC Avant Garde" w:hAnsi="ITC Avant Garde"/>
        </w:rPr>
      </w:pPr>
      <w:r w:rsidRPr="002A2450">
        <w:rPr>
          <w:rFonts w:ascii="ITC Avant Garde" w:hAnsi="ITC Avant Garde"/>
        </w:rPr>
        <w:t xml:space="preserve">Lo anterior, máxime que el reparto de los dividendos en términos de la Sección 5(a) del contrato de opción de compra y venta señala que los mismos podrían pagarse a partir de que los fondos </w:t>
      </w:r>
      <w:r w:rsidR="006E7D32" w:rsidRPr="002A2450">
        <w:rPr>
          <w:rFonts w:ascii="ITC Avant Garde" w:hAnsi="ITC Avant Garde"/>
        </w:rPr>
        <w:t>que estuvieran</w:t>
      </w:r>
      <w:r w:rsidR="006C5A3F" w:rsidRPr="002A2450">
        <w:rPr>
          <w:rFonts w:ascii="ITC Avant Garde" w:hAnsi="ITC Avant Garde"/>
        </w:rPr>
        <w:t xml:space="preserve"> disponibles</w:t>
      </w:r>
      <w:r w:rsidRPr="002A2450">
        <w:rPr>
          <w:rFonts w:ascii="ITC Avant Garde" w:hAnsi="ITC Avant Garde"/>
        </w:rPr>
        <w:t xml:space="preserve">, de lo que se sigue que la posibilidad de participar en dichos dividendos hasta antes de su terminación estuvieron disponibles para </w:t>
      </w:r>
      <w:r w:rsidRPr="002A2450">
        <w:rPr>
          <w:rFonts w:ascii="ITC Avant Garde" w:hAnsi="ITC Avant Garde"/>
          <w:b/>
        </w:rPr>
        <w:t>“TELMEX”</w:t>
      </w:r>
      <w:r w:rsidRPr="002A2450">
        <w:rPr>
          <w:rFonts w:ascii="ITC Avant Garde" w:hAnsi="ITC Avant Garde"/>
        </w:rPr>
        <w:t>, por lo que sus argumentos resulta</w:t>
      </w:r>
      <w:r w:rsidR="006E7D32" w:rsidRPr="002A2450">
        <w:rPr>
          <w:rFonts w:ascii="ITC Avant Garde" w:hAnsi="ITC Avant Garde"/>
        </w:rPr>
        <w:t>n</w:t>
      </w:r>
      <w:r w:rsidRPr="002A2450">
        <w:rPr>
          <w:rFonts w:ascii="ITC Avant Garde" w:hAnsi="ITC Avant Garde"/>
        </w:rPr>
        <w:t xml:space="preserve"> infundados y por ello insuficientes para desvirtuar la conducta materia del presente procedimiento.</w:t>
      </w:r>
    </w:p>
    <w:p w14:paraId="703B7702" w14:textId="77777777" w:rsidR="00B35F13" w:rsidRDefault="00884423" w:rsidP="00B35F13">
      <w:pPr>
        <w:spacing w:before="240" w:line="360" w:lineRule="auto"/>
        <w:jc w:val="both"/>
        <w:rPr>
          <w:rFonts w:ascii="ITC Avant Garde" w:hAnsi="ITC Avant Garde"/>
        </w:rPr>
      </w:pPr>
      <w:r w:rsidRPr="002A2450">
        <w:rPr>
          <w:rFonts w:ascii="ITC Avant Garde" w:hAnsi="ITC Avant Garde"/>
        </w:rPr>
        <w:t xml:space="preserve">Continúa manifestado </w:t>
      </w:r>
      <w:r w:rsidRPr="002A2450">
        <w:rPr>
          <w:rFonts w:ascii="ITC Avant Garde" w:hAnsi="ITC Avant Garde"/>
          <w:b/>
        </w:rPr>
        <w:t>“TELMEX”</w:t>
      </w:r>
      <w:r w:rsidRPr="002A2450">
        <w:rPr>
          <w:rFonts w:ascii="ITC Avant Garde" w:hAnsi="ITC Avant Garde"/>
        </w:rPr>
        <w:t xml:space="preserve"> lo siguiente:</w:t>
      </w:r>
    </w:p>
    <w:p w14:paraId="37BE7CDD" w14:textId="77777777"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DE LA INVERSIÓN SIMULADA DE TELMEX</w:t>
      </w:r>
    </w:p>
    <w:p w14:paraId="35404D5D"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argumento de la Unidad de Cumplimiento carece de sustento, por las razones que a continuación se mencionan:</w:t>
      </w:r>
    </w:p>
    <w:p w14:paraId="2503543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Se niega que </w:t>
      </w:r>
      <w:r w:rsidR="005B601B" w:rsidRPr="002A2450">
        <w:rPr>
          <w:rFonts w:ascii="ITC Avant Garde" w:hAnsi="ITC Avant Garde"/>
          <w:b/>
          <w:i/>
        </w:rPr>
        <w:t>“TELMEX”</w:t>
      </w:r>
      <w:r w:rsidRPr="002A2450">
        <w:rPr>
          <w:rFonts w:ascii="ITC Avant Garde" w:hAnsi="ITC Avant Garde"/>
          <w:i/>
        </w:rPr>
        <w:t xml:space="preserve"> haya hecho una inversión simulada a través de los contratos.</w:t>
      </w:r>
    </w:p>
    <w:p w14:paraId="52906FCD"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segundo lugar, se insiste que el contrato de opción compra y venta así como el contrato de consecuencias, se dieron por terminados el ocho de agosto de dos mil catorce.</w:t>
      </w:r>
    </w:p>
    <w:p w14:paraId="3AB61FE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El tercer lugar, el contrato de arrendamiento tiene el objeto de documentar una relación comercial.</w:t>
      </w:r>
    </w:p>
    <w:p w14:paraId="502E480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Para entender con claridad, cuando estamos en presencia de una simulación es importante acudir al velo corporativo.</w:t>
      </w:r>
    </w:p>
    <w:p w14:paraId="6E1A0AC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Esta doctrina aplica para casos excepcionales donde hay que romper con la frontera de la personalidad jurídica.</w:t>
      </w:r>
    </w:p>
    <w:p w14:paraId="07D07889"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Poder Judicial de la Federación ha establecido la importancia de reconocer la realidad económica que subyace atrás de las formas jurídico-formales.</w:t>
      </w:r>
    </w:p>
    <w:p w14:paraId="799B194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 anterior no sucede en el caso que nos ocupa. </w:t>
      </w:r>
    </w:p>
    <w:p w14:paraId="7E130D7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ocasiones puede imputarse una conducta a una persona distinta a la que formalmente la realizó. Estos casos son excepcionales. La excepcionalidad consiste en que un actor utilice una sociedad distinta para en apariencia, realizar un acto o hecho y evadir sus consecuencias al amparo de la coraza otorgada por la personalidad jurídica. </w:t>
      </w:r>
    </w:p>
    <w:p w14:paraId="33EB229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Entre los elementos esta la pérdida de libertad de acción, que hace que la conducta, acto o acción no le sea imputable a la persona que actúa sino a la persona que actuó a través de ella.</w:t>
      </w:r>
    </w:p>
    <w:p w14:paraId="67B2BA08"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Otro elemento de un caso de apariencia o simulación, son la falta de sustancia económica, dentro de interés o realidad, la utilización de artificios, mala fe, la intención de engaño u ocultamiento.</w:t>
      </w:r>
    </w:p>
    <w:p w14:paraId="2F68F53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Al respecto, las Cortes han planteado que puede levantarse el velo corporativo sólo en ciertos supuestos específicos, cuando el motivo sea evitar un fraude a la ley o una simulación.</w:t>
      </w:r>
    </w:p>
    <w:p w14:paraId="2D51048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Podemos decir que, para ciertos efectos, una sociedad que puede considerarse como una misma unidad económica con otras sociedades parte de grupo societario, no necesariamente implica la imputabilidad de los actos de una a otras.</w:t>
      </w:r>
    </w:p>
    <w:p w14:paraId="5073373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COFECE ha concluido en otras ocasiones que existe dirección unitaria. En el caso que nos ocupa, </w:t>
      </w:r>
      <w:r w:rsidR="006E7D32" w:rsidRPr="002A2450">
        <w:rPr>
          <w:rFonts w:ascii="ITC Avant Garde" w:hAnsi="ITC Avant Garde"/>
          <w:i/>
        </w:rPr>
        <w:t xml:space="preserve">fue </w:t>
      </w:r>
      <w:proofErr w:type="spellStart"/>
      <w:r w:rsidRPr="002A2450">
        <w:rPr>
          <w:rFonts w:ascii="ITC Avant Garde" w:hAnsi="ITC Avant Garde"/>
          <w:i/>
        </w:rPr>
        <w:t>Teninver</w:t>
      </w:r>
      <w:proofErr w:type="spellEnd"/>
      <w:r w:rsidRPr="002A2450">
        <w:rPr>
          <w:rFonts w:ascii="ITC Avant Garde" w:hAnsi="ITC Avant Garde"/>
          <w:i/>
        </w:rPr>
        <w:t xml:space="preserve"> y no </w:t>
      </w:r>
      <w:r w:rsidR="005B601B" w:rsidRPr="002A2450">
        <w:rPr>
          <w:rFonts w:ascii="ITC Avant Garde" w:hAnsi="ITC Avant Garde"/>
          <w:b/>
          <w:i/>
        </w:rPr>
        <w:t>“TELMEX”</w:t>
      </w:r>
      <w:r w:rsidRPr="002A2450">
        <w:rPr>
          <w:rFonts w:ascii="ITC Avant Garde" w:hAnsi="ITC Avant Garde"/>
          <w:i/>
        </w:rPr>
        <w:t xml:space="preserve"> </w:t>
      </w:r>
      <w:r w:rsidR="006E7D32" w:rsidRPr="002A2450">
        <w:rPr>
          <w:rFonts w:ascii="ITC Avant Garde" w:hAnsi="ITC Avant Garde"/>
          <w:i/>
        </w:rPr>
        <w:t xml:space="preserve">quien </w:t>
      </w:r>
      <w:r w:rsidRPr="002A2450">
        <w:rPr>
          <w:rFonts w:ascii="ITC Avant Garde" w:hAnsi="ITC Avant Garde"/>
          <w:i/>
        </w:rPr>
        <w:t xml:space="preserve">celebró un contrato de arrendamiento, independiente y con sustancia propia, a través del cual, arrienda equipos a </w:t>
      </w:r>
      <w:proofErr w:type="spellStart"/>
      <w:r w:rsidRPr="002A2450">
        <w:rPr>
          <w:rFonts w:ascii="ITC Avant Garde" w:hAnsi="ITC Avant Garde"/>
          <w:i/>
        </w:rPr>
        <w:t>Dish</w:t>
      </w:r>
      <w:proofErr w:type="spellEnd"/>
      <w:r w:rsidRPr="002A2450">
        <w:rPr>
          <w:rFonts w:ascii="ITC Avant Garde" w:hAnsi="ITC Avant Garde"/>
          <w:i/>
        </w:rPr>
        <w:t xml:space="preserve"> México, comprometiéndose a un monto máximo para adquirir dicho equipo.</w:t>
      </w:r>
    </w:p>
    <w:p w14:paraId="4B07F5EF"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invirtió en </w:t>
      </w:r>
      <w:proofErr w:type="spellStart"/>
      <w:r w:rsidR="00831D47" w:rsidRPr="002A2450">
        <w:rPr>
          <w:rFonts w:ascii="ITC Avant Garde" w:hAnsi="ITC Avant Garde"/>
          <w:i/>
        </w:rPr>
        <w:t>Dish</w:t>
      </w:r>
      <w:proofErr w:type="spellEnd"/>
      <w:r w:rsidR="00831D47" w:rsidRPr="002A2450">
        <w:rPr>
          <w:rFonts w:ascii="ITC Avant Garde" w:hAnsi="ITC Avant Garde"/>
          <w:i/>
        </w:rPr>
        <w:t xml:space="preserve"> México $325 millones de dólares, ni por el contrato de arrendamiento, en el que sólo adquirió una parte del equipo directamente a </w:t>
      </w:r>
      <w:proofErr w:type="spellStart"/>
      <w:r w:rsidR="00831D47" w:rsidRPr="002A2450">
        <w:rPr>
          <w:rFonts w:ascii="ITC Avant Garde" w:hAnsi="ITC Avant Garde"/>
          <w:i/>
        </w:rPr>
        <w:t>Dish</w:t>
      </w:r>
      <w:proofErr w:type="spellEnd"/>
      <w:r w:rsidR="00831D47" w:rsidRPr="002A2450">
        <w:rPr>
          <w:rFonts w:ascii="ITC Avant Garde" w:hAnsi="ITC Avant Garde"/>
          <w:i/>
        </w:rPr>
        <w:t xml:space="preserve"> para después arrendarlo. El contrato se conoce como “sale and </w:t>
      </w:r>
      <w:proofErr w:type="spellStart"/>
      <w:r w:rsidR="00831D47" w:rsidRPr="002A2450">
        <w:rPr>
          <w:rFonts w:ascii="ITC Avant Garde" w:hAnsi="ITC Avant Garde"/>
          <w:i/>
        </w:rPr>
        <w:t>lease</w:t>
      </w:r>
      <w:proofErr w:type="spellEnd"/>
      <w:r w:rsidR="00831D47" w:rsidRPr="002A2450">
        <w:rPr>
          <w:rFonts w:ascii="ITC Avant Garde" w:hAnsi="ITC Avant Garde"/>
          <w:i/>
        </w:rPr>
        <w:t xml:space="preserve"> back” o sea compra y arrendamiento al vendedor. </w:t>
      </w:r>
    </w:p>
    <w:p w14:paraId="48E5ADCB"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Se utiliza comúnmente en negocios intensivos en capital y con especificaciones técnicas muy precisas como en el caso de las empresas de aviación o en el de telecomunicaciones en las que el proveedor del negocio del servicio adquiere del fabricante ciertos bienes para asegurar su disponibilidad.</w:t>
      </w:r>
    </w:p>
    <w:p w14:paraId="44E540A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Una vez que dichos bienes están l</w:t>
      </w:r>
      <w:r w:rsidR="006E7D32" w:rsidRPr="002A2450">
        <w:rPr>
          <w:rFonts w:ascii="ITC Avant Garde" w:hAnsi="ITC Avant Garde"/>
          <w:i/>
        </w:rPr>
        <w:t>istos para la entrega, el operador</w:t>
      </w:r>
      <w:r w:rsidRPr="002A2450">
        <w:rPr>
          <w:rFonts w:ascii="ITC Avant Garde" w:hAnsi="ITC Avant Garde"/>
          <w:i/>
        </w:rPr>
        <w:t xml:space="preserve"> o prestador del servicio debe elegir entre utilizar capital propio, obtener financiamiento o bien transferir su derecho de compra o vender los bienes adquiridos a un arrendador para que este a su vez se los otorgue en arrendamiento.</w:t>
      </w:r>
    </w:p>
    <w:p w14:paraId="29BEEDD2"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En el procedimiento que nos ocupa </w:t>
      </w:r>
      <w:proofErr w:type="spellStart"/>
      <w:r w:rsidRPr="002A2450">
        <w:rPr>
          <w:rFonts w:ascii="ITC Avant Garde" w:hAnsi="ITC Avant Garde"/>
          <w:i/>
        </w:rPr>
        <w:t>Teninver</w:t>
      </w:r>
      <w:proofErr w:type="spellEnd"/>
      <w:r w:rsidRPr="002A2450">
        <w:rPr>
          <w:rFonts w:ascii="ITC Avant Garde" w:hAnsi="ITC Avant Garde"/>
          <w:i/>
        </w:rPr>
        <w:t xml:space="preserve">, es una empresa cuyo objeto social incluye el arrendamiento, </w:t>
      </w:r>
      <w:r w:rsidR="006E7D32" w:rsidRPr="002A2450">
        <w:rPr>
          <w:rFonts w:ascii="ITC Avant Garde" w:hAnsi="ITC Avant Garde"/>
          <w:i/>
        </w:rPr>
        <w:t xml:space="preserve">en ese sentido, dicha empresa </w:t>
      </w:r>
      <w:r w:rsidRPr="002A2450">
        <w:rPr>
          <w:rFonts w:ascii="ITC Avant Garde" w:hAnsi="ITC Avant Garde"/>
          <w:i/>
        </w:rPr>
        <w:t xml:space="preserve">adquirió de </w:t>
      </w:r>
      <w:proofErr w:type="spellStart"/>
      <w:r w:rsidRPr="002A2450">
        <w:rPr>
          <w:rFonts w:ascii="ITC Avant Garde" w:hAnsi="ITC Avant Garde"/>
          <w:i/>
        </w:rPr>
        <w:t>Dish</w:t>
      </w:r>
      <w:proofErr w:type="spellEnd"/>
      <w:r w:rsidRPr="002A2450">
        <w:rPr>
          <w:rFonts w:ascii="ITC Avant Garde" w:hAnsi="ITC Avant Garde"/>
          <w:i/>
        </w:rPr>
        <w:t xml:space="preserve"> o de los fabricantes equipos llamados Kits</w:t>
      </w:r>
      <w:r w:rsidR="006E7D32" w:rsidRPr="002A2450">
        <w:rPr>
          <w:rFonts w:ascii="ITC Avant Garde" w:hAnsi="ITC Avant Garde"/>
          <w:i/>
        </w:rPr>
        <w:t xml:space="preserve"> para otorgar</w:t>
      </w:r>
      <w:r w:rsidRPr="002A2450">
        <w:rPr>
          <w:rFonts w:ascii="ITC Avant Garde" w:hAnsi="ITC Avant Garde"/>
          <w:i/>
        </w:rPr>
        <w:t xml:space="preserve"> </w:t>
      </w:r>
      <w:r w:rsidR="006E7D32" w:rsidRPr="002A2450">
        <w:rPr>
          <w:rFonts w:ascii="ITC Avant Garde" w:hAnsi="ITC Avant Garde"/>
          <w:i/>
        </w:rPr>
        <w:lastRenderedPageBreak/>
        <w:t xml:space="preserve">en </w:t>
      </w:r>
      <w:r w:rsidRPr="002A2450">
        <w:rPr>
          <w:rFonts w:ascii="ITC Avant Garde" w:hAnsi="ITC Avant Garde"/>
          <w:i/>
        </w:rPr>
        <w:t>arrendamiento de dichos equipos a cambio de una renta que le permite recuperar sus costos de capital y obtener utilidad razonable.</w:t>
      </w:r>
    </w:p>
    <w:p w14:paraId="1CBA285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Pero el contrato no implica ni un aumento de capital ni relación corporativa que no sea la expuesta en el mismo.</w:t>
      </w:r>
    </w:p>
    <w:p w14:paraId="30845253"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no ha invertido recursos en </w:t>
      </w:r>
      <w:proofErr w:type="spellStart"/>
      <w:r w:rsidR="00831D47" w:rsidRPr="002A2450">
        <w:rPr>
          <w:rFonts w:ascii="ITC Avant Garde" w:hAnsi="ITC Avant Garde"/>
          <w:i/>
        </w:rPr>
        <w:t>Dish</w:t>
      </w:r>
      <w:proofErr w:type="spellEnd"/>
      <w:r w:rsidR="00831D47" w:rsidRPr="002A2450">
        <w:rPr>
          <w:rFonts w:ascii="ITC Avant Garde" w:hAnsi="ITC Avant Garde"/>
          <w:i/>
        </w:rPr>
        <w:t xml:space="preserve"> México, </w:t>
      </w:r>
      <w:r w:rsidRPr="002A2450">
        <w:rPr>
          <w:rFonts w:ascii="ITC Avant Garde" w:hAnsi="ITC Avant Garde"/>
          <w:b/>
          <w:i/>
        </w:rPr>
        <w:t>“TELMEX”</w:t>
      </w:r>
      <w:r w:rsidR="00831D47" w:rsidRPr="002A2450">
        <w:rPr>
          <w:rFonts w:ascii="ITC Avant Garde" w:hAnsi="ITC Avant Garde"/>
          <w:i/>
        </w:rPr>
        <w:t xml:space="preserve"> se comprometió a apoyar financieramente a uno de sus clientes, en la posibilidad de una aventura de negocio a través de la adquisición y arrendamiento de </w:t>
      </w:r>
      <w:r w:rsidR="00DB48C0">
        <w:rPr>
          <w:rFonts w:ascii="ITC Avant Garde" w:hAnsi="ITC Avant Garde"/>
          <w:i/>
        </w:rPr>
        <w:t>Kits</w:t>
      </w:r>
      <w:r w:rsidR="00831D47" w:rsidRPr="002A2450">
        <w:rPr>
          <w:rFonts w:ascii="ITC Avant Garde" w:hAnsi="ITC Avant Garde"/>
          <w:i/>
        </w:rPr>
        <w:t xml:space="preserve"> CPE. Al respecto, como cualquier comerciante, estableció un monto máximo al costo correspondiente de 325 millones de dólares.</w:t>
      </w:r>
    </w:p>
    <w:p w14:paraId="28C3DEA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Destacamos respecto del arrendamiento, que a través del Contrato de Arrendamiento no se realiza aportación alguna. El financiamiento del equipo es un negocio, que además es recuperable y genera utilidades a través de la renta que se genere a lo largo del tiempo.</w:t>
      </w:r>
    </w:p>
    <w:p w14:paraId="72C46D7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Respecto a la supuesta inversión y su monto máximo, destacamos que en la industria de las rentas de todo tipo de equipo o bienes muebles que tienen un grado de obsolescencia, el arrendador hace un presupuesto en función de las características del negocio que está apoyando.</w:t>
      </w:r>
    </w:p>
    <w:p w14:paraId="253016F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De esta forma, </w:t>
      </w:r>
      <w:r w:rsidR="005B601B" w:rsidRPr="002A2450">
        <w:rPr>
          <w:rFonts w:ascii="ITC Avant Garde" w:hAnsi="ITC Avant Garde"/>
          <w:b/>
          <w:i/>
        </w:rPr>
        <w:t>“TELMEX”</w:t>
      </w:r>
      <w:r w:rsidRPr="002A2450">
        <w:rPr>
          <w:rFonts w:ascii="ITC Avant Garde" w:hAnsi="ITC Avant Garde"/>
          <w:i/>
        </w:rPr>
        <w:t xml:space="preserve"> ha apoyado a otros clientes en negocios diversos. </w:t>
      </w:r>
    </w:p>
    <w:p w14:paraId="0789108D" w14:textId="77777777" w:rsidR="00A80E02" w:rsidRDefault="00831D47" w:rsidP="00B35F13">
      <w:pPr>
        <w:spacing w:before="240" w:line="360" w:lineRule="auto"/>
        <w:ind w:left="567" w:right="567"/>
        <w:jc w:val="both"/>
        <w:rPr>
          <w:rFonts w:ascii="ITC Avant Garde" w:hAnsi="ITC Avant Garde"/>
          <w:i/>
        </w:rPr>
        <w:sectPr w:rsidR="00A80E02" w:rsidSect="009F3771">
          <w:headerReference w:type="default" r:id="rId50"/>
          <w:pgSz w:w="12240" w:h="15840"/>
          <w:pgMar w:top="1985" w:right="1701" w:bottom="1418" w:left="1701" w:header="709" w:footer="709" w:gutter="0"/>
          <w:cols w:space="708"/>
          <w:docGrid w:linePitch="360"/>
        </w:sectPr>
      </w:pPr>
      <w:r w:rsidRPr="002A2450">
        <w:rPr>
          <w:rFonts w:ascii="ITC Avant Garde" w:hAnsi="ITC Avant Garde"/>
          <w:i/>
        </w:rPr>
        <w:t xml:space="preserve">A diferencia de una inversión en capital el arrendamiento por su propia naturaleza está limitado en tiempo y en monto. El máximo se determinó conforme al entonces plan estimado de negocios de </w:t>
      </w:r>
      <w:proofErr w:type="spellStart"/>
      <w:r w:rsidRPr="002A2450">
        <w:rPr>
          <w:rFonts w:ascii="ITC Avant Garde" w:hAnsi="ITC Avant Garde"/>
          <w:i/>
        </w:rPr>
        <w:t>Dish</w:t>
      </w:r>
      <w:proofErr w:type="spellEnd"/>
      <w:r w:rsidRPr="002A2450">
        <w:rPr>
          <w:rFonts w:ascii="ITC Avant Garde" w:hAnsi="ITC Avant Garde"/>
          <w:i/>
        </w:rPr>
        <w:t xml:space="preserve"> México, en noviembre de 2008. En ese sentido es muy importante aclarar que la inversión tenga un má</w:t>
      </w:r>
      <w:r w:rsidR="006E7D32" w:rsidRPr="002A2450">
        <w:rPr>
          <w:rFonts w:ascii="ITC Avant Garde" w:hAnsi="ITC Avant Garde"/>
          <w:i/>
        </w:rPr>
        <w:t xml:space="preserve">ximo no implica en modo alguno </w:t>
      </w:r>
      <w:r w:rsidRPr="002A2450">
        <w:rPr>
          <w:rFonts w:ascii="ITC Avant Garde" w:hAnsi="ITC Avant Garde"/>
          <w:i/>
        </w:rPr>
        <w:t>l</w:t>
      </w:r>
      <w:r w:rsidR="006E7D32" w:rsidRPr="002A2450">
        <w:rPr>
          <w:rFonts w:ascii="ITC Avant Garde" w:hAnsi="ITC Avant Garde"/>
          <w:i/>
        </w:rPr>
        <w:t>a</w:t>
      </w:r>
      <w:r w:rsidRPr="002A2450">
        <w:rPr>
          <w:rFonts w:ascii="ITC Avant Garde" w:hAnsi="ITC Avant Garde"/>
          <w:i/>
        </w:rPr>
        <w:t xml:space="preserve"> existencia de </w:t>
      </w:r>
    </w:p>
    <w:p w14:paraId="644001EB" w14:textId="0048E515" w:rsidR="00B35F13" w:rsidRDefault="00831D47" w:rsidP="00B35F13">
      <w:pPr>
        <w:spacing w:before="240" w:line="360" w:lineRule="auto"/>
        <w:ind w:left="567" w:right="567"/>
        <w:jc w:val="both"/>
        <w:rPr>
          <w:rFonts w:ascii="ITC Avant Garde" w:hAnsi="ITC Avant Garde"/>
          <w:i/>
        </w:rPr>
      </w:pPr>
      <w:proofErr w:type="gramStart"/>
      <w:r w:rsidRPr="002A2450">
        <w:rPr>
          <w:rFonts w:ascii="ITC Avant Garde" w:hAnsi="ITC Avant Garde"/>
          <w:i/>
        </w:rPr>
        <w:lastRenderedPageBreak/>
        <w:t>figura</w:t>
      </w:r>
      <w:proofErr w:type="gramEnd"/>
      <w:r w:rsidRPr="002A2450">
        <w:rPr>
          <w:rFonts w:ascii="ITC Avant Garde" w:hAnsi="ITC Avant Garde"/>
          <w:i/>
        </w:rPr>
        <w:t xml:space="preserve"> distinta, es decir, la existencia de cualquier similitud es mera casualidad.</w:t>
      </w:r>
    </w:p>
    <w:p w14:paraId="599ADF67" w14:textId="77777777" w:rsidR="00B35F13" w:rsidRDefault="00624AB9" w:rsidP="00B35F13">
      <w:pPr>
        <w:spacing w:before="240" w:line="360" w:lineRule="auto"/>
        <w:jc w:val="both"/>
        <w:rPr>
          <w:rFonts w:ascii="ITC Avant Garde" w:hAnsi="ITC Avant Garde"/>
        </w:rPr>
      </w:pPr>
      <w:r w:rsidRPr="002A2450">
        <w:rPr>
          <w:rFonts w:ascii="ITC Avant Garde" w:hAnsi="ITC Avant Garde"/>
        </w:rPr>
        <w:t xml:space="preserve">Al respecto, dichas manifestaciones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38FC56D2" w14:textId="77777777" w:rsidR="00B35F13" w:rsidRDefault="00624AB9" w:rsidP="00B35F13">
      <w:pPr>
        <w:spacing w:before="240" w:line="360" w:lineRule="auto"/>
        <w:jc w:val="both"/>
        <w:rPr>
          <w:rFonts w:ascii="ITC Avant Garde" w:hAnsi="ITC Avant Garde"/>
        </w:rPr>
      </w:pPr>
      <w:r w:rsidRPr="002A2450">
        <w:rPr>
          <w:rFonts w:ascii="ITC Avant Garde" w:hAnsi="ITC Avant Garde"/>
        </w:rPr>
        <w:t xml:space="preserve">En términos del acuerdo de inicio, la operación segmentada </w:t>
      </w:r>
      <w:r w:rsidR="002D5554" w:rsidRPr="002A2450">
        <w:rPr>
          <w:rFonts w:ascii="ITC Avant Garde" w:hAnsi="ITC Avant Garde"/>
        </w:rPr>
        <w:t xml:space="preserve">en los </w:t>
      </w:r>
      <w:r w:rsidRPr="002A2450">
        <w:rPr>
          <w:rFonts w:ascii="ITC Avant Garde" w:hAnsi="ITC Avant Garde"/>
        </w:rPr>
        <w:t>contrato</w:t>
      </w:r>
      <w:r w:rsidR="002D5554" w:rsidRPr="002A2450">
        <w:rPr>
          <w:rFonts w:ascii="ITC Avant Garde" w:hAnsi="ITC Avant Garde"/>
        </w:rPr>
        <w:t xml:space="preserve">s de arrendamiento, </w:t>
      </w:r>
      <w:r w:rsidRPr="002A2450">
        <w:rPr>
          <w:rFonts w:ascii="ITC Avant Garde" w:hAnsi="ITC Avant Garde"/>
        </w:rPr>
        <w:t xml:space="preserve">de opción de compra y venta </w:t>
      </w:r>
      <w:r w:rsidR="002D5554" w:rsidRPr="002A2450">
        <w:rPr>
          <w:rFonts w:ascii="ITC Avant Garde" w:hAnsi="ITC Avant Garde"/>
        </w:rPr>
        <w:t xml:space="preserve">y consecuencias, </w:t>
      </w:r>
      <w:r w:rsidRPr="002A2450">
        <w:rPr>
          <w:rFonts w:ascii="ITC Avant Garde" w:hAnsi="ITC Avant Garde"/>
        </w:rPr>
        <w:t>se sigue de la siguiente manera:</w:t>
      </w:r>
    </w:p>
    <w:p w14:paraId="795F78F3" w14:textId="25794943" w:rsidR="00AA2DAC" w:rsidRPr="002A2450" w:rsidRDefault="006E7D32"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E</w:t>
      </w:r>
      <w:r w:rsidR="00AA2DAC" w:rsidRPr="002A2450">
        <w:rPr>
          <w:rFonts w:ascii="ITC Avant Garde" w:hAnsi="ITC Avant Garde"/>
        </w:rPr>
        <w:t>n términos de</w:t>
      </w:r>
      <w:r w:rsidR="002D5554" w:rsidRPr="002A2450">
        <w:rPr>
          <w:rFonts w:ascii="ITC Avant Garde" w:hAnsi="ITC Avant Garde"/>
        </w:rPr>
        <w:t>l</w:t>
      </w:r>
      <w:r w:rsidR="00AA2DAC" w:rsidRPr="002A2450">
        <w:rPr>
          <w:rFonts w:ascii="ITC Avant Garde" w:hAnsi="ITC Avant Garde"/>
        </w:rPr>
        <w:t xml:space="preserve"> contrato de </w:t>
      </w:r>
      <w:r w:rsidR="002D5554" w:rsidRPr="002A2450">
        <w:rPr>
          <w:rFonts w:ascii="ITC Avant Garde" w:hAnsi="ITC Avant Garde"/>
        </w:rPr>
        <w:t xml:space="preserve">Consecuencias, </w:t>
      </w:r>
      <w:r w:rsidR="001158B8" w:rsidRPr="0047339C">
        <w:rPr>
          <w:rFonts w:ascii="ITC Avant Garde" w:eastAsiaTheme="majorEastAsia" w:hAnsi="ITC Avant Garde" w:cstheme="majorBidi"/>
          <w:b/>
          <w:color w:val="0000FF"/>
          <w:szCs w:val="32"/>
        </w:rPr>
        <w:t>“CONFIDENCIAL POR LEY”</w:t>
      </w:r>
      <w:r w:rsidR="002D5554" w:rsidRPr="002A2450">
        <w:rPr>
          <w:rFonts w:ascii="ITC Avant Garde" w:hAnsi="ITC Avant Garde"/>
        </w:rPr>
        <w:t xml:space="preserve"> </w:t>
      </w:r>
      <w:proofErr w:type="spellStart"/>
      <w:r w:rsidR="002D5554" w:rsidRPr="002A2450">
        <w:rPr>
          <w:rFonts w:ascii="ITC Avant Garde" w:hAnsi="ITC Avant Garde"/>
        </w:rPr>
        <w:t>Teninver</w:t>
      </w:r>
      <w:proofErr w:type="spellEnd"/>
      <w:r w:rsidR="002D5554" w:rsidRPr="002A2450">
        <w:rPr>
          <w:rFonts w:ascii="ITC Avant Garde" w:hAnsi="ITC Avant Garde"/>
        </w:rPr>
        <w:t xml:space="preserve">, se establece entre otras cosas lo siguiente: i) </w:t>
      </w:r>
      <w:r w:rsidR="002D5554" w:rsidRPr="002A2450">
        <w:rPr>
          <w:rFonts w:ascii="ITC Avant Garde" w:hAnsi="ITC Avant Garde"/>
          <w:b/>
        </w:rPr>
        <w:t xml:space="preserve">“TENINVER” </w:t>
      </w:r>
      <w:r w:rsidR="002D5554" w:rsidRPr="002A2450">
        <w:rPr>
          <w:rFonts w:ascii="ITC Avant Garde" w:hAnsi="ITC Avant Garde"/>
        </w:rPr>
        <w:t xml:space="preserve">llevará a cabo los actos necesarios a efecto de que un banco de su elección, sujeto a la aprobación de </w:t>
      </w:r>
      <w:r w:rsidR="002D5554" w:rsidRPr="002A2450">
        <w:rPr>
          <w:rFonts w:ascii="ITC Avant Garde" w:hAnsi="ITC Avant Garde"/>
          <w:b/>
        </w:rPr>
        <w:t>“DISH MÉXICO”</w:t>
      </w:r>
      <w:r w:rsidR="002D5554" w:rsidRPr="002A2450">
        <w:rPr>
          <w:rFonts w:ascii="ITC Avant Garde" w:hAnsi="ITC Avant Garde"/>
        </w:rPr>
        <w:t xml:space="preserve">, le otorgue a la segunda un préstamo; ii) dicha obligación sería exclusiva de </w:t>
      </w:r>
      <w:r w:rsidR="002D5554" w:rsidRPr="002A2450">
        <w:rPr>
          <w:rFonts w:ascii="ITC Avant Garde" w:hAnsi="ITC Avant Garde"/>
          <w:b/>
        </w:rPr>
        <w:t xml:space="preserve">“DISH MÉXICO” </w:t>
      </w:r>
      <w:r w:rsidR="000D2038" w:rsidRPr="002A2450">
        <w:rPr>
          <w:rFonts w:ascii="ITC Avant Garde" w:hAnsi="ITC Avant Garde"/>
        </w:rPr>
        <w:t xml:space="preserve">por una cantidad igual a </w:t>
      </w:r>
      <w:r w:rsidR="002D5554" w:rsidRPr="002A2450">
        <w:rPr>
          <w:rFonts w:ascii="ITC Avant Garde" w:hAnsi="ITC Avant Garde"/>
        </w:rPr>
        <w:t xml:space="preserve">USD $325´000,000.00 </w:t>
      </w:r>
      <w:r w:rsidR="000D2038" w:rsidRPr="002A2450">
        <w:rPr>
          <w:rFonts w:ascii="ITC Avant Garde" w:hAnsi="ITC Avant Garde"/>
        </w:rPr>
        <w:t xml:space="preserve">(Trescientos veinticinco millones de dólares de Estados Unidos de América) </w:t>
      </w:r>
      <w:r w:rsidR="002D5554" w:rsidRPr="002A2450">
        <w:rPr>
          <w:rFonts w:ascii="ITC Avant Garde" w:hAnsi="ITC Avant Garde"/>
        </w:rPr>
        <w:t xml:space="preserve">menos la cantidad la cantidad que </w:t>
      </w:r>
      <w:r w:rsidR="002D5554" w:rsidRPr="002A2450">
        <w:rPr>
          <w:rFonts w:ascii="ITC Avant Garde" w:hAnsi="ITC Avant Garde"/>
          <w:b/>
        </w:rPr>
        <w:t>“TENINVER”</w:t>
      </w:r>
      <w:r w:rsidR="002D5554" w:rsidRPr="002A2450">
        <w:rPr>
          <w:rFonts w:ascii="ITC Avant Garde" w:hAnsi="ITC Avant Garde"/>
        </w:rPr>
        <w:t xml:space="preserve"> haya erogado con motivo de</w:t>
      </w:r>
      <w:r w:rsidRPr="002A2450">
        <w:rPr>
          <w:rFonts w:ascii="ITC Avant Garde" w:hAnsi="ITC Avant Garde"/>
        </w:rPr>
        <w:t>l</w:t>
      </w:r>
      <w:r w:rsidR="002D5554" w:rsidRPr="002A2450">
        <w:rPr>
          <w:rFonts w:ascii="ITC Avant Garde" w:hAnsi="ITC Avant Garde"/>
        </w:rPr>
        <w:t xml:space="preserve"> contrato de arrendamiento; iii) el préstamo respaldará un dividendo que será pagado por </w:t>
      </w:r>
      <w:r w:rsidR="002D5554" w:rsidRPr="002A2450">
        <w:rPr>
          <w:rFonts w:ascii="ITC Avant Garde" w:hAnsi="ITC Avant Garde"/>
          <w:b/>
        </w:rPr>
        <w:t xml:space="preserve">“DISH MÉXICO” </w:t>
      </w:r>
      <w:r w:rsidR="002D5554" w:rsidRPr="002A2450">
        <w:rPr>
          <w:rFonts w:ascii="ITC Avant Garde" w:hAnsi="ITC Avant Garde"/>
        </w:rPr>
        <w:t>en 2014.</w:t>
      </w:r>
    </w:p>
    <w:p w14:paraId="5EAFEF4C" w14:textId="77777777" w:rsidR="002D5554" w:rsidRPr="002A2450" w:rsidRDefault="004740ED"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 xml:space="preserve">En términos </w:t>
      </w:r>
      <w:r w:rsidR="00974113" w:rsidRPr="002A2450">
        <w:rPr>
          <w:rFonts w:ascii="ITC Avant Garde" w:hAnsi="ITC Avant Garde"/>
        </w:rPr>
        <w:t xml:space="preserve">del contrato de compraventa de CPE, </w:t>
      </w:r>
      <w:r w:rsidR="00974113" w:rsidRPr="002A2450">
        <w:rPr>
          <w:rFonts w:ascii="ITC Avant Garde" w:hAnsi="ITC Avant Garde"/>
          <w:b/>
        </w:rPr>
        <w:t>ECHOSTAR TECHNOLOGIES LLC</w:t>
      </w:r>
      <w:r w:rsidR="00974113" w:rsidRPr="002A2450">
        <w:rPr>
          <w:rFonts w:ascii="ITC Avant Garde" w:hAnsi="ITC Avant Garde"/>
        </w:rPr>
        <w:t>, en su carácter de vendedor, transmitió la propiedad de los equipos CPE (</w:t>
      </w:r>
      <w:r w:rsidR="00974113" w:rsidRPr="002A2450">
        <w:rPr>
          <w:rFonts w:ascii="ITC Avant Garde" w:hAnsi="ITC Avant Garde"/>
          <w:i/>
        </w:rPr>
        <w:t>decodificador/descifrador integrado/ set-top box</w:t>
      </w:r>
      <w:r w:rsidR="00974113" w:rsidRPr="002A2450">
        <w:rPr>
          <w:rFonts w:ascii="ITC Avant Garde" w:hAnsi="ITC Avant Garde"/>
        </w:rPr>
        <w:t xml:space="preserve">), a </w:t>
      </w:r>
      <w:r w:rsidR="00974113" w:rsidRPr="002A2450">
        <w:rPr>
          <w:rFonts w:ascii="ITC Avant Garde" w:hAnsi="ITC Avant Garde"/>
          <w:b/>
        </w:rPr>
        <w:t>“COFRESA”</w:t>
      </w:r>
      <w:r w:rsidR="00974113" w:rsidRPr="002A2450">
        <w:rPr>
          <w:rFonts w:ascii="ITC Avant Garde" w:hAnsi="ITC Avant Garde"/>
        </w:rPr>
        <w:t>, en su carácter de comprador.</w:t>
      </w:r>
    </w:p>
    <w:p w14:paraId="1E7C1B8A" w14:textId="77777777" w:rsidR="00974113" w:rsidRPr="002A2450" w:rsidRDefault="00974113"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 xml:space="preserve">Ahora bien, en términos del contrato de arrendamiento celebrado entre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“TENINVER”</w:t>
      </w:r>
      <w:r w:rsidR="00BF0E01" w:rsidRPr="002A2450">
        <w:rPr>
          <w:rFonts w:ascii="ITC Avant Garde" w:hAnsi="ITC Avant Garde"/>
        </w:rPr>
        <w:t xml:space="preserve">, la primera vendería a la segunda los kits CPE adquiridos por </w:t>
      </w:r>
      <w:r w:rsidR="00BF0E01" w:rsidRPr="002A2450">
        <w:rPr>
          <w:rFonts w:ascii="ITC Avant Garde" w:hAnsi="ITC Avant Garde"/>
          <w:b/>
        </w:rPr>
        <w:t xml:space="preserve">“COFRESA” </w:t>
      </w:r>
      <w:r w:rsidR="00BF0E01" w:rsidRPr="002A2450">
        <w:rPr>
          <w:rFonts w:ascii="ITC Avant Garde" w:hAnsi="ITC Avant Garde"/>
        </w:rPr>
        <w:t>y la segunda</w:t>
      </w:r>
      <w:r w:rsidR="00BF0E01" w:rsidRPr="002A2450">
        <w:rPr>
          <w:rFonts w:ascii="ITC Avant Garde" w:hAnsi="ITC Avant Garde"/>
          <w:b/>
        </w:rPr>
        <w:t xml:space="preserve"> </w:t>
      </w:r>
      <w:r w:rsidR="00BF0E01" w:rsidRPr="002A2450">
        <w:rPr>
          <w:rFonts w:ascii="ITC Avant Garde" w:hAnsi="ITC Avant Garde"/>
        </w:rPr>
        <w:t>arrendaría dichos equipos a</w:t>
      </w:r>
      <w:r w:rsidR="00BF0E01" w:rsidRPr="002A2450">
        <w:rPr>
          <w:rFonts w:ascii="ITC Avant Garde" w:hAnsi="ITC Avant Garde"/>
          <w:b/>
        </w:rPr>
        <w:t xml:space="preserve"> </w:t>
      </w:r>
      <w:r w:rsidR="00BF0E01" w:rsidRPr="002A2450">
        <w:rPr>
          <w:rFonts w:ascii="ITC Avant Garde" w:hAnsi="ITC Avant Garde"/>
        </w:rPr>
        <w:t>la primera en mención.</w:t>
      </w:r>
    </w:p>
    <w:p w14:paraId="1A394A50" w14:textId="3C8AF5F7" w:rsidR="00BF0E01" w:rsidRPr="002A2450" w:rsidRDefault="00BF0E01"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 xml:space="preserve">El contrato de arredramiento </w:t>
      </w:r>
      <w:r w:rsidR="001158B8" w:rsidRPr="0047339C">
        <w:rPr>
          <w:rFonts w:ascii="ITC Avant Garde" w:eastAsiaTheme="majorEastAsia" w:hAnsi="ITC Avant Garde" w:cstheme="majorBidi"/>
          <w:b/>
          <w:color w:val="0000FF"/>
          <w:szCs w:val="32"/>
        </w:rPr>
        <w:t>“CONFIDENCIAL POR LEY”</w:t>
      </w:r>
      <w:r w:rsidRPr="0047339C">
        <w:rPr>
          <w:rFonts w:ascii="ITC Avant Garde" w:hAnsi="ITC Avant Garde"/>
          <w:b/>
        </w:rPr>
        <w:t xml:space="preserve"> </w:t>
      </w:r>
      <w:r w:rsidRPr="002A2450">
        <w:rPr>
          <w:rFonts w:ascii="ITC Avant Garde" w:hAnsi="ITC Avant Garde"/>
        </w:rPr>
        <w:t>señala que el arrendador (</w:t>
      </w:r>
      <w:r w:rsidRPr="002A2450">
        <w:rPr>
          <w:rFonts w:ascii="ITC Avant Garde" w:hAnsi="ITC Avant Garde"/>
          <w:b/>
        </w:rPr>
        <w:t>“TENINVER”</w:t>
      </w:r>
      <w:r w:rsidRPr="002A2450">
        <w:rPr>
          <w:rFonts w:ascii="ITC Avant Garde" w:hAnsi="ITC Avant Garde"/>
        </w:rPr>
        <w:t>)</w:t>
      </w:r>
      <w:r w:rsidRPr="002A2450">
        <w:rPr>
          <w:rFonts w:ascii="ITC Avant Garde" w:hAnsi="ITC Avant Garde"/>
          <w:b/>
        </w:rPr>
        <w:t xml:space="preserve"> </w:t>
      </w:r>
      <w:r w:rsidRPr="002A2450">
        <w:rPr>
          <w:rFonts w:ascii="ITC Avant Garde" w:hAnsi="ITC Avant Garde"/>
        </w:rPr>
        <w:t xml:space="preserve">no estaría obligado a invertir más de </w:t>
      </w:r>
      <w:r w:rsidRPr="002A2450">
        <w:rPr>
          <w:rFonts w:ascii="ITC Avant Garde" w:hAnsi="ITC Avant Garde"/>
          <w:b/>
        </w:rPr>
        <w:t xml:space="preserve">USD </w:t>
      </w:r>
      <w:r w:rsidRPr="002A2450">
        <w:rPr>
          <w:rFonts w:ascii="ITC Avant Garde" w:hAnsi="ITC Avant Garde"/>
          <w:b/>
        </w:rPr>
        <w:lastRenderedPageBreak/>
        <w:t>$325´000,000.00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rPr>
        <w:t>.</w:t>
      </w:r>
    </w:p>
    <w:p w14:paraId="22E495FD" w14:textId="19D35298" w:rsidR="00BF0E01" w:rsidRPr="002A2450" w:rsidRDefault="00BF0E01"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 xml:space="preserve">De acuerdo al contrato de opción de compra y venta, </w:t>
      </w:r>
      <w:r w:rsidR="001158B8"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Definiciones, inciso (ll) el precio del ejercicio de la opción sería de </w:t>
      </w:r>
      <w:r w:rsidRPr="002A2450">
        <w:rPr>
          <w:rFonts w:ascii="ITC Avant Garde" w:hAnsi="ITC Avant Garde"/>
          <w:b/>
        </w:rPr>
        <w:t>USD $325´000,000.00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rPr>
        <w:t>.</w:t>
      </w:r>
    </w:p>
    <w:p w14:paraId="365AC3DB" w14:textId="3CDBAEC2" w:rsidR="00BF0E01" w:rsidRPr="002A2450" w:rsidRDefault="006E7D32"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D</w:t>
      </w:r>
      <w:r w:rsidR="00BF0E01" w:rsidRPr="002A2450">
        <w:rPr>
          <w:rFonts w:ascii="ITC Avant Garde" w:hAnsi="ITC Avant Garde"/>
        </w:rPr>
        <w:t xml:space="preserve">e acuerdo </w:t>
      </w:r>
      <w:r w:rsidR="002E5FE8"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r w:rsidR="00BF0E01" w:rsidRPr="002A2450">
        <w:rPr>
          <w:rFonts w:ascii="ITC Avant Garde" w:hAnsi="ITC Avant Garde"/>
        </w:rPr>
        <w:t xml:space="preserve">contrato de consecuencias, las partes señalaron que la cantidad total por la cual </w:t>
      </w:r>
      <w:r w:rsidR="00BF0E01" w:rsidRPr="002A2450">
        <w:rPr>
          <w:rFonts w:ascii="ITC Avant Garde" w:hAnsi="ITC Avant Garde"/>
          <w:b/>
        </w:rPr>
        <w:t xml:space="preserve">“TENINVER” </w:t>
      </w:r>
      <w:r w:rsidR="00BF0E01" w:rsidRPr="002A2450">
        <w:rPr>
          <w:rFonts w:ascii="ITC Avant Garde" w:hAnsi="ITC Avant Garde"/>
        </w:rPr>
        <w:t xml:space="preserve">y </w:t>
      </w:r>
      <w:r w:rsidR="00BF0E01" w:rsidRPr="002A2450">
        <w:rPr>
          <w:rFonts w:ascii="ITC Avant Garde" w:hAnsi="ITC Avant Garde"/>
          <w:b/>
        </w:rPr>
        <w:t>“TELMEX”</w:t>
      </w:r>
      <w:r w:rsidR="00BF0E01" w:rsidRPr="002A2450">
        <w:rPr>
          <w:rFonts w:ascii="ITC Avant Garde" w:hAnsi="ITC Avant Garde"/>
        </w:rPr>
        <w:t xml:space="preserve"> estarían obligadas a indemnizar a la parte respectiva en ningún caso excedería de </w:t>
      </w:r>
      <w:r w:rsidR="00BF0E01" w:rsidRPr="002A2450">
        <w:rPr>
          <w:rFonts w:ascii="ITC Avant Garde" w:hAnsi="ITC Avant Garde"/>
          <w:b/>
        </w:rPr>
        <w:t>USD $325´000,000.00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00BF0E01" w:rsidRPr="002A2450">
        <w:rPr>
          <w:rFonts w:ascii="ITC Avant Garde" w:hAnsi="ITC Avant Garde"/>
        </w:rPr>
        <w:t>.</w:t>
      </w:r>
    </w:p>
    <w:p w14:paraId="4398C0C7" w14:textId="77777777" w:rsidR="00B35F13" w:rsidRDefault="006E7D32" w:rsidP="007E623E">
      <w:pPr>
        <w:pStyle w:val="Prrafodelista"/>
        <w:numPr>
          <w:ilvl w:val="0"/>
          <w:numId w:val="27"/>
        </w:numPr>
        <w:spacing w:before="240" w:line="360" w:lineRule="auto"/>
        <w:jc w:val="both"/>
        <w:rPr>
          <w:rFonts w:ascii="ITC Avant Garde" w:hAnsi="ITC Avant Garde"/>
        </w:rPr>
      </w:pPr>
      <w:r w:rsidRPr="002A2450">
        <w:rPr>
          <w:rFonts w:ascii="ITC Avant Garde" w:hAnsi="ITC Avant Garde"/>
        </w:rPr>
        <w:t xml:space="preserve">Finalmente, en el contrato de arrendamiento se estableció que </w:t>
      </w:r>
      <w:r w:rsidRPr="002A2450">
        <w:rPr>
          <w:rFonts w:ascii="ITC Avant Garde" w:hAnsi="ITC Avant Garde"/>
          <w:b/>
        </w:rPr>
        <w:t>“COFRESA”</w:t>
      </w:r>
      <w:r w:rsidRPr="002A2450">
        <w:rPr>
          <w:rFonts w:ascii="ITC Avant Garde" w:hAnsi="ITC Avant Garde"/>
        </w:rPr>
        <w:t xml:space="preserve"> no estaría obligada a devolver los equipos al </w:t>
      </w:r>
      <w:r w:rsidR="00702143" w:rsidRPr="002A2450">
        <w:rPr>
          <w:rFonts w:ascii="ITC Avant Garde" w:hAnsi="ITC Avant Garde"/>
        </w:rPr>
        <w:t>término</w:t>
      </w:r>
      <w:r w:rsidRPr="002A2450">
        <w:rPr>
          <w:rFonts w:ascii="ITC Avant Garde" w:hAnsi="ITC Avant Garde"/>
        </w:rPr>
        <w:t xml:space="preserve"> del contrato.</w:t>
      </w:r>
    </w:p>
    <w:p w14:paraId="698991D9" w14:textId="77777777" w:rsidR="00B35F13" w:rsidRDefault="00570626" w:rsidP="00B35F13">
      <w:pPr>
        <w:spacing w:before="240" w:line="360" w:lineRule="auto"/>
        <w:jc w:val="both"/>
        <w:rPr>
          <w:rFonts w:ascii="ITC Avant Garde" w:hAnsi="ITC Avant Garde"/>
        </w:rPr>
      </w:pPr>
      <w:r w:rsidRPr="002A2450">
        <w:rPr>
          <w:rFonts w:ascii="ITC Avant Garde" w:hAnsi="ITC Avant Garde"/>
        </w:rPr>
        <w:t xml:space="preserve">Con base en lo anterior, es claro que el límite entre la adquisición de los CPE y en su caso de la indemnización que tuviese que realizar </w:t>
      </w:r>
      <w:r w:rsidRPr="002A2450">
        <w:rPr>
          <w:rFonts w:ascii="ITC Avant Garde" w:hAnsi="ITC Avant Garde"/>
          <w:b/>
        </w:rPr>
        <w:t>“TELMEX”</w:t>
      </w:r>
      <w:r w:rsidRPr="002A2450">
        <w:rPr>
          <w:rFonts w:ascii="ITC Avant Garde" w:hAnsi="ITC Avant Garde"/>
        </w:rPr>
        <w:t xml:space="preserve"> sería precisamente la cantidad de </w:t>
      </w:r>
      <w:r w:rsidRPr="002A2450">
        <w:rPr>
          <w:rFonts w:ascii="ITC Avant Garde" w:hAnsi="ITC Avant Garde"/>
          <w:b/>
        </w:rPr>
        <w:t>USD $325´000,000.00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rPr>
        <w:t xml:space="preserve">, los cuales en su caso, serían gestionados por el denominado </w:t>
      </w:r>
      <w:r w:rsidRPr="002A2450">
        <w:rPr>
          <w:rFonts w:ascii="ITC Avant Garde" w:hAnsi="ITC Avant Garde"/>
          <w:i/>
        </w:rPr>
        <w:t xml:space="preserve">“Préstamo </w:t>
      </w:r>
      <w:proofErr w:type="spellStart"/>
      <w:r w:rsidRPr="002A2450">
        <w:rPr>
          <w:rFonts w:ascii="ITC Avant Garde" w:hAnsi="ITC Avant Garde"/>
          <w:i/>
        </w:rPr>
        <w:t>Teninver</w:t>
      </w:r>
      <w:proofErr w:type="spellEnd"/>
      <w:r w:rsidRPr="002A2450">
        <w:rPr>
          <w:rFonts w:ascii="ITC Avant Garde" w:hAnsi="ITC Avant Garde"/>
          <w:i/>
        </w:rPr>
        <w:t>”</w:t>
      </w:r>
      <w:r w:rsidRPr="002A2450">
        <w:rPr>
          <w:rFonts w:ascii="ITC Avant Garde" w:hAnsi="ITC Avant Garde"/>
        </w:rPr>
        <w:t xml:space="preserve"> que serían aplicados a los dividendos en dos mil catorce, así como que dicha cantidad corresponde a la base del ejercicio de la opción.</w:t>
      </w:r>
    </w:p>
    <w:p w14:paraId="3603CE4C" w14:textId="77777777" w:rsidR="00A80E02" w:rsidRDefault="00570626" w:rsidP="00B35F13">
      <w:pPr>
        <w:spacing w:before="240" w:line="360" w:lineRule="auto"/>
        <w:jc w:val="both"/>
        <w:rPr>
          <w:rFonts w:ascii="ITC Avant Garde" w:hAnsi="ITC Avant Garde"/>
        </w:rPr>
        <w:sectPr w:rsidR="00A80E02" w:rsidSect="009F3771">
          <w:headerReference w:type="default" r:id="rId51"/>
          <w:pgSz w:w="12240" w:h="15840"/>
          <w:pgMar w:top="1985" w:right="1701" w:bottom="1418" w:left="1701" w:header="709" w:footer="709" w:gutter="0"/>
          <w:cols w:space="708"/>
          <w:docGrid w:linePitch="360"/>
        </w:sectPr>
      </w:pPr>
      <w:r w:rsidRPr="002A2450">
        <w:rPr>
          <w:rFonts w:ascii="ITC Avant Garde" w:hAnsi="ITC Avant Garde"/>
        </w:rPr>
        <w:t xml:space="preserve">En ese sentido, las manifestaciones de </w:t>
      </w:r>
      <w:r w:rsidRPr="002A2450">
        <w:rPr>
          <w:rFonts w:ascii="ITC Avant Garde" w:hAnsi="ITC Avant Garde"/>
          <w:b/>
        </w:rPr>
        <w:t>“TELMEX”</w:t>
      </w:r>
      <w:r w:rsidRPr="002A2450">
        <w:rPr>
          <w:rFonts w:ascii="ITC Avant Garde" w:hAnsi="ITC Avant Garde"/>
        </w:rPr>
        <w:t xml:space="preserve"> por un lado carecen de sentido por lo que respecta al presente procedimiento, puesto que no es el velo corporativo la base de las acciones aquí señaladas ni mucho menos su imputación, ya que precisamente con los elementos anteriores se determinó que dicha concesionaria realizó todas </w:t>
      </w:r>
      <w:r w:rsidR="00EC3E40" w:rsidRPr="002A2450">
        <w:rPr>
          <w:rFonts w:ascii="ITC Avant Garde" w:hAnsi="ITC Avant Garde"/>
        </w:rPr>
        <w:t xml:space="preserve">aquellas actividades </w:t>
      </w:r>
      <w:r w:rsidRPr="002A2450">
        <w:rPr>
          <w:rFonts w:ascii="ITC Avant Garde" w:hAnsi="ITC Avant Garde"/>
        </w:rPr>
        <w:t xml:space="preserve">pertinentes para la ejecución y puesta en marcha el servicio </w:t>
      </w:r>
      <w:r w:rsidRPr="002A2450">
        <w:rPr>
          <w:rFonts w:ascii="ITC Avant Garde" w:hAnsi="ITC Avant Garde"/>
          <w:b/>
        </w:rPr>
        <w:t>“D</w:t>
      </w:r>
      <w:r w:rsidR="00B61711" w:rsidRPr="002A2450">
        <w:rPr>
          <w:rFonts w:ascii="ITC Avant Garde" w:hAnsi="ITC Avant Garde"/>
          <w:b/>
        </w:rPr>
        <w:t>TH</w:t>
      </w:r>
      <w:r w:rsidRPr="002A2450">
        <w:rPr>
          <w:rFonts w:ascii="ITC Avant Garde" w:hAnsi="ITC Avant Garde"/>
          <w:b/>
        </w:rPr>
        <w:t>”</w:t>
      </w:r>
      <w:r w:rsidRPr="002A2450">
        <w:rPr>
          <w:rFonts w:ascii="ITC Avant Garde" w:hAnsi="ITC Avant Garde"/>
        </w:rPr>
        <w:t xml:space="preserve"> en México.</w:t>
      </w:r>
    </w:p>
    <w:p w14:paraId="0F9DCDE4" w14:textId="77777777" w:rsidR="00B35F13" w:rsidRDefault="00570626"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es claro el interés que </w:t>
      </w:r>
      <w:r w:rsidRPr="002A2450">
        <w:rPr>
          <w:rFonts w:ascii="ITC Avant Garde" w:hAnsi="ITC Avant Garde"/>
          <w:b/>
        </w:rPr>
        <w:t>“TELMEX”</w:t>
      </w:r>
      <w:r w:rsidRPr="002A2450">
        <w:rPr>
          <w:rFonts w:ascii="ITC Avant Garde" w:hAnsi="ITC Avant Garde"/>
        </w:rPr>
        <w:t xml:space="preserve"> guarda</w:t>
      </w:r>
      <w:r w:rsidR="00EC3E40" w:rsidRPr="002A2450">
        <w:rPr>
          <w:rFonts w:ascii="ITC Avant Garde" w:hAnsi="ITC Avant Garde"/>
        </w:rPr>
        <w:t>ba</w:t>
      </w:r>
      <w:r w:rsidRPr="002A2450">
        <w:rPr>
          <w:rFonts w:ascii="ITC Avant Garde" w:hAnsi="ITC Avant Garde"/>
        </w:rPr>
        <w:t xml:space="preserve"> sobre el mismo en virtud de la expectativa que pudo haberse realizado a partir del ejercicio de la opción, de lo que se sigue que dicha conducta al amparo de la condición 1-9 de su </w:t>
      </w:r>
      <w:r w:rsidRPr="002A2450">
        <w:rPr>
          <w:rFonts w:ascii="ITC Avant Garde" w:hAnsi="ITC Avant Garde"/>
          <w:b/>
        </w:rPr>
        <w:t>“TÍTULO DE CONCESIÓN”</w:t>
      </w:r>
      <w:r w:rsidRPr="002A2450">
        <w:rPr>
          <w:rFonts w:ascii="ITC Avant Garde" w:hAnsi="ITC Avant Garde"/>
        </w:rPr>
        <w:t xml:space="preserve"> se encuentra prohibida en virtud de que dicha concesionaria no puede explotar indirectamente un</w:t>
      </w:r>
      <w:r w:rsidR="00EC3E40" w:rsidRPr="002A2450">
        <w:rPr>
          <w:rFonts w:ascii="ITC Avant Garde" w:hAnsi="ITC Avant Garde"/>
        </w:rPr>
        <w:t>a</w:t>
      </w:r>
      <w:r w:rsidRPr="002A2450">
        <w:rPr>
          <w:rFonts w:ascii="ITC Avant Garde" w:hAnsi="ITC Avant Garde"/>
        </w:rPr>
        <w:t xml:space="preserve"> </w:t>
      </w:r>
      <w:r w:rsidR="00EC3E40" w:rsidRPr="002A2450">
        <w:rPr>
          <w:rFonts w:ascii="ITC Avant Garde" w:hAnsi="ITC Avant Garde"/>
        </w:rPr>
        <w:t xml:space="preserve">concesión de </w:t>
      </w:r>
      <w:r w:rsidRPr="002A2450">
        <w:rPr>
          <w:rFonts w:ascii="ITC Avant Garde" w:hAnsi="ITC Avant Garde"/>
        </w:rPr>
        <w:t>servicio</w:t>
      </w:r>
      <w:r w:rsidR="00EC3E40" w:rsidRPr="002A2450">
        <w:rPr>
          <w:rFonts w:ascii="ITC Avant Garde" w:hAnsi="ITC Avant Garde"/>
        </w:rPr>
        <w:t>s</w:t>
      </w:r>
      <w:r w:rsidRPr="002A2450">
        <w:rPr>
          <w:rFonts w:ascii="ITC Avant Garde" w:hAnsi="ITC Avant Garde"/>
        </w:rPr>
        <w:t xml:space="preserve"> de televisión </w:t>
      </w:r>
      <w:r w:rsidR="00EC3E40" w:rsidRPr="002A2450">
        <w:rPr>
          <w:rFonts w:ascii="ITC Avant Garde" w:hAnsi="ITC Avant Garde"/>
        </w:rPr>
        <w:t xml:space="preserve">al público </w:t>
      </w:r>
      <w:r w:rsidRPr="002A2450">
        <w:rPr>
          <w:rFonts w:ascii="ITC Avant Garde" w:hAnsi="ITC Avant Garde"/>
        </w:rPr>
        <w:t>en el país.</w:t>
      </w:r>
    </w:p>
    <w:p w14:paraId="252CEA33" w14:textId="77777777" w:rsidR="00B35F13" w:rsidRDefault="00570626" w:rsidP="00B35F13">
      <w:pPr>
        <w:spacing w:before="240" w:line="360" w:lineRule="auto"/>
        <w:jc w:val="both"/>
        <w:rPr>
          <w:rFonts w:ascii="ITC Avant Garde" w:hAnsi="ITC Avant Garde"/>
        </w:rPr>
      </w:pPr>
      <w:r w:rsidRPr="002A2450">
        <w:rPr>
          <w:rFonts w:ascii="ITC Avant Garde" w:hAnsi="ITC Avant Garde"/>
        </w:rPr>
        <w:t xml:space="preserve">Ahora bien, en el presente asunto no se concreta en señalar la posible existencia de una responsabilidad de una persona bajo el segmento del velo corporativo, sino que por el contrario, la conducta imputada </w:t>
      </w:r>
      <w:r w:rsidR="00A14DE1" w:rsidRPr="002A2450">
        <w:rPr>
          <w:rFonts w:ascii="ITC Avant Garde" w:hAnsi="ITC Avant Garde"/>
        </w:rPr>
        <w:t xml:space="preserve">es directamente frente a </w:t>
      </w:r>
      <w:r w:rsidR="00A14DE1" w:rsidRPr="002A2450">
        <w:rPr>
          <w:rFonts w:ascii="ITC Avant Garde" w:hAnsi="ITC Avant Garde"/>
          <w:b/>
        </w:rPr>
        <w:t>“TELMEX”</w:t>
      </w:r>
      <w:r w:rsidR="00A14DE1" w:rsidRPr="002A2450">
        <w:rPr>
          <w:rFonts w:ascii="ITC Avant Garde" w:hAnsi="ITC Avant Garde"/>
        </w:rPr>
        <w:t xml:space="preserve"> por la suscripción de contratos que presumiblemente le otorgaron la posibilidad de explotar </w:t>
      </w:r>
      <w:r w:rsidR="00EC3E40" w:rsidRPr="002A2450">
        <w:rPr>
          <w:rFonts w:ascii="ITC Avant Garde" w:hAnsi="ITC Avant Garde"/>
        </w:rPr>
        <w:t xml:space="preserve">de manera indirecta </w:t>
      </w:r>
      <w:r w:rsidR="00A14DE1" w:rsidRPr="002A2450">
        <w:rPr>
          <w:rFonts w:ascii="ITC Avant Garde" w:hAnsi="ITC Avant Garde"/>
        </w:rPr>
        <w:t>un servicio de televisión en el país, de ahí precisamente que la presunta inversión simulada, con base en los elementos mencionados, permiten considerar a esta autoridad que dicha concesionaria realizó todos sus esfuerzos, garantizando el pago de dividendos y garantiza</w:t>
      </w:r>
      <w:r w:rsidR="00EC3E40" w:rsidRPr="002A2450">
        <w:rPr>
          <w:rFonts w:ascii="ITC Avant Garde" w:hAnsi="ITC Avant Garde"/>
        </w:rPr>
        <w:t>ndo</w:t>
      </w:r>
      <w:r w:rsidR="00A14DE1" w:rsidRPr="002A2450">
        <w:rPr>
          <w:rFonts w:ascii="ITC Avant Garde" w:hAnsi="ITC Avant Garde"/>
        </w:rPr>
        <w:t xml:space="preserve"> la opción de compra bajo una sola cantidad de dinero, empleando para ello un esquema de contratos coaligados que le permitieron llevar a cabo la conducta imputada.</w:t>
      </w:r>
    </w:p>
    <w:p w14:paraId="6AF5EB70" w14:textId="77777777" w:rsidR="00B35F13" w:rsidRDefault="00A14DE1" w:rsidP="00B35F13">
      <w:pPr>
        <w:spacing w:before="240" w:line="360" w:lineRule="auto"/>
        <w:jc w:val="both"/>
        <w:rPr>
          <w:rFonts w:ascii="ITC Avant Garde" w:hAnsi="ITC Avant Garde"/>
        </w:rPr>
      </w:pPr>
      <w:r w:rsidRPr="002A2450">
        <w:rPr>
          <w:rFonts w:ascii="ITC Avant Garde" w:hAnsi="ITC Avant Garde"/>
        </w:rPr>
        <w:t xml:space="preserve">En ese sentido, en nada beneficia a </w:t>
      </w:r>
      <w:r w:rsidRPr="002A2450">
        <w:rPr>
          <w:rFonts w:ascii="ITC Avant Garde" w:hAnsi="ITC Avant Garde"/>
          <w:b/>
        </w:rPr>
        <w:t>“TELMEX”</w:t>
      </w:r>
      <w:r w:rsidRPr="002A2450">
        <w:rPr>
          <w:rFonts w:ascii="ITC Avant Garde" w:hAnsi="ITC Avant Garde"/>
        </w:rPr>
        <w:t xml:space="preserve"> señalar que no</w:t>
      </w:r>
      <w:r w:rsidR="00EC3E40" w:rsidRPr="002A2450">
        <w:rPr>
          <w:rFonts w:ascii="ITC Avant Garde" w:hAnsi="ITC Avant Garde"/>
        </w:rPr>
        <w:t xml:space="preserve"> se</w:t>
      </w:r>
      <w:r w:rsidRPr="002A2450">
        <w:rPr>
          <w:rFonts w:ascii="ITC Avant Garde" w:hAnsi="ITC Avant Garde"/>
        </w:rPr>
        <w:t xml:space="preserve"> acredita la supuesta simulación cuando de los propios contratos a que se ha hecho referencia advierten precisamente lo contrario, esto es, su intervención en la explotación del servicio de </w:t>
      </w:r>
      <w:r w:rsidRPr="002A2450">
        <w:rPr>
          <w:rFonts w:ascii="ITC Avant Garde" w:hAnsi="ITC Avant Garde"/>
          <w:b/>
        </w:rPr>
        <w:t>“DTH”</w:t>
      </w:r>
      <w:r w:rsidRPr="002A2450">
        <w:rPr>
          <w:rFonts w:ascii="ITC Avant Garde" w:hAnsi="ITC Avant Garde"/>
        </w:rPr>
        <w:t xml:space="preserve"> en México.</w:t>
      </w:r>
    </w:p>
    <w:p w14:paraId="3F3F67D5" w14:textId="77777777" w:rsidR="00B35F13" w:rsidRDefault="00A14DE1" w:rsidP="00B35F13">
      <w:pPr>
        <w:spacing w:before="240" w:line="360" w:lineRule="auto"/>
        <w:jc w:val="both"/>
        <w:rPr>
          <w:rFonts w:ascii="ITC Avant Garde" w:hAnsi="ITC Avant Garde"/>
        </w:rPr>
      </w:pPr>
      <w:r w:rsidRPr="002A2450">
        <w:rPr>
          <w:rFonts w:ascii="ITC Avant Garde" w:hAnsi="ITC Avant Garde"/>
        </w:rPr>
        <w:t>Ahora bien, cabe aclarar que efectivamente la operación de compra y arrendamiento no representa por sí mismo un aumento de capital, pero sí cuando ello deriva de un préstamo gestionado por el propio arrendador y máxime cuando el mismo respalda el cumplimiento de dicha obligación, situación que si acontece en el presente asunto.</w:t>
      </w:r>
    </w:p>
    <w:p w14:paraId="72A2CC68" w14:textId="77777777" w:rsidR="00B35F13" w:rsidRDefault="00A14DE1" w:rsidP="00B35F13">
      <w:pPr>
        <w:spacing w:before="240" w:line="360" w:lineRule="auto"/>
        <w:jc w:val="both"/>
        <w:rPr>
          <w:rFonts w:ascii="ITC Avant Garde" w:hAnsi="ITC Avant Garde"/>
        </w:rPr>
      </w:pPr>
      <w:r w:rsidRPr="002A2450">
        <w:rPr>
          <w:rFonts w:ascii="ITC Avant Garde" w:hAnsi="ITC Avant Garde"/>
        </w:rPr>
        <w:t xml:space="preserve">Cabe agregar, que </w:t>
      </w:r>
      <w:r w:rsidRPr="002A2450">
        <w:rPr>
          <w:rFonts w:ascii="ITC Avant Garde" w:hAnsi="ITC Avant Garde"/>
          <w:b/>
        </w:rPr>
        <w:t>“TELMEX”</w:t>
      </w:r>
      <w:r w:rsidRPr="002A2450">
        <w:rPr>
          <w:rFonts w:ascii="ITC Avant Garde" w:hAnsi="ITC Avant Garde"/>
        </w:rPr>
        <w:t xml:space="preserve"> advierte que este tipo de conductas se ha realizado con otros clientes, sin embargo, no exhibe documentación o prueba alguna que </w:t>
      </w:r>
      <w:r w:rsidR="00EC3E40" w:rsidRPr="002A2450">
        <w:rPr>
          <w:rFonts w:ascii="ITC Avant Garde" w:hAnsi="ITC Avant Garde"/>
        </w:rPr>
        <w:lastRenderedPageBreak/>
        <w:t xml:space="preserve">acredite que </w:t>
      </w:r>
      <w:r w:rsidRPr="002A2450">
        <w:rPr>
          <w:rFonts w:ascii="ITC Avant Garde" w:hAnsi="ITC Avant Garde"/>
        </w:rPr>
        <w:t>dicha conducta es reiterada para otros clientes, de allí que esas manifestaci</w:t>
      </w:r>
      <w:r w:rsidR="00252DAA" w:rsidRPr="002A2450">
        <w:rPr>
          <w:rFonts w:ascii="ITC Avant Garde" w:hAnsi="ITC Avant Garde"/>
        </w:rPr>
        <w:t>ones</w:t>
      </w:r>
      <w:r w:rsidRPr="002A2450">
        <w:rPr>
          <w:rFonts w:ascii="ITC Avant Garde" w:hAnsi="ITC Avant Garde"/>
        </w:rPr>
        <w:t xml:space="preserve"> no puedan ser consideradas como suficientes para desvirtuar la conducta materia del presente procedimiento.</w:t>
      </w:r>
    </w:p>
    <w:p w14:paraId="1782F4EB" w14:textId="77777777" w:rsidR="00B35F13" w:rsidRDefault="00A14DE1" w:rsidP="00B35F13">
      <w:pPr>
        <w:spacing w:before="240" w:line="360" w:lineRule="auto"/>
        <w:jc w:val="both"/>
        <w:rPr>
          <w:rFonts w:ascii="ITC Avant Garde" w:hAnsi="ITC Avant Garde"/>
        </w:rPr>
      </w:pPr>
      <w:r w:rsidRPr="002A2450">
        <w:rPr>
          <w:rFonts w:ascii="ITC Avant Garde" w:hAnsi="ITC Avant Garde"/>
        </w:rPr>
        <w:t>Así las cosas</w:t>
      </w:r>
      <w:r w:rsidR="007B3E01" w:rsidRPr="002A2450">
        <w:rPr>
          <w:rFonts w:ascii="ITC Avant Garde" w:hAnsi="ITC Avant Garde"/>
        </w:rPr>
        <w:t xml:space="preserve">, contrario a lo señalado por </w:t>
      </w:r>
      <w:r w:rsidR="007B3E01" w:rsidRPr="002A2450">
        <w:rPr>
          <w:rFonts w:ascii="ITC Avant Garde" w:hAnsi="ITC Avant Garde"/>
          <w:b/>
        </w:rPr>
        <w:t>“TELMEX”</w:t>
      </w:r>
      <w:r w:rsidR="007B3E01" w:rsidRPr="002A2450">
        <w:rPr>
          <w:rFonts w:ascii="ITC Avant Garde" w:hAnsi="ITC Avant Garde"/>
        </w:rPr>
        <w:t xml:space="preserve"> el contrato de arrendamiento con base en los elementos mencionados, no actuó de manera autónoma, sino que el mismo, forma parte de los demás contratos coaligados, dónde el financiamiento permitió, en su caso, la adquisición </w:t>
      </w:r>
      <w:r w:rsidR="00EC3E40" w:rsidRPr="002A2450">
        <w:rPr>
          <w:rFonts w:ascii="ITC Avant Garde" w:hAnsi="ITC Avant Garde"/>
        </w:rPr>
        <w:t xml:space="preserve">por parte de </w:t>
      </w:r>
      <w:r w:rsidR="00EC3E40" w:rsidRPr="002A2450">
        <w:rPr>
          <w:rFonts w:ascii="ITC Avant Garde" w:hAnsi="ITC Avant Garde"/>
          <w:b/>
        </w:rPr>
        <w:t xml:space="preserve">“COFRESA” </w:t>
      </w:r>
      <w:r w:rsidR="007B3E01" w:rsidRPr="002A2450">
        <w:rPr>
          <w:rFonts w:ascii="ITC Avant Garde" w:hAnsi="ITC Avant Garde"/>
        </w:rPr>
        <w:t xml:space="preserve">de los CPE respectivos y su posterior venta a </w:t>
      </w:r>
      <w:r w:rsidR="007B3E01" w:rsidRPr="002A2450">
        <w:rPr>
          <w:rFonts w:ascii="ITC Avant Garde" w:hAnsi="ITC Avant Garde"/>
          <w:b/>
        </w:rPr>
        <w:t>“TENINVER”</w:t>
      </w:r>
      <w:r w:rsidR="007B3E01" w:rsidRPr="002A2450">
        <w:rPr>
          <w:rFonts w:ascii="ITC Avant Garde" w:hAnsi="ITC Avant Garde"/>
        </w:rPr>
        <w:t xml:space="preserve"> </w:t>
      </w:r>
      <w:r w:rsidR="00EC3E40" w:rsidRPr="002A2450">
        <w:rPr>
          <w:rFonts w:ascii="ITC Avant Garde" w:hAnsi="ITC Avant Garde"/>
        </w:rPr>
        <w:t xml:space="preserve">y ésta a su vez arrendarlos a </w:t>
      </w:r>
      <w:r w:rsidR="00EC3E40" w:rsidRPr="002A2450">
        <w:rPr>
          <w:rFonts w:ascii="ITC Avant Garde" w:hAnsi="ITC Avant Garde"/>
          <w:b/>
        </w:rPr>
        <w:t xml:space="preserve">“COFRESA” </w:t>
      </w:r>
      <w:r w:rsidR="007B3E01" w:rsidRPr="002A2450">
        <w:rPr>
          <w:rFonts w:ascii="ITC Avant Garde" w:hAnsi="ITC Avant Garde"/>
        </w:rPr>
        <w:t xml:space="preserve">de ahí precisamente que no es como lo señala </w:t>
      </w:r>
      <w:r w:rsidR="007B3E01" w:rsidRPr="002A2450">
        <w:rPr>
          <w:rFonts w:ascii="ITC Avant Garde" w:hAnsi="ITC Avant Garde"/>
          <w:b/>
        </w:rPr>
        <w:t>“TELMEX”</w:t>
      </w:r>
      <w:r w:rsidR="007B3E01" w:rsidRPr="002A2450">
        <w:rPr>
          <w:rFonts w:ascii="ITC Avant Garde" w:hAnsi="ITC Avant Garde"/>
        </w:rPr>
        <w:t xml:space="preserve"> una casualidad la existencia de una cantidad previamente establecida sino una concertación de acciones y voluntades, donde efectivamente la cantidad financiada, es la misma que en su caso, pudo revertirse mediante la dispersión de los dividendos respectivos.</w:t>
      </w:r>
    </w:p>
    <w:p w14:paraId="4BF2E237" w14:textId="77777777" w:rsidR="00B35F13" w:rsidRDefault="00EC3E40" w:rsidP="00B35F13">
      <w:pPr>
        <w:spacing w:before="240" w:line="360" w:lineRule="auto"/>
        <w:jc w:val="both"/>
        <w:rPr>
          <w:rFonts w:ascii="ITC Avant Garde" w:hAnsi="ITC Avant Garde"/>
        </w:rPr>
      </w:pPr>
      <w:r w:rsidRPr="002A2450">
        <w:rPr>
          <w:rFonts w:ascii="ITC Avant Garde" w:hAnsi="ITC Avant Garde"/>
        </w:rPr>
        <w:t xml:space="preserve">Además de lo anterior no pasa desapercibido el hecho de los bienes arrendados no sería devueltos a su legítimo propietario (circunstancia anómala o atípica en cualquier contrato de arrendamiento) sino que más bien se considera que forma parte en la consecución del fin </w:t>
      </w:r>
      <w:r w:rsidR="00702143" w:rsidRPr="002A2450">
        <w:rPr>
          <w:rFonts w:ascii="ITC Avant Garde" w:hAnsi="ITC Avant Garde"/>
        </w:rPr>
        <w:t>común</w:t>
      </w:r>
      <w:r w:rsidRPr="002A2450">
        <w:rPr>
          <w:rFonts w:ascii="ITC Avant Garde" w:hAnsi="ITC Avant Garde"/>
        </w:rPr>
        <w:t>.</w:t>
      </w:r>
    </w:p>
    <w:p w14:paraId="3BD09A2E" w14:textId="15FAA75A" w:rsidR="007B3E01" w:rsidRPr="002A2450" w:rsidRDefault="007B3E01" w:rsidP="00B35F13">
      <w:pPr>
        <w:spacing w:before="240" w:line="360" w:lineRule="auto"/>
        <w:jc w:val="both"/>
        <w:rPr>
          <w:rFonts w:ascii="ITC Avant Garde" w:hAnsi="ITC Avant Garde"/>
        </w:rPr>
      </w:pPr>
      <w:r w:rsidRPr="002A2450">
        <w:rPr>
          <w:rFonts w:ascii="ITC Avant Garde" w:hAnsi="ITC Avant Garde"/>
        </w:rPr>
        <w:t xml:space="preserve">Así las cosas, se estima que los argumentos señalados por </w:t>
      </w:r>
      <w:r w:rsidRPr="002A2450">
        <w:rPr>
          <w:rFonts w:ascii="ITC Avant Garde" w:hAnsi="ITC Avant Garde"/>
          <w:b/>
        </w:rPr>
        <w:t>“TELMEX”</w:t>
      </w:r>
      <w:r w:rsidRPr="002A2450">
        <w:rPr>
          <w:rFonts w:ascii="ITC Avant Garde" w:hAnsi="ITC Avant Garde"/>
        </w:rPr>
        <w:t xml:space="preserve"> resultan insuficientes para desvirtuar la conducta materia del presente procedimiento.</w:t>
      </w:r>
    </w:p>
    <w:p w14:paraId="23010025" w14:textId="77777777" w:rsidR="00B35F13" w:rsidRDefault="007B3E01"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continua manifestando lo siguiente:</w:t>
      </w:r>
    </w:p>
    <w:p w14:paraId="6257064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otra parte, con relación a la opción de suscripción, </w:t>
      </w:r>
      <w:r w:rsidR="005B601B" w:rsidRPr="002A2450">
        <w:rPr>
          <w:rFonts w:ascii="ITC Avant Garde" w:hAnsi="ITC Avant Garde"/>
          <w:b/>
          <w:i/>
        </w:rPr>
        <w:t>“TELMEX”</w:t>
      </w:r>
      <w:r w:rsidRPr="002A2450">
        <w:rPr>
          <w:rFonts w:ascii="ITC Avant Garde" w:hAnsi="ITC Avant Garde"/>
          <w:i/>
        </w:rPr>
        <w:t xml:space="preserve"> no ha aportado recurso alguno ya que esta opción no ha sido</w:t>
      </w:r>
      <w:r w:rsidR="00016B39" w:rsidRPr="002A2450">
        <w:rPr>
          <w:rFonts w:ascii="ITC Avant Garde" w:hAnsi="ITC Avant Garde"/>
          <w:i/>
        </w:rPr>
        <w:t xml:space="preserve"> ejercida y se dio por terminada</w:t>
      </w:r>
      <w:r w:rsidRPr="002A2450">
        <w:rPr>
          <w:rFonts w:ascii="ITC Avant Garde" w:hAnsi="ITC Avant Garde"/>
          <w:i/>
        </w:rPr>
        <w:t>.</w:t>
      </w:r>
    </w:p>
    <w:p w14:paraId="081B9DF0"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Si estuviéramos frente a capital de riesgo no se distribuiría o recuperaría a discreción de la parte que lo aportó. Por eso es capital de riesgo. Además, el hecho que no haya existido certidumbre en el ejercicio de la opción y que la opción hubiese estado sujeta a la autorización gubernamental, confirman que no habría distribución o recuperación </w:t>
      </w:r>
      <w:r w:rsidRPr="002A2450">
        <w:rPr>
          <w:rFonts w:ascii="ITC Avant Garde" w:hAnsi="ITC Avant Garde"/>
          <w:i/>
        </w:rPr>
        <w:lastRenderedPageBreak/>
        <w:t>asegurada. Entonces, el supuesto esquema aparente subsumido en los contratos que describe ese Instituto, no tendría sentido alguno.</w:t>
      </w:r>
    </w:p>
    <w:p w14:paraId="16686C4C"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Por lo anterior, disentimos con ese Instituto en su apreciación ya que desde la perspectiva de mi representada no se verifican inversiones extendidas a lo largo del tiempo. En el caso que nos ocupa, no hay una transferencia de recursos sin obligación de retorno, no hay inversión enterrada como sucedería en caso de una inversión de capital.</w:t>
      </w:r>
    </w:p>
    <w:p w14:paraId="4CAAE55E"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Las aportaciones de capital vienen de los socios, mientras que el financiamiento o arrendamiento pueden venir de terceros o de los bancos. La diferencia es que el banco presta, el arrendador renta y el capital invierte. Todos los rendimientos como el riesgo vinculado al negocio son distintos.</w:t>
      </w:r>
    </w:p>
    <w:p w14:paraId="2BA8DC1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También es viable y común que las partes pactan mecanismos adicionales para la protección de esta clase de contratos, como es el caso de que si </w:t>
      </w:r>
      <w:proofErr w:type="spellStart"/>
      <w:r w:rsidRPr="002A2450">
        <w:rPr>
          <w:rFonts w:ascii="ITC Avant Garde" w:hAnsi="ITC Avant Garde"/>
          <w:i/>
        </w:rPr>
        <w:t>Dish</w:t>
      </w:r>
      <w:proofErr w:type="spellEnd"/>
      <w:r w:rsidRPr="002A2450">
        <w:rPr>
          <w:rFonts w:ascii="ITC Avant Garde" w:hAnsi="ITC Avant Garde"/>
          <w:i/>
        </w:rPr>
        <w:t xml:space="preserve"> México recibiese un monto importante de recursos derivado de nuevo capital o se liquidase, entonces, el primer destino de los recursos recibidos fuese el pago de saldos pendientes a su favor. El hecho que </w:t>
      </w:r>
      <w:r w:rsidR="005B601B" w:rsidRPr="002A2450">
        <w:rPr>
          <w:rFonts w:ascii="ITC Avant Garde" w:hAnsi="ITC Avant Garde"/>
          <w:b/>
          <w:i/>
        </w:rPr>
        <w:t>“TELMEX”</w:t>
      </w:r>
      <w:r w:rsidRPr="002A2450">
        <w:rPr>
          <w:rFonts w:ascii="ITC Avant Garde" w:hAnsi="ITC Avant Garde"/>
          <w:i/>
        </w:rPr>
        <w:t xml:space="preserve"> hubiera decidido destinar rendimiento a un negocio no implica que no hubiese podido pactar mecanismos adicionales para mitigar su riesgo.</w:t>
      </w:r>
    </w:p>
    <w:p w14:paraId="7F2F47B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w:t>
      </w:r>
      <w:r w:rsidR="00016B39" w:rsidRPr="002A2450">
        <w:rPr>
          <w:rFonts w:ascii="ITC Avant Garde" w:hAnsi="ITC Avant Garde"/>
          <w:i/>
        </w:rPr>
        <w:t>l ejercicio de la opción resulta</w:t>
      </w:r>
      <w:r w:rsidRPr="002A2450">
        <w:rPr>
          <w:rFonts w:ascii="ITC Avant Garde" w:hAnsi="ITC Avant Garde"/>
          <w:i/>
        </w:rPr>
        <w:t xml:space="preserve"> en la terminación del contrato de arrendamiento es natural y sólo entonces, el arrendador se convertiría en socio mayoritario.</w:t>
      </w:r>
    </w:p>
    <w:p w14:paraId="46A73FAD"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Es por esto que sería razonable que el precio pagado por </w:t>
      </w:r>
      <w:proofErr w:type="spellStart"/>
      <w:r w:rsidRPr="002A2450">
        <w:rPr>
          <w:rFonts w:ascii="ITC Avant Garde" w:hAnsi="ITC Avant Garde"/>
          <w:i/>
        </w:rPr>
        <w:t>Teninver</w:t>
      </w:r>
      <w:proofErr w:type="spellEnd"/>
      <w:r w:rsidRPr="002A2450">
        <w:rPr>
          <w:rFonts w:ascii="ITC Avant Garde" w:hAnsi="ITC Avant Garde"/>
          <w:i/>
        </w:rPr>
        <w:t xml:space="preserve"> en primer lugar utilizara para saldar cuentas pendientes a su favor. Lo que no implica una inversión.</w:t>
      </w:r>
    </w:p>
    <w:p w14:paraId="2E6EAB5C" w14:textId="77777777" w:rsidR="00B35F13" w:rsidRDefault="00016B39" w:rsidP="00B35F13">
      <w:pPr>
        <w:spacing w:before="240" w:line="360" w:lineRule="auto"/>
        <w:jc w:val="both"/>
        <w:rPr>
          <w:rFonts w:ascii="ITC Avant Garde" w:hAnsi="ITC Avant Garde"/>
        </w:rPr>
      </w:pPr>
      <w:r w:rsidRPr="002A2450">
        <w:rPr>
          <w:rFonts w:ascii="ITC Avant Garde" w:hAnsi="ITC Avant Garde"/>
        </w:rPr>
        <w:lastRenderedPageBreak/>
        <w:t>Al respecto, sus manifestaciones resultan insuficientes en virtud de las siguientes consideraciones:</w:t>
      </w:r>
    </w:p>
    <w:p w14:paraId="240B4DAE" w14:textId="77777777" w:rsidR="00B35F13" w:rsidRDefault="00016B39" w:rsidP="00B35F13">
      <w:pPr>
        <w:spacing w:before="240" w:line="360" w:lineRule="auto"/>
        <w:jc w:val="both"/>
        <w:rPr>
          <w:rFonts w:ascii="ITC Avant Garde" w:hAnsi="ITC Avant Garde"/>
          <w:b/>
        </w:rPr>
      </w:pPr>
      <w:r w:rsidRPr="002A2450">
        <w:rPr>
          <w:rFonts w:ascii="ITC Avant Garde" w:hAnsi="ITC Avant Garde"/>
        </w:rPr>
        <w:t xml:space="preserve">A lo largo de la presente resolución se ha señalado que efectivamente, los contratos reflejan un mecanismo altamente complejo que a la luz de un análisis autónomo resultaría difícil advertir cómo entre todos ellos logra obtenerse un mecanismo de operación para el sistema </w:t>
      </w:r>
      <w:r w:rsidRPr="002A2450">
        <w:rPr>
          <w:rFonts w:ascii="ITC Avant Garde" w:hAnsi="ITC Avant Garde"/>
          <w:b/>
        </w:rPr>
        <w:t>“DISH”.</w:t>
      </w:r>
    </w:p>
    <w:p w14:paraId="551109CD" w14:textId="77777777" w:rsidR="00B35F13" w:rsidRDefault="00EC3E40" w:rsidP="00B35F13">
      <w:pPr>
        <w:spacing w:before="240" w:line="360" w:lineRule="auto"/>
        <w:jc w:val="both"/>
        <w:rPr>
          <w:rFonts w:ascii="ITC Avant Garde" w:hAnsi="ITC Avant Garde"/>
        </w:rPr>
      </w:pPr>
      <w:r w:rsidRPr="002A2450">
        <w:rPr>
          <w:rFonts w:ascii="ITC Avant Garde" w:hAnsi="ITC Avant Garde"/>
        </w:rPr>
        <w:t>En ese sentido</w:t>
      </w:r>
      <w:r w:rsidR="00016B39" w:rsidRPr="002A2450">
        <w:rPr>
          <w:rFonts w:ascii="ITC Avant Garde" w:hAnsi="ITC Avant Garde"/>
        </w:rPr>
        <w:t>, es indudable que las acciones ejercidas en conjunto</w:t>
      </w:r>
      <w:r w:rsidRPr="002A2450">
        <w:rPr>
          <w:rFonts w:ascii="ITC Avant Garde" w:hAnsi="ITC Avant Garde"/>
        </w:rPr>
        <w:t xml:space="preserve"> como resultado de </w:t>
      </w:r>
      <w:r w:rsidR="00016B39" w:rsidRPr="002A2450">
        <w:rPr>
          <w:rFonts w:ascii="ITC Avant Garde" w:hAnsi="ITC Avant Garde"/>
        </w:rPr>
        <w:t>los contratos celebrados</w:t>
      </w:r>
      <w:r w:rsidRPr="002A2450">
        <w:rPr>
          <w:rFonts w:ascii="ITC Avant Garde" w:hAnsi="ITC Avant Garde"/>
        </w:rPr>
        <w:t>,</w:t>
      </w:r>
      <w:r w:rsidR="00016B39" w:rsidRPr="002A2450">
        <w:rPr>
          <w:rFonts w:ascii="ITC Avant Garde" w:hAnsi="ITC Avant Garde"/>
        </w:rPr>
        <w:t xml:space="preserve"> guardan una proporción de operación sincrónica para el desarrollo de objetivos comunes.</w:t>
      </w:r>
    </w:p>
    <w:p w14:paraId="09192D28" w14:textId="77777777" w:rsidR="00B35F13" w:rsidRDefault="00EC3E40" w:rsidP="00B35F13">
      <w:pPr>
        <w:spacing w:before="240" w:line="360" w:lineRule="auto"/>
        <w:jc w:val="both"/>
        <w:rPr>
          <w:rFonts w:ascii="ITC Avant Garde" w:hAnsi="ITC Avant Garde"/>
        </w:rPr>
      </w:pPr>
      <w:r w:rsidRPr="002A2450">
        <w:rPr>
          <w:rFonts w:ascii="ITC Avant Garde" w:hAnsi="ITC Avant Garde"/>
        </w:rPr>
        <w:t>Por ello</w:t>
      </w:r>
      <w:r w:rsidR="00016B39" w:rsidRPr="002A2450">
        <w:rPr>
          <w:rFonts w:ascii="ITC Avant Garde" w:hAnsi="ITC Avant Garde"/>
        </w:rPr>
        <w:t xml:space="preserve">, debe recordarse que para la ejecución de la alianza estratégica con </w:t>
      </w:r>
      <w:r w:rsidR="00016B39" w:rsidRPr="002A2450">
        <w:rPr>
          <w:rFonts w:ascii="ITC Avant Garde" w:hAnsi="ITC Avant Garde"/>
          <w:b/>
        </w:rPr>
        <w:t>“TELMEX”</w:t>
      </w:r>
      <w:r w:rsidRPr="002A2450">
        <w:rPr>
          <w:rFonts w:ascii="ITC Avant Garde" w:hAnsi="ITC Avant Garde"/>
          <w:b/>
        </w:rPr>
        <w:t>,</w:t>
      </w:r>
      <w:r w:rsidR="00016B39" w:rsidRPr="002A2450">
        <w:rPr>
          <w:rFonts w:ascii="ITC Avant Garde" w:hAnsi="ITC Avant Garde"/>
        </w:rPr>
        <w:t xml:space="preserve"> necesariamente se requería de la infraestructura operación para su consecución, de lo que se sigue que para ponerla en marcha se requerían ciertos insumos que permitieran el despliegue de </w:t>
      </w:r>
      <w:r w:rsidR="00016B39" w:rsidRPr="002A2450">
        <w:rPr>
          <w:rFonts w:ascii="ITC Avant Garde" w:hAnsi="ITC Avant Garde"/>
          <w:b/>
        </w:rPr>
        <w:t>“DISH”</w:t>
      </w:r>
      <w:r w:rsidR="00016B39" w:rsidRPr="002A2450">
        <w:rPr>
          <w:rFonts w:ascii="ITC Avant Garde" w:hAnsi="ITC Avant Garde"/>
        </w:rPr>
        <w:t xml:space="preserve"> en el territorio nacional.</w:t>
      </w:r>
    </w:p>
    <w:p w14:paraId="06AE2CFA" w14:textId="77777777" w:rsidR="00B35F13" w:rsidRDefault="00016B39" w:rsidP="00B35F13">
      <w:pPr>
        <w:spacing w:before="240" w:line="360" w:lineRule="auto"/>
        <w:jc w:val="both"/>
        <w:rPr>
          <w:rFonts w:ascii="ITC Avant Garde" w:hAnsi="ITC Avant Garde"/>
        </w:rPr>
      </w:pPr>
      <w:r w:rsidRPr="002A2450">
        <w:rPr>
          <w:rFonts w:ascii="ITC Avant Garde" w:hAnsi="ITC Avant Garde"/>
        </w:rPr>
        <w:t xml:space="preserve">En ese sentido, la expectativa de poder participar en el capital social de </w:t>
      </w:r>
      <w:r w:rsidRPr="002A2450">
        <w:rPr>
          <w:rFonts w:ascii="ITC Avant Garde" w:hAnsi="ITC Avant Garde"/>
          <w:b/>
        </w:rPr>
        <w:t>“DISH MÉXICO”</w:t>
      </w:r>
      <w:r w:rsidRPr="002A2450">
        <w:rPr>
          <w:rFonts w:ascii="ITC Avant Garde" w:hAnsi="ITC Avant Garde"/>
        </w:rPr>
        <w:t xml:space="preserve"> implicaba que los contratantes pusieran como lo señalan los propios contratos, su mayor esfuerzo.</w:t>
      </w:r>
    </w:p>
    <w:p w14:paraId="19C6CC65" w14:textId="77777777" w:rsidR="00B35F13" w:rsidRDefault="00016B39" w:rsidP="00B35F13">
      <w:pPr>
        <w:spacing w:before="240" w:line="360" w:lineRule="auto"/>
        <w:jc w:val="both"/>
        <w:rPr>
          <w:rFonts w:ascii="ITC Avant Garde" w:hAnsi="ITC Avant Garde"/>
        </w:rPr>
      </w:pPr>
      <w:r w:rsidRPr="002A2450">
        <w:rPr>
          <w:rFonts w:ascii="ITC Avant Garde" w:hAnsi="ITC Avant Garde"/>
        </w:rPr>
        <w:t xml:space="preserve">En tales consideraciones, la opción como condición suspensiva para </w:t>
      </w:r>
      <w:r w:rsidR="00EC3E40" w:rsidRPr="002A2450">
        <w:rPr>
          <w:rFonts w:ascii="ITC Avant Garde" w:hAnsi="ITC Avant Garde"/>
        </w:rPr>
        <w:t xml:space="preserve">participar en el </w:t>
      </w:r>
      <w:r w:rsidRPr="002A2450">
        <w:rPr>
          <w:rFonts w:ascii="ITC Avant Garde" w:hAnsi="ITC Avant Garde"/>
        </w:rPr>
        <w:t xml:space="preserve">capital social de esa empresa no representó un impedimento para la ejecución de los contratos y la puesta en marcha del negocio </w:t>
      </w:r>
      <w:r w:rsidRPr="002A2450">
        <w:rPr>
          <w:rFonts w:ascii="ITC Avant Garde" w:hAnsi="ITC Avant Garde"/>
          <w:b/>
        </w:rPr>
        <w:t>“DISH”</w:t>
      </w:r>
      <w:r w:rsidR="00EC3E40" w:rsidRPr="002A2450">
        <w:rPr>
          <w:rFonts w:ascii="ITC Avant Garde" w:hAnsi="ITC Avant Garde"/>
          <w:b/>
        </w:rPr>
        <w:t>,</w:t>
      </w:r>
      <w:r w:rsidRPr="002A2450">
        <w:rPr>
          <w:rFonts w:ascii="ITC Avant Garde" w:hAnsi="ITC Avant Garde"/>
        </w:rPr>
        <w:t xml:space="preserve"> puesto que la posibilidad de obtener un financiamiento </w:t>
      </w:r>
      <w:r w:rsidR="009275CF" w:rsidRPr="002A2450">
        <w:rPr>
          <w:rFonts w:ascii="ITC Avant Garde" w:hAnsi="ITC Avant Garde"/>
        </w:rPr>
        <w:t>para la compra de equipos CPE y a su vez la adquisición en reventa y el arrendamiento de los propios equipos sumado a las limitaciones de deuda por parte de los contratantes y el aseguramiento del pago de pasivos derivado del arrendamiento, constituyen herramientas que garantizan el retorno de la inversión realizada al inicio de los contratos.</w:t>
      </w:r>
    </w:p>
    <w:p w14:paraId="4B80CEF9" w14:textId="77777777" w:rsidR="00B35F13" w:rsidRDefault="009275CF" w:rsidP="00B35F13">
      <w:pPr>
        <w:spacing w:before="240" w:line="360" w:lineRule="auto"/>
        <w:jc w:val="both"/>
        <w:rPr>
          <w:rFonts w:ascii="ITC Avant Garde" w:hAnsi="ITC Avant Garde"/>
        </w:rPr>
      </w:pPr>
      <w:r w:rsidRPr="002A2450">
        <w:rPr>
          <w:rFonts w:ascii="ITC Avant Garde" w:hAnsi="ITC Avant Garde"/>
        </w:rPr>
        <w:t xml:space="preserve">Con base en lo anterior, esta autoridad considera que contrario a lo manifestado por </w:t>
      </w:r>
      <w:r w:rsidRPr="002A2450">
        <w:rPr>
          <w:rFonts w:ascii="ITC Avant Garde" w:hAnsi="ITC Avant Garde"/>
          <w:b/>
        </w:rPr>
        <w:t>“TELMEX”</w:t>
      </w:r>
      <w:r w:rsidRPr="002A2450">
        <w:rPr>
          <w:rFonts w:ascii="ITC Avant Garde" w:hAnsi="ITC Avant Garde"/>
        </w:rPr>
        <w:t xml:space="preserve"> si existe un retorno de la inversión en la medida en que los eventos de liquidez u opción de compra pudieran suscitarse.</w:t>
      </w:r>
    </w:p>
    <w:p w14:paraId="02FE5BAE" w14:textId="77777777" w:rsidR="00B35F13" w:rsidRDefault="009275CF" w:rsidP="00B35F13">
      <w:pPr>
        <w:spacing w:before="240" w:line="360" w:lineRule="auto"/>
        <w:jc w:val="both"/>
        <w:rPr>
          <w:rFonts w:ascii="ITC Avant Garde" w:hAnsi="ITC Avant Garde"/>
        </w:rPr>
      </w:pPr>
      <w:r w:rsidRPr="002A2450">
        <w:rPr>
          <w:rFonts w:ascii="ITC Avant Garde" w:hAnsi="ITC Avant Garde"/>
        </w:rPr>
        <w:lastRenderedPageBreak/>
        <w:t xml:space="preserve">En virtud de lo anterior, bajo el esquema operativo de los contratos no se requería que la aportación inicial para el contrato de arrendamiento proviniera necesariamente de un socio sino como se encuentra plasmado dentro de </w:t>
      </w:r>
      <w:r w:rsidR="00EC3E40" w:rsidRPr="002A2450">
        <w:rPr>
          <w:rFonts w:ascii="ITC Avant Garde" w:hAnsi="ITC Avant Garde"/>
        </w:rPr>
        <w:t xml:space="preserve">los propios </w:t>
      </w:r>
      <w:r w:rsidRPr="002A2450">
        <w:rPr>
          <w:rFonts w:ascii="ITC Avant Garde" w:hAnsi="ITC Avant Garde"/>
        </w:rPr>
        <w:t>contratos</w:t>
      </w:r>
      <w:r w:rsidR="00EC3E40" w:rsidRPr="002A2450">
        <w:rPr>
          <w:rFonts w:ascii="ITC Avant Garde" w:hAnsi="ITC Avant Garde"/>
        </w:rPr>
        <w:t>,</w:t>
      </w:r>
      <w:r w:rsidRPr="002A2450">
        <w:rPr>
          <w:rFonts w:ascii="ITC Avant Garde" w:hAnsi="ITC Avant Garde"/>
        </w:rPr>
        <w:t xml:space="preserve"> se </w:t>
      </w:r>
      <w:r w:rsidR="00EC3E40" w:rsidRPr="002A2450">
        <w:rPr>
          <w:rFonts w:ascii="ITC Avant Garde" w:hAnsi="ITC Avant Garde"/>
        </w:rPr>
        <w:t xml:space="preserve">previó </w:t>
      </w:r>
      <w:r w:rsidRPr="002A2450">
        <w:rPr>
          <w:rFonts w:ascii="ITC Avant Garde" w:hAnsi="ITC Avant Garde"/>
        </w:rPr>
        <w:t xml:space="preserve">en la figura de </w:t>
      </w:r>
      <w:r w:rsidR="00EC3E40" w:rsidRPr="002A2450">
        <w:rPr>
          <w:rFonts w:ascii="ITC Avant Garde" w:hAnsi="ITC Avant Garde"/>
        </w:rPr>
        <w:t xml:space="preserve">compra, venta y </w:t>
      </w:r>
      <w:r w:rsidRPr="002A2450">
        <w:rPr>
          <w:rFonts w:ascii="ITC Avant Garde" w:hAnsi="ITC Avant Garde"/>
        </w:rPr>
        <w:t xml:space="preserve">arrendamiento, esto es, una especie de financiamiento que asegura su retorno a través de </w:t>
      </w:r>
      <w:r w:rsidR="00EC3E40" w:rsidRPr="002A2450">
        <w:rPr>
          <w:rFonts w:ascii="ITC Avant Garde" w:hAnsi="ITC Avant Garde"/>
        </w:rPr>
        <w:t>diversos mecanismos</w:t>
      </w:r>
      <w:r w:rsidRPr="002A2450">
        <w:rPr>
          <w:rFonts w:ascii="ITC Avant Garde" w:hAnsi="ITC Avant Garde"/>
        </w:rPr>
        <w:t>.</w:t>
      </w:r>
    </w:p>
    <w:p w14:paraId="3FE7A53C" w14:textId="77777777" w:rsidR="00B35F13" w:rsidRDefault="009275CF" w:rsidP="00B35F13">
      <w:pPr>
        <w:spacing w:before="240" w:line="360" w:lineRule="auto"/>
        <w:jc w:val="both"/>
        <w:rPr>
          <w:rFonts w:ascii="ITC Avant Garde" w:hAnsi="ITC Avant Garde"/>
        </w:rPr>
      </w:pPr>
      <w:r w:rsidRPr="002A2450">
        <w:rPr>
          <w:rFonts w:ascii="ITC Avant Garde" w:hAnsi="ITC Avant Garde"/>
        </w:rPr>
        <w:t xml:space="preserve">En tales consideraciones, este mecanismo de arrendamiento a largo plazo implica precisamente la reducción del riesgo derivado del éxito o fracaso de </w:t>
      </w:r>
      <w:r w:rsidRPr="002A2450">
        <w:rPr>
          <w:rFonts w:ascii="ITC Avant Garde" w:hAnsi="ITC Avant Garde"/>
          <w:b/>
        </w:rPr>
        <w:t>“DISH”</w:t>
      </w:r>
      <w:r w:rsidR="00EC3E40" w:rsidRPr="002A2450">
        <w:rPr>
          <w:rFonts w:ascii="ITC Avant Garde" w:hAnsi="ITC Avant Garde"/>
          <w:b/>
        </w:rPr>
        <w:t>,</w:t>
      </w:r>
      <w:r w:rsidRPr="002A2450">
        <w:rPr>
          <w:rFonts w:ascii="ITC Avant Garde" w:hAnsi="ITC Avant Garde"/>
        </w:rPr>
        <w:t xml:space="preserve"> de lo que se sigue que en caso de no generar un éxito</w:t>
      </w:r>
      <w:r w:rsidR="00EC3E40" w:rsidRPr="002A2450">
        <w:rPr>
          <w:rFonts w:ascii="ITC Avant Garde" w:hAnsi="ITC Avant Garde"/>
        </w:rPr>
        <w:t>,</w:t>
      </w:r>
      <w:r w:rsidRPr="002A2450">
        <w:rPr>
          <w:rFonts w:ascii="ITC Avant Garde" w:hAnsi="ITC Avant Garde"/>
        </w:rPr>
        <w:t xml:space="preserve"> primero se estaría liquidando las aportaciones para la compra de los CPE y posteriormente la liquidación de la sociedad, de ahí precisamente que la aportación realizada estaría sujeta a un retorno en el largo plazo y garantizada al momento de constituirse cualquiera de los eventos previstos en los contratos.</w:t>
      </w:r>
    </w:p>
    <w:p w14:paraId="7D062301" w14:textId="77777777" w:rsidR="00B35F13" w:rsidRDefault="009275CF" w:rsidP="00B35F13">
      <w:pPr>
        <w:spacing w:before="240" w:line="360" w:lineRule="auto"/>
        <w:jc w:val="both"/>
        <w:rPr>
          <w:rFonts w:ascii="ITC Avant Garde" w:hAnsi="ITC Avant Garde"/>
        </w:rPr>
      </w:pPr>
      <w:r w:rsidRPr="002A2450">
        <w:rPr>
          <w:rFonts w:ascii="ITC Avant Garde" w:hAnsi="ITC Avant Garde"/>
        </w:rPr>
        <w:t xml:space="preserve">Así las cosas, en nada beneficia a </w:t>
      </w:r>
      <w:r w:rsidRPr="002A2450">
        <w:rPr>
          <w:rFonts w:ascii="ITC Avant Garde" w:hAnsi="ITC Avant Garde"/>
          <w:b/>
        </w:rPr>
        <w:t>“TELMEX”</w:t>
      </w:r>
      <w:r w:rsidRPr="002A2450">
        <w:rPr>
          <w:rFonts w:ascii="ITC Avant Garde" w:hAnsi="ITC Avant Garde"/>
        </w:rPr>
        <w:t xml:space="preserve"> señalar que no existe aportación alguna a la sociedad dado de que no es socio de </w:t>
      </w:r>
      <w:r w:rsidRPr="002A2450">
        <w:rPr>
          <w:rFonts w:ascii="ITC Avant Garde" w:hAnsi="ITC Avant Garde"/>
          <w:b/>
        </w:rPr>
        <w:t>“DISH MÉXICO”</w:t>
      </w:r>
      <w:r w:rsidR="00EC3E40" w:rsidRPr="002A2450">
        <w:rPr>
          <w:rFonts w:ascii="ITC Avant Garde" w:hAnsi="ITC Avant Garde"/>
          <w:b/>
        </w:rPr>
        <w:t>,</w:t>
      </w:r>
      <w:r w:rsidRPr="002A2450">
        <w:rPr>
          <w:rFonts w:ascii="ITC Avant Garde" w:hAnsi="ITC Avant Garde"/>
        </w:rPr>
        <w:t xml:space="preserve"> puesto que como se ha advertido</w:t>
      </w:r>
      <w:r w:rsidR="00EC3E40" w:rsidRPr="002A2450">
        <w:rPr>
          <w:rFonts w:ascii="ITC Avant Garde" w:hAnsi="ITC Avant Garde"/>
        </w:rPr>
        <w:t>,</w:t>
      </w:r>
      <w:r w:rsidRPr="002A2450">
        <w:rPr>
          <w:rFonts w:ascii="ITC Avant Garde" w:hAnsi="ITC Avant Garde"/>
        </w:rPr>
        <w:t xml:space="preserve"> </w:t>
      </w:r>
      <w:r w:rsidR="00733A1A" w:rsidRPr="002A2450">
        <w:rPr>
          <w:rFonts w:ascii="ITC Avant Garde" w:hAnsi="ITC Avant Garde"/>
        </w:rPr>
        <w:t xml:space="preserve">la aportación realizada consiste precisamente de dotar de capacidad </w:t>
      </w:r>
      <w:r w:rsidR="00EC3E40" w:rsidRPr="002A2450">
        <w:rPr>
          <w:rFonts w:ascii="ITC Avant Garde" w:hAnsi="ITC Avant Garde"/>
        </w:rPr>
        <w:t xml:space="preserve">financiera a la empresa concesionaria para que la misma estuviera en condiciones de explotar su concesión para </w:t>
      </w:r>
      <w:r w:rsidR="00733A1A" w:rsidRPr="002A2450">
        <w:rPr>
          <w:rFonts w:ascii="ITC Avant Garde" w:hAnsi="ITC Avant Garde"/>
        </w:rPr>
        <w:t>la prestación del servicio</w:t>
      </w:r>
      <w:r w:rsidR="00EC3E40" w:rsidRPr="002A2450">
        <w:rPr>
          <w:rFonts w:ascii="ITC Avant Garde" w:hAnsi="ITC Avant Garde"/>
        </w:rPr>
        <w:t>,</w:t>
      </w:r>
      <w:r w:rsidR="00733A1A" w:rsidRPr="002A2450">
        <w:rPr>
          <w:rFonts w:ascii="ITC Avant Garde" w:hAnsi="ITC Avant Garde"/>
        </w:rPr>
        <w:t xml:space="preserve"> quien a su vez genera el retorno </w:t>
      </w:r>
      <w:r w:rsidR="00EC3E40" w:rsidRPr="002A2450">
        <w:rPr>
          <w:rFonts w:ascii="ITC Avant Garde" w:hAnsi="ITC Avant Garde"/>
        </w:rPr>
        <w:t xml:space="preserve">con el arrendamiento </w:t>
      </w:r>
      <w:r w:rsidR="00733A1A" w:rsidRPr="002A2450">
        <w:rPr>
          <w:rFonts w:ascii="ITC Avant Garde" w:hAnsi="ITC Avant Garde"/>
        </w:rPr>
        <w:t xml:space="preserve">de equipos </w:t>
      </w:r>
      <w:r w:rsidR="00EC3E40" w:rsidRPr="002A2450">
        <w:rPr>
          <w:rFonts w:ascii="ITC Avant Garde" w:hAnsi="ITC Avant Garde"/>
        </w:rPr>
        <w:t xml:space="preserve">y el pago de dividendos </w:t>
      </w:r>
      <w:r w:rsidR="00733A1A" w:rsidRPr="002A2450">
        <w:rPr>
          <w:rFonts w:ascii="ITC Avant Garde" w:hAnsi="ITC Avant Garde"/>
        </w:rPr>
        <w:t>pactado entre las partes.</w:t>
      </w:r>
    </w:p>
    <w:p w14:paraId="2FDCE4F1" w14:textId="77777777" w:rsidR="00B35F13" w:rsidRDefault="00733A1A" w:rsidP="00B35F13">
      <w:pPr>
        <w:spacing w:before="240" w:line="360" w:lineRule="auto"/>
        <w:jc w:val="both"/>
        <w:rPr>
          <w:rFonts w:ascii="ITC Avant Garde" w:hAnsi="ITC Avant Garde"/>
        </w:rPr>
      </w:pPr>
      <w:r w:rsidRPr="002A2450">
        <w:rPr>
          <w:rFonts w:ascii="ITC Avant Garde" w:hAnsi="ITC Avant Garde"/>
        </w:rPr>
        <w:t xml:space="preserve">Por tanto, asiste razón de que en caso de haberse ejercido la opción, los equipos CPE al existir una concurrencia de derechos </w:t>
      </w:r>
      <w:r w:rsidR="00EC3E40" w:rsidRPr="002A2450">
        <w:rPr>
          <w:rFonts w:ascii="ITC Avant Garde" w:hAnsi="ITC Avant Garde"/>
          <w:b/>
        </w:rPr>
        <w:t xml:space="preserve">“TELMEX” </w:t>
      </w:r>
      <w:r w:rsidRPr="002A2450">
        <w:rPr>
          <w:rFonts w:ascii="ITC Avant Garde" w:hAnsi="ITC Avant Garde"/>
        </w:rPr>
        <w:t xml:space="preserve">sería un socio mayoritario en </w:t>
      </w:r>
      <w:r w:rsidRPr="002A2450">
        <w:rPr>
          <w:rFonts w:ascii="ITC Avant Garde" w:hAnsi="ITC Avant Garde"/>
          <w:b/>
        </w:rPr>
        <w:t>“DISH”</w:t>
      </w:r>
      <w:r w:rsidRPr="002A2450">
        <w:rPr>
          <w:rFonts w:ascii="ITC Avant Garde" w:hAnsi="ITC Avant Garde"/>
        </w:rPr>
        <w:t xml:space="preserve"> sin embargo, al no haberse ejecutado ello no implicó que no pudiera poner a disposición de la contraparte la posibilidad de allegarse de los equipos CPE y diferir su pago hasta por dos años a partir de la celebración del contrato de arrendamiento, lo cual podría traducirse en un esquema </w:t>
      </w:r>
      <w:r w:rsidR="00EC3E40" w:rsidRPr="002A2450">
        <w:rPr>
          <w:rFonts w:ascii="ITC Avant Garde" w:hAnsi="ITC Avant Garde"/>
        </w:rPr>
        <w:t xml:space="preserve">para dotar </w:t>
      </w:r>
      <w:r w:rsidRPr="002A2450">
        <w:rPr>
          <w:rFonts w:ascii="ITC Avant Garde" w:hAnsi="ITC Avant Garde"/>
        </w:rPr>
        <w:t xml:space="preserve">de liquidez y financiamiento con un retorno a largo plazo, máxime que lo que se garantiza es precisamente el pago de los arrendamientos pendientes, la posibilidad de </w:t>
      </w:r>
      <w:r w:rsidRPr="002A2450">
        <w:rPr>
          <w:rFonts w:ascii="ITC Avant Garde" w:hAnsi="ITC Avant Garde"/>
        </w:rPr>
        <w:lastRenderedPageBreak/>
        <w:t xml:space="preserve">participar en los dividendos y una expectativa de derecho sujeta a condición suspensiva </w:t>
      </w:r>
      <w:r w:rsidR="00EC3E40" w:rsidRPr="002A2450">
        <w:rPr>
          <w:rFonts w:ascii="ITC Avant Garde" w:hAnsi="ITC Avant Garde"/>
        </w:rPr>
        <w:t xml:space="preserve">con motivo del </w:t>
      </w:r>
      <w:r w:rsidRPr="002A2450">
        <w:rPr>
          <w:rFonts w:ascii="ITC Avant Garde" w:hAnsi="ITC Avant Garde"/>
        </w:rPr>
        <w:t>ejercicio de la opción.</w:t>
      </w:r>
    </w:p>
    <w:p w14:paraId="05AE88DE" w14:textId="77777777" w:rsidR="00B35F13" w:rsidRDefault="00733A1A" w:rsidP="00B35F13">
      <w:pPr>
        <w:spacing w:before="240" w:line="360" w:lineRule="auto"/>
        <w:jc w:val="both"/>
        <w:rPr>
          <w:rFonts w:ascii="ITC Avant Garde" w:hAnsi="ITC Avant Garde"/>
          <w:b/>
        </w:rPr>
      </w:pPr>
      <w:r w:rsidRPr="002A2450">
        <w:rPr>
          <w:rFonts w:ascii="ITC Avant Garde" w:hAnsi="ITC Avant Garde"/>
        </w:rPr>
        <w:t xml:space="preserve">Por tanto, las manifestaciones realizadas por </w:t>
      </w:r>
      <w:r w:rsidRPr="002A2450">
        <w:rPr>
          <w:rFonts w:ascii="ITC Avant Garde" w:hAnsi="ITC Avant Garde"/>
          <w:b/>
        </w:rPr>
        <w:t>“TELMEX”</w:t>
      </w:r>
      <w:r w:rsidRPr="002A2450">
        <w:rPr>
          <w:rFonts w:ascii="ITC Avant Garde" w:hAnsi="ITC Avant Garde"/>
        </w:rPr>
        <w:t xml:space="preserve"> no desvirtúan la conducta imputada en el presente asunto sino que por el contrario esboza razonamientos respecto de los cuales pretende señalar a esta autoridad que no existe un financiamiento y/o aportación a capital alguno dado que dicho mecanismo responde a un contrato mercantil</w:t>
      </w:r>
      <w:r w:rsidR="00EC3E40" w:rsidRPr="002A2450">
        <w:rPr>
          <w:rFonts w:ascii="ITC Avant Garde" w:hAnsi="ITC Avant Garde"/>
        </w:rPr>
        <w:t>,</w:t>
      </w:r>
      <w:r w:rsidRPr="002A2450">
        <w:rPr>
          <w:rFonts w:ascii="ITC Avant Garde" w:hAnsi="ITC Avant Garde"/>
        </w:rPr>
        <w:t xml:space="preserve"> dejando de lado el hecho de que los contratos garantizan precisamente el retorno en cualquier evento p</w:t>
      </w:r>
      <w:r w:rsidR="00EC3E40" w:rsidRPr="002A2450">
        <w:rPr>
          <w:rFonts w:ascii="ITC Avant Garde" w:hAnsi="ITC Avant Garde"/>
        </w:rPr>
        <w:t>or</w:t>
      </w:r>
      <w:r w:rsidRPr="002A2450">
        <w:rPr>
          <w:rFonts w:ascii="ITC Avant Garde" w:hAnsi="ITC Avant Garde"/>
        </w:rPr>
        <w:t xml:space="preserve"> la compra de los equipos CPE con lo cual se establece la vinculación y el nexo existente en la puesta en marcha del negocio </w:t>
      </w:r>
      <w:r w:rsidRPr="002A2450">
        <w:rPr>
          <w:rFonts w:ascii="ITC Avant Garde" w:hAnsi="ITC Avant Garde"/>
          <w:b/>
        </w:rPr>
        <w:t xml:space="preserve">“DISH” </w:t>
      </w:r>
      <w:r w:rsidRPr="002A2450">
        <w:rPr>
          <w:rFonts w:ascii="ITC Avant Garde" w:hAnsi="ITC Avant Garde"/>
        </w:rPr>
        <w:t xml:space="preserve">con el auspicio de </w:t>
      </w:r>
      <w:r w:rsidRPr="002A2450">
        <w:rPr>
          <w:rFonts w:ascii="ITC Avant Garde" w:hAnsi="ITC Avant Garde"/>
          <w:b/>
        </w:rPr>
        <w:t>“TELMEX”</w:t>
      </w:r>
      <w:r w:rsidR="00EC3E40" w:rsidRPr="002A2450">
        <w:rPr>
          <w:rFonts w:ascii="ITC Avant Garde" w:hAnsi="ITC Avant Garde"/>
          <w:b/>
        </w:rPr>
        <w:t>.</w:t>
      </w:r>
    </w:p>
    <w:p w14:paraId="13705B0B" w14:textId="77777777" w:rsidR="00B35F13" w:rsidRDefault="00D75071" w:rsidP="00B35F13">
      <w:pPr>
        <w:spacing w:before="240" w:line="360" w:lineRule="auto"/>
        <w:jc w:val="both"/>
        <w:rPr>
          <w:rFonts w:ascii="ITC Avant Garde" w:hAnsi="ITC Avant Garde"/>
        </w:rPr>
      </w:pPr>
      <w:r w:rsidRPr="002A2450">
        <w:rPr>
          <w:rFonts w:ascii="ITC Avant Garde" w:hAnsi="ITC Avant Garde"/>
        </w:rPr>
        <w:t>En tales consideraciones sus manifestaciones resultan insuficientes dado que las mismas sólo representan manifestaciones de hecho sin que estén apoyadas en prueba alguna respecto de la cual pueda desvirtuarse la conducta materia del presente procedimiento.</w:t>
      </w:r>
    </w:p>
    <w:p w14:paraId="2FF10D97" w14:textId="77777777" w:rsidR="00B35F13" w:rsidRDefault="00D75071" w:rsidP="00B35F13">
      <w:pPr>
        <w:spacing w:before="240" w:line="360" w:lineRule="auto"/>
        <w:jc w:val="both"/>
        <w:rPr>
          <w:rFonts w:ascii="ITC Avant Garde" w:hAnsi="ITC Avant Garde"/>
          <w:b/>
        </w:rPr>
      </w:pPr>
      <w:r w:rsidRPr="002A2450">
        <w:rPr>
          <w:rFonts w:ascii="ITC Avant Garde" w:hAnsi="ITC Avant Garde"/>
        </w:rPr>
        <w:t xml:space="preserve">Continúa manifestando </w:t>
      </w:r>
      <w:r w:rsidRPr="002A2450">
        <w:rPr>
          <w:rFonts w:ascii="ITC Avant Garde" w:hAnsi="ITC Avant Garde"/>
          <w:b/>
        </w:rPr>
        <w:t xml:space="preserve">“TELMEX” </w:t>
      </w:r>
      <w:r w:rsidRPr="002A2450">
        <w:rPr>
          <w:rFonts w:ascii="ITC Avant Garde" w:hAnsi="ITC Avant Garde"/>
        </w:rPr>
        <w:t>lo siguiente:</w:t>
      </w:r>
    </w:p>
    <w:p w14:paraId="078D5627" w14:textId="77777777"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INFLUENCIA DE TELMEX EN LA COMERCIALIZACIÓN DEL SERVICIO DTH</w:t>
      </w:r>
    </w:p>
    <w:p w14:paraId="21B593B8"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831D47" w:rsidRPr="002A2450">
        <w:rPr>
          <w:rFonts w:ascii="ITC Avant Garde" w:hAnsi="ITC Avant Garde"/>
          <w:i/>
        </w:rPr>
        <w:t xml:space="preserve"> como prestador de un servicio tiene incentivo suficiente para dar un servicio profesional, además de que los ingresos no están indexados a los ingresos de </w:t>
      </w:r>
      <w:proofErr w:type="spellStart"/>
      <w:r w:rsidR="00831D47" w:rsidRPr="002A2450">
        <w:rPr>
          <w:rFonts w:ascii="ITC Avant Garde" w:hAnsi="ITC Avant Garde"/>
          <w:i/>
        </w:rPr>
        <w:t>Dish</w:t>
      </w:r>
      <w:proofErr w:type="spellEnd"/>
      <w:r w:rsidR="00831D47" w:rsidRPr="002A2450">
        <w:rPr>
          <w:rFonts w:ascii="ITC Avant Garde" w:hAnsi="ITC Avant Garde"/>
          <w:i/>
        </w:rPr>
        <w:t xml:space="preserve"> México por lo que en ese aspecto es neutro.</w:t>
      </w:r>
    </w:p>
    <w:p w14:paraId="28778EF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Los servicios que presta a </w:t>
      </w:r>
      <w:proofErr w:type="spellStart"/>
      <w:r w:rsidRPr="002A2450">
        <w:rPr>
          <w:rFonts w:ascii="ITC Avant Garde" w:hAnsi="ITC Avant Garde"/>
          <w:i/>
        </w:rPr>
        <w:t>Dish</w:t>
      </w:r>
      <w:proofErr w:type="spellEnd"/>
      <w:r w:rsidRPr="002A2450">
        <w:rPr>
          <w:rFonts w:ascii="ITC Avant Garde" w:hAnsi="ITC Avant Garde"/>
          <w:i/>
        </w:rPr>
        <w:t xml:space="preserve"> México son independientes por que no recibe beneficios económicos de los servicios que presta </w:t>
      </w:r>
      <w:proofErr w:type="spellStart"/>
      <w:r w:rsidRPr="002A2450">
        <w:rPr>
          <w:rFonts w:ascii="ITC Avant Garde" w:hAnsi="ITC Avant Garde"/>
          <w:i/>
        </w:rPr>
        <w:t>Dish</w:t>
      </w:r>
      <w:proofErr w:type="spellEnd"/>
      <w:r w:rsidRPr="002A2450">
        <w:rPr>
          <w:rFonts w:ascii="ITC Avant Garde" w:hAnsi="ITC Avant Garde"/>
          <w:i/>
        </w:rPr>
        <w:t xml:space="preserve">. </w:t>
      </w:r>
    </w:p>
    <w:p w14:paraId="52518901"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Por lo que se niega tener injerencia en la prestación del servicio de Televisión restringida. </w:t>
      </w:r>
    </w:p>
    <w:p w14:paraId="68086CC9" w14:textId="77777777" w:rsidR="00B35F13" w:rsidRDefault="00D75071" w:rsidP="00B35F13">
      <w:pPr>
        <w:spacing w:before="240" w:line="360" w:lineRule="auto"/>
        <w:jc w:val="both"/>
        <w:rPr>
          <w:rFonts w:ascii="ITC Avant Garde" w:hAnsi="ITC Avant Garde"/>
        </w:rPr>
      </w:pPr>
      <w:r w:rsidRPr="002A2450">
        <w:rPr>
          <w:rFonts w:ascii="ITC Avant Garde" w:hAnsi="ITC Avant Garde"/>
        </w:rPr>
        <w:t>Dichos argumentos resulta insuficientes en virtud de las siguientes consideraciones:</w:t>
      </w:r>
    </w:p>
    <w:p w14:paraId="56EC96D5" w14:textId="77777777" w:rsidR="00B35F13" w:rsidRDefault="00D75071" w:rsidP="00B35F13">
      <w:pPr>
        <w:spacing w:before="240" w:line="360" w:lineRule="auto"/>
        <w:jc w:val="both"/>
        <w:rPr>
          <w:rFonts w:ascii="ITC Avant Garde" w:hAnsi="ITC Avant Garde"/>
        </w:rPr>
      </w:pPr>
      <w:r w:rsidRPr="002A2450">
        <w:rPr>
          <w:rFonts w:ascii="ITC Avant Garde" w:hAnsi="ITC Avant Garde"/>
        </w:rPr>
        <w:lastRenderedPageBreak/>
        <w:t>La comercialización puede inferirse como el o los procesos necesarios para llevar los bienes o servicios del productor o prestador del servicio al consumidor y/o usuario final.</w:t>
      </w:r>
    </w:p>
    <w:p w14:paraId="748F4795" w14:textId="77777777" w:rsidR="00B35F13" w:rsidRDefault="001819F4"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 xml:space="preserve">En ese sentido, </w:t>
      </w:r>
      <w:r w:rsidRPr="002A2450">
        <w:rPr>
          <w:rFonts w:ascii="ITC Avant Garde" w:eastAsiaTheme="minorHAnsi" w:hAnsi="ITC Avant Garde" w:cstheme="minorBidi"/>
          <w:b/>
          <w:sz w:val="22"/>
          <w:szCs w:val="22"/>
          <w:lang w:eastAsia="en-US"/>
        </w:rPr>
        <w:t>“TELMEX”</w:t>
      </w:r>
      <w:r w:rsidRPr="002A2450">
        <w:rPr>
          <w:rFonts w:ascii="ITC Avant Garde" w:eastAsiaTheme="minorHAnsi" w:hAnsi="ITC Avant Garde" w:cstheme="minorBidi"/>
          <w:sz w:val="22"/>
          <w:szCs w:val="22"/>
          <w:lang w:eastAsia="en-US"/>
        </w:rPr>
        <w:t xml:space="preserve"> realiza parte de l</w:t>
      </w:r>
      <w:r w:rsidR="00094267" w:rsidRPr="002A2450">
        <w:rPr>
          <w:rFonts w:ascii="ITC Avant Garde" w:eastAsiaTheme="minorHAnsi" w:hAnsi="ITC Avant Garde" w:cstheme="minorBidi"/>
          <w:sz w:val="22"/>
          <w:szCs w:val="22"/>
          <w:lang w:eastAsia="en-US"/>
        </w:rPr>
        <w:t>a</w:t>
      </w:r>
      <w:r w:rsidRPr="002A2450">
        <w:rPr>
          <w:rFonts w:ascii="ITC Avant Garde" w:eastAsiaTheme="minorHAnsi" w:hAnsi="ITC Avant Garde" w:cstheme="minorBidi"/>
          <w:sz w:val="22"/>
          <w:szCs w:val="22"/>
          <w:lang w:eastAsia="en-US"/>
        </w:rPr>
        <w:t xml:space="preserve">s </w:t>
      </w:r>
      <w:r w:rsidR="00094267" w:rsidRPr="002A2450">
        <w:rPr>
          <w:rFonts w:ascii="ITC Avant Garde" w:eastAsiaTheme="minorHAnsi" w:hAnsi="ITC Avant Garde" w:cstheme="minorBidi"/>
          <w:sz w:val="22"/>
          <w:szCs w:val="22"/>
          <w:lang w:eastAsia="en-US"/>
        </w:rPr>
        <w:t xml:space="preserve">actividades operacionales </w:t>
      </w:r>
      <w:r w:rsidRPr="002A2450">
        <w:rPr>
          <w:rFonts w:ascii="ITC Avant Garde" w:eastAsiaTheme="minorHAnsi" w:hAnsi="ITC Avant Garde" w:cstheme="minorBidi"/>
          <w:sz w:val="22"/>
          <w:szCs w:val="22"/>
          <w:lang w:eastAsia="en-US"/>
        </w:rPr>
        <w:t xml:space="preserve">de </w:t>
      </w:r>
      <w:r w:rsidRPr="002A2450">
        <w:rPr>
          <w:rFonts w:ascii="ITC Avant Garde" w:eastAsiaTheme="minorHAnsi" w:hAnsi="ITC Avant Garde" w:cstheme="minorBidi"/>
          <w:b/>
          <w:sz w:val="22"/>
          <w:szCs w:val="22"/>
          <w:lang w:eastAsia="en-US"/>
        </w:rPr>
        <w:t xml:space="preserve">“DISH” </w:t>
      </w:r>
      <w:r w:rsidR="00094267" w:rsidRPr="002A2450">
        <w:rPr>
          <w:rFonts w:ascii="ITC Avant Garde" w:eastAsiaTheme="minorHAnsi" w:hAnsi="ITC Avant Garde" w:cstheme="minorBidi"/>
          <w:sz w:val="22"/>
          <w:szCs w:val="22"/>
          <w:lang w:eastAsia="en-US"/>
        </w:rPr>
        <w:t xml:space="preserve">a través de </w:t>
      </w:r>
      <w:r w:rsidRPr="002A2450">
        <w:rPr>
          <w:rFonts w:ascii="ITC Avant Garde" w:eastAsiaTheme="minorHAnsi" w:hAnsi="ITC Avant Garde" w:cstheme="minorBidi"/>
          <w:sz w:val="22"/>
          <w:szCs w:val="22"/>
          <w:lang w:eastAsia="en-US"/>
        </w:rPr>
        <w:t>la distribución y mercadotécnica, facturación y cobranza y el arrendamiento de equipos.</w:t>
      </w:r>
    </w:p>
    <w:p w14:paraId="774E7448" w14:textId="77777777" w:rsidR="00B35F13" w:rsidRDefault="001819F4"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 xml:space="preserve">Ahora bien, en esta cadena de actividades resta señalar cuál es la que </w:t>
      </w:r>
      <w:r w:rsidRPr="002A2450">
        <w:rPr>
          <w:rFonts w:ascii="ITC Avant Garde" w:eastAsiaTheme="minorHAnsi" w:hAnsi="ITC Avant Garde" w:cstheme="minorBidi"/>
          <w:b/>
          <w:sz w:val="22"/>
          <w:szCs w:val="22"/>
          <w:lang w:eastAsia="en-US"/>
        </w:rPr>
        <w:t>“COFRESA”</w:t>
      </w:r>
      <w:r w:rsidRPr="002A2450">
        <w:rPr>
          <w:rFonts w:ascii="ITC Avant Garde" w:eastAsiaTheme="minorHAnsi" w:hAnsi="ITC Avant Garde" w:cstheme="minorBidi"/>
          <w:sz w:val="22"/>
          <w:szCs w:val="22"/>
          <w:lang w:eastAsia="en-US"/>
        </w:rPr>
        <w:t xml:space="preserve"> realiza a la luz de los contratos celebrados, a los cuales se ha denominado insumos esenciales </w:t>
      </w:r>
      <w:r w:rsidR="00094267" w:rsidRPr="002A2450">
        <w:rPr>
          <w:rFonts w:ascii="ITC Avant Garde" w:eastAsiaTheme="minorHAnsi" w:hAnsi="ITC Avant Garde" w:cstheme="minorBidi"/>
          <w:sz w:val="22"/>
          <w:szCs w:val="22"/>
          <w:lang w:eastAsia="en-US"/>
        </w:rPr>
        <w:t xml:space="preserve">tales </w:t>
      </w:r>
      <w:r w:rsidRPr="002A2450">
        <w:rPr>
          <w:rFonts w:ascii="ITC Avant Garde" w:eastAsiaTheme="minorHAnsi" w:hAnsi="ITC Avant Garde" w:cstheme="minorBidi"/>
          <w:sz w:val="22"/>
          <w:szCs w:val="22"/>
          <w:lang w:eastAsia="en-US"/>
        </w:rPr>
        <w:t xml:space="preserve">como la restructuración corporativa de </w:t>
      </w:r>
      <w:r w:rsidRPr="002A2450">
        <w:rPr>
          <w:rFonts w:ascii="ITC Avant Garde" w:eastAsiaTheme="minorHAnsi" w:hAnsi="ITC Avant Garde" w:cstheme="minorBidi"/>
          <w:i/>
          <w:sz w:val="22"/>
          <w:szCs w:val="22"/>
          <w:lang w:eastAsia="en-US"/>
        </w:rPr>
        <w:t>“Grupo MVS”</w:t>
      </w:r>
      <w:r w:rsidRPr="002A2450">
        <w:rPr>
          <w:rFonts w:ascii="ITC Avant Garde" w:eastAsiaTheme="minorHAnsi" w:hAnsi="ITC Avant Garde" w:cstheme="minorBidi"/>
          <w:sz w:val="22"/>
          <w:szCs w:val="22"/>
          <w:lang w:eastAsia="en-US"/>
        </w:rPr>
        <w:t xml:space="preserve"> y la cesión y/o compraventa de partes sociales entre ese grupo</w:t>
      </w:r>
      <w:r w:rsidR="00094267" w:rsidRPr="002A2450">
        <w:rPr>
          <w:rFonts w:ascii="ITC Avant Garde" w:eastAsiaTheme="minorHAnsi" w:hAnsi="ITC Avant Garde" w:cstheme="minorBidi"/>
          <w:sz w:val="22"/>
          <w:szCs w:val="22"/>
          <w:lang w:eastAsia="en-US"/>
        </w:rPr>
        <w:t>,</w:t>
      </w:r>
      <w:r w:rsidRPr="002A2450">
        <w:rPr>
          <w:rFonts w:ascii="ITC Avant Garde" w:eastAsiaTheme="minorHAnsi" w:hAnsi="ITC Avant Garde" w:cstheme="minorBidi"/>
          <w:sz w:val="22"/>
          <w:szCs w:val="22"/>
          <w:lang w:eastAsia="en-US"/>
        </w:rPr>
        <w:t xml:space="preserve"> a efecto de contar con capacidad de espectro, derechos de transmisión, provisión de capacidad y compra de los equipos CPE.</w:t>
      </w:r>
    </w:p>
    <w:p w14:paraId="1EBBB3F6" w14:textId="77777777" w:rsidR="00B35F13" w:rsidRDefault="001819F4" w:rsidP="00B35F13">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sidRPr="002A2450">
        <w:rPr>
          <w:rFonts w:ascii="ITC Avant Garde" w:eastAsiaTheme="minorHAnsi" w:hAnsi="ITC Avant Garde" w:cstheme="minorBidi"/>
          <w:sz w:val="22"/>
          <w:szCs w:val="22"/>
          <w:lang w:eastAsia="en-US"/>
        </w:rPr>
        <w:t xml:space="preserve">En tales consideraciones, bajo el esquema de los contratos coaligados celebrados, no se advierte cuál es la actividad operacional de </w:t>
      </w:r>
      <w:r w:rsidRPr="002A2450">
        <w:rPr>
          <w:rFonts w:ascii="ITC Avant Garde" w:eastAsiaTheme="minorHAnsi" w:hAnsi="ITC Avant Garde" w:cstheme="minorBidi"/>
          <w:b/>
          <w:sz w:val="22"/>
          <w:szCs w:val="22"/>
          <w:lang w:eastAsia="en-US"/>
        </w:rPr>
        <w:t>“COFRESA”</w:t>
      </w:r>
      <w:r w:rsidRPr="002A2450">
        <w:rPr>
          <w:rFonts w:ascii="ITC Avant Garde" w:eastAsiaTheme="minorHAnsi" w:hAnsi="ITC Avant Garde" w:cstheme="minorBidi"/>
          <w:sz w:val="22"/>
          <w:szCs w:val="22"/>
          <w:lang w:eastAsia="en-US"/>
        </w:rPr>
        <w:t xml:space="preserve"> esto es, cómo participa en el proceso </w:t>
      </w:r>
      <w:r w:rsidR="00094267" w:rsidRPr="002A2450">
        <w:rPr>
          <w:rFonts w:ascii="ITC Avant Garde" w:eastAsiaTheme="minorHAnsi" w:hAnsi="ITC Avant Garde" w:cstheme="minorBidi"/>
          <w:sz w:val="22"/>
          <w:szCs w:val="22"/>
          <w:lang w:eastAsia="en-US"/>
        </w:rPr>
        <w:t xml:space="preserve">para </w:t>
      </w:r>
      <w:r w:rsidRPr="002A2450">
        <w:rPr>
          <w:rFonts w:ascii="ITC Avant Garde" w:eastAsiaTheme="minorHAnsi" w:hAnsi="ITC Avant Garde" w:cstheme="minorBidi"/>
          <w:sz w:val="22"/>
          <w:szCs w:val="22"/>
          <w:lang w:eastAsia="en-US"/>
        </w:rPr>
        <w:t xml:space="preserve">llevar el servicio al usuario final, puesto que si bien corresponde a esa empresa la instalación del equipo CPE a los suscriptores, la mecánica de mercadotecnia, distribución, facturación y cobranza y el arrendamiento de equipos corresponde a </w:t>
      </w:r>
      <w:r w:rsidRPr="002A2450">
        <w:rPr>
          <w:rFonts w:ascii="ITC Avant Garde" w:eastAsiaTheme="minorHAnsi" w:hAnsi="ITC Avant Garde" w:cstheme="minorBidi"/>
          <w:b/>
          <w:sz w:val="22"/>
          <w:szCs w:val="22"/>
          <w:lang w:eastAsia="en-US"/>
        </w:rPr>
        <w:t>“TELMEX”.</w:t>
      </w:r>
    </w:p>
    <w:p w14:paraId="1C9302EC" w14:textId="77777777" w:rsidR="00B35F13" w:rsidRDefault="001819F4"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 xml:space="preserve">Así las cosas, es indudable que </w:t>
      </w:r>
      <w:r w:rsidRPr="002A2450">
        <w:rPr>
          <w:rFonts w:ascii="ITC Avant Garde" w:eastAsiaTheme="minorHAnsi" w:hAnsi="ITC Avant Garde" w:cstheme="minorBidi"/>
          <w:b/>
          <w:sz w:val="22"/>
          <w:szCs w:val="22"/>
          <w:lang w:eastAsia="en-US"/>
        </w:rPr>
        <w:t>“COFRESA”</w:t>
      </w:r>
      <w:r w:rsidRPr="002A2450">
        <w:rPr>
          <w:rFonts w:ascii="ITC Avant Garde" w:eastAsiaTheme="minorHAnsi" w:hAnsi="ITC Avant Garde" w:cstheme="minorBidi"/>
          <w:sz w:val="22"/>
          <w:szCs w:val="22"/>
          <w:lang w:eastAsia="en-US"/>
        </w:rPr>
        <w:t xml:space="preserve"> solo interviene en este proceso como el sujeto regulado titular de una concesión que delega las acciones propias de un ente económico a un tercero.</w:t>
      </w:r>
    </w:p>
    <w:p w14:paraId="042CCCFA" w14:textId="77777777" w:rsidR="00A80E02" w:rsidRDefault="001819F4"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sectPr w:rsidR="00A80E02" w:rsidSect="009F3771">
          <w:headerReference w:type="default" r:id="rId52"/>
          <w:pgSz w:w="12240" w:h="15840"/>
          <w:pgMar w:top="1985" w:right="1701" w:bottom="1418" w:left="1701" w:header="709" w:footer="709" w:gutter="0"/>
          <w:cols w:space="708"/>
          <w:docGrid w:linePitch="360"/>
        </w:sectPr>
      </w:pPr>
      <w:r w:rsidRPr="002A2450">
        <w:rPr>
          <w:rFonts w:ascii="ITC Avant Garde" w:eastAsiaTheme="minorHAnsi" w:hAnsi="ITC Avant Garde" w:cstheme="minorBidi"/>
          <w:sz w:val="22"/>
          <w:szCs w:val="22"/>
          <w:lang w:eastAsia="en-US"/>
        </w:rPr>
        <w:t xml:space="preserve">En ese sentido, la participación de </w:t>
      </w:r>
      <w:r w:rsidRPr="002A2450">
        <w:rPr>
          <w:rFonts w:ascii="ITC Avant Garde" w:eastAsiaTheme="minorHAnsi" w:hAnsi="ITC Avant Garde" w:cstheme="minorBidi"/>
          <w:b/>
          <w:sz w:val="22"/>
          <w:szCs w:val="22"/>
          <w:lang w:eastAsia="en-US"/>
        </w:rPr>
        <w:t>“TELMEX”</w:t>
      </w:r>
      <w:r w:rsidRPr="002A2450">
        <w:rPr>
          <w:rFonts w:ascii="ITC Avant Garde" w:eastAsiaTheme="minorHAnsi" w:hAnsi="ITC Avant Garde" w:cstheme="minorBidi"/>
          <w:sz w:val="22"/>
          <w:szCs w:val="22"/>
          <w:lang w:eastAsia="en-US"/>
        </w:rPr>
        <w:t xml:space="preserve"> se refleja claramente a partir de la infraestructura </w:t>
      </w:r>
      <w:r w:rsidR="003D39C9" w:rsidRPr="002A2450">
        <w:rPr>
          <w:rFonts w:ascii="ITC Avant Garde" w:eastAsiaTheme="minorHAnsi" w:hAnsi="ITC Avant Garde" w:cstheme="minorBidi"/>
          <w:sz w:val="22"/>
          <w:szCs w:val="22"/>
          <w:lang w:eastAsia="en-US"/>
        </w:rPr>
        <w:t xml:space="preserve">nacional instalada </w:t>
      </w:r>
      <w:r w:rsidRPr="002A2450">
        <w:rPr>
          <w:rFonts w:ascii="ITC Avant Garde" w:eastAsiaTheme="minorHAnsi" w:hAnsi="ITC Avant Garde" w:cstheme="minorBidi"/>
          <w:sz w:val="22"/>
          <w:szCs w:val="22"/>
          <w:lang w:eastAsia="en-US"/>
        </w:rPr>
        <w:t>que aporta a este modelo de organización</w:t>
      </w:r>
      <w:r w:rsidR="003D39C9" w:rsidRPr="002A2450">
        <w:rPr>
          <w:rFonts w:ascii="ITC Avant Garde" w:eastAsiaTheme="minorHAnsi" w:hAnsi="ITC Avant Garde" w:cstheme="minorBidi"/>
          <w:sz w:val="22"/>
          <w:szCs w:val="22"/>
          <w:lang w:eastAsia="en-US"/>
        </w:rPr>
        <w:t xml:space="preserve"> con los puntos de venta que tiene a nivel nacional de la cual se vale </w:t>
      </w:r>
      <w:r w:rsidR="003D39C9" w:rsidRPr="002A2450">
        <w:rPr>
          <w:rFonts w:ascii="ITC Avant Garde" w:eastAsiaTheme="minorHAnsi" w:hAnsi="ITC Avant Garde" w:cstheme="minorBidi"/>
          <w:b/>
          <w:sz w:val="22"/>
          <w:szCs w:val="22"/>
          <w:lang w:eastAsia="en-US"/>
        </w:rPr>
        <w:t>“COFRESA”</w:t>
      </w:r>
      <w:r w:rsidR="003D39C9" w:rsidRPr="002A2450">
        <w:rPr>
          <w:rFonts w:ascii="ITC Avant Garde" w:eastAsiaTheme="minorHAnsi" w:hAnsi="ITC Avant Garde" w:cstheme="minorBidi"/>
          <w:sz w:val="22"/>
          <w:szCs w:val="22"/>
          <w:lang w:eastAsia="en-US"/>
        </w:rPr>
        <w:t xml:space="preserve"> para que a través de la licencia de marca a nombre de </w:t>
      </w:r>
      <w:r w:rsidR="003D39C9" w:rsidRPr="002A2450">
        <w:rPr>
          <w:rFonts w:ascii="ITC Avant Garde" w:eastAsiaTheme="minorHAnsi" w:hAnsi="ITC Avant Garde" w:cstheme="minorBidi"/>
          <w:b/>
          <w:sz w:val="22"/>
          <w:szCs w:val="22"/>
          <w:lang w:eastAsia="en-US"/>
        </w:rPr>
        <w:t>“DISH”</w:t>
      </w:r>
      <w:r w:rsidR="003D39C9" w:rsidRPr="002A2450">
        <w:rPr>
          <w:rFonts w:ascii="ITC Avant Garde" w:eastAsiaTheme="minorHAnsi" w:hAnsi="ITC Avant Garde" w:cstheme="minorBidi"/>
          <w:sz w:val="22"/>
          <w:szCs w:val="22"/>
          <w:lang w:eastAsia="en-US"/>
        </w:rPr>
        <w:t xml:space="preserve"> pueda ser ofertada a los usuarios de la</w:t>
      </w:r>
      <w:r w:rsidR="00094267" w:rsidRPr="002A2450">
        <w:rPr>
          <w:rFonts w:ascii="ITC Avant Garde" w:eastAsiaTheme="minorHAnsi" w:hAnsi="ITC Avant Garde" w:cstheme="minorBidi"/>
          <w:sz w:val="22"/>
          <w:szCs w:val="22"/>
          <w:lang w:eastAsia="en-US"/>
        </w:rPr>
        <w:t xml:space="preserve"> primera concesionaria en menció</w:t>
      </w:r>
      <w:r w:rsidR="003D39C9" w:rsidRPr="002A2450">
        <w:rPr>
          <w:rFonts w:ascii="ITC Avant Garde" w:eastAsiaTheme="minorHAnsi" w:hAnsi="ITC Avant Garde" w:cstheme="minorBidi"/>
          <w:sz w:val="22"/>
          <w:szCs w:val="22"/>
          <w:lang w:eastAsia="en-US"/>
        </w:rPr>
        <w:t>n.</w:t>
      </w:r>
    </w:p>
    <w:p w14:paraId="5726B295" w14:textId="606A567A" w:rsidR="005B0590" w:rsidRDefault="003D39C9"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lastRenderedPageBreak/>
        <w:t xml:space="preserve">Lo anterior, incluso puede verse reflejado en las minutas y/o actas de trabajo levantas entre </w:t>
      </w:r>
      <w:r w:rsidRPr="002A2450">
        <w:rPr>
          <w:rFonts w:ascii="ITC Avant Garde" w:eastAsiaTheme="minorHAnsi" w:hAnsi="ITC Avant Garde" w:cstheme="minorBidi"/>
          <w:b/>
          <w:sz w:val="22"/>
          <w:szCs w:val="22"/>
          <w:lang w:eastAsia="en-US"/>
        </w:rPr>
        <w:t>“TELMEX”</w:t>
      </w:r>
      <w:r w:rsidRPr="002A2450">
        <w:rPr>
          <w:rFonts w:ascii="ITC Avant Garde" w:eastAsiaTheme="minorHAnsi" w:hAnsi="ITC Avant Garde" w:cstheme="minorBidi"/>
          <w:sz w:val="22"/>
          <w:szCs w:val="22"/>
          <w:lang w:eastAsia="en-US"/>
        </w:rPr>
        <w:t xml:space="preserve"> y </w:t>
      </w:r>
      <w:r w:rsidRPr="002A2450">
        <w:rPr>
          <w:rFonts w:ascii="ITC Avant Garde" w:eastAsiaTheme="minorHAnsi" w:hAnsi="ITC Avant Garde" w:cstheme="minorBidi"/>
          <w:b/>
          <w:sz w:val="22"/>
          <w:szCs w:val="22"/>
          <w:lang w:eastAsia="en-US"/>
        </w:rPr>
        <w:t>“DISH MÉXICO”</w:t>
      </w:r>
      <w:r w:rsidRPr="002A2450">
        <w:rPr>
          <w:rFonts w:ascii="ITC Avant Garde" w:eastAsiaTheme="minorHAnsi" w:hAnsi="ITC Avant Garde" w:cstheme="minorBidi"/>
          <w:sz w:val="22"/>
          <w:szCs w:val="22"/>
          <w:lang w:eastAsia="en-US"/>
        </w:rPr>
        <w:t xml:space="preserve"> dónde entre otras cosas, </w:t>
      </w:r>
    </w:p>
    <w:p w14:paraId="306D6FE1" w14:textId="372B9DB3" w:rsidR="00B35F13" w:rsidRPr="0047339C" w:rsidRDefault="002D2DC3" w:rsidP="005B0590">
      <w:pPr>
        <w:pStyle w:val="NormalWeb"/>
        <w:spacing w:before="240" w:beforeAutospacing="0" w:after="160" w:afterAutospacing="0" w:line="360" w:lineRule="auto"/>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w:t>
      </w:r>
      <w:r w:rsidR="00ED447A" w:rsidRPr="0047339C">
        <w:rPr>
          <w:rFonts w:ascii="ITC Avant Garde" w:eastAsiaTheme="majorEastAsia" w:hAnsi="ITC Avant Garde" w:cstheme="majorBidi"/>
          <w:b/>
          <w:color w:val="0000FF"/>
          <w:szCs w:val="32"/>
        </w:rPr>
        <w:t>CONFIDENCIAL POR LEY”</w:t>
      </w:r>
    </w:p>
    <w:p w14:paraId="02D25D37" w14:textId="77777777" w:rsidR="00B35F13" w:rsidRDefault="003D39C9"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 xml:space="preserve">Elementos todos ellos que en definitiva representan indicios suficientes para poder advertir que </w:t>
      </w:r>
      <w:r w:rsidRPr="002A2450">
        <w:rPr>
          <w:rFonts w:ascii="ITC Avant Garde" w:eastAsiaTheme="minorHAnsi" w:hAnsi="ITC Avant Garde" w:cstheme="minorBidi"/>
          <w:b/>
          <w:sz w:val="22"/>
          <w:szCs w:val="22"/>
          <w:lang w:eastAsia="en-US"/>
        </w:rPr>
        <w:t>“TELMEX”</w:t>
      </w:r>
      <w:r w:rsidRPr="002A2450">
        <w:rPr>
          <w:rFonts w:ascii="ITC Avant Garde" w:eastAsiaTheme="minorHAnsi" w:hAnsi="ITC Avant Garde" w:cstheme="minorBidi"/>
          <w:sz w:val="22"/>
          <w:szCs w:val="22"/>
          <w:lang w:eastAsia="en-US"/>
        </w:rPr>
        <w:t xml:space="preserve"> influye en la comercialización de los servicios como un socio estratégico dada la capacidad instalada que sumado a la tasa preferencia</w:t>
      </w:r>
      <w:r w:rsidR="00094267" w:rsidRPr="002A2450">
        <w:rPr>
          <w:rFonts w:ascii="ITC Avant Garde" w:eastAsiaTheme="minorHAnsi" w:hAnsi="ITC Avant Garde" w:cstheme="minorBidi"/>
          <w:sz w:val="22"/>
          <w:szCs w:val="22"/>
          <w:lang w:eastAsia="en-US"/>
        </w:rPr>
        <w:t>l</w:t>
      </w:r>
      <w:r w:rsidRPr="002A2450">
        <w:rPr>
          <w:rFonts w:ascii="ITC Avant Garde" w:eastAsiaTheme="minorHAnsi" w:hAnsi="ITC Avant Garde" w:cstheme="minorBidi"/>
          <w:sz w:val="22"/>
          <w:szCs w:val="22"/>
          <w:lang w:eastAsia="en-US"/>
        </w:rPr>
        <w:t xml:space="preserve"> respecto de los servicios de facturación y cobranza y las ganancias obtenidas por cada cliente que ingresa a través de sus puntos de venta, dan razón suficiente </w:t>
      </w:r>
      <w:r w:rsidR="00094267" w:rsidRPr="002A2450">
        <w:rPr>
          <w:rFonts w:ascii="ITC Avant Garde" w:eastAsiaTheme="minorHAnsi" w:hAnsi="ITC Avant Garde" w:cstheme="minorBidi"/>
          <w:sz w:val="22"/>
          <w:szCs w:val="22"/>
          <w:lang w:eastAsia="en-US"/>
        </w:rPr>
        <w:t xml:space="preserve">para </w:t>
      </w:r>
      <w:r w:rsidRPr="002A2450">
        <w:rPr>
          <w:rFonts w:ascii="ITC Avant Garde" w:eastAsiaTheme="minorHAnsi" w:hAnsi="ITC Avant Garde" w:cstheme="minorBidi"/>
          <w:sz w:val="22"/>
          <w:szCs w:val="22"/>
          <w:lang w:eastAsia="en-US"/>
        </w:rPr>
        <w:t>considerar que la comercialización advertida como parte del contrato de distribución</w:t>
      </w:r>
      <w:r w:rsidR="00094267" w:rsidRPr="002A2450">
        <w:rPr>
          <w:rFonts w:ascii="ITC Avant Garde" w:eastAsiaTheme="minorHAnsi" w:hAnsi="ITC Avant Garde" w:cstheme="minorBidi"/>
          <w:sz w:val="22"/>
          <w:szCs w:val="22"/>
          <w:lang w:eastAsia="en-US"/>
        </w:rPr>
        <w:t>,</w:t>
      </w:r>
      <w:r w:rsidRPr="002A2450">
        <w:rPr>
          <w:rFonts w:ascii="ITC Avant Garde" w:eastAsiaTheme="minorHAnsi" w:hAnsi="ITC Avant Garde" w:cstheme="minorBidi"/>
          <w:sz w:val="22"/>
          <w:szCs w:val="22"/>
          <w:lang w:eastAsia="en-US"/>
        </w:rPr>
        <w:t xml:space="preserve"> </w:t>
      </w:r>
      <w:r w:rsidR="00094267" w:rsidRPr="002A2450">
        <w:rPr>
          <w:rFonts w:ascii="ITC Avant Garde" w:eastAsiaTheme="minorHAnsi" w:hAnsi="ITC Avant Garde" w:cstheme="minorBidi"/>
          <w:sz w:val="22"/>
          <w:szCs w:val="22"/>
          <w:lang w:eastAsia="en-US"/>
        </w:rPr>
        <w:t xml:space="preserve">es un elemento </w:t>
      </w:r>
      <w:r w:rsidRPr="002A2450">
        <w:rPr>
          <w:rFonts w:ascii="ITC Avant Garde" w:eastAsiaTheme="minorHAnsi" w:hAnsi="ITC Avant Garde" w:cstheme="minorBidi"/>
          <w:sz w:val="22"/>
          <w:szCs w:val="22"/>
          <w:lang w:eastAsia="en-US"/>
        </w:rPr>
        <w:t>que permite influir en la comercialización del servicio.</w:t>
      </w:r>
    </w:p>
    <w:p w14:paraId="748800DE" w14:textId="77777777" w:rsidR="00B35F13" w:rsidRDefault="009A3ED0" w:rsidP="00B35F13">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sidRPr="002A2450">
        <w:rPr>
          <w:rFonts w:ascii="ITC Avant Garde" w:eastAsiaTheme="minorHAnsi" w:hAnsi="ITC Avant Garde" w:cstheme="minorBidi"/>
          <w:sz w:val="22"/>
          <w:szCs w:val="22"/>
          <w:lang w:eastAsia="en-US"/>
        </w:rPr>
        <w:t xml:space="preserve">Es importante mencionar que en los autos del expediente en que se actúa no existe elemento alguno que desvirtúe lo anterior, ya que no existe evidencia alguna respecto de la cual se aprecie más allá de lo señalado que </w:t>
      </w:r>
      <w:r w:rsidRPr="002A2450">
        <w:rPr>
          <w:rFonts w:ascii="ITC Avant Garde" w:eastAsiaTheme="minorHAnsi" w:hAnsi="ITC Avant Garde" w:cstheme="minorBidi"/>
          <w:b/>
          <w:sz w:val="22"/>
          <w:szCs w:val="22"/>
          <w:lang w:eastAsia="en-US"/>
        </w:rPr>
        <w:t>“COFRESA”</w:t>
      </w:r>
      <w:r w:rsidRPr="002A2450">
        <w:rPr>
          <w:rFonts w:ascii="ITC Avant Garde" w:eastAsiaTheme="minorHAnsi" w:hAnsi="ITC Avant Garde" w:cstheme="minorBidi"/>
          <w:sz w:val="22"/>
          <w:szCs w:val="22"/>
          <w:lang w:eastAsia="en-US"/>
        </w:rPr>
        <w:t xml:space="preserve"> lleve a cabo alguna actividad operativa </w:t>
      </w:r>
      <w:r w:rsidR="00094267" w:rsidRPr="002A2450">
        <w:rPr>
          <w:rFonts w:ascii="ITC Avant Garde" w:eastAsiaTheme="minorHAnsi" w:hAnsi="ITC Avant Garde" w:cstheme="minorBidi"/>
          <w:sz w:val="22"/>
          <w:szCs w:val="22"/>
          <w:lang w:eastAsia="en-US"/>
        </w:rPr>
        <w:t xml:space="preserve">como parte de </w:t>
      </w:r>
      <w:r w:rsidRPr="002A2450">
        <w:rPr>
          <w:rFonts w:ascii="ITC Avant Garde" w:eastAsiaTheme="minorHAnsi" w:hAnsi="ITC Avant Garde" w:cstheme="minorBidi"/>
          <w:sz w:val="22"/>
          <w:szCs w:val="22"/>
          <w:lang w:eastAsia="en-US"/>
        </w:rPr>
        <w:t>la comercialización</w:t>
      </w:r>
      <w:r w:rsidR="00094267" w:rsidRPr="002A2450">
        <w:rPr>
          <w:rFonts w:ascii="ITC Avant Garde" w:eastAsiaTheme="minorHAnsi" w:hAnsi="ITC Avant Garde" w:cstheme="minorBidi"/>
          <w:sz w:val="22"/>
          <w:szCs w:val="22"/>
          <w:lang w:eastAsia="en-US"/>
        </w:rPr>
        <w:t>,</w:t>
      </w:r>
      <w:r w:rsidRPr="002A2450">
        <w:rPr>
          <w:rFonts w:ascii="ITC Avant Garde" w:eastAsiaTheme="minorHAnsi" w:hAnsi="ITC Avant Garde" w:cstheme="minorBidi"/>
          <w:sz w:val="22"/>
          <w:szCs w:val="22"/>
          <w:lang w:eastAsia="en-US"/>
        </w:rPr>
        <w:t xml:space="preserve"> así como que tampoco se advierta prueba alguna por parte de </w:t>
      </w:r>
      <w:r w:rsidRPr="002A2450">
        <w:rPr>
          <w:rFonts w:ascii="ITC Avant Garde" w:eastAsiaTheme="minorHAnsi" w:hAnsi="ITC Avant Garde" w:cstheme="minorBidi"/>
          <w:b/>
          <w:sz w:val="22"/>
          <w:szCs w:val="22"/>
          <w:lang w:eastAsia="en-US"/>
        </w:rPr>
        <w:t>“DISH MÉXICO”.</w:t>
      </w:r>
    </w:p>
    <w:p w14:paraId="3E919FBD" w14:textId="77777777" w:rsidR="00B35F13" w:rsidRDefault="009A3ED0"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 xml:space="preserve">Así las cosas contrario a lo que manifiesta </w:t>
      </w:r>
      <w:r w:rsidRPr="002A2450">
        <w:rPr>
          <w:rFonts w:ascii="ITC Avant Garde" w:eastAsiaTheme="minorHAnsi" w:hAnsi="ITC Avant Garde" w:cstheme="minorBidi"/>
          <w:b/>
          <w:sz w:val="22"/>
          <w:szCs w:val="22"/>
          <w:lang w:eastAsia="en-US"/>
        </w:rPr>
        <w:t>“TELMEX”</w:t>
      </w:r>
      <w:r w:rsidR="00094267" w:rsidRPr="002A2450">
        <w:rPr>
          <w:rFonts w:ascii="ITC Avant Garde" w:eastAsiaTheme="minorHAnsi" w:hAnsi="ITC Avant Garde" w:cstheme="minorBidi"/>
          <w:b/>
          <w:sz w:val="22"/>
          <w:szCs w:val="22"/>
          <w:lang w:eastAsia="en-US"/>
        </w:rPr>
        <w:t>,</w:t>
      </w:r>
      <w:r w:rsidRPr="002A2450">
        <w:rPr>
          <w:rFonts w:ascii="ITC Avant Garde" w:eastAsiaTheme="minorHAnsi" w:hAnsi="ITC Avant Garde" w:cstheme="minorBidi"/>
          <w:sz w:val="22"/>
          <w:szCs w:val="22"/>
          <w:lang w:eastAsia="en-US"/>
        </w:rPr>
        <w:t xml:space="preserve"> si existen elementos que permiten </w:t>
      </w:r>
      <w:r w:rsidR="00094267" w:rsidRPr="002A2450">
        <w:rPr>
          <w:rFonts w:ascii="ITC Avant Garde" w:eastAsiaTheme="minorHAnsi" w:hAnsi="ITC Avant Garde" w:cstheme="minorBidi"/>
          <w:sz w:val="22"/>
          <w:szCs w:val="22"/>
          <w:lang w:eastAsia="en-US"/>
        </w:rPr>
        <w:t xml:space="preserve">advertir con meridiana claridad </w:t>
      </w:r>
      <w:r w:rsidRPr="002A2450">
        <w:rPr>
          <w:rFonts w:ascii="ITC Avant Garde" w:eastAsiaTheme="minorHAnsi" w:hAnsi="ITC Avant Garde" w:cstheme="minorBidi"/>
          <w:sz w:val="22"/>
          <w:szCs w:val="22"/>
          <w:lang w:eastAsia="en-US"/>
        </w:rPr>
        <w:t>el interés en la comercialización del servicio</w:t>
      </w:r>
      <w:r w:rsidR="00EB0D05">
        <w:rPr>
          <w:rFonts w:ascii="ITC Avant Garde" w:eastAsiaTheme="minorHAnsi" w:hAnsi="ITC Avant Garde" w:cstheme="minorBidi"/>
          <w:sz w:val="22"/>
          <w:szCs w:val="22"/>
          <w:lang w:eastAsia="en-US"/>
        </w:rPr>
        <w:t xml:space="preserve"> de </w:t>
      </w:r>
      <w:r w:rsidR="00EB0D05">
        <w:rPr>
          <w:rFonts w:ascii="ITC Avant Garde" w:eastAsiaTheme="minorHAnsi" w:hAnsi="ITC Avant Garde" w:cstheme="minorBidi"/>
          <w:b/>
          <w:sz w:val="22"/>
          <w:szCs w:val="22"/>
          <w:lang w:eastAsia="en-US"/>
        </w:rPr>
        <w:t xml:space="preserve">DTH </w:t>
      </w:r>
      <w:r w:rsidRPr="002A2450">
        <w:rPr>
          <w:rFonts w:ascii="ITC Avant Garde" w:eastAsiaTheme="minorHAnsi" w:hAnsi="ITC Avant Garde" w:cstheme="minorBidi"/>
          <w:sz w:val="22"/>
          <w:szCs w:val="22"/>
          <w:lang w:eastAsia="en-US"/>
        </w:rPr>
        <w:t xml:space="preserve"> </w:t>
      </w:r>
      <w:r w:rsidR="00094267" w:rsidRPr="002A2450">
        <w:rPr>
          <w:rFonts w:ascii="ITC Avant Garde" w:eastAsiaTheme="minorHAnsi" w:hAnsi="ITC Avant Garde" w:cstheme="minorBidi"/>
          <w:sz w:val="22"/>
          <w:szCs w:val="22"/>
          <w:lang w:eastAsia="en-US"/>
        </w:rPr>
        <w:t xml:space="preserve">por parte de </w:t>
      </w:r>
      <w:r w:rsidR="00094267" w:rsidRPr="002A2450">
        <w:rPr>
          <w:rFonts w:ascii="ITC Avant Garde" w:eastAsiaTheme="minorHAnsi" w:hAnsi="ITC Avant Garde" w:cstheme="minorBidi"/>
          <w:b/>
          <w:sz w:val="22"/>
          <w:szCs w:val="22"/>
          <w:lang w:eastAsia="en-US"/>
        </w:rPr>
        <w:t xml:space="preserve">“TELMEX” </w:t>
      </w:r>
      <w:r w:rsidRPr="002A2450">
        <w:rPr>
          <w:rFonts w:ascii="ITC Avant Garde" w:eastAsiaTheme="minorHAnsi" w:hAnsi="ITC Avant Garde" w:cstheme="minorBidi"/>
          <w:sz w:val="22"/>
          <w:szCs w:val="22"/>
          <w:lang w:eastAsia="en-US"/>
        </w:rPr>
        <w:t xml:space="preserve">puesto que a mayor número de </w:t>
      </w:r>
      <w:r w:rsidR="00C0025C" w:rsidRPr="002A2450">
        <w:rPr>
          <w:rFonts w:ascii="ITC Avant Garde" w:eastAsiaTheme="minorHAnsi" w:hAnsi="ITC Avant Garde" w:cstheme="minorBidi"/>
          <w:sz w:val="22"/>
          <w:szCs w:val="22"/>
          <w:lang w:eastAsia="en-US"/>
        </w:rPr>
        <w:t>nuevos suscriptores en telefonía</w:t>
      </w:r>
      <w:r w:rsidR="00094267" w:rsidRPr="002A2450">
        <w:rPr>
          <w:rFonts w:ascii="ITC Avant Garde" w:eastAsiaTheme="minorHAnsi" w:hAnsi="ITC Avant Garde" w:cstheme="minorBidi"/>
          <w:sz w:val="22"/>
          <w:szCs w:val="22"/>
          <w:lang w:eastAsia="en-US"/>
        </w:rPr>
        <w:t xml:space="preserve"> residencial, </w:t>
      </w:r>
      <w:r w:rsidRPr="002A2450">
        <w:rPr>
          <w:rFonts w:ascii="ITC Avant Garde" w:eastAsiaTheme="minorHAnsi" w:hAnsi="ITC Avant Garde" w:cstheme="minorBidi"/>
          <w:sz w:val="22"/>
          <w:szCs w:val="22"/>
          <w:lang w:eastAsia="en-US"/>
        </w:rPr>
        <w:t xml:space="preserve">dicha concesionaria </w:t>
      </w:r>
      <w:r w:rsidR="00EB0D05">
        <w:rPr>
          <w:rFonts w:ascii="ITC Avant Garde" w:eastAsiaTheme="minorHAnsi" w:hAnsi="ITC Avant Garde" w:cstheme="minorBidi"/>
          <w:sz w:val="22"/>
          <w:szCs w:val="22"/>
          <w:lang w:eastAsia="en-US"/>
        </w:rPr>
        <w:t xml:space="preserve">tendría la posibilidad de ofertar el servicio de televisión satelital y en consecuencia se </w:t>
      </w:r>
      <w:r w:rsidRPr="002A2450">
        <w:rPr>
          <w:rFonts w:ascii="ITC Avant Garde" w:eastAsiaTheme="minorHAnsi" w:hAnsi="ITC Avant Garde" w:cstheme="minorBidi"/>
          <w:sz w:val="22"/>
          <w:szCs w:val="22"/>
          <w:lang w:eastAsia="en-US"/>
        </w:rPr>
        <w:t>cobraría una comisión que se reflejaría en la ganancia obtenida por el servicio de facturación y cobranza y el arrendamiento de equipos.</w:t>
      </w:r>
    </w:p>
    <w:p w14:paraId="5B4CDC8A" w14:textId="77777777" w:rsidR="00B35F13" w:rsidRDefault="009A3ED0"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sz w:val="22"/>
          <w:szCs w:val="22"/>
          <w:lang w:eastAsia="en-US"/>
        </w:rPr>
        <w:t>Por tanto, es indudable que s</w:t>
      </w:r>
      <w:r w:rsidR="00094267" w:rsidRPr="002A2450">
        <w:rPr>
          <w:rFonts w:ascii="ITC Avant Garde" w:eastAsiaTheme="minorHAnsi" w:hAnsi="ITC Avant Garde" w:cstheme="minorBidi"/>
          <w:sz w:val="22"/>
          <w:szCs w:val="22"/>
          <w:lang w:eastAsia="en-US"/>
        </w:rPr>
        <w:t>í</w:t>
      </w:r>
      <w:r w:rsidRPr="002A2450">
        <w:rPr>
          <w:rFonts w:ascii="ITC Avant Garde" w:eastAsiaTheme="minorHAnsi" w:hAnsi="ITC Avant Garde" w:cstheme="minorBidi"/>
          <w:sz w:val="22"/>
          <w:szCs w:val="22"/>
          <w:lang w:eastAsia="en-US"/>
        </w:rPr>
        <w:t xml:space="preserve"> existe una correlación entre usuarios nuevos y la ganancia percibida por parte de </w:t>
      </w:r>
      <w:r w:rsidRPr="002A2450">
        <w:rPr>
          <w:rFonts w:ascii="ITC Avant Garde" w:eastAsiaTheme="minorHAnsi" w:hAnsi="ITC Avant Garde" w:cstheme="minorBidi"/>
          <w:b/>
          <w:sz w:val="22"/>
          <w:szCs w:val="22"/>
          <w:lang w:eastAsia="en-US"/>
        </w:rPr>
        <w:t>“TELMEX”</w:t>
      </w:r>
      <w:r w:rsidR="00094267" w:rsidRPr="002A2450">
        <w:rPr>
          <w:rFonts w:ascii="ITC Avant Garde" w:eastAsiaTheme="minorHAnsi" w:hAnsi="ITC Avant Garde" w:cstheme="minorBidi"/>
          <w:b/>
          <w:sz w:val="22"/>
          <w:szCs w:val="22"/>
          <w:lang w:eastAsia="en-US"/>
        </w:rPr>
        <w:t xml:space="preserve">, </w:t>
      </w:r>
      <w:r w:rsidR="00094267" w:rsidRPr="002A2450">
        <w:rPr>
          <w:rFonts w:ascii="ITC Avant Garde" w:eastAsiaTheme="minorHAnsi" w:hAnsi="ITC Avant Garde" w:cstheme="minorBidi"/>
          <w:sz w:val="22"/>
          <w:szCs w:val="22"/>
          <w:lang w:eastAsia="en-US"/>
        </w:rPr>
        <w:t>con motivo de</w:t>
      </w:r>
      <w:r w:rsidRPr="002A2450">
        <w:rPr>
          <w:rFonts w:ascii="ITC Avant Garde" w:eastAsiaTheme="minorHAnsi" w:hAnsi="ITC Avant Garde" w:cstheme="minorBidi"/>
          <w:b/>
          <w:sz w:val="22"/>
          <w:szCs w:val="22"/>
          <w:lang w:eastAsia="en-US"/>
        </w:rPr>
        <w:t xml:space="preserve"> </w:t>
      </w:r>
      <w:r w:rsidRPr="002A2450">
        <w:rPr>
          <w:rFonts w:ascii="ITC Avant Garde" w:eastAsiaTheme="minorHAnsi" w:hAnsi="ITC Avant Garde" w:cstheme="minorBidi"/>
          <w:sz w:val="22"/>
          <w:szCs w:val="22"/>
          <w:lang w:eastAsia="en-US"/>
        </w:rPr>
        <w:t>la injerencia en l</w:t>
      </w:r>
      <w:r w:rsidR="00250163" w:rsidRPr="002A2450">
        <w:rPr>
          <w:rFonts w:ascii="ITC Avant Garde" w:eastAsiaTheme="minorHAnsi" w:hAnsi="ITC Avant Garde" w:cstheme="minorBidi"/>
          <w:sz w:val="22"/>
          <w:szCs w:val="22"/>
          <w:lang w:eastAsia="en-US"/>
        </w:rPr>
        <w:t>a comercialización del servicio.</w:t>
      </w:r>
    </w:p>
    <w:p w14:paraId="03489C75" w14:textId="77777777" w:rsidR="00B35F13" w:rsidRDefault="00250163" w:rsidP="00B35F13">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sidRPr="002A2450">
        <w:rPr>
          <w:rFonts w:ascii="ITC Avant Garde" w:eastAsiaTheme="minorHAnsi" w:hAnsi="ITC Avant Garde" w:cstheme="minorBidi"/>
          <w:sz w:val="22"/>
          <w:szCs w:val="22"/>
          <w:lang w:eastAsia="en-US"/>
        </w:rPr>
        <w:lastRenderedPageBreak/>
        <w:t xml:space="preserve">Lo anterior, máxime que el contenido promocional y la elección de los canales de </w:t>
      </w:r>
      <w:r w:rsidR="00094267" w:rsidRPr="002A2450">
        <w:rPr>
          <w:rFonts w:ascii="ITC Avant Garde" w:eastAsiaTheme="minorHAnsi" w:hAnsi="ITC Avant Garde" w:cstheme="minorBidi"/>
          <w:sz w:val="22"/>
          <w:szCs w:val="22"/>
          <w:lang w:eastAsia="en-US"/>
        </w:rPr>
        <w:t>distribución</w:t>
      </w:r>
      <w:r w:rsidRPr="002A2450">
        <w:rPr>
          <w:rFonts w:ascii="ITC Avant Garde" w:eastAsiaTheme="minorHAnsi" w:hAnsi="ITC Avant Garde" w:cstheme="minorBidi"/>
          <w:sz w:val="22"/>
          <w:szCs w:val="22"/>
          <w:lang w:eastAsia="en-US"/>
        </w:rPr>
        <w:t xml:space="preserve"> no genera una cuota o contraprestación entre </w:t>
      </w:r>
      <w:r w:rsidRPr="002A2450">
        <w:rPr>
          <w:rFonts w:ascii="ITC Avant Garde" w:eastAsiaTheme="minorHAnsi" w:hAnsi="ITC Avant Garde" w:cstheme="minorBidi"/>
          <w:b/>
          <w:sz w:val="22"/>
          <w:szCs w:val="22"/>
          <w:lang w:eastAsia="en-US"/>
        </w:rPr>
        <w:t>“COFRESA”/”DISH MÉXICO”</w:t>
      </w:r>
      <w:r w:rsidRPr="002A2450">
        <w:rPr>
          <w:rFonts w:ascii="ITC Avant Garde" w:eastAsiaTheme="minorHAnsi" w:hAnsi="ITC Avant Garde"/>
          <w:sz w:val="22"/>
          <w:szCs w:val="22"/>
        </w:rPr>
        <w:t xml:space="preserve"> y </w:t>
      </w:r>
      <w:r w:rsidRPr="002A2450">
        <w:rPr>
          <w:rFonts w:ascii="ITC Avant Garde" w:eastAsiaTheme="minorHAnsi" w:hAnsi="ITC Avant Garde" w:cstheme="minorBidi"/>
          <w:b/>
          <w:sz w:val="22"/>
          <w:szCs w:val="22"/>
          <w:lang w:eastAsia="en-US"/>
        </w:rPr>
        <w:t>“TELMEX”/ “TENINVER”</w:t>
      </w:r>
      <w:r w:rsidRPr="002A2450">
        <w:rPr>
          <w:rFonts w:ascii="ITC Avant Garde" w:eastAsiaTheme="minorHAnsi" w:hAnsi="ITC Avant Garde" w:cstheme="minorBidi"/>
          <w:sz w:val="22"/>
          <w:szCs w:val="22"/>
          <w:lang w:eastAsia="en-US"/>
        </w:rPr>
        <w:t xml:space="preserve">, puesto que la única contraprestación es una cuota correspondiente a </w:t>
      </w:r>
      <w:r w:rsidR="00ED447A" w:rsidRPr="0047339C">
        <w:rPr>
          <w:rFonts w:ascii="ITC Avant Garde" w:eastAsiaTheme="majorEastAsia" w:hAnsi="ITC Avant Garde" w:cstheme="majorBidi"/>
          <w:b/>
          <w:color w:val="0000FF"/>
          <w:szCs w:val="32"/>
        </w:rPr>
        <w:t>“CONFIDENCIAL POR LEY”</w:t>
      </w:r>
      <w:r w:rsidRPr="002A2450">
        <w:rPr>
          <w:rFonts w:ascii="ITC Avant Garde" w:eastAsiaTheme="minorHAnsi" w:hAnsi="ITC Avant Garde" w:cstheme="minorBidi"/>
          <w:sz w:val="22"/>
          <w:szCs w:val="22"/>
          <w:lang w:eastAsia="en-US"/>
        </w:rPr>
        <w:t xml:space="preserve"> por cada nuevo suscriptor que </w:t>
      </w:r>
      <w:r w:rsidRPr="002A2450">
        <w:rPr>
          <w:rFonts w:ascii="ITC Avant Garde" w:eastAsiaTheme="minorHAnsi" w:hAnsi="ITC Avant Garde" w:cstheme="minorBidi"/>
          <w:b/>
          <w:sz w:val="22"/>
          <w:szCs w:val="22"/>
          <w:lang w:eastAsia="en-US"/>
        </w:rPr>
        <w:t xml:space="preserve">“TELMEX” </w:t>
      </w:r>
      <w:r w:rsidRPr="002A2450">
        <w:rPr>
          <w:rFonts w:ascii="ITC Avant Garde" w:eastAsiaTheme="minorHAnsi" w:hAnsi="ITC Avant Garde" w:cstheme="minorBidi"/>
          <w:sz w:val="22"/>
          <w:szCs w:val="22"/>
          <w:lang w:eastAsia="en-US"/>
        </w:rPr>
        <w:t xml:space="preserve">aporte a </w:t>
      </w:r>
      <w:r w:rsidRPr="002A2450">
        <w:rPr>
          <w:rFonts w:ascii="ITC Avant Garde" w:eastAsiaTheme="minorHAnsi" w:hAnsi="ITC Avant Garde" w:cstheme="minorBidi"/>
          <w:b/>
          <w:sz w:val="22"/>
          <w:szCs w:val="22"/>
          <w:lang w:eastAsia="en-US"/>
        </w:rPr>
        <w:t>“COFRESA”.</w:t>
      </w:r>
    </w:p>
    <w:p w14:paraId="07C4BB57" w14:textId="77777777" w:rsidR="00B35F13" w:rsidRDefault="00250163" w:rsidP="00B35F13">
      <w:pPr>
        <w:pStyle w:val="NormalWeb"/>
        <w:spacing w:before="240" w:beforeAutospacing="0" w:after="160" w:afterAutospacing="0" w:line="360" w:lineRule="auto"/>
        <w:jc w:val="both"/>
        <w:rPr>
          <w:rFonts w:ascii="ITC Avant Garde" w:eastAsiaTheme="minorHAnsi" w:hAnsi="ITC Avant Garde"/>
          <w:sz w:val="22"/>
          <w:szCs w:val="22"/>
        </w:rPr>
      </w:pPr>
      <w:r w:rsidRPr="002A2450">
        <w:rPr>
          <w:rFonts w:ascii="ITC Avant Garde" w:eastAsiaTheme="minorHAnsi" w:hAnsi="ITC Avant Garde" w:cstheme="minorBidi"/>
          <w:sz w:val="22"/>
          <w:szCs w:val="22"/>
          <w:lang w:eastAsia="en-US"/>
        </w:rPr>
        <w:t xml:space="preserve">Así las cosas, se estima la existencia de una injerencia en la comercialización del servicio por parte de </w:t>
      </w:r>
      <w:r w:rsidRPr="002A2450">
        <w:rPr>
          <w:rFonts w:ascii="ITC Avant Garde" w:eastAsiaTheme="minorHAnsi" w:hAnsi="ITC Avant Garde" w:cstheme="minorBidi"/>
          <w:b/>
          <w:sz w:val="22"/>
          <w:szCs w:val="22"/>
          <w:lang w:eastAsia="en-US"/>
        </w:rPr>
        <w:t>“TELMEX”</w:t>
      </w:r>
      <w:r w:rsidR="0078076B" w:rsidRPr="002A2450">
        <w:rPr>
          <w:rFonts w:ascii="ITC Avant Garde" w:eastAsiaTheme="minorHAnsi" w:hAnsi="ITC Avant Garde" w:cstheme="minorBidi"/>
          <w:b/>
          <w:sz w:val="22"/>
          <w:szCs w:val="22"/>
          <w:lang w:eastAsia="en-US"/>
        </w:rPr>
        <w:t xml:space="preserve">, </w:t>
      </w:r>
      <w:r w:rsidR="00094267" w:rsidRPr="002A2450">
        <w:rPr>
          <w:rFonts w:ascii="ITC Avant Garde" w:eastAsiaTheme="minorHAnsi" w:hAnsi="ITC Avant Garde" w:cstheme="minorBidi"/>
          <w:sz w:val="22"/>
          <w:szCs w:val="22"/>
          <w:lang w:eastAsia="en-US"/>
        </w:rPr>
        <w:t>y en tal sentido resultan insuficientes</w:t>
      </w:r>
      <w:r w:rsidR="00094267" w:rsidRPr="002A2450">
        <w:rPr>
          <w:rFonts w:ascii="ITC Avant Garde" w:eastAsiaTheme="minorHAnsi" w:hAnsi="ITC Avant Garde" w:cstheme="minorBidi"/>
          <w:b/>
          <w:sz w:val="22"/>
          <w:szCs w:val="22"/>
          <w:lang w:eastAsia="en-US"/>
        </w:rPr>
        <w:t xml:space="preserve"> </w:t>
      </w:r>
      <w:r w:rsidRPr="002A2450">
        <w:rPr>
          <w:rFonts w:ascii="ITC Avant Garde" w:eastAsiaTheme="minorHAnsi" w:hAnsi="ITC Avant Garde" w:cstheme="minorBidi"/>
          <w:sz w:val="22"/>
          <w:szCs w:val="22"/>
          <w:lang w:eastAsia="en-US"/>
        </w:rPr>
        <w:t>los argumentos vertidos para desvirtuar la conducta materia del presente procedimiento.</w:t>
      </w:r>
    </w:p>
    <w:p w14:paraId="235943A8" w14:textId="7F1E5A88" w:rsidR="00B35F13" w:rsidRPr="00CE1EA8" w:rsidRDefault="00CE1EA8" w:rsidP="00CE1EA8">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sidRPr="00CE1EA8">
        <w:rPr>
          <w:rFonts w:ascii="ITC Avant Garde" w:eastAsiaTheme="minorHAnsi" w:hAnsi="ITC Avant Garde" w:cstheme="minorBidi"/>
          <w:b/>
          <w:sz w:val="22"/>
          <w:szCs w:val="22"/>
          <w:lang w:eastAsia="en-US"/>
        </w:rPr>
        <w:t xml:space="preserve">A. </w:t>
      </w:r>
      <w:r w:rsidR="00F441E2" w:rsidRPr="00CE1EA8">
        <w:rPr>
          <w:rFonts w:ascii="ITC Avant Garde" w:eastAsiaTheme="minorHAnsi" w:hAnsi="ITC Avant Garde" w:cstheme="minorBidi"/>
          <w:b/>
          <w:sz w:val="22"/>
          <w:szCs w:val="22"/>
          <w:lang w:eastAsia="en-US"/>
        </w:rPr>
        <w:t>DE LA TERMINACIÓN DE LA VIGENCIA DE LOS CONTRATOS DE CONSECUENCIAS Y OPCIÓN</w:t>
      </w:r>
    </w:p>
    <w:p w14:paraId="3BA0E88C" w14:textId="77777777" w:rsidR="00B35F13" w:rsidRDefault="0078076B" w:rsidP="00B35F13">
      <w:pPr>
        <w:pStyle w:val="NormalWeb"/>
        <w:spacing w:before="240" w:beforeAutospacing="0" w:after="160" w:afterAutospacing="0" w:line="360" w:lineRule="auto"/>
        <w:jc w:val="both"/>
        <w:rPr>
          <w:rFonts w:ascii="ITC Avant Garde" w:eastAsiaTheme="minorHAnsi" w:hAnsi="ITC Avant Garde" w:cstheme="minorBidi"/>
          <w:sz w:val="22"/>
          <w:szCs w:val="22"/>
          <w:lang w:eastAsia="en-US"/>
        </w:rPr>
      </w:pPr>
      <w:r w:rsidRPr="002A2450">
        <w:rPr>
          <w:rFonts w:ascii="ITC Avant Garde" w:eastAsiaTheme="minorHAnsi" w:hAnsi="ITC Avant Garde" w:cstheme="minorBidi"/>
          <w:b/>
          <w:sz w:val="22"/>
          <w:szCs w:val="22"/>
          <w:lang w:eastAsia="en-US"/>
        </w:rPr>
        <w:t>“TELMEX”</w:t>
      </w:r>
      <w:r w:rsidRPr="002A2450">
        <w:rPr>
          <w:rFonts w:ascii="ITC Avant Garde" w:eastAsiaTheme="minorHAnsi" w:hAnsi="ITC Avant Garde" w:cstheme="minorBidi"/>
          <w:sz w:val="22"/>
          <w:szCs w:val="22"/>
          <w:lang w:eastAsia="en-US"/>
        </w:rPr>
        <w:t xml:space="preserve"> continúa manifestando</w:t>
      </w:r>
      <w:r w:rsidR="00E93CC5" w:rsidRPr="002A2450">
        <w:rPr>
          <w:rFonts w:ascii="ITC Avant Garde" w:eastAsiaTheme="minorHAnsi" w:hAnsi="ITC Avant Garde" w:cstheme="minorBidi"/>
          <w:sz w:val="22"/>
          <w:szCs w:val="22"/>
          <w:lang w:eastAsia="en-US"/>
        </w:rPr>
        <w:t xml:space="preserve"> en su escrito presentado el veintiocho de septiembre de dos mil quince </w:t>
      </w:r>
      <w:r w:rsidRPr="002A2450">
        <w:rPr>
          <w:rFonts w:ascii="ITC Avant Garde" w:eastAsiaTheme="minorHAnsi" w:hAnsi="ITC Avant Garde" w:cstheme="minorBidi"/>
          <w:sz w:val="22"/>
          <w:szCs w:val="22"/>
          <w:lang w:eastAsia="en-US"/>
        </w:rPr>
        <w:t>lo siguiente:</w:t>
      </w:r>
    </w:p>
    <w:p w14:paraId="2DCD5020" w14:textId="77777777" w:rsidR="00B35F13" w:rsidRDefault="00831D47" w:rsidP="00B35F13">
      <w:pPr>
        <w:spacing w:before="240" w:line="360" w:lineRule="auto"/>
        <w:ind w:left="567" w:right="567"/>
        <w:jc w:val="center"/>
        <w:rPr>
          <w:rFonts w:ascii="ITC Avant Garde" w:hAnsi="ITC Avant Garde"/>
          <w:b/>
          <w:i/>
        </w:rPr>
      </w:pPr>
      <w:r w:rsidRPr="002A2450">
        <w:rPr>
          <w:rFonts w:ascii="ITC Avant Garde" w:hAnsi="ITC Avant Garde"/>
          <w:b/>
          <w:i/>
        </w:rPr>
        <w:t>CONTROL INDIRECTO</w:t>
      </w:r>
    </w:p>
    <w:p w14:paraId="49D081D3"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Los contratos de consecuencias y opción sobre los que basa sus afirmaciones fueron terminados el 8 de agosto de dos mil catorce, razón más que suficiente para desestimar las imputaciones realizadas.</w:t>
      </w:r>
    </w:p>
    <w:p w14:paraId="36B07875"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El convenio entre socios nunca fue suscrito, por lo cual no es dable hacer alusiones a un documento que nunca nació a la vida jurídica.</w:t>
      </w:r>
    </w:p>
    <w:p w14:paraId="34EAA0C7"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En cuanto a las transcripciones no se demuestra lo que se pretende probar ya que se trata de cláusulas comunes que se incluyen en cualquier contrato.</w:t>
      </w:r>
    </w:p>
    <w:p w14:paraId="38B43704" w14:textId="77777777" w:rsidR="00A80E02" w:rsidRDefault="00831D47" w:rsidP="00B35F13">
      <w:pPr>
        <w:spacing w:before="240" w:line="360" w:lineRule="auto"/>
        <w:ind w:left="567" w:right="567"/>
        <w:jc w:val="both"/>
        <w:rPr>
          <w:rFonts w:ascii="ITC Avant Garde" w:hAnsi="ITC Avant Garde"/>
          <w:i/>
        </w:rPr>
        <w:sectPr w:rsidR="00A80E02" w:rsidSect="009F3771">
          <w:headerReference w:type="default" r:id="rId53"/>
          <w:pgSz w:w="12240" w:h="15840"/>
          <w:pgMar w:top="1985" w:right="1701" w:bottom="1418" w:left="1701" w:header="709" w:footer="709" w:gutter="0"/>
          <w:cols w:space="708"/>
          <w:docGrid w:linePitch="360"/>
        </w:sectPr>
      </w:pPr>
      <w:r w:rsidRPr="002A2450">
        <w:rPr>
          <w:rFonts w:ascii="ITC Avant Garde" w:hAnsi="ITC Avant Garde"/>
          <w:i/>
        </w:rPr>
        <w:t xml:space="preserve">Se hace mención a la cláusula de no competencia en el contrato de consecuencias, pero es omisa en aclarar que el convenio terminó, pero </w:t>
      </w:r>
    </w:p>
    <w:p w14:paraId="7072888D" w14:textId="255B4008" w:rsidR="00B35F13" w:rsidRDefault="00831D47" w:rsidP="00B35F13">
      <w:pPr>
        <w:spacing w:before="240" w:line="360" w:lineRule="auto"/>
        <w:ind w:left="567" w:right="567"/>
        <w:jc w:val="both"/>
        <w:rPr>
          <w:rFonts w:ascii="ITC Avant Garde" w:hAnsi="ITC Avant Garde"/>
          <w:i/>
        </w:rPr>
      </w:pPr>
      <w:proofErr w:type="gramStart"/>
      <w:r w:rsidRPr="002A2450">
        <w:rPr>
          <w:rFonts w:ascii="ITC Avant Garde" w:hAnsi="ITC Avant Garde"/>
          <w:i/>
        </w:rPr>
        <w:lastRenderedPageBreak/>
        <w:t>además</w:t>
      </w:r>
      <w:proofErr w:type="gramEnd"/>
      <w:r w:rsidRPr="002A2450">
        <w:rPr>
          <w:rFonts w:ascii="ITC Avant Garde" w:hAnsi="ITC Avant Garde"/>
          <w:i/>
        </w:rPr>
        <w:t xml:space="preserve"> es omisa en aclarar que esta obligación se refería a la Fase II de dicho contrato.</w:t>
      </w:r>
    </w:p>
    <w:p w14:paraId="55D82246"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Dicha fase viene a corroborar lo que </w:t>
      </w:r>
      <w:r w:rsidR="005B601B" w:rsidRPr="002A2450">
        <w:rPr>
          <w:rFonts w:ascii="ITC Avant Garde" w:hAnsi="ITC Avant Garde"/>
          <w:b/>
          <w:i/>
        </w:rPr>
        <w:t>“TELMEX”</w:t>
      </w:r>
      <w:r w:rsidRPr="002A2450">
        <w:rPr>
          <w:rFonts w:ascii="ITC Avant Garde" w:hAnsi="ITC Avant Garde"/>
          <w:i/>
        </w:rPr>
        <w:t xml:space="preserve"> sostiene, que las relaciones existentes siempre se han apegado a derecho, sujeto al cumplimiento de condiciones y que al no haberse materializado, se decidió dar por terminado.</w:t>
      </w:r>
    </w:p>
    <w:p w14:paraId="4233D41D"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Ahora bien, en las cartas </w:t>
      </w:r>
      <w:r w:rsidR="00094267" w:rsidRPr="002A2450">
        <w:rPr>
          <w:rFonts w:ascii="ITC Avant Garde" w:hAnsi="ITC Avant Garde"/>
          <w:i/>
        </w:rPr>
        <w:t xml:space="preserve">que </w:t>
      </w:r>
      <w:r w:rsidRPr="002A2450">
        <w:rPr>
          <w:rFonts w:ascii="ITC Avant Garde" w:hAnsi="ITC Avant Garde"/>
          <w:i/>
        </w:rPr>
        <w:t>se intercambiaron entre las partes con la única finalidad de garantizar ciertos derechos futuros que estaban limitados a que las autoridades competentes dieran las autorizaciones correspondientes. Se hacía con la finalidad de establecer que ninguno de los eventos en ellas descritos constituía la materialización de alguno de los eventos especificados en el contrato de consecuencias.</w:t>
      </w:r>
    </w:p>
    <w:p w14:paraId="68520EAA"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 xml:space="preserve">La autoridad es omisa en hacer mención que la carta de 30 de mayo de 2009 se dejó claro que el arrendamiento de los </w:t>
      </w:r>
      <w:r w:rsidR="00DB48C0">
        <w:rPr>
          <w:rFonts w:ascii="ITC Avant Garde" w:hAnsi="ITC Avant Garde"/>
          <w:i/>
        </w:rPr>
        <w:t>Kits</w:t>
      </w:r>
      <w:r w:rsidRPr="002A2450">
        <w:rPr>
          <w:rFonts w:ascii="ITC Avant Garde" w:hAnsi="ITC Avant Garde"/>
          <w:i/>
        </w:rPr>
        <w:t xml:space="preserve"> establece el verdadero alcance del arrendamiento y deja claro que en ningún momento se trata de una inversión.</w:t>
      </w:r>
    </w:p>
    <w:p w14:paraId="1B8BB190" w14:textId="77777777" w:rsidR="00B35F13" w:rsidRDefault="00831D47" w:rsidP="00B35F13">
      <w:pPr>
        <w:spacing w:before="240" w:line="360" w:lineRule="auto"/>
        <w:ind w:left="567" w:right="567"/>
        <w:jc w:val="both"/>
        <w:rPr>
          <w:rFonts w:ascii="ITC Avant Garde" w:hAnsi="ITC Avant Garde"/>
          <w:i/>
        </w:rPr>
      </w:pPr>
      <w:r w:rsidRPr="002A2450">
        <w:rPr>
          <w:rFonts w:ascii="ITC Avant Garde" w:hAnsi="ITC Avant Garde"/>
          <w:i/>
        </w:rPr>
        <w:t>De la transcripción se observa claramente que contrario a lo afirmado por la Unidad de Cumplimiento, el contrato de arrendamiento es igual al que firmaría cualquier empresa en el curso de sus negocios.</w:t>
      </w:r>
    </w:p>
    <w:p w14:paraId="5DD1A312" w14:textId="77777777" w:rsidR="00B35F13" w:rsidRDefault="00E93CC5" w:rsidP="00B35F13">
      <w:pPr>
        <w:spacing w:before="240" w:line="360" w:lineRule="auto"/>
        <w:jc w:val="both"/>
        <w:rPr>
          <w:rFonts w:ascii="ITC Avant Garde" w:hAnsi="ITC Avant Garde"/>
        </w:rPr>
      </w:pPr>
      <w:r w:rsidRPr="002A2450">
        <w:rPr>
          <w:rFonts w:ascii="ITC Avant Garde" w:hAnsi="ITC Avant Garde"/>
        </w:rPr>
        <w:t xml:space="preserve">Al respecto, debe señalarse que las manifestaciones realizadas por </w:t>
      </w:r>
      <w:r w:rsidRPr="002A2450">
        <w:rPr>
          <w:rFonts w:ascii="ITC Avant Garde" w:hAnsi="ITC Avant Garde"/>
          <w:b/>
        </w:rPr>
        <w:t>“TELMEX”</w:t>
      </w:r>
      <w:r w:rsidRPr="002A2450">
        <w:rPr>
          <w:rFonts w:ascii="ITC Avant Garde" w:hAnsi="ITC Avant Garde"/>
        </w:rPr>
        <w:t xml:space="preserve"> resultan insuficientes en virtud de las siguientes consideraciones:</w:t>
      </w:r>
    </w:p>
    <w:p w14:paraId="4E3386F9" w14:textId="5FB9A863" w:rsidR="00A80E02" w:rsidRDefault="00E93CC5" w:rsidP="00B35F13">
      <w:pPr>
        <w:spacing w:before="240" w:line="360" w:lineRule="auto"/>
        <w:jc w:val="both"/>
        <w:rPr>
          <w:rFonts w:ascii="ITC Avant Garde" w:hAnsi="ITC Avant Garde"/>
        </w:rPr>
      </w:pPr>
      <w:r w:rsidRPr="002A2450">
        <w:rPr>
          <w:rFonts w:ascii="ITC Avant Garde" w:hAnsi="ITC Avant Garde"/>
        </w:rPr>
        <w:t xml:space="preserve">De acuerdo con el acuerdo de inicio del procedimiento administrativo de imposición de sanción, esta autoridad consideró como indicios del control que guarda </w:t>
      </w:r>
      <w:r w:rsidRPr="002A2450">
        <w:rPr>
          <w:rFonts w:ascii="ITC Avant Garde" w:hAnsi="ITC Avant Garde"/>
          <w:b/>
        </w:rPr>
        <w:t>“TELMEX”</w:t>
      </w:r>
      <w:r w:rsidRPr="002A2450">
        <w:rPr>
          <w:rFonts w:ascii="ITC Avant Garde" w:hAnsi="ITC Avant Garde"/>
        </w:rPr>
        <w:t xml:space="preserve"> respecto del negocio </w:t>
      </w:r>
      <w:r w:rsidRPr="002A2450">
        <w:rPr>
          <w:rFonts w:ascii="ITC Avant Garde" w:hAnsi="ITC Avant Garde"/>
          <w:b/>
        </w:rPr>
        <w:t>“DISH”</w:t>
      </w:r>
      <w:r w:rsidRPr="002A2450">
        <w:rPr>
          <w:rFonts w:ascii="ITC Avant Garde" w:hAnsi="ITC Avant Garde"/>
        </w:rPr>
        <w:t xml:space="preserve"> lo</w:t>
      </w:r>
      <w:r w:rsidR="00094267" w:rsidRPr="002A2450">
        <w:rPr>
          <w:rFonts w:ascii="ITC Avant Garde" w:hAnsi="ITC Avant Garde"/>
        </w:rPr>
        <w:t>s</w:t>
      </w:r>
      <w:r w:rsidRPr="002A2450">
        <w:rPr>
          <w:rFonts w:ascii="ITC Avant Garde" w:hAnsi="ITC Avant Garde"/>
        </w:rPr>
        <w:t xml:space="preserve"> siguiente</w:t>
      </w:r>
      <w:r w:rsidR="00094267" w:rsidRPr="002A2450">
        <w:rPr>
          <w:rFonts w:ascii="ITC Avant Garde" w:hAnsi="ITC Avant Garde"/>
        </w:rPr>
        <w:t>s</w:t>
      </w:r>
      <w:r w:rsidRPr="002A2450">
        <w:rPr>
          <w:rFonts w:ascii="ITC Avant Garde" w:hAnsi="ITC Avant Garde"/>
        </w:rPr>
        <w:t>:</w:t>
      </w:r>
    </w:p>
    <w:p w14:paraId="25F343A2" w14:textId="77777777" w:rsidR="00A80E02" w:rsidRDefault="00E93CC5" w:rsidP="007E623E">
      <w:pPr>
        <w:pStyle w:val="Prrafodelista"/>
        <w:numPr>
          <w:ilvl w:val="0"/>
          <w:numId w:val="28"/>
        </w:numPr>
        <w:spacing w:before="240" w:line="360" w:lineRule="auto"/>
        <w:jc w:val="both"/>
        <w:rPr>
          <w:rFonts w:ascii="ITC Avant Garde" w:hAnsi="ITC Avant Garde"/>
        </w:rPr>
        <w:sectPr w:rsidR="00A80E02" w:rsidSect="009F3771">
          <w:headerReference w:type="default" r:id="rId54"/>
          <w:pgSz w:w="12240" w:h="15840"/>
          <w:pgMar w:top="1985" w:right="1701" w:bottom="1418" w:left="1701" w:header="709" w:footer="709" w:gutter="0"/>
          <w:cols w:space="708"/>
          <w:docGrid w:linePitch="360"/>
        </w:sectPr>
      </w:pPr>
      <w:r w:rsidRPr="002A2450">
        <w:rPr>
          <w:rFonts w:ascii="ITC Avant Garde" w:hAnsi="ITC Avant Garde"/>
        </w:rPr>
        <w:t xml:space="preserve">Del contrato de consecuencias, el negocio competitivo, el cual es entendido como facilitar de cualquier forma al menudeo el servicio </w:t>
      </w:r>
      <w:r w:rsidR="000A68C4" w:rsidRPr="002A2450">
        <w:rPr>
          <w:rFonts w:ascii="ITC Avant Garde" w:hAnsi="ITC Avant Garde"/>
          <w:b/>
        </w:rPr>
        <w:t>“</w:t>
      </w:r>
      <w:r w:rsidRPr="002A2450">
        <w:rPr>
          <w:rFonts w:ascii="ITC Avant Garde" w:hAnsi="ITC Avant Garde"/>
          <w:b/>
        </w:rPr>
        <w:t>DTH</w:t>
      </w:r>
      <w:r w:rsidR="000A68C4" w:rsidRPr="002A2450">
        <w:rPr>
          <w:rFonts w:ascii="ITC Avant Garde" w:hAnsi="ITC Avant Garde"/>
          <w:b/>
        </w:rPr>
        <w:t>”</w:t>
      </w:r>
      <w:r w:rsidRPr="002A2450">
        <w:rPr>
          <w:rFonts w:ascii="ITC Avant Garde" w:hAnsi="ITC Avant Garde"/>
        </w:rPr>
        <w:t xml:space="preserve"> </w:t>
      </w:r>
    </w:p>
    <w:p w14:paraId="5ACCD7D0" w14:textId="18F5BA28" w:rsidR="00B35F13" w:rsidRDefault="00BA1261" w:rsidP="00A80E02">
      <w:pPr>
        <w:pStyle w:val="Prrafodelista"/>
        <w:spacing w:before="240" w:line="360" w:lineRule="auto"/>
        <w:jc w:val="both"/>
        <w:rPr>
          <w:rFonts w:ascii="ITC Avant Garde" w:hAnsi="ITC Avant Garde"/>
        </w:rPr>
      </w:pPr>
      <w:proofErr w:type="gramStart"/>
      <w:r w:rsidRPr="002A2450">
        <w:rPr>
          <w:rFonts w:ascii="ITC Avant Garde" w:hAnsi="ITC Avant Garde"/>
        </w:rPr>
        <w:lastRenderedPageBreak/>
        <w:t>en</w:t>
      </w:r>
      <w:proofErr w:type="gramEnd"/>
      <w:r w:rsidRPr="002A2450">
        <w:rPr>
          <w:rFonts w:ascii="ITC Avant Garde" w:hAnsi="ITC Avant Garde"/>
        </w:rPr>
        <w:t xml:space="preserve"> México salvo los sistemas o servicios de video o televisión a través de móviles, televisión vía internet u otros sistemas que no involucren servicios </w:t>
      </w:r>
      <w:r w:rsidR="000A68C4" w:rsidRPr="002A2450">
        <w:rPr>
          <w:rFonts w:ascii="ITC Avant Garde" w:hAnsi="ITC Avant Garde"/>
          <w:b/>
        </w:rPr>
        <w:t>“DTH”</w:t>
      </w:r>
      <w:r w:rsidRPr="002A2450">
        <w:rPr>
          <w:rFonts w:ascii="ITC Avant Garde" w:hAnsi="ITC Avant Garde"/>
        </w:rPr>
        <w:t>.</w:t>
      </w:r>
    </w:p>
    <w:p w14:paraId="724DD6BE" w14:textId="73AF2B4A" w:rsidR="00B35F13" w:rsidRDefault="00BA1261" w:rsidP="007E623E">
      <w:pPr>
        <w:pStyle w:val="Prrafodelista"/>
        <w:numPr>
          <w:ilvl w:val="0"/>
          <w:numId w:val="28"/>
        </w:numPr>
        <w:spacing w:before="240" w:line="360" w:lineRule="auto"/>
        <w:jc w:val="both"/>
        <w:rPr>
          <w:rFonts w:ascii="ITC Avant Garde" w:hAnsi="ITC Avant Garde"/>
        </w:rPr>
      </w:pPr>
      <w:r w:rsidRPr="002A2450">
        <w:rPr>
          <w:rFonts w:ascii="ITC Avant Garde" w:hAnsi="ITC Avant Garde"/>
        </w:rPr>
        <w:t>Del contrato de operación,</w:t>
      </w:r>
      <w:r w:rsidRPr="0047339C">
        <w:rPr>
          <w:rFonts w:ascii="ITC Avant Garde" w:hAnsi="ITC Avant Garde"/>
          <w:b/>
        </w:rPr>
        <w:t xml:space="preserve"> </w:t>
      </w:r>
      <w:r w:rsidR="00ED447A" w:rsidRPr="0047339C">
        <w:rPr>
          <w:rFonts w:ascii="ITC Avant Garde" w:eastAsiaTheme="majorEastAsia" w:hAnsi="ITC Avant Garde" w:cstheme="majorBidi"/>
          <w:b/>
          <w:color w:val="0000FF"/>
          <w:szCs w:val="32"/>
        </w:rPr>
        <w:t>“CONFIDENCIAL POR LEY”</w:t>
      </w:r>
      <w:r w:rsidRPr="0047339C">
        <w:rPr>
          <w:rFonts w:ascii="ITC Avant Garde" w:hAnsi="ITC Avant Garde"/>
          <w:b/>
        </w:rPr>
        <w:t xml:space="preserve"> </w:t>
      </w:r>
      <w:r w:rsidR="00022192">
        <w:rPr>
          <w:rFonts w:ascii="ITC Avant Garde" w:hAnsi="ITC Avant Garde"/>
        </w:rPr>
        <w:t xml:space="preserve">Conducción del negocio, </w:t>
      </w:r>
      <w:r w:rsidRPr="002A2450">
        <w:rPr>
          <w:rFonts w:ascii="ITC Avant Garde" w:hAnsi="ITC Avant Garde"/>
        </w:rPr>
        <w:t>la limitación a modificar documentos constitutivos, transigir respecto de cualquiera de las partes sociales, pagar dividendos, adquirir capital social o activos sobre cualquier línea de negocios, modificar políticas de inversión, gravar cualquier parte social, modificación a las prácticas contables, resolver o comprometerse por cualquier demanda que</w:t>
      </w:r>
      <w:r w:rsidR="004638D2" w:rsidRPr="002A2450">
        <w:rPr>
          <w:rFonts w:ascii="ITC Avant Garde" w:hAnsi="ITC Avant Garde"/>
        </w:rPr>
        <w:t xml:space="preserve"> implique más de USD</w:t>
      </w:r>
      <w:r w:rsidR="005D52D7" w:rsidRPr="002A2450">
        <w:rPr>
          <w:rFonts w:ascii="ITC Avant Garde" w:hAnsi="ITC Avant Garde"/>
        </w:rPr>
        <w:t xml:space="preserve"> </w:t>
      </w:r>
      <w:r w:rsidR="004638D2" w:rsidRPr="002A2450">
        <w:rPr>
          <w:rFonts w:ascii="ITC Avant Garde" w:hAnsi="ITC Avant Garde"/>
        </w:rPr>
        <w:t>$500,000.00, adoptar planes de liquidación o reestructuración, realizar gastos de capital salvo que estén en el plan de negocios</w:t>
      </w:r>
      <w:r w:rsidRPr="002A2450">
        <w:rPr>
          <w:rFonts w:ascii="ITC Avant Garde" w:hAnsi="ITC Avant Garde"/>
        </w:rPr>
        <w:t xml:space="preserve"> </w:t>
      </w:r>
      <w:r w:rsidR="004638D2" w:rsidRPr="002A2450">
        <w:rPr>
          <w:rFonts w:ascii="ITC Avant Garde" w:hAnsi="ITC Avant Garde"/>
        </w:rPr>
        <w:t>y solventar cualquier tipo de impuesto sin previa autorización.</w:t>
      </w:r>
    </w:p>
    <w:p w14:paraId="7DC225A5" w14:textId="77777777" w:rsidR="00B35F13" w:rsidRDefault="004638D2" w:rsidP="007E623E">
      <w:pPr>
        <w:pStyle w:val="Prrafodelista"/>
        <w:numPr>
          <w:ilvl w:val="0"/>
          <w:numId w:val="28"/>
        </w:numPr>
        <w:spacing w:before="240" w:line="360" w:lineRule="auto"/>
        <w:jc w:val="both"/>
        <w:rPr>
          <w:rFonts w:ascii="ITC Avant Garde" w:hAnsi="ITC Avant Garde"/>
        </w:rPr>
      </w:pPr>
      <w:r w:rsidRPr="002A2450">
        <w:rPr>
          <w:rFonts w:ascii="ITC Avant Garde" w:hAnsi="ITC Avant Garde"/>
        </w:rPr>
        <w:t xml:space="preserve">Del contrato de consecuencias, </w:t>
      </w:r>
      <w:r w:rsidR="00ED447A"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r w:rsidR="00094267" w:rsidRPr="002A2450">
        <w:rPr>
          <w:rFonts w:ascii="ITC Avant Garde" w:hAnsi="ITC Avant Garde"/>
        </w:rPr>
        <w:t xml:space="preserve">la cual se traduce en </w:t>
      </w:r>
      <w:r w:rsidRPr="002A2450">
        <w:rPr>
          <w:rFonts w:ascii="ITC Avant Garde" w:hAnsi="ITC Avant Garde"/>
        </w:rPr>
        <w:t xml:space="preserve">no participar en cualquier negocio competitivo con </w:t>
      </w:r>
      <w:r w:rsidRPr="002A2450">
        <w:rPr>
          <w:rFonts w:ascii="ITC Avant Garde" w:hAnsi="ITC Avant Garde"/>
          <w:b/>
        </w:rPr>
        <w:t>“DISH”.</w:t>
      </w:r>
    </w:p>
    <w:p w14:paraId="409B8B52" w14:textId="77777777" w:rsidR="00B35F13" w:rsidRDefault="004638D2" w:rsidP="007E623E">
      <w:pPr>
        <w:pStyle w:val="Prrafodelista"/>
        <w:numPr>
          <w:ilvl w:val="0"/>
          <w:numId w:val="28"/>
        </w:numPr>
        <w:spacing w:before="240" w:line="360" w:lineRule="auto"/>
        <w:jc w:val="both"/>
        <w:rPr>
          <w:rFonts w:ascii="ITC Avant Garde" w:hAnsi="ITC Avant Garde"/>
        </w:rPr>
      </w:pPr>
      <w:r w:rsidRPr="002A2450">
        <w:rPr>
          <w:rFonts w:ascii="ITC Avant Garde" w:hAnsi="ITC Avant Garde"/>
        </w:rPr>
        <w:t xml:space="preserve">Asimismo, los comunicados entre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“TELMEX”.</w:t>
      </w:r>
    </w:p>
    <w:p w14:paraId="74D2D9AA" w14:textId="77777777" w:rsidR="00B35F13" w:rsidRDefault="004638D2" w:rsidP="00B35F13">
      <w:pPr>
        <w:spacing w:before="240" w:line="360" w:lineRule="auto"/>
        <w:jc w:val="both"/>
        <w:rPr>
          <w:rFonts w:ascii="ITC Avant Garde" w:hAnsi="ITC Avant Garde"/>
        </w:rPr>
      </w:pPr>
      <w:r w:rsidRPr="002A2450">
        <w:rPr>
          <w:rFonts w:ascii="ITC Avant Garde" w:hAnsi="ITC Avant Garde"/>
        </w:rPr>
        <w:t xml:space="preserve">En ese sentido, es necesario recordar que uno de los elementos que esta autoridad advirtió desde el acuerdo de inicio del procedimiento administrativo de imposición de sanción </w:t>
      </w:r>
      <w:r w:rsidR="00094267" w:rsidRPr="002A2450">
        <w:rPr>
          <w:rFonts w:ascii="ITC Avant Garde" w:hAnsi="ITC Avant Garde"/>
        </w:rPr>
        <w:t xml:space="preserve">fue </w:t>
      </w:r>
      <w:r w:rsidRPr="002A2450">
        <w:rPr>
          <w:rFonts w:ascii="ITC Avant Garde" w:hAnsi="ITC Avant Garde"/>
        </w:rPr>
        <w:t>que el control de las empresas podría suscitarse a partir del ejercicio de los siguientes instrumentos:</w:t>
      </w:r>
    </w:p>
    <w:p w14:paraId="5905AD82" w14:textId="2A3CAD58"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Emisión de acciones de voto limitado</w:t>
      </w:r>
    </w:p>
    <w:p w14:paraId="49DE48D1"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Acciones de trabajo</w:t>
      </w:r>
    </w:p>
    <w:p w14:paraId="6F9C45AD"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Designación de consejeros y comisionados</w:t>
      </w:r>
    </w:p>
    <w:p w14:paraId="5929F030"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Restricción a la libre transición de las acciones o partes sociales</w:t>
      </w:r>
    </w:p>
    <w:p w14:paraId="38F04278"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Los sindicatos de voto</w:t>
      </w:r>
    </w:p>
    <w:p w14:paraId="7432D80C"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La constitución de una</w:t>
      </w:r>
      <w:r w:rsidR="00094267" w:rsidRPr="002A2450">
        <w:rPr>
          <w:rFonts w:ascii="ITC Avant Garde" w:hAnsi="ITC Avant Garde"/>
        </w:rPr>
        <w:t xml:space="preserve"> sociedad de responsabilidad li</w:t>
      </w:r>
      <w:r w:rsidRPr="002A2450">
        <w:rPr>
          <w:rFonts w:ascii="ITC Avant Garde" w:hAnsi="ITC Avant Garde"/>
        </w:rPr>
        <w:t>mitada con partes sociales con voto múltiple</w:t>
      </w:r>
    </w:p>
    <w:p w14:paraId="5D97381F" w14:textId="77777777" w:rsidR="004638D2" w:rsidRPr="002A2450" w:rsidRDefault="004638D2" w:rsidP="007E623E">
      <w:pPr>
        <w:pStyle w:val="Prrafodelista"/>
        <w:numPr>
          <w:ilvl w:val="0"/>
          <w:numId w:val="29"/>
        </w:numPr>
        <w:spacing w:before="240" w:line="360" w:lineRule="auto"/>
        <w:jc w:val="both"/>
        <w:rPr>
          <w:rFonts w:ascii="ITC Avant Garde" w:hAnsi="ITC Avant Garde"/>
        </w:rPr>
      </w:pPr>
      <w:r w:rsidRPr="002A2450">
        <w:rPr>
          <w:rFonts w:ascii="ITC Avant Garde" w:hAnsi="ITC Avant Garde"/>
        </w:rPr>
        <w:t>La protección de los derechos de las minorías</w:t>
      </w:r>
    </w:p>
    <w:p w14:paraId="2EBED211" w14:textId="77777777" w:rsidR="00A80E02" w:rsidRDefault="004638D2" w:rsidP="007E623E">
      <w:pPr>
        <w:pStyle w:val="Prrafodelista"/>
        <w:numPr>
          <w:ilvl w:val="0"/>
          <w:numId w:val="29"/>
        </w:numPr>
        <w:spacing w:before="240" w:line="360" w:lineRule="auto"/>
        <w:jc w:val="both"/>
        <w:rPr>
          <w:rFonts w:ascii="ITC Avant Garde" w:hAnsi="ITC Avant Garde"/>
        </w:rPr>
        <w:sectPr w:rsidR="00A80E02" w:rsidSect="009F3771">
          <w:headerReference w:type="default" r:id="rId55"/>
          <w:pgSz w:w="12240" w:h="15840"/>
          <w:pgMar w:top="1985" w:right="1701" w:bottom="1418" w:left="1701" w:header="709" w:footer="709" w:gutter="0"/>
          <w:cols w:space="708"/>
          <w:docGrid w:linePitch="360"/>
        </w:sectPr>
      </w:pPr>
      <w:r w:rsidRPr="002A2450">
        <w:rPr>
          <w:rFonts w:ascii="ITC Avant Garde" w:hAnsi="ITC Avant Garde"/>
        </w:rPr>
        <w:t>Mecanismos de adquisición de hecho del control externo de una sociedad</w:t>
      </w:r>
    </w:p>
    <w:p w14:paraId="5A7A1FD3" w14:textId="77777777" w:rsidR="00B35F13" w:rsidRDefault="004638D2" w:rsidP="00B35F13">
      <w:pPr>
        <w:spacing w:before="240" w:line="360" w:lineRule="auto"/>
        <w:jc w:val="both"/>
        <w:rPr>
          <w:rFonts w:ascii="ITC Avant Garde" w:hAnsi="ITC Avant Garde"/>
        </w:rPr>
      </w:pPr>
      <w:r w:rsidRPr="002A2450">
        <w:rPr>
          <w:rFonts w:ascii="ITC Avant Garde" w:hAnsi="ITC Avant Garde"/>
        </w:rPr>
        <w:lastRenderedPageBreak/>
        <w:t xml:space="preserve">Ahora bien, con base en lo anterior podemos señalar que dentro de los mecanismos advertidos en los contratos celebrados por </w:t>
      </w:r>
      <w:r w:rsidRPr="002A2450">
        <w:rPr>
          <w:rFonts w:ascii="ITC Avant Garde" w:hAnsi="ITC Avant Garde"/>
          <w:b/>
        </w:rPr>
        <w:t>“TELMEX”</w:t>
      </w:r>
      <w:r w:rsidR="00094267" w:rsidRPr="002A2450">
        <w:rPr>
          <w:rFonts w:ascii="ITC Avant Garde" w:hAnsi="ITC Avant Garde"/>
          <w:b/>
        </w:rPr>
        <w:t xml:space="preserve">, </w:t>
      </w:r>
      <w:r w:rsidR="00094267" w:rsidRPr="002A2450">
        <w:rPr>
          <w:rFonts w:ascii="ITC Avant Garde" w:hAnsi="ITC Avant Garde"/>
        </w:rPr>
        <w:t>es claro</w:t>
      </w:r>
      <w:r w:rsidR="00094267" w:rsidRPr="002A2450">
        <w:rPr>
          <w:rFonts w:ascii="ITC Avant Garde" w:hAnsi="ITC Avant Garde"/>
          <w:b/>
        </w:rPr>
        <w:t xml:space="preserve"> </w:t>
      </w:r>
      <w:r w:rsidRPr="002A2450">
        <w:rPr>
          <w:rFonts w:ascii="ITC Avant Garde" w:hAnsi="ITC Avant Garde"/>
        </w:rPr>
        <w:t xml:space="preserve">que existen características </w:t>
      </w:r>
      <w:r w:rsidR="00094267" w:rsidRPr="002A2450">
        <w:rPr>
          <w:rFonts w:ascii="ITC Avant Garde" w:hAnsi="ITC Avant Garde"/>
        </w:rPr>
        <w:t xml:space="preserve">o rasgos distintivos </w:t>
      </w:r>
      <w:r w:rsidRPr="002A2450">
        <w:rPr>
          <w:rFonts w:ascii="ITC Avant Garde" w:hAnsi="ITC Avant Garde"/>
        </w:rPr>
        <w:t xml:space="preserve">que permiten identificar el control de la operación de </w:t>
      </w:r>
      <w:r w:rsidRPr="002A2450">
        <w:rPr>
          <w:rFonts w:ascii="ITC Avant Garde" w:hAnsi="ITC Avant Garde"/>
          <w:b/>
        </w:rPr>
        <w:t>“DISH”</w:t>
      </w:r>
      <w:r w:rsidRPr="002A2450">
        <w:rPr>
          <w:rFonts w:ascii="ITC Avant Garde" w:hAnsi="ITC Avant Garde"/>
        </w:rPr>
        <w:t xml:space="preserve"> </w:t>
      </w:r>
      <w:r w:rsidR="00094267" w:rsidRPr="002A2450">
        <w:rPr>
          <w:rFonts w:ascii="ITC Avant Garde" w:hAnsi="ITC Avant Garde"/>
        </w:rPr>
        <w:t xml:space="preserve">por parte de la primera </w:t>
      </w:r>
      <w:r w:rsidRPr="002A2450">
        <w:rPr>
          <w:rFonts w:ascii="ITC Avant Garde" w:hAnsi="ITC Avant Garde"/>
        </w:rPr>
        <w:t>sin necesariamente formar parte de la sociedad como un accionista.</w:t>
      </w:r>
    </w:p>
    <w:p w14:paraId="6AEA7F44" w14:textId="77777777" w:rsidR="00B35F13" w:rsidRDefault="004638D2" w:rsidP="00B35F13">
      <w:pPr>
        <w:spacing w:before="240" w:line="360" w:lineRule="auto"/>
        <w:jc w:val="both"/>
        <w:rPr>
          <w:rFonts w:ascii="ITC Avant Garde" w:hAnsi="ITC Avant Garde"/>
        </w:rPr>
      </w:pPr>
      <w:r w:rsidRPr="002A2450">
        <w:rPr>
          <w:rFonts w:ascii="ITC Avant Garde" w:hAnsi="ITC Avant Garde"/>
        </w:rPr>
        <w:t xml:space="preserve">Al respecto, vale la pena </w:t>
      </w:r>
      <w:r w:rsidR="00094267" w:rsidRPr="002A2450">
        <w:rPr>
          <w:rFonts w:ascii="ITC Avant Garde" w:hAnsi="ITC Avant Garde"/>
        </w:rPr>
        <w:t xml:space="preserve">señalar </w:t>
      </w:r>
      <w:r w:rsidRPr="002A2450">
        <w:rPr>
          <w:rFonts w:ascii="ITC Avant Garde" w:hAnsi="ITC Avant Garde"/>
        </w:rPr>
        <w:t>en primer lugar</w:t>
      </w:r>
      <w:r w:rsidR="00094267" w:rsidRPr="002A2450">
        <w:rPr>
          <w:rFonts w:ascii="ITC Avant Garde" w:hAnsi="ITC Avant Garde"/>
        </w:rPr>
        <w:t>,</w:t>
      </w:r>
      <w:r w:rsidRPr="002A2450">
        <w:rPr>
          <w:rFonts w:ascii="ITC Avant Garde" w:hAnsi="ITC Avant Garde"/>
        </w:rPr>
        <w:t xml:space="preserve"> que no obstante las manifestaciones realizadas por </w:t>
      </w:r>
      <w:r w:rsidRPr="002A2450">
        <w:rPr>
          <w:rFonts w:ascii="ITC Avant Garde" w:hAnsi="ITC Avant Garde"/>
          <w:b/>
        </w:rPr>
        <w:t>“TELMEX”</w:t>
      </w:r>
      <w:r w:rsidRPr="002A2450">
        <w:rPr>
          <w:rFonts w:ascii="ITC Avant Garde" w:hAnsi="ITC Avant Garde"/>
        </w:rPr>
        <w:t xml:space="preserve"> no existe una justificación al menos mercantil</w:t>
      </w:r>
      <w:r w:rsidR="00094267" w:rsidRPr="002A2450">
        <w:rPr>
          <w:rFonts w:ascii="ITC Avant Garde" w:hAnsi="ITC Avant Garde"/>
        </w:rPr>
        <w:t>,</w:t>
      </w:r>
      <w:r w:rsidRPr="002A2450">
        <w:rPr>
          <w:rFonts w:ascii="ITC Avant Garde" w:hAnsi="ITC Avant Garde"/>
        </w:rPr>
        <w:t xml:space="preserve"> del por qué los </w:t>
      </w:r>
      <w:r w:rsidR="00D21468" w:rsidRPr="002A2450">
        <w:rPr>
          <w:rFonts w:ascii="ITC Avant Garde" w:hAnsi="ITC Avant Garde"/>
        </w:rPr>
        <w:t>contratos celebrados guardan una limitación persistente para que las sociedades implicadas se mantengan en el estado en que se encuentran hasta en tanto se pudiera ejercer la opción de compra y venta.</w:t>
      </w:r>
    </w:p>
    <w:p w14:paraId="35498C4A" w14:textId="77777777" w:rsidR="00B35F13" w:rsidRDefault="00214890" w:rsidP="00B35F13">
      <w:pPr>
        <w:spacing w:before="240" w:line="360" w:lineRule="auto"/>
        <w:jc w:val="both"/>
        <w:rPr>
          <w:rFonts w:ascii="ITC Avant Garde" w:hAnsi="ITC Avant Garde"/>
        </w:rPr>
      </w:pPr>
      <w:r w:rsidRPr="002A2450">
        <w:rPr>
          <w:rFonts w:ascii="ITC Avant Garde" w:hAnsi="ITC Avant Garde"/>
        </w:rPr>
        <w:t>Lo anterior implica</w:t>
      </w:r>
      <w:r w:rsidR="00094267" w:rsidRPr="002A2450">
        <w:rPr>
          <w:rFonts w:ascii="ITC Avant Garde" w:hAnsi="ITC Avant Garde"/>
        </w:rPr>
        <w:t>,</w:t>
      </w:r>
      <w:r w:rsidRPr="002A2450">
        <w:rPr>
          <w:rFonts w:ascii="ITC Avant Garde" w:hAnsi="ITC Avant Garde"/>
        </w:rPr>
        <w:t xml:space="preserve"> que no existe </w:t>
      </w:r>
      <w:r w:rsidR="00094267" w:rsidRPr="002A2450">
        <w:rPr>
          <w:rFonts w:ascii="ITC Avant Garde" w:hAnsi="ITC Avant Garde"/>
        </w:rPr>
        <w:t xml:space="preserve">razón </w:t>
      </w:r>
      <w:r w:rsidRPr="002A2450">
        <w:rPr>
          <w:rFonts w:ascii="ITC Avant Garde" w:hAnsi="ITC Avant Garde"/>
        </w:rPr>
        <w:t>por lo menos jurídica</w:t>
      </w:r>
      <w:r w:rsidR="00094267" w:rsidRPr="002A2450">
        <w:rPr>
          <w:rFonts w:ascii="ITC Avant Garde" w:hAnsi="ITC Avant Garde"/>
        </w:rPr>
        <w:t>,</w:t>
      </w:r>
      <w:r w:rsidRPr="002A2450">
        <w:rPr>
          <w:rFonts w:ascii="ITC Avant Garde" w:hAnsi="ITC Avant Garde"/>
        </w:rPr>
        <w:t xml:space="preserve"> que </w:t>
      </w:r>
      <w:r w:rsidR="00094267" w:rsidRPr="002A2450">
        <w:rPr>
          <w:rFonts w:ascii="ITC Avant Garde" w:hAnsi="ITC Avant Garde"/>
        </w:rPr>
        <w:t xml:space="preserve">justifique </w:t>
      </w:r>
      <w:r w:rsidRPr="002A2450">
        <w:rPr>
          <w:rFonts w:ascii="ITC Avant Garde" w:hAnsi="ITC Avant Garde"/>
        </w:rPr>
        <w:t>en forma fehaciente por qué la no competencia, la restricción a la organización interna y libre circulación de títulos de capital deben ser resguardados hasta el cumplimiento de una condición suspensiva.</w:t>
      </w:r>
    </w:p>
    <w:p w14:paraId="16B29119" w14:textId="77777777" w:rsidR="00B35F13" w:rsidRDefault="00214890" w:rsidP="00B35F13">
      <w:pPr>
        <w:spacing w:before="240" w:line="360" w:lineRule="auto"/>
        <w:jc w:val="both"/>
        <w:rPr>
          <w:rFonts w:ascii="ITC Avant Garde" w:hAnsi="ITC Avant Garde"/>
        </w:rPr>
      </w:pPr>
      <w:r w:rsidRPr="002A2450">
        <w:rPr>
          <w:rFonts w:ascii="ITC Avant Garde" w:hAnsi="ITC Avant Garde"/>
        </w:rPr>
        <w:t>En ese sentido, la única respuesta es que los contratos celebrados como se ha sostenido</w:t>
      </w:r>
      <w:r w:rsidR="00094267" w:rsidRPr="002A2450">
        <w:rPr>
          <w:rFonts w:ascii="ITC Avant Garde" w:hAnsi="ITC Avant Garde"/>
        </w:rPr>
        <w:t>,</w:t>
      </w:r>
      <w:r w:rsidRPr="002A2450">
        <w:rPr>
          <w:rFonts w:ascii="ITC Avant Garde" w:hAnsi="ITC Avant Garde"/>
        </w:rPr>
        <w:t xml:space="preserve"> no implica</w:t>
      </w:r>
      <w:r w:rsidR="00094267" w:rsidRPr="002A2450">
        <w:rPr>
          <w:rFonts w:ascii="ITC Avant Garde" w:hAnsi="ITC Avant Garde"/>
        </w:rPr>
        <w:t>n</w:t>
      </w:r>
      <w:r w:rsidRPr="002A2450">
        <w:rPr>
          <w:rFonts w:ascii="ITC Avant Garde" w:hAnsi="ITC Avant Garde"/>
        </w:rPr>
        <w:t xml:space="preserve"> sólo una relación de carácter meramente mercantil sino que en realidad se trata de un entramado de relaciones entre las empresas firmantes con el objeto de que sus vínculos internos y externos converjan en la realización de una actividad común propicia para las partes, de ahí que precisamente se requiera que todas las partes actuantes realicen actividad</w:t>
      </w:r>
      <w:r w:rsidR="00094267" w:rsidRPr="002A2450">
        <w:rPr>
          <w:rFonts w:ascii="ITC Avant Garde" w:hAnsi="ITC Avant Garde"/>
        </w:rPr>
        <w:t>es</w:t>
      </w:r>
      <w:r w:rsidRPr="002A2450">
        <w:rPr>
          <w:rFonts w:ascii="ITC Avant Garde" w:hAnsi="ITC Avant Garde"/>
        </w:rPr>
        <w:t xml:space="preserve"> o propias de un sistema, el cual no puede ser alterado, ya que de hacerlo implicaría la caída del mismo y la terminación de un resultado distinto al esperado.</w:t>
      </w:r>
    </w:p>
    <w:p w14:paraId="5E67A8A6" w14:textId="77777777" w:rsidR="00A80E02" w:rsidRDefault="00214890" w:rsidP="00B35F13">
      <w:pPr>
        <w:spacing w:before="240" w:line="360" w:lineRule="auto"/>
        <w:jc w:val="both"/>
        <w:rPr>
          <w:rFonts w:ascii="ITC Avant Garde" w:hAnsi="ITC Avant Garde"/>
        </w:rPr>
        <w:sectPr w:rsidR="00A80E02" w:rsidSect="009F3771">
          <w:headerReference w:type="default" r:id="rId56"/>
          <w:pgSz w:w="12240" w:h="15840"/>
          <w:pgMar w:top="1985" w:right="1701" w:bottom="1418" w:left="1701" w:header="709" w:footer="709" w:gutter="0"/>
          <w:cols w:space="708"/>
          <w:docGrid w:linePitch="360"/>
        </w:sectPr>
      </w:pPr>
      <w:r w:rsidRPr="002A2450">
        <w:rPr>
          <w:rFonts w:ascii="ITC Avant Garde" w:hAnsi="ITC Avant Garde"/>
        </w:rPr>
        <w:t xml:space="preserve">Por lo anterior, los contratos limitan la actividad de la operación interna y externa de la empresas </w:t>
      </w:r>
      <w:r w:rsidR="00094267" w:rsidRPr="002A2450">
        <w:rPr>
          <w:rFonts w:ascii="ITC Avant Garde" w:hAnsi="ITC Avant Garde"/>
        </w:rPr>
        <w:t xml:space="preserve">titular de una concesión de televisión restringida, </w:t>
      </w:r>
      <w:r w:rsidRPr="002A2450">
        <w:rPr>
          <w:rFonts w:ascii="ITC Avant Garde" w:hAnsi="ITC Avant Garde"/>
        </w:rPr>
        <w:t>realizando un mecanismo de intervención sujeta a una condición suspensiva como si se tratara de una inversión a largo plazo o como una inversión simulada a efecto de obtener no sólo la utilidad sino el control mismo de un servicio que le fue concesionado a un tercero.</w:t>
      </w:r>
    </w:p>
    <w:p w14:paraId="786BB2AA" w14:textId="77777777" w:rsidR="00B35F13" w:rsidRDefault="00214890" w:rsidP="00B35F13">
      <w:pPr>
        <w:spacing w:before="240" w:line="360" w:lineRule="auto"/>
        <w:jc w:val="both"/>
        <w:rPr>
          <w:rFonts w:ascii="ITC Avant Garde" w:hAnsi="ITC Avant Garde"/>
        </w:rPr>
      </w:pPr>
      <w:r w:rsidRPr="002A2450">
        <w:rPr>
          <w:rFonts w:ascii="ITC Avant Garde" w:hAnsi="ITC Avant Garde"/>
        </w:rPr>
        <w:lastRenderedPageBreak/>
        <w:t>Lo anterior, ya que basta recalcar las limitaciones a la compra y venta de activos, circulación de títulos, modificación a estatutos sociales y demás condiciones que en estricto sentido pareciera que son directrices de una empresa controladora respecto de sus controladas.</w:t>
      </w:r>
    </w:p>
    <w:p w14:paraId="073AB2CF" w14:textId="77777777" w:rsidR="00B35F13" w:rsidRDefault="00621F4C" w:rsidP="00B35F13">
      <w:pPr>
        <w:spacing w:before="240" w:line="360" w:lineRule="auto"/>
        <w:jc w:val="both"/>
        <w:rPr>
          <w:rFonts w:ascii="ITC Avant Garde" w:hAnsi="ITC Avant Garde"/>
        </w:rPr>
      </w:pPr>
      <w:r w:rsidRPr="002A2450">
        <w:rPr>
          <w:rFonts w:ascii="ITC Avant Garde" w:hAnsi="ITC Avant Garde"/>
        </w:rPr>
        <w:t xml:space="preserve">Ahora bien, de acuerdo a lo manifestado por </w:t>
      </w:r>
      <w:r w:rsidRPr="002A2450">
        <w:rPr>
          <w:rFonts w:ascii="ITC Avant Garde" w:hAnsi="ITC Avant Garde"/>
          <w:b/>
        </w:rPr>
        <w:t>“TELMEX”</w:t>
      </w:r>
      <w:r w:rsidRPr="002A2450">
        <w:rPr>
          <w:rFonts w:ascii="ITC Avant Garde" w:hAnsi="ITC Avant Garde"/>
        </w:rPr>
        <w:t xml:space="preserve"> se advierte que no sólo fueron los contratos de consecuencias y el contrato de opción los contratos que esta autoridad considero para el inicio de presente procedimiento sino que incluyó entre otros contratos los </w:t>
      </w:r>
      <w:r w:rsidR="000F7C0B" w:rsidRPr="002A2450">
        <w:rPr>
          <w:rFonts w:ascii="ITC Avant Garde" w:hAnsi="ITC Avant Garde"/>
        </w:rPr>
        <w:t xml:space="preserve">de operaciones, distribución, prestación de servicio y arrendamiento y los </w:t>
      </w:r>
      <w:r w:rsidRPr="002A2450">
        <w:rPr>
          <w:rFonts w:ascii="ITC Avant Garde" w:hAnsi="ITC Avant Garde"/>
        </w:rPr>
        <w:t xml:space="preserve">comunicados entre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“TELMEX”.</w:t>
      </w:r>
    </w:p>
    <w:p w14:paraId="4A36DD3B" w14:textId="77777777" w:rsidR="00B35F13" w:rsidRDefault="000A5AFA" w:rsidP="00B35F13">
      <w:pPr>
        <w:spacing w:before="240" w:line="360" w:lineRule="auto"/>
        <w:jc w:val="both"/>
        <w:rPr>
          <w:rFonts w:ascii="ITC Avant Garde" w:hAnsi="ITC Avant Garde"/>
        </w:rPr>
      </w:pPr>
      <w:r w:rsidRPr="002A2450">
        <w:rPr>
          <w:rFonts w:ascii="ITC Avant Garde" w:hAnsi="ITC Avant Garde"/>
        </w:rPr>
        <w:t>Ahora bien</w:t>
      </w:r>
      <w:r w:rsidR="00297A78" w:rsidRPr="002A2450">
        <w:rPr>
          <w:rFonts w:ascii="ITC Avant Garde" w:hAnsi="ITC Avant Garde"/>
        </w:rPr>
        <w:t xml:space="preserve">, en el comunicado de veinticuatro de noviembre de dos mil ocho dirigido a </w:t>
      </w:r>
      <w:r w:rsidR="00297A78" w:rsidRPr="002A2450">
        <w:rPr>
          <w:rFonts w:ascii="ITC Avant Garde" w:hAnsi="ITC Avant Garde"/>
          <w:b/>
        </w:rPr>
        <w:t>“COFRESA”</w:t>
      </w:r>
      <w:r w:rsidR="00297A78" w:rsidRPr="002A2450">
        <w:rPr>
          <w:rFonts w:ascii="ITC Avant Garde" w:hAnsi="ITC Avant Garde"/>
        </w:rPr>
        <w:t xml:space="preserve"> por parte de </w:t>
      </w:r>
      <w:r w:rsidR="00297A78" w:rsidRPr="002A2450">
        <w:rPr>
          <w:rFonts w:ascii="ITC Avant Garde" w:hAnsi="ITC Avant Garde"/>
          <w:b/>
        </w:rPr>
        <w:t>“TELMEX”</w:t>
      </w:r>
      <w:r w:rsidR="000F7C0B" w:rsidRPr="002A2450">
        <w:rPr>
          <w:rFonts w:ascii="ITC Avant Garde" w:hAnsi="ITC Avant Garde"/>
          <w:b/>
        </w:rPr>
        <w:t>,</w:t>
      </w:r>
      <w:r w:rsidR="00297A78" w:rsidRPr="002A2450">
        <w:rPr>
          <w:rFonts w:ascii="ITC Avant Garde" w:hAnsi="ITC Avant Garde"/>
        </w:rPr>
        <w:t xml:space="preserve"> se advierte que en el mismo se refiere al contrato de prestación de servicios, dónde manifiesta que la contraprestación por los servicios básicos sería </w:t>
      </w:r>
      <w:r w:rsidR="003E4463">
        <w:rPr>
          <w:rFonts w:ascii="ITC Avant Garde" w:hAnsi="ITC Avant Garde"/>
        </w:rPr>
        <w:t>reducida en una cantidad neta equivalente a</w:t>
      </w:r>
      <w:r w:rsidR="003E4463" w:rsidRPr="00F76758">
        <w:rPr>
          <w:rFonts w:ascii="ITC Avant Garde" w:hAnsi="ITC Avant Garde"/>
        </w:rPr>
        <w:t xml:space="preserve"> </w:t>
      </w:r>
      <w:r w:rsidR="00ED447A" w:rsidRPr="0047339C">
        <w:rPr>
          <w:rFonts w:ascii="ITC Avant Garde" w:eastAsiaTheme="majorEastAsia" w:hAnsi="ITC Avant Garde" w:cstheme="majorBidi"/>
          <w:b/>
          <w:color w:val="0000FF"/>
          <w:szCs w:val="32"/>
        </w:rPr>
        <w:t>“CONFIDENCIAL POR LEY”</w:t>
      </w:r>
      <w:r w:rsidR="003E4463" w:rsidRPr="00F76758">
        <w:rPr>
          <w:rFonts w:ascii="ITC Avant Garde" w:hAnsi="ITC Avant Garde"/>
        </w:rPr>
        <w:t xml:space="preserve"> por cada cliente más el impuesto al valor agregado</w:t>
      </w:r>
      <w:r w:rsidR="00297A78" w:rsidRPr="002A2450">
        <w:rPr>
          <w:rFonts w:ascii="ITC Avant Garde" w:hAnsi="ITC Avant Garde"/>
        </w:rPr>
        <w:t>.</w:t>
      </w:r>
    </w:p>
    <w:p w14:paraId="55584BA2" w14:textId="77777777" w:rsidR="00B35F13" w:rsidRDefault="00297A78" w:rsidP="00B35F13">
      <w:pPr>
        <w:spacing w:before="240" w:line="360" w:lineRule="auto"/>
        <w:jc w:val="both"/>
        <w:rPr>
          <w:rFonts w:ascii="ITC Avant Garde" w:hAnsi="ITC Avant Garde"/>
        </w:rPr>
      </w:pPr>
      <w:r w:rsidRPr="002A2450">
        <w:rPr>
          <w:rFonts w:ascii="ITC Avant Garde" w:hAnsi="ITC Avant Garde"/>
        </w:rPr>
        <w:t xml:space="preserve">En tanto que los comunicados de uno de noviembre de dos mil diez, dos de diciembre de dos mil once y uno de julio de dos mil doce, </w:t>
      </w:r>
      <w:r w:rsidRPr="002A2450">
        <w:rPr>
          <w:rFonts w:ascii="ITC Avant Garde" w:hAnsi="ITC Avant Garde"/>
          <w:b/>
        </w:rPr>
        <w:t xml:space="preserve">“COFRESA” </w:t>
      </w:r>
      <w:r w:rsidRPr="002A2450">
        <w:rPr>
          <w:rFonts w:ascii="ITC Avant Garde" w:hAnsi="ITC Avant Garde"/>
        </w:rPr>
        <w:t xml:space="preserve">y </w:t>
      </w:r>
      <w:r w:rsidRPr="002A2450">
        <w:rPr>
          <w:rFonts w:ascii="ITC Avant Garde" w:hAnsi="ITC Avant Garde"/>
          <w:b/>
        </w:rPr>
        <w:t xml:space="preserve">“DISH MÉXICO” </w:t>
      </w:r>
      <w:r w:rsidRPr="002A2450">
        <w:rPr>
          <w:rFonts w:ascii="ITC Avant Garde" w:hAnsi="ITC Avant Garde"/>
        </w:rPr>
        <w:t xml:space="preserve">solicitan autorización de </w:t>
      </w:r>
      <w:r w:rsidRPr="002A2450">
        <w:rPr>
          <w:rFonts w:ascii="ITC Avant Garde" w:hAnsi="ITC Avant Garde"/>
          <w:b/>
        </w:rPr>
        <w:t>“TELMEX”</w:t>
      </w:r>
      <w:r w:rsidRPr="002A2450">
        <w:rPr>
          <w:rFonts w:ascii="ITC Avant Garde" w:hAnsi="ITC Avant Garde"/>
        </w:rPr>
        <w:t xml:space="preserve"> en relación con el contrato de consecuencias, </w:t>
      </w:r>
      <w:r w:rsidR="000F7C0B" w:rsidRPr="002A2450">
        <w:rPr>
          <w:rFonts w:ascii="ITC Avant Garde" w:hAnsi="ITC Avant Garde"/>
        </w:rPr>
        <w:t xml:space="preserve">para </w:t>
      </w:r>
      <w:r w:rsidRPr="002A2450">
        <w:rPr>
          <w:rFonts w:ascii="ITC Avant Garde" w:hAnsi="ITC Avant Garde"/>
        </w:rPr>
        <w:t>llevar a cabo las siguientes acciones:</w:t>
      </w:r>
    </w:p>
    <w:p w14:paraId="21FBD0A1" w14:textId="34D8957E" w:rsidR="00B35F13" w:rsidRPr="0047339C" w:rsidRDefault="00ED447A" w:rsidP="0047339C">
      <w:pPr>
        <w:spacing w:before="240" w:line="360" w:lineRule="auto"/>
        <w:ind w:left="709"/>
        <w:jc w:val="both"/>
        <w:rPr>
          <w:rFonts w:ascii="ITC Avant Garde" w:eastAsiaTheme="majorEastAsia" w:hAnsi="ITC Avant Garde" w:cstheme="majorBidi"/>
          <w:b/>
          <w:color w:val="0000FF"/>
          <w:szCs w:val="32"/>
        </w:rPr>
      </w:pPr>
      <w:r w:rsidRPr="0047339C">
        <w:rPr>
          <w:rFonts w:ascii="ITC Avant Garde" w:eastAsiaTheme="majorEastAsia" w:hAnsi="ITC Avant Garde" w:cstheme="majorBidi"/>
          <w:b/>
          <w:color w:val="0000FF"/>
          <w:szCs w:val="32"/>
        </w:rPr>
        <w:t>“CONFIDENCIAL POR LEY”</w:t>
      </w:r>
    </w:p>
    <w:p w14:paraId="386F7247" w14:textId="77777777" w:rsidR="00B35F13" w:rsidRDefault="009E0BA0" w:rsidP="00B35F13">
      <w:pPr>
        <w:spacing w:before="240" w:line="360" w:lineRule="auto"/>
        <w:jc w:val="both"/>
        <w:rPr>
          <w:rFonts w:ascii="ITC Avant Garde" w:hAnsi="ITC Avant Garde"/>
        </w:rPr>
      </w:pPr>
      <w:r w:rsidRPr="002A2450">
        <w:rPr>
          <w:rFonts w:ascii="ITC Avant Garde" w:hAnsi="ITC Avant Garde"/>
        </w:rPr>
        <w:t xml:space="preserve">Las operaciones anteriores, </w:t>
      </w:r>
      <w:r w:rsidR="000F7C0B" w:rsidRPr="002A2450">
        <w:rPr>
          <w:rFonts w:ascii="ITC Avant Garde" w:hAnsi="ITC Avant Garde"/>
        </w:rPr>
        <w:t xml:space="preserve">estaban supeditadas a </w:t>
      </w:r>
      <w:r w:rsidRPr="002A2450">
        <w:rPr>
          <w:rFonts w:ascii="ITC Avant Garde" w:hAnsi="ITC Avant Garde"/>
        </w:rPr>
        <w:t xml:space="preserve">la autorización expresa </w:t>
      </w:r>
      <w:r w:rsidR="000F7C0B" w:rsidRPr="002A2450">
        <w:rPr>
          <w:rFonts w:ascii="ITC Avant Garde" w:hAnsi="ITC Avant Garde"/>
        </w:rPr>
        <w:t xml:space="preserve">por parte </w:t>
      </w:r>
      <w:r w:rsidRPr="002A2450">
        <w:rPr>
          <w:rFonts w:ascii="ITC Avant Garde" w:hAnsi="ITC Avant Garde"/>
        </w:rPr>
        <w:t xml:space="preserve">de </w:t>
      </w:r>
      <w:r w:rsidRPr="002A2450">
        <w:rPr>
          <w:rFonts w:ascii="ITC Avant Garde" w:hAnsi="ITC Avant Garde"/>
          <w:b/>
        </w:rPr>
        <w:t xml:space="preserve">“TELMEX”/”TENINVER” </w:t>
      </w:r>
      <w:r w:rsidRPr="002A2450">
        <w:rPr>
          <w:rFonts w:ascii="ITC Avant Garde" w:hAnsi="ITC Avant Garde"/>
        </w:rPr>
        <w:t xml:space="preserve">para la consecución de </w:t>
      </w:r>
      <w:r w:rsidR="000F7C0B" w:rsidRPr="002A2450">
        <w:rPr>
          <w:rFonts w:ascii="ITC Avant Garde" w:hAnsi="ITC Avant Garde"/>
        </w:rPr>
        <w:t>los fines pretendidos</w:t>
      </w:r>
      <w:r w:rsidRPr="002A2450">
        <w:rPr>
          <w:rFonts w:ascii="ITC Avant Garde" w:hAnsi="ITC Avant Garde"/>
        </w:rPr>
        <w:t>.</w:t>
      </w:r>
    </w:p>
    <w:p w14:paraId="158F7063" w14:textId="77777777" w:rsidR="00B35F13" w:rsidRDefault="00E17237" w:rsidP="00B35F13">
      <w:pPr>
        <w:spacing w:before="240" w:line="360" w:lineRule="auto"/>
        <w:jc w:val="both"/>
        <w:rPr>
          <w:rFonts w:ascii="ITC Avant Garde" w:hAnsi="ITC Avant Garde"/>
        </w:rPr>
      </w:pPr>
      <w:r w:rsidRPr="002A2450">
        <w:rPr>
          <w:rFonts w:ascii="ITC Avant Garde" w:hAnsi="ITC Avant Garde"/>
        </w:rPr>
        <w:t xml:space="preserve">Ahora bien, con base en lo anterior, debe señalarse que las manifestaciones de </w:t>
      </w:r>
      <w:r w:rsidRPr="002A2450">
        <w:rPr>
          <w:rFonts w:ascii="ITC Avant Garde" w:hAnsi="ITC Avant Garde"/>
          <w:b/>
        </w:rPr>
        <w:t>“TELMEX”</w:t>
      </w:r>
      <w:r w:rsidRPr="002A2450">
        <w:rPr>
          <w:rFonts w:ascii="ITC Avant Garde" w:hAnsi="ITC Avant Garde"/>
        </w:rPr>
        <w:t xml:space="preserve"> resultan insuficientes en virtud de que como se ha señalado, no obstante que se haya celebrado </w:t>
      </w:r>
      <w:r w:rsidR="009B2F1D" w:rsidRPr="002A2450">
        <w:rPr>
          <w:rFonts w:ascii="ITC Avant Garde" w:hAnsi="ITC Avant Garde"/>
        </w:rPr>
        <w:t xml:space="preserve">el </w:t>
      </w:r>
      <w:r w:rsidR="00446A62" w:rsidRPr="002A2450">
        <w:rPr>
          <w:rFonts w:ascii="ITC Avant Garde" w:hAnsi="ITC Avant Garde"/>
          <w:b/>
        </w:rPr>
        <w:t>Convenio de Terminación</w:t>
      </w:r>
      <w:r w:rsidRPr="002A2450">
        <w:rPr>
          <w:rFonts w:ascii="ITC Avant Garde" w:hAnsi="ITC Avant Garde"/>
        </w:rPr>
        <w:t xml:space="preserve"> de los contratos de opción y consecuencias, durante </w:t>
      </w:r>
      <w:r w:rsidR="000F7C0B" w:rsidRPr="002A2450">
        <w:rPr>
          <w:rFonts w:ascii="ITC Avant Garde" w:hAnsi="ITC Avant Garde"/>
        </w:rPr>
        <w:t xml:space="preserve">la </w:t>
      </w:r>
      <w:r w:rsidRPr="002A2450">
        <w:rPr>
          <w:rFonts w:ascii="ITC Avant Garde" w:hAnsi="ITC Avant Garde"/>
        </w:rPr>
        <w:t>vigencia los mismos</w:t>
      </w:r>
      <w:r w:rsidR="000F7C0B" w:rsidRPr="002A2450">
        <w:rPr>
          <w:rFonts w:ascii="ITC Avant Garde" w:hAnsi="ITC Avant Garde"/>
        </w:rPr>
        <w:t xml:space="preserve">, éstos </w:t>
      </w:r>
      <w:r w:rsidR="00446A62" w:rsidRPr="002A2450">
        <w:rPr>
          <w:rFonts w:ascii="ITC Avant Garde" w:hAnsi="ITC Avant Garde"/>
        </w:rPr>
        <w:t xml:space="preserve">otorgaron derechos a </w:t>
      </w:r>
      <w:r w:rsidR="00446A62" w:rsidRPr="002A2450">
        <w:rPr>
          <w:rFonts w:ascii="ITC Avant Garde" w:hAnsi="ITC Avant Garde"/>
          <w:b/>
        </w:rPr>
        <w:lastRenderedPageBreak/>
        <w:t xml:space="preserve">“TELMEX" a través de "TENINVER" </w:t>
      </w:r>
      <w:r w:rsidR="00446A62" w:rsidRPr="002A2450">
        <w:rPr>
          <w:rFonts w:ascii="ITC Avant Garde" w:hAnsi="ITC Avant Garde"/>
        </w:rPr>
        <w:t>para intervenir en la</w:t>
      </w:r>
      <w:r w:rsidRPr="002A2450">
        <w:rPr>
          <w:rFonts w:ascii="ITC Avant Garde" w:hAnsi="ITC Avant Garde"/>
        </w:rPr>
        <w:t xml:space="preserve"> operación </w:t>
      </w:r>
      <w:r w:rsidR="00C50FB3" w:rsidRPr="002A2450">
        <w:rPr>
          <w:rFonts w:ascii="ITC Avant Garde" w:hAnsi="ITC Avant Garde"/>
        </w:rPr>
        <w:t>de</w:t>
      </w:r>
      <w:r w:rsidR="00446A62" w:rsidRPr="002A2450">
        <w:rPr>
          <w:rFonts w:ascii="ITC Avant Garde" w:hAnsi="ITC Avant Garde"/>
        </w:rPr>
        <w:t xml:space="preserve"> </w:t>
      </w:r>
      <w:r w:rsidR="00446A62" w:rsidRPr="002A2450">
        <w:rPr>
          <w:rFonts w:ascii="ITC Avant Garde" w:hAnsi="ITC Avant Garde"/>
          <w:b/>
        </w:rPr>
        <w:t>"DISH MÉXICO"</w:t>
      </w:r>
      <w:r w:rsidR="00446A62" w:rsidRPr="002A2450">
        <w:rPr>
          <w:rFonts w:ascii="ITC Avant Garde" w:hAnsi="ITC Avant Garde"/>
        </w:rPr>
        <w:t xml:space="preserve"> y sus subsidiarias, incluida </w:t>
      </w:r>
      <w:r w:rsidR="00446A62" w:rsidRPr="002A2450">
        <w:rPr>
          <w:rFonts w:ascii="ITC Avant Garde" w:hAnsi="ITC Avant Garde"/>
          <w:b/>
        </w:rPr>
        <w:t>“COFRESA”</w:t>
      </w:r>
      <w:r w:rsidRPr="002A2450">
        <w:rPr>
          <w:rFonts w:ascii="ITC Avant Garde" w:hAnsi="ITC Avant Garde"/>
        </w:rPr>
        <w:t xml:space="preserve">, por tanto, la terminación de los mismos sólo robustece el hecho de que efectivamente existieron y fueron terminados, de allí que las conclusiones a las que arribó esta autoridad en el acuerdo de inicio eran suficientes para imputar la conducta materia del presente procedimiento, máxime cuando dichos contratos de terminación fueron exhibidos el once de septiembre </w:t>
      </w:r>
      <w:r w:rsidR="000F7C0B" w:rsidRPr="002A2450">
        <w:rPr>
          <w:rFonts w:ascii="ITC Avant Garde" w:hAnsi="ITC Avant Garde"/>
        </w:rPr>
        <w:t>d</w:t>
      </w:r>
      <w:r w:rsidRPr="002A2450">
        <w:rPr>
          <w:rFonts w:ascii="ITC Avant Garde" w:hAnsi="ITC Avant Garde"/>
        </w:rPr>
        <w:t xml:space="preserve">e dos mil quince, esto es, </w:t>
      </w:r>
      <w:r w:rsidR="000F7C0B" w:rsidRPr="002A2450">
        <w:rPr>
          <w:rFonts w:ascii="ITC Avant Garde" w:hAnsi="ITC Avant Garde"/>
        </w:rPr>
        <w:t xml:space="preserve">con posterioridad </w:t>
      </w:r>
      <w:r w:rsidRPr="002A2450">
        <w:rPr>
          <w:rFonts w:ascii="ITC Avant Garde" w:hAnsi="ITC Avant Garde"/>
        </w:rPr>
        <w:t>a la notificación del acuerdo de inicio del procedimiento administrativo de imposición de sanción.</w:t>
      </w:r>
    </w:p>
    <w:p w14:paraId="6E47AFC5" w14:textId="77777777" w:rsidR="00B35F13" w:rsidRDefault="00E17237" w:rsidP="00B35F13">
      <w:pPr>
        <w:spacing w:before="240" w:line="360" w:lineRule="auto"/>
        <w:jc w:val="both"/>
        <w:rPr>
          <w:rFonts w:ascii="ITC Avant Garde" w:hAnsi="ITC Avant Garde"/>
        </w:rPr>
      </w:pPr>
      <w:r w:rsidRPr="002A2450">
        <w:rPr>
          <w:rFonts w:ascii="ITC Avant Garde" w:hAnsi="ITC Avant Garde"/>
        </w:rPr>
        <w:t xml:space="preserve">En lo que respecta al convenio entre socios, debe señalarse que efectivamente no se advierte constancia en los autos del expediente en que actúa de la suscripción de los mismos, no obstante ello, las restricciones a la libre circulación de títulos de capital y modificación a los regímenes societarios no eran de exclusiva competencia de ese contrato sino que también fueron materia </w:t>
      </w:r>
      <w:r w:rsidR="00D67F20" w:rsidRPr="002A2450">
        <w:rPr>
          <w:rFonts w:ascii="ITC Avant Garde" w:hAnsi="ITC Avant Garde"/>
        </w:rPr>
        <w:t xml:space="preserve">del contrato de operación signado </w:t>
      </w:r>
      <w:r w:rsidR="00ED447A" w:rsidRPr="0047339C">
        <w:rPr>
          <w:rFonts w:ascii="ITC Avant Garde" w:eastAsiaTheme="majorEastAsia" w:hAnsi="ITC Avant Garde" w:cstheme="majorBidi"/>
          <w:b/>
          <w:color w:val="0000FF"/>
          <w:szCs w:val="32"/>
        </w:rPr>
        <w:t>“CONFIDENCIAL POR LEY”</w:t>
      </w:r>
      <w:r w:rsidR="00D67F20" w:rsidRPr="0047339C">
        <w:rPr>
          <w:rFonts w:ascii="ITC Avant Garde" w:hAnsi="ITC Avant Garde"/>
          <w:b/>
        </w:rPr>
        <w:t>.</w:t>
      </w:r>
    </w:p>
    <w:p w14:paraId="5D1B0C35" w14:textId="77777777" w:rsidR="00B35F13" w:rsidRDefault="00D67F20" w:rsidP="00B35F13">
      <w:pPr>
        <w:spacing w:before="240" w:line="360" w:lineRule="auto"/>
        <w:jc w:val="both"/>
        <w:rPr>
          <w:rFonts w:ascii="ITC Avant Garde" w:hAnsi="ITC Avant Garde"/>
        </w:rPr>
      </w:pPr>
      <w:r w:rsidRPr="002A2450">
        <w:rPr>
          <w:rFonts w:ascii="ITC Avant Garde" w:hAnsi="ITC Avant Garde"/>
        </w:rPr>
        <w:t>En ese sentido, resulta irrelevante para efectos del presente procedimiento la suscripción o no del citado convenio entre socios</w:t>
      </w:r>
      <w:r w:rsidR="000F7C0B" w:rsidRPr="002A2450">
        <w:rPr>
          <w:rFonts w:ascii="ITC Avant Garde" w:hAnsi="ITC Avant Garde"/>
        </w:rPr>
        <w:t>,</w:t>
      </w:r>
      <w:r w:rsidRPr="002A2450">
        <w:rPr>
          <w:rFonts w:ascii="ITC Avant Garde" w:hAnsi="ITC Avant Garde"/>
        </w:rPr>
        <w:t xml:space="preserve"> cuando existen elementos que acreditan la existencia de cláusulas similares en los demás contratos coaligados, de allí que dicha circunstancia no sea un elemento suficiente para que pueda desvirtuarse la conducta materia del presente procedimiento.</w:t>
      </w:r>
    </w:p>
    <w:p w14:paraId="76104AC4" w14:textId="77777777" w:rsidR="00A80E02" w:rsidRDefault="00D67F20" w:rsidP="00B35F13">
      <w:pPr>
        <w:spacing w:before="240" w:line="360" w:lineRule="auto"/>
        <w:jc w:val="both"/>
        <w:rPr>
          <w:rFonts w:ascii="ITC Avant Garde" w:hAnsi="ITC Avant Garde"/>
        </w:rPr>
        <w:sectPr w:rsidR="00A80E02" w:rsidSect="009F3771">
          <w:headerReference w:type="default" r:id="rId57"/>
          <w:pgSz w:w="12240" w:h="15840"/>
          <w:pgMar w:top="1985" w:right="1701" w:bottom="1418" w:left="1701" w:header="709" w:footer="709" w:gutter="0"/>
          <w:cols w:space="708"/>
          <w:docGrid w:linePitch="360"/>
        </w:sectPr>
      </w:pPr>
      <w:r w:rsidRPr="002A2450">
        <w:rPr>
          <w:rFonts w:ascii="ITC Avant Garde" w:hAnsi="ITC Avant Garde"/>
        </w:rPr>
        <w:t xml:space="preserve">Por otro lado, debe insistirse a </w:t>
      </w:r>
      <w:r w:rsidRPr="002A2450">
        <w:rPr>
          <w:rFonts w:ascii="ITC Avant Garde" w:hAnsi="ITC Avant Garde"/>
          <w:b/>
        </w:rPr>
        <w:t>“TELMEX”</w:t>
      </w:r>
      <w:r w:rsidRPr="002A2450">
        <w:rPr>
          <w:rFonts w:ascii="ITC Avant Garde" w:hAnsi="ITC Avant Garde"/>
        </w:rPr>
        <w:t xml:space="preserve"> que derivado del análisis conjunto de los contratos coaligados, no se advierte que exista un razonamiento lógico </w:t>
      </w:r>
      <w:r w:rsidR="000F7C0B" w:rsidRPr="002A2450">
        <w:rPr>
          <w:rFonts w:ascii="ITC Avant Garde" w:hAnsi="ITC Avant Garde"/>
        </w:rPr>
        <w:t xml:space="preserve">y jurídico </w:t>
      </w:r>
      <w:r w:rsidRPr="002A2450">
        <w:rPr>
          <w:rFonts w:ascii="ITC Avant Garde" w:hAnsi="ITC Avant Garde"/>
        </w:rPr>
        <w:t xml:space="preserve">para limitar la organización interna o externa de las empresas involucradas en la prestación del servicio de </w:t>
      </w:r>
      <w:r w:rsidRPr="002A2450">
        <w:rPr>
          <w:rFonts w:ascii="ITC Avant Garde" w:hAnsi="ITC Avant Garde"/>
          <w:b/>
        </w:rPr>
        <w:t>“DISH”</w:t>
      </w:r>
      <w:r w:rsidRPr="002A2450">
        <w:rPr>
          <w:rFonts w:ascii="ITC Avant Garde" w:hAnsi="ITC Avant Garde"/>
        </w:rPr>
        <w:t xml:space="preserve"> en México, motivo por el cual </w:t>
      </w:r>
      <w:r w:rsidR="000F7C0B" w:rsidRPr="002A2450">
        <w:rPr>
          <w:rFonts w:ascii="ITC Avant Garde" w:hAnsi="ITC Avant Garde"/>
        </w:rPr>
        <w:t xml:space="preserve">contrario </w:t>
      </w:r>
      <w:r w:rsidRPr="002A2450">
        <w:rPr>
          <w:rFonts w:ascii="ITC Avant Garde" w:hAnsi="ITC Avant Garde"/>
        </w:rPr>
        <w:t xml:space="preserve">a lo que señala dicha concesionaria, las cláusulas por </w:t>
      </w:r>
      <w:r w:rsidR="000F7C0B" w:rsidRPr="002A2450">
        <w:rPr>
          <w:rFonts w:ascii="ITC Avant Garde" w:hAnsi="ITC Avant Garde"/>
        </w:rPr>
        <w:t xml:space="preserve">si </w:t>
      </w:r>
      <w:r w:rsidRPr="002A2450">
        <w:rPr>
          <w:rFonts w:ascii="ITC Avant Garde" w:hAnsi="ITC Avant Garde"/>
        </w:rPr>
        <w:t xml:space="preserve">mismas no corresponden a un contenido obligacional común sino que por el contrario pertenecen a un contenido obligacional que esencialmente se refieren a garantizar la inversión que </w:t>
      </w:r>
      <w:r w:rsidRPr="002A2450">
        <w:rPr>
          <w:rFonts w:ascii="ITC Avant Garde" w:hAnsi="ITC Avant Garde"/>
          <w:b/>
        </w:rPr>
        <w:t xml:space="preserve">“TELMEX” </w:t>
      </w:r>
      <w:r w:rsidRPr="002A2450">
        <w:rPr>
          <w:rFonts w:ascii="ITC Avant Garde" w:hAnsi="ITC Avant Garde"/>
        </w:rPr>
        <w:t>ha realizado sobre el negocio</w:t>
      </w:r>
      <w:r w:rsidR="000F7C0B" w:rsidRPr="002A2450">
        <w:rPr>
          <w:rFonts w:ascii="ITC Avant Garde" w:hAnsi="ITC Avant Garde"/>
        </w:rPr>
        <w:t>,</w:t>
      </w:r>
      <w:r w:rsidRPr="002A2450">
        <w:rPr>
          <w:rFonts w:ascii="ITC Avant Garde" w:hAnsi="ITC Avant Garde"/>
        </w:rPr>
        <w:t xml:space="preserve"> asumiendo derechos propios de un socio </w:t>
      </w:r>
    </w:p>
    <w:p w14:paraId="113F8E35" w14:textId="144A00E0" w:rsidR="00B35F13" w:rsidRDefault="00D67F20" w:rsidP="00B35F13">
      <w:pPr>
        <w:spacing w:before="240" w:line="360" w:lineRule="auto"/>
        <w:jc w:val="both"/>
        <w:rPr>
          <w:rFonts w:ascii="ITC Avant Garde" w:hAnsi="ITC Avant Garde"/>
          <w:b/>
        </w:rPr>
      </w:pPr>
      <w:proofErr w:type="gramStart"/>
      <w:r w:rsidRPr="002A2450">
        <w:rPr>
          <w:rFonts w:ascii="ITC Avant Garde" w:hAnsi="ITC Avant Garde"/>
        </w:rPr>
        <w:lastRenderedPageBreak/>
        <w:t>sin</w:t>
      </w:r>
      <w:proofErr w:type="gramEnd"/>
      <w:r w:rsidRPr="002A2450">
        <w:rPr>
          <w:rFonts w:ascii="ITC Avant Garde" w:hAnsi="ITC Avant Garde"/>
        </w:rPr>
        <w:t xml:space="preserve"> serlo y pudiendo participar en el conocimiento de informes</w:t>
      </w:r>
      <w:r w:rsidR="000F7C0B" w:rsidRPr="002A2450">
        <w:rPr>
          <w:rFonts w:ascii="ITC Avant Garde" w:hAnsi="ITC Avant Garde"/>
        </w:rPr>
        <w:t xml:space="preserve"> tanto</w:t>
      </w:r>
      <w:r w:rsidRPr="002A2450">
        <w:rPr>
          <w:rFonts w:ascii="ITC Avant Garde" w:hAnsi="ITC Avant Garde"/>
        </w:rPr>
        <w:t xml:space="preserve"> financieros como operacionales</w:t>
      </w:r>
      <w:r w:rsidR="000F7C0B" w:rsidRPr="002A2450">
        <w:rPr>
          <w:rFonts w:ascii="ITC Avant Garde" w:hAnsi="ITC Avant Garde"/>
        </w:rPr>
        <w:t>, de lo que se sigue que las clá</w:t>
      </w:r>
      <w:r w:rsidRPr="002A2450">
        <w:rPr>
          <w:rFonts w:ascii="ITC Avant Garde" w:hAnsi="ITC Avant Garde"/>
        </w:rPr>
        <w:t xml:space="preserve">usulas sostenidas en todos los contratos celebrados desentrañan un complejo sistema </w:t>
      </w:r>
      <w:r w:rsidR="000F7C0B" w:rsidRPr="002A2450">
        <w:rPr>
          <w:rFonts w:ascii="ITC Avant Garde" w:hAnsi="ITC Avant Garde"/>
        </w:rPr>
        <w:t xml:space="preserve">de organización, </w:t>
      </w:r>
      <w:r w:rsidRPr="002A2450">
        <w:rPr>
          <w:rFonts w:ascii="ITC Avant Garde" w:hAnsi="ITC Avant Garde"/>
        </w:rPr>
        <w:t xml:space="preserve">con un objeto en común en su momento, esto es, garantizar el ejercicio de la opción mediante candados organizacionales </w:t>
      </w:r>
      <w:r w:rsidR="000F7C0B" w:rsidRPr="002A2450">
        <w:rPr>
          <w:rFonts w:ascii="ITC Avant Garde" w:hAnsi="ITC Avant Garde"/>
        </w:rPr>
        <w:t xml:space="preserve">y corporativos </w:t>
      </w:r>
      <w:r w:rsidRPr="002A2450">
        <w:rPr>
          <w:rFonts w:ascii="ITC Avant Garde" w:hAnsi="ITC Avant Garde"/>
        </w:rPr>
        <w:t xml:space="preserve">que permitieron a </w:t>
      </w:r>
      <w:r w:rsidRPr="002A2450">
        <w:rPr>
          <w:rFonts w:ascii="ITC Avant Garde" w:hAnsi="ITC Avant Garde"/>
          <w:b/>
        </w:rPr>
        <w:t>“TELMEX”</w:t>
      </w:r>
      <w:r w:rsidRPr="002A2450">
        <w:rPr>
          <w:rFonts w:ascii="ITC Avant Garde" w:hAnsi="ITC Avant Garde"/>
        </w:rPr>
        <w:t xml:space="preserve"> disminuir el grado de riesgo y la maximización </w:t>
      </w:r>
      <w:r w:rsidR="000F7C0B" w:rsidRPr="002A2450">
        <w:rPr>
          <w:rFonts w:ascii="ITC Avant Garde" w:hAnsi="ITC Avant Garde"/>
        </w:rPr>
        <w:t xml:space="preserve">en la explotación </w:t>
      </w:r>
      <w:r w:rsidRPr="002A2450">
        <w:rPr>
          <w:rFonts w:ascii="ITC Avant Garde" w:hAnsi="ITC Avant Garde"/>
        </w:rPr>
        <w:t xml:space="preserve">de la concesión otorgada a </w:t>
      </w:r>
      <w:r w:rsidRPr="002A2450">
        <w:rPr>
          <w:rFonts w:ascii="ITC Avant Garde" w:hAnsi="ITC Avant Garde"/>
          <w:b/>
        </w:rPr>
        <w:t>“COFRESA”.</w:t>
      </w:r>
    </w:p>
    <w:p w14:paraId="6D468C60" w14:textId="77777777" w:rsidR="00B35F13" w:rsidRDefault="00A116A3" w:rsidP="00B35F13">
      <w:pPr>
        <w:spacing w:before="240" w:line="360" w:lineRule="auto"/>
        <w:jc w:val="both"/>
        <w:rPr>
          <w:rFonts w:ascii="ITC Avant Garde" w:hAnsi="ITC Avant Garde"/>
          <w:b/>
        </w:rPr>
      </w:pPr>
      <w:r w:rsidRPr="002A2450">
        <w:rPr>
          <w:rFonts w:ascii="ITC Avant Garde" w:hAnsi="ITC Avant Garde"/>
        </w:rPr>
        <w:t xml:space="preserve">Es importante mencionar </w:t>
      </w:r>
      <w:r w:rsidR="005F031A" w:rsidRPr="002A2450">
        <w:rPr>
          <w:rFonts w:ascii="ITC Avant Garde" w:hAnsi="ITC Avant Garde"/>
        </w:rPr>
        <w:t xml:space="preserve">que las cláusulas de no competencia como tales, refieren precisamente a cualquier actividad relacionada con el servicio </w:t>
      </w:r>
      <w:r w:rsidR="000A68C4" w:rsidRPr="002A2450">
        <w:rPr>
          <w:rFonts w:ascii="ITC Avant Garde" w:hAnsi="ITC Avant Garde"/>
          <w:b/>
        </w:rPr>
        <w:t>“DTH”</w:t>
      </w:r>
      <w:r w:rsidR="005F031A" w:rsidRPr="002A2450">
        <w:rPr>
          <w:rFonts w:ascii="ITC Avant Garde" w:hAnsi="ITC Avant Garde"/>
        </w:rPr>
        <w:t xml:space="preserve"> en México, por tanto, las mismas tendrían por objeto que el servicio </w:t>
      </w:r>
      <w:r w:rsidR="005F031A" w:rsidRPr="002A2450">
        <w:rPr>
          <w:rFonts w:ascii="ITC Avant Garde" w:hAnsi="ITC Avant Garde"/>
          <w:b/>
        </w:rPr>
        <w:t>“D</w:t>
      </w:r>
      <w:r w:rsidR="00B61711" w:rsidRPr="002A2450">
        <w:rPr>
          <w:rFonts w:ascii="ITC Avant Garde" w:hAnsi="ITC Avant Garde"/>
          <w:b/>
        </w:rPr>
        <w:t>TH</w:t>
      </w:r>
      <w:r w:rsidR="005F031A" w:rsidRPr="002A2450">
        <w:rPr>
          <w:rFonts w:ascii="ITC Avant Garde" w:hAnsi="ITC Avant Garde"/>
          <w:b/>
        </w:rPr>
        <w:t>”</w:t>
      </w:r>
      <w:r w:rsidR="005F031A" w:rsidRPr="002A2450">
        <w:rPr>
          <w:rFonts w:ascii="ITC Avant Garde" w:hAnsi="ITC Avant Garde"/>
        </w:rPr>
        <w:t xml:space="preserve"> de manera exclusiva fuera suministrado a nivel operacional por </w:t>
      </w:r>
      <w:r w:rsidR="005F031A" w:rsidRPr="002A2450">
        <w:rPr>
          <w:rFonts w:ascii="ITC Avant Garde" w:hAnsi="ITC Avant Garde"/>
          <w:b/>
        </w:rPr>
        <w:t>“TELMEX”</w:t>
      </w:r>
      <w:r w:rsidR="005F031A" w:rsidRPr="002A2450">
        <w:rPr>
          <w:rFonts w:ascii="ITC Avant Garde" w:hAnsi="ITC Avant Garde"/>
        </w:rPr>
        <w:t xml:space="preserve"> de ahí que dichas cláusulas hasta antes del convenio de terminación del contrato de opción y consecuencias estuvieron vigentes sin perjuicio de que a la fecha de la emisión de la presente resolución hayan terminado, de lo que se sigue que ello solo robustece el hecho del sistema puesto en marcha a través de los contratos coaligados </w:t>
      </w:r>
      <w:r w:rsidR="000F7C0B" w:rsidRPr="002A2450">
        <w:rPr>
          <w:rFonts w:ascii="ITC Avant Garde" w:hAnsi="ITC Avant Garde"/>
        </w:rPr>
        <w:t xml:space="preserve">para la correcta y eficiente </w:t>
      </w:r>
      <w:r w:rsidR="005F031A" w:rsidRPr="002A2450">
        <w:rPr>
          <w:rFonts w:ascii="ITC Avant Garde" w:hAnsi="ITC Avant Garde"/>
        </w:rPr>
        <w:t xml:space="preserve">prestación de un servicio de televisión en el país, conducta que es contraria al </w:t>
      </w:r>
      <w:r w:rsidR="005F031A" w:rsidRPr="002A2450">
        <w:rPr>
          <w:rFonts w:ascii="ITC Avant Garde" w:hAnsi="ITC Avant Garde"/>
          <w:b/>
        </w:rPr>
        <w:t>TITULO DE CONCESIÓN</w:t>
      </w:r>
      <w:r w:rsidR="008F718E" w:rsidRPr="002A2450">
        <w:rPr>
          <w:rFonts w:ascii="ITC Avant Garde" w:hAnsi="ITC Avant Garde"/>
          <w:b/>
          <w:color w:val="C00000"/>
        </w:rPr>
        <w:t xml:space="preserve"> </w:t>
      </w:r>
      <w:r w:rsidR="005F031A" w:rsidRPr="002A2450">
        <w:rPr>
          <w:rFonts w:ascii="ITC Avant Garde" w:hAnsi="ITC Avant Garde"/>
        </w:rPr>
        <w:t xml:space="preserve">otorgado a </w:t>
      </w:r>
      <w:r w:rsidR="005F031A" w:rsidRPr="002A2450">
        <w:rPr>
          <w:rFonts w:ascii="ITC Avant Garde" w:hAnsi="ITC Avant Garde"/>
          <w:b/>
        </w:rPr>
        <w:t>“TELMEX”.</w:t>
      </w:r>
    </w:p>
    <w:p w14:paraId="58CB4727" w14:textId="77777777" w:rsidR="00B35F13" w:rsidRDefault="005F031A" w:rsidP="00B35F13">
      <w:pPr>
        <w:spacing w:before="240" w:line="360" w:lineRule="auto"/>
        <w:jc w:val="both"/>
        <w:rPr>
          <w:rFonts w:ascii="ITC Avant Garde" w:hAnsi="ITC Avant Garde"/>
        </w:rPr>
      </w:pPr>
      <w:r w:rsidRPr="002A2450">
        <w:rPr>
          <w:rFonts w:ascii="ITC Avant Garde" w:hAnsi="ITC Avant Garde"/>
        </w:rPr>
        <w:t xml:space="preserve">Lo anterior, sin perjuicio de la fase I y/o II que menciona </w:t>
      </w:r>
      <w:r w:rsidRPr="002A2450">
        <w:rPr>
          <w:rFonts w:ascii="ITC Avant Garde" w:hAnsi="ITC Avant Garde"/>
          <w:b/>
        </w:rPr>
        <w:t>“TELMEX”</w:t>
      </w:r>
      <w:r w:rsidRPr="002A2450">
        <w:rPr>
          <w:rFonts w:ascii="ITC Avant Garde" w:hAnsi="ITC Avant Garde"/>
        </w:rPr>
        <w:t xml:space="preserve"> puesto que en todo caso, ello no cambia el hecho de preservar las cosas en el estado en que se encontraban al momento de celebrarse los contratos coaligados respectivos. </w:t>
      </w:r>
    </w:p>
    <w:p w14:paraId="7BAE22DE" w14:textId="77777777" w:rsidR="00B35F13" w:rsidRDefault="000C0868" w:rsidP="00B35F13">
      <w:pPr>
        <w:spacing w:before="240" w:line="360" w:lineRule="auto"/>
        <w:jc w:val="both"/>
        <w:rPr>
          <w:rFonts w:ascii="ITC Avant Garde" w:hAnsi="ITC Avant Garde"/>
        </w:rPr>
      </w:pPr>
      <w:r w:rsidRPr="002A2450">
        <w:rPr>
          <w:rFonts w:ascii="ITC Avant Garde" w:hAnsi="ITC Avant Garde"/>
        </w:rPr>
        <w:t xml:space="preserve">Asimismo, no debe </w:t>
      </w:r>
      <w:r w:rsidR="000F7C0B" w:rsidRPr="002A2450">
        <w:rPr>
          <w:rFonts w:ascii="ITC Avant Garde" w:hAnsi="ITC Avant Garde"/>
        </w:rPr>
        <w:t xml:space="preserve">perderse de vista </w:t>
      </w:r>
      <w:r w:rsidRPr="002A2450">
        <w:rPr>
          <w:rFonts w:ascii="ITC Avant Garde" w:hAnsi="ITC Avant Garde"/>
        </w:rPr>
        <w:t>que lo único respecto de lo cual los contratos señalaron la obligación de obtener autorización de la autoridad respectiva, er</w:t>
      </w:r>
      <w:r w:rsidR="000F7C0B" w:rsidRPr="002A2450">
        <w:rPr>
          <w:rFonts w:ascii="ITC Avant Garde" w:hAnsi="ITC Avant Garde"/>
        </w:rPr>
        <w:t>a</w:t>
      </w:r>
      <w:r w:rsidRPr="002A2450">
        <w:rPr>
          <w:rFonts w:ascii="ITC Avant Garde" w:hAnsi="ITC Avant Garde"/>
        </w:rPr>
        <w:t xml:space="preserve"> precisamente el ejercicio de la opción, por lo que ello no limitó ni impidió a </w:t>
      </w:r>
      <w:r w:rsidRPr="002A2450">
        <w:rPr>
          <w:rFonts w:ascii="ITC Avant Garde" w:hAnsi="ITC Avant Garde"/>
          <w:b/>
        </w:rPr>
        <w:t>“TELMEX”</w:t>
      </w:r>
      <w:r w:rsidRPr="002A2450">
        <w:rPr>
          <w:rFonts w:ascii="ITC Avant Garde" w:hAnsi="ITC Avant Garde"/>
        </w:rPr>
        <w:t xml:space="preserve"> ejercer un control operacional sobre el servicio </w:t>
      </w:r>
      <w:r w:rsidRPr="002A2450">
        <w:rPr>
          <w:rFonts w:ascii="ITC Avant Garde" w:hAnsi="ITC Avant Garde"/>
          <w:b/>
        </w:rPr>
        <w:t>“D</w:t>
      </w:r>
      <w:r w:rsidR="00B61711" w:rsidRPr="002A2450">
        <w:rPr>
          <w:rFonts w:ascii="ITC Avant Garde" w:hAnsi="ITC Avant Garde"/>
          <w:b/>
        </w:rPr>
        <w:t>T</w:t>
      </w:r>
      <w:r w:rsidRPr="002A2450">
        <w:rPr>
          <w:rFonts w:ascii="ITC Avant Garde" w:hAnsi="ITC Avant Garde"/>
          <w:b/>
        </w:rPr>
        <w:t>H”</w:t>
      </w:r>
      <w:r w:rsidR="000F7C0B" w:rsidRPr="002A2450">
        <w:rPr>
          <w:rFonts w:ascii="ITC Avant Garde" w:hAnsi="ITC Avant Garde"/>
          <w:b/>
        </w:rPr>
        <w:t xml:space="preserve"> </w:t>
      </w:r>
      <w:r w:rsidR="000F7C0B" w:rsidRPr="002A2450">
        <w:rPr>
          <w:rFonts w:ascii="ITC Avant Garde" w:hAnsi="ITC Avant Garde"/>
        </w:rPr>
        <w:t>a través de los demás mecanismos mencionados</w:t>
      </w:r>
      <w:r w:rsidRPr="002A2450">
        <w:rPr>
          <w:rFonts w:ascii="ITC Avant Garde" w:hAnsi="ITC Avant Garde"/>
        </w:rPr>
        <w:t xml:space="preserve">, de lo que se sigue que resulta inconcuso pretender que la interpretación de los contratos pueda darse sólo respecto del ejercicio de opción y no así respecto del resto de </w:t>
      </w:r>
      <w:r w:rsidR="000F7C0B" w:rsidRPr="002A2450">
        <w:rPr>
          <w:rFonts w:ascii="ITC Avant Garde" w:hAnsi="ITC Avant Garde"/>
        </w:rPr>
        <w:t xml:space="preserve">las obligaciones previstas en todos </w:t>
      </w:r>
      <w:r w:rsidRPr="002A2450">
        <w:rPr>
          <w:rFonts w:ascii="ITC Avant Garde" w:hAnsi="ITC Avant Garde"/>
        </w:rPr>
        <w:t xml:space="preserve">los contratos celebrados, lo anterior dado que como se ha señalado a lo largo de </w:t>
      </w:r>
      <w:r w:rsidRPr="002A2450">
        <w:rPr>
          <w:rFonts w:ascii="ITC Avant Garde" w:hAnsi="ITC Avant Garde"/>
        </w:rPr>
        <w:lastRenderedPageBreak/>
        <w:t xml:space="preserve">la presente resolución, los mismos mantienen un sistema ordenado que permiten a </w:t>
      </w:r>
      <w:r w:rsidRPr="002A2450">
        <w:rPr>
          <w:rFonts w:ascii="ITC Avant Garde" w:hAnsi="ITC Avant Garde"/>
          <w:b/>
        </w:rPr>
        <w:t>“TELMEX”</w:t>
      </w:r>
      <w:r w:rsidRPr="002A2450">
        <w:rPr>
          <w:rFonts w:ascii="ITC Avant Garde" w:hAnsi="ITC Avant Garde"/>
        </w:rPr>
        <w:t xml:space="preserve"> </w:t>
      </w:r>
      <w:r w:rsidR="000F7C0B" w:rsidRPr="002A2450">
        <w:rPr>
          <w:rFonts w:ascii="ITC Avant Garde" w:hAnsi="ITC Avant Garde"/>
        </w:rPr>
        <w:t xml:space="preserve">tienen una injerencia en </w:t>
      </w:r>
      <w:r w:rsidRPr="002A2450">
        <w:rPr>
          <w:rFonts w:ascii="ITC Avant Garde" w:hAnsi="ITC Avant Garde"/>
        </w:rPr>
        <w:t xml:space="preserve">el control operacional del sistema </w:t>
      </w:r>
      <w:r w:rsidRPr="002A2450">
        <w:rPr>
          <w:rFonts w:ascii="ITC Avant Garde" w:hAnsi="ITC Avant Garde"/>
          <w:b/>
        </w:rPr>
        <w:t>“DISH”</w:t>
      </w:r>
      <w:r w:rsidRPr="002A2450">
        <w:rPr>
          <w:rFonts w:ascii="ITC Avant Garde" w:hAnsi="ITC Avant Garde"/>
        </w:rPr>
        <w:t xml:space="preserve"> en México, cuando su </w:t>
      </w:r>
      <w:r w:rsidRPr="002A2450">
        <w:rPr>
          <w:rFonts w:ascii="ITC Avant Garde" w:hAnsi="ITC Avant Garde"/>
          <w:b/>
        </w:rPr>
        <w:t>“TÍTULO DE CONCESIÓN”</w:t>
      </w:r>
      <w:r w:rsidRPr="002A2450">
        <w:rPr>
          <w:rFonts w:ascii="ITC Avant Garde" w:hAnsi="ITC Avant Garde"/>
        </w:rPr>
        <w:t xml:space="preserve"> le prohíbe realizarlo.</w:t>
      </w:r>
    </w:p>
    <w:p w14:paraId="633733BC" w14:textId="77777777" w:rsidR="00B35F13" w:rsidRDefault="000C0868" w:rsidP="00B35F13">
      <w:pPr>
        <w:spacing w:before="240" w:line="360" w:lineRule="auto"/>
        <w:jc w:val="both"/>
        <w:rPr>
          <w:rFonts w:ascii="ITC Avant Garde" w:hAnsi="ITC Avant Garde"/>
        </w:rPr>
      </w:pPr>
      <w:r w:rsidRPr="002A2450">
        <w:rPr>
          <w:rFonts w:ascii="ITC Avant Garde" w:hAnsi="ITC Avant Garde"/>
        </w:rPr>
        <w:t xml:space="preserve">Ahora bien, no basta que </w:t>
      </w:r>
      <w:r w:rsidRPr="002A2450">
        <w:rPr>
          <w:rFonts w:ascii="ITC Avant Garde" w:hAnsi="ITC Avant Garde"/>
          <w:b/>
        </w:rPr>
        <w:t>“TELMEX”</w:t>
      </w:r>
      <w:r w:rsidRPr="002A2450">
        <w:rPr>
          <w:rFonts w:ascii="ITC Avant Garde" w:hAnsi="ITC Avant Garde"/>
        </w:rPr>
        <w:t xml:space="preserve"> señale que los comunicados entre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 xml:space="preserve">“TELMEX”, </w:t>
      </w:r>
      <w:r w:rsidRPr="002A2450">
        <w:rPr>
          <w:rFonts w:ascii="ITC Avant Garde" w:hAnsi="ITC Avant Garde"/>
        </w:rPr>
        <w:t xml:space="preserve">pusieron en evidencia el verdadero contenido de los contratos, puesto que contrario a lo señalado por dicha concesionaria, los comunicados solo robustecen el cumplimiento entre otros al contrato de operación, arrendamiento, prestación de servicios, distribución y de opción, esto es, el conjunto de acuerdos celebrados, puesto que en caso de </w:t>
      </w:r>
      <w:r w:rsidR="00D37B66" w:rsidRPr="002A2450">
        <w:rPr>
          <w:rFonts w:ascii="ITC Avant Garde" w:hAnsi="ITC Avant Garde"/>
        </w:rPr>
        <w:t xml:space="preserve">no ejecutarse así por parte de </w:t>
      </w:r>
      <w:r w:rsidRPr="002A2450">
        <w:rPr>
          <w:rFonts w:ascii="ITC Avant Garde" w:hAnsi="ITC Avant Garde"/>
          <w:b/>
        </w:rPr>
        <w:t>“DISH MÉXICO”</w:t>
      </w:r>
      <w:r w:rsidRPr="002A2450">
        <w:rPr>
          <w:rFonts w:ascii="ITC Avant Garde" w:hAnsi="ITC Avant Garde"/>
        </w:rPr>
        <w:t xml:space="preserve"> y </w:t>
      </w:r>
      <w:r w:rsidRPr="002A2450">
        <w:rPr>
          <w:rFonts w:ascii="ITC Avant Garde" w:hAnsi="ITC Avant Garde"/>
          <w:b/>
        </w:rPr>
        <w:t>“COFRESA”</w:t>
      </w:r>
      <w:r w:rsidR="00D37B66" w:rsidRPr="002A2450">
        <w:rPr>
          <w:rFonts w:ascii="ITC Avant Garde" w:hAnsi="ITC Avant Garde"/>
        </w:rPr>
        <w:t xml:space="preserve"> ambas empresas </w:t>
      </w:r>
      <w:r w:rsidRPr="002A2450">
        <w:rPr>
          <w:rFonts w:ascii="ITC Avant Garde" w:hAnsi="ITC Avant Garde"/>
        </w:rPr>
        <w:t xml:space="preserve">estarían incumpliendo sus compromisos y con ello el posible ejercicio de la opción de compra y venta con la </w:t>
      </w:r>
      <w:r w:rsidR="00D37B66" w:rsidRPr="002A2450">
        <w:rPr>
          <w:rFonts w:ascii="ITC Avant Garde" w:hAnsi="ITC Avant Garde"/>
        </w:rPr>
        <w:t xml:space="preserve">respectiva </w:t>
      </w:r>
      <w:r w:rsidRPr="002A2450">
        <w:rPr>
          <w:rFonts w:ascii="ITC Avant Garde" w:hAnsi="ITC Avant Garde"/>
        </w:rPr>
        <w:t xml:space="preserve">indemnización a </w:t>
      </w:r>
      <w:r w:rsidRPr="002A2450">
        <w:rPr>
          <w:rFonts w:ascii="ITC Avant Garde" w:hAnsi="ITC Avant Garde"/>
          <w:b/>
        </w:rPr>
        <w:t>“TELMEX”</w:t>
      </w:r>
      <w:r w:rsidR="00D37B66" w:rsidRPr="002A2450">
        <w:rPr>
          <w:rFonts w:ascii="ITC Avant Garde" w:hAnsi="ITC Avant Garde"/>
          <w:b/>
        </w:rPr>
        <w:t>,</w:t>
      </w:r>
      <w:r w:rsidRPr="002A2450">
        <w:rPr>
          <w:rFonts w:ascii="ITC Avant Garde" w:hAnsi="ITC Avant Garde"/>
        </w:rPr>
        <w:t xml:space="preserve"> consecuencias </w:t>
      </w:r>
      <w:r w:rsidR="00D37B66" w:rsidRPr="002A2450">
        <w:rPr>
          <w:rFonts w:ascii="ITC Avant Garde" w:hAnsi="ITC Avant Garde"/>
        </w:rPr>
        <w:t xml:space="preserve">que </w:t>
      </w:r>
      <w:r w:rsidRPr="002A2450">
        <w:rPr>
          <w:rFonts w:ascii="ITC Avant Garde" w:hAnsi="ITC Avant Garde"/>
        </w:rPr>
        <w:t>no derivan necesariamente de un contrato sino del conjunto de los mismos.</w:t>
      </w:r>
    </w:p>
    <w:p w14:paraId="46454D95" w14:textId="77777777" w:rsidR="00B35F13" w:rsidRDefault="001C4218" w:rsidP="00B35F13">
      <w:pPr>
        <w:spacing w:before="240" w:line="360" w:lineRule="auto"/>
        <w:jc w:val="both"/>
        <w:rPr>
          <w:rFonts w:ascii="ITC Avant Garde" w:hAnsi="ITC Avant Garde"/>
        </w:rPr>
      </w:pPr>
      <w:r w:rsidRPr="002A2450">
        <w:rPr>
          <w:rFonts w:ascii="ITC Avant Garde" w:hAnsi="ITC Avant Garde"/>
        </w:rPr>
        <w:t xml:space="preserve">Así las cosas, las manifestaciones realizadas por </w:t>
      </w:r>
      <w:r w:rsidRPr="002A2450">
        <w:rPr>
          <w:rFonts w:ascii="ITC Avant Garde" w:hAnsi="ITC Avant Garde"/>
          <w:b/>
        </w:rPr>
        <w:t>“TELMEX”</w:t>
      </w:r>
      <w:r w:rsidRPr="002A2450">
        <w:rPr>
          <w:rFonts w:ascii="ITC Avant Garde" w:hAnsi="ITC Avant Garde"/>
        </w:rPr>
        <w:t xml:space="preserve"> resultan insuficientes para desvirtuar la conducta materia del presente procedimiento al ser meras manifestaciones sin sustento ni fundamento alguno, de ahí precisamente lo insuficiente de sus argumentos.</w:t>
      </w:r>
    </w:p>
    <w:p w14:paraId="784BB0E0" w14:textId="3519404E" w:rsidR="00B35F13" w:rsidRPr="00CE1EA8" w:rsidRDefault="00CE1EA8" w:rsidP="00CE1EA8">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Pr>
          <w:rFonts w:ascii="ITC Avant Garde" w:eastAsiaTheme="minorHAnsi" w:hAnsi="ITC Avant Garde" w:cstheme="minorBidi"/>
          <w:b/>
          <w:sz w:val="22"/>
          <w:szCs w:val="22"/>
          <w:lang w:eastAsia="en-US"/>
        </w:rPr>
        <w:t xml:space="preserve">B. </w:t>
      </w:r>
      <w:r w:rsidR="00441DC2" w:rsidRPr="00CE1EA8">
        <w:rPr>
          <w:rFonts w:ascii="ITC Avant Garde" w:eastAsiaTheme="minorHAnsi" w:hAnsi="ITC Avant Garde" w:cstheme="minorBidi"/>
          <w:b/>
          <w:sz w:val="22"/>
          <w:szCs w:val="22"/>
          <w:lang w:eastAsia="en-US"/>
        </w:rPr>
        <w:t>DEL DERECHO ADQUIRIDO</w:t>
      </w:r>
    </w:p>
    <w:p w14:paraId="085B633E" w14:textId="77777777" w:rsidR="00B35F13" w:rsidRDefault="00F7348A"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rPr>
        <w:t xml:space="preserve">De acuerdo a lo señalado en el inciso </w:t>
      </w:r>
      <w:r w:rsidRPr="002A2450">
        <w:rPr>
          <w:rFonts w:ascii="ITC Avant Garde" w:hAnsi="ITC Avant Garde"/>
          <w:b/>
        </w:rPr>
        <w:t>I)</w:t>
      </w:r>
      <w:r w:rsidRPr="002A2450">
        <w:rPr>
          <w:rFonts w:ascii="ITC Avant Garde" w:hAnsi="ITC Avant Garde"/>
        </w:rPr>
        <w:t xml:space="preserve"> del </w:t>
      </w:r>
      <w:r w:rsidR="00D37B66" w:rsidRPr="002A2450">
        <w:rPr>
          <w:rFonts w:ascii="ITC Avant Garde" w:hAnsi="ITC Avant Garde"/>
          <w:b/>
        </w:rPr>
        <w:t>Considerando Cuarto</w:t>
      </w:r>
      <w:r w:rsidRPr="002A2450">
        <w:rPr>
          <w:rFonts w:ascii="ITC Avant Garde" w:hAnsi="ITC Avant Garde"/>
        </w:rPr>
        <w:t xml:space="preserve">, esta autoridad señaló que previo al análisis de las manifestaciones realizadas por </w:t>
      </w:r>
      <w:r w:rsidRPr="002A2450">
        <w:rPr>
          <w:rFonts w:ascii="ITC Avant Garde" w:hAnsi="ITC Avant Garde"/>
          <w:b/>
        </w:rPr>
        <w:t>“TELMEX”</w:t>
      </w:r>
      <w:r w:rsidRPr="002A2450">
        <w:rPr>
          <w:rFonts w:ascii="ITC Avant Garde" w:hAnsi="ITC Avant Garde"/>
        </w:rPr>
        <w:t xml:space="preserve"> era necesario previamente determinar si los contratos celebrados por dicha concesionaria van más allá de una simple relación comercial </w:t>
      </w:r>
      <w:r w:rsidRPr="002A2450">
        <w:rPr>
          <w:rFonts w:ascii="ITC Avant Garde" w:eastAsia="Times New Roman" w:hAnsi="ITC Avant Garde"/>
          <w:bCs/>
          <w:color w:val="000000"/>
          <w:lang w:eastAsia="es-MX"/>
        </w:rPr>
        <w:t xml:space="preserve">y que de facto entrañan un vínculo jurídico que permite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tener injerencia de manera indirecta </w:t>
      </w:r>
      <w:r w:rsidR="00D37B66" w:rsidRPr="002A2450">
        <w:rPr>
          <w:rFonts w:ascii="ITC Avant Garde" w:eastAsia="Times New Roman" w:hAnsi="ITC Avant Garde"/>
          <w:bCs/>
          <w:color w:val="000000"/>
          <w:lang w:eastAsia="es-MX"/>
        </w:rPr>
        <w:t xml:space="preserve">en la explotación de </w:t>
      </w:r>
      <w:r w:rsidRPr="002A2450">
        <w:rPr>
          <w:rFonts w:ascii="ITC Avant Garde" w:eastAsia="Times New Roman" w:hAnsi="ITC Avant Garde"/>
          <w:bCs/>
          <w:color w:val="000000"/>
          <w:lang w:eastAsia="es-MX"/>
        </w:rPr>
        <w:t>un servicio de televisión en el país</w:t>
      </w:r>
      <w:r w:rsidR="00D37B66"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w:t>
      </w:r>
      <w:r w:rsidR="00D37B66" w:rsidRPr="002A2450">
        <w:rPr>
          <w:rFonts w:ascii="ITC Avant Garde" w:eastAsia="Times New Roman" w:hAnsi="ITC Avant Garde"/>
          <w:bCs/>
          <w:color w:val="000000"/>
          <w:lang w:eastAsia="es-MX"/>
        </w:rPr>
        <w:t xml:space="preserve">cuyo </w:t>
      </w:r>
      <w:r w:rsidRPr="002A2450">
        <w:rPr>
          <w:rFonts w:ascii="ITC Avant Garde" w:eastAsia="Times New Roman" w:hAnsi="ITC Avant Garde"/>
          <w:bCs/>
          <w:color w:val="000000"/>
          <w:lang w:eastAsia="es-MX"/>
        </w:rPr>
        <w:t xml:space="preserve">título de concesión le fue otorgado a </w:t>
      </w:r>
      <w:r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lang w:eastAsia="es-MX"/>
        </w:rPr>
        <w:t>.</w:t>
      </w:r>
    </w:p>
    <w:p w14:paraId="192E82D7" w14:textId="77777777" w:rsidR="00B35F13" w:rsidRDefault="00F7348A"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continuando con el or</w:t>
      </w:r>
      <w:r w:rsidR="00D37B66" w:rsidRPr="002A2450">
        <w:rPr>
          <w:rFonts w:ascii="ITC Avant Garde" w:eastAsia="Times New Roman" w:hAnsi="ITC Avant Garde"/>
          <w:bCs/>
          <w:color w:val="000000"/>
          <w:lang w:eastAsia="es-MX"/>
        </w:rPr>
        <w:t>d</w:t>
      </w:r>
      <w:r w:rsidRPr="002A2450">
        <w:rPr>
          <w:rFonts w:ascii="ITC Avant Garde" w:eastAsia="Times New Roman" w:hAnsi="ITC Avant Garde"/>
          <w:bCs/>
          <w:color w:val="000000"/>
          <w:lang w:eastAsia="es-MX"/>
        </w:rPr>
        <w:t xml:space="preserve">en y método que esta autoridad ha señalado, resulta congruente analizar aquellas manifestaciones relacionadas con </w:t>
      </w:r>
      <w:r w:rsidRPr="002A2450">
        <w:rPr>
          <w:rFonts w:ascii="ITC Avant Garde" w:eastAsia="Times New Roman" w:hAnsi="ITC Avant Garde"/>
          <w:bCs/>
          <w:color w:val="000000"/>
          <w:lang w:eastAsia="es-MX"/>
        </w:rPr>
        <w:lastRenderedPageBreak/>
        <w:t xml:space="preserve">la conducta imputada, esto es, analizar si efectivamente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explota de manera indirecta </w:t>
      </w:r>
      <w:r w:rsidR="00D37B66" w:rsidRPr="002A2450">
        <w:rPr>
          <w:rFonts w:ascii="ITC Avant Garde" w:eastAsia="Times New Roman" w:hAnsi="ITC Avant Garde"/>
          <w:bCs/>
          <w:color w:val="000000"/>
          <w:lang w:eastAsia="es-MX"/>
        </w:rPr>
        <w:t xml:space="preserve">el servicio de </w:t>
      </w:r>
      <w:r w:rsidRPr="002A2450">
        <w:rPr>
          <w:rFonts w:ascii="ITC Avant Garde" w:eastAsia="Times New Roman" w:hAnsi="ITC Avant Garde"/>
          <w:bCs/>
          <w:color w:val="000000"/>
          <w:lang w:eastAsia="es-MX"/>
        </w:rPr>
        <w:t>televisión en el país</w:t>
      </w:r>
      <w:r w:rsidR="00D37B66" w:rsidRPr="002A2450">
        <w:rPr>
          <w:rFonts w:ascii="ITC Avant Garde" w:eastAsia="Times New Roman" w:hAnsi="ITC Avant Garde"/>
          <w:bCs/>
          <w:color w:val="000000"/>
          <w:lang w:eastAsia="es-MX"/>
        </w:rPr>
        <w:t>,</w:t>
      </w:r>
      <w:r w:rsidRPr="002A2450">
        <w:rPr>
          <w:rFonts w:ascii="ITC Avant Garde" w:eastAsia="Times New Roman" w:hAnsi="ITC Avant Garde"/>
          <w:bCs/>
          <w:color w:val="000000"/>
          <w:lang w:eastAsia="es-MX"/>
        </w:rPr>
        <w:t xml:space="preserve"> en contravención a la condición 1-9 de su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w:t>
      </w:r>
    </w:p>
    <w:p w14:paraId="4138DB41" w14:textId="77777777" w:rsidR="00B35F13" w:rsidRDefault="00F7348A"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al no haber encontrado elemento alguno que desvirtuara c</w:t>
      </w:r>
      <w:r w:rsidR="00D37B66" w:rsidRPr="002A2450">
        <w:rPr>
          <w:rFonts w:ascii="ITC Avant Garde" w:eastAsia="Times New Roman" w:hAnsi="ITC Avant Garde"/>
          <w:bCs/>
          <w:color w:val="000000"/>
          <w:lang w:eastAsia="es-MX"/>
        </w:rPr>
        <w:t>ó</w:t>
      </w:r>
      <w:r w:rsidRPr="002A2450">
        <w:rPr>
          <w:rFonts w:ascii="ITC Avant Garde" w:eastAsia="Times New Roman" w:hAnsi="ITC Avant Garde"/>
          <w:bCs/>
          <w:color w:val="000000"/>
          <w:lang w:eastAsia="es-MX"/>
        </w:rPr>
        <w:t xml:space="preserve">mo </w:t>
      </w:r>
      <w:r w:rsidR="00D37B66" w:rsidRPr="002A2450">
        <w:rPr>
          <w:rFonts w:ascii="ITC Avant Garde" w:eastAsia="Times New Roman" w:hAnsi="ITC Avant Garde"/>
          <w:bCs/>
          <w:color w:val="000000"/>
          <w:lang w:eastAsia="es-MX"/>
        </w:rPr>
        <w:t xml:space="preserve">o de qué forma es que </w:t>
      </w:r>
      <w:r w:rsidRPr="002A2450">
        <w:rPr>
          <w:rFonts w:ascii="ITC Avant Garde" w:eastAsia="Times New Roman" w:hAnsi="ITC Avant Garde"/>
          <w:bCs/>
          <w:color w:val="000000"/>
          <w:lang w:eastAsia="es-MX"/>
        </w:rPr>
        <w:t xml:space="preserve">los contratos coaligados celebrados por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permiten a </w:t>
      </w:r>
      <w:r w:rsidR="00D37B66" w:rsidRPr="002A2450">
        <w:rPr>
          <w:rFonts w:ascii="ITC Avant Garde" w:eastAsia="Times New Roman" w:hAnsi="ITC Avant Garde"/>
          <w:bCs/>
          <w:color w:val="000000"/>
          <w:lang w:eastAsia="es-MX"/>
        </w:rPr>
        <w:t>é</w:t>
      </w:r>
      <w:r w:rsidRPr="002A2450">
        <w:rPr>
          <w:rFonts w:ascii="ITC Avant Garde" w:eastAsia="Times New Roman" w:hAnsi="ITC Avant Garde"/>
          <w:bCs/>
          <w:color w:val="000000"/>
          <w:lang w:eastAsia="es-MX"/>
        </w:rPr>
        <w:t xml:space="preserve">sta participar en el servicio de </w:t>
      </w:r>
      <w:r w:rsidRPr="002A2450">
        <w:rPr>
          <w:rFonts w:ascii="ITC Avant Garde" w:eastAsia="Times New Roman" w:hAnsi="ITC Avant Garde"/>
          <w:b/>
          <w:bCs/>
          <w:color w:val="000000"/>
          <w:lang w:eastAsia="es-MX"/>
        </w:rPr>
        <w:t>“DTH”</w:t>
      </w:r>
      <w:r w:rsidRPr="002A2450">
        <w:rPr>
          <w:rFonts w:ascii="ITC Avant Garde" w:eastAsia="Times New Roman" w:hAnsi="ITC Avant Garde"/>
          <w:bCs/>
          <w:color w:val="000000"/>
          <w:lang w:eastAsia="es-MX"/>
        </w:rPr>
        <w:t xml:space="preserve"> en México, lo conducente es analizar las manifestaciones relacionadas con la </w:t>
      </w:r>
      <w:r w:rsidR="008F718E" w:rsidRPr="009E34A4">
        <w:rPr>
          <w:rFonts w:ascii="ITC Avant Garde" w:eastAsia="Times New Roman" w:hAnsi="ITC Avant Garde"/>
          <w:bCs/>
          <w:color w:val="000000"/>
          <w:lang w:eastAsia="es-MX"/>
        </w:rPr>
        <w:t xml:space="preserve">explotación indirecta </w:t>
      </w:r>
      <w:r w:rsidRPr="002A2450">
        <w:rPr>
          <w:rFonts w:ascii="ITC Avant Garde" w:eastAsia="Times New Roman" w:hAnsi="ITC Avant Garde"/>
          <w:bCs/>
          <w:color w:val="000000"/>
          <w:lang w:eastAsia="es-MX"/>
        </w:rPr>
        <w:t>que esta autoridad presumió en el acuerdo de inicio del procedimiento administrativo de imposición.</w:t>
      </w:r>
    </w:p>
    <w:p w14:paraId="61AE1AB3" w14:textId="77777777" w:rsidR="00B35F13" w:rsidRDefault="00F7348A"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Aclarado lo anterior, se procede al análisis en los siguientes términos:</w:t>
      </w:r>
    </w:p>
    <w:p w14:paraId="7D79D704" w14:textId="77777777" w:rsidR="00B35F13" w:rsidRDefault="00156F60"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en las fojas </w:t>
      </w:r>
      <w:r w:rsidRPr="002A2450">
        <w:rPr>
          <w:rFonts w:ascii="ITC Avant Garde" w:hAnsi="ITC Avant Garde"/>
          <w:b/>
        </w:rPr>
        <w:t xml:space="preserve">veinticuatro y veinticinco </w:t>
      </w:r>
      <w:r w:rsidRPr="002A2450">
        <w:rPr>
          <w:rFonts w:ascii="ITC Avant Garde" w:hAnsi="ITC Avant Garde"/>
        </w:rPr>
        <w:t xml:space="preserve">de su escrito presentado el veintiocho de septiembre de dos mil quince </w:t>
      </w:r>
      <w:r w:rsidR="00D37B66" w:rsidRPr="002A2450">
        <w:rPr>
          <w:rFonts w:ascii="ITC Avant Garde" w:hAnsi="ITC Avant Garde"/>
        </w:rPr>
        <w:t xml:space="preserve">señaló </w:t>
      </w:r>
      <w:r w:rsidRPr="002A2450">
        <w:rPr>
          <w:rFonts w:ascii="ITC Avant Garde" w:hAnsi="ITC Avant Garde"/>
        </w:rPr>
        <w:t>lo siguiente:</w:t>
      </w:r>
    </w:p>
    <w:p w14:paraId="5D904CEA" w14:textId="6F4321F0" w:rsidR="00D55A19" w:rsidRPr="002A2450" w:rsidRDefault="00274C37" w:rsidP="00B35F13">
      <w:pPr>
        <w:spacing w:before="240" w:line="360" w:lineRule="auto"/>
        <w:jc w:val="center"/>
        <w:rPr>
          <w:rFonts w:ascii="ITC Avant Garde" w:hAnsi="ITC Avant Garde"/>
          <w:i/>
        </w:rPr>
      </w:pPr>
      <w:r w:rsidRPr="002A2450">
        <w:rPr>
          <w:rFonts w:ascii="ITC Avant Garde" w:hAnsi="ITC Avant Garde"/>
          <w:i/>
        </w:rPr>
        <w:t>Antecedentes</w:t>
      </w:r>
    </w:p>
    <w:p w14:paraId="52CFFE32" w14:textId="77777777" w:rsidR="00B35F13" w:rsidRDefault="00274C37" w:rsidP="00B35F13">
      <w:pPr>
        <w:pStyle w:val="Prrafodelista"/>
        <w:numPr>
          <w:ilvl w:val="0"/>
          <w:numId w:val="1"/>
        </w:numPr>
        <w:spacing w:before="240" w:line="360" w:lineRule="auto"/>
        <w:jc w:val="both"/>
        <w:rPr>
          <w:rFonts w:ascii="ITC Avant Garde" w:hAnsi="ITC Avant Garde"/>
          <w:i/>
        </w:rPr>
      </w:pPr>
      <w:r w:rsidRPr="002A2450">
        <w:rPr>
          <w:rFonts w:ascii="ITC Avant Garde" w:hAnsi="ITC Avant Garde"/>
          <w:i/>
        </w:rPr>
        <w:t>En los antecedentes primero y segundo del acuerdo de inicio del procedimiento administrativo de imposición de sanción, fueron realizados por la Secretaría de Comunicaciones y Transportes, por lo que no son hechos propios.</w:t>
      </w:r>
    </w:p>
    <w:p w14:paraId="0C0201CA" w14:textId="77777777" w:rsidR="00B35F13" w:rsidRDefault="00156F60" w:rsidP="00B35F13">
      <w:pPr>
        <w:spacing w:before="240" w:line="360" w:lineRule="auto"/>
        <w:jc w:val="both"/>
        <w:rPr>
          <w:rFonts w:ascii="ITC Avant Garde" w:hAnsi="ITC Avant Garde"/>
          <w:b/>
        </w:rPr>
      </w:pPr>
      <w:r w:rsidRPr="002A2450">
        <w:rPr>
          <w:rFonts w:ascii="ITC Avant Garde" w:hAnsi="ITC Avant Garde"/>
        </w:rPr>
        <w:t xml:space="preserve">Al respecto, debe indicarse que efectivamente como lo señala </w:t>
      </w:r>
      <w:r w:rsidRPr="002A2450">
        <w:rPr>
          <w:rFonts w:ascii="ITC Avant Garde" w:hAnsi="ITC Avant Garde"/>
          <w:b/>
        </w:rPr>
        <w:t>“TELMEX”</w:t>
      </w:r>
      <w:r w:rsidRPr="002A2450">
        <w:rPr>
          <w:rFonts w:ascii="ITC Avant Garde" w:hAnsi="ITC Avant Garde"/>
        </w:rPr>
        <w:t xml:space="preserve"> los hechos invocados en los numerales primero y segundo del acuerdo de inicio del procedimiento administrativo de imposición de sanción, se refieren tanto al otorgamiento y su modificación al </w:t>
      </w:r>
      <w:r w:rsidRPr="002A2450">
        <w:rPr>
          <w:rFonts w:ascii="ITC Avant Garde" w:hAnsi="ITC Avant Garde"/>
          <w:b/>
        </w:rPr>
        <w:t>“TÍTULO DE CONCESIÓN”</w:t>
      </w:r>
      <w:r w:rsidRPr="002A2450">
        <w:rPr>
          <w:rFonts w:ascii="ITC Avant Garde" w:hAnsi="ITC Avant Garde"/>
        </w:rPr>
        <w:t xml:space="preserve"> otorgado a dicha concesionaria, motivo por el cual dichas manifestaciones no trascienden al fondo del presente asunto dado que sólo advierte hechos que no resulta</w:t>
      </w:r>
      <w:r w:rsidR="00D37B66" w:rsidRPr="002A2450">
        <w:rPr>
          <w:rFonts w:ascii="ITC Avant Garde" w:hAnsi="ITC Avant Garde"/>
        </w:rPr>
        <w:t>n</w:t>
      </w:r>
      <w:r w:rsidRPr="002A2450">
        <w:rPr>
          <w:rFonts w:ascii="ITC Avant Garde" w:hAnsi="ITC Avant Garde"/>
        </w:rPr>
        <w:t xml:space="preserve"> propios por </w:t>
      </w:r>
      <w:r w:rsidR="00D37B66" w:rsidRPr="002A2450">
        <w:rPr>
          <w:rFonts w:ascii="ITC Avant Garde" w:hAnsi="ITC Avant Garde"/>
        </w:rPr>
        <w:t xml:space="preserve">lo que hace a la citada empresa, sin embargo con los mismos se da cuenta del carácter de concesionaria de la misma para prestar, entre otros, el servicio público telefónico y la prohibición establecida en el </w:t>
      </w:r>
      <w:r w:rsidR="00065AA4" w:rsidRPr="009E34A4">
        <w:rPr>
          <w:rFonts w:ascii="ITC Avant Garde" w:hAnsi="ITC Avant Garde"/>
          <w:b/>
        </w:rPr>
        <w:t>Tercer Párrafo</w:t>
      </w:r>
      <w:r w:rsidR="00D37B66" w:rsidRPr="002A2450">
        <w:rPr>
          <w:rFonts w:ascii="ITC Avant Garde" w:hAnsi="ITC Avant Garde"/>
        </w:rPr>
        <w:t xml:space="preserve"> de la condición 1-9 de su </w:t>
      </w:r>
      <w:r w:rsidR="00D37B66" w:rsidRPr="002A2450">
        <w:rPr>
          <w:rFonts w:ascii="ITC Avant Garde" w:hAnsi="ITC Avant Garde"/>
          <w:b/>
        </w:rPr>
        <w:t>“TÍTULO DE CONCESIÓN”.</w:t>
      </w:r>
    </w:p>
    <w:p w14:paraId="028203BE" w14:textId="77777777" w:rsidR="00B35F13" w:rsidRDefault="00156F60" w:rsidP="00B35F13">
      <w:pPr>
        <w:spacing w:before="240" w:line="360" w:lineRule="auto"/>
        <w:jc w:val="both"/>
        <w:rPr>
          <w:rFonts w:ascii="ITC Avant Garde" w:hAnsi="ITC Avant Garde"/>
        </w:rPr>
      </w:pPr>
      <w:r w:rsidRPr="002A2450">
        <w:rPr>
          <w:rFonts w:ascii="ITC Avant Garde" w:hAnsi="ITC Avant Garde"/>
        </w:rPr>
        <w:lastRenderedPageBreak/>
        <w:t xml:space="preserve">Continúa manifestando </w:t>
      </w:r>
      <w:r w:rsidRPr="002A2450">
        <w:rPr>
          <w:rFonts w:ascii="ITC Avant Garde" w:hAnsi="ITC Avant Garde"/>
          <w:b/>
        </w:rPr>
        <w:t xml:space="preserve">“TELMEX” </w:t>
      </w:r>
      <w:r w:rsidRPr="002A2450">
        <w:rPr>
          <w:rFonts w:ascii="ITC Avant Garde" w:hAnsi="ITC Avant Garde"/>
        </w:rPr>
        <w:t xml:space="preserve">en las fojas </w:t>
      </w:r>
      <w:r w:rsidRPr="002A2450">
        <w:rPr>
          <w:rFonts w:ascii="ITC Avant Garde" w:hAnsi="ITC Avant Garde"/>
          <w:b/>
        </w:rPr>
        <w:t>treinta y dos y treinta y tres</w:t>
      </w:r>
      <w:r w:rsidRPr="002A2450">
        <w:rPr>
          <w:rFonts w:ascii="ITC Avant Garde" w:hAnsi="ITC Avant Garde"/>
        </w:rPr>
        <w:t xml:space="preserve"> lo siguiente:</w:t>
      </w:r>
    </w:p>
    <w:p w14:paraId="489A63A5" w14:textId="77777777" w:rsidR="00B35F13" w:rsidRDefault="000702D5"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Por lo que hace a la afirmación de la autoridad en el sentido de que con la información obtenida se tuvo certeza de la celebración de los contratos.</w:t>
      </w:r>
    </w:p>
    <w:p w14:paraId="670E5403" w14:textId="77777777" w:rsidR="00B35F13" w:rsidRDefault="000702D5" w:rsidP="00B35F13">
      <w:pPr>
        <w:pStyle w:val="Prrafodelista"/>
        <w:spacing w:before="240" w:line="360" w:lineRule="auto"/>
        <w:ind w:left="567" w:right="567"/>
        <w:jc w:val="both"/>
        <w:rPr>
          <w:rFonts w:ascii="ITC Avant Garde" w:hAnsi="ITC Avant Garde"/>
          <w:i/>
        </w:rPr>
      </w:pPr>
      <w:r w:rsidRPr="002A2450">
        <w:rPr>
          <w:rFonts w:ascii="ITC Avant Garde" w:hAnsi="ITC Avant Garde"/>
          <w:i/>
        </w:rPr>
        <w:t>Sin embargo, los contratos de opción de compra venta y el de consecuencias, se dieron por terminados por virtud</w:t>
      </w:r>
      <w:r w:rsidR="00F13CC5" w:rsidRPr="002A2450">
        <w:rPr>
          <w:rFonts w:ascii="ITC Avant Garde" w:hAnsi="ITC Avant Garde"/>
          <w:i/>
        </w:rPr>
        <w:t xml:space="preserve"> del convenio de terminación de 8 de agosto de 2014.</w:t>
      </w:r>
    </w:p>
    <w:p w14:paraId="172017A1" w14:textId="77777777" w:rsidR="00B35F13" w:rsidRDefault="00156F60" w:rsidP="00B35F13">
      <w:pPr>
        <w:spacing w:before="240" w:line="360" w:lineRule="auto"/>
        <w:jc w:val="both"/>
        <w:rPr>
          <w:rFonts w:ascii="ITC Avant Garde" w:hAnsi="ITC Avant Garde"/>
        </w:rPr>
      </w:pPr>
      <w:r w:rsidRPr="002A2450">
        <w:rPr>
          <w:rFonts w:ascii="ITC Avant Garde" w:hAnsi="ITC Avant Garde"/>
        </w:rPr>
        <w:t xml:space="preserve">Dicho argumento resulta </w:t>
      </w:r>
      <w:r w:rsidRPr="002A2450">
        <w:rPr>
          <w:rFonts w:ascii="ITC Avant Garde" w:hAnsi="ITC Avant Garde"/>
          <w:b/>
          <w:u w:val="single"/>
        </w:rPr>
        <w:t>insuficiente</w:t>
      </w:r>
      <w:r w:rsidRPr="002A2450">
        <w:rPr>
          <w:rFonts w:ascii="ITC Avant Garde" w:hAnsi="ITC Avant Garde"/>
        </w:rPr>
        <w:t xml:space="preserve"> en virtud de las siguientes consideraciones: </w:t>
      </w:r>
    </w:p>
    <w:p w14:paraId="73397292" w14:textId="77777777" w:rsidR="00B35F13" w:rsidRDefault="00062DFA" w:rsidP="00B35F13">
      <w:pPr>
        <w:spacing w:before="240" w:line="360" w:lineRule="auto"/>
        <w:jc w:val="both"/>
        <w:rPr>
          <w:rFonts w:ascii="ITC Avant Garde" w:hAnsi="ITC Avant Garde"/>
        </w:rPr>
      </w:pPr>
      <w:r w:rsidRPr="002A2450">
        <w:rPr>
          <w:rFonts w:ascii="ITC Avant Garde" w:hAnsi="ITC Avant Garde"/>
        </w:rPr>
        <w:t>L</w:t>
      </w:r>
      <w:r w:rsidR="00156F60" w:rsidRPr="002A2450">
        <w:rPr>
          <w:rFonts w:ascii="ITC Avant Garde" w:hAnsi="ITC Avant Garde"/>
        </w:rPr>
        <w:t xml:space="preserve">a emisión del acuerdo </w:t>
      </w:r>
      <w:r w:rsidRPr="002A2450">
        <w:rPr>
          <w:rFonts w:ascii="ITC Avant Garde" w:hAnsi="ITC Avant Garde"/>
        </w:rPr>
        <w:t xml:space="preserve">de inicio </w:t>
      </w:r>
      <w:r w:rsidR="00156F60" w:rsidRPr="002A2450">
        <w:rPr>
          <w:rFonts w:ascii="ITC Avant Garde" w:hAnsi="ITC Avant Garde"/>
        </w:rPr>
        <w:t>del procedimiento administrativo de imposición de sanción</w:t>
      </w:r>
      <w:r w:rsidRPr="002A2450">
        <w:rPr>
          <w:rFonts w:ascii="ITC Avant Garde" w:hAnsi="ITC Avant Garde"/>
        </w:rPr>
        <w:t xml:space="preserve"> se realizó el veinticuatro de agosto de dos mil quince, notificado el veinticinco siguiente, en tanto que la terminación de los contratos de opción y consecuencias fue presentado hasta el once de septiembre de dos mil quince, de lo que se sigue que al iniciarse el procedimiento que nos ocupa esta autoridad tenía la presunción de la existencia de los mismos en virtud de los requerimientos formulados por la </w:t>
      </w:r>
      <w:r w:rsidRPr="002A2450">
        <w:rPr>
          <w:rFonts w:ascii="ITC Avant Garde" w:hAnsi="ITC Avant Garde"/>
          <w:b/>
        </w:rPr>
        <w:t>“DGS”</w:t>
      </w:r>
      <w:r w:rsidRPr="002A2450">
        <w:rPr>
          <w:rFonts w:ascii="ITC Avant Garde" w:hAnsi="ITC Avant Garde"/>
        </w:rPr>
        <w:t xml:space="preserve"> mediante los oficios IFT/D04/USV/DGS/1169/2014, IFT/D04/USV/DGS/1383/2014 y IFT/D04/USV/DGS/1753/2014 de veinte de febrero, trece de marzo y veinticinco de </w:t>
      </w:r>
      <w:r w:rsidR="00D37B66" w:rsidRPr="002A2450">
        <w:rPr>
          <w:rFonts w:ascii="ITC Avant Garde" w:hAnsi="ITC Avant Garde"/>
        </w:rPr>
        <w:t>abril, todos de dos mil catorce;</w:t>
      </w:r>
      <w:r w:rsidRPr="002A2450">
        <w:rPr>
          <w:rFonts w:ascii="ITC Avant Garde" w:hAnsi="ITC Avant Garde"/>
        </w:rPr>
        <w:t xml:space="preserve"> en ese sentido, sólo hasta </w:t>
      </w:r>
      <w:r w:rsidR="00D37B66" w:rsidRPr="002A2450">
        <w:rPr>
          <w:rFonts w:ascii="ITC Avant Garde" w:hAnsi="ITC Avant Garde"/>
        </w:rPr>
        <w:t xml:space="preserve">septiembre </w:t>
      </w:r>
      <w:r w:rsidRPr="002A2450">
        <w:rPr>
          <w:rFonts w:ascii="ITC Avant Garde" w:hAnsi="ITC Avant Garde"/>
        </w:rPr>
        <w:t xml:space="preserve">de dos mil quince, </w:t>
      </w:r>
      <w:r w:rsidR="00D37B66" w:rsidRPr="002A2450">
        <w:rPr>
          <w:rFonts w:ascii="ITC Avant Garde" w:hAnsi="ITC Avant Garde"/>
        </w:rPr>
        <w:t xml:space="preserve">esto es, </w:t>
      </w:r>
      <w:r w:rsidRPr="002A2450">
        <w:rPr>
          <w:rFonts w:ascii="ITC Avant Garde" w:hAnsi="ITC Avant Garde"/>
        </w:rPr>
        <w:t>una vez iniciado el procedimiento administrativo de imposición de sanción, es que en su momento se tuvo conocimiento de dicha terminación.</w:t>
      </w:r>
    </w:p>
    <w:p w14:paraId="0FC3456F" w14:textId="77777777" w:rsidR="00B35F13" w:rsidRDefault="00062DFA" w:rsidP="00B35F13">
      <w:pPr>
        <w:spacing w:before="240" w:line="360" w:lineRule="auto"/>
        <w:jc w:val="both"/>
        <w:rPr>
          <w:rFonts w:ascii="ITC Avant Garde" w:hAnsi="ITC Avant Garde"/>
        </w:rPr>
      </w:pPr>
      <w:r w:rsidRPr="002A2450">
        <w:rPr>
          <w:rFonts w:ascii="ITC Avant Garde" w:hAnsi="ITC Avant Garde"/>
        </w:rPr>
        <w:t xml:space="preserve">En ese sentido, lejos de desvirtuar la conducta materia del presente procedimiento, las manifestaciones de </w:t>
      </w:r>
      <w:r w:rsidRPr="002A2450">
        <w:rPr>
          <w:rFonts w:ascii="ITC Avant Garde" w:hAnsi="ITC Avant Garde"/>
          <w:b/>
        </w:rPr>
        <w:t xml:space="preserve">“TELMEX” </w:t>
      </w:r>
      <w:r w:rsidRPr="002A2450">
        <w:rPr>
          <w:rFonts w:ascii="ITC Avant Garde" w:hAnsi="ITC Avant Garde"/>
        </w:rPr>
        <w:t>solo corroboran la existencia de los mismos y la terminación de éstos, por lo que en nada beneficia a dicha concesionaria lo manifestado puesto que terminado</w:t>
      </w:r>
      <w:r w:rsidR="00D37B66" w:rsidRPr="002A2450">
        <w:rPr>
          <w:rFonts w:ascii="ITC Avant Garde" w:hAnsi="ITC Avant Garde"/>
        </w:rPr>
        <w:t>s</w:t>
      </w:r>
      <w:r w:rsidRPr="002A2450">
        <w:rPr>
          <w:rFonts w:ascii="ITC Avant Garde" w:hAnsi="ITC Avant Garde"/>
        </w:rPr>
        <w:t xml:space="preserve"> o no dicho</w:t>
      </w:r>
      <w:r w:rsidR="00D37B66" w:rsidRPr="002A2450">
        <w:rPr>
          <w:rFonts w:ascii="ITC Avant Garde" w:hAnsi="ITC Avant Garde"/>
        </w:rPr>
        <w:t>s</w:t>
      </w:r>
      <w:r w:rsidRPr="002A2450">
        <w:rPr>
          <w:rFonts w:ascii="ITC Avant Garde" w:hAnsi="ITC Avant Garde"/>
        </w:rPr>
        <w:t xml:space="preserve"> contratos</w:t>
      </w:r>
      <w:r w:rsidR="00D37B66" w:rsidRPr="002A2450">
        <w:rPr>
          <w:rFonts w:ascii="ITC Avant Garde" w:hAnsi="ITC Avant Garde"/>
        </w:rPr>
        <w:t>,</w:t>
      </w:r>
      <w:r w:rsidRPr="002A2450">
        <w:rPr>
          <w:rFonts w:ascii="ITC Avant Garde" w:hAnsi="ITC Avant Garde"/>
        </w:rPr>
        <w:t xml:space="preserve"> los mismos estuvieron vigentes y culminados en un evento posterior, de lo que se sigue que sus manifestaciones resultan ser </w:t>
      </w:r>
      <w:r w:rsidR="00D37B66" w:rsidRPr="002A2450">
        <w:rPr>
          <w:rFonts w:ascii="ITC Avant Garde" w:hAnsi="ITC Avant Garde"/>
        </w:rPr>
        <w:t xml:space="preserve">estériles y de igual forma </w:t>
      </w:r>
      <w:r w:rsidRPr="002A2450">
        <w:rPr>
          <w:rFonts w:ascii="ITC Avant Garde" w:hAnsi="ITC Avant Garde"/>
        </w:rPr>
        <w:t>alguno que no desvirtúan la conducta materia del presente procedimiento.</w:t>
      </w:r>
    </w:p>
    <w:p w14:paraId="55CD4B78" w14:textId="77777777" w:rsidR="00B35F13" w:rsidRDefault="008B5430" w:rsidP="00B35F13">
      <w:pPr>
        <w:spacing w:before="240" w:line="360" w:lineRule="auto"/>
        <w:jc w:val="both"/>
        <w:rPr>
          <w:rFonts w:ascii="ITC Avant Garde" w:hAnsi="ITC Avant Garde"/>
        </w:rPr>
      </w:pPr>
      <w:r w:rsidRPr="002A2450">
        <w:rPr>
          <w:rFonts w:ascii="ITC Avant Garde" w:hAnsi="ITC Avant Garde"/>
          <w:b/>
        </w:rPr>
        <w:lastRenderedPageBreak/>
        <w:t>“TELMEX”</w:t>
      </w:r>
      <w:r w:rsidRPr="002A2450">
        <w:rPr>
          <w:rFonts w:ascii="ITC Avant Garde" w:hAnsi="ITC Avant Garde"/>
        </w:rPr>
        <w:t xml:space="preserve"> manifiesta en las fojas cuarenta y tres y cuarenta y cuatro lo siguiente:</w:t>
      </w:r>
    </w:p>
    <w:p w14:paraId="6F241979" w14:textId="77777777" w:rsidR="00B35F13" w:rsidRDefault="00904040" w:rsidP="00B35F13">
      <w:pPr>
        <w:spacing w:before="240" w:line="360" w:lineRule="auto"/>
        <w:ind w:left="567" w:right="567"/>
        <w:jc w:val="both"/>
        <w:rPr>
          <w:rFonts w:ascii="ITC Avant Garde" w:hAnsi="ITC Avant Garde"/>
          <w:i/>
        </w:rPr>
      </w:pPr>
      <w:r w:rsidRPr="002A2450">
        <w:rPr>
          <w:rFonts w:ascii="ITC Avant Garde" w:hAnsi="ITC Avant Garde"/>
          <w:i/>
        </w:rPr>
        <w:t xml:space="preserve">Segundo. Objeto del Título de concesión de </w:t>
      </w:r>
      <w:r w:rsidR="005B601B" w:rsidRPr="002A2450">
        <w:rPr>
          <w:rFonts w:ascii="ITC Avant Garde" w:hAnsi="ITC Avant Garde"/>
          <w:b/>
          <w:i/>
        </w:rPr>
        <w:t>“TELMEX”</w:t>
      </w:r>
      <w:r w:rsidRPr="002A2450">
        <w:rPr>
          <w:rFonts w:ascii="ITC Avant Garde" w:hAnsi="ITC Avant Garde"/>
          <w:i/>
        </w:rPr>
        <w:t>.</w:t>
      </w:r>
    </w:p>
    <w:p w14:paraId="232449B3" w14:textId="77777777" w:rsidR="00B35F13" w:rsidRDefault="00904040" w:rsidP="00B35F13">
      <w:pPr>
        <w:spacing w:before="240" w:line="360" w:lineRule="auto"/>
        <w:ind w:left="567" w:right="567"/>
        <w:jc w:val="both"/>
        <w:rPr>
          <w:rFonts w:ascii="ITC Avant Garde" w:hAnsi="ITC Avant Garde"/>
          <w:i/>
        </w:rPr>
      </w:pPr>
      <w:r w:rsidRPr="002A2450">
        <w:rPr>
          <w:rFonts w:ascii="ITC Avant Garde" w:hAnsi="ITC Avant Garde"/>
          <w:i/>
        </w:rPr>
        <w:t xml:space="preserve">La red pública de </w:t>
      </w:r>
      <w:r w:rsidR="005B601B" w:rsidRPr="002A2450">
        <w:rPr>
          <w:rFonts w:ascii="ITC Avant Garde" w:hAnsi="ITC Avant Garde"/>
          <w:b/>
          <w:i/>
        </w:rPr>
        <w:t>“TELMEX”</w:t>
      </w:r>
      <w:r w:rsidRPr="002A2450">
        <w:rPr>
          <w:rFonts w:ascii="ITC Avant Garde" w:hAnsi="ITC Avant Garde"/>
          <w:i/>
        </w:rPr>
        <w:t xml:space="preserve"> es en realidad una red pública de telecomunicaciones y como tal, a través de la misma se pueden prestar todos los servicios que el avance tecnológico permita.</w:t>
      </w:r>
    </w:p>
    <w:p w14:paraId="2F9F7B94" w14:textId="77777777" w:rsidR="00B35F13" w:rsidRDefault="008062B9" w:rsidP="00B35F13">
      <w:pPr>
        <w:spacing w:before="240" w:line="360" w:lineRule="auto"/>
        <w:jc w:val="both"/>
        <w:rPr>
          <w:rFonts w:ascii="ITC Avant Garde" w:hAnsi="ITC Avant Garde"/>
        </w:rPr>
      </w:pPr>
      <w:r w:rsidRPr="002A2450">
        <w:rPr>
          <w:rFonts w:ascii="ITC Avant Garde" w:hAnsi="ITC Avant Garde"/>
        </w:rPr>
        <w:t xml:space="preserve">Al respecto, su argumento resulta </w:t>
      </w:r>
      <w:r w:rsidRPr="002A2450">
        <w:rPr>
          <w:rFonts w:ascii="ITC Avant Garde" w:hAnsi="ITC Avant Garde"/>
          <w:b/>
          <w:u w:val="single"/>
        </w:rPr>
        <w:t>insuficiente</w:t>
      </w:r>
      <w:r w:rsidRPr="002A2450">
        <w:rPr>
          <w:rFonts w:ascii="ITC Avant Garde" w:hAnsi="ITC Avant Garde"/>
        </w:rPr>
        <w:t xml:space="preserve"> en virtud de las siguientes consideraciones:</w:t>
      </w:r>
    </w:p>
    <w:p w14:paraId="0F4D5CBC" w14:textId="77777777" w:rsidR="00B35F13" w:rsidRDefault="008062B9" w:rsidP="00B35F13">
      <w:pPr>
        <w:spacing w:before="240" w:line="360" w:lineRule="auto"/>
        <w:jc w:val="both"/>
        <w:rPr>
          <w:rFonts w:ascii="ITC Avant Garde" w:hAnsi="ITC Avant Garde"/>
        </w:rPr>
      </w:pPr>
      <w:r w:rsidRPr="002A2450">
        <w:rPr>
          <w:rFonts w:ascii="ITC Avant Garde" w:hAnsi="ITC Avant Garde"/>
        </w:rPr>
        <w:t xml:space="preserve">En principio, el antecedente tercero de la modificación al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efectivamente plantea que el desarrollo tecnológico permite conducir por la red del servicio público telefónico no solo señales de voz sino también datos, textos e imágenes.</w:t>
      </w:r>
    </w:p>
    <w:p w14:paraId="5205773A" w14:textId="77777777" w:rsidR="00B35F13" w:rsidRDefault="008062B9" w:rsidP="00B35F13">
      <w:pPr>
        <w:spacing w:before="240" w:line="360" w:lineRule="auto"/>
        <w:jc w:val="both"/>
        <w:rPr>
          <w:rFonts w:ascii="ITC Avant Garde" w:hAnsi="ITC Avant Garde"/>
        </w:rPr>
      </w:pPr>
      <w:r w:rsidRPr="002A2450">
        <w:rPr>
          <w:rFonts w:ascii="ITC Avant Garde" w:hAnsi="ITC Avant Garde"/>
        </w:rPr>
        <w:t xml:space="preserve">Sin embargo, el esbozo anterior, resulta el preámbulo de las consideraciones señaladas por la Secretaría de Comunicaciones y Transportes en su momento, esto es, las razones que consideró para modificar el </w:t>
      </w:r>
      <w:r w:rsidRPr="002A2450">
        <w:rPr>
          <w:rFonts w:ascii="ITC Avant Garde" w:hAnsi="ITC Avant Garde"/>
          <w:b/>
        </w:rPr>
        <w:t>“TÍTULO DE CONCESIÓN”</w:t>
      </w:r>
      <w:r w:rsidR="00C55809" w:rsidRPr="002A2450">
        <w:rPr>
          <w:rFonts w:ascii="ITC Avant Garde" w:hAnsi="ITC Avant Garde"/>
        </w:rPr>
        <w:t>;</w:t>
      </w:r>
      <w:r w:rsidRPr="002A2450">
        <w:rPr>
          <w:rFonts w:ascii="ITC Avant Garde" w:hAnsi="ITC Avant Garde"/>
        </w:rPr>
        <w:t xml:space="preserve"> para lo anterior basta ver el desarrollo de los antecedentes para advertir que la porción que </w:t>
      </w:r>
      <w:r w:rsidRPr="002A2450">
        <w:rPr>
          <w:rFonts w:ascii="ITC Avant Garde" w:hAnsi="ITC Avant Garde"/>
          <w:b/>
        </w:rPr>
        <w:t>“TELMEX”</w:t>
      </w:r>
      <w:r w:rsidRPr="002A2450">
        <w:rPr>
          <w:rFonts w:ascii="ITC Avant Garde" w:hAnsi="ITC Avant Garde"/>
        </w:rPr>
        <w:t xml:space="preserve"> pretende </w:t>
      </w:r>
      <w:r w:rsidR="00C55809" w:rsidRPr="002A2450">
        <w:rPr>
          <w:rFonts w:ascii="ITC Avant Garde" w:hAnsi="ITC Avant Garde"/>
        </w:rPr>
        <w:t xml:space="preserve">poner de manifiesto </w:t>
      </w:r>
      <w:r w:rsidRPr="002A2450">
        <w:rPr>
          <w:rFonts w:ascii="ITC Avant Garde" w:hAnsi="ITC Avant Garde"/>
        </w:rPr>
        <w:t>es sólo una parte del todo</w:t>
      </w:r>
      <w:r w:rsidR="00C55809" w:rsidRPr="002A2450">
        <w:rPr>
          <w:rFonts w:ascii="ITC Avant Garde" w:hAnsi="ITC Avant Garde"/>
        </w:rPr>
        <w:t>.</w:t>
      </w:r>
      <w:r w:rsidRPr="002A2450">
        <w:rPr>
          <w:rFonts w:ascii="ITC Avant Garde" w:hAnsi="ITC Avant Garde"/>
        </w:rPr>
        <w:t xml:space="preserve"> </w:t>
      </w:r>
      <w:r w:rsidR="00C55809" w:rsidRPr="002A2450">
        <w:rPr>
          <w:rFonts w:ascii="ITC Avant Garde" w:hAnsi="ITC Avant Garde"/>
        </w:rPr>
        <w:t>A</w:t>
      </w:r>
      <w:r w:rsidRPr="002A2450">
        <w:rPr>
          <w:rFonts w:ascii="ITC Avant Garde" w:hAnsi="ITC Avant Garde"/>
        </w:rPr>
        <w:t>l respecto, véase el siguiente desarrollo de dicho</w:t>
      </w:r>
      <w:r w:rsidR="00C55809" w:rsidRPr="002A2450">
        <w:rPr>
          <w:rFonts w:ascii="ITC Avant Garde" w:hAnsi="ITC Avant Garde"/>
        </w:rPr>
        <w:t>s</w:t>
      </w:r>
      <w:r w:rsidRPr="002A2450">
        <w:rPr>
          <w:rFonts w:ascii="ITC Avant Garde" w:hAnsi="ITC Avant Garde"/>
        </w:rPr>
        <w:t xml:space="preserve"> antecedentes:</w:t>
      </w:r>
    </w:p>
    <w:p w14:paraId="7BA49231" w14:textId="25EB616E" w:rsidR="008062B9" w:rsidRPr="002A2450" w:rsidRDefault="008062B9" w:rsidP="007E623E">
      <w:pPr>
        <w:pStyle w:val="Prrafodelista"/>
        <w:numPr>
          <w:ilvl w:val="0"/>
          <w:numId w:val="30"/>
        </w:numPr>
        <w:spacing w:before="240" w:line="360" w:lineRule="auto"/>
        <w:jc w:val="both"/>
        <w:rPr>
          <w:rFonts w:ascii="ITC Avant Garde" w:hAnsi="ITC Avant Garde"/>
        </w:rPr>
      </w:pPr>
      <w:r w:rsidRPr="002A2450">
        <w:rPr>
          <w:rFonts w:ascii="ITC Avant Garde" w:hAnsi="ITC Avant Garde"/>
        </w:rPr>
        <w:t>La Secretaría de Comunicaciones y Transportes otorgó en mil novecientos setenta y seis</w:t>
      </w:r>
      <w:r w:rsidR="00702143" w:rsidRPr="002A2450">
        <w:rPr>
          <w:rFonts w:ascii="ITC Avant Garde" w:hAnsi="ITC Avant Garde"/>
        </w:rPr>
        <w:t>,</w:t>
      </w:r>
      <w:r w:rsidRPr="002A2450">
        <w:rPr>
          <w:rFonts w:ascii="ITC Avant Garde" w:hAnsi="ITC Avant Garde"/>
        </w:rPr>
        <w:t xml:space="preserve"> </w:t>
      </w:r>
      <w:r w:rsidR="00C55809" w:rsidRPr="002A2450">
        <w:rPr>
          <w:rFonts w:ascii="ITC Avant Garde" w:hAnsi="ITC Avant Garde"/>
        </w:rPr>
        <w:t xml:space="preserve">una concesión </w:t>
      </w:r>
      <w:r w:rsidRPr="002A2450">
        <w:rPr>
          <w:rFonts w:ascii="ITC Avant Garde" w:hAnsi="ITC Avant Garde"/>
        </w:rPr>
        <w:t xml:space="preserve">a la empresa paraestatal </w:t>
      </w:r>
      <w:r w:rsidRPr="002A2450">
        <w:rPr>
          <w:rFonts w:ascii="ITC Avant Garde" w:hAnsi="ITC Avant Garde"/>
          <w:b/>
        </w:rPr>
        <w:t>“TELMEX”</w:t>
      </w:r>
      <w:r w:rsidRPr="002A2450">
        <w:rPr>
          <w:rFonts w:ascii="ITC Avant Garde" w:hAnsi="ITC Avant Garde"/>
        </w:rPr>
        <w:t xml:space="preserve"> con una vigencia de treinta años (Antecedente I).</w:t>
      </w:r>
    </w:p>
    <w:p w14:paraId="73896AB1" w14:textId="77777777" w:rsidR="008062B9" w:rsidRPr="002A2450" w:rsidRDefault="008062B9" w:rsidP="007E623E">
      <w:pPr>
        <w:pStyle w:val="Prrafodelista"/>
        <w:numPr>
          <w:ilvl w:val="0"/>
          <w:numId w:val="30"/>
        </w:numPr>
        <w:spacing w:before="240" w:line="360" w:lineRule="auto"/>
        <w:jc w:val="both"/>
        <w:rPr>
          <w:rFonts w:ascii="ITC Avant Garde" w:hAnsi="ITC Avant Garde"/>
        </w:rPr>
      </w:pPr>
      <w:r w:rsidRPr="002A2450">
        <w:rPr>
          <w:rFonts w:ascii="ITC Avant Garde" w:hAnsi="ITC Avant Garde"/>
        </w:rPr>
        <w:t>Ante el reto del desarrollo de las telecomunicaciones, resulta indispensable abrir nuevas posibilidades para su financiamiento mediante la participación de la inversión privada (Antecedente V).</w:t>
      </w:r>
    </w:p>
    <w:p w14:paraId="79CF031B" w14:textId="77777777" w:rsidR="008062B9" w:rsidRPr="002A2450" w:rsidRDefault="008062B9" w:rsidP="007E623E">
      <w:pPr>
        <w:pStyle w:val="Prrafodelista"/>
        <w:numPr>
          <w:ilvl w:val="0"/>
          <w:numId w:val="30"/>
        </w:numPr>
        <w:spacing w:before="240" w:line="360" w:lineRule="auto"/>
        <w:jc w:val="both"/>
        <w:rPr>
          <w:rFonts w:ascii="ITC Avant Garde" w:hAnsi="ITC Avant Garde"/>
        </w:rPr>
      </w:pPr>
      <w:r w:rsidRPr="002A2450">
        <w:rPr>
          <w:rFonts w:ascii="ITC Avant Garde" w:hAnsi="ITC Avant Garde"/>
        </w:rPr>
        <w:t xml:space="preserve">El Gobierno ha decidido reducir su participación accionaria en </w:t>
      </w:r>
      <w:r w:rsidRPr="002A2450">
        <w:rPr>
          <w:rFonts w:ascii="ITC Avant Garde" w:hAnsi="ITC Avant Garde"/>
          <w:b/>
        </w:rPr>
        <w:t xml:space="preserve">“TELMEX” </w:t>
      </w:r>
      <w:r w:rsidRPr="002A2450">
        <w:rPr>
          <w:rFonts w:ascii="ITC Avant Garde" w:hAnsi="ITC Avant Garde"/>
        </w:rPr>
        <w:t>(Antecedentes VI y VIII).</w:t>
      </w:r>
    </w:p>
    <w:p w14:paraId="15B717ED" w14:textId="77777777" w:rsidR="008062B9" w:rsidRPr="002A2450" w:rsidRDefault="008062B9" w:rsidP="007E623E">
      <w:pPr>
        <w:pStyle w:val="Prrafodelista"/>
        <w:numPr>
          <w:ilvl w:val="0"/>
          <w:numId w:val="30"/>
        </w:numPr>
        <w:spacing w:before="240" w:line="360" w:lineRule="auto"/>
        <w:jc w:val="both"/>
        <w:rPr>
          <w:rFonts w:ascii="ITC Avant Garde" w:hAnsi="ITC Avant Garde"/>
        </w:rPr>
      </w:pPr>
      <w:r w:rsidRPr="002A2450">
        <w:rPr>
          <w:rFonts w:ascii="ITC Avant Garde" w:hAnsi="ITC Avant Garde"/>
        </w:rPr>
        <w:t>Asimismo se ha considerado necesario modificar el título de concesión para adecuarlo al avance tecnológico</w:t>
      </w:r>
      <w:r w:rsidR="008F718E" w:rsidRPr="002A2450">
        <w:rPr>
          <w:rFonts w:ascii="ITC Avant Garde" w:hAnsi="ITC Avant Garde"/>
          <w:color w:val="C00000"/>
        </w:rPr>
        <w:t xml:space="preserve"> </w:t>
      </w:r>
      <w:r w:rsidRPr="002A2450">
        <w:rPr>
          <w:rFonts w:ascii="ITC Avant Garde" w:hAnsi="ITC Avant Garde"/>
        </w:rPr>
        <w:t xml:space="preserve">así como para promover una </w:t>
      </w:r>
      <w:r w:rsidRPr="002A2450">
        <w:rPr>
          <w:rFonts w:ascii="ITC Avant Garde" w:hAnsi="ITC Avant Garde"/>
        </w:rPr>
        <w:lastRenderedPageBreak/>
        <w:t>competencia equitativa con otras empresas de telecomunicaciones (Antecedente IX)</w:t>
      </w:r>
    </w:p>
    <w:p w14:paraId="5C50F111" w14:textId="77777777" w:rsidR="00B35F13" w:rsidRDefault="008062B9" w:rsidP="007E623E">
      <w:pPr>
        <w:pStyle w:val="Prrafodelista"/>
        <w:numPr>
          <w:ilvl w:val="0"/>
          <w:numId w:val="30"/>
        </w:numPr>
        <w:spacing w:before="240" w:line="360" w:lineRule="auto"/>
        <w:jc w:val="both"/>
        <w:rPr>
          <w:rFonts w:ascii="ITC Avant Garde" w:hAnsi="ITC Avant Garde"/>
        </w:rPr>
      </w:pPr>
      <w:r w:rsidRPr="002A2450">
        <w:rPr>
          <w:rFonts w:ascii="ITC Avant Garde" w:hAnsi="ITC Avant Garde"/>
        </w:rPr>
        <w:t xml:space="preserve">El Gobierno Federal ha decidido modificar el </w:t>
      </w:r>
      <w:r w:rsidRPr="002A2450">
        <w:rPr>
          <w:rFonts w:ascii="ITC Avant Garde" w:hAnsi="ITC Avant Garde"/>
          <w:b/>
        </w:rPr>
        <w:t>“TÍTULO DE CONCESIÓN”</w:t>
      </w:r>
      <w:r w:rsidRPr="002A2450">
        <w:rPr>
          <w:rFonts w:ascii="ITC Avant Garde" w:hAnsi="ITC Avant Garde"/>
        </w:rPr>
        <w:t xml:space="preserve"> con base en los siguientes términos y condiciones (Antecedente X).</w:t>
      </w:r>
    </w:p>
    <w:p w14:paraId="45DC0B45" w14:textId="77777777" w:rsidR="00B35F13" w:rsidRDefault="00E42B7A" w:rsidP="00B35F13">
      <w:pPr>
        <w:spacing w:before="240" w:line="360" w:lineRule="auto"/>
        <w:jc w:val="both"/>
        <w:rPr>
          <w:rFonts w:ascii="ITC Avant Garde" w:hAnsi="ITC Avant Garde"/>
        </w:rPr>
      </w:pPr>
      <w:r w:rsidRPr="002A2450">
        <w:rPr>
          <w:rFonts w:ascii="ITC Avant Garde" w:hAnsi="ITC Avant Garde"/>
        </w:rPr>
        <w:t xml:space="preserve">Con base en lo anterior, efectivamente una de las razones por las cuales el Gobierno Federal decidió reducir su participación en </w:t>
      </w:r>
      <w:r w:rsidRPr="002A2450">
        <w:rPr>
          <w:rFonts w:ascii="ITC Avant Garde" w:hAnsi="ITC Avant Garde"/>
          <w:b/>
        </w:rPr>
        <w:t>“TELMEX”</w:t>
      </w:r>
      <w:r w:rsidRPr="002A2450">
        <w:rPr>
          <w:rFonts w:ascii="ITC Avant Garde" w:hAnsi="ITC Avant Garde"/>
        </w:rPr>
        <w:t xml:space="preserve"> era precisamente permitir la inversión privada, para lo cual el título de concesión tendría que modificarse en virtud del desarrollo tecnológico y abrir una competencia efectiva entre otros operadores de telecomunicaciones. Sin embargo, la red de </w:t>
      </w:r>
      <w:r w:rsidRPr="002A2450">
        <w:rPr>
          <w:rFonts w:ascii="ITC Avant Garde" w:hAnsi="ITC Avant Garde"/>
          <w:b/>
        </w:rPr>
        <w:t>“TELMEX”</w:t>
      </w:r>
      <w:r w:rsidRPr="002A2450">
        <w:rPr>
          <w:rFonts w:ascii="ITC Avant Garde" w:hAnsi="ITC Avant Garde"/>
        </w:rPr>
        <w:t xml:space="preserve"> con base en lo anterior, tendría que adecuarse en términos de las actuales cláusulas.</w:t>
      </w:r>
    </w:p>
    <w:p w14:paraId="6851B56C" w14:textId="77777777" w:rsidR="00B35F13" w:rsidRDefault="00E42B7A" w:rsidP="00B35F13">
      <w:pPr>
        <w:spacing w:before="240" w:line="360" w:lineRule="auto"/>
        <w:jc w:val="both"/>
        <w:rPr>
          <w:rFonts w:ascii="ITC Avant Garde" w:hAnsi="ITC Avant Garde"/>
        </w:rPr>
      </w:pPr>
      <w:r w:rsidRPr="002A2450">
        <w:rPr>
          <w:rFonts w:ascii="ITC Avant Garde" w:hAnsi="ITC Avant Garde"/>
        </w:rPr>
        <w:t xml:space="preserve">En ese sentido, la necesidad de prohibir la participación indirecta en la prestación de un servicio de televisión al país por parte del </w:t>
      </w:r>
      <w:r w:rsidRPr="002A2450">
        <w:rPr>
          <w:rFonts w:ascii="ITC Avant Garde" w:hAnsi="ITC Avant Garde"/>
          <w:b/>
        </w:rPr>
        <w:t>“TELMEX”</w:t>
      </w:r>
      <w:r w:rsidRPr="002A2450">
        <w:rPr>
          <w:rFonts w:ascii="ITC Avant Garde" w:hAnsi="ITC Avant Garde"/>
        </w:rPr>
        <w:t xml:space="preserve"> es una condición que se encuentra vigente y que no puede quedar subordinada a los antecedentes del propio título, ya que como se ha advertido ello sólo corresponde a las consi</w:t>
      </w:r>
      <w:r w:rsidR="00C55809" w:rsidRPr="002A2450">
        <w:rPr>
          <w:rFonts w:ascii="ITC Avant Garde" w:hAnsi="ITC Avant Garde"/>
        </w:rPr>
        <w:t>deraciones que la autoridad tomó</w:t>
      </w:r>
      <w:r w:rsidRPr="002A2450">
        <w:rPr>
          <w:rFonts w:ascii="ITC Avant Garde" w:hAnsi="ITC Avant Garde"/>
        </w:rPr>
        <w:t xml:space="preserve"> en cuenta </w:t>
      </w:r>
      <w:r w:rsidR="00C55809" w:rsidRPr="002A2450">
        <w:rPr>
          <w:rFonts w:ascii="ITC Avant Garde" w:hAnsi="ITC Avant Garde"/>
        </w:rPr>
        <w:t xml:space="preserve">en su momento para autorizar la </w:t>
      </w:r>
      <w:r w:rsidRPr="002A2450">
        <w:rPr>
          <w:rFonts w:ascii="ITC Avant Garde" w:hAnsi="ITC Avant Garde"/>
        </w:rPr>
        <w:t>modificación.</w:t>
      </w:r>
    </w:p>
    <w:p w14:paraId="0E23B9C1" w14:textId="77777777" w:rsidR="00B35F13" w:rsidRDefault="00E42B7A" w:rsidP="00B35F13">
      <w:pPr>
        <w:spacing w:before="240" w:line="360" w:lineRule="auto"/>
        <w:jc w:val="both"/>
        <w:rPr>
          <w:rFonts w:ascii="ITC Avant Garde" w:hAnsi="ITC Avant Garde"/>
        </w:rPr>
      </w:pPr>
      <w:r w:rsidRPr="002A2450">
        <w:rPr>
          <w:rFonts w:ascii="ITC Avant Garde" w:hAnsi="ITC Avant Garde"/>
        </w:rPr>
        <w:t>En tales consideraciones, sus manifestaciones lejos de desvirtuar la conducta materia del presente procedimiento son sólo consideraciones sin fundamento y que en nada beneficia</w:t>
      </w:r>
      <w:r w:rsidR="00C55809" w:rsidRPr="002A2450">
        <w:rPr>
          <w:rFonts w:ascii="ITC Avant Garde" w:hAnsi="ITC Avant Garde"/>
        </w:rPr>
        <w:t>n</w:t>
      </w:r>
      <w:r w:rsidRPr="002A2450">
        <w:rPr>
          <w:rFonts w:ascii="ITC Avant Garde" w:hAnsi="ITC Avant Garde"/>
        </w:rPr>
        <w:t xml:space="preserve"> a </w:t>
      </w:r>
      <w:r w:rsidRPr="002A2450">
        <w:rPr>
          <w:rFonts w:ascii="ITC Avant Garde" w:hAnsi="ITC Avant Garde"/>
          <w:b/>
        </w:rPr>
        <w:t>“TELMEX”</w:t>
      </w:r>
      <w:r w:rsidRPr="002A2450">
        <w:rPr>
          <w:rFonts w:ascii="ITC Avant Garde" w:hAnsi="ITC Avant Garde"/>
        </w:rPr>
        <w:t xml:space="preserve"> en el present</w:t>
      </w:r>
      <w:r w:rsidR="00C55809" w:rsidRPr="002A2450">
        <w:rPr>
          <w:rFonts w:ascii="ITC Avant Garde" w:hAnsi="ITC Avant Garde"/>
        </w:rPr>
        <w:t>e</w:t>
      </w:r>
      <w:r w:rsidRPr="002A2450">
        <w:rPr>
          <w:rFonts w:ascii="ITC Avant Garde" w:hAnsi="ITC Avant Garde"/>
        </w:rPr>
        <w:t xml:space="preserve"> procedimiento</w:t>
      </w:r>
      <w:r w:rsidR="00C55809" w:rsidRPr="002A2450">
        <w:rPr>
          <w:rFonts w:ascii="ITC Avant Garde" w:hAnsi="ITC Avant Garde"/>
        </w:rPr>
        <w:t>,</w:t>
      </w:r>
      <w:r w:rsidRPr="002A2450">
        <w:rPr>
          <w:rFonts w:ascii="ITC Avant Garde" w:hAnsi="ITC Avant Garde"/>
        </w:rPr>
        <w:t xml:space="preserve"> al no atender al fondo de la conducta que se imputa </w:t>
      </w:r>
      <w:r w:rsidR="00C55809" w:rsidRPr="002A2450">
        <w:rPr>
          <w:rFonts w:ascii="ITC Avant Garde" w:hAnsi="ITC Avant Garde"/>
        </w:rPr>
        <w:t xml:space="preserve">y </w:t>
      </w:r>
      <w:r w:rsidRPr="002A2450">
        <w:rPr>
          <w:rFonts w:ascii="ITC Avant Garde" w:hAnsi="ITC Avant Garde"/>
        </w:rPr>
        <w:t xml:space="preserve">de ahí que las mismas resulten insuficientes para desvirtuar la conducta </w:t>
      </w:r>
      <w:r w:rsidR="00C55809" w:rsidRPr="002A2450">
        <w:rPr>
          <w:rFonts w:ascii="ITC Avant Garde" w:hAnsi="ITC Avant Garde"/>
        </w:rPr>
        <w:t xml:space="preserve">materia </w:t>
      </w:r>
      <w:r w:rsidRPr="002A2450">
        <w:rPr>
          <w:rFonts w:ascii="ITC Avant Garde" w:hAnsi="ITC Avant Garde"/>
        </w:rPr>
        <w:t>del presente procedimiento.</w:t>
      </w:r>
    </w:p>
    <w:p w14:paraId="262D25A9" w14:textId="77777777" w:rsidR="00B35F13" w:rsidRDefault="00E42B7A" w:rsidP="00B35F13">
      <w:pPr>
        <w:spacing w:before="240" w:line="360" w:lineRule="auto"/>
        <w:jc w:val="both"/>
        <w:rPr>
          <w:rFonts w:ascii="ITC Avant Garde" w:hAnsi="ITC Avant Garde"/>
        </w:rPr>
      </w:pPr>
      <w:r w:rsidRPr="002A2450">
        <w:rPr>
          <w:rFonts w:ascii="ITC Avant Garde" w:hAnsi="ITC Avant Garde"/>
        </w:rPr>
        <w:t xml:space="preserve">Continua manifestando </w:t>
      </w:r>
      <w:r w:rsidRPr="002A2450">
        <w:rPr>
          <w:rFonts w:ascii="ITC Avant Garde" w:hAnsi="ITC Avant Garde"/>
          <w:b/>
        </w:rPr>
        <w:t>“TELMEX”</w:t>
      </w:r>
      <w:r w:rsidRPr="002A2450">
        <w:rPr>
          <w:rFonts w:ascii="ITC Avant Garde" w:hAnsi="ITC Avant Garde"/>
        </w:rPr>
        <w:t xml:space="preserve"> en las fojas </w:t>
      </w:r>
      <w:r w:rsidR="0035450C" w:rsidRPr="002A2450">
        <w:rPr>
          <w:rFonts w:ascii="ITC Avant Garde" w:hAnsi="ITC Avant Garde"/>
          <w:b/>
        </w:rPr>
        <w:t>cuarenta y cuatro a</w:t>
      </w:r>
      <w:r w:rsidR="00924064" w:rsidRPr="002A2450">
        <w:rPr>
          <w:rFonts w:ascii="ITC Avant Garde" w:hAnsi="ITC Avant Garde"/>
          <w:b/>
        </w:rPr>
        <w:t xml:space="preserve"> cuarenta y cinco</w:t>
      </w:r>
      <w:r w:rsidR="00924064" w:rsidRPr="002A2450">
        <w:rPr>
          <w:rFonts w:ascii="ITC Avant Garde" w:hAnsi="ITC Avant Garde"/>
        </w:rPr>
        <w:t xml:space="preserve"> </w:t>
      </w:r>
      <w:r w:rsidR="0035450C" w:rsidRPr="002A2450">
        <w:rPr>
          <w:rFonts w:ascii="ITC Avant Garde" w:hAnsi="ITC Avant Garde"/>
          <w:b/>
        </w:rPr>
        <w:t xml:space="preserve">y sesenta y ocho </w:t>
      </w:r>
      <w:r w:rsidR="00924064" w:rsidRPr="002A2450">
        <w:rPr>
          <w:rFonts w:ascii="ITC Avant Garde" w:hAnsi="ITC Avant Garde"/>
        </w:rPr>
        <w:t>lo siguiente:</w:t>
      </w:r>
    </w:p>
    <w:p w14:paraId="08D8B2D4" w14:textId="77777777" w:rsidR="00B35F13" w:rsidRDefault="00904040" w:rsidP="00B35F13">
      <w:pPr>
        <w:spacing w:before="240" w:line="360" w:lineRule="auto"/>
        <w:ind w:left="567" w:right="567"/>
        <w:jc w:val="both"/>
        <w:rPr>
          <w:rFonts w:ascii="ITC Avant Garde" w:hAnsi="ITC Avant Garde"/>
          <w:i/>
        </w:rPr>
      </w:pPr>
      <w:r w:rsidRPr="002A2450">
        <w:rPr>
          <w:rFonts w:ascii="ITC Avant Garde" w:hAnsi="ITC Avant Garde"/>
          <w:i/>
        </w:rPr>
        <w:t xml:space="preserve">La transcripción de la condición 1-9 fue superada por el acuerdo de convergencia de servicios fijos de telefonía local y televisión y/o restringidos </w:t>
      </w:r>
      <w:r w:rsidR="00257D8C" w:rsidRPr="002A2450">
        <w:rPr>
          <w:rFonts w:ascii="ITC Avant Garde" w:hAnsi="ITC Avant Garde"/>
          <w:i/>
        </w:rPr>
        <w:t xml:space="preserve">que se proporcionan a través de redes públicas alámbricas </w:t>
      </w:r>
      <w:r w:rsidR="00257D8C" w:rsidRPr="002A2450">
        <w:rPr>
          <w:rFonts w:ascii="ITC Avant Garde" w:hAnsi="ITC Avant Garde"/>
          <w:i/>
        </w:rPr>
        <w:lastRenderedPageBreak/>
        <w:t>e inalámbricas publicado en el Diario Oficial de la Federación el 3 de octubre de 2006.</w:t>
      </w:r>
    </w:p>
    <w:p w14:paraId="51CA14BE" w14:textId="77777777" w:rsidR="00B35F13" w:rsidRDefault="00924064" w:rsidP="00B35F13">
      <w:pPr>
        <w:spacing w:before="240" w:line="360" w:lineRule="auto"/>
        <w:ind w:left="567" w:right="567"/>
        <w:jc w:val="both"/>
        <w:rPr>
          <w:rFonts w:ascii="ITC Avant Garde" w:hAnsi="ITC Avant Garde"/>
          <w:i/>
        </w:rPr>
      </w:pPr>
      <w:r w:rsidRPr="002A2450">
        <w:rPr>
          <w:rFonts w:ascii="ITC Avant Garde" w:hAnsi="ITC Avant Garde"/>
          <w:i/>
        </w:rPr>
        <w:t xml:space="preserve">Todos los requisitos establecidos en el Acuerdo de Convergencia fueron cumplidos por </w:t>
      </w:r>
      <w:r w:rsidR="005B601B" w:rsidRPr="002A2450">
        <w:rPr>
          <w:rFonts w:ascii="ITC Avant Garde" w:hAnsi="ITC Avant Garde"/>
          <w:b/>
          <w:i/>
        </w:rPr>
        <w:t>“TELMEX”</w:t>
      </w:r>
      <w:r w:rsidRPr="002A2450">
        <w:rPr>
          <w:rFonts w:ascii="ITC Avant Garde" w:hAnsi="ITC Avant Garde"/>
          <w:i/>
        </w:rPr>
        <w:t>.</w:t>
      </w:r>
    </w:p>
    <w:p w14:paraId="72820EA8" w14:textId="77777777" w:rsidR="00B35F13" w:rsidRDefault="00924064" w:rsidP="00B35F13">
      <w:pPr>
        <w:spacing w:before="240" w:line="360" w:lineRule="auto"/>
        <w:jc w:val="both"/>
        <w:rPr>
          <w:rFonts w:ascii="ITC Avant Garde" w:hAnsi="ITC Avant Garde"/>
        </w:rPr>
      </w:pPr>
      <w:r w:rsidRPr="002A2450">
        <w:rPr>
          <w:rFonts w:ascii="ITC Avant Garde" w:hAnsi="ITC Avant Garde"/>
        </w:rPr>
        <w:t xml:space="preserve">Al respecto, sus argumentos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0109A711" w14:textId="77777777" w:rsidR="00B35F13" w:rsidRDefault="002601A5" w:rsidP="00B35F13">
      <w:pPr>
        <w:spacing w:before="240" w:line="360" w:lineRule="auto"/>
        <w:jc w:val="both"/>
        <w:rPr>
          <w:rFonts w:ascii="ITC Avant Garde" w:hAnsi="ITC Avant Garde"/>
        </w:rPr>
      </w:pPr>
      <w:r w:rsidRPr="002A2450">
        <w:rPr>
          <w:rFonts w:ascii="ITC Avant Garde" w:hAnsi="ITC Avant Garde"/>
        </w:rPr>
        <w:t>En principio</w:t>
      </w:r>
      <w:r w:rsidR="00C55809" w:rsidRPr="002A2450">
        <w:rPr>
          <w:rFonts w:ascii="ITC Avant Garde" w:hAnsi="ITC Avant Garde"/>
        </w:rPr>
        <w:t>,</w:t>
      </w:r>
      <w:r w:rsidRPr="002A2450">
        <w:rPr>
          <w:rFonts w:ascii="ITC Avant Garde" w:hAnsi="ITC Avant Garde"/>
        </w:rPr>
        <w:t xml:space="preserve"> debe señalarse que contrario a lo manifestado por </w:t>
      </w:r>
      <w:r w:rsidRPr="002A2450">
        <w:rPr>
          <w:rFonts w:ascii="ITC Avant Garde" w:hAnsi="ITC Avant Garde"/>
          <w:b/>
        </w:rPr>
        <w:t>“TELMEX”</w:t>
      </w:r>
      <w:r w:rsidR="00C55809" w:rsidRPr="002A2450">
        <w:rPr>
          <w:rFonts w:ascii="ITC Avant Garde" w:hAnsi="ITC Avant Garde"/>
          <w:b/>
        </w:rPr>
        <w:t>,</w:t>
      </w:r>
      <w:r w:rsidRPr="002A2450">
        <w:rPr>
          <w:rFonts w:ascii="ITC Avant Garde" w:hAnsi="ITC Avant Garde"/>
        </w:rPr>
        <w:t xml:space="preserve"> </w:t>
      </w:r>
      <w:r w:rsidR="00C55809" w:rsidRPr="002A2450">
        <w:rPr>
          <w:rFonts w:ascii="ITC Avant Garde" w:hAnsi="ITC Avant Garde"/>
        </w:rPr>
        <w:t xml:space="preserve">el texto de la </w:t>
      </w:r>
      <w:r w:rsidRPr="002A2450">
        <w:rPr>
          <w:rFonts w:ascii="ITC Avant Garde" w:hAnsi="ITC Avant Garde"/>
        </w:rPr>
        <w:t xml:space="preserve">condición 1-9 del su </w:t>
      </w:r>
      <w:r w:rsidRPr="002A2450">
        <w:rPr>
          <w:rFonts w:ascii="ITC Avant Garde" w:hAnsi="ITC Avant Garde"/>
          <w:b/>
        </w:rPr>
        <w:t>“TÍTULO DE CONCESIÓN”</w:t>
      </w:r>
      <w:r w:rsidRPr="002A2450">
        <w:rPr>
          <w:rFonts w:ascii="ITC Avant Garde" w:hAnsi="ITC Avant Garde"/>
        </w:rPr>
        <w:t xml:space="preserve"> no fue superada por el Acuerdo de Convergencia publicado en el </w:t>
      </w:r>
      <w:r w:rsidRPr="002A2450">
        <w:rPr>
          <w:rFonts w:ascii="ITC Avant Garde" w:hAnsi="ITC Avant Garde"/>
          <w:b/>
        </w:rPr>
        <w:t>“DOF”</w:t>
      </w:r>
      <w:r w:rsidRPr="002A2450">
        <w:rPr>
          <w:rFonts w:ascii="ITC Avant Garde" w:hAnsi="ITC Avant Garde"/>
        </w:rPr>
        <w:t xml:space="preserve"> el tres de octubre de dos mil</w:t>
      </w:r>
      <w:r w:rsidR="00C55809" w:rsidRPr="002A2450">
        <w:rPr>
          <w:rFonts w:ascii="ITC Avant Garde" w:hAnsi="ITC Avant Garde"/>
        </w:rPr>
        <w:t xml:space="preserve"> seis</w:t>
      </w:r>
      <w:r w:rsidRPr="002A2450">
        <w:rPr>
          <w:rFonts w:ascii="ITC Avant Garde" w:hAnsi="ITC Avant Garde"/>
        </w:rPr>
        <w:t>.</w:t>
      </w:r>
    </w:p>
    <w:p w14:paraId="3A9BABD9" w14:textId="77777777" w:rsidR="00B35F13" w:rsidRDefault="002601A5" w:rsidP="00B35F13">
      <w:pPr>
        <w:spacing w:before="240" w:line="360" w:lineRule="auto"/>
        <w:jc w:val="both"/>
        <w:rPr>
          <w:rFonts w:ascii="ITC Avant Garde" w:hAnsi="ITC Avant Garde"/>
        </w:rPr>
      </w:pPr>
      <w:r w:rsidRPr="002A2450">
        <w:rPr>
          <w:rFonts w:ascii="ITC Avant Garde" w:hAnsi="ITC Avant Garde"/>
        </w:rPr>
        <w:t xml:space="preserve">Lo anterior, ya que basta con observar el numeral </w:t>
      </w:r>
      <w:r w:rsidR="00C1336F" w:rsidRPr="002A2450">
        <w:rPr>
          <w:rFonts w:ascii="ITC Avant Garde" w:hAnsi="ITC Avant Garde"/>
        </w:rPr>
        <w:t xml:space="preserve">Décimo Primero de dicho acuerdo para advertir que dentro de los concesionarios con restricciones en sus títulos de concesión se encuentra precisamente </w:t>
      </w:r>
      <w:r w:rsidR="00C1336F" w:rsidRPr="002A2450">
        <w:rPr>
          <w:rFonts w:ascii="ITC Avant Garde" w:hAnsi="ITC Avant Garde"/>
          <w:b/>
        </w:rPr>
        <w:t>“TELMEX”</w:t>
      </w:r>
      <w:r w:rsidR="00C1336F" w:rsidRPr="002A2450">
        <w:rPr>
          <w:rFonts w:ascii="ITC Avant Garde" w:hAnsi="ITC Avant Garde"/>
        </w:rPr>
        <w:t xml:space="preserve"> y en su caso, correspondería a la extinta Comisión Federal de Telecomunicaciones determinar el pago, beneficio económico o contraprestación por la supresión de las cláusulas correspondientes en sus respectivos títulos de concesión</w:t>
      </w:r>
      <w:r w:rsidR="00C55809" w:rsidRPr="002A2450">
        <w:rPr>
          <w:rFonts w:ascii="ITC Avant Garde" w:hAnsi="ITC Avant Garde"/>
        </w:rPr>
        <w:t>, además de que tenía que haber una autorización expresa de la autoridad para superar la prohibición establecida en dicha condición.</w:t>
      </w:r>
    </w:p>
    <w:p w14:paraId="3EA34EEC" w14:textId="77777777" w:rsidR="00B35F13" w:rsidRDefault="00C1336F" w:rsidP="00B35F13">
      <w:pPr>
        <w:spacing w:before="240" w:line="360" w:lineRule="auto"/>
        <w:jc w:val="both"/>
        <w:rPr>
          <w:rFonts w:ascii="ITC Avant Garde" w:hAnsi="ITC Avant Garde"/>
        </w:rPr>
      </w:pPr>
      <w:r w:rsidRPr="002A2450">
        <w:rPr>
          <w:rFonts w:ascii="ITC Avant Garde" w:hAnsi="ITC Avant Garde"/>
        </w:rPr>
        <w:t xml:space="preserve">Por tanto, contrario a lo señalado por </w:t>
      </w:r>
      <w:r w:rsidRPr="002A2450">
        <w:rPr>
          <w:rFonts w:ascii="ITC Avant Garde" w:hAnsi="ITC Avant Garde"/>
          <w:b/>
        </w:rPr>
        <w:t>“TELMEX”</w:t>
      </w:r>
      <w:r w:rsidRPr="002A2450">
        <w:rPr>
          <w:rFonts w:ascii="ITC Avant Garde" w:hAnsi="ITC Avant Garde"/>
        </w:rPr>
        <w:t xml:space="preserve"> dicha </w:t>
      </w:r>
      <w:r w:rsidR="00C55809" w:rsidRPr="002A2450">
        <w:rPr>
          <w:rFonts w:ascii="ITC Avant Garde" w:hAnsi="ITC Avant Garde"/>
        </w:rPr>
        <w:t xml:space="preserve">redacción </w:t>
      </w:r>
      <w:r w:rsidRPr="002A2450">
        <w:rPr>
          <w:rFonts w:ascii="ITC Avant Garde" w:hAnsi="ITC Avant Garde"/>
        </w:rPr>
        <w:t xml:space="preserve">no se encuentra superada </w:t>
      </w:r>
      <w:r w:rsidR="00C55809" w:rsidRPr="002A2450">
        <w:rPr>
          <w:rFonts w:ascii="ITC Avant Garde" w:hAnsi="ITC Avant Garde"/>
        </w:rPr>
        <w:t xml:space="preserve">en </w:t>
      </w:r>
      <w:r w:rsidRPr="002A2450">
        <w:rPr>
          <w:rFonts w:ascii="ITC Avant Garde" w:hAnsi="ITC Avant Garde"/>
        </w:rPr>
        <w:t xml:space="preserve">la condición 1-9 de su </w:t>
      </w:r>
      <w:r w:rsidRPr="002A2450">
        <w:rPr>
          <w:rFonts w:ascii="ITC Avant Garde" w:hAnsi="ITC Avant Garde"/>
          <w:b/>
        </w:rPr>
        <w:t xml:space="preserve">“TÍTULO DE CONCESIÓN” </w:t>
      </w:r>
      <w:r w:rsidRPr="002A2450">
        <w:rPr>
          <w:rFonts w:ascii="ITC Avant Garde" w:hAnsi="ITC Avant Garde"/>
        </w:rPr>
        <w:t>y</w:t>
      </w:r>
      <w:r w:rsidR="00C55809" w:rsidRPr="002A2450">
        <w:rPr>
          <w:rFonts w:ascii="ITC Avant Garde" w:hAnsi="ITC Avant Garde"/>
        </w:rPr>
        <w:t xml:space="preserve"> en consecuencia </w:t>
      </w:r>
      <w:r w:rsidRPr="002A2450">
        <w:rPr>
          <w:rFonts w:ascii="ITC Avant Garde" w:hAnsi="ITC Avant Garde"/>
        </w:rPr>
        <w:t>dicha concesionaria cuenta con una restricción para explotar directa o indirectamente servicio</w:t>
      </w:r>
      <w:r w:rsidR="00C55809" w:rsidRPr="002A2450">
        <w:rPr>
          <w:rFonts w:ascii="ITC Avant Garde" w:hAnsi="ITC Avant Garde"/>
        </w:rPr>
        <w:t>s</w:t>
      </w:r>
      <w:r w:rsidRPr="002A2450">
        <w:rPr>
          <w:rFonts w:ascii="ITC Avant Garde" w:hAnsi="ITC Avant Garde"/>
        </w:rPr>
        <w:t xml:space="preserve"> de televisión </w:t>
      </w:r>
      <w:r w:rsidR="00C55809" w:rsidRPr="002A2450">
        <w:rPr>
          <w:rFonts w:ascii="ITC Avant Garde" w:hAnsi="ITC Avant Garde"/>
        </w:rPr>
        <w:t xml:space="preserve">al público </w:t>
      </w:r>
      <w:r w:rsidRPr="002A2450">
        <w:rPr>
          <w:rFonts w:ascii="ITC Avant Garde" w:hAnsi="ITC Avant Garde"/>
        </w:rPr>
        <w:t>en el país.</w:t>
      </w:r>
    </w:p>
    <w:p w14:paraId="13B64804" w14:textId="77777777" w:rsidR="00B35F13" w:rsidRDefault="00C1336F" w:rsidP="00B35F13">
      <w:pPr>
        <w:spacing w:before="240" w:line="360" w:lineRule="auto"/>
        <w:jc w:val="both"/>
        <w:rPr>
          <w:rFonts w:ascii="ITC Avant Garde" w:hAnsi="ITC Avant Garde"/>
        </w:rPr>
      </w:pPr>
      <w:r w:rsidRPr="002A2450">
        <w:rPr>
          <w:rFonts w:ascii="ITC Avant Garde" w:hAnsi="ITC Avant Garde"/>
        </w:rPr>
        <w:t>Lo anterior, ya que de haber sido así</w:t>
      </w:r>
      <w:r w:rsidR="00C55809" w:rsidRPr="002A2450">
        <w:rPr>
          <w:rFonts w:ascii="ITC Avant Garde" w:hAnsi="ITC Avant Garde"/>
        </w:rPr>
        <w:t>,</w:t>
      </w:r>
      <w:r w:rsidRPr="002A2450">
        <w:rPr>
          <w:rFonts w:ascii="ITC Avant Garde" w:hAnsi="ITC Avant Garde"/>
        </w:rPr>
        <w:t xml:space="preserve"> el propio acuerdo de </w:t>
      </w:r>
      <w:r w:rsidR="00252DAA" w:rsidRPr="002A2450">
        <w:rPr>
          <w:rFonts w:ascii="ITC Avant Garde" w:hAnsi="ITC Avant Garde"/>
        </w:rPr>
        <w:t xml:space="preserve">convergencia </w:t>
      </w:r>
      <w:r w:rsidRPr="002A2450">
        <w:rPr>
          <w:rFonts w:ascii="ITC Avant Garde" w:hAnsi="ITC Avant Garde"/>
        </w:rPr>
        <w:t>lo hubiese señalado, por lo que atendiendo a la interpretación teleológica del propio acuerdo</w:t>
      </w:r>
      <w:r w:rsidR="00C55809" w:rsidRPr="002A2450">
        <w:rPr>
          <w:rFonts w:ascii="ITC Avant Garde" w:hAnsi="ITC Avant Garde"/>
        </w:rPr>
        <w:t xml:space="preserve"> resulta claro que </w:t>
      </w:r>
      <w:r w:rsidRPr="002A2450">
        <w:rPr>
          <w:rFonts w:ascii="ITC Avant Garde" w:hAnsi="ITC Avant Garde"/>
        </w:rPr>
        <w:t>no fue voluntad de la Secretaría de Comunicaciones y Transporte</w:t>
      </w:r>
      <w:r w:rsidR="00C55809" w:rsidRPr="002A2450">
        <w:rPr>
          <w:rFonts w:ascii="ITC Avant Garde" w:hAnsi="ITC Avant Garde"/>
        </w:rPr>
        <w:t>s</w:t>
      </w:r>
      <w:r w:rsidRPr="002A2450">
        <w:rPr>
          <w:rFonts w:ascii="ITC Avant Garde" w:hAnsi="ITC Avant Garde"/>
        </w:rPr>
        <w:t xml:space="preserve"> exentarlo de los requisitos respectivos.</w:t>
      </w:r>
    </w:p>
    <w:p w14:paraId="3056C052" w14:textId="77777777" w:rsidR="00B35F13" w:rsidRDefault="00C1336F" w:rsidP="00B35F13">
      <w:pPr>
        <w:spacing w:before="240" w:line="360" w:lineRule="auto"/>
        <w:jc w:val="both"/>
        <w:rPr>
          <w:rFonts w:ascii="ITC Avant Garde" w:hAnsi="ITC Avant Garde"/>
        </w:rPr>
      </w:pPr>
      <w:r w:rsidRPr="002A2450">
        <w:rPr>
          <w:rFonts w:ascii="ITC Avant Garde" w:hAnsi="ITC Avant Garde"/>
        </w:rPr>
        <w:lastRenderedPageBreak/>
        <w:t xml:space="preserve">Ahora bien, sin perjuicio de lo anterior, debe señalarse que el presente procedimiento no tiene como objeto determinar si </w:t>
      </w:r>
      <w:r w:rsidRPr="002A2450">
        <w:rPr>
          <w:rFonts w:ascii="ITC Avant Garde" w:hAnsi="ITC Avant Garde"/>
          <w:b/>
        </w:rPr>
        <w:t>“TELMEX”</w:t>
      </w:r>
      <w:r w:rsidRPr="002A2450">
        <w:rPr>
          <w:rFonts w:ascii="ITC Avant Garde" w:hAnsi="ITC Avant Garde"/>
        </w:rPr>
        <w:t xml:space="preserve"> cumple o no con lo señalado en el propio acuerdo de convergencia, de lo que se sigue que sus manifestaciones resultan </w:t>
      </w:r>
      <w:r w:rsidR="00C55809" w:rsidRPr="002A2450">
        <w:rPr>
          <w:rFonts w:ascii="ITC Avant Garde" w:hAnsi="ITC Avant Garde"/>
        </w:rPr>
        <w:t xml:space="preserve">efímeras </w:t>
      </w:r>
      <w:r w:rsidRPr="002A2450">
        <w:rPr>
          <w:rFonts w:ascii="ITC Avant Garde" w:hAnsi="ITC Avant Garde"/>
        </w:rPr>
        <w:t>al no desvirtuar la conducta materia del presente procedimiento de ahí lo insuficiente de su argumento.</w:t>
      </w:r>
    </w:p>
    <w:p w14:paraId="6BD18620" w14:textId="77777777" w:rsidR="00B35F13" w:rsidRDefault="00C1336F" w:rsidP="00B35F13">
      <w:pPr>
        <w:spacing w:before="240" w:line="360" w:lineRule="auto"/>
        <w:jc w:val="both"/>
        <w:rPr>
          <w:rFonts w:ascii="ITC Avant Garde" w:hAnsi="ITC Avant Garde"/>
        </w:rPr>
      </w:pPr>
      <w:r w:rsidRPr="002A2450">
        <w:rPr>
          <w:rFonts w:ascii="ITC Avant Garde" w:hAnsi="ITC Avant Garde"/>
          <w:b/>
        </w:rPr>
        <w:t xml:space="preserve">“TELMEX” </w:t>
      </w:r>
      <w:r w:rsidRPr="002A2450">
        <w:rPr>
          <w:rFonts w:ascii="ITC Avant Garde" w:hAnsi="ITC Avant Garde"/>
        </w:rPr>
        <w:t>continúa</w:t>
      </w:r>
      <w:r w:rsidRPr="002A2450">
        <w:rPr>
          <w:rFonts w:ascii="ITC Avant Garde" w:hAnsi="ITC Avant Garde"/>
          <w:b/>
        </w:rPr>
        <w:t xml:space="preserve"> </w:t>
      </w:r>
      <w:r w:rsidRPr="002A2450">
        <w:rPr>
          <w:rFonts w:ascii="ITC Avant Garde" w:hAnsi="ITC Avant Garde"/>
        </w:rPr>
        <w:t xml:space="preserve">manifestando en las páginas </w:t>
      </w:r>
      <w:r w:rsidRPr="002A2450">
        <w:rPr>
          <w:rFonts w:ascii="ITC Avant Garde" w:hAnsi="ITC Avant Garde"/>
          <w:b/>
        </w:rPr>
        <w:t xml:space="preserve">cuarenta y cinco y cuarenta y seis </w:t>
      </w:r>
      <w:r w:rsidRPr="002A2450">
        <w:rPr>
          <w:rFonts w:ascii="ITC Avant Garde" w:hAnsi="ITC Avant Garde"/>
        </w:rPr>
        <w:t>lo siguiente:</w:t>
      </w:r>
    </w:p>
    <w:p w14:paraId="66804866"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Adicionalmente, la prohibición a que se refiere el tercer párrafo de la condición 1-9 se re</w:t>
      </w:r>
      <w:r w:rsidR="00C55809" w:rsidRPr="002A2450">
        <w:rPr>
          <w:rFonts w:ascii="ITC Avant Garde" w:hAnsi="ITC Avant Garde"/>
          <w:i/>
        </w:rPr>
        <w:t>f</w:t>
      </w:r>
      <w:r w:rsidRPr="002A2450">
        <w:rPr>
          <w:rFonts w:ascii="ITC Avant Garde" w:hAnsi="ITC Avant Garde"/>
          <w:i/>
        </w:rPr>
        <w:t xml:space="preserve">iere a televisión abierta y no a la televisión restringida, aunado a que </w:t>
      </w:r>
      <w:r w:rsidR="005B601B" w:rsidRPr="002A2450">
        <w:rPr>
          <w:rFonts w:ascii="ITC Avant Garde" w:hAnsi="ITC Avant Garde"/>
          <w:b/>
          <w:i/>
        </w:rPr>
        <w:t>“TELMEX”</w:t>
      </w:r>
      <w:r w:rsidRPr="002A2450">
        <w:rPr>
          <w:rFonts w:ascii="ITC Avant Garde" w:hAnsi="ITC Avant Garde"/>
          <w:i/>
        </w:rPr>
        <w:t xml:space="preserve"> no explota directa no indirectamente ninguna concesión de televisión al público en el País.</w:t>
      </w:r>
    </w:p>
    <w:p w14:paraId="0B7ECBE8"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 xml:space="preserve">Al desentrañar el contenido de la citada condición, la Unidad de Cumplimiento excede el ámbito de su competencia, ya que el artículo 44, fracción </w:t>
      </w:r>
      <w:r w:rsidR="00C55809" w:rsidRPr="002A2450">
        <w:rPr>
          <w:rFonts w:ascii="ITC Avant Garde" w:hAnsi="ITC Avant Garde"/>
          <w:i/>
        </w:rPr>
        <w:t xml:space="preserve">I </w:t>
      </w:r>
      <w:r w:rsidRPr="002A2450">
        <w:rPr>
          <w:rFonts w:ascii="ITC Avant Garde" w:hAnsi="ITC Avant Garde"/>
          <w:i/>
        </w:rPr>
        <w:t>del Estatuto no le otorga a la Unidad de Cumplimiento competencia alguna para interpretar la ley o los títulos de concesión.</w:t>
      </w:r>
    </w:p>
    <w:p w14:paraId="1FF71136"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En cambio el artículo 6° fracción XVIII del Estatuto sí otorga al Pleno del IFT la facultad de interpretar, en su caso la Ley de Telecomunicaciones, así como las disposiciones administrativas en materia de telecomunicaciones y radiodifusión.</w:t>
      </w:r>
    </w:p>
    <w:p w14:paraId="36CDE7F4"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Por tanto, la Unidad de Cumplimiento debió estar a la interpretación que en su caso hubiera realizado el Pleno de este Instituto o bien formular la consulta respectiva.</w:t>
      </w:r>
    </w:p>
    <w:p w14:paraId="33C25B5A" w14:textId="77777777" w:rsidR="00B35F13" w:rsidRDefault="00C1336F" w:rsidP="00B35F13">
      <w:pPr>
        <w:spacing w:before="240" w:line="360" w:lineRule="auto"/>
        <w:jc w:val="both"/>
        <w:rPr>
          <w:rFonts w:ascii="ITC Avant Garde" w:hAnsi="ITC Avant Garde"/>
        </w:rPr>
      </w:pPr>
      <w:r w:rsidRPr="002A2450">
        <w:rPr>
          <w:rFonts w:ascii="ITC Avant Garde" w:hAnsi="ITC Avant Garde"/>
        </w:rPr>
        <w:t xml:space="preserve">Al respecto, sus argumentos resultan </w:t>
      </w:r>
      <w:r w:rsidRPr="002A2450">
        <w:rPr>
          <w:rFonts w:ascii="ITC Avant Garde" w:hAnsi="ITC Avant Garde"/>
          <w:b/>
          <w:u w:val="single"/>
        </w:rPr>
        <w:t>infundado</w:t>
      </w:r>
      <w:r w:rsidR="00C55809" w:rsidRPr="002A2450">
        <w:rPr>
          <w:rFonts w:ascii="ITC Avant Garde" w:hAnsi="ITC Avant Garde"/>
          <w:b/>
          <w:u w:val="single"/>
        </w:rPr>
        <w:t>s</w:t>
      </w:r>
      <w:r w:rsidRPr="002A2450">
        <w:rPr>
          <w:rFonts w:ascii="ITC Avant Garde" w:hAnsi="ITC Avant Garde"/>
        </w:rPr>
        <w:t xml:space="preserve"> en virtud de las siguientes consideraciones:</w:t>
      </w:r>
    </w:p>
    <w:p w14:paraId="5FD5063F" w14:textId="77777777" w:rsidR="00B35F13" w:rsidRDefault="00991B05" w:rsidP="00B35F13">
      <w:pPr>
        <w:spacing w:before="240" w:line="360" w:lineRule="auto"/>
        <w:jc w:val="both"/>
        <w:rPr>
          <w:rFonts w:ascii="ITC Avant Garde" w:hAnsi="ITC Avant Garde"/>
        </w:rPr>
      </w:pPr>
      <w:r w:rsidRPr="002A2450">
        <w:rPr>
          <w:rFonts w:ascii="ITC Avant Garde" w:hAnsi="ITC Avant Garde"/>
        </w:rPr>
        <w:t xml:space="preserve">En términos del acuerdo de inicio del procedimiento administrativo de imposición de sanción, corresponde de acuerdo al artículo 15 fracción XXX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al </w:t>
      </w:r>
      <w:r w:rsidRPr="002A2450">
        <w:rPr>
          <w:rFonts w:ascii="ITC Avant Garde" w:hAnsi="ITC Avant Garde"/>
        </w:rPr>
        <w:lastRenderedPageBreak/>
        <w:t xml:space="preserve">Pleno de este </w:t>
      </w:r>
      <w:r w:rsidRPr="002A2450">
        <w:rPr>
          <w:rFonts w:ascii="ITC Avant Garde" w:hAnsi="ITC Avant Garde"/>
          <w:b/>
        </w:rPr>
        <w:t>“IFT”</w:t>
      </w:r>
      <w:r w:rsidRPr="002A2450">
        <w:rPr>
          <w:rFonts w:ascii="ITC Avant Garde" w:hAnsi="ITC Avant Garde"/>
        </w:rPr>
        <w:t xml:space="preserve"> imponer sanciones por infracción a las disposiciones legales, reglamentarias o administrativas, o por incumplimiento a lo dispuesto en los títulos de concesión.</w:t>
      </w:r>
    </w:p>
    <w:p w14:paraId="3F68E3AE" w14:textId="77777777" w:rsidR="00B35F13" w:rsidRDefault="00991B05" w:rsidP="00B35F13">
      <w:pPr>
        <w:spacing w:before="240" w:line="360" w:lineRule="auto"/>
        <w:jc w:val="both"/>
        <w:rPr>
          <w:rFonts w:ascii="ITC Avant Garde" w:hAnsi="ITC Avant Garde"/>
          <w:b/>
        </w:rPr>
      </w:pPr>
      <w:r w:rsidRPr="002A2450">
        <w:rPr>
          <w:rFonts w:ascii="ITC Avant Garde" w:hAnsi="ITC Avant Garde"/>
        </w:rPr>
        <w:t xml:space="preserve">Ahora bien, la facultad </w:t>
      </w:r>
      <w:r w:rsidR="00C55809" w:rsidRPr="002A2450">
        <w:rPr>
          <w:rFonts w:ascii="ITC Avant Garde" w:hAnsi="ITC Avant Garde"/>
        </w:rPr>
        <w:t xml:space="preserve">para </w:t>
      </w:r>
      <w:r w:rsidRPr="002A2450">
        <w:rPr>
          <w:rFonts w:ascii="ITC Avant Garde" w:hAnsi="ITC Avant Garde"/>
        </w:rPr>
        <w:t xml:space="preserve">sustanciar los procedimientos administrativos de imposición de sanción, corresponde de manera originaria a la Unidad de Cumplimiento en términos del artículo 41, en relación con el artículo 44, fracción I, del </w:t>
      </w:r>
      <w:r w:rsidRPr="002A2450">
        <w:rPr>
          <w:rFonts w:ascii="ITC Avant Garde" w:hAnsi="ITC Avant Garde"/>
          <w:b/>
        </w:rPr>
        <w:t>“ESTATUTO ORGÁNICO”.</w:t>
      </w:r>
    </w:p>
    <w:p w14:paraId="57715FF3" w14:textId="77777777" w:rsidR="00B35F13" w:rsidRDefault="00991B05" w:rsidP="00B35F13">
      <w:pPr>
        <w:spacing w:before="240" w:line="360" w:lineRule="auto"/>
        <w:jc w:val="both"/>
        <w:rPr>
          <w:rFonts w:ascii="ITC Avant Garde" w:hAnsi="ITC Avant Garde"/>
        </w:rPr>
      </w:pPr>
      <w:r w:rsidRPr="002A2450">
        <w:rPr>
          <w:rFonts w:ascii="ITC Avant Garde" w:hAnsi="ITC Avant Garde"/>
        </w:rPr>
        <w:t xml:space="preserve">En ese sentido, </w:t>
      </w:r>
      <w:r w:rsidRPr="002A2450">
        <w:rPr>
          <w:rFonts w:ascii="ITC Avant Garde" w:hAnsi="ITC Avant Garde"/>
          <w:b/>
        </w:rPr>
        <w:t>“TELMEX”</w:t>
      </w:r>
      <w:r w:rsidRPr="002A2450">
        <w:rPr>
          <w:rFonts w:ascii="ITC Avant Garde" w:hAnsi="ITC Avant Garde"/>
        </w:rPr>
        <w:t xml:space="preserve"> realiza una interpretación </w:t>
      </w:r>
      <w:r w:rsidRPr="002A2450">
        <w:rPr>
          <w:rFonts w:ascii="ITC Avant Garde" w:hAnsi="ITC Avant Garde"/>
          <w:i/>
        </w:rPr>
        <w:t>sui generis</w:t>
      </w:r>
      <w:r w:rsidRPr="002A2450">
        <w:rPr>
          <w:rFonts w:ascii="ITC Avant Garde" w:hAnsi="ITC Avant Garde"/>
        </w:rPr>
        <w:t xml:space="preserve"> del procedimiento sancionatorio, ya que como se ha señalado en la presente resolución, una de las premisas que destacó el Poder Judicial de la Federación es precisamente que el acuerdo de inicio del procedimiento administrativo de imposición de sanción determina la situación jurídica (por lo menos a nivel presuntivo) </w:t>
      </w:r>
      <w:r w:rsidR="00C55809" w:rsidRPr="002A2450">
        <w:rPr>
          <w:rFonts w:ascii="ITC Avant Garde" w:hAnsi="ITC Avant Garde"/>
        </w:rPr>
        <w:t xml:space="preserve">respecto a una posible infracción por parte </w:t>
      </w:r>
      <w:r w:rsidRPr="002A2450">
        <w:rPr>
          <w:rFonts w:ascii="ITC Avant Garde" w:hAnsi="ITC Avant Garde"/>
        </w:rPr>
        <w:t>del concesionario, dado que existen elementos suficientes para el inicio del propio procedimiento.</w:t>
      </w:r>
    </w:p>
    <w:p w14:paraId="0C268E2E" w14:textId="77777777" w:rsidR="00B35F13" w:rsidRDefault="00991B05" w:rsidP="00B35F13">
      <w:pPr>
        <w:spacing w:before="240" w:line="360" w:lineRule="auto"/>
        <w:jc w:val="both"/>
        <w:rPr>
          <w:rFonts w:ascii="ITC Avant Garde" w:hAnsi="ITC Avant Garde"/>
          <w:b/>
        </w:rPr>
      </w:pPr>
      <w:r w:rsidRPr="002A2450">
        <w:rPr>
          <w:rFonts w:ascii="ITC Avant Garde" w:hAnsi="ITC Avant Garde"/>
        </w:rPr>
        <w:t xml:space="preserve">En ese sentido, el acuerdo de inicio del presente procedimiento señaló que el mismo se iniciaba en términos del artículo 15, último y penúltimo párrafos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dentro de los cuales se </w:t>
      </w:r>
      <w:r w:rsidR="00C55809" w:rsidRPr="002A2450">
        <w:rPr>
          <w:rFonts w:ascii="ITC Avant Garde" w:hAnsi="ITC Avant Garde"/>
        </w:rPr>
        <w:t xml:space="preserve">prevé </w:t>
      </w:r>
      <w:r w:rsidR="00693D67" w:rsidRPr="002A2450">
        <w:rPr>
          <w:rFonts w:ascii="ITC Avant Garde" w:hAnsi="ITC Avant Garde"/>
        </w:rPr>
        <w:t xml:space="preserve">que a través del </w:t>
      </w:r>
      <w:r w:rsidR="00693D67" w:rsidRPr="002A2450">
        <w:rPr>
          <w:rFonts w:ascii="ITC Avant Garde" w:hAnsi="ITC Avant Garde"/>
          <w:b/>
        </w:rPr>
        <w:t>“ESTATUTO ORGÁNICO”</w:t>
      </w:r>
      <w:r w:rsidR="00693D67" w:rsidRPr="002A2450">
        <w:rPr>
          <w:rFonts w:ascii="ITC Avant Garde" w:hAnsi="ITC Avant Garde"/>
        </w:rPr>
        <w:t xml:space="preserve"> se </w:t>
      </w:r>
      <w:r w:rsidR="00C55809" w:rsidRPr="002A2450">
        <w:rPr>
          <w:rFonts w:ascii="ITC Avant Garde" w:hAnsi="ITC Avant Garde"/>
        </w:rPr>
        <w:t xml:space="preserve">el Pleno de este </w:t>
      </w:r>
      <w:r w:rsidR="00C55809" w:rsidRPr="002A2450">
        <w:rPr>
          <w:rFonts w:ascii="ITC Avant Garde" w:hAnsi="ITC Avant Garde"/>
          <w:b/>
        </w:rPr>
        <w:t xml:space="preserve">“Instituto” </w:t>
      </w:r>
      <w:r w:rsidR="00C55809" w:rsidRPr="002A2450">
        <w:rPr>
          <w:rFonts w:ascii="ITC Avant Garde" w:hAnsi="ITC Avant Garde"/>
        </w:rPr>
        <w:t xml:space="preserve">establecería </w:t>
      </w:r>
      <w:r w:rsidR="00693D67" w:rsidRPr="002A2450">
        <w:rPr>
          <w:rFonts w:ascii="ITC Avant Garde" w:hAnsi="ITC Avant Garde"/>
        </w:rPr>
        <w:t xml:space="preserve">las facultades y competencias que ejercería cada Unidad Administrativa del propio </w:t>
      </w:r>
      <w:r w:rsidR="00693D67" w:rsidRPr="002A2450">
        <w:rPr>
          <w:rFonts w:ascii="ITC Avant Garde" w:hAnsi="ITC Avant Garde"/>
          <w:b/>
        </w:rPr>
        <w:t>“IFT”.</w:t>
      </w:r>
    </w:p>
    <w:p w14:paraId="4E7E865B" w14:textId="77777777" w:rsidR="00B35F13" w:rsidRDefault="00693D67" w:rsidP="00B35F13">
      <w:pPr>
        <w:spacing w:before="240" w:line="360" w:lineRule="auto"/>
        <w:jc w:val="both"/>
        <w:rPr>
          <w:rFonts w:ascii="ITC Avant Garde" w:hAnsi="ITC Avant Garde"/>
        </w:rPr>
      </w:pPr>
      <w:r w:rsidRPr="002A2450">
        <w:rPr>
          <w:rFonts w:ascii="ITC Avant Garde" w:hAnsi="ITC Avant Garde"/>
        </w:rPr>
        <w:t>En tales consideraciones, la Unidad competente para sustanciar los procedimientos por infracción a las disposiciones legales, reglamentarias o administrativas, o por incumplimiento a lo dispue</w:t>
      </w:r>
      <w:r w:rsidR="00C55809" w:rsidRPr="002A2450">
        <w:rPr>
          <w:rFonts w:ascii="ITC Avant Garde" w:hAnsi="ITC Avant Garde"/>
        </w:rPr>
        <w:t>sto en los títulos de concesión, es la citada Unidad de Cumplimiento en términos del citado artículo 41 en relación con el 44, fracción, ya que así lo determinó el propio Pleno.</w:t>
      </w:r>
    </w:p>
    <w:p w14:paraId="68DA0FF0" w14:textId="77777777" w:rsidR="00B35F13" w:rsidRDefault="00693D67" w:rsidP="00B35F13">
      <w:pPr>
        <w:spacing w:before="240" w:line="360" w:lineRule="auto"/>
        <w:jc w:val="both"/>
        <w:rPr>
          <w:rFonts w:ascii="ITC Avant Garde" w:hAnsi="ITC Avant Garde"/>
        </w:rPr>
      </w:pPr>
      <w:r w:rsidRPr="002A2450">
        <w:rPr>
          <w:rFonts w:ascii="ITC Avant Garde" w:hAnsi="ITC Avant Garde"/>
        </w:rPr>
        <w:t xml:space="preserve">Así las cosas, al no ser una facultad reservada para el Pleno de este </w:t>
      </w:r>
      <w:r w:rsidRPr="002A2450">
        <w:rPr>
          <w:rFonts w:ascii="ITC Avant Garde" w:hAnsi="ITC Avant Garde"/>
          <w:b/>
        </w:rPr>
        <w:t>“IFT”,</w:t>
      </w:r>
      <w:r w:rsidRPr="002A2450">
        <w:rPr>
          <w:rFonts w:ascii="ITC Avant Garde" w:hAnsi="ITC Avant Garde"/>
        </w:rPr>
        <w:t xml:space="preserve"> la misma puede ser ejercida por la Unidad de Cumplimiento. </w:t>
      </w:r>
    </w:p>
    <w:p w14:paraId="3DF2DCE0" w14:textId="77777777" w:rsidR="00B35F13" w:rsidRDefault="00693D67" w:rsidP="00B35F13">
      <w:pPr>
        <w:spacing w:before="240" w:line="360" w:lineRule="auto"/>
        <w:jc w:val="both"/>
        <w:rPr>
          <w:rFonts w:ascii="ITC Avant Garde" w:hAnsi="ITC Avant Garde"/>
        </w:rPr>
      </w:pPr>
      <w:r w:rsidRPr="002A2450">
        <w:rPr>
          <w:rFonts w:ascii="ITC Avant Garde" w:hAnsi="ITC Avant Garde"/>
        </w:rPr>
        <w:lastRenderedPageBreak/>
        <w:t>Al respecto, vale recordar que en asuntos similares el Poder Judicial de la Federación se ha pronunciado al respecto a través de la siguiente tesis:</w:t>
      </w:r>
    </w:p>
    <w:p w14:paraId="7472B931" w14:textId="77777777" w:rsidR="00B35F13" w:rsidRDefault="00693D67" w:rsidP="00B35F13">
      <w:pPr>
        <w:spacing w:before="240" w:line="360" w:lineRule="auto"/>
        <w:ind w:left="567" w:right="567"/>
        <w:jc w:val="both"/>
        <w:rPr>
          <w:rFonts w:ascii="ITC Avant Garde" w:hAnsi="ITC Avant Garde"/>
        </w:rPr>
      </w:pPr>
      <w:r w:rsidRPr="002A2450">
        <w:rPr>
          <w:rFonts w:ascii="ITC Avant Garde" w:hAnsi="ITC Avant Garde"/>
          <w:b/>
        </w:rPr>
        <w:t>PROCEDIMIENTO DE DECLARACIÓN DE PREPONDERANCIA EN EL SECTOR DE LA RADIODIFUSIÓN. EL JEFE DE LA UNIDAD DE POLÍTICA REGULATORIA DEL INSTITUTO FEDERAL DE TELECOMUNICACIONES TIENE FACULTAD PARA INICIARLO, EN TANTO QUE ES COMPETENTE PARA SUSTANCIARLO (NORMATIVA ABROGADA).</w:t>
      </w:r>
      <w:r w:rsidRPr="002A2450">
        <w:rPr>
          <w:rFonts w:ascii="ITC Avant Garde" w:hAnsi="ITC Avant Garde"/>
        </w:rPr>
        <w:t xml:space="preserve"> De los artículos 4, fracción IV, inciso a), 22, fracción II y 24, apartado A), fracción XI, del abrogado Estatuto Orgánico del Instituto Federal de Telecomunicaciones (IFETEL), se advierte que el jefe de la Unidad de Política Regulatoria de ese órgano tiene competencia para sustanciar el procedimiento administrativo, con miras al dictado de la declaración de agente económico preponderante en el sector de la radiodifusión. En este sentido, según el Diccionario de la Lengua Española de la Real Academia Española, "sustanciar" significa: "Conducir un asunto o juicio por la vía procesal adecuada hasta ponerlo en estado de sentencia.", es decir, llevar a cabo los trámites procesales correspondientes hasta poner un asunto en estado de resolución; acción dentro de la cual está comprendido el inicio de dicho proceso, al tratarse del primer trámite tendente a la integración del expediente y, por tanto, formar parte de la sustanciación del asunto, como su etapa inicial. Consecuentemente, si la autoridad mencionada es competente para sustanciar el procedimiento administrativo referido, también lo es para iniciarlo.</w:t>
      </w:r>
    </w:p>
    <w:p w14:paraId="1B35330D" w14:textId="77777777" w:rsidR="00B35F13" w:rsidRDefault="00693D67"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2009330, Instancia: Tribunales Colegiados de Circuito, Tipo de Tesis: Aislada, Fuente: Gaceta del Semanario Judicial de la Federación, Libro 19, Junio de 2015, Tomo III, Materia(s): Administrativa, Tesis: I.1o.A.E.56 A (10a.), Página: 2365 </w:t>
      </w:r>
    </w:p>
    <w:p w14:paraId="4DDB3F2A" w14:textId="77777777" w:rsidR="00B35F13" w:rsidRDefault="00693D67" w:rsidP="00B35F13">
      <w:pPr>
        <w:spacing w:before="240" w:line="360" w:lineRule="auto"/>
        <w:jc w:val="both"/>
        <w:rPr>
          <w:rFonts w:ascii="ITC Avant Garde" w:hAnsi="ITC Avant Garde"/>
        </w:rPr>
      </w:pPr>
      <w:r w:rsidRPr="002A2450">
        <w:rPr>
          <w:rFonts w:ascii="ITC Avant Garde" w:hAnsi="ITC Avant Garde"/>
        </w:rPr>
        <w:t xml:space="preserve">Ahora bien, </w:t>
      </w:r>
      <w:r w:rsidR="00AA67ED" w:rsidRPr="002A2450">
        <w:rPr>
          <w:rFonts w:ascii="ITC Avant Garde" w:hAnsi="ITC Avant Garde"/>
        </w:rPr>
        <w:t xml:space="preserve">para la sustanciación de un procedimiento administrativo sin duda </w:t>
      </w:r>
      <w:r w:rsidR="008B4C23" w:rsidRPr="002A2450">
        <w:rPr>
          <w:rFonts w:ascii="ITC Avant Garde" w:hAnsi="ITC Avant Garde"/>
        </w:rPr>
        <w:t xml:space="preserve">el acuerdo de inicio del procedimiento administrativo puede iniciarse de oficio tal y como lo señala el artículo 14 de la </w:t>
      </w:r>
      <w:r w:rsidR="008B4C23" w:rsidRPr="002A2450">
        <w:rPr>
          <w:rFonts w:ascii="ITC Avant Garde" w:hAnsi="ITC Avant Garde"/>
          <w:b/>
        </w:rPr>
        <w:t>“LFPA”</w:t>
      </w:r>
      <w:r w:rsidR="008B4C23" w:rsidRPr="002A2450">
        <w:rPr>
          <w:rFonts w:ascii="ITC Avant Garde" w:hAnsi="ITC Avant Garde"/>
        </w:rPr>
        <w:t xml:space="preserve">, de lo que se sigue que para la </w:t>
      </w:r>
      <w:r w:rsidR="008B4C23" w:rsidRPr="002A2450">
        <w:rPr>
          <w:rFonts w:ascii="ITC Avant Garde" w:hAnsi="ITC Avant Garde"/>
        </w:rPr>
        <w:lastRenderedPageBreak/>
        <w:t xml:space="preserve">sustanciación del mismo, el </w:t>
      </w:r>
      <w:r w:rsidR="008B4C23" w:rsidRPr="002A2450">
        <w:rPr>
          <w:rFonts w:ascii="ITC Avant Garde" w:hAnsi="ITC Avant Garde"/>
          <w:b/>
        </w:rPr>
        <w:t>“ESTATUTO ORGÁNICO”</w:t>
      </w:r>
      <w:r w:rsidR="008B4C23" w:rsidRPr="002A2450">
        <w:rPr>
          <w:rFonts w:ascii="ITC Avant Garde" w:hAnsi="ITC Avant Garde"/>
        </w:rPr>
        <w:t xml:space="preserve"> confiere dicha facultad a la Unidad de Cumplimiento en términos del artículo 41, en relación con el diverso 44, fracción I, de dicho ordenamiento.</w:t>
      </w:r>
    </w:p>
    <w:p w14:paraId="4641CEBD"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t xml:space="preserve">En ese sentido, la Unidad de Cumplimiento advirtió el posible incumplimiento </w:t>
      </w:r>
      <w:r w:rsidR="00C55809" w:rsidRPr="002A2450">
        <w:rPr>
          <w:rFonts w:ascii="ITC Avant Garde" w:hAnsi="ITC Avant Garde"/>
        </w:rPr>
        <w:t xml:space="preserve">al </w:t>
      </w:r>
      <w:r w:rsidR="00065AA4" w:rsidRPr="009E34A4">
        <w:rPr>
          <w:rFonts w:ascii="ITC Avant Garde" w:hAnsi="ITC Avant Garde"/>
          <w:b/>
        </w:rPr>
        <w:t>Tercer Párrafo</w:t>
      </w:r>
      <w:r w:rsidR="00C55809" w:rsidRPr="002A2450">
        <w:rPr>
          <w:rFonts w:ascii="ITC Avant Garde" w:hAnsi="ITC Avant Garde"/>
        </w:rPr>
        <w:t xml:space="preserve"> </w:t>
      </w:r>
      <w:r w:rsidRPr="002A2450">
        <w:rPr>
          <w:rFonts w:ascii="ITC Avant Garde" w:hAnsi="ITC Avant Garde"/>
        </w:rPr>
        <w:t xml:space="preserve">de la condición 1-9 del </w:t>
      </w:r>
      <w:r w:rsidRPr="002A2450">
        <w:rPr>
          <w:rFonts w:ascii="ITC Avant Garde" w:hAnsi="ITC Avant Garde"/>
          <w:b/>
        </w:rPr>
        <w:t>“TÍTULO DE CONCESIÓN”</w:t>
      </w:r>
      <w:r w:rsidRPr="002A2450">
        <w:rPr>
          <w:rFonts w:ascii="ITC Avant Garde" w:hAnsi="ITC Avant Garde"/>
        </w:rPr>
        <w:t xml:space="preserve"> </w:t>
      </w:r>
      <w:r w:rsidR="00C55809" w:rsidRPr="002A2450">
        <w:rPr>
          <w:rFonts w:ascii="ITC Avant Garde" w:hAnsi="ITC Avant Garde"/>
        </w:rPr>
        <w:t xml:space="preserve">con motivo del análisis de las constancias y elementos que obran en el expediente de dicha Unidad, entre </w:t>
      </w:r>
      <w:r w:rsidR="005A2E09" w:rsidRPr="002A2450">
        <w:rPr>
          <w:rFonts w:ascii="ITC Avant Garde" w:hAnsi="ITC Avant Garde"/>
        </w:rPr>
        <w:t xml:space="preserve">los que destacan </w:t>
      </w:r>
      <w:r w:rsidRPr="002A2450">
        <w:rPr>
          <w:rFonts w:ascii="ITC Avant Garde" w:hAnsi="ITC Avant Garde"/>
        </w:rPr>
        <w:t xml:space="preserve">las denuncias presentadas </w:t>
      </w:r>
      <w:r w:rsidR="00C55809" w:rsidRPr="002A2450">
        <w:rPr>
          <w:rFonts w:ascii="ITC Avant Garde" w:hAnsi="ITC Avant Garde"/>
        </w:rPr>
        <w:t xml:space="preserve">así </w:t>
      </w:r>
      <w:r w:rsidRPr="002A2450">
        <w:rPr>
          <w:rFonts w:ascii="ITC Avant Garde" w:hAnsi="ITC Avant Garde"/>
        </w:rPr>
        <w:t xml:space="preserve">como </w:t>
      </w:r>
      <w:r w:rsidR="00C55809" w:rsidRPr="002A2450">
        <w:rPr>
          <w:rFonts w:ascii="ITC Avant Garde" w:hAnsi="ITC Avant Garde"/>
        </w:rPr>
        <w:t xml:space="preserve">los </w:t>
      </w:r>
      <w:r w:rsidRPr="002A2450">
        <w:rPr>
          <w:rFonts w:ascii="ITC Avant Garde" w:hAnsi="ITC Avant Garde"/>
        </w:rPr>
        <w:t>contratos celebrados por dicha concesionaria.</w:t>
      </w:r>
    </w:p>
    <w:p w14:paraId="07CDA99F"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t xml:space="preserve">Por tanto, al considerar que los mismos constituían una presunción </w:t>
      </w:r>
      <w:r w:rsidR="005A2E09" w:rsidRPr="002A2450">
        <w:rPr>
          <w:rFonts w:ascii="ITC Avant Garde" w:hAnsi="ITC Avant Garde"/>
        </w:rPr>
        <w:t xml:space="preserve">para estimar el citado </w:t>
      </w:r>
      <w:r w:rsidRPr="002A2450">
        <w:rPr>
          <w:rFonts w:ascii="ITC Avant Garde" w:hAnsi="ITC Avant Garde"/>
        </w:rPr>
        <w:t>incumplimiento</w:t>
      </w:r>
      <w:r w:rsidR="005A2E09" w:rsidRPr="002A2450">
        <w:rPr>
          <w:rFonts w:ascii="ITC Avant Garde" w:hAnsi="ITC Avant Garde"/>
        </w:rPr>
        <w:t xml:space="preserve">, dicha Unidad inició de </w:t>
      </w:r>
      <w:r w:rsidRPr="002A2450">
        <w:rPr>
          <w:rFonts w:ascii="ITC Avant Garde" w:hAnsi="ITC Avant Garde"/>
        </w:rPr>
        <w:t xml:space="preserve">oficio el procedimiento administrativo de imposición de sanción toda vez que en términos de los artículos 41, en relación con el diverso 44, fracción I, del </w:t>
      </w:r>
      <w:r w:rsidRPr="002A2450">
        <w:rPr>
          <w:rFonts w:ascii="ITC Avant Garde" w:hAnsi="ITC Avant Garde"/>
          <w:b/>
        </w:rPr>
        <w:t>“ESTATUTO ORGÁNICO”</w:t>
      </w:r>
      <w:r w:rsidRPr="002A2450">
        <w:rPr>
          <w:rFonts w:ascii="ITC Avant Garde" w:hAnsi="ITC Avant Garde"/>
        </w:rPr>
        <w:t xml:space="preserve"> compete a dicha Unidad la sustanciación de procedimiento</w:t>
      </w:r>
      <w:r w:rsidR="005A2E09" w:rsidRPr="002A2450">
        <w:rPr>
          <w:rFonts w:ascii="ITC Avant Garde" w:hAnsi="ITC Avant Garde"/>
        </w:rPr>
        <w:t>s sancionatorios</w:t>
      </w:r>
      <w:r w:rsidRPr="002A2450">
        <w:rPr>
          <w:rFonts w:ascii="ITC Avant Garde" w:hAnsi="ITC Avant Garde"/>
        </w:rPr>
        <w:t>.</w:t>
      </w:r>
    </w:p>
    <w:p w14:paraId="7202620D"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t xml:space="preserve">Ahora bien, con el emplazamiento y sus etapas a que se refiere la </w:t>
      </w:r>
      <w:r w:rsidRPr="002A2450">
        <w:rPr>
          <w:rFonts w:ascii="ITC Avant Garde" w:hAnsi="ITC Avant Garde"/>
          <w:b/>
        </w:rPr>
        <w:t xml:space="preserve">“LFPA” </w:t>
      </w:r>
      <w:r w:rsidRPr="002A2450">
        <w:rPr>
          <w:rFonts w:ascii="ITC Avant Garde" w:hAnsi="ITC Avant Garde"/>
        </w:rPr>
        <w:t xml:space="preserve">se inició con </w:t>
      </w:r>
      <w:r w:rsidR="005A2E09" w:rsidRPr="002A2450">
        <w:rPr>
          <w:rFonts w:ascii="ITC Avant Garde" w:hAnsi="ITC Avant Garde"/>
        </w:rPr>
        <w:t xml:space="preserve">el procedimiento respectivo, </w:t>
      </w:r>
      <w:r w:rsidRPr="002A2450">
        <w:rPr>
          <w:rFonts w:ascii="ITC Avant Garde" w:hAnsi="ITC Avant Garde"/>
        </w:rPr>
        <w:t xml:space="preserve">esto es, la notificación del acuerdo de inicio, </w:t>
      </w:r>
      <w:r w:rsidR="005A2E09" w:rsidRPr="002A2450">
        <w:rPr>
          <w:rFonts w:ascii="ITC Avant Garde" w:hAnsi="ITC Avant Garde"/>
        </w:rPr>
        <w:t xml:space="preserve">para continuar con las etapas relativas a </w:t>
      </w:r>
      <w:r w:rsidRPr="002A2450">
        <w:rPr>
          <w:rFonts w:ascii="ITC Avant Garde" w:hAnsi="ITC Avant Garde"/>
        </w:rPr>
        <w:t>la contestación al mismo, aportando las pruebas que a consideración del presunto responsable resultaban pertinentes, el desahogo de las mismas, la etapa de alegatos y finalmente la presente etapa, esto la emisión de una resolución.</w:t>
      </w:r>
    </w:p>
    <w:p w14:paraId="0B16B99C"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t>Por lo anterior, es en esta etapa que este órgano colegiado con base en las constancias que integran el presente expediente, se encuentra en aptitud de pronunciarse respecto del posible incumplimiento materia del presente procedimiento.</w:t>
      </w:r>
    </w:p>
    <w:p w14:paraId="525BC1F4"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t xml:space="preserve">Así las cosas, contrario a lo que </w:t>
      </w:r>
      <w:r w:rsidRPr="002A2450">
        <w:rPr>
          <w:rFonts w:ascii="ITC Avant Garde" w:hAnsi="ITC Avant Garde"/>
          <w:b/>
        </w:rPr>
        <w:t>“TELMEX”</w:t>
      </w:r>
      <w:r w:rsidRPr="002A2450">
        <w:rPr>
          <w:rFonts w:ascii="ITC Avant Garde" w:hAnsi="ITC Avant Garde"/>
        </w:rPr>
        <w:t xml:space="preserve"> manifiesta</w:t>
      </w:r>
      <w:r w:rsidR="005A2E09" w:rsidRPr="002A2450">
        <w:rPr>
          <w:rFonts w:ascii="ITC Avant Garde" w:hAnsi="ITC Avant Garde"/>
        </w:rPr>
        <w:t>,</w:t>
      </w:r>
      <w:r w:rsidRPr="002A2450">
        <w:rPr>
          <w:rFonts w:ascii="ITC Avant Garde" w:hAnsi="ITC Avant Garde"/>
        </w:rPr>
        <w:t xml:space="preserve"> es en la presente resolución cuando este </w:t>
      </w:r>
      <w:r w:rsidR="005A2E09" w:rsidRPr="002A2450">
        <w:rPr>
          <w:rFonts w:ascii="ITC Avant Garde" w:hAnsi="ITC Avant Garde"/>
        </w:rPr>
        <w:t xml:space="preserve">Pleno </w:t>
      </w:r>
      <w:r w:rsidRPr="002A2450">
        <w:rPr>
          <w:rFonts w:ascii="ITC Avant Garde" w:hAnsi="ITC Avant Garde"/>
        </w:rPr>
        <w:t>en el ámbito de sus atribuciones</w:t>
      </w:r>
      <w:r w:rsidR="005A2E09" w:rsidRPr="002A2450">
        <w:rPr>
          <w:rFonts w:ascii="ITC Avant Garde" w:hAnsi="ITC Avant Garde"/>
        </w:rPr>
        <w:t>,</w:t>
      </w:r>
      <w:r w:rsidRPr="002A2450">
        <w:rPr>
          <w:rFonts w:ascii="ITC Avant Garde" w:hAnsi="ITC Avant Garde"/>
        </w:rPr>
        <w:t xml:space="preserve"> le corresponde resolver sobre la presunta infracción.</w:t>
      </w:r>
    </w:p>
    <w:p w14:paraId="3933B867" w14:textId="77777777" w:rsidR="00B35F13" w:rsidRDefault="008B4C23"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resulta irrelevante que previo al acuerdo de inicio del presente procedimiento la Unidad de Cumplimiento se estuviera </w:t>
      </w:r>
      <w:r w:rsidR="0007213F" w:rsidRPr="002A2450">
        <w:rPr>
          <w:rFonts w:ascii="ITC Avant Garde" w:hAnsi="ITC Avant Garde"/>
        </w:rPr>
        <w:t xml:space="preserve">a la interpretación que sobre el tema hubiese formulado, esto es, respecto de la condición 1-9 del </w:t>
      </w:r>
      <w:r w:rsidR="0007213F" w:rsidRPr="002A2450">
        <w:rPr>
          <w:rFonts w:ascii="ITC Avant Garde" w:hAnsi="ITC Avant Garde"/>
          <w:b/>
        </w:rPr>
        <w:t>“TÍTULO DE CONCESIÓN”</w:t>
      </w:r>
      <w:r w:rsidR="0007213F" w:rsidRPr="002A2450">
        <w:rPr>
          <w:rFonts w:ascii="ITC Avant Garde" w:hAnsi="ITC Avant Garde"/>
        </w:rPr>
        <w:t xml:space="preserve"> otorgado a </w:t>
      </w:r>
      <w:r w:rsidR="0007213F" w:rsidRPr="002A2450">
        <w:rPr>
          <w:rFonts w:ascii="ITC Avant Garde" w:hAnsi="ITC Avant Garde"/>
          <w:b/>
        </w:rPr>
        <w:t>“TELMEX”</w:t>
      </w:r>
      <w:r w:rsidR="0007213F" w:rsidRPr="002A2450">
        <w:rPr>
          <w:rFonts w:ascii="ITC Avant Garde" w:hAnsi="ITC Avant Garde"/>
        </w:rPr>
        <w:t xml:space="preserve"> puesto que de acuerdo a los artículos señalados, corresponde a la Unidad de Cumplimiento sustanciar el mismo señalando en el propio acuerdo de inicio los hechos que a su consideración constituyen la presunción que se imputa a la presunta infractora y por consiguiente, corresponde a este Pleno pronunciarse respecto de dichas circunstancias.</w:t>
      </w:r>
    </w:p>
    <w:p w14:paraId="04AA150E" w14:textId="77777777" w:rsidR="00B35F13" w:rsidRDefault="0007213F" w:rsidP="00B35F13">
      <w:pPr>
        <w:spacing w:before="240" w:line="360" w:lineRule="auto"/>
        <w:jc w:val="both"/>
        <w:rPr>
          <w:rFonts w:ascii="ITC Avant Garde" w:hAnsi="ITC Avant Garde"/>
        </w:rPr>
      </w:pPr>
      <w:r w:rsidRPr="002A2450">
        <w:rPr>
          <w:rFonts w:ascii="ITC Avant Garde" w:hAnsi="ITC Avant Garde"/>
        </w:rPr>
        <w:t xml:space="preserve">Advertido lo anterior, se estima que las consideraciones señaladas por </w:t>
      </w:r>
      <w:r w:rsidRPr="002A2450">
        <w:rPr>
          <w:rFonts w:ascii="ITC Avant Garde" w:hAnsi="ITC Avant Garde"/>
          <w:b/>
        </w:rPr>
        <w:t>“TELMEX”</w:t>
      </w:r>
      <w:r w:rsidRPr="002A2450">
        <w:rPr>
          <w:rFonts w:ascii="ITC Avant Garde" w:hAnsi="ITC Avant Garde"/>
        </w:rPr>
        <w:t xml:space="preserve"> carecen de fundamento, puesto que como se ha señalado no existe ordenamiento alguno </w:t>
      </w:r>
      <w:r w:rsidR="005A2E09" w:rsidRPr="002A2450">
        <w:rPr>
          <w:rFonts w:ascii="ITC Avant Garde" w:hAnsi="ITC Avant Garde"/>
        </w:rPr>
        <w:t xml:space="preserve">que ordene que </w:t>
      </w:r>
      <w:r w:rsidRPr="002A2450">
        <w:rPr>
          <w:rFonts w:ascii="ITC Avant Garde" w:hAnsi="ITC Avant Garde"/>
        </w:rPr>
        <w:t xml:space="preserve">previo al inicio del procedimiento administrativo de imposición de sanción </w:t>
      </w:r>
      <w:r w:rsidR="005A2E09" w:rsidRPr="002A2450">
        <w:rPr>
          <w:rFonts w:ascii="ITC Avant Garde" w:hAnsi="ITC Avant Garde"/>
        </w:rPr>
        <w:t xml:space="preserve">la Unidad de Cumplimiento </w:t>
      </w:r>
      <w:r w:rsidRPr="002A2450">
        <w:rPr>
          <w:rFonts w:ascii="ITC Avant Garde" w:hAnsi="ITC Avant Garde"/>
        </w:rPr>
        <w:t xml:space="preserve">requiera previamente </w:t>
      </w:r>
      <w:r w:rsidR="005A2E09" w:rsidRPr="002A2450">
        <w:rPr>
          <w:rFonts w:ascii="ITC Avant Garde" w:hAnsi="ITC Avant Garde"/>
        </w:rPr>
        <w:t xml:space="preserve">del </w:t>
      </w:r>
      <w:r w:rsidRPr="002A2450">
        <w:rPr>
          <w:rFonts w:ascii="ITC Avant Garde" w:hAnsi="ITC Avant Garde"/>
        </w:rPr>
        <w:t xml:space="preserve">pronunciamiento del Pleno </w:t>
      </w:r>
      <w:r w:rsidR="005A2E09" w:rsidRPr="002A2450">
        <w:rPr>
          <w:rFonts w:ascii="ITC Avant Garde" w:hAnsi="ITC Avant Garde"/>
        </w:rPr>
        <w:t xml:space="preserve">respecto de alguna interpretación en particular. </w:t>
      </w:r>
    </w:p>
    <w:p w14:paraId="05521BF5" w14:textId="77777777" w:rsidR="00B35F13" w:rsidRDefault="0007213F" w:rsidP="00B35F13">
      <w:pPr>
        <w:spacing w:before="240" w:line="360" w:lineRule="auto"/>
        <w:jc w:val="both"/>
        <w:rPr>
          <w:rFonts w:ascii="ITC Avant Garde" w:hAnsi="ITC Avant Garde"/>
        </w:rPr>
      </w:pPr>
      <w:r w:rsidRPr="002A2450">
        <w:rPr>
          <w:rFonts w:ascii="ITC Avant Garde" w:hAnsi="ITC Avant Garde"/>
        </w:rPr>
        <w:t xml:space="preserve">Así las cosas es innegable que </w:t>
      </w:r>
      <w:r w:rsidR="005A2E09" w:rsidRPr="002A2450">
        <w:rPr>
          <w:rFonts w:ascii="ITC Avant Garde" w:hAnsi="ITC Avant Garde"/>
        </w:rPr>
        <w:t xml:space="preserve">de </w:t>
      </w:r>
      <w:r w:rsidRPr="002A2450">
        <w:rPr>
          <w:rFonts w:ascii="ITC Avant Garde" w:hAnsi="ITC Avant Garde"/>
        </w:rPr>
        <w:t xml:space="preserve">conceder a </w:t>
      </w:r>
      <w:r w:rsidRPr="002A2450">
        <w:rPr>
          <w:rFonts w:ascii="ITC Avant Garde" w:hAnsi="ITC Avant Garde"/>
          <w:b/>
        </w:rPr>
        <w:t>“TELMEX”</w:t>
      </w:r>
      <w:r w:rsidRPr="002A2450">
        <w:rPr>
          <w:rFonts w:ascii="ITC Avant Garde" w:hAnsi="ITC Avant Garde"/>
        </w:rPr>
        <w:t xml:space="preserve"> </w:t>
      </w:r>
      <w:r w:rsidR="005A2E09" w:rsidRPr="002A2450">
        <w:rPr>
          <w:rFonts w:ascii="ITC Avant Garde" w:hAnsi="ITC Avant Garde"/>
        </w:rPr>
        <w:t xml:space="preserve">la razón de </w:t>
      </w:r>
      <w:r w:rsidRPr="002A2450">
        <w:rPr>
          <w:rFonts w:ascii="ITC Avant Garde" w:hAnsi="ITC Avant Garde"/>
        </w:rPr>
        <w:t>las manifestaciones argumentadas,</w:t>
      </w:r>
      <w:r w:rsidR="005A2E09" w:rsidRPr="002A2450">
        <w:rPr>
          <w:rFonts w:ascii="ITC Avant Garde" w:hAnsi="ITC Avant Garde"/>
        </w:rPr>
        <w:t xml:space="preserve"> se </w:t>
      </w:r>
      <w:r w:rsidRPr="002A2450">
        <w:rPr>
          <w:rFonts w:ascii="ITC Avant Garde" w:hAnsi="ITC Avant Garde"/>
        </w:rPr>
        <w:t xml:space="preserve">estaría </w:t>
      </w:r>
      <w:r w:rsidR="005A2E09" w:rsidRPr="002A2450">
        <w:rPr>
          <w:rFonts w:ascii="ITC Avant Garde" w:hAnsi="ITC Avant Garde"/>
        </w:rPr>
        <w:t xml:space="preserve">promoviendo </w:t>
      </w:r>
      <w:r w:rsidRPr="002A2450">
        <w:rPr>
          <w:rFonts w:ascii="ITC Avant Garde" w:hAnsi="ITC Avant Garde"/>
        </w:rPr>
        <w:t>una violación al debido proceso</w:t>
      </w:r>
      <w:r w:rsidR="005A2E09" w:rsidRPr="002A2450">
        <w:rPr>
          <w:rFonts w:ascii="ITC Avant Garde" w:hAnsi="ITC Avant Garde"/>
        </w:rPr>
        <w:t>,</w:t>
      </w:r>
      <w:r w:rsidRPr="002A2450">
        <w:rPr>
          <w:rFonts w:ascii="ITC Avant Garde" w:hAnsi="ITC Avant Garde"/>
        </w:rPr>
        <w:t xml:space="preserve"> obligando a este Pleno a pronunciarse </w:t>
      </w:r>
      <w:r w:rsidRPr="002A2450">
        <w:rPr>
          <w:rFonts w:ascii="ITC Avant Garde" w:hAnsi="ITC Avant Garde"/>
          <w:i/>
        </w:rPr>
        <w:t>ex ante</w:t>
      </w:r>
      <w:r w:rsidRPr="002A2450">
        <w:rPr>
          <w:rFonts w:ascii="ITC Avant Garde" w:hAnsi="ITC Avant Garde"/>
        </w:rPr>
        <w:t xml:space="preserve"> respecto de una conducta que como tal debe ser previamente acreditada y con la posibilidad de desvirtuarse en términos de la garantía del debido proceso.</w:t>
      </w:r>
    </w:p>
    <w:p w14:paraId="427FB1FE" w14:textId="77777777" w:rsidR="00B35F13" w:rsidRDefault="0007213F" w:rsidP="00B35F13">
      <w:pPr>
        <w:spacing w:before="240" w:line="360" w:lineRule="auto"/>
        <w:jc w:val="both"/>
        <w:rPr>
          <w:rFonts w:ascii="ITC Avant Garde" w:hAnsi="ITC Avant Garde"/>
        </w:rPr>
      </w:pPr>
      <w:r w:rsidRPr="002A2450">
        <w:rPr>
          <w:rFonts w:ascii="ITC Avant Garde" w:hAnsi="ITC Avant Garde"/>
        </w:rPr>
        <w:t xml:space="preserve">Así las cosas, el argumento de </w:t>
      </w:r>
      <w:r w:rsidRPr="002A2450">
        <w:rPr>
          <w:rFonts w:ascii="ITC Avant Garde" w:hAnsi="ITC Avant Garde"/>
          <w:b/>
        </w:rPr>
        <w:t>“TELMEX”</w:t>
      </w:r>
      <w:r w:rsidRPr="002A2450">
        <w:rPr>
          <w:rFonts w:ascii="ITC Avant Garde" w:hAnsi="ITC Avant Garde"/>
        </w:rPr>
        <w:t xml:space="preserve"> resulta infundado, puesto que la normatividad no exige que previamente a la resolución de un asunto que pudiera resultar en una sanción tenga necesariamente que existir un pronunciamiento previo, dado que los derechos del debido proceso estiman que las mismas deben ceñirse a los procedimiento previamente establecidos</w:t>
      </w:r>
      <w:r w:rsidR="005A2E09" w:rsidRPr="002A2450">
        <w:rPr>
          <w:rFonts w:ascii="ITC Avant Garde" w:hAnsi="ITC Avant Garde"/>
        </w:rPr>
        <w:t>;</w:t>
      </w:r>
      <w:r w:rsidRPr="002A2450">
        <w:rPr>
          <w:rFonts w:ascii="ITC Avant Garde" w:hAnsi="ITC Avant Garde"/>
        </w:rPr>
        <w:t xml:space="preserve"> considerar lo contrario habría ocasionado una violación sustancial al derecho que le asiste a </w:t>
      </w:r>
      <w:r w:rsidRPr="002A2450">
        <w:rPr>
          <w:rFonts w:ascii="ITC Avant Garde" w:hAnsi="ITC Avant Garde"/>
          <w:b/>
        </w:rPr>
        <w:t>“TELMEX”</w:t>
      </w:r>
      <w:r w:rsidRPr="002A2450">
        <w:rPr>
          <w:rFonts w:ascii="ITC Avant Garde" w:hAnsi="ITC Avant Garde"/>
        </w:rPr>
        <w:t xml:space="preserve"> para asistir al presente y desvirtuar las conductas imputadas, </w:t>
      </w:r>
      <w:r w:rsidR="005A2E09" w:rsidRPr="002A2450">
        <w:rPr>
          <w:rFonts w:ascii="ITC Avant Garde" w:hAnsi="ITC Avant Garde"/>
        </w:rPr>
        <w:t xml:space="preserve">ya que </w:t>
      </w:r>
      <w:r w:rsidRPr="002A2450">
        <w:rPr>
          <w:rFonts w:ascii="ITC Avant Garde" w:hAnsi="ITC Avant Garde"/>
        </w:rPr>
        <w:t xml:space="preserve">de otra manera </w:t>
      </w:r>
      <w:r w:rsidR="005A2E09" w:rsidRPr="002A2450">
        <w:rPr>
          <w:rFonts w:ascii="ITC Avant Garde" w:hAnsi="ITC Avant Garde"/>
        </w:rPr>
        <w:t xml:space="preserve">sin lugar a dudas </w:t>
      </w:r>
      <w:r w:rsidRPr="002A2450">
        <w:rPr>
          <w:rFonts w:ascii="ITC Avant Garde" w:hAnsi="ITC Avant Garde"/>
        </w:rPr>
        <w:t>se estaría juzgando previamente a dicha concesionaria.</w:t>
      </w:r>
    </w:p>
    <w:p w14:paraId="175A9847" w14:textId="77777777" w:rsidR="00B35F13" w:rsidRDefault="0007213F" w:rsidP="00B35F13">
      <w:pPr>
        <w:spacing w:before="240" w:line="360" w:lineRule="auto"/>
        <w:jc w:val="both"/>
        <w:rPr>
          <w:rFonts w:ascii="ITC Avant Garde" w:hAnsi="ITC Avant Garde"/>
        </w:rPr>
      </w:pPr>
      <w:r w:rsidRPr="002A2450">
        <w:rPr>
          <w:rFonts w:ascii="ITC Avant Garde" w:hAnsi="ITC Avant Garde"/>
        </w:rPr>
        <w:t xml:space="preserve">Así las cosas, esta autoridad considera </w:t>
      </w:r>
      <w:r w:rsidRPr="002A2450">
        <w:rPr>
          <w:rFonts w:ascii="ITC Avant Garde" w:hAnsi="ITC Avant Garde"/>
          <w:b/>
          <w:u w:val="single"/>
        </w:rPr>
        <w:t>infundado</w:t>
      </w:r>
      <w:r w:rsidRPr="002A2450">
        <w:rPr>
          <w:rFonts w:ascii="ITC Avant Garde" w:hAnsi="ITC Avant Garde"/>
        </w:rPr>
        <w:t xml:space="preserve"> el argumento de </w:t>
      </w:r>
      <w:r w:rsidRPr="002A2450">
        <w:rPr>
          <w:rFonts w:ascii="ITC Avant Garde" w:hAnsi="ITC Avant Garde"/>
          <w:b/>
        </w:rPr>
        <w:t>“TELMEX”</w:t>
      </w:r>
      <w:r w:rsidRPr="002A2450">
        <w:rPr>
          <w:rFonts w:ascii="ITC Avant Garde" w:hAnsi="ITC Avant Garde"/>
        </w:rPr>
        <w:t xml:space="preserve"> y por tanto insuficiente para desvirtuar la conducta materia del presente procedimiento.</w:t>
      </w:r>
    </w:p>
    <w:p w14:paraId="0B3F4B72" w14:textId="77777777" w:rsidR="00B35F13" w:rsidRDefault="003C0814" w:rsidP="00B35F13">
      <w:pPr>
        <w:spacing w:before="240" w:line="360" w:lineRule="auto"/>
        <w:jc w:val="both"/>
        <w:rPr>
          <w:rFonts w:ascii="ITC Avant Garde" w:hAnsi="ITC Avant Garde"/>
        </w:rPr>
      </w:pPr>
      <w:r w:rsidRPr="002A2450">
        <w:rPr>
          <w:rFonts w:ascii="ITC Avant Garde" w:hAnsi="ITC Avant Garde"/>
        </w:rPr>
        <w:lastRenderedPageBreak/>
        <w:t xml:space="preserve">Continúa manifestando </w:t>
      </w:r>
      <w:r w:rsidRPr="002A2450">
        <w:rPr>
          <w:rFonts w:ascii="ITC Avant Garde" w:hAnsi="ITC Avant Garde"/>
          <w:b/>
        </w:rPr>
        <w:t>“TELMEX”</w:t>
      </w:r>
      <w:r w:rsidRPr="002A2450">
        <w:rPr>
          <w:rFonts w:ascii="ITC Avant Garde" w:hAnsi="ITC Avant Garde"/>
        </w:rPr>
        <w:t xml:space="preserve"> en las fojas </w:t>
      </w:r>
      <w:r w:rsidRPr="002A2450">
        <w:rPr>
          <w:rFonts w:ascii="ITC Avant Garde" w:hAnsi="ITC Avant Garde"/>
          <w:b/>
        </w:rPr>
        <w:t xml:space="preserve">cuarenta y seis a cincuenta </w:t>
      </w:r>
      <w:r w:rsidR="0035450C" w:rsidRPr="002A2450">
        <w:rPr>
          <w:rFonts w:ascii="ITC Avant Garde" w:hAnsi="ITC Avant Garde"/>
          <w:b/>
        </w:rPr>
        <w:t xml:space="preserve">y sesenta y siete y sesenta y ocho </w:t>
      </w:r>
      <w:r w:rsidRPr="002A2450">
        <w:rPr>
          <w:rFonts w:ascii="ITC Avant Garde" w:hAnsi="ITC Avant Garde"/>
        </w:rPr>
        <w:t>lo siguiente:</w:t>
      </w:r>
    </w:p>
    <w:p w14:paraId="675C697F"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 xml:space="preserve">Al respecto, mediante oficio 2-1210 de 12 de junio de 1995 el Subsecretario de Comunicaciones y Desarrollo Tecnológico precisó que no existe en el título de concesión de </w:t>
      </w:r>
      <w:r w:rsidR="005B601B" w:rsidRPr="002A2450">
        <w:rPr>
          <w:rFonts w:ascii="ITC Avant Garde" w:hAnsi="ITC Avant Garde"/>
          <w:b/>
          <w:i/>
        </w:rPr>
        <w:t>“TELMEX”</w:t>
      </w:r>
      <w:r w:rsidRPr="002A2450">
        <w:rPr>
          <w:rFonts w:ascii="ITC Avant Garde" w:hAnsi="ITC Avant Garde"/>
          <w:i/>
        </w:rPr>
        <w:t xml:space="preserve"> impedimento alguno para que adquiriera participación en el capital social de alguna empresa que directa o indirectamente preste el servicio de televisión por cable o restringida.</w:t>
      </w:r>
    </w:p>
    <w:p w14:paraId="69A23218"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 xml:space="preserve">Con base en lo anterior, el Pleno de la Comisión Federal de Competencia el 15 de junio de 1995 resolvió autorizar la concentración solicitada sujeto a la autorización que la Secretaría de Comunicaciones y Transportes otorgara a la venta de las acciones de Empresas Cablevisión, S.A. de C.V. a favor de </w:t>
      </w:r>
      <w:proofErr w:type="spellStart"/>
      <w:r w:rsidRPr="002A2450">
        <w:rPr>
          <w:rFonts w:ascii="ITC Avant Garde" w:hAnsi="ITC Avant Garde"/>
          <w:i/>
        </w:rPr>
        <w:t>Sercotel</w:t>
      </w:r>
      <w:proofErr w:type="spellEnd"/>
      <w:r w:rsidRPr="002A2450">
        <w:rPr>
          <w:rFonts w:ascii="ITC Avant Garde" w:hAnsi="ITC Avant Garde"/>
          <w:i/>
        </w:rPr>
        <w:t xml:space="preserve">, en ese tiempo subsidiaria de </w:t>
      </w:r>
      <w:r w:rsidR="005B601B" w:rsidRPr="002A2450">
        <w:rPr>
          <w:rFonts w:ascii="ITC Avant Garde" w:hAnsi="ITC Avant Garde"/>
          <w:b/>
          <w:i/>
        </w:rPr>
        <w:t>“TELMEX”</w:t>
      </w:r>
      <w:r w:rsidRPr="002A2450">
        <w:rPr>
          <w:rFonts w:ascii="ITC Avant Garde" w:hAnsi="ITC Avant Garde"/>
          <w:i/>
        </w:rPr>
        <w:t>.</w:t>
      </w:r>
    </w:p>
    <w:p w14:paraId="60395560" w14:textId="77777777" w:rsidR="00B35F13" w:rsidRDefault="00257D8C" w:rsidP="00B35F13">
      <w:pPr>
        <w:spacing w:before="240" w:line="360" w:lineRule="auto"/>
        <w:ind w:left="567" w:right="567"/>
        <w:jc w:val="both"/>
        <w:rPr>
          <w:rFonts w:ascii="ITC Avant Garde" w:hAnsi="ITC Avant Garde"/>
          <w:i/>
        </w:rPr>
      </w:pPr>
      <w:r w:rsidRPr="002A2450">
        <w:rPr>
          <w:rFonts w:ascii="ITC Avant Garde" w:hAnsi="ITC Avant Garde"/>
          <w:i/>
        </w:rPr>
        <w:t xml:space="preserve">En esta resolución se definió </w:t>
      </w:r>
      <w:r w:rsidR="005A2E09" w:rsidRPr="002A2450">
        <w:rPr>
          <w:rFonts w:ascii="ITC Avant Garde" w:hAnsi="ITC Avant Garde"/>
          <w:i/>
        </w:rPr>
        <w:t xml:space="preserve">que </w:t>
      </w:r>
      <w:r w:rsidRPr="002A2450">
        <w:rPr>
          <w:rFonts w:ascii="ITC Avant Garde" w:hAnsi="ITC Avant Garde"/>
          <w:i/>
        </w:rPr>
        <w:t xml:space="preserve">el mercado relevante era el de la televisión restringida, a diferencia de la televisión pública abierta que está destinada a la recepción directa por el público en general y que obtiene sus ingresos de la publicidad. </w:t>
      </w:r>
    </w:p>
    <w:p w14:paraId="4DAAE545" w14:textId="77777777" w:rsidR="00B35F13" w:rsidRDefault="00154576" w:rsidP="00B35F13">
      <w:pPr>
        <w:spacing w:before="240" w:line="360" w:lineRule="auto"/>
        <w:ind w:left="567" w:right="567"/>
        <w:jc w:val="both"/>
        <w:rPr>
          <w:rFonts w:ascii="ITC Avant Garde" w:hAnsi="ITC Avant Garde"/>
          <w:i/>
        </w:rPr>
      </w:pPr>
      <w:r w:rsidRPr="002A2450">
        <w:rPr>
          <w:rFonts w:ascii="ITC Avant Garde" w:hAnsi="ITC Avant Garde"/>
          <w:i/>
        </w:rPr>
        <w:t xml:space="preserve">A juicio de la citada Comisión el oficio emitido por el Subsecretario de Comunicaciones y Desarrollo Tecnológico permite la participación accionaria de </w:t>
      </w:r>
      <w:r w:rsidR="005B601B" w:rsidRPr="002A2450">
        <w:rPr>
          <w:rFonts w:ascii="ITC Avant Garde" w:hAnsi="ITC Avant Garde"/>
          <w:b/>
          <w:i/>
        </w:rPr>
        <w:t>“TELMEX”</w:t>
      </w:r>
      <w:r w:rsidRPr="002A2450">
        <w:rPr>
          <w:rFonts w:ascii="ITC Avant Garde" w:hAnsi="ITC Avant Garde"/>
          <w:i/>
        </w:rPr>
        <w:t xml:space="preserve"> en Cablevisión condicionada a la autorización en términos del artículo 103 del Reglamento del Servicio de Televisión por Cable.</w:t>
      </w:r>
    </w:p>
    <w:p w14:paraId="6414DD4C" w14:textId="77777777" w:rsidR="00B35F13" w:rsidRDefault="00154576" w:rsidP="00B35F13">
      <w:pPr>
        <w:spacing w:before="240" w:line="360" w:lineRule="auto"/>
        <w:ind w:left="567" w:right="567"/>
        <w:jc w:val="both"/>
        <w:rPr>
          <w:rFonts w:ascii="ITC Avant Garde" w:hAnsi="ITC Avant Garde"/>
          <w:i/>
        </w:rPr>
      </w:pPr>
      <w:r w:rsidRPr="002A2450">
        <w:rPr>
          <w:rFonts w:ascii="ITC Avant Garde" w:hAnsi="ITC Avant Garde"/>
          <w:i/>
        </w:rPr>
        <w:t>Al respecto, mediante oficio de 23 d</w:t>
      </w:r>
      <w:r w:rsidR="00F85C5E" w:rsidRPr="002A2450">
        <w:rPr>
          <w:rFonts w:ascii="ITC Avant Garde" w:hAnsi="ITC Avant Garde"/>
          <w:i/>
        </w:rPr>
        <w:t>e</w:t>
      </w:r>
      <w:r w:rsidRPr="002A2450">
        <w:rPr>
          <w:rFonts w:ascii="ITC Avant Garde" w:hAnsi="ITC Avant Garde"/>
          <w:i/>
        </w:rPr>
        <w:t xml:space="preserve"> junio d</w:t>
      </w:r>
      <w:r w:rsidR="00F85C5E" w:rsidRPr="002A2450">
        <w:rPr>
          <w:rFonts w:ascii="ITC Avant Garde" w:hAnsi="ITC Avant Garde"/>
          <w:i/>
        </w:rPr>
        <w:t>e</w:t>
      </w:r>
      <w:r w:rsidRPr="002A2450">
        <w:rPr>
          <w:rFonts w:ascii="ITC Avant Garde" w:hAnsi="ITC Avant Garde"/>
          <w:i/>
        </w:rPr>
        <w:t xml:space="preserve"> 1995 el Director General de Sistemas de Difusión, </w:t>
      </w:r>
      <w:r w:rsidR="00F85C5E" w:rsidRPr="002A2450">
        <w:rPr>
          <w:rFonts w:ascii="ITC Avant Garde" w:hAnsi="ITC Avant Garde"/>
          <w:i/>
        </w:rPr>
        <w:t xml:space="preserve">dependiente de la Subsecretaría de Comunicaciones y Desarrollo Tecnológico, emitió la autorización respectiva, por tanto, es evidente que el Subsecretario de </w:t>
      </w:r>
      <w:r w:rsidR="00F85C5E" w:rsidRPr="002A2450">
        <w:rPr>
          <w:rFonts w:ascii="ITC Avant Garde" w:hAnsi="ITC Avant Garde"/>
          <w:i/>
        </w:rPr>
        <w:lastRenderedPageBreak/>
        <w:t xml:space="preserve">Comunicaciones y Desarrollo Tecnológico interpretó la condición 1-9 del Título de Concesión en el sentido de que no existe restricción alguna para que </w:t>
      </w:r>
      <w:r w:rsidR="005B601B" w:rsidRPr="002A2450">
        <w:rPr>
          <w:rFonts w:ascii="ITC Avant Garde" w:hAnsi="ITC Avant Garde"/>
          <w:b/>
          <w:i/>
        </w:rPr>
        <w:t>“TELMEX”</w:t>
      </w:r>
      <w:r w:rsidR="00F85C5E" w:rsidRPr="002A2450">
        <w:rPr>
          <w:rFonts w:ascii="ITC Avant Garde" w:hAnsi="ITC Avant Garde"/>
          <w:i/>
        </w:rPr>
        <w:t xml:space="preserve"> participe en el capital social o tenga participación accionaria en empresas concesionadas del servicio de televisión restringida.</w:t>
      </w:r>
    </w:p>
    <w:p w14:paraId="6DDD54E8" w14:textId="77777777" w:rsidR="00B35F13" w:rsidRDefault="00F85C5E" w:rsidP="00B35F13">
      <w:pPr>
        <w:spacing w:before="240" w:line="360" w:lineRule="auto"/>
        <w:ind w:left="567" w:right="567"/>
        <w:jc w:val="both"/>
        <w:rPr>
          <w:rFonts w:ascii="ITC Avant Garde" w:hAnsi="ITC Avant Garde"/>
          <w:i/>
        </w:rPr>
      </w:pPr>
      <w:r w:rsidRPr="002A2450">
        <w:rPr>
          <w:rFonts w:ascii="ITC Avant Garde" w:hAnsi="ITC Avant Garde"/>
          <w:i/>
        </w:rPr>
        <w:t>De lo anterior se observa que la Unidad de Cumplimiento carece de competencia para revocar la interpretación del referido título de concesión.</w:t>
      </w:r>
    </w:p>
    <w:p w14:paraId="683A1058" w14:textId="77777777" w:rsidR="00B35F13" w:rsidRDefault="00F85C5E" w:rsidP="00B35F13">
      <w:pPr>
        <w:spacing w:before="240" w:line="360" w:lineRule="auto"/>
        <w:ind w:left="567" w:right="567"/>
        <w:jc w:val="both"/>
        <w:rPr>
          <w:rFonts w:ascii="ITC Avant Garde" w:hAnsi="ITC Avant Garde"/>
          <w:i/>
        </w:rPr>
      </w:pPr>
      <w:r w:rsidRPr="002A2450">
        <w:rPr>
          <w:rFonts w:ascii="ITC Avant Garde" w:hAnsi="ITC Avant Garde"/>
          <w:i/>
        </w:rPr>
        <w:t xml:space="preserve">Dicha interpretación </w:t>
      </w:r>
      <w:r w:rsidR="00640CF1" w:rsidRPr="002A2450">
        <w:rPr>
          <w:rFonts w:ascii="ITC Avant Garde" w:hAnsi="ITC Avant Garde"/>
          <w:i/>
        </w:rPr>
        <w:t xml:space="preserve">obliga al Titular de la Unidad de Cumplimiento por provenir de un órgano de mayor jerarquía </w:t>
      </w:r>
      <w:r w:rsidR="00F301AD" w:rsidRPr="002A2450">
        <w:rPr>
          <w:rFonts w:ascii="ITC Avant Garde" w:hAnsi="ITC Avant Garde"/>
          <w:i/>
        </w:rPr>
        <w:t xml:space="preserve">y por reconocer a favor de </w:t>
      </w:r>
      <w:r w:rsidR="005B601B" w:rsidRPr="002A2450">
        <w:rPr>
          <w:rFonts w:ascii="ITC Avant Garde" w:hAnsi="ITC Avant Garde"/>
          <w:b/>
          <w:i/>
        </w:rPr>
        <w:t>“TELMEX”</w:t>
      </w:r>
      <w:r w:rsidR="00F301AD" w:rsidRPr="002A2450">
        <w:rPr>
          <w:rFonts w:ascii="ITC Avant Garde" w:hAnsi="ITC Avant Garde"/>
          <w:i/>
        </w:rPr>
        <w:t xml:space="preserve"> un derecho adquirido que no puede ser revocado. </w:t>
      </w:r>
    </w:p>
    <w:p w14:paraId="77012D7A" w14:textId="77777777" w:rsidR="00B35F13" w:rsidRDefault="003C0814" w:rsidP="00B35F13">
      <w:pPr>
        <w:spacing w:before="240" w:line="360" w:lineRule="auto"/>
        <w:jc w:val="both"/>
        <w:rPr>
          <w:rFonts w:ascii="ITC Avant Garde" w:hAnsi="ITC Avant Garde"/>
        </w:rPr>
      </w:pPr>
      <w:r w:rsidRPr="002A2450">
        <w:rPr>
          <w:rFonts w:ascii="ITC Avant Garde" w:hAnsi="ITC Avant Garde"/>
        </w:rPr>
        <w:t xml:space="preserve">Al respecto, los argumentos de </w:t>
      </w:r>
      <w:r w:rsidRPr="002A2450">
        <w:rPr>
          <w:rFonts w:ascii="ITC Avant Garde" w:hAnsi="ITC Avant Garde"/>
          <w:b/>
        </w:rPr>
        <w:t>“TELMEX”</w:t>
      </w:r>
      <w:r w:rsidRPr="002A2450">
        <w:rPr>
          <w:rFonts w:ascii="ITC Avant Garde" w:hAnsi="ITC Avant Garde"/>
        </w:rPr>
        <w:t xml:space="preserve"> resultan </w:t>
      </w:r>
      <w:r w:rsidRPr="002A2450">
        <w:rPr>
          <w:rFonts w:ascii="ITC Avant Garde" w:hAnsi="ITC Avant Garde"/>
          <w:b/>
          <w:u w:val="single"/>
        </w:rPr>
        <w:t>insuficientes</w:t>
      </w:r>
      <w:r w:rsidR="005A2E09" w:rsidRPr="002A2450">
        <w:rPr>
          <w:rFonts w:ascii="ITC Avant Garde" w:hAnsi="ITC Avant Garde"/>
          <w:b/>
          <w:u w:val="single"/>
        </w:rPr>
        <w:t xml:space="preserve"> e infundados</w:t>
      </w:r>
      <w:r w:rsidRPr="002A2450">
        <w:rPr>
          <w:rFonts w:ascii="ITC Avant Garde" w:hAnsi="ITC Avant Garde"/>
        </w:rPr>
        <w:t xml:space="preserve"> en virtud de las siguientes consideraciones:</w:t>
      </w:r>
    </w:p>
    <w:p w14:paraId="79DAD44A" w14:textId="77777777" w:rsidR="00B35F13" w:rsidRDefault="008A7C50" w:rsidP="00B35F13">
      <w:pPr>
        <w:spacing w:before="240" w:line="360" w:lineRule="auto"/>
        <w:jc w:val="both"/>
        <w:rPr>
          <w:rFonts w:ascii="ITC Avant Garde" w:hAnsi="ITC Avant Garde"/>
        </w:rPr>
      </w:pPr>
      <w:r w:rsidRPr="002A2450">
        <w:rPr>
          <w:rFonts w:ascii="ITC Avant Garde" w:hAnsi="ITC Avant Garde"/>
        </w:rPr>
        <w:t>Por lo que hace al oficio 2-1210 de doce de junio de mil novecientos noventa y cinco emitido por el Subsecretario de Comunicaciones y Desarrollo Tecnológico debe advertirse que e</w:t>
      </w:r>
      <w:r w:rsidR="004F4AD0" w:rsidRPr="002A2450">
        <w:rPr>
          <w:rFonts w:ascii="ITC Avant Garde" w:hAnsi="ITC Avant Garde"/>
        </w:rPr>
        <w:t xml:space="preserve">n términos de lo dispuesto por </w:t>
      </w:r>
      <w:r w:rsidRPr="002A2450">
        <w:rPr>
          <w:rFonts w:ascii="ITC Avant Garde" w:hAnsi="ITC Avant Garde"/>
        </w:rPr>
        <w:t>l</w:t>
      </w:r>
      <w:r w:rsidR="004F4AD0" w:rsidRPr="002A2450">
        <w:rPr>
          <w:rFonts w:ascii="ITC Avant Garde" w:hAnsi="ITC Avant Garde"/>
        </w:rPr>
        <w:t>os</w:t>
      </w:r>
      <w:r w:rsidRPr="002A2450">
        <w:rPr>
          <w:rFonts w:ascii="ITC Avant Garde" w:hAnsi="ITC Avant Garde"/>
        </w:rPr>
        <w:t xml:space="preserve"> artículo</w:t>
      </w:r>
      <w:r w:rsidR="004F4AD0" w:rsidRPr="002A2450">
        <w:rPr>
          <w:rFonts w:ascii="ITC Avant Garde" w:hAnsi="ITC Avant Garde"/>
        </w:rPr>
        <w:t>s</w:t>
      </w:r>
      <w:r w:rsidRPr="002A2450">
        <w:rPr>
          <w:rFonts w:ascii="ITC Avant Garde" w:hAnsi="ITC Avant Garde"/>
        </w:rPr>
        <w:t xml:space="preserve"> 197 y 202 del </w:t>
      </w:r>
      <w:r w:rsidRPr="002A2450">
        <w:rPr>
          <w:rFonts w:ascii="ITC Avant Garde" w:hAnsi="ITC Avant Garde"/>
          <w:b/>
        </w:rPr>
        <w:t>“CFPC”</w:t>
      </w:r>
      <w:r w:rsidRPr="002A2450">
        <w:rPr>
          <w:rFonts w:ascii="ITC Avant Garde" w:hAnsi="ITC Avant Garde"/>
        </w:rPr>
        <w:t xml:space="preserve"> de aplicación supletoria en términos del artículo 6, fracción IV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es prueba plena de su emisión en los términos en que el mismo fue emitido toda vez que el mismo obra en copia certificada en los autos del expediente en que se actúa.</w:t>
      </w:r>
    </w:p>
    <w:p w14:paraId="6DE81FBB" w14:textId="77777777" w:rsidR="00B35F13" w:rsidRDefault="008A7C50" w:rsidP="00B35F13">
      <w:pPr>
        <w:spacing w:before="240" w:line="360" w:lineRule="auto"/>
        <w:jc w:val="both"/>
        <w:rPr>
          <w:rFonts w:ascii="ITC Avant Garde" w:hAnsi="ITC Avant Garde"/>
        </w:rPr>
      </w:pPr>
      <w:r w:rsidRPr="002A2450">
        <w:rPr>
          <w:rFonts w:ascii="ITC Avant Garde" w:hAnsi="ITC Avant Garde"/>
        </w:rPr>
        <w:t xml:space="preserve">Ahora bien, en dicho documento obra la opinión que en su momento realizó el Subsecretario de Comunicaciones y Desarrollo Tecnológico de la </w:t>
      </w:r>
      <w:r w:rsidR="005A2E09" w:rsidRPr="002A2450">
        <w:rPr>
          <w:rFonts w:ascii="ITC Avant Garde" w:hAnsi="ITC Avant Garde"/>
        </w:rPr>
        <w:t xml:space="preserve">Secretaría </w:t>
      </w:r>
      <w:r w:rsidRPr="002A2450">
        <w:rPr>
          <w:rFonts w:ascii="ITC Avant Garde" w:hAnsi="ITC Avant Garde"/>
        </w:rPr>
        <w:t>de Comunicaciones y Transportes al Secretario Ejecutivo de la extinta Comisión Federal de Competencia.</w:t>
      </w:r>
    </w:p>
    <w:p w14:paraId="58B90FA3" w14:textId="77777777" w:rsidR="00B35F13" w:rsidRDefault="008A7C50" w:rsidP="00B35F13">
      <w:pPr>
        <w:spacing w:before="240" w:line="360" w:lineRule="auto"/>
        <w:jc w:val="both"/>
        <w:rPr>
          <w:rFonts w:ascii="ITC Avant Garde" w:hAnsi="ITC Avant Garde"/>
        </w:rPr>
      </w:pPr>
      <w:r w:rsidRPr="002A2450">
        <w:rPr>
          <w:rFonts w:ascii="ITC Avant Garde" w:hAnsi="ITC Avant Garde"/>
        </w:rPr>
        <w:t>En</w:t>
      </w:r>
      <w:r w:rsidR="0055006A" w:rsidRPr="002A2450">
        <w:rPr>
          <w:rFonts w:ascii="ITC Avant Garde" w:hAnsi="ITC Avant Garde"/>
        </w:rPr>
        <w:t xml:space="preserve"> el documento mencionado</w:t>
      </w:r>
      <w:r w:rsidRPr="002A2450">
        <w:rPr>
          <w:rFonts w:ascii="ITC Avant Garde" w:hAnsi="ITC Avant Garde"/>
        </w:rPr>
        <w:t xml:space="preserve">, se advierte que </w:t>
      </w:r>
      <w:r w:rsidR="0055006A" w:rsidRPr="002A2450">
        <w:rPr>
          <w:rFonts w:ascii="ITC Avant Garde" w:hAnsi="ITC Avant Garde"/>
        </w:rPr>
        <w:t xml:space="preserve">el citado </w:t>
      </w:r>
      <w:r w:rsidRPr="002A2450">
        <w:rPr>
          <w:rFonts w:ascii="ITC Avant Garde" w:hAnsi="ITC Avant Garde"/>
        </w:rPr>
        <w:t xml:space="preserve">Subsecretario </w:t>
      </w:r>
      <w:r w:rsidR="00195974" w:rsidRPr="002A2450">
        <w:rPr>
          <w:rFonts w:ascii="ITC Avant Garde" w:hAnsi="ITC Avant Garde"/>
        </w:rPr>
        <w:t xml:space="preserve">señaló a solicitud de la extinta Comisión Federal de Competencia que </w:t>
      </w:r>
      <w:r w:rsidR="00195974" w:rsidRPr="002A2450">
        <w:rPr>
          <w:rFonts w:ascii="ITC Avant Garde" w:hAnsi="ITC Avant Garde"/>
          <w:b/>
        </w:rPr>
        <w:t xml:space="preserve">no existía impedimento para que “TELMEX” adquiriera participación en el capital social de </w:t>
      </w:r>
      <w:r w:rsidR="00195974" w:rsidRPr="002A2450">
        <w:rPr>
          <w:rFonts w:ascii="ITC Avant Garde" w:hAnsi="ITC Avant Garde"/>
          <w:b/>
        </w:rPr>
        <w:lastRenderedPageBreak/>
        <w:t>alguna sociedad que directa o indirectamente preste el servicio de televisión por cable sujeta a la autorización por parte de la Secretaría de Comunicaciones y Transportes en términos del artículo 10, inciso d), del Reglamento del Servicio de Televisión por cable.</w:t>
      </w:r>
    </w:p>
    <w:p w14:paraId="7F1847FD" w14:textId="77777777" w:rsidR="00B35F13" w:rsidRDefault="00195974" w:rsidP="00B35F13">
      <w:pPr>
        <w:spacing w:before="240" w:line="360" w:lineRule="auto"/>
        <w:jc w:val="both"/>
        <w:rPr>
          <w:rFonts w:ascii="ITC Avant Garde" w:hAnsi="ITC Avant Garde"/>
        </w:rPr>
      </w:pPr>
      <w:r w:rsidRPr="002A2450">
        <w:rPr>
          <w:rFonts w:ascii="ITC Avant Garde" w:hAnsi="ITC Avant Garde"/>
        </w:rPr>
        <w:t xml:space="preserve">En ese sentido, </w:t>
      </w:r>
      <w:r w:rsidRPr="002A2450">
        <w:rPr>
          <w:rFonts w:ascii="ITC Avant Garde" w:hAnsi="ITC Avant Garde"/>
          <w:b/>
        </w:rPr>
        <w:t>“TELMEX”</w:t>
      </w:r>
      <w:r w:rsidRPr="002A2450">
        <w:rPr>
          <w:rFonts w:ascii="ITC Avant Garde" w:hAnsi="ITC Avant Garde"/>
        </w:rPr>
        <w:t xml:space="preserve"> señala que con base en la opinión </w:t>
      </w:r>
      <w:r w:rsidR="002D697F" w:rsidRPr="002A2450">
        <w:rPr>
          <w:rFonts w:ascii="ITC Avant Garde" w:hAnsi="ITC Avant Garde"/>
        </w:rPr>
        <w:t xml:space="preserve">antes señalada, la entonces Comisión Federal de Competencia, en los autos del expediente CNT-08-95 autorizó la concentración entre </w:t>
      </w:r>
      <w:proofErr w:type="spellStart"/>
      <w:r w:rsidR="005D52D7" w:rsidRPr="002A2450">
        <w:rPr>
          <w:rFonts w:ascii="ITC Avant Garde" w:hAnsi="ITC Avant Garde"/>
        </w:rPr>
        <w:t>Sercotel</w:t>
      </w:r>
      <w:proofErr w:type="spellEnd"/>
      <w:r w:rsidR="002D697F" w:rsidRPr="002A2450">
        <w:rPr>
          <w:rFonts w:ascii="ITC Avant Garde" w:hAnsi="ITC Avant Garde"/>
        </w:rPr>
        <w:t xml:space="preserve">, S.A. de C.V. subsidiaria de </w:t>
      </w:r>
      <w:r w:rsidR="002D697F" w:rsidRPr="002A2450">
        <w:rPr>
          <w:rFonts w:ascii="ITC Avant Garde" w:hAnsi="ITC Avant Garde"/>
          <w:b/>
        </w:rPr>
        <w:t>“TELMEX”</w:t>
      </w:r>
      <w:r w:rsidR="002D697F" w:rsidRPr="002A2450">
        <w:rPr>
          <w:rFonts w:ascii="ITC Avant Garde" w:hAnsi="ITC Avant Garde"/>
        </w:rPr>
        <w:t xml:space="preserve"> y Empresas Cablevisión, S.A. de C.V., propiedad de </w:t>
      </w:r>
      <w:r w:rsidR="002D697F" w:rsidRPr="002A2450">
        <w:rPr>
          <w:rFonts w:ascii="ITC Avant Garde" w:hAnsi="ITC Avant Garde"/>
          <w:i/>
        </w:rPr>
        <w:t>“Grupo Televisa”</w:t>
      </w:r>
      <w:r w:rsidR="002D697F" w:rsidRPr="002A2450">
        <w:rPr>
          <w:rFonts w:ascii="ITC Avant Garde" w:hAnsi="ITC Avant Garde"/>
        </w:rPr>
        <w:t>, cuyas constancias en términos de lo dispuesto por l</w:t>
      </w:r>
      <w:r w:rsidR="004F4AD0" w:rsidRPr="002A2450">
        <w:rPr>
          <w:rFonts w:ascii="ITC Avant Garde" w:hAnsi="ITC Avant Garde"/>
        </w:rPr>
        <w:t>os</w:t>
      </w:r>
      <w:r w:rsidR="002D697F" w:rsidRPr="002A2450">
        <w:rPr>
          <w:rFonts w:ascii="ITC Avant Garde" w:hAnsi="ITC Avant Garde"/>
        </w:rPr>
        <w:t xml:space="preserve"> artículo</w:t>
      </w:r>
      <w:r w:rsidR="004F4AD0" w:rsidRPr="002A2450">
        <w:rPr>
          <w:rFonts w:ascii="ITC Avant Garde" w:hAnsi="ITC Avant Garde"/>
        </w:rPr>
        <w:t>s</w:t>
      </w:r>
      <w:r w:rsidR="002D697F" w:rsidRPr="002A2450">
        <w:rPr>
          <w:rFonts w:ascii="ITC Avant Garde" w:hAnsi="ITC Avant Garde"/>
        </w:rPr>
        <w:t xml:space="preserve"> 197 y 202 del </w:t>
      </w:r>
      <w:r w:rsidR="002D697F" w:rsidRPr="002A2450">
        <w:rPr>
          <w:rFonts w:ascii="ITC Avant Garde" w:hAnsi="ITC Avant Garde"/>
          <w:b/>
        </w:rPr>
        <w:t>“CFPC”</w:t>
      </w:r>
      <w:r w:rsidR="002D697F" w:rsidRPr="002A2450">
        <w:rPr>
          <w:rFonts w:ascii="ITC Avant Garde" w:hAnsi="ITC Avant Garde"/>
        </w:rPr>
        <w:t xml:space="preserve"> de aplicación supletoria en términos del artículo 6, fracción IV de la </w:t>
      </w:r>
      <w:r w:rsidR="002D697F" w:rsidRPr="002A2450">
        <w:rPr>
          <w:rFonts w:ascii="ITC Avant Garde" w:hAnsi="ITC Avant Garde"/>
          <w:b/>
        </w:rPr>
        <w:t>“</w:t>
      </w:r>
      <w:proofErr w:type="spellStart"/>
      <w:r w:rsidR="002D697F" w:rsidRPr="002A2450">
        <w:rPr>
          <w:rFonts w:ascii="ITC Avant Garde" w:hAnsi="ITC Avant Garde"/>
          <w:b/>
        </w:rPr>
        <w:t>LFTyR</w:t>
      </w:r>
      <w:proofErr w:type="spellEnd"/>
      <w:r w:rsidR="002D697F" w:rsidRPr="002A2450">
        <w:rPr>
          <w:rFonts w:ascii="ITC Avant Garde" w:hAnsi="ITC Avant Garde"/>
          <w:b/>
        </w:rPr>
        <w:t>”</w:t>
      </w:r>
      <w:r w:rsidR="002D697F" w:rsidRPr="002A2450">
        <w:rPr>
          <w:rFonts w:ascii="ITC Avant Garde" w:hAnsi="ITC Avant Garde"/>
        </w:rPr>
        <w:t xml:space="preserve"> es prueba plena de su emisión toda vez que la misma obra en copia certificada en los autos del expediente en que se actúa</w:t>
      </w:r>
    </w:p>
    <w:p w14:paraId="3BB2A0AE" w14:textId="77777777" w:rsidR="00B35F13" w:rsidRDefault="002D697F" w:rsidP="00B35F13">
      <w:pPr>
        <w:spacing w:before="240" w:line="360" w:lineRule="auto"/>
        <w:jc w:val="both"/>
        <w:rPr>
          <w:rFonts w:ascii="ITC Avant Garde" w:hAnsi="ITC Avant Garde"/>
        </w:rPr>
      </w:pPr>
      <w:r w:rsidRPr="002A2450">
        <w:rPr>
          <w:rFonts w:ascii="ITC Avant Garde" w:hAnsi="ITC Avant Garde"/>
        </w:rPr>
        <w:t xml:space="preserve">En la resolución antes mencionada </w:t>
      </w:r>
      <w:r w:rsidR="00FB691D" w:rsidRPr="002A2450">
        <w:rPr>
          <w:rFonts w:ascii="ITC Avant Garde" w:hAnsi="ITC Avant Garde"/>
        </w:rPr>
        <w:t>se precisa lo siguiente:</w:t>
      </w:r>
    </w:p>
    <w:p w14:paraId="0A988690" w14:textId="618EBB41" w:rsidR="00FB691D" w:rsidRPr="002A2450" w:rsidRDefault="00FB691D" w:rsidP="00B35F13">
      <w:pPr>
        <w:spacing w:before="240" w:line="360" w:lineRule="auto"/>
        <w:ind w:left="567" w:right="567"/>
        <w:jc w:val="both"/>
        <w:rPr>
          <w:rFonts w:ascii="ITC Avant Garde" w:hAnsi="ITC Avant Garde"/>
          <w:i/>
        </w:rPr>
      </w:pPr>
      <w:r w:rsidRPr="002A2450">
        <w:rPr>
          <w:rFonts w:ascii="ITC Avant Garde" w:hAnsi="ITC Avant Garde"/>
          <w:i/>
        </w:rPr>
        <w:t>“…</w:t>
      </w:r>
    </w:p>
    <w:p w14:paraId="5B1487AF" w14:textId="77777777" w:rsidR="00B35F13" w:rsidRDefault="00FB691D" w:rsidP="00B35F13">
      <w:pPr>
        <w:spacing w:before="240" w:line="360" w:lineRule="auto"/>
        <w:ind w:left="567" w:right="567"/>
        <w:jc w:val="both"/>
        <w:rPr>
          <w:rFonts w:ascii="ITC Avant Garde" w:hAnsi="ITC Avant Garde"/>
          <w:i/>
        </w:rPr>
      </w:pPr>
      <w:r w:rsidRPr="002A2450">
        <w:rPr>
          <w:rFonts w:ascii="ITC Avant Garde" w:hAnsi="ITC Avant Garde"/>
          <w:i/>
        </w:rPr>
        <w:t>DÉCIMO SEGUNDO. En análisis jurídico de la concentración está la disposición del Título de Concesión otorgado a Teléfonos de México, en el cual se establece que: “</w:t>
      </w:r>
      <w:r w:rsidR="005B601B" w:rsidRPr="002A2450">
        <w:rPr>
          <w:rFonts w:ascii="ITC Avant Garde" w:hAnsi="ITC Avant Garde"/>
          <w:b/>
          <w:i/>
        </w:rPr>
        <w:t>“TELMEX”</w:t>
      </w:r>
      <w:r w:rsidRPr="002A2450">
        <w:rPr>
          <w:rFonts w:ascii="ITC Avant Garde" w:hAnsi="ITC Avant Garde"/>
          <w:i/>
        </w:rPr>
        <w:t xml:space="preserve"> no podrá explotar, directa o indirectamente ninguna concesión de servicios de televisión al público en el país”. </w:t>
      </w:r>
      <w:r w:rsidRPr="002A2450">
        <w:rPr>
          <w:rFonts w:ascii="ITC Avant Garde" w:hAnsi="ITC Avant Garde"/>
          <w:b/>
          <w:i/>
          <w:u w:val="single"/>
        </w:rPr>
        <w:t>Al respecto obra en el expediente materia de esta concentración, el oficio 1210 de 12 de junio de 1995, emitido por el Subsecretario de Comunicaciones y Desarrollo Tecnológico</w:t>
      </w:r>
      <w:r w:rsidRPr="002A2450">
        <w:rPr>
          <w:rFonts w:ascii="ITC Avant Garde" w:hAnsi="ITC Avant Garde"/>
          <w:i/>
        </w:rPr>
        <w:t xml:space="preserve">, donde se opina que con base en la Ley de Vías Generales de Comunicación, en el Reglamento de Servicio de Televisión por cable y en la modificación al título de concesión de </w:t>
      </w:r>
      <w:r w:rsidR="005B601B" w:rsidRPr="002A2450">
        <w:rPr>
          <w:rFonts w:ascii="ITC Avant Garde" w:hAnsi="ITC Avant Garde"/>
          <w:b/>
          <w:i/>
        </w:rPr>
        <w:t>“TELMEX”</w:t>
      </w:r>
      <w:r w:rsidRPr="002A2450">
        <w:rPr>
          <w:rFonts w:ascii="ITC Avant Garde" w:hAnsi="ITC Avant Garde"/>
          <w:i/>
        </w:rPr>
        <w:t xml:space="preserve">, que no existe impedimento para que </w:t>
      </w:r>
      <w:r w:rsidR="005B601B" w:rsidRPr="002A2450">
        <w:rPr>
          <w:rFonts w:ascii="ITC Avant Garde" w:hAnsi="ITC Avant Garde"/>
          <w:b/>
          <w:i/>
        </w:rPr>
        <w:t>“TELMEX”</w:t>
      </w:r>
      <w:r w:rsidRPr="002A2450">
        <w:rPr>
          <w:rFonts w:ascii="ITC Avant Garde" w:hAnsi="ITC Avant Garde"/>
          <w:i/>
        </w:rPr>
        <w:t xml:space="preserve"> adquiera participación social </w:t>
      </w:r>
      <w:r w:rsidR="006B782E" w:rsidRPr="002A2450">
        <w:rPr>
          <w:rFonts w:ascii="ITC Avant Garde" w:hAnsi="ITC Avant Garde"/>
          <w:i/>
        </w:rPr>
        <w:t xml:space="preserve">de </w:t>
      </w:r>
      <w:r w:rsidRPr="002A2450">
        <w:rPr>
          <w:rFonts w:ascii="ITC Avant Garde" w:hAnsi="ITC Avant Garde"/>
          <w:i/>
        </w:rPr>
        <w:t>alguna</w:t>
      </w:r>
      <w:r w:rsidR="006B782E" w:rsidRPr="002A2450">
        <w:rPr>
          <w:rFonts w:ascii="ITC Avant Garde" w:hAnsi="ITC Avant Garde"/>
          <w:i/>
        </w:rPr>
        <w:t xml:space="preserve"> sociedad que directa o indirectamente preste el servicio de televisión por cable.</w:t>
      </w:r>
    </w:p>
    <w:p w14:paraId="2993328D" w14:textId="77777777" w:rsidR="00B35F13" w:rsidRDefault="006B782E" w:rsidP="00B35F13">
      <w:pPr>
        <w:spacing w:before="240" w:line="360" w:lineRule="auto"/>
        <w:ind w:left="567" w:right="567"/>
        <w:jc w:val="both"/>
        <w:rPr>
          <w:rFonts w:ascii="ITC Avant Garde" w:hAnsi="ITC Avant Garde"/>
        </w:rPr>
      </w:pPr>
      <w:r w:rsidRPr="002A2450">
        <w:rPr>
          <w:rFonts w:ascii="ITC Avant Garde" w:hAnsi="ITC Avant Garde"/>
          <w:b/>
          <w:i/>
          <w:u w:val="single"/>
        </w:rPr>
        <w:lastRenderedPageBreak/>
        <w:t xml:space="preserve">El citado oficio constituye en </w:t>
      </w:r>
      <w:r w:rsidR="00702143" w:rsidRPr="002A2450">
        <w:rPr>
          <w:rFonts w:ascii="ITC Avant Garde" w:hAnsi="ITC Avant Garde"/>
          <w:b/>
          <w:i/>
          <w:u w:val="single"/>
        </w:rPr>
        <w:t>sí</w:t>
      </w:r>
      <w:r w:rsidRPr="002A2450">
        <w:rPr>
          <w:rFonts w:ascii="ITC Avant Garde" w:hAnsi="ITC Avant Garde"/>
          <w:b/>
          <w:i/>
          <w:u w:val="single"/>
        </w:rPr>
        <w:t xml:space="preserve"> mismo una modificación al título de concesión, pero él mismo resulta alteración al título de concesión, al permitir la participación accionaria de Teléfonos de México en Cablevisión</w:t>
      </w:r>
      <w:r w:rsidRPr="002A2450">
        <w:rPr>
          <w:rFonts w:ascii="ITC Avant Garde" w:hAnsi="ITC Avant Garde"/>
          <w:i/>
        </w:rPr>
        <w:t xml:space="preserve">, además dicho oficio exige de la autorización de la Secretaría de Comunicaciones para la compraventa de las acciones de televisión por cable, </w:t>
      </w:r>
      <w:r w:rsidRPr="002A2450">
        <w:rPr>
          <w:rFonts w:ascii="ITC Avant Garde" w:hAnsi="ITC Avant Garde"/>
          <w:b/>
          <w:i/>
          <w:u w:val="single"/>
        </w:rPr>
        <w:t>por lo que se deberá de condicionar la concentración, sujeta a obtener el permiso correspondiente de dicha Secretaría</w:t>
      </w:r>
      <w:r w:rsidRPr="002A2450">
        <w:rPr>
          <w:rFonts w:ascii="ITC Avant Garde" w:hAnsi="ITC Avant Garde"/>
          <w:i/>
        </w:rPr>
        <w:t>, este condicionamiento está fundado en el artículo 103 del Reglamento del Servicio de Televisión por Cable.</w:t>
      </w:r>
      <w:r w:rsidR="00FB691D" w:rsidRPr="002A2450">
        <w:rPr>
          <w:rFonts w:ascii="ITC Avant Garde" w:hAnsi="ITC Avant Garde"/>
          <w:i/>
        </w:rPr>
        <w:t>”</w:t>
      </w:r>
      <w:r w:rsidRPr="002A2450">
        <w:rPr>
          <w:rFonts w:ascii="ITC Avant Garde" w:hAnsi="ITC Avant Garde"/>
          <w:i/>
        </w:rPr>
        <w:t xml:space="preserve"> </w:t>
      </w:r>
      <w:r w:rsidRPr="002A2450">
        <w:rPr>
          <w:rFonts w:ascii="ITC Avant Garde" w:hAnsi="ITC Avant Garde"/>
        </w:rPr>
        <w:t>(</w:t>
      </w:r>
      <w:proofErr w:type="gramStart"/>
      <w:r w:rsidRPr="002A2450">
        <w:rPr>
          <w:rFonts w:ascii="ITC Avant Garde" w:hAnsi="ITC Avant Garde"/>
        </w:rPr>
        <w:t>sic</w:t>
      </w:r>
      <w:proofErr w:type="gramEnd"/>
      <w:r w:rsidRPr="002A2450">
        <w:rPr>
          <w:rFonts w:ascii="ITC Avant Garde" w:hAnsi="ITC Avant Garde"/>
        </w:rPr>
        <w:t>)</w:t>
      </w:r>
    </w:p>
    <w:p w14:paraId="1E231FA3" w14:textId="77777777" w:rsidR="00B35F13" w:rsidRDefault="009F4F57" w:rsidP="00B35F13">
      <w:pPr>
        <w:spacing w:before="240" w:line="360" w:lineRule="auto"/>
        <w:jc w:val="both"/>
        <w:rPr>
          <w:rFonts w:ascii="ITC Avant Garde" w:hAnsi="ITC Avant Garde"/>
        </w:rPr>
      </w:pPr>
      <w:r w:rsidRPr="002A2450">
        <w:rPr>
          <w:rFonts w:ascii="ITC Avant Garde" w:hAnsi="ITC Avant Garde"/>
        </w:rPr>
        <w:t xml:space="preserve">Por otro lado, </w:t>
      </w:r>
      <w:r w:rsidRPr="002A2450">
        <w:rPr>
          <w:rFonts w:ascii="ITC Avant Garde" w:hAnsi="ITC Avant Garde"/>
          <w:b/>
        </w:rPr>
        <w:t>“TELMEX”</w:t>
      </w:r>
      <w:r w:rsidRPr="002A2450">
        <w:rPr>
          <w:rFonts w:ascii="ITC Avant Garde" w:hAnsi="ITC Avant Garde"/>
        </w:rPr>
        <w:t xml:space="preserve"> señala que mediante oficio de veintitrés de junio de mil novecientos noventa y cinco, el Director General de Sistemas de Difusión, dependiente de la Subsecretaría de Comunicaciones y Desarrollo Tecnológico, emitió la autorización respectiva para llevar a cabo la compra – venta de acciones </w:t>
      </w:r>
      <w:r w:rsidR="00604188" w:rsidRPr="002A2450">
        <w:rPr>
          <w:rFonts w:ascii="ITC Avant Garde" w:hAnsi="ITC Avant Garde"/>
        </w:rPr>
        <w:t xml:space="preserve">de </w:t>
      </w:r>
      <w:proofErr w:type="spellStart"/>
      <w:r w:rsidRPr="002A2450">
        <w:rPr>
          <w:rFonts w:ascii="ITC Avant Garde" w:hAnsi="ITC Avant Garde"/>
        </w:rPr>
        <w:t>Se</w:t>
      </w:r>
      <w:r w:rsidR="00F329A7" w:rsidRPr="002A2450">
        <w:rPr>
          <w:rFonts w:ascii="ITC Avant Garde" w:hAnsi="ITC Avant Garde"/>
        </w:rPr>
        <w:t>r</w:t>
      </w:r>
      <w:r w:rsidRPr="002A2450">
        <w:rPr>
          <w:rFonts w:ascii="ITC Avant Garde" w:hAnsi="ITC Avant Garde"/>
        </w:rPr>
        <w:t>cotel</w:t>
      </w:r>
      <w:proofErr w:type="spellEnd"/>
      <w:r w:rsidRPr="002A2450">
        <w:rPr>
          <w:rFonts w:ascii="ITC Avant Garde" w:hAnsi="ITC Avant Garde"/>
        </w:rPr>
        <w:t xml:space="preserve">, S.A. de C.V. subsidiaria de </w:t>
      </w:r>
      <w:r w:rsidRPr="002A2450">
        <w:rPr>
          <w:rFonts w:ascii="ITC Avant Garde" w:hAnsi="ITC Avant Garde"/>
          <w:b/>
        </w:rPr>
        <w:t>“TELMEX”</w:t>
      </w:r>
      <w:r w:rsidRPr="002A2450">
        <w:rPr>
          <w:rFonts w:ascii="ITC Avant Garde" w:hAnsi="ITC Avant Garde"/>
        </w:rPr>
        <w:t xml:space="preserve"> y Empresas Cablevisión, S.A. de C.V., propiedad de </w:t>
      </w:r>
      <w:r w:rsidRPr="002A2450">
        <w:rPr>
          <w:rFonts w:ascii="ITC Avant Garde" w:hAnsi="ITC Avant Garde"/>
          <w:i/>
        </w:rPr>
        <w:t>“Grupo Televisa”</w:t>
      </w:r>
      <w:r w:rsidR="00604188" w:rsidRPr="002A2450">
        <w:rPr>
          <w:rFonts w:ascii="ITC Avant Garde" w:hAnsi="ITC Avant Garde"/>
        </w:rPr>
        <w:t>.</w:t>
      </w:r>
    </w:p>
    <w:p w14:paraId="3419609E" w14:textId="77777777" w:rsidR="00B35F13" w:rsidRDefault="009F4F57" w:rsidP="00B35F13">
      <w:pPr>
        <w:spacing w:before="240" w:line="360" w:lineRule="auto"/>
        <w:jc w:val="both"/>
        <w:rPr>
          <w:rFonts w:ascii="ITC Avant Garde" w:hAnsi="ITC Avant Garde"/>
        </w:rPr>
      </w:pPr>
      <w:r w:rsidRPr="002A2450">
        <w:rPr>
          <w:rFonts w:ascii="ITC Avant Garde" w:hAnsi="ITC Avant Garde"/>
        </w:rPr>
        <w:t>Con lo anterior, dicha concesionaria presume tener un derecho adquirido para participar en el capital social de una empresa concesionada en el servicio de televisión restringida.</w:t>
      </w:r>
    </w:p>
    <w:p w14:paraId="27903C91" w14:textId="77777777" w:rsidR="00B35F13" w:rsidRDefault="009F4F57" w:rsidP="00B35F13">
      <w:pPr>
        <w:spacing w:before="240" w:line="360" w:lineRule="auto"/>
        <w:jc w:val="both"/>
        <w:rPr>
          <w:rFonts w:ascii="ITC Avant Garde" w:hAnsi="ITC Avant Garde"/>
        </w:rPr>
      </w:pPr>
      <w:r w:rsidRPr="002A2450">
        <w:rPr>
          <w:rFonts w:ascii="ITC Avant Garde" w:hAnsi="ITC Avant Garde"/>
        </w:rPr>
        <w:t xml:space="preserve">Al respecto, conviene realizar algunas presiones sustanciales respecto de los argumentos vertidos por </w:t>
      </w:r>
      <w:r w:rsidRPr="002A2450">
        <w:rPr>
          <w:rFonts w:ascii="ITC Avant Garde" w:hAnsi="ITC Avant Garde"/>
          <w:b/>
        </w:rPr>
        <w:t>“TELMEX”</w:t>
      </w:r>
      <w:r w:rsidRPr="002A2450">
        <w:rPr>
          <w:rFonts w:ascii="ITC Avant Garde" w:hAnsi="ITC Avant Garde"/>
        </w:rPr>
        <w:t>.</w:t>
      </w:r>
    </w:p>
    <w:p w14:paraId="66003E7B" w14:textId="77777777" w:rsidR="00B35F13" w:rsidRDefault="00604188" w:rsidP="00B35F13">
      <w:pPr>
        <w:spacing w:before="240" w:line="360" w:lineRule="auto"/>
        <w:jc w:val="both"/>
        <w:rPr>
          <w:rFonts w:ascii="ITC Avant Garde" w:hAnsi="ITC Avant Garde"/>
        </w:rPr>
      </w:pPr>
      <w:r w:rsidRPr="002A2450">
        <w:rPr>
          <w:rFonts w:ascii="ITC Avant Garde" w:hAnsi="ITC Avant Garde"/>
        </w:rPr>
        <w:t xml:space="preserve">En principio, debe recalcarse que el procedimiento materia de la presente resolución es el probable incumplimiento </w:t>
      </w:r>
      <w:r w:rsidR="00F64B46" w:rsidRPr="002A2450">
        <w:rPr>
          <w:rFonts w:ascii="ITC Avant Garde" w:hAnsi="ITC Avant Garde"/>
        </w:rPr>
        <w:t xml:space="preserve">al </w:t>
      </w:r>
      <w:r w:rsidR="00065AA4" w:rsidRPr="009E34A4">
        <w:rPr>
          <w:rFonts w:ascii="ITC Avant Garde" w:hAnsi="ITC Avant Garde"/>
          <w:b/>
        </w:rPr>
        <w:t>Tercer Párrafo</w:t>
      </w:r>
      <w:r w:rsidR="00F64B46" w:rsidRPr="002A2450">
        <w:rPr>
          <w:rFonts w:ascii="ITC Avant Garde" w:hAnsi="ITC Avant Garde"/>
        </w:rPr>
        <w:t xml:space="preserve"> de </w:t>
      </w:r>
      <w:r w:rsidRPr="002A2450">
        <w:rPr>
          <w:rFonts w:ascii="ITC Avant Garde" w:hAnsi="ITC Avant Garde"/>
        </w:rPr>
        <w:t xml:space="preserve">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w:t>
      </w:r>
      <w:r w:rsidR="00F64B46" w:rsidRPr="002A2450">
        <w:rPr>
          <w:rFonts w:ascii="ITC Avant Garde" w:hAnsi="ITC Avant Garde"/>
        </w:rPr>
        <w:t xml:space="preserve">consiste en la prohibición para </w:t>
      </w:r>
      <w:r w:rsidRPr="002A2450">
        <w:rPr>
          <w:rFonts w:ascii="ITC Avant Garde" w:hAnsi="ITC Avant Garde"/>
        </w:rPr>
        <w:t xml:space="preserve">explotar, directa o indirectamente, </w:t>
      </w:r>
      <w:r w:rsidR="00F64B46" w:rsidRPr="002A2450">
        <w:rPr>
          <w:rFonts w:ascii="ITC Avant Garde" w:hAnsi="ITC Avant Garde"/>
        </w:rPr>
        <w:t xml:space="preserve">una </w:t>
      </w:r>
      <w:r w:rsidRPr="002A2450">
        <w:rPr>
          <w:rFonts w:ascii="ITC Avant Garde" w:hAnsi="ITC Avant Garde"/>
        </w:rPr>
        <w:t>concesión de servicios de televisión al público en el país.</w:t>
      </w:r>
    </w:p>
    <w:p w14:paraId="239CF464" w14:textId="77777777" w:rsidR="00B35F13" w:rsidRDefault="00604188" w:rsidP="00B35F13">
      <w:pPr>
        <w:spacing w:before="240" w:line="360" w:lineRule="auto"/>
        <w:jc w:val="both"/>
        <w:rPr>
          <w:rFonts w:ascii="ITC Avant Garde" w:hAnsi="ITC Avant Garde"/>
        </w:rPr>
      </w:pPr>
      <w:r w:rsidRPr="002A2450">
        <w:rPr>
          <w:rFonts w:ascii="ITC Avant Garde" w:hAnsi="ITC Avant Garde"/>
        </w:rPr>
        <w:t xml:space="preserve">Aclarado lo anterior, debe señalarse que la autorización para llevar a cabo la compraventa de acciones de </w:t>
      </w:r>
      <w:proofErr w:type="spellStart"/>
      <w:r w:rsidR="005D52D7" w:rsidRPr="002A2450">
        <w:rPr>
          <w:rFonts w:ascii="ITC Avant Garde" w:hAnsi="ITC Avant Garde"/>
        </w:rPr>
        <w:t>Sercotel</w:t>
      </w:r>
      <w:proofErr w:type="spellEnd"/>
      <w:r w:rsidRPr="002A2450">
        <w:rPr>
          <w:rFonts w:ascii="ITC Avant Garde" w:hAnsi="ITC Avant Garde"/>
        </w:rPr>
        <w:t xml:space="preserve">, S.A. de C.V. subsidiaria de </w:t>
      </w:r>
      <w:r w:rsidRPr="002A2450">
        <w:rPr>
          <w:rFonts w:ascii="ITC Avant Garde" w:hAnsi="ITC Avant Garde"/>
          <w:b/>
        </w:rPr>
        <w:t>“TELMEX”</w:t>
      </w:r>
      <w:r w:rsidRPr="002A2450">
        <w:rPr>
          <w:rFonts w:ascii="ITC Avant Garde" w:hAnsi="ITC Avant Garde"/>
        </w:rPr>
        <w:t xml:space="preserve"> y </w:t>
      </w:r>
      <w:r w:rsidRPr="002A2450">
        <w:rPr>
          <w:rFonts w:ascii="ITC Avant Garde" w:hAnsi="ITC Avant Garde"/>
        </w:rPr>
        <w:lastRenderedPageBreak/>
        <w:t xml:space="preserve">Empresas Cablevisión, S.A. de C.V., propiedad de </w:t>
      </w:r>
      <w:r w:rsidRPr="002A2450">
        <w:rPr>
          <w:rFonts w:ascii="ITC Avant Garde" w:hAnsi="ITC Avant Garde"/>
          <w:i/>
        </w:rPr>
        <w:t>“Grupo Televisa”</w:t>
      </w:r>
      <w:r w:rsidRPr="002A2450">
        <w:rPr>
          <w:rFonts w:ascii="ITC Avant Garde" w:hAnsi="ITC Avant Garde"/>
        </w:rPr>
        <w:t xml:space="preserve"> reviste las siguientes consideraciones:</w:t>
      </w:r>
    </w:p>
    <w:p w14:paraId="7725C2DE" w14:textId="77777777" w:rsidR="00B35F13" w:rsidRDefault="00604188" w:rsidP="00B35F13">
      <w:pPr>
        <w:spacing w:before="240" w:line="360" w:lineRule="auto"/>
        <w:jc w:val="both"/>
        <w:rPr>
          <w:rFonts w:ascii="ITC Avant Garde" w:hAnsi="ITC Avant Garde"/>
        </w:rPr>
      </w:pPr>
      <w:r w:rsidRPr="002A2450">
        <w:rPr>
          <w:rFonts w:ascii="ITC Avant Garde" w:hAnsi="ITC Avant Garde"/>
        </w:rPr>
        <w:t>La autorización otorgada precisamente tuvo como objeto autorizar la compraventa de acciones respectiva en</w:t>
      </w:r>
      <w:r w:rsidR="00F64B46" w:rsidRPr="002A2450">
        <w:rPr>
          <w:rFonts w:ascii="ITC Avant Garde" w:hAnsi="ITC Avant Garde"/>
        </w:rPr>
        <w:t>tre</w:t>
      </w:r>
      <w:r w:rsidRPr="002A2450">
        <w:rPr>
          <w:rFonts w:ascii="ITC Avant Garde" w:hAnsi="ITC Avant Garde"/>
        </w:rPr>
        <w:t xml:space="preserve"> las citadas empresas.</w:t>
      </w:r>
    </w:p>
    <w:p w14:paraId="057D5127" w14:textId="77777777" w:rsidR="00B35F13" w:rsidRDefault="00604188" w:rsidP="00B35F13">
      <w:pPr>
        <w:spacing w:before="240" w:line="360" w:lineRule="auto"/>
        <w:jc w:val="both"/>
        <w:rPr>
          <w:rFonts w:ascii="ITC Avant Garde" w:hAnsi="ITC Avant Garde"/>
        </w:rPr>
      </w:pPr>
      <w:r w:rsidRPr="002A2450">
        <w:rPr>
          <w:rFonts w:ascii="ITC Avant Garde" w:hAnsi="ITC Avant Garde"/>
        </w:rPr>
        <w:t>Ahora bien, en términos del oficio de veintitrés de junio de mil novecientos noventa y cinco, el Director General de Sistemas de Difusión, dependiente de la Subsecretaría de Comunicaciones y Desarrollo Tecnológico</w:t>
      </w:r>
      <w:r w:rsidR="00F64B46" w:rsidRPr="002A2450">
        <w:rPr>
          <w:rFonts w:ascii="ITC Avant Garde" w:hAnsi="ITC Avant Garde"/>
        </w:rPr>
        <w:t xml:space="preserve"> señaló que</w:t>
      </w:r>
      <w:r w:rsidRPr="002A2450">
        <w:rPr>
          <w:rFonts w:ascii="ITC Avant Garde" w:hAnsi="ITC Avant Garde"/>
        </w:rPr>
        <w:t xml:space="preserve"> la operación consistió en que Empresas Cablevisión, S.A. de C.V. vendiera y </w:t>
      </w:r>
      <w:proofErr w:type="spellStart"/>
      <w:r w:rsidRPr="002A2450">
        <w:rPr>
          <w:rFonts w:ascii="ITC Avant Garde" w:hAnsi="ITC Avant Garde"/>
        </w:rPr>
        <w:t>Sercotel</w:t>
      </w:r>
      <w:proofErr w:type="spellEnd"/>
      <w:r w:rsidRPr="002A2450">
        <w:rPr>
          <w:rFonts w:ascii="ITC Avant Garde" w:hAnsi="ITC Avant Garde"/>
        </w:rPr>
        <w:t>, S.A. de C.V. adquiriera el 49% de las acciones de la primera en mención.</w:t>
      </w:r>
    </w:p>
    <w:p w14:paraId="76481181" w14:textId="77777777" w:rsidR="00B35F13" w:rsidRDefault="00604188" w:rsidP="00B35F13">
      <w:pPr>
        <w:spacing w:before="240" w:line="360" w:lineRule="auto"/>
        <w:jc w:val="both"/>
        <w:rPr>
          <w:rFonts w:ascii="ITC Avant Garde" w:hAnsi="ITC Avant Garde"/>
        </w:rPr>
      </w:pPr>
      <w:r w:rsidRPr="002A2450">
        <w:rPr>
          <w:rFonts w:ascii="ITC Avant Garde" w:hAnsi="ITC Avant Garde"/>
        </w:rPr>
        <w:t xml:space="preserve">Lo anterior, tendría como efecto que al tener Empresas Cablevisión, S.A. de C.V. el 99% de las acciones de </w:t>
      </w:r>
      <w:proofErr w:type="spellStart"/>
      <w:r w:rsidRPr="002A2450">
        <w:rPr>
          <w:rFonts w:ascii="ITC Avant Garde" w:hAnsi="ITC Avant Garde"/>
        </w:rPr>
        <w:t>Mila</w:t>
      </w:r>
      <w:r w:rsidR="00604D23" w:rsidRPr="002A2450">
        <w:rPr>
          <w:rFonts w:ascii="ITC Avant Garde" w:hAnsi="ITC Avant Garde"/>
        </w:rPr>
        <w:t>r</w:t>
      </w:r>
      <w:proofErr w:type="spellEnd"/>
      <w:r w:rsidRPr="002A2450">
        <w:rPr>
          <w:rFonts w:ascii="ITC Avant Garde" w:hAnsi="ITC Avant Garde"/>
        </w:rPr>
        <w:t xml:space="preserve"> S.A. de C.V. y esta a su vez el 99% de las acciones de Cablevisión, S.A. de C.V., </w:t>
      </w:r>
      <w:proofErr w:type="spellStart"/>
      <w:r w:rsidR="00604D23" w:rsidRPr="002A2450">
        <w:rPr>
          <w:rFonts w:ascii="ITC Avant Garde" w:hAnsi="ITC Avant Garde"/>
        </w:rPr>
        <w:t>Sercotel</w:t>
      </w:r>
      <w:proofErr w:type="spellEnd"/>
      <w:r w:rsidR="00604D23" w:rsidRPr="002A2450">
        <w:rPr>
          <w:rFonts w:ascii="ITC Avant Garde" w:hAnsi="ITC Avant Garde"/>
        </w:rPr>
        <w:t xml:space="preserve">, S.A. de C.V. participaría de manera indirecta en el capital social de </w:t>
      </w:r>
      <w:proofErr w:type="spellStart"/>
      <w:r w:rsidR="00604D23" w:rsidRPr="002A2450">
        <w:rPr>
          <w:rFonts w:ascii="ITC Avant Garde" w:hAnsi="ITC Avant Garde"/>
        </w:rPr>
        <w:t>Milar</w:t>
      </w:r>
      <w:proofErr w:type="spellEnd"/>
      <w:r w:rsidR="00604D23" w:rsidRPr="002A2450">
        <w:rPr>
          <w:rFonts w:ascii="ITC Avant Garde" w:hAnsi="ITC Avant Garde"/>
        </w:rPr>
        <w:t xml:space="preserve"> S.A. de C.V. y Cablevisión, S.A. de C.V., esta última como concesionaria para prestar el servicio de televisión </w:t>
      </w:r>
      <w:r w:rsidR="001B1FD0" w:rsidRPr="002A2450">
        <w:rPr>
          <w:rFonts w:ascii="ITC Avant Garde" w:hAnsi="ITC Avant Garde"/>
        </w:rPr>
        <w:t xml:space="preserve">restringida, sin que </w:t>
      </w:r>
      <w:r w:rsidR="00A12A36" w:rsidRPr="002A2450">
        <w:rPr>
          <w:rFonts w:ascii="ITC Avant Garde" w:hAnsi="ITC Avant Garde"/>
        </w:rPr>
        <w:t xml:space="preserve">dentro del oficio suscrito por el Director General de Sistemas de Difusión se advirtiera que dicha autorización sería aplicable para cualquier adquisición, así como que dicho oficio sólo respondía a las </w:t>
      </w:r>
      <w:r w:rsidR="001B1FD0" w:rsidRPr="009E34A4">
        <w:rPr>
          <w:rFonts w:ascii="ITC Avant Garde" w:hAnsi="ITC Avant Garde"/>
        </w:rPr>
        <w:t xml:space="preserve">características particulares de </w:t>
      </w:r>
      <w:r w:rsidR="00A12A36" w:rsidRPr="00836CC0">
        <w:rPr>
          <w:rFonts w:ascii="ITC Avant Garde" w:hAnsi="ITC Avant Garde"/>
        </w:rPr>
        <w:t xml:space="preserve">la </w:t>
      </w:r>
      <w:r w:rsidR="001B1FD0" w:rsidRPr="009E34A4">
        <w:rPr>
          <w:rFonts w:ascii="ITC Avant Garde" w:hAnsi="ITC Avant Garde"/>
        </w:rPr>
        <w:t xml:space="preserve">concentración </w:t>
      </w:r>
      <w:r w:rsidR="00A12A36" w:rsidRPr="00836CC0">
        <w:rPr>
          <w:rFonts w:ascii="ITC Avant Garde" w:hAnsi="ITC Avant Garde"/>
        </w:rPr>
        <w:t>mencionada.</w:t>
      </w:r>
    </w:p>
    <w:p w14:paraId="0443DB4A" w14:textId="77777777" w:rsidR="00B35F13" w:rsidRDefault="00604D23" w:rsidP="00B35F13">
      <w:pPr>
        <w:spacing w:before="240" w:line="360" w:lineRule="auto"/>
        <w:jc w:val="both"/>
        <w:rPr>
          <w:rFonts w:ascii="ITC Avant Garde" w:hAnsi="ITC Avant Garde"/>
        </w:rPr>
      </w:pPr>
      <w:r w:rsidRPr="002A2450">
        <w:rPr>
          <w:rFonts w:ascii="ITC Avant Garde" w:hAnsi="ITC Avant Garde"/>
        </w:rPr>
        <w:t>Lo anterior, advierte claramente que la autorización otorgada sólo permite lo señalado, esto es, participar en el capital social de una tenedora que cuenta con participación en una empresa de televisión restringida, pero solo al 49%.</w:t>
      </w:r>
    </w:p>
    <w:p w14:paraId="517A528D" w14:textId="77777777" w:rsidR="00B35F13" w:rsidRDefault="00604D23" w:rsidP="00B35F13">
      <w:pPr>
        <w:spacing w:before="240" w:line="360" w:lineRule="auto"/>
        <w:jc w:val="both"/>
        <w:rPr>
          <w:rFonts w:ascii="ITC Avant Garde" w:hAnsi="ITC Avant Garde"/>
        </w:rPr>
      </w:pPr>
      <w:r w:rsidRPr="002A2450">
        <w:rPr>
          <w:rFonts w:ascii="ITC Avant Garde" w:hAnsi="ITC Avant Garde"/>
        </w:rPr>
        <w:t xml:space="preserve">Con lo anterior, se puede advertir que dicha autorización no </w:t>
      </w:r>
      <w:r w:rsidR="00F64B46" w:rsidRPr="002A2450">
        <w:rPr>
          <w:rFonts w:ascii="ITC Avant Garde" w:hAnsi="ITC Avant Garde"/>
        </w:rPr>
        <w:t xml:space="preserve">se traduce en que con la misma se esté autorizando la explotación </w:t>
      </w:r>
      <w:r w:rsidRPr="002A2450">
        <w:rPr>
          <w:rFonts w:ascii="ITC Avant Garde" w:hAnsi="ITC Avant Garde"/>
        </w:rPr>
        <w:t>del título de c</w:t>
      </w:r>
      <w:r w:rsidR="00771BC4" w:rsidRPr="002A2450">
        <w:rPr>
          <w:rFonts w:ascii="ITC Avant Garde" w:hAnsi="ITC Avant Garde"/>
        </w:rPr>
        <w:t xml:space="preserve">oncesión otorgado a </w:t>
      </w:r>
      <w:r w:rsidR="00F64B46" w:rsidRPr="002A2450">
        <w:rPr>
          <w:rFonts w:ascii="ITC Avant Garde" w:hAnsi="ITC Avant Garde"/>
        </w:rPr>
        <w:t xml:space="preserve">Empresas </w:t>
      </w:r>
      <w:r w:rsidR="00771BC4" w:rsidRPr="002A2450">
        <w:rPr>
          <w:rFonts w:ascii="ITC Avant Garde" w:hAnsi="ITC Avant Garde"/>
        </w:rPr>
        <w:t>Cablevisión, S.A. de C.V.</w:t>
      </w:r>
    </w:p>
    <w:p w14:paraId="7768E68B" w14:textId="77777777" w:rsidR="00B35F13" w:rsidRDefault="00604D23" w:rsidP="00B35F13">
      <w:pPr>
        <w:spacing w:before="240" w:line="360" w:lineRule="auto"/>
        <w:jc w:val="both"/>
        <w:rPr>
          <w:rFonts w:ascii="ITC Avant Garde" w:hAnsi="ITC Avant Garde"/>
        </w:rPr>
      </w:pPr>
      <w:r w:rsidRPr="002A2450">
        <w:rPr>
          <w:rFonts w:ascii="ITC Avant Garde" w:hAnsi="ITC Avant Garde"/>
        </w:rPr>
        <w:t xml:space="preserve">Lo anterior, toda vez que </w:t>
      </w:r>
      <w:r w:rsidR="00771BC4" w:rsidRPr="002A2450">
        <w:rPr>
          <w:rFonts w:ascii="ITC Avant Garde" w:hAnsi="ITC Avant Garde"/>
        </w:rPr>
        <w:t xml:space="preserve">de acuerdo al certificado </w:t>
      </w:r>
      <w:r w:rsidR="00F64B46" w:rsidRPr="002A2450">
        <w:rPr>
          <w:rFonts w:ascii="ITC Avant Garde" w:hAnsi="ITC Avant Garde"/>
        </w:rPr>
        <w:t>provisional</w:t>
      </w:r>
      <w:r w:rsidR="00771BC4" w:rsidRPr="002A2450">
        <w:rPr>
          <w:rFonts w:ascii="ITC Avant Garde" w:hAnsi="ITC Avant Garde"/>
        </w:rPr>
        <w:t xml:space="preserve"> expedido a nombre de Grupo Televisa, S.A., No. 003, correspondiente al capital fijo serie “B”, el mismo ampara 4´900,000 acciones de la 5´100,001 a la 10´000,000 del capital social de Empresas Cablevisión, S.A. de C.V</w:t>
      </w:r>
      <w:r w:rsidR="00F64B46" w:rsidRPr="002A2450">
        <w:rPr>
          <w:rFonts w:ascii="ITC Avant Garde" w:hAnsi="ITC Avant Garde"/>
        </w:rPr>
        <w:t>.</w:t>
      </w:r>
    </w:p>
    <w:p w14:paraId="457F47F4" w14:textId="77777777" w:rsidR="00B35F13" w:rsidRDefault="00771BC4" w:rsidP="00B35F13">
      <w:pPr>
        <w:spacing w:before="240" w:line="360" w:lineRule="auto"/>
        <w:jc w:val="both"/>
        <w:rPr>
          <w:rFonts w:ascii="ITC Avant Garde" w:hAnsi="ITC Avant Garde"/>
        </w:rPr>
      </w:pPr>
      <w:r w:rsidRPr="002A2450">
        <w:rPr>
          <w:rFonts w:ascii="ITC Avant Garde" w:hAnsi="ITC Avant Garde"/>
        </w:rPr>
        <w:lastRenderedPageBreak/>
        <w:t>Ahora bien, en términos del endoso adjunto al citado certificado provisional emitido a nombre de Grupo Televisa, S.A., se advierte la transcripción parcial de los estatutos sociales de Empresas Cablevisión, S.A. de C.V. de acuerdo con lo siguiente:</w:t>
      </w:r>
    </w:p>
    <w:p w14:paraId="4DE72AEA" w14:textId="0E614ACD" w:rsidR="00771BC4" w:rsidRPr="002A2450" w:rsidRDefault="00771BC4" w:rsidP="00B35F13">
      <w:pPr>
        <w:spacing w:before="240" w:line="360" w:lineRule="auto"/>
        <w:ind w:left="567" w:right="567"/>
        <w:jc w:val="both"/>
        <w:rPr>
          <w:rFonts w:ascii="ITC Avant Garde" w:hAnsi="ITC Avant Garde"/>
          <w:i/>
        </w:rPr>
      </w:pPr>
      <w:r w:rsidRPr="002A2450">
        <w:rPr>
          <w:rFonts w:ascii="ITC Avant Garde" w:hAnsi="ITC Avant Garde"/>
          <w:i/>
        </w:rPr>
        <w:t>“…</w:t>
      </w:r>
    </w:p>
    <w:p w14:paraId="54A1106A" w14:textId="77777777" w:rsidR="00B35F13" w:rsidRDefault="00771BC4" w:rsidP="00B35F13">
      <w:pPr>
        <w:spacing w:before="240" w:line="360" w:lineRule="auto"/>
        <w:ind w:left="567" w:right="567"/>
        <w:jc w:val="both"/>
        <w:rPr>
          <w:rFonts w:ascii="ITC Avant Garde" w:hAnsi="ITC Avant Garde"/>
          <w:i/>
        </w:rPr>
      </w:pPr>
      <w:r w:rsidRPr="002A2450">
        <w:rPr>
          <w:rFonts w:ascii="ITC Avant Garde" w:hAnsi="ITC Avant Garde"/>
          <w:i/>
        </w:rPr>
        <w:t>ARTI</w:t>
      </w:r>
      <w:r w:rsidR="00F64B46" w:rsidRPr="002A2450">
        <w:rPr>
          <w:rFonts w:ascii="ITC Avant Garde" w:hAnsi="ITC Avant Garde"/>
          <w:i/>
        </w:rPr>
        <w:t>C</w:t>
      </w:r>
      <w:r w:rsidRPr="002A2450">
        <w:rPr>
          <w:rFonts w:ascii="ITC Avant Garde" w:hAnsi="ITC Avant Garde"/>
          <w:i/>
        </w:rPr>
        <w:t>ULO SEXTO. CAPITAL SOCIAL…</w:t>
      </w:r>
    </w:p>
    <w:p w14:paraId="033C6992" w14:textId="77777777" w:rsidR="00B35F13" w:rsidRDefault="00771BC4" w:rsidP="007E623E">
      <w:pPr>
        <w:pStyle w:val="Prrafodelista"/>
        <w:numPr>
          <w:ilvl w:val="0"/>
          <w:numId w:val="22"/>
        </w:numPr>
        <w:spacing w:before="240" w:line="360" w:lineRule="auto"/>
        <w:ind w:right="567"/>
        <w:jc w:val="both"/>
        <w:rPr>
          <w:rFonts w:ascii="ITC Avant Garde" w:hAnsi="ITC Avant Garde"/>
          <w:i/>
        </w:rPr>
      </w:pPr>
      <w:r w:rsidRPr="002A2450">
        <w:rPr>
          <w:rFonts w:ascii="ITC Avant Garde" w:hAnsi="ITC Avant Garde"/>
          <w:i/>
        </w:rPr>
        <w:t>La totalidad de las acciones de capital de la Sociedad estarán divididas en dos series de acciones. Las acciones de la Serie “A” que representan por lo menos el 51% (cincuenta y uno por ciento) del capital social y las acciones de la Serie “B” que estará integrada por un número de acciones que represente un máximo del 49% (cuarenta y nueve por ciento) del capital social.</w:t>
      </w:r>
    </w:p>
    <w:p w14:paraId="115A08A0" w14:textId="77777777" w:rsidR="00B35F13" w:rsidRDefault="00C84D51" w:rsidP="007E623E">
      <w:pPr>
        <w:pStyle w:val="Prrafodelista"/>
        <w:numPr>
          <w:ilvl w:val="0"/>
          <w:numId w:val="22"/>
        </w:numPr>
        <w:spacing w:before="240" w:line="360" w:lineRule="auto"/>
        <w:ind w:right="567"/>
        <w:jc w:val="both"/>
        <w:rPr>
          <w:rFonts w:ascii="ITC Avant Garde" w:hAnsi="ITC Avant Garde"/>
          <w:i/>
        </w:rPr>
      </w:pPr>
      <w:r w:rsidRPr="002A2450">
        <w:rPr>
          <w:rFonts w:ascii="ITC Avant Garde" w:hAnsi="ITC Avant Garde"/>
          <w:i/>
        </w:rPr>
        <w:t>Las acciones de la Serie “A” únicamente podrán ser suscritas por personas físicas de nacionalidad mexicana; sociedades mexicanas cuya escritura social contenga cláusula de exclusión de extranjeros, de las que sólo podrán ser accionistas personas físicas mexicanas y sociedades mexicanas cuya escritura social contenga a su vez, cláusula de exclusión de extranjeros; instituciones mexicanas de crédito, de fianzas, de seguros, de empresas de factoraje financiero y sociedades mexicanas de inversión con cláusula de exclusión de extranjeros; fideicomisos de fondos de asignación de acciones y planes de retiro para empleados y trabajadores mexicanos; e instituciones de crédito actuando como fiduciarios en los términos del Reglamento de la Ley para Promover la Inversión Mexicana y Regular la Inversión Extranjera.</w:t>
      </w:r>
    </w:p>
    <w:p w14:paraId="79C57AB7" w14:textId="77777777" w:rsidR="00B35F13" w:rsidRDefault="00C84D51" w:rsidP="007E623E">
      <w:pPr>
        <w:pStyle w:val="Prrafodelista"/>
        <w:numPr>
          <w:ilvl w:val="0"/>
          <w:numId w:val="22"/>
        </w:numPr>
        <w:spacing w:before="240" w:line="360" w:lineRule="auto"/>
        <w:ind w:right="567"/>
        <w:jc w:val="both"/>
        <w:rPr>
          <w:rFonts w:ascii="ITC Avant Garde" w:hAnsi="ITC Avant Garde"/>
          <w:i/>
        </w:rPr>
      </w:pPr>
      <w:r w:rsidRPr="002A2450">
        <w:rPr>
          <w:rFonts w:ascii="ITC Avant Garde" w:hAnsi="ITC Avant Garde"/>
          <w:i/>
        </w:rPr>
        <w:t>Las acciones de la Serie “B” serán de libre suscripción.</w:t>
      </w:r>
    </w:p>
    <w:p w14:paraId="66984A56" w14:textId="77777777" w:rsidR="00B35F13" w:rsidRDefault="00C84D51" w:rsidP="007E623E">
      <w:pPr>
        <w:pStyle w:val="Prrafodelista"/>
        <w:numPr>
          <w:ilvl w:val="0"/>
          <w:numId w:val="22"/>
        </w:numPr>
        <w:spacing w:before="240" w:line="360" w:lineRule="auto"/>
        <w:ind w:right="567"/>
        <w:jc w:val="both"/>
        <w:rPr>
          <w:rFonts w:ascii="ITC Avant Garde" w:hAnsi="ITC Avant Garde"/>
          <w:i/>
        </w:rPr>
      </w:pPr>
      <w:r w:rsidRPr="002A2450">
        <w:rPr>
          <w:rFonts w:ascii="ITC Avant Garde" w:hAnsi="ITC Avant Garde"/>
          <w:i/>
        </w:rPr>
        <w:t>A excepción de los derechos y limitaciones expresados en estos estatutos, las acciones, cualquiera</w:t>
      </w:r>
      <w:r w:rsidR="00036D89" w:rsidRPr="002A2450">
        <w:rPr>
          <w:rFonts w:ascii="ITC Avant Garde" w:hAnsi="ITC Avant Garde"/>
          <w:i/>
        </w:rPr>
        <w:t xml:space="preserve"> que sea su serie o clase</w:t>
      </w:r>
      <w:r w:rsidRPr="002A2450">
        <w:rPr>
          <w:rFonts w:ascii="ITC Avant Garde" w:hAnsi="ITC Avant Garde"/>
          <w:i/>
        </w:rPr>
        <w:t>, confieren a sus tenedores iguales derechos y les imponen las mismas obligaciones</w:t>
      </w:r>
    </w:p>
    <w:p w14:paraId="79CB01DB" w14:textId="77777777" w:rsidR="00B35F13" w:rsidRDefault="00BD1D1D"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ARTÍCULO SÉPTIMO</w:t>
      </w:r>
      <w:r w:rsidR="00C84D51" w:rsidRPr="002A2450">
        <w:rPr>
          <w:rFonts w:ascii="ITC Avant Garde" w:hAnsi="ITC Avant Garde"/>
          <w:i/>
        </w:rPr>
        <w:t>.- CLASES DE ACCIONES. Independientemente a la serie a la que correspondan</w:t>
      </w:r>
      <w:r w:rsidR="00036D89" w:rsidRPr="002A2450">
        <w:rPr>
          <w:rFonts w:ascii="ITC Avant Garde" w:hAnsi="ITC Avant Garde"/>
          <w:i/>
        </w:rPr>
        <w:t>, las</w:t>
      </w:r>
      <w:r w:rsidR="00C84D51" w:rsidRPr="002A2450">
        <w:rPr>
          <w:rFonts w:ascii="ITC Avant Garde" w:hAnsi="ITC Avant Garde"/>
          <w:i/>
        </w:rPr>
        <w:t xml:space="preserve"> </w:t>
      </w:r>
      <w:r w:rsidR="00036D89" w:rsidRPr="002A2450">
        <w:rPr>
          <w:rFonts w:ascii="ITC Avant Garde" w:hAnsi="ITC Avant Garde"/>
          <w:i/>
        </w:rPr>
        <w:t xml:space="preserve">accionistas </w:t>
      </w:r>
      <w:r w:rsidR="00C84D51" w:rsidRPr="002A2450">
        <w:rPr>
          <w:rFonts w:ascii="ITC Avant Garde" w:hAnsi="ITC Avant Garde"/>
          <w:i/>
        </w:rPr>
        <w:t>tenedores de la totalidad de las acciones representativas del capital social se dividirán en dos grupos identificados como acciones de las Clases “l” y “II”. Las acciones del Grupo de Accionistas de la Clase “l”, constituirán, por lo menos, el 51% (cincuenta y uno por ciento) del capital social y las acciones del Grupo de acciones de las Clase “ll”</w:t>
      </w:r>
      <w:r w:rsidR="00134EE1" w:rsidRPr="002A2450">
        <w:rPr>
          <w:rFonts w:ascii="ITC Avant Garde" w:hAnsi="ITC Avant Garde"/>
          <w:i/>
        </w:rPr>
        <w:t>, representarán cuando más, el 49% (cuarenta y nueve por ciento) del capital social, salvo lo dispuesto en los presentes estatutos.</w:t>
      </w:r>
      <w:r w:rsidR="00036D89" w:rsidRPr="002A2450">
        <w:rPr>
          <w:rFonts w:ascii="ITC Avant Garde" w:hAnsi="ITC Avant Garde"/>
          <w:i/>
        </w:rPr>
        <w:t xml:space="preserve"> </w:t>
      </w:r>
      <w:r w:rsidR="00771BC4" w:rsidRPr="002A2450">
        <w:rPr>
          <w:rFonts w:ascii="ITC Avant Garde" w:hAnsi="ITC Avant Garde"/>
          <w:i/>
        </w:rPr>
        <w:t>”</w:t>
      </w:r>
    </w:p>
    <w:p w14:paraId="0529D548" w14:textId="77777777" w:rsidR="00B35F13" w:rsidRDefault="00036D89" w:rsidP="00B35F13">
      <w:pPr>
        <w:spacing w:before="240" w:line="360" w:lineRule="auto"/>
        <w:jc w:val="both"/>
        <w:rPr>
          <w:rFonts w:ascii="ITC Avant Garde" w:hAnsi="ITC Avant Garde"/>
        </w:rPr>
      </w:pPr>
      <w:r w:rsidRPr="002A2450">
        <w:rPr>
          <w:rFonts w:ascii="ITC Avant Garde" w:hAnsi="ITC Avant Garde"/>
        </w:rPr>
        <w:t xml:space="preserve">Con base en lo anterior, es plausible advertir que las acciones autorizadas para </w:t>
      </w:r>
      <w:proofErr w:type="spellStart"/>
      <w:r w:rsidR="005D52D7" w:rsidRPr="002A2450">
        <w:rPr>
          <w:rFonts w:ascii="ITC Avant Garde" w:hAnsi="ITC Avant Garde"/>
        </w:rPr>
        <w:t>Sercotel</w:t>
      </w:r>
      <w:proofErr w:type="spellEnd"/>
      <w:r w:rsidRPr="002A2450">
        <w:rPr>
          <w:rFonts w:ascii="ITC Avant Garde" w:hAnsi="ITC Avant Garde"/>
        </w:rPr>
        <w:t>, S.A. de C.V., en principio correspondían a la Serie “B” del capital social de Empresas Cablevisión, S.A. de C.V., las cuales no podrán formar parte de la Clase “l” de dicha empresa mismas que son de libre circulación.</w:t>
      </w:r>
    </w:p>
    <w:p w14:paraId="4C65A6BA" w14:textId="77777777" w:rsidR="00B35F13" w:rsidRDefault="005F026E" w:rsidP="00B35F13">
      <w:pPr>
        <w:spacing w:before="240" w:line="360" w:lineRule="auto"/>
        <w:jc w:val="both"/>
        <w:rPr>
          <w:rFonts w:ascii="ITC Avant Garde" w:hAnsi="ITC Avant Garde"/>
        </w:rPr>
      </w:pPr>
      <w:r w:rsidRPr="002A2450">
        <w:rPr>
          <w:rFonts w:ascii="ITC Avant Garde" w:hAnsi="ITC Avant Garde"/>
        </w:rPr>
        <w:t>Asimismo</w:t>
      </w:r>
      <w:r w:rsidR="00036D89" w:rsidRPr="002A2450">
        <w:rPr>
          <w:rFonts w:ascii="ITC Avant Garde" w:hAnsi="ITC Avant Garde"/>
        </w:rPr>
        <w:t xml:space="preserve">, </w:t>
      </w:r>
      <w:r w:rsidR="00164362" w:rsidRPr="002A2450">
        <w:rPr>
          <w:rFonts w:ascii="ITC Avant Garde" w:hAnsi="ITC Avant Garde"/>
        </w:rPr>
        <w:t>se establece que las acciones de la serie “B” confiere a los tenedores iguales derechos e impone las mismas obligaciones.</w:t>
      </w:r>
    </w:p>
    <w:p w14:paraId="6702CA12" w14:textId="77777777" w:rsidR="00B35F13" w:rsidRDefault="00164362" w:rsidP="00B35F13">
      <w:pPr>
        <w:spacing w:before="240" w:line="360" w:lineRule="auto"/>
        <w:jc w:val="both"/>
        <w:rPr>
          <w:rFonts w:ascii="ITC Avant Garde" w:hAnsi="ITC Avant Garde"/>
        </w:rPr>
      </w:pPr>
      <w:r w:rsidRPr="002A2450">
        <w:rPr>
          <w:rFonts w:ascii="ITC Avant Garde" w:hAnsi="ITC Avant Garde"/>
        </w:rPr>
        <w:t xml:space="preserve">Al respecto, vale </w:t>
      </w:r>
      <w:r w:rsidR="005F026E" w:rsidRPr="002A2450">
        <w:rPr>
          <w:rFonts w:ascii="ITC Avant Garde" w:hAnsi="ITC Avant Garde"/>
        </w:rPr>
        <w:t xml:space="preserve">la pena </w:t>
      </w:r>
      <w:r w:rsidRPr="002A2450">
        <w:rPr>
          <w:rFonts w:ascii="ITC Avant Garde" w:hAnsi="ITC Avant Garde"/>
        </w:rPr>
        <w:t xml:space="preserve">considerar que los artículos 112 y 113 de la Ley General de Sociedad Mercantiles, </w:t>
      </w:r>
      <w:r w:rsidR="00F64B46" w:rsidRPr="002A2450">
        <w:rPr>
          <w:rFonts w:ascii="ITC Avant Garde" w:hAnsi="ITC Avant Garde"/>
        </w:rPr>
        <w:t xml:space="preserve">prevén la posibilidad de que </w:t>
      </w:r>
      <w:r w:rsidRPr="002A2450">
        <w:rPr>
          <w:rFonts w:ascii="ITC Avant Garde" w:hAnsi="ITC Avant Garde"/>
        </w:rPr>
        <w:t xml:space="preserve">las Sociedades Anónimas puedan estipular que el capital se divida en varias clases de acciones con derechos especiales para cada clase, así como que los tenedores de las acciones de voto limitado tendrán los derechos que </w:t>
      </w:r>
      <w:r w:rsidR="00F64B46" w:rsidRPr="002A2450">
        <w:rPr>
          <w:rFonts w:ascii="ITC Avant Garde" w:hAnsi="ITC Avant Garde"/>
        </w:rPr>
        <w:t xml:space="preserve">dicha </w:t>
      </w:r>
      <w:r w:rsidRPr="002A2450">
        <w:rPr>
          <w:rFonts w:ascii="ITC Avant Garde" w:hAnsi="ITC Avant Garde"/>
        </w:rPr>
        <w:t>ley confiere a las minorías para oponerse a las decisiones de las asambleas y para revisar el balance y los libros de la sociedad.</w:t>
      </w:r>
    </w:p>
    <w:p w14:paraId="69201FC4" w14:textId="77777777" w:rsidR="00B35F13" w:rsidRDefault="00164362" w:rsidP="00B35F13">
      <w:pPr>
        <w:spacing w:before="240" w:line="360" w:lineRule="auto"/>
        <w:jc w:val="both"/>
        <w:rPr>
          <w:rFonts w:ascii="ITC Avant Garde" w:hAnsi="ITC Avant Garde"/>
        </w:rPr>
      </w:pPr>
      <w:r w:rsidRPr="002A2450">
        <w:rPr>
          <w:rFonts w:ascii="ITC Avant Garde" w:hAnsi="ITC Avant Garde"/>
        </w:rPr>
        <w:t xml:space="preserve">Por tanto, al haberse autorizado </w:t>
      </w:r>
      <w:r w:rsidR="00F64B46" w:rsidRPr="002A2450">
        <w:rPr>
          <w:rFonts w:ascii="ITC Avant Garde" w:hAnsi="ITC Avant Garde"/>
        </w:rPr>
        <w:t xml:space="preserve">la enajenación de </w:t>
      </w:r>
      <w:r w:rsidRPr="002A2450">
        <w:rPr>
          <w:rFonts w:ascii="ITC Avant Garde" w:hAnsi="ITC Avant Garde"/>
        </w:rPr>
        <w:t xml:space="preserve">sólo el 49% de las acciones de la Serie “B” del capital social de Empresas Cablevisión, S.A. de C.V., puede asumirse, dado que no se encuentra acreditado en el presente expediente, que no contaba con la mayoría de las acciones dado la división pactada en dicha sociedad, por tanto, </w:t>
      </w:r>
      <w:r w:rsidR="00F64B46" w:rsidRPr="002A2450">
        <w:rPr>
          <w:rFonts w:ascii="ITC Avant Garde" w:hAnsi="ITC Avant Garde"/>
        </w:rPr>
        <w:t xml:space="preserve">si bien gozaba de ciertos </w:t>
      </w:r>
      <w:r w:rsidRPr="002A2450">
        <w:rPr>
          <w:rFonts w:ascii="ITC Avant Garde" w:hAnsi="ITC Avant Garde"/>
        </w:rPr>
        <w:t>derechos limitados</w:t>
      </w:r>
      <w:r w:rsidR="00F64B46" w:rsidRPr="002A2450">
        <w:rPr>
          <w:rFonts w:ascii="ITC Avant Garde" w:hAnsi="ITC Avant Garde"/>
        </w:rPr>
        <w:t>,</w:t>
      </w:r>
      <w:r w:rsidRPr="002A2450">
        <w:rPr>
          <w:rFonts w:ascii="ITC Avant Garde" w:hAnsi="ITC Avant Garde"/>
        </w:rPr>
        <w:t xml:space="preserve"> </w:t>
      </w:r>
      <w:r w:rsidR="00F64B46" w:rsidRPr="002A2450">
        <w:rPr>
          <w:rFonts w:ascii="ITC Avant Garde" w:hAnsi="ITC Avant Garde"/>
        </w:rPr>
        <w:t xml:space="preserve">ello no le </w:t>
      </w:r>
      <w:r w:rsidRPr="002A2450">
        <w:rPr>
          <w:rFonts w:ascii="ITC Avant Garde" w:hAnsi="ITC Avant Garde"/>
        </w:rPr>
        <w:t xml:space="preserve">que no </w:t>
      </w:r>
      <w:r w:rsidRPr="002A2450">
        <w:rPr>
          <w:rFonts w:ascii="ITC Avant Garde" w:hAnsi="ITC Avant Garde"/>
        </w:rPr>
        <w:lastRenderedPageBreak/>
        <w:t xml:space="preserve">permitiría </w:t>
      </w:r>
      <w:r w:rsidR="00F64B46" w:rsidRPr="002A2450">
        <w:rPr>
          <w:rFonts w:ascii="ITC Avant Garde" w:hAnsi="ITC Avant Garde"/>
        </w:rPr>
        <w:t xml:space="preserve">ejercer </w:t>
      </w:r>
      <w:r w:rsidRPr="002A2450">
        <w:rPr>
          <w:rFonts w:ascii="ITC Avant Garde" w:hAnsi="ITC Avant Garde"/>
        </w:rPr>
        <w:t xml:space="preserve">el control </w:t>
      </w:r>
      <w:r w:rsidR="00F64B46" w:rsidRPr="002A2450">
        <w:rPr>
          <w:rFonts w:ascii="ITC Avant Garde" w:hAnsi="ITC Avant Garde"/>
        </w:rPr>
        <w:t xml:space="preserve">en </w:t>
      </w:r>
      <w:r w:rsidRPr="002A2450">
        <w:rPr>
          <w:rFonts w:ascii="ITC Avant Garde" w:hAnsi="ITC Avant Garde"/>
        </w:rPr>
        <w:t xml:space="preserve">la sociedad, salvo </w:t>
      </w:r>
      <w:r w:rsidR="000974E9" w:rsidRPr="002A2450">
        <w:rPr>
          <w:rFonts w:ascii="ITC Avant Garde" w:hAnsi="ITC Avant Garde"/>
        </w:rPr>
        <w:t xml:space="preserve">los derechos signados </w:t>
      </w:r>
      <w:r w:rsidRPr="002A2450">
        <w:rPr>
          <w:rFonts w:ascii="ITC Avant Garde" w:hAnsi="ITC Avant Garde"/>
        </w:rPr>
        <w:t>en los artículos 17 y 113 de la Ley General de Sociedades Mercantiles.</w:t>
      </w:r>
    </w:p>
    <w:p w14:paraId="20F3784A" w14:textId="77777777" w:rsidR="00B35F13" w:rsidRDefault="00164362" w:rsidP="00B35F13">
      <w:pPr>
        <w:spacing w:before="240" w:line="360" w:lineRule="auto"/>
        <w:jc w:val="both"/>
        <w:rPr>
          <w:rFonts w:ascii="ITC Avant Garde" w:hAnsi="ITC Avant Garde"/>
        </w:rPr>
      </w:pPr>
      <w:r w:rsidRPr="002A2450">
        <w:rPr>
          <w:rFonts w:ascii="ITC Avant Garde" w:hAnsi="ITC Avant Garde"/>
        </w:rPr>
        <w:t xml:space="preserve">Por lo anterior, asumiendo que en términos de la </w:t>
      </w:r>
      <w:r w:rsidR="00EC275C" w:rsidRPr="002A2450">
        <w:rPr>
          <w:rFonts w:ascii="ITC Avant Garde" w:hAnsi="ITC Avant Garde"/>
        </w:rPr>
        <w:t>Ley del Mercado de Valores, asume como control al titular que directa o indirectamente ejerce el voto por más del cincuenta por ciento del capital social en una empresa, se advierte que ello no acontece en el presente asunto.</w:t>
      </w:r>
    </w:p>
    <w:p w14:paraId="248FD1A9" w14:textId="77777777" w:rsidR="00B35F13" w:rsidRDefault="00EC275C" w:rsidP="00B35F13">
      <w:pPr>
        <w:spacing w:before="240" w:line="360" w:lineRule="auto"/>
        <w:jc w:val="both"/>
        <w:rPr>
          <w:rFonts w:ascii="ITC Avant Garde" w:hAnsi="ITC Avant Garde"/>
        </w:rPr>
      </w:pPr>
      <w:r w:rsidRPr="002A2450">
        <w:rPr>
          <w:rFonts w:ascii="ITC Avant Garde" w:hAnsi="ITC Avant Garde"/>
        </w:rPr>
        <w:t xml:space="preserve">En virtud de lo anterior, el voto asignado a </w:t>
      </w:r>
      <w:proofErr w:type="spellStart"/>
      <w:r w:rsidRPr="002A2450">
        <w:rPr>
          <w:rFonts w:ascii="ITC Avant Garde" w:hAnsi="ITC Avant Garde"/>
        </w:rPr>
        <w:t>Sercotel</w:t>
      </w:r>
      <w:proofErr w:type="spellEnd"/>
      <w:r w:rsidRPr="002A2450">
        <w:rPr>
          <w:rFonts w:ascii="ITC Avant Garde" w:hAnsi="ITC Avant Garde"/>
        </w:rPr>
        <w:t>, S.A. de C.V. fue limitativo, de lo que se sigue que la relación en la compra-venta de acciones autorizada en todo caso, tuvo como efecto ser un ente pasivo en el desarrollo de las actividades de la empresa, esto es, ser partícipe de los dividendos que en su caso se generarían.</w:t>
      </w:r>
    </w:p>
    <w:p w14:paraId="714ADEF4" w14:textId="77777777" w:rsidR="00B35F13" w:rsidRDefault="00EC275C" w:rsidP="00B35F13">
      <w:pPr>
        <w:spacing w:before="240" w:line="360" w:lineRule="auto"/>
        <w:jc w:val="both"/>
        <w:rPr>
          <w:rFonts w:ascii="ITC Avant Garde" w:hAnsi="ITC Avant Garde"/>
        </w:rPr>
      </w:pPr>
      <w:r w:rsidRPr="002A2450">
        <w:rPr>
          <w:rFonts w:ascii="ITC Avant Garde" w:hAnsi="ITC Avant Garde"/>
        </w:rPr>
        <w:t>En tales consideraciones,</w:t>
      </w:r>
      <w:r w:rsidR="00F64B46" w:rsidRPr="002A2450">
        <w:rPr>
          <w:rFonts w:ascii="ITC Avant Garde" w:hAnsi="ITC Avant Garde"/>
        </w:rPr>
        <w:t xml:space="preserve"> dicha participación autorizada, suponiendo sin conceder, </w:t>
      </w:r>
      <w:r w:rsidRPr="002A2450">
        <w:rPr>
          <w:rFonts w:ascii="ITC Avant Garde" w:hAnsi="ITC Avant Garde"/>
        </w:rPr>
        <w:t>se realizó al amparo de una opinión respecto de las condiciones que en su momento imperaban en el mercado de televisión restringida.</w:t>
      </w:r>
    </w:p>
    <w:p w14:paraId="3040309E" w14:textId="77777777" w:rsidR="00B35F13" w:rsidRDefault="00AF5054" w:rsidP="00B35F13">
      <w:pPr>
        <w:spacing w:before="240" w:line="360" w:lineRule="auto"/>
        <w:jc w:val="both"/>
        <w:rPr>
          <w:rFonts w:ascii="ITC Avant Garde" w:hAnsi="ITC Avant Garde"/>
          <w:b/>
        </w:rPr>
      </w:pPr>
      <w:r w:rsidRPr="002A2450">
        <w:rPr>
          <w:rFonts w:ascii="ITC Avant Garde" w:hAnsi="ITC Avant Garde"/>
        </w:rPr>
        <w:t>Sin embargo, esa autorización sólo sirve para acreditar que con la misma se autoriz</w:t>
      </w:r>
      <w:r w:rsidR="00F64B46" w:rsidRPr="002A2450">
        <w:rPr>
          <w:rFonts w:ascii="ITC Avant Garde" w:hAnsi="ITC Avant Garde"/>
        </w:rPr>
        <w:t>ó</w:t>
      </w:r>
      <w:r w:rsidRPr="002A2450">
        <w:rPr>
          <w:rFonts w:ascii="ITC Avant Garde" w:hAnsi="ITC Avant Garde"/>
        </w:rPr>
        <w:t xml:space="preserve"> la compraventa de acciones entre las empresas señaladas, pese a ello, la misma no puede resultar sustancial para desvirtuar la conducta mat</w:t>
      </w:r>
      <w:r w:rsidR="00F64B46" w:rsidRPr="002A2450">
        <w:rPr>
          <w:rFonts w:ascii="ITC Avant Garde" w:hAnsi="ITC Avant Garde"/>
        </w:rPr>
        <w:t xml:space="preserve">eria del presente procedimiento, ni puede tener en el presente procedimiento el efecto pretendido por </w:t>
      </w:r>
      <w:r w:rsidR="00F64B46" w:rsidRPr="002A2450">
        <w:rPr>
          <w:rFonts w:ascii="ITC Avant Garde" w:hAnsi="ITC Avant Garde"/>
          <w:b/>
        </w:rPr>
        <w:t>“TELMEX”.</w:t>
      </w:r>
    </w:p>
    <w:p w14:paraId="77C221C5" w14:textId="77777777" w:rsidR="00B35F13" w:rsidRDefault="00AF5054" w:rsidP="00B35F13">
      <w:pPr>
        <w:spacing w:before="240" w:line="360" w:lineRule="auto"/>
        <w:jc w:val="both"/>
        <w:rPr>
          <w:rFonts w:ascii="ITC Avant Garde" w:hAnsi="ITC Avant Garde"/>
        </w:rPr>
      </w:pPr>
      <w:r w:rsidRPr="002A2450">
        <w:rPr>
          <w:rFonts w:ascii="ITC Avant Garde" w:hAnsi="ITC Avant Garde"/>
        </w:rPr>
        <w:t>Lo anterior, ya que efectivamente dicha autorización sólo otorga la expectativa de poderse celebrar dicha operación, la cual se insiste no se encuentra acreditada en autos, por otro lado, debe reconocerse que en su momento la cita</w:t>
      </w:r>
      <w:r w:rsidR="00F64B46" w:rsidRPr="002A2450">
        <w:rPr>
          <w:rFonts w:ascii="ITC Avant Garde" w:hAnsi="ITC Avant Garde"/>
        </w:rPr>
        <w:t>da</w:t>
      </w:r>
      <w:r w:rsidRPr="002A2450">
        <w:rPr>
          <w:rFonts w:ascii="ITC Avant Garde" w:hAnsi="ITC Avant Garde"/>
        </w:rPr>
        <w:t xml:space="preserve"> autorización </w:t>
      </w:r>
      <w:r w:rsidR="006F3294" w:rsidRPr="002A2450">
        <w:rPr>
          <w:rFonts w:ascii="ITC Avant Garde" w:hAnsi="ITC Avant Garde"/>
        </w:rPr>
        <w:t xml:space="preserve">de ninguna manera señaló expresamente la posibilidad de explotar </w:t>
      </w:r>
      <w:r w:rsidR="00F64B46" w:rsidRPr="002A2450">
        <w:rPr>
          <w:rFonts w:ascii="ITC Avant Garde" w:hAnsi="ITC Avant Garde"/>
        </w:rPr>
        <w:t xml:space="preserve">directa o </w:t>
      </w:r>
      <w:r w:rsidR="006F3294" w:rsidRPr="002A2450">
        <w:rPr>
          <w:rFonts w:ascii="ITC Avant Garde" w:hAnsi="ITC Avant Garde"/>
        </w:rPr>
        <w:t xml:space="preserve">indirectamente un título de concesión para prestar el servicio de televisión </w:t>
      </w:r>
      <w:r w:rsidR="00F64B46" w:rsidRPr="002A2450">
        <w:rPr>
          <w:rFonts w:ascii="ITC Avant Garde" w:hAnsi="ITC Avant Garde"/>
        </w:rPr>
        <w:t xml:space="preserve">restringida </w:t>
      </w:r>
      <w:r w:rsidR="006F3294" w:rsidRPr="002A2450">
        <w:rPr>
          <w:rFonts w:ascii="ITC Avant Garde" w:hAnsi="ITC Avant Garde"/>
        </w:rPr>
        <w:t xml:space="preserve">en el país, </w:t>
      </w:r>
      <w:r w:rsidR="00F64B46" w:rsidRPr="002A2450">
        <w:rPr>
          <w:rFonts w:ascii="ITC Avant Garde" w:hAnsi="ITC Avant Garde"/>
        </w:rPr>
        <w:t xml:space="preserve">ni que con la misma se modificara el </w:t>
      </w:r>
      <w:r w:rsidR="00F64B46" w:rsidRPr="002A2450">
        <w:rPr>
          <w:rFonts w:ascii="ITC Avant Garde" w:hAnsi="ITC Avant Garde"/>
          <w:b/>
        </w:rPr>
        <w:t xml:space="preserve">“TÍTULO DE CONCESIÓN” </w:t>
      </w:r>
      <w:r w:rsidR="00F64B46" w:rsidRPr="002A2450">
        <w:rPr>
          <w:rFonts w:ascii="ITC Avant Garde" w:hAnsi="ITC Avant Garde"/>
        </w:rPr>
        <w:t xml:space="preserve">de </w:t>
      </w:r>
      <w:r w:rsidR="00F64B46" w:rsidRPr="002A2450">
        <w:rPr>
          <w:rFonts w:ascii="ITC Avant Garde" w:hAnsi="ITC Avant Garde"/>
          <w:b/>
        </w:rPr>
        <w:t xml:space="preserve">“TELMEX” </w:t>
      </w:r>
      <w:r w:rsidR="00F64B46" w:rsidRPr="002A2450">
        <w:rPr>
          <w:rFonts w:ascii="ITC Avant Garde" w:hAnsi="ITC Avant Garde"/>
        </w:rPr>
        <w:t xml:space="preserve">en cuanto a la prohibición establecida en el </w:t>
      </w:r>
      <w:r w:rsidR="00065AA4" w:rsidRPr="009E34A4">
        <w:rPr>
          <w:rFonts w:ascii="ITC Avant Garde" w:hAnsi="ITC Avant Garde"/>
          <w:b/>
        </w:rPr>
        <w:t>Tercer Párrafo</w:t>
      </w:r>
      <w:r w:rsidR="00F64B46" w:rsidRPr="002A2450">
        <w:rPr>
          <w:rFonts w:ascii="ITC Avant Garde" w:hAnsi="ITC Avant Garde"/>
        </w:rPr>
        <w:t xml:space="preserve"> de la condición 1-9, </w:t>
      </w:r>
      <w:r w:rsidR="006F3294" w:rsidRPr="002A2450">
        <w:rPr>
          <w:rFonts w:ascii="ITC Avant Garde" w:hAnsi="ITC Avant Garde"/>
        </w:rPr>
        <w:t xml:space="preserve">de lo que se sigue que pese al valor probatorio de las constancias a </w:t>
      </w:r>
      <w:r w:rsidR="006F3294" w:rsidRPr="002A2450">
        <w:rPr>
          <w:rFonts w:ascii="ITC Avant Garde" w:hAnsi="ITC Avant Garde"/>
        </w:rPr>
        <w:lastRenderedPageBreak/>
        <w:t>que se ha hecho referencia, las mismas resultan insuficientes para desvirtuar la conducta materia del presente procedimiento.</w:t>
      </w:r>
    </w:p>
    <w:p w14:paraId="427CAD61"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t xml:space="preserve">Ahora bien, </w:t>
      </w:r>
      <w:r w:rsidRPr="002A2450">
        <w:rPr>
          <w:rFonts w:ascii="ITC Avant Garde" w:hAnsi="ITC Avant Garde"/>
          <w:b/>
        </w:rPr>
        <w:t>“TELMEX”</w:t>
      </w:r>
      <w:r w:rsidRPr="002A2450">
        <w:rPr>
          <w:rFonts w:ascii="ITC Avant Garde" w:hAnsi="ITC Avant Garde"/>
        </w:rPr>
        <w:t xml:space="preserve"> asume a partir de la citada autorización que cuenta con un derecho adquirido, sin embargo, se aclara que en todo caso, ese derecho redunda en la participación en el capital social pero no así en la </w:t>
      </w:r>
      <w:r w:rsidR="008F718E" w:rsidRPr="009E34A4">
        <w:rPr>
          <w:rFonts w:ascii="ITC Avant Garde" w:hAnsi="ITC Avant Garde"/>
        </w:rPr>
        <w:t xml:space="preserve">explotación indirecta </w:t>
      </w:r>
      <w:r w:rsidRPr="002A2450">
        <w:rPr>
          <w:rFonts w:ascii="ITC Avant Garde" w:hAnsi="ITC Avant Garde"/>
        </w:rPr>
        <w:t xml:space="preserve">que es el hecho que concierne </w:t>
      </w:r>
      <w:r w:rsidR="00F64B46" w:rsidRPr="002A2450">
        <w:rPr>
          <w:rFonts w:ascii="ITC Avant Garde" w:hAnsi="ITC Avant Garde"/>
        </w:rPr>
        <w:t>al presente procedimiento.</w:t>
      </w:r>
    </w:p>
    <w:p w14:paraId="57741B62"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t xml:space="preserve">Bajo esas consideraciones, la autorización </w:t>
      </w:r>
      <w:r w:rsidR="00F64B46" w:rsidRPr="002A2450">
        <w:rPr>
          <w:rFonts w:ascii="ITC Avant Garde" w:hAnsi="ITC Avant Garde"/>
        </w:rPr>
        <w:t xml:space="preserve">a que se ha hecho referencia, de ninguna forma permitió </w:t>
      </w:r>
      <w:r w:rsidRPr="002A2450">
        <w:rPr>
          <w:rFonts w:ascii="ITC Avant Garde" w:hAnsi="ITC Avant Garde"/>
        </w:rPr>
        <w:t xml:space="preserve">explotar indirectamente una concesión para prestar el servicio de televisión en el país, </w:t>
      </w:r>
      <w:r w:rsidR="00F64B46" w:rsidRPr="002A2450">
        <w:rPr>
          <w:rFonts w:ascii="ITC Avant Garde" w:hAnsi="ITC Avant Garde"/>
        </w:rPr>
        <w:t xml:space="preserve">y en consecuencia no se puede interpretar que a partir de ello </w:t>
      </w:r>
      <w:r w:rsidR="00F64B46" w:rsidRPr="002A2450">
        <w:rPr>
          <w:rFonts w:ascii="ITC Avant Garde" w:hAnsi="ITC Avant Garde"/>
          <w:b/>
        </w:rPr>
        <w:t xml:space="preserve">“TELMEX” </w:t>
      </w:r>
      <w:r w:rsidR="00F64B46" w:rsidRPr="002A2450">
        <w:rPr>
          <w:rFonts w:ascii="ITC Avant Garde" w:hAnsi="ITC Avant Garde"/>
        </w:rPr>
        <w:t xml:space="preserve">tenga un derecho adquirido como erróneamente lo pretende hacer valer, ya que </w:t>
      </w:r>
      <w:r w:rsidRPr="002A2450">
        <w:rPr>
          <w:rFonts w:ascii="ITC Avant Garde" w:hAnsi="ITC Avant Garde"/>
        </w:rPr>
        <w:t>no se colman los extremos de un derecho adquirido en virtud de las siguientes consideraciones:</w:t>
      </w:r>
    </w:p>
    <w:p w14:paraId="1591CA6D"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t xml:space="preserve">La autorización no </w:t>
      </w:r>
      <w:r w:rsidR="00F64B46" w:rsidRPr="002A2450">
        <w:rPr>
          <w:rFonts w:ascii="ITC Avant Garde" w:hAnsi="ITC Avant Garde"/>
        </w:rPr>
        <w:t xml:space="preserve">corresponde </w:t>
      </w:r>
      <w:r w:rsidRPr="002A2450">
        <w:rPr>
          <w:rFonts w:ascii="ITC Avant Garde" w:hAnsi="ITC Avant Garde"/>
        </w:rPr>
        <w:t xml:space="preserve">una interpretación respecto de la </w:t>
      </w:r>
      <w:r w:rsidR="008F718E" w:rsidRPr="009E34A4">
        <w:rPr>
          <w:rFonts w:ascii="ITC Avant Garde" w:hAnsi="ITC Avant Garde"/>
        </w:rPr>
        <w:t xml:space="preserve">explotación indirecta </w:t>
      </w:r>
      <w:r w:rsidRPr="002A2450">
        <w:rPr>
          <w:rFonts w:ascii="ITC Avant Garde" w:hAnsi="ITC Avant Garde"/>
        </w:rPr>
        <w:t xml:space="preserve">tal y como se ha mencionado, por lo que no </w:t>
      </w:r>
      <w:r w:rsidR="00F64B46" w:rsidRPr="002A2450">
        <w:rPr>
          <w:rFonts w:ascii="ITC Avant Garde" w:hAnsi="ITC Avant Garde"/>
        </w:rPr>
        <w:t xml:space="preserve">tiene relación </w:t>
      </w:r>
      <w:r w:rsidRPr="002A2450">
        <w:rPr>
          <w:rFonts w:ascii="ITC Avant Garde" w:hAnsi="ITC Avant Garde"/>
        </w:rPr>
        <w:t>a los hechos materia del presente procedimiento.</w:t>
      </w:r>
    </w:p>
    <w:p w14:paraId="0E996667"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t xml:space="preserve">Por otro lado, las autorizaciones previas a la presente resolución no pueden ser </w:t>
      </w:r>
      <w:r w:rsidR="00514A2F" w:rsidRPr="002A2450">
        <w:rPr>
          <w:rFonts w:ascii="ITC Avant Garde" w:hAnsi="ITC Avant Garde"/>
        </w:rPr>
        <w:t xml:space="preserve">vinculantes </w:t>
      </w:r>
      <w:r w:rsidRPr="002A2450">
        <w:rPr>
          <w:rFonts w:ascii="ITC Avant Garde" w:hAnsi="ITC Avant Garde"/>
        </w:rPr>
        <w:t xml:space="preserve">para esta autoridad, puesto que en el ámbito de sus atribuciones a través del tiempo, las autoridades se han </w:t>
      </w:r>
      <w:r w:rsidR="00514A2F" w:rsidRPr="002A2450">
        <w:rPr>
          <w:rFonts w:ascii="ITC Avant Garde" w:hAnsi="ITC Avant Garde"/>
        </w:rPr>
        <w:t xml:space="preserve">ido transformando </w:t>
      </w:r>
      <w:r w:rsidRPr="002A2450">
        <w:rPr>
          <w:rFonts w:ascii="ITC Avant Garde" w:hAnsi="ITC Avant Garde"/>
        </w:rPr>
        <w:t xml:space="preserve">y por ello </w:t>
      </w:r>
      <w:r w:rsidR="00514A2F" w:rsidRPr="002A2450">
        <w:rPr>
          <w:rFonts w:ascii="ITC Avant Garde" w:hAnsi="ITC Avant Garde"/>
        </w:rPr>
        <w:t xml:space="preserve">ante </w:t>
      </w:r>
      <w:r w:rsidRPr="002A2450">
        <w:rPr>
          <w:rFonts w:ascii="ITC Avant Garde" w:hAnsi="ITC Avant Garde"/>
        </w:rPr>
        <w:t xml:space="preserve">el surgimiento de una nueva estructura </w:t>
      </w:r>
      <w:r w:rsidR="00514A2F" w:rsidRPr="002A2450">
        <w:rPr>
          <w:rFonts w:ascii="ITC Avant Garde" w:hAnsi="ITC Avant Garde"/>
        </w:rPr>
        <w:t xml:space="preserve">y diseño institucional en la materia, hace necesario que las autoridades analicen los hechos y situaciones que se presentan a partir de los efectos que los mismos generan y sobre todo partiendo de la base de que la propia Constitución ha reconocido a los servicios de telecomunicaciones como servicios públicos de interés general y por ello la autoridad debe velar por que los mismos se presten en un entorno de competencia y que se cumpla con las condiciones provistas en los título de concesión respectivos, así como en las disposiciones legales, reglamentarias y administrativas aplicadas en la materia. </w:t>
      </w:r>
    </w:p>
    <w:p w14:paraId="70DF621F"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lastRenderedPageBreak/>
        <w:t>Aquí conviene realizar una precisión que debe ser fundamental para la presente resolución.</w:t>
      </w:r>
    </w:p>
    <w:p w14:paraId="35D52039" w14:textId="77777777" w:rsidR="00B35F13" w:rsidRDefault="006F3294" w:rsidP="00B35F13">
      <w:pPr>
        <w:spacing w:before="240" w:line="360" w:lineRule="auto"/>
        <w:jc w:val="both"/>
        <w:rPr>
          <w:rFonts w:ascii="ITC Avant Garde" w:hAnsi="ITC Avant Garde"/>
        </w:rPr>
      </w:pPr>
      <w:r w:rsidRPr="002A2450">
        <w:rPr>
          <w:rFonts w:ascii="ITC Avant Garde" w:hAnsi="ITC Avant Garde"/>
        </w:rPr>
        <w:t>La teoría del derecho adquirido, atribuye su surgimiento a inicios del siglo veinte</w:t>
      </w:r>
      <w:r w:rsidR="0096496D" w:rsidRPr="002A2450">
        <w:rPr>
          <w:rFonts w:ascii="ITC Avant Garde" w:hAnsi="ITC Avant Garde"/>
        </w:rPr>
        <w:t>,</w:t>
      </w:r>
      <w:r w:rsidRPr="002A2450">
        <w:rPr>
          <w:rFonts w:ascii="ITC Avant Garde" w:hAnsi="ITC Avant Garde"/>
        </w:rPr>
        <w:t xml:space="preserve"> como consecuencia directa o indirecta de la Primera Guerra Mundial, puesto que las condiciones económicas surgidas en los países europeos </w:t>
      </w:r>
      <w:r w:rsidR="0096496D" w:rsidRPr="002A2450">
        <w:rPr>
          <w:rFonts w:ascii="ITC Avant Garde" w:hAnsi="ITC Avant Garde"/>
        </w:rPr>
        <w:t>no permitían exigir el cobro de las deudas contraídas en aquel entonces.</w:t>
      </w:r>
    </w:p>
    <w:p w14:paraId="19ACF7F1"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En ese sentido, la legislación, esencialmente privatista, asumió el reconocimiento de derechos a favor de aquellos que en su momento se vieron vulnerados por la situación económica y que había</w:t>
      </w:r>
      <w:r w:rsidR="00514A2F" w:rsidRPr="002A2450">
        <w:rPr>
          <w:rFonts w:ascii="ITC Avant Garde" w:hAnsi="ITC Avant Garde"/>
        </w:rPr>
        <w:t>n</w:t>
      </w:r>
      <w:r w:rsidRPr="002A2450">
        <w:rPr>
          <w:rFonts w:ascii="ITC Avant Garde" w:hAnsi="ITC Avant Garde"/>
        </w:rPr>
        <w:t xml:space="preserve"> exigido que los actos jurídicos celebrados en su momento le fueran reconocidos. </w:t>
      </w:r>
    </w:p>
    <w:p w14:paraId="6173FDA2"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Por tanto, el derecho adquirido tuvo que ser acoplada con otra figura esencial en el derecho, esto es, la irretroactividad de la Ley, como mecanismo de defensa ante aquellas legislaciones.</w:t>
      </w:r>
    </w:p>
    <w:p w14:paraId="64ABAC8C"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Ahora bien, la entonces Tercera Sala de la Suprema Corte de Justicia de la Nación respecto de la teoría de los derechos adquiridos, acuño la siguiente tesis que a su letra señala:</w:t>
      </w:r>
    </w:p>
    <w:p w14:paraId="1AAC7DD0" w14:textId="77777777" w:rsidR="00B35F13" w:rsidRDefault="00B052C3" w:rsidP="00B35F13">
      <w:pPr>
        <w:spacing w:before="240" w:line="360" w:lineRule="auto"/>
        <w:ind w:left="567" w:right="567"/>
        <w:jc w:val="both"/>
        <w:rPr>
          <w:rFonts w:ascii="ITC Avant Garde" w:hAnsi="ITC Avant Garde"/>
        </w:rPr>
      </w:pPr>
      <w:r w:rsidRPr="002A2450">
        <w:rPr>
          <w:rFonts w:ascii="ITC Avant Garde" w:hAnsi="ITC Avant Garde"/>
          <w:b/>
        </w:rPr>
        <w:t>RETROACTIVIDAD DE LA LEY (</w:t>
      </w:r>
      <w:r w:rsidRPr="00E11C4B">
        <w:rPr>
          <w:rFonts w:ascii="ITC Avant Garde" w:hAnsi="ITC Avant Garde"/>
          <w:b/>
        </w:rPr>
        <w:t>TEOR</w:t>
      </w:r>
      <w:r w:rsidR="00E11C4B">
        <w:rPr>
          <w:rFonts w:ascii="ITC Avant Garde" w:hAnsi="ITC Avant Garde"/>
          <w:b/>
        </w:rPr>
        <w:t>ÍA</w:t>
      </w:r>
      <w:r w:rsidRPr="002A2450">
        <w:rPr>
          <w:rFonts w:ascii="ITC Avant Garde" w:hAnsi="ITC Avant Garde"/>
          <w:b/>
        </w:rPr>
        <w:t xml:space="preserve"> DE LOS DERECHOS ADQUIRIDOS) (LEGISLACIONES DEL DISTRITO FEDERAL Y </w:t>
      </w:r>
      <w:r w:rsidRPr="00E11C4B">
        <w:rPr>
          <w:rFonts w:ascii="ITC Avant Garde" w:hAnsi="ITC Avant Garde"/>
          <w:b/>
        </w:rPr>
        <w:t>DE YUCAT</w:t>
      </w:r>
      <w:r w:rsidR="00E11C4B">
        <w:rPr>
          <w:rFonts w:ascii="ITC Avant Garde" w:hAnsi="ITC Avant Garde"/>
          <w:b/>
        </w:rPr>
        <w:t>Á</w:t>
      </w:r>
      <w:r w:rsidRPr="00E11C4B">
        <w:rPr>
          <w:rFonts w:ascii="ITC Avant Garde" w:hAnsi="ITC Avant Garde"/>
          <w:b/>
        </w:rPr>
        <w:t>N).</w:t>
      </w:r>
      <w:r w:rsidR="0096496D" w:rsidRPr="00E11C4B">
        <w:rPr>
          <w:rFonts w:ascii="ITC Avant Garde" w:hAnsi="ITC Avant Garde"/>
        </w:rPr>
        <w:t xml:space="preserve"> </w:t>
      </w:r>
      <w:r w:rsidRPr="00E11C4B">
        <w:rPr>
          <w:rFonts w:ascii="ITC Avant Garde" w:hAnsi="ITC Avant Garde"/>
        </w:rPr>
        <w:t>El Código</w:t>
      </w:r>
      <w:r w:rsidRPr="002A2450">
        <w:rPr>
          <w:rFonts w:ascii="ITC Avant Garde" w:hAnsi="ITC Avant Garde"/>
        </w:rPr>
        <w:t xml:space="preserve"> Civil de Yucatán como los demás que rigen en los diversos Estados del país, calcados del Código del Distrito Federal de mil novecientos veintiocho, ha pretendido resolver el problema de la retroactividad de la ley, mediante la siguiente fórmula: "Las disposiciones de éste código regirán los efectos jurídicos de los actos anteriores a su vigencia, en cuanto con su aplicación no se violen derechos adquiridos" (artículo 2o. transitorio). El legislador acogió en este precepto, la teoría del llamado "derecho adquirido", respecto de la cual Nicolás </w:t>
      </w:r>
      <w:proofErr w:type="spellStart"/>
      <w:r w:rsidRPr="002A2450">
        <w:rPr>
          <w:rFonts w:ascii="ITC Avant Garde" w:hAnsi="ITC Avant Garde"/>
        </w:rPr>
        <w:t>Coviello</w:t>
      </w:r>
      <w:proofErr w:type="spellEnd"/>
      <w:r w:rsidRPr="002A2450">
        <w:rPr>
          <w:rFonts w:ascii="ITC Avant Garde" w:hAnsi="ITC Avant Garde"/>
        </w:rPr>
        <w:t xml:space="preserve">, en su obra "Doctrina General del Derecho Civil" dice: que no sólo es vaga e incierta en sí </w:t>
      </w:r>
      <w:r w:rsidRPr="002A2450">
        <w:rPr>
          <w:rFonts w:ascii="ITC Avant Garde" w:hAnsi="ITC Avant Garde"/>
        </w:rPr>
        <w:lastRenderedPageBreak/>
        <w:t xml:space="preserve">misma y sin sólida base científica, sino también de aplicación difícil y a menudo imposible, para resolver los casos variadísimos que se presentan; que no hay acuerdo entre los varios autores de la teoría, sobre si la intangibilidad del derecho adquirido significa respecto de su existencia únicamente, o también de las consecuencias que constituyen sus varias manifestaciones, y que hay también desacuerdo sobre el concepto mismo de "derecho adquirido", locución ésta que es defectuosa, pues si no puede haber en concreto un derecho subjetivo, sin un hecho adquisitivo, del cual derive en favor de una persona determinada un poder para con otra, lo mismo vale "derecho" a secas, que "derecho adquirido". También Roberto </w:t>
      </w:r>
      <w:proofErr w:type="spellStart"/>
      <w:r w:rsidRPr="002A2450">
        <w:rPr>
          <w:rFonts w:ascii="ITC Avant Garde" w:hAnsi="ITC Avant Garde"/>
        </w:rPr>
        <w:t>Ruggiero</w:t>
      </w:r>
      <w:proofErr w:type="spellEnd"/>
      <w:r w:rsidRPr="002A2450">
        <w:rPr>
          <w:rFonts w:ascii="ITC Avant Garde" w:hAnsi="ITC Avant Garde"/>
        </w:rPr>
        <w:t xml:space="preserve">, al referirse a la noción del "derecho adquirido", en sus "instituciones de derecho civil", expresa que sus definiciones son tantas, </w:t>
      </w:r>
      <w:r w:rsidR="00E66997" w:rsidRPr="002A2450">
        <w:rPr>
          <w:rFonts w:ascii="ITC Avant Garde" w:hAnsi="ITC Avant Garde"/>
        </w:rPr>
        <w:t>cuántos</w:t>
      </w:r>
      <w:r w:rsidRPr="002A2450">
        <w:rPr>
          <w:rFonts w:ascii="ITC Avant Garde" w:hAnsi="ITC Avant Garde"/>
        </w:rPr>
        <w:t xml:space="preserve"> son los escritores que las suscriben. Ante semejante desconcierto doctrinal, ha habido quien sostenga que dicha teoría debe desterrarse del campo de la ciencia jurídica, y algunos códigos modernos no la han acogido, apartándose de la antigua tradición. (Código Civil alemán). De cualquier modo, es necesario fijar la interpretación del artículo 2o. transitorio del Código Civil de Yucatán, antes transcrito, y para ello debe notarse que ese precepto excluye la aplicación de la nueva ley, respecto de los derechos que tuvieron lugar antes de su vigencia, ya que sólo habla de los efectos jurídicos de tales hechos, y excluye también los efectos realizados antes de la aparición de dicha ley, por la primordial razón que domina toda esta materia y que consiste en que "la ley no puede obligar antes de existir"; pero si la ley no puede gobernar las causas que produjeron aquellos efectos, ni los efectos mismos, porque unas y otros son anteriores a su aparición, no puede decirse lo propio con respecto a los efectos jurídicos realizados después de dicha aparición, por </w:t>
      </w:r>
      <w:r w:rsidR="00E66997" w:rsidRPr="002A2450">
        <w:rPr>
          <w:rFonts w:ascii="ITC Avant Garde" w:hAnsi="ITC Avant Garde"/>
        </w:rPr>
        <w:t>más</w:t>
      </w:r>
      <w:r w:rsidRPr="002A2450">
        <w:rPr>
          <w:rFonts w:ascii="ITC Avant Garde" w:hAnsi="ITC Avant Garde"/>
        </w:rPr>
        <w:t xml:space="preserve"> que resulten generados por hechos ocurridos antes; en otros términos, </w:t>
      </w:r>
      <w:r w:rsidRPr="002A2450">
        <w:rPr>
          <w:rFonts w:ascii="ITC Avant Garde" w:hAnsi="ITC Avant Garde"/>
          <w:b/>
          <w:u w:val="single"/>
        </w:rPr>
        <w:t xml:space="preserve">no cabe aplicar la nueva ley ni a los actos ni a los efectos de los mismos, que se </w:t>
      </w:r>
      <w:r w:rsidRPr="002A2450">
        <w:rPr>
          <w:rFonts w:ascii="ITC Avant Garde" w:hAnsi="ITC Avant Garde"/>
          <w:b/>
          <w:u w:val="single"/>
        </w:rPr>
        <w:lastRenderedPageBreak/>
        <w:t>hubieran realizado bajo el imperio de la ley anterior, sino tan solo a los efectos que se realizaren después</w:t>
      </w:r>
      <w:r w:rsidRPr="002A2450">
        <w:rPr>
          <w:rFonts w:ascii="ITC Avant Garde" w:hAnsi="ITC Avant Garde"/>
        </w:rPr>
        <w:t xml:space="preserve">. Esta interpretación encuentra apoyo en la concepción romana. La célebre ley 7, título XIV, libro I del código, se haya concebida en estos términos: "Es cosa cierta que las leyes y constituciones rigen y disciplinan negocios futuros, y no hechos pasados, salvo que expresamente hayan estatuido lo contrario, ya sea comprendiendo el tiempo pasado o bien los negocios que estén todavía pendientes". Esto quiere decir que si una explícita declaración en contrario, del legislador, los hechos jurídicos y todas sus consecuencias legales se rigen exclusivamente por la ley que se hallaba en vigor al tiempo en que aquéllos se produjeron. La ley romana, en el silencio del legislador, admite en toda su pureza el principio de la irretroactividad, según el cual, la ley sólo dispone para lo futuro, no para lo pasado, y en éste se comprende, según el pensamiento de Pascual </w:t>
      </w:r>
      <w:proofErr w:type="spellStart"/>
      <w:r w:rsidRPr="002A2450">
        <w:rPr>
          <w:rFonts w:ascii="ITC Avant Garde" w:hAnsi="ITC Avant Garde"/>
        </w:rPr>
        <w:t>Fiore</w:t>
      </w:r>
      <w:proofErr w:type="spellEnd"/>
      <w:r w:rsidRPr="002A2450">
        <w:rPr>
          <w:rFonts w:ascii="ITC Avant Garde" w:hAnsi="ITC Avant Garde"/>
        </w:rPr>
        <w:t xml:space="preserve">, no sólo el hecho de que puede depender la adquisición de un derecho, sino también los efectos legales de ese hecho, ya nacido e individualmente adquirido, "que se deben considerar como derechos accesorios de aquel derecho principal, y por tanto, sujetos a la autoridad de la misma ley vigente en el momento en que nació el derecho principal de que emanan". (De la Irretroactividad e Interpretación de las Leyes), </w:t>
      </w:r>
      <w:proofErr w:type="spellStart"/>
      <w:r w:rsidRPr="002A2450">
        <w:rPr>
          <w:rFonts w:ascii="ITC Avant Garde" w:hAnsi="ITC Avant Garde"/>
        </w:rPr>
        <w:t>Coviello</w:t>
      </w:r>
      <w:proofErr w:type="spellEnd"/>
      <w:r w:rsidRPr="002A2450">
        <w:rPr>
          <w:rFonts w:ascii="ITC Avant Garde" w:hAnsi="ITC Avant Garde"/>
        </w:rPr>
        <w:t xml:space="preserve">, en su obra citada, expone así su teoría: "La ley nueva no es aplicable a consecuencias de hechos pasados, aun efectuadas bajo su imperio, cuando su aplicación tenga como presupuesto necesario el hecho pasado, ya porque no fue conforme a la nueva ley, o bien por constituir el elemento de hecho de que surgen consecuencias jurídicas que no habrían nacido para la antigua ley; en cambio la nueva es aplicable en la hipótesis contraria ...". Más adelante, el propio autor resume así su teoría: "La máxima ley no tiene fuerza retroactiva", significa que el Juez no puede aplicarla a hechos pasados, o desconociendo las consecuencias ya realizadas, o </w:t>
      </w:r>
      <w:r w:rsidRPr="002A2450">
        <w:rPr>
          <w:rFonts w:ascii="ITC Avant Garde" w:hAnsi="ITC Avant Garde"/>
        </w:rPr>
        <w:lastRenderedPageBreak/>
        <w:t xml:space="preserve">quitando eficacia o atribuyendo una diversa a las consecuencias nuevas, sobre la base única de la apreciación del hecho pasado". Hecha esta exposición doctrinal, entremos al estudio del artículo 2o., transitorio, del Código Civil de Yucatán y observemos que este precepto impone una cortapisa a la aplicación de la nueva ley, en cuanto a los efectos jurídicos realizados después de la aparición de aquella, cortapisa que consiste en que con tal aplicación no se violen derechos adquiridos, esto es, derechos engendrados en virtud del acto que se </w:t>
      </w:r>
      <w:r w:rsidR="00E66997" w:rsidRPr="002A2450">
        <w:rPr>
          <w:rFonts w:ascii="ITC Avant Garde" w:hAnsi="ITC Avant Garde"/>
        </w:rPr>
        <w:t>consumó</w:t>
      </w:r>
      <w:r w:rsidRPr="002A2450">
        <w:rPr>
          <w:rFonts w:ascii="ITC Avant Garde" w:hAnsi="ITC Avant Garde"/>
        </w:rPr>
        <w:t xml:space="preserve"> al amparo de la ley reguladora del mismo. La Suprema Corte de Justicia, desecha toda idea, toda invocación a la doctrina inexistente del "derecho adquirido", contrapuesta a la noción de mera expectativa, y reteniendo sólo la primera noción, por tal entiende el derecho a secas, esto es, "cualquier interés jurídicamente protegido". Conviene, antes de terminar este estudio, hacer referencia a la doctrina de Ferrara. "La teoría que nosotros proponemos (dice el tratadista), es la del respeto de los hechos realizados, pero rigurosamente formulada sin restricciones ni adiciones complementarias. Se trata de una regla única y precisa que puede formularse así: 'Tempus </w:t>
      </w:r>
      <w:proofErr w:type="spellStart"/>
      <w:r w:rsidRPr="002A2450">
        <w:rPr>
          <w:rFonts w:ascii="ITC Avant Garde" w:hAnsi="ITC Avant Garde"/>
        </w:rPr>
        <w:t>regit</w:t>
      </w:r>
      <w:proofErr w:type="spellEnd"/>
      <w:r w:rsidRPr="002A2450">
        <w:rPr>
          <w:rFonts w:ascii="ITC Avant Garde" w:hAnsi="ITC Avant Garde"/>
        </w:rPr>
        <w:t xml:space="preserve"> </w:t>
      </w:r>
      <w:proofErr w:type="spellStart"/>
      <w:r w:rsidRPr="002A2450">
        <w:rPr>
          <w:rFonts w:ascii="ITC Avant Garde" w:hAnsi="ITC Avant Garde"/>
        </w:rPr>
        <w:t>factum</w:t>
      </w:r>
      <w:proofErr w:type="spellEnd"/>
      <w:r w:rsidRPr="002A2450">
        <w:rPr>
          <w:rFonts w:ascii="ITC Avant Garde" w:hAnsi="ITC Avant Garde"/>
        </w:rPr>
        <w:t xml:space="preserve">'. 'Todo hecho jurídico, ya sea un acontecimiento casual o un acto jurídico, se regula tanto en lo que mira a sus condiciones de forma como de sustancia, cuanto por lo que atañe a todos sus efectos -pasados, presentes o futuros-, por la ley del tiempo en que el hecho quedó jurídicamente realizado, salvo que la nueva ley quiera excluir en mayor o menor medida la eficacia del antiguo ordenamiento jurídico.'. Pero mientras esta cláusula de exclusión de la nueva ley, no resulta establecida expresa o tácitamente, rige el ordenamiento jurídico anterior que acompaña los hechos y relaciones que nacieron bajo su imperio, a través del nuevo régimen jurídico". (Tratado de Derecho Civil Italiano). La Suprema Corte de Justicia considera que la disposición transitoria del código de Yucatán, no se ajusta exactamente ni a las doctrinas ni a la </w:t>
      </w:r>
      <w:r w:rsidRPr="002A2450">
        <w:rPr>
          <w:rFonts w:ascii="ITC Avant Garde" w:hAnsi="ITC Avant Garde"/>
        </w:rPr>
        <w:lastRenderedPageBreak/>
        <w:t xml:space="preserve">norma romana antes invocadas, si bien éstas prestan seguro apoyo a la interpretación que se ha dado a ese precepto. </w:t>
      </w:r>
      <w:r w:rsidRPr="002A2450">
        <w:rPr>
          <w:rFonts w:ascii="ITC Avant Garde" w:hAnsi="ITC Avant Garde"/>
          <w:b/>
          <w:u w:val="single"/>
        </w:rPr>
        <w:t>En resumen, hay que distinguir dos categorías de efectos: los que se produjeron con anterioridad a la vigencia de la nueva ley, y los posteriores a la misma; los primeros caen bajo el régimen de la ley derogada; los segundos se gobiernan por la ley derogatoria. Lo más jurídico sería que también estos últimos se normaran por la de abolida; pero esta interpretación tan radical, no puede sostenerse frente a los términos de la disposición legal de que se trata.</w:t>
      </w:r>
    </w:p>
    <w:p w14:paraId="09AA1AFD" w14:textId="77777777" w:rsidR="00B35F13" w:rsidRDefault="0096496D"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Quinta Época, Registro: 350662, Instancia: Tercera Sala, Tipo de Tesis: Aislada, Fuente: Semanario Judicial de la Federación, Tomo LXXVIII, Materia(s): Constitucional, Común, Tesis: Página: 2435 </w:t>
      </w:r>
    </w:p>
    <w:p w14:paraId="13C3612A"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 xml:space="preserve">Con base en el criterio anterior, </w:t>
      </w:r>
      <w:r w:rsidR="00514A2F" w:rsidRPr="002A2450">
        <w:rPr>
          <w:rFonts w:ascii="ITC Avant Garde" w:hAnsi="ITC Avant Garde"/>
        </w:rPr>
        <w:t xml:space="preserve">resulta procedente </w:t>
      </w:r>
      <w:r w:rsidRPr="002A2450">
        <w:rPr>
          <w:rFonts w:ascii="ITC Avant Garde" w:hAnsi="ITC Avant Garde"/>
        </w:rPr>
        <w:t xml:space="preserve">discernir que el hecho generado </w:t>
      </w:r>
      <w:r w:rsidR="00514A2F" w:rsidRPr="002A2450">
        <w:rPr>
          <w:rFonts w:ascii="ITC Avant Garde" w:hAnsi="ITC Avant Garde"/>
        </w:rPr>
        <w:t xml:space="preserve">con </w:t>
      </w:r>
      <w:r w:rsidRPr="002A2450">
        <w:rPr>
          <w:rFonts w:ascii="ITC Avant Garde" w:hAnsi="ITC Avant Garde"/>
        </w:rPr>
        <w:t xml:space="preserve">anterioridad </w:t>
      </w:r>
      <w:r w:rsidR="00514A2F" w:rsidRPr="002A2450">
        <w:rPr>
          <w:rFonts w:ascii="ITC Avant Garde" w:hAnsi="ITC Avant Garde"/>
        </w:rPr>
        <w:t xml:space="preserve">se encuentra </w:t>
      </w:r>
      <w:r w:rsidRPr="002A2450">
        <w:rPr>
          <w:rFonts w:ascii="ITC Avant Garde" w:hAnsi="ITC Avant Garde"/>
        </w:rPr>
        <w:t>cimentado bajo el amparo de una norma vigente en su momento, ingresando a la esfera jurídica el derecho consumado o reconocido por esa normatividad.</w:t>
      </w:r>
    </w:p>
    <w:p w14:paraId="63C7987A"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 xml:space="preserve">Ahora bien, también la jurisprudencia ha reconocido que al derecho adquirido no puede aplicarse retroactivamente una ley, salvo en el que caso de que esta le beneficie más, pero al amparo del criterio transcrito, lo que si puede estar y ser susceptible de imputar son </w:t>
      </w:r>
      <w:r w:rsidRPr="002A2450">
        <w:rPr>
          <w:rFonts w:ascii="ITC Avant Garde" w:hAnsi="ITC Avant Garde"/>
          <w:b/>
          <w:u w:val="single"/>
        </w:rPr>
        <w:t>los efectos</w:t>
      </w:r>
      <w:r w:rsidRPr="002A2450">
        <w:rPr>
          <w:rFonts w:ascii="ITC Avant Garde" w:hAnsi="ITC Avant Garde"/>
        </w:rPr>
        <w:t>.</w:t>
      </w:r>
    </w:p>
    <w:p w14:paraId="3284643A" w14:textId="77777777" w:rsidR="00B35F13" w:rsidRDefault="0096496D" w:rsidP="00B35F13">
      <w:pPr>
        <w:spacing w:before="240" w:line="360" w:lineRule="auto"/>
        <w:jc w:val="both"/>
        <w:rPr>
          <w:rFonts w:ascii="ITC Avant Garde" w:hAnsi="ITC Avant Garde"/>
        </w:rPr>
      </w:pPr>
      <w:r w:rsidRPr="002A2450">
        <w:rPr>
          <w:rFonts w:ascii="ITC Avant Garde" w:hAnsi="ITC Avant Garde"/>
        </w:rPr>
        <w:t xml:space="preserve">Al respecto, vale mencionar que el ejercicio de derecho adquirido y sus efectos se mantienen hasta en tanto una nueva norma </w:t>
      </w:r>
      <w:r w:rsidR="001C4A20" w:rsidRPr="002A2450">
        <w:rPr>
          <w:rFonts w:ascii="ITC Avant Garde" w:hAnsi="ITC Avant Garde"/>
        </w:rPr>
        <w:t>modifique la esfera en la cual se desenvolvía el ejercicio de ese derecho.</w:t>
      </w:r>
    </w:p>
    <w:p w14:paraId="2725EF40" w14:textId="77777777" w:rsidR="00B35F13" w:rsidRDefault="001C4A20" w:rsidP="00B35F13">
      <w:pPr>
        <w:spacing w:before="240" w:line="360" w:lineRule="auto"/>
        <w:jc w:val="both"/>
        <w:rPr>
          <w:rFonts w:ascii="ITC Avant Garde" w:hAnsi="ITC Avant Garde"/>
        </w:rPr>
      </w:pPr>
      <w:r w:rsidRPr="002A2450">
        <w:rPr>
          <w:rFonts w:ascii="ITC Avant Garde" w:hAnsi="ITC Avant Garde"/>
        </w:rPr>
        <w:t>En tales consideraciones, los efectos del derecho adquirido con posterioridad a la entrada de una nueva norma si pueden ser analizados en términos de la legislación vigente, más no así el hecho mismo mediante el cual surgió.</w:t>
      </w:r>
    </w:p>
    <w:p w14:paraId="54AC49E0" w14:textId="77777777" w:rsidR="00B35F13" w:rsidRDefault="001C4A20" w:rsidP="00B35F13">
      <w:pPr>
        <w:spacing w:before="240" w:line="360" w:lineRule="auto"/>
        <w:jc w:val="both"/>
        <w:rPr>
          <w:rFonts w:ascii="ITC Avant Garde" w:hAnsi="ITC Avant Garde"/>
        </w:rPr>
      </w:pPr>
      <w:r w:rsidRPr="002A2450">
        <w:rPr>
          <w:rFonts w:ascii="ITC Avant Garde" w:hAnsi="ITC Avant Garde"/>
        </w:rPr>
        <w:lastRenderedPageBreak/>
        <w:t xml:space="preserve">Ahora bien, a esta interpretación de los derechos adquiridos de manera conjunta con la irretroactividad de la norma, se suma la </w:t>
      </w:r>
      <w:r w:rsidRPr="002A2450">
        <w:rPr>
          <w:rFonts w:ascii="ITC Avant Garde" w:hAnsi="ITC Avant Garde"/>
          <w:b/>
        </w:rPr>
        <w:t>teoría de los hechos cumplidos</w:t>
      </w:r>
      <w:r w:rsidRPr="002A2450">
        <w:rPr>
          <w:rFonts w:ascii="ITC Avant Garde" w:hAnsi="ITC Avant Garde"/>
        </w:rPr>
        <w:t>, la cual sostiene de manera general que cada hecho debe regirse conforme a la normatividad vigentes en su</w:t>
      </w:r>
      <w:r w:rsidR="00514A2F" w:rsidRPr="002A2450">
        <w:rPr>
          <w:rFonts w:ascii="ITC Avant Garde" w:hAnsi="ITC Avant Garde"/>
        </w:rPr>
        <w:t xml:space="preserve"> momento</w:t>
      </w:r>
      <w:r w:rsidRPr="002A2450">
        <w:rPr>
          <w:rFonts w:ascii="ITC Avant Garde" w:hAnsi="ITC Avant Garde"/>
        </w:rPr>
        <w:t>, sin embargo, acaecida una modificación o una nueva norma es indudable que los efectos del derecho previamente reconocido quizá ya no puedan ser compatibles con la nueva normatividad.</w:t>
      </w:r>
    </w:p>
    <w:p w14:paraId="01EA4C12" w14:textId="77777777" w:rsidR="00B35F13" w:rsidRDefault="001C4A20" w:rsidP="00B35F13">
      <w:pPr>
        <w:spacing w:before="240" w:line="360" w:lineRule="auto"/>
        <w:jc w:val="both"/>
        <w:rPr>
          <w:rFonts w:ascii="ITC Avant Garde" w:hAnsi="ITC Avant Garde"/>
        </w:rPr>
      </w:pPr>
      <w:r w:rsidRPr="002A2450">
        <w:rPr>
          <w:rFonts w:ascii="ITC Avant Garde" w:hAnsi="ITC Avant Garde"/>
        </w:rPr>
        <w:t>Esta interpretación, es totalmente congruente con la tesis citada en líneas arriba, puesto que la misma reconoce al igual que la teoría de los hechos cumplidos que los efectos derivados de la nueva normatividad pueden ser revisados y en su caso, sancionados.</w:t>
      </w:r>
    </w:p>
    <w:p w14:paraId="699B90F3" w14:textId="77777777" w:rsidR="00B35F13" w:rsidRDefault="001C4A20" w:rsidP="00B35F13">
      <w:pPr>
        <w:spacing w:before="240" w:line="360" w:lineRule="auto"/>
        <w:jc w:val="both"/>
        <w:rPr>
          <w:rFonts w:ascii="ITC Avant Garde" w:hAnsi="ITC Avant Garde"/>
        </w:rPr>
      </w:pPr>
      <w:r w:rsidRPr="002A2450">
        <w:rPr>
          <w:rFonts w:ascii="ITC Avant Garde" w:hAnsi="ITC Avant Garde"/>
        </w:rPr>
        <w:t xml:space="preserve">La teoría en mención adopta precisamente parte del reconocimiento de los derechos </w:t>
      </w:r>
      <w:r w:rsidR="00AA1CF6" w:rsidRPr="002A2450">
        <w:rPr>
          <w:rFonts w:ascii="ITC Avant Garde" w:hAnsi="ITC Avant Garde"/>
        </w:rPr>
        <w:t>consagrados en l</w:t>
      </w:r>
      <w:r w:rsidR="00514A2F" w:rsidRPr="002A2450">
        <w:rPr>
          <w:rFonts w:ascii="ITC Avant Garde" w:hAnsi="ITC Avant Garde"/>
        </w:rPr>
        <w:t>a</w:t>
      </w:r>
      <w:r w:rsidR="00AA1CF6" w:rsidRPr="002A2450">
        <w:rPr>
          <w:rFonts w:ascii="ITC Avant Garde" w:hAnsi="ITC Avant Garde"/>
        </w:rPr>
        <w:t xml:space="preserve"> </w:t>
      </w:r>
      <w:r w:rsidR="00AA1CF6" w:rsidRPr="002A2450">
        <w:rPr>
          <w:rFonts w:ascii="ITC Avant Garde" w:hAnsi="ITC Avant Garde"/>
          <w:b/>
        </w:rPr>
        <w:t>“CPEUM”</w:t>
      </w:r>
      <w:r w:rsidR="00AA1CF6" w:rsidRPr="002A2450">
        <w:rPr>
          <w:rFonts w:ascii="ITC Avant Garde" w:hAnsi="ITC Avant Garde"/>
        </w:rPr>
        <w:t xml:space="preserve"> esto es, ser juzgado conforme a las leyes expedidas con anterioridad al hecho por autoridad competente, lo cual es plenamente compatible con el criterio asumido por la Suprema Corte de Justicia de la Nación.</w:t>
      </w:r>
    </w:p>
    <w:p w14:paraId="0548BD9C" w14:textId="77777777" w:rsidR="00B35F13" w:rsidRDefault="00AA1CF6" w:rsidP="00B35F13">
      <w:pPr>
        <w:spacing w:before="240" w:line="360" w:lineRule="auto"/>
        <w:jc w:val="both"/>
        <w:rPr>
          <w:rFonts w:ascii="ITC Avant Garde" w:hAnsi="ITC Avant Garde"/>
        </w:rPr>
      </w:pPr>
      <w:r w:rsidRPr="002A2450">
        <w:rPr>
          <w:rFonts w:ascii="ITC Avant Garde" w:hAnsi="ITC Avant Garde"/>
        </w:rPr>
        <w:t xml:space="preserve">Lo anterior, es dable en virtud de la imperiosa necesidad de innovar o regular la actividad social en normas de carácter general dónde bajo la perspectiva de la Filosofía del Derecho, el hecho va siempre adelante del derecho. </w:t>
      </w:r>
    </w:p>
    <w:p w14:paraId="30B6B65D" w14:textId="77777777" w:rsidR="00B35F13" w:rsidRDefault="00AA1CF6" w:rsidP="00B35F13">
      <w:pPr>
        <w:spacing w:before="240" w:line="360" w:lineRule="auto"/>
        <w:jc w:val="both"/>
        <w:rPr>
          <w:rFonts w:ascii="ITC Avant Garde" w:hAnsi="ITC Avant Garde"/>
        </w:rPr>
      </w:pPr>
      <w:r w:rsidRPr="002A2450">
        <w:rPr>
          <w:rFonts w:ascii="ITC Avant Garde" w:hAnsi="ITC Avant Garde"/>
        </w:rPr>
        <w:t xml:space="preserve">Así las cosas, en el presente asunto, ocurren ciertos actos que al momento en que se autorizó la compra venta de acciones del capital social de Empresas Cablevisión, S.A. de C.V., no había acontecido como lo es: i) la alianza estratégica con </w:t>
      </w:r>
      <w:r w:rsidRPr="002A2450">
        <w:rPr>
          <w:rFonts w:ascii="ITC Avant Garde" w:hAnsi="ITC Avant Garde"/>
          <w:b/>
        </w:rPr>
        <w:t>“TELMEX”</w:t>
      </w:r>
      <w:r w:rsidRPr="002A2450">
        <w:rPr>
          <w:rFonts w:ascii="ITC Avant Garde" w:hAnsi="ITC Avant Garde"/>
        </w:rPr>
        <w:t xml:space="preserve">, ii) la celebración de un conjunto de contratos coaligados, iii) la reforma constitucional en materia de telecomunicaciones, y iv) la presunta </w:t>
      </w:r>
      <w:r w:rsidR="008F718E" w:rsidRPr="009E34A4">
        <w:rPr>
          <w:rFonts w:ascii="ITC Avant Garde" w:hAnsi="ITC Avant Garde"/>
        </w:rPr>
        <w:t xml:space="preserve">explotación indirecta </w:t>
      </w:r>
      <w:r w:rsidRPr="002A2450">
        <w:rPr>
          <w:rFonts w:ascii="ITC Avant Garde" w:hAnsi="ITC Avant Garde"/>
        </w:rPr>
        <w:t xml:space="preserve">por parte de </w:t>
      </w:r>
      <w:r w:rsidRPr="002A2450">
        <w:rPr>
          <w:rFonts w:ascii="ITC Avant Garde" w:hAnsi="ITC Avant Garde"/>
          <w:b/>
        </w:rPr>
        <w:t>“TELMEX”</w:t>
      </w:r>
      <w:r w:rsidRPr="002A2450">
        <w:rPr>
          <w:rFonts w:ascii="ITC Avant Garde" w:hAnsi="ITC Avant Garde"/>
        </w:rPr>
        <w:t xml:space="preserve"> respecto de los servicio</w:t>
      </w:r>
      <w:r w:rsidR="00514A2F" w:rsidRPr="002A2450">
        <w:rPr>
          <w:rFonts w:ascii="ITC Avant Garde" w:hAnsi="ITC Avant Garde"/>
        </w:rPr>
        <w:t>s</w:t>
      </w:r>
      <w:r w:rsidRPr="002A2450">
        <w:rPr>
          <w:rFonts w:ascii="ITC Avant Garde" w:hAnsi="ITC Avant Garde"/>
        </w:rPr>
        <w:t xml:space="preserve"> </w:t>
      </w:r>
      <w:r w:rsidRPr="002A2450">
        <w:rPr>
          <w:rFonts w:ascii="ITC Avant Garde" w:hAnsi="ITC Avant Garde"/>
          <w:b/>
        </w:rPr>
        <w:t>“DISH”</w:t>
      </w:r>
      <w:r w:rsidRPr="002A2450">
        <w:rPr>
          <w:rFonts w:ascii="ITC Avant Garde" w:hAnsi="ITC Avant Garde"/>
        </w:rPr>
        <w:t>.</w:t>
      </w:r>
    </w:p>
    <w:p w14:paraId="59583004" w14:textId="77777777" w:rsidR="00B35F13" w:rsidRDefault="00AA1CF6" w:rsidP="00B35F13">
      <w:pPr>
        <w:spacing w:before="240" w:line="360" w:lineRule="auto"/>
        <w:jc w:val="both"/>
        <w:rPr>
          <w:rFonts w:ascii="ITC Avant Garde" w:hAnsi="ITC Avant Garde"/>
        </w:rPr>
      </w:pPr>
      <w:r w:rsidRPr="002A2450">
        <w:rPr>
          <w:rFonts w:ascii="ITC Avant Garde" w:hAnsi="ITC Avant Garde"/>
        </w:rPr>
        <w:t xml:space="preserve">En ese sentido, se estima que el derecho que presume </w:t>
      </w:r>
      <w:r w:rsidRPr="002A2450">
        <w:rPr>
          <w:rFonts w:ascii="ITC Avant Garde" w:hAnsi="ITC Avant Garde"/>
          <w:b/>
        </w:rPr>
        <w:t>“TELMEX”</w:t>
      </w:r>
      <w:r w:rsidRPr="002A2450">
        <w:rPr>
          <w:rFonts w:ascii="ITC Avant Garde" w:hAnsi="ITC Avant Garde"/>
        </w:rPr>
        <w:t xml:space="preserve"> a la luz del presente análisis, no prejuzga sobre la autorización ni respecto de las autoridades que en su momento </w:t>
      </w:r>
      <w:r w:rsidR="00514A2F" w:rsidRPr="002A2450">
        <w:rPr>
          <w:rFonts w:ascii="ITC Avant Garde" w:hAnsi="ITC Avant Garde"/>
        </w:rPr>
        <w:t>se</w:t>
      </w:r>
      <w:r w:rsidRPr="002A2450">
        <w:rPr>
          <w:rFonts w:ascii="ITC Avant Garde" w:hAnsi="ITC Avant Garde"/>
        </w:rPr>
        <w:t xml:space="preserve"> realizaron, pero se estima que ello no puede trascender </w:t>
      </w:r>
      <w:r w:rsidRPr="002A2450">
        <w:rPr>
          <w:rFonts w:ascii="ITC Avant Garde" w:hAnsi="ITC Avant Garde"/>
        </w:rPr>
        <w:lastRenderedPageBreak/>
        <w:t>para los efectos del presente procedimiento dado que dicha autorización y la presunta interpretación</w:t>
      </w:r>
      <w:r w:rsidR="008F718E" w:rsidRPr="002A2450">
        <w:rPr>
          <w:rFonts w:ascii="ITC Avant Garde" w:hAnsi="ITC Avant Garde"/>
          <w:color w:val="C00000"/>
        </w:rPr>
        <w:t xml:space="preserve"> </w:t>
      </w:r>
      <w:r w:rsidRPr="002A2450">
        <w:rPr>
          <w:rFonts w:ascii="ITC Avant Garde" w:hAnsi="ITC Avant Garde"/>
        </w:rPr>
        <w:t>no tuvo como eje principal la conducta que ahora se analiza en el presente procedimiento, de lo que se sigue que el derecho adquirido que dicha concesionaria menciona</w:t>
      </w:r>
      <w:r w:rsidR="00514A2F" w:rsidRPr="002A2450">
        <w:rPr>
          <w:rFonts w:ascii="ITC Avant Garde" w:hAnsi="ITC Avant Garde"/>
        </w:rPr>
        <w:t>,</w:t>
      </w:r>
      <w:r w:rsidRPr="002A2450">
        <w:rPr>
          <w:rFonts w:ascii="ITC Avant Garde" w:hAnsi="ITC Avant Garde"/>
        </w:rPr>
        <w:t xml:space="preserve"> no se colma para desvirtuar la conducta materia del presente procedimiento, de ahí lo insuficiente de su argumento.</w:t>
      </w:r>
    </w:p>
    <w:p w14:paraId="7F5E8A0E" w14:textId="77777777" w:rsidR="00B35F13" w:rsidRDefault="00705AA7" w:rsidP="00B35F13">
      <w:pPr>
        <w:spacing w:before="240" w:line="360" w:lineRule="auto"/>
        <w:jc w:val="both"/>
        <w:rPr>
          <w:rFonts w:ascii="ITC Avant Garde" w:hAnsi="ITC Avant Garde"/>
        </w:rPr>
      </w:pPr>
      <w:r w:rsidRPr="002A2450">
        <w:rPr>
          <w:rFonts w:ascii="ITC Avant Garde" w:hAnsi="ITC Avant Garde"/>
        </w:rPr>
        <w:t>Al respecto, sirve de aplicación la siguiente tesis:</w:t>
      </w:r>
    </w:p>
    <w:p w14:paraId="6D193DA6" w14:textId="77777777" w:rsidR="00B35F13" w:rsidRDefault="00705AA7" w:rsidP="00B35F13">
      <w:pPr>
        <w:spacing w:before="240" w:line="360" w:lineRule="auto"/>
        <w:ind w:left="567" w:right="567"/>
        <w:jc w:val="both"/>
        <w:rPr>
          <w:rFonts w:ascii="ITC Avant Garde" w:hAnsi="ITC Avant Garde"/>
        </w:rPr>
      </w:pPr>
      <w:r w:rsidRPr="002A2450">
        <w:rPr>
          <w:rFonts w:ascii="ITC Avant Garde" w:hAnsi="ITC Avant Garde"/>
          <w:b/>
        </w:rPr>
        <w:t xml:space="preserve">CRITERIO O DIRECTIVA DE INTERPRETACIÓN JURÍDICA FUNCIONAL. </w:t>
      </w:r>
      <w:r w:rsidRPr="002A2450">
        <w:rPr>
          <w:rFonts w:ascii="ITC Avant Garde" w:hAnsi="ITC Avant Garde"/>
        </w:rPr>
        <w:t xml:space="preserve">En seguimiento cabal del </w:t>
      </w:r>
      <w:proofErr w:type="spellStart"/>
      <w:r w:rsidRPr="002A2450">
        <w:rPr>
          <w:rFonts w:ascii="ITC Avant Garde" w:hAnsi="ITC Avant Garde"/>
        </w:rPr>
        <w:t>iusfilósofo</w:t>
      </w:r>
      <w:proofErr w:type="spellEnd"/>
      <w:r w:rsidRPr="002A2450">
        <w:rPr>
          <w:rFonts w:ascii="ITC Avant Garde" w:hAnsi="ITC Avant Garde"/>
        </w:rPr>
        <w:t xml:space="preserve"> polaco </w:t>
      </w:r>
      <w:proofErr w:type="spellStart"/>
      <w:r w:rsidRPr="002A2450">
        <w:rPr>
          <w:rFonts w:ascii="ITC Avant Garde" w:hAnsi="ITC Avant Garde"/>
        </w:rPr>
        <w:t>Jerzy</w:t>
      </w:r>
      <w:proofErr w:type="spellEnd"/>
      <w:r w:rsidRPr="002A2450">
        <w:rPr>
          <w:rFonts w:ascii="ITC Avant Garde" w:hAnsi="ITC Avant Garde"/>
        </w:rPr>
        <w:t xml:space="preserve"> </w:t>
      </w:r>
      <w:proofErr w:type="spellStart"/>
      <w:r w:rsidRPr="002A2450">
        <w:rPr>
          <w:rFonts w:ascii="ITC Avant Garde" w:hAnsi="ITC Avant Garde"/>
        </w:rPr>
        <w:t>Wróblewski</w:t>
      </w:r>
      <w:proofErr w:type="spellEnd"/>
      <w:r w:rsidRPr="002A2450">
        <w:rPr>
          <w:rFonts w:ascii="ITC Avant Garde" w:hAnsi="ITC Avant Garde"/>
        </w:rPr>
        <w:t xml:space="preserve">, este criterio interpretativo se sustenta en una ideología dinámica, que entiende que el sentido de la norma jurídica se modifica en relación con los cambios que se producen en el contexto complejo en el que se le interpreta, logrando mayor elasticidad en los sentidos para las normas que requieren interpretación; así, esa directiva se refiere al contexto de las relaciones y valoraciones sociales, en el que la norma fue dictada, es interpretada o será aplicada, que no pertenecen al contexto lingüístico o al sistémico. El contexto funcional es complicado y dinámico, se constituye, en términos aproximativos -porque son distintos factores los que confluyen-, por la situación social imperante en el momento en que se emite la norma jurídica, y/o en el que ésta se aplica, lo cual remite al conjunto de las relaciones sociales relevantes, las valoraciones sociales, las normas que forman el contexto ideológico, las funciones de esa norma y de las que se relacionan con ella, además de las finalidades de ésta, según las concepciones del legislador y/o del intérprete. La concepción del contexto funcional implica una idea general sobre el derecho y la sociedad y una teoría global de la dependencia social del derecho; el derecho se crea, aplica y funciona en el contexto de diferentes hechos </w:t>
      </w:r>
      <w:proofErr w:type="spellStart"/>
      <w:r w:rsidRPr="002A2450">
        <w:rPr>
          <w:rFonts w:ascii="ITC Avant Garde" w:hAnsi="ITC Avant Garde"/>
        </w:rPr>
        <w:t>sociopsíquicos</w:t>
      </w:r>
      <w:proofErr w:type="spellEnd"/>
      <w:r w:rsidRPr="002A2450">
        <w:rPr>
          <w:rFonts w:ascii="ITC Avant Garde" w:hAnsi="ITC Avant Garde"/>
        </w:rPr>
        <w:t xml:space="preserve">, en donde se incluyen las normas y valoraciones extra-legales, relaciones sociales, otros factores condicionantes del derecho, como la economía, política, cultura; </w:t>
      </w:r>
      <w:r w:rsidRPr="002A2450">
        <w:rPr>
          <w:rFonts w:ascii="ITC Avant Garde" w:hAnsi="ITC Avant Garde"/>
        </w:rPr>
        <w:lastRenderedPageBreak/>
        <w:t xml:space="preserve">diversas opiniones concernientes a los hechos relevantes para el derecho; también, la "voluntad" del legislador histórico, como hecho del pasado o como construcción teórica de la ciencia jurídica y/o de la práctica jurídica; así como los problemas acerca de los propósitos e intereses que influyan en el derecho. Sin embargo, ese contexto sólo es relevante, en tanto influye en la voluntad del legislador histórico o confluye en los factores que realmente determinan el significado de la regla en el momento en que se hace uso, aplicación o análisis de ella. Sobre este criterio funcional de interpretación, y en atención a su complejidad, Francisco Javier </w:t>
      </w:r>
      <w:proofErr w:type="spellStart"/>
      <w:r w:rsidRPr="002A2450">
        <w:rPr>
          <w:rFonts w:ascii="ITC Avant Garde" w:hAnsi="ITC Avant Garde"/>
        </w:rPr>
        <w:t>Ezquiaga</w:t>
      </w:r>
      <w:proofErr w:type="spellEnd"/>
      <w:r w:rsidRPr="002A2450">
        <w:rPr>
          <w:rFonts w:ascii="ITC Avant Garde" w:hAnsi="ITC Avant Garde"/>
        </w:rPr>
        <w:t xml:space="preserve"> </w:t>
      </w:r>
      <w:proofErr w:type="spellStart"/>
      <w:r w:rsidRPr="002A2450">
        <w:rPr>
          <w:rFonts w:ascii="ITC Avant Garde" w:hAnsi="ITC Avant Garde"/>
        </w:rPr>
        <w:t>Ganuzas</w:t>
      </w:r>
      <w:proofErr w:type="spellEnd"/>
      <w:r w:rsidRPr="002A2450">
        <w:rPr>
          <w:rFonts w:ascii="ITC Avant Garde" w:hAnsi="ITC Avant Garde"/>
        </w:rPr>
        <w:t xml:space="preserve"> ejemplifica que es el que permite atribuir el significado a una disposición, conforme a la naturaleza, finalidad o efectividad de una regulación, la intención del legislador, las consecuencias de la interpretación, la admisibilidad de ésta; el que tiene en cuenta la naturaleza y objetivo de la institución, los fines perseguidos por la ley o los valores que ésta protege.</w:t>
      </w:r>
    </w:p>
    <w:p w14:paraId="638F8252" w14:textId="77777777" w:rsidR="00B35F13" w:rsidRDefault="00705AA7"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Décima Época, Registro: 2012416, Instancia: Tribunales Colegiados de Circuito, Tipo de Tesis: Aislada, Fuente: Gaceta del Semanario Judicial de la Federación, Libro 33, Agosto de 2016, Tomo IV, Materia(s): Constitucional, Tesis: I.4o.C.5 K (10a.), Página: 2532 </w:t>
      </w:r>
    </w:p>
    <w:p w14:paraId="4EC31142" w14:textId="77777777" w:rsidR="00B35F13" w:rsidRDefault="002B5127" w:rsidP="00B35F13">
      <w:pPr>
        <w:spacing w:before="240" w:line="360" w:lineRule="auto"/>
        <w:jc w:val="both"/>
        <w:rPr>
          <w:rFonts w:ascii="ITC Avant Garde" w:hAnsi="ITC Avant Garde"/>
        </w:rPr>
      </w:pPr>
      <w:r w:rsidRPr="002A2450">
        <w:rPr>
          <w:rFonts w:ascii="ITC Avant Garde" w:hAnsi="ITC Avant Garde"/>
        </w:rPr>
        <w:t xml:space="preserve">Por otro lado, por lo que hace a las manifestaciones </w:t>
      </w:r>
      <w:r w:rsidR="00514A2F" w:rsidRPr="002A2450">
        <w:rPr>
          <w:rFonts w:ascii="ITC Avant Garde" w:hAnsi="ITC Avant Garde"/>
        </w:rPr>
        <w:t xml:space="preserve">en las </w:t>
      </w:r>
      <w:r w:rsidRPr="002A2450">
        <w:rPr>
          <w:rFonts w:ascii="ITC Avant Garde" w:hAnsi="ITC Avant Garde"/>
        </w:rPr>
        <w:t xml:space="preserve">que </w:t>
      </w:r>
      <w:r w:rsidRPr="002A2450">
        <w:rPr>
          <w:rFonts w:ascii="ITC Avant Garde" w:hAnsi="ITC Avant Garde"/>
          <w:b/>
        </w:rPr>
        <w:t>“TELMEX”</w:t>
      </w:r>
      <w:r w:rsidRPr="002A2450">
        <w:rPr>
          <w:rFonts w:ascii="ITC Avant Garde" w:hAnsi="ITC Avant Garde"/>
        </w:rPr>
        <w:t xml:space="preserve"> señala que en su momento, al iniciar el procedimiento administrativo de imposición de Sanción, la Unidad de Cumplimiento </w:t>
      </w:r>
      <w:r w:rsidR="00514A2F" w:rsidRPr="002A2450">
        <w:rPr>
          <w:rFonts w:ascii="ITC Avant Garde" w:hAnsi="ITC Avant Garde"/>
        </w:rPr>
        <w:t>no tenía entre sus facultades de ninguna manera revocar</w:t>
      </w:r>
      <w:r w:rsidRPr="002A2450">
        <w:rPr>
          <w:rFonts w:ascii="ITC Avant Garde" w:hAnsi="ITC Avant Garde"/>
        </w:rPr>
        <w:t xml:space="preserve"> la interpretación a que se refiere la autorización de compra y venta de acciones respecto de Empresas Cablevisión, S.A. de C.V. dado que como bien lo señala dicha concesionaria no era su competencia, </w:t>
      </w:r>
      <w:r w:rsidR="00514A2F" w:rsidRPr="002A2450">
        <w:rPr>
          <w:rFonts w:ascii="ITC Avant Garde" w:hAnsi="ITC Avant Garde"/>
        </w:rPr>
        <w:t xml:space="preserve">debe señalarse que lo que </w:t>
      </w:r>
      <w:r w:rsidRPr="002A2450">
        <w:rPr>
          <w:rFonts w:ascii="ITC Avant Garde" w:hAnsi="ITC Avant Garde"/>
        </w:rPr>
        <w:t xml:space="preserve">es competencia </w:t>
      </w:r>
      <w:r w:rsidR="00BF5591" w:rsidRPr="002A2450">
        <w:rPr>
          <w:rFonts w:ascii="ITC Avant Garde" w:hAnsi="ITC Avant Garde"/>
        </w:rPr>
        <w:t xml:space="preserve">de la Unidad de Cumplimiento es la relativa a </w:t>
      </w:r>
      <w:r w:rsidRPr="002A2450">
        <w:rPr>
          <w:rFonts w:ascii="ITC Avant Garde" w:hAnsi="ITC Avant Garde"/>
        </w:rPr>
        <w:t>sustanciar aquellos procedimientos respecto de los cuales exista la presunta infracción a una condición de un título de concesión</w:t>
      </w:r>
      <w:r w:rsidR="00BF5591" w:rsidRPr="002A2450">
        <w:rPr>
          <w:rFonts w:ascii="ITC Avant Garde" w:hAnsi="ITC Avant Garde"/>
        </w:rPr>
        <w:t xml:space="preserve"> o bien de la normatividad en la materia, de donde se concluye que </w:t>
      </w:r>
      <w:r w:rsidRPr="002A2450">
        <w:rPr>
          <w:rFonts w:ascii="ITC Avant Garde" w:hAnsi="ITC Avant Garde"/>
        </w:rPr>
        <w:t>sus manifestaciones son meras apreciaciones subjetivas sin fundamento alguno.</w:t>
      </w:r>
    </w:p>
    <w:p w14:paraId="5D405971" w14:textId="77777777" w:rsidR="00B35F13" w:rsidRDefault="002B5127" w:rsidP="00B35F13">
      <w:pPr>
        <w:spacing w:before="240" w:line="360" w:lineRule="auto"/>
        <w:jc w:val="both"/>
        <w:rPr>
          <w:rFonts w:ascii="ITC Avant Garde" w:hAnsi="ITC Avant Garde"/>
        </w:rPr>
      </w:pPr>
      <w:r w:rsidRPr="002A2450">
        <w:rPr>
          <w:rFonts w:ascii="ITC Avant Garde" w:hAnsi="ITC Avant Garde"/>
        </w:rPr>
        <w:lastRenderedPageBreak/>
        <w:t xml:space="preserve">Ahora bien, en cuanto al hecho de que esta autoridad tenía la obligación de observar la interpretación realizada por el entonces Director General de Sistemas de Difusión de la Subsecretaría de Comunicaciones y Desarrollo Tecnológico, por considerar que se trata de un órgano de mayor jerarquía, debe señalarse que la Administración Pública Federal se encuentra estructurada en la Ley Orgánica de la Administración Pública Federal, en tanto que las atribuciones del </w:t>
      </w:r>
      <w:r w:rsidRPr="002A2450">
        <w:rPr>
          <w:rFonts w:ascii="ITC Avant Garde" w:hAnsi="ITC Avant Garde"/>
          <w:b/>
        </w:rPr>
        <w:t>“IFT”</w:t>
      </w:r>
      <w:r w:rsidRPr="002A2450">
        <w:rPr>
          <w:rFonts w:ascii="ITC Avant Garde" w:hAnsi="ITC Avant Garde"/>
        </w:rPr>
        <w:t xml:space="preserve"> y de sus Unidad encuentran fundamento en el artículo 28 de la </w:t>
      </w:r>
      <w:r w:rsidRPr="002A2450">
        <w:rPr>
          <w:rFonts w:ascii="ITC Avant Garde" w:hAnsi="ITC Avant Garde"/>
          <w:b/>
        </w:rPr>
        <w:t>“CPEUM”</w:t>
      </w:r>
      <w:r w:rsidRPr="002A2450">
        <w:rPr>
          <w:rFonts w:ascii="ITC Avant Garde" w:hAnsi="ITC Avant Garde"/>
        </w:rPr>
        <w:t xml:space="preserve">, 17 último y penúltimo párrafos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y el </w:t>
      </w:r>
      <w:r w:rsidRPr="002A2450">
        <w:rPr>
          <w:rFonts w:ascii="ITC Avant Garde" w:hAnsi="ITC Avant Garde"/>
          <w:b/>
        </w:rPr>
        <w:t xml:space="preserve">“ESTATUTO </w:t>
      </w:r>
      <w:r w:rsidRPr="00E11C4B">
        <w:rPr>
          <w:rFonts w:ascii="ITC Avant Garde" w:hAnsi="ITC Avant Garde"/>
          <w:b/>
        </w:rPr>
        <w:t>ORG</w:t>
      </w:r>
      <w:r w:rsidR="00E11C4B" w:rsidRPr="00E11C4B">
        <w:rPr>
          <w:rFonts w:ascii="ITC Avant Garde" w:hAnsi="ITC Avant Garde"/>
          <w:b/>
        </w:rPr>
        <w:t>Á</w:t>
      </w:r>
      <w:r w:rsidRPr="00E11C4B">
        <w:rPr>
          <w:rFonts w:ascii="ITC Avant Garde" w:hAnsi="ITC Avant Garde"/>
          <w:b/>
        </w:rPr>
        <w:t>NICO</w:t>
      </w:r>
      <w:r w:rsidRPr="002A2450">
        <w:rPr>
          <w:rFonts w:ascii="ITC Avant Garde" w:hAnsi="ITC Avant Garde"/>
          <w:b/>
        </w:rPr>
        <w:t>”</w:t>
      </w:r>
      <w:r w:rsidRPr="002A2450">
        <w:rPr>
          <w:rFonts w:ascii="ITC Avant Garde" w:hAnsi="ITC Avant Garde"/>
        </w:rPr>
        <w:t xml:space="preserve">, dentro de los cuales no se advierte que la Unidad de Cumplimiento </w:t>
      </w:r>
      <w:r w:rsidR="00BF5591" w:rsidRPr="002A2450">
        <w:rPr>
          <w:rFonts w:ascii="ITC Avant Garde" w:hAnsi="ITC Avant Garde"/>
        </w:rPr>
        <w:t xml:space="preserve">dependa jerárquicamente de </w:t>
      </w:r>
      <w:r w:rsidRPr="002A2450">
        <w:rPr>
          <w:rFonts w:ascii="ITC Avant Garde" w:hAnsi="ITC Avant Garde"/>
        </w:rPr>
        <w:t>la citada Dirección General, de lo que se sigue que no existe fundamento algun</w:t>
      </w:r>
      <w:r w:rsidR="00BF5591" w:rsidRPr="002A2450">
        <w:rPr>
          <w:rFonts w:ascii="ITC Avant Garde" w:hAnsi="ITC Avant Garde"/>
        </w:rPr>
        <w:t>o</w:t>
      </w:r>
      <w:r w:rsidRPr="002A2450">
        <w:rPr>
          <w:rFonts w:ascii="ITC Avant Garde" w:hAnsi="ITC Avant Garde"/>
        </w:rPr>
        <w:t xml:space="preserve"> para advertir que sea un superior jerárquico de esa Unidad ni mucho menos </w:t>
      </w:r>
      <w:r w:rsidR="00C524D1" w:rsidRPr="002A2450">
        <w:rPr>
          <w:rFonts w:ascii="ITC Avant Garde" w:hAnsi="ITC Avant Garde"/>
        </w:rPr>
        <w:t xml:space="preserve">que sus opiniones sean </w:t>
      </w:r>
      <w:r w:rsidR="00BF5591" w:rsidRPr="002A2450">
        <w:rPr>
          <w:rFonts w:ascii="ITC Avant Garde" w:hAnsi="ITC Avant Garde"/>
        </w:rPr>
        <w:t xml:space="preserve">vinculantes </w:t>
      </w:r>
      <w:r w:rsidR="00C524D1" w:rsidRPr="002A2450">
        <w:rPr>
          <w:rFonts w:ascii="ITC Avant Garde" w:hAnsi="ITC Avant Garde"/>
        </w:rPr>
        <w:t xml:space="preserve">para la Unidad de Cumplimiento ni mucho menos para el </w:t>
      </w:r>
      <w:r w:rsidR="00C524D1" w:rsidRPr="002A2450">
        <w:rPr>
          <w:rFonts w:ascii="ITC Avant Garde" w:hAnsi="ITC Avant Garde"/>
          <w:b/>
        </w:rPr>
        <w:t>“IFT”</w:t>
      </w:r>
      <w:r w:rsidR="00C524D1" w:rsidRPr="002A2450">
        <w:rPr>
          <w:rFonts w:ascii="ITC Avant Garde" w:hAnsi="ITC Avant Garde"/>
        </w:rPr>
        <w:t xml:space="preserve">, por lo que se estima que sus </w:t>
      </w:r>
      <w:r w:rsidR="00F329A7" w:rsidRPr="002A2450">
        <w:rPr>
          <w:rFonts w:ascii="ITC Avant Garde" w:hAnsi="ITC Avant Garde"/>
        </w:rPr>
        <w:t>manifestaciones</w:t>
      </w:r>
      <w:r w:rsidR="00C524D1" w:rsidRPr="002A2450">
        <w:rPr>
          <w:rFonts w:ascii="ITC Avant Garde" w:hAnsi="ITC Avant Garde"/>
        </w:rPr>
        <w:t xml:space="preserve"> resultan ser </w:t>
      </w:r>
      <w:r w:rsidR="00F329A7" w:rsidRPr="002A2450">
        <w:rPr>
          <w:rFonts w:ascii="ITC Avant Garde" w:hAnsi="ITC Avant Garde"/>
          <w:b/>
          <w:u w:val="single"/>
        </w:rPr>
        <w:t>infundadas</w:t>
      </w:r>
      <w:r w:rsidR="00C524D1" w:rsidRPr="002A2450">
        <w:rPr>
          <w:rFonts w:ascii="ITC Avant Garde" w:hAnsi="ITC Avant Garde"/>
        </w:rPr>
        <w:t>.</w:t>
      </w:r>
    </w:p>
    <w:p w14:paraId="004A8CBF" w14:textId="76E80A20" w:rsidR="00B35F13" w:rsidRPr="00CE1EA8" w:rsidRDefault="00CE1EA8" w:rsidP="00CE1EA8">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Pr>
          <w:rFonts w:ascii="ITC Avant Garde" w:eastAsiaTheme="minorHAnsi" w:hAnsi="ITC Avant Garde" w:cstheme="minorBidi"/>
          <w:b/>
          <w:sz w:val="22"/>
          <w:szCs w:val="22"/>
          <w:lang w:eastAsia="en-US"/>
        </w:rPr>
        <w:t xml:space="preserve">C. </w:t>
      </w:r>
      <w:r w:rsidR="00E66997" w:rsidRPr="00CE1EA8">
        <w:rPr>
          <w:rFonts w:ascii="ITC Avant Garde" w:eastAsiaTheme="minorHAnsi" w:hAnsi="ITC Avant Garde" w:cstheme="minorBidi"/>
          <w:b/>
          <w:sz w:val="22"/>
          <w:szCs w:val="22"/>
          <w:lang w:eastAsia="en-US"/>
        </w:rPr>
        <w:t>DE LA EXPLOTACIÓN INDIRECTA</w:t>
      </w:r>
    </w:p>
    <w:p w14:paraId="534665B3" w14:textId="77777777" w:rsidR="00B35F13" w:rsidRDefault="00F329A7"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manifiesta en su escrito presentado el </w:t>
      </w:r>
      <w:r w:rsidR="00FD298A" w:rsidRPr="002A2450">
        <w:rPr>
          <w:rFonts w:ascii="ITC Avant Garde" w:hAnsi="ITC Avant Garde"/>
        </w:rPr>
        <w:t xml:space="preserve">veintiocho </w:t>
      </w:r>
      <w:r w:rsidRPr="002A2450">
        <w:rPr>
          <w:rFonts w:ascii="ITC Avant Garde" w:hAnsi="ITC Avant Garde"/>
        </w:rPr>
        <w:t xml:space="preserve">de septiembre de dos mil quince respecto de la </w:t>
      </w:r>
      <w:r w:rsidR="008F718E" w:rsidRPr="009E34A4">
        <w:rPr>
          <w:rFonts w:ascii="ITC Avant Garde" w:hAnsi="ITC Avant Garde"/>
        </w:rPr>
        <w:t xml:space="preserve">explotación indirecta </w:t>
      </w:r>
      <w:r w:rsidRPr="002A2450">
        <w:rPr>
          <w:rFonts w:ascii="ITC Avant Garde" w:hAnsi="ITC Avant Garde"/>
        </w:rPr>
        <w:t>lo siguiente:</w:t>
      </w:r>
    </w:p>
    <w:p w14:paraId="12D0557F" w14:textId="77777777" w:rsidR="00B35F13" w:rsidRDefault="001060EF" w:rsidP="00B35F13">
      <w:pPr>
        <w:spacing w:before="240" w:line="360" w:lineRule="auto"/>
        <w:jc w:val="both"/>
        <w:rPr>
          <w:rFonts w:ascii="ITC Avant Garde" w:hAnsi="ITC Avant Garde"/>
        </w:rPr>
      </w:pPr>
      <w:r w:rsidRPr="002A2450">
        <w:rPr>
          <w:rFonts w:ascii="ITC Avant Garde" w:hAnsi="ITC Avant Garde"/>
        </w:rPr>
        <w:t>Fojas cincuenta y uno a cincuenta y cinco:</w:t>
      </w:r>
    </w:p>
    <w:p w14:paraId="29BE5059" w14:textId="77777777" w:rsidR="00B35F13" w:rsidRDefault="00F301AD" w:rsidP="00B35F13">
      <w:pPr>
        <w:spacing w:before="240" w:line="360" w:lineRule="auto"/>
        <w:ind w:left="567" w:right="567"/>
        <w:jc w:val="both"/>
        <w:rPr>
          <w:rFonts w:ascii="ITC Avant Garde" w:hAnsi="ITC Avant Garde"/>
          <w:i/>
        </w:rPr>
      </w:pPr>
      <w:r w:rsidRPr="002A2450">
        <w:rPr>
          <w:rFonts w:ascii="ITC Avant Garde" w:hAnsi="ITC Avant Garde"/>
          <w:i/>
        </w:rPr>
        <w:t>Ahora bien, a falta de una definición expresa, la legislación mexicana utiliza de manera frecuente el término explotar asociado al derecho que</w:t>
      </w:r>
      <w:r w:rsidR="001060EF" w:rsidRPr="002A2450">
        <w:rPr>
          <w:rFonts w:ascii="ITC Avant Garde" w:hAnsi="ITC Avant Garde"/>
          <w:i/>
        </w:rPr>
        <w:t xml:space="preserve"> </w:t>
      </w:r>
      <w:r w:rsidRPr="002A2450">
        <w:rPr>
          <w:rFonts w:ascii="ITC Avant Garde" w:hAnsi="ITC Avant Garde"/>
          <w:i/>
        </w:rPr>
        <w:t xml:space="preserve">le corresponde a un concesionario de realizar los trabajos e inversiones correspondientes a efecto de prestar </w:t>
      </w:r>
      <w:r w:rsidR="00BF5591" w:rsidRPr="002A2450">
        <w:rPr>
          <w:rFonts w:ascii="ITC Avant Garde" w:hAnsi="ITC Avant Garde"/>
          <w:i/>
        </w:rPr>
        <w:t>el</w:t>
      </w:r>
      <w:r w:rsidRPr="002A2450">
        <w:rPr>
          <w:rFonts w:ascii="ITC Avant Garde" w:hAnsi="ITC Avant Garde"/>
          <w:i/>
        </w:rPr>
        <w:t xml:space="preserve"> servicio público y de obtener las contraprestaciones establecidas en su título de concesión.</w:t>
      </w:r>
    </w:p>
    <w:p w14:paraId="4C39C06B" w14:textId="77777777" w:rsidR="00B35F13" w:rsidRDefault="00F301AD" w:rsidP="00B35F13">
      <w:pPr>
        <w:spacing w:before="240" w:line="360" w:lineRule="auto"/>
        <w:ind w:left="567" w:right="567"/>
        <w:jc w:val="both"/>
        <w:rPr>
          <w:rFonts w:ascii="ITC Avant Garde" w:hAnsi="ITC Avant Garde"/>
          <w:i/>
        </w:rPr>
      </w:pPr>
      <w:r w:rsidRPr="002A2450">
        <w:rPr>
          <w:rFonts w:ascii="ITC Avant Garde" w:hAnsi="ITC Avant Garde"/>
          <w:i/>
        </w:rPr>
        <w:t>Esto es, extraer de la prestación de los servicios públicos concesionados, a partir de las inversiones realizadas, la renta que dicha prestación se deriva a favor del concesionario.</w:t>
      </w:r>
    </w:p>
    <w:p w14:paraId="79AEB8C5" w14:textId="77777777" w:rsidR="00B35F13" w:rsidRDefault="00F301AD"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La operación y explotación de las concesiones para la prestación de servicios públicos se implican necesariamente una a la otra y se realizan de manera simultánea. </w:t>
      </w:r>
    </w:p>
    <w:p w14:paraId="182AAE48" w14:textId="77777777" w:rsidR="00B35F13" w:rsidRDefault="00F301AD" w:rsidP="00B35F13">
      <w:pPr>
        <w:spacing w:before="240" w:line="360" w:lineRule="auto"/>
        <w:ind w:left="567" w:right="567"/>
        <w:jc w:val="both"/>
        <w:rPr>
          <w:rFonts w:ascii="ITC Avant Garde" w:hAnsi="ITC Avant Garde"/>
          <w:i/>
        </w:rPr>
      </w:pPr>
      <w:r w:rsidRPr="002A2450">
        <w:rPr>
          <w:rFonts w:ascii="ITC Avant Garde" w:hAnsi="ITC Avant Garde"/>
          <w:i/>
        </w:rPr>
        <w:t>La explotación de la concesión implica recibir la contraprestación por la operación, en ese sentido, el Titular de la Unidad de Cumplimiento propone una interpretación para concluir erróneamente con un concepto alejado de la realidad.</w:t>
      </w:r>
    </w:p>
    <w:p w14:paraId="41A38C71" w14:textId="77777777" w:rsidR="00B35F13" w:rsidRDefault="00F301AD" w:rsidP="00B35F13">
      <w:pPr>
        <w:spacing w:before="240" w:line="360" w:lineRule="auto"/>
        <w:ind w:left="567" w:right="567"/>
        <w:jc w:val="both"/>
        <w:rPr>
          <w:rFonts w:ascii="ITC Avant Garde" w:hAnsi="ITC Avant Garde"/>
          <w:i/>
        </w:rPr>
      </w:pPr>
      <w:r w:rsidRPr="002A2450">
        <w:rPr>
          <w:rFonts w:ascii="ITC Avant Garde" w:hAnsi="ITC Avant Garde"/>
          <w:i/>
        </w:rPr>
        <w:t>En efecto, explotar significa sacar provecho de algo o utilidad de un negocio o industria en provecho propio; este último concepto es correcto, se trata de obtener una utilidad de la prestación de un servicio público por conducto de un particular, pero es genérico.</w:t>
      </w:r>
    </w:p>
    <w:p w14:paraId="19E90DDC" w14:textId="77777777" w:rsidR="00B35F13" w:rsidRDefault="00934444" w:rsidP="00B35F13">
      <w:pPr>
        <w:spacing w:before="240" w:line="360" w:lineRule="auto"/>
        <w:ind w:left="567" w:right="567"/>
        <w:jc w:val="both"/>
        <w:rPr>
          <w:rFonts w:ascii="ITC Avant Garde" w:hAnsi="ITC Avant Garde"/>
          <w:i/>
        </w:rPr>
      </w:pPr>
      <w:r w:rsidRPr="002A2450">
        <w:rPr>
          <w:rFonts w:ascii="ITC Avant Garde" w:hAnsi="ITC Avant Garde"/>
          <w:i/>
        </w:rPr>
        <w:t>Sin embargo, el Titular de la Unidad de Cumplimiento considera que el término explotación no implica generar necesariamente una ganancia, concluye que sólo implica un beneficio de manera general originada de algo o por algún medio, lo cual carece de toda justificación lógica.</w:t>
      </w:r>
    </w:p>
    <w:p w14:paraId="5DCE7606" w14:textId="77777777" w:rsidR="00B35F13" w:rsidRDefault="00F329A7" w:rsidP="00B35F13">
      <w:pPr>
        <w:spacing w:before="240" w:line="360" w:lineRule="auto"/>
        <w:jc w:val="both"/>
        <w:rPr>
          <w:rFonts w:ascii="ITC Avant Garde" w:hAnsi="ITC Avant Garde"/>
        </w:rPr>
      </w:pPr>
      <w:r w:rsidRPr="002A2450">
        <w:rPr>
          <w:rFonts w:ascii="ITC Avant Garde" w:hAnsi="ITC Avant Garde"/>
        </w:rPr>
        <w:t xml:space="preserve">Dichos argumentos resulta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1A79B853" w14:textId="77777777" w:rsidR="00B35F13" w:rsidRDefault="00D33255" w:rsidP="00B35F13">
      <w:pPr>
        <w:spacing w:before="240" w:line="360" w:lineRule="auto"/>
        <w:jc w:val="both"/>
        <w:rPr>
          <w:rFonts w:ascii="ITC Avant Garde" w:hAnsi="ITC Avant Garde"/>
        </w:rPr>
      </w:pPr>
      <w:r w:rsidRPr="002A2450">
        <w:rPr>
          <w:rFonts w:ascii="ITC Avant Garde" w:hAnsi="ITC Avant Garde"/>
        </w:rPr>
        <w:t xml:space="preserve">En principio debe señalarse, que al igual que </w:t>
      </w:r>
      <w:r w:rsidRPr="002A2450">
        <w:rPr>
          <w:rFonts w:ascii="ITC Avant Garde" w:hAnsi="ITC Avant Garde"/>
          <w:b/>
        </w:rPr>
        <w:t>“TELMEX”</w:t>
      </w:r>
      <w:r w:rsidRPr="002A2450">
        <w:rPr>
          <w:rFonts w:ascii="ITC Avant Garde" w:hAnsi="ITC Avant Garde"/>
        </w:rPr>
        <w:t xml:space="preserve">, este </w:t>
      </w:r>
      <w:r w:rsidRPr="002A2450">
        <w:rPr>
          <w:rFonts w:ascii="ITC Avant Garde" w:hAnsi="ITC Avant Garde"/>
          <w:b/>
        </w:rPr>
        <w:t xml:space="preserve">“IFT” </w:t>
      </w:r>
      <w:r w:rsidRPr="002A2450">
        <w:rPr>
          <w:rFonts w:ascii="ITC Avant Garde" w:hAnsi="ITC Avant Garde"/>
        </w:rPr>
        <w:t xml:space="preserve">precisó que el término </w:t>
      </w:r>
      <w:r w:rsidRPr="002A2450">
        <w:rPr>
          <w:rFonts w:ascii="ITC Avant Garde" w:hAnsi="ITC Avant Garde"/>
          <w:i/>
        </w:rPr>
        <w:t>“explotar”</w:t>
      </w:r>
      <w:r w:rsidRPr="002A2450">
        <w:rPr>
          <w:rFonts w:ascii="ITC Avant Garde" w:hAnsi="ITC Avant Garde"/>
        </w:rPr>
        <w:t xml:space="preserve"> no es una figura jurídica que se haya definido como tal en la legislación mexicana, por ello, el acuerdo de inicio hizo hincapié </w:t>
      </w:r>
      <w:r w:rsidR="00441DC2" w:rsidRPr="002A2450">
        <w:rPr>
          <w:rFonts w:ascii="ITC Avant Garde" w:hAnsi="ITC Avant Garde"/>
        </w:rPr>
        <w:t xml:space="preserve">en </w:t>
      </w:r>
      <w:r w:rsidRPr="002A2450">
        <w:rPr>
          <w:rFonts w:ascii="ITC Avant Garde" w:hAnsi="ITC Avant Garde"/>
        </w:rPr>
        <w:t xml:space="preserve">que necesariamente </w:t>
      </w:r>
      <w:r w:rsidR="00441DC2" w:rsidRPr="009E34A4">
        <w:rPr>
          <w:rFonts w:ascii="ITC Avant Garde" w:hAnsi="ITC Avant Garde"/>
        </w:rPr>
        <w:t xml:space="preserve">debía entenderse como la capacidad de hecho o de derecho para participar o incidir, a través de cualquier medio, mecanismo o forma, en la operación o los derechos derivados de una concesión otorgada por la autoridad competente para prestar servicios de televisión al público en cualquiera de sus modalidades. </w:t>
      </w:r>
    </w:p>
    <w:p w14:paraId="1D74BA91" w14:textId="77777777" w:rsidR="00B35F13" w:rsidRDefault="00F23249" w:rsidP="00B35F13">
      <w:pPr>
        <w:spacing w:before="240" w:line="360" w:lineRule="auto"/>
        <w:jc w:val="both"/>
        <w:rPr>
          <w:rFonts w:ascii="ITC Avant Garde" w:hAnsi="ITC Avant Garde"/>
        </w:rPr>
      </w:pPr>
      <w:r w:rsidRPr="002A2450">
        <w:rPr>
          <w:rFonts w:ascii="ITC Avant Garde" w:hAnsi="ITC Avant Garde"/>
        </w:rPr>
        <w:t xml:space="preserve">Con base en lo anterior, el acuerdo de inicio hizo referencia a lo señalado por el Diccionario de la Lengua Española de la Real academia Española, dónde se </w:t>
      </w:r>
      <w:r w:rsidRPr="002A2450">
        <w:rPr>
          <w:rFonts w:ascii="ITC Avant Garde" w:hAnsi="ITC Avant Garde"/>
        </w:rPr>
        <w:lastRenderedPageBreak/>
        <w:t xml:space="preserve">definió el término </w:t>
      </w:r>
      <w:r w:rsidRPr="002A2450">
        <w:rPr>
          <w:rFonts w:ascii="ITC Avant Garde" w:hAnsi="ITC Avant Garde"/>
          <w:i/>
        </w:rPr>
        <w:t>“explotar”</w:t>
      </w:r>
      <w:r w:rsidRPr="002A2450">
        <w:rPr>
          <w:rFonts w:ascii="ITC Avant Garde" w:hAnsi="ITC Avant Garde"/>
        </w:rPr>
        <w:t xml:space="preserve"> como: i) sacar provecho de algo o, ii) utilidad de un negocio o industria en provecho propio.</w:t>
      </w:r>
    </w:p>
    <w:p w14:paraId="29CEE816" w14:textId="77777777" w:rsidR="00B35F13" w:rsidRDefault="00F23249" w:rsidP="00B35F13">
      <w:pPr>
        <w:spacing w:before="240" w:line="360" w:lineRule="auto"/>
        <w:jc w:val="both"/>
        <w:rPr>
          <w:rFonts w:ascii="ITC Avant Garde" w:hAnsi="ITC Avant Garde"/>
        </w:rPr>
      </w:pPr>
      <w:r w:rsidRPr="009E34A4">
        <w:rPr>
          <w:rFonts w:ascii="ITC Avant Garde" w:hAnsi="ITC Avant Garde"/>
        </w:rPr>
        <w:t xml:space="preserve">En ese sentido, acudiendo a la misma fuente de información se definió como </w:t>
      </w:r>
      <w:r w:rsidRPr="009E34A4">
        <w:rPr>
          <w:rFonts w:ascii="ITC Avant Garde" w:hAnsi="ITC Avant Garde"/>
          <w:i/>
        </w:rPr>
        <w:t>“provecho”</w:t>
      </w:r>
      <w:r w:rsidRPr="009E34A4">
        <w:rPr>
          <w:rFonts w:ascii="ITC Avant Garde" w:hAnsi="ITC Avant Garde"/>
        </w:rPr>
        <w:t xml:space="preserve"> como el beneficio o utilidad que se consigue o se origina de algo por algún medio y </w:t>
      </w:r>
      <w:r w:rsidRPr="009E34A4">
        <w:rPr>
          <w:rFonts w:ascii="ITC Avant Garde" w:hAnsi="ITC Avant Garde"/>
          <w:i/>
        </w:rPr>
        <w:t>“utilidad”</w:t>
      </w:r>
      <w:r w:rsidRPr="009E34A4">
        <w:rPr>
          <w:rFonts w:ascii="ITC Avant Garde" w:hAnsi="ITC Avant Garde"/>
        </w:rPr>
        <w:t xml:space="preserve"> </w:t>
      </w:r>
      <w:r w:rsidR="00153FA6" w:rsidRPr="009E34A4">
        <w:rPr>
          <w:rFonts w:ascii="ITC Avant Garde" w:hAnsi="ITC Avant Garde"/>
        </w:rPr>
        <w:t>como provecho, conveniencia, interés o fruto que se saca de algo. Sin embargo atendiendo al contexto de la propia condición que se considera incumplida, el término explotación debe analizarse a la luz de los elementos que integran la propia condición, como lo es que dicha explotación sea directa o indirecta y que la misma sea respecto a una condición de servicios de televisión al público en el país.</w:t>
      </w:r>
    </w:p>
    <w:p w14:paraId="01FC794A" w14:textId="77777777" w:rsidR="00B35F13" w:rsidRDefault="00153FA6" w:rsidP="00B35F13">
      <w:pPr>
        <w:spacing w:before="240" w:line="360" w:lineRule="auto"/>
        <w:jc w:val="both"/>
        <w:rPr>
          <w:i/>
        </w:rPr>
      </w:pPr>
      <w:r w:rsidRPr="009E34A4">
        <w:rPr>
          <w:rFonts w:ascii="ITC Avant Garde" w:hAnsi="ITC Avant Garde"/>
        </w:rPr>
        <w:t xml:space="preserve">En tal sentido, como se ha señalado en apartados anteriores, </w:t>
      </w:r>
      <w:r w:rsidR="00F33E18" w:rsidRPr="009E34A4">
        <w:rPr>
          <w:rFonts w:ascii="ITC Avant Garde" w:hAnsi="ITC Avant Garde"/>
        </w:rPr>
        <w:t xml:space="preserve">para efectos del presente procedimiento </w:t>
      </w:r>
      <w:r w:rsidRPr="009E34A4">
        <w:rPr>
          <w:rFonts w:ascii="ITC Avant Garde" w:hAnsi="ITC Avant Garde"/>
        </w:rPr>
        <w:t xml:space="preserve">la explotación indirecta </w:t>
      </w:r>
      <w:r w:rsidR="00F33E18" w:rsidRPr="009E34A4">
        <w:rPr>
          <w:rFonts w:ascii="ITC Avant Garde" w:hAnsi="ITC Avant Garde"/>
        </w:rPr>
        <w:t>debe entenderse como la capacidad de hecho o de derecho para participar o incidir, a través de cualquier medio, mecanismo o forma, en la operación o los derechos derivados de una concesión otorgada por la autoridad competente para prestar servicios de televisión al público en cualquiera de sus modalidades.</w:t>
      </w:r>
      <w:r w:rsidR="00F33E18" w:rsidRPr="002A2450">
        <w:rPr>
          <w:bCs/>
          <w:i/>
        </w:rPr>
        <w:t xml:space="preserve"> </w:t>
      </w:r>
    </w:p>
    <w:p w14:paraId="346B0AB1" w14:textId="77777777" w:rsidR="00B35F13" w:rsidRDefault="00F23249" w:rsidP="00B35F13">
      <w:pPr>
        <w:spacing w:before="240" w:line="360" w:lineRule="auto"/>
        <w:jc w:val="both"/>
        <w:rPr>
          <w:rFonts w:ascii="ITC Avant Garde" w:hAnsi="ITC Avant Garde"/>
        </w:rPr>
      </w:pPr>
      <w:r w:rsidRPr="002A2450">
        <w:rPr>
          <w:rFonts w:ascii="ITC Avant Garde" w:hAnsi="ITC Avant Garde"/>
        </w:rPr>
        <w:t xml:space="preserve">En ese contexto, se entendió que </w:t>
      </w:r>
      <w:r w:rsidRPr="002A2450">
        <w:rPr>
          <w:rFonts w:ascii="ITC Avant Garde" w:hAnsi="ITC Avant Garde"/>
          <w:i/>
        </w:rPr>
        <w:t>explotar</w:t>
      </w:r>
      <w:r w:rsidRPr="002A2450">
        <w:rPr>
          <w:rFonts w:ascii="ITC Avant Garde" w:hAnsi="ITC Avant Garde"/>
        </w:rPr>
        <w:t xml:space="preserve"> no implica generar necesariamente una ganancia, puesto que ello corresponde a </w:t>
      </w:r>
      <w:r w:rsidRPr="002A2450">
        <w:rPr>
          <w:rFonts w:ascii="ITC Avant Garde" w:hAnsi="ITC Avant Garde"/>
          <w:i/>
        </w:rPr>
        <w:t>“utilidad”</w:t>
      </w:r>
      <w:r w:rsidRPr="002A2450">
        <w:rPr>
          <w:rFonts w:ascii="ITC Avant Garde" w:hAnsi="ITC Avant Garde"/>
        </w:rPr>
        <w:t>.</w:t>
      </w:r>
    </w:p>
    <w:p w14:paraId="7221925F" w14:textId="77777777" w:rsidR="00B35F13" w:rsidRDefault="00864E59" w:rsidP="00B35F13">
      <w:pPr>
        <w:spacing w:before="240" w:line="360" w:lineRule="auto"/>
        <w:jc w:val="both"/>
        <w:rPr>
          <w:rFonts w:ascii="ITC Avant Garde" w:hAnsi="ITC Avant Garde"/>
        </w:rPr>
      </w:pPr>
      <w:r w:rsidRPr="002A2450">
        <w:rPr>
          <w:rFonts w:ascii="ITC Avant Garde" w:hAnsi="ITC Avant Garde"/>
        </w:rPr>
        <w:t xml:space="preserve">Ahora bien, atendiendo a lo anterior, el acuerdo de inicio señaló que la </w:t>
      </w:r>
      <w:r w:rsidRPr="002A2450">
        <w:rPr>
          <w:rFonts w:ascii="ITC Avant Garde" w:hAnsi="ITC Avant Garde"/>
          <w:i/>
        </w:rPr>
        <w:t>explotación</w:t>
      </w:r>
      <w:r w:rsidRPr="002A2450">
        <w:rPr>
          <w:rFonts w:ascii="ITC Avant Garde" w:hAnsi="ITC Avant Garde"/>
        </w:rPr>
        <w:t xml:space="preserve"> en términos de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implica q</w:t>
      </w:r>
      <w:r w:rsidR="0044389D" w:rsidRPr="002A2450">
        <w:rPr>
          <w:rFonts w:ascii="ITC Avant Garde" w:hAnsi="ITC Avant Garde"/>
        </w:rPr>
        <w:t xml:space="preserve">ue sus limitaciones comprenden </w:t>
      </w:r>
      <w:r w:rsidRPr="002A2450">
        <w:rPr>
          <w:rFonts w:ascii="ITC Avant Garde" w:hAnsi="ITC Avant Garde"/>
        </w:rPr>
        <w:t>l</w:t>
      </w:r>
      <w:r w:rsidR="0044389D" w:rsidRPr="002A2450">
        <w:rPr>
          <w:rFonts w:ascii="ITC Avant Garde" w:hAnsi="ITC Avant Garde"/>
        </w:rPr>
        <w:t>a</w:t>
      </w:r>
      <w:r w:rsidRPr="002A2450">
        <w:rPr>
          <w:rFonts w:ascii="ITC Avant Garde" w:hAnsi="ITC Avant Garde"/>
        </w:rPr>
        <w:t xml:space="preserve"> relación directa entre concedente-concesionario de manera directa e indirectamente a todas aquellas empresas y/o personas físicas terceras en dicha relación.</w:t>
      </w:r>
    </w:p>
    <w:p w14:paraId="51A1F1A8" w14:textId="77777777" w:rsidR="00B35F13" w:rsidRDefault="0044389D" w:rsidP="00B35F13">
      <w:pPr>
        <w:spacing w:before="240" w:line="360" w:lineRule="auto"/>
        <w:jc w:val="both"/>
        <w:rPr>
          <w:rFonts w:ascii="ITC Avant Garde" w:hAnsi="ITC Avant Garde"/>
        </w:rPr>
      </w:pPr>
      <w:r w:rsidRPr="002A2450">
        <w:rPr>
          <w:rFonts w:ascii="ITC Avant Garde" w:hAnsi="ITC Avant Garde"/>
        </w:rPr>
        <w:t xml:space="preserve">Lo anterior, dado que el sentido funcional de la condición en comento tiene como efecto la restricción de no explotar directa o indirectamente ninguna concesión de servicios de televisión en el país, de lo que se sigue que ante dicha prohibición </w:t>
      </w:r>
      <w:r w:rsidRPr="002A2450">
        <w:rPr>
          <w:rFonts w:ascii="ITC Avant Garde" w:hAnsi="ITC Avant Garde"/>
        </w:rPr>
        <w:lastRenderedPageBreak/>
        <w:t>categórica no existe una interpretación más que un no hacer ya sea directa o indirectamente a través de un tercero.</w:t>
      </w:r>
    </w:p>
    <w:p w14:paraId="16E0D68D" w14:textId="77777777" w:rsidR="00B35F13" w:rsidRDefault="0044389D" w:rsidP="00B35F13">
      <w:pPr>
        <w:spacing w:before="240" w:line="360" w:lineRule="auto"/>
        <w:jc w:val="both"/>
        <w:rPr>
          <w:rFonts w:ascii="ITC Avant Garde" w:hAnsi="ITC Avant Garde"/>
        </w:rPr>
      </w:pPr>
      <w:r w:rsidRPr="002A2450">
        <w:rPr>
          <w:rFonts w:ascii="ITC Avant Garde" w:hAnsi="ITC Avant Garde"/>
        </w:rPr>
        <w:t>En tales consideraciones, la propia condición restringió la explotación de servicios de televisión en el país, ya sea que lo realice directamente o a través de un tercero.</w:t>
      </w:r>
    </w:p>
    <w:p w14:paraId="1D4CADB9" w14:textId="77777777" w:rsidR="00B35F13" w:rsidRDefault="0044389D" w:rsidP="00B35F13">
      <w:pPr>
        <w:spacing w:before="240" w:line="360" w:lineRule="auto"/>
        <w:jc w:val="both"/>
        <w:rPr>
          <w:rFonts w:ascii="ITC Avant Garde" w:hAnsi="ITC Avant Garde"/>
        </w:rPr>
      </w:pPr>
      <w:r w:rsidRPr="002A2450">
        <w:rPr>
          <w:rFonts w:ascii="ITC Avant Garde" w:hAnsi="ITC Avant Garde"/>
        </w:rPr>
        <w:t xml:space="preserve">Para lo anterior, este </w:t>
      </w:r>
      <w:r w:rsidRPr="002A2450">
        <w:rPr>
          <w:rFonts w:ascii="ITC Avant Garde" w:hAnsi="ITC Avant Garde"/>
          <w:b/>
        </w:rPr>
        <w:t>“IFT”</w:t>
      </w:r>
      <w:r w:rsidRPr="002A2450">
        <w:rPr>
          <w:rFonts w:ascii="ITC Avant Garde" w:hAnsi="ITC Avant Garde"/>
        </w:rPr>
        <w:t xml:space="preserve"> se apoyó en la resolución dictada por el Segundo Tribunal Colegiado de Circuito en Materia Administrativa Especializado en Competencia</w:t>
      </w:r>
      <w:r w:rsidR="008F718E" w:rsidRPr="009E34A4">
        <w:rPr>
          <w:rFonts w:ascii="ITC Avant Garde" w:hAnsi="ITC Avant Garde"/>
          <w:color w:val="C00000"/>
        </w:rPr>
        <w:t xml:space="preserve"> </w:t>
      </w:r>
      <w:r w:rsidRPr="002A2450">
        <w:rPr>
          <w:rFonts w:ascii="ITC Avant Garde" w:hAnsi="ITC Avant Garde"/>
        </w:rPr>
        <w:t>Económica, Radiodifusión y Telecomunicaciones en el amparo indirecto 7/2014 dónde en la parte que interesa señaló:</w:t>
      </w:r>
    </w:p>
    <w:p w14:paraId="2C677E54" w14:textId="4A93A5CE" w:rsidR="0044389D" w:rsidRPr="002A2450" w:rsidRDefault="0044389D" w:rsidP="00B35F13">
      <w:pPr>
        <w:spacing w:before="240" w:line="360" w:lineRule="auto"/>
        <w:ind w:left="567" w:right="567"/>
        <w:jc w:val="both"/>
        <w:rPr>
          <w:rFonts w:ascii="ITC Avant Garde" w:hAnsi="ITC Avant Garde"/>
          <w:i/>
        </w:rPr>
      </w:pPr>
      <w:r w:rsidRPr="002A2450">
        <w:rPr>
          <w:rFonts w:ascii="ITC Avant Garde" w:hAnsi="ITC Avant Garde"/>
          <w:i/>
        </w:rPr>
        <w:t>“…</w:t>
      </w:r>
    </w:p>
    <w:p w14:paraId="19663A41" w14:textId="77777777" w:rsidR="0044389D" w:rsidRPr="002A2450" w:rsidRDefault="0044389D" w:rsidP="00B35F13">
      <w:pPr>
        <w:spacing w:before="240" w:line="360" w:lineRule="auto"/>
        <w:ind w:left="567" w:right="567"/>
        <w:jc w:val="both"/>
        <w:rPr>
          <w:rFonts w:ascii="ITC Avant Garde" w:hAnsi="ITC Avant Garde"/>
          <w:i/>
        </w:rPr>
      </w:pPr>
      <w:r w:rsidRPr="002A2450">
        <w:rPr>
          <w:rFonts w:ascii="ITC Avant Garde" w:hAnsi="ITC Avant Garde"/>
          <w:i/>
        </w:rPr>
        <w:t xml:space="preserve">Así las cosas, la palabra “explotación” utilizada en el artículo 110 de la Ley de Vías Generales de Comunicación, específicamente en la frase “por la explotación de los servicios concesionados”, debe entenderse por los beneficios obtenidos de los servicios concesionados </w:t>
      </w:r>
      <w:r w:rsidRPr="002A2450">
        <w:rPr>
          <w:rFonts w:ascii="ITC Avant Garde" w:hAnsi="ITC Avant Garde"/>
          <w:b/>
          <w:i/>
          <w:u w:val="single"/>
        </w:rPr>
        <w:t>y no como lo estima la quejosa, por las ganancias derivadas de los servicios concesionados</w:t>
      </w:r>
      <w:r w:rsidRPr="002A2450">
        <w:rPr>
          <w:rFonts w:ascii="ITC Avant Garde" w:hAnsi="ITC Avant Garde"/>
          <w:i/>
        </w:rPr>
        <w:t>.</w:t>
      </w:r>
    </w:p>
    <w:p w14:paraId="2C37D4CE" w14:textId="77777777" w:rsidR="00B35F13" w:rsidRDefault="0044389D" w:rsidP="00B35F13">
      <w:pPr>
        <w:spacing w:before="240" w:line="360" w:lineRule="auto"/>
        <w:ind w:left="567" w:right="567"/>
        <w:jc w:val="both"/>
        <w:rPr>
          <w:rFonts w:ascii="ITC Avant Garde" w:hAnsi="ITC Avant Garde"/>
          <w:i/>
        </w:rPr>
      </w:pPr>
      <w:r w:rsidRPr="002A2450">
        <w:rPr>
          <w:rFonts w:ascii="ITC Avant Garde" w:hAnsi="ITC Avant Garde"/>
          <w:i/>
        </w:rPr>
        <w:t>… ”</w:t>
      </w:r>
    </w:p>
    <w:p w14:paraId="0E3CDDDE" w14:textId="77777777" w:rsidR="00B35F13" w:rsidRDefault="0044389D" w:rsidP="00B35F13">
      <w:pPr>
        <w:spacing w:before="240" w:line="360" w:lineRule="auto"/>
        <w:jc w:val="both"/>
        <w:rPr>
          <w:rFonts w:ascii="ITC Avant Garde" w:hAnsi="ITC Avant Garde"/>
        </w:rPr>
      </w:pPr>
      <w:r w:rsidRPr="002A2450">
        <w:rPr>
          <w:rFonts w:ascii="ITC Avant Garde" w:hAnsi="ITC Avant Garde"/>
        </w:rPr>
        <w:t xml:space="preserve">En ese sentido, no es la ganancia lo que necesariamente implica la </w:t>
      </w:r>
      <w:r w:rsidRPr="002A2450">
        <w:rPr>
          <w:rFonts w:ascii="ITC Avant Garde" w:hAnsi="ITC Avant Garde"/>
          <w:i/>
        </w:rPr>
        <w:t>“explotación</w:t>
      </w:r>
      <w:r w:rsidR="004B141B" w:rsidRPr="002A2450">
        <w:rPr>
          <w:rFonts w:ascii="ITC Avant Garde" w:hAnsi="ITC Avant Garde"/>
          <w:i/>
        </w:rPr>
        <w:t xml:space="preserve"> indirecta</w:t>
      </w:r>
      <w:r w:rsidRPr="002A2450">
        <w:rPr>
          <w:rFonts w:ascii="ITC Avant Garde" w:hAnsi="ITC Avant Garde"/>
          <w:i/>
        </w:rPr>
        <w:t xml:space="preserve">” </w:t>
      </w:r>
      <w:r w:rsidRPr="002A2450">
        <w:rPr>
          <w:rFonts w:ascii="ITC Avant Garde" w:hAnsi="ITC Avant Garde"/>
        </w:rPr>
        <w:t xml:space="preserve">sino </w:t>
      </w:r>
      <w:r w:rsidR="00F33E18" w:rsidRPr="002A2450">
        <w:rPr>
          <w:rFonts w:ascii="ITC Avant Garde" w:hAnsi="ITC Avant Garde"/>
        </w:rPr>
        <w:t xml:space="preserve">la capacidad de hecho o derecho </w:t>
      </w:r>
      <w:r w:rsidR="00153FA6" w:rsidRPr="002A2450">
        <w:rPr>
          <w:rFonts w:ascii="ITC Avant Garde" w:hAnsi="ITC Avant Garde"/>
        </w:rPr>
        <w:t xml:space="preserve">de influir o incidir en la operación o ejercicio de los derechos que otorga una concesión para prestar </w:t>
      </w:r>
      <w:r w:rsidR="004B141B" w:rsidRPr="002A2450">
        <w:rPr>
          <w:rFonts w:ascii="ITC Avant Garde" w:hAnsi="ITC Avant Garde"/>
        </w:rPr>
        <w:t>servicios de televisión al público en el país, el cual está</w:t>
      </w:r>
      <w:r w:rsidRPr="002A2450">
        <w:rPr>
          <w:rFonts w:ascii="ITC Avant Garde" w:hAnsi="ITC Avant Garde"/>
        </w:rPr>
        <w:t xml:space="preserve"> concesionado</w:t>
      </w:r>
      <w:r w:rsidR="00F33E18" w:rsidRPr="002A2450">
        <w:rPr>
          <w:rFonts w:ascii="ITC Avant Garde" w:hAnsi="ITC Avant Garde"/>
        </w:rPr>
        <w:t xml:space="preserve"> a </w:t>
      </w:r>
      <w:r w:rsidR="00F33E18" w:rsidRPr="002A2450">
        <w:rPr>
          <w:rFonts w:ascii="ITC Avant Garde" w:hAnsi="ITC Avant Garde"/>
          <w:b/>
        </w:rPr>
        <w:t>“COFRESA”</w:t>
      </w:r>
      <w:r w:rsidRPr="002A2450">
        <w:rPr>
          <w:rFonts w:ascii="ITC Avant Garde" w:hAnsi="ITC Avant Garde"/>
        </w:rPr>
        <w:t>.</w:t>
      </w:r>
    </w:p>
    <w:p w14:paraId="4B70925A" w14:textId="77777777" w:rsidR="00B35F13" w:rsidRDefault="0044389D" w:rsidP="00B35F13">
      <w:pPr>
        <w:spacing w:before="240" w:line="360" w:lineRule="auto"/>
        <w:jc w:val="both"/>
        <w:rPr>
          <w:rFonts w:ascii="ITC Avant Garde" w:hAnsi="ITC Avant Garde"/>
        </w:rPr>
      </w:pPr>
      <w:r w:rsidRPr="002A2450">
        <w:rPr>
          <w:rFonts w:ascii="ITC Avant Garde" w:hAnsi="ITC Avant Garde"/>
        </w:rPr>
        <w:t xml:space="preserve">En tales consideraciones, no asiste razón a </w:t>
      </w:r>
      <w:r w:rsidRPr="002A2450">
        <w:rPr>
          <w:rFonts w:ascii="ITC Avant Garde" w:hAnsi="ITC Avant Garde"/>
          <w:b/>
        </w:rPr>
        <w:t>“TELMEX”</w:t>
      </w:r>
      <w:r w:rsidRPr="002A2450">
        <w:rPr>
          <w:rFonts w:ascii="ITC Avant Garde" w:hAnsi="ITC Avant Garde"/>
        </w:rPr>
        <w:t xml:space="preserve"> en señalar que la operación y explotación se ejecutan de manera simultánea, puesto que pasa desapercibido como </w:t>
      </w:r>
      <w:r w:rsidR="00F33E18" w:rsidRPr="002A2450">
        <w:rPr>
          <w:rFonts w:ascii="ITC Avant Garde" w:hAnsi="ITC Avant Garde"/>
        </w:rPr>
        <w:t xml:space="preserve">se </w:t>
      </w:r>
      <w:r w:rsidR="00BC79BA" w:rsidRPr="002A2450">
        <w:rPr>
          <w:rFonts w:ascii="ITC Avant Garde" w:hAnsi="ITC Avant Garde"/>
        </w:rPr>
        <w:t xml:space="preserve">ha señalado </w:t>
      </w:r>
      <w:r w:rsidR="00F33E18" w:rsidRPr="002A2450">
        <w:rPr>
          <w:rFonts w:ascii="ITC Avant Garde" w:hAnsi="ITC Avant Garde"/>
        </w:rPr>
        <w:t xml:space="preserve">que </w:t>
      </w:r>
      <w:r w:rsidR="004B141B" w:rsidRPr="002A2450">
        <w:rPr>
          <w:rFonts w:ascii="ITC Avant Garde" w:hAnsi="ITC Avant Garde"/>
        </w:rPr>
        <w:t xml:space="preserve">el término </w:t>
      </w:r>
      <w:r w:rsidR="00BC79BA" w:rsidRPr="002A2450">
        <w:rPr>
          <w:rFonts w:ascii="ITC Avant Garde" w:hAnsi="ITC Avant Garde"/>
        </w:rPr>
        <w:t xml:space="preserve"> explotación</w:t>
      </w:r>
      <w:r w:rsidR="004B141B" w:rsidRPr="002A2450">
        <w:rPr>
          <w:rFonts w:ascii="ITC Avant Garde" w:hAnsi="ITC Avant Garde"/>
        </w:rPr>
        <w:t xml:space="preserve"> indirecta en el contexto de su concesión</w:t>
      </w:r>
      <w:r w:rsidR="00F33E18" w:rsidRPr="002A2450">
        <w:rPr>
          <w:rFonts w:ascii="ITC Avant Garde" w:hAnsi="ITC Avant Garde"/>
        </w:rPr>
        <w:t xml:space="preserve"> implica </w:t>
      </w:r>
      <w:r w:rsidR="004B141B" w:rsidRPr="002A2450">
        <w:rPr>
          <w:rFonts w:ascii="ITC Avant Garde" w:hAnsi="ITC Avant Garde"/>
        </w:rPr>
        <w:t xml:space="preserve">una obligación de no hacer que se materializa como </w:t>
      </w:r>
      <w:r w:rsidR="00F33E18" w:rsidRPr="002A2450">
        <w:rPr>
          <w:rFonts w:ascii="ITC Avant Garde" w:hAnsi="ITC Avant Garde"/>
        </w:rPr>
        <w:t xml:space="preserve">la capacidad de hecho o de derecho para participar o incidir, a través de cualquier medio, mecanismo o forma, en la operación o los derechos derivados de una </w:t>
      </w:r>
      <w:r w:rsidR="00F33E18" w:rsidRPr="002A2450">
        <w:rPr>
          <w:rFonts w:ascii="ITC Avant Garde" w:hAnsi="ITC Avant Garde"/>
        </w:rPr>
        <w:lastRenderedPageBreak/>
        <w:t>concesión otorgada por la autoridad competente para prestar servicios de televisión al público en cualquiera de sus modalidades</w:t>
      </w:r>
      <w:r w:rsidR="00F33E18" w:rsidRPr="002A2450">
        <w:rPr>
          <w:bCs/>
          <w:i/>
        </w:rPr>
        <w:t xml:space="preserve">. </w:t>
      </w:r>
    </w:p>
    <w:p w14:paraId="21753B83" w14:textId="77777777" w:rsidR="00B35F13" w:rsidRDefault="00BC79BA" w:rsidP="00B35F13">
      <w:pPr>
        <w:spacing w:before="240" w:line="360" w:lineRule="auto"/>
        <w:jc w:val="both"/>
        <w:rPr>
          <w:rFonts w:ascii="ITC Avant Garde" w:hAnsi="ITC Avant Garde"/>
        </w:rPr>
      </w:pPr>
      <w:r w:rsidRPr="002A2450">
        <w:rPr>
          <w:rFonts w:ascii="ITC Avant Garde" w:hAnsi="ITC Avant Garde"/>
        </w:rPr>
        <w:t xml:space="preserve">Por tanto, contrario a lo sostenido por </w:t>
      </w:r>
      <w:r w:rsidRPr="002A2450">
        <w:rPr>
          <w:rFonts w:ascii="ITC Avant Garde" w:hAnsi="ITC Avant Garde"/>
          <w:b/>
        </w:rPr>
        <w:t>“TELMEX”</w:t>
      </w:r>
      <w:r w:rsidRPr="002A2450">
        <w:rPr>
          <w:rFonts w:ascii="ITC Avant Garde" w:hAnsi="ITC Avant Garde"/>
        </w:rPr>
        <w:t xml:space="preserve"> la acepción marcada en el acuerdo de inicio </w:t>
      </w:r>
      <w:r w:rsidR="004B141B" w:rsidRPr="002A2450">
        <w:rPr>
          <w:rFonts w:ascii="ITC Avant Garde" w:hAnsi="ITC Avant Garde"/>
        </w:rPr>
        <w:t xml:space="preserve">si bien </w:t>
      </w:r>
      <w:r w:rsidRPr="002A2450">
        <w:rPr>
          <w:rFonts w:ascii="ITC Avant Garde" w:hAnsi="ITC Avant Garde"/>
        </w:rPr>
        <w:t xml:space="preserve">es genérica </w:t>
      </w:r>
      <w:r w:rsidR="004B141B" w:rsidRPr="002A2450">
        <w:rPr>
          <w:rFonts w:ascii="ITC Avant Garde" w:hAnsi="ITC Avant Garde"/>
        </w:rPr>
        <w:t xml:space="preserve">adquiere su especificidad al vincularse con el contenido obligacional que entraña la propia condición, </w:t>
      </w:r>
      <w:r w:rsidR="00513326" w:rsidRPr="002A2450">
        <w:rPr>
          <w:rFonts w:ascii="ITC Avant Garde" w:hAnsi="ITC Avant Garde"/>
        </w:rPr>
        <w:t xml:space="preserve">de </w:t>
      </w:r>
      <w:r w:rsidR="004B141B" w:rsidRPr="002A2450">
        <w:rPr>
          <w:rFonts w:ascii="ITC Avant Garde" w:hAnsi="ITC Avant Garde"/>
        </w:rPr>
        <w:t>lo cual</w:t>
      </w:r>
      <w:r w:rsidR="00513326" w:rsidRPr="002A2450">
        <w:rPr>
          <w:rFonts w:ascii="ITC Avant Garde" w:hAnsi="ITC Avant Garde"/>
        </w:rPr>
        <w:t xml:space="preserve"> se desprende que dicha explotación indirecta deriva precisamente de </w:t>
      </w:r>
      <w:r w:rsidR="00F33E18" w:rsidRPr="002A2450">
        <w:rPr>
          <w:rFonts w:ascii="ITC Avant Garde" w:hAnsi="ITC Avant Garde"/>
        </w:rPr>
        <w:t xml:space="preserve">los derechos obtenidos para </w:t>
      </w:r>
      <w:r w:rsidR="00513326" w:rsidRPr="002A2450">
        <w:rPr>
          <w:rFonts w:ascii="ITC Avant Garde" w:hAnsi="ITC Avant Garde"/>
        </w:rPr>
        <w:t>incidir en la operación de la concesión que ampara la prestación d</w:t>
      </w:r>
      <w:r w:rsidR="00F33E18" w:rsidRPr="002A2450">
        <w:rPr>
          <w:rFonts w:ascii="ITC Avant Garde" w:hAnsi="ITC Avant Garde"/>
        </w:rPr>
        <w:t xml:space="preserve">el servicio de </w:t>
      </w:r>
      <w:r w:rsidR="00F33E18" w:rsidRPr="002A2450">
        <w:rPr>
          <w:rFonts w:ascii="ITC Avant Garde" w:hAnsi="ITC Avant Garde"/>
          <w:b/>
        </w:rPr>
        <w:t xml:space="preserve">“DTH” </w:t>
      </w:r>
      <w:r w:rsidR="00F33E18" w:rsidRPr="002A2450">
        <w:rPr>
          <w:rFonts w:ascii="ITC Avant Garde" w:hAnsi="ITC Avant Garde"/>
        </w:rPr>
        <w:t xml:space="preserve">que comercializa </w:t>
      </w:r>
      <w:r w:rsidRPr="002A2450">
        <w:rPr>
          <w:rFonts w:ascii="ITC Avant Garde" w:hAnsi="ITC Avant Garde"/>
          <w:b/>
        </w:rPr>
        <w:t>“COFRESA</w:t>
      </w:r>
      <w:r w:rsidRPr="002A2450">
        <w:rPr>
          <w:rFonts w:ascii="ITC Avant Garde" w:hAnsi="ITC Avant Garde"/>
        </w:rPr>
        <w:t>.</w:t>
      </w:r>
    </w:p>
    <w:p w14:paraId="1D172309" w14:textId="77777777" w:rsidR="00B35F13" w:rsidRDefault="00BC79BA" w:rsidP="00B35F13">
      <w:pPr>
        <w:spacing w:before="240" w:line="360" w:lineRule="auto"/>
        <w:jc w:val="both"/>
        <w:rPr>
          <w:rFonts w:ascii="ITC Avant Garde" w:hAnsi="ITC Avant Garde"/>
        </w:rPr>
      </w:pPr>
      <w:r w:rsidRPr="002A2450">
        <w:rPr>
          <w:rFonts w:ascii="ITC Avant Garde" w:hAnsi="ITC Avant Garde"/>
        </w:rPr>
        <w:t>Al respecto, sirve de apoyo la siguiente jurisprudencia:</w:t>
      </w:r>
    </w:p>
    <w:p w14:paraId="0EA2C156" w14:textId="77777777" w:rsidR="00B35F13" w:rsidRDefault="007F4A9D" w:rsidP="00B35F13">
      <w:pPr>
        <w:spacing w:before="240" w:line="360" w:lineRule="auto"/>
        <w:ind w:left="567" w:right="567"/>
        <w:jc w:val="both"/>
        <w:rPr>
          <w:rFonts w:ascii="ITC Avant Garde" w:hAnsi="ITC Avant Garde"/>
        </w:rPr>
      </w:pPr>
      <w:r w:rsidRPr="002A2450">
        <w:rPr>
          <w:rFonts w:ascii="ITC Avant Garde" w:hAnsi="ITC Avant Garde"/>
          <w:b/>
        </w:rPr>
        <w:t>INTERPRETACIÓN DIRECTA DE NORMAS CONSTITUCIONALES. CRITERIOS POSITIVOS Y NEGATIVOS PARA SU IDENTIFICACIÓN.</w:t>
      </w:r>
      <w:r w:rsidR="00BC79BA" w:rsidRPr="002A2450">
        <w:rPr>
          <w:rFonts w:ascii="ITC Avant Garde" w:hAnsi="ITC Avant Garde"/>
        </w:rPr>
        <w:t xml:space="preserve"> </w:t>
      </w:r>
      <w:r w:rsidRPr="002A2450">
        <w:rPr>
          <w:rFonts w:ascii="ITC Avant Garde" w:hAnsi="ITC Avant Garde"/>
        </w:rPr>
        <w:t xml:space="preserve">En la jurisprudencia de la Suprema Corte de Justicia de la Nación pueden detectarse, al menos, dos criterios positivos y cuatro negativos para identificar qué debe entenderse por "interpretación directa" de un precepto constitucional, a saber: en cuanto a los criterios positivos: 1) la interpretación directa de un precepto constitucional con el objeto de desentrañar, esclarecer o revelar el sentido de la norma, para lo cual puede atenderse a la voluntad del legislador o al sentido lingüístico, lógico u objetivo de las palabras, a fin de entender el auténtico significado de la normativa, y ello se logra al utilizar los métodos gramatical, analógico, histórico, lógico, sistemático, causal o teleológico. Esto implica que la sentencia del tribunal colegiado de circuito efectivamente debe fijar o explicar el sentido o alcance del contenido de una disposición constitucional; y, 2) la interpretación directa de normas constitucionales que por sus características especiales y el carácter supremo del órgano que las crea y modifica, además de concurrir las reglas generales de interpretación, pueden tomarse en cuenta otros aspectos de tipo histórico, político, social y económico. En cuanto a los criterios negativos: 1) no se considera </w:t>
      </w:r>
      <w:r w:rsidRPr="002A2450">
        <w:rPr>
          <w:rFonts w:ascii="ITC Avant Garde" w:hAnsi="ITC Avant Garde"/>
        </w:rPr>
        <w:lastRenderedPageBreak/>
        <w:t>interpretación directa si únicamente se hace referencia a un criterio emitido por la Suprema Corte de Justicia en el que se establezca el alcance y sentido de una norma constitucional. En este caso, el tribunal colegiado de circuito no realiza interpretación alguna sino que simplemente refuerza su sentencia con lo dicho por el Alto Tribunal; 2) la sola mención de un precepto constitucional en la sentencia del tribunal colegiado de circuito no constituye una interpretación directa; 3) no puede considerarse que hay interpretación directa si deja de aplicarse o se considera infringida una norma constitucional; y, 4) la petición en abstracto que se le formula a un tribunal colegiado de circuito para que interprete algún precepto constitucional no hace procedente el recurso de revisión si dicha interpretación no se vincula a un acto reclamado.</w:t>
      </w:r>
    </w:p>
    <w:p w14:paraId="674E90DF" w14:textId="77777777" w:rsidR="00B35F13" w:rsidRDefault="00BC79BA" w:rsidP="00B35F13">
      <w:pPr>
        <w:spacing w:before="240" w:line="360" w:lineRule="auto"/>
        <w:ind w:left="567" w:right="567"/>
        <w:jc w:val="both"/>
        <w:rPr>
          <w:rFonts w:ascii="ITC Avant Garde" w:hAnsi="ITC Avant Garde"/>
          <w:sz w:val="18"/>
        </w:rPr>
      </w:pPr>
      <w:r w:rsidRPr="002A2450">
        <w:rPr>
          <w:rFonts w:ascii="ITC Avant Garde" w:hAnsi="ITC Avant Garde"/>
          <w:sz w:val="18"/>
        </w:rPr>
        <w:t>Época: Novena Época, Registro: 164023, Instancia: Primera Sala, Tipo de Tesis: Jurisprudencia, Fuente: Semanario Judicial de la Federación y su Gaceta, Tomo XXXII, Agosto de 2010, Materia(s): Constitucional, Tesis: 1a</w:t>
      </w:r>
      <w:r w:rsidR="00702143" w:rsidRPr="002A2450">
        <w:rPr>
          <w:rFonts w:ascii="ITC Avant Garde" w:hAnsi="ITC Avant Garde"/>
          <w:sz w:val="18"/>
        </w:rPr>
        <w:t>. /</w:t>
      </w:r>
      <w:r w:rsidRPr="002A2450">
        <w:rPr>
          <w:rFonts w:ascii="ITC Avant Garde" w:hAnsi="ITC Avant Garde"/>
          <w:sz w:val="18"/>
        </w:rPr>
        <w:t>J. 63/2010, Página: 329.</w:t>
      </w:r>
    </w:p>
    <w:p w14:paraId="6B0407F6" w14:textId="77777777" w:rsidR="00B35F13" w:rsidRDefault="00BC79BA" w:rsidP="00B35F13">
      <w:pPr>
        <w:spacing w:before="240" w:line="360" w:lineRule="auto"/>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“TELMEX”</w:t>
      </w:r>
      <w:r w:rsidRPr="002A2450">
        <w:rPr>
          <w:rFonts w:ascii="ITC Avant Garde" w:hAnsi="ITC Avant Garde"/>
        </w:rPr>
        <w:t xml:space="preserve"> </w:t>
      </w:r>
      <w:r w:rsidR="001060EF" w:rsidRPr="002A2450">
        <w:rPr>
          <w:rFonts w:ascii="ITC Avant Garde" w:hAnsi="ITC Avant Garde"/>
        </w:rPr>
        <w:t xml:space="preserve">en las fojas cincuenta y cinco a cincuenta y seis </w:t>
      </w:r>
      <w:r w:rsidRPr="002A2450">
        <w:rPr>
          <w:rFonts w:ascii="ITC Avant Garde" w:hAnsi="ITC Avant Garde"/>
        </w:rPr>
        <w:t>lo siguiente:</w:t>
      </w:r>
    </w:p>
    <w:p w14:paraId="19CA4D27" w14:textId="77777777" w:rsidR="00B35F13" w:rsidRDefault="00934444" w:rsidP="00B35F13">
      <w:pPr>
        <w:spacing w:before="240" w:line="360" w:lineRule="auto"/>
        <w:ind w:left="567" w:right="567"/>
        <w:jc w:val="both"/>
        <w:rPr>
          <w:rFonts w:ascii="ITC Avant Garde" w:hAnsi="ITC Avant Garde"/>
          <w:i/>
        </w:rPr>
      </w:pPr>
      <w:r w:rsidRPr="002A2450">
        <w:rPr>
          <w:rFonts w:ascii="ITC Avant Garde" w:hAnsi="ITC Avant Garde"/>
          <w:i/>
        </w:rPr>
        <w:t>No obsta lo anterior</w:t>
      </w:r>
      <w:r w:rsidR="00BC79BA" w:rsidRPr="002A2450">
        <w:rPr>
          <w:rFonts w:ascii="ITC Avant Garde" w:hAnsi="ITC Avant Garde"/>
          <w:i/>
        </w:rPr>
        <w:t>,</w:t>
      </w:r>
      <w:r w:rsidRPr="002A2450">
        <w:rPr>
          <w:rFonts w:ascii="ITC Avant Garde" w:hAnsi="ITC Avant Garde"/>
          <w:i/>
        </w:rPr>
        <w:t xml:space="preserve"> lo resuelto por el Segundo Tribunal Colegiado de Circuito en Materia Administrativa Especializado en Competencia Económica, Radiodifusión y Telecomunicaciones, ya que en dicha sentencia se concluye que por explotación de servicios concesionados deben entenderse los beneficios obtenidos de los servicios concesionados y no las ganancias de los servicios concesionados.</w:t>
      </w:r>
    </w:p>
    <w:p w14:paraId="41A3438D" w14:textId="77777777" w:rsidR="00B35F13" w:rsidRDefault="00934444" w:rsidP="00B35F13">
      <w:pPr>
        <w:spacing w:before="240" w:line="360" w:lineRule="auto"/>
        <w:ind w:left="567" w:right="567"/>
        <w:jc w:val="both"/>
        <w:rPr>
          <w:rFonts w:ascii="ITC Avant Garde" w:hAnsi="ITC Avant Garde"/>
          <w:i/>
        </w:rPr>
      </w:pPr>
      <w:r w:rsidRPr="002A2450">
        <w:rPr>
          <w:rFonts w:ascii="ITC Avant Garde" w:hAnsi="ITC Avant Garde"/>
          <w:i/>
        </w:rPr>
        <w:t>Lo anterior es que, las cantidades de dinero recibidas por concepto de interconexión evidentemente son un beneficio para la quejosa puesto que dispone libremente de las mismas y resulta ineficaz afirmar que no obtiene alguna utilidad o un provecho con motivo de la prestación de los servicios de interconexión.</w:t>
      </w:r>
    </w:p>
    <w:p w14:paraId="0E75C24A" w14:textId="77777777" w:rsidR="00B35F13" w:rsidRDefault="00934444"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Al respecto, el Tribunal identifica “explotación” con cantidades de dinero aunque no exista utilidad o ganancia a que cualquier cantidad de dinero recibida constituye un claro beneficio aunque no sea suficiente para cubrir las necesidades o expectativas de la persona quien la recibe.</w:t>
      </w:r>
    </w:p>
    <w:p w14:paraId="064FEDBB" w14:textId="77777777" w:rsidR="00B35F13" w:rsidRDefault="00207F40" w:rsidP="00B35F13">
      <w:pPr>
        <w:spacing w:before="240" w:line="360" w:lineRule="auto"/>
        <w:ind w:left="567" w:right="567"/>
        <w:jc w:val="both"/>
        <w:rPr>
          <w:rFonts w:ascii="ITC Avant Garde" w:hAnsi="ITC Avant Garde"/>
          <w:i/>
        </w:rPr>
      </w:pPr>
      <w:r w:rsidRPr="002A2450">
        <w:rPr>
          <w:rFonts w:ascii="ITC Avant Garde" w:hAnsi="ITC Avant Garde"/>
          <w:i/>
        </w:rPr>
        <w:t xml:space="preserve">Asimismo, deben tomarse en consideración que lo resuelto por el citado Tribunal </w:t>
      </w:r>
      <w:r w:rsidR="009E20A0" w:rsidRPr="002A2450">
        <w:rPr>
          <w:rFonts w:ascii="ITC Avant Garde" w:hAnsi="ITC Avant Garde"/>
          <w:i/>
        </w:rPr>
        <w:t>consiste</w:t>
      </w:r>
      <w:r w:rsidRPr="002A2450">
        <w:rPr>
          <w:rFonts w:ascii="ITC Avant Garde" w:hAnsi="ITC Avant Garde"/>
          <w:i/>
        </w:rPr>
        <w:t xml:space="preserve"> en un conflicto respecto a la participación del gobierno federal de los ingresos obtenidos por la prestación de los servicios de interconexión, y eso explica la precisión respecto a la existencia o no de utilidades.</w:t>
      </w:r>
    </w:p>
    <w:p w14:paraId="4FAA45B6" w14:textId="77777777" w:rsidR="00B35F13" w:rsidRDefault="00BC79BA" w:rsidP="00B35F13">
      <w:pPr>
        <w:spacing w:before="240" w:line="360" w:lineRule="auto"/>
        <w:jc w:val="both"/>
        <w:rPr>
          <w:rFonts w:ascii="ITC Avant Garde" w:hAnsi="ITC Avant Garde"/>
        </w:rPr>
      </w:pPr>
      <w:r w:rsidRPr="002A2450">
        <w:rPr>
          <w:rFonts w:ascii="ITC Avant Garde" w:hAnsi="ITC Avant Garde"/>
        </w:rPr>
        <w:t xml:space="preserve">Dicho argumento resulta </w:t>
      </w:r>
      <w:r w:rsidRPr="002A2450">
        <w:rPr>
          <w:rFonts w:ascii="ITC Avant Garde" w:hAnsi="ITC Avant Garde"/>
          <w:b/>
          <w:u w:val="single"/>
        </w:rPr>
        <w:t>insuficiente</w:t>
      </w:r>
      <w:r w:rsidRPr="002A2450">
        <w:rPr>
          <w:rFonts w:ascii="ITC Avant Garde" w:hAnsi="ITC Avant Garde"/>
        </w:rPr>
        <w:t xml:space="preserve"> en virtud de las siguientes consideraciones:</w:t>
      </w:r>
    </w:p>
    <w:p w14:paraId="29B53C0A" w14:textId="77777777" w:rsidR="00B35F13" w:rsidRDefault="00BC79BA" w:rsidP="00B35F13">
      <w:pPr>
        <w:spacing w:before="240" w:line="360" w:lineRule="auto"/>
        <w:jc w:val="both"/>
        <w:rPr>
          <w:rFonts w:ascii="ITC Avant Garde" w:hAnsi="ITC Avant Garde"/>
        </w:rPr>
      </w:pPr>
      <w:r w:rsidRPr="002A2450">
        <w:rPr>
          <w:rFonts w:ascii="ITC Avant Garde" w:hAnsi="ITC Avant Garde"/>
        </w:rPr>
        <w:t xml:space="preserve">En relación a lo señalado en párrafos anteriores, se señaló que efectivamente la ejecutoria emitida por el Segundo Tribunal Colegiado de Circuito en Materia Administrativa Especializado en Competencia Económica, Radiodifusión y Telecomunicaciones, en el amparo indirecto 7/2014 definió que la explotación </w:t>
      </w:r>
      <w:r w:rsidR="004E7234" w:rsidRPr="002A2450">
        <w:rPr>
          <w:rFonts w:ascii="ITC Avant Garde" w:hAnsi="ITC Avant Garde"/>
        </w:rPr>
        <w:t>debe entenderse por los beneficios de los servicios concesionados y no por las ganancias derivadas.</w:t>
      </w:r>
    </w:p>
    <w:p w14:paraId="5FE1731D" w14:textId="77777777" w:rsidR="00B35F13" w:rsidRDefault="004E7234" w:rsidP="00B35F13">
      <w:pPr>
        <w:spacing w:before="240" w:line="360" w:lineRule="auto"/>
        <w:jc w:val="both"/>
        <w:rPr>
          <w:rFonts w:ascii="ITC Avant Garde" w:hAnsi="ITC Avant Garde"/>
        </w:rPr>
      </w:pPr>
      <w:r w:rsidRPr="002A2450">
        <w:rPr>
          <w:rFonts w:ascii="ITC Avant Garde" w:hAnsi="ITC Avant Garde"/>
        </w:rPr>
        <w:t xml:space="preserve">Sin embargo, como bien lo apunta </w:t>
      </w:r>
      <w:r w:rsidRPr="002A2450">
        <w:rPr>
          <w:rFonts w:ascii="ITC Avant Garde" w:hAnsi="ITC Avant Garde"/>
          <w:b/>
        </w:rPr>
        <w:t xml:space="preserve">“TELMEX” </w:t>
      </w:r>
      <w:r w:rsidRPr="002A2450">
        <w:rPr>
          <w:rFonts w:ascii="ITC Avant Garde" w:hAnsi="ITC Avant Garde"/>
        </w:rPr>
        <w:t xml:space="preserve">el contexto en el que se emitió dicha ejecutoria fue </w:t>
      </w:r>
      <w:r w:rsidRPr="002A2450">
        <w:rPr>
          <w:rFonts w:ascii="ITC Avant Garde" w:hAnsi="ITC Avant Garde"/>
          <w:i/>
        </w:rPr>
        <w:t>“…suponiendo que se estimara a la interconexión como un servicio concesionado no es posible concluir que la totalidad de las cantidades recibidas por ese concepto constituyen una explotación del servicio…”</w:t>
      </w:r>
      <w:r w:rsidRPr="002A2450">
        <w:rPr>
          <w:rFonts w:ascii="ITC Avant Garde" w:hAnsi="ITC Avant Garde"/>
        </w:rPr>
        <w:t>.</w:t>
      </w:r>
    </w:p>
    <w:p w14:paraId="04CD6842" w14:textId="77777777" w:rsidR="00B35F13" w:rsidRDefault="004E7234" w:rsidP="00B35F13">
      <w:pPr>
        <w:spacing w:before="240" w:line="360" w:lineRule="auto"/>
        <w:jc w:val="both"/>
        <w:rPr>
          <w:rFonts w:ascii="ITC Avant Garde" w:hAnsi="ITC Avant Garde"/>
          <w:i/>
        </w:rPr>
      </w:pPr>
      <w:r w:rsidRPr="002A2450">
        <w:rPr>
          <w:rFonts w:ascii="ITC Avant Garde" w:hAnsi="ITC Avant Garde"/>
        </w:rPr>
        <w:t xml:space="preserve">En ese sentido, la propia ejecutoria acota lo siguiente: </w:t>
      </w:r>
      <w:r w:rsidRPr="002A2450">
        <w:rPr>
          <w:rFonts w:ascii="ITC Avant Garde" w:hAnsi="ITC Avant Garde"/>
          <w:i/>
        </w:rPr>
        <w:t xml:space="preserve">“el término explotación no implica generar necesariamente una ganancia de algo, pues la palabra </w:t>
      </w:r>
      <w:r w:rsidRPr="002A2450">
        <w:rPr>
          <w:rFonts w:ascii="ITC Avant Garde" w:hAnsi="ITC Avant Garde"/>
        </w:rPr>
        <w:t>“</w:t>
      </w:r>
      <w:r w:rsidRPr="002A2450">
        <w:rPr>
          <w:rFonts w:ascii="ITC Avant Garde" w:hAnsi="ITC Avant Garde"/>
          <w:i/>
        </w:rPr>
        <w:t>utilidad</w:t>
      </w:r>
      <w:r w:rsidRPr="002A2450">
        <w:rPr>
          <w:rFonts w:ascii="ITC Avant Garde" w:hAnsi="ITC Avant Garde"/>
        </w:rPr>
        <w:t>”</w:t>
      </w:r>
      <w:r w:rsidRPr="002A2450">
        <w:rPr>
          <w:rFonts w:ascii="ITC Avant Garde" w:hAnsi="ITC Avant Garde"/>
          <w:i/>
        </w:rPr>
        <w:t>… de manera general simplemente significa sacar provecho de algo…”</w:t>
      </w:r>
    </w:p>
    <w:p w14:paraId="4F4D3C81" w14:textId="77777777" w:rsidR="00B35F13" w:rsidRDefault="005E73DD" w:rsidP="00B35F13">
      <w:pPr>
        <w:spacing w:before="240" w:line="360" w:lineRule="auto"/>
        <w:jc w:val="both"/>
        <w:rPr>
          <w:rFonts w:ascii="ITC Avant Garde" w:hAnsi="ITC Avant Garde"/>
          <w:i/>
        </w:rPr>
      </w:pPr>
      <w:r w:rsidRPr="002A2450">
        <w:rPr>
          <w:rFonts w:ascii="ITC Avant Garde" w:hAnsi="ITC Avant Garde"/>
        </w:rPr>
        <w:t xml:space="preserve">Al respecto, la ejecutoria concluye que: </w:t>
      </w:r>
      <w:r w:rsidRPr="002A2450">
        <w:rPr>
          <w:rFonts w:ascii="ITC Avant Garde" w:hAnsi="ITC Avant Garde"/>
          <w:i/>
        </w:rPr>
        <w:t>“las cantidades de dinero recibidas por el concepto del servicio de interconexión “el que llama paga”</w:t>
      </w:r>
      <w:r w:rsidR="00F33E18" w:rsidRPr="002A2450">
        <w:rPr>
          <w:rFonts w:ascii="ITC Avant Garde" w:hAnsi="ITC Avant Garde"/>
          <w:i/>
        </w:rPr>
        <w:t xml:space="preserve">… </w:t>
      </w:r>
      <w:r w:rsidRPr="002A2450">
        <w:rPr>
          <w:rFonts w:ascii="ITC Avant Garde" w:hAnsi="ITC Avant Garde"/>
          <w:i/>
        </w:rPr>
        <w:t>con motivo de la prestación de los servicios de interconexión.”</w:t>
      </w:r>
    </w:p>
    <w:p w14:paraId="47F8EFF2" w14:textId="77777777" w:rsidR="00B35F13" w:rsidRDefault="005E73DD" w:rsidP="00B35F13">
      <w:pPr>
        <w:spacing w:before="240" w:line="360" w:lineRule="auto"/>
        <w:jc w:val="both"/>
        <w:rPr>
          <w:rFonts w:ascii="ITC Avant Garde" w:hAnsi="ITC Avant Garde"/>
        </w:rPr>
      </w:pPr>
      <w:r w:rsidRPr="002A2450">
        <w:rPr>
          <w:rFonts w:ascii="ITC Avant Garde" w:hAnsi="ITC Avant Garde"/>
        </w:rPr>
        <w:lastRenderedPageBreak/>
        <w:t xml:space="preserve">En tales consideraciones, lo que </w:t>
      </w:r>
      <w:r w:rsidRPr="002A2450">
        <w:rPr>
          <w:rFonts w:ascii="ITC Avant Garde" w:hAnsi="ITC Avant Garde"/>
          <w:b/>
        </w:rPr>
        <w:t xml:space="preserve">“TELMEX” </w:t>
      </w:r>
      <w:r w:rsidRPr="002A2450">
        <w:rPr>
          <w:rFonts w:ascii="ITC Avant Garde" w:hAnsi="ITC Avant Garde"/>
        </w:rPr>
        <w:t>pasa por alto de la ejecutoria en comento es que para poder llegar a obtener una utilidad o provecho de tipo económico primeramente se requiere de la concesión, esto es, la calidad de sujeto y como consecuencia de ello se obtiene el beneficio que asume, esto es, las cantidades de dinero.</w:t>
      </w:r>
    </w:p>
    <w:p w14:paraId="60530383" w14:textId="77777777" w:rsidR="00B35F13" w:rsidRDefault="005E73DD" w:rsidP="00B35F13">
      <w:pPr>
        <w:spacing w:before="240" w:line="360" w:lineRule="auto"/>
        <w:jc w:val="both"/>
        <w:rPr>
          <w:rFonts w:ascii="ITC Avant Garde" w:hAnsi="ITC Avant Garde"/>
        </w:rPr>
      </w:pPr>
      <w:r w:rsidRPr="002A2450">
        <w:rPr>
          <w:rFonts w:ascii="ITC Avant Garde" w:hAnsi="ITC Avant Garde"/>
        </w:rPr>
        <w:t xml:space="preserve">Con lo anterior, </w:t>
      </w:r>
      <w:r w:rsidR="00513326" w:rsidRPr="002A2450">
        <w:rPr>
          <w:rFonts w:ascii="ITC Avant Garde" w:hAnsi="ITC Avant Garde"/>
        </w:rPr>
        <w:t xml:space="preserve">queda de manifiesto que </w:t>
      </w:r>
      <w:r w:rsidRPr="002A2450">
        <w:rPr>
          <w:rFonts w:ascii="ITC Avant Garde" w:hAnsi="ITC Avant Garde"/>
        </w:rPr>
        <w:t>la prestación del servicio pu</w:t>
      </w:r>
      <w:r w:rsidR="00513326" w:rsidRPr="002A2450">
        <w:rPr>
          <w:rFonts w:ascii="ITC Avant Garde" w:hAnsi="ITC Avant Garde"/>
        </w:rPr>
        <w:t>e</w:t>
      </w:r>
      <w:r w:rsidRPr="002A2450">
        <w:rPr>
          <w:rFonts w:ascii="ITC Avant Garde" w:hAnsi="ITC Avant Garde"/>
        </w:rPr>
        <w:t xml:space="preserve">de dar como resultado o no </w:t>
      </w:r>
      <w:r w:rsidR="00513326" w:rsidRPr="002A2450">
        <w:rPr>
          <w:rFonts w:ascii="ITC Avant Garde" w:hAnsi="ITC Avant Garde"/>
        </w:rPr>
        <w:t xml:space="preserve">la obtención de </w:t>
      </w:r>
      <w:r w:rsidRPr="002A2450">
        <w:rPr>
          <w:rFonts w:ascii="ITC Avant Garde" w:hAnsi="ITC Avant Garde"/>
        </w:rPr>
        <w:t xml:space="preserve">una cantidad de dinero, de lo que se sigue que no necesariamente explotar tenga que ser igual a una ganancia o utilidad por la prestación del servicio, sino que ésta es el resultado final de la operación, puesto que considerar lo que </w:t>
      </w:r>
      <w:r w:rsidRPr="002A2450">
        <w:rPr>
          <w:rFonts w:ascii="ITC Avant Garde" w:hAnsi="ITC Avant Garde"/>
          <w:b/>
        </w:rPr>
        <w:t xml:space="preserve">“TELMEX” </w:t>
      </w:r>
      <w:r w:rsidRPr="002A2450">
        <w:rPr>
          <w:rFonts w:ascii="ITC Avant Garde" w:hAnsi="ITC Avant Garde"/>
        </w:rPr>
        <w:t xml:space="preserve">señala </w:t>
      </w:r>
      <w:r w:rsidR="00F569C7" w:rsidRPr="002A2450">
        <w:rPr>
          <w:rFonts w:ascii="ITC Avant Garde" w:hAnsi="ITC Avant Garde"/>
        </w:rPr>
        <w:t>implicaría que al no haber una ganancia o utilidad no existe explotación, lo cual no es el sentido de</w:t>
      </w:r>
      <w:r w:rsidR="00513326" w:rsidRPr="002A2450">
        <w:rPr>
          <w:rFonts w:ascii="ITC Avant Garde" w:hAnsi="ITC Avant Garde"/>
        </w:rPr>
        <w:t>l término explotación indirecta a que se refiere su propia condición</w:t>
      </w:r>
      <w:r w:rsidR="00F569C7" w:rsidRPr="002A2450">
        <w:rPr>
          <w:rFonts w:ascii="ITC Avant Garde" w:hAnsi="ITC Avant Garde"/>
        </w:rPr>
        <w:t xml:space="preserve">. </w:t>
      </w:r>
    </w:p>
    <w:p w14:paraId="6FC4154D" w14:textId="77777777" w:rsidR="00B35F13" w:rsidRDefault="00513326" w:rsidP="00B35F13">
      <w:pPr>
        <w:spacing w:before="240" w:line="360" w:lineRule="auto"/>
        <w:jc w:val="both"/>
        <w:rPr>
          <w:rFonts w:ascii="ITC Avant Garde" w:hAnsi="ITC Avant Garde"/>
        </w:rPr>
      </w:pPr>
      <w:r w:rsidRPr="002A2450">
        <w:rPr>
          <w:rFonts w:ascii="ITC Avant Garde" w:hAnsi="ITC Avant Garde"/>
        </w:rPr>
        <w:t>Además de lo anterior, debe señalarse que la conducta prohibitiva prevista en su título de concesión es de aquellas que la teoría penal identifica como punibles independientemente de que produzcan un resultado o no, bastando que se actualice el supuesto normativo para que la conducta se considere como susceptible de ser sancionada. Es decir, no se requiere la obtención de resultado alguno para que se materialice la infracción.</w:t>
      </w:r>
    </w:p>
    <w:p w14:paraId="473FAB79" w14:textId="77777777" w:rsidR="00B35F13" w:rsidRDefault="00513326" w:rsidP="00B35F13">
      <w:pPr>
        <w:spacing w:before="240" w:line="360" w:lineRule="auto"/>
        <w:jc w:val="both"/>
        <w:rPr>
          <w:rFonts w:ascii="ITC Avant Garde" w:hAnsi="ITC Avant Garde"/>
        </w:rPr>
      </w:pPr>
      <w:r w:rsidRPr="002A2450">
        <w:rPr>
          <w:rFonts w:ascii="ITC Avant Garde" w:hAnsi="ITC Avant Garde"/>
        </w:rPr>
        <w:t>Sirve de apoyo la siguiente tesis:</w:t>
      </w:r>
    </w:p>
    <w:p w14:paraId="16D96B0D" w14:textId="77777777" w:rsidR="00B35F13" w:rsidRDefault="00513326" w:rsidP="00B35F13">
      <w:pPr>
        <w:spacing w:before="240" w:line="360" w:lineRule="auto"/>
        <w:ind w:left="567" w:right="567"/>
        <w:jc w:val="both"/>
        <w:rPr>
          <w:rFonts w:ascii="ITC Avant Garde" w:hAnsi="ITC Avant Garde"/>
        </w:rPr>
      </w:pPr>
      <w:r w:rsidRPr="002A2450">
        <w:rPr>
          <w:rFonts w:ascii="ITC Avant Garde" w:hAnsi="ITC Avant Garde"/>
          <w:b/>
        </w:rPr>
        <w:t xml:space="preserve">DEFRAUDACIÓN FISCAL PREVISTA EN LA FRACCIÓN I DEL ARTÍCULO 109 DEL CÓDIGO FISCAL DE LA FEDERACIÓN. DERIVADO DE SU NATURALEZA JURÍDICA SE DESPRENDE QUE ES UN ILÍCITO DE MERA CONDUCTA. </w:t>
      </w:r>
      <w:r w:rsidRPr="002A2450">
        <w:rPr>
          <w:rFonts w:ascii="ITC Avant Garde" w:hAnsi="ITC Avant Garde"/>
        </w:rPr>
        <w:t xml:space="preserve">Los delitos de mera conducta son los que describen como punible el simple comportamiento del agente y, por ello, el legislador ha considerado que la conducta por sí misma, dada su potencialidad criminosa, debe ser objeto de represión penal, independientemente del resultado que pueda producir; en cambio, los delitos de resultado se caracterizan porque la sola conducta no es suficiente para su incriminación, sino que </w:t>
      </w:r>
      <w:r w:rsidRPr="002A2450">
        <w:rPr>
          <w:rFonts w:ascii="ITC Avant Garde" w:hAnsi="ITC Avant Garde"/>
        </w:rPr>
        <w:lastRenderedPageBreak/>
        <w:t xml:space="preserve">se hace necesaria la producción de un evento dado, de tal manera que si éste no se realiza, el hecho carece de tipicidad plena. De esta forma, el delito de defraudación fiscal previsto en la fracción I del artículo 109 del Código Fiscal de la Federación que dice: "Artículo 109. Será sancionado con las mismas penas del delito de defraudación fiscal, quien: I. Consigne en las declaraciones que presente para efectos fiscales, deducciones falsas o ingresos acumulables menores a los realmente obtenidos o determinados conforme a las leyes. ...", se trata de un ilícito que en atención a su contenido o forma de integración fáctica, es de los llamados de mera conducta, es decir, no exige la producción de un resultado material, pues tiene su consumación cuando se consignan en las declaraciones (que se presentan para efectos fiscales) deducciones falsas o ingresos menores a los obtenidos o determinados conforme a las leyes, por lo que la conducta descrita, por sí sola, es suficiente para acreditar el cuerpo del delito, pues se trata de un delito </w:t>
      </w:r>
      <w:proofErr w:type="spellStart"/>
      <w:r w:rsidRPr="002A2450">
        <w:rPr>
          <w:rFonts w:ascii="ITC Avant Garde" w:hAnsi="ITC Avant Garde"/>
        </w:rPr>
        <w:t>unisubsistente</w:t>
      </w:r>
      <w:proofErr w:type="spellEnd"/>
      <w:r w:rsidRPr="002A2450">
        <w:rPr>
          <w:rFonts w:ascii="ITC Avant Garde" w:hAnsi="ITC Avant Garde"/>
        </w:rPr>
        <w:t>, es decir, configurado por un solo acto, en este supuesto consistente en consignar deducciones falsas o ingresos acumulables menores a los realmente obtenidos, o a los determinados conforme a las leyes, sin que lo anterior implique que la conducta no genere un resultado que pudiere causar un perjuicio al fisco federal; sin embargo, ello no es un elemento integrador del cuerpo del delito.</w:t>
      </w:r>
    </w:p>
    <w:p w14:paraId="662C0248" w14:textId="77777777" w:rsidR="00B35F13" w:rsidRDefault="00513326" w:rsidP="00B35F13">
      <w:pPr>
        <w:spacing w:before="240" w:line="360" w:lineRule="auto"/>
        <w:ind w:left="567" w:right="567"/>
        <w:jc w:val="both"/>
        <w:rPr>
          <w:rFonts w:ascii="ITC Avant Garde" w:hAnsi="ITC Avant Garde"/>
          <w:sz w:val="20"/>
          <w:szCs w:val="20"/>
        </w:rPr>
      </w:pPr>
      <w:r w:rsidRPr="002A2450">
        <w:rPr>
          <w:rFonts w:ascii="ITC Avant Garde" w:hAnsi="ITC Avant Garde"/>
          <w:sz w:val="20"/>
          <w:szCs w:val="20"/>
        </w:rPr>
        <w:t>SEXTO TRIBUNAL COLEGIADO EN MATERIA PENAL DEL PRIMER CIRCUITO.</w:t>
      </w:r>
    </w:p>
    <w:p w14:paraId="2E38954E" w14:textId="77777777" w:rsidR="00B35F13" w:rsidRDefault="00513326" w:rsidP="00B35F13">
      <w:pPr>
        <w:spacing w:before="240" w:line="360" w:lineRule="auto"/>
        <w:ind w:left="567" w:right="567"/>
        <w:jc w:val="both"/>
        <w:rPr>
          <w:rFonts w:ascii="ITC Avant Garde" w:hAnsi="ITC Avant Garde"/>
          <w:sz w:val="20"/>
          <w:szCs w:val="20"/>
        </w:rPr>
      </w:pPr>
      <w:r w:rsidRPr="002A2450">
        <w:rPr>
          <w:rFonts w:ascii="ITC Avant Garde" w:hAnsi="ITC Avant Garde"/>
          <w:sz w:val="20"/>
          <w:szCs w:val="20"/>
        </w:rPr>
        <w:t>Amparo en revisión 1246/2002. 21 de enero de 2003. Unanimidad de votos. Ponente: Gloria Rangel del Valle, secretaria de tribunal autorizada en términos del artículo 36 de la Ley Orgánica del Poder Judicial de la Federación, para desempeñar las funciones de Magistrada. Secretario: Felipe Gilberto Vázquez Pedraza.</w:t>
      </w:r>
    </w:p>
    <w:p w14:paraId="4DFCA7AA" w14:textId="77777777" w:rsidR="00B35F13" w:rsidRDefault="008E1AD9" w:rsidP="00B35F13">
      <w:pPr>
        <w:spacing w:before="240" w:line="360" w:lineRule="auto"/>
        <w:ind w:left="567" w:right="567"/>
        <w:jc w:val="both"/>
        <w:rPr>
          <w:rFonts w:ascii="ITC Avant Garde" w:hAnsi="ITC Avant Garde"/>
          <w:sz w:val="20"/>
          <w:szCs w:val="20"/>
        </w:rPr>
      </w:pPr>
      <w:r w:rsidRPr="002A2450">
        <w:rPr>
          <w:rFonts w:ascii="ITC Avant Garde" w:hAnsi="ITC Avant Garde"/>
          <w:sz w:val="20"/>
          <w:szCs w:val="20"/>
        </w:rPr>
        <w:lastRenderedPageBreak/>
        <w:t>Época: Novena Época, Registro: 184503, Instancia: Tribunales Colegiados de Circuito, Tipo de Tesis: Aislada, Fuente: Semanario Judicial de la Federación y su Gaceta, Tomo XVII, Abril de 2003, Materia(s): Penal, Tesis: I.6o.P.55, Página: 1074</w:t>
      </w:r>
    </w:p>
    <w:p w14:paraId="044582AC" w14:textId="77777777" w:rsidR="00B35F13" w:rsidRDefault="00F569C7" w:rsidP="00B35F13">
      <w:pPr>
        <w:spacing w:before="240" w:line="360" w:lineRule="auto"/>
        <w:jc w:val="both"/>
        <w:rPr>
          <w:rFonts w:ascii="ITC Avant Garde" w:hAnsi="ITC Avant Garde"/>
        </w:rPr>
      </w:pPr>
      <w:r w:rsidRPr="002A2450">
        <w:rPr>
          <w:rFonts w:ascii="ITC Avant Garde" w:hAnsi="ITC Avant Garde"/>
        </w:rPr>
        <w:t xml:space="preserve">Así las cosas, sus argumentos resultan </w:t>
      </w:r>
      <w:r w:rsidRPr="002A2450">
        <w:rPr>
          <w:rFonts w:ascii="ITC Avant Garde" w:hAnsi="ITC Avant Garde"/>
          <w:b/>
          <w:u w:val="single"/>
        </w:rPr>
        <w:t>insuficientes</w:t>
      </w:r>
      <w:r w:rsidRPr="002A2450">
        <w:rPr>
          <w:rFonts w:ascii="ITC Avant Garde" w:hAnsi="ITC Avant Garde"/>
          <w:b/>
        </w:rPr>
        <w:t xml:space="preserve"> </w:t>
      </w:r>
      <w:r w:rsidRPr="002A2450">
        <w:rPr>
          <w:rFonts w:ascii="ITC Avant Garde" w:hAnsi="ITC Avant Garde"/>
        </w:rPr>
        <w:t>para desvirtuar la conducta materia del presente procedimiento</w:t>
      </w:r>
      <w:r w:rsidR="00BF5591" w:rsidRPr="002A2450">
        <w:rPr>
          <w:rFonts w:ascii="ITC Avant Garde" w:hAnsi="ITC Avant Garde"/>
        </w:rPr>
        <w:t>,</w:t>
      </w:r>
      <w:r w:rsidRPr="002A2450">
        <w:rPr>
          <w:rFonts w:ascii="ITC Avant Garde" w:hAnsi="ITC Avant Garde"/>
        </w:rPr>
        <w:t xml:space="preserve"> </w:t>
      </w:r>
      <w:r w:rsidR="00CD273C" w:rsidRPr="002A2450">
        <w:rPr>
          <w:rFonts w:ascii="ITC Avant Garde" w:hAnsi="ITC Avant Garde"/>
        </w:rPr>
        <w:t>lo anterior, ya que como ha quedado señalado, la explotación es una actividad que puede realizarse directa o indirectamente, la cual no necesariamente puede tener una utilidad o ganancia, puesto que ello es el resultado de la operación realizada en tanto que la explotación es el aprovechamiento de la concesión o el servicio prestado.</w:t>
      </w:r>
    </w:p>
    <w:p w14:paraId="56C8C062" w14:textId="77777777" w:rsidR="00B35F13" w:rsidRDefault="00CD273C"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w:t>
      </w:r>
      <w:r w:rsidR="001060EF" w:rsidRPr="002A2450">
        <w:rPr>
          <w:rFonts w:ascii="ITC Avant Garde" w:hAnsi="ITC Avant Garde"/>
        </w:rPr>
        <w:t xml:space="preserve">continúa manifestando en las fojas cincuenta y seis </w:t>
      </w:r>
      <w:r w:rsidR="00E23A45" w:rsidRPr="002A2450">
        <w:rPr>
          <w:rFonts w:ascii="ITC Avant Garde" w:hAnsi="ITC Avant Garde"/>
        </w:rPr>
        <w:t xml:space="preserve">a cincuenta y ocho </w:t>
      </w:r>
      <w:r w:rsidRPr="002A2450">
        <w:rPr>
          <w:rFonts w:ascii="ITC Avant Garde" w:hAnsi="ITC Avant Garde"/>
        </w:rPr>
        <w:t>lo siguiente:</w:t>
      </w:r>
    </w:p>
    <w:p w14:paraId="27319EED" w14:textId="77777777" w:rsidR="00B35F13" w:rsidRDefault="00207F40" w:rsidP="00B35F13">
      <w:pPr>
        <w:spacing w:before="240" w:line="360" w:lineRule="auto"/>
        <w:ind w:left="567" w:right="567"/>
        <w:jc w:val="both"/>
        <w:rPr>
          <w:rFonts w:ascii="ITC Avant Garde" w:hAnsi="ITC Avant Garde"/>
          <w:i/>
        </w:rPr>
      </w:pPr>
      <w:r w:rsidRPr="002A2450">
        <w:rPr>
          <w:rFonts w:ascii="ITC Avant Garde" w:hAnsi="ITC Avant Garde"/>
          <w:i/>
        </w:rPr>
        <w:t xml:space="preserve">Sin embargo la Unidad de Cumplimiento desprende de la ejecutoria emitida por el citado Tribunal que </w:t>
      </w:r>
      <w:r w:rsidR="005B601B" w:rsidRPr="002A2450">
        <w:rPr>
          <w:rFonts w:ascii="ITC Avant Garde" w:hAnsi="ITC Avant Garde"/>
          <w:b/>
          <w:i/>
        </w:rPr>
        <w:t>“TELMEX”</w:t>
      </w:r>
      <w:r w:rsidRPr="002A2450">
        <w:rPr>
          <w:rFonts w:ascii="ITC Avant Garde" w:hAnsi="ITC Avant Garde"/>
          <w:i/>
        </w:rPr>
        <w:t xml:space="preserve"> esa obligada a un “no hacer” consistente en no beneficiarse o aprovecharse, de ninguna manera directa o indirectamente, lo cual es inexacto.</w:t>
      </w:r>
    </w:p>
    <w:p w14:paraId="71D2AF60" w14:textId="77777777" w:rsidR="00B35F13" w:rsidRDefault="00207F40" w:rsidP="00B35F13">
      <w:pPr>
        <w:spacing w:before="240" w:line="360" w:lineRule="auto"/>
        <w:ind w:left="567" w:right="567"/>
        <w:jc w:val="both"/>
        <w:rPr>
          <w:rFonts w:ascii="ITC Avant Garde" w:hAnsi="ITC Avant Garde"/>
          <w:i/>
        </w:rPr>
      </w:pPr>
      <w:r w:rsidRPr="002A2450">
        <w:rPr>
          <w:rFonts w:ascii="ITC Avant Garde" w:hAnsi="ITC Avant Garde"/>
          <w:i/>
        </w:rPr>
        <w:t xml:space="preserve">Lo anterior ya que, </w:t>
      </w:r>
      <w:r w:rsidR="005B601B" w:rsidRPr="002A2450">
        <w:rPr>
          <w:rFonts w:ascii="ITC Avant Garde" w:hAnsi="ITC Avant Garde"/>
          <w:b/>
          <w:i/>
        </w:rPr>
        <w:t>“TELMEX”</w:t>
      </w:r>
      <w:r w:rsidRPr="002A2450">
        <w:rPr>
          <w:rFonts w:ascii="ITC Avant Garde" w:hAnsi="ITC Avant Garde"/>
          <w:i/>
        </w:rPr>
        <w:t xml:space="preserve"> tiene prohibido es un hacer consistente en explotar una concesión de servicios de televisión al público, obtenga o no un beneficio económico y no un “no hacer” consistente en “no beneficiarse” de algo de manera general originada por algo o por algún medio.</w:t>
      </w:r>
    </w:p>
    <w:p w14:paraId="7EA0F707" w14:textId="77777777" w:rsidR="00B35F13" w:rsidRDefault="00207F40" w:rsidP="00B35F13">
      <w:pPr>
        <w:spacing w:before="240" w:line="360" w:lineRule="auto"/>
        <w:ind w:left="567" w:right="567"/>
        <w:jc w:val="both"/>
        <w:rPr>
          <w:rFonts w:ascii="ITC Avant Garde" w:hAnsi="ITC Avant Garde"/>
          <w:i/>
        </w:rPr>
      </w:pPr>
      <w:r w:rsidRPr="002A2450">
        <w:rPr>
          <w:rFonts w:ascii="ITC Avant Garde" w:hAnsi="ITC Avant Garde"/>
          <w:i/>
        </w:rPr>
        <w:t>Beneficiarse es una consecuencia y no un hacer, lo que prohíbe es la acción esto es “explotar” una concesión de servicios de televisión al público y no la consecuencia.</w:t>
      </w:r>
    </w:p>
    <w:p w14:paraId="0FCEA750" w14:textId="77777777" w:rsidR="00B35F13" w:rsidRDefault="00D34AF6" w:rsidP="00B35F13">
      <w:pPr>
        <w:spacing w:before="240" w:line="360" w:lineRule="auto"/>
        <w:ind w:left="567" w:right="567"/>
        <w:jc w:val="both"/>
        <w:rPr>
          <w:rFonts w:ascii="ITC Avant Garde" w:hAnsi="ITC Avant Garde"/>
          <w:i/>
        </w:rPr>
      </w:pPr>
      <w:r w:rsidRPr="002A2450">
        <w:rPr>
          <w:rFonts w:ascii="ITC Avant Garde" w:hAnsi="ITC Avant Garde"/>
          <w:i/>
        </w:rPr>
        <w:t xml:space="preserve">El artículo 54 de la LVGC no regula la supuesta infracción al tercer párrafo de la condición 1-9 del Título de Concesión de </w:t>
      </w:r>
      <w:r w:rsidR="005B601B" w:rsidRPr="002A2450">
        <w:rPr>
          <w:rFonts w:ascii="ITC Avant Garde" w:hAnsi="ITC Avant Garde"/>
          <w:b/>
          <w:i/>
        </w:rPr>
        <w:t>“TELMEX”</w:t>
      </w:r>
      <w:r w:rsidRPr="002A2450">
        <w:rPr>
          <w:rFonts w:ascii="ITC Avant Garde" w:hAnsi="ITC Avant Garde"/>
          <w:i/>
        </w:rPr>
        <w:t xml:space="preserve"> puesto que no opera ni explota la concesión de televisión restringida. Esto es </w:t>
      </w:r>
      <w:r w:rsidR="005B601B" w:rsidRPr="002A2450">
        <w:rPr>
          <w:rFonts w:ascii="ITC Avant Garde" w:hAnsi="ITC Avant Garde"/>
          <w:b/>
          <w:i/>
        </w:rPr>
        <w:lastRenderedPageBreak/>
        <w:t>“TELMEX”</w:t>
      </w:r>
      <w:r w:rsidRPr="002A2450">
        <w:rPr>
          <w:rFonts w:ascii="ITC Avant Garde" w:hAnsi="ITC Avant Garde"/>
          <w:i/>
        </w:rPr>
        <w:t xml:space="preserve"> no recibe de los usuarios la contraprestación por los servicios públicos de televisión restringida, ni presta servicios concesionados.</w:t>
      </w:r>
    </w:p>
    <w:p w14:paraId="32B1270F" w14:textId="77777777" w:rsidR="00B35F13" w:rsidRDefault="00D34AF6" w:rsidP="00B35F13">
      <w:pPr>
        <w:spacing w:before="240" w:line="360" w:lineRule="auto"/>
        <w:ind w:left="567" w:right="567"/>
        <w:jc w:val="both"/>
        <w:rPr>
          <w:rFonts w:ascii="ITC Avant Garde" w:hAnsi="ITC Avant Garde"/>
          <w:i/>
        </w:rPr>
      </w:pPr>
      <w:r w:rsidRPr="002A2450">
        <w:rPr>
          <w:rFonts w:ascii="ITC Avant Garde" w:hAnsi="ITC Avant Garde"/>
          <w:i/>
        </w:rPr>
        <w:t>Por lo que al no existir explotación conjunta de servicios de vías generales de comunicación es inaplicable el artículo 54 de la LVGC.</w:t>
      </w:r>
    </w:p>
    <w:p w14:paraId="5B713885"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 xml:space="preserve">En todo caso es cierto, como la autoridad sugiere: “para el caso de que </w:t>
      </w:r>
      <w:r w:rsidR="005B601B" w:rsidRPr="002A2450">
        <w:rPr>
          <w:rFonts w:ascii="ITC Avant Garde" w:hAnsi="ITC Avant Garde"/>
          <w:b/>
          <w:i/>
        </w:rPr>
        <w:t>“TELMEX”</w:t>
      </w:r>
      <w:r w:rsidRPr="002A2450">
        <w:rPr>
          <w:rFonts w:ascii="ITC Avant Garde" w:hAnsi="ITC Avant Garde"/>
          <w:i/>
        </w:rPr>
        <w:t xml:space="preserve"> decidiera prestar algún servicio no previsto en su título de concesión de manera conjunta con otras u otras empresas, deberá existir autorización de la autoridad correspondiente, pero al no ser el caso, esta referencia debe tenerse por no puesta.”</w:t>
      </w:r>
    </w:p>
    <w:p w14:paraId="0160A83F"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 xml:space="preserve">En ningún caso se acredita que </w:t>
      </w:r>
      <w:r w:rsidR="005B601B" w:rsidRPr="002A2450">
        <w:rPr>
          <w:rFonts w:ascii="ITC Avant Garde" w:hAnsi="ITC Avant Garde"/>
          <w:b/>
          <w:i/>
        </w:rPr>
        <w:t>“TELMEX”</w:t>
      </w:r>
      <w:r w:rsidRPr="002A2450">
        <w:rPr>
          <w:rFonts w:ascii="ITC Avant Garde" w:hAnsi="ITC Avant Garde"/>
          <w:i/>
        </w:rPr>
        <w:t xml:space="preserve"> explote conjuntamente la concesión de televisión restringida de </w:t>
      </w:r>
      <w:proofErr w:type="spellStart"/>
      <w:r w:rsidRPr="002A2450">
        <w:rPr>
          <w:rFonts w:ascii="ITC Avant Garde" w:hAnsi="ITC Avant Garde"/>
          <w:i/>
        </w:rPr>
        <w:t>Dish</w:t>
      </w:r>
      <w:proofErr w:type="spellEnd"/>
      <w:r w:rsidRPr="002A2450">
        <w:rPr>
          <w:rFonts w:ascii="ITC Avant Garde" w:hAnsi="ITC Avant Garde"/>
          <w:i/>
        </w:rPr>
        <w:t>/</w:t>
      </w:r>
      <w:proofErr w:type="spellStart"/>
      <w:r w:rsidRPr="002A2450">
        <w:rPr>
          <w:rFonts w:ascii="ITC Avant Garde" w:hAnsi="ITC Avant Garde"/>
          <w:i/>
        </w:rPr>
        <w:t>Cofresa</w:t>
      </w:r>
      <w:proofErr w:type="spellEnd"/>
      <w:r w:rsidRPr="002A2450">
        <w:rPr>
          <w:rFonts w:ascii="ITC Avant Garde" w:hAnsi="ITC Avant Garde"/>
          <w:i/>
        </w:rPr>
        <w:t xml:space="preserve">. Lo único que se ha acreditado es que </w:t>
      </w:r>
      <w:r w:rsidR="005B601B" w:rsidRPr="002A2450">
        <w:rPr>
          <w:rFonts w:ascii="ITC Avant Garde" w:hAnsi="ITC Avant Garde"/>
          <w:b/>
          <w:i/>
        </w:rPr>
        <w:t>“TELMEX”</w:t>
      </w:r>
      <w:r w:rsidRPr="002A2450">
        <w:rPr>
          <w:rFonts w:ascii="ITC Avant Garde" w:hAnsi="ITC Avant Garde"/>
          <w:i/>
        </w:rPr>
        <w:t xml:space="preserve"> le presta a </w:t>
      </w:r>
      <w:proofErr w:type="spellStart"/>
      <w:r w:rsidRPr="002A2450">
        <w:rPr>
          <w:rFonts w:ascii="ITC Avant Garde" w:hAnsi="ITC Avant Garde"/>
          <w:i/>
        </w:rPr>
        <w:t>Cofresa</w:t>
      </w:r>
      <w:proofErr w:type="spellEnd"/>
      <w:r w:rsidRPr="002A2450">
        <w:rPr>
          <w:rFonts w:ascii="ITC Avant Garde" w:hAnsi="ITC Avant Garde"/>
          <w:i/>
        </w:rPr>
        <w:t xml:space="preserve"> diversos servicios administrativo que no son sino servicios complementarios a la prestación en </w:t>
      </w:r>
      <w:r w:rsidR="00702143" w:rsidRPr="002A2450">
        <w:rPr>
          <w:rFonts w:ascii="ITC Avant Garde" w:hAnsi="ITC Avant Garde"/>
          <w:i/>
        </w:rPr>
        <w:t>sí</w:t>
      </w:r>
      <w:r w:rsidRPr="002A2450">
        <w:rPr>
          <w:rFonts w:ascii="ITC Avant Garde" w:hAnsi="ITC Avant Garde"/>
          <w:i/>
        </w:rPr>
        <w:t>.</w:t>
      </w:r>
    </w:p>
    <w:p w14:paraId="033BEB0B" w14:textId="77777777" w:rsidR="00B35F13" w:rsidRDefault="009C44E2" w:rsidP="00B35F13">
      <w:pPr>
        <w:spacing w:before="240" w:line="360" w:lineRule="auto"/>
        <w:jc w:val="both"/>
        <w:rPr>
          <w:rFonts w:ascii="ITC Avant Garde" w:hAnsi="ITC Avant Garde"/>
        </w:rPr>
      </w:pPr>
      <w:r w:rsidRPr="002A2450">
        <w:rPr>
          <w:rFonts w:ascii="ITC Avant Garde" w:hAnsi="ITC Avant Garde"/>
        </w:rPr>
        <w:t xml:space="preserve">Al respecto, sus argumentos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299D6816" w14:textId="77777777" w:rsidR="00B35F13" w:rsidRDefault="009C44E2" w:rsidP="00B35F13">
      <w:pPr>
        <w:spacing w:before="240" w:line="360" w:lineRule="auto"/>
        <w:jc w:val="both"/>
        <w:rPr>
          <w:rFonts w:ascii="ITC Avant Garde" w:hAnsi="ITC Avant Garde"/>
        </w:rPr>
      </w:pPr>
      <w:r w:rsidRPr="002A2450">
        <w:rPr>
          <w:rFonts w:ascii="ITC Avant Garde" w:hAnsi="ITC Avant Garde"/>
        </w:rPr>
        <w:t xml:space="preserve">En principio, debe señalarse que en términos del acuerdo de inicio, la prohibición expresa de </w:t>
      </w:r>
      <w:r w:rsidRPr="002A2450">
        <w:rPr>
          <w:rFonts w:ascii="ITC Avant Garde" w:hAnsi="ITC Avant Garde"/>
          <w:i/>
        </w:rPr>
        <w:t>“no podrá explotar”</w:t>
      </w:r>
      <w:r w:rsidRPr="002A2450">
        <w:rPr>
          <w:rFonts w:ascii="ITC Avant Garde" w:hAnsi="ITC Avant Garde"/>
          <w:b/>
          <w:i/>
        </w:rPr>
        <w:t xml:space="preserve"> </w:t>
      </w:r>
      <w:r w:rsidRPr="002A2450">
        <w:rPr>
          <w:rFonts w:ascii="ITC Avant Garde" w:hAnsi="ITC Avant Garde"/>
        </w:rPr>
        <w:t>no derivó de la ejecutoria emitida por el Segundo Tribunal Colegiado de Circuito en Materia Administrativa Especializado en Competencia Económica, Radiodifusión y Telecomunic</w:t>
      </w:r>
      <w:r w:rsidR="00BF5591" w:rsidRPr="002A2450">
        <w:rPr>
          <w:rFonts w:ascii="ITC Avant Garde" w:hAnsi="ITC Avant Garde"/>
        </w:rPr>
        <w:t>aciones sino que la misma deriva</w:t>
      </w:r>
      <w:r w:rsidRPr="002A2450">
        <w:rPr>
          <w:rFonts w:ascii="ITC Avant Garde" w:hAnsi="ITC Avant Garde"/>
        </w:rPr>
        <w:t xml:space="preserve"> de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w:t>
      </w:r>
    </w:p>
    <w:p w14:paraId="4B6BE9A7" w14:textId="77777777" w:rsidR="00B35F13" w:rsidRDefault="009C44E2" w:rsidP="00B35F13">
      <w:pPr>
        <w:spacing w:before="240" w:line="360" w:lineRule="auto"/>
        <w:jc w:val="both"/>
        <w:rPr>
          <w:rFonts w:ascii="ITC Avant Garde" w:hAnsi="ITC Avant Garde"/>
        </w:rPr>
      </w:pPr>
      <w:r w:rsidRPr="002A2450">
        <w:rPr>
          <w:rFonts w:ascii="ITC Avant Garde" w:hAnsi="ITC Avant Garde"/>
        </w:rPr>
        <w:t xml:space="preserve">En ese sentido, este </w:t>
      </w:r>
      <w:r w:rsidRPr="002A2450">
        <w:rPr>
          <w:rFonts w:ascii="ITC Avant Garde" w:hAnsi="ITC Avant Garde"/>
          <w:b/>
        </w:rPr>
        <w:t>“IFT”</w:t>
      </w:r>
      <w:r w:rsidRPr="002A2450">
        <w:rPr>
          <w:rFonts w:ascii="ITC Avant Garde" w:hAnsi="ITC Avant Garde"/>
        </w:rPr>
        <w:t xml:space="preserve"> se apoyó en la ejecutoria emitida por el Tribunal Colegiado antes mencionado para robustecer el hecho de que la explotación no necesariamente implicaba la obtención de una cantidad de dinero.</w:t>
      </w:r>
    </w:p>
    <w:p w14:paraId="500447DB" w14:textId="77777777" w:rsidR="00B35F13" w:rsidRDefault="009C44E2" w:rsidP="00B35F13">
      <w:pPr>
        <w:spacing w:before="240" w:line="360" w:lineRule="auto"/>
        <w:jc w:val="both"/>
        <w:rPr>
          <w:rFonts w:ascii="ITC Avant Garde" w:hAnsi="ITC Avant Garde"/>
        </w:rPr>
      </w:pPr>
      <w:r w:rsidRPr="002A2450">
        <w:rPr>
          <w:rFonts w:ascii="ITC Avant Garde" w:hAnsi="ITC Avant Garde"/>
        </w:rPr>
        <w:t xml:space="preserve">En tales consideraciones, contrario a lo sostenido por </w:t>
      </w:r>
      <w:r w:rsidRPr="002A2450">
        <w:rPr>
          <w:rFonts w:ascii="ITC Avant Garde" w:hAnsi="ITC Avant Garde"/>
          <w:b/>
        </w:rPr>
        <w:t>“TELMEX”</w:t>
      </w:r>
      <w:r w:rsidRPr="002A2450">
        <w:rPr>
          <w:rFonts w:ascii="ITC Avant Garde" w:hAnsi="ITC Avant Garde"/>
        </w:rPr>
        <w:t xml:space="preserve"> esta autoridad no basó la prohibición señalada de la ejecutoria en comento.</w:t>
      </w:r>
    </w:p>
    <w:p w14:paraId="385A4787" w14:textId="77777777" w:rsidR="00B35F13" w:rsidRDefault="009C44E2" w:rsidP="00B35F13">
      <w:pPr>
        <w:spacing w:before="240" w:line="360" w:lineRule="auto"/>
        <w:jc w:val="both"/>
        <w:rPr>
          <w:rFonts w:ascii="ITC Avant Garde" w:hAnsi="ITC Avant Garde"/>
        </w:rPr>
      </w:pPr>
      <w:r w:rsidRPr="002A2450">
        <w:rPr>
          <w:rFonts w:ascii="ITC Avant Garde" w:hAnsi="ITC Avant Garde"/>
        </w:rPr>
        <w:lastRenderedPageBreak/>
        <w:t xml:space="preserve">Ahora bien, </w:t>
      </w:r>
      <w:r w:rsidRPr="002A2450">
        <w:rPr>
          <w:rFonts w:ascii="ITC Avant Garde" w:hAnsi="ITC Avant Garde"/>
          <w:b/>
        </w:rPr>
        <w:t>“TELMEX”</w:t>
      </w:r>
      <w:r w:rsidRPr="002A2450">
        <w:rPr>
          <w:rFonts w:ascii="ITC Avant Garde" w:hAnsi="ITC Avant Garde"/>
        </w:rPr>
        <w:t xml:space="preserve"> manifiesta que lo que tiene prohibido es un hacer, esto es, explotar una concesión de </w:t>
      </w:r>
      <w:r w:rsidR="00174775" w:rsidRPr="002A2450">
        <w:rPr>
          <w:rFonts w:ascii="ITC Avant Garde" w:hAnsi="ITC Avant Garde"/>
        </w:rPr>
        <w:t>servicios al público en el país y un no hacer que consiste en no beneficiarse por algo o por algún medio.</w:t>
      </w:r>
      <w:r w:rsidR="00174775" w:rsidRPr="002A2450">
        <w:rPr>
          <w:rFonts w:ascii="ITC Avant Garde" w:hAnsi="ITC Avant Garde"/>
          <w:i/>
        </w:rPr>
        <w:t xml:space="preserve"> </w:t>
      </w:r>
      <w:r w:rsidR="00174775" w:rsidRPr="002A2450">
        <w:rPr>
          <w:rFonts w:ascii="ITC Avant Garde" w:hAnsi="ITC Avant Garde"/>
        </w:rPr>
        <w:t xml:space="preserve">Beneficiarse es una consecuencia y no un hacer, lo que prohíbe es la acción esto es </w:t>
      </w:r>
      <w:r w:rsidR="00174775" w:rsidRPr="002A2450">
        <w:rPr>
          <w:rFonts w:ascii="ITC Avant Garde" w:hAnsi="ITC Avant Garde"/>
          <w:i/>
        </w:rPr>
        <w:t>“explotar”</w:t>
      </w:r>
      <w:r w:rsidR="00174775" w:rsidRPr="002A2450">
        <w:rPr>
          <w:rFonts w:ascii="ITC Avant Garde" w:hAnsi="ITC Avant Garde"/>
        </w:rPr>
        <w:t xml:space="preserve"> una concesión de servicios de televisión al público y no la consecuencia.</w:t>
      </w:r>
    </w:p>
    <w:p w14:paraId="3BBFE690" w14:textId="77777777" w:rsidR="00B35F13" w:rsidRDefault="00174775" w:rsidP="00B35F13">
      <w:pPr>
        <w:spacing w:before="240" w:line="360" w:lineRule="auto"/>
        <w:jc w:val="both"/>
        <w:rPr>
          <w:rFonts w:ascii="ITC Avant Garde" w:hAnsi="ITC Avant Garde"/>
        </w:rPr>
      </w:pPr>
      <w:r w:rsidRPr="002A2450">
        <w:rPr>
          <w:rFonts w:ascii="ITC Avant Garde" w:hAnsi="ITC Avant Garde"/>
        </w:rPr>
        <w:t xml:space="preserve">Al respecto, debe señalarse que lo manifestado por </w:t>
      </w:r>
      <w:r w:rsidRPr="002A2450">
        <w:rPr>
          <w:rFonts w:ascii="ITC Avant Garde" w:hAnsi="ITC Avant Garde"/>
          <w:b/>
        </w:rPr>
        <w:t>“TELMEX”</w:t>
      </w:r>
      <w:r w:rsidRPr="002A2450">
        <w:rPr>
          <w:rFonts w:ascii="ITC Avant Garde" w:hAnsi="ITC Avant Garde"/>
        </w:rPr>
        <w:t xml:space="preserve"> no desvirtúa la conducta materia del presente procedimiento, puesto que al amparo de la connotación de </w:t>
      </w:r>
      <w:r w:rsidRPr="002A2450">
        <w:rPr>
          <w:rFonts w:ascii="ITC Avant Garde" w:hAnsi="ITC Avant Garde"/>
          <w:i/>
        </w:rPr>
        <w:t xml:space="preserve">explotar </w:t>
      </w:r>
      <w:r w:rsidRPr="002A2450">
        <w:rPr>
          <w:rFonts w:ascii="ITC Avant Garde" w:hAnsi="ITC Avant Garde"/>
        </w:rPr>
        <w:t xml:space="preserve">con la que se inició el presente procedimiento, la prohibición que tiene dicha concesionaria es precisamente </w:t>
      </w:r>
      <w:r w:rsidRPr="002A2450">
        <w:rPr>
          <w:rFonts w:ascii="ITC Avant Garde" w:hAnsi="ITC Avant Garde"/>
          <w:i/>
        </w:rPr>
        <w:t>no explotar</w:t>
      </w:r>
      <w:r w:rsidRPr="002A2450">
        <w:rPr>
          <w:rFonts w:ascii="ITC Avant Garde" w:hAnsi="ITC Avant Garde"/>
        </w:rPr>
        <w:t xml:space="preserve">, de lo que se sigue que no puede realizar una conducta </w:t>
      </w:r>
      <w:r w:rsidR="00F33E18" w:rsidRPr="002A2450">
        <w:rPr>
          <w:rFonts w:ascii="ITC Avant Garde" w:hAnsi="ITC Avant Garde"/>
        </w:rPr>
        <w:t xml:space="preserve">dónde cuente con la capacidad de hecho o de derecho para participar o incidir, a través de cualquier medio, mecanismo o forma, en la operación o los derechos derivados de una concesión otorgada por la autoridad competente para prestar servicios de televisión al público en cualquiera de sus modalidades </w:t>
      </w:r>
      <w:r w:rsidRPr="002A2450">
        <w:rPr>
          <w:rFonts w:ascii="ITC Avant Garde" w:hAnsi="ITC Avant Garde"/>
        </w:rPr>
        <w:t>que implique la prestación de servicios de televisión en el país.</w:t>
      </w:r>
    </w:p>
    <w:p w14:paraId="40151BDD" w14:textId="77777777" w:rsidR="00B35F13" w:rsidRDefault="00174775" w:rsidP="00B35F13">
      <w:pPr>
        <w:spacing w:before="240" w:line="360" w:lineRule="auto"/>
        <w:jc w:val="both"/>
        <w:rPr>
          <w:rFonts w:ascii="ITC Avant Garde" w:hAnsi="ITC Avant Garde"/>
          <w:b/>
        </w:rPr>
      </w:pPr>
      <w:r w:rsidRPr="002A2450">
        <w:rPr>
          <w:rFonts w:ascii="ITC Avant Garde" w:hAnsi="ITC Avant Garde"/>
        </w:rPr>
        <w:t>En tales consideraciones, no obstante e</w:t>
      </w:r>
      <w:r w:rsidR="00BF5591" w:rsidRPr="002A2450">
        <w:rPr>
          <w:rFonts w:ascii="ITC Avant Garde" w:hAnsi="ITC Avant Garde"/>
        </w:rPr>
        <w:t>l</w:t>
      </w:r>
      <w:r w:rsidRPr="002A2450">
        <w:rPr>
          <w:rFonts w:ascii="ITC Avant Garde" w:hAnsi="ITC Avant Garde"/>
        </w:rPr>
        <w:t xml:space="preserve"> sentido deóntico que pretenda </w:t>
      </w:r>
      <w:r w:rsidRPr="002A2450">
        <w:rPr>
          <w:rFonts w:ascii="ITC Avant Garde" w:hAnsi="ITC Avant Garde"/>
          <w:b/>
        </w:rPr>
        <w:t>“TELMEX”</w:t>
      </w:r>
      <w:r w:rsidRPr="002A2450">
        <w:rPr>
          <w:rFonts w:ascii="ITC Avant Garde" w:hAnsi="ITC Avant Garde"/>
        </w:rPr>
        <w:t xml:space="preserve"> atribuir a la condición 1-9 de su </w:t>
      </w:r>
      <w:r w:rsidRPr="002A2450">
        <w:rPr>
          <w:rFonts w:ascii="ITC Avant Garde" w:hAnsi="ITC Avant Garde"/>
          <w:b/>
        </w:rPr>
        <w:t>“TÍTULO DE CONCESIÓN”</w:t>
      </w:r>
      <w:r w:rsidRPr="002A2450">
        <w:rPr>
          <w:rFonts w:ascii="ITC Avant Garde" w:hAnsi="ITC Avant Garde"/>
        </w:rPr>
        <w:t xml:space="preserve"> resulta innegable que la explotación directa o indirecta está prohibida, de lo que se sigue que ello implica no hacer </w:t>
      </w:r>
      <w:r w:rsidR="008E1AD9" w:rsidRPr="002A2450">
        <w:rPr>
          <w:rFonts w:ascii="ITC Avant Garde" w:hAnsi="ITC Avant Garde"/>
        </w:rPr>
        <w:t>consistente en</w:t>
      </w:r>
      <w:r w:rsidR="000A0ECB" w:rsidRPr="002A2450">
        <w:rPr>
          <w:rFonts w:ascii="ITC Avant Garde" w:hAnsi="ITC Avant Garde"/>
        </w:rPr>
        <w:t xml:space="preserve"> la capacidad de hecho o derecho para </w:t>
      </w:r>
      <w:r w:rsidR="008E1AD9" w:rsidRPr="002A2450">
        <w:rPr>
          <w:rFonts w:ascii="ITC Avant Garde" w:hAnsi="ITC Avant Garde"/>
        </w:rPr>
        <w:t>incidir en el ejercicio de los derechos derivados de</w:t>
      </w:r>
      <w:r w:rsidR="000A0ECB" w:rsidRPr="002A2450">
        <w:rPr>
          <w:rFonts w:ascii="ITC Avant Garde" w:hAnsi="ITC Avant Garde"/>
        </w:rPr>
        <w:t xml:space="preserve"> </w:t>
      </w:r>
      <w:r w:rsidR="00BF5591" w:rsidRPr="002A2450">
        <w:rPr>
          <w:rFonts w:ascii="ITC Avant Garde" w:hAnsi="ITC Avant Garde"/>
        </w:rPr>
        <w:t xml:space="preserve">la concesión </w:t>
      </w:r>
      <w:r w:rsidR="000A0ECB" w:rsidRPr="002A2450">
        <w:rPr>
          <w:rFonts w:ascii="ITC Avant Garde" w:hAnsi="ITC Avant Garde"/>
        </w:rPr>
        <w:t>otorgada a</w:t>
      </w:r>
      <w:r w:rsidR="00BF5591" w:rsidRPr="002A2450">
        <w:rPr>
          <w:rFonts w:ascii="ITC Avant Garde" w:hAnsi="ITC Avant Garde"/>
        </w:rPr>
        <w:t xml:space="preserve"> </w:t>
      </w:r>
      <w:r w:rsidR="00BF5591" w:rsidRPr="002A2450">
        <w:rPr>
          <w:rFonts w:ascii="ITC Avant Garde" w:hAnsi="ITC Avant Garde"/>
          <w:b/>
        </w:rPr>
        <w:t>“COFRESA”.</w:t>
      </w:r>
    </w:p>
    <w:p w14:paraId="559D84BF" w14:textId="77777777" w:rsidR="00B35F13" w:rsidRDefault="00034D6A" w:rsidP="00B35F13">
      <w:pPr>
        <w:spacing w:before="240" w:line="360" w:lineRule="auto"/>
        <w:jc w:val="both"/>
        <w:rPr>
          <w:rFonts w:ascii="ITC Avant Garde" w:hAnsi="ITC Avant Garde"/>
        </w:rPr>
      </w:pPr>
      <w:r w:rsidRPr="002A2450">
        <w:rPr>
          <w:rFonts w:ascii="ITC Avant Garde" w:hAnsi="ITC Avant Garde"/>
        </w:rPr>
        <w:t xml:space="preserve">Por lo anterior, en nada beneficia a </w:t>
      </w:r>
      <w:r w:rsidRPr="002A2450">
        <w:rPr>
          <w:rFonts w:ascii="ITC Avant Garde" w:hAnsi="ITC Avant Garde"/>
          <w:b/>
        </w:rPr>
        <w:t>“TELMEX”</w:t>
      </w:r>
      <w:r w:rsidRPr="002A2450">
        <w:rPr>
          <w:rFonts w:ascii="ITC Avant Garde" w:hAnsi="ITC Avant Garde"/>
        </w:rPr>
        <w:t xml:space="preserve"> lo argumentado, puesto que ello no desvirtúa la conducta materia del presente procedimiento, esto es, explotar de manera indirecta un</w:t>
      </w:r>
      <w:r w:rsidR="008E1AD9" w:rsidRPr="002A2450">
        <w:rPr>
          <w:rFonts w:ascii="ITC Avant Garde" w:hAnsi="ITC Avant Garde"/>
        </w:rPr>
        <w:t xml:space="preserve">a concesión de servicios </w:t>
      </w:r>
      <w:r w:rsidRPr="002A2450">
        <w:rPr>
          <w:rFonts w:ascii="ITC Avant Garde" w:hAnsi="ITC Avant Garde"/>
        </w:rPr>
        <w:t>de televisión</w:t>
      </w:r>
      <w:r w:rsidR="008E1AD9" w:rsidRPr="002A2450">
        <w:rPr>
          <w:rFonts w:ascii="ITC Avant Garde" w:hAnsi="ITC Avant Garde"/>
        </w:rPr>
        <w:t xml:space="preserve"> al público</w:t>
      </w:r>
      <w:r w:rsidRPr="002A2450">
        <w:rPr>
          <w:rFonts w:ascii="ITC Avant Garde" w:hAnsi="ITC Avant Garde"/>
        </w:rPr>
        <w:t xml:space="preserve"> en el país.</w:t>
      </w:r>
    </w:p>
    <w:p w14:paraId="23CF329E" w14:textId="77777777" w:rsidR="00B35F13" w:rsidRDefault="0035680F" w:rsidP="00B35F13">
      <w:pPr>
        <w:spacing w:before="240" w:line="360" w:lineRule="auto"/>
        <w:jc w:val="both"/>
        <w:rPr>
          <w:rFonts w:ascii="ITC Avant Garde" w:hAnsi="ITC Avant Garde"/>
        </w:rPr>
      </w:pPr>
      <w:r w:rsidRPr="002A2450">
        <w:rPr>
          <w:rFonts w:ascii="ITC Avant Garde" w:hAnsi="ITC Avant Garde"/>
        </w:rPr>
        <w:t xml:space="preserve">Ahora bien, en cuanto a la aplicación del artículo 54 de la </w:t>
      </w:r>
      <w:r w:rsidRPr="002A2450">
        <w:rPr>
          <w:rFonts w:ascii="ITC Avant Garde" w:hAnsi="ITC Avant Garde"/>
          <w:b/>
        </w:rPr>
        <w:t>“LGVC”,</w:t>
      </w:r>
      <w:r w:rsidRPr="002A2450">
        <w:rPr>
          <w:rFonts w:ascii="ITC Avant Garde" w:hAnsi="ITC Avant Garde"/>
        </w:rPr>
        <w:t xml:space="preserve"> disposición que continúa vigente, se advierte la autorización previa de la Secretaría de Comunicaciones y Transportes para explotar servicios o parte de ellos de manera conjunta con otra u otras empresas nacionales o extranjeras</w:t>
      </w:r>
    </w:p>
    <w:p w14:paraId="46004E36" w14:textId="77777777" w:rsidR="00B35F13" w:rsidRDefault="00987D8E" w:rsidP="00B35F13">
      <w:pPr>
        <w:spacing w:before="240" w:line="360" w:lineRule="auto"/>
        <w:jc w:val="both"/>
        <w:rPr>
          <w:rFonts w:ascii="ITC Avant Garde" w:hAnsi="ITC Avant Garde"/>
        </w:rPr>
      </w:pPr>
      <w:r w:rsidRPr="002A2450">
        <w:rPr>
          <w:rFonts w:ascii="ITC Avant Garde" w:hAnsi="ITC Avant Garde"/>
        </w:rPr>
        <w:lastRenderedPageBreak/>
        <w:t xml:space="preserve">Ahora bien, dicha disposición resulta aplicable a </w:t>
      </w:r>
      <w:r w:rsidRPr="002A2450">
        <w:rPr>
          <w:rFonts w:ascii="ITC Avant Garde" w:hAnsi="ITC Avant Garde"/>
          <w:b/>
        </w:rPr>
        <w:t>“TELMEX”</w:t>
      </w:r>
      <w:r w:rsidRPr="002A2450">
        <w:rPr>
          <w:rFonts w:ascii="ITC Avant Garde" w:hAnsi="ITC Avant Garde"/>
        </w:rPr>
        <w:t xml:space="preserve"> dado que la condición 2-1 Legislación aplicable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establece que:</w:t>
      </w:r>
    </w:p>
    <w:p w14:paraId="71DCC7F2" w14:textId="77777777" w:rsidR="00B35F13" w:rsidRDefault="00987D8E" w:rsidP="00B35F13">
      <w:pPr>
        <w:spacing w:before="240" w:line="360" w:lineRule="auto"/>
        <w:ind w:left="567" w:right="567"/>
        <w:jc w:val="both"/>
        <w:rPr>
          <w:rFonts w:ascii="ITC Avant Garde" w:hAnsi="ITC Avant Garde"/>
          <w:i/>
        </w:rPr>
      </w:pPr>
      <w:r w:rsidRPr="002A2450">
        <w:rPr>
          <w:rFonts w:ascii="ITC Avant Garde" w:hAnsi="ITC Avant Garde"/>
          <w:i/>
        </w:rPr>
        <w:t xml:space="preserve">“El servicio público concesionado por medio de este Título, se rige por la Constitución Política de los Estados Unidos Mexicanos, </w:t>
      </w:r>
      <w:r w:rsidRPr="002A2450">
        <w:rPr>
          <w:rFonts w:ascii="ITC Avant Garde" w:hAnsi="ITC Avant Garde"/>
          <w:b/>
          <w:i/>
          <w:u w:val="single"/>
        </w:rPr>
        <w:t>la Ley de Vías Generales de Comunicación</w:t>
      </w:r>
      <w:r w:rsidRPr="002A2450">
        <w:rPr>
          <w:rFonts w:ascii="ITC Avant Garde" w:hAnsi="ITC Avant Garde"/>
          <w:i/>
        </w:rPr>
        <w:t>, la Ley General de Bienes Nacionales y sus Reglamentos, y por toda aquella legislación que se emita aplicable a la materia; por los convenios, acuerdos y tratados internacionales suscritos y en los que en un futuro suscriba en la materia el Gobierno Mexicano, y por los términos mismos de esa Concesión.”</w:t>
      </w:r>
    </w:p>
    <w:p w14:paraId="28A8D6CA" w14:textId="77777777" w:rsidR="00B35F13" w:rsidRDefault="00987D8E" w:rsidP="00B35F13">
      <w:pPr>
        <w:spacing w:before="240" w:line="360" w:lineRule="auto"/>
        <w:jc w:val="both"/>
        <w:rPr>
          <w:rFonts w:ascii="ITC Avant Garde" w:hAnsi="ITC Avant Garde"/>
        </w:rPr>
      </w:pPr>
      <w:r w:rsidRPr="002A2450">
        <w:rPr>
          <w:rFonts w:ascii="ITC Avant Garde" w:hAnsi="ITC Avant Garde"/>
        </w:rPr>
        <w:t xml:space="preserve">En ese sentido, es innegable que la </w:t>
      </w:r>
      <w:r w:rsidRPr="002A2450">
        <w:rPr>
          <w:rFonts w:ascii="ITC Avant Garde" w:hAnsi="ITC Avant Garde"/>
          <w:b/>
        </w:rPr>
        <w:t>“LVGC”</w:t>
      </w:r>
      <w:r w:rsidRPr="002A2450">
        <w:rPr>
          <w:rFonts w:ascii="ITC Avant Garde" w:hAnsi="ITC Avant Garde"/>
        </w:rPr>
        <w:t xml:space="preserve"> resulta aplicable al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w:t>
      </w:r>
    </w:p>
    <w:p w14:paraId="178C8312" w14:textId="77777777" w:rsidR="00B35F13" w:rsidRDefault="007519A0" w:rsidP="00B35F13">
      <w:pPr>
        <w:spacing w:before="240" w:line="360" w:lineRule="auto"/>
        <w:jc w:val="both"/>
        <w:rPr>
          <w:rFonts w:ascii="ITC Avant Garde" w:hAnsi="ITC Avant Garde"/>
        </w:rPr>
      </w:pPr>
      <w:r w:rsidRPr="002A2450">
        <w:rPr>
          <w:rFonts w:ascii="ITC Avant Garde" w:hAnsi="ITC Avant Garde"/>
        </w:rPr>
        <w:t xml:space="preserve">Así las cosas, en términos del citado artículo 54 de la </w:t>
      </w:r>
      <w:r w:rsidRPr="002A2450">
        <w:rPr>
          <w:rFonts w:ascii="ITC Avant Garde" w:hAnsi="ITC Avant Garde"/>
          <w:b/>
        </w:rPr>
        <w:t>“LVGC”,</w:t>
      </w:r>
      <w:r w:rsidRPr="002A2450">
        <w:rPr>
          <w:rFonts w:ascii="ITC Avant Garde" w:hAnsi="ITC Avant Garde"/>
        </w:rPr>
        <w:t xml:space="preserve"> se </w:t>
      </w:r>
      <w:proofErr w:type="gramStart"/>
      <w:r w:rsidRPr="002A2450">
        <w:rPr>
          <w:rFonts w:ascii="ITC Avant Garde" w:hAnsi="ITC Avant Garde"/>
        </w:rPr>
        <w:t>requiere</w:t>
      </w:r>
      <w:proofErr w:type="gramEnd"/>
      <w:r w:rsidRPr="002A2450">
        <w:rPr>
          <w:rFonts w:ascii="ITC Avant Garde" w:hAnsi="ITC Avant Garde"/>
        </w:rPr>
        <w:t xml:space="preserve"> autorización previa para explotar conjuntamente un servicio o parte de ellos con otra u otras empresas nacionales o extranjeras.</w:t>
      </w:r>
    </w:p>
    <w:p w14:paraId="312684DE" w14:textId="77777777" w:rsidR="00B35F13" w:rsidRDefault="007519A0" w:rsidP="00B35F13">
      <w:pPr>
        <w:spacing w:before="240" w:line="360" w:lineRule="auto"/>
        <w:jc w:val="both"/>
        <w:rPr>
          <w:rFonts w:ascii="ITC Avant Garde" w:hAnsi="ITC Avant Garde"/>
        </w:rPr>
      </w:pPr>
      <w:r w:rsidRPr="002A2450">
        <w:rPr>
          <w:rFonts w:ascii="ITC Avant Garde" w:hAnsi="ITC Avant Garde"/>
        </w:rPr>
        <w:t xml:space="preserve">Por tanto, contrario a lo manifestado por </w:t>
      </w:r>
      <w:r w:rsidRPr="002A2450">
        <w:rPr>
          <w:rFonts w:ascii="ITC Avant Garde" w:hAnsi="ITC Avant Garde"/>
          <w:b/>
        </w:rPr>
        <w:t>“TELMEX”</w:t>
      </w:r>
      <w:r w:rsidRPr="002A2450">
        <w:rPr>
          <w:rFonts w:ascii="ITC Avant Garde" w:hAnsi="ITC Avant Garde"/>
        </w:rPr>
        <w:t xml:space="preserve"> dicha disposición le resulta aplicable y como consecuencia</w:t>
      </w:r>
      <w:r w:rsidR="0060351D" w:rsidRPr="002A2450">
        <w:rPr>
          <w:rFonts w:ascii="ITC Avant Garde" w:hAnsi="ITC Avant Garde"/>
        </w:rPr>
        <w:t xml:space="preserve">, también lo es </w:t>
      </w:r>
      <w:r w:rsidRPr="002A2450">
        <w:rPr>
          <w:rFonts w:ascii="ITC Avant Garde" w:hAnsi="ITC Avant Garde"/>
        </w:rPr>
        <w:t xml:space="preserve">a la citada condición 1-9 de su </w:t>
      </w:r>
      <w:r w:rsidRPr="002A2450">
        <w:rPr>
          <w:rFonts w:ascii="ITC Avant Garde" w:hAnsi="ITC Avant Garde"/>
          <w:b/>
        </w:rPr>
        <w:t>“TÍTULO DE CONCESIÓN”</w:t>
      </w:r>
      <w:r w:rsidRPr="002A2450">
        <w:rPr>
          <w:rFonts w:ascii="ITC Avant Garde" w:hAnsi="ITC Avant Garde"/>
        </w:rPr>
        <w:t>.</w:t>
      </w:r>
    </w:p>
    <w:p w14:paraId="5212449B" w14:textId="77777777" w:rsidR="00B35F13" w:rsidRDefault="007519A0" w:rsidP="00B35F13">
      <w:pPr>
        <w:spacing w:before="240" w:line="360" w:lineRule="auto"/>
        <w:jc w:val="both"/>
        <w:rPr>
          <w:rFonts w:ascii="ITC Avant Garde" w:hAnsi="ITC Avant Garde"/>
        </w:rPr>
      </w:pPr>
      <w:r w:rsidRPr="002A2450">
        <w:rPr>
          <w:rFonts w:ascii="ITC Avant Garde" w:hAnsi="ITC Avant Garde"/>
        </w:rPr>
        <w:t xml:space="preserve">Lo anterior sin perjuicio de que </w:t>
      </w:r>
      <w:r w:rsidRPr="002A2450">
        <w:rPr>
          <w:rFonts w:ascii="ITC Avant Garde" w:hAnsi="ITC Avant Garde"/>
          <w:b/>
        </w:rPr>
        <w:t>“TELMEX”</w:t>
      </w:r>
      <w:r w:rsidRPr="002A2450">
        <w:rPr>
          <w:rFonts w:ascii="ITC Avant Garde" w:hAnsi="ITC Avant Garde"/>
        </w:rPr>
        <w:t xml:space="preserve"> señala que no explota un servicio de televisión restringida, ni recibe usuarios ni contraprestación alguna por servicios de televisión en el país, ya que independientemente de dichas circunstancias, la conducta materia del presente procedimiento es precisamente la </w:t>
      </w:r>
      <w:r w:rsidR="008F718E" w:rsidRPr="009E34A4">
        <w:rPr>
          <w:rFonts w:ascii="ITC Avant Garde" w:hAnsi="ITC Avant Garde"/>
        </w:rPr>
        <w:t xml:space="preserve">explotación indirecta </w:t>
      </w:r>
      <w:r w:rsidRPr="002A2450">
        <w:rPr>
          <w:rFonts w:ascii="ITC Avant Garde" w:hAnsi="ITC Avant Garde"/>
        </w:rPr>
        <w:t xml:space="preserve">de ese servicio a través de </w:t>
      </w:r>
      <w:r w:rsidRPr="00444314">
        <w:rPr>
          <w:rFonts w:ascii="ITC Avant Garde" w:hAnsi="ITC Avant Garde"/>
          <w:b/>
        </w:rPr>
        <w:t>“COFRESA”</w:t>
      </w:r>
      <w:r w:rsidRPr="002A2450">
        <w:rPr>
          <w:rFonts w:ascii="ITC Avant Garde" w:hAnsi="ITC Avant Garde"/>
        </w:rPr>
        <w:t xml:space="preserve"> </w:t>
      </w:r>
      <w:r w:rsidR="00BF5591" w:rsidRPr="002A2450">
        <w:rPr>
          <w:rFonts w:ascii="ITC Avant Garde" w:hAnsi="ITC Avant Garde"/>
        </w:rPr>
        <w:t xml:space="preserve">mediante los mecanismos y obligaciones derivados </w:t>
      </w:r>
      <w:r w:rsidR="001E180E" w:rsidRPr="002A2450">
        <w:rPr>
          <w:rFonts w:ascii="ITC Avant Garde" w:hAnsi="ITC Avant Garde"/>
        </w:rPr>
        <w:t>de los derechos consignados en los contratos de opción y de consecuencias, los cuales fueron terminados el ocho de agosto de dos mil catorce.</w:t>
      </w:r>
    </w:p>
    <w:p w14:paraId="798BF8AA" w14:textId="77777777" w:rsidR="00B35F13" w:rsidRDefault="00313048" w:rsidP="00B35F13">
      <w:pPr>
        <w:spacing w:before="240" w:line="360" w:lineRule="auto"/>
        <w:jc w:val="both"/>
        <w:rPr>
          <w:rFonts w:ascii="ITC Avant Garde" w:hAnsi="ITC Avant Garde"/>
        </w:rPr>
      </w:pPr>
      <w:r w:rsidRPr="002A2450">
        <w:rPr>
          <w:rFonts w:ascii="ITC Avant Garde" w:hAnsi="ITC Avant Garde"/>
          <w:b/>
        </w:rPr>
        <w:lastRenderedPageBreak/>
        <w:t>“TELMEX”</w:t>
      </w:r>
      <w:r w:rsidRPr="002A2450">
        <w:rPr>
          <w:rFonts w:ascii="ITC Avant Garde" w:hAnsi="ITC Avant Garde"/>
        </w:rPr>
        <w:t xml:space="preserve"> continúa manifestando </w:t>
      </w:r>
      <w:r w:rsidR="00E23A45" w:rsidRPr="002A2450">
        <w:rPr>
          <w:rFonts w:ascii="ITC Avant Garde" w:hAnsi="ITC Avant Garde"/>
        </w:rPr>
        <w:t xml:space="preserve">en las fojas cincuenta y ocho a cincuenta y nueve </w:t>
      </w:r>
      <w:r w:rsidRPr="002A2450">
        <w:rPr>
          <w:rFonts w:ascii="ITC Avant Garde" w:hAnsi="ITC Avant Garde"/>
        </w:rPr>
        <w:t>lo siguiente:</w:t>
      </w:r>
    </w:p>
    <w:p w14:paraId="7ACEDFBB"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 xml:space="preserve">Como se hace notar “explotar”, </w:t>
      </w:r>
      <w:r w:rsidR="00313048" w:rsidRPr="002A2450">
        <w:rPr>
          <w:rFonts w:ascii="ITC Avant Garde" w:hAnsi="ITC Avant Garde"/>
          <w:i/>
        </w:rPr>
        <w:t xml:space="preserve">para </w:t>
      </w:r>
      <w:r w:rsidRPr="002A2450">
        <w:rPr>
          <w:rFonts w:ascii="ITC Avant Garde" w:hAnsi="ITC Avant Garde"/>
          <w:i/>
        </w:rPr>
        <w:t>la Unidad de Cumplimiento pretendió establecer que es sinónimo de un beneficio de algo o de alguien, pero peca de impreciso.</w:t>
      </w:r>
    </w:p>
    <w:p w14:paraId="18F2E9C5"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 xml:space="preserve">El Título de Concesión de </w:t>
      </w:r>
      <w:r w:rsidR="005B601B" w:rsidRPr="002A2450">
        <w:rPr>
          <w:rFonts w:ascii="ITC Avant Garde" w:hAnsi="ITC Avant Garde"/>
          <w:b/>
          <w:i/>
        </w:rPr>
        <w:t>“TELMEX”</w:t>
      </w:r>
      <w:r w:rsidRPr="002A2450">
        <w:rPr>
          <w:rFonts w:ascii="ITC Avant Garde" w:hAnsi="ITC Avant Garde"/>
          <w:i/>
        </w:rPr>
        <w:t xml:space="preserve"> no utiliza la expresión “explotar” en forma aislada sino que lo vincula con la explotación de un sistema de televisión al público. Por tanto, lo que se necesita es definir es “explotar una concesión” y no explotar en forma aislada.</w:t>
      </w:r>
    </w:p>
    <w:p w14:paraId="04EBF764"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sólo se ocupó de buscar la definición de “explotar” y por eso concluyó en una interpretación ambigua que permite asumir cualquier tipo de beneficio es sinónimo de “explotar”.</w:t>
      </w:r>
    </w:p>
    <w:p w14:paraId="6CEDE5D5" w14:textId="77777777" w:rsidR="00B35F13" w:rsidRDefault="009E20A0" w:rsidP="00B35F13">
      <w:pPr>
        <w:spacing w:before="240" w:line="360" w:lineRule="auto"/>
        <w:ind w:left="567" w:right="567"/>
        <w:jc w:val="both"/>
        <w:rPr>
          <w:rFonts w:ascii="ITC Avant Garde" w:hAnsi="ITC Avant Garde"/>
          <w:i/>
        </w:rPr>
      </w:pPr>
      <w:r w:rsidRPr="002A2450">
        <w:rPr>
          <w:rFonts w:ascii="ITC Avant Garde" w:hAnsi="ITC Avant Garde"/>
          <w:i/>
        </w:rPr>
        <w:t>Explotar una concesión significa obtener para si los frutos de la operación y prestación de los servicios concesionados y no cualquier beneficio.</w:t>
      </w:r>
    </w:p>
    <w:p w14:paraId="2616F592" w14:textId="77777777" w:rsidR="00B35F13" w:rsidRDefault="00D505DA"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afirma que las obligaciones y restricciones impuestas l</w:t>
      </w:r>
      <w:r w:rsidR="00313048" w:rsidRPr="002A2450">
        <w:rPr>
          <w:rFonts w:ascii="ITC Avant Garde" w:hAnsi="ITC Avant Garde"/>
          <w:i/>
        </w:rPr>
        <w:t>o</w:t>
      </w:r>
      <w:r w:rsidRPr="002A2450">
        <w:rPr>
          <w:rFonts w:ascii="ITC Avant Garde" w:hAnsi="ITC Avant Garde"/>
          <w:i/>
        </w:rPr>
        <w:t xml:space="preserve"> limitan subjetiva y directamente, como indirectamente a todas las personas o empresas con la que se encuentran vinculadas.</w:t>
      </w:r>
    </w:p>
    <w:p w14:paraId="4347044F" w14:textId="77777777" w:rsidR="00B35F13" w:rsidRDefault="00D505DA" w:rsidP="00B35F13">
      <w:pPr>
        <w:spacing w:before="240" w:line="360" w:lineRule="auto"/>
        <w:ind w:left="567" w:right="567"/>
        <w:jc w:val="both"/>
        <w:rPr>
          <w:rFonts w:ascii="ITC Avant Garde" w:hAnsi="ITC Avant Garde"/>
          <w:i/>
        </w:rPr>
      </w:pPr>
      <w:r w:rsidRPr="002A2450">
        <w:rPr>
          <w:rFonts w:ascii="ITC Avant Garde" w:hAnsi="ITC Avant Garde"/>
          <w:i/>
        </w:rPr>
        <w:t xml:space="preserve">Esto es falso, la restricción </w:t>
      </w:r>
      <w:r w:rsidR="00D37D8C" w:rsidRPr="002A2450">
        <w:rPr>
          <w:rFonts w:ascii="ITC Avant Garde" w:hAnsi="ITC Avant Garde"/>
          <w:i/>
        </w:rPr>
        <w:t>le aplican únicamente a dicha concesionaria y a sus empresas subsidiarias, pero no así a todas las empresas que se encuentren vinculadas, si eso hubiera sido así, lo habría establecido dicho Título de Concesión.</w:t>
      </w:r>
    </w:p>
    <w:p w14:paraId="5931DC57" w14:textId="77777777" w:rsidR="00B35F13" w:rsidRDefault="00313048" w:rsidP="00B35F13">
      <w:pPr>
        <w:spacing w:before="240" w:line="360" w:lineRule="auto"/>
        <w:jc w:val="both"/>
        <w:rPr>
          <w:rFonts w:ascii="ITC Avant Garde" w:hAnsi="ITC Avant Garde"/>
        </w:rPr>
      </w:pPr>
      <w:r w:rsidRPr="002A2450">
        <w:rPr>
          <w:rFonts w:ascii="ITC Avant Garde" w:hAnsi="ITC Avant Garde"/>
        </w:rPr>
        <w:t xml:space="preserve">Dicho argumento resulta </w:t>
      </w:r>
      <w:r w:rsidRPr="002A2450">
        <w:rPr>
          <w:rFonts w:ascii="ITC Avant Garde" w:hAnsi="ITC Avant Garde"/>
          <w:b/>
          <w:u w:val="single"/>
        </w:rPr>
        <w:t>insuficiente</w:t>
      </w:r>
      <w:r w:rsidRPr="002A2450">
        <w:rPr>
          <w:rFonts w:ascii="ITC Avant Garde" w:hAnsi="ITC Avant Garde"/>
        </w:rPr>
        <w:t xml:space="preserve"> en virtud de las siguientes consideraciones:</w:t>
      </w:r>
    </w:p>
    <w:p w14:paraId="473C14EA"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 xml:space="preserve">El término explotar </w:t>
      </w:r>
      <w:r w:rsidR="008E1AD9" w:rsidRPr="002A2450">
        <w:rPr>
          <w:rFonts w:ascii="ITC Avant Garde" w:hAnsi="ITC Avant Garde"/>
        </w:rPr>
        <w:t xml:space="preserve">en su acepción gramatical </w:t>
      </w:r>
      <w:r w:rsidRPr="002A2450">
        <w:rPr>
          <w:rFonts w:ascii="ITC Avant Garde" w:hAnsi="ITC Avant Garde"/>
        </w:rPr>
        <w:t xml:space="preserve">como bien lo señala </w:t>
      </w:r>
      <w:r w:rsidRPr="002A2450">
        <w:rPr>
          <w:rFonts w:ascii="ITC Avant Garde" w:hAnsi="ITC Avant Garde"/>
          <w:b/>
        </w:rPr>
        <w:t>“TELMEX”</w:t>
      </w:r>
      <w:r w:rsidRPr="002A2450">
        <w:rPr>
          <w:rFonts w:ascii="ITC Avant Garde" w:hAnsi="ITC Avant Garde"/>
        </w:rPr>
        <w:t xml:space="preserve"> en términos de acuerdo de inicio se refirió expresamente como </w:t>
      </w:r>
      <w:r w:rsidR="008E1AD9" w:rsidRPr="002A2450">
        <w:rPr>
          <w:rFonts w:ascii="ITC Avant Garde" w:hAnsi="ITC Avant Garde"/>
        </w:rPr>
        <w:t>sacar p</w:t>
      </w:r>
      <w:r w:rsidR="004A30C7">
        <w:rPr>
          <w:rFonts w:ascii="ITC Avant Garde" w:hAnsi="ITC Avant Garde"/>
        </w:rPr>
        <w:t>r</w:t>
      </w:r>
      <w:r w:rsidR="008E1AD9" w:rsidRPr="002A2450">
        <w:rPr>
          <w:rFonts w:ascii="ITC Avant Garde" w:hAnsi="ITC Avant Garde"/>
        </w:rPr>
        <w:t xml:space="preserve">ovecho o utilidad de algo, sin embargo entendido en el contexto de la concesión se traduce como </w:t>
      </w:r>
      <w:r w:rsidR="00BB5A9E" w:rsidRPr="002A2450">
        <w:rPr>
          <w:rFonts w:ascii="ITC Avant Garde" w:hAnsi="ITC Avant Garde"/>
        </w:rPr>
        <w:t xml:space="preserve">la capacidad de hecho o de derecho para participar o incidir, a través de </w:t>
      </w:r>
      <w:r w:rsidR="00BB5A9E" w:rsidRPr="002A2450">
        <w:rPr>
          <w:rFonts w:ascii="ITC Avant Garde" w:hAnsi="ITC Avant Garde"/>
        </w:rPr>
        <w:lastRenderedPageBreak/>
        <w:t xml:space="preserve">cualquier medio, mecanismo o forma, en la operación o los derechos derivados de una concesión otorgada por la autoridad competente para prestar servicios de televisión al público en cualquiera de sus modalidades. </w:t>
      </w:r>
    </w:p>
    <w:p w14:paraId="4B7AE0F0"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 xml:space="preserve">En ese sentido, el propio acuerdo de inicio señaló que hasta en tanto no se satisfagan los requisito relativos a: i) el otorgamiento de una concesión y ii) se realice conforme a las reglas y condiciones otorgadas no existe un derecho, por lo que se ubica en la </w:t>
      </w:r>
      <w:r w:rsidRPr="002A2450">
        <w:rPr>
          <w:rFonts w:ascii="ITC Avant Garde" w:hAnsi="ITC Avant Garde"/>
          <w:i/>
        </w:rPr>
        <w:t xml:space="preserve">expectativa </w:t>
      </w:r>
      <w:r w:rsidRPr="002A2450">
        <w:rPr>
          <w:rFonts w:ascii="ITC Avant Garde" w:hAnsi="ITC Avant Garde"/>
        </w:rPr>
        <w:t>que puede ser consolidada cuando se cumplan los requisitos mencionados.</w:t>
      </w:r>
    </w:p>
    <w:p w14:paraId="55702DCD"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 xml:space="preserve">Ahora bien, en ese contexto, la explotación de un servicio de televisión en el país, requiere que los requisitos sean satisfechos, de no ser así podría generarse la figura señalada en el artículo 54 de la </w:t>
      </w:r>
      <w:r w:rsidRPr="002A2450">
        <w:rPr>
          <w:rFonts w:ascii="ITC Avant Garde" w:hAnsi="ITC Avant Garde"/>
          <w:b/>
        </w:rPr>
        <w:t>“LVGC”</w:t>
      </w:r>
      <w:r w:rsidRPr="002A2450">
        <w:rPr>
          <w:rFonts w:ascii="ITC Avant Garde" w:hAnsi="ITC Avant Garde"/>
        </w:rPr>
        <w:t>.</w:t>
      </w:r>
    </w:p>
    <w:p w14:paraId="6BAE64AE"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 xml:space="preserve">En ese sentido, para que pueda operar la </w:t>
      </w:r>
      <w:r w:rsidR="008F718E" w:rsidRPr="009E34A4">
        <w:rPr>
          <w:rFonts w:ascii="ITC Avant Garde" w:hAnsi="ITC Avant Garde"/>
        </w:rPr>
        <w:t>explotación indirecta</w:t>
      </w:r>
      <w:r w:rsidRPr="002A2450">
        <w:rPr>
          <w:rFonts w:ascii="ITC Avant Garde" w:hAnsi="ITC Avant Garde"/>
        </w:rPr>
        <w:t xml:space="preserve">, materia del presente procedimiento, necesariamente tiene que existir un tercero, en el presente caso </w:t>
      </w:r>
      <w:r w:rsidRPr="002A2450">
        <w:rPr>
          <w:rFonts w:ascii="ITC Avant Garde" w:hAnsi="ITC Avant Garde"/>
          <w:b/>
        </w:rPr>
        <w:t>“COFRESA”</w:t>
      </w:r>
      <w:r w:rsidRPr="002A2450">
        <w:rPr>
          <w:rFonts w:ascii="ITC Avant Garde" w:hAnsi="ITC Avant Garde"/>
        </w:rPr>
        <w:t xml:space="preserve"> quien efectivamente cuenta con un título de concesión para prestar el servicio de </w:t>
      </w:r>
      <w:r w:rsidR="000A68C4" w:rsidRPr="002A2450">
        <w:rPr>
          <w:rFonts w:ascii="ITC Avant Garde" w:hAnsi="ITC Avant Garde"/>
          <w:b/>
        </w:rPr>
        <w:t>“DTH”</w:t>
      </w:r>
      <w:r w:rsidRPr="002A2450">
        <w:rPr>
          <w:rFonts w:ascii="ITC Avant Garde" w:hAnsi="ITC Avant Garde"/>
        </w:rPr>
        <w:t xml:space="preserve"> en México.</w:t>
      </w:r>
    </w:p>
    <w:p w14:paraId="29D3426F"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Así las cosas, la cadena del servicio de televisión restringida pasa por dos momentos a saber, la satisfacción de los requisitos antes señalados y la operación y/o la puesta en marcha de la prestación del servicio que se insiste puede o no tener una utilidad o ganancia, sin embargo, el sólo hecho de prestarlo implica ya la explotación misma de un derecho.</w:t>
      </w:r>
    </w:p>
    <w:p w14:paraId="5E464368" w14:textId="77777777" w:rsidR="00B35F13" w:rsidRDefault="00233A5A" w:rsidP="00B35F13">
      <w:pPr>
        <w:spacing w:before="240" w:line="360" w:lineRule="auto"/>
        <w:jc w:val="both"/>
        <w:rPr>
          <w:rFonts w:ascii="ITC Avant Garde" w:hAnsi="ITC Avant Garde"/>
        </w:rPr>
      </w:pPr>
      <w:r w:rsidRPr="002A2450">
        <w:rPr>
          <w:rFonts w:ascii="ITC Avant Garde" w:hAnsi="ITC Avant Garde"/>
        </w:rPr>
        <w:t xml:space="preserve">En tales consideraciones, el vínculo que une la prohibición respecto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es precisamente</w:t>
      </w:r>
      <w:r w:rsidR="00715B04" w:rsidRPr="002A2450">
        <w:rPr>
          <w:rFonts w:ascii="ITC Avant Garde" w:hAnsi="ITC Avant Garde"/>
        </w:rPr>
        <w:t xml:space="preserve"> que no realice esa explotación.</w:t>
      </w:r>
    </w:p>
    <w:p w14:paraId="12184AF5" w14:textId="77777777" w:rsidR="00B35F13" w:rsidRDefault="00715B04" w:rsidP="00B35F13">
      <w:pPr>
        <w:spacing w:before="240" w:line="360" w:lineRule="auto"/>
        <w:jc w:val="both"/>
        <w:rPr>
          <w:rFonts w:ascii="ITC Avant Garde" w:hAnsi="ITC Avant Garde"/>
        </w:rPr>
      </w:pPr>
      <w:r w:rsidRPr="002A2450">
        <w:rPr>
          <w:rFonts w:ascii="ITC Avant Garde" w:hAnsi="ITC Avant Garde"/>
        </w:rPr>
        <w:t xml:space="preserve">Sin embargo, tal y como se ha señalado en la presente resolución, esta explotación puede realizarse pasando de lado con las figuras contractuales tradicionales o del derecho común, cuando en un cúmulo de contratos se logra la </w:t>
      </w:r>
      <w:r w:rsidR="0060351D" w:rsidRPr="002A2450">
        <w:rPr>
          <w:rFonts w:ascii="ITC Avant Garde" w:hAnsi="ITC Avant Garde"/>
        </w:rPr>
        <w:t xml:space="preserve">explotación indirecta sobre </w:t>
      </w:r>
      <w:r w:rsidRPr="002A2450">
        <w:rPr>
          <w:rFonts w:ascii="ITC Avant Garde" w:hAnsi="ITC Avant Garde"/>
        </w:rPr>
        <w:t>el servicio de televisión restringida.</w:t>
      </w:r>
    </w:p>
    <w:p w14:paraId="2D9C642C" w14:textId="77777777" w:rsidR="00B35F13" w:rsidRDefault="00715B04" w:rsidP="00B35F13">
      <w:pPr>
        <w:spacing w:before="240" w:line="360" w:lineRule="auto"/>
        <w:jc w:val="both"/>
        <w:rPr>
          <w:rFonts w:ascii="ITC Avant Garde" w:hAnsi="ITC Avant Garde"/>
        </w:rPr>
      </w:pPr>
      <w:r w:rsidRPr="002A2450">
        <w:rPr>
          <w:rFonts w:ascii="ITC Avant Garde" w:hAnsi="ITC Avant Garde"/>
        </w:rPr>
        <w:lastRenderedPageBreak/>
        <w:t xml:space="preserve">Para lo anterior, </w:t>
      </w:r>
      <w:r w:rsidRPr="002A2450">
        <w:rPr>
          <w:rFonts w:ascii="ITC Avant Garde" w:hAnsi="ITC Avant Garde"/>
          <w:b/>
        </w:rPr>
        <w:t>“TELMEX”</w:t>
      </w:r>
      <w:r w:rsidRPr="002A2450">
        <w:rPr>
          <w:rFonts w:ascii="ITC Avant Garde" w:hAnsi="ITC Avant Garde"/>
        </w:rPr>
        <w:t xml:space="preserve"> </w:t>
      </w:r>
      <w:r w:rsidR="00B73B52" w:rsidRPr="002A2450">
        <w:rPr>
          <w:rFonts w:ascii="ITC Avant Garde" w:hAnsi="ITC Avant Garde"/>
        </w:rPr>
        <w:t>a través de</w:t>
      </w:r>
      <w:r w:rsidR="00B73B52" w:rsidRPr="002A2450">
        <w:rPr>
          <w:rFonts w:ascii="ITC Avant Garde" w:hAnsi="ITC Avant Garde"/>
          <w:b/>
        </w:rPr>
        <w:t xml:space="preserve"> "TENINVER"</w:t>
      </w:r>
      <w:r w:rsidR="00B73B52" w:rsidRPr="002A2450">
        <w:rPr>
          <w:rFonts w:ascii="ITC Avant Garde" w:hAnsi="ITC Avant Garde"/>
        </w:rPr>
        <w:t xml:space="preserve"> </w:t>
      </w:r>
      <w:r w:rsidR="008E1AD9" w:rsidRPr="002A2450">
        <w:rPr>
          <w:rFonts w:ascii="ITC Avant Garde" w:hAnsi="ITC Avant Garde"/>
        </w:rPr>
        <w:t>y por medio</w:t>
      </w:r>
      <w:r w:rsidR="00B73B52" w:rsidRPr="002A2450">
        <w:rPr>
          <w:rFonts w:ascii="ITC Avant Garde" w:hAnsi="ITC Avant Garde"/>
        </w:rPr>
        <w:t xml:space="preserve"> de los contratos de consecuencias y de opción de compra venta adquirió y ejerció derechos para intervenir en decisiones que trascendieron a la operación de </w:t>
      </w:r>
      <w:r w:rsidR="00B73B52" w:rsidRPr="002A2450">
        <w:rPr>
          <w:rFonts w:ascii="ITC Avant Garde" w:hAnsi="ITC Avant Garde"/>
          <w:b/>
        </w:rPr>
        <w:t>"DISH MÉXICO"</w:t>
      </w:r>
      <w:r w:rsidR="00B73B52" w:rsidRPr="002A2450">
        <w:rPr>
          <w:rFonts w:ascii="ITC Avant Garde" w:hAnsi="ITC Avant Garde"/>
        </w:rPr>
        <w:t xml:space="preserve"> y sus subsidiarias, incluida </w:t>
      </w:r>
      <w:r w:rsidRPr="002A2450">
        <w:rPr>
          <w:rFonts w:ascii="ITC Avant Garde" w:hAnsi="ITC Avant Garde"/>
          <w:b/>
        </w:rPr>
        <w:t>“COFRESA”</w:t>
      </w:r>
      <w:r w:rsidRPr="002A2450">
        <w:rPr>
          <w:rFonts w:ascii="ITC Avant Garde" w:hAnsi="ITC Avant Garde"/>
        </w:rPr>
        <w:t xml:space="preserve"> titular de la prestación del servicio de televisión restringida.</w:t>
      </w:r>
    </w:p>
    <w:p w14:paraId="350E67EC" w14:textId="77777777" w:rsidR="00B35F13" w:rsidRDefault="00715B04" w:rsidP="00B35F13">
      <w:pPr>
        <w:spacing w:before="240" w:line="360" w:lineRule="auto"/>
        <w:jc w:val="both"/>
        <w:rPr>
          <w:rFonts w:ascii="ITC Avant Garde" w:hAnsi="ITC Avant Garde"/>
          <w:i/>
        </w:rPr>
      </w:pPr>
      <w:r w:rsidRPr="002A2450">
        <w:rPr>
          <w:rFonts w:ascii="ITC Avant Garde" w:hAnsi="ITC Avant Garde"/>
        </w:rPr>
        <w:t>En ese sentido, el acuerdo de inicio decanta en explicar que</w:t>
      </w:r>
      <w:r w:rsidRPr="002A2450">
        <w:rPr>
          <w:rFonts w:ascii="ITC Avant Garde" w:hAnsi="ITC Avant Garde"/>
          <w:i/>
        </w:rPr>
        <w:t xml:space="preserve"> “… no puede considerarse que el ejercicio de un derecho establecido en el título de concesión otorgado </w:t>
      </w:r>
      <w:r w:rsidRPr="00E11C4B">
        <w:rPr>
          <w:rFonts w:ascii="ITC Avant Garde" w:hAnsi="ITC Avant Garde"/>
          <w:i/>
        </w:rPr>
        <w:t>a COF</w:t>
      </w:r>
      <w:r w:rsidR="00E11C4B" w:rsidRPr="00E11C4B">
        <w:rPr>
          <w:rFonts w:ascii="ITC Avant Garde" w:hAnsi="ITC Avant Garde"/>
          <w:i/>
        </w:rPr>
        <w:t>R</w:t>
      </w:r>
      <w:r w:rsidRPr="00E11C4B">
        <w:rPr>
          <w:rFonts w:ascii="ITC Avant Garde" w:hAnsi="ITC Avant Garde"/>
          <w:i/>
        </w:rPr>
        <w:t>ESA pueda</w:t>
      </w:r>
      <w:r w:rsidRPr="002A2450">
        <w:rPr>
          <w:rFonts w:ascii="ITC Avant Garde" w:hAnsi="ITC Avant Garde"/>
          <w:i/>
        </w:rPr>
        <w:t xml:space="preserve"> ser ejercido de manera indirecta por TELMEX a través del contenido obligacional… ya que el cúmulo de contratos asociados a la consecución de la prestación del servicio de televisión restringida autorizada a COFRESA, implica que el derecho otorgado a esta última puede llevarse a cabo a través del control societario por parte de TELMEX en DISH.”</w:t>
      </w:r>
    </w:p>
    <w:p w14:paraId="4419F661" w14:textId="77777777" w:rsidR="00B35F13" w:rsidRDefault="00715B04" w:rsidP="00B35F13">
      <w:pPr>
        <w:spacing w:before="240" w:line="360" w:lineRule="auto"/>
        <w:jc w:val="both"/>
        <w:rPr>
          <w:rFonts w:ascii="ITC Avant Garde" w:hAnsi="ITC Avant Garde"/>
        </w:rPr>
      </w:pPr>
      <w:r w:rsidRPr="002A2450">
        <w:rPr>
          <w:rFonts w:ascii="ITC Avant Garde" w:hAnsi="ITC Avant Garde"/>
        </w:rPr>
        <w:t xml:space="preserve">Con base en lo anterior, la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Pr="002A2450">
        <w:rPr>
          <w:rFonts w:ascii="ITC Avant Garde" w:hAnsi="ITC Avant Garde"/>
        </w:rPr>
        <w:t xml:space="preserve">se concreta al ejercicio que realiza </w:t>
      </w:r>
      <w:r w:rsidRPr="002A2450">
        <w:rPr>
          <w:rFonts w:ascii="ITC Avant Garde" w:hAnsi="ITC Avant Garde"/>
          <w:b/>
        </w:rPr>
        <w:t>“TELMEX”</w:t>
      </w:r>
      <w:r w:rsidRPr="002A2450">
        <w:rPr>
          <w:rFonts w:ascii="ITC Avant Garde" w:hAnsi="ITC Avant Garde"/>
        </w:rPr>
        <w:t xml:space="preserve"> </w:t>
      </w:r>
      <w:r w:rsidR="00B73B52" w:rsidRPr="002A2450">
        <w:rPr>
          <w:rFonts w:ascii="ITC Avant Garde" w:hAnsi="ITC Avant Garde"/>
        </w:rPr>
        <w:t xml:space="preserve">a través de </w:t>
      </w:r>
      <w:r w:rsidR="00B73B52" w:rsidRPr="009E34A4">
        <w:rPr>
          <w:rFonts w:ascii="ITC Avant Garde" w:hAnsi="ITC Avant Garde"/>
          <w:b/>
        </w:rPr>
        <w:t>"TENINVER"</w:t>
      </w:r>
      <w:r w:rsidR="00B73B52" w:rsidRPr="002A2450">
        <w:rPr>
          <w:rFonts w:ascii="ITC Avant Garde" w:hAnsi="ITC Avant Garde"/>
        </w:rPr>
        <w:t xml:space="preserve"> </w:t>
      </w:r>
      <w:r w:rsidRPr="002A2450">
        <w:rPr>
          <w:rFonts w:ascii="ITC Avant Garde" w:hAnsi="ITC Avant Garde"/>
        </w:rPr>
        <w:t xml:space="preserve">en la operación del servicio concesionado a </w:t>
      </w:r>
      <w:r w:rsidRPr="002A2450">
        <w:rPr>
          <w:rFonts w:ascii="ITC Avant Garde" w:hAnsi="ITC Avant Garde"/>
          <w:b/>
        </w:rPr>
        <w:t>“COFRESA”</w:t>
      </w:r>
      <w:r w:rsidRPr="002A2450">
        <w:rPr>
          <w:rFonts w:ascii="ITC Avant Garde" w:hAnsi="ITC Avant Garde"/>
        </w:rPr>
        <w:t xml:space="preserve"> mediante </w:t>
      </w:r>
      <w:r w:rsidR="00B73B52" w:rsidRPr="002A2450">
        <w:rPr>
          <w:rFonts w:ascii="ITC Avant Garde" w:hAnsi="ITC Avant Garde"/>
        </w:rPr>
        <w:t>la tenencia y el ejercicio de derechos que los contratos de consecuencias y de opción de compra venta de acciones sobre decisiones de "DISH MÉXICO" y sus subsidiarias</w:t>
      </w:r>
      <w:r w:rsidRPr="002A2450">
        <w:rPr>
          <w:rFonts w:ascii="ITC Avant Garde" w:hAnsi="ITC Avant Garde"/>
        </w:rPr>
        <w:t>.</w:t>
      </w:r>
    </w:p>
    <w:p w14:paraId="3383B91E" w14:textId="77777777" w:rsidR="00B35F13" w:rsidRDefault="00715B04" w:rsidP="00B35F13">
      <w:pPr>
        <w:spacing w:before="240" w:line="360" w:lineRule="auto"/>
        <w:jc w:val="both"/>
        <w:rPr>
          <w:rFonts w:ascii="ITC Avant Garde" w:hAnsi="ITC Avant Garde"/>
        </w:rPr>
      </w:pPr>
      <w:r w:rsidRPr="002A2450">
        <w:rPr>
          <w:rFonts w:ascii="ITC Avant Garde" w:hAnsi="ITC Avant Garde"/>
        </w:rPr>
        <w:t xml:space="preserve">En tales consideraciones, tal y como se ha señalado en la presente resolución </w:t>
      </w:r>
      <w:r w:rsidR="00B73B52" w:rsidRPr="002A2450">
        <w:rPr>
          <w:rFonts w:ascii="ITC Avant Garde" w:hAnsi="ITC Avant Garde"/>
        </w:rPr>
        <w:t>la explotación indirecta resulta de</w:t>
      </w:r>
      <w:r w:rsidRPr="002A2450">
        <w:rPr>
          <w:rFonts w:ascii="ITC Avant Garde" w:hAnsi="ITC Avant Garde"/>
        </w:rPr>
        <w:t xml:space="preserve"> </w:t>
      </w:r>
      <w:r w:rsidR="00B73B52" w:rsidRPr="002A2450">
        <w:rPr>
          <w:rFonts w:ascii="ITC Avant Garde" w:hAnsi="ITC Avant Garde"/>
        </w:rPr>
        <w:t xml:space="preserve">tener y ejercer </w:t>
      </w:r>
      <w:r w:rsidRPr="002A2450">
        <w:rPr>
          <w:rFonts w:ascii="ITC Avant Garde" w:hAnsi="ITC Avant Garde"/>
        </w:rPr>
        <w:t xml:space="preserve">un derecho que </w:t>
      </w:r>
      <w:r w:rsidRPr="002A2450">
        <w:rPr>
          <w:rFonts w:ascii="ITC Avant Garde" w:hAnsi="ITC Avant Garde"/>
          <w:b/>
        </w:rPr>
        <w:t>“TELMEX”</w:t>
      </w:r>
      <w:r w:rsidRPr="002A2450">
        <w:rPr>
          <w:rFonts w:ascii="ITC Avant Garde" w:hAnsi="ITC Avant Garde"/>
        </w:rPr>
        <w:t xml:space="preserve"> no tiene asignado.</w:t>
      </w:r>
    </w:p>
    <w:p w14:paraId="3AC411A3" w14:textId="77777777" w:rsidR="00B35F13" w:rsidRDefault="00715B04" w:rsidP="00B35F13">
      <w:pPr>
        <w:spacing w:before="240" w:line="360" w:lineRule="auto"/>
        <w:jc w:val="both"/>
        <w:rPr>
          <w:rFonts w:ascii="ITC Avant Garde" w:hAnsi="ITC Avant Garde"/>
        </w:rPr>
      </w:pPr>
      <w:r w:rsidRPr="002A2450">
        <w:rPr>
          <w:rFonts w:ascii="ITC Avant Garde" w:hAnsi="ITC Avant Garde"/>
        </w:rPr>
        <w:t xml:space="preserve">Por tanto, contrario a lo señalado por </w:t>
      </w:r>
      <w:r w:rsidRPr="002A2450">
        <w:rPr>
          <w:rFonts w:ascii="ITC Avant Garde" w:hAnsi="ITC Avant Garde"/>
          <w:b/>
        </w:rPr>
        <w:t>“TELMEX”</w:t>
      </w:r>
      <w:r w:rsidRPr="002A2450">
        <w:rPr>
          <w:rFonts w:ascii="ITC Avant Garde" w:hAnsi="ITC Avant Garde"/>
        </w:rPr>
        <w:t xml:space="preserve"> no existe una imprecisión y/o ambigüedad en cuanto al término explotación </w:t>
      </w:r>
      <w:r w:rsidR="004351BC" w:rsidRPr="002A2450">
        <w:rPr>
          <w:rFonts w:ascii="ITC Avant Garde" w:hAnsi="ITC Avant Garde"/>
        </w:rPr>
        <w:t xml:space="preserve">ni mucho menos cabe duda que dicha explotación </w:t>
      </w:r>
      <w:r w:rsidR="008E1AD9" w:rsidRPr="002A2450">
        <w:rPr>
          <w:rFonts w:ascii="ITC Avant Garde" w:hAnsi="ITC Avant Garde"/>
        </w:rPr>
        <w:t xml:space="preserve">indirecta </w:t>
      </w:r>
      <w:r w:rsidR="004351BC" w:rsidRPr="002A2450">
        <w:rPr>
          <w:rFonts w:ascii="ITC Avant Garde" w:hAnsi="ITC Avant Garde"/>
        </w:rPr>
        <w:t xml:space="preserve">se refiere al servicio de televisión restringida autorizada a </w:t>
      </w:r>
      <w:r w:rsidR="004351BC" w:rsidRPr="002A2450">
        <w:rPr>
          <w:rFonts w:ascii="ITC Avant Garde" w:hAnsi="ITC Avant Garde"/>
          <w:b/>
        </w:rPr>
        <w:t>“COFRESA”</w:t>
      </w:r>
      <w:r w:rsidR="001E180E" w:rsidRPr="002A2450">
        <w:rPr>
          <w:rFonts w:ascii="ITC Avant Garde" w:hAnsi="ITC Avant Garde"/>
        </w:rPr>
        <w:t xml:space="preserve">, puesto que como se ha señalado, la explotación debe ser entendida como  la capacidad de hecho o de derecho para participar o incidir, a través de cualquier medio, mecanismo o forma, en la operación o los derechos derivados de una concesión otorgada por la autoridad competente para prestar servicios de televisión al público en cualquiera de sus modalidades. </w:t>
      </w:r>
    </w:p>
    <w:p w14:paraId="12CA7876" w14:textId="77777777" w:rsidR="00B35F13" w:rsidRDefault="001E180E" w:rsidP="00B35F13">
      <w:pPr>
        <w:spacing w:before="240" w:line="360" w:lineRule="auto"/>
        <w:jc w:val="both"/>
        <w:rPr>
          <w:rFonts w:ascii="ITC Avant Garde" w:hAnsi="ITC Avant Garde"/>
          <w:b/>
        </w:rPr>
      </w:pPr>
      <w:r w:rsidRPr="002A2450">
        <w:rPr>
          <w:rFonts w:ascii="ITC Avant Garde" w:hAnsi="ITC Avant Garde"/>
        </w:rPr>
        <w:lastRenderedPageBreak/>
        <w:t xml:space="preserve">En ese sentido, los derechos derivados de los contratos de opción y de consecuencia son los contratos que otorgaron la posibilidad de ejercer los derechos por parte de </w:t>
      </w:r>
      <w:r w:rsidRPr="002A2450">
        <w:rPr>
          <w:rFonts w:ascii="ITC Avant Garde" w:hAnsi="ITC Avant Garde"/>
          <w:b/>
        </w:rPr>
        <w:t>“TELMEX”</w:t>
      </w:r>
      <w:r w:rsidRPr="002A2450">
        <w:rPr>
          <w:rFonts w:ascii="ITC Avant Garde" w:hAnsi="ITC Avant Garde"/>
        </w:rPr>
        <w:t xml:space="preserve"> a través de </w:t>
      </w:r>
      <w:r w:rsidRPr="002A2450">
        <w:rPr>
          <w:rFonts w:ascii="ITC Avant Garde" w:hAnsi="ITC Avant Garde"/>
          <w:b/>
        </w:rPr>
        <w:t>“TENINVER”</w:t>
      </w:r>
      <w:r w:rsidRPr="002A2450">
        <w:rPr>
          <w:rFonts w:ascii="ITC Avant Garde" w:hAnsi="ITC Avant Garde"/>
        </w:rPr>
        <w:t xml:space="preserve"> para influir en la prestación del servicio de </w:t>
      </w:r>
      <w:r w:rsidRPr="002A2450">
        <w:rPr>
          <w:rFonts w:ascii="ITC Avant Garde" w:hAnsi="ITC Avant Garde"/>
          <w:b/>
        </w:rPr>
        <w:t>“DTH”</w:t>
      </w:r>
      <w:r w:rsidRPr="002A2450">
        <w:rPr>
          <w:rFonts w:ascii="ITC Avant Garde" w:hAnsi="ITC Avant Garde"/>
        </w:rPr>
        <w:t xml:space="preserve"> ofrecido por </w:t>
      </w:r>
      <w:r w:rsidRPr="002A2450">
        <w:rPr>
          <w:rFonts w:ascii="ITC Avant Garde" w:hAnsi="ITC Avant Garde"/>
          <w:b/>
        </w:rPr>
        <w:t>“COFRESA”</w:t>
      </w:r>
      <w:r w:rsidRPr="002A2450">
        <w:rPr>
          <w:rFonts w:ascii="ITC Avant Garde" w:hAnsi="ITC Avant Garde"/>
        </w:rPr>
        <w:t xml:space="preserve">, de donde los contratos de arrendamiento, prestación de servicios y distribución en términos de lo señalado en el inciso </w:t>
      </w:r>
      <w:r w:rsidRPr="002A2450">
        <w:rPr>
          <w:rFonts w:ascii="ITC Avant Garde" w:hAnsi="ITC Avant Garde"/>
          <w:b/>
        </w:rPr>
        <w:t xml:space="preserve">B) del Considerando Cuarto </w:t>
      </w:r>
      <w:r w:rsidRPr="002A2450">
        <w:rPr>
          <w:rFonts w:ascii="ITC Avant Garde" w:hAnsi="ITC Avant Garde"/>
        </w:rPr>
        <w:t>de la presente resolución, sólo puede ser entendido como una relación cliente proveedor, por lo que las consideraciones respecto de la utilidad de los mismos solo pueden concebirse por la prestación de</w:t>
      </w:r>
      <w:r w:rsidR="008E1AD9" w:rsidRPr="002A2450">
        <w:rPr>
          <w:rFonts w:ascii="ITC Avant Garde" w:hAnsi="ITC Avant Garde"/>
        </w:rPr>
        <w:t xml:space="preserve"> </w:t>
      </w:r>
      <w:r w:rsidRPr="002A2450">
        <w:rPr>
          <w:rFonts w:ascii="ITC Avant Garde" w:hAnsi="ITC Avant Garde"/>
        </w:rPr>
        <w:t>l</w:t>
      </w:r>
      <w:r w:rsidR="008E1AD9" w:rsidRPr="002A2450">
        <w:rPr>
          <w:rFonts w:ascii="ITC Avant Garde" w:hAnsi="ITC Avant Garde"/>
        </w:rPr>
        <w:t>os</w:t>
      </w:r>
      <w:r w:rsidRPr="002A2450">
        <w:rPr>
          <w:rFonts w:ascii="ITC Avant Garde" w:hAnsi="ITC Avant Garde"/>
        </w:rPr>
        <w:t xml:space="preserve"> servicio</w:t>
      </w:r>
      <w:r w:rsidR="008E1AD9" w:rsidRPr="002A2450">
        <w:rPr>
          <w:rFonts w:ascii="ITC Avant Garde" w:hAnsi="ITC Avant Garde"/>
        </w:rPr>
        <w:t>s entre ambas empresas</w:t>
      </w:r>
      <w:r w:rsidRPr="002A2450">
        <w:rPr>
          <w:rFonts w:ascii="ITC Avant Garde" w:hAnsi="ITC Avant Garde"/>
        </w:rPr>
        <w:t xml:space="preserve"> y no por la explotación del servicio de </w:t>
      </w:r>
      <w:r w:rsidRPr="002A2450">
        <w:rPr>
          <w:rFonts w:ascii="ITC Avant Garde" w:hAnsi="ITC Avant Garde"/>
          <w:b/>
        </w:rPr>
        <w:t>“DTH”.</w:t>
      </w:r>
    </w:p>
    <w:p w14:paraId="3B81F0AB" w14:textId="77777777" w:rsidR="00B35F13" w:rsidRDefault="004351BC" w:rsidP="00B35F13">
      <w:pPr>
        <w:spacing w:before="240" w:line="360" w:lineRule="auto"/>
        <w:jc w:val="both"/>
        <w:rPr>
          <w:rFonts w:ascii="ITC Avant Garde" w:hAnsi="ITC Avant Garde"/>
        </w:rPr>
      </w:pPr>
      <w:r w:rsidRPr="002A2450">
        <w:rPr>
          <w:rFonts w:ascii="ITC Avant Garde" w:hAnsi="ITC Avant Garde"/>
        </w:rPr>
        <w:t>Ahora bien, esta limitación</w:t>
      </w:r>
      <w:r w:rsidR="00BF5591" w:rsidRPr="002A2450">
        <w:rPr>
          <w:rFonts w:ascii="ITC Avant Garde" w:hAnsi="ITC Avant Garde"/>
        </w:rPr>
        <w:t>,</w:t>
      </w:r>
      <w:r w:rsidRPr="002A2450">
        <w:rPr>
          <w:rFonts w:ascii="ITC Avant Garde" w:hAnsi="ITC Avant Garde"/>
        </w:rPr>
        <w:t xml:space="preserve"> contrario a lo que señala </w:t>
      </w:r>
      <w:r w:rsidRPr="002A2450">
        <w:rPr>
          <w:rFonts w:ascii="ITC Avant Garde" w:hAnsi="ITC Avant Garde"/>
          <w:b/>
        </w:rPr>
        <w:t>“TELMEX”</w:t>
      </w:r>
      <w:r w:rsidR="00BF5591" w:rsidRPr="002A2450">
        <w:rPr>
          <w:rFonts w:ascii="ITC Avant Garde" w:hAnsi="ITC Avant Garde"/>
          <w:b/>
        </w:rPr>
        <w:t>,</w:t>
      </w:r>
      <w:r w:rsidRPr="002A2450">
        <w:rPr>
          <w:rFonts w:ascii="ITC Avant Garde" w:hAnsi="ITC Avant Garde"/>
          <w:b/>
        </w:rPr>
        <w:t xml:space="preserve"> </w:t>
      </w:r>
      <w:r w:rsidRPr="002A2450">
        <w:rPr>
          <w:rFonts w:ascii="ITC Avant Garde" w:hAnsi="ITC Avant Garde"/>
        </w:rPr>
        <w:t xml:space="preserve">no escapa de las empresas involucradas, puesto que se reitera que la autorización a que se refiere el artículo 54 de la </w:t>
      </w:r>
      <w:r w:rsidRPr="002A2450">
        <w:rPr>
          <w:rFonts w:ascii="ITC Avant Garde" w:hAnsi="ITC Avant Garde"/>
          <w:b/>
        </w:rPr>
        <w:t>“LVGC”</w:t>
      </w:r>
      <w:r w:rsidRPr="002A2450">
        <w:rPr>
          <w:rFonts w:ascii="ITC Avant Garde" w:hAnsi="ITC Avant Garde"/>
        </w:rPr>
        <w:t xml:space="preserve"> no es banal sino que por el contrario, la serie de contratos celebrados vulneran esta autorización y permiten que dicha concesionaria ejecute la </w:t>
      </w:r>
      <w:r w:rsidR="008F718E" w:rsidRPr="009E34A4">
        <w:rPr>
          <w:rFonts w:ascii="ITC Avant Garde" w:hAnsi="ITC Avant Garde"/>
        </w:rPr>
        <w:t xml:space="preserve">explotación indirecta </w:t>
      </w:r>
      <w:r w:rsidR="00892BDF" w:rsidRPr="002A2450">
        <w:rPr>
          <w:rFonts w:ascii="ITC Avant Garde" w:hAnsi="ITC Avant Garde"/>
        </w:rPr>
        <w:t xml:space="preserve">de </w:t>
      </w:r>
      <w:r w:rsidR="00892BDF" w:rsidRPr="002A2450">
        <w:rPr>
          <w:rFonts w:ascii="ITC Avant Garde" w:hAnsi="ITC Avant Garde"/>
          <w:b/>
        </w:rPr>
        <w:t>“DISH”</w:t>
      </w:r>
      <w:r w:rsidR="00892BDF" w:rsidRPr="002A2450">
        <w:rPr>
          <w:rFonts w:ascii="ITC Avant Garde" w:hAnsi="ITC Avant Garde"/>
        </w:rPr>
        <w:t>.</w:t>
      </w:r>
    </w:p>
    <w:p w14:paraId="6293F3DA" w14:textId="77777777" w:rsidR="00B35F13" w:rsidRDefault="00892BDF" w:rsidP="00B35F13">
      <w:pPr>
        <w:spacing w:before="240" w:line="360" w:lineRule="auto"/>
        <w:jc w:val="both"/>
        <w:rPr>
          <w:rFonts w:ascii="ITC Avant Garde" w:hAnsi="ITC Avant Garde"/>
        </w:rPr>
      </w:pPr>
      <w:r w:rsidRPr="002A2450">
        <w:rPr>
          <w:rFonts w:ascii="ITC Avant Garde" w:hAnsi="ITC Avant Garde"/>
        </w:rPr>
        <w:t xml:space="preserve">Ahora bien, la restricción antes señalada, si puede implicar a las empresas que no formen parte del grupo económico de </w:t>
      </w:r>
      <w:r w:rsidRPr="002A2450">
        <w:rPr>
          <w:rFonts w:ascii="ITC Avant Garde" w:hAnsi="ITC Avant Garde"/>
          <w:b/>
        </w:rPr>
        <w:t>“TELMEX”</w:t>
      </w:r>
      <w:r w:rsidRPr="002A2450">
        <w:rPr>
          <w:rFonts w:ascii="ITC Avant Garde" w:hAnsi="ITC Avant Garde"/>
        </w:rPr>
        <w:t xml:space="preserve"> puesto que de ser así el propio artículo 54 de la </w:t>
      </w:r>
      <w:r w:rsidRPr="002A2450">
        <w:rPr>
          <w:rFonts w:ascii="ITC Avant Garde" w:hAnsi="ITC Avant Garde"/>
          <w:b/>
        </w:rPr>
        <w:t>“LVGC”</w:t>
      </w:r>
      <w:r w:rsidRPr="002A2450">
        <w:rPr>
          <w:rFonts w:ascii="ITC Avant Garde" w:hAnsi="ITC Avant Garde"/>
        </w:rPr>
        <w:t xml:space="preserve"> lo hubiese acotado, sin embargo, dadas las relaciones que existen entre las empresas del sector, el legislador fue más allá para considerar que dicha autorización debe ser previa para poder explotar por sí y/</w:t>
      </w:r>
      <w:r w:rsidR="00BF5591" w:rsidRPr="002A2450">
        <w:rPr>
          <w:rFonts w:ascii="ITC Avant Garde" w:hAnsi="ITC Avant Garde"/>
        </w:rPr>
        <w:t xml:space="preserve">o a través de otra </w:t>
      </w:r>
      <w:r w:rsidR="00702143" w:rsidRPr="002A2450">
        <w:rPr>
          <w:rFonts w:ascii="ITC Avant Garde" w:hAnsi="ITC Avant Garde"/>
        </w:rPr>
        <w:t>u otras</w:t>
      </w:r>
      <w:r w:rsidRPr="002A2450">
        <w:rPr>
          <w:rFonts w:ascii="ITC Avant Garde" w:hAnsi="ITC Avant Garde"/>
        </w:rPr>
        <w:t xml:space="preserve"> empresas nacionales o extranjeras.</w:t>
      </w:r>
    </w:p>
    <w:p w14:paraId="2C47C287" w14:textId="77777777" w:rsidR="00B35F13" w:rsidRDefault="00892BDF" w:rsidP="00B35F13">
      <w:pPr>
        <w:spacing w:before="240" w:line="360" w:lineRule="auto"/>
        <w:jc w:val="both"/>
        <w:rPr>
          <w:rFonts w:ascii="ITC Avant Garde" w:hAnsi="ITC Avant Garde"/>
        </w:rPr>
      </w:pPr>
      <w:r w:rsidRPr="002A2450">
        <w:rPr>
          <w:rFonts w:ascii="ITC Avant Garde" w:hAnsi="ITC Avant Garde"/>
        </w:rPr>
        <w:t xml:space="preserve">Lo anterior justifica precisamente, el hecho de que el legislador no acotó dicha prohibición a un supuesto de manera exclusiva sino a cualquier otro supuesto, tan es así que la propia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no reparo en acotar la prohibición de explotar directa o indirectamente únicamente a las empresas del grupo sino a toda aquella forma de participación en la explotación.</w:t>
      </w:r>
    </w:p>
    <w:p w14:paraId="5B9CA732" w14:textId="77777777" w:rsidR="00B35F13" w:rsidRDefault="00892BDF" w:rsidP="00B35F13">
      <w:pPr>
        <w:spacing w:before="240" w:line="360" w:lineRule="auto"/>
        <w:jc w:val="both"/>
        <w:rPr>
          <w:rFonts w:ascii="ITC Avant Garde" w:hAnsi="ITC Avant Garde"/>
        </w:rPr>
      </w:pPr>
      <w:r w:rsidRPr="002A2450">
        <w:rPr>
          <w:rFonts w:ascii="ITC Avant Garde" w:hAnsi="ITC Avant Garde"/>
        </w:rPr>
        <w:t xml:space="preserve">Es indudable considerar que la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Pr="002A2450">
        <w:rPr>
          <w:rFonts w:ascii="ITC Avant Garde" w:hAnsi="ITC Avant Garde"/>
        </w:rPr>
        <w:t>puede referirse a dos supuestos</w:t>
      </w:r>
      <w:r w:rsidR="00BF5591" w:rsidRPr="002A2450">
        <w:rPr>
          <w:rFonts w:ascii="ITC Avant Garde" w:hAnsi="ITC Avant Garde"/>
        </w:rPr>
        <w:t>:</w:t>
      </w:r>
      <w:r w:rsidRPr="002A2450">
        <w:rPr>
          <w:rFonts w:ascii="ITC Avant Garde" w:hAnsi="ITC Avant Garde"/>
        </w:rPr>
        <w:t xml:space="preserve"> la que realiza la controladora a través de subsidiarias, filiales o </w:t>
      </w:r>
      <w:r w:rsidR="00BF5591" w:rsidRPr="002A2450">
        <w:rPr>
          <w:rFonts w:ascii="ITC Avant Garde" w:hAnsi="ITC Avant Garde"/>
        </w:rPr>
        <w:t xml:space="preserve">afiliadas </w:t>
      </w:r>
      <w:r w:rsidRPr="002A2450">
        <w:rPr>
          <w:rFonts w:ascii="ITC Avant Garde" w:hAnsi="ITC Avant Garde"/>
        </w:rPr>
        <w:lastRenderedPageBreak/>
        <w:t xml:space="preserve">y otra que necesariamente implica la intervención de un tercero ajeno al grupo, de allí precisamente que esta modalidad es la que es determinada en el acuerdo de inicio y que por ello se estima que presuntamente </w:t>
      </w:r>
      <w:r w:rsidRPr="002A2450">
        <w:rPr>
          <w:rFonts w:ascii="ITC Avant Garde" w:hAnsi="ITC Avant Garde"/>
          <w:b/>
        </w:rPr>
        <w:t>“TELMEX”</w:t>
      </w:r>
      <w:r w:rsidRPr="002A2450">
        <w:rPr>
          <w:rFonts w:ascii="ITC Avant Garde" w:hAnsi="ITC Avant Garde"/>
        </w:rPr>
        <w:t xml:space="preserve"> viola su </w:t>
      </w:r>
      <w:r w:rsidR="00773895" w:rsidRPr="002A2450">
        <w:rPr>
          <w:rFonts w:ascii="ITC Avant Garde" w:hAnsi="ITC Avant Garde"/>
          <w:b/>
        </w:rPr>
        <w:t>“TÍTULO DE CONCESIÓN”</w:t>
      </w:r>
      <w:r w:rsidRPr="002A2450">
        <w:rPr>
          <w:rFonts w:ascii="ITC Avant Garde" w:hAnsi="ITC Avant Garde"/>
        </w:rPr>
        <w:t xml:space="preserve">, puesto que para llevar a cabo esta operación y a sabiendas de la prohibición expresa no se acudió a la autorización por parte de la Secretaría de Comunicaciones y Transportes y en su lugar se realizaron toda una serie de contratos que tuvieron como objeto o finalidad otorgar a dicha concesionaria </w:t>
      </w:r>
      <w:r w:rsidR="00BF5591" w:rsidRPr="002A2450">
        <w:rPr>
          <w:rFonts w:ascii="ITC Avant Garde" w:hAnsi="ITC Avant Garde"/>
        </w:rPr>
        <w:t xml:space="preserve">injerencia en la </w:t>
      </w:r>
      <w:r w:rsidRPr="002A2450">
        <w:rPr>
          <w:rFonts w:ascii="ITC Avant Garde" w:hAnsi="ITC Avant Garde"/>
        </w:rPr>
        <w:t xml:space="preserve">operación del servicio </w:t>
      </w:r>
      <w:r w:rsidR="00B61711" w:rsidRPr="002A2450">
        <w:rPr>
          <w:rFonts w:ascii="ITC Avant Garde" w:hAnsi="ITC Avant Garde"/>
          <w:b/>
        </w:rPr>
        <w:t>“DT</w:t>
      </w:r>
      <w:r w:rsidRPr="002A2450">
        <w:rPr>
          <w:rFonts w:ascii="ITC Avant Garde" w:hAnsi="ITC Avant Garde"/>
          <w:b/>
        </w:rPr>
        <w:t xml:space="preserve">H” </w:t>
      </w:r>
      <w:r w:rsidRPr="002A2450">
        <w:rPr>
          <w:rFonts w:ascii="ITC Avant Garde" w:hAnsi="ITC Avant Garde"/>
        </w:rPr>
        <w:t>en México.</w:t>
      </w:r>
    </w:p>
    <w:p w14:paraId="25C523C9" w14:textId="77777777" w:rsidR="00B35F13" w:rsidRDefault="00892BDF" w:rsidP="00B35F13">
      <w:pPr>
        <w:spacing w:before="240" w:line="360" w:lineRule="auto"/>
        <w:jc w:val="both"/>
        <w:rPr>
          <w:rFonts w:ascii="ITC Avant Garde" w:hAnsi="ITC Avant Garde"/>
          <w:b/>
        </w:rPr>
      </w:pPr>
      <w:r w:rsidRPr="002A2450">
        <w:rPr>
          <w:rFonts w:ascii="ITC Avant Garde" w:hAnsi="ITC Avant Garde"/>
        </w:rPr>
        <w:t xml:space="preserve">Así las cosas, </w:t>
      </w:r>
      <w:r w:rsidR="00A54314" w:rsidRPr="002A2450">
        <w:rPr>
          <w:rFonts w:ascii="ITC Avant Garde" w:hAnsi="ITC Avant Garde"/>
        </w:rPr>
        <w:t xml:space="preserve">el fruto al cual se refiere </w:t>
      </w:r>
      <w:r w:rsidR="00A54314" w:rsidRPr="002A2450">
        <w:rPr>
          <w:rFonts w:ascii="ITC Avant Garde" w:hAnsi="ITC Avant Garde"/>
          <w:b/>
        </w:rPr>
        <w:t>“TELMEX”</w:t>
      </w:r>
      <w:r w:rsidR="00A54314" w:rsidRPr="002A2450">
        <w:rPr>
          <w:rFonts w:ascii="ITC Avant Garde" w:hAnsi="ITC Avant Garde"/>
        </w:rPr>
        <w:t xml:space="preserve"> es precisamente </w:t>
      </w:r>
      <w:r w:rsidR="00BF5591" w:rsidRPr="002A2450">
        <w:rPr>
          <w:rFonts w:ascii="ITC Avant Garde" w:hAnsi="ITC Avant Garde"/>
        </w:rPr>
        <w:t xml:space="preserve">tener participación en </w:t>
      </w:r>
      <w:r w:rsidR="006611A1" w:rsidRPr="002A2450">
        <w:rPr>
          <w:rFonts w:ascii="ITC Avant Garde" w:hAnsi="ITC Avant Garde"/>
        </w:rPr>
        <w:t>la operación que</w:t>
      </w:r>
      <w:r w:rsidR="00A54314" w:rsidRPr="002A2450">
        <w:rPr>
          <w:rFonts w:ascii="ITC Avant Garde" w:hAnsi="ITC Avant Garde"/>
        </w:rPr>
        <w:t xml:space="preserve"> deriva </w:t>
      </w:r>
      <w:r w:rsidR="006611A1" w:rsidRPr="002A2450">
        <w:rPr>
          <w:rFonts w:ascii="ITC Avant Garde" w:hAnsi="ITC Avant Garde"/>
        </w:rPr>
        <w:t>de la tenencia y el ejercicio de derechos otorgados por</w:t>
      </w:r>
      <w:r w:rsidR="00A54314" w:rsidRPr="002A2450">
        <w:rPr>
          <w:rFonts w:ascii="ITC Avant Garde" w:hAnsi="ITC Avant Garde"/>
        </w:rPr>
        <w:t xml:space="preserve"> los contratos </w:t>
      </w:r>
      <w:r w:rsidR="006611A1" w:rsidRPr="002A2450">
        <w:rPr>
          <w:rFonts w:ascii="ITC Avant Garde" w:hAnsi="ITC Avant Garde"/>
        </w:rPr>
        <w:t xml:space="preserve">de consecuencias y de opción de compra venta que colman la definición de </w:t>
      </w:r>
      <w:r w:rsidR="00A54314" w:rsidRPr="002A2450">
        <w:rPr>
          <w:rFonts w:ascii="ITC Avant Garde" w:hAnsi="ITC Avant Garde"/>
        </w:rPr>
        <w:t xml:space="preserve">explotar de manera indirecta el derecho originalmente otorgado a </w:t>
      </w:r>
      <w:r w:rsidR="00A54314" w:rsidRPr="002A2450">
        <w:rPr>
          <w:rFonts w:ascii="ITC Avant Garde" w:hAnsi="ITC Avant Garde"/>
          <w:b/>
        </w:rPr>
        <w:t>“COFRESA”</w:t>
      </w:r>
      <w:r w:rsidR="006611A1" w:rsidRPr="002A2450">
        <w:rPr>
          <w:rFonts w:ascii="ITC Avant Garde" w:hAnsi="ITC Avant Garde"/>
          <w:b/>
        </w:rPr>
        <w:t xml:space="preserve"> en la concesión</w:t>
      </w:r>
      <w:r w:rsidR="00A54314" w:rsidRPr="002A2450">
        <w:rPr>
          <w:rFonts w:ascii="ITC Avant Garde" w:hAnsi="ITC Avant Garde"/>
        </w:rPr>
        <w:t>, la cual de acuerdo al análisis contractual derivado de esos contratos</w:t>
      </w:r>
      <w:r w:rsidR="00BF5591" w:rsidRPr="002A2450">
        <w:rPr>
          <w:rFonts w:ascii="ITC Avant Garde" w:hAnsi="ITC Avant Garde"/>
        </w:rPr>
        <w:t>,</w:t>
      </w:r>
      <w:r w:rsidR="00A54314" w:rsidRPr="002A2450">
        <w:rPr>
          <w:rFonts w:ascii="ITC Avant Garde" w:hAnsi="ITC Avant Garde"/>
        </w:rPr>
        <w:t xml:space="preserve"> permite entre otras cosas, la restricción de sus títulos, modificación a sus estatutos sociales, la posibilidad de un préstamo por parte de un tercero, la supervisión y vigilancia de la operación, con lo cual es indudable que </w:t>
      </w:r>
      <w:r w:rsidR="006611A1" w:rsidRPr="002A2450">
        <w:rPr>
          <w:rFonts w:ascii="ITC Avant Garde" w:hAnsi="ITC Avant Garde"/>
        </w:rPr>
        <w:t xml:space="preserve">"DISH MÉXICO" cede </w:t>
      </w:r>
      <w:r w:rsidR="00A54314" w:rsidRPr="002A2450">
        <w:rPr>
          <w:rFonts w:ascii="ITC Avant Garde" w:hAnsi="ITC Avant Garde"/>
        </w:rPr>
        <w:t xml:space="preserve"> </w:t>
      </w:r>
      <w:r w:rsidR="00BF5591" w:rsidRPr="002A2450">
        <w:rPr>
          <w:rFonts w:ascii="ITC Avant Garde" w:hAnsi="ITC Avant Garde"/>
        </w:rPr>
        <w:t xml:space="preserve">parte del </w:t>
      </w:r>
      <w:r w:rsidR="00A54314" w:rsidRPr="002A2450">
        <w:rPr>
          <w:rFonts w:ascii="ITC Avant Garde" w:hAnsi="ITC Avant Garde"/>
        </w:rPr>
        <w:t xml:space="preserve">ejercicio operacional de </w:t>
      </w:r>
      <w:r w:rsidR="006611A1" w:rsidRPr="002A2450">
        <w:rPr>
          <w:rFonts w:ascii="ITC Avant Garde" w:hAnsi="ITC Avant Garde"/>
          <w:b/>
        </w:rPr>
        <w:t xml:space="preserve">“COFRESA” y  de </w:t>
      </w:r>
      <w:r w:rsidR="00A54314" w:rsidRPr="002A2450">
        <w:rPr>
          <w:rFonts w:ascii="ITC Avant Garde" w:hAnsi="ITC Avant Garde"/>
          <w:b/>
        </w:rPr>
        <w:t>“DISH”</w:t>
      </w:r>
      <w:r w:rsidR="00A54314" w:rsidRPr="002A2450">
        <w:rPr>
          <w:rFonts w:ascii="ITC Avant Garde" w:hAnsi="ITC Avant Garde"/>
        </w:rPr>
        <w:t xml:space="preserve"> en México a </w:t>
      </w:r>
      <w:r w:rsidR="00A54314" w:rsidRPr="002A2450">
        <w:rPr>
          <w:rFonts w:ascii="ITC Avant Garde" w:hAnsi="ITC Avant Garde"/>
          <w:b/>
        </w:rPr>
        <w:t>“TELMEX”</w:t>
      </w:r>
      <w:r w:rsidR="006611A1" w:rsidRPr="002A2450">
        <w:rPr>
          <w:rFonts w:ascii="ITC Avant Garde" w:hAnsi="ITC Avant Garde"/>
          <w:b/>
        </w:rPr>
        <w:t xml:space="preserve"> a través de "TENINVER"</w:t>
      </w:r>
      <w:r w:rsidR="00A54314" w:rsidRPr="002A2450">
        <w:rPr>
          <w:rFonts w:ascii="ITC Avant Garde" w:hAnsi="ITC Avant Garde"/>
          <w:b/>
        </w:rPr>
        <w:t>.</w:t>
      </w:r>
    </w:p>
    <w:p w14:paraId="282B5443" w14:textId="77777777" w:rsidR="00B35F13" w:rsidRDefault="00A54314" w:rsidP="00B35F13">
      <w:pPr>
        <w:spacing w:before="240" w:line="360" w:lineRule="auto"/>
        <w:jc w:val="both"/>
        <w:rPr>
          <w:rFonts w:ascii="ITC Avant Garde" w:hAnsi="ITC Avant Garde"/>
        </w:rPr>
      </w:pPr>
      <w:r w:rsidRPr="002A2450">
        <w:rPr>
          <w:rFonts w:ascii="ITC Avant Garde" w:hAnsi="ITC Avant Garde"/>
        </w:rPr>
        <w:t xml:space="preserve">En tales consideraciones, las manifestaciones de </w:t>
      </w:r>
      <w:r w:rsidRPr="002A2450">
        <w:rPr>
          <w:rFonts w:ascii="ITC Avant Garde" w:hAnsi="ITC Avant Garde"/>
          <w:b/>
        </w:rPr>
        <w:t>“TELMEX”</w:t>
      </w:r>
      <w:r w:rsidR="00BF5591" w:rsidRPr="002A2450">
        <w:rPr>
          <w:rFonts w:ascii="ITC Avant Garde" w:hAnsi="ITC Avant Garde"/>
          <w:b/>
        </w:rPr>
        <w:t xml:space="preserve">, son meras afirmaciones subjetivas </w:t>
      </w:r>
      <w:r w:rsidRPr="002A2450">
        <w:rPr>
          <w:rFonts w:ascii="ITC Avant Garde" w:hAnsi="ITC Avant Garde"/>
        </w:rPr>
        <w:t>sin fundamento alguno</w:t>
      </w:r>
      <w:r w:rsidR="00BF5591" w:rsidRPr="002A2450">
        <w:rPr>
          <w:rFonts w:ascii="ITC Avant Garde" w:hAnsi="ITC Avant Garde"/>
        </w:rPr>
        <w:t xml:space="preserve"> que no logran desvirtuar la conducta materia del procedimiento</w:t>
      </w:r>
      <w:r w:rsidRPr="002A2450">
        <w:rPr>
          <w:rFonts w:ascii="ITC Avant Garde" w:hAnsi="ITC Avant Garde"/>
        </w:rPr>
        <w:t xml:space="preserve">, de allí lo </w:t>
      </w:r>
      <w:r w:rsidRPr="002A2450">
        <w:rPr>
          <w:rFonts w:ascii="ITC Avant Garde" w:hAnsi="ITC Avant Garde"/>
          <w:b/>
          <w:u w:val="single"/>
        </w:rPr>
        <w:t>insuficiente</w:t>
      </w:r>
      <w:r w:rsidRPr="002A2450">
        <w:rPr>
          <w:rFonts w:ascii="ITC Avant Garde" w:hAnsi="ITC Avant Garde"/>
        </w:rPr>
        <w:t xml:space="preserve"> de su argumento.</w:t>
      </w:r>
    </w:p>
    <w:p w14:paraId="093D35CB" w14:textId="77777777" w:rsidR="00B35F13" w:rsidRDefault="00A54314" w:rsidP="00B35F13">
      <w:pPr>
        <w:spacing w:before="240" w:line="360" w:lineRule="auto"/>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“TELMEX”</w:t>
      </w:r>
      <w:r w:rsidRPr="002A2450">
        <w:rPr>
          <w:rFonts w:ascii="ITC Avant Garde" w:hAnsi="ITC Avant Garde"/>
        </w:rPr>
        <w:t xml:space="preserve"> </w:t>
      </w:r>
      <w:r w:rsidR="00E23A45" w:rsidRPr="002A2450">
        <w:rPr>
          <w:rFonts w:ascii="ITC Avant Garde" w:hAnsi="ITC Avant Garde"/>
        </w:rPr>
        <w:t xml:space="preserve">en las fojas cincuenta y nueve </w:t>
      </w:r>
      <w:r w:rsidR="00ED0F5F" w:rsidRPr="002A2450">
        <w:rPr>
          <w:rFonts w:ascii="ITC Avant Garde" w:hAnsi="ITC Avant Garde"/>
        </w:rPr>
        <w:t xml:space="preserve">a sesenta y tres </w:t>
      </w:r>
      <w:r w:rsidRPr="002A2450">
        <w:rPr>
          <w:rFonts w:ascii="ITC Avant Garde" w:hAnsi="ITC Avant Garde"/>
        </w:rPr>
        <w:t>lo siguiente:</w:t>
      </w:r>
    </w:p>
    <w:p w14:paraId="5F047FCC" w14:textId="77777777" w:rsidR="00B35F13" w:rsidRDefault="00D37D8C" w:rsidP="00B35F13">
      <w:pPr>
        <w:spacing w:before="240" w:line="360" w:lineRule="auto"/>
        <w:ind w:left="567" w:right="567"/>
        <w:jc w:val="both"/>
        <w:rPr>
          <w:rFonts w:ascii="ITC Avant Garde" w:hAnsi="ITC Avant Garde"/>
          <w:i/>
        </w:rPr>
      </w:pPr>
      <w:r w:rsidRPr="002A2450">
        <w:rPr>
          <w:rFonts w:ascii="ITC Avant Garde" w:hAnsi="ITC Avant Garde"/>
          <w:i/>
        </w:rPr>
        <w:t>Adicionalmente se afirma que la expresión directa o indirectamente, se refiere a no llevar a cabo determinado acto por sí o a través de otra persona que tenga relación y participación en la administración, control o capital de la otra. Sin embargo, este párrafo se in</w:t>
      </w:r>
      <w:r w:rsidR="00E63AC2" w:rsidRPr="002A2450">
        <w:rPr>
          <w:rFonts w:ascii="ITC Avant Garde" w:hAnsi="ITC Avant Garde"/>
          <w:i/>
        </w:rPr>
        <w:t>cluye</w:t>
      </w:r>
      <w:r w:rsidRPr="002A2450">
        <w:rPr>
          <w:rFonts w:ascii="ITC Avant Garde" w:hAnsi="ITC Avant Garde"/>
          <w:i/>
        </w:rPr>
        <w:t xml:space="preserve"> dos supuestos diferentes.</w:t>
      </w:r>
    </w:p>
    <w:p w14:paraId="1A90E187" w14:textId="77777777" w:rsidR="00B35F13" w:rsidRDefault="00D37D8C"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El primero supone la explotación de una concesión del servicio de televisión restringida al público a través de otra persona ya sea física o moral. Este supuesto no se reúne de alguna manera: </w:t>
      </w:r>
      <w:r w:rsidR="005B601B" w:rsidRPr="002A2450">
        <w:rPr>
          <w:rFonts w:ascii="ITC Avant Garde" w:hAnsi="ITC Avant Garde"/>
          <w:b/>
          <w:i/>
        </w:rPr>
        <w:t>“TELMEX”</w:t>
      </w:r>
      <w:r w:rsidRPr="002A2450">
        <w:rPr>
          <w:rFonts w:ascii="ITC Avant Garde" w:hAnsi="ITC Avant Garde"/>
          <w:i/>
        </w:rPr>
        <w:t xml:space="preserve"> no explota a través de interpósita persona ninguna concesión</w:t>
      </w:r>
      <w:r w:rsidR="00E63AC2" w:rsidRPr="002A2450">
        <w:rPr>
          <w:rFonts w:ascii="ITC Avant Garde" w:hAnsi="ITC Avant Garde"/>
          <w:i/>
        </w:rPr>
        <w:t>. Explotar a través de otra persona significa que el propietario reciba, opere y explote a nombre de un tercero una concesión que le haya otorgado la administración concedente para prestar un determinado servicio público. Este supuesto no se satisface, pues los contratos que obran en autos se observa que no es accionista, ni consejero, ni administrador de dichas sociedades, ni es el concesionario.</w:t>
      </w:r>
    </w:p>
    <w:p w14:paraId="0C45A81A" w14:textId="77777777" w:rsidR="00B35F13" w:rsidRDefault="00E63AC2" w:rsidP="00B35F13">
      <w:pPr>
        <w:spacing w:before="240" w:line="360" w:lineRule="auto"/>
        <w:ind w:left="567" w:right="567"/>
        <w:jc w:val="both"/>
        <w:rPr>
          <w:rFonts w:ascii="ITC Avant Garde" w:hAnsi="ITC Avant Garde"/>
          <w:i/>
        </w:rPr>
      </w:pPr>
      <w:r w:rsidRPr="002A2450">
        <w:rPr>
          <w:rFonts w:ascii="ITC Avant Garde" w:hAnsi="ITC Avant Garde"/>
          <w:i/>
        </w:rPr>
        <w:t>Adicionalmente la Unidad de C</w:t>
      </w:r>
      <w:r w:rsidR="00BF5591" w:rsidRPr="002A2450">
        <w:rPr>
          <w:rFonts w:ascii="ITC Avant Garde" w:hAnsi="ITC Avant Garde"/>
          <w:i/>
        </w:rPr>
        <w:t>umplimiento señala que no puede</w:t>
      </w:r>
      <w:r w:rsidRPr="002A2450">
        <w:rPr>
          <w:rFonts w:ascii="ITC Avant Garde" w:hAnsi="ITC Avant Garde"/>
          <w:i/>
        </w:rPr>
        <w:t xml:space="preserve"> desconocerse la comunidad de intereses que pueda llegar a existir entre las distintas partes relacionadas, puesto que el hecho de que se trate de personas físicas o morales distintas no es obstáculo</w:t>
      </w:r>
      <w:r w:rsidR="00A54314" w:rsidRPr="002A2450">
        <w:rPr>
          <w:rFonts w:ascii="ITC Avant Garde" w:hAnsi="ITC Avant Garde"/>
          <w:i/>
        </w:rPr>
        <w:t xml:space="preserve"> para que se pueda determinar </w:t>
      </w:r>
      <w:r w:rsidRPr="002A2450">
        <w:rPr>
          <w:rFonts w:ascii="ITC Avant Garde" w:hAnsi="ITC Avant Garde"/>
          <w:i/>
        </w:rPr>
        <w:t>que existe un su interior, una intención o ánimo común para log</w:t>
      </w:r>
      <w:r w:rsidR="002F6358" w:rsidRPr="002A2450">
        <w:rPr>
          <w:rFonts w:ascii="ITC Avant Garde" w:hAnsi="ITC Avant Garde"/>
          <w:i/>
        </w:rPr>
        <w:t>r</w:t>
      </w:r>
      <w:r w:rsidRPr="002A2450">
        <w:rPr>
          <w:rFonts w:ascii="ITC Avant Garde" w:hAnsi="ITC Avant Garde"/>
          <w:i/>
        </w:rPr>
        <w:t>ar la actualización de conductas.</w:t>
      </w:r>
    </w:p>
    <w:p w14:paraId="4E5AF116" w14:textId="77777777" w:rsidR="00B35F13" w:rsidRDefault="00E63AC2" w:rsidP="00B35F13">
      <w:pPr>
        <w:spacing w:before="240" w:line="360" w:lineRule="auto"/>
        <w:ind w:left="567" w:right="567"/>
        <w:jc w:val="both"/>
        <w:rPr>
          <w:rFonts w:ascii="ITC Avant Garde" w:hAnsi="ITC Avant Garde"/>
          <w:i/>
        </w:rPr>
      </w:pPr>
      <w:r w:rsidRPr="002A2450">
        <w:rPr>
          <w:rFonts w:ascii="ITC Avant Garde" w:hAnsi="ITC Avant Garde"/>
          <w:i/>
        </w:rPr>
        <w:t xml:space="preserve">Contrario a lo que se afirma, son mayores las diferencias que coincidencias. Cada empresa o Grupo de Empresas tienen intereses propios. En efecto, en los contratos de arrendamiento de equipo o de facturación y cobranza, el interés de </w:t>
      </w:r>
      <w:proofErr w:type="spellStart"/>
      <w:r w:rsidRPr="002A2450">
        <w:rPr>
          <w:rFonts w:ascii="ITC Avant Garde" w:hAnsi="ITC Avant Garde"/>
          <w:i/>
        </w:rPr>
        <w:t>Dish</w:t>
      </w:r>
      <w:proofErr w:type="spellEnd"/>
      <w:r w:rsidRPr="002A2450">
        <w:rPr>
          <w:rFonts w:ascii="ITC Avant Garde" w:hAnsi="ITC Avant Garde"/>
          <w:i/>
        </w:rPr>
        <w:t>/</w:t>
      </w:r>
      <w:proofErr w:type="spellStart"/>
      <w:r w:rsidRPr="002A2450">
        <w:rPr>
          <w:rFonts w:ascii="ITC Avant Garde" w:hAnsi="ITC Avant Garde"/>
          <w:i/>
        </w:rPr>
        <w:t>Cofresa</w:t>
      </w:r>
      <w:proofErr w:type="spellEnd"/>
      <w:r w:rsidRPr="002A2450">
        <w:rPr>
          <w:rFonts w:ascii="ITC Avant Garde" w:hAnsi="ITC Avant Garde"/>
          <w:i/>
        </w:rPr>
        <w:t xml:space="preserve"> consiste en pagar la menor contraprestación posible por los servicios que recibe; en cambio, </w:t>
      </w:r>
      <w:r w:rsidR="005B601B" w:rsidRPr="002A2450">
        <w:rPr>
          <w:rFonts w:ascii="ITC Avant Garde" w:hAnsi="ITC Avant Garde"/>
          <w:b/>
          <w:i/>
        </w:rPr>
        <w:t>“TELMEX”</w:t>
      </w:r>
      <w:r w:rsidRPr="002A2450">
        <w:rPr>
          <w:rFonts w:ascii="ITC Avant Garde" w:hAnsi="ITC Avant Garde"/>
          <w:i/>
        </w:rPr>
        <w:t>/</w:t>
      </w:r>
      <w:proofErr w:type="spellStart"/>
      <w:r w:rsidRPr="002A2450">
        <w:rPr>
          <w:rFonts w:ascii="ITC Avant Garde" w:hAnsi="ITC Avant Garde"/>
          <w:i/>
        </w:rPr>
        <w:t>Teninver</w:t>
      </w:r>
      <w:proofErr w:type="spellEnd"/>
      <w:r w:rsidRPr="002A2450">
        <w:rPr>
          <w:rFonts w:ascii="ITC Avant Garde" w:hAnsi="ITC Avant Garde"/>
          <w:i/>
        </w:rPr>
        <w:t xml:space="preserve"> desean obtener la mayor contraprestación posible.</w:t>
      </w:r>
    </w:p>
    <w:p w14:paraId="5012AD93" w14:textId="77777777" w:rsidR="00B35F13" w:rsidRDefault="00E63AC2" w:rsidP="00B35F13">
      <w:pPr>
        <w:spacing w:before="240" w:line="360" w:lineRule="auto"/>
        <w:ind w:left="567" w:right="567"/>
        <w:jc w:val="both"/>
        <w:rPr>
          <w:rFonts w:ascii="ITC Avant Garde" w:hAnsi="ITC Avant Garde"/>
          <w:i/>
        </w:rPr>
      </w:pPr>
      <w:r w:rsidRPr="002A2450">
        <w:rPr>
          <w:rFonts w:ascii="ITC Avant Garde" w:hAnsi="ITC Avant Garde"/>
          <w:i/>
        </w:rPr>
        <w:t>En este tipo de contratos estamos en presencia de lo que se llama “suma cero” porque lo que se ahorra el cliente lo deja de recibir el prestador del servicio.</w:t>
      </w:r>
    </w:p>
    <w:p w14:paraId="5E8AD9B4" w14:textId="68E21DA0" w:rsidR="00B35F13" w:rsidRDefault="00E63AC2" w:rsidP="00B35F13">
      <w:pPr>
        <w:spacing w:before="240" w:line="360" w:lineRule="auto"/>
        <w:ind w:left="567" w:right="567"/>
        <w:jc w:val="both"/>
        <w:rPr>
          <w:rFonts w:ascii="ITC Avant Garde" w:hAnsi="ITC Avant Garde"/>
          <w:i/>
        </w:rPr>
      </w:pPr>
      <w:r w:rsidRPr="002A2450">
        <w:rPr>
          <w:rFonts w:ascii="ITC Avant Garde" w:hAnsi="ITC Avant Garde"/>
          <w:i/>
        </w:rPr>
        <w:t xml:space="preserve">Aunque es cierto que tratándose de los servicios de distribución a </w:t>
      </w:r>
      <w:r w:rsidR="005B601B" w:rsidRPr="002A2450">
        <w:rPr>
          <w:rFonts w:ascii="ITC Avant Garde" w:hAnsi="ITC Avant Garde"/>
          <w:b/>
          <w:i/>
        </w:rPr>
        <w:t>“TELMEX”</w:t>
      </w:r>
      <w:r w:rsidRPr="002A2450">
        <w:rPr>
          <w:rFonts w:ascii="ITC Avant Garde" w:hAnsi="ITC Avant Garde"/>
          <w:i/>
        </w:rPr>
        <w:t>/</w:t>
      </w:r>
      <w:proofErr w:type="spellStart"/>
      <w:r w:rsidRPr="002A2450">
        <w:rPr>
          <w:rFonts w:ascii="ITC Avant Garde" w:hAnsi="ITC Avant Garde"/>
          <w:i/>
        </w:rPr>
        <w:t>Teninver</w:t>
      </w:r>
      <w:proofErr w:type="spellEnd"/>
      <w:r w:rsidRPr="002A2450">
        <w:rPr>
          <w:rFonts w:ascii="ITC Avant Garde" w:hAnsi="ITC Avant Garde"/>
          <w:i/>
        </w:rPr>
        <w:t xml:space="preserve"> le corresponde un porcentaje sobre las ventas, la oposición persiste porque, incluso en estos casos, la preferencia de </w:t>
      </w:r>
      <w:proofErr w:type="spellStart"/>
      <w:r w:rsidRPr="002A2450">
        <w:rPr>
          <w:rFonts w:ascii="ITC Avant Garde" w:hAnsi="ITC Avant Garde"/>
          <w:i/>
        </w:rPr>
        <w:lastRenderedPageBreak/>
        <w:t>Dish</w:t>
      </w:r>
      <w:proofErr w:type="spellEnd"/>
      <w:r w:rsidRPr="002A2450">
        <w:rPr>
          <w:rFonts w:ascii="ITC Avant Garde" w:hAnsi="ITC Avant Garde"/>
          <w:i/>
        </w:rPr>
        <w:t>/</w:t>
      </w:r>
      <w:proofErr w:type="spellStart"/>
      <w:r w:rsidRPr="002A2450">
        <w:rPr>
          <w:rFonts w:ascii="ITC Avant Garde" w:hAnsi="ITC Avant Garde"/>
          <w:i/>
        </w:rPr>
        <w:t>Cofresa</w:t>
      </w:r>
      <w:proofErr w:type="spellEnd"/>
      <w:r w:rsidRPr="002A2450">
        <w:rPr>
          <w:rFonts w:ascii="ITC Avant Garde" w:hAnsi="ITC Avant Garde"/>
          <w:i/>
        </w:rPr>
        <w:t xml:space="preserve"> está en vender directamente los servicios para ahorrarse la comisión, o por lo menos en obtener una disminución de la comisión a pagar a </w:t>
      </w:r>
      <w:r w:rsidR="005B601B" w:rsidRPr="002A2450">
        <w:rPr>
          <w:rFonts w:ascii="ITC Avant Garde" w:hAnsi="ITC Avant Garde"/>
          <w:b/>
          <w:i/>
        </w:rPr>
        <w:t>“TELMEX”</w:t>
      </w:r>
      <w:r w:rsidRPr="002A2450">
        <w:rPr>
          <w:rFonts w:ascii="ITC Avant Garde" w:hAnsi="ITC Avant Garde"/>
          <w:i/>
        </w:rPr>
        <w:t>.</w:t>
      </w:r>
    </w:p>
    <w:p w14:paraId="09434CA4" w14:textId="77777777" w:rsidR="00B35F13" w:rsidRDefault="00E63AC2" w:rsidP="00B35F13">
      <w:pPr>
        <w:spacing w:before="240" w:line="360" w:lineRule="auto"/>
        <w:ind w:left="567" w:right="567"/>
        <w:jc w:val="both"/>
        <w:rPr>
          <w:rFonts w:ascii="ITC Avant Garde" w:hAnsi="ITC Avant Garde"/>
          <w:i/>
        </w:rPr>
      </w:pPr>
      <w:r w:rsidRPr="002A2450">
        <w:rPr>
          <w:rFonts w:ascii="ITC Avant Garde" w:hAnsi="ITC Avant Garde"/>
          <w:i/>
        </w:rPr>
        <w:t>Las relaciones contractuales están claramente diferenciadas y cada una tiene interés en log</w:t>
      </w:r>
      <w:r w:rsidR="002F6358" w:rsidRPr="002A2450">
        <w:rPr>
          <w:rFonts w:ascii="ITC Avant Garde" w:hAnsi="ITC Avant Garde"/>
          <w:i/>
        </w:rPr>
        <w:t>r</w:t>
      </w:r>
      <w:r w:rsidRPr="002A2450">
        <w:rPr>
          <w:rFonts w:ascii="ITC Avant Garde" w:hAnsi="ITC Avant Garde"/>
          <w:i/>
        </w:rPr>
        <w:t xml:space="preserve">ar los mejores términos, tan es así que cada una vende </w:t>
      </w:r>
      <w:r w:rsidR="001E6607" w:rsidRPr="002A2450">
        <w:rPr>
          <w:rFonts w:ascii="ITC Avant Garde" w:hAnsi="ITC Avant Garde"/>
          <w:i/>
        </w:rPr>
        <w:t>sus productos y servicios por s</w:t>
      </w:r>
      <w:r w:rsidRPr="002A2450">
        <w:rPr>
          <w:rFonts w:ascii="ITC Avant Garde" w:hAnsi="ITC Avant Garde"/>
          <w:i/>
        </w:rPr>
        <w:t>eparado y también cobran y facturan por separado.</w:t>
      </w:r>
    </w:p>
    <w:p w14:paraId="2755F5EF" w14:textId="77777777" w:rsidR="00B35F13" w:rsidRDefault="00CF06C6" w:rsidP="00B35F13">
      <w:pPr>
        <w:spacing w:before="240" w:line="360" w:lineRule="auto"/>
        <w:ind w:left="567" w:right="567"/>
        <w:jc w:val="both"/>
        <w:rPr>
          <w:rFonts w:ascii="ITC Avant Garde" w:hAnsi="ITC Avant Garde"/>
          <w:i/>
        </w:rPr>
      </w:pPr>
      <w:r w:rsidRPr="002A2450">
        <w:rPr>
          <w:rFonts w:ascii="ITC Avant Garde" w:hAnsi="ITC Avant Garde"/>
          <w:i/>
        </w:rPr>
        <w:t xml:space="preserve">La recta interpretación de la expresión contenida en el tercer párrafo de la condición 1-9 del Título de Concesión de </w:t>
      </w:r>
      <w:r w:rsidR="005B601B" w:rsidRPr="002A2450">
        <w:rPr>
          <w:rFonts w:ascii="ITC Avant Garde" w:hAnsi="ITC Avant Garde"/>
          <w:b/>
          <w:i/>
        </w:rPr>
        <w:t>“TELMEX”</w:t>
      </w:r>
      <w:r w:rsidRPr="002A2450">
        <w:rPr>
          <w:rFonts w:ascii="ITC Avant Garde" w:hAnsi="ITC Avant Garde"/>
          <w:i/>
        </w:rPr>
        <w:t>, explica que dicha empresa está impedida para explotar por sí o por conducto de sus subsidiaria o filiales una concesión de televisión al público.</w:t>
      </w:r>
    </w:p>
    <w:p w14:paraId="56FE7AFB" w14:textId="77777777" w:rsidR="00B35F13" w:rsidRDefault="00FA6415" w:rsidP="00B35F13">
      <w:pPr>
        <w:spacing w:before="240" w:line="360" w:lineRule="auto"/>
        <w:jc w:val="both"/>
        <w:rPr>
          <w:rFonts w:ascii="ITC Avant Garde" w:hAnsi="ITC Avant Garde"/>
        </w:rPr>
      </w:pPr>
      <w:r w:rsidRPr="002A2450">
        <w:rPr>
          <w:rFonts w:ascii="ITC Avant Garde" w:hAnsi="ITC Avant Garde"/>
        </w:rPr>
        <w:t>Dichos argumentos resulta insuficientes en virtud de las siguientes consideraciones:</w:t>
      </w:r>
    </w:p>
    <w:p w14:paraId="322B4BF8" w14:textId="77777777" w:rsidR="00B35F13" w:rsidRDefault="00FA6415" w:rsidP="00B35F13">
      <w:pPr>
        <w:spacing w:before="240" w:line="360" w:lineRule="auto"/>
        <w:jc w:val="both"/>
        <w:rPr>
          <w:rFonts w:ascii="ITC Avant Garde" w:hAnsi="ITC Avant Garde"/>
        </w:rPr>
      </w:pPr>
      <w:r w:rsidRPr="002A2450">
        <w:rPr>
          <w:rFonts w:ascii="ITC Avant Garde" w:hAnsi="ITC Avant Garde"/>
        </w:rPr>
        <w:t xml:space="preserve">En el presente apartado, se </w:t>
      </w:r>
      <w:r w:rsidR="00BF5591" w:rsidRPr="002A2450">
        <w:rPr>
          <w:rFonts w:ascii="ITC Avant Garde" w:hAnsi="ITC Avant Garde"/>
        </w:rPr>
        <w:t xml:space="preserve">analizaron </w:t>
      </w:r>
      <w:r w:rsidRPr="002A2450">
        <w:rPr>
          <w:rFonts w:ascii="ITC Avant Garde" w:hAnsi="ITC Avant Garde"/>
        </w:rPr>
        <w:t xml:space="preserve">las relaciones contractuales de las </w:t>
      </w:r>
      <w:r w:rsidR="00BF5591" w:rsidRPr="002A2450">
        <w:rPr>
          <w:rFonts w:ascii="ITC Avant Garde" w:hAnsi="ITC Avant Garde"/>
        </w:rPr>
        <w:t xml:space="preserve">que </w:t>
      </w:r>
      <w:r w:rsidRPr="002A2450">
        <w:rPr>
          <w:rFonts w:ascii="ITC Avant Garde" w:hAnsi="ITC Avant Garde"/>
        </w:rPr>
        <w:t xml:space="preserve">goza </w:t>
      </w:r>
      <w:r w:rsidRPr="002A2450">
        <w:rPr>
          <w:rFonts w:ascii="ITC Avant Garde" w:hAnsi="ITC Avant Garde"/>
          <w:b/>
        </w:rPr>
        <w:t>“TELMEX”</w:t>
      </w:r>
      <w:r w:rsidR="00BF5591" w:rsidRPr="002A2450">
        <w:rPr>
          <w:rFonts w:ascii="ITC Avant Garde" w:hAnsi="ITC Avant Garde"/>
          <w:b/>
        </w:rPr>
        <w:t>;</w:t>
      </w:r>
      <w:r w:rsidRPr="002A2450">
        <w:rPr>
          <w:rFonts w:ascii="ITC Avant Garde" w:hAnsi="ITC Avant Garde"/>
        </w:rPr>
        <w:t xml:space="preserve"> en su análisis se determinó que sin ser accionista podría </w:t>
      </w:r>
      <w:r w:rsidR="00B20711" w:rsidRPr="002A2450">
        <w:rPr>
          <w:rFonts w:ascii="ITC Avant Garde" w:hAnsi="ITC Avant Garde"/>
        </w:rPr>
        <w:t>in</w:t>
      </w:r>
      <w:r w:rsidR="0060351D" w:rsidRPr="002A2450">
        <w:rPr>
          <w:rFonts w:ascii="ITC Avant Garde" w:hAnsi="ITC Avant Garde"/>
        </w:rPr>
        <w:t>f</w:t>
      </w:r>
      <w:r w:rsidR="00B20711" w:rsidRPr="002A2450">
        <w:rPr>
          <w:rFonts w:ascii="ITC Avant Garde" w:hAnsi="ITC Avant Garde"/>
        </w:rPr>
        <w:t>luir en la toma de deci</w:t>
      </w:r>
      <w:r w:rsidR="00FD3D53" w:rsidRPr="002A2450">
        <w:rPr>
          <w:rFonts w:ascii="ITC Avant Garde" w:hAnsi="ITC Avant Garde"/>
        </w:rPr>
        <w:t>si</w:t>
      </w:r>
      <w:r w:rsidR="00B20711" w:rsidRPr="002A2450">
        <w:rPr>
          <w:rFonts w:ascii="ITC Avant Garde" w:hAnsi="ITC Avant Garde"/>
        </w:rPr>
        <w:t xml:space="preserve">ones con relación a los servicios de </w:t>
      </w:r>
      <w:r w:rsidR="00B20711" w:rsidRPr="002A2450">
        <w:rPr>
          <w:rFonts w:ascii="ITC Avant Garde" w:hAnsi="ITC Avant Garde"/>
          <w:b/>
        </w:rPr>
        <w:t>“DTH”</w:t>
      </w:r>
      <w:r w:rsidR="00B20711" w:rsidRPr="002A2450">
        <w:rPr>
          <w:rFonts w:ascii="ITC Avant Garde" w:hAnsi="ITC Avant Garde"/>
        </w:rPr>
        <w:t xml:space="preserve"> que ofrece </w:t>
      </w:r>
      <w:r w:rsidR="00B20711" w:rsidRPr="002A2450">
        <w:rPr>
          <w:rFonts w:ascii="ITC Avant Garde" w:hAnsi="ITC Avant Garde"/>
          <w:b/>
        </w:rPr>
        <w:t>“COFRESA”</w:t>
      </w:r>
      <w:r w:rsidR="00B20711" w:rsidRPr="002A2450">
        <w:rPr>
          <w:rFonts w:ascii="ITC Avant Garde" w:hAnsi="ITC Avant Garde"/>
        </w:rPr>
        <w:t xml:space="preserve"> derivado de los contratos de opción y consecuencias los cuales fueron terminados el ocho de agosto de dos mil catorce con el Convenio </w:t>
      </w:r>
      <w:r w:rsidR="00B20711" w:rsidRPr="00E11C4B">
        <w:rPr>
          <w:rFonts w:ascii="ITC Avant Garde" w:hAnsi="ITC Avant Garde"/>
        </w:rPr>
        <w:t xml:space="preserve">de </w:t>
      </w:r>
      <w:r w:rsidR="00E11C4B" w:rsidRPr="00E11C4B">
        <w:rPr>
          <w:rFonts w:ascii="ITC Avant Garde" w:hAnsi="ITC Avant Garde"/>
        </w:rPr>
        <w:t>Terminación</w:t>
      </w:r>
      <w:r w:rsidRPr="00E11C4B">
        <w:rPr>
          <w:rFonts w:ascii="ITC Avant Garde" w:hAnsi="ITC Avant Garde"/>
        </w:rPr>
        <w:t>.</w:t>
      </w:r>
    </w:p>
    <w:p w14:paraId="349E455D" w14:textId="06FE2CD4" w:rsidR="00B35F13" w:rsidRDefault="00FA6415" w:rsidP="00B35F13">
      <w:pPr>
        <w:spacing w:before="240" w:line="360" w:lineRule="auto"/>
        <w:jc w:val="both"/>
        <w:rPr>
          <w:rFonts w:ascii="ITC Avant Garde" w:hAnsi="ITC Avant Garde"/>
        </w:rPr>
      </w:pPr>
      <w:r w:rsidRPr="002A2450">
        <w:rPr>
          <w:rFonts w:ascii="ITC Avant Garde" w:hAnsi="ITC Avant Garde"/>
        </w:rPr>
        <w:t xml:space="preserve">Aunado a lo anterior se señaló que </w:t>
      </w:r>
      <w:r w:rsidR="00B20711" w:rsidRPr="002A2450">
        <w:rPr>
          <w:rFonts w:ascii="ITC Avant Garde" w:hAnsi="ITC Avant Garde"/>
        </w:rPr>
        <w:t xml:space="preserve">derivado de los derechos de opción y consecuencias, los mismos establecen </w:t>
      </w:r>
      <w:r w:rsidRPr="002A2450">
        <w:rPr>
          <w:rFonts w:ascii="ITC Avant Garde" w:hAnsi="ITC Avant Garde"/>
        </w:rPr>
        <w:t xml:space="preserve">una serie de controles internos y externos para </w:t>
      </w:r>
      <w:r w:rsidR="00B20711" w:rsidRPr="002A2450">
        <w:rPr>
          <w:rFonts w:ascii="ITC Avant Garde" w:hAnsi="ITC Avant Garde"/>
          <w:b/>
        </w:rPr>
        <w:t xml:space="preserve">“DISH MÉXICO” </w:t>
      </w:r>
      <w:r w:rsidR="00B20711" w:rsidRPr="002A2450">
        <w:rPr>
          <w:rFonts w:ascii="ITC Avant Garde" w:hAnsi="ITC Avant Garde"/>
        </w:rPr>
        <w:t xml:space="preserve">y sus subsidiarias incluyendo a </w:t>
      </w:r>
      <w:r w:rsidR="00B20711" w:rsidRPr="002A2450">
        <w:rPr>
          <w:rFonts w:ascii="ITC Avant Garde" w:hAnsi="ITC Avant Garde"/>
          <w:b/>
        </w:rPr>
        <w:t xml:space="preserve">“COFRESA” </w:t>
      </w:r>
      <w:r w:rsidR="00B20711" w:rsidRPr="002A2450">
        <w:rPr>
          <w:rFonts w:ascii="ITC Avant Garde" w:hAnsi="ITC Avant Garde"/>
        </w:rPr>
        <w:t>con el objeto de que</w:t>
      </w:r>
      <w:r w:rsidRPr="002A2450">
        <w:rPr>
          <w:rFonts w:ascii="ITC Avant Garde" w:hAnsi="ITC Avant Garde"/>
        </w:rPr>
        <w:t xml:space="preserve">, en su caso, </w:t>
      </w:r>
      <w:r w:rsidR="00B20711" w:rsidRPr="002A2450">
        <w:rPr>
          <w:rFonts w:ascii="ITC Avant Garde" w:hAnsi="ITC Avant Garde"/>
        </w:rPr>
        <w:t xml:space="preserve">se ejerciera </w:t>
      </w:r>
      <w:r w:rsidRPr="002A2450">
        <w:rPr>
          <w:rFonts w:ascii="ITC Avant Garde" w:hAnsi="ITC Avant Garde"/>
        </w:rPr>
        <w:t>la opción de co</w:t>
      </w:r>
      <w:r w:rsidR="00BF5591" w:rsidRPr="002A2450">
        <w:rPr>
          <w:rFonts w:ascii="ITC Avant Garde" w:hAnsi="ITC Avant Garde"/>
        </w:rPr>
        <w:t>mpra</w:t>
      </w:r>
      <w:r w:rsidRPr="002A2450">
        <w:rPr>
          <w:rFonts w:ascii="ITC Avant Garde" w:hAnsi="ITC Avant Garde"/>
        </w:rPr>
        <w:t xml:space="preserve"> y venta de acciones, la prohibición de la libre circulación de acciones, modificación a estatutos, celebración de reuniones, la posibilidad de gestionar un </w:t>
      </w:r>
      <w:r w:rsidR="00BF5591" w:rsidRPr="002A2450">
        <w:rPr>
          <w:rFonts w:ascii="ITC Avant Garde" w:hAnsi="ITC Avant Garde"/>
        </w:rPr>
        <w:t xml:space="preserve">préstamo </w:t>
      </w:r>
      <w:r w:rsidRPr="002A2450">
        <w:rPr>
          <w:rFonts w:ascii="ITC Avant Garde" w:hAnsi="ITC Avant Garde"/>
        </w:rPr>
        <w:t>a favor de terceros, entre otros.</w:t>
      </w:r>
    </w:p>
    <w:p w14:paraId="5BD615E4" w14:textId="77777777" w:rsidR="00A80E02" w:rsidRDefault="00FA6415" w:rsidP="00B35F13">
      <w:pPr>
        <w:spacing w:before="240" w:line="360" w:lineRule="auto"/>
        <w:jc w:val="both"/>
        <w:rPr>
          <w:rFonts w:ascii="ITC Avant Garde" w:hAnsi="ITC Avant Garde"/>
        </w:rPr>
        <w:sectPr w:rsidR="00A80E02" w:rsidSect="009F3771">
          <w:headerReference w:type="default" r:id="rId58"/>
          <w:pgSz w:w="12240" w:h="15840"/>
          <w:pgMar w:top="1985" w:right="1701" w:bottom="1418" w:left="1701" w:header="709" w:footer="709" w:gutter="0"/>
          <w:cols w:space="708"/>
          <w:docGrid w:linePitch="360"/>
        </w:sectPr>
      </w:pPr>
      <w:r w:rsidRPr="002A2450">
        <w:rPr>
          <w:rFonts w:ascii="ITC Avant Garde" w:hAnsi="ITC Avant Garde"/>
        </w:rPr>
        <w:t xml:space="preserve">Adicionalmente a lo anterior, también se señaló </w:t>
      </w:r>
      <w:r w:rsidR="00107B43" w:rsidRPr="002A2450">
        <w:rPr>
          <w:rFonts w:ascii="ITC Avant Garde" w:hAnsi="ITC Avant Garde"/>
        </w:rPr>
        <w:t xml:space="preserve">que en términos del contrato de </w:t>
      </w:r>
    </w:p>
    <w:p w14:paraId="11894232" w14:textId="459763A2" w:rsidR="00B35F13" w:rsidRDefault="00107B43" w:rsidP="00B35F13">
      <w:pPr>
        <w:spacing w:before="240" w:line="360" w:lineRule="auto"/>
        <w:jc w:val="both"/>
        <w:rPr>
          <w:rFonts w:ascii="ITC Avant Garde" w:hAnsi="ITC Avant Garde"/>
        </w:rPr>
      </w:pPr>
      <w:proofErr w:type="gramStart"/>
      <w:r w:rsidRPr="002A2450">
        <w:rPr>
          <w:rFonts w:ascii="ITC Avant Garde" w:hAnsi="ITC Avant Garde"/>
        </w:rPr>
        <w:lastRenderedPageBreak/>
        <w:t>prestación</w:t>
      </w:r>
      <w:proofErr w:type="gramEnd"/>
      <w:r w:rsidRPr="002A2450">
        <w:rPr>
          <w:rFonts w:ascii="ITC Avant Garde" w:hAnsi="ITC Avant Garde"/>
        </w:rPr>
        <w:t xml:space="preserve"> de servicios,</w:t>
      </w:r>
      <w:r w:rsidR="00022192">
        <w:rPr>
          <w:rFonts w:ascii="ITC Avant Garde" w:hAnsi="ITC Avant Garde"/>
        </w:rPr>
        <w:t xml:space="preserve"> concretamente en la Sección</w:t>
      </w:r>
      <w:r w:rsidRPr="002A2450">
        <w:rPr>
          <w:rFonts w:ascii="ITC Avant Garde" w:hAnsi="ITC Avant Garde"/>
        </w:rPr>
        <w:t xml:space="preserve"> </w:t>
      </w:r>
      <w:r w:rsidR="004A407D" w:rsidRPr="0047339C">
        <w:rPr>
          <w:rFonts w:ascii="ITC Avant Garde" w:eastAsiaTheme="majorEastAsia" w:hAnsi="ITC Avant Garde" w:cstheme="majorBidi"/>
          <w:b/>
          <w:color w:val="0000FF"/>
          <w:szCs w:val="32"/>
        </w:rPr>
        <w:t>“CONFIDENCIAL POR LEY”</w:t>
      </w:r>
      <w:r w:rsidRPr="0047339C">
        <w:rPr>
          <w:rFonts w:ascii="ITC Avant Garde" w:hAnsi="ITC Avant Garde"/>
          <w:b/>
        </w:rPr>
        <w:t>,</w:t>
      </w:r>
      <w:r w:rsidRPr="002A2450">
        <w:rPr>
          <w:rFonts w:ascii="ITC Avant Garde" w:hAnsi="ITC Avant Garde"/>
        </w:rPr>
        <w:t xml:space="preserve"> </w:t>
      </w:r>
      <w:r w:rsidRPr="002A2450">
        <w:rPr>
          <w:rFonts w:ascii="ITC Avant Garde" w:hAnsi="ITC Avant Garde"/>
          <w:b/>
        </w:rPr>
        <w:t>“TELMEX”</w:t>
      </w:r>
      <w:r w:rsidRPr="002A2450">
        <w:rPr>
          <w:rFonts w:ascii="ITC Avant Garde" w:hAnsi="ITC Avant Garde"/>
        </w:rPr>
        <w:t xml:space="preserve"> cobraría el 30% de la cantidad neta facturada. Sin embargo, en la misma fecha en que se celebró dicho</w:t>
      </w:r>
      <w:r w:rsidR="00BF5591" w:rsidRPr="002A2450">
        <w:rPr>
          <w:rFonts w:ascii="ITC Avant Garde" w:hAnsi="ITC Avant Garde"/>
        </w:rPr>
        <w:t xml:space="preserve"> contrato</w:t>
      </w:r>
      <w:r w:rsidRPr="002A2450">
        <w:rPr>
          <w:rFonts w:ascii="ITC Avant Garde" w:hAnsi="ITC Avant Garde"/>
        </w:rPr>
        <w:t>, esto es el veinticuatro de noviembre de dos mil ocho, dicha concesionaria remitió una carta fecha</w:t>
      </w:r>
      <w:r w:rsidR="00BF5591" w:rsidRPr="002A2450">
        <w:rPr>
          <w:rFonts w:ascii="ITC Avant Garde" w:hAnsi="ITC Avant Garde"/>
        </w:rPr>
        <w:t>da</w:t>
      </w:r>
      <w:r w:rsidRPr="002A2450">
        <w:rPr>
          <w:rFonts w:ascii="ITC Avant Garde" w:hAnsi="ITC Avant Garde"/>
        </w:rPr>
        <w:t xml:space="preserve"> ese mismo día señalando que la contraprestación </w:t>
      </w:r>
      <w:r w:rsidR="003E4463">
        <w:rPr>
          <w:rFonts w:ascii="ITC Avant Garde" w:hAnsi="ITC Avant Garde"/>
        </w:rPr>
        <w:t>sería reducida en una cantidad neta equivalente a</w:t>
      </w:r>
      <w:r w:rsidR="003E4463" w:rsidRPr="00F76758">
        <w:rPr>
          <w:rFonts w:ascii="ITC Avant Garde" w:hAnsi="ITC Avant Garde"/>
        </w:rPr>
        <w:t xml:space="preserve"> </w:t>
      </w:r>
      <w:r w:rsidR="004A407D" w:rsidRPr="0047339C">
        <w:rPr>
          <w:rFonts w:ascii="ITC Avant Garde" w:eastAsiaTheme="majorEastAsia" w:hAnsi="ITC Avant Garde" w:cstheme="majorBidi"/>
          <w:b/>
          <w:color w:val="0000FF"/>
          <w:szCs w:val="32"/>
        </w:rPr>
        <w:t>“CONFIDENCIAL POR LEY</w:t>
      </w:r>
      <w:r w:rsidR="004A407D">
        <w:rPr>
          <w:rFonts w:ascii="ITC Avant Garde" w:eastAsiaTheme="majorEastAsia" w:hAnsi="ITC Avant Garde" w:cstheme="majorBidi"/>
          <w:color w:val="0000FF"/>
          <w:szCs w:val="32"/>
        </w:rPr>
        <w:t>”</w:t>
      </w:r>
      <w:r w:rsidR="003E4463" w:rsidRPr="00F76758">
        <w:rPr>
          <w:rFonts w:ascii="ITC Avant Garde" w:hAnsi="ITC Avant Garde"/>
        </w:rPr>
        <w:t xml:space="preserve"> por cada cliente más el impuesto al valor </w:t>
      </w:r>
      <w:proofErr w:type="gramStart"/>
      <w:r w:rsidR="003E4463" w:rsidRPr="00F76758">
        <w:rPr>
          <w:rFonts w:ascii="ITC Avant Garde" w:hAnsi="ITC Avant Garde"/>
        </w:rPr>
        <w:t>agregado</w:t>
      </w:r>
      <w:r w:rsidR="003E4463" w:rsidRPr="002A2450" w:rsidDel="003E4463">
        <w:rPr>
          <w:rFonts w:ascii="ITC Avant Garde" w:hAnsi="ITC Avant Garde"/>
        </w:rPr>
        <w:t xml:space="preserve"> </w:t>
      </w:r>
      <w:r w:rsidRPr="002A2450">
        <w:rPr>
          <w:rFonts w:ascii="ITC Avant Garde" w:hAnsi="ITC Avant Garde"/>
        </w:rPr>
        <w:t>.</w:t>
      </w:r>
      <w:proofErr w:type="gramEnd"/>
    </w:p>
    <w:p w14:paraId="4CEED9D5" w14:textId="77777777" w:rsidR="00B35F13" w:rsidRDefault="00107B43" w:rsidP="00B35F13">
      <w:pPr>
        <w:spacing w:before="240" w:line="360" w:lineRule="auto"/>
        <w:jc w:val="both"/>
        <w:rPr>
          <w:rFonts w:ascii="ITC Avant Garde" w:hAnsi="ITC Avant Garde"/>
        </w:rPr>
      </w:pPr>
      <w:r w:rsidRPr="002A2450">
        <w:rPr>
          <w:rFonts w:ascii="ITC Avant Garde" w:hAnsi="ITC Avant Garde"/>
        </w:rPr>
        <w:t xml:space="preserve">Ahora bien, este contenido obligacional sin duda expone </w:t>
      </w:r>
      <w:r w:rsidR="000849A5" w:rsidRPr="002A2450">
        <w:rPr>
          <w:rFonts w:ascii="ITC Avant Garde" w:hAnsi="ITC Avant Garde"/>
        </w:rPr>
        <w:t>c</w:t>
      </w:r>
      <w:r w:rsidR="0060351D" w:rsidRPr="002A2450">
        <w:rPr>
          <w:rFonts w:ascii="ITC Avant Garde" w:hAnsi="ITC Avant Garde"/>
        </w:rPr>
        <w:t>ó</w:t>
      </w:r>
      <w:r w:rsidR="000849A5" w:rsidRPr="002A2450">
        <w:rPr>
          <w:rFonts w:ascii="ITC Avant Garde" w:hAnsi="ITC Avant Garde"/>
        </w:rPr>
        <w:t>mo estos mecanismo</w:t>
      </w:r>
      <w:r w:rsidR="00BF5591" w:rsidRPr="002A2450">
        <w:rPr>
          <w:rFonts w:ascii="ITC Avant Garde" w:hAnsi="ITC Avant Garde"/>
        </w:rPr>
        <w:t>s</w:t>
      </w:r>
      <w:r w:rsidR="000849A5" w:rsidRPr="002A2450">
        <w:rPr>
          <w:rFonts w:ascii="ITC Avant Garde" w:hAnsi="ITC Avant Garde"/>
        </w:rPr>
        <w:t xml:space="preserve"> de control permitieron que </w:t>
      </w:r>
      <w:r w:rsidR="000849A5" w:rsidRPr="002A2450">
        <w:rPr>
          <w:rFonts w:ascii="ITC Avant Garde" w:hAnsi="ITC Avant Garde"/>
          <w:b/>
        </w:rPr>
        <w:t xml:space="preserve">“TELMEX” </w:t>
      </w:r>
      <w:r w:rsidR="00BF5591" w:rsidRPr="002A2450">
        <w:rPr>
          <w:rFonts w:ascii="ITC Avant Garde" w:hAnsi="ITC Avant Garde"/>
        </w:rPr>
        <w:t xml:space="preserve">tuvieran injerencia en el </w:t>
      </w:r>
      <w:r w:rsidR="000849A5" w:rsidRPr="002A2450">
        <w:rPr>
          <w:rFonts w:ascii="ITC Avant Garde" w:hAnsi="ITC Avant Garde"/>
        </w:rPr>
        <w:t xml:space="preserve">control operacional de </w:t>
      </w:r>
      <w:r w:rsidR="000849A5" w:rsidRPr="002A2450">
        <w:rPr>
          <w:rFonts w:ascii="ITC Avant Garde" w:hAnsi="ITC Avant Garde"/>
          <w:b/>
        </w:rPr>
        <w:t>“DISH”</w:t>
      </w:r>
      <w:r w:rsidR="000849A5" w:rsidRPr="002A2450">
        <w:rPr>
          <w:rFonts w:ascii="ITC Avant Garde" w:hAnsi="ITC Avant Garde"/>
        </w:rPr>
        <w:t xml:space="preserve"> sin ser socio pero asumiendo derechos como si lo fuera.</w:t>
      </w:r>
    </w:p>
    <w:p w14:paraId="42E9F850" w14:textId="77777777" w:rsidR="00B35F13" w:rsidRDefault="000849A5" w:rsidP="00B35F13">
      <w:pPr>
        <w:spacing w:before="240" w:line="360" w:lineRule="auto"/>
        <w:jc w:val="both"/>
        <w:rPr>
          <w:rFonts w:ascii="ITC Avant Garde" w:hAnsi="ITC Avant Garde"/>
        </w:rPr>
      </w:pPr>
      <w:r w:rsidRPr="002A2450">
        <w:rPr>
          <w:rFonts w:ascii="ITC Avant Garde" w:hAnsi="ITC Avant Garde"/>
        </w:rPr>
        <w:t xml:space="preserve">En ese sentido, </w:t>
      </w:r>
      <w:r w:rsidRPr="002A2450">
        <w:rPr>
          <w:rFonts w:ascii="ITC Avant Garde" w:hAnsi="ITC Avant Garde"/>
          <w:b/>
        </w:rPr>
        <w:t>“TELMEX”</w:t>
      </w:r>
      <w:r w:rsidRPr="002A2450">
        <w:rPr>
          <w:rFonts w:ascii="ITC Avant Garde" w:hAnsi="ITC Avant Garde"/>
        </w:rPr>
        <w:t xml:space="preserve"> no se subordina a la prestación de los servicios contratados sino que participa del control mismo de la operación de </w:t>
      </w:r>
      <w:r w:rsidRPr="002A2450">
        <w:rPr>
          <w:rFonts w:ascii="ITC Avant Garde" w:hAnsi="ITC Avant Garde"/>
          <w:b/>
        </w:rPr>
        <w:t>“DISH”</w:t>
      </w:r>
      <w:r w:rsidRPr="002A2450">
        <w:rPr>
          <w:rFonts w:ascii="ITC Avant Garde" w:hAnsi="ITC Avant Garde"/>
        </w:rPr>
        <w:t>.</w:t>
      </w:r>
    </w:p>
    <w:p w14:paraId="6E079C25" w14:textId="77777777" w:rsidR="00B35F13" w:rsidRDefault="000849A5" w:rsidP="00B35F13">
      <w:pPr>
        <w:spacing w:before="240" w:line="360" w:lineRule="auto"/>
        <w:jc w:val="both"/>
        <w:rPr>
          <w:rFonts w:ascii="ITC Avant Garde" w:hAnsi="ITC Avant Garde"/>
        </w:rPr>
      </w:pPr>
      <w:r w:rsidRPr="002A2450">
        <w:rPr>
          <w:rFonts w:ascii="ITC Avant Garde" w:hAnsi="ITC Avant Garde"/>
        </w:rPr>
        <w:t xml:space="preserve">Ahora bien, con base en lo anterior, </w:t>
      </w:r>
      <w:r w:rsidRPr="002A2450">
        <w:rPr>
          <w:rFonts w:ascii="ITC Avant Garde" w:hAnsi="ITC Avant Garde"/>
          <w:b/>
        </w:rPr>
        <w:t>“TELMEX”</w:t>
      </w:r>
      <w:r w:rsidRPr="002A2450">
        <w:rPr>
          <w:rFonts w:ascii="ITC Avant Garde" w:hAnsi="ITC Avant Garde"/>
        </w:rPr>
        <w:t xml:space="preserve"> explota una concesión de manera indirecta que originalmente fue otorgada a </w:t>
      </w:r>
      <w:r w:rsidRPr="002A2450">
        <w:rPr>
          <w:rFonts w:ascii="ITC Avant Garde" w:hAnsi="ITC Avant Garde"/>
          <w:b/>
        </w:rPr>
        <w:t>“COFRESA”</w:t>
      </w:r>
      <w:r w:rsidRPr="002A2450">
        <w:rPr>
          <w:rFonts w:ascii="ITC Avant Garde" w:hAnsi="ITC Avant Garde"/>
        </w:rPr>
        <w:t xml:space="preserve"> por tanto, si su título de concesión le prohíbe como concesionario explotar una concesión diversa a la otorgada, sin duda existe la violación al</w:t>
      </w:r>
      <w:r w:rsidR="004352C8" w:rsidRPr="002A2450">
        <w:rPr>
          <w:rFonts w:ascii="ITC Avant Garde" w:hAnsi="ITC Avant Garde"/>
        </w:rPr>
        <w:t xml:space="preserve"> </w:t>
      </w:r>
      <w:r w:rsidR="00065AA4" w:rsidRPr="009E34A4">
        <w:rPr>
          <w:rFonts w:ascii="ITC Avant Garde" w:hAnsi="ITC Avant Garde"/>
          <w:b/>
        </w:rPr>
        <w:t>Tercer Párrafo</w:t>
      </w:r>
      <w:r w:rsidR="004352C8" w:rsidRPr="002A2450">
        <w:rPr>
          <w:rFonts w:ascii="ITC Avant Garde" w:hAnsi="ITC Avant Garde"/>
        </w:rPr>
        <w:t xml:space="preserve"> de la</w:t>
      </w:r>
      <w:r w:rsidRPr="002A2450">
        <w:rPr>
          <w:rFonts w:ascii="ITC Avant Garde" w:hAnsi="ITC Avant Garde"/>
        </w:rPr>
        <w:t xml:space="preserve"> condición 1-9 de su </w:t>
      </w:r>
      <w:r w:rsidRPr="002A2450">
        <w:rPr>
          <w:rFonts w:ascii="ITC Avant Garde" w:hAnsi="ITC Avant Garde"/>
          <w:b/>
        </w:rPr>
        <w:t>“TÍTULO DE CONCESIÓN”</w:t>
      </w:r>
      <w:r w:rsidRPr="002A2450">
        <w:rPr>
          <w:rFonts w:ascii="ITC Avant Garde" w:hAnsi="ITC Avant Garde"/>
        </w:rPr>
        <w:t>.</w:t>
      </w:r>
    </w:p>
    <w:p w14:paraId="1772E913" w14:textId="77777777" w:rsidR="00B35F13" w:rsidRDefault="000849A5" w:rsidP="00B35F13">
      <w:pPr>
        <w:spacing w:before="240" w:line="360" w:lineRule="auto"/>
        <w:jc w:val="both"/>
        <w:rPr>
          <w:rFonts w:ascii="ITC Avant Garde" w:hAnsi="ITC Avant Garde"/>
        </w:rPr>
      </w:pPr>
      <w:r w:rsidRPr="002A2450">
        <w:rPr>
          <w:rFonts w:ascii="ITC Avant Garde" w:hAnsi="ITC Avant Garde"/>
        </w:rPr>
        <w:t xml:space="preserve">En ese sentido, </w:t>
      </w:r>
      <w:r w:rsidRPr="002A2450">
        <w:rPr>
          <w:rFonts w:ascii="ITC Avant Garde" w:hAnsi="ITC Avant Garde"/>
          <w:b/>
        </w:rPr>
        <w:t>“TELMEX”</w:t>
      </w:r>
      <w:r w:rsidRPr="002A2450">
        <w:rPr>
          <w:rFonts w:ascii="ITC Avant Garde" w:hAnsi="ITC Avant Garde"/>
        </w:rPr>
        <w:t xml:space="preserve"> acredita los extremos de la prohibición </w:t>
      </w:r>
      <w:r w:rsidR="00842B3E" w:rsidRPr="002A2450">
        <w:rPr>
          <w:rFonts w:ascii="ITC Avant Garde" w:hAnsi="ITC Avant Garde"/>
        </w:rPr>
        <w:t>esto es explota de manera indirecta una concesión que presta el servicio de televisión en el país.</w:t>
      </w:r>
    </w:p>
    <w:p w14:paraId="54F245F8" w14:textId="77777777" w:rsidR="00B35F13" w:rsidRDefault="00842B3E" w:rsidP="00B35F13">
      <w:pPr>
        <w:spacing w:before="240" w:line="360" w:lineRule="auto"/>
        <w:jc w:val="both"/>
        <w:rPr>
          <w:rFonts w:ascii="ITC Avant Garde" w:hAnsi="ITC Avant Garde"/>
        </w:rPr>
      </w:pPr>
      <w:r w:rsidRPr="002A2450">
        <w:rPr>
          <w:rFonts w:ascii="ITC Avant Garde" w:hAnsi="ITC Avant Garde"/>
        </w:rPr>
        <w:t>Ahora bien, respecto de la comunidad de intereses, debe señalarse que los contratos coaligados</w:t>
      </w:r>
      <w:r w:rsidR="001770C5" w:rsidRPr="002A2450">
        <w:rPr>
          <w:rFonts w:ascii="ITC Avant Garde" w:hAnsi="ITC Avant Garde"/>
        </w:rPr>
        <w:t xml:space="preserve"> son el</w:t>
      </w:r>
      <w:r w:rsidRPr="002A2450">
        <w:rPr>
          <w:rFonts w:ascii="ITC Avant Garde" w:hAnsi="ITC Avant Garde"/>
        </w:rPr>
        <w:t xml:space="preserve"> vínculo que los une</w:t>
      </w:r>
      <w:r w:rsidR="001770C5" w:rsidRPr="002A2450">
        <w:rPr>
          <w:rFonts w:ascii="ITC Avant Garde" w:hAnsi="ITC Avant Garde"/>
        </w:rPr>
        <w:t xml:space="preserve"> </w:t>
      </w:r>
      <w:r w:rsidR="004352C8" w:rsidRPr="002A2450">
        <w:rPr>
          <w:rFonts w:ascii="ITC Avant Garde" w:hAnsi="ITC Avant Garde"/>
        </w:rPr>
        <w:t xml:space="preserve">con un </w:t>
      </w:r>
      <w:r w:rsidRPr="002A2450">
        <w:rPr>
          <w:rFonts w:ascii="ITC Avant Garde" w:hAnsi="ITC Avant Garde"/>
        </w:rPr>
        <w:t xml:space="preserve">ánimo de llevar a cabo un interés común, </w:t>
      </w:r>
      <w:r w:rsidR="004352C8" w:rsidRPr="002A2450">
        <w:rPr>
          <w:rFonts w:ascii="ITC Avant Garde" w:hAnsi="ITC Avant Garde"/>
        </w:rPr>
        <w:t>y es precisamente</w:t>
      </w:r>
      <w:r w:rsidRPr="002A2450">
        <w:rPr>
          <w:rFonts w:ascii="ITC Avant Garde" w:hAnsi="ITC Avant Garde"/>
        </w:rPr>
        <w:t xml:space="preserve"> ese interés </w:t>
      </w:r>
      <w:r w:rsidR="004352C8" w:rsidRPr="002A2450">
        <w:rPr>
          <w:rFonts w:ascii="ITC Avant Garde" w:hAnsi="ITC Avant Garde"/>
        </w:rPr>
        <w:t>el que los convierte en indisolubles</w:t>
      </w:r>
      <w:r w:rsidRPr="002A2450">
        <w:rPr>
          <w:rFonts w:ascii="ITC Avant Garde" w:hAnsi="ITC Avant Garde"/>
        </w:rPr>
        <w:t xml:space="preserve"> cuando los suscriptores de los contratos unifican sus esfuerzos como si</w:t>
      </w:r>
      <w:r w:rsidR="001770C5" w:rsidRPr="002A2450">
        <w:rPr>
          <w:rFonts w:ascii="ITC Avant Garde" w:hAnsi="ITC Avant Garde"/>
        </w:rPr>
        <w:t xml:space="preserve"> se tratara de</w:t>
      </w:r>
      <w:r w:rsidR="004352C8" w:rsidRPr="002A2450">
        <w:rPr>
          <w:rFonts w:ascii="ITC Avant Garde" w:hAnsi="ITC Avant Garde"/>
        </w:rPr>
        <w:t xml:space="preserve"> </w:t>
      </w:r>
      <w:r w:rsidR="001770C5" w:rsidRPr="002A2450">
        <w:rPr>
          <w:rFonts w:ascii="ITC Avant Garde" w:hAnsi="ITC Avant Garde"/>
        </w:rPr>
        <w:t>una sola entidad puesto que en ese sentido la comunidad de intereses se vuelve uno solo</w:t>
      </w:r>
      <w:r w:rsidR="00B20711" w:rsidRPr="002A2450">
        <w:rPr>
          <w:rFonts w:ascii="ITC Avant Garde" w:hAnsi="ITC Avant Garde"/>
        </w:rPr>
        <w:t xml:space="preserve">, en el presente caso los contratos de operación y consecuencias resultan </w:t>
      </w:r>
      <w:r w:rsidR="00B20711" w:rsidRPr="002A2450">
        <w:rPr>
          <w:rFonts w:ascii="ITC Avant Garde" w:hAnsi="ITC Avant Garde"/>
        </w:rPr>
        <w:lastRenderedPageBreak/>
        <w:t xml:space="preserve">ser los contratos que otorgaron derechos para la operación del servicio de </w:t>
      </w:r>
      <w:r w:rsidR="00B20711" w:rsidRPr="002A2450">
        <w:rPr>
          <w:rFonts w:ascii="ITC Avant Garde" w:hAnsi="ITC Avant Garde"/>
          <w:b/>
        </w:rPr>
        <w:t xml:space="preserve">“DTH” </w:t>
      </w:r>
      <w:r w:rsidR="00B20711" w:rsidRPr="002A2450">
        <w:rPr>
          <w:rFonts w:ascii="ITC Avant Garde" w:hAnsi="ITC Avant Garde"/>
        </w:rPr>
        <w:t xml:space="preserve">a </w:t>
      </w:r>
      <w:r w:rsidR="00B20711" w:rsidRPr="002A2450">
        <w:rPr>
          <w:rFonts w:ascii="ITC Avant Garde" w:hAnsi="ITC Avant Garde"/>
          <w:b/>
        </w:rPr>
        <w:t xml:space="preserve">“TELMEX” </w:t>
      </w:r>
      <w:r w:rsidR="00B20711" w:rsidRPr="002A2450">
        <w:rPr>
          <w:rFonts w:ascii="ITC Avant Garde" w:hAnsi="ITC Avant Garde"/>
        </w:rPr>
        <w:t xml:space="preserve">a través de </w:t>
      </w:r>
      <w:r w:rsidR="00B20711" w:rsidRPr="002A2450">
        <w:rPr>
          <w:rFonts w:ascii="ITC Avant Garde" w:hAnsi="ITC Avant Garde"/>
          <w:b/>
        </w:rPr>
        <w:t>“TENINVER”</w:t>
      </w:r>
      <w:r w:rsidR="001770C5" w:rsidRPr="002A2450">
        <w:rPr>
          <w:rFonts w:ascii="ITC Avant Garde" w:hAnsi="ITC Avant Garde"/>
        </w:rPr>
        <w:t>.</w:t>
      </w:r>
    </w:p>
    <w:p w14:paraId="7521AD89" w14:textId="77777777" w:rsidR="00B35F13" w:rsidRDefault="00842B3E" w:rsidP="00B35F13">
      <w:pPr>
        <w:spacing w:before="240" w:line="360" w:lineRule="auto"/>
        <w:jc w:val="both"/>
        <w:rPr>
          <w:rFonts w:ascii="ITC Avant Garde" w:hAnsi="ITC Avant Garde"/>
          <w:i/>
        </w:rPr>
      </w:pPr>
      <w:r w:rsidRPr="002A2450">
        <w:rPr>
          <w:rFonts w:ascii="ITC Avant Garde" w:hAnsi="ITC Avant Garde"/>
        </w:rPr>
        <w:t xml:space="preserve">En ese sentido, es presumible que existen acciones coordinadas para llevar a cabo la prestación del servicio </w:t>
      </w:r>
      <w:r w:rsidRPr="002A2450">
        <w:rPr>
          <w:rFonts w:ascii="ITC Avant Garde" w:hAnsi="ITC Avant Garde"/>
          <w:b/>
        </w:rPr>
        <w:t>“D</w:t>
      </w:r>
      <w:r w:rsidR="00B61711" w:rsidRPr="002A2450">
        <w:rPr>
          <w:rFonts w:ascii="ITC Avant Garde" w:hAnsi="ITC Avant Garde"/>
          <w:b/>
        </w:rPr>
        <w:t>T</w:t>
      </w:r>
      <w:r w:rsidRPr="002A2450">
        <w:rPr>
          <w:rFonts w:ascii="ITC Avant Garde" w:hAnsi="ITC Avant Garde"/>
          <w:b/>
        </w:rPr>
        <w:t>H”</w:t>
      </w:r>
      <w:r w:rsidRPr="002A2450">
        <w:rPr>
          <w:rFonts w:ascii="ITC Avant Garde" w:hAnsi="ITC Avant Garde"/>
        </w:rPr>
        <w:t xml:space="preserve"> mediante la denominada </w:t>
      </w:r>
      <w:r w:rsidRPr="002A2450">
        <w:rPr>
          <w:rFonts w:ascii="ITC Avant Garde" w:hAnsi="ITC Avant Garde"/>
          <w:i/>
        </w:rPr>
        <w:t>Alianza Estratégica.</w:t>
      </w:r>
    </w:p>
    <w:p w14:paraId="534FB359" w14:textId="77777777" w:rsidR="00B35F13" w:rsidRDefault="001770C5" w:rsidP="00B35F13">
      <w:pPr>
        <w:spacing w:before="240" w:line="360" w:lineRule="auto"/>
        <w:jc w:val="both"/>
        <w:rPr>
          <w:rFonts w:ascii="ITC Avant Garde" w:hAnsi="ITC Avant Garde"/>
        </w:rPr>
      </w:pPr>
      <w:r w:rsidRPr="002A2450">
        <w:rPr>
          <w:rFonts w:ascii="ITC Avant Garde" w:hAnsi="ITC Avant Garde"/>
        </w:rPr>
        <w:t xml:space="preserve">Ahora bien, no debe descartarse que la carta suscrita el veinticuatro de noviembre de dos mil ocho, fue dirigida por </w:t>
      </w:r>
      <w:r w:rsidRPr="002A2450">
        <w:rPr>
          <w:rFonts w:ascii="ITC Avant Garde" w:hAnsi="ITC Avant Garde"/>
          <w:b/>
        </w:rPr>
        <w:t>“TELMEX”</w:t>
      </w:r>
      <w:r w:rsidRPr="002A2450">
        <w:rPr>
          <w:rFonts w:ascii="ITC Avant Garde" w:hAnsi="ITC Avant Garde"/>
        </w:rPr>
        <w:t xml:space="preserve"> a </w:t>
      </w:r>
      <w:r w:rsidRPr="002A2450">
        <w:rPr>
          <w:rFonts w:ascii="ITC Avant Garde" w:hAnsi="ITC Avant Garde"/>
          <w:b/>
        </w:rPr>
        <w:t>“COFRESA”</w:t>
      </w:r>
      <w:r w:rsidRPr="002A2450">
        <w:rPr>
          <w:rFonts w:ascii="ITC Avant Garde" w:hAnsi="ITC Avant Garde"/>
        </w:rPr>
        <w:t xml:space="preserve"> dónde contrario a lo que sostiene la primera, sufre una modificación en cuanto a la contraprestación pactada, esto es, </w:t>
      </w:r>
      <w:r w:rsidR="003E4463">
        <w:rPr>
          <w:rFonts w:ascii="ITC Avant Garde" w:hAnsi="ITC Avant Garde"/>
        </w:rPr>
        <w:t>reducida en una cantidad neta equivalente a</w:t>
      </w:r>
      <w:r w:rsidR="003E4463" w:rsidRPr="00F76758">
        <w:rPr>
          <w:rFonts w:ascii="ITC Avant Garde" w:hAnsi="ITC Avant Garde"/>
        </w:rPr>
        <w:t xml:space="preserve"> </w:t>
      </w:r>
      <w:r w:rsidR="004A407D" w:rsidRPr="0047339C">
        <w:rPr>
          <w:rFonts w:ascii="ITC Avant Garde" w:eastAsiaTheme="majorEastAsia" w:hAnsi="ITC Avant Garde" w:cstheme="majorBidi"/>
          <w:b/>
          <w:color w:val="0000FF"/>
          <w:szCs w:val="32"/>
        </w:rPr>
        <w:t>“CONFIDENCIAL POR LEY”</w:t>
      </w:r>
      <w:r w:rsidR="003E4463" w:rsidRPr="00F76758">
        <w:rPr>
          <w:rFonts w:ascii="ITC Avant Garde" w:hAnsi="ITC Avant Garde"/>
        </w:rPr>
        <w:t xml:space="preserve"> por cada cliente más el impuesto al </w:t>
      </w:r>
      <w:r w:rsidR="003E4463" w:rsidRPr="00E11C4B">
        <w:rPr>
          <w:rFonts w:ascii="ITC Avant Garde" w:hAnsi="ITC Avant Garde"/>
        </w:rPr>
        <w:t xml:space="preserve">valor </w:t>
      </w:r>
      <w:r w:rsidR="00E11C4B" w:rsidRPr="00E11C4B">
        <w:rPr>
          <w:rFonts w:ascii="ITC Avant Garde" w:hAnsi="ITC Avant Garde"/>
        </w:rPr>
        <w:t>agregado</w:t>
      </w:r>
      <w:r w:rsidR="00E11C4B" w:rsidRPr="00E11C4B" w:rsidDel="003E4463">
        <w:rPr>
          <w:rFonts w:ascii="ITC Avant Garde" w:hAnsi="ITC Avant Garde"/>
        </w:rPr>
        <w:t>.</w:t>
      </w:r>
    </w:p>
    <w:p w14:paraId="2463054E" w14:textId="77777777" w:rsidR="00B35F13" w:rsidRDefault="004352C8" w:rsidP="00B35F13">
      <w:pPr>
        <w:spacing w:before="240" w:line="360" w:lineRule="auto"/>
        <w:jc w:val="both"/>
        <w:rPr>
          <w:rFonts w:ascii="ITC Avant Garde" w:hAnsi="ITC Avant Garde"/>
        </w:rPr>
      </w:pPr>
      <w:r w:rsidRPr="002A2450">
        <w:rPr>
          <w:rFonts w:ascii="ITC Avant Garde" w:hAnsi="ITC Avant Garde"/>
        </w:rPr>
        <w:t>En e</w:t>
      </w:r>
      <w:r w:rsidR="001770C5" w:rsidRPr="002A2450">
        <w:rPr>
          <w:rFonts w:ascii="ITC Avant Garde" w:hAnsi="ITC Avant Garde"/>
        </w:rPr>
        <w:t xml:space="preserve">stas consideraciones se asume que el interés por parte del proveedor del servicio es </w:t>
      </w:r>
      <w:r w:rsidR="001770C5" w:rsidRPr="002A2450">
        <w:rPr>
          <w:rFonts w:ascii="ITC Avant Garde" w:hAnsi="ITC Avant Garde"/>
          <w:i/>
        </w:rPr>
        <w:t>sui g</w:t>
      </w:r>
      <w:r w:rsidR="00A12A36" w:rsidRPr="002A2450">
        <w:rPr>
          <w:rFonts w:ascii="ITC Avant Garde" w:hAnsi="ITC Avant Garde"/>
          <w:i/>
        </w:rPr>
        <w:t>e</w:t>
      </w:r>
      <w:r w:rsidR="001770C5" w:rsidRPr="002A2450">
        <w:rPr>
          <w:rFonts w:ascii="ITC Avant Garde" w:hAnsi="ITC Avant Garde"/>
          <w:i/>
        </w:rPr>
        <w:t>neris</w:t>
      </w:r>
      <w:r w:rsidR="001770C5" w:rsidRPr="002A2450">
        <w:rPr>
          <w:rFonts w:ascii="ITC Avant Garde" w:hAnsi="ITC Avant Garde"/>
        </w:rPr>
        <w:t xml:space="preserve"> puesto que en cualquier escenario, el proveedor buscaría una tarifa mayor a la cobrada y en el presente caso resulta al revés, con lo cual es presumible que dichas relacio</w:t>
      </w:r>
      <w:r w:rsidRPr="002A2450">
        <w:rPr>
          <w:rFonts w:ascii="ITC Avant Garde" w:hAnsi="ITC Avant Garde"/>
        </w:rPr>
        <w:t>nes no sólo son de un proveedor-</w:t>
      </w:r>
      <w:r w:rsidR="001770C5" w:rsidRPr="002A2450">
        <w:rPr>
          <w:rFonts w:ascii="ITC Avant Garde" w:hAnsi="ITC Avant Garde"/>
        </w:rPr>
        <w:t xml:space="preserve">cliente sino </w:t>
      </w:r>
      <w:r w:rsidRPr="002A2450">
        <w:rPr>
          <w:rFonts w:ascii="ITC Avant Garde" w:hAnsi="ITC Avant Garde"/>
        </w:rPr>
        <w:t>que dejan entrever el</w:t>
      </w:r>
      <w:r w:rsidR="001770C5" w:rsidRPr="002A2450">
        <w:rPr>
          <w:rFonts w:ascii="ITC Avant Garde" w:hAnsi="ITC Avant Garde"/>
        </w:rPr>
        <w:t xml:space="preserve"> interés que </w:t>
      </w:r>
      <w:r w:rsidR="001770C5" w:rsidRPr="002A2450">
        <w:rPr>
          <w:rFonts w:ascii="ITC Avant Garde" w:hAnsi="ITC Avant Garde"/>
          <w:b/>
        </w:rPr>
        <w:t>“TELMEX”</w:t>
      </w:r>
      <w:r w:rsidR="001770C5" w:rsidRPr="002A2450">
        <w:rPr>
          <w:rFonts w:ascii="ITC Avant Garde" w:hAnsi="ITC Avant Garde"/>
        </w:rPr>
        <w:t xml:space="preserve"> tiene sobre </w:t>
      </w:r>
      <w:r w:rsidR="001770C5" w:rsidRPr="002A2450">
        <w:rPr>
          <w:rFonts w:ascii="ITC Avant Garde" w:hAnsi="ITC Avant Garde"/>
          <w:b/>
        </w:rPr>
        <w:t>“DISH”</w:t>
      </w:r>
      <w:r w:rsidR="001770C5" w:rsidRPr="002A2450">
        <w:rPr>
          <w:rFonts w:ascii="ITC Avant Garde" w:hAnsi="ITC Avant Garde"/>
        </w:rPr>
        <w:t xml:space="preserve"> en cuanto a la </w:t>
      </w:r>
      <w:r w:rsidRPr="002A2450">
        <w:rPr>
          <w:rFonts w:ascii="ITC Avant Garde" w:hAnsi="ITC Avant Garde"/>
        </w:rPr>
        <w:t xml:space="preserve">solidificación en la </w:t>
      </w:r>
      <w:r w:rsidR="001770C5" w:rsidRPr="002A2450">
        <w:rPr>
          <w:rFonts w:ascii="ITC Avant Garde" w:hAnsi="ITC Avant Garde"/>
        </w:rPr>
        <w:t xml:space="preserve">prestación del servicio de </w:t>
      </w:r>
      <w:r w:rsidR="001770C5" w:rsidRPr="002A2450">
        <w:rPr>
          <w:rFonts w:ascii="ITC Avant Garde" w:hAnsi="ITC Avant Garde"/>
          <w:b/>
        </w:rPr>
        <w:t>“DTH”</w:t>
      </w:r>
      <w:r w:rsidR="001770C5" w:rsidRPr="002A2450">
        <w:rPr>
          <w:rFonts w:ascii="ITC Avant Garde" w:hAnsi="ITC Avant Garde"/>
        </w:rPr>
        <w:t xml:space="preserve"> en México.</w:t>
      </w:r>
    </w:p>
    <w:p w14:paraId="34A95D49" w14:textId="77777777" w:rsidR="00A80E02" w:rsidRDefault="001770C5" w:rsidP="00B35F13">
      <w:pPr>
        <w:spacing w:before="240" w:line="360" w:lineRule="auto"/>
        <w:jc w:val="both"/>
        <w:rPr>
          <w:rFonts w:ascii="ITC Avant Garde" w:hAnsi="ITC Avant Garde"/>
        </w:rPr>
        <w:sectPr w:rsidR="00A80E02" w:rsidSect="009F3771">
          <w:headerReference w:type="default" r:id="rId59"/>
          <w:pgSz w:w="12240" w:h="15840"/>
          <w:pgMar w:top="1985" w:right="1701" w:bottom="1418" w:left="1701" w:header="709" w:footer="709" w:gutter="0"/>
          <w:cols w:space="708"/>
          <w:docGrid w:linePitch="360"/>
        </w:sectPr>
      </w:pPr>
      <w:r w:rsidRPr="002A2450">
        <w:rPr>
          <w:rFonts w:ascii="ITC Avant Garde" w:hAnsi="ITC Avant Garde"/>
        </w:rPr>
        <w:t xml:space="preserve">Lo anterior dado que el contexto en el que fue firmado, </w:t>
      </w:r>
      <w:r w:rsidRPr="002A2450">
        <w:rPr>
          <w:rFonts w:ascii="ITC Avant Garde" w:hAnsi="ITC Avant Garde"/>
          <w:b/>
        </w:rPr>
        <w:t>“TELMEX”</w:t>
      </w:r>
      <w:r w:rsidRPr="002A2450">
        <w:rPr>
          <w:rFonts w:ascii="ITC Avant Garde" w:hAnsi="ITC Avant Garde"/>
        </w:rPr>
        <w:t xml:space="preserve"> asumía el ejercicio de la opción seña</w:t>
      </w:r>
      <w:r w:rsidR="004352C8" w:rsidRPr="002A2450">
        <w:rPr>
          <w:rFonts w:ascii="ITC Avant Garde" w:hAnsi="ITC Avant Garde"/>
        </w:rPr>
        <w:t>lada</w:t>
      </w:r>
      <w:r w:rsidRPr="002A2450">
        <w:rPr>
          <w:rFonts w:ascii="ITC Avant Garde" w:hAnsi="ITC Avant Garde"/>
        </w:rPr>
        <w:t xml:space="preserve"> en el contrato respectivo, de lo que se sigue que el éxito o no de dicha operación estaría sujeta a la viabilidad del negocio por lo que el interés de participar en la supervisión y vigilancia de dichas operaciones representarían un control de facto sobre las mismas y para asegurar ello, necesaria</w:t>
      </w:r>
      <w:r w:rsidR="004352C8" w:rsidRPr="002A2450">
        <w:rPr>
          <w:rFonts w:ascii="ITC Avant Garde" w:hAnsi="ITC Avant Garde"/>
        </w:rPr>
        <w:t>mente dicha concesionaria limitó</w:t>
      </w:r>
      <w:r w:rsidRPr="002A2450">
        <w:rPr>
          <w:rFonts w:ascii="ITC Avant Garde" w:hAnsi="ITC Avant Garde"/>
        </w:rPr>
        <w:t xml:space="preserve"> la organización interna y externa de las empresas contratantes dado que con las mismas garantizaría que no existiera un reparto de dividendos o modificaciones a sus estatus sociales e incluso la posibilidad </w:t>
      </w:r>
      <w:r w:rsidR="00770AD8" w:rsidRPr="002A2450">
        <w:rPr>
          <w:rFonts w:ascii="ITC Avant Garde" w:hAnsi="ITC Avant Garde"/>
        </w:rPr>
        <w:t>de comprometer o gravar el capital social de las empresas involucradas.</w:t>
      </w:r>
    </w:p>
    <w:p w14:paraId="131C0A5C" w14:textId="77777777" w:rsidR="00B35F13" w:rsidRDefault="00770AD8" w:rsidP="00B35F13">
      <w:pPr>
        <w:spacing w:before="240" w:line="360" w:lineRule="auto"/>
        <w:jc w:val="both"/>
        <w:rPr>
          <w:rFonts w:ascii="ITC Avant Garde" w:hAnsi="ITC Avant Garde"/>
        </w:rPr>
      </w:pPr>
      <w:r w:rsidRPr="002A2450">
        <w:rPr>
          <w:rFonts w:ascii="ITC Avant Garde" w:hAnsi="ITC Avant Garde"/>
        </w:rPr>
        <w:lastRenderedPageBreak/>
        <w:t xml:space="preserve">Así las cosas, </w:t>
      </w:r>
      <w:r w:rsidR="007F5A7B" w:rsidRPr="002A2450">
        <w:rPr>
          <w:rFonts w:ascii="ITC Avant Garde" w:hAnsi="ITC Avant Garde"/>
        </w:rPr>
        <w:t xml:space="preserve">sus argumentos resultan insuficientes para desvirtuar la conducta materia del presente procedimiento dado que contrario a lo manifestado existen diferencias entre la actuación realizada y lo señalado en sus argumentos ya que como se advirtió la </w:t>
      </w:r>
      <w:r w:rsidR="004352C8" w:rsidRPr="002A2450">
        <w:rPr>
          <w:rFonts w:ascii="ITC Avant Garde" w:hAnsi="ITC Avant Garde"/>
          <w:i/>
        </w:rPr>
        <w:t>“</w:t>
      </w:r>
      <w:r w:rsidR="007F5A7B" w:rsidRPr="002A2450">
        <w:rPr>
          <w:rFonts w:ascii="ITC Avant Garde" w:hAnsi="ITC Avant Garde"/>
          <w:i/>
        </w:rPr>
        <w:t>suma cero</w:t>
      </w:r>
      <w:r w:rsidR="004352C8" w:rsidRPr="002A2450">
        <w:rPr>
          <w:rFonts w:ascii="ITC Avant Garde" w:hAnsi="ITC Avant Garde"/>
          <w:i/>
        </w:rPr>
        <w:t>”</w:t>
      </w:r>
      <w:r w:rsidR="007F5A7B" w:rsidRPr="002A2450">
        <w:rPr>
          <w:rFonts w:ascii="ITC Avant Garde" w:hAnsi="ITC Avant Garde"/>
        </w:rPr>
        <w:t xml:space="preserve"> fue a solicitud de </w:t>
      </w:r>
      <w:r w:rsidR="007F5A7B" w:rsidRPr="002A2450">
        <w:rPr>
          <w:rFonts w:ascii="ITC Avant Garde" w:hAnsi="ITC Avant Garde"/>
          <w:b/>
        </w:rPr>
        <w:t>“TELMEX”</w:t>
      </w:r>
      <w:r w:rsidR="007F5A7B" w:rsidRPr="002A2450">
        <w:rPr>
          <w:rFonts w:ascii="ITC Avant Garde" w:hAnsi="ITC Avant Garde"/>
        </w:rPr>
        <w:t xml:space="preserve"> y no de </w:t>
      </w:r>
      <w:r w:rsidR="007F5A7B" w:rsidRPr="002A2450">
        <w:rPr>
          <w:rFonts w:ascii="ITC Avant Garde" w:hAnsi="ITC Avant Garde"/>
          <w:b/>
        </w:rPr>
        <w:t>“COFRESA”</w:t>
      </w:r>
      <w:r w:rsidR="007F5A7B" w:rsidRPr="002A2450">
        <w:rPr>
          <w:rFonts w:ascii="ITC Avant Garde" w:hAnsi="ITC Avant Garde"/>
        </w:rPr>
        <w:t>.</w:t>
      </w:r>
    </w:p>
    <w:p w14:paraId="0E59BB2F" w14:textId="77777777" w:rsidR="00B35F13" w:rsidRDefault="007F5A7B" w:rsidP="00B35F13">
      <w:pPr>
        <w:spacing w:before="240" w:line="360" w:lineRule="auto"/>
        <w:jc w:val="both"/>
        <w:rPr>
          <w:rFonts w:ascii="ITC Avant Garde" w:hAnsi="ITC Avant Garde"/>
          <w:b/>
        </w:rPr>
      </w:pPr>
      <w:r w:rsidRPr="002A2450">
        <w:rPr>
          <w:rFonts w:ascii="ITC Avant Garde" w:hAnsi="ITC Avant Garde"/>
        </w:rPr>
        <w:t>Asimismo</w:t>
      </w:r>
      <w:r w:rsidR="00F57E17" w:rsidRPr="002A2450">
        <w:rPr>
          <w:rFonts w:ascii="ITC Avant Garde" w:hAnsi="ITC Avant Garde"/>
        </w:rPr>
        <w:t xml:space="preserve">, esta delegación de actividades operacionales para la consumación del proyecto </w:t>
      </w:r>
      <w:r w:rsidR="00F57E17" w:rsidRPr="002A2450">
        <w:rPr>
          <w:rFonts w:ascii="ITC Avant Garde" w:hAnsi="ITC Avant Garde"/>
          <w:b/>
        </w:rPr>
        <w:t>“DISH”</w:t>
      </w:r>
      <w:r w:rsidR="00F57E17" w:rsidRPr="002A2450">
        <w:rPr>
          <w:rFonts w:ascii="ITC Avant Garde" w:hAnsi="ITC Avant Garde"/>
        </w:rPr>
        <w:t xml:space="preserve"> implicó que </w:t>
      </w:r>
      <w:r w:rsidR="00F57E17" w:rsidRPr="002A2450">
        <w:rPr>
          <w:rFonts w:ascii="ITC Avant Garde" w:hAnsi="ITC Avant Garde"/>
          <w:b/>
        </w:rPr>
        <w:t>“TELMEX”</w:t>
      </w:r>
      <w:r w:rsidR="00F57E17" w:rsidRPr="002A2450">
        <w:rPr>
          <w:rFonts w:ascii="ITC Avant Garde" w:hAnsi="ITC Avant Garde"/>
        </w:rPr>
        <w:t xml:space="preserve"> </w:t>
      </w:r>
      <w:r w:rsidR="001A6FBC">
        <w:rPr>
          <w:rFonts w:ascii="ITC Avant Garde" w:hAnsi="ITC Avant Garde"/>
        </w:rPr>
        <w:t>tuviera</w:t>
      </w:r>
      <w:r w:rsidR="00F57E17" w:rsidRPr="002A2450">
        <w:rPr>
          <w:rFonts w:ascii="ITC Avant Garde" w:hAnsi="ITC Avant Garde"/>
        </w:rPr>
        <w:t xml:space="preserve"> la posibilidad de explotar de manera indirecta un</w:t>
      </w:r>
      <w:r w:rsidR="001A6FBC">
        <w:rPr>
          <w:rFonts w:ascii="ITC Avant Garde" w:hAnsi="ITC Avant Garde"/>
        </w:rPr>
        <w:t xml:space="preserve">a concesión de </w:t>
      </w:r>
      <w:r w:rsidR="00F57E17" w:rsidRPr="002A2450">
        <w:rPr>
          <w:rFonts w:ascii="ITC Avant Garde" w:hAnsi="ITC Avant Garde"/>
        </w:rPr>
        <w:t xml:space="preserve"> servicio</w:t>
      </w:r>
      <w:r w:rsidR="001A6FBC">
        <w:rPr>
          <w:rFonts w:ascii="ITC Avant Garde" w:hAnsi="ITC Avant Garde"/>
        </w:rPr>
        <w:t>s</w:t>
      </w:r>
      <w:r w:rsidR="00F57E17" w:rsidRPr="002A2450">
        <w:rPr>
          <w:rFonts w:ascii="ITC Avant Garde" w:hAnsi="ITC Avant Garde"/>
        </w:rPr>
        <w:t xml:space="preserve"> de televisión en el país cuya prohibición </w:t>
      </w:r>
      <w:r w:rsidR="001A6FBC">
        <w:rPr>
          <w:rFonts w:ascii="ITC Avant Garde" w:hAnsi="ITC Avant Garde"/>
        </w:rPr>
        <w:t>alcanza</w:t>
      </w:r>
      <w:r w:rsidR="00F57E17" w:rsidRPr="002A2450">
        <w:rPr>
          <w:rFonts w:ascii="ITC Avant Garde" w:hAnsi="ITC Avant Garde"/>
        </w:rPr>
        <w:t xml:space="preserve"> a sus subsidiarias</w:t>
      </w:r>
      <w:r w:rsidR="001A6FBC">
        <w:rPr>
          <w:rFonts w:ascii="ITC Avant Garde" w:hAnsi="ITC Avant Garde"/>
        </w:rPr>
        <w:t xml:space="preserve"> o</w:t>
      </w:r>
      <w:r w:rsidR="00F57E17" w:rsidRPr="002A2450">
        <w:rPr>
          <w:rFonts w:ascii="ITC Avant Garde" w:hAnsi="ITC Avant Garde"/>
        </w:rPr>
        <w:t xml:space="preserve"> filiales que </w:t>
      </w:r>
      <w:r w:rsidR="001A6FBC">
        <w:rPr>
          <w:rFonts w:ascii="ITC Avant Garde" w:hAnsi="ITC Avant Garde"/>
        </w:rPr>
        <w:t>permitieran</w:t>
      </w:r>
      <w:r w:rsidR="001A6FBC" w:rsidRPr="002A2450">
        <w:rPr>
          <w:rFonts w:ascii="ITC Avant Garde" w:hAnsi="ITC Avant Garde"/>
        </w:rPr>
        <w:t xml:space="preserve"> </w:t>
      </w:r>
      <w:r w:rsidR="00F57E17" w:rsidRPr="002A2450">
        <w:rPr>
          <w:rFonts w:ascii="ITC Avant Garde" w:hAnsi="ITC Avant Garde"/>
        </w:rPr>
        <w:t xml:space="preserve">llevar </w:t>
      </w:r>
      <w:r w:rsidR="001A6FBC">
        <w:rPr>
          <w:rFonts w:ascii="ITC Avant Garde" w:hAnsi="ITC Avant Garde"/>
        </w:rPr>
        <w:t xml:space="preserve">a cabo </w:t>
      </w:r>
      <w:r w:rsidR="00F57E17" w:rsidRPr="002A2450">
        <w:rPr>
          <w:rFonts w:ascii="ITC Avant Garde" w:hAnsi="ITC Avant Garde"/>
        </w:rPr>
        <w:t xml:space="preserve">esta conducta en contravención a la condición 1-9 del </w:t>
      </w:r>
      <w:r w:rsidR="00F57E17" w:rsidRPr="002A2450">
        <w:rPr>
          <w:rFonts w:ascii="ITC Avant Garde" w:hAnsi="ITC Avant Garde"/>
          <w:b/>
        </w:rPr>
        <w:t>“TÍTULO DE CONCESIÓN”</w:t>
      </w:r>
      <w:r w:rsidR="00F57E17" w:rsidRPr="002A2450">
        <w:rPr>
          <w:rFonts w:ascii="ITC Avant Garde" w:hAnsi="ITC Avant Garde"/>
        </w:rPr>
        <w:t xml:space="preserve"> otorgado a </w:t>
      </w:r>
      <w:r w:rsidR="00F57E17" w:rsidRPr="002A2450">
        <w:rPr>
          <w:rFonts w:ascii="ITC Avant Garde" w:hAnsi="ITC Avant Garde"/>
          <w:b/>
        </w:rPr>
        <w:t>“TELMEX”.</w:t>
      </w:r>
    </w:p>
    <w:p w14:paraId="69F61585" w14:textId="77777777" w:rsidR="00B35F13" w:rsidRDefault="00F57E17"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continúa manifestando</w:t>
      </w:r>
      <w:r w:rsidR="00ED0F5F" w:rsidRPr="002A2450">
        <w:rPr>
          <w:rFonts w:ascii="ITC Avant Garde" w:hAnsi="ITC Avant Garde"/>
        </w:rPr>
        <w:t xml:space="preserve"> en las fojas sesenta y tres a sesenta y cinco </w:t>
      </w:r>
      <w:r w:rsidRPr="002A2450">
        <w:rPr>
          <w:rFonts w:ascii="ITC Avant Garde" w:hAnsi="ITC Avant Garde"/>
        </w:rPr>
        <w:t>lo siguiente:</w:t>
      </w:r>
    </w:p>
    <w:p w14:paraId="60B5FA6E" w14:textId="77777777" w:rsidR="00B35F13" w:rsidRDefault="00CF06C6" w:rsidP="00B35F13">
      <w:pPr>
        <w:spacing w:before="240" w:line="360" w:lineRule="auto"/>
        <w:ind w:left="567" w:right="567"/>
        <w:jc w:val="both"/>
        <w:rPr>
          <w:rFonts w:ascii="ITC Avant Garde" w:hAnsi="ITC Avant Garde"/>
          <w:i/>
        </w:rPr>
      </w:pPr>
      <w:r w:rsidRPr="002A2450">
        <w:rPr>
          <w:rFonts w:ascii="ITC Avant Garde" w:hAnsi="ITC Avant Garde"/>
          <w:i/>
        </w:rPr>
        <w:t xml:space="preserve">Desde luego, </w:t>
      </w:r>
      <w:r w:rsidR="00B327B6" w:rsidRPr="002A2450">
        <w:rPr>
          <w:rFonts w:ascii="ITC Avant Garde" w:hAnsi="ITC Avant Garde"/>
          <w:i/>
        </w:rPr>
        <w:t>no es aplicable que la Unidad de Cumplimiento invoque las reglas en materia de competencia económica o en materia fiscal, las cuales son diversas a las de telecomunicaciones.</w:t>
      </w:r>
    </w:p>
    <w:p w14:paraId="2237635B" w14:textId="77777777" w:rsidR="00B35F13" w:rsidRDefault="00B327B6" w:rsidP="00B35F13">
      <w:pPr>
        <w:spacing w:before="240" w:line="360" w:lineRule="auto"/>
        <w:ind w:left="567" w:right="567"/>
        <w:jc w:val="both"/>
        <w:rPr>
          <w:rFonts w:ascii="ITC Avant Garde" w:hAnsi="ITC Avant Garde"/>
          <w:i/>
        </w:rPr>
      </w:pPr>
      <w:r w:rsidRPr="002A2450">
        <w:rPr>
          <w:rFonts w:ascii="ITC Avant Garde" w:hAnsi="ITC Avant Garde"/>
          <w:i/>
        </w:rPr>
        <w:t>En todo caso, no se llega al extremo que la Unidad pretende aplicar con el amparo en revisión 28/2014, puesto que la citada jurisprudencia se considera a una holding que las obligaciones o prohibiciones se extienden a sus subsidiarias o filiales. Sin embargo, dicha restricción no se extiende a todas las personas o empresas con las se encuentre vinculada, sino sólo a sus subsidiarias o filiales. El único vínculo que existe es el que se da entre un proveedor y su cliente.</w:t>
      </w:r>
    </w:p>
    <w:p w14:paraId="7EAAC8AA" w14:textId="77777777" w:rsidR="00B35F13" w:rsidRDefault="00B327B6" w:rsidP="00B35F13">
      <w:pPr>
        <w:spacing w:before="240" w:line="360" w:lineRule="auto"/>
        <w:ind w:left="567" w:right="567"/>
        <w:jc w:val="both"/>
        <w:rPr>
          <w:rFonts w:ascii="ITC Avant Garde" w:hAnsi="ITC Avant Garde"/>
          <w:i/>
        </w:rPr>
      </w:pPr>
      <w:r w:rsidRPr="002A2450">
        <w:rPr>
          <w:rFonts w:ascii="ITC Avant Garde" w:hAnsi="ITC Avant Garde"/>
          <w:i/>
        </w:rPr>
        <w:t xml:space="preserve">Levar al extremo que todo vínculo entre empresas convierte a estas últimas en empresas obligadas por limitaciones que sólo a </w:t>
      </w:r>
      <w:r w:rsidR="005B601B" w:rsidRPr="002A2450">
        <w:rPr>
          <w:rFonts w:ascii="ITC Avant Garde" w:hAnsi="ITC Avant Garde"/>
          <w:b/>
          <w:i/>
        </w:rPr>
        <w:t>“TELMEX”</w:t>
      </w:r>
      <w:r w:rsidRPr="002A2450">
        <w:rPr>
          <w:rFonts w:ascii="ITC Avant Garde" w:hAnsi="ITC Avant Garde"/>
          <w:i/>
        </w:rPr>
        <w:t xml:space="preserve"> están dirigidas.</w:t>
      </w:r>
    </w:p>
    <w:p w14:paraId="718CF8C4" w14:textId="77777777" w:rsidR="00B35F13" w:rsidRDefault="00B327B6" w:rsidP="00B35F13">
      <w:pPr>
        <w:spacing w:before="240" w:line="360" w:lineRule="auto"/>
        <w:ind w:left="567" w:right="567"/>
        <w:jc w:val="both"/>
        <w:rPr>
          <w:rFonts w:ascii="ITC Avant Garde" w:hAnsi="ITC Avant Garde"/>
          <w:i/>
        </w:rPr>
      </w:pPr>
      <w:r w:rsidRPr="002A2450">
        <w:rPr>
          <w:rFonts w:ascii="ITC Avant Garde" w:hAnsi="ITC Avant Garde"/>
          <w:i/>
        </w:rPr>
        <w:t xml:space="preserve">La cita del artículo 90 de la Ley del Impuesto Sobre la Renta no es aplicable porque tiene un sentido distinto y sólo opera para efectos de </w:t>
      </w:r>
      <w:r w:rsidRPr="002A2450">
        <w:rPr>
          <w:rFonts w:ascii="ITC Avant Garde" w:hAnsi="ITC Avant Garde"/>
          <w:i/>
        </w:rPr>
        <w:lastRenderedPageBreak/>
        <w:t>información y una mayor vigilancia por lo que hace al tema de pago de impuestos.</w:t>
      </w:r>
    </w:p>
    <w:p w14:paraId="064AA391" w14:textId="77777777" w:rsidR="00B35F13" w:rsidRDefault="00B327B6"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continua afirmando que dos o más personas relacionadas cuando una participación de manera directa o indirecta en la administración, control o capital, o cuando una persona o grupo de empresas participa directa o indirectamente en la administración, control o capital de dichas personas sólo puede ser cierta en materia fiscal o de competencia.</w:t>
      </w:r>
    </w:p>
    <w:p w14:paraId="3B04B8E7" w14:textId="77777777" w:rsidR="00B35F13" w:rsidRDefault="00B327B6" w:rsidP="00B35F13">
      <w:pPr>
        <w:spacing w:before="240" w:line="360" w:lineRule="auto"/>
        <w:ind w:left="567" w:right="567"/>
        <w:jc w:val="both"/>
        <w:rPr>
          <w:rFonts w:ascii="ITC Avant Garde" w:hAnsi="ITC Avant Garde"/>
          <w:i/>
        </w:rPr>
      </w:pPr>
      <w:r w:rsidRPr="002A2450">
        <w:rPr>
          <w:rFonts w:ascii="ITC Avant Garde" w:hAnsi="ITC Avant Garde"/>
          <w:i/>
        </w:rPr>
        <w:t>Concluye la Unidad de cumplimiento que la expresión directa o indirectamente se puede actualizar a través de otras empresas cuyo</w:t>
      </w:r>
      <w:r w:rsidR="00612537" w:rsidRPr="002A2450">
        <w:rPr>
          <w:rFonts w:ascii="ITC Avant Garde" w:hAnsi="ITC Avant Garde"/>
          <w:i/>
        </w:rPr>
        <w:t>s</w:t>
      </w:r>
      <w:r w:rsidRPr="002A2450">
        <w:rPr>
          <w:rFonts w:ascii="ITC Avant Garde" w:hAnsi="ITC Avant Garde"/>
          <w:i/>
        </w:rPr>
        <w:t xml:space="preserve"> vínculos con la misma </w:t>
      </w:r>
      <w:r w:rsidR="00612537" w:rsidRPr="002A2450">
        <w:rPr>
          <w:rFonts w:ascii="ITC Avant Garde" w:hAnsi="ITC Avant Garde"/>
          <w:i/>
        </w:rPr>
        <w:t>le permiten establecer una mancomunidad de intención o interés.</w:t>
      </w:r>
    </w:p>
    <w:p w14:paraId="1E0C8047" w14:textId="77777777" w:rsidR="00B35F13" w:rsidRDefault="00612537" w:rsidP="00B35F13">
      <w:pPr>
        <w:spacing w:before="240" w:line="360" w:lineRule="auto"/>
        <w:ind w:left="567" w:right="567"/>
        <w:jc w:val="both"/>
        <w:rPr>
          <w:rFonts w:ascii="ITC Avant Garde" w:hAnsi="ITC Avant Garde"/>
          <w:i/>
        </w:rPr>
      </w:pPr>
      <w:r w:rsidRPr="002A2450">
        <w:rPr>
          <w:rFonts w:ascii="ITC Avant Garde" w:hAnsi="ITC Avant Garde"/>
          <w:i/>
        </w:rPr>
        <w:t>Lo anterior, parte de una premisa falsa, de una extrapolación injustificada de las palabras, de una aplicación extensiva e infundada que regulan otro tipo de situaciones jurídicas y desconoce el texto de la condición 19- del Título de Concesión.</w:t>
      </w:r>
    </w:p>
    <w:p w14:paraId="3CA6B9E9" w14:textId="77777777" w:rsidR="00B35F13" w:rsidRDefault="00F57E17" w:rsidP="00B35F13">
      <w:pPr>
        <w:spacing w:before="240" w:line="360" w:lineRule="auto"/>
        <w:jc w:val="both"/>
        <w:rPr>
          <w:rFonts w:ascii="ITC Avant Garde" w:hAnsi="ITC Avant Garde"/>
        </w:rPr>
      </w:pPr>
      <w:r w:rsidRPr="002A2450">
        <w:rPr>
          <w:rFonts w:ascii="ITC Avant Garde" w:hAnsi="ITC Avant Garde"/>
        </w:rPr>
        <w:t xml:space="preserve">Dichas consideraciones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 </w:t>
      </w:r>
    </w:p>
    <w:p w14:paraId="4E0B275C" w14:textId="77777777" w:rsidR="00B35F13" w:rsidRDefault="00F57E17" w:rsidP="00B35F13">
      <w:pPr>
        <w:spacing w:before="240" w:line="360" w:lineRule="auto"/>
        <w:jc w:val="both"/>
        <w:rPr>
          <w:rFonts w:ascii="ITC Avant Garde" w:hAnsi="ITC Avant Garde"/>
        </w:rPr>
      </w:pPr>
      <w:r w:rsidRPr="002A2450">
        <w:rPr>
          <w:rFonts w:ascii="ITC Avant Garde" w:hAnsi="ITC Avant Garde"/>
        </w:rPr>
        <w:t xml:space="preserve">Si bien es cierto que el acuerdo de inicio acudió de manera ilustrativa a la ejecutoria emitida por el Primer Tribunal Colegiado de Circuito en Materia Administrativa Especializado en Materia de Competencia Económica, Radiodifusión y Telecomunicaciones en el amparo en revisión 28/2014 y que en la misma se haga referencia al artículo 90 de la Ley del Impuesto Sobre la Renta </w:t>
      </w:r>
      <w:r w:rsidR="004352C8" w:rsidRPr="002A2450">
        <w:rPr>
          <w:rFonts w:ascii="ITC Avant Garde" w:hAnsi="ITC Avant Garde"/>
        </w:rPr>
        <w:t xml:space="preserve">ello </w:t>
      </w:r>
      <w:r w:rsidRPr="002A2450">
        <w:rPr>
          <w:rFonts w:ascii="ITC Avant Garde" w:hAnsi="ITC Avant Garde"/>
        </w:rPr>
        <w:t xml:space="preserve">no significa que dichas disposiciones normen la pertinencia </w:t>
      </w:r>
      <w:r w:rsidR="004352C8" w:rsidRPr="002A2450">
        <w:rPr>
          <w:rFonts w:ascii="ITC Avant Garde" w:hAnsi="ITC Avant Garde"/>
        </w:rPr>
        <w:t xml:space="preserve">y vialidad </w:t>
      </w:r>
      <w:r w:rsidRPr="002A2450">
        <w:rPr>
          <w:rFonts w:ascii="ITC Avant Garde" w:hAnsi="ITC Avant Garde"/>
        </w:rPr>
        <w:t>del inicio del presente procedimiento.</w:t>
      </w:r>
    </w:p>
    <w:p w14:paraId="0188C8C7" w14:textId="77777777" w:rsidR="00B35F13" w:rsidRDefault="00F57E17" w:rsidP="00B35F13">
      <w:pPr>
        <w:spacing w:before="240" w:line="360" w:lineRule="auto"/>
        <w:jc w:val="both"/>
        <w:rPr>
          <w:rFonts w:ascii="ITC Avant Garde" w:hAnsi="ITC Avant Garde"/>
        </w:rPr>
      </w:pPr>
      <w:r w:rsidRPr="002A2450">
        <w:rPr>
          <w:rFonts w:ascii="ITC Avant Garde" w:hAnsi="ITC Avant Garde"/>
        </w:rPr>
        <w:lastRenderedPageBreak/>
        <w:t>Lo anterior, dado que sobre la misma se pretendió evidenciar que existe</w:t>
      </w:r>
      <w:r w:rsidR="004352C8" w:rsidRPr="002A2450">
        <w:rPr>
          <w:rFonts w:ascii="ITC Avant Garde" w:hAnsi="ITC Avant Garde"/>
        </w:rPr>
        <w:t>n</w:t>
      </w:r>
      <w:r w:rsidRPr="002A2450">
        <w:rPr>
          <w:rFonts w:ascii="ITC Avant Garde" w:hAnsi="ITC Avant Garde"/>
        </w:rPr>
        <w:t xml:space="preserve"> criterios jurisprudenciales dónde </w:t>
      </w:r>
      <w:r w:rsidR="004352C8" w:rsidRPr="002A2450">
        <w:rPr>
          <w:rFonts w:ascii="ITC Avant Garde" w:hAnsi="ITC Avant Garde"/>
        </w:rPr>
        <w:t xml:space="preserve">se reconoce que </w:t>
      </w:r>
      <w:r w:rsidRPr="002A2450">
        <w:rPr>
          <w:rFonts w:ascii="ITC Avant Garde" w:hAnsi="ITC Avant Garde"/>
        </w:rPr>
        <w:t>la mancomunidad de interés puede darse de manera directa e indirecta en determinados supuestos.</w:t>
      </w:r>
    </w:p>
    <w:p w14:paraId="30CC7739" w14:textId="77777777" w:rsidR="00B35F13" w:rsidRDefault="00F57E17" w:rsidP="00B35F13">
      <w:pPr>
        <w:spacing w:before="240" w:line="360" w:lineRule="auto"/>
        <w:jc w:val="both"/>
        <w:rPr>
          <w:rFonts w:ascii="ITC Avant Garde" w:hAnsi="ITC Avant Garde"/>
        </w:rPr>
      </w:pPr>
      <w:r w:rsidRPr="002A2450">
        <w:rPr>
          <w:rFonts w:ascii="ITC Avant Garde" w:hAnsi="ITC Avant Garde"/>
        </w:rPr>
        <w:t xml:space="preserve">Por ello, asiste razón a </w:t>
      </w:r>
      <w:r w:rsidRPr="002A2450">
        <w:rPr>
          <w:rFonts w:ascii="ITC Avant Garde" w:hAnsi="ITC Avant Garde"/>
          <w:b/>
        </w:rPr>
        <w:t>“TELMEX”</w:t>
      </w:r>
      <w:r w:rsidRPr="002A2450">
        <w:rPr>
          <w:rFonts w:ascii="ITC Avant Garde" w:hAnsi="ITC Avant Garde"/>
        </w:rPr>
        <w:t xml:space="preserve"> en el sentido que dichas disposiciones no puede extrapolarse al procedimiento administrativo de imposición de sanción, pero también no puede negar que las mismas son ejemplificativas de los vínculos que existen entre las partes </w:t>
      </w:r>
      <w:r w:rsidR="00AA1226" w:rsidRPr="002A2450">
        <w:rPr>
          <w:rFonts w:ascii="ITC Avant Garde" w:hAnsi="ITC Avant Garde"/>
        </w:rPr>
        <w:t>en tratándose de responsabilidades solidarias.</w:t>
      </w:r>
    </w:p>
    <w:p w14:paraId="2CA7C995" w14:textId="77777777" w:rsidR="00B35F13" w:rsidRDefault="00AA1226" w:rsidP="00B35F13">
      <w:pPr>
        <w:spacing w:before="240" w:line="360" w:lineRule="auto"/>
        <w:jc w:val="both"/>
        <w:rPr>
          <w:rFonts w:ascii="ITC Avant Garde" w:hAnsi="ITC Avant Garde"/>
        </w:rPr>
      </w:pPr>
      <w:r w:rsidRPr="002A2450">
        <w:rPr>
          <w:rFonts w:ascii="ITC Avant Garde" w:hAnsi="ITC Avant Garde"/>
        </w:rPr>
        <w:t xml:space="preserve">En ese sentido, lo que </w:t>
      </w:r>
      <w:r w:rsidRPr="002A2450">
        <w:rPr>
          <w:rFonts w:ascii="ITC Avant Garde" w:hAnsi="ITC Avant Garde"/>
          <w:b/>
        </w:rPr>
        <w:t>“TELMEX”</w:t>
      </w:r>
      <w:r w:rsidRPr="002A2450">
        <w:rPr>
          <w:rFonts w:ascii="ITC Avant Garde" w:hAnsi="ITC Avant Garde"/>
        </w:rPr>
        <w:t xml:space="preserve"> pasa por alto es el hecho de que las consideraciones que permiten evidenciar o considerar </w:t>
      </w:r>
      <w:r w:rsidR="004352C8" w:rsidRPr="002A2450">
        <w:rPr>
          <w:rFonts w:ascii="ITC Avant Garde" w:hAnsi="ITC Avant Garde"/>
        </w:rPr>
        <w:t xml:space="preserve">que </w:t>
      </w:r>
      <w:r w:rsidRPr="002A2450">
        <w:rPr>
          <w:rFonts w:ascii="ITC Avant Garde" w:hAnsi="ITC Avant Garde"/>
        </w:rPr>
        <w:t xml:space="preserve">las restricciones señaladas en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 xml:space="preserve">“TELMEX” </w:t>
      </w:r>
      <w:r w:rsidRPr="002A2450">
        <w:rPr>
          <w:rFonts w:ascii="ITC Avant Garde" w:hAnsi="ITC Avant Garde"/>
        </w:rPr>
        <w:t>no derivan de la propia ejecutoria sino que resulta</w:t>
      </w:r>
      <w:r w:rsidR="004352C8" w:rsidRPr="002A2450">
        <w:rPr>
          <w:rFonts w:ascii="ITC Avant Garde" w:hAnsi="ITC Avant Garde"/>
        </w:rPr>
        <w:t>n</w:t>
      </w:r>
      <w:r w:rsidRPr="002A2450">
        <w:rPr>
          <w:rFonts w:ascii="ITC Avant Garde" w:hAnsi="ITC Avant Garde"/>
        </w:rPr>
        <w:t xml:space="preserve"> de la interpretación realizada por este </w:t>
      </w:r>
      <w:r w:rsidRPr="002A2450">
        <w:rPr>
          <w:rFonts w:ascii="ITC Avant Garde" w:hAnsi="ITC Avant Garde"/>
          <w:b/>
        </w:rPr>
        <w:t>“IFT”</w:t>
      </w:r>
      <w:r w:rsidRPr="002A2450">
        <w:rPr>
          <w:rFonts w:ascii="ITC Avant Garde" w:hAnsi="ITC Avant Garde"/>
        </w:rPr>
        <w:t xml:space="preserve"> en líneas previas en el acuerdo de inicio, tan es así que el citado acuerdo señala:</w:t>
      </w:r>
    </w:p>
    <w:p w14:paraId="160E22AA" w14:textId="77777777" w:rsidR="00B35F13" w:rsidRDefault="00AA1226" w:rsidP="00B35F13">
      <w:pPr>
        <w:spacing w:before="240" w:line="360" w:lineRule="auto"/>
        <w:ind w:left="567" w:right="567"/>
        <w:jc w:val="both"/>
        <w:rPr>
          <w:rFonts w:ascii="ITC Avant Garde" w:hAnsi="ITC Avant Garde"/>
          <w:i/>
        </w:rPr>
      </w:pPr>
      <w:r w:rsidRPr="002A2450">
        <w:rPr>
          <w:rFonts w:ascii="ITC Avant Garde" w:hAnsi="ITC Avant Garde"/>
          <w:i/>
        </w:rPr>
        <w:t>“Expuesto lo anterior, para determinar con precisión el alcance de la expresión “directa o indirectamente”, resulta importante hacer notar que de una interpretación armónica de dicho precepto, el mismo se refiere a no llevar a cabo determinado acto por sí o a través de otra persona ya sea física o moral con la cual tenga alguna relación y participación en la administración, control o capital de la otra, y que a través de un esquema de simulación se lleven a cabo actos jurídicos que determinen una intención común</w:t>
      </w:r>
      <w:r w:rsidR="004352C8" w:rsidRPr="002A2450">
        <w:rPr>
          <w:rFonts w:ascii="ITC Avant Garde" w:hAnsi="ITC Avant Garde"/>
          <w:i/>
        </w:rPr>
        <w:t xml:space="preserve"> de violentar el deber válida</w:t>
      </w:r>
      <w:r w:rsidRPr="002A2450">
        <w:rPr>
          <w:rFonts w:ascii="ITC Avant Garde" w:hAnsi="ITC Avant Garde"/>
          <w:i/>
        </w:rPr>
        <w:t>mente asumido.</w:t>
      </w:r>
    </w:p>
    <w:p w14:paraId="43307F4F" w14:textId="77777777" w:rsidR="00B35F13" w:rsidRDefault="00AA1226" w:rsidP="00B35F13">
      <w:pPr>
        <w:spacing w:before="240" w:line="360" w:lineRule="auto"/>
        <w:ind w:left="567" w:right="567"/>
        <w:jc w:val="both"/>
        <w:rPr>
          <w:rFonts w:ascii="ITC Avant Garde" w:hAnsi="ITC Avant Garde"/>
          <w:i/>
        </w:rPr>
      </w:pPr>
      <w:r w:rsidRPr="002A2450">
        <w:rPr>
          <w:rFonts w:ascii="ITC Avant Garde" w:hAnsi="ITC Avant Garde"/>
          <w:i/>
        </w:rPr>
        <w:t xml:space="preserve">Por ello, en el análisis de una obligación cuyo cumplimiento entraña la posible extensión a terceros mediante la fórmula “directa o indirectamente” no puede desconocerse la comunidad de intereses que pueda llegar a existir entre diversas partes relacionadas, puesto que el hecho de que se trate de personas físicas o morales distintas, no es </w:t>
      </w:r>
      <w:r w:rsidRPr="002A2450">
        <w:rPr>
          <w:rFonts w:ascii="ITC Avant Garde" w:hAnsi="ITC Avant Garde"/>
          <w:i/>
        </w:rPr>
        <w:lastRenderedPageBreak/>
        <w:t>obstáculo para que pueda determinar que existe en su interior una intención o ánimo para log</w:t>
      </w:r>
      <w:r w:rsidR="002F6358" w:rsidRPr="002A2450">
        <w:rPr>
          <w:rFonts w:ascii="ITC Avant Garde" w:hAnsi="ITC Avant Garde"/>
          <w:i/>
        </w:rPr>
        <w:t>r</w:t>
      </w:r>
      <w:r w:rsidRPr="002A2450">
        <w:rPr>
          <w:rFonts w:ascii="ITC Avant Garde" w:hAnsi="ITC Avant Garde"/>
          <w:i/>
        </w:rPr>
        <w:t>ar la actualización de conductas.</w:t>
      </w:r>
    </w:p>
    <w:p w14:paraId="6F888A5A" w14:textId="77777777" w:rsidR="00B35F13" w:rsidRDefault="00AA1226" w:rsidP="00B35F13">
      <w:pPr>
        <w:spacing w:before="240" w:line="360" w:lineRule="auto"/>
        <w:ind w:left="567" w:right="567"/>
        <w:jc w:val="both"/>
        <w:rPr>
          <w:rFonts w:ascii="ITC Avant Garde" w:hAnsi="ITC Avant Garde"/>
          <w:i/>
        </w:rPr>
      </w:pPr>
      <w:r w:rsidRPr="002A2450">
        <w:rPr>
          <w:rFonts w:ascii="ITC Avant Garde" w:hAnsi="ITC Avant Garde"/>
          <w:i/>
        </w:rPr>
        <w:t>Resulta ilustrativo para lo anterior, la resolución emitida por el Primer Tribunal Colegiado de Circuito en Materia Administrativa Especializado en Competencia Económica, Radiodifusión y Telecomunicaciones…”</w:t>
      </w:r>
    </w:p>
    <w:p w14:paraId="349819FB" w14:textId="77777777" w:rsidR="00B35F13" w:rsidRDefault="009A5625" w:rsidP="00B35F13">
      <w:pPr>
        <w:spacing w:before="240" w:line="360" w:lineRule="auto"/>
        <w:jc w:val="both"/>
        <w:rPr>
          <w:rFonts w:ascii="ITC Avant Garde" w:hAnsi="ITC Avant Garde"/>
        </w:rPr>
      </w:pPr>
      <w:r w:rsidRPr="002A2450">
        <w:rPr>
          <w:rFonts w:ascii="ITC Avant Garde" w:hAnsi="ITC Avant Garde"/>
        </w:rPr>
        <w:t>En ese sentido, si d</w:t>
      </w:r>
      <w:r w:rsidR="004352C8" w:rsidRPr="002A2450">
        <w:rPr>
          <w:rFonts w:ascii="ITC Avant Garde" w:hAnsi="ITC Avant Garde"/>
        </w:rPr>
        <w:t>ichas disposiciones no pretenden</w:t>
      </w:r>
      <w:r w:rsidRPr="002A2450">
        <w:rPr>
          <w:rFonts w:ascii="ITC Avant Garde" w:hAnsi="ITC Avant Garde"/>
        </w:rPr>
        <w:t xml:space="preserve"> normar el presente procedimiento sino únicamente establecer la mancomunidad de intereses</w:t>
      </w:r>
      <w:r w:rsidR="004352C8" w:rsidRPr="002A2450">
        <w:rPr>
          <w:rFonts w:ascii="ITC Avant Garde" w:hAnsi="ITC Avant Garde"/>
        </w:rPr>
        <w:t>,</w:t>
      </w:r>
      <w:r w:rsidRPr="002A2450">
        <w:rPr>
          <w:rFonts w:ascii="ITC Avant Garde" w:hAnsi="ITC Avant Garde"/>
        </w:rPr>
        <w:t xml:space="preserve"> debe advertirse entonces que no existe una afectación a derecho alguno a </w:t>
      </w:r>
      <w:r w:rsidRPr="002A2450">
        <w:rPr>
          <w:rFonts w:ascii="ITC Avant Garde" w:hAnsi="ITC Avant Garde"/>
          <w:b/>
        </w:rPr>
        <w:t>“TELMEX”</w:t>
      </w:r>
      <w:r w:rsidRPr="002A2450">
        <w:rPr>
          <w:rFonts w:ascii="ITC Avant Garde" w:hAnsi="ITC Avant Garde"/>
        </w:rPr>
        <w:t xml:space="preserve"> puesto que ello evidentemente no le causa un perjuicio y mucho menos restringe, limita o modifica su esfera jurídica.</w:t>
      </w:r>
    </w:p>
    <w:p w14:paraId="34BD0D12" w14:textId="77777777" w:rsidR="00B35F13" w:rsidRDefault="009A5625" w:rsidP="00B35F13">
      <w:pPr>
        <w:spacing w:before="240" w:line="360" w:lineRule="auto"/>
        <w:jc w:val="both"/>
        <w:rPr>
          <w:rFonts w:ascii="ITC Avant Garde" w:hAnsi="ITC Avant Garde"/>
        </w:rPr>
      </w:pPr>
      <w:r w:rsidRPr="002A2450">
        <w:rPr>
          <w:rFonts w:ascii="ITC Avant Garde" w:hAnsi="ITC Avant Garde"/>
        </w:rPr>
        <w:t xml:space="preserve">Por tanto, sus argumentos resultan </w:t>
      </w:r>
      <w:r w:rsidRPr="002A2450">
        <w:rPr>
          <w:rFonts w:ascii="ITC Avant Garde" w:hAnsi="ITC Avant Garde"/>
          <w:b/>
          <w:u w:val="single"/>
        </w:rPr>
        <w:t>insuficientes</w:t>
      </w:r>
      <w:r w:rsidRPr="002A2450">
        <w:rPr>
          <w:rFonts w:ascii="ITC Avant Garde" w:hAnsi="ITC Avant Garde"/>
        </w:rPr>
        <w:t xml:space="preserve"> para desvirtuar la conducta materia del presente procedimiento. </w:t>
      </w:r>
    </w:p>
    <w:p w14:paraId="6C32902D" w14:textId="77777777" w:rsidR="00B35F13" w:rsidRDefault="001D3635" w:rsidP="00B35F13">
      <w:pPr>
        <w:spacing w:before="240" w:line="360" w:lineRule="auto"/>
        <w:ind w:right="567"/>
        <w:jc w:val="both"/>
        <w:rPr>
          <w:rFonts w:ascii="ITC Avant Garde" w:hAnsi="ITC Avant Garde"/>
        </w:rPr>
      </w:pPr>
      <w:r w:rsidRPr="002A2450">
        <w:rPr>
          <w:rFonts w:ascii="ITC Avant Garde" w:hAnsi="ITC Avant Garde"/>
        </w:rPr>
        <w:t xml:space="preserve">Continúa manifestando </w:t>
      </w:r>
      <w:r w:rsidRPr="002A2450">
        <w:rPr>
          <w:rFonts w:ascii="ITC Avant Garde" w:hAnsi="ITC Avant Garde"/>
          <w:b/>
        </w:rPr>
        <w:t xml:space="preserve">“TELMEX” </w:t>
      </w:r>
      <w:r w:rsidRPr="002A2450">
        <w:rPr>
          <w:rFonts w:ascii="ITC Avant Garde" w:hAnsi="ITC Avant Garde"/>
        </w:rPr>
        <w:t>en las fojas ciento veinticinco a ciento treinta y uno lo siguiente.</w:t>
      </w:r>
    </w:p>
    <w:p w14:paraId="14D607CE"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La Unidad de Cumplimiento se contradice donde afirma que dentro de los factores que intervienen para la explotación de servicio de televisión restringida se aprecia que </w:t>
      </w:r>
      <w:proofErr w:type="spellStart"/>
      <w:r w:rsidRPr="002A2450">
        <w:rPr>
          <w:rFonts w:ascii="ITC Avant Garde" w:hAnsi="ITC Avant Garde"/>
          <w:i/>
        </w:rPr>
        <w:t>Cofresa</w:t>
      </w:r>
      <w:proofErr w:type="spellEnd"/>
      <w:r w:rsidRPr="002A2450">
        <w:rPr>
          <w:rFonts w:ascii="ITC Avant Garde" w:hAnsi="ITC Avant Garde"/>
          <w:i/>
        </w:rPr>
        <w:t xml:space="preserve"> puede realizarlo a través de su propia infraestructura y, en su caso, acudir a otros factores para lograr el suministro del servicio concesionado. </w:t>
      </w:r>
    </w:p>
    <w:p w14:paraId="0DA0ABC4"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Esto es, se reconoce que no es indispensable que un concesionario realice con su propia infraestructura huma</w:t>
      </w:r>
      <w:r w:rsidR="004352C8" w:rsidRPr="002A2450">
        <w:rPr>
          <w:rFonts w:ascii="ITC Avant Garde" w:hAnsi="ITC Avant Garde"/>
          <w:i/>
        </w:rPr>
        <w:t>na</w:t>
      </w:r>
      <w:r w:rsidRPr="002A2450">
        <w:rPr>
          <w:rFonts w:ascii="ITC Avant Garde" w:hAnsi="ITC Avant Garde"/>
          <w:i/>
        </w:rPr>
        <w:t xml:space="preserve"> y material todos y cada uno de los procesos que son indispensables para poder prestar el servicio público concesionado.</w:t>
      </w:r>
    </w:p>
    <w:p w14:paraId="213292D9"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De tal modo que los servicios de facturación y cobranza de otras empresas se entienda que </w:t>
      </w:r>
      <w:r w:rsidR="004352C8" w:rsidRPr="002A2450">
        <w:rPr>
          <w:rFonts w:ascii="ITC Avant Garde" w:hAnsi="ITC Avant Garde"/>
          <w:i/>
        </w:rPr>
        <w:t xml:space="preserve">se </w:t>
      </w:r>
      <w:r w:rsidRPr="002A2450">
        <w:rPr>
          <w:rFonts w:ascii="ITC Avant Garde" w:hAnsi="ITC Avant Garde"/>
          <w:i/>
        </w:rPr>
        <w:t>prestan conjuntamente los servicios concesionados.</w:t>
      </w:r>
    </w:p>
    <w:p w14:paraId="068554AB"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Por ejemplo el artículo 43 y 52 de la LFT establecían que </w:t>
      </w:r>
      <w:r w:rsidR="005B601B" w:rsidRPr="002A2450">
        <w:rPr>
          <w:rFonts w:ascii="ITC Avant Garde" w:hAnsi="ITC Avant Garde"/>
          <w:b/>
          <w:i/>
        </w:rPr>
        <w:t>“TELMEX”</w:t>
      </w:r>
      <w:r w:rsidRPr="002A2450">
        <w:rPr>
          <w:rFonts w:ascii="ITC Avant Garde" w:hAnsi="ITC Avant Garde"/>
          <w:i/>
        </w:rPr>
        <w:t xml:space="preserve"> debería permitir el acceso de manera desagregada a sus servicios, capacidad y funciones de sus redes, y llevar a cabo, si así se lo solicitaban, las tareas de medir y tasar los servicios prestados a sus propios usuarios por parte de otros concesionarios, al igual que se creó la figura de la comercialización.</w:t>
      </w:r>
    </w:p>
    <w:p w14:paraId="5FCA74A2"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El propio servicio de facturación y cobranza se entiende como el servicio que estimula la competencia entre prestadores de servicios de telecomunicaciones y se le impone dicha obligación de prestar dichos servicios en los artículos 3 y 127 de la actual Ley. </w:t>
      </w:r>
    </w:p>
    <w:p w14:paraId="392D103A" w14:textId="77777777" w:rsidR="00B35F13" w:rsidRDefault="001D3635" w:rsidP="00B35F13">
      <w:pPr>
        <w:spacing w:before="240" w:line="360" w:lineRule="auto"/>
        <w:ind w:left="567" w:right="567"/>
        <w:jc w:val="both"/>
        <w:rPr>
          <w:rFonts w:ascii="ITC Avant Garde" w:hAnsi="ITC Avant Garde"/>
          <w:i/>
        </w:rPr>
      </w:pPr>
      <w:proofErr w:type="spellStart"/>
      <w:r w:rsidRPr="002A2450">
        <w:rPr>
          <w:rFonts w:ascii="ITC Avant Garde" w:hAnsi="ITC Avant Garde"/>
          <w:i/>
        </w:rPr>
        <w:t>Dish</w:t>
      </w:r>
      <w:proofErr w:type="spellEnd"/>
      <w:r w:rsidRPr="002A2450">
        <w:rPr>
          <w:rFonts w:ascii="ITC Avant Garde" w:hAnsi="ITC Avant Garde"/>
          <w:i/>
        </w:rPr>
        <w:t>/</w:t>
      </w:r>
      <w:proofErr w:type="spellStart"/>
      <w:r w:rsidRPr="002A2450">
        <w:rPr>
          <w:rFonts w:ascii="ITC Avant Garde" w:hAnsi="ITC Avant Garde"/>
          <w:i/>
        </w:rPr>
        <w:t>Cofresa</w:t>
      </w:r>
      <w:proofErr w:type="spellEnd"/>
      <w:r w:rsidRPr="002A2450">
        <w:rPr>
          <w:rFonts w:ascii="ITC Avant Garde" w:hAnsi="ITC Avant Garde"/>
          <w:i/>
        </w:rPr>
        <w:t xml:space="preserve"> le cobran directamente a sus clientes a excepción de aquellos que al ser también clientes/usuarios de los servicios, encuentran más cómodo recibir un solo estado de cuenta en el que se incluyan por separado los servicios de cada uno de sus proveedores.</w:t>
      </w:r>
    </w:p>
    <w:p w14:paraId="3A0198BC"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El cliente también obtiene el beneficio de acudir una sola vez al pago de ambos servicios.</w:t>
      </w:r>
    </w:p>
    <w:p w14:paraId="319D47A5" w14:textId="77777777" w:rsidR="00B35F13" w:rsidRDefault="001D3635" w:rsidP="00B35F13">
      <w:pPr>
        <w:spacing w:before="240" w:line="360" w:lineRule="auto"/>
        <w:ind w:left="567" w:right="567"/>
        <w:jc w:val="both"/>
        <w:rPr>
          <w:rFonts w:ascii="ITC Avant Garde" w:hAnsi="ITC Avant Garde"/>
          <w:i/>
        </w:rPr>
      </w:pPr>
      <w:proofErr w:type="spellStart"/>
      <w:r w:rsidRPr="002A2450">
        <w:rPr>
          <w:rFonts w:ascii="ITC Avant Garde" w:hAnsi="ITC Avant Garde"/>
          <w:i/>
        </w:rPr>
        <w:t>Dish</w:t>
      </w:r>
      <w:proofErr w:type="spellEnd"/>
      <w:r w:rsidRPr="002A2450">
        <w:rPr>
          <w:rFonts w:ascii="ITC Avant Garde" w:hAnsi="ITC Avant Garde"/>
          <w:i/>
        </w:rPr>
        <w:t>/</w:t>
      </w:r>
      <w:proofErr w:type="spellStart"/>
      <w:r w:rsidRPr="002A2450">
        <w:rPr>
          <w:rFonts w:ascii="ITC Avant Garde" w:hAnsi="ITC Avant Garde"/>
          <w:i/>
        </w:rPr>
        <w:t>Cofresa</w:t>
      </w:r>
      <w:proofErr w:type="spellEnd"/>
      <w:r w:rsidRPr="002A2450">
        <w:rPr>
          <w:rFonts w:ascii="ITC Avant Garde" w:hAnsi="ITC Avant Garde"/>
          <w:i/>
        </w:rPr>
        <w:t xml:space="preserve"> se ahorra el gasto de distribución de facturas y recepción de pagos que también lo son de </w:t>
      </w:r>
      <w:r w:rsidR="005B601B" w:rsidRPr="002A2450">
        <w:rPr>
          <w:rFonts w:ascii="ITC Avant Garde" w:hAnsi="ITC Avant Garde"/>
          <w:b/>
          <w:i/>
        </w:rPr>
        <w:t>“TELMEX”</w:t>
      </w:r>
      <w:r w:rsidRPr="002A2450">
        <w:rPr>
          <w:rFonts w:ascii="ITC Avant Garde" w:hAnsi="ITC Avant Garde"/>
          <w:i/>
        </w:rPr>
        <w:t xml:space="preserve"> y eso hace más eficiente la operación.</w:t>
      </w:r>
    </w:p>
    <w:p w14:paraId="150F8167" w14:textId="77777777" w:rsidR="00B35F13" w:rsidRDefault="005B601B" w:rsidP="00B35F13">
      <w:pPr>
        <w:spacing w:before="240" w:line="360" w:lineRule="auto"/>
        <w:ind w:left="567" w:right="567"/>
        <w:jc w:val="both"/>
        <w:rPr>
          <w:rFonts w:ascii="ITC Avant Garde" w:hAnsi="ITC Avant Garde"/>
          <w:i/>
        </w:rPr>
      </w:pPr>
      <w:r w:rsidRPr="002A2450">
        <w:rPr>
          <w:rFonts w:ascii="ITC Avant Garde" w:hAnsi="ITC Avant Garde"/>
          <w:b/>
          <w:i/>
        </w:rPr>
        <w:t>“TELMEX”</w:t>
      </w:r>
      <w:r w:rsidR="001D3635" w:rsidRPr="002A2450">
        <w:rPr>
          <w:rFonts w:ascii="ITC Avant Garde" w:hAnsi="ITC Avant Garde"/>
          <w:i/>
        </w:rPr>
        <w:t xml:space="preserve"> ha ofrecido el mismo servicio a otros operadores de servicios de telecomunicaciones.</w:t>
      </w:r>
    </w:p>
    <w:p w14:paraId="5CD9BA7B"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Ahora bien, la prohibición de explotar directa o indirectamente una concesión de televisión se extiende a no invertir, financiar, controlar, apoyar o asociarse con una concesionaria que explote los servicios de televisión restringida cableada o satelital. Lo cual es infundado. Las normas que imponen restricción a los particulares deben interpretarse por su propia naturaleza y no extensiva.</w:t>
      </w:r>
    </w:p>
    <w:p w14:paraId="0886B4EC"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 xml:space="preserve">Suponer que </w:t>
      </w:r>
      <w:r w:rsidR="005B601B" w:rsidRPr="002A2450">
        <w:rPr>
          <w:rFonts w:ascii="ITC Avant Garde" w:hAnsi="ITC Avant Garde"/>
          <w:b/>
          <w:i/>
        </w:rPr>
        <w:t>“TELMEX”</w:t>
      </w:r>
      <w:r w:rsidRPr="002A2450">
        <w:rPr>
          <w:rFonts w:ascii="ITC Avant Garde" w:hAnsi="ITC Avant Garde"/>
          <w:i/>
        </w:rPr>
        <w:t xml:space="preserve"> está impedido por la condición 1-9 en apoyar a otros concesionarios es directamente contrario al artículo 28 Constitucional.</w:t>
      </w:r>
    </w:p>
    <w:p w14:paraId="0C2907C7"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En ninguna parte del acuerdo de inicio se acredita la injerencia en el control de </w:t>
      </w:r>
      <w:proofErr w:type="spellStart"/>
      <w:r w:rsidRPr="002A2450">
        <w:rPr>
          <w:rFonts w:ascii="ITC Avant Garde" w:hAnsi="ITC Avant Garde"/>
          <w:i/>
        </w:rPr>
        <w:t>Dish</w:t>
      </w:r>
      <w:proofErr w:type="spellEnd"/>
      <w:r w:rsidRPr="002A2450">
        <w:rPr>
          <w:rFonts w:ascii="ITC Avant Garde" w:hAnsi="ITC Avant Garde"/>
          <w:i/>
        </w:rPr>
        <w:t xml:space="preserve"> pues se </w:t>
      </w:r>
      <w:r w:rsidR="00B60DD2" w:rsidRPr="002A2450">
        <w:rPr>
          <w:rFonts w:ascii="ITC Avant Garde" w:hAnsi="ITC Avant Garde"/>
          <w:i/>
        </w:rPr>
        <w:t>dista de</w:t>
      </w:r>
      <w:r w:rsidRPr="002A2450">
        <w:rPr>
          <w:rFonts w:ascii="ITC Avant Garde" w:hAnsi="ITC Avant Garde"/>
          <w:i/>
        </w:rPr>
        <w:t xml:space="preserve"> hacer diversas consideraciones con base en documentos que le fueron presentados por mi representada.</w:t>
      </w:r>
    </w:p>
    <w:p w14:paraId="5B7F476C"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La verdadera interpretación de la condición 1-9 ya fue hecha por la autoridad que si tiene competencia para interpretar el título de concesión la cual no coincide con la que pretende realizar la Unidad de Cumplimiento. </w:t>
      </w:r>
    </w:p>
    <w:p w14:paraId="0E878955" w14:textId="77777777" w:rsidR="00B35F13" w:rsidRDefault="001D3635" w:rsidP="00B35F13">
      <w:pPr>
        <w:spacing w:before="240" w:line="360" w:lineRule="auto"/>
        <w:ind w:left="567" w:right="567"/>
        <w:jc w:val="both"/>
        <w:rPr>
          <w:rFonts w:ascii="ITC Avant Garde" w:hAnsi="ITC Avant Garde"/>
          <w:i/>
        </w:rPr>
      </w:pPr>
      <w:r w:rsidRPr="002A2450">
        <w:rPr>
          <w:rFonts w:ascii="ITC Avant Garde" w:hAnsi="ITC Avant Garde"/>
          <w:i/>
        </w:rPr>
        <w:t xml:space="preserve">Asimismo, dicha Unidad es omisa en señalar cómo es que se beneficia del supuesto control, en que consiste el beneficio para </w:t>
      </w:r>
      <w:r w:rsidR="005B601B" w:rsidRPr="002A2450">
        <w:rPr>
          <w:rFonts w:ascii="ITC Avant Garde" w:hAnsi="ITC Avant Garde"/>
          <w:b/>
          <w:i/>
        </w:rPr>
        <w:t>“TELMEX”</w:t>
      </w:r>
      <w:r w:rsidRPr="002A2450">
        <w:rPr>
          <w:rFonts w:ascii="ITC Avant Garde" w:hAnsi="ITC Avant Garde"/>
          <w:i/>
        </w:rPr>
        <w:t xml:space="preserve"> o a cuánto asciende el supuesto beneficio.</w:t>
      </w:r>
    </w:p>
    <w:p w14:paraId="69D2725E" w14:textId="77777777" w:rsidR="00B35F13" w:rsidRDefault="00F71B89" w:rsidP="00B35F13">
      <w:pPr>
        <w:spacing w:before="240" w:line="360" w:lineRule="auto"/>
        <w:ind w:right="567"/>
        <w:jc w:val="both"/>
        <w:rPr>
          <w:rFonts w:ascii="ITC Avant Garde" w:hAnsi="ITC Avant Garde"/>
        </w:rPr>
      </w:pPr>
      <w:r w:rsidRPr="002A2450">
        <w:rPr>
          <w:rFonts w:ascii="ITC Avant Garde" w:hAnsi="ITC Avant Garde"/>
        </w:rPr>
        <w:t xml:space="preserve">Dichos argumentos resultan </w:t>
      </w:r>
      <w:r w:rsidRPr="002A2450">
        <w:rPr>
          <w:rFonts w:ascii="ITC Avant Garde" w:hAnsi="ITC Avant Garde"/>
          <w:b/>
          <w:u w:val="single"/>
        </w:rPr>
        <w:t>insuficientes</w:t>
      </w:r>
      <w:r w:rsidRPr="002A2450">
        <w:rPr>
          <w:rFonts w:ascii="ITC Avant Garde" w:hAnsi="ITC Avant Garde"/>
        </w:rPr>
        <w:t xml:space="preserve"> en virtud de las siguientes consideraciones:</w:t>
      </w:r>
    </w:p>
    <w:p w14:paraId="76FA8F1C" w14:textId="77777777" w:rsidR="00B35F13" w:rsidRDefault="00F71B89" w:rsidP="00B35F13">
      <w:pPr>
        <w:spacing w:before="240" w:line="360" w:lineRule="auto"/>
        <w:ind w:right="567"/>
        <w:jc w:val="both"/>
        <w:rPr>
          <w:rFonts w:ascii="ITC Avant Garde" w:hAnsi="ITC Avant Garde"/>
        </w:rPr>
      </w:pPr>
      <w:r w:rsidRPr="002A2450">
        <w:rPr>
          <w:rFonts w:ascii="ITC Avant Garde" w:hAnsi="ITC Avant Garde"/>
        </w:rPr>
        <w:t xml:space="preserve">Debe señalarse que la conducta materia del presente procedimiento lo es la presunta </w:t>
      </w:r>
      <w:r w:rsidR="008F718E" w:rsidRPr="009E34A4">
        <w:rPr>
          <w:rFonts w:ascii="ITC Avant Garde" w:hAnsi="ITC Avant Garde"/>
        </w:rPr>
        <w:t xml:space="preserve">explotación indirecta </w:t>
      </w:r>
      <w:r w:rsidRPr="002A2450">
        <w:rPr>
          <w:rFonts w:ascii="ITC Avant Garde" w:hAnsi="ITC Avant Garde"/>
        </w:rPr>
        <w:t xml:space="preserve">de una concesión para prestar el servicio de televisión restringida en el país, cuya conducta se encuentra prohibida en </w:t>
      </w:r>
      <w:r w:rsidR="004352C8" w:rsidRPr="002A2450">
        <w:rPr>
          <w:rFonts w:ascii="ITC Avant Garde" w:hAnsi="ITC Avant Garde"/>
        </w:rPr>
        <w:t xml:space="preserve">el </w:t>
      </w:r>
      <w:r w:rsidR="00065AA4" w:rsidRPr="009E34A4">
        <w:rPr>
          <w:rFonts w:ascii="ITC Avant Garde" w:hAnsi="ITC Avant Garde"/>
          <w:b/>
        </w:rPr>
        <w:t>Tercer Párrafo</w:t>
      </w:r>
      <w:r w:rsidR="004352C8" w:rsidRPr="002A2450">
        <w:rPr>
          <w:rFonts w:ascii="ITC Avant Garde" w:hAnsi="ITC Avant Garde"/>
        </w:rPr>
        <w:t xml:space="preserve"> de </w:t>
      </w:r>
      <w:r w:rsidRPr="002A2450">
        <w:rPr>
          <w:rFonts w:ascii="ITC Avant Garde" w:hAnsi="ITC Avant Garde"/>
        </w:rPr>
        <w:t xml:space="preserve">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w:t>
      </w:r>
    </w:p>
    <w:p w14:paraId="154A433E" w14:textId="77777777" w:rsidR="00B35F13" w:rsidRDefault="00F71B89" w:rsidP="00B35F13">
      <w:pPr>
        <w:spacing w:before="240" w:line="360" w:lineRule="auto"/>
        <w:ind w:right="567"/>
        <w:jc w:val="both"/>
        <w:rPr>
          <w:rFonts w:ascii="ITC Avant Garde" w:hAnsi="ITC Avant Garde"/>
        </w:rPr>
      </w:pPr>
      <w:r w:rsidRPr="002A2450">
        <w:rPr>
          <w:rFonts w:ascii="ITC Avant Garde" w:hAnsi="ITC Avant Garde"/>
        </w:rPr>
        <w:t xml:space="preserve">Ahora bien, es correcto lo aseverado por </w:t>
      </w:r>
      <w:r w:rsidRPr="002A2450">
        <w:rPr>
          <w:rFonts w:ascii="ITC Avant Garde" w:hAnsi="ITC Avant Garde"/>
          <w:b/>
        </w:rPr>
        <w:t>“TELMEX”</w:t>
      </w:r>
      <w:r w:rsidRPr="002A2450">
        <w:rPr>
          <w:rFonts w:ascii="ITC Avant Garde" w:hAnsi="ITC Avant Garde"/>
        </w:rPr>
        <w:t xml:space="preserve"> cuando menciona que el acuerdo de inicio señaló que </w:t>
      </w:r>
      <w:r w:rsidRPr="002A2450">
        <w:rPr>
          <w:rFonts w:ascii="ITC Avant Garde" w:hAnsi="ITC Avant Garde"/>
          <w:b/>
        </w:rPr>
        <w:t>“COFRESA”</w:t>
      </w:r>
      <w:r w:rsidRPr="002A2450">
        <w:rPr>
          <w:rFonts w:ascii="ITC Avant Garde" w:hAnsi="ITC Avant Garde"/>
        </w:rPr>
        <w:t xml:space="preserve"> puede realizar la explotación del servicio por sí mismo, a través de su propia infraestructura, para lo cual puede acudir a otros factores en el mercado para log</w:t>
      </w:r>
      <w:r w:rsidR="002F6358" w:rsidRPr="002A2450">
        <w:rPr>
          <w:rFonts w:ascii="ITC Avant Garde" w:hAnsi="ITC Avant Garde"/>
        </w:rPr>
        <w:t>r</w:t>
      </w:r>
      <w:r w:rsidRPr="002A2450">
        <w:rPr>
          <w:rFonts w:ascii="ITC Avant Garde" w:hAnsi="ITC Avant Garde"/>
        </w:rPr>
        <w:t>ar ese objetivo.</w:t>
      </w:r>
    </w:p>
    <w:p w14:paraId="3F4CBE1C" w14:textId="77777777" w:rsidR="00B35F13" w:rsidRDefault="00F71B89" w:rsidP="00B35F13">
      <w:pPr>
        <w:spacing w:before="240" w:line="360" w:lineRule="auto"/>
        <w:ind w:right="567"/>
        <w:jc w:val="both"/>
        <w:rPr>
          <w:rFonts w:ascii="ITC Avant Garde" w:hAnsi="ITC Avant Garde"/>
        </w:rPr>
      </w:pPr>
      <w:r w:rsidRPr="002A2450">
        <w:rPr>
          <w:rFonts w:ascii="ITC Avant Garde" w:hAnsi="ITC Avant Garde"/>
        </w:rPr>
        <w:lastRenderedPageBreak/>
        <w:t xml:space="preserve">Sin embargo, </w:t>
      </w:r>
      <w:r w:rsidRPr="002A2450">
        <w:rPr>
          <w:rFonts w:ascii="ITC Avant Garde" w:hAnsi="ITC Avant Garde"/>
          <w:b/>
        </w:rPr>
        <w:t>“TELMEX”</w:t>
      </w:r>
      <w:r w:rsidRPr="002A2450">
        <w:rPr>
          <w:rFonts w:ascii="ITC Avant Garde" w:hAnsi="ITC Avant Garde"/>
        </w:rPr>
        <w:t xml:space="preserve"> para desapercibido el hecho de la reflexión antes mencionada es el resultado de un presupuesto anterior, esto es, el acuerdo de inicio señaló: </w:t>
      </w:r>
    </w:p>
    <w:p w14:paraId="11D66E29" w14:textId="5D0260E9" w:rsidR="00F71B89" w:rsidRPr="002A2450"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w:t>
      </w:r>
    </w:p>
    <w:p w14:paraId="1506B4D8"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una vez que se haya solicitado la concesión única y habiéndose otorgado la misma al peticionario por la autoridad competente, nos encontraremos frente a un cambio de situación jurídica, puesto que, otorgada la concesión al peticionario ahora concesionario, ingresa a su esfera jurídica la posibilidad de prestar los servicios de telecomunicaciones como lo es en el caso concreto el servicio de televisión restringida, dejando de ser una expectativa de derecho para convertirse en un derecho adquirido y con ello, la obligación de observar las condiciones a que se sujetó la autorización de la concesión otorgada, puesto que ahora se encuentra dentro del dominio de la concesionaria o de su haber jurídico una potestad que lo diferencia de un tercero, y con ello la posibilidad de ejercer el derecho concedido y la obligación de observar las condiciones para el ejercicio del mismo.</w:t>
      </w:r>
    </w:p>
    <w:p w14:paraId="6C7713FF"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Sirve de apoyo a lo anterior, la siguiente tesis:</w:t>
      </w:r>
    </w:p>
    <w:p w14:paraId="5564DD75"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
          <w:bCs/>
          <w:i/>
          <w:color w:val="000000"/>
          <w:lang w:eastAsia="es-MX"/>
        </w:rPr>
        <w:t xml:space="preserve">AUTORIZACIONES </w:t>
      </w:r>
      <w:r w:rsidRPr="00E11C4B">
        <w:rPr>
          <w:rFonts w:ascii="ITC Avant Garde" w:eastAsia="Times New Roman" w:hAnsi="ITC Avant Garde"/>
          <w:b/>
          <w:bCs/>
          <w:i/>
          <w:color w:val="000000"/>
          <w:lang w:eastAsia="es-MX"/>
        </w:rPr>
        <w:t>ADMINISTRATIVAS, REVOCACI</w:t>
      </w:r>
      <w:r w:rsidR="00E11C4B">
        <w:rPr>
          <w:rFonts w:ascii="ITC Avant Garde" w:eastAsia="Times New Roman" w:hAnsi="ITC Avant Garde"/>
          <w:b/>
          <w:bCs/>
          <w:i/>
          <w:color w:val="000000"/>
          <w:lang w:eastAsia="es-MX"/>
        </w:rPr>
        <w:t>Ó</w:t>
      </w:r>
      <w:r w:rsidRPr="00E11C4B">
        <w:rPr>
          <w:rFonts w:ascii="ITC Avant Garde" w:eastAsia="Times New Roman" w:hAnsi="ITC Avant Garde"/>
          <w:b/>
          <w:bCs/>
          <w:i/>
          <w:color w:val="000000"/>
          <w:lang w:eastAsia="es-MX"/>
        </w:rPr>
        <w:t>N DE LAS (LEGISLACI</w:t>
      </w:r>
      <w:r w:rsidR="00E11C4B">
        <w:rPr>
          <w:rFonts w:ascii="ITC Avant Garde" w:eastAsia="Times New Roman" w:hAnsi="ITC Avant Garde"/>
          <w:b/>
          <w:bCs/>
          <w:i/>
          <w:color w:val="000000"/>
          <w:lang w:eastAsia="es-MX"/>
        </w:rPr>
        <w:t>Ó</w:t>
      </w:r>
      <w:r w:rsidRPr="00E11C4B">
        <w:rPr>
          <w:rFonts w:ascii="ITC Avant Garde" w:eastAsia="Times New Roman" w:hAnsi="ITC Avant Garde"/>
          <w:b/>
          <w:bCs/>
          <w:i/>
          <w:color w:val="000000"/>
          <w:lang w:eastAsia="es-MX"/>
        </w:rPr>
        <w:t>N</w:t>
      </w:r>
      <w:r w:rsidRPr="002A2450">
        <w:rPr>
          <w:rFonts w:ascii="ITC Avant Garde" w:eastAsia="Times New Roman" w:hAnsi="ITC Avant Garde"/>
          <w:b/>
          <w:bCs/>
          <w:i/>
          <w:color w:val="000000"/>
          <w:lang w:eastAsia="es-MX"/>
        </w:rPr>
        <w:t xml:space="preserve"> DE CAMPECHE)…</w:t>
      </w:r>
    </w:p>
    <w:p w14:paraId="5DEA8210"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Bajo las consideraciones señaladas, el derecho del cual goza </w:t>
      </w:r>
      <w:r w:rsidRPr="002A2450">
        <w:rPr>
          <w:rFonts w:ascii="ITC Avant Garde" w:eastAsia="Times New Roman" w:hAnsi="ITC Avant Garde"/>
          <w:b/>
          <w:bCs/>
          <w:i/>
          <w:color w:val="000000"/>
          <w:lang w:eastAsia="es-MX"/>
        </w:rPr>
        <w:t>COFRESA</w:t>
      </w:r>
      <w:r w:rsidRPr="002A2450">
        <w:rPr>
          <w:rFonts w:ascii="ITC Avant Garde" w:eastAsia="Times New Roman" w:hAnsi="ITC Avant Garde"/>
          <w:bCs/>
          <w:i/>
          <w:color w:val="000000"/>
          <w:lang w:eastAsia="es-MX"/>
        </w:rPr>
        <w:t xml:space="preserve"> para la prestación del servicio de televisión restringida vía satelital, es un derecho personalísimo que tiene como objeto o finalidad, la prestación de un servicio de telecomunicaciones.</w:t>
      </w:r>
    </w:p>
    <w:p w14:paraId="111DE217"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El derecho o concesión otorgada a </w:t>
      </w:r>
      <w:r w:rsidRPr="002A2450">
        <w:rPr>
          <w:rFonts w:ascii="ITC Avant Garde" w:eastAsia="Times New Roman" w:hAnsi="ITC Avant Garde"/>
          <w:b/>
          <w:bCs/>
          <w:i/>
          <w:color w:val="000000"/>
          <w:lang w:eastAsia="es-MX"/>
        </w:rPr>
        <w:t>COFRESA</w:t>
      </w:r>
      <w:r w:rsidRPr="002A2450">
        <w:rPr>
          <w:rFonts w:ascii="ITC Avant Garde" w:eastAsia="Times New Roman" w:hAnsi="ITC Avant Garde"/>
          <w:bCs/>
          <w:i/>
          <w:color w:val="000000"/>
          <w:lang w:eastAsia="es-MX"/>
        </w:rPr>
        <w:t xml:space="preserve"> implica que pueda llevar a cabo la explotación del mismo. </w:t>
      </w:r>
    </w:p>
    <w:p w14:paraId="778A5580"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lastRenderedPageBreak/>
        <w:t>Al respecto, se ha sostenido en el presente instrumento que la explotación significa sacar provecho o utilidad de un negocio o industria, esto es, el beneficio o utilidad que se origina de algo o por algún medio, lo cual no necesariamente implica una ganancia.</w:t>
      </w:r>
    </w:p>
    <w:p w14:paraId="2201F59F"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En ese sentido, </w:t>
      </w:r>
      <w:r w:rsidRPr="002A2450">
        <w:rPr>
          <w:rFonts w:ascii="ITC Avant Garde" w:eastAsia="Times New Roman" w:hAnsi="ITC Avant Garde"/>
          <w:b/>
          <w:bCs/>
          <w:i/>
          <w:color w:val="000000"/>
          <w:lang w:eastAsia="es-MX"/>
        </w:rPr>
        <w:t>COFRESA</w:t>
      </w:r>
      <w:r w:rsidRPr="002A2450">
        <w:rPr>
          <w:rFonts w:ascii="ITC Avant Garde" w:eastAsia="Times New Roman" w:hAnsi="ITC Avant Garde"/>
          <w:bCs/>
          <w:i/>
          <w:color w:val="000000"/>
          <w:lang w:eastAsia="es-MX"/>
        </w:rPr>
        <w:t xml:space="preserve"> como titular de una concesión para prestar el servicio de televisión restringida, acude a un conjunto de factores para la log</w:t>
      </w:r>
      <w:r w:rsidR="002F6358" w:rsidRPr="002A2450">
        <w:rPr>
          <w:rFonts w:ascii="ITC Avant Garde" w:eastAsia="Times New Roman" w:hAnsi="ITC Avant Garde"/>
          <w:bCs/>
          <w:i/>
          <w:color w:val="000000"/>
          <w:lang w:eastAsia="es-MX"/>
        </w:rPr>
        <w:t>r</w:t>
      </w:r>
      <w:r w:rsidRPr="002A2450">
        <w:rPr>
          <w:rFonts w:ascii="ITC Avant Garde" w:eastAsia="Times New Roman" w:hAnsi="ITC Avant Garde"/>
          <w:bCs/>
          <w:i/>
          <w:color w:val="000000"/>
          <w:lang w:eastAsia="es-MX"/>
        </w:rPr>
        <w:t>ar el beneficio que le otorga el derecho a la explotación.</w:t>
      </w:r>
    </w:p>
    <w:p w14:paraId="58614932"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Dentro de los factores que intervienen para la explotación del servicio de televisión restringida, se aprecia que </w:t>
      </w:r>
      <w:r w:rsidRPr="002A2450">
        <w:rPr>
          <w:rFonts w:ascii="ITC Avant Garde" w:eastAsia="Times New Roman" w:hAnsi="ITC Avant Garde"/>
          <w:b/>
          <w:bCs/>
          <w:i/>
          <w:color w:val="000000"/>
          <w:lang w:eastAsia="es-MX"/>
        </w:rPr>
        <w:t xml:space="preserve">COFRESA </w:t>
      </w:r>
      <w:r w:rsidRPr="002A2450">
        <w:rPr>
          <w:rFonts w:ascii="ITC Avant Garde" w:eastAsia="Times New Roman" w:hAnsi="ITC Avant Garde"/>
          <w:bCs/>
          <w:i/>
          <w:color w:val="000000"/>
          <w:lang w:eastAsia="es-MX"/>
        </w:rPr>
        <w:t>puede realizarlo a través de su propia infraestructura o, en su caso, acudir a otros factores para lograr el suministro del servicio concesionado, esto es, el proceso de explotación pasa por una reflexión sobre las capacidades internas de la organización para gestionar todas las dimensiones de su operación, personal, servicios, procesos, sistemas o infraestructuras.</w:t>
      </w:r>
    </w:p>
    <w:p w14:paraId="26520F52" w14:textId="77777777" w:rsidR="00B35F13" w:rsidRDefault="00F71B89" w:rsidP="00B35F13">
      <w:pPr>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En ese sentido, la cadena para la prestación del servicio de televisión restringida inicia desde la concesión hasta la prestación del servicio concesionado al usuario final, dentro de cuya cadena se encuentran, entre otros, la comercialización, distribución y facturación del servicio.</w:t>
      </w:r>
    </w:p>
    <w:p w14:paraId="06C94067" w14:textId="77777777" w:rsidR="00B35F13" w:rsidRDefault="00F71B89" w:rsidP="00B35F13">
      <w:pPr>
        <w:spacing w:before="240" w:line="360" w:lineRule="auto"/>
        <w:ind w:left="567" w:right="567"/>
        <w:jc w:val="both"/>
        <w:rPr>
          <w:rFonts w:ascii="ITC Avant Garde" w:hAnsi="ITC Avant Garde"/>
          <w:i/>
        </w:rPr>
      </w:pPr>
      <w:r w:rsidRPr="002A2450">
        <w:rPr>
          <w:rFonts w:ascii="ITC Avant Garde" w:eastAsia="Times New Roman" w:hAnsi="ITC Avant Garde"/>
          <w:bCs/>
          <w:i/>
          <w:color w:val="000000"/>
          <w:lang w:eastAsia="es-MX"/>
        </w:rPr>
        <w:t>Ahora bien, el titular de una concesión se encuentra obligado a la prestación del servicio. Sin embargo, cuando la prestación del servicio se realiza por un tercero que no cuenta con la autorización respectiva, implica que dicha explotación se encuentra realizándose de manera diversa y contraria a lo señalado en el artículo 27 Constitucional.</w:t>
      </w:r>
    </w:p>
    <w:p w14:paraId="4A0A191D" w14:textId="77777777" w:rsidR="00B35F13" w:rsidRDefault="00F71B89" w:rsidP="00B35F13">
      <w:pPr>
        <w:spacing w:before="240" w:line="360" w:lineRule="auto"/>
        <w:jc w:val="both"/>
        <w:rPr>
          <w:rFonts w:ascii="ITC Avant Garde" w:hAnsi="ITC Avant Garde"/>
        </w:rPr>
      </w:pPr>
      <w:r w:rsidRPr="002A2450">
        <w:rPr>
          <w:rFonts w:ascii="ITC Avant Garde" w:hAnsi="ITC Avant Garde"/>
        </w:rPr>
        <w:t>Con base en lo anterior, queda claro que la referencia señalada se refiere precisamente a esa cadena de prestación del servicio que cualquier concesionario en principio, se consideraría realizaría de manera personalísima.</w:t>
      </w:r>
    </w:p>
    <w:p w14:paraId="3A7107D3" w14:textId="77777777" w:rsidR="00B35F13" w:rsidRDefault="00F71B89" w:rsidP="00B35F13">
      <w:pPr>
        <w:spacing w:before="240" w:line="360" w:lineRule="auto"/>
        <w:jc w:val="both"/>
        <w:rPr>
          <w:rFonts w:ascii="ITC Avant Garde" w:hAnsi="ITC Avant Garde"/>
        </w:rPr>
      </w:pPr>
      <w:r w:rsidRPr="002A2450">
        <w:rPr>
          <w:rFonts w:ascii="ITC Avant Garde" w:hAnsi="ITC Avant Garde"/>
        </w:rPr>
        <w:lastRenderedPageBreak/>
        <w:t>No obstante lo anterior, el acuerdo de inicio señaló que cuando en esa cadena de prestación de servicios se ejecuta por un tercero, es dable considerar que la explotación no se ejecuta de manera directa.</w:t>
      </w:r>
    </w:p>
    <w:p w14:paraId="21379EF7" w14:textId="77777777" w:rsidR="00B35F13" w:rsidRDefault="00F71B89" w:rsidP="00B35F13">
      <w:pPr>
        <w:spacing w:before="240" w:line="360" w:lineRule="auto"/>
        <w:jc w:val="both"/>
        <w:rPr>
          <w:rFonts w:ascii="ITC Avant Garde" w:hAnsi="ITC Avant Garde"/>
        </w:rPr>
      </w:pPr>
      <w:r w:rsidRPr="002A2450">
        <w:rPr>
          <w:rFonts w:ascii="ITC Avant Garde" w:hAnsi="ITC Avant Garde"/>
        </w:rPr>
        <w:t xml:space="preserve">En tales consideraciones, </w:t>
      </w:r>
      <w:r w:rsidR="004352C8" w:rsidRPr="002A2450">
        <w:rPr>
          <w:rFonts w:ascii="ITC Avant Garde" w:hAnsi="ITC Avant Garde"/>
        </w:rPr>
        <w:t xml:space="preserve">cuando </w:t>
      </w:r>
      <w:r w:rsidR="00330030" w:rsidRPr="002A2450">
        <w:rPr>
          <w:rFonts w:ascii="ITC Avant Garde" w:hAnsi="ITC Avant Garde"/>
        </w:rPr>
        <w:t xml:space="preserve">una </w:t>
      </w:r>
      <w:r w:rsidR="00C3432C" w:rsidRPr="002A2450">
        <w:rPr>
          <w:rFonts w:ascii="ITC Avant Garde" w:hAnsi="ITC Avant Garde"/>
        </w:rPr>
        <w:t xml:space="preserve">explotación </w:t>
      </w:r>
      <w:r w:rsidR="004352C8" w:rsidRPr="002A2450">
        <w:rPr>
          <w:rFonts w:ascii="ITC Avant Garde" w:hAnsi="ITC Avant Garde"/>
        </w:rPr>
        <w:t xml:space="preserve">es </w:t>
      </w:r>
      <w:r w:rsidR="00C3432C" w:rsidRPr="002A2450">
        <w:rPr>
          <w:rFonts w:ascii="ITC Avant Garde" w:hAnsi="ITC Avant Garde"/>
        </w:rPr>
        <w:t xml:space="preserve">realizada </w:t>
      </w:r>
      <w:r w:rsidR="00330030" w:rsidRPr="002A2450">
        <w:rPr>
          <w:rFonts w:ascii="ITC Avant Garde" w:hAnsi="ITC Avant Garde"/>
        </w:rPr>
        <w:t>por virtud de un derecho otorgado</w:t>
      </w:r>
      <w:r w:rsidR="00C3432C" w:rsidRPr="002A2450">
        <w:rPr>
          <w:rFonts w:ascii="ITC Avant Garde" w:hAnsi="ITC Avant Garde"/>
        </w:rPr>
        <w:t xml:space="preserve"> que no cuenta con una autorización previa</w:t>
      </w:r>
      <w:r w:rsidR="004352C8" w:rsidRPr="002A2450">
        <w:rPr>
          <w:rFonts w:ascii="ITC Avant Garde" w:hAnsi="ITC Avant Garde"/>
        </w:rPr>
        <w:t>,</w:t>
      </w:r>
      <w:r w:rsidR="00C3432C" w:rsidRPr="002A2450">
        <w:rPr>
          <w:rFonts w:ascii="ITC Avant Garde" w:hAnsi="ITC Avant Garde"/>
        </w:rPr>
        <w:t xml:space="preserve"> nos encontramos en un</w:t>
      </w:r>
      <w:r w:rsidR="004352C8" w:rsidRPr="002A2450">
        <w:rPr>
          <w:rFonts w:ascii="ITC Avant Garde" w:hAnsi="ITC Avant Garde"/>
        </w:rPr>
        <w:t xml:space="preserve"> escenario atípico respecto </w:t>
      </w:r>
      <w:r w:rsidR="00C3432C" w:rsidRPr="002A2450">
        <w:rPr>
          <w:rFonts w:ascii="ITC Avant Garde" w:hAnsi="ITC Avant Garde"/>
        </w:rPr>
        <w:t xml:space="preserve">al cumplimiento de las obligaciones otorgadas al concesionario y en su caso, </w:t>
      </w:r>
      <w:r w:rsidR="004352C8" w:rsidRPr="002A2450">
        <w:rPr>
          <w:rFonts w:ascii="ITC Avant Garde" w:hAnsi="ITC Avant Garde"/>
        </w:rPr>
        <w:t xml:space="preserve">frente </w:t>
      </w:r>
      <w:r w:rsidR="00C3432C" w:rsidRPr="002A2450">
        <w:rPr>
          <w:rFonts w:ascii="ITC Avant Garde" w:hAnsi="ITC Avant Garde"/>
        </w:rPr>
        <w:t>a la posible contravención de un título de concesión que precisamente prohíbe que se realicen esas conductas.</w:t>
      </w:r>
    </w:p>
    <w:p w14:paraId="65571823" w14:textId="77777777" w:rsidR="00B35F13" w:rsidRDefault="00C3432C" w:rsidP="00B35F13">
      <w:pPr>
        <w:spacing w:before="240" w:line="360" w:lineRule="auto"/>
        <w:jc w:val="both"/>
        <w:rPr>
          <w:rFonts w:ascii="ITC Avant Garde" w:hAnsi="ITC Avant Garde"/>
        </w:rPr>
      </w:pPr>
      <w:r w:rsidRPr="002A2450">
        <w:rPr>
          <w:rFonts w:ascii="ITC Avant Garde" w:hAnsi="ITC Avant Garde"/>
        </w:rPr>
        <w:t xml:space="preserve">Luego entonces, el argumento de </w:t>
      </w:r>
      <w:r w:rsidRPr="002A2450">
        <w:rPr>
          <w:rFonts w:ascii="ITC Avant Garde" w:hAnsi="ITC Avant Garde"/>
          <w:b/>
        </w:rPr>
        <w:t>“TELMEX”</w:t>
      </w:r>
      <w:r w:rsidRPr="002A2450">
        <w:rPr>
          <w:rFonts w:ascii="ITC Avant Garde" w:hAnsi="ITC Avant Garde"/>
        </w:rPr>
        <w:t xml:space="preserve"> es parcial y </w:t>
      </w:r>
      <w:r w:rsidR="003470AD" w:rsidRPr="002A2450">
        <w:rPr>
          <w:rFonts w:ascii="ITC Avant Garde" w:hAnsi="ITC Avant Garde"/>
        </w:rPr>
        <w:t>sesgado</w:t>
      </w:r>
      <w:r w:rsidRPr="002A2450">
        <w:rPr>
          <w:rFonts w:ascii="ITC Avant Garde" w:hAnsi="ITC Avant Garde"/>
        </w:rPr>
        <w:t xml:space="preserve"> al no haber analizado la totalidad del acuerdo de i</w:t>
      </w:r>
      <w:r w:rsidR="004352C8" w:rsidRPr="002A2450">
        <w:rPr>
          <w:rFonts w:ascii="ITC Avant Garde" w:hAnsi="ITC Avant Garde"/>
        </w:rPr>
        <w:t>nicio y/o en su caso, la parte í</w:t>
      </w:r>
      <w:r w:rsidRPr="002A2450">
        <w:rPr>
          <w:rFonts w:ascii="ITC Avant Garde" w:hAnsi="ITC Avant Garde"/>
        </w:rPr>
        <w:t>ntegra de las consideraciones señaladas en el mismo</w:t>
      </w:r>
      <w:r w:rsidR="003470AD" w:rsidRPr="002A2450">
        <w:rPr>
          <w:rFonts w:ascii="ITC Avant Garde" w:hAnsi="ITC Avant Garde"/>
        </w:rPr>
        <w:t>, puesto que de haber analizado lo mencionado en líneas previas</w:t>
      </w:r>
      <w:r w:rsidR="004352C8" w:rsidRPr="002A2450">
        <w:rPr>
          <w:rFonts w:ascii="ITC Avant Garde" w:hAnsi="ITC Avant Garde"/>
        </w:rPr>
        <w:t>,</w:t>
      </w:r>
      <w:r w:rsidR="003470AD" w:rsidRPr="002A2450">
        <w:rPr>
          <w:rFonts w:ascii="ITC Avant Garde" w:hAnsi="ITC Avant Garde"/>
        </w:rPr>
        <w:t xml:space="preserve"> dicha concesionaria habría observado que no se trata de una contradicción sino de una ejemplificación de la </w:t>
      </w:r>
      <w:r w:rsidR="008F718E" w:rsidRPr="009E34A4">
        <w:rPr>
          <w:rFonts w:ascii="ITC Avant Garde" w:hAnsi="ITC Avant Garde"/>
        </w:rPr>
        <w:t xml:space="preserve">explotación indirecta </w:t>
      </w:r>
      <w:r w:rsidR="003470AD" w:rsidRPr="002A2450">
        <w:rPr>
          <w:rFonts w:ascii="ITC Avant Garde" w:hAnsi="ITC Avant Garde"/>
        </w:rPr>
        <w:t>realizada por un tercero.</w:t>
      </w:r>
    </w:p>
    <w:p w14:paraId="698F0487" w14:textId="77777777" w:rsidR="00B35F13" w:rsidRDefault="003470AD" w:rsidP="00B35F13">
      <w:pPr>
        <w:spacing w:before="240" w:line="360" w:lineRule="auto"/>
        <w:jc w:val="both"/>
        <w:rPr>
          <w:rFonts w:ascii="ITC Avant Garde" w:hAnsi="ITC Avant Garde"/>
        </w:rPr>
      </w:pPr>
      <w:r w:rsidRPr="002A2450">
        <w:rPr>
          <w:rFonts w:ascii="ITC Avant Garde" w:hAnsi="ITC Avant Garde"/>
        </w:rPr>
        <w:t xml:space="preserve">Así las cosas, sus manifestaciones no desvirtúan la conducta materia del presente procedimiento, puesto que como se ha señalado en el presente apartado, la operación realizada con base en la </w:t>
      </w:r>
      <w:r w:rsidRPr="002A2450">
        <w:rPr>
          <w:rFonts w:ascii="ITC Avant Garde" w:hAnsi="ITC Avant Garde"/>
          <w:i/>
        </w:rPr>
        <w:t xml:space="preserve">Alianza Estratégica </w:t>
      </w:r>
      <w:r w:rsidRPr="002A2450">
        <w:rPr>
          <w:rFonts w:ascii="ITC Avant Garde" w:hAnsi="ITC Avant Garde"/>
        </w:rPr>
        <w:t xml:space="preserve">realizada con </w:t>
      </w:r>
      <w:r w:rsidRPr="002A2450">
        <w:rPr>
          <w:rFonts w:ascii="ITC Avant Garde" w:hAnsi="ITC Avant Garde"/>
          <w:b/>
        </w:rPr>
        <w:t>“TELMEX”</w:t>
      </w:r>
      <w:r w:rsidRPr="002A2450">
        <w:rPr>
          <w:rFonts w:ascii="ITC Avant Garde" w:hAnsi="ITC Avant Garde"/>
        </w:rPr>
        <w:t xml:space="preserve"> evidencia que las </w:t>
      </w:r>
      <w:r w:rsidR="004352C8" w:rsidRPr="002A2450">
        <w:rPr>
          <w:rFonts w:ascii="ITC Avant Garde" w:hAnsi="ITC Avant Garde"/>
        </w:rPr>
        <w:t xml:space="preserve">diversas actividades </w:t>
      </w:r>
      <w:r w:rsidRPr="002A2450">
        <w:rPr>
          <w:rFonts w:ascii="ITC Avant Garde" w:hAnsi="ITC Avant Garde"/>
        </w:rPr>
        <w:t xml:space="preserve">propias </w:t>
      </w:r>
      <w:r w:rsidR="004352C8" w:rsidRPr="002A2450">
        <w:rPr>
          <w:rFonts w:ascii="ITC Avant Garde" w:hAnsi="ITC Avant Garde"/>
        </w:rPr>
        <w:t xml:space="preserve">o asociadas a la </w:t>
      </w:r>
      <w:r w:rsidRPr="002A2450">
        <w:rPr>
          <w:rFonts w:ascii="ITC Avant Garde" w:hAnsi="ITC Avant Garde"/>
        </w:rPr>
        <w:t>explotación de una concesión otorgada</w:t>
      </w:r>
      <w:r w:rsidR="004352C8" w:rsidRPr="002A2450">
        <w:rPr>
          <w:rFonts w:ascii="ITC Avant Garde" w:hAnsi="ITC Avant Garde"/>
        </w:rPr>
        <w:t>,</w:t>
      </w:r>
      <w:r w:rsidRPr="002A2450">
        <w:rPr>
          <w:rFonts w:ascii="ITC Avant Garde" w:hAnsi="ITC Avant Garde"/>
        </w:rPr>
        <w:t xml:space="preserve"> le fueron </w:t>
      </w:r>
      <w:r w:rsidR="004352C8" w:rsidRPr="002A2450">
        <w:rPr>
          <w:rFonts w:ascii="ITC Avant Garde" w:hAnsi="ITC Avant Garde"/>
        </w:rPr>
        <w:t xml:space="preserve">delegadas </w:t>
      </w:r>
      <w:r w:rsidRPr="002A2450">
        <w:rPr>
          <w:rFonts w:ascii="ITC Avant Garde" w:hAnsi="ITC Avant Garde"/>
        </w:rPr>
        <w:t xml:space="preserve">a </w:t>
      </w:r>
      <w:r w:rsidRPr="002A2450">
        <w:rPr>
          <w:rFonts w:ascii="ITC Avant Garde" w:hAnsi="ITC Avant Garde"/>
          <w:b/>
        </w:rPr>
        <w:t>“TELMEX”</w:t>
      </w:r>
      <w:r w:rsidRPr="002A2450">
        <w:rPr>
          <w:rFonts w:ascii="ITC Avant Garde" w:hAnsi="ITC Avant Garde"/>
        </w:rPr>
        <w:t xml:space="preserve"> a través de la serie de contratos coaligados.</w:t>
      </w:r>
    </w:p>
    <w:p w14:paraId="552C37F5" w14:textId="77777777" w:rsidR="00B35F13" w:rsidRDefault="003470AD" w:rsidP="00B35F13">
      <w:pPr>
        <w:spacing w:before="240" w:line="360" w:lineRule="auto"/>
        <w:jc w:val="both"/>
        <w:rPr>
          <w:rFonts w:ascii="ITC Avant Garde" w:hAnsi="ITC Avant Garde"/>
        </w:rPr>
      </w:pPr>
      <w:r w:rsidRPr="002A2450">
        <w:rPr>
          <w:rFonts w:ascii="ITC Avant Garde" w:hAnsi="ITC Avant Garde"/>
        </w:rPr>
        <w:t xml:space="preserve">Ahora bien, no pasa desapercibido que </w:t>
      </w:r>
      <w:r w:rsidRPr="002A2450">
        <w:rPr>
          <w:rFonts w:ascii="ITC Avant Garde" w:hAnsi="ITC Avant Garde"/>
          <w:b/>
        </w:rPr>
        <w:t>“TELMEX”</w:t>
      </w:r>
      <w:r w:rsidR="004352C8" w:rsidRPr="002A2450">
        <w:rPr>
          <w:rFonts w:ascii="ITC Avant Garde" w:hAnsi="ITC Avant Garde"/>
        </w:rPr>
        <w:t xml:space="preserve"> manifiesta</w:t>
      </w:r>
      <w:r w:rsidRPr="002A2450">
        <w:rPr>
          <w:rFonts w:ascii="ITC Avant Garde" w:hAnsi="ITC Avant Garde"/>
        </w:rPr>
        <w:t xml:space="preserve"> que la abrogada </w:t>
      </w:r>
      <w:r w:rsidRPr="002A2450">
        <w:rPr>
          <w:rFonts w:ascii="ITC Avant Garde" w:hAnsi="ITC Avant Garde"/>
          <w:b/>
        </w:rPr>
        <w:t>“LFT”</w:t>
      </w:r>
      <w:r w:rsidRPr="002A2450">
        <w:rPr>
          <w:rFonts w:ascii="ITC Avant Garde" w:hAnsi="ITC Avant Garde"/>
        </w:rPr>
        <w:t xml:space="preserve"> establecía la posibilidad de que dicha concesionaria permitiera la prestación de manera desagregada de sus servicios.</w:t>
      </w:r>
    </w:p>
    <w:p w14:paraId="14A6602B" w14:textId="77777777" w:rsidR="00A80E02" w:rsidRDefault="00475E63" w:rsidP="00B35F13">
      <w:pPr>
        <w:spacing w:before="240" w:line="360" w:lineRule="auto"/>
        <w:jc w:val="both"/>
        <w:rPr>
          <w:rFonts w:ascii="ITC Avant Garde" w:hAnsi="ITC Avant Garde"/>
        </w:rPr>
        <w:sectPr w:rsidR="00A80E02" w:rsidSect="009F3771">
          <w:headerReference w:type="default" r:id="rId60"/>
          <w:pgSz w:w="12240" w:h="15840"/>
          <w:pgMar w:top="1985" w:right="1701" w:bottom="1418" w:left="1701" w:header="709" w:footer="709" w:gutter="0"/>
          <w:cols w:space="708"/>
          <w:docGrid w:linePitch="360"/>
        </w:sectPr>
      </w:pPr>
      <w:r w:rsidRPr="002A2450">
        <w:rPr>
          <w:rFonts w:ascii="ITC Avant Garde" w:hAnsi="ITC Avant Garde"/>
        </w:rPr>
        <w:t xml:space="preserve">Sin embargo, la aseveración anterior no es del todo correcta dado que el servicio de interconexión regulado en el artículo 43 de la abrogada </w:t>
      </w:r>
      <w:r w:rsidRPr="002A2450">
        <w:rPr>
          <w:rFonts w:ascii="ITC Avant Garde" w:hAnsi="ITC Avant Garde"/>
          <w:b/>
        </w:rPr>
        <w:t>“LFT”</w:t>
      </w:r>
      <w:r w:rsidRPr="002A2450">
        <w:rPr>
          <w:rFonts w:ascii="ITC Avant Garde" w:hAnsi="ITC Avant Garde"/>
        </w:rPr>
        <w:t xml:space="preserve"> en principio no es un servicio concesionado, sino que cumple las funciones de interconexión entre distintas redes, por lo que dicho artículo </w:t>
      </w:r>
      <w:r w:rsidR="004352C8" w:rsidRPr="002A2450">
        <w:rPr>
          <w:rFonts w:ascii="ITC Avant Garde" w:hAnsi="ITC Avant Garde"/>
        </w:rPr>
        <w:t xml:space="preserve">estableció </w:t>
      </w:r>
      <w:r w:rsidRPr="002A2450">
        <w:rPr>
          <w:rFonts w:ascii="ITC Avant Garde" w:hAnsi="ITC Avant Garde"/>
        </w:rPr>
        <w:t xml:space="preserve">que en los contratos de </w:t>
      </w:r>
    </w:p>
    <w:p w14:paraId="681C89E5" w14:textId="09837EDB" w:rsidR="00B35F13" w:rsidRDefault="00475E63" w:rsidP="00B35F13">
      <w:pPr>
        <w:spacing w:before="240" w:line="360" w:lineRule="auto"/>
        <w:jc w:val="both"/>
        <w:rPr>
          <w:rFonts w:ascii="ITC Avant Garde" w:hAnsi="ITC Avant Garde"/>
        </w:rPr>
      </w:pPr>
      <w:proofErr w:type="gramStart"/>
      <w:r w:rsidRPr="002A2450">
        <w:rPr>
          <w:rFonts w:ascii="ITC Avant Garde" w:hAnsi="ITC Avant Garde"/>
        </w:rPr>
        <w:lastRenderedPageBreak/>
        <w:t>interconexión</w:t>
      </w:r>
      <w:proofErr w:type="gramEnd"/>
      <w:r w:rsidRPr="002A2450">
        <w:rPr>
          <w:rFonts w:ascii="ITC Avant Garde" w:hAnsi="ITC Avant Garde"/>
        </w:rPr>
        <w:t xml:space="preserve"> celebrados</w:t>
      </w:r>
      <w:r w:rsidR="004352C8" w:rsidRPr="002A2450">
        <w:rPr>
          <w:rFonts w:ascii="ITC Avant Garde" w:hAnsi="ITC Avant Garde"/>
        </w:rPr>
        <w:t>,</w:t>
      </w:r>
      <w:r w:rsidRPr="002A2450">
        <w:rPr>
          <w:rFonts w:ascii="ITC Avant Garde" w:hAnsi="ITC Avant Garde"/>
        </w:rPr>
        <w:t xml:space="preserve"> debía establecerse el acceso de manera desagregada a los servicios de la red, más no así la explotación a través de un tercero.</w:t>
      </w:r>
    </w:p>
    <w:p w14:paraId="0269F138" w14:textId="77777777" w:rsidR="00B35F13" w:rsidRDefault="00475E63" w:rsidP="00B35F13">
      <w:pPr>
        <w:spacing w:before="240" w:line="360" w:lineRule="auto"/>
        <w:jc w:val="both"/>
        <w:rPr>
          <w:rFonts w:ascii="ITC Avant Garde" w:hAnsi="ITC Avant Garde"/>
        </w:rPr>
      </w:pPr>
      <w:r w:rsidRPr="002A2450">
        <w:rPr>
          <w:rFonts w:ascii="ITC Avant Garde" w:hAnsi="ITC Avant Garde"/>
        </w:rPr>
        <w:t xml:space="preserve">Ahora bien, en cuanto al artículo 52 de la </w:t>
      </w:r>
      <w:r w:rsidRPr="002A2450">
        <w:rPr>
          <w:rFonts w:ascii="ITC Avant Garde" w:hAnsi="ITC Avant Garde"/>
          <w:b/>
        </w:rPr>
        <w:t>“LFT”</w:t>
      </w:r>
      <w:r w:rsidRPr="002A2450">
        <w:rPr>
          <w:rFonts w:ascii="ITC Avant Garde" w:hAnsi="ITC Avant Garde"/>
        </w:rPr>
        <w:t xml:space="preserve"> </w:t>
      </w:r>
      <w:r w:rsidR="004352C8" w:rsidRPr="002A2450">
        <w:rPr>
          <w:rFonts w:ascii="ITC Avant Garde" w:hAnsi="ITC Avant Garde"/>
        </w:rPr>
        <w:t>el</w:t>
      </w:r>
      <w:r w:rsidRPr="002A2450">
        <w:rPr>
          <w:rFonts w:ascii="ITC Avant Garde" w:hAnsi="ITC Avant Garde"/>
        </w:rPr>
        <w:t xml:space="preserve"> mism</w:t>
      </w:r>
      <w:r w:rsidR="004352C8" w:rsidRPr="002A2450">
        <w:rPr>
          <w:rFonts w:ascii="ITC Avant Garde" w:hAnsi="ITC Avant Garde"/>
        </w:rPr>
        <w:t>o</w:t>
      </w:r>
      <w:r w:rsidRPr="002A2450">
        <w:rPr>
          <w:rFonts w:ascii="ITC Avant Garde" w:hAnsi="ITC Avant Garde"/>
        </w:rPr>
        <w:t xml:space="preserve"> establecía la posibilidad de que existieran comercializadoras de servicios de telecomunicaciones, los cuales en su caso, debería</w:t>
      </w:r>
      <w:r w:rsidR="00A12A36" w:rsidRPr="002A2450">
        <w:rPr>
          <w:rFonts w:ascii="ITC Avant Garde" w:hAnsi="ITC Avant Garde"/>
        </w:rPr>
        <w:t>n</w:t>
      </w:r>
      <w:r w:rsidRPr="002A2450">
        <w:rPr>
          <w:rFonts w:ascii="ITC Avant Garde" w:hAnsi="ITC Avant Garde"/>
        </w:rPr>
        <w:t xml:space="preserve"> adquirir el permiso previo y no contar con infraestructura propia para que a través de dicha figura pudiera </w:t>
      </w:r>
      <w:r w:rsidR="004352C8" w:rsidRPr="002A2450">
        <w:rPr>
          <w:rFonts w:ascii="ITC Avant Garde" w:hAnsi="ITC Avant Garde"/>
        </w:rPr>
        <w:t xml:space="preserve">revender </w:t>
      </w:r>
      <w:r w:rsidRPr="002A2450">
        <w:rPr>
          <w:rFonts w:ascii="ITC Avant Garde" w:hAnsi="ITC Avant Garde"/>
        </w:rPr>
        <w:t xml:space="preserve">propiamente, los servicios </w:t>
      </w:r>
      <w:r w:rsidR="004352C8" w:rsidRPr="002A2450">
        <w:rPr>
          <w:rFonts w:ascii="ITC Avant Garde" w:hAnsi="ITC Avant Garde"/>
        </w:rPr>
        <w:t xml:space="preserve">autorizados a un </w:t>
      </w:r>
      <w:r w:rsidRPr="002A2450">
        <w:rPr>
          <w:rFonts w:ascii="ITC Avant Garde" w:hAnsi="ITC Avant Garde"/>
        </w:rPr>
        <w:t>concesionario. En el supuesto mencionado, tampoco se habla de una explotación sino de la comercialización de una capacidad que es propia de concesionario.</w:t>
      </w:r>
    </w:p>
    <w:p w14:paraId="7F7A5107" w14:textId="77777777" w:rsidR="00B35F13" w:rsidRDefault="00475E63" w:rsidP="00B35F13">
      <w:pPr>
        <w:spacing w:before="240" w:line="360" w:lineRule="auto"/>
        <w:jc w:val="both"/>
        <w:rPr>
          <w:rFonts w:ascii="ITC Avant Garde" w:hAnsi="ITC Avant Garde"/>
        </w:rPr>
      </w:pPr>
      <w:r w:rsidRPr="002A2450">
        <w:rPr>
          <w:rFonts w:ascii="ITC Avant Garde" w:hAnsi="ITC Avant Garde"/>
        </w:rPr>
        <w:t>En ese sentido, no existe contradicción alguna y mucho menos con los argumentos analizados puede desvirtuarse la conducta materia del presente procedimiento.</w:t>
      </w:r>
    </w:p>
    <w:p w14:paraId="57FF5046" w14:textId="59B17FDF" w:rsidR="00B35F13" w:rsidRDefault="00475E63" w:rsidP="00B35F13">
      <w:pPr>
        <w:spacing w:before="240" w:line="360" w:lineRule="auto"/>
        <w:jc w:val="both"/>
        <w:rPr>
          <w:rFonts w:ascii="ITC Avant Garde" w:hAnsi="ITC Avant Garde"/>
        </w:rPr>
      </w:pPr>
      <w:r w:rsidRPr="002A2450">
        <w:rPr>
          <w:rFonts w:ascii="ITC Avant Garde" w:hAnsi="ITC Avant Garde"/>
        </w:rPr>
        <w:t xml:space="preserve">Lo anterior, sin perjuicio de que </w:t>
      </w:r>
      <w:r w:rsidRPr="002A2450">
        <w:rPr>
          <w:rFonts w:ascii="ITC Avant Garde" w:hAnsi="ITC Avant Garde"/>
          <w:b/>
        </w:rPr>
        <w:t>“TELMEX”</w:t>
      </w:r>
      <w:r w:rsidRPr="002A2450">
        <w:rPr>
          <w:rFonts w:ascii="ITC Avant Garde" w:hAnsi="ITC Avant Garde"/>
        </w:rPr>
        <w:t xml:space="preserve"> manifieste </w:t>
      </w:r>
      <w:r w:rsidR="00325114" w:rsidRPr="002A2450">
        <w:rPr>
          <w:rFonts w:ascii="ITC Avant Garde" w:hAnsi="ITC Avant Garde"/>
        </w:rPr>
        <w:t xml:space="preserve">que los servicios de facturación y cobranza estimulan la competencia, puesto que en autos del presente expediente no se advierte cómo </w:t>
      </w:r>
      <w:r w:rsidR="004352C8" w:rsidRPr="002A2450">
        <w:rPr>
          <w:rFonts w:ascii="ITC Avant Garde" w:hAnsi="ITC Avant Garde"/>
        </w:rPr>
        <w:t xml:space="preserve">dicha aseveración </w:t>
      </w:r>
      <w:r w:rsidR="00325114" w:rsidRPr="002A2450">
        <w:rPr>
          <w:rFonts w:ascii="ITC Avant Garde" w:hAnsi="ITC Avant Garde"/>
        </w:rPr>
        <w:t xml:space="preserve">resulta aplicable a otras empresas a las que dicha concesionaria presta el servicio, puesto que debe recordarse </w:t>
      </w:r>
      <w:r w:rsidR="004352C8" w:rsidRPr="002A2450">
        <w:rPr>
          <w:rFonts w:ascii="ITC Avant Garde" w:hAnsi="ITC Avant Garde"/>
        </w:rPr>
        <w:t xml:space="preserve">que </w:t>
      </w:r>
      <w:r w:rsidR="00325114" w:rsidRPr="002A2450">
        <w:rPr>
          <w:rFonts w:ascii="ITC Avant Garde" w:hAnsi="ITC Avant Garde"/>
        </w:rPr>
        <w:t>el cambio de contraprestación en el servicio a través de la carta de veinticuatro de noviembre de dos mil ocho</w:t>
      </w:r>
      <w:r w:rsidR="004352C8" w:rsidRPr="002A2450">
        <w:rPr>
          <w:rFonts w:ascii="ITC Avant Garde" w:hAnsi="ITC Avant Garde"/>
        </w:rPr>
        <w:t xml:space="preserve">, le otorgó a </w:t>
      </w:r>
      <w:r w:rsidR="00325114" w:rsidRPr="002A2450">
        <w:rPr>
          <w:rFonts w:ascii="ITC Avant Garde" w:hAnsi="ITC Avant Garde"/>
          <w:b/>
        </w:rPr>
        <w:t>“COFRESA”</w:t>
      </w:r>
      <w:r w:rsidR="00325114" w:rsidRPr="002A2450">
        <w:rPr>
          <w:rFonts w:ascii="ITC Avant Garde" w:hAnsi="ITC Avant Garde"/>
        </w:rPr>
        <w:t xml:space="preserve"> </w:t>
      </w:r>
      <w:r w:rsidR="004352C8" w:rsidRPr="002A2450">
        <w:rPr>
          <w:rFonts w:ascii="ITC Avant Garde" w:hAnsi="ITC Avant Garde"/>
        </w:rPr>
        <w:t xml:space="preserve">un trato preferencial, ya </w:t>
      </w:r>
      <w:r w:rsidR="00325114" w:rsidRPr="002A2450">
        <w:rPr>
          <w:rFonts w:ascii="ITC Avant Garde" w:hAnsi="ITC Avant Garde"/>
        </w:rPr>
        <w:t xml:space="preserve">que en lugar </w:t>
      </w:r>
      <w:r w:rsidR="004352C8" w:rsidRPr="002A2450">
        <w:rPr>
          <w:rFonts w:ascii="ITC Avant Garde" w:hAnsi="ITC Avant Garde"/>
        </w:rPr>
        <w:t xml:space="preserve">de pagar a </w:t>
      </w:r>
      <w:r w:rsidR="004352C8" w:rsidRPr="002A2450">
        <w:rPr>
          <w:rFonts w:ascii="ITC Avant Garde" w:hAnsi="ITC Avant Garde"/>
          <w:b/>
        </w:rPr>
        <w:t xml:space="preserve">“TELMEX” </w:t>
      </w:r>
      <w:r w:rsidR="00325114" w:rsidRPr="002A2450">
        <w:rPr>
          <w:rFonts w:ascii="ITC Avant Garde" w:hAnsi="ITC Avant Garde"/>
        </w:rPr>
        <w:t>el 30% de la facturación neta</w:t>
      </w:r>
      <w:r w:rsidR="004352C8" w:rsidRPr="002A2450">
        <w:rPr>
          <w:rFonts w:ascii="ITC Avant Garde" w:hAnsi="ITC Avant Garde"/>
        </w:rPr>
        <w:t xml:space="preserve">, </w:t>
      </w:r>
      <w:r w:rsidR="003E4463">
        <w:rPr>
          <w:rFonts w:ascii="ITC Avant Garde" w:hAnsi="ITC Avant Garde"/>
        </w:rPr>
        <w:t>esta sería reducida en una cantidad neta equivalente a</w:t>
      </w:r>
      <w:r w:rsidR="003E4463" w:rsidRPr="00F76758">
        <w:rPr>
          <w:rFonts w:ascii="ITC Avant Garde" w:hAnsi="ITC Avant Garde"/>
        </w:rPr>
        <w:t xml:space="preserve"> </w:t>
      </w:r>
      <w:r w:rsidR="004A407D" w:rsidRPr="0047339C">
        <w:rPr>
          <w:rFonts w:ascii="ITC Avant Garde" w:eastAsiaTheme="majorEastAsia" w:hAnsi="ITC Avant Garde" w:cstheme="majorBidi"/>
          <w:b/>
          <w:color w:val="0000FF"/>
          <w:szCs w:val="32"/>
        </w:rPr>
        <w:t>“CONFIDENCIAL POR LEY”</w:t>
      </w:r>
      <w:r w:rsidR="003E4463" w:rsidRPr="00F76758">
        <w:rPr>
          <w:rFonts w:ascii="ITC Avant Garde" w:hAnsi="ITC Avant Garde"/>
        </w:rPr>
        <w:t xml:space="preserve"> por cada cliente más el impuesto al valor agregado</w:t>
      </w:r>
      <w:r w:rsidR="004352C8" w:rsidRPr="002A2450">
        <w:rPr>
          <w:rFonts w:ascii="ITC Avant Garde" w:hAnsi="ITC Avant Garde"/>
        </w:rPr>
        <w:t>.</w:t>
      </w:r>
    </w:p>
    <w:p w14:paraId="156C210B" w14:textId="77777777" w:rsidR="00A80E02" w:rsidRDefault="00325114" w:rsidP="00B35F13">
      <w:pPr>
        <w:spacing w:before="240" w:line="360" w:lineRule="auto"/>
        <w:jc w:val="both"/>
        <w:rPr>
          <w:rFonts w:ascii="ITC Avant Garde" w:hAnsi="ITC Avant Garde"/>
        </w:rPr>
        <w:sectPr w:rsidR="00A80E02" w:rsidSect="009F3771">
          <w:headerReference w:type="default" r:id="rId61"/>
          <w:pgSz w:w="12240" w:h="15840"/>
          <w:pgMar w:top="1985" w:right="1701" w:bottom="1418" w:left="1701" w:header="709" w:footer="709" w:gutter="0"/>
          <w:cols w:space="708"/>
          <w:docGrid w:linePitch="360"/>
        </w:sectPr>
      </w:pPr>
      <w:r w:rsidRPr="002A2450">
        <w:rPr>
          <w:rFonts w:ascii="ITC Avant Garde" w:hAnsi="ITC Avant Garde"/>
        </w:rPr>
        <w:t xml:space="preserve">En ese sentido, no se advierte que ello pueda considerarse que aplica a todas las empresas a las que </w:t>
      </w:r>
      <w:r w:rsidRPr="002A2450">
        <w:rPr>
          <w:rFonts w:ascii="ITC Avant Garde" w:hAnsi="ITC Avant Garde"/>
          <w:b/>
        </w:rPr>
        <w:t>“TELMEX”</w:t>
      </w:r>
      <w:r w:rsidRPr="002A2450">
        <w:rPr>
          <w:rFonts w:ascii="ITC Avant Garde" w:hAnsi="ITC Avant Garde"/>
        </w:rPr>
        <w:t xml:space="preserve"> ofrece el servicio ni mucho menos se advierte que ello contribuye a desvirtuar la conducta mat</w:t>
      </w:r>
      <w:r w:rsidR="004352C8" w:rsidRPr="002A2450">
        <w:rPr>
          <w:rFonts w:ascii="ITC Avant Garde" w:hAnsi="ITC Avant Garde"/>
        </w:rPr>
        <w:t xml:space="preserve">eria del presente procedimiento, por el contrario lo que evidencia es un trato diferenciado con el ánimo de que el negocio de </w:t>
      </w:r>
      <w:r w:rsidR="004352C8" w:rsidRPr="002A2450">
        <w:rPr>
          <w:rFonts w:ascii="ITC Avant Garde" w:hAnsi="ITC Avant Garde"/>
          <w:b/>
        </w:rPr>
        <w:t>“DTH”</w:t>
      </w:r>
      <w:r w:rsidR="00421519" w:rsidRPr="002A2450">
        <w:rPr>
          <w:rFonts w:ascii="ITC Avant Garde" w:hAnsi="ITC Avant Garde"/>
        </w:rPr>
        <w:t xml:space="preserve"> fuera más rentable.</w:t>
      </w:r>
    </w:p>
    <w:p w14:paraId="75C22916" w14:textId="77777777" w:rsidR="00B35F13" w:rsidRDefault="00325114" w:rsidP="00B35F13">
      <w:pPr>
        <w:spacing w:before="240" w:line="360" w:lineRule="auto"/>
        <w:jc w:val="both"/>
        <w:rPr>
          <w:rFonts w:ascii="ITC Avant Garde" w:hAnsi="ITC Avant Garde"/>
        </w:rPr>
      </w:pPr>
      <w:r w:rsidRPr="002A2450">
        <w:rPr>
          <w:rFonts w:ascii="ITC Avant Garde" w:hAnsi="ITC Avant Garde"/>
        </w:rPr>
        <w:lastRenderedPageBreak/>
        <w:t xml:space="preserve">Asimismo, esta autoridad no escapa </w:t>
      </w:r>
      <w:r w:rsidR="00421519" w:rsidRPr="002A2450">
        <w:rPr>
          <w:rFonts w:ascii="ITC Avant Garde" w:hAnsi="ITC Avant Garde"/>
        </w:rPr>
        <w:t xml:space="preserve">al análisis en cuanto a </w:t>
      </w:r>
      <w:r w:rsidRPr="002A2450">
        <w:rPr>
          <w:rFonts w:ascii="ITC Avant Garde" w:hAnsi="ITC Avant Garde"/>
        </w:rPr>
        <w:t xml:space="preserve">la posibilidad </w:t>
      </w:r>
      <w:r w:rsidR="00421519" w:rsidRPr="002A2450">
        <w:rPr>
          <w:rFonts w:ascii="ITC Avant Garde" w:hAnsi="ITC Avant Garde"/>
        </w:rPr>
        <w:t xml:space="preserve">de que dichos </w:t>
      </w:r>
      <w:r w:rsidRPr="002A2450">
        <w:rPr>
          <w:rFonts w:ascii="ITC Avant Garde" w:hAnsi="ITC Avant Garde"/>
        </w:rPr>
        <w:t xml:space="preserve">ahorros </w:t>
      </w:r>
      <w:r w:rsidR="00421519" w:rsidRPr="002A2450">
        <w:rPr>
          <w:rFonts w:ascii="ITC Avant Garde" w:hAnsi="ITC Avant Garde"/>
        </w:rPr>
        <w:t xml:space="preserve">pudieran </w:t>
      </w:r>
      <w:r w:rsidRPr="002A2450">
        <w:rPr>
          <w:rFonts w:ascii="ITC Avant Garde" w:hAnsi="ITC Avant Garde"/>
        </w:rPr>
        <w:t xml:space="preserve">generarse a través de estos mecanismos </w:t>
      </w:r>
      <w:r w:rsidR="00421519" w:rsidRPr="002A2450">
        <w:rPr>
          <w:rFonts w:ascii="ITC Avant Garde" w:hAnsi="ITC Avant Garde"/>
        </w:rPr>
        <w:t xml:space="preserve">con la clara intención de </w:t>
      </w:r>
      <w:r w:rsidRPr="002A2450">
        <w:rPr>
          <w:rFonts w:ascii="ITC Avant Garde" w:hAnsi="ITC Avant Garde"/>
        </w:rPr>
        <w:t xml:space="preserve">lograr quizá ahorros en la operación respecto de la facturación y cobranza. Sin embargo, debe recordarse que dicho contrato por sí mismo forma parte de una serie de contratos coaligados dónde </w:t>
      </w:r>
      <w:r w:rsidR="00330030" w:rsidRPr="002A2450">
        <w:rPr>
          <w:rFonts w:ascii="ITC Avant Garde" w:hAnsi="ITC Avant Garde"/>
        </w:rPr>
        <w:t xml:space="preserve">a través de los contratos de operación y consecuencias es como se otorgan a </w:t>
      </w:r>
      <w:r w:rsidR="00330030" w:rsidRPr="002A2450">
        <w:rPr>
          <w:rFonts w:ascii="ITC Avant Garde" w:hAnsi="ITC Avant Garde"/>
          <w:b/>
        </w:rPr>
        <w:t>“TELMEX”</w:t>
      </w:r>
      <w:r w:rsidR="00330030" w:rsidRPr="002A2450">
        <w:rPr>
          <w:rFonts w:ascii="ITC Avant Garde" w:hAnsi="ITC Avant Garde"/>
        </w:rPr>
        <w:t xml:space="preserve"> los derechos suficientes para poder influir en la operación del servicio de </w:t>
      </w:r>
      <w:r w:rsidR="00330030" w:rsidRPr="002A2450">
        <w:rPr>
          <w:rFonts w:ascii="ITC Avant Garde" w:hAnsi="ITC Avant Garde"/>
          <w:b/>
        </w:rPr>
        <w:t xml:space="preserve">“DTH” </w:t>
      </w:r>
      <w:r w:rsidR="00330030" w:rsidRPr="002A2450">
        <w:rPr>
          <w:rFonts w:ascii="ITC Avant Garde" w:hAnsi="ITC Avant Garde"/>
        </w:rPr>
        <w:t>que ofrece</w:t>
      </w:r>
      <w:r w:rsidR="00330030" w:rsidRPr="002A2450">
        <w:rPr>
          <w:rFonts w:ascii="ITC Avant Garde" w:hAnsi="ITC Avant Garde"/>
          <w:b/>
        </w:rPr>
        <w:t xml:space="preserve"> “COFRESA”</w:t>
      </w:r>
      <w:r w:rsidR="00330030" w:rsidRPr="002A2450">
        <w:rPr>
          <w:rFonts w:ascii="ITC Avant Garde" w:hAnsi="ITC Avant Garde"/>
        </w:rPr>
        <w:t xml:space="preserve"> de lo que se sigue que dicho mecanismo de ahorro en cuanto a las operaciones realizadas no son materia del presente procedimiento y de ahí que las mismas no puedan considerarse para desvirtuar la conducta que se analiza.</w:t>
      </w:r>
    </w:p>
    <w:p w14:paraId="41410E6D" w14:textId="77777777" w:rsidR="00B35F13" w:rsidRDefault="00FD3D53" w:rsidP="00B35F13">
      <w:pPr>
        <w:spacing w:before="240" w:line="360" w:lineRule="auto"/>
        <w:jc w:val="both"/>
        <w:rPr>
          <w:rFonts w:ascii="ITC Avant Garde" w:hAnsi="ITC Avant Garde"/>
        </w:rPr>
      </w:pPr>
      <w:r w:rsidRPr="002A2450">
        <w:rPr>
          <w:rFonts w:ascii="ITC Avant Garde" w:hAnsi="ITC Avant Garde"/>
        </w:rPr>
        <w:t xml:space="preserve">Además de lo anterior, resulta importante destacar que con dichos instrumentos se otorgó el derecho de limitar </w:t>
      </w:r>
      <w:r w:rsidR="00325114" w:rsidRPr="002A2450">
        <w:rPr>
          <w:rFonts w:ascii="ITC Avant Garde" w:hAnsi="ITC Avant Garde"/>
        </w:rPr>
        <w:t>la venta de títulos de capital, modificación interna y externa, la posibilidad de gestionar un préstamo a favor de terceros, la supervisión y vigilancia de los esta</w:t>
      </w:r>
      <w:r w:rsidRPr="002A2450">
        <w:rPr>
          <w:rFonts w:ascii="ITC Avant Garde" w:hAnsi="ITC Avant Garde"/>
        </w:rPr>
        <w:t>d</w:t>
      </w:r>
      <w:r w:rsidR="00325114" w:rsidRPr="002A2450">
        <w:rPr>
          <w:rFonts w:ascii="ITC Avant Garde" w:hAnsi="ITC Avant Garde"/>
        </w:rPr>
        <w:t xml:space="preserve">os financieros de la empresa, las reuniones para la toma de decisiones respecto de la operación de </w:t>
      </w:r>
      <w:r w:rsidR="00325114" w:rsidRPr="002A2450">
        <w:rPr>
          <w:rFonts w:ascii="ITC Avant Garde" w:hAnsi="ITC Avant Garde"/>
          <w:b/>
        </w:rPr>
        <w:t>“DISH</w:t>
      </w:r>
      <w:r w:rsidRPr="002A2450">
        <w:rPr>
          <w:rFonts w:ascii="ITC Avant Garde" w:hAnsi="ITC Avant Garde"/>
          <w:b/>
        </w:rPr>
        <w:t xml:space="preserve"> MÉXICO</w:t>
      </w:r>
      <w:r w:rsidR="00325114" w:rsidRPr="002A2450">
        <w:rPr>
          <w:rFonts w:ascii="ITC Avant Garde" w:hAnsi="ITC Avant Garde"/>
          <w:b/>
        </w:rPr>
        <w:t>”</w:t>
      </w:r>
      <w:r w:rsidR="00325114" w:rsidRPr="002A2450">
        <w:rPr>
          <w:rFonts w:ascii="ITC Avant Garde" w:hAnsi="ITC Avant Garde"/>
        </w:rPr>
        <w:t xml:space="preserve"> y sobre todo la posibilidad de participar en el reparto de dividendos en el caso de determinados eventos.</w:t>
      </w:r>
    </w:p>
    <w:p w14:paraId="7FE7C22C" w14:textId="77777777" w:rsidR="00B35F13" w:rsidRDefault="00325114" w:rsidP="00B35F13">
      <w:pPr>
        <w:spacing w:before="240" w:line="360" w:lineRule="auto"/>
        <w:jc w:val="both"/>
        <w:rPr>
          <w:rFonts w:ascii="ITC Avant Garde" w:hAnsi="ITC Avant Garde"/>
        </w:rPr>
      </w:pPr>
      <w:r w:rsidRPr="002A2450">
        <w:rPr>
          <w:rFonts w:ascii="ITC Avant Garde" w:hAnsi="ITC Avant Garde"/>
        </w:rPr>
        <w:t xml:space="preserve">En tales consideraciones, </w:t>
      </w:r>
      <w:r w:rsidR="00421519" w:rsidRPr="002A2450">
        <w:rPr>
          <w:rFonts w:ascii="ITC Avant Garde" w:hAnsi="ITC Avant Garde"/>
        </w:rPr>
        <w:t xml:space="preserve">resulta claro que </w:t>
      </w:r>
      <w:r w:rsidR="00EE6EEA" w:rsidRPr="002A2450">
        <w:rPr>
          <w:rFonts w:ascii="ITC Avant Garde" w:hAnsi="ITC Avant Garde"/>
        </w:rPr>
        <w:t xml:space="preserve">la influencia en </w:t>
      </w:r>
      <w:r w:rsidRPr="002A2450">
        <w:rPr>
          <w:rFonts w:ascii="ITC Avant Garde" w:hAnsi="ITC Avant Garde"/>
        </w:rPr>
        <w:t xml:space="preserve">la operación de </w:t>
      </w:r>
      <w:r w:rsidRPr="002A2450">
        <w:rPr>
          <w:rFonts w:ascii="ITC Avant Garde" w:hAnsi="ITC Avant Garde"/>
          <w:b/>
        </w:rPr>
        <w:t>“DISH</w:t>
      </w:r>
      <w:r w:rsidR="00330030" w:rsidRPr="002A2450">
        <w:rPr>
          <w:rFonts w:ascii="ITC Avant Garde" w:hAnsi="ITC Avant Garde"/>
          <w:b/>
        </w:rPr>
        <w:t xml:space="preserve"> MÉXICO</w:t>
      </w:r>
      <w:r w:rsidRPr="002A2450">
        <w:rPr>
          <w:rFonts w:ascii="ITC Avant Garde" w:hAnsi="ITC Avant Garde"/>
          <w:b/>
        </w:rPr>
        <w:t>”</w:t>
      </w:r>
      <w:r w:rsidRPr="002A2450">
        <w:rPr>
          <w:rFonts w:ascii="ITC Avant Garde" w:hAnsi="ITC Avant Garde"/>
        </w:rPr>
        <w:t xml:space="preserve"> no </w:t>
      </w:r>
      <w:r w:rsidR="00FD3D53" w:rsidRPr="002A2450">
        <w:rPr>
          <w:rFonts w:ascii="ITC Avant Garde" w:hAnsi="ITC Avant Garde"/>
        </w:rPr>
        <w:t xml:space="preserve">sólo </w:t>
      </w:r>
      <w:r w:rsidRPr="002A2450">
        <w:rPr>
          <w:rFonts w:ascii="ITC Avant Garde" w:hAnsi="ITC Avant Garde"/>
        </w:rPr>
        <w:t xml:space="preserve">se constriñe únicamente </w:t>
      </w:r>
      <w:r w:rsidR="00330030" w:rsidRPr="002A2450">
        <w:rPr>
          <w:rFonts w:ascii="ITC Avant Garde" w:hAnsi="ITC Avant Garde"/>
        </w:rPr>
        <w:t xml:space="preserve">en virtud de los derechos que le son otorgados a </w:t>
      </w:r>
      <w:r w:rsidR="00330030" w:rsidRPr="002A2450">
        <w:rPr>
          <w:rFonts w:ascii="ITC Avant Garde" w:hAnsi="ITC Avant Garde"/>
          <w:b/>
        </w:rPr>
        <w:t>“TELMEX”</w:t>
      </w:r>
      <w:r w:rsidR="00330030" w:rsidRPr="002A2450">
        <w:rPr>
          <w:rFonts w:ascii="ITC Avant Garde" w:hAnsi="ITC Avant Garde"/>
        </w:rPr>
        <w:t xml:space="preserve"> en los contratos de operación y consecuencias</w:t>
      </w:r>
      <w:r w:rsidRPr="002A2450">
        <w:rPr>
          <w:rFonts w:ascii="ITC Avant Garde" w:hAnsi="ITC Avant Garde"/>
        </w:rPr>
        <w:t xml:space="preserve"> sino al cúmulo de operaciones derivada</w:t>
      </w:r>
      <w:r w:rsidR="002362B4">
        <w:rPr>
          <w:rFonts w:ascii="ITC Avant Garde" w:hAnsi="ITC Avant Garde"/>
        </w:rPr>
        <w:t>s</w:t>
      </w:r>
      <w:r w:rsidRPr="002A2450">
        <w:rPr>
          <w:rFonts w:ascii="ITC Avant Garde" w:hAnsi="ITC Avant Garde"/>
        </w:rPr>
        <w:t xml:space="preserve"> de la interpretación de los contratos celebrados.</w:t>
      </w:r>
    </w:p>
    <w:p w14:paraId="210A3522" w14:textId="77777777" w:rsidR="00B35F13" w:rsidRDefault="00325114" w:rsidP="00B35F13">
      <w:pPr>
        <w:spacing w:before="240" w:line="360" w:lineRule="auto"/>
        <w:jc w:val="both"/>
        <w:rPr>
          <w:rFonts w:ascii="ITC Avant Garde" w:hAnsi="ITC Avant Garde"/>
        </w:rPr>
      </w:pPr>
      <w:r w:rsidRPr="002A2450">
        <w:rPr>
          <w:rFonts w:ascii="ITC Avant Garde" w:hAnsi="ITC Avant Garde"/>
        </w:rPr>
        <w:t>En virtud de lo anterior</w:t>
      </w:r>
      <w:r w:rsidR="00B60DD2" w:rsidRPr="002A2450">
        <w:rPr>
          <w:rFonts w:ascii="ITC Avant Garde" w:hAnsi="ITC Avant Garde"/>
        </w:rPr>
        <w:t xml:space="preserve">, las manifestaciones de </w:t>
      </w:r>
      <w:r w:rsidR="00B60DD2" w:rsidRPr="002A2450">
        <w:rPr>
          <w:rFonts w:ascii="ITC Avant Garde" w:hAnsi="ITC Avant Garde"/>
          <w:b/>
        </w:rPr>
        <w:t>“TELMEX”</w:t>
      </w:r>
      <w:r w:rsidRPr="002A2450">
        <w:rPr>
          <w:rFonts w:ascii="ITC Avant Garde" w:hAnsi="ITC Avant Garde"/>
        </w:rPr>
        <w:t xml:space="preserve"> </w:t>
      </w:r>
      <w:r w:rsidR="00B60DD2" w:rsidRPr="002A2450">
        <w:rPr>
          <w:rFonts w:ascii="ITC Avant Garde" w:hAnsi="ITC Avant Garde"/>
        </w:rPr>
        <w:t>no desvirtúan la conducta materia del presente procedimiento.</w:t>
      </w:r>
      <w:r w:rsidR="002362B4">
        <w:rPr>
          <w:rFonts w:ascii="ITC Avant Garde" w:hAnsi="ITC Avant Garde"/>
        </w:rPr>
        <w:t xml:space="preserve"> </w:t>
      </w:r>
      <w:r w:rsidR="00B60DD2" w:rsidRPr="002A2450">
        <w:rPr>
          <w:rFonts w:ascii="ITC Avant Garde" w:hAnsi="ITC Avant Garde"/>
        </w:rPr>
        <w:t xml:space="preserve">Por otra parte, contrario a lo señalado por </w:t>
      </w:r>
      <w:r w:rsidR="00B60DD2" w:rsidRPr="009E34A4">
        <w:rPr>
          <w:rFonts w:ascii="ITC Avant Garde" w:hAnsi="ITC Avant Garde"/>
          <w:b/>
        </w:rPr>
        <w:t>“TELMEX”</w:t>
      </w:r>
      <w:r w:rsidR="00421519" w:rsidRPr="009E34A4">
        <w:rPr>
          <w:rFonts w:ascii="ITC Avant Garde" w:hAnsi="ITC Avant Garde"/>
          <w:b/>
        </w:rPr>
        <w:t>,</w:t>
      </w:r>
      <w:r w:rsidR="00B60DD2" w:rsidRPr="002A2450">
        <w:rPr>
          <w:rFonts w:ascii="ITC Avant Garde" w:hAnsi="ITC Avant Garde"/>
        </w:rPr>
        <w:t xml:space="preserve"> el acuerdo de inicio dejó claro que la </w:t>
      </w:r>
      <w:r w:rsidR="008F718E" w:rsidRPr="002A2450">
        <w:rPr>
          <w:rFonts w:ascii="ITC Avant Garde" w:hAnsi="ITC Avant Garde"/>
        </w:rPr>
        <w:t xml:space="preserve">explotación indirecta </w:t>
      </w:r>
      <w:r w:rsidR="00EE6EEA" w:rsidRPr="002A2450">
        <w:rPr>
          <w:rFonts w:ascii="ITC Avant Garde" w:hAnsi="ITC Avant Garde"/>
        </w:rPr>
        <w:t>implicaba la posibilidad o</w:t>
      </w:r>
      <w:r w:rsidR="00330030" w:rsidRPr="002A2450">
        <w:rPr>
          <w:rFonts w:ascii="ITC Avant Garde" w:hAnsi="ITC Avant Garde"/>
        </w:rPr>
        <w:t xml:space="preserve"> capacidad de hecho o de derecho para incidir</w:t>
      </w:r>
      <w:r w:rsidR="00EE6EEA" w:rsidRPr="002A2450">
        <w:rPr>
          <w:rFonts w:ascii="ITC Avant Garde" w:hAnsi="ITC Avant Garde"/>
        </w:rPr>
        <w:t xml:space="preserve"> o influir en las decisiones relativas a la operación de la concesión otorgada a </w:t>
      </w:r>
      <w:r w:rsidR="00B60DD2" w:rsidRPr="002A2450">
        <w:rPr>
          <w:rFonts w:ascii="ITC Avant Garde" w:hAnsi="ITC Avant Garde"/>
          <w:b/>
        </w:rPr>
        <w:t>“COFRESA”</w:t>
      </w:r>
      <w:r w:rsidR="00EE6EEA" w:rsidRPr="002A2450">
        <w:rPr>
          <w:rFonts w:ascii="ITC Avant Garde" w:hAnsi="ITC Avant Garde"/>
        </w:rPr>
        <w:t xml:space="preserve">, </w:t>
      </w:r>
      <w:r w:rsidR="00B60DD2" w:rsidRPr="002A2450">
        <w:rPr>
          <w:rFonts w:ascii="ITC Avant Garde" w:hAnsi="ITC Avant Garde"/>
        </w:rPr>
        <w:t xml:space="preserve">ello </w:t>
      </w:r>
      <w:r w:rsidR="00EE6EEA" w:rsidRPr="002A2450">
        <w:rPr>
          <w:rFonts w:ascii="ITC Avant Garde" w:hAnsi="ITC Avant Garde"/>
        </w:rPr>
        <w:t xml:space="preserve">con independencia </w:t>
      </w:r>
      <w:r w:rsidR="00B60DD2" w:rsidRPr="002A2450">
        <w:rPr>
          <w:rFonts w:ascii="ITC Avant Garde" w:hAnsi="ITC Avant Garde"/>
        </w:rPr>
        <w:t xml:space="preserve">de la obtención o no </w:t>
      </w:r>
      <w:r w:rsidR="00EE6EEA" w:rsidRPr="002A2450">
        <w:rPr>
          <w:rFonts w:ascii="ITC Avant Garde" w:hAnsi="ITC Avant Garde"/>
        </w:rPr>
        <w:t xml:space="preserve">de un beneficio, ganancia o </w:t>
      </w:r>
      <w:r w:rsidR="00B60DD2" w:rsidRPr="002A2450">
        <w:rPr>
          <w:rFonts w:ascii="ITC Avant Garde" w:hAnsi="ITC Avant Garde"/>
        </w:rPr>
        <w:t>una cantidad de dinero.</w:t>
      </w:r>
    </w:p>
    <w:p w14:paraId="1B03A604" w14:textId="77777777" w:rsidR="00B35F13" w:rsidRDefault="00B60DD2"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no cabe duda que al ser </w:t>
      </w:r>
      <w:r w:rsidRPr="002A2450">
        <w:rPr>
          <w:rFonts w:ascii="ITC Avant Garde" w:hAnsi="ITC Avant Garde"/>
          <w:b/>
        </w:rPr>
        <w:t>“COFRESA”</w:t>
      </w:r>
      <w:r w:rsidRPr="002A2450">
        <w:rPr>
          <w:rFonts w:ascii="ITC Avant Garde" w:hAnsi="ITC Avant Garde"/>
        </w:rPr>
        <w:t xml:space="preserve"> </w:t>
      </w:r>
      <w:r w:rsidR="00415041" w:rsidRPr="002A2450">
        <w:rPr>
          <w:rFonts w:ascii="ITC Avant Garde" w:hAnsi="ITC Avant Garde"/>
        </w:rPr>
        <w:t xml:space="preserve">subsidiaria de </w:t>
      </w:r>
      <w:r w:rsidR="00415041" w:rsidRPr="002A2450">
        <w:rPr>
          <w:rFonts w:ascii="ITC Avant Garde" w:hAnsi="ITC Avant Garde"/>
          <w:b/>
        </w:rPr>
        <w:t xml:space="preserve">“DISH MÉXICO” </w:t>
      </w:r>
      <w:r w:rsidR="00415041" w:rsidRPr="002A2450">
        <w:rPr>
          <w:rFonts w:ascii="ITC Avant Garde" w:hAnsi="ITC Avant Garde"/>
        </w:rPr>
        <w:t>y ser</w:t>
      </w:r>
      <w:r w:rsidR="00EE6EEA" w:rsidRPr="002A2450">
        <w:rPr>
          <w:rFonts w:ascii="ITC Avant Garde" w:hAnsi="ITC Avant Garde"/>
        </w:rPr>
        <w:t xml:space="preserve"> </w:t>
      </w:r>
      <w:r w:rsidR="00EE6EEA" w:rsidRPr="002A2450">
        <w:rPr>
          <w:rFonts w:ascii="ITC Avant Garde" w:hAnsi="ITC Avant Garde"/>
          <w:b/>
        </w:rPr>
        <w:t>“TENINVER”</w:t>
      </w:r>
      <w:r w:rsidRPr="002A2450">
        <w:rPr>
          <w:rFonts w:ascii="ITC Avant Garde" w:hAnsi="ITC Avant Garde"/>
        </w:rPr>
        <w:t xml:space="preserve"> </w:t>
      </w:r>
      <w:r w:rsidR="00EE6EEA" w:rsidRPr="002A2450">
        <w:rPr>
          <w:rFonts w:ascii="ITC Avant Garde" w:hAnsi="ITC Avant Garde"/>
        </w:rPr>
        <w:t xml:space="preserve">subsidiaria de </w:t>
      </w:r>
      <w:r w:rsidRPr="002A2450">
        <w:rPr>
          <w:rFonts w:ascii="ITC Avant Garde" w:hAnsi="ITC Avant Garde"/>
          <w:b/>
        </w:rPr>
        <w:t>“TELMEX”</w:t>
      </w:r>
      <w:r w:rsidR="00EE6EEA" w:rsidRPr="002A2450">
        <w:rPr>
          <w:rFonts w:ascii="ITC Avant Garde" w:hAnsi="ITC Avant Garde"/>
        </w:rPr>
        <w:t>, es atribuible a ésta última la ejecución de</w:t>
      </w:r>
      <w:r w:rsidR="00421519" w:rsidRPr="002A2450">
        <w:rPr>
          <w:rFonts w:ascii="ITC Avant Garde" w:hAnsi="ITC Avant Garde"/>
        </w:rPr>
        <w:t xml:space="preserve"> las actividades necesarias que permiten ejercer un control indirecto en dicha </w:t>
      </w:r>
      <w:r w:rsidRPr="002A2450">
        <w:rPr>
          <w:rFonts w:ascii="ITC Avant Garde" w:hAnsi="ITC Avant Garde"/>
        </w:rPr>
        <w:t xml:space="preserve">explotación y de allí </w:t>
      </w:r>
      <w:r w:rsidR="00415041" w:rsidRPr="002A2450">
        <w:rPr>
          <w:rFonts w:ascii="ITC Avant Garde" w:hAnsi="ITC Avant Garde"/>
        </w:rPr>
        <w:t xml:space="preserve">es </w:t>
      </w:r>
      <w:r w:rsidRPr="002A2450">
        <w:rPr>
          <w:rFonts w:ascii="ITC Avant Garde" w:hAnsi="ITC Avant Garde"/>
        </w:rPr>
        <w:t xml:space="preserve">precisamente que </w:t>
      </w:r>
      <w:r w:rsidR="00415041" w:rsidRPr="002A2450">
        <w:rPr>
          <w:rFonts w:ascii="ITC Avant Garde" w:hAnsi="ITC Avant Garde"/>
        </w:rPr>
        <w:t xml:space="preserve">dicha relación </w:t>
      </w:r>
      <w:r w:rsidRPr="002A2450">
        <w:rPr>
          <w:rFonts w:ascii="ITC Avant Garde" w:hAnsi="ITC Avant Garde"/>
        </w:rPr>
        <w:t>inhiban cualquier actuación por parte de las empresas firmantes</w:t>
      </w:r>
      <w:r w:rsidR="00421519" w:rsidRPr="002A2450">
        <w:rPr>
          <w:rFonts w:ascii="ITC Avant Garde" w:hAnsi="ITC Avant Garde"/>
        </w:rPr>
        <w:t xml:space="preserve"> que sea contraria a las condiciones creadas.</w:t>
      </w:r>
    </w:p>
    <w:p w14:paraId="2C5ECF9D" w14:textId="77777777" w:rsidR="00B35F13" w:rsidRDefault="00B60DD2" w:rsidP="00B35F13">
      <w:pPr>
        <w:spacing w:before="240" w:line="360" w:lineRule="auto"/>
        <w:jc w:val="both"/>
        <w:rPr>
          <w:rFonts w:ascii="ITC Avant Garde" w:hAnsi="ITC Avant Garde"/>
          <w:b/>
        </w:rPr>
      </w:pPr>
      <w:r w:rsidRPr="002A2450">
        <w:rPr>
          <w:rFonts w:ascii="ITC Avant Garde" w:hAnsi="ITC Avant Garde"/>
        </w:rPr>
        <w:t>Así las cosas, al prohibir expresamente explotar indirectamente una concesión para prestar el servicio de televisión en el país</w:t>
      </w:r>
      <w:r w:rsidR="006B332F" w:rsidRPr="002A2450">
        <w:rPr>
          <w:rFonts w:ascii="ITC Avant Garde" w:hAnsi="ITC Avant Garde"/>
        </w:rPr>
        <w:t xml:space="preserve"> la condición 1-9</w:t>
      </w:r>
      <w:r w:rsidRPr="002A2450">
        <w:rPr>
          <w:rFonts w:ascii="ITC Avant Garde" w:hAnsi="ITC Avant Garde"/>
        </w:rPr>
        <w:t xml:space="preserve">, </w:t>
      </w:r>
      <w:r w:rsidRPr="002A2450">
        <w:rPr>
          <w:rFonts w:ascii="ITC Avant Garde" w:hAnsi="ITC Avant Garde"/>
          <w:b/>
        </w:rPr>
        <w:t>“TELMEX”</w:t>
      </w:r>
      <w:r w:rsidR="006B332F" w:rsidRPr="002A2450">
        <w:rPr>
          <w:rFonts w:ascii="ITC Avant Garde" w:hAnsi="ITC Avant Garde"/>
        </w:rPr>
        <w:t xml:space="preserve"> se encuentra sujeta a su cumplimiento y por tanto a su debida observancia, de allí que no puede beneficiarse del derecho concesionado a </w:t>
      </w:r>
      <w:r w:rsidR="006B332F" w:rsidRPr="002A2450">
        <w:rPr>
          <w:rFonts w:ascii="ITC Avant Garde" w:hAnsi="ITC Avant Garde"/>
          <w:b/>
        </w:rPr>
        <w:t>“COFRESA”.</w:t>
      </w:r>
    </w:p>
    <w:p w14:paraId="21D7E1D8" w14:textId="6032D725" w:rsidR="00B35F13" w:rsidRPr="00CE1EA8" w:rsidRDefault="00CE1EA8" w:rsidP="00CE1EA8">
      <w:pPr>
        <w:pStyle w:val="NormalWeb"/>
        <w:spacing w:before="240" w:beforeAutospacing="0" w:after="160" w:afterAutospacing="0" w:line="360" w:lineRule="auto"/>
        <w:jc w:val="both"/>
        <w:rPr>
          <w:rFonts w:ascii="ITC Avant Garde" w:eastAsiaTheme="minorHAnsi" w:hAnsi="ITC Avant Garde" w:cstheme="minorBidi"/>
          <w:b/>
          <w:sz w:val="22"/>
          <w:szCs w:val="22"/>
          <w:lang w:eastAsia="en-US"/>
        </w:rPr>
      </w:pPr>
      <w:r>
        <w:rPr>
          <w:rFonts w:ascii="ITC Avant Garde" w:eastAsiaTheme="minorHAnsi" w:hAnsi="ITC Avant Garde" w:cstheme="minorBidi"/>
          <w:b/>
          <w:sz w:val="22"/>
          <w:szCs w:val="22"/>
          <w:lang w:eastAsia="en-US"/>
        </w:rPr>
        <w:t xml:space="preserve">C. </w:t>
      </w:r>
      <w:r w:rsidR="00BB1557" w:rsidRPr="00CE1EA8">
        <w:rPr>
          <w:rFonts w:ascii="ITC Avant Garde" w:eastAsiaTheme="minorHAnsi" w:hAnsi="ITC Avant Garde" w:cstheme="minorBidi"/>
          <w:b/>
          <w:sz w:val="22"/>
          <w:szCs w:val="22"/>
          <w:lang w:eastAsia="en-US"/>
        </w:rPr>
        <w:t>DE LOS ALCANCES DE LA PROHIBICIÓN ESTABLECIDA EN LA CONDICIÓN 1-9 DEL “TÍTULO DE CONCESIÓN”]</w:t>
      </w:r>
    </w:p>
    <w:p w14:paraId="020879AC" w14:textId="77777777" w:rsidR="00B35F13" w:rsidRDefault="00F40FD8" w:rsidP="00B35F13">
      <w:p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manifiesta en su escrito presentado el </w:t>
      </w:r>
      <w:r w:rsidR="00FD298A" w:rsidRPr="002A2450">
        <w:rPr>
          <w:rFonts w:ascii="ITC Avant Garde" w:hAnsi="ITC Avant Garde"/>
        </w:rPr>
        <w:t xml:space="preserve">veintiocho </w:t>
      </w:r>
      <w:r w:rsidRPr="002A2450">
        <w:rPr>
          <w:rFonts w:ascii="ITC Avant Garde" w:hAnsi="ITC Avant Garde"/>
        </w:rPr>
        <w:t xml:space="preserve">de septiembre de dos mil quince en las fojas </w:t>
      </w:r>
      <w:r w:rsidR="008716F2" w:rsidRPr="002A2450">
        <w:rPr>
          <w:rFonts w:ascii="ITC Avant Garde" w:hAnsi="ITC Avant Garde"/>
          <w:b/>
        </w:rPr>
        <w:t>sesenta y cinco y sesenta y nueve</w:t>
      </w:r>
      <w:r w:rsidR="008716F2" w:rsidRPr="002A2450">
        <w:rPr>
          <w:rFonts w:ascii="ITC Avant Garde" w:hAnsi="ITC Avant Garde"/>
        </w:rPr>
        <w:t xml:space="preserve"> lo siguiente:</w:t>
      </w:r>
    </w:p>
    <w:p w14:paraId="4C604499" w14:textId="77777777" w:rsidR="00B35F13" w:rsidRDefault="00612537" w:rsidP="00B35F13">
      <w:pPr>
        <w:spacing w:before="240" w:line="360" w:lineRule="auto"/>
        <w:ind w:left="567" w:right="567"/>
        <w:jc w:val="both"/>
        <w:rPr>
          <w:rFonts w:ascii="ITC Avant Garde" w:hAnsi="ITC Avant Garde"/>
          <w:i/>
        </w:rPr>
      </w:pPr>
      <w:r w:rsidRPr="002A2450">
        <w:rPr>
          <w:rFonts w:ascii="ITC Avant Garde" w:hAnsi="ITC Avant Garde"/>
          <w:i/>
        </w:rPr>
        <w:t>La Unidad de Cumplimiento pretende explicar la expresión de “Televisión al público en el País”.</w:t>
      </w:r>
    </w:p>
    <w:p w14:paraId="0B479D3B" w14:textId="77777777" w:rsidR="00B35F13" w:rsidRDefault="00612537" w:rsidP="00B35F13">
      <w:pPr>
        <w:spacing w:before="240" w:line="360" w:lineRule="auto"/>
        <w:ind w:left="567" w:right="567"/>
        <w:jc w:val="both"/>
        <w:rPr>
          <w:rFonts w:ascii="ITC Avant Garde" w:hAnsi="ITC Avant Garde"/>
          <w:i/>
        </w:rPr>
      </w:pPr>
      <w:r w:rsidRPr="002A2450">
        <w:rPr>
          <w:rFonts w:ascii="ITC Avant Garde" w:hAnsi="ITC Avant Garde"/>
          <w:i/>
        </w:rPr>
        <w:t xml:space="preserve">Sin embargo, erra esa Unidad de doble manera: (i) por que </w:t>
      </w:r>
      <w:r w:rsidR="008716F2" w:rsidRPr="002A2450">
        <w:rPr>
          <w:rFonts w:ascii="ITC Avant Garde" w:hAnsi="ITC Avant Garde"/>
          <w:i/>
        </w:rPr>
        <w:t xml:space="preserve">no es cierto que </w:t>
      </w:r>
      <w:r w:rsidRPr="002A2450">
        <w:rPr>
          <w:rFonts w:ascii="ITC Avant Garde" w:hAnsi="ITC Avant Garde"/>
          <w:i/>
        </w:rPr>
        <w:t>la condición 1-9 del Título de Concesión incluya televisión radiodifundida como televisión restringida, y (ii) la restricción sólo se reduce a explotar directa o indirectamente una concesión de televisión al público, pero no se incluye una restricción de participar directa o indirectamente en la administración, control o capital de un concesionario que explote el servicio de televisión al público.</w:t>
      </w:r>
    </w:p>
    <w:p w14:paraId="01EFBFD4" w14:textId="77777777" w:rsidR="00B35F13" w:rsidRDefault="00612537" w:rsidP="00B35F13">
      <w:pPr>
        <w:spacing w:before="240" w:line="360" w:lineRule="auto"/>
        <w:ind w:left="567" w:right="567"/>
        <w:jc w:val="both"/>
        <w:rPr>
          <w:rFonts w:ascii="ITC Avant Garde" w:hAnsi="ITC Avant Garde"/>
          <w:i/>
        </w:rPr>
      </w:pPr>
      <w:r w:rsidRPr="002A2450">
        <w:rPr>
          <w:rFonts w:ascii="ITC Avant Garde" w:hAnsi="ITC Avant Garde"/>
          <w:i/>
        </w:rPr>
        <w:t>En efecto, la expresión “televisión al público en el País” se refería al servicio de televisión abierta, en agosto de 1990. Tan es así que en el referido título de concesión en la condición 2-2 se refiere al servicio de radiodifusión.</w:t>
      </w:r>
    </w:p>
    <w:p w14:paraId="1AD89CA1" w14:textId="77777777" w:rsidR="00B35F13" w:rsidRDefault="00612537" w:rsidP="00B35F13">
      <w:pPr>
        <w:spacing w:before="240" w:line="360" w:lineRule="auto"/>
        <w:ind w:left="567" w:right="567"/>
        <w:jc w:val="both"/>
        <w:rPr>
          <w:rFonts w:ascii="ITC Avant Garde" w:hAnsi="ITC Avant Garde"/>
          <w:i/>
        </w:rPr>
      </w:pPr>
      <w:r w:rsidRPr="002A2450">
        <w:rPr>
          <w:rFonts w:ascii="ITC Avant Garde" w:hAnsi="ITC Avant Garde"/>
          <w:i/>
        </w:rPr>
        <w:lastRenderedPageBreak/>
        <w:t>Si esa era la preocupación de la Secretaría de Comunicaciones y Transportes hubiese incluido los sistemas de televisión por cable, lo cual no ocurrió.</w:t>
      </w:r>
    </w:p>
    <w:p w14:paraId="5678867B" w14:textId="77777777" w:rsidR="00B35F13" w:rsidRDefault="004E1760" w:rsidP="00B35F13">
      <w:pPr>
        <w:spacing w:before="240" w:line="360" w:lineRule="auto"/>
        <w:ind w:left="567" w:right="567"/>
        <w:jc w:val="both"/>
        <w:rPr>
          <w:rFonts w:ascii="ITC Avant Garde" w:hAnsi="ITC Avant Garde"/>
          <w:i/>
        </w:rPr>
      </w:pPr>
      <w:r w:rsidRPr="002A2450">
        <w:rPr>
          <w:rFonts w:ascii="ITC Avant Garde" w:hAnsi="ITC Avant Garde"/>
          <w:i/>
        </w:rPr>
        <w:t xml:space="preserve">Ahora bien, es falso que la condición 1-9 le prohibía a </w:t>
      </w:r>
      <w:r w:rsidR="005B601B" w:rsidRPr="002A2450">
        <w:rPr>
          <w:rFonts w:ascii="ITC Avant Garde" w:hAnsi="ITC Avant Garde"/>
          <w:b/>
          <w:i/>
        </w:rPr>
        <w:t>“TELMEX”</w:t>
      </w:r>
      <w:r w:rsidRPr="002A2450">
        <w:rPr>
          <w:rFonts w:ascii="ITC Avant Garde" w:hAnsi="ITC Avant Garde"/>
          <w:i/>
        </w:rPr>
        <w:t xml:space="preserve"> participar de manera directa o indirecta en la administración, control o capital de un concesionario que explote el servicio de televisión abierta y restringida.</w:t>
      </w:r>
    </w:p>
    <w:p w14:paraId="76BFB8B1" w14:textId="77777777" w:rsidR="00B35F13" w:rsidRDefault="004E1760" w:rsidP="00B35F13">
      <w:pPr>
        <w:spacing w:before="240" w:line="360" w:lineRule="auto"/>
        <w:ind w:left="567" w:right="567"/>
        <w:jc w:val="both"/>
        <w:rPr>
          <w:rFonts w:ascii="ITC Avant Garde" w:hAnsi="ITC Avant Garde"/>
          <w:i/>
        </w:rPr>
      </w:pPr>
      <w:r w:rsidRPr="002A2450">
        <w:rPr>
          <w:rFonts w:ascii="ITC Avant Garde" w:hAnsi="ITC Avant Garde"/>
          <w:i/>
        </w:rPr>
        <w:t>Contrario a lo que afirma la Unidad de Cumplimiento, la única restricción que contiene la condición 1-9 es la de explotar directa o indirectamente una concesión para prestar servicios de televisión al público.</w:t>
      </w:r>
    </w:p>
    <w:p w14:paraId="6588AEFE" w14:textId="77777777" w:rsidR="00B35F13" w:rsidRDefault="004E1760" w:rsidP="00B35F13">
      <w:pPr>
        <w:spacing w:before="240" w:line="360" w:lineRule="auto"/>
        <w:ind w:left="567" w:right="567"/>
        <w:jc w:val="both"/>
        <w:rPr>
          <w:rFonts w:ascii="ITC Avant Garde" w:hAnsi="ITC Avant Garde"/>
          <w:i/>
        </w:rPr>
      </w:pPr>
      <w:r w:rsidRPr="002A2450">
        <w:rPr>
          <w:rFonts w:ascii="ITC Avant Garde" w:hAnsi="ITC Avant Garde"/>
          <w:i/>
        </w:rPr>
        <w:t xml:space="preserve">Esto es, la condición 1-9 del Título de Concesión de </w:t>
      </w:r>
      <w:r w:rsidR="005B601B" w:rsidRPr="002A2450">
        <w:rPr>
          <w:rFonts w:ascii="ITC Avant Garde" w:hAnsi="ITC Avant Garde"/>
          <w:b/>
          <w:i/>
        </w:rPr>
        <w:t>“TELMEX”</w:t>
      </w:r>
      <w:r w:rsidRPr="002A2450">
        <w:rPr>
          <w:rFonts w:ascii="ITC Avant Garde" w:hAnsi="ITC Avant Garde"/>
          <w:i/>
        </w:rPr>
        <w:t xml:space="preserve"> no le prohíbe a dicha empresa participar ni en la administración ni en el control ni en el capital de un concesionario que explote servicios de televisión al público ni mucho menos impide hacerlo de manera indirecta.</w:t>
      </w:r>
    </w:p>
    <w:p w14:paraId="7E3DE843" w14:textId="77777777" w:rsidR="00B35F13" w:rsidRDefault="004E1760" w:rsidP="00B35F13">
      <w:pPr>
        <w:spacing w:before="240" w:line="360" w:lineRule="auto"/>
        <w:ind w:left="567" w:right="567"/>
        <w:jc w:val="both"/>
        <w:rPr>
          <w:rFonts w:ascii="ITC Avant Garde" w:hAnsi="ITC Avant Garde"/>
          <w:i/>
        </w:rPr>
      </w:pPr>
      <w:r w:rsidRPr="002A2450">
        <w:rPr>
          <w:rFonts w:ascii="ITC Avant Garde" w:hAnsi="ITC Avant Garde"/>
          <w:i/>
        </w:rPr>
        <w:t>Al no considerarlo así, la Unidad de Cumplimiento interpreta indebida y exhaustivamente el texto de la condición 1-9 en perjuicio de mi representada, en contra de las leyes que le obligan en todo momento fundar y motivar sus resoluciones.</w:t>
      </w:r>
    </w:p>
    <w:p w14:paraId="4B0A3735" w14:textId="77777777" w:rsidR="00B35F13" w:rsidRDefault="008716F2" w:rsidP="00B35F13">
      <w:pPr>
        <w:spacing w:before="240" w:line="360" w:lineRule="auto"/>
        <w:jc w:val="both"/>
        <w:rPr>
          <w:rFonts w:ascii="ITC Avant Garde" w:hAnsi="ITC Avant Garde"/>
        </w:rPr>
      </w:pPr>
      <w:r w:rsidRPr="002A2450">
        <w:rPr>
          <w:rFonts w:ascii="ITC Avant Garde" w:hAnsi="ITC Avant Garde"/>
        </w:rPr>
        <w:t xml:space="preserve">Dichos argumentos resultan </w:t>
      </w:r>
      <w:r w:rsidRPr="002A2450">
        <w:rPr>
          <w:rFonts w:ascii="ITC Avant Garde" w:hAnsi="ITC Avant Garde"/>
          <w:b/>
          <w:u w:val="single"/>
        </w:rPr>
        <w:t>infundados</w:t>
      </w:r>
      <w:r w:rsidRPr="002A2450">
        <w:rPr>
          <w:rFonts w:ascii="ITC Avant Garde" w:hAnsi="ITC Avant Garde"/>
        </w:rPr>
        <w:t xml:space="preserve"> en virtud de las siguientes consideraciones:</w:t>
      </w:r>
    </w:p>
    <w:p w14:paraId="07D8E774" w14:textId="77777777" w:rsidR="00B35F13" w:rsidRDefault="008716F2" w:rsidP="00B35F13">
      <w:pPr>
        <w:spacing w:before="240" w:line="360" w:lineRule="auto"/>
        <w:jc w:val="both"/>
        <w:rPr>
          <w:rFonts w:ascii="ITC Avant Garde" w:hAnsi="ITC Avant Garde"/>
        </w:rPr>
      </w:pPr>
      <w:r w:rsidRPr="002A2450">
        <w:rPr>
          <w:rFonts w:ascii="ITC Avant Garde" w:hAnsi="ITC Avant Garde"/>
        </w:rPr>
        <w:t xml:space="preserve">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señaló de manera expresa que dicha concesionaria no podría explotar directa o indirectamente ninguna concesión de servicios de televisión al público en el país.</w:t>
      </w:r>
    </w:p>
    <w:p w14:paraId="108CE4A2" w14:textId="77777777" w:rsidR="00B35F13" w:rsidRDefault="008716F2" w:rsidP="00B35F13">
      <w:pPr>
        <w:spacing w:before="240" w:line="360" w:lineRule="auto"/>
        <w:jc w:val="both"/>
        <w:rPr>
          <w:rFonts w:ascii="ITC Avant Garde" w:hAnsi="ITC Avant Garde"/>
        </w:rPr>
      </w:pPr>
      <w:r w:rsidRPr="002A2450">
        <w:rPr>
          <w:rFonts w:ascii="ITC Avant Garde" w:hAnsi="ITC Avant Garde"/>
        </w:rPr>
        <w:t>Ahora bien, en el acuerdo de inicio se estableció que dicha prohibición implicaba tanto el servicio de radiodifusión como el de televisión restringida.</w:t>
      </w:r>
    </w:p>
    <w:p w14:paraId="171535F8" w14:textId="77777777" w:rsidR="00B35F13" w:rsidRDefault="008716F2" w:rsidP="00B35F13">
      <w:pPr>
        <w:spacing w:before="240" w:line="360" w:lineRule="auto"/>
        <w:jc w:val="both"/>
        <w:rPr>
          <w:rFonts w:ascii="ITC Avant Garde" w:hAnsi="ITC Avant Garde"/>
        </w:rPr>
      </w:pPr>
      <w:r w:rsidRPr="002A2450">
        <w:rPr>
          <w:rFonts w:ascii="ITC Avant Garde" w:hAnsi="ITC Avant Garde"/>
        </w:rPr>
        <w:lastRenderedPageBreak/>
        <w:t>Lo anterior considerando que para mil novecientos</w:t>
      </w:r>
      <w:r w:rsidR="00421519" w:rsidRPr="002A2450">
        <w:rPr>
          <w:rFonts w:ascii="ITC Avant Garde" w:hAnsi="ITC Avant Garde"/>
        </w:rPr>
        <w:t xml:space="preserve"> noventa ambos servicios se enco</w:t>
      </w:r>
      <w:r w:rsidRPr="002A2450">
        <w:rPr>
          <w:rFonts w:ascii="ITC Avant Garde" w:hAnsi="ITC Avant Garde"/>
        </w:rPr>
        <w:t>ntraban sujetos al régimen de concesión.</w:t>
      </w:r>
    </w:p>
    <w:p w14:paraId="392B524D" w14:textId="77777777" w:rsidR="00B35F13" w:rsidRDefault="008716F2" w:rsidP="00B35F13">
      <w:pPr>
        <w:spacing w:before="240" w:line="360" w:lineRule="auto"/>
        <w:jc w:val="both"/>
        <w:rPr>
          <w:rFonts w:ascii="ITC Avant Garde" w:hAnsi="ITC Avant Garde"/>
        </w:rPr>
      </w:pPr>
      <w:r w:rsidRPr="002A2450">
        <w:rPr>
          <w:rFonts w:ascii="ITC Avant Garde" w:hAnsi="ITC Avant Garde"/>
        </w:rPr>
        <w:t xml:space="preserve">En ese sentido, </w:t>
      </w:r>
      <w:r w:rsidR="00D75CD0" w:rsidRPr="002A2450">
        <w:rPr>
          <w:rFonts w:ascii="ITC Avant Garde" w:hAnsi="ITC Avant Garde"/>
        </w:rPr>
        <w:t xml:space="preserve">debe señalarse que </w:t>
      </w:r>
      <w:r w:rsidR="00421519" w:rsidRPr="002A2450">
        <w:rPr>
          <w:rFonts w:ascii="ITC Avant Garde" w:hAnsi="ITC Avant Garde"/>
        </w:rPr>
        <w:t xml:space="preserve">el </w:t>
      </w:r>
      <w:r w:rsidR="00065AA4" w:rsidRPr="009E34A4">
        <w:rPr>
          <w:rFonts w:ascii="ITC Avant Garde" w:hAnsi="ITC Avant Garde"/>
          <w:b/>
        </w:rPr>
        <w:t>Tercer Párrafo</w:t>
      </w:r>
      <w:r w:rsidR="00421519" w:rsidRPr="002A2450">
        <w:rPr>
          <w:rFonts w:ascii="ITC Avant Garde" w:hAnsi="ITC Avant Garde"/>
        </w:rPr>
        <w:t xml:space="preserve"> de </w:t>
      </w:r>
      <w:r w:rsidR="00D75CD0" w:rsidRPr="002A2450">
        <w:rPr>
          <w:rFonts w:ascii="ITC Avant Garde" w:hAnsi="ITC Avant Garde"/>
        </w:rPr>
        <w:t>la condición 1-9 se refiere a: i) la explotación directa o indirecta de una concesión, y ii) que la concesión se refiera a servicios de televisión al público en el país.</w:t>
      </w:r>
    </w:p>
    <w:p w14:paraId="1EC2F0AD" w14:textId="77777777" w:rsidR="00B35F13" w:rsidRDefault="00D75CD0" w:rsidP="00B35F13">
      <w:pPr>
        <w:spacing w:before="240" w:line="360" w:lineRule="auto"/>
        <w:jc w:val="both"/>
        <w:rPr>
          <w:rFonts w:ascii="ITC Avant Garde" w:hAnsi="ITC Avant Garde"/>
        </w:rPr>
      </w:pPr>
      <w:r w:rsidRPr="002A2450">
        <w:rPr>
          <w:rFonts w:ascii="ITC Avant Garde" w:hAnsi="ITC Avant Garde"/>
        </w:rPr>
        <w:t>En virtud de lo anterior, no cabe duda que la interpretación señalada en el acuerdo de inicio resulta correcta</w:t>
      </w:r>
      <w:r w:rsidR="00421519" w:rsidRPr="002A2450">
        <w:rPr>
          <w:rFonts w:ascii="ITC Avant Garde" w:hAnsi="ITC Avant Garde"/>
        </w:rPr>
        <w:t xml:space="preserve">, toda vez que </w:t>
      </w:r>
      <w:r w:rsidRPr="002A2450">
        <w:rPr>
          <w:rFonts w:ascii="ITC Avant Garde" w:hAnsi="ITC Avant Garde"/>
        </w:rPr>
        <w:t xml:space="preserve">los servicios para prestar el servicio de televisión al público en el país </w:t>
      </w:r>
      <w:r w:rsidR="00421519" w:rsidRPr="002A2450">
        <w:rPr>
          <w:rFonts w:ascii="ITC Avant Garde" w:hAnsi="ITC Avant Garde"/>
        </w:rPr>
        <w:t xml:space="preserve">al momento de establecerse dicha prohibición eran lo de </w:t>
      </w:r>
      <w:r w:rsidRPr="002A2450">
        <w:rPr>
          <w:rFonts w:ascii="ITC Avant Garde" w:hAnsi="ITC Avant Garde"/>
        </w:rPr>
        <w:t>radiodifusión y la televisión restringida, de lo que se sigue que dicha interpretación se ajusta al contenido legal vigente en su momento.</w:t>
      </w:r>
    </w:p>
    <w:p w14:paraId="583F1961" w14:textId="77777777" w:rsidR="00B35F13" w:rsidRDefault="00D75CD0" w:rsidP="00B35F13">
      <w:pPr>
        <w:spacing w:before="240" w:line="360" w:lineRule="auto"/>
        <w:jc w:val="both"/>
        <w:rPr>
          <w:rFonts w:ascii="ITC Avant Garde" w:hAnsi="ITC Avant Garde"/>
        </w:rPr>
      </w:pPr>
      <w:r w:rsidRPr="002A2450">
        <w:rPr>
          <w:rFonts w:ascii="ITC Avant Garde" w:hAnsi="ITC Avant Garde"/>
        </w:rPr>
        <w:t>Así las cosas, su argumento resulta insuficiente para desvirtuar la conducta materia del presente procedimiento.</w:t>
      </w:r>
    </w:p>
    <w:p w14:paraId="0EA55B8C" w14:textId="77777777" w:rsidR="00B35F13" w:rsidRDefault="00D75CD0" w:rsidP="00B35F13">
      <w:pPr>
        <w:spacing w:before="240" w:line="360" w:lineRule="auto"/>
        <w:jc w:val="both"/>
        <w:rPr>
          <w:rFonts w:ascii="ITC Avant Garde" w:hAnsi="ITC Avant Garde"/>
        </w:rPr>
      </w:pPr>
      <w:r w:rsidRPr="002A2450">
        <w:rPr>
          <w:rFonts w:ascii="ITC Avant Garde" w:hAnsi="ITC Avant Garde"/>
        </w:rPr>
        <w:t>Ahora bien, por lo que hace a que la prohibición se reduce a explotar directa o indirectamente una concesión de televisión al público en el país</w:t>
      </w:r>
      <w:r w:rsidR="00421519" w:rsidRPr="002A2450">
        <w:rPr>
          <w:rFonts w:ascii="ITC Avant Garde" w:hAnsi="ITC Avant Garde"/>
        </w:rPr>
        <w:t xml:space="preserve"> y que en consecuencia </w:t>
      </w:r>
      <w:r w:rsidRPr="002A2450">
        <w:rPr>
          <w:rFonts w:ascii="ITC Avant Garde" w:hAnsi="ITC Avant Garde"/>
        </w:rPr>
        <w:t>no incluye una restricción para participar directa o indirectamente en la administración, control o capital de un concesionario que explote el servicio de televisión al público en el país, debe señalarse que en la presente resolución se ha abundado sobre el tema.</w:t>
      </w:r>
    </w:p>
    <w:p w14:paraId="70CE2B29" w14:textId="77777777" w:rsidR="00B35F13" w:rsidRDefault="00D75CD0" w:rsidP="00B35F13">
      <w:pPr>
        <w:spacing w:before="240" w:line="360" w:lineRule="auto"/>
        <w:jc w:val="both"/>
        <w:rPr>
          <w:rFonts w:ascii="ITC Avant Garde" w:hAnsi="ITC Avant Garde"/>
        </w:rPr>
      </w:pPr>
      <w:r w:rsidRPr="002A2450">
        <w:rPr>
          <w:rFonts w:ascii="ITC Avant Garde" w:hAnsi="ITC Avant Garde"/>
        </w:rPr>
        <w:t xml:space="preserve">No obstante ello, debe decirse que la prohibición de explotar una concesión indirecta no necesariamente pasara por la cantidad de dinero percibida sino por el aprovechamiento del derecho que en su caso le fue otorgado a </w:t>
      </w:r>
      <w:r w:rsidRPr="002A2450">
        <w:rPr>
          <w:rFonts w:ascii="ITC Avant Garde" w:hAnsi="ITC Avant Garde"/>
          <w:b/>
        </w:rPr>
        <w:t>“COFRESA”</w:t>
      </w:r>
      <w:r w:rsidRPr="002A2450">
        <w:rPr>
          <w:rFonts w:ascii="ITC Avant Garde" w:hAnsi="ITC Avant Garde"/>
        </w:rPr>
        <w:t>.</w:t>
      </w:r>
    </w:p>
    <w:p w14:paraId="21C36BA1" w14:textId="77777777" w:rsidR="00B35F13" w:rsidRDefault="00D75CD0" w:rsidP="00B35F13">
      <w:pPr>
        <w:spacing w:before="240" w:line="360" w:lineRule="auto"/>
        <w:jc w:val="both"/>
        <w:rPr>
          <w:rFonts w:ascii="ITC Avant Garde" w:hAnsi="ITC Avant Garde"/>
        </w:rPr>
      </w:pPr>
      <w:r w:rsidRPr="002A2450">
        <w:rPr>
          <w:rFonts w:ascii="ITC Avant Garde" w:hAnsi="ITC Avant Garde"/>
        </w:rPr>
        <w:t xml:space="preserve">Para lo anterior, fuera de las figuras del derecho civil o del derecho de competencia, en la presente resolución </w:t>
      </w:r>
      <w:r w:rsidR="00DB2E21" w:rsidRPr="002A2450">
        <w:rPr>
          <w:rFonts w:ascii="ITC Avant Garde" w:hAnsi="ITC Avant Garde"/>
        </w:rPr>
        <w:t xml:space="preserve">se abordó el análisis sistemático de los contratos coaligados como un mecanismo que supera las figuras de derecho común sin llegar a ser una concentración en términos de la </w:t>
      </w:r>
      <w:r w:rsidR="00BB1557" w:rsidRPr="002A2450">
        <w:rPr>
          <w:rFonts w:ascii="ITC Avant Garde" w:hAnsi="ITC Avant Garde"/>
        </w:rPr>
        <w:t>Ley Federal de Competencia Económica</w:t>
      </w:r>
      <w:r w:rsidR="00DB2E21" w:rsidRPr="002A2450">
        <w:rPr>
          <w:rFonts w:ascii="ITC Avant Garde" w:hAnsi="ITC Avant Garde"/>
        </w:rPr>
        <w:t>, por tanto, al existir una serie de contratos que permiten asumir</w:t>
      </w:r>
      <w:r w:rsidR="00421519" w:rsidRPr="002A2450">
        <w:rPr>
          <w:rFonts w:ascii="ITC Avant Garde" w:hAnsi="ITC Avant Garde"/>
        </w:rPr>
        <w:t xml:space="preserve"> o tener injerencia</w:t>
      </w:r>
      <w:r w:rsidR="008F718E" w:rsidRPr="002A2450">
        <w:rPr>
          <w:rFonts w:ascii="ITC Avant Garde" w:hAnsi="ITC Avant Garde"/>
          <w:color w:val="C00000"/>
        </w:rPr>
        <w:t xml:space="preserve"> </w:t>
      </w:r>
      <w:r w:rsidR="00421519" w:rsidRPr="002A2450">
        <w:rPr>
          <w:rFonts w:ascii="ITC Avant Garde" w:hAnsi="ITC Avant Garde"/>
        </w:rPr>
        <w:t xml:space="preserve">en </w:t>
      </w:r>
      <w:r w:rsidR="00DB2E21" w:rsidRPr="002A2450">
        <w:rPr>
          <w:rFonts w:ascii="ITC Avant Garde" w:hAnsi="ITC Avant Garde"/>
        </w:rPr>
        <w:t xml:space="preserve">la explotación del título de concesión de </w:t>
      </w:r>
      <w:r w:rsidR="00DB2E21" w:rsidRPr="002A2450">
        <w:rPr>
          <w:rFonts w:ascii="ITC Avant Garde" w:hAnsi="ITC Avant Garde"/>
          <w:b/>
        </w:rPr>
        <w:t>“COFRESA”</w:t>
      </w:r>
      <w:r w:rsidR="00DB2E21" w:rsidRPr="002A2450">
        <w:rPr>
          <w:rFonts w:ascii="ITC Avant Garde" w:hAnsi="ITC Avant Garde"/>
        </w:rPr>
        <w:t xml:space="preserve"> </w:t>
      </w:r>
      <w:r w:rsidR="00DB2E21" w:rsidRPr="002A2450">
        <w:rPr>
          <w:rFonts w:ascii="ITC Avant Garde" w:hAnsi="ITC Avant Garde"/>
        </w:rPr>
        <w:lastRenderedPageBreak/>
        <w:t xml:space="preserve">por parte de </w:t>
      </w:r>
      <w:r w:rsidR="00DB2E21" w:rsidRPr="002A2450">
        <w:rPr>
          <w:rFonts w:ascii="ITC Avant Garde" w:hAnsi="ITC Avant Garde"/>
          <w:b/>
        </w:rPr>
        <w:t>“TELMEX”</w:t>
      </w:r>
      <w:r w:rsidR="00DB2E21" w:rsidRPr="002A2450">
        <w:rPr>
          <w:rFonts w:ascii="ITC Avant Garde" w:hAnsi="ITC Avant Garde"/>
        </w:rPr>
        <w:t xml:space="preserve"> mediante </w:t>
      </w:r>
      <w:r w:rsidR="00BB1557" w:rsidRPr="002A2450">
        <w:rPr>
          <w:rFonts w:ascii="ITC Avant Garde" w:hAnsi="ITC Avant Garde"/>
        </w:rPr>
        <w:t xml:space="preserve">la tenencia y el ejercicio de derechos sobre </w:t>
      </w:r>
      <w:r w:rsidR="00BB1557" w:rsidRPr="002A2450">
        <w:rPr>
          <w:rFonts w:ascii="ITC Avant Garde" w:hAnsi="ITC Avant Garde"/>
          <w:b/>
        </w:rPr>
        <w:t>"DISH MÉXICO"</w:t>
      </w:r>
      <w:r w:rsidR="00BB1557" w:rsidRPr="002A2450">
        <w:rPr>
          <w:rFonts w:ascii="ITC Avant Garde" w:hAnsi="ITC Avant Garde"/>
        </w:rPr>
        <w:t xml:space="preserve"> que es controladora de la persona moral concesionaria del servicio de televisión restringida </w:t>
      </w:r>
      <w:r w:rsidR="00DB2E21" w:rsidRPr="002A2450">
        <w:rPr>
          <w:rFonts w:ascii="ITC Avant Garde" w:hAnsi="ITC Avant Garde"/>
        </w:rPr>
        <w:t xml:space="preserve">es posible advertir la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00DB2E21" w:rsidRPr="002A2450">
        <w:rPr>
          <w:rFonts w:ascii="ITC Avant Garde" w:hAnsi="ITC Avant Garde"/>
        </w:rPr>
        <w:t>a que se refiere el presente procedimiento.</w:t>
      </w:r>
    </w:p>
    <w:p w14:paraId="0E9A0527" w14:textId="77777777" w:rsidR="00B35F13" w:rsidRDefault="00DB2E21" w:rsidP="00B35F13">
      <w:pPr>
        <w:spacing w:before="240" w:line="360" w:lineRule="auto"/>
        <w:jc w:val="both"/>
        <w:rPr>
          <w:rFonts w:ascii="ITC Avant Garde" w:hAnsi="ITC Avant Garde"/>
        </w:rPr>
      </w:pPr>
      <w:r w:rsidRPr="002A2450">
        <w:rPr>
          <w:rFonts w:ascii="ITC Avant Garde" w:hAnsi="ITC Avant Garde"/>
        </w:rPr>
        <w:t xml:space="preserve">En ese sentido, no sólo la </w:t>
      </w:r>
      <w:r w:rsidR="00BB1557" w:rsidRPr="002A2450">
        <w:rPr>
          <w:rFonts w:ascii="ITC Avant Garde" w:hAnsi="ITC Avant Garde"/>
        </w:rPr>
        <w:t xml:space="preserve">tenencia y el ejercicio de derechos para </w:t>
      </w:r>
      <w:r w:rsidRPr="002A2450">
        <w:rPr>
          <w:rFonts w:ascii="ITC Avant Garde" w:hAnsi="ITC Avant Garde"/>
        </w:rPr>
        <w:t>participa</w:t>
      </w:r>
      <w:r w:rsidR="00BB1557" w:rsidRPr="002A2450">
        <w:rPr>
          <w:rFonts w:ascii="ITC Avant Garde" w:hAnsi="ITC Avant Garde"/>
        </w:rPr>
        <w:t>r en las decisiones de operación</w:t>
      </w:r>
      <w:r w:rsidRPr="002A2450">
        <w:rPr>
          <w:rFonts w:ascii="ITC Avant Garde" w:hAnsi="ITC Avant Garde"/>
        </w:rPr>
        <w:t xml:space="preserve"> de un concesionario del servicio de televisión al público puede generar la posibilidad de asumir una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Pr="002A2450">
        <w:rPr>
          <w:rFonts w:ascii="ITC Avant Garde" w:hAnsi="ITC Avant Garde"/>
        </w:rPr>
        <w:t>como se ha señalado</w:t>
      </w:r>
      <w:r w:rsidR="00BB1557" w:rsidRPr="002A2450">
        <w:rPr>
          <w:rFonts w:ascii="ITC Avant Garde" w:hAnsi="ITC Avant Garde"/>
        </w:rPr>
        <w:t xml:space="preserve">, pero no es el único medio. </w:t>
      </w:r>
    </w:p>
    <w:p w14:paraId="1A2E4B97" w14:textId="77777777" w:rsidR="00B35F13" w:rsidRDefault="00421519" w:rsidP="00B35F13">
      <w:pPr>
        <w:spacing w:before="240" w:line="360" w:lineRule="auto"/>
        <w:jc w:val="both"/>
        <w:rPr>
          <w:rFonts w:ascii="ITC Avant Garde" w:hAnsi="ITC Avant Garde"/>
        </w:rPr>
      </w:pPr>
      <w:r w:rsidRPr="002A2450">
        <w:rPr>
          <w:rFonts w:ascii="ITC Avant Garde" w:hAnsi="ITC Avant Garde"/>
        </w:rPr>
        <w:t xml:space="preserve">Al respecto, vale recordar que a lo largo de la presente resolución se ha mencionado que los contratos en su conjunto operan bajo un interés común para el servicio de </w:t>
      </w:r>
      <w:r w:rsidRPr="002A2450">
        <w:rPr>
          <w:rFonts w:ascii="ITC Avant Garde" w:hAnsi="ITC Avant Garde"/>
          <w:b/>
        </w:rPr>
        <w:t>“DTH”</w:t>
      </w:r>
      <w:r w:rsidRPr="002A2450">
        <w:rPr>
          <w:rFonts w:ascii="ITC Avant Garde" w:hAnsi="ITC Avant Garde"/>
        </w:rPr>
        <w:t xml:space="preserve"> en México, en ese sentido, para la consecución de dicha actividad </w:t>
      </w:r>
      <w:r w:rsidRPr="002A2450">
        <w:rPr>
          <w:rFonts w:ascii="ITC Avant Garde" w:hAnsi="ITC Avant Garde"/>
          <w:b/>
        </w:rPr>
        <w:t>“COFRESA”</w:t>
      </w:r>
      <w:r w:rsidRPr="002A2450">
        <w:rPr>
          <w:rFonts w:ascii="ITC Avant Garde" w:hAnsi="ITC Avant Garde"/>
        </w:rPr>
        <w:t xml:space="preserve"> delega a </w:t>
      </w:r>
      <w:r w:rsidRPr="002A2450">
        <w:rPr>
          <w:rFonts w:ascii="ITC Avant Garde" w:hAnsi="ITC Avant Garde"/>
          <w:b/>
        </w:rPr>
        <w:t>“TELMEX”</w:t>
      </w:r>
      <w:r w:rsidRPr="002A2450">
        <w:rPr>
          <w:rFonts w:ascii="ITC Avant Garde" w:hAnsi="ITC Avant Garde"/>
        </w:rPr>
        <w:t xml:space="preserve"> actividades operativas respecto de las cuales, ésta última concesionaria </w:t>
      </w:r>
      <w:r w:rsidR="007A2C7A" w:rsidRPr="002A2450">
        <w:rPr>
          <w:rFonts w:ascii="ITC Avant Garde" w:hAnsi="ITC Avant Garde"/>
        </w:rPr>
        <w:t>particip</w:t>
      </w:r>
      <w:r w:rsidR="000D4A7B" w:rsidRPr="002A2450">
        <w:rPr>
          <w:rFonts w:ascii="ITC Avant Garde" w:hAnsi="ITC Avant Garde"/>
        </w:rPr>
        <w:t>ó</w:t>
      </w:r>
      <w:r w:rsidR="007A2C7A" w:rsidRPr="002A2450">
        <w:rPr>
          <w:rFonts w:ascii="ITC Avant Garde" w:hAnsi="ITC Avant Garde"/>
        </w:rPr>
        <w:t xml:space="preserve"> en la toma de decisiones del servicio de </w:t>
      </w:r>
      <w:r w:rsidR="007A2C7A" w:rsidRPr="002A2450">
        <w:rPr>
          <w:rFonts w:ascii="ITC Avant Garde" w:hAnsi="ITC Avant Garde"/>
          <w:b/>
        </w:rPr>
        <w:t xml:space="preserve">“DTH” </w:t>
      </w:r>
      <w:r w:rsidR="007A2C7A" w:rsidRPr="002A2450">
        <w:rPr>
          <w:rFonts w:ascii="ITC Avant Garde" w:hAnsi="ITC Avant Garde"/>
        </w:rPr>
        <w:t>e influ</w:t>
      </w:r>
      <w:r w:rsidR="000D4A7B" w:rsidRPr="002A2450">
        <w:rPr>
          <w:rFonts w:ascii="ITC Avant Garde" w:hAnsi="ITC Avant Garde"/>
        </w:rPr>
        <w:t>yó</w:t>
      </w:r>
      <w:r w:rsidR="007A2C7A" w:rsidRPr="002A2450">
        <w:rPr>
          <w:rFonts w:ascii="ITC Avant Garde" w:hAnsi="ITC Avant Garde"/>
        </w:rPr>
        <w:t xml:space="preserve"> en la operación de la misma </w:t>
      </w:r>
      <w:r w:rsidRPr="002A2450">
        <w:rPr>
          <w:rFonts w:ascii="ITC Avant Garde" w:hAnsi="ITC Avant Garde"/>
        </w:rPr>
        <w:t xml:space="preserve">que sumados a </w:t>
      </w:r>
      <w:r w:rsidR="007A2C7A" w:rsidRPr="002A2450">
        <w:rPr>
          <w:rFonts w:ascii="ITC Avant Garde" w:hAnsi="ITC Avant Garde"/>
        </w:rPr>
        <w:t xml:space="preserve"> la posibilidad de que </w:t>
      </w:r>
      <w:r w:rsidRPr="002A2450">
        <w:rPr>
          <w:rFonts w:ascii="ITC Avant Garde" w:hAnsi="ITC Avant Garde"/>
          <w:b/>
        </w:rPr>
        <w:t>“TELMEX”</w:t>
      </w:r>
      <w:r w:rsidRPr="002A2450">
        <w:rPr>
          <w:rFonts w:ascii="ITC Avant Garde" w:hAnsi="ITC Avant Garde"/>
        </w:rPr>
        <w:t xml:space="preserve"> particip</w:t>
      </w:r>
      <w:r w:rsidR="007A2C7A" w:rsidRPr="002A2450">
        <w:rPr>
          <w:rFonts w:ascii="ITC Avant Garde" w:hAnsi="ITC Avant Garde"/>
        </w:rPr>
        <w:t>e</w:t>
      </w:r>
      <w:r w:rsidRPr="002A2450">
        <w:rPr>
          <w:rFonts w:ascii="ITC Avant Garde" w:hAnsi="ITC Avant Garde"/>
        </w:rPr>
        <w:t xml:space="preserve"> en la verificación de esas actividades, pronunciarse al respecto y tomar decisiones en un mercado distinto al concesionario, de ahí precisamente </w:t>
      </w:r>
      <w:r w:rsidR="007A2C7A" w:rsidRPr="002A2450">
        <w:rPr>
          <w:rFonts w:ascii="ITC Avant Garde" w:hAnsi="ITC Avant Garde"/>
        </w:rPr>
        <w:t xml:space="preserve">se dé </w:t>
      </w:r>
      <w:r w:rsidRPr="002A2450">
        <w:rPr>
          <w:rFonts w:ascii="ITC Avant Garde" w:hAnsi="ITC Avant Garde"/>
        </w:rPr>
        <w:t xml:space="preserve">el control operacional del servicio aunado a que </w:t>
      </w:r>
      <w:r w:rsidRPr="002A2450">
        <w:rPr>
          <w:rFonts w:ascii="ITC Avant Garde" w:hAnsi="ITC Avant Garde"/>
          <w:b/>
        </w:rPr>
        <w:t>“TELMEX”</w:t>
      </w:r>
      <w:r w:rsidRPr="002A2450">
        <w:rPr>
          <w:rFonts w:ascii="ITC Avant Garde" w:hAnsi="ITC Avant Garde"/>
        </w:rPr>
        <w:t xml:space="preserve"> contaba con la posibilidad, sin ser socio, de contar con toda la información financiera del servicio, es indudable que este control sobre el servicio se ejercía a través de los contratos.</w:t>
      </w:r>
    </w:p>
    <w:p w14:paraId="661C15AE" w14:textId="77777777" w:rsidR="00B35F13" w:rsidRDefault="00DB2E21" w:rsidP="00B35F13">
      <w:pPr>
        <w:spacing w:before="240" w:line="360" w:lineRule="auto"/>
        <w:jc w:val="both"/>
        <w:rPr>
          <w:rFonts w:ascii="ITC Avant Garde" w:hAnsi="ITC Avant Garde"/>
        </w:rPr>
      </w:pPr>
      <w:r w:rsidRPr="002A2450">
        <w:rPr>
          <w:rFonts w:ascii="ITC Avant Garde" w:hAnsi="ITC Avant Garde"/>
        </w:rPr>
        <w:t xml:space="preserve">En ese sentido, las manifestaciones de </w:t>
      </w:r>
      <w:r w:rsidRPr="002A2450">
        <w:rPr>
          <w:rFonts w:ascii="ITC Avant Garde" w:hAnsi="ITC Avant Garde"/>
          <w:b/>
        </w:rPr>
        <w:t>“TELMEX”</w:t>
      </w:r>
      <w:r w:rsidRPr="002A2450">
        <w:rPr>
          <w:rFonts w:ascii="ITC Avant Garde" w:hAnsi="ITC Avant Garde"/>
        </w:rPr>
        <w:t xml:space="preserve"> no desvirtúan la conducta materia del presente procedimiento.</w:t>
      </w:r>
    </w:p>
    <w:p w14:paraId="527E13ED" w14:textId="77777777" w:rsidR="00B35F13" w:rsidRDefault="00DB2E21" w:rsidP="00B35F13">
      <w:pPr>
        <w:spacing w:before="240" w:line="360" w:lineRule="auto"/>
        <w:jc w:val="both"/>
        <w:rPr>
          <w:rFonts w:ascii="ITC Avant Garde" w:hAnsi="ITC Avant Garde"/>
          <w:i/>
        </w:rPr>
      </w:pPr>
      <w:r w:rsidRPr="002A2450">
        <w:rPr>
          <w:rFonts w:ascii="ITC Avant Garde" w:hAnsi="ITC Avant Garde"/>
        </w:rPr>
        <w:t xml:space="preserve">Ahora bien, no pasa desapercibido para esta autoridad el hecho de que </w:t>
      </w:r>
      <w:r w:rsidRPr="002A2450">
        <w:rPr>
          <w:rFonts w:ascii="ITC Avant Garde" w:hAnsi="ITC Avant Garde"/>
          <w:b/>
        </w:rPr>
        <w:t>“TELMEX”</w:t>
      </w:r>
      <w:r w:rsidRPr="002A2450">
        <w:rPr>
          <w:rFonts w:ascii="ITC Avant Garde" w:hAnsi="ITC Avant Garde"/>
        </w:rPr>
        <w:t xml:space="preserve"> refiera que dentro de su </w:t>
      </w:r>
      <w:r w:rsidRPr="002A2450">
        <w:rPr>
          <w:rFonts w:ascii="ITC Avant Garde" w:hAnsi="ITC Avant Garde"/>
          <w:b/>
        </w:rPr>
        <w:t>“TÍTULO DE CONCESIÓN”</w:t>
      </w:r>
      <w:r w:rsidRPr="002A2450">
        <w:rPr>
          <w:rFonts w:ascii="ITC Avant Garde" w:hAnsi="ITC Avant Garde"/>
        </w:rPr>
        <w:t xml:space="preserve"> la condición 2-2 se refiera únicamente al servicio de radiodifusión, puesto que dicha condición se refiere a que: </w:t>
      </w:r>
      <w:r w:rsidRPr="002A2450">
        <w:rPr>
          <w:rFonts w:ascii="ITC Avant Garde" w:hAnsi="ITC Avant Garde"/>
          <w:i/>
        </w:rPr>
        <w:t xml:space="preserve">“Las personas físicas o morales concesionarias de estaciones de radio y televisión de cualquier modalidad en la República Mexicana o que de forma </w:t>
      </w:r>
      <w:r w:rsidRPr="002A2450">
        <w:rPr>
          <w:rFonts w:ascii="ITC Avant Garde" w:hAnsi="ITC Avant Garde"/>
          <w:i/>
        </w:rPr>
        <w:lastRenderedPageBreak/>
        <w:t>directa participen en la radiodifusión, no podrán ser, directa o indirectamente, accionistas con voz y voto de “</w:t>
      </w:r>
      <w:r w:rsidR="005B601B" w:rsidRPr="002A2450">
        <w:rPr>
          <w:rFonts w:ascii="ITC Avant Garde" w:hAnsi="ITC Avant Garde"/>
          <w:b/>
          <w:i/>
        </w:rPr>
        <w:t>“TELMEX”</w:t>
      </w:r>
      <w:r w:rsidRPr="002A2450">
        <w:rPr>
          <w:rFonts w:ascii="ITC Avant Garde" w:hAnsi="ITC Avant Garde"/>
          <w:i/>
        </w:rPr>
        <w:t>”.</w:t>
      </w:r>
    </w:p>
    <w:p w14:paraId="3320D3FE" w14:textId="77777777" w:rsidR="00B35F13" w:rsidRDefault="00DB2E21" w:rsidP="00B35F13">
      <w:pPr>
        <w:spacing w:before="240" w:line="360" w:lineRule="auto"/>
        <w:jc w:val="both"/>
        <w:rPr>
          <w:rFonts w:ascii="ITC Avant Garde" w:hAnsi="ITC Avant Garde"/>
          <w:b/>
        </w:rPr>
      </w:pPr>
      <w:r w:rsidRPr="002A2450">
        <w:rPr>
          <w:rFonts w:ascii="ITC Avant Garde" w:hAnsi="ITC Avant Garde"/>
        </w:rPr>
        <w:t xml:space="preserve">En ese sentido, dicha condición no advierte, aclara o contraviene </w:t>
      </w:r>
      <w:r w:rsidR="006D342B" w:rsidRPr="002A2450">
        <w:rPr>
          <w:rFonts w:ascii="ITC Avant Garde" w:hAnsi="ITC Avant Garde"/>
        </w:rPr>
        <w:t xml:space="preserve">al interpretación que se ha dado en la prohibición de </w:t>
      </w:r>
      <w:r w:rsidRPr="002A2450">
        <w:rPr>
          <w:rFonts w:ascii="ITC Avant Garde" w:hAnsi="ITC Avant Garde"/>
        </w:rPr>
        <w:t xml:space="preserve">la condición 1-9 de su </w:t>
      </w:r>
      <w:r w:rsidRPr="002A2450">
        <w:rPr>
          <w:rFonts w:ascii="ITC Avant Garde" w:hAnsi="ITC Avant Garde"/>
          <w:b/>
        </w:rPr>
        <w:t>“TÍTULO DE CONCESIÓN”</w:t>
      </w:r>
      <w:r w:rsidRPr="002A2450">
        <w:rPr>
          <w:rFonts w:ascii="ITC Avant Garde" w:hAnsi="ITC Avant Garde"/>
        </w:rPr>
        <w:t xml:space="preserve"> esto es, no se advierte que </w:t>
      </w:r>
      <w:r w:rsidRPr="002A2450">
        <w:rPr>
          <w:rFonts w:ascii="ITC Avant Garde" w:hAnsi="ITC Avant Garde"/>
          <w:b/>
        </w:rPr>
        <w:t>“TELMEX”</w:t>
      </w:r>
      <w:r w:rsidRPr="002A2450">
        <w:rPr>
          <w:rFonts w:ascii="ITC Avant Garde" w:hAnsi="ITC Avant Garde"/>
        </w:rPr>
        <w:t xml:space="preserve"> pueda explotar una concesión para prestar el servicio de televisión al país sino que dicha condición prohíbe </w:t>
      </w:r>
      <w:r w:rsidR="00AB58C5" w:rsidRPr="002A2450">
        <w:rPr>
          <w:rFonts w:ascii="ITC Avant Garde" w:hAnsi="ITC Avant Garde"/>
        </w:rPr>
        <w:t>la posible participación de empresas concesionadas del servicio de radiodifusión en el capital social de dicha concesionaria, lo cual en nada beneficia a esa empresa al no desvirtuar la conducta materia del presente procedimiento.</w:t>
      </w:r>
    </w:p>
    <w:p w14:paraId="5918145C" w14:textId="77777777" w:rsidR="00B35F13" w:rsidRDefault="00AB58C5" w:rsidP="00B35F13">
      <w:pPr>
        <w:spacing w:before="240" w:line="360" w:lineRule="auto"/>
        <w:jc w:val="both"/>
        <w:rPr>
          <w:rFonts w:ascii="ITC Avant Garde" w:hAnsi="ITC Avant Garde"/>
        </w:rPr>
      </w:pPr>
      <w:r w:rsidRPr="002A2450">
        <w:rPr>
          <w:rFonts w:ascii="ITC Avant Garde" w:hAnsi="ITC Avant Garde"/>
        </w:rPr>
        <w:t xml:space="preserve">Así las cosas, al no existir una diferenciación entre los servicios de televisión en el país </w:t>
      </w:r>
      <w:r w:rsidR="006D342B" w:rsidRPr="002A2450">
        <w:rPr>
          <w:rFonts w:ascii="ITC Avant Garde" w:hAnsi="ITC Avant Garde"/>
        </w:rPr>
        <w:t xml:space="preserve">al momento de otorgarse la concesión </w:t>
      </w:r>
      <w:r w:rsidRPr="002A2450">
        <w:rPr>
          <w:rFonts w:ascii="ITC Avant Garde" w:hAnsi="ITC Avant Garde"/>
        </w:rPr>
        <w:t xml:space="preserve">(radiodifusión y televisión restringida) es dable considerar que contrario a lo señalado por </w:t>
      </w:r>
      <w:r w:rsidRPr="002A2450">
        <w:rPr>
          <w:rFonts w:ascii="ITC Avant Garde" w:hAnsi="ITC Avant Garde"/>
          <w:b/>
        </w:rPr>
        <w:t>“TELMEX”</w:t>
      </w:r>
      <w:r w:rsidRPr="002A2450">
        <w:rPr>
          <w:rFonts w:ascii="ITC Avant Garde" w:hAnsi="ITC Avant Garde"/>
        </w:rPr>
        <w:t xml:space="preserve"> en su </w:t>
      </w:r>
      <w:r w:rsidRPr="002A2450">
        <w:rPr>
          <w:rFonts w:ascii="ITC Avant Garde" w:hAnsi="ITC Avant Garde"/>
          <w:b/>
        </w:rPr>
        <w:t>“TÍTULO DE CONCESIÓN”</w:t>
      </w:r>
      <w:r w:rsidR="006D342B" w:rsidRPr="002A2450">
        <w:rPr>
          <w:rFonts w:ascii="ITC Avant Garde" w:hAnsi="ITC Avant Garde"/>
          <w:b/>
        </w:rPr>
        <w:t>,</w:t>
      </w:r>
      <w:r w:rsidRPr="002A2450">
        <w:rPr>
          <w:rFonts w:ascii="ITC Avant Garde" w:hAnsi="ITC Avant Garde"/>
        </w:rPr>
        <w:t xml:space="preserve"> no era necesario precisar cuáles son los servicios que requieren concesión para prestar televisión en el país.</w:t>
      </w:r>
    </w:p>
    <w:p w14:paraId="12399DA1" w14:textId="77777777" w:rsidR="00B35F13" w:rsidRDefault="00AB58C5" w:rsidP="00B35F13">
      <w:pPr>
        <w:spacing w:before="240" w:line="360" w:lineRule="auto"/>
        <w:jc w:val="both"/>
        <w:rPr>
          <w:rFonts w:ascii="ITC Avant Garde" w:hAnsi="ITC Avant Garde"/>
        </w:rPr>
      </w:pPr>
      <w:r w:rsidRPr="002A2450">
        <w:rPr>
          <w:rFonts w:ascii="ITC Avant Garde" w:hAnsi="ITC Avant Garde"/>
        </w:rPr>
        <w:t xml:space="preserve">Lo anterior, ya que como bien lo señala </w:t>
      </w:r>
      <w:r w:rsidRPr="002A2450">
        <w:rPr>
          <w:rFonts w:ascii="ITC Avant Garde" w:hAnsi="ITC Avant Garde"/>
          <w:b/>
        </w:rPr>
        <w:t>“TELMEX”</w:t>
      </w:r>
      <w:r w:rsidRPr="002A2450">
        <w:rPr>
          <w:rFonts w:ascii="ITC Avant Garde" w:hAnsi="ITC Avant Garde"/>
        </w:rPr>
        <w:t xml:space="preserve"> de haber existido alguna salvedad se hubiera señalado, sin embargo, al no existir la misma, no existe diferenciación alguna con la cual se pueda diferenciar ese servicio ni desvirtuar la conducta materia de la presente resolución.</w:t>
      </w:r>
    </w:p>
    <w:p w14:paraId="6D9058CB" w14:textId="77777777" w:rsidR="00B35F13" w:rsidRDefault="00AB58C5" w:rsidP="00B35F13">
      <w:pPr>
        <w:spacing w:before="240" w:line="360" w:lineRule="auto"/>
        <w:jc w:val="both"/>
        <w:rPr>
          <w:rFonts w:ascii="ITC Avant Garde" w:hAnsi="ITC Avant Garde"/>
        </w:rPr>
      </w:pPr>
      <w:r w:rsidRPr="002A2450">
        <w:rPr>
          <w:rFonts w:ascii="ITC Avant Garde" w:hAnsi="ITC Avant Garde"/>
        </w:rPr>
        <w:t xml:space="preserve">Resta señalar que </w:t>
      </w:r>
      <w:r w:rsidRPr="002A2450">
        <w:rPr>
          <w:rFonts w:ascii="ITC Avant Garde" w:hAnsi="ITC Avant Garde"/>
          <w:b/>
        </w:rPr>
        <w:t>“TELMEX”</w:t>
      </w:r>
      <w:r w:rsidR="006D342B" w:rsidRPr="002A2450">
        <w:rPr>
          <w:rFonts w:ascii="ITC Avant Garde" w:hAnsi="ITC Avant Garde"/>
        </w:rPr>
        <w:t xml:space="preserve"> no precisa cuá</w:t>
      </w:r>
      <w:r w:rsidRPr="002A2450">
        <w:rPr>
          <w:rFonts w:ascii="ITC Avant Garde" w:hAnsi="ITC Avant Garde"/>
        </w:rPr>
        <w:t xml:space="preserve">l es el derecho que se le priva </w:t>
      </w:r>
      <w:r w:rsidR="006D342B" w:rsidRPr="002A2450">
        <w:rPr>
          <w:rFonts w:ascii="ITC Avant Garde" w:hAnsi="ITC Avant Garde"/>
        </w:rPr>
        <w:t xml:space="preserve">con </w:t>
      </w:r>
      <w:r w:rsidRPr="002A2450">
        <w:rPr>
          <w:rFonts w:ascii="ITC Avant Garde" w:hAnsi="ITC Avant Garde"/>
        </w:rPr>
        <w:t xml:space="preserve">una </w:t>
      </w:r>
      <w:r w:rsidR="006D342B" w:rsidRPr="002A2450">
        <w:rPr>
          <w:rFonts w:ascii="ITC Avant Garde" w:hAnsi="ITC Avant Garde"/>
        </w:rPr>
        <w:t xml:space="preserve">supuesta </w:t>
      </w:r>
      <w:r w:rsidRPr="002A2450">
        <w:rPr>
          <w:rFonts w:ascii="ITC Avant Garde" w:hAnsi="ITC Avant Garde"/>
        </w:rPr>
        <w:t>indebida interpretación de la condición 1-9 y c</w:t>
      </w:r>
      <w:r w:rsidR="006D342B" w:rsidRPr="002A2450">
        <w:rPr>
          <w:rFonts w:ascii="ITC Avant Garde" w:hAnsi="ITC Avant Garde"/>
        </w:rPr>
        <w:t>ó</w:t>
      </w:r>
      <w:r w:rsidRPr="002A2450">
        <w:rPr>
          <w:rFonts w:ascii="ITC Avant Garde" w:hAnsi="ITC Avant Garde"/>
        </w:rPr>
        <w:t>mo le causa un perjuicio, de lo que se sigue que sus argumentaciones resultan ser meras manifestaciones sin sustento y/o fundamento alguno.</w:t>
      </w:r>
    </w:p>
    <w:p w14:paraId="7DC04B20" w14:textId="77777777" w:rsidR="00A80E02" w:rsidRDefault="00AB58C5" w:rsidP="00B35F13">
      <w:pPr>
        <w:spacing w:before="240" w:line="360" w:lineRule="auto"/>
        <w:jc w:val="both"/>
        <w:rPr>
          <w:rFonts w:ascii="ITC Avant Garde" w:hAnsi="ITC Avant Garde"/>
        </w:rPr>
      </w:pPr>
      <w:r w:rsidRPr="002A2450">
        <w:rPr>
          <w:rFonts w:ascii="ITC Avant Garde" w:hAnsi="ITC Avant Garde"/>
        </w:rPr>
        <w:t xml:space="preserve">Por tanto, sus manifestaciones resultan </w:t>
      </w:r>
      <w:r w:rsidRPr="002A2450">
        <w:rPr>
          <w:rFonts w:ascii="ITC Avant Garde" w:hAnsi="ITC Avant Garde"/>
          <w:b/>
          <w:u w:val="single"/>
        </w:rPr>
        <w:t>insuficientes</w:t>
      </w:r>
      <w:r w:rsidRPr="002A2450">
        <w:rPr>
          <w:rFonts w:ascii="ITC Avant Garde" w:hAnsi="ITC Avant Garde"/>
        </w:rPr>
        <w:t xml:space="preserve"> para desvirtuar la conducta materia del presente procedimiento.</w:t>
      </w:r>
    </w:p>
    <w:p w14:paraId="25E4BBDC" w14:textId="77777777" w:rsidR="00B35F13" w:rsidRDefault="00895C68" w:rsidP="001B0FC3">
      <w:pPr>
        <w:pStyle w:val="Ttulo3"/>
      </w:pPr>
      <w:bookmarkStart w:id="90" w:name="_Toc477170193"/>
      <w:r w:rsidRPr="002A2450">
        <w:t>QUINTO. PRUEBAS</w:t>
      </w:r>
      <w:bookmarkEnd w:id="90"/>
    </w:p>
    <w:p w14:paraId="6B60EBAC" w14:textId="77777777" w:rsidR="00B35F13" w:rsidRPr="00CE1EA8" w:rsidRDefault="00271FF5" w:rsidP="00CE1EA8">
      <w:pPr>
        <w:pStyle w:val="Ttulo4"/>
        <w:rPr>
          <w:b/>
        </w:rPr>
      </w:pPr>
      <w:r w:rsidRPr="00CE1EA8">
        <w:rPr>
          <w:b/>
        </w:rPr>
        <w:t>PERIODO PARA PRESENTAR PRUEBAS</w:t>
      </w:r>
    </w:p>
    <w:p w14:paraId="6AF68595" w14:textId="77777777" w:rsidR="00B35F13" w:rsidRDefault="00895C68" w:rsidP="00CE1EA8">
      <w:pPr>
        <w:pStyle w:val="Textoindependiente"/>
        <w:tabs>
          <w:tab w:val="left" w:pos="0"/>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En términos del acuerdo de inicio del procedimiento administrativo de imposición de sanción de veinticuatro de agosto de dos mil quince, notificado a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el</w:t>
      </w:r>
      <w:r w:rsidR="008F718E" w:rsidRPr="009E34A4">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 xml:space="preserve">veinticinco de agosto siguiente, se concedió a dicha concesionaria un plazo de quince días hábiles, contados a partir del día siguiente al que surtiera sus efectos la notificación de dicho acuerdo, para que en uso de la garantía de audiencia, expusiera lo que a su derecho conviniera y, en su caso, aportara las pruebas con que contara. </w:t>
      </w:r>
    </w:p>
    <w:p w14:paraId="38412746" w14:textId="77777777" w:rsidR="00A80E02" w:rsidRDefault="00895C68" w:rsidP="00B35F13">
      <w:pPr>
        <w:spacing w:before="240" w:line="360" w:lineRule="auto"/>
        <w:jc w:val="both"/>
        <w:rPr>
          <w:rFonts w:ascii="ITC Avant Garde" w:eastAsia="Times New Roman" w:hAnsi="ITC Avant Garde"/>
          <w:b/>
          <w:bCs/>
          <w:color w:val="000000"/>
          <w:lang w:eastAsia="es-MX"/>
        </w:rPr>
      </w:pPr>
      <w:r w:rsidRPr="002A2450">
        <w:rPr>
          <w:rFonts w:ascii="ITC Avant Garde" w:eastAsia="Times New Roman" w:hAnsi="ITC Avant Garde"/>
          <w:bCs/>
          <w:color w:val="000000"/>
          <w:lang w:eastAsia="es-MX"/>
        </w:rPr>
        <w:t xml:space="preserve">El término concedido a </w:t>
      </w:r>
      <w:r w:rsidRPr="002A2450">
        <w:rPr>
          <w:rFonts w:ascii="ITC Avant Garde" w:eastAsia="Times New Roman" w:hAnsi="ITC Avant Garde"/>
          <w:b/>
          <w:bCs/>
          <w:color w:val="000000"/>
          <w:lang w:eastAsia="es-MX"/>
        </w:rPr>
        <w:t xml:space="preserve">“TELMEX” </w:t>
      </w:r>
      <w:r w:rsidRPr="002A2450">
        <w:rPr>
          <w:rFonts w:ascii="ITC Avant Garde" w:hAnsi="ITC Avant Garde"/>
          <w:color w:val="000000"/>
        </w:rPr>
        <w:t>para</w:t>
      </w:r>
      <w:r w:rsidRPr="002A2450">
        <w:rPr>
          <w:rFonts w:ascii="ITC Avant Garde" w:eastAsia="Times New Roman" w:hAnsi="ITC Avant Garde"/>
          <w:bCs/>
          <w:color w:val="000000"/>
          <w:lang w:eastAsia="es-MX"/>
        </w:rPr>
        <w:t xml:space="preserve"> presentar sus manifestaciones y pruebas, corrió del veintiséis de agosto al diecisiete de septiembre de dos mil quince, </w:t>
      </w:r>
      <w:r w:rsidRPr="002A2450">
        <w:rPr>
          <w:rFonts w:ascii="ITC Avant Garde" w:eastAsia="Times New Roman" w:hAnsi="ITC Avant Garde"/>
          <w:bCs/>
          <w:lang w:eastAsia="es-MX"/>
        </w:rPr>
        <w:t>sin considerar los días veintinueve y treinta de agosto, uno, cinco, seis, doce, trece y dieciséis de septiembre, todos del dos mil quince, por ser sábados y domingos y días inhábiles</w:t>
      </w:r>
      <w:r w:rsidRPr="002A2450">
        <w:rPr>
          <w:rStyle w:val="Refdenotaalpie"/>
          <w:rFonts w:ascii="ITC Avant Garde" w:eastAsia="Times New Roman" w:hAnsi="ITC Avant Garde"/>
          <w:bCs/>
          <w:lang w:eastAsia="es-MX"/>
        </w:rPr>
        <w:footnoteReference w:id="44"/>
      </w:r>
      <w:r w:rsidRPr="002A2450">
        <w:rPr>
          <w:rFonts w:ascii="ITC Avant Garde" w:eastAsia="Times New Roman" w:hAnsi="ITC Avant Garde"/>
          <w:bCs/>
          <w:lang w:eastAsia="es-MX"/>
        </w:rPr>
        <w:t xml:space="preserve">, respectivamente, </w:t>
      </w:r>
      <w:r w:rsidRPr="002A2450">
        <w:rPr>
          <w:rFonts w:ascii="ITC Avant Garde" w:eastAsia="Times New Roman" w:hAnsi="ITC Avant Garde"/>
          <w:bCs/>
          <w:color w:val="000000"/>
          <w:lang w:eastAsia="es-MX"/>
        </w:rPr>
        <w:t xml:space="preserve">en términos del artículo 28 de la </w:t>
      </w:r>
      <w:r w:rsidRPr="002A2450">
        <w:rPr>
          <w:rFonts w:ascii="ITC Avant Garde" w:eastAsia="Times New Roman" w:hAnsi="ITC Avant Garde"/>
          <w:b/>
          <w:bCs/>
          <w:color w:val="000000"/>
          <w:lang w:eastAsia="es-MX"/>
        </w:rPr>
        <w:t>“LFPA”.</w:t>
      </w:r>
    </w:p>
    <w:p w14:paraId="3BD1811A" w14:textId="77777777" w:rsidR="00B35F13" w:rsidRDefault="006432D1"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m</w:t>
      </w:r>
      <w:r w:rsidR="00895C68" w:rsidRPr="002A2450">
        <w:rPr>
          <w:rFonts w:ascii="ITC Avant Garde" w:eastAsia="Times New Roman" w:hAnsi="ITC Avant Garde"/>
          <w:bCs/>
          <w:color w:val="000000"/>
          <w:lang w:eastAsia="es-MX"/>
        </w:rPr>
        <w:t xml:space="preserve">ediante escrito presentado en la </w:t>
      </w:r>
      <w:r w:rsidR="000302BB" w:rsidRPr="002A2450">
        <w:rPr>
          <w:rFonts w:ascii="ITC Avant Garde" w:eastAsia="Times New Roman" w:hAnsi="ITC Avant Garde"/>
          <w:bCs/>
          <w:color w:val="000000"/>
          <w:lang w:eastAsia="es-MX"/>
        </w:rPr>
        <w:t xml:space="preserve">Oficialía </w:t>
      </w:r>
      <w:r w:rsidR="00895C68" w:rsidRPr="002A2450">
        <w:rPr>
          <w:rFonts w:ascii="ITC Avant Garde" w:eastAsia="Times New Roman" w:hAnsi="ITC Avant Garde"/>
          <w:bCs/>
          <w:color w:val="000000"/>
          <w:lang w:eastAsia="es-MX"/>
        </w:rPr>
        <w:t xml:space="preserve">de </w:t>
      </w:r>
      <w:r w:rsidR="000302BB" w:rsidRPr="002A2450">
        <w:rPr>
          <w:rFonts w:ascii="ITC Avant Garde" w:eastAsia="Times New Roman" w:hAnsi="ITC Avant Garde"/>
          <w:bCs/>
          <w:color w:val="000000"/>
          <w:lang w:eastAsia="es-MX"/>
        </w:rPr>
        <w:t xml:space="preserve">Partes </w:t>
      </w:r>
      <w:r w:rsidR="00895C68" w:rsidRPr="002A2450">
        <w:rPr>
          <w:rFonts w:ascii="ITC Avant Garde" w:eastAsia="Times New Roman" w:hAnsi="ITC Avant Garde"/>
          <w:bCs/>
          <w:color w:val="000000"/>
          <w:lang w:eastAsia="es-MX"/>
        </w:rPr>
        <w:t xml:space="preserve">de este </w:t>
      </w:r>
      <w:r w:rsidR="00895C68" w:rsidRPr="002A2450">
        <w:rPr>
          <w:rFonts w:ascii="ITC Avant Garde" w:eastAsia="Times New Roman" w:hAnsi="ITC Avant Garde"/>
          <w:b/>
          <w:bCs/>
          <w:color w:val="000000"/>
          <w:lang w:eastAsia="es-MX"/>
        </w:rPr>
        <w:t>“IFT”</w:t>
      </w:r>
      <w:r w:rsidR="00895C68" w:rsidRPr="002A2450">
        <w:rPr>
          <w:rFonts w:ascii="ITC Avant Garde" w:eastAsia="Times New Roman" w:hAnsi="ITC Avant Garde"/>
          <w:bCs/>
          <w:color w:val="000000"/>
          <w:lang w:eastAsia="es-MX"/>
        </w:rPr>
        <w:t xml:space="preserve"> el diez de septiembre de dos mil quince, el </w:t>
      </w:r>
      <w:r w:rsidR="00895C68" w:rsidRPr="002A2450">
        <w:rPr>
          <w:rFonts w:ascii="ITC Avant Garde" w:eastAsia="Times New Roman" w:hAnsi="ITC Avant Garde"/>
          <w:b/>
          <w:bCs/>
          <w:color w:val="000000"/>
          <w:lang w:eastAsia="es-MX"/>
        </w:rPr>
        <w:t>C. FRANCISCO JAVIER ISLAS MANCERA</w:t>
      </w:r>
      <w:r w:rsidR="00895C68" w:rsidRPr="002A2450">
        <w:rPr>
          <w:rFonts w:ascii="ITC Avant Garde" w:eastAsia="Times New Roman" w:hAnsi="ITC Avant Garde"/>
          <w:bCs/>
          <w:color w:val="000000"/>
          <w:lang w:eastAsia="es-MX"/>
        </w:rPr>
        <w:t xml:space="preserve"> en su carácter de apoderado general para pleitos y cobranzas y actos de administración de “</w:t>
      </w:r>
      <w:r w:rsidR="00895C68" w:rsidRPr="002A2450">
        <w:rPr>
          <w:rFonts w:ascii="ITC Avant Garde" w:eastAsia="Times New Roman" w:hAnsi="ITC Avant Garde"/>
          <w:b/>
          <w:bCs/>
          <w:color w:val="000000"/>
          <w:lang w:eastAsia="es-MX"/>
        </w:rPr>
        <w:t>TELMEX</w:t>
      </w:r>
      <w:r w:rsidR="00895C68" w:rsidRPr="002A2450">
        <w:rPr>
          <w:rFonts w:ascii="ITC Avant Garde" w:eastAsia="Times New Roman" w:hAnsi="ITC Avant Garde"/>
          <w:bCs/>
          <w:color w:val="000000"/>
          <w:lang w:eastAsia="es-MX"/>
        </w:rPr>
        <w:t xml:space="preserve">”, exhibió el Convenio de terminación al contrato de opción celebrado entre </w:t>
      </w:r>
      <w:r w:rsidR="00895C68" w:rsidRPr="002A2450">
        <w:rPr>
          <w:rFonts w:ascii="ITC Avant Garde" w:eastAsia="Times New Roman" w:hAnsi="ITC Avant Garde"/>
          <w:b/>
          <w:bCs/>
          <w:color w:val="000000"/>
          <w:lang w:eastAsia="es-MX"/>
        </w:rPr>
        <w:t>“TELMEX”</w:t>
      </w:r>
      <w:r w:rsidR="00895C68" w:rsidRPr="002A2450">
        <w:rPr>
          <w:rFonts w:ascii="ITC Avant Garde" w:eastAsia="Times New Roman" w:hAnsi="ITC Avant Garde"/>
          <w:bCs/>
          <w:color w:val="000000"/>
          <w:lang w:eastAsia="es-MX"/>
        </w:rPr>
        <w:t xml:space="preserve">, </w:t>
      </w:r>
      <w:r w:rsidR="00895C68" w:rsidRPr="002A2450">
        <w:rPr>
          <w:rFonts w:ascii="ITC Avant Garde" w:eastAsia="Times New Roman" w:hAnsi="ITC Avant Garde"/>
          <w:b/>
          <w:bCs/>
          <w:color w:val="000000"/>
          <w:lang w:eastAsia="es-MX"/>
        </w:rPr>
        <w:t>“</w:t>
      </w:r>
      <w:r w:rsidR="005F026E" w:rsidRPr="002A2450">
        <w:rPr>
          <w:rFonts w:ascii="ITC Avant Garde" w:eastAsia="Times New Roman" w:hAnsi="ITC Avant Garde"/>
          <w:b/>
          <w:bCs/>
          <w:color w:val="000000"/>
          <w:lang w:eastAsia="es-MX"/>
        </w:rPr>
        <w:t>TENINVER</w:t>
      </w:r>
      <w:r w:rsidR="00895C68" w:rsidRPr="002A2450">
        <w:rPr>
          <w:rFonts w:ascii="ITC Avant Garde" w:eastAsia="Times New Roman" w:hAnsi="ITC Avant Garde"/>
          <w:b/>
          <w:bCs/>
          <w:color w:val="000000"/>
          <w:lang w:eastAsia="es-MX"/>
        </w:rPr>
        <w:t>”</w:t>
      </w:r>
      <w:r w:rsidR="00895C68" w:rsidRPr="002A2450">
        <w:rPr>
          <w:rFonts w:ascii="ITC Avant Garde" w:eastAsia="Times New Roman" w:hAnsi="ITC Avant Garde"/>
          <w:bCs/>
          <w:color w:val="000000"/>
          <w:lang w:eastAsia="es-MX"/>
        </w:rPr>
        <w:t xml:space="preserve">, </w:t>
      </w:r>
      <w:r w:rsidR="00895C68" w:rsidRPr="002A2450">
        <w:rPr>
          <w:rFonts w:ascii="ITC Avant Garde" w:eastAsia="Times New Roman" w:hAnsi="ITC Avant Garde"/>
          <w:b/>
          <w:bCs/>
          <w:color w:val="000000"/>
          <w:lang w:eastAsia="es-MX"/>
        </w:rPr>
        <w:t>“DISH MÉXICO”</w:t>
      </w:r>
      <w:r w:rsidR="00895C68" w:rsidRPr="002A2450">
        <w:rPr>
          <w:rFonts w:ascii="ITC Avant Garde" w:eastAsia="Times New Roman" w:hAnsi="ITC Avant Garde"/>
          <w:bCs/>
          <w:color w:val="000000"/>
          <w:lang w:eastAsia="es-MX"/>
        </w:rPr>
        <w:t>; “</w:t>
      </w:r>
      <w:r w:rsidR="00895C68" w:rsidRPr="002A2450">
        <w:rPr>
          <w:rFonts w:ascii="ITC Avant Garde" w:eastAsia="Times New Roman" w:hAnsi="ITC Avant Garde"/>
          <w:b/>
          <w:bCs/>
          <w:color w:val="000000"/>
          <w:lang w:eastAsia="es-MX"/>
        </w:rPr>
        <w:t>DISH HOLDINGS”</w:t>
      </w:r>
      <w:r w:rsidR="00895C68" w:rsidRPr="002A2450">
        <w:rPr>
          <w:rFonts w:ascii="ITC Avant Garde" w:eastAsia="Times New Roman" w:hAnsi="ITC Avant Garde"/>
          <w:bCs/>
          <w:color w:val="000000"/>
          <w:lang w:eastAsia="es-MX"/>
        </w:rPr>
        <w:t xml:space="preserve">; </w:t>
      </w:r>
      <w:r w:rsidR="00895C68" w:rsidRPr="002A2450">
        <w:rPr>
          <w:rFonts w:ascii="ITC Avant Garde" w:eastAsia="Times New Roman" w:hAnsi="ITC Avant Garde"/>
          <w:b/>
          <w:bCs/>
          <w:color w:val="000000"/>
          <w:lang w:eastAsia="es-MX"/>
        </w:rPr>
        <w:t>“GFMT”</w:t>
      </w:r>
      <w:r w:rsidR="00895C68" w:rsidRPr="002A2450">
        <w:rPr>
          <w:rFonts w:ascii="ITC Avant Garde" w:eastAsia="Times New Roman" w:hAnsi="ITC Avant Garde"/>
          <w:bCs/>
          <w:color w:val="000000"/>
          <w:lang w:eastAsia="es-MX"/>
        </w:rPr>
        <w:t xml:space="preserve">(Actualmente denominada Corporativo Mexicano de Frecuencias DISH, S.A. de C.V.), y </w:t>
      </w:r>
      <w:r w:rsidR="00895C68" w:rsidRPr="002A2450">
        <w:rPr>
          <w:rFonts w:ascii="ITC Avant Garde" w:eastAsia="Times New Roman" w:hAnsi="ITC Avant Garde"/>
          <w:b/>
          <w:bCs/>
          <w:color w:val="000000"/>
          <w:lang w:eastAsia="es-MX"/>
        </w:rPr>
        <w:t>“ECHOSTAR MÉXICO”</w:t>
      </w:r>
      <w:r w:rsidR="00895C68" w:rsidRPr="002A2450">
        <w:rPr>
          <w:rFonts w:ascii="ITC Avant Garde" w:eastAsia="Times New Roman" w:hAnsi="ITC Avant Garde"/>
          <w:bCs/>
          <w:color w:val="000000"/>
          <w:lang w:eastAsia="es-MX"/>
        </w:rPr>
        <w:t>, en el idioma inglés, con su respectiva traducción al español.</w:t>
      </w:r>
    </w:p>
    <w:p w14:paraId="4B447B59" w14:textId="77777777" w:rsidR="00A80E02" w:rsidRDefault="006432D1" w:rsidP="00B35F13">
      <w:pPr>
        <w:spacing w:before="240" w:line="360" w:lineRule="auto"/>
        <w:jc w:val="both"/>
        <w:rPr>
          <w:rFonts w:ascii="ITC Avant Garde" w:eastAsia="Times New Roman" w:hAnsi="ITC Avant Garde"/>
          <w:bCs/>
          <w:color w:val="000000"/>
          <w:lang w:eastAsia="es-MX"/>
        </w:rPr>
        <w:sectPr w:rsidR="00A80E02" w:rsidSect="009F3771">
          <w:headerReference w:type="default" r:id="rId62"/>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Asimismo,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 xml:space="preserve">por conducto de su representante legal, presentó el </w:t>
      </w:r>
      <w:r w:rsidR="00895C68" w:rsidRPr="002A2450">
        <w:rPr>
          <w:rFonts w:ascii="ITC Avant Garde" w:eastAsia="Times New Roman" w:hAnsi="ITC Avant Garde"/>
          <w:bCs/>
          <w:color w:val="000000"/>
          <w:lang w:eastAsia="es-MX"/>
        </w:rPr>
        <w:t xml:space="preserve">once de septiembre de dos mil quince, </w:t>
      </w:r>
      <w:r w:rsidRPr="002A2450">
        <w:rPr>
          <w:rFonts w:ascii="ITC Avant Garde" w:eastAsia="Times New Roman" w:hAnsi="ITC Avant Garde"/>
          <w:bCs/>
          <w:color w:val="000000"/>
          <w:lang w:eastAsia="es-MX"/>
        </w:rPr>
        <w:t xml:space="preserve">un escrito mediante el cual </w:t>
      </w:r>
      <w:r w:rsidR="00895C68" w:rsidRPr="002A2450">
        <w:rPr>
          <w:rFonts w:ascii="ITC Avant Garde" w:eastAsia="Times New Roman" w:hAnsi="ITC Avant Garde"/>
          <w:bCs/>
          <w:color w:val="000000"/>
          <w:lang w:eastAsia="es-MX"/>
        </w:rPr>
        <w:t xml:space="preserve">solicitó una prórroga de diez días para dar contestación al acuerdo de inicio del procedimiento </w:t>
      </w:r>
    </w:p>
    <w:p w14:paraId="4EE39275" w14:textId="47BA25AF" w:rsidR="00B35F13" w:rsidRDefault="00895C68" w:rsidP="00B35F13">
      <w:pPr>
        <w:spacing w:before="240" w:line="360" w:lineRule="auto"/>
        <w:jc w:val="both"/>
        <w:rPr>
          <w:rFonts w:ascii="ITC Avant Garde" w:eastAsia="Times New Roman" w:hAnsi="ITC Avant Garde"/>
          <w:bCs/>
          <w:color w:val="000000"/>
          <w:lang w:eastAsia="es-MX"/>
        </w:rPr>
      </w:pPr>
      <w:proofErr w:type="gramStart"/>
      <w:r w:rsidRPr="002A2450">
        <w:rPr>
          <w:rFonts w:ascii="ITC Avant Garde" w:eastAsia="Times New Roman" w:hAnsi="ITC Avant Garde"/>
          <w:bCs/>
          <w:color w:val="000000"/>
          <w:lang w:eastAsia="es-MX"/>
        </w:rPr>
        <w:lastRenderedPageBreak/>
        <w:t>administrativo</w:t>
      </w:r>
      <w:proofErr w:type="gramEnd"/>
      <w:r w:rsidRPr="002A2450">
        <w:rPr>
          <w:rFonts w:ascii="ITC Avant Garde" w:eastAsia="Times New Roman" w:hAnsi="ITC Avant Garde"/>
          <w:bCs/>
          <w:color w:val="000000"/>
          <w:lang w:eastAsia="es-MX"/>
        </w:rPr>
        <w:t xml:space="preserve"> de imposición de sanción de veinticuatro de agosto de dos mil quince.</w:t>
      </w:r>
    </w:p>
    <w:p w14:paraId="5C3ADA34" w14:textId="77777777" w:rsidR="00B35F13" w:rsidRDefault="006432D1" w:rsidP="00B35F13">
      <w:pPr>
        <w:spacing w:before="240" w:line="360" w:lineRule="auto"/>
        <w:jc w:val="both"/>
        <w:rPr>
          <w:rFonts w:ascii="ITC Avant Garde" w:hAnsi="ITC Avant Garde"/>
          <w:b/>
        </w:rPr>
      </w:pPr>
      <w:r w:rsidRPr="002A2450">
        <w:rPr>
          <w:rFonts w:ascii="ITC Avant Garde" w:eastAsia="Times New Roman" w:hAnsi="ITC Avant Garde"/>
          <w:bCs/>
          <w:color w:val="000000"/>
          <w:lang w:eastAsia="es-MX"/>
        </w:rPr>
        <w:t>Al respecto, e</w:t>
      </w:r>
      <w:r w:rsidR="00895C68" w:rsidRPr="002A2450">
        <w:rPr>
          <w:rFonts w:ascii="ITC Avant Garde" w:eastAsia="Times New Roman" w:hAnsi="ITC Avant Garde"/>
          <w:bCs/>
          <w:color w:val="000000"/>
          <w:lang w:eastAsia="es-MX"/>
        </w:rPr>
        <w:t xml:space="preserve">l quince de septiembre de dos mil quince, se </w:t>
      </w:r>
      <w:r w:rsidRPr="002A2450">
        <w:rPr>
          <w:rFonts w:ascii="ITC Avant Garde" w:eastAsia="Times New Roman" w:hAnsi="ITC Avant Garde"/>
          <w:bCs/>
          <w:color w:val="000000"/>
          <w:lang w:eastAsia="es-MX"/>
        </w:rPr>
        <w:t xml:space="preserve">emitió un acuerdo mediante el cual </w:t>
      </w:r>
      <w:r w:rsidR="00895C68" w:rsidRPr="002A2450">
        <w:rPr>
          <w:rFonts w:ascii="ITC Avant Garde" w:eastAsia="Times New Roman" w:hAnsi="ITC Avant Garde"/>
          <w:bCs/>
          <w:color w:val="000000"/>
          <w:lang w:eastAsia="es-MX"/>
        </w:rPr>
        <w:t xml:space="preserve">se otorgó </w:t>
      </w:r>
      <w:r w:rsidRPr="002A2450">
        <w:rPr>
          <w:rFonts w:ascii="ITC Avant Garde" w:eastAsia="Times New Roman" w:hAnsi="ITC Avant Garde"/>
          <w:bCs/>
          <w:color w:val="000000"/>
          <w:lang w:eastAsia="es-MX"/>
        </w:rPr>
        <w:t xml:space="preserve">a </w:t>
      </w:r>
      <w:r w:rsidRPr="002A2450">
        <w:rPr>
          <w:rFonts w:ascii="ITC Avant Garde" w:eastAsia="Times New Roman" w:hAnsi="ITC Avant Garde"/>
          <w:b/>
          <w:bCs/>
          <w:color w:val="000000"/>
          <w:lang w:eastAsia="es-MX"/>
        </w:rPr>
        <w:t xml:space="preserve">“TELMEX” </w:t>
      </w:r>
      <w:r w:rsidR="00895C68" w:rsidRPr="002A2450">
        <w:rPr>
          <w:rFonts w:ascii="ITC Avant Garde" w:eastAsia="Times New Roman" w:hAnsi="ITC Avant Garde"/>
          <w:bCs/>
          <w:color w:val="000000"/>
          <w:lang w:eastAsia="es-MX"/>
        </w:rPr>
        <w:t>una prórroga de ocho días hábiles para presentar sus manifestaciones y pruebas, contados a partir de día siguiente al en que venciera el plazo de quince días originalmente otorgado</w:t>
      </w:r>
      <w:r w:rsidR="00895C68" w:rsidRPr="002A2450">
        <w:rPr>
          <w:rFonts w:ascii="ITC Avant Garde" w:hAnsi="ITC Avant Garde"/>
          <w:b/>
        </w:rPr>
        <w:t>.</w:t>
      </w:r>
    </w:p>
    <w:p w14:paraId="0857F0E1" w14:textId="77777777" w:rsidR="00B35F13" w:rsidRDefault="006432D1"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El acuerdo anterior fue notificado el mismo quince de septiembre de dos mil quince mediante la </w:t>
      </w:r>
      <w:r w:rsidR="006D342B" w:rsidRPr="002A2450">
        <w:rPr>
          <w:rFonts w:ascii="ITC Avant Garde" w:eastAsia="Times New Roman" w:hAnsi="ITC Avant Garde"/>
          <w:bCs/>
          <w:color w:val="000000"/>
          <w:lang w:eastAsia="es-MX"/>
        </w:rPr>
        <w:t>comparecencia</w:t>
      </w:r>
      <w:r w:rsidRPr="002A2450">
        <w:rPr>
          <w:rFonts w:ascii="ITC Avant Garde" w:eastAsia="Times New Roman" w:hAnsi="ITC Avant Garde"/>
          <w:bCs/>
          <w:color w:val="000000"/>
          <w:lang w:eastAsia="es-MX"/>
        </w:rPr>
        <w:t xml:space="preserve"> d</w:t>
      </w:r>
      <w:r w:rsidR="00895C68" w:rsidRPr="002A2450">
        <w:rPr>
          <w:rFonts w:ascii="ITC Avant Garde" w:eastAsia="Times New Roman" w:hAnsi="ITC Avant Garde"/>
          <w:bCs/>
          <w:color w:val="000000"/>
          <w:lang w:eastAsia="es-MX"/>
        </w:rPr>
        <w:t xml:space="preserve">el </w:t>
      </w:r>
      <w:r w:rsidR="004A407D" w:rsidRPr="0047339C">
        <w:rPr>
          <w:rFonts w:ascii="ITC Avant Garde" w:eastAsiaTheme="majorEastAsia" w:hAnsi="ITC Avant Garde" w:cstheme="majorBidi"/>
          <w:b/>
          <w:color w:val="0000FF"/>
          <w:szCs w:val="32"/>
        </w:rPr>
        <w:t>“CONFIDENCIAL POR LEY”</w:t>
      </w:r>
      <w:r w:rsidR="00895C68" w:rsidRPr="002A2450">
        <w:rPr>
          <w:rFonts w:ascii="ITC Avant Garde" w:eastAsia="Times New Roman" w:hAnsi="ITC Avant Garde"/>
          <w:b/>
          <w:bCs/>
          <w:color w:val="000000"/>
          <w:lang w:eastAsia="es-MX"/>
        </w:rPr>
        <w:t xml:space="preserve">, </w:t>
      </w:r>
      <w:r w:rsidR="00895C68" w:rsidRPr="002A2450">
        <w:rPr>
          <w:rFonts w:ascii="ITC Avant Garde" w:eastAsia="Times New Roman" w:hAnsi="ITC Avant Garde"/>
          <w:bCs/>
          <w:color w:val="000000"/>
          <w:lang w:eastAsia="es-MX"/>
        </w:rPr>
        <w:t xml:space="preserve">autorizado por parte de </w:t>
      </w:r>
      <w:r w:rsidR="00895C68" w:rsidRPr="002A2450">
        <w:rPr>
          <w:rFonts w:ascii="ITC Avant Garde" w:eastAsia="Times New Roman" w:hAnsi="ITC Avant Garde"/>
          <w:b/>
          <w:bCs/>
          <w:color w:val="000000"/>
          <w:lang w:eastAsia="es-MX"/>
        </w:rPr>
        <w:t xml:space="preserve">“TELMEX” </w:t>
      </w:r>
      <w:r w:rsidR="00895C68" w:rsidRPr="002A2450">
        <w:rPr>
          <w:rFonts w:ascii="ITC Avant Garde" w:eastAsia="Times New Roman" w:hAnsi="ITC Avant Garde"/>
          <w:bCs/>
          <w:color w:val="000000"/>
          <w:lang w:eastAsia="es-MX"/>
        </w:rPr>
        <w:t>para oír y recibir todo tipo de notificaciones</w:t>
      </w:r>
      <w:r w:rsidR="006D342B" w:rsidRPr="002A2450">
        <w:rPr>
          <w:rFonts w:ascii="ITC Avant Garde" w:eastAsia="Times New Roman" w:hAnsi="ITC Avant Garde"/>
          <w:bCs/>
          <w:color w:val="000000"/>
          <w:lang w:eastAsia="es-MX"/>
        </w:rPr>
        <w:t>, por lo que el plazo adicional corrió del diecisiete al veintiocho de septiembre de esa anualidad.</w:t>
      </w:r>
    </w:p>
    <w:p w14:paraId="6AD27ED6" w14:textId="77777777" w:rsidR="00B35F13" w:rsidRDefault="006432D1"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ese sentido, </w:t>
      </w:r>
      <w:r w:rsidR="00895C68" w:rsidRPr="002A2450">
        <w:rPr>
          <w:rFonts w:ascii="ITC Avant Garde" w:eastAsia="Times New Roman" w:hAnsi="ITC Avant Garde"/>
          <w:bCs/>
          <w:color w:val="000000"/>
          <w:lang w:eastAsia="es-MX"/>
        </w:rPr>
        <w:t xml:space="preserve">el veintiocho de septiembre de dos mil quince, el </w:t>
      </w:r>
      <w:r w:rsidR="00895C68" w:rsidRPr="002A2450">
        <w:rPr>
          <w:rFonts w:ascii="ITC Avant Garde" w:eastAsia="Times New Roman" w:hAnsi="ITC Avant Garde"/>
          <w:b/>
          <w:bCs/>
          <w:color w:val="000000"/>
          <w:lang w:eastAsia="es-MX"/>
        </w:rPr>
        <w:t xml:space="preserve">C. FRANCISCO JAVIER ISLAS MANCERA </w:t>
      </w:r>
      <w:r w:rsidR="00895C68" w:rsidRPr="002A2450">
        <w:rPr>
          <w:rFonts w:ascii="ITC Avant Garde" w:eastAsia="Times New Roman" w:hAnsi="ITC Avant Garde"/>
          <w:bCs/>
          <w:color w:val="000000"/>
          <w:lang w:eastAsia="es-MX"/>
        </w:rPr>
        <w:t xml:space="preserve">en su carácter de apoderado general para pleitos y cobranzas y actos de administración de </w:t>
      </w:r>
      <w:r w:rsidR="00895C68" w:rsidRPr="002A2450">
        <w:rPr>
          <w:rFonts w:ascii="ITC Avant Garde" w:eastAsia="Times New Roman" w:hAnsi="ITC Avant Garde"/>
          <w:b/>
          <w:bCs/>
          <w:color w:val="000000"/>
          <w:lang w:eastAsia="es-MX"/>
        </w:rPr>
        <w:t>“TELMEX”</w:t>
      </w:r>
      <w:r w:rsidR="00895C68" w:rsidRPr="002A2450">
        <w:rPr>
          <w:rFonts w:ascii="ITC Avant Garde" w:eastAsia="Times New Roman" w:hAnsi="ITC Avant Garde"/>
          <w:bCs/>
          <w:color w:val="000000"/>
          <w:lang w:eastAsia="es-MX"/>
        </w:rPr>
        <w:t xml:space="preserve">, presentó un escrito de manifestaciones y pruebas con relación al acuerdo de inicio dictado en el expediente </w:t>
      </w:r>
      <w:r w:rsidR="00895C68" w:rsidRPr="002A2450">
        <w:rPr>
          <w:rFonts w:ascii="ITC Avant Garde" w:eastAsia="Times New Roman" w:hAnsi="ITC Avant Garde"/>
          <w:b/>
          <w:bCs/>
          <w:color w:val="000000"/>
          <w:lang w:eastAsia="es-MX"/>
        </w:rPr>
        <w:t>E-IFT.UC.DG-SAN.I.0235/2015</w:t>
      </w:r>
      <w:r w:rsidR="00895C68" w:rsidRPr="002A2450">
        <w:rPr>
          <w:rFonts w:ascii="ITC Avant Garde" w:eastAsia="Times New Roman" w:hAnsi="ITC Avant Garde"/>
          <w:bCs/>
          <w:color w:val="000000"/>
          <w:lang w:eastAsia="es-MX"/>
        </w:rPr>
        <w:t xml:space="preserve"> incoado a su representada el veinticuatro de agosto de dos mil quince. </w:t>
      </w:r>
    </w:p>
    <w:p w14:paraId="70DD4DA1" w14:textId="1F4D28B0" w:rsidR="00B35F13" w:rsidRDefault="00271FF5" w:rsidP="007E623E">
      <w:pPr>
        <w:pStyle w:val="Ttulo5"/>
        <w:numPr>
          <w:ilvl w:val="0"/>
          <w:numId w:val="68"/>
        </w:numPr>
        <w:rPr>
          <w:lang w:eastAsia="es-MX"/>
        </w:rPr>
      </w:pPr>
      <w:r w:rsidRPr="002A2450">
        <w:rPr>
          <w:lang w:eastAsia="es-MX"/>
        </w:rPr>
        <w:t xml:space="preserve">PRUEBAS </w:t>
      </w:r>
      <w:r w:rsidRPr="002A2450">
        <w:t>EXHIBIDAS</w:t>
      </w:r>
    </w:p>
    <w:p w14:paraId="6894BFF2" w14:textId="77777777" w:rsidR="00B35F13" w:rsidRDefault="006432D1"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 acuerdo con lo anterior,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exhibió como pruebas las siguientes:</w:t>
      </w:r>
    </w:p>
    <w:p w14:paraId="38639806" w14:textId="77777777" w:rsidR="00B35F13" w:rsidRDefault="006432D1" w:rsidP="007E623E">
      <w:pPr>
        <w:pStyle w:val="Prrafodelista"/>
        <w:numPr>
          <w:ilvl w:val="0"/>
          <w:numId w:val="31"/>
        </w:numPr>
        <w:spacing w:before="240" w:line="360" w:lineRule="auto"/>
        <w:ind w:left="567" w:hanging="567"/>
        <w:jc w:val="both"/>
        <w:rPr>
          <w:rFonts w:ascii="ITC Avant Garde" w:hAnsi="ITC Avant Garde"/>
        </w:rPr>
      </w:pPr>
      <w:r w:rsidRPr="002A2450">
        <w:rPr>
          <w:rFonts w:ascii="ITC Avant Garde" w:hAnsi="ITC Avant Garde"/>
        </w:rPr>
        <w:t>En su escrito presentado el diez de septiembre de dos mil quince:</w:t>
      </w:r>
    </w:p>
    <w:p w14:paraId="2CC90294" w14:textId="77777777" w:rsidR="00B35F13" w:rsidRDefault="006432D1" w:rsidP="007E623E">
      <w:pPr>
        <w:pStyle w:val="Prrafodelista"/>
        <w:numPr>
          <w:ilvl w:val="0"/>
          <w:numId w:val="32"/>
        </w:numPr>
        <w:spacing w:before="240" w:line="360" w:lineRule="auto"/>
        <w:ind w:left="1134" w:hanging="567"/>
        <w:jc w:val="both"/>
        <w:rPr>
          <w:rFonts w:ascii="ITC Avant Garde" w:hAnsi="ITC Avant Garde"/>
        </w:rPr>
      </w:pPr>
      <w:r w:rsidRPr="002A2450">
        <w:rPr>
          <w:rFonts w:ascii="ITC Avant Garde" w:hAnsi="ITC Avant Garde"/>
        </w:rPr>
        <w:t xml:space="preserve">Copia certificada del </w:t>
      </w:r>
      <w:r w:rsidRPr="002A2450">
        <w:rPr>
          <w:rFonts w:ascii="ITC Avant Garde" w:hAnsi="ITC Avant Garde"/>
          <w:i/>
        </w:rPr>
        <w:t xml:space="preserve">Convenio de Terminación </w:t>
      </w:r>
      <w:r w:rsidRPr="002A2450">
        <w:rPr>
          <w:rFonts w:ascii="ITC Avant Garde" w:hAnsi="ITC Avant Garde"/>
        </w:rPr>
        <w:t>al Contrato de Opción</w:t>
      </w:r>
      <w:r w:rsidR="00B83CD1" w:rsidRPr="002A2450">
        <w:rPr>
          <w:rFonts w:ascii="ITC Avant Garde" w:hAnsi="ITC Avant Garde"/>
        </w:rPr>
        <w:t>, así como al Contrato de Consecuencias celebrado el ocho de agosto de dos mil catorce.</w:t>
      </w:r>
    </w:p>
    <w:p w14:paraId="47E8E757" w14:textId="77777777" w:rsidR="00A80E02" w:rsidRDefault="00B83CD1" w:rsidP="007E623E">
      <w:pPr>
        <w:pStyle w:val="Prrafodelista"/>
        <w:numPr>
          <w:ilvl w:val="0"/>
          <w:numId w:val="32"/>
        </w:numPr>
        <w:spacing w:before="240" w:line="360" w:lineRule="auto"/>
        <w:ind w:left="1134" w:hanging="567"/>
        <w:jc w:val="both"/>
        <w:rPr>
          <w:rFonts w:ascii="ITC Avant Garde" w:hAnsi="ITC Avant Garde"/>
        </w:rPr>
        <w:sectPr w:rsidR="00A80E02" w:rsidSect="009F3771">
          <w:headerReference w:type="default" r:id="rId63"/>
          <w:pgSz w:w="12240" w:h="15840"/>
          <w:pgMar w:top="1985" w:right="1701" w:bottom="1418" w:left="1701" w:header="709" w:footer="709" w:gutter="0"/>
          <w:cols w:space="708"/>
          <w:docGrid w:linePitch="360"/>
        </w:sectPr>
      </w:pPr>
      <w:r w:rsidRPr="002A2450">
        <w:rPr>
          <w:rFonts w:ascii="ITC Avant Garde" w:hAnsi="ITC Avant Garde"/>
        </w:rPr>
        <w:t xml:space="preserve">Copia simple del acuse de recibo del escrito presentado el cinco de septiembre de dos mil catorce ante la Oficialía de Partes de este </w:t>
      </w:r>
      <w:r w:rsidRPr="002A2450">
        <w:rPr>
          <w:rFonts w:ascii="ITC Avant Garde" w:hAnsi="ITC Avant Garde"/>
          <w:b/>
        </w:rPr>
        <w:t>“IFT”,</w:t>
      </w:r>
      <w:r w:rsidRPr="002A2450">
        <w:rPr>
          <w:rFonts w:ascii="ITC Avant Garde" w:hAnsi="ITC Avant Garde"/>
        </w:rPr>
        <w:t xml:space="preserve"> dirigido a la Titular de la Unidad de Competencia Económica en alcance a sus escrito</w:t>
      </w:r>
      <w:r w:rsidR="006D342B" w:rsidRPr="002A2450">
        <w:rPr>
          <w:rFonts w:ascii="ITC Avant Garde" w:hAnsi="ITC Avant Garde"/>
        </w:rPr>
        <w:t>s</w:t>
      </w:r>
      <w:r w:rsidRPr="002A2450">
        <w:rPr>
          <w:rFonts w:ascii="ITC Avant Garde" w:hAnsi="ITC Avant Garde"/>
        </w:rPr>
        <w:t xml:space="preserve"> presentado el dos y diecisiete de julio de dos mil </w:t>
      </w:r>
    </w:p>
    <w:p w14:paraId="3737345D" w14:textId="25EB1DF4" w:rsidR="00B35F13" w:rsidRDefault="00B83CD1" w:rsidP="00A80E02">
      <w:pPr>
        <w:pStyle w:val="Prrafodelista"/>
        <w:spacing w:before="240" w:line="360" w:lineRule="auto"/>
        <w:ind w:left="1134"/>
        <w:jc w:val="both"/>
        <w:rPr>
          <w:rFonts w:ascii="ITC Avant Garde" w:hAnsi="ITC Avant Garde"/>
        </w:rPr>
      </w:pPr>
      <w:proofErr w:type="gramStart"/>
      <w:r w:rsidRPr="002A2450">
        <w:rPr>
          <w:rFonts w:ascii="ITC Avant Garde" w:hAnsi="ITC Avant Garde"/>
        </w:rPr>
        <w:lastRenderedPageBreak/>
        <w:t>catorce</w:t>
      </w:r>
      <w:proofErr w:type="gramEnd"/>
      <w:r w:rsidRPr="002A2450">
        <w:rPr>
          <w:rFonts w:ascii="ITC Avant Garde" w:hAnsi="ITC Avant Garde"/>
        </w:rPr>
        <w:t xml:space="preserve"> en relación al procedimiento E-IFT/UC/DGIPM/PMR/003/2013 seguido ante esa Unidad, con el que se pretende acreditar que el </w:t>
      </w:r>
      <w:r w:rsidRPr="002A2450">
        <w:rPr>
          <w:rFonts w:ascii="ITC Avant Garde" w:hAnsi="ITC Avant Garde"/>
          <w:i/>
        </w:rPr>
        <w:t xml:space="preserve">Convenio de Terminación </w:t>
      </w:r>
      <w:r w:rsidRPr="002A2450">
        <w:rPr>
          <w:rFonts w:ascii="ITC Avant Garde" w:hAnsi="ITC Avant Garde"/>
        </w:rPr>
        <w:t xml:space="preserve">al Contrato de Opción, así como al Contrato de Consecuencias celebrado el ocho de agosto de dos mil catorce había sido exhibido ante este </w:t>
      </w:r>
      <w:r w:rsidRPr="002A2450">
        <w:rPr>
          <w:rFonts w:ascii="ITC Avant Garde" w:hAnsi="ITC Avant Garde"/>
          <w:b/>
        </w:rPr>
        <w:t>“IFT”</w:t>
      </w:r>
      <w:r w:rsidRPr="002A2450">
        <w:rPr>
          <w:rFonts w:ascii="ITC Avant Garde" w:hAnsi="ITC Avant Garde"/>
        </w:rPr>
        <w:t xml:space="preserve"> el cinco de septiembre de dos mil catorce.</w:t>
      </w:r>
    </w:p>
    <w:p w14:paraId="523B89C9" w14:textId="77777777" w:rsidR="00B35F13" w:rsidRDefault="00B83CD1" w:rsidP="007E623E">
      <w:pPr>
        <w:pStyle w:val="Prrafodelista"/>
        <w:numPr>
          <w:ilvl w:val="0"/>
          <w:numId w:val="31"/>
        </w:numPr>
        <w:spacing w:before="240" w:line="360" w:lineRule="auto"/>
        <w:ind w:left="567" w:hanging="567"/>
        <w:jc w:val="both"/>
        <w:rPr>
          <w:rFonts w:ascii="ITC Avant Garde" w:hAnsi="ITC Avant Garde"/>
        </w:rPr>
      </w:pPr>
      <w:r w:rsidRPr="002A2450">
        <w:rPr>
          <w:rFonts w:ascii="ITC Avant Garde" w:hAnsi="ITC Avant Garde"/>
        </w:rPr>
        <w:t xml:space="preserve">En el escrito presentado el veintiocho de septiembre de dos mil quince </w:t>
      </w:r>
      <w:r w:rsidRPr="002A2450">
        <w:rPr>
          <w:rFonts w:ascii="ITC Avant Garde" w:hAnsi="ITC Avant Garde"/>
          <w:b/>
        </w:rPr>
        <w:t>“TELMEX”</w:t>
      </w:r>
      <w:r w:rsidRPr="002A2450">
        <w:rPr>
          <w:rFonts w:ascii="ITC Avant Garde" w:hAnsi="ITC Avant Garde"/>
        </w:rPr>
        <w:t xml:space="preserve"> ofreció como pruebas las siguientes:</w:t>
      </w:r>
    </w:p>
    <w:p w14:paraId="14D405BD" w14:textId="77777777" w:rsidR="00B35F13" w:rsidRDefault="0081713B"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Copia certificada del </w:t>
      </w:r>
      <w:r w:rsidRPr="002A2450">
        <w:rPr>
          <w:rFonts w:ascii="ITC Avant Garde" w:hAnsi="ITC Avant Garde"/>
          <w:i/>
        </w:rPr>
        <w:t xml:space="preserve">Convenio de Terminación </w:t>
      </w:r>
      <w:r w:rsidRPr="002A2450">
        <w:rPr>
          <w:rFonts w:ascii="ITC Avant Garde" w:hAnsi="ITC Avant Garde"/>
        </w:rPr>
        <w:t>al Contrato de Opción, así como al Contrato de Consecuencias celebrado el ocho de agosto de dos mil catorce, misma que se relaciona con todos y cada uno de los hechos y argumentos contenidos en el presente escrito.</w:t>
      </w:r>
    </w:p>
    <w:p w14:paraId="2C5F72E4" w14:textId="77777777" w:rsidR="00B35F13" w:rsidRDefault="0081713B"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Copia certificada del escrito de diez de septiembre de dos mil quince, mediante el cual </w:t>
      </w:r>
      <w:r w:rsidRPr="002A2450">
        <w:rPr>
          <w:rFonts w:ascii="ITC Avant Garde" w:hAnsi="ITC Avant Garde"/>
          <w:b/>
        </w:rPr>
        <w:t>“TELMEX”</w:t>
      </w:r>
      <w:r w:rsidRPr="002A2450">
        <w:rPr>
          <w:rFonts w:ascii="ITC Avant Garde" w:hAnsi="ITC Avant Garde"/>
        </w:rPr>
        <w:t xml:space="preserve"> exhibe sendas copias certificadas [del </w:t>
      </w:r>
      <w:r w:rsidRPr="002A2450">
        <w:rPr>
          <w:rFonts w:ascii="ITC Avant Garde" w:hAnsi="ITC Avant Garde"/>
          <w:i/>
        </w:rPr>
        <w:t>Convenio de Terminación</w:t>
      </w:r>
      <w:r w:rsidRPr="002A2450">
        <w:rPr>
          <w:rFonts w:ascii="ITC Avant Garde" w:hAnsi="ITC Avant Garde"/>
        </w:rPr>
        <w:t>] para que se agreguen a cada uno de los expedientes E-IFT.UC.DG-SAN.I.0235/2015 y E-IFT.UC.DG-SAN.II.0237/2015.</w:t>
      </w:r>
    </w:p>
    <w:p w14:paraId="4D6F9B86" w14:textId="77777777" w:rsidR="00B35F13" w:rsidRDefault="00F81350"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Documental consistente en el escrito presentado el diez de septiembre de dos mil quince ante la Subsecretaría de Comunicaciones y Transportes de la Secretaría de Comunicaciones y Transportes mediante el cual solicita copia certificada del oficio 107.350 de veintitrés de junio de mil novecientos noventa y cinco emitido por el Director General de Sistemas de Difusión y del oficio 2.-1210 de doce de junio de mil novecientos noventa y cinco emitido por la entonces Subsecretaría de Comunicaciones y Desarrollo Tecnológico.</w:t>
      </w:r>
    </w:p>
    <w:p w14:paraId="303BABD6" w14:textId="77777777" w:rsidR="00B35F13" w:rsidRDefault="00F81350"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Documental consistente en el oficio 2.-1210 de doce de junio de mil novecientos noventa y cinco suscrito por el entonces Subsecretario de Comunicaciones y Desarrollo Tecnológico de la </w:t>
      </w:r>
      <w:r w:rsidR="00BD1D1D" w:rsidRPr="002A2450">
        <w:rPr>
          <w:rFonts w:ascii="ITC Avant Garde" w:hAnsi="ITC Avant Garde"/>
        </w:rPr>
        <w:t>Secretaría</w:t>
      </w:r>
      <w:r w:rsidRPr="002A2450">
        <w:rPr>
          <w:rFonts w:ascii="ITC Avant Garde" w:hAnsi="ITC Avant Garde"/>
        </w:rPr>
        <w:t xml:space="preserve"> de Comunicaciones y Transportes.</w:t>
      </w:r>
    </w:p>
    <w:p w14:paraId="22B472BD" w14:textId="77777777" w:rsidR="00B35F13" w:rsidRDefault="00F81350"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Documental consistente en el oficio 107.-350 de veintitrés de junio de mil novecientos noventa y cinco suscrito por el Director General de Sistemas </w:t>
      </w:r>
      <w:r w:rsidRPr="002A2450">
        <w:rPr>
          <w:rFonts w:ascii="ITC Avant Garde" w:hAnsi="ITC Avant Garde"/>
        </w:rPr>
        <w:lastRenderedPageBreak/>
        <w:t>de Difusión de la Subsecretaría de Comunicaciones y Desarrollo Tecnológico de la Secretaría de Comunicaciones y Transportes.</w:t>
      </w:r>
    </w:p>
    <w:p w14:paraId="197A94F0" w14:textId="77777777" w:rsidR="00B35F13" w:rsidRDefault="00F81350"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Copia certificada de la resolución emitida por el Pleno de la extinta Comisión Federal de Competencia dictada en el expediente EXP.CNT-08-95 de quince de junio de mil novecientos noventa y cinco.</w:t>
      </w:r>
    </w:p>
    <w:p w14:paraId="20FCC828" w14:textId="77777777" w:rsidR="00B35F13" w:rsidRDefault="00F81350"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Copia del </w:t>
      </w:r>
      <w:r w:rsidR="00B84646" w:rsidRPr="002A2450">
        <w:rPr>
          <w:rFonts w:ascii="ITC Avant Garde" w:hAnsi="ITC Avant Garde"/>
        </w:rPr>
        <w:t xml:space="preserve">escrito presentado el cinco de septiembre de dos mil catorce ante la Oficialía de Partes de este </w:t>
      </w:r>
      <w:r w:rsidR="00B84646" w:rsidRPr="002A2450">
        <w:rPr>
          <w:rFonts w:ascii="ITC Avant Garde" w:hAnsi="ITC Avant Garde"/>
          <w:b/>
        </w:rPr>
        <w:t>“IFT”,</w:t>
      </w:r>
      <w:r w:rsidR="00B84646" w:rsidRPr="002A2450">
        <w:rPr>
          <w:rFonts w:ascii="ITC Avant Garde" w:hAnsi="ITC Avant Garde"/>
        </w:rPr>
        <w:t xml:space="preserve"> dirigido a la Titular de la Unidad de Competencia Económica en alcance a sus escritos presentados el dos y diecisiete de julio de dos mil catorce en relación al procedimiento E-IFT/UC/DGIPM/PMR/003/2013 seguido ante esa Unidad, con el que se pretende acreditar que el </w:t>
      </w:r>
      <w:r w:rsidR="00B84646" w:rsidRPr="002A2450">
        <w:rPr>
          <w:rFonts w:ascii="ITC Avant Garde" w:hAnsi="ITC Avant Garde"/>
          <w:i/>
        </w:rPr>
        <w:t xml:space="preserve">Convenio de Terminación </w:t>
      </w:r>
      <w:r w:rsidR="00B84646" w:rsidRPr="002A2450">
        <w:rPr>
          <w:rFonts w:ascii="ITC Avant Garde" w:hAnsi="ITC Avant Garde"/>
        </w:rPr>
        <w:t xml:space="preserve">al Contrato de Opción, así como al Contrato de Consecuencias celebrado el ocho de agosto de dos mil catorce, había sido exhibido ante este </w:t>
      </w:r>
      <w:r w:rsidR="00B84646" w:rsidRPr="002A2450">
        <w:rPr>
          <w:rFonts w:ascii="ITC Avant Garde" w:hAnsi="ITC Avant Garde"/>
          <w:b/>
        </w:rPr>
        <w:t>“INSTITUTO”.</w:t>
      </w:r>
    </w:p>
    <w:p w14:paraId="78B1EA60" w14:textId="77777777" w:rsidR="00B35F13" w:rsidRDefault="00B84646"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Copia del escrito presentado el diez de septiembre de dos mil quince dirigido a la Dirección General de Concentraciones de la Comisión Federal de Competencia Económica mediante el cual solicita copia certificada de: i) oficio 107.350 de veintitrés de junio de mil novecientos noventa y cinco, ii) resolución emitida por el Pleno de la entonces Comisión Federal de Competencia de quince de junio de mil novecientos noventa y cinco en los autos del expediente CNT-08-95, iii) oficio 2.-1210 de doce de junio de mil novecientos noventa y cinco; iv) certificado provisional 003 de fecha veintitrés de junio de mil novecientos noventa y cinco.</w:t>
      </w:r>
    </w:p>
    <w:p w14:paraId="34BDA954" w14:textId="77777777" w:rsidR="00B35F13" w:rsidRDefault="00B84646"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 xml:space="preserve">Documental consistente en la copia certificada del permiso para conducir señales de televisión a través de la red pública telefónica de </w:t>
      </w:r>
      <w:r w:rsidRPr="002A2450">
        <w:rPr>
          <w:rFonts w:ascii="ITC Avant Garde" w:hAnsi="ITC Avant Garde"/>
          <w:b/>
        </w:rPr>
        <w:t>“TELMEX”</w:t>
      </w:r>
      <w:r w:rsidRPr="002A2450">
        <w:rPr>
          <w:rFonts w:ascii="ITC Avant Garde" w:hAnsi="ITC Avant Garde"/>
        </w:rPr>
        <w:t xml:space="preserve"> de tres de septiembre de mil novecientos noventa y tres.</w:t>
      </w:r>
    </w:p>
    <w:p w14:paraId="3EA7013E" w14:textId="77777777" w:rsidR="00B35F13" w:rsidRDefault="00B84646"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Prueba pericial en materia de contabilidad</w:t>
      </w:r>
    </w:p>
    <w:p w14:paraId="74C57C33" w14:textId="77777777" w:rsidR="00B35F13" w:rsidRDefault="007F1E0E"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Prueba pericial en materia de economía</w:t>
      </w:r>
    </w:p>
    <w:p w14:paraId="7FDA5BDA" w14:textId="77777777" w:rsidR="00B35F13" w:rsidRDefault="007F1E0E" w:rsidP="007E623E">
      <w:pPr>
        <w:pStyle w:val="Prrafodelista"/>
        <w:numPr>
          <w:ilvl w:val="0"/>
          <w:numId w:val="33"/>
        </w:numPr>
        <w:spacing w:before="240" w:line="360" w:lineRule="auto"/>
        <w:ind w:left="1134" w:hanging="567"/>
        <w:jc w:val="both"/>
        <w:rPr>
          <w:rFonts w:ascii="ITC Avant Garde" w:hAnsi="ITC Avant Garde"/>
        </w:rPr>
      </w:pPr>
      <w:r w:rsidRPr="002A2450">
        <w:rPr>
          <w:rFonts w:ascii="ITC Avant Garde" w:hAnsi="ITC Avant Garde"/>
        </w:rPr>
        <w:t>La instrumental de actuaciones</w:t>
      </w:r>
    </w:p>
    <w:p w14:paraId="3E4B51A9" w14:textId="77777777" w:rsidR="00B35F13" w:rsidRDefault="007F1E0E" w:rsidP="007E623E">
      <w:pPr>
        <w:pStyle w:val="Prrafodelista"/>
        <w:numPr>
          <w:ilvl w:val="0"/>
          <w:numId w:val="33"/>
        </w:numPr>
        <w:spacing w:before="240" w:line="360" w:lineRule="auto"/>
        <w:ind w:left="1134" w:hanging="567"/>
        <w:jc w:val="both"/>
        <w:rPr>
          <w:rFonts w:ascii="ITC Avant Garde" w:hAnsi="ITC Avant Garde"/>
        </w:rPr>
      </w:pPr>
      <w:proofErr w:type="spellStart"/>
      <w:r w:rsidRPr="002A2450">
        <w:rPr>
          <w:rFonts w:ascii="ITC Avant Garde" w:hAnsi="ITC Avant Garde"/>
        </w:rPr>
        <w:t>Presuncional</w:t>
      </w:r>
      <w:proofErr w:type="spellEnd"/>
      <w:r w:rsidRPr="002A2450">
        <w:rPr>
          <w:rFonts w:ascii="ITC Avant Garde" w:hAnsi="ITC Avant Garde"/>
        </w:rPr>
        <w:t xml:space="preserve"> en su doble aspecto legal como humana</w:t>
      </w:r>
    </w:p>
    <w:p w14:paraId="1774ABBF" w14:textId="77777777" w:rsidR="00B35F13" w:rsidRDefault="00BC6CBC" w:rsidP="007E623E">
      <w:pPr>
        <w:pStyle w:val="Ttulo5"/>
        <w:numPr>
          <w:ilvl w:val="0"/>
          <w:numId w:val="68"/>
        </w:numPr>
      </w:pPr>
      <w:r w:rsidRPr="002A2450">
        <w:rPr>
          <w:lang w:eastAsia="es-MX"/>
        </w:rPr>
        <w:lastRenderedPageBreak/>
        <w:t>CONVENIO</w:t>
      </w:r>
      <w:r w:rsidRPr="002A2450">
        <w:t xml:space="preserve"> DE TERMINACIÓN AL CONTRATO DE OPCIÓN Y DEL CONTRATO DE CONSECUENCIAS</w:t>
      </w:r>
    </w:p>
    <w:p w14:paraId="3CDFC0D6" w14:textId="77777777" w:rsidR="00B35F13" w:rsidRDefault="0061074D" w:rsidP="00B35F13">
      <w:pPr>
        <w:spacing w:before="240" w:line="360" w:lineRule="auto"/>
        <w:jc w:val="both"/>
        <w:rPr>
          <w:rFonts w:ascii="ITC Avant Garde" w:hAnsi="ITC Avant Garde"/>
        </w:rPr>
      </w:pPr>
      <w:r w:rsidRPr="002A2450">
        <w:rPr>
          <w:rFonts w:ascii="ITC Avant Garde" w:hAnsi="ITC Avant Garde"/>
        </w:rPr>
        <w:t xml:space="preserve">Ahora bien, por lo que hace a la copia certificada del </w:t>
      </w:r>
      <w:r w:rsidRPr="002A2450">
        <w:rPr>
          <w:rFonts w:ascii="ITC Avant Garde" w:hAnsi="ITC Avant Garde"/>
          <w:i/>
        </w:rPr>
        <w:t xml:space="preserve">Convenio de Terminación </w:t>
      </w:r>
      <w:r w:rsidRPr="002A2450">
        <w:rPr>
          <w:rFonts w:ascii="ITC Avant Garde" w:hAnsi="ITC Avant Garde"/>
        </w:rPr>
        <w:t xml:space="preserve">al Contrato de Opción, así como al Contrato de Consecuencias celebrado el ocho de agosto de dos mil catorce exhibido en los escritos presentados el diez y veintiocho de septiembre de dos mil quince, debe señalarse que su valoración fue realizada en el </w:t>
      </w:r>
      <w:r w:rsidRPr="002A2450">
        <w:rPr>
          <w:rFonts w:ascii="ITC Avant Garde" w:hAnsi="ITC Avant Garde"/>
          <w:b/>
        </w:rPr>
        <w:t xml:space="preserve">Considerando Cuarto, Inciso l) </w:t>
      </w:r>
      <w:r w:rsidRPr="002A2450">
        <w:rPr>
          <w:rFonts w:ascii="ITC Avant Garde" w:hAnsi="ITC Avant Garde"/>
        </w:rPr>
        <w:t xml:space="preserve">de la presente resolución como prueba plena de la suscripción de citado convenio en los términos en que el mismo fue celebrado de conformidad con los artículos 197 y 202 del </w:t>
      </w:r>
      <w:r w:rsidRPr="002A2450">
        <w:rPr>
          <w:rFonts w:ascii="ITC Avant Garde" w:hAnsi="ITC Avant Garde"/>
          <w:b/>
        </w:rPr>
        <w:t>“CFPC”</w:t>
      </w:r>
      <w:r w:rsidRPr="002A2450">
        <w:rPr>
          <w:rFonts w:ascii="ITC Avant Garde" w:hAnsi="ITC Avant Garde"/>
        </w:rPr>
        <w:t xml:space="preserve"> de aplicación supletoria en términos del artículo 6, fracción IV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w:t>
      </w:r>
      <w:r w:rsidR="008F718E" w:rsidRPr="009E34A4">
        <w:rPr>
          <w:rFonts w:ascii="ITC Avant Garde" w:hAnsi="ITC Avant Garde"/>
          <w:color w:val="C00000"/>
        </w:rPr>
        <w:t xml:space="preserve"> </w:t>
      </w:r>
    </w:p>
    <w:p w14:paraId="62FAB6D5" w14:textId="77777777" w:rsidR="00B35F13" w:rsidRDefault="0061074D" w:rsidP="00B35F13">
      <w:pPr>
        <w:spacing w:before="240" w:line="360" w:lineRule="auto"/>
        <w:jc w:val="both"/>
        <w:rPr>
          <w:rFonts w:ascii="ITC Avant Garde" w:hAnsi="ITC Avant Garde"/>
        </w:rPr>
      </w:pPr>
      <w:r w:rsidRPr="002A2450">
        <w:rPr>
          <w:rFonts w:ascii="ITC Avant Garde" w:hAnsi="ITC Avant Garde"/>
        </w:rPr>
        <w:t xml:space="preserve">Sin embargo, dicha prueba resultó </w:t>
      </w:r>
      <w:r w:rsidR="00280C17" w:rsidRPr="002A2450">
        <w:rPr>
          <w:rFonts w:ascii="ITC Avant Garde" w:hAnsi="ITC Avant Garde"/>
        </w:rPr>
        <w:t xml:space="preserve">ineficaz </w:t>
      </w:r>
      <w:r w:rsidRPr="002A2450">
        <w:rPr>
          <w:rFonts w:ascii="ITC Avant Garde" w:hAnsi="ITC Avant Garde"/>
        </w:rPr>
        <w:t xml:space="preserve">para desvirtuar la conducta materia del presente procedimiento, toda vez que con dicha documental sólo puede acreditarse </w:t>
      </w:r>
      <w:r w:rsidR="006D342B" w:rsidRPr="002A2450">
        <w:rPr>
          <w:rFonts w:ascii="ITC Avant Garde" w:hAnsi="ITC Avant Garde"/>
        </w:rPr>
        <w:t xml:space="preserve">la terminación por lo menos de manera formal </w:t>
      </w:r>
      <w:r w:rsidRPr="002A2450">
        <w:rPr>
          <w:rFonts w:ascii="ITC Avant Garde" w:hAnsi="ITC Avant Garde"/>
        </w:rPr>
        <w:t>de los cont</w:t>
      </w:r>
      <w:r w:rsidR="006D342B" w:rsidRPr="002A2450">
        <w:rPr>
          <w:rFonts w:ascii="ITC Avant Garde" w:hAnsi="ITC Avant Garde"/>
        </w:rPr>
        <w:t>ratos de opción y consecuencias, lo cual lleva a esta autoridad a presumir su existencia y validez mientras estuvieron vigentes</w:t>
      </w:r>
      <w:r w:rsidR="00271FF5" w:rsidRPr="002A2450">
        <w:rPr>
          <w:rFonts w:ascii="ITC Avant Garde" w:hAnsi="ITC Avant Garde"/>
        </w:rPr>
        <w:t xml:space="preserve">, desde su firma el </w:t>
      </w:r>
      <w:r w:rsidR="007A2C7A" w:rsidRPr="002A2450">
        <w:rPr>
          <w:rFonts w:ascii="ITC Avant Garde" w:hAnsi="ITC Avant Garde"/>
          <w:lang w:val="es-ES_tradnl"/>
        </w:rPr>
        <w:t xml:space="preserve">veinticuatro </w:t>
      </w:r>
      <w:r w:rsidR="00271FF5" w:rsidRPr="002A2450">
        <w:rPr>
          <w:rFonts w:ascii="ITC Avant Garde" w:hAnsi="ITC Avant Garde"/>
          <w:lang w:val="es-ES_tradnl"/>
        </w:rPr>
        <w:t xml:space="preserve">de noviembre de </w:t>
      </w:r>
      <w:r w:rsidR="007A2C7A" w:rsidRPr="002A2450">
        <w:rPr>
          <w:rFonts w:ascii="ITC Avant Garde" w:hAnsi="ITC Avant Garde"/>
          <w:lang w:val="es-ES_tradnl"/>
        </w:rPr>
        <w:t xml:space="preserve">dos mil ocho </w:t>
      </w:r>
      <w:r w:rsidR="00271FF5" w:rsidRPr="002A2450">
        <w:rPr>
          <w:rFonts w:ascii="ITC Avant Garde" w:hAnsi="ITC Avant Garde"/>
          <w:lang w:val="es-ES_tradnl"/>
        </w:rPr>
        <w:t>hasta la fecha en que surtió efectos el Convenio de Terminación</w:t>
      </w:r>
      <w:r w:rsidR="00BC6CBC" w:rsidRPr="002A2450">
        <w:rPr>
          <w:rFonts w:ascii="ITC Avant Garde" w:hAnsi="ITC Avant Garde"/>
          <w:lang w:val="es-ES_tradnl"/>
        </w:rPr>
        <w:t xml:space="preserve">, el </w:t>
      </w:r>
      <w:r w:rsidR="007A2C7A" w:rsidRPr="002A2450">
        <w:rPr>
          <w:rFonts w:ascii="ITC Avant Garde" w:hAnsi="ITC Avant Garde"/>
          <w:lang w:val="es-ES_tradnl"/>
        </w:rPr>
        <w:t xml:space="preserve">ocho </w:t>
      </w:r>
      <w:r w:rsidR="00BC6CBC" w:rsidRPr="002A2450">
        <w:rPr>
          <w:rFonts w:ascii="ITC Avant Garde" w:hAnsi="ITC Avant Garde"/>
          <w:lang w:val="es-ES_tradnl"/>
        </w:rPr>
        <w:t>de agosto de</w:t>
      </w:r>
      <w:r w:rsidR="007A2C7A" w:rsidRPr="002A2450">
        <w:rPr>
          <w:rFonts w:ascii="ITC Avant Garde" w:hAnsi="ITC Avant Garde"/>
          <w:lang w:val="es-ES_tradnl"/>
        </w:rPr>
        <w:t>dos mil catorce</w:t>
      </w:r>
      <w:r w:rsidR="006D342B" w:rsidRPr="002A2450">
        <w:rPr>
          <w:rFonts w:ascii="ITC Avant Garde" w:hAnsi="ITC Avant Garde"/>
          <w:lang w:val="es-ES_tradnl"/>
        </w:rPr>
        <w:t>.</w:t>
      </w:r>
    </w:p>
    <w:p w14:paraId="3B0C9327" w14:textId="77777777" w:rsidR="00B35F13" w:rsidRDefault="0061074D" w:rsidP="00B35F13">
      <w:pPr>
        <w:spacing w:before="240" w:line="360" w:lineRule="auto"/>
        <w:jc w:val="both"/>
        <w:rPr>
          <w:rFonts w:ascii="ITC Avant Garde" w:hAnsi="ITC Avant Garde"/>
          <w:b/>
        </w:rPr>
      </w:pPr>
      <w:r w:rsidRPr="002A2450">
        <w:rPr>
          <w:rFonts w:ascii="ITC Avant Garde" w:hAnsi="ITC Avant Garde"/>
        </w:rPr>
        <w:t>Ahora bien, por lo que respe</w:t>
      </w:r>
      <w:r w:rsidR="006D342B" w:rsidRPr="002A2450">
        <w:rPr>
          <w:rFonts w:ascii="ITC Avant Garde" w:hAnsi="ITC Avant Garde"/>
        </w:rPr>
        <w:t>c</w:t>
      </w:r>
      <w:r w:rsidRPr="002A2450">
        <w:rPr>
          <w:rFonts w:ascii="ITC Avant Garde" w:hAnsi="ITC Avant Garde"/>
        </w:rPr>
        <w:t xml:space="preserve">ta a la copia simple y la posterior presentación del acuse de recibo del escrito presentado el cinco de septiembre de dos mil catorce ante la Oficialía de Partes de este </w:t>
      </w:r>
      <w:r w:rsidRPr="002A2450">
        <w:rPr>
          <w:rFonts w:ascii="ITC Avant Garde" w:hAnsi="ITC Avant Garde"/>
          <w:b/>
        </w:rPr>
        <w:t>“IFT”,</w:t>
      </w:r>
      <w:r w:rsidRPr="002A2450">
        <w:rPr>
          <w:rFonts w:ascii="ITC Avant Garde" w:hAnsi="ITC Avant Garde"/>
        </w:rPr>
        <w:t xml:space="preserve"> dirigido a la Titular de la Unidad de Competencia Económica en alcance a sus escrito</w:t>
      </w:r>
      <w:r w:rsidR="006D342B" w:rsidRPr="002A2450">
        <w:rPr>
          <w:rFonts w:ascii="ITC Avant Garde" w:hAnsi="ITC Avant Garde"/>
        </w:rPr>
        <w:t>s</w:t>
      </w:r>
      <w:r w:rsidRPr="002A2450">
        <w:rPr>
          <w:rFonts w:ascii="ITC Avant Garde" w:hAnsi="ITC Avant Garde"/>
        </w:rPr>
        <w:t xml:space="preserve"> presentado</w:t>
      </w:r>
      <w:r w:rsidR="006D342B" w:rsidRPr="002A2450">
        <w:rPr>
          <w:rFonts w:ascii="ITC Avant Garde" w:hAnsi="ITC Avant Garde"/>
        </w:rPr>
        <w:t>s</w:t>
      </w:r>
      <w:r w:rsidRPr="002A2450">
        <w:rPr>
          <w:rFonts w:ascii="ITC Avant Garde" w:hAnsi="ITC Avant Garde"/>
        </w:rPr>
        <w:t xml:space="preserve"> el dos y diecisiete de julio de dos mil catorce en relación al procedimiento E-IFT/UC/DGIPM/PMR/003/2013</w:t>
      </w:r>
      <w:r w:rsidR="00C82307" w:rsidRPr="002A2450">
        <w:rPr>
          <w:rFonts w:ascii="ITC Avant Garde" w:hAnsi="ITC Avant Garde"/>
        </w:rPr>
        <w:t xml:space="preserve">, presentados por </w:t>
      </w:r>
      <w:r w:rsidR="00C82307" w:rsidRPr="002A2450">
        <w:rPr>
          <w:rFonts w:ascii="ITC Avant Garde" w:hAnsi="ITC Avant Garde"/>
          <w:b/>
        </w:rPr>
        <w:t xml:space="preserve">“TELMEX” </w:t>
      </w:r>
      <w:r w:rsidR="006D342B" w:rsidRPr="002A2450">
        <w:rPr>
          <w:rFonts w:ascii="ITC Avant Garde" w:hAnsi="ITC Avant Garde"/>
        </w:rPr>
        <w:t>en el presente procedimiento</w:t>
      </w:r>
      <w:r w:rsidR="006D342B" w:rsidRPr="002A2450">
        <w:rPr>
          <w:rFonts w:ascii="ITC Avant Garde" w:hAnsi="ITC Avant Garde"/>
          <w:b/>
        </w:rPr>
        <w:t xml:space="preserve"> </w:t>
      </w:r>
      <w:r w:rsidR="00C82307" w:rsidRPr="002A2450">
        <w:rPr>
          <w:rFonts w:ascii="ITC Avant Garde" w:hAnsi="ITC Avant Garde"/>
        </w:rPr>
        <w:t xml:space="preserve">el diez y veintiocho de septiembre de dos mil quince, con el objeto de acreditar que previo al inicio del procedimiento </w:t>
      </w:r>
      <w:r w:rsidR="006D342B" w:rsidRPr="002A2450">
        <w:rPr>
          <w:rFonts w:ascii="ITC Avant Garde" w:hAnsi="ITC Avant Garde"/>
        </w:rPr>
        <w:t xml:space="preserve">sancionatorio </w:t>
      </w:r>
      <w:r w:rsidR="00C82307" w:rsidRPr="002A2450">
        <w:rPr>
          <w:rFonts w:ascii="ITC Avant Garde" w:hAnsi="ITC Avant Garde"/>
        </w:rPr>
        <w:t xml:space="preserve">se había exhibido ante este </w:t>
      </w:r>
      <w:r w:rsidR="00C82307" w:rsidRPr="002A2450">
        <w:rPr>
          <w:rFonts w:ascii="ITC Avant Garde" w:hAnsi="ITC Avant Garde"/>
          <w:b/>
        </w:rPr>
        <w:t>“IFT”</w:t>
      </w:r>
      <w:r w:rsidR="006D342B" w:rsidRPr="002A2450">
        <w:rPr>
          <w:rFonts w:ascii="ITC Avant Garde" w:hAnsi="ITC Avant Garde"/>
          <w:b/>
        </w:rPr>
        <w:t xml:space="preserve"> </w:t>
      </w:r>
      <w:r w:rsidR="006D342B" w:rsidRPr="002A2450">
        <w:rPr>
          <w:rFonts w:ascii="ITC Avant Garde" w:hAnsi="ITC Avant Garde"/>
        </w:rPr>
        <w:t xml:space="preserve">el Convenio de Terminación aludido, </w:t>
      </w:r>
      <w:r w:rsidR="00C82307" w:rsidRPr="002A2450">
        <w:rPr>
          <w:rFonts w:ascii="ITC Avant Garde" w:hAnsi="ITC Avant Garde"/>
        </w:rPr>
        <w:t xml:space="preserve">debe señalarse que dichas documentales </w:t>
      </w:r>
      <w:r w:rsidR="00AF4A79" w:rsidRPr="002A2450">
        <w:rPr>
          <w:rFonts w:ascii="ITC Avant Garde" w:hAnsi="ITC Avant Garde"/>
        </w:rPr>
        <w:t xml:space="preserve">tienen valor probatorio pleno en términos de los artículos 197 y 202 del </w:t>
      </w:r>
      <w:r w:rsidR="00AF4A79" w:rsidRPr="002A2450">
        <w:rPr>
          <w:rFonts w:ascii="ITC Avant Garde" w:hAnsi="ITC Avant Garde"/>
          <w:b/>
        </w:rPr>
        <w:t>“CFPC”</w:t>
      </w:r>
      <w:r w:rsidR="00AF4A79" w:rsidRPr="002A2450">
        <w:rPr>
          <w:rFonts w:ascii="ITC Avant Garde" w:hAnsi="ITC Avant Garde"/>
        </w:rPr>
        <w:t xml:space="preserve"> de aplicación supletoria en términos del artículo 6, fracción IV de la </w:t>
      </w:r>
      <w:r w:rsidR="00AF4A79" w:rsidRPr="002A2450">
        <w:rPr>
          <w:rFonts w:ascii="ITC Avant Garde" w:hAnsi="ITC Avant Garde"/>
          <w:b/>
        </w:rPr>
        <w:t>“</w:t>
      </w:r>
      <w:proofErr w:type="spellStart"/>
      <w:r w:rsidR="00AF4A79" w:rsidRPr="002A2450">
        <w:rPr>
          <w:rFonts w:ascii="ITC Avant Garde" w:hAnsi="ITC Avant Garde"/>
          <w:b/>
        </w:rPr>
        <w:t>LFTyR</w:t>
      </w:r>
      <w:proofErr w:type="spellEnd"/>
      <w:r w:rsidR="00AF4A79" w:rsidRPr="002A2450">
        <w:rPr>
          <w:rFonts w:ascii="ITC Avant Garde" w:hAnsi="ITC Avant Garde"/>
          <w:b/>
        </w:rPr>
        <w:t>”.</w:t>
      </w:r>
    </w:p>
    <w:p w14:paraId="06D01440" w14:textId="77777777" w:rsidR="00B35F13" w:rsidRDefault="00AF4A79" w:rsidP="00B35F13">
      <w:pPr>
        <w:spacing w:before="240" w:line="360" w:lineRule="auto"/>
        <w:jc w:val="both"/>
        <w:rPr>
          <w:rFonts w:ascii="ITC Avant Garde" w:hAnsi="ITC Avant Garde"/>
        </w:rPr>
      </w:pPr>
      <w:r w:rsidRPr="002A2450">
        <w:rPr>
          <w:rFonts w:ascii="ITC Avant Garde" w:hAnsi="ITC Avant Garde"/>
        </w:rPr>
        <w:lastRenderedPageBreak/>
        <w:t xml:space="preserve">Lo anterior, toda vez que dicha documental fue exhibida en primera instancia en copia simple, sin embargo, mediante el escrito presentado el veintiocho de septiembre de dos mil quince, </w:t>
      </w:r>
      <w:r w:rsidRPr="002A2450">
        <w:rPr>
          <w:rFonts w:ascii="ITC Avant Garde" w:hAnsi="ITC Avant Garde"/>
          <w:b/>
        </w:rPr>
        <w:t>“TELMEX”</w:t>
      </w:r>
      <w:r w:rsidRPr="002A2450">
        <w:rPr>
          <w:rFonts w:ascii="ITC Avant Garde" w:hAnsi="ITC Avant Garde"/>
        </w:rPr>
        <w:t xml:space="preserve"> exhibió dicha documental en copia certificada, de lo que se sigue que dicha prueba perfeccionada y presentada dentro del plazo otorgado para ello, esto es, dentro del plazo de prórroga otorgada mediante acuerdo de quince </w:t>
      </w:r>
      <w:r w:rsidR="006D342B" w:rsidRPr="002A2450">
        <w:rPr>
          <w:rFonts w:ascii="ITC Avant Garde" w:hAnsi="ITC Avant Garde"/>
        </w:rPr>
        <w:t>de septiembre de dos mil quince, hace prueba plena.</w:t>
      </w:r>
    </w:p>
    <w:p w14:paraId="26F3B523" w14:textId="77777777" w:rsidR="00B35F13" w:rsidRDefault="00AF4A79" w:rsidP="00B35F13">
      <w:pPr>
        <w:spacing w:before="240" w:line="360" w:lineRule="auto"/>
        <w:jc w:val="both"/>
        <w:rPr>
          <w:rFonts w:ascii="ITC Avant Garde" w:hAnsi="ITC Avant Garde"/>
        </w:rPr>
      </w:pPr>
      <w:r w:rsidRPr="002A2450">
        <w:rPr>
          <w:rFonts w:ascii="ITC Avant Garde" w:hAnsi="ITC Avant Garde"/>
        </w:rPr>
        <w:t>No obstante lo anterior, debe señalarse que dicha documental pese al valor probatorio otorgado por esta autoridad</w:t>
      </w:r>
      <w:r w:rsidR="006D342B" w:rsidRPr="002A2450">
        <w:rPr>
          <w:rFonts w:ascii="ITC Avant Garde" w:hAnsi="ITC Avant Garde"/>
        </w:rPr>
        <w:t>,</w:t>
      </w:r>
      <w:r w:rsidRPr="002A2450">
        <w:rPr>
          <w:rFonts w:ascii="ITC Avant Garde" w:hAnsi="ITC Avant Garde"/>
        </w:rPr>
        <w:t xml:space="preserve"> únicamente sirve para acreditar que el </w:t>
      </w:r>
      <w:r w:rsidRPr="002A2450">
        <w:rPr>
          <w:rFonts w:ascii="ITC Avant Garde" w:hAnsi="ITC Avant Garde"/>
          <w:i/>
        </w:rPr>
        <w:t xml:space="preserve">Convenio de Terminación </w:t>
      </w:r>
      <w:r w:rsidRPr="002A2450">
        <w:rPr>
          <w:rFonts w:ascii="ITC Avant Garde" w:hAnsi="ITC Avant Garde"/>
        </w:rPr>
        <w:t xml:space="preserve">al Contrato de Opción, así como al Contrato de Consecuencias celebrado el ocho de agosto de dos mil catorce fue exhibido ante la Unidad de Competencia Económica de este </w:t>
      </w:r>
      <w:r w:rsidRPr="002A2450">
        <w:rPr>
          <w:rFonts w:ascii="ITC Avant Garde" w:hAnsi="ITC Avant Garde"/>
          <w:b/>
        </w:rPr>
        <w:t>“IFT”</w:t>
      </w:r>
      <w:r w:rsidRPr="002A2450">
        <w:rPr>
          <w:rFonts w:ascii="ITC Avant Garde" w:hAnsi="ITC Avant Garde"/>
        </w:rPr>
        <w:t xml:space="preserve"> el cinco de septiembre de dos mil catorce en el procedimiento E-IFT/UC/DGIPM/PMR/003/2013 seguido ante esa Unidad</w:t>
      </w:r>
      <w:r w:rsidR="00660840" w:rsidRPr="002A2450">
        <w:rPr>
          <w:rFonts w:ascii="ITC Avant Garde" w:hAnsi="ITC Avant Garde"/>
        </w:rPr>
        <w:t>, más no así que con la misma se desvirtúe la conducta materia del presente procedimiento, esto es, la presunta infracción al</w:t>
      </w:r>
      <w:r w:rsidR="006D342B" w:rsidRPr="002A2450">
        <w:rPr>
          <w:rFonts w:ascii="ITC Avant Garde" w:hAnsi="ITC Avant Garde"/>
        </w:rPr>
        <w:t xml:space="preserve"> </w:t>
      </w:r>
      <w:r w:rsidR="00065AA4" w:rsidRPr="009E34A4">
        <w:rPr>
          <w:rFonts w:ascii="ITC Avant Garde" w:hAnsi="ITC Avant Garde"/>
          <w:b/>
        </w:rPr>
        <w:t>Tercer Párrafo</w:t>
      </w:r>
      <w:r w:rsidR="006D342B" w:rsidRPr="002A2450">
        <w:rPr>
          <w:rFonts w:ascii="ITC Avant Garde" w:hAnsi="ITC Avant Garde"/>
        </w:rPr>
        <w:t xml:space="preserve"> de la </w:t>
      </w:r>
      <w:r w:rsidR="00660840" w:rsidRPr="002A2450">
        <w:rPr>
          <w:rFonts w:ascii="ITC Avant Garde" w:hAnsi="ITC Avant Garde"/>
        </w:rPr>
        <w:t xml:space="preserve">condición 1-9 del </w:t>
      </w:r>
      <w:r w:rsidR="00660840" w:rsidRPr="002A2450">
        <w:rPr>
          <w:rFonts w:ascii="ITC Avant Garde" w:hAnsi="ITC Avant Garde"/>
          <w:b/>
        </w:rPr>
        <w:t>“TÍTULO DE CONCESIÓN”</w:t>
      </w:r>
      <w:r w:rsidR="00660840" w:rsidRPr="002A2450">
        <w:rPr>
          <w:rFonts w:ascii="ITC Avant Garde" w:hAnsi="ITC Avant Garde"/>
        </w:rPr>
        <w:t xml:space="preserve"> otorgado a </w:t>
      </w:r>
      <w:r w:rsidR="00660840" w:rsidRPr="002A2450">
        <w:rPr>
          <w:rFonts w:ascii="ITC Avant Garde" w:hAnsi="ITC Avant Garde"/>
          <w:b/>
        </w:rPr>
        <w:t xml:space="preserve">“TELMEX”, </w:t>
      </w:r>
      <w:r w:rsidR="00660840" w:rsidRPr="002A2450">
        <w:rPr>
          <w:rFonts w:ascii="ITC Avant Garde" w:hAnsi="ITC Avant Garde"/>
        </w:rPr>
        <w:t xml:space="preserve">puesto que como </w:t>
      </w:r>
      <w:r w:rsidR="006D342B" w:rsidRPr="002A2450">
        <w:rPr>
          <w:rFonts w:ascii="ITC Avant Garde" w:hAnsi="ITC Avant Garde"/>
        </w:rPr>
        <w:t xml:space="preserve">había sido señalado, dicha probanza </w:t>
      </w:r>
      <w:r w:rsidR="00660840" w:rsidRPr="002A2450">
        <w:rPr>
          <w:rFonts w:ascii="ITC Avant Garde" w:hAnsi="ITC Avant Garde"/>
        </w:rPr>
        <w:t>sólo acredita la presentación en la fecha y ante la autoridad señalada.</w:t>
      </w:r>
    </w:p>
    <w:p w14:paraId="2CF9F15D" w14:textId="77777777" w:rsidR="00B35F13" w:rsidRDefault="00BC6CBC" w:rsidP="007E623E">
      <w:pPr>
        <w:pStyle w:val="Ttulo5"/>
        <w:numPr>
          <w:ilvl w:val="0"/>
          <w:numId w:val="68"/>
        </w:numPr>
      </w:pPr>
      <w:r w:rsidRPr="002A2450">
        <w:rPr>
          <w:lang w:eastAsia="es-MX"/>
        </w:rPr>
        <w:t>OTRAS</w:t>
      </w:r>
      <w:r w:rsidRPr="002A2450">
        <w:t xml:space="preserve"> PRUEBAS DOCUMENTALES</w:t>
      </w:r>
    </w:p>
    <w:p w14:paraId="1168A640" w14:textId="77777777" w:rsidR="00B35F13" w:rsidRDefault="00660840" w:rsidP="00B35F13">
      <w:pPr>
        <w:spacing w:before="240" w:line="360" w:lineRule="auto"/>
        <w:jc w:val="both"/>
        <w:rPr>
          <w:rFonts w:ascii="ITC Avant Garde" w:hAnsi="ITC Avant Garde"/>
        </w:rPr>
      </w:pPr>
      <w:r w:rsidRPr="002A2450">
        <w:rPr>
          <w:rFonts w:ascii="ITC Avant Garde" w:hAnsi="ITC Avant Garde"/>
        </w:rPr>
        <w:t xml:space="preserve">Por lo que se refiere a las documentales consistentes en: </w:t>
      </w:r>
    </w:p>
    <w:p w14:paraId="0C88001F" w14:textId="77777777" w:rsidR="00B35F13" w:rsidRDefault="00660840" w:rsidP="007E623E">
      <w:pPr>
        <w:pStyle w:val="Prrafodelista"/>
        <w:numPr>
          <w:ilvl w:val="0"/>
          <w:numId w:val="34"/>
        </w:numPr>
        <w:spacing w:before="240" w:line="360" w:lineRule="auto"/>
        <w:jc w:val="both"/>
        <w:rPr>
          <w:rFonts w:ascii="ITC Avant Garde" w:hAnsi="ITC Avant Garde"/>
        </w:rPr>
      </w:pPr>
      <w:r w:rsidRPr="002A2450">
        <w:rPr>
          <w:rFonts w:ascii="ITC Avant Garde" w:hAnsi="ITC Avant Garde"/>
        </w:rPr>
        <w:t>Escrito presentado el diez de septiembre de dos mil quince ante la Subsecretaría de Comunicaciones y Transportes de la Secretaría de Comunicaciones y Transportes mediante el cual solicita copia certificada del oficio 107.350 de veintitrés de junio de mil novecientos noventa y cinco emitido por el Director General de Sistemas de Difusión y del oficio 2.-1210 de doce de junio de mil novecientos noventa y cinco emitido por la entonces Subsecretaría de Comunicaciones y Desarrollo Tecnológico.</w:t>
      </w:r>
    </w:p>
    <w:p w14:paraId="415127B7" w14:textId="77777777" w:rsidR="00B35F13" w:rsidRDefault="00660840" w:rsidP="007E623E">
      <w:pPr>
        <w:pStyle w:val="Prrafodelista"/>
        <w:numPr>
          <w:ilvl w:val="0"/>
          <w:numId w:val="34"/>
        </w:numPr>
        <w:spacing w:before="240" w:line="360" w:lineRule="auto"/>
        <w:jc w:val="both"/>
        <w:rPr>
          <w:rFonts w:ascii="ITC Avant Garde" w:hAnsi="ITC Avant Garde"/>
        </w:rPr>
      </w:pPr>
      <w:r w:rsidRPr="002A2450">
        <w:rPr>
          <w:rFonts w:ascii="ITC Avant Garde" w:hAnsi="ITC Avant Garde"/>
        </w:rPr>
        <w:lastRenderedPageBreak/>
        <w:t xml:space="preserve">Oficio 2.-1210 de doce de junio de mil novecientos noventa y cinco suscrito por el entonces Subsecretario de Comunicaciones y Desarrollo Tecnológico de la </w:t>
      </w:r>
      <w:r w:rsidR="00BD1D1D" w:rsidRPr="002A2450">
        <w:rPr>
          <w:rFonts w:ascii="ITC Avant Garde" w:hAnsi="ITC Avant Garde"/>
        </w:rPr>
        <w:t>Secretaría</w:t>
      </w:r>
      <w:r w:rsidRPr="002A2450">
        <w:rPr>
          <w:rFonts w:ascii="ITC Avant Garde" w:hAnsi="ITC Avant Garde"/>
        </w:rPr>
        <w:t xml:space="preserve"> de Comunicaciones y Transportes.</w:t>
      </w:r>
    </w:p>
    <w:p w14:paraId="3B6B0D73" w14:textId="77777777" w:rsidR="00B35F13" w:rsidRDefault="00660840" w:rsidP="007E623E">
      <w:pPr>
        <w:pStyle w:val="Prrafodelista"/>
        <w:numPr>
          <w:ilvl w:val="0"/>
          <w:numId w:val="34"/>
        </w:numPr>
        <w:spacing w:before="240" w:line="360" w:lineRule="auto"/>
        <w:jc w:val="both"/>
        <w:rPr>
          <w:rFonts w:ascii="ITC Avant Garde" w:hAnsi="ITC Avant Garde"/>
        </w:rPr>
      </w:pPr>
      <w:r w:rsidRPr="002A2450">
        <w:rPr>
          <w:rFonts w:ascii="ITC Avant Garde" w:hAnsi="ITC Avant Garde"/>
        </w:rPr>
        <w:t>Oficio 107.-350 de veintitrés de junio de mil novecientos noventa y cinco suscrito por el Director General de Sistemas de Difusión de la Subsecretaría de Comunicaciones y Desarrollo Tecnológico de la Secretaría de Comunicaciones y Transportes</w:t>
      </w:r>
    </w:p>
    <w:p w14:paraId="4D2CE836" w14:textId="77777777" w:rsidR="00B35F13" w:rsidRDefault="00660840"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Debe señalarse que mediante acuerdo de treinta de septiembre de dos mil quince se tuvieron por presentadas, admitidas y desahogas por su propia y especial naturaleza.</w:t>
      </w:r>
    </w:p>
    <w:p w14:paraId="646356AD" w14:textId="77777777" w:rsidR="00B35F13" w:rsidRDefault="00660840" w:rsidP="00B35F13">
      <w:pPr>
        <w:spacing w:before="240" w:line="360" w:lineRule="auto"/>
        <w:jc w:val="both"/>
        <w:rPr>
          <w:rFonts w:ascii="ITC Avant Garde" w:hAnsi="ITC Avant Garde"/>
        </w:rPr>
      </w:pPr>
      <w:r w:rsidRPr="002A2450">
        <w:rPr>
          <w:rFonts w:ascii="ITC Avant Garde" w:eastAsia="Times New Roman" w:hAnsi="ITC Avant Garde"/>
          <w:bCs/>
          <w:lang w:eastAsia="es-MX"/>
        </w:rPr>
        <w:t xml:space="preserve">No obstante lo anterior, dado que en el escrito presentado el veintiocho de septiembre de dos mil quince, </w:t>
      </w:r>
      <w:r w:rsidRPr="002A2450">
        <w:rPr>
          <w:rFonts w:ascii="ITC Avant Garde" w:eastAsia="Times New Roman" w:hAnsi="ITC Avant Garde"/>
          <w:b/>
          <w:bCs/>
          <w:lang w:eastAsia="es-MX"/>
        </w:rPr>
        <w:t>“TELMEX”</w:t>
      </w:r>
      <w:r w:rsidRPr="002A2450">
        <w:rPr>
          <w:rFonts w:ascii="ITC Avant Garde" w:eastAsia="Times New Roman" w:hAnsi="ITC Avant Garde"/>
          <w:bCs/>
          <w:lang w:eastAsia="es-MX"/>
        </w:rPr>
        <w:t xml:space="preserve"> también ofreció copia del acuse de recibo del escrito presentado el diez de septiembre de esa anualidad a la Dirección General de Concentración de la actual Comisión Federal de Competencia económica </w:t>
      </w:r>
      <w:r w:rsidR="0041715D" w:rsidRPr="002A2450">
        <w:rPr>
          <w:rFonts w:ascii="ITC Avant Garde" w:eastAsia="Times New Roman" w:hAnsi="ITC Avant Garde"/>
          <w:bCs/>
          <w:lang w:eastAsia="es-MX"/>
        </w:rPr>
        <w:t xml:space="preserve">mediante el cual solicitó entre otros copia certificada de los oficios </w:t>
      </w:r>
      <w:r w:rsidR="0041715D" w:rsidRPr="002A2450">
        <w:rPr>
          <w:rFonts w:ascii="ITC Avant Garde" w:hAnsi="ITC Avant Garde"/>
        </w:rPr>
        <w:t>2.-1210 y 107.-350, esta autoridad en preparación a las mismas giró los oficios:</w:t>
      </w:r>
    </w:p>
    <w:p w14:paraId="681D103C" w14:textId="4ED5351C" w:rsidR="0041715D" w:rsidRPr="002A2450" w:rsidRDefault="0041715D" w:rsidP="007E623E">
      <w:pPr>
        <w:pStyle w:val="Prrafodelista"/>
        <w:numPr>
          <w:ilvl w:val="0"/>
          <w:numId w:val="35"/>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IFT/225/UC/2299/2015 dirigido a la Subsecretaría de Comunicaciones de la Secretaría de Comunicaciones y Transportes.</w:t>
      </w:r>
    </w:p>
    <w:p w14:paraId="0D5F9721" w14:textId="77777777" w:rsidR="00B35F13" w:rsidRDefault="0041715D" w:rsidP="007E623E">
      <w:pPr>
        <w:pStyle w:val="Prrafodelista"/>
        <w:numPr>
          <w:ilvl w:val="0"/>
          <w:numId w:val="35"/>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IFT/225/UC/2300/2015 dirigido al Secretario Técnico de la Comisión Federal de Competencia Económica</w:t>
      </w:r>
    </w:p>
    <w:p w14:paraId="4A4EE9BF" w14:textId="77777777" w:rsidR="00B35F13" w:rsidRDefault="0041715D"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Lo anterior, con el objeto de que remitieran las copias certificadas de los oficios señalados por </w:t>
      </w:r>
      <w:r w:rsidRPr="002A2450">
        <w:rPr>
          <w:rFonts w:ascii="ITC Avant Garde" w:eastAsia="Times New Roman" w:hAnsi="ITC Avant Garde"/>
          <w:b/>
          <w:bCs/>
          <w:lang w:eastAsia="es-MX"/>
        </w:rPr>
        <w:t>“TELMEX”</w:t>
      </w:r>
      <w:r w:rsidRPr="002A2450">
        <w:rPr>
          <w:rFonts w:ascii="ITC Avant Garde" w:eastAsia="Times New Roman" w:hAnsi="ITC Avant Garde"/>
          <w:bCs/>
          <w:lang w:eastAsia="es-MX"/>
        </w:rPr>
        <w:t xml:space="preserve"> en su escrito de veintiocho de septiembre de dos mil quince.</w:t>
      </w:r>
    </w:p>
    <w:p w14:paraId="141BD177" w14:textId="77777777" w:rsidR="00B35F13" w:rsidRDefault="0041715D" w:rsidP="00B35F13">
      <w:pPr>
        <w:spacing w:before="240" w:line="360" w:lineRule="auto"/>
        <w:jc w:val="both"/>
        <w:rPr>
          <w:rFonts w:ascii="ITC Avant Garde" w:eastAsia="Times New Roman" w:hAnsi="ITC Avant Garde"/>
          <w:bCs/>
          <w:i/>
          <w:lang w:eastAsia="es-MX"/>
        </w:rPr>
      </w:pPr>
      <w:r w:rsidRPr="002A2450">
        <w:rPr>
          <w:rFonts w:ascii="ITC Avant Garde" w:eastAsia="Times New Roman" w:hAnsi="ITC Avant Garde"/>
          <w:bCs/>
          <w:lang w:eastAsia="es-MX"/>
        </w:rPr>
        <w:t xml:space="preserve">Al respecto, mediante oficio ST-CFCE-2015-304 de veintiocho de octubre de dos mil quince, el Secretario Técnico de la Comisión Federal de Competencia Económica informó que dicha autoridad se encontraba impedida para remitir las constancias solicitadas toda vez que las mismas obraban en el expediente CNT-008-1995 el cuál </w:t>
      </w:r>
      <w:r w:rsidRPr="002A2450">
        <w:rPr>
          <w:rFonts w:ascii="ITC Avant Garde" w:eastAsia="Times New Roman" w:hAnsi="ITC Avant Garde"/>
          <w:bCs/>
          <w:lang w:eastAsia="es-MX"/>
        </w:rPr>
        <w:lastRenderedPageBreak/>
        <w:t xml:space="preserve">fue remitido a la Unidad de Competencia Económica de este </w:t>
      </w:r>
      <w:r w:rsidRPr="002A2450">
        <w:rPr>
          <w:rFonts w:ascii="ITC Avant Garde" w:eastAsia="Times New Roman" w:hAnsi="ITC Avant Garde"/>
          <w:b/>
          <w:bCs/>
          <w:lang w:eastAsia="es-MX"/>
        </w:rPr>
        <w:t>“IFT”</w:t>
      </w:r>
      <w:r w:rsidR="0049026E" w:rsidRPr="002A2450">
        <w:rPr>
          <w:rFonts w:ascii="ITC Avant Garde" w:eastAsia="Times New Roman" w:hAnsi="ITC Avant Garde"/>
          <w:bCs/>
          <w:lang w:eastAsia="es-MX"/>
        </w:rPr>
        <w:t xml:space="preserve"> el ocho de abril de dos mil catorce a través del </w:t>
      </w:r>
      <w:r w:rsidR="0049026E" w:rsidRPr="002A2450">
        <w:rPr>
          <w:rFonts w:ascii="ITC Avant Garde" w:eastAsia="Times New Roman" w:hAnsi="ITC Avant Garde"/>
          <w:bCs/>
          <w:i/>
          <w:lang w:eastAsia="es-MX"/>
        </w:rPr>
        <w:t>Acta Administrativa de Entre</w:t>
      </w:r>
      <w:r w:rsidR="00943E78" w:rsidRPr="002A2450">
        <w:rPr>
          <w:rFonts w:ascii="ITC Avant Garde" w:eastAsia="Times New Roman" w:hAnsi="ITC Avant Garde"/>
          <w:bCs/>
          <w:i/>
          <w:lang w:eastAsia="es-MX"/>
        </w:rPr>
        <w:t>ga</w:t>
      </w:r>
      <w:r w:rsidR="0049026E" w:rsidRPr="002A2450">
        <w:rPr>
          <w:rFonts w:ascii="ITC Avant Garde" w:eastAsia="Times New Roman" w:hAnsi="ITC Avant Garde"/>
          <w:bCs/>
          <w:i/>
          <w:lang w:eastAsia="es-MX"/>
        </w:rPr>
        <w:t>-Recepción de Expedientes, que realiza la Comisión Federal de Competencia Económica al Instituto Federal de Telecomunicaciones.</w:t>
      </w:r>
    </w:p>
    <w:p w14:paraId="4353873B" w14:textId="77777777" w:rsidR="00B35F13" w:rsidRDefault="0049026E" w:rsidP="00B35F13">
      <w:pPr>
        <w:spacing w:before="240" w:line="360" w:lineRule="auto"/>
        <w:jc w:val="both"/>
        <w:rPr>
          <w:rFonts w:ascii="ITC Avant Garde" w:hAnsi="ITC Avant Garde"/>
        </w:rPr>
      </w:pPr>
      <w:r w:rsidRPr="002A2450">
        <w:rPr>
          <w:rFonts w:ascii="ITC Avant Garde" w:eastAsia="Times New Roman" w:hAnsi="ITC Avant Garde"/>
          <w:bCs/>
          <w:lang w:eastAsia="es-MX"/>
        </w:rPr>
        <w:t xml:space="preserve">Con base en lo anterior, por acuerdo de once de noviembre de dos mil quince, se ordenó requerir a la Titular de la Unidad de Competencia Económica </w:t>
      </w:r>
      <w:r w:rsidR="00943E78" w:rsidRPr="002A2450">
        <w:rPr>
          <w:rFonts w:ascii="ITC Avant Garde" w:eastAsia="Times New Roman" w:hAnsi="ITC Avant Garde"/>
          <w:bCs/>
          <w:lang w:eastAsia="es-MX"/>
        </w:rPr>
        <w:t xml:space="preserve">para que remitiera </w:t>
      </w:r>
      <w:r w:rsidRPr="002A2450">
        <w:rPr>
          <w:rFonts w:ascii="ITC Avant Garde" w:eastAsia="Times New Roman" w:hAnsi="ITC Avant Garde"/>
          <w:bCs/>
          <w:lang w:eastAsia="es-MX"/>
        </w:rPr>
        <w:t xml:space="preserve">las copias certificadas de los oficios </w:t>
      </w:r>
      <w:r w:rsidRPr="002A2450">
        <w:rPr>
          <w:rFonts w:ascii="ITC Avant Garde" w:hAnsi="ITC Avant Garde"/>
        </w:rPr>
        <w:t>2.-1210 y 107.-350</w:t>
      </w:r>
      <w:r w:rsidR="005F6095" w:rsidRPr="002A2450">
        <w:rPr>
          <w:rFonts w:ascii="ITC Avant Garde" w:hAnsi="ITC Avant Garde"/>
        </w:rPr>
        <w:t>,</w:t>
      </w:r>
      <w:r w:rsidRPr="002A2450">
        <w:rPr>
          <w:rFonts w:ascii="ITC Avant Garde" w:hAnsi="ITC Avant Garde"/>
        </w:rPr>
        <w:t xml:space="preserve"> ofrecidos por </w:t>
      </w:r>
      <w:r w:rsidRPr="002A2450">
        <w:rPr>
          <w:rFonts w:ascii="ITC Avant Garde" w:hAnsi="ITC Avant Garde"/>
          <w:b/>
        </w:rPr>
        <w:t>“TELMEX”</w:t>
      </w:r>
      <w:r w:rsidRPr="002A2450">
        <w:rPr>
          <w:rFonts w:ascii="ITC Avant Garde" w:hAnsi="ITC Avant Garde"/>
        </w:rPr>
        <w:t>.</w:t>
      </w:r>
    </w:p>
    <w:p w14:paraId="6B1F93DB" w14:textId="77777777" w:rsidR="00B35F13" w:rsidRDefault="0049026E"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cumplimiento a lo anterior, mediante oficio IFT/225/UC/2476/2015 de once de noviembre de dos mil quince, el Titular de la Unidad de Cumplimiento requirió a la Titular de la Unidad de Competencia Económica las copias certificadas de los oficios </w:t>
      </w:r>
      <w:r w:rsidRPr="002A2450">
        <w:rPr>
          <w:rFonts w:ascii="ITC Avant Garde" w:hAnsi="ITC Avant Garde"/>
        </w:rPr>
        <w:t xml:space="preserve">2.-1210 y 107.-350 mismos que obraban en los autos del expediente </w:t>
      </w:r>
      <w:r w:rsidRPr="002A2450">
        <w:rPr>
          <w:rFonts w:ascii="ITC Avant Garde" w:eastAsia="Times New Roman" w:hAnsi="ITC Avant Garde"/>
          <w:bCs/>
          <w:lang w:eastAsia="es-MX"/>
        </w:rPr>
        <w:t>CNT-008-1995 de la extinta Comisión Federal de Competencia.</w:t>
      </w:r>
    </w:p>
    <w:p w14:paraId="6003E423" w14:textId="77777777" w:rsidR="00B35F13" w:rsidRDefault="0049026E"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desahogo a lo anterior </w:t>
      </w:r>
      <w:r w:rsidR="00B64B1C" w:rsidRPr="002A2450">
        <w:rPr>
          <w:rFonts w:ascii="ITC Avant Garde" w:eastAsia="Times New Roman" w:hAnsi="ITC Avant Garde"/>
          <w:bCs/>
          <w:lang w:eastAsia="es-MX"/>
        </w:rPr>
        <w:t>mediante oficio IFT/226/UCE/484/2015 de veinticuatro de noviembre de dos mil quince, la Titular de la Unidad de Competencia Económica remitió copia certificada de los siguientes documentos:</w:t>
      </w:r>
    </w:p>
    <w:p w14:paraId="014A56DF" w14:textId="77777777" w:rsidR="00B35F13" w:rsidRDefault="00B64B1C" w:rsidP="007E623E">
      <w:pPr>
        <w:pStyle w:val="Prrafodelista"/>
        <w:numPr>
          <w:ilvl w:val="0"/>
          <w:numId w:val="36"/>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Oficio 107.350 emitido por el Director General de Sistemas de Difusión de la Subsecretaría de Comunicaciones y Desarrollo Tecnológico de la Subsecretaría de Comunicaciones y Transportes.</w:t>
      </w:r>
    </w:p>
    <w:p w14:paraId="60B76A06" w14:textId="77777777" w:rsidR="00B35F13" w:rsidRDefault="00B64B1C" w:rsidP="007E623E">
      <w:pPr>
        <w:pStyle w:val="Prrafodelista"/>
        <w:numPr>
          <w:ilvl w:val="0"/>
          <w:numId w:val="36"/>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La resolución emitida en el expediente CNT-008-1995 por parte de la extinta Comisión Federal de Competencia.</w:t>
      </w:r>
    </w:p>
    <w:p w14:paraId="6AE2E396" w14:textId="77777777" w:rsidR="00B35F13" w:rsidRDefault="00B64B1C" w:rsidP="007E623E">
      <w:pPr>
        <w:pStyle w:val="Prrafodelista"/>
        <w:numPr>
          <w:ilvl w:val="0"/>
          <w:numId w:val="36"/>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Oficio 2.-1210 suscrito por el Subsecretario de Comunicaciones y Desarrollo Tecnológico de la Secretaría de Comunicaciones y Transportes.</w:t>
      </w:r>
    </w:p>
    <w:p w14:paraId="0655063E" w14:textId="77777777" w:rsidR="00B35F13" w:rsidRDefault="00B64B1C" w:rsidP="007E623E">
      <w:pPr>
        <w:pStyle w:val="Prrafodelista"/>
        <w:numPr>
          <w:ilvl w:val="0"/>
          <w:numId w:val="36"/>
        </w:num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El certificado provisional de Empresas Cablevisión, S.A. de C.V. número 003 de veintitrés de junio de mil novecientos noventa y cinco.</w:t>
      </w:r>
    </w:p>
    <w:p w14:paraId="6D32F613" w14:textId="77777777" w:rsidR="00B35F13" w:rsidRDefault="00B64B1C"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Con las copias certificadas</w:t>
      </w:r>
      <w:r w:rsidR="00943E78" w:rsidRPr="002A2450">
        <w:rPr>
          <w:rFonts w:ascii="ITC Avant Garde" w:eastAsia="Times New Roman" w:hAnsi="ITC Avant Garde"/>
          <w:bCs/>
          <w:lang w:eastAsia="es-MX"/>
        </w:rPr>
        <w:t xml:space="preserve"> antes señaladas, se perfeccionaron</w:t>
      </w:r>
      <w:r w:rsidRPr="002A2450">
        <w:rPr>
          <w:rFonts w:ascii="ITC Avant Garde" w:eastAsia="Times New Roman" w:hAnsi="ITC Avant Garde"/>
          <w:bCs/>
          <w:lang w:eastAsia="es-MX"/>
        </w:rPr>
        <w:t xml:space="preserve"> las pruebas indicadas en el escrito presentado el veintiocho de septiembre de dos mil quince </w:t>
      </w:r>
      <w:r w:rsidRPr="002A2450">
        <w:rPr>
          <w:rFonts w:ascii="ITC Avant Garde" w:eastAsia="Times New Roman" w:hAnsi="ITC Avant Garde"/>
          <w:bCs/>
          <w:lang w:eastAsia="es-MX"/>
        </w:rPr>
        <w:lastRenderedPageBreak/>
        <w:t xml:space="preserve">por parte de </w:t>
      </w:r>
      <w:r w:rsidRPr="002A2450">
        <w:rPr>
          <w:rFonts w:ascii="ITC Avant Garde" w:eastAsia="Times New Roman" w:hAnsi="ITC Avant Garde"/>
          <w:b/>
          <w:bCs/>
          <w:lang w:eastAsia="es-MX"/>
        </w:rPr>
        <w:t>“TELMEX”</w:t>
      </w:r>
      <w:r w:rsidRPr="002A2450">
        <w:rPr>
          <w:rFonts w:ascii="ITC Avant Garde" w:eastAsia="Times New Roman" w:hAnsi="ITC Avant Garde"/>
          <w:bCs/>
          <w:lang w:eastAsia="es-MX"/>
        </w:rPr>
        <w:t xml:space="preserve"> identificadas en el presente apartado con los incisos </w:t>
      </w:r>
      <w:r w:rsidRPr="002A2450">
        <w:rPr>
          <w:rFonts w:ascii="ITC Avant Garde" w:eastAsia="Times New Roman" w:hAnsi="ITC Avant Garde"/>
          <w:b/>
          <w:bCs/>
          <w:lang w:eastAsia="es-MX"/>
        </w:rPr>
        <w:t xml:space="preserve">d), e), f) y h) </w:t>
      </w:r>
      <w:r w:rsidRPr="002A2450">
        <w:rPr>
          <w:rFonts w:ascii="ITC Avant Garde" w:eastAsia="Times New Roman" w:hAnsi="ITC Avant Garde"/>
          <w:bCs/>
          <w:lang w:eastAsia="es-MX"/>
        </w:rPr>
        <w:t>consistentes en:</w:t>
      </w:r>
    </w:p>
    <w:p w14:paraId="440939AB" w14:textId="06DD2722" w:rsidR="00B64B1C" w:rsidRPr="002A2450" w:rsidRDefault="00B64B1C" w:rsidP="007E623E">
      <w:pPr>
        <w:pStyle w:val="Prrafodelista"/>
        <w:numPr>
          <w:ilvl w:val="0"/>
          <w:numId w:val="37"/>
        </w:numPr>
        <w:spacing w:before="240" w:line="360" w:lineRule="auto"/>
        <w:jc w:val="both"/>
        <w:rPr>
          <w:rFonts w:ascii="ITC Avant Garde" w:eastAsia="Times New Roman" w:hAnsi="ITC Avant Garde"/>
          <w:bCs/>
          <w:lang w:eastAsia="es-MX"/>
        </w:rPr>
      </w:pPr>
      <w:r w:rsidRPr="002A2450">
        <w:rPr>
          <w:rFonts w:ascii="ITC Avant Garde" w:hAnsi="ITC Avant Garde"/>
        </w:rPr>
        <w:t xml:space="preserve">oficio 2.-1210 de doce de junio de mil novecientos noventa y cinco suscrito por el entonces Subsecretario de Comunicaciones y Desarrollo Tecnológico de la </w:t>
      </w:r>
      <w:r w:rsidR="00BD1D1D" w:rsidRPr="002A2450">
        <w:rPr>
          <w:rFonts w:ascii="ITC Avant Garde" w:hAnsi="ITC Avant Garde"/>
        </w:rPr>
        <w:t>Secretaría</w:t>
      </w:r>
      <w:r w:rsidRPr="002A2450">
        <w:rPr>
          <w:rFonts w:ascii="ITC Avant Garde" w:hAnsi="ITC Avant Garde"/>
        </w:rPr>
        <w:t xml:space="preserve"> de Comunicaciones y Transportes.</w:t>
      </w:r>
    </w:p>
    <w:p w14:paraId="30F6249F" w14:textId="77777777" w:rsidR="00B64B1C" w:rsidRPr="002A2450" w:rsidRDefault="00B64B1C" w:rsidP="007E623E">
      <w:pPr>
        <w:pStyle w:val="Prrafodelista"/>
        <w:numPr>
          <w:ilvl w:val="0"/>
          <w:numId w:val="37"/>
        </w:numPr>
        <w:spacing w:before="240" w:line="360" w:lineRule="auto"/>
        <w:jc w:val="both"/>
        <w:rPr>
          <w:rFonts w:ascii="ITC Avant Garde" w:eastAsia="Times New Roman" w:hAnsi="ITC Avant Garde"/>
          <w:bCs/>
          <w:lang w:eastAsia="es-MX"/>
        </w:rPr>
      </w:pPr>
      <w:r w:rsidRPr="002A2450">
        <w:rPr>
          <w:rFonts w:ascii="ITC Avant Garde" w:hAnsi="ITC Avant Garde"/>
        </w:rPr>
        <w:t>oficio 107.-350 de veintitrés de junio de mil novecientos noventa y cinco suscrito por el Director General de Sistemas de Difusión de la Subsecretaría de Comunicaciones y Desarrollo Tecnológico de la Secretaría de Comunicaciones y Transportes</w:t>
      </w:r>
    </w:p>
    <w:p w14:paraId="6DE7B6E2" w14:textId="77777777" w:rsidR="00B64B1C" w:rsidRPr="002A2450" w:rsidRDefault="00B64B1C" w:rsidP="007E623E">
      <w:pPr>
        <w:pStyle w:val="Prrafodelista"/>
        <w:numPr>
          <w:ilvl w:val="0"/>
          <w:numId w:val="37"/>
        </w:numPr>
        <w:spacing w:before="240" w:line="360" w:lineRule="auto"/>
        <w:jc w:val="both"/>
        <w:rPr>
          <w:rFonts w:ascii="ITC Avant Garde" w:eastAsia="Times New Roman" w:hAnsi="ITC Avant Garde"/>
          <w:bCs/>
          <w:lang w:eastAsia="es-MX"/>
        </w:rPr>
      </w:pPr>
      <w:r w:rsidRPr="002A2450">
        <w:rPr>
          <w:rFonts w:ascii="ITC Avant Garde" w:hAnsi="ITC Avant Garde"/>
        </w:rPr>
        <w:t>Copia certificada de la resolución emitida por el Pleno de la extinta Comisión Federal de Competencia dictada en el expediente EXP.CNT-08-95 de quince de junio de mil novecientos noventa y cinco.</w:t>
      </w:r>
    </w:p>
    <w:p w14:paraId="307EBA6C" w14:textId="77777777" w:rsidR="00B35F13" w:rsidRDefault="00B64B1C" w:rsidP="007E623E">
      <w:pPr>
        <w:pStyle w:val="Prrafodelista"/>
        <w:numPr>
          <w:ilvl w:val="0"/>
          <w:numId w:val="37"/>
        </w:numPr>
        <w:spacing w:before="240" w:line="360" w:lineRule="auto"/>
        <w:jc w:val="both"/>
        <w:rPr>
          <w:rFonts w:ascii="ITC Avant Garde" w:eastAsia="Times New Roman" w:hAnsi="ITC Avant Garde"/>
          <w:bCs/>
          <w:lang w:eastAsia="es-MX"/>
        </w:rPr>
      </w:pPr>
      <w:r w:rsidRPr="002A2450">
        <w:rPr>
          <w:rFonts w:ascii="ITC Avant Garde" w:hAnsi="ITC Avant Garde"/>
        </w:rPr>
        <w:t>escrito presentado el diez de septiembre de dos mil quince dirigido a la Dirección General de Concentraciones de la Comisión Federal de Competencia Económica mediante el cual solicita copia certificada de: i) oficio 107.350 de veintitrés de junio de mil novecientos noventa y cinco, ii) resolución emitida por el Pleno de la entonces Comisión Federal de Competencia de quince de junio de mil novecientos noventa y cinco en los autos del expediente CNT-08-95, iii) oficio 2.-1210 de doce de junio de mil novecientos noventa y cinco; iv) certificado provisional 003 de fecha veintitrés de junio de mil novecientos noventa y cinco.</w:t>
      </w:r>
    </w:p>
    <w:p w14:paraId="2A76B416" w14:textId="77777777" w:rsidR="00B35F13" w:rsidRDefault="00B64B1C" w:rsidP="00B35F13">
      <w:pPr>
        <w:spacing w:before="240" w:line="360" w:lineRule="auto"/>
        <w:jc w:val="both"/>
        <w:rPr>
          <w:rFonts w:ascii="ITC Avant Garde" w:hAnsi="ITC Avant Garde"/>
        </w:rPr>
      </w:pPr>
      <w:r w:rsidRPr="002A2450">
        <w:rPr>
          <w:rFonts w:ascii="ITC Avant Garde" w:hAnsi="ITC Avant Garde"/>
        </w:rPr>
        <w:t xml:space="preserve">Ahora bien, </w:t>
      </w:r>
      <w:r w:rsidR="004F4AD0" w:rsidRPr="002A2450">
        <w:rPr>
          <w:rFonts w:ascii="ITC Avant Garde" w:hAnsi="ITC Avant Garde"/>
        </w:rPr>
        <w:t xml:space="preserve">al respecto debe señalarse que tanto los oficios 2.-1210 y 107.-350, </w:t>
      </w:r>
      <w:r w:rsidR="00943E78" w:rsidRPr="002A2450">
        <w:rPr>
          <w:rFonts w:ascii="ITC Avant Garde" w:hAnsi="ITC Avant Garde"/>
        </w:rPr>
        <w:t xml:space="preserve">como </w:t>
      </w:r>
      <w:r w:rsidR="004F4AD0" w:rsidRPr="002A2450">
        <w:rPr>
          <w:rFonts w:ascii="ITC Avant Garde" w:hAnsi="ITC Avant Garde"/>
        </w:rPr>
        <w:t xml:space="preserve">la resolución emitida en los autos del expediente CNT-008-1995 y el certificado provisional ofrecidos por </w:t>
      </w:r>
      <w:r w:rsidR="004F4AD0" w:rsidRPr="002A2450">
        <w:rPr>
          <w:rFonts w:ascii="ITC Avant Garde" w:hAnsi="ITC Avant Garde"/>
          <w:b/>
        </w:rPr>
        <w:t>“TELMEX”</w:t>
      </w:r>
      <w:r w:rsidR="004F4AD0" w:rsidRPr="002A2450">
        <w:rPr>
          <w:rFonts w:ascii="ITC Avant Garde" w:hAnsi="ITC Avant Garde"/>
        </w:rPr>
        <w:t xml:space="preserve"> fueron valorados en el </w:t>
      </w:r>
      <w:r w:rsidR="004F4AD0" w:rsidRPr="002A2450">
        <w:rPr>
          <w:rFonts w:ascii="ITC Avant Garde" w:hAnsi="ITC Avant Garde"/>
          <w:b/>
        </w:rPr>
        <w:t xml:space="preserve">Considerando Cuarto, inciso k) </w:t>
      </w:r>
      <w:r w:rsidR="004F4AD0" w:rsidRPr="002A2450">
        <w:rPr>
          <w:rFonts w:ascii="ITC Avant Garde" w:hAnsi="ITC Avant Garde"/>
        </w:rPr>
        <w:t>de la presente resolución</w:t>
      </w:r>
      <w:r w:rsidR="00C639C0" w:rsidRPr="002A2450">
        <w:rPr>
          <w:rFonts w:ascii="ITC Avant Garde" w:hAnsi="ITC Avant Garde"/>
        </w:rPr>
        <w:t xml:space="preserve"> con valor probatorio pleno pero insuficientes para desvirtuar la conducta materia del presente procedimiento de acuerdo a lo señalado en dicho apartado.</w:t>
      </w:r>
    </w:p>
    <w:p w14:paraId="1BADE168" w14:textId="77777777" w:rsidR="00B35F13" w:rsidRDefault="00C639C0" w:rsidP="00B35F13">
      <w:pPr>
        <w:spacing w:before="240" w:line="360" w:lineRule="auto"/>
        <w:jc w:val="both"/>
        <w:rPr>
          <w:rFonts w:ascii="ITC Avant Garde" w:hAnsi="ITC Avant Garde"/>
        </w:rPr>
      </w:pPr>
      <w:r w:rsidRPr="002A2450">
        <w:rPr>
          <w:rFonts w:ascii="ITC Avant Garde" w:hAnsi="ITC Avant Garde"/>
        </w:rPr>
        <w:t xml:space="preserve">Lo anterior, sin que pase desapercibido para esta autoridad que la resolución emitida en el expediente CNT-008-1995 por parte de la extinta Comisión Federal de </w:t>
      </w:r>
      <w:r w:rsidRPr="002A2450">
        <w:rPr>
          <w:rFonts w:ascii="ITC Avant Garde" w:hAnsi="ITC Avant Garde"/>
        </w:rPr>
        <w:lastRenderedPageBreak/>
        <w:t xml:space="preserve">Competencia también fue exhibido por </w:t>
      </w:r>
      <w:r w:rsidRPr="002A2450">
        <w:rPr>
          <w:rFonts w:ascii="ITC Avant Garde" w:hAnsi="ITC Avant Garde"/>
          <w:b/>
        </w:rPr>
        <w:t xml:space="preserve">“TELMEX” </w:t>
      </w:r>
      <w:r w:rsidRPr="002A2450">
        <w:rPr>
          <w:rFonts w:ascii="ITC Avant Garde" w:hAnsi="ITC Avant Garde"/>
        </w:rPr>
        <w:t>en copia certificada, puesto que el cualquier caso dicha resolución fue valorada en términos de lo señalado en el párrafo que antecede.</w:t>
      </w:r>
    </w:p>
    <w:p w14:paraId="236DE5C7" w14:textId="77777777" w:rsidR="00B35F13" w:rsidRDefault="00C639C0" w:rsidP="00B35F13">
      <w:pPr>
        <w:spacing w:before="240" w:line="360" w:lineRule="auto"/>
        <w:jc w:val="both"/>
        <w:rPr>
          <w:rFonts w:ascii="ITC Avant Garde" w:hAnsi="ITC Avant Garde"/>
        </w:rPr>
      </w:pPr>
      <w:r w:rsidRPr="002A2450">
        <w:rPr>
          <w:rFonts w:ascii="ITC Avant Garde" w:hAnsi="ITC Avant Garde"/>
        </w:rPr>
        <w:t xml:space="preserve">Por lo que se refiere a la prueba identificada con el inciso </w:t>
      </w:r>
      <w:r w:rsidRPr="002A2450">
        <w:rPr>
          <w:rFonts w:ascii="ITC Avant Garde" w:hAnsi="ITC Avant Garde"/>
          <w:b/>
        </w:rPr>
        <w:t>i)</w:t>
      </w:r>
      <w:r w:rsidRPr="002A2450">
        <w:rPr>
          <w:rFonts w:ascii="ITC Avant Garde" w:hAnsi="ITC Avant Garde"/>
        </w:rPr>
        <w:t xml:space="preserve"> del escrito presentado el veintiocho de septiembre de dos mil quince por parte de </w:t>
      </w:r>
      <w:r w:rsidRPr="002A2450">
        <w:rPr>
          <w:rFonts w:ascii="ITC Avant Garde" w:hAnsi="ITC Avant Garde"/>
          <w:b/>
        </w:rPr>
        <w:t>“TELMEX”</w:t>
      </w:r>
      <w:r w:rsidR="00B54174" w:rsidRPr="002A2450">
        <w:rPr>
          <w:rFonts w:ascii="ITC Avant Garde" w:hAnsi="ITC Avant Garde"/>
          <w:b/>
        </w:rPr>
        <w:t>,</w:t>
      </w:r>
      <w:r w:rsidRPr="002A2450">
        <w:rPr>
          <w:rFonts w:ascii="ITC Avant Garde" w:hAnsi="ITC Avant Garde"/>
        </w:rPr>
        <w:t xml:space="preserve"> consistente en la copia certificada del permiso para conducir señales de televisión a través de la red pública telefónica, debe señalarse que dicha documental tienen valor probatorio pleno en términos de los artículos 197 y 202 del </w:t>
      </w:r>
      <w:r w:rsidRPr="002A2450">
        <w:rPr>
          <w:rFonts w:ascii="ITC Avant Garde" w:hAnsi="ITC Avant Garde"/>
          <w:b/>
        </w:rPr>
        <w:t>“CFPC”</w:t>
      </w:r>
      <w:r w:rsidRPr="002A2450">
        <w:rPr>
          <w:rFonts w:ascii="ITC Avant Garde" w:hAnsi="ITC Avant Garde"/>
        </w:rPr>
        <w:t xml:space="preserve"> de aplicación supletoria en términos del artículo 6, fracción IV de la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Pr="002A2450">
        <w:rPr>
          <w:rFonts w:ascii="ITC Avant Garde" w:hAnsi="ITC Avant Garde"/>
        </w:rPr>
        <w:t xml:space="preserve">, toda vez que la misma obra en copia certificada en los autos del expediente en que se actúa </w:t>
      </w:r>
      <w:r w:rsidR="00B54174" w:rsidRPr="002A2450">
        <w:rPr>
          <w:rFonts w:ascii="ITC Avant Garde" w:hAnsi="ITC Avant Garde"/>
        </w:rPr>
        <w:t xml:space="preserve">remitida por </w:t>
      </w:r>
      <w:r w:rsidRPr="002A2450">
        <w:rPr>
          <w:rFonts w:ascii="ITC Avant Garde" w:hAnsi="ITC Avant Garde"/>
        </w:rPr>
        <w:t xml:space="preserve">el Director General Adjunto del Registro Público de Telecomunicaciones de este </w:t>
      </w:r>
      <w:r w:rsidRPr="002A2450">
        <w:rPr>
          <w:rFonts w:ascii="ITC Avant Garde" w:hAnsi="ITC Avant Garde"/>
          <w:b/>
        </w:rPr>
        <w:t>“IFT”.</w:t>
      </w:r>
    </w:p>
    <w:p w14:paraId="18B7299A" w14:textId="77777777" w:rsidR="00B35F13" w:rsidRDefault="00C639C0" w:rsidP="00B35F13">
      <w:pPr>
        <w:spacing w:before="240" w:line="360" w:lineRule="auto"/>
        <w:jc w:val="both"/>
        <w:rPr>
          <w:rFonts w:ascii="ITC Avant Garde" w:hAnsi="ITC Avant Garde"/>
        </w:rPr>
      </w:pPr>
      <w:r w:rsidRPr="002A2450">
        <w:rPr>
          <w:rFonts w:ascii="ITC Avant Garde" w:hAnsi="ITC Avant Garde"/>
        </w:rPr>
        <w:t xml:space="preserve">Ahora bien, no obstante el valor probatorio otorgado a dicha documental debe señalarse que </w:t>
      </w:r>
      <w:r w:rsidR="00B54174" w:rsidRPr="002A2450">
        <w:rPr>
          <w:rFonts w:ascii="ITC Avant Garde" w:hAnsi="ITC Avant Garde"/>
        </w:rPr>
        <w:t xml:space="preserve">con </w:t>
      </w:r>
      <w:r w:rsidRPr="002A2450">
        <w:rPr>
          <w:rFonts w:ascii="ITC Avant Garde" w:hAnsi="ITC Avant Garde"/>
        </w:rPr>
        <w:t xml:space="preserve">dicho permiso </w:t>
      </w:r>
      <w:r w:rsidR="00A7666A" w:rsidRPr="002A2450">
        <w:rPr>
          <w:rFonts w:ascii="ITC Avant Garde" w:hAnsi="ITC Avant Garde"/>
        </w:rPr>
        <w:t xml:space="preserve">no </w:t>
      </w:r>
      <w:r w:rsidR="00B54174" w:rsidRPr="002A2450">
        <w:rPr>
          <w:rFonts w:ascii="ITC Avant Garde" w:hAnsi="ITC Avant Garde"/>
        </w:rPr>
        <w:t xml:space="preserve">se </w:t>
      </w:r>
      <w:r w:rsidR="00A7666A" w:rsidRPr="002A2450">
        <w:rPr>
          <w:rFonts w:ascii="ITC Avant Garde" w:hAnsi="ITC Avant Garde"/>
        </w:rPr>
        <w:t xml:space="preserve">desvirtúa la conducta materia del presente procedimiento toda vez que dicho instrumento claramente </w:t>
      </w:r>
      <w:r w:rsidR="00445898" w:rsidRPr="002A2450">
        <w:rPr>
          <w:rFonts w:ascii="ITC Avant Garde" w:hAnsi="ITC Avant Garde"/>
        </w:rPr>
        <w:t>advierte que</w:t>
      </w:r>
      <w:r w:rsidR="00A7666A" w:rsidRPr="002A2450">
        <w:rPr>
          <w:rFonts w:ascii="ITC Avant Garde" w:hAnsi="ITC Avant Garde"/>
        </w:rPr>
        <w:t xml:space="preserve">: </w:t>
      </w:r>
      <w:r w:rsidR="00A7666A" w:rsidRPr="002A2450">
        <w:rPr>
          <w:rFonts w:ascii="ITC Avant Garde" w:hAnsi="ITC Avant Garde"/>
          <w:i/>
        </w:rPr>
        <w:t>“El Gobierno Federal por conducto de la Secretaría de Comunicaciones y Transportes otorga permiso a “TELMEX” para la prestación del servicio de condición de señales de televisión a través de la red pública telefónica concesionada, a empresas autorizadas por “LA SECRETARÍA” para prestar servicios de televisión al público”</w:t>
      </w:r>
      <w:r w:rsidR="00A7666A" w:rsidRPr="002A2450">
        <w:rPr>
          <w:rFonts w:ascii="ITC Avant Garde" w:hAnsi="ITC Avant Garde"/>
        </w:rPr>
        <w:t>.</w:t>
      </w:r>
    </w:p>
    <w:p w14:paraId="0091E7B3" w14:textId="77777777" w:rsidR="00B35F13" w:rsidRDefault="00A7666A" w:rsidP="00B35F13">
      <w:pPr>
        <w:spacing w:before="240" w:line="360" w:lineRule="auto"/>
        <w:jc w:val="both"/>
        <w:rPr>
          <w:rFonts w:ascii="ITC Avant Garde" w:hAnsi="ITC Avant Garde"/>
        </w:rPr>
      </w:pPr>
      <w:r w:rsidRPr="002A2450">
        <w:rPr>
          <w:rFonts w:ascii="ITC Avant Garde" w:hAnsi="ITC Avant Garde"/>
        </w:rPr>
        <w:t xml:space="preserve">En ese sentido, dicho permiso </w:t>
      </w:r>
      <w:r w:rsidR="00B54174" w:rsidRPr="002A2450">
        <w:rPr>
          <w:rFonts w:ascii="ITC Avant Garde" w:hAnsi="ITC Avant Garde"/>
        </w:rPr>
        <w:t xml:space="preserve">en todo caso faculta a la mencionada empresa para conducir a través de su red, señales de televisión de empresas autorizadas, y con el mismo de ninguna forma le permite </w:t>
      </w:r>
      <w:r w:rsidRPr="002A2450">
        <w:rPr>
          <w:rFonts w:ascii="ITC Avant Garde" w:hAnsi="ITC Avant Garde"/>
        </w:rPr>
        <w:t xml:space="preserve">la explotación </w:t>
      </w:r>
      <w:r w:rsidR="00B54174" w:rsidRPr="002A2450">
        <w:rPr>
          <w:rFonts w:ascii="ITC Avant Garde" w:hAnsi="ITC Avant Garde"/>
        </w:rPr>
        <w:t xml:space="preserve">directa o indirecta </w:t>
      </w:r>
      <w:r w:rsidRPr="002A2450">
        <w:rPr>
          <w:rFonts w:ascii="ITC Avant Garde" w:hAnsi="ITC Avant Garde"/>
        </w:rPr>
        <w:t xml:space="preserve">de una concesión para prestar el servicio de televisión en el país </w:t>
      </w:r>
      <w:r w:rsidR="00B54174" w:rsidRPr="002A2450">
        <w:rPr>
          <w:rFonts w:ascii="ITC Avant Garde" w:hAnsi="ITC Avant Garde"/>
        </w:rPr>
        <w:t xml:space="preserve">y en todo caso de ninguna manera representa una modificación a la prohibición establecidas en el </w:t>
      </w:r>
      <w:r w:rsidR="00065AA4" w:rsidRPr="009E34A4">
        <w:rPr>
          <w:rFonts w:ascii="ITC Avant Garde" w:hAnsi="ITC Avant Garde"/>
          <w:b/>
        </w:rPr>
        <w:t>Tercer Párrafo</w:t>
      </w:r>
      <w:r w:rsidR="00B54174" w:rsidRPr="002A2450">
        <w:rPr>
          <w:rFonts w:ascii="ITC Avant Garde" w:hAnsi="ITC Avant Garde"/>
        </w:rPr>
        <w:t xml:space="preserve"> de la condición 1-9.</w:t>
      </w:r>
    </w:p>
    <w:p w14:paraId="5B9B5AF7" w14:textId="77777777" w:rsidR="00B35F13" w:rsidRDefault="00A7666A" w:rsidP="00B35F13">
      <w:pPr>
        <w:spacing w:before="240" w:line="360" w:lineRule="auto"/>
        <w:jc w:val="both"/>
        <w:rPr>
          <w:rFonts w:ascii="ITC Avant Garde" w:hAnsi="ITC Avant Garde"/>
        </w:rPr>
      </w:pPr>
      <w:r w:rsidRPr="002A2450">
        <w:rPr>
          <w:rFonts w:ascii="ITC Avant Garde" w:hAnsi="ITC Avant Garde"/>
        </w:rPr>
        <w:t xml:space="preserve">Así las cosas, el citado instrumento </w:t>
      </w:r>
      <w:r w:rsidR="00995245" w:rsidRPr="002A2450">
        <w:rPr>
          <w:rFonts w:ascii="ITC Avant Garde" w:hAnsi="ITC Avant Garde"/>
        </w:rPr>
        <w:t xml:space="preserve">no otorga o permite que </w:t>
      </w:r>
      <w:r w:rsidR="00995245" w:rsidRPr="002A2450">
        <w:rPr>
          <w:rFonts w:ascii="ITC Avant Garde" w:hAnsi="ITC Avant Garde"/>
          <w:b/>
        </w:rPr>
        <w:t>“TELMEX”</w:t>
      </w:r>
      <w:r w:rsidR="00995245" w:rsidRPr="002A2450">
        <w:rPr>
          <w:rFonts w:ascii="ITC Avant Garde" w:hAnsi="ITC Avant Garde"/>
        </w:rPr>
        <w:t xml:space="preserve"> pueda llevar a cabo la explotación de una concesión para prestar el servicio de televisión en el país sino únicamente la conducción de </w:t>
      </w:r>
      <w:r w:rsidR="00B54174" w:rsidRPr="002A2450">
        <w:rPr>
          <w:rFonts w:ascii="ITC Avant Garde" w:hAnsi="ITC Avant Garde"/>
        </w:rPr>
        <w:t xml:space="preserve">una </w:t>
      </w:r>
      <w:r w:rsidR="00995245" w:rsidRPr="002A2450">
        <w:rPr>
          <w:rFonts w:ascii="ITC Avant Garde" w:hAnsi="ITC Avant Garde"/>
        </w:rPr>
        <w:t xml:space="preserve">señal </w:t>
      </w:r>
      <w:r w:rsidR="00B54174" w:rsidRPr="002A2450">
        <w:rPr>
          <w:rFonts w:ascii="ITC Avant Garde" w:hAnsi="ITC Avant Garde"/>
        </w:rPr>
        <w:t xml:space="preserve">de televisión </w:t>
      </w:r>
      <w:r w:rsidR="00995245" w:rsidRPr="002A2450">
        <w:rPr>
          <w:rFonts w:ascii="ITC Avant Garde" w:hAnsi="ITC Avant Garde"/>
        </w:rPr>
        <w:t xml:space="preserve">a través de la red </w:t>
      </w:r>
      <w:r w:rsidR="00995245" w:rsidRPr="002A2450">
        <w:rPr>
          <w:rFonts w:ascii="ITC Avant Garde" w:hAnsi="ITC Avant Garde"/>
        </w:rPr>
        <w:lastRenderedPageBreak/>
        <w:t xml:space="preserve">pública telefónica </w:t>
      </w:r>
      <w:r w:rsidR="00B54174" w:rsidRPr="002A2450">
        <w:rPr>
          <w:rFonts w:ascii="ITC Avant Garde" w:hAnsi="ITC Avant Garde"/>
        </w:rPr>
        <w:t xml:space="preserve">concesionada </w:t>
      </w:r>
      <w:r w:rsidR="00995245" w:rsidRPr="002A2450">
        <w:rPr>
          <w:rFonts w:ascii="ITC Avant Garde" w:hAnsi="ITC Avant Garde"/>
        </w:rPr>
        <w:t xml:space="preserve">dónde en todo caso dicha concesionaria servirá como proveedor </w:t>
      </w:r>
      <w:r w:rsidR="00B54174" w:rsidRPr="002A2450">
        <w:rPr>
          <w:rFonts w:ascii="ITC Avant Garde" w:hAnsi="ITC Avant Garde"/>
        </w:rPr>
        <w:t xml:space="preserve">de capacidad de su red, sin </w:t>
      </w:r>
      <w:r w:rsidR="00995245" w:rsidRPr="002A2450">
        <w:rPr>
          <w:rFonts w:ascii="ITC Avant Garde" w:hAnsi="ITC Avant Garde"/>
        </w:rPr>
        <w:t>que tenga injerencia operativa en esa prestación.</w:t>
      </w:r>
    </w:p>
    <w:p w14:paraId="26C76DBB" w14:textId="77777777" w:rsidR="00B35F13" w:rsidRDefault="00995245" w:rsidP="00B35F13">
      <w:pPr>
        <w:spacing w:before="240" w:line="360" w:lineRule="auto"/>
        <w:jc w:val="both"/>
        <w:rPr>
          <w:rFonts w:ascii="ITC Avant Garde" w:hAnsi="ITC Avant Garde"/>
        </w:rPr>
      </w:pPr>
      <w:r w:rsidRPr="002A2450">
        <w:rPr>
          <w:rFonts w:ascii="ITC Avant Garde" w:hAnsi="ITC Avant Garde"/>
        </w:rPr>
        <w:t xml:space="preserve">Lo anterior advirtiendo que las condiciones 1-2 y 1-9 (segundo párrafo)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 xml:space="preserve"> prevé la distribución de señales previa autorización de la autoridad competente más no que con la misma se realice la explotación de una concesión </w:t>
      </w:r>
      <w:r w:rsidR="00B54174" w:rsidRPr="002A2450">
        <w:rPr>
          <w:rFonts w:ascii="ITC Avant Garde" w:hAnsi="ITC Avant Garde"/>
        </w:rPr>
        <w:t xml:space="preserve">de televisión </w:t>
      </w:r>
      <w:r w:rsidRPr="002A2450">
        <w:rPr>
          <w:rFonts w:ascii="ITC Avant Garde" w:hAnsi="ITC Avant Garde"/>
        </w:rPr>
        <w:t>diversa a su título habilitante.</w:t>
      </w:r>
    </w:p>
    <w:p w14:paraId="0925ACE2" w14:textId="77777777" w:rsidR="00B35F13" w:rsidRDefault="00995245" w:rsidP="00B35F13">
      <w:pPr>
        <w:spacing w:before="240" w:line="360" w:lineRule="auto"/>
        <w:jc w:val="both"/>
      </w:pPr>
      <w:r w:rsidRPr="002A2450">
        <w:rPr>
          <w:rFonts w:ascii="ITC Avant Garde" w:hAnsi="ITC Avant Garde"/>
        </w:rPr>
        <w:t xml:space="preserve">En virtud de lo anterior, pese al valor jurídico otorgado, dicha prueba resulta </w:t>
      </w:r>
      <w:r w:rsidR="00280C17" w:rsidRPr="002A2450">
        <w:rPr>
          <w:rFonts w:ascii="ITC Avant Garde" w:hAnsi="ITC Avant Garde"/>
        </w:rPr>
        <w:t xml:space="preserve">ineficaz </w:t>
      </w:r>
      <w:r w:rsidRPr="002A2450">
        <w:rPr>
          <w:rFonts w:ascii="ITC Avant Garde" w:hAnsi="ITC Avant Garde"/>
        </w:rPr>
        <w:t xml:space="preserve">para desvirtuar la conducta materia del presente procedimiento, toda vez que </w:t>
      </w:r>
      <w:r w:rsidR="00B54174" w:rsidRPr="002A2450">
        <w:rPr>
          <w:rFonts w:ascii="ITC Avant Garde" w:hAnsi="ITC Avant Garde"/>
        </w:rPr>
        <w:t xml:space="preserve">con </w:t>
      </w:r>
      <w:r w:rsidRPr="002A2450">
        <w:rPr>
          <w:rFonts w:ascii="ITC Avant Garde" w:hAnsi="ITC Avant Garde"/>
        </w:rPr>
        <w:t xml:space="preserve">la misma no </w:t>
      </w:r>
      <w:r w:rsidR="00B54174" w:rsidRPr="002A2450">
        <w:rPr>
          <w:rFonts w:ascii="ITC Avant Garde" w:hAnsi="ITC Avant Garde"/>
        </w:rPr>
        <w:t xml:space="preserve">se </w:t>
      </w:r>
      <w:r w:rsidRPr="002A2450">
        <w:rPr>
          <w:rFonts w:ascii="ITC Avant Garde" w:hAnsi="ITC Avant Garde"/>
        </w:rPr>
        <w:t xml:space="preserve">acredita que </w:t>
      </w:r>
      <w:r w:rsidRPr="002A2450">
        <w:rPr>
          <w:rFonts w:ascii="ITC Avant Garde" w:hAnsi="ITC Avant Garde"/>
          <w:b/>
        </w:rPr>
        <w:t>“TELMEX”</w:t>
      </w:r>
      <w:r w:rsidRPr="002A2450">
        <w:rPr>
          <w:rFonts w:ascii="ITC Avant Garde" w:hAnsi="ITC Avant Garde"/>
        </w:rPr>
        <w:t xml:space="preserve"> pueda llevar a cabo la </w:t>
      </w:r>
      <w:r w:rsidR="008F718E" w:rsidRPr="009E34A4">
        <w:rPr>
          <w:rFonts w:ascii="ITC Avant Garde" w:hAnsi="ITC Avant Garde"/>
        </w:rPr>
        <w:t xml:space="preserve">explotación indirecta </w:t>
      </w:r>
      <w:r w:rsidRPr="002A2450">
        <w:rPr>
          <w:rFonts w:ascii="ITC Avant Garde" w:hAnsi="ITC Avant Garde"/>
        </w:rPr>
        <w:t>de una concesión para prestar el servicio de televisión en el país.</w:t>
      </w:r>
    </w:p>
    <w:p w14:paraId="3900E2F8" w14:textId="77777777" w:rsidR="00B35F13" w:rsidRDefault="00E66997" w:rsidP="007E623E">
      <w:pPr>
        <w:pStyle w:val="Ttulo5"/>
        <w:numPr>
          <w:ilvl w:val="0"/>
          <w:numId w:val="68"/>
        </w:numPr>
      </w:pPr>
      <w:r w:rsidRPr="002A2450">
        <w:t xml:space="preserve">PERICIALES </w:t>
      </w:r>
      <w:r w:rsidRPr="002A2450">
        <w:rPr>
          <w:lang w:eastAsia="es-MX"/>
        </w:rPr>
        <w:t>EN</w:t>
      </w:r>
      <w:r w:rsidRPr="002A2450">
        <w:t xml:space="preserve"> MATERIA DE CONTABILIDAD Y ECONOMÍA</w:t>
      </w:r>
    </w:p>
    <w:p w14:paraId="703F2126" w14:textId="77777777" w:rsidR="00B35F13" w:rsidRDefault="00995245" w:rsidP="00B35F13">
      <w:pPr>
        <w:spacing w:before="240" w:line="360" w:lineRule="auto"/>
        <w:jc w:val="both"/>
        <w:rPr>
          <w:rFonts w:ascii="ITC Avant Garde" w:hAnsi="ITC Avant Garde"/>
        </w:rPr>
      </w:pPr>
      <w:r w:rsidRPr="002A2450">
        <w:rPr>
          <w:rFonts w:ascii="ITC Avant Garde" w:hAnsi="ITC Avant Garde"/>
        </w:rPr>
        <w:t xml:space="preserve">Por lo que respecta a las pruebas </w:t>
      </w:r>
      <w:r w:rsidRPr="002A2450">
        <w:rPr>
          <w:rFonts w:ascii="ITC Avant Garde" w:hAnsi="ITC Avant Garde"/>
          <w:b/>
          <w:u w:val="single"/>
        </w:rPr>
        <w:t>periciales en materia de contabilidad y economía</w:t>
      </w:r>
      <w:r w:rsidRPr="002A2450">
        <w:rPr>
          <w:rFonts w:ascii="ITC Avant Garde" w:hAnsi="ITC Avant Garde"/>
        </w:rPr>
        <w:t xml:space="preserve"> resulta importante señalar que mediante acuerdo de doce de octubre de dos mil quince, se previno a </w:t>
      </w:r>
      <w:r w:rsidRPr="002A2450">
        <w:rPr>
          <w:rFonts w:ascii="ITC Avant Garde" w:hAnsi="ITC Avant Garde"/>
          <w:b/>
        </w:rPr>
        <w:t>“TELMEX”</w:t>
      </w:r>
      <w:r w:rsidRPr="002A2450">
        <w:rPr>
          <w:rFonts w:ascii="ITC Avant Garde" w:hAnsi="ITC Avant Garde"/>
        </w:rPr>
        <w:t xml:space="preserve"> para que exhibiera los cuestionarios que habría</w:t>
      </w:r>
      <w:r w:rsidR="00B54174" w:rsidRPr="002A2450">
        <w:rPr>
          <w:rFonts w:ascii="ITC Avant Garde" w:hAnsi="ITC Avant Garde"/>
        </w:rPr>
        <w:t>n</w:t>
      </w:r>
      <w:r w:rsidRPr="002A2450">
        <w:rPr>
          <w:rFonts w:ascii="ITC Avant Garde" w:hAnsi="ITC Avant Garde"/>
        </w:rPr>
        <w:t xml:space="preserve"> </w:t>
      </w:r>
      <w:r w:rsidR="00B54174" w:rsidRPr="002A2450">
        <w:rPr>
          <w:rFonts w:ascii="ITC Avant Garde" w:hAnsi="ITC Avant Garde"/>
        </w:rPr>
        <w:t xml:space="preserve">de </w:t>
      </w:r>
      <w:r w:rsidRPr="002A2450">
        <w:rPr>
          <w:rFonts w:ascii="ITC Avant Garde" w:hAnsi="ITC Avant Garde"/>
        </w:rPr>
        <w:t>desahogar los peritos propuestos.</w:t>
      </w:r>
    </w:p>
    <w:p w14:paraId="0FBC594F" w14:textId="77777777" w:rsidR="00B35F13" w:rsidRDefault="00B440B5" w:rsidP="00B35F13">
      <w:pPr>
        <w:spacing w:before="240" w:line="360" w:lineRule="auto"/>
        <w:jc w:val="both"/>
        <w:rPr>
          <w:rFonts w:ascii="ITC Avant Garde" w:hAnsi="ITC Avant Garde"/>
        </w:rPr>
      </w:pPr>
      <w:r w:rsidRPr="002A2450">
        <w:rPr>
          <w:rFonts w:ascii="ITC Avant Garde" w:hAnsi="ITC Avant Garde"/>
        </w:rPr>
        <w:t xml:space="preserve">Al respecto, mediante escrito presentado el veinte de octubre de dos mil quince, en desahogo a la previsión ordenada, </w:t>
      </w:r>
      <w:r w:rsidRPr="002A2450">
        <w:rPr>
          <w:rFonts w:ascii="ITC Avant Garde" w:hAnsi="ITC Avant Garde"/>
          <w:b/>
        </w:rPr>
        <w:t>“TELMEX”</w:t>
      </w:r>
      <w:r w:rsidRPr="002A2450">
        <w:rPr>
          <w:rFonts w:ascii="ITC Avant Garde" w:hAnsi="ITC Avant Garde"/>
        </w:rPr>
        <w:t xml:space="preserve"> exhibió dos cuestionarios relativos a las pruebas periciales en materia de contabilidad y economía.</w:t>
      </w:r>
    </w:p>
    <w:p w14:paraId="7E1A3C1B" w14:textId="77777777" w:rsidR="00A80E02" w:rsidRDefault="00B440B5" w:rsidP="00B35F13">
      <w:pPr>
        <w:spacing w:before="240" w:line="360" w:lineRule="auto"/>
        <w:jc w:val="both"/>
        <w:rPr>
          <w:rFonts w:ascii="ITC Avant Garde" w:hAnsi="ITC Avant Garde"/>
        </w:rPr>
        <w:sectPr w:rsidR="00A80E02" w:rsidSect="009F3771">
          <w:headerReference w:type="default" r:id="rId64"/>
          <w:pgSz w:w="12240" w:h="15840"/>
          <w:pgMar w:top="1985" w:right="1701" w:bottom="1418" w:left="1701" w:header="709" w:footer="709" w:gutter="0"/>
          <w:cols w:space="708"/>
          <w:docGrid w:linePitch="360"/>
        </w:sectPr>
      </w:pPr>
      <w:r w:rsidRPr="002A2450">
        <w:rPr>
          <w:rFonts w:ascii="ITC Avant Garde" w:hAnsi="ITC Avant Garde"/>
        </w:rPr>
        <w:t xml:space="preserve">En ese sentido, por acuerdo de tres de noviembre de dos mil quince, se tuvieron por exhibidos dichos cuestionarios, así como que en preparación a las periciales ofrecidas se ordenó girar oficios a la Unidad de Política Regulatoria y a la Unidad de Competencia Económica de este </w:t>
      </w:r>
      <w:r w:rsidRPr="002A2450">
        <w:rPr>
          <w:rFonts w:ascii="ITC Avant Garde" w:hAnsi="ITC Avant Garde"/>
          <w:b/>
        </w:rPr>
        <w:t>“IFT”</w:t>
      </w:r>
      <w:r w:rsidRPr="002A2450">
        <w:rPr>
          <w:rFonts w:ascii="ITC Avant Garde" w:hAnsi="ITC Avant Garde"/>
        </w:rPr>
        <w:t xml:space="preserve"> a efecto de que de no existir inconveniente</w:t>
      </w:r>
      <w:r w:rsidR="00B54174" w:rsidRPr="002A2450">
        <w:rPr>
          <w:rFonts w:ascii="ITC Avant Garde" w:hAnsi="ITC Avant Garde"/>
        </w:rPr>
        <w:t>,</w:t>
      </w:r>
      <w:r w:rsidRPr="002A2450">
        <w:rPr>
          <w:rFonts w:ascii="ITC Avant Garde" w:hAnsi="ITC Avant Garde"/>
        </w:rPr>
        <w:t xml:space="preserve"> alguno dichas Unidades designaran un perito en materia Contable y en materia Económica, respectivamente, toda vez que las mismas versarían sobre el objeto </w:t>
      </w:r>
      <w:r w:rsidR="00B54174" w:rsidRPr="002A2450">
        <w:rPr>
          <w:rFonts w:ascii="ITC Avant Garde" w:hAnsi="ITC Avant Garde"/>
        </w:rPr>
        <w:t xml:space="preserve">relativo a </w:t>
      </w:r>
      <w:r w:rsidRPr="002A2450">
        <w:rPr>
          <w:rFonts w:ascii="ITC Avant Garde" w:hAnsi="ITC Avant Garde"/>
        </w:rPr>
        <w:t xml:space="preserve">acreditar que los contratos celebrados entre </w:t>
      </w:r>
      <w:r w:rsidRPr="002A2450">
        <w:rPr>
          <w:rFonts w:ascii="ITC Avant Garde" w:hAnsi="ITC Avant Garde"/>
          <w:b/>
        </w:rPr>
        <w:t>“TELMEX”</w:t>
      </w:r>
      <w:r w:rsidRPr="002A2450">
        <w:rPr>
          <w:rFonts w:ascii="ITC Avant Garde" w:hAnsi="ITC Avant Garde"/>
        </w:rPr>
        <w:t xml:space="preserve"> y </w:t>
      </w:r>
      <w:r w:rsidRPr="002A2450">
        <w:rPr>
          <w:rFonts w:ascii="ITC Avant Garde" w:hAnsi="ITC Avant Garde"/>
          <w:b/>
        </w:rPr>
        <w:t>“DISH”</w:t>
      </w:r>
      <w:r w:rsidRPr="002A2450">
        <w:rPr>
          <w:rFonts w:ascii="ITC Avant Garde" w:hAnsi="ITC Avant Garde"/>
        </w:rPr>
        <w:t xml:space="preserve"> no generan vínculos financieros o corporativos ni otorgan el control de la primera </w:t>
      </w:r>
    </w:p>
    <w:p w14:paraId="68892213" w14:textId="68BB8CED" w:rsidR="00B35F13" w:rsidRDefault="00B440B5" w:rsidP="00B35F13">
      <w:pPr>
        <w:spacing w:before="240" w:line="360" w:lineRule="auto"/>
        <w:jc w:val="both"/>
        <w:rPr>
          <w:rFonts w:ascii="ITC Avant Garde" w:hAnsi="ITC Avant Garde"/>
        </w:rPr>
      </w:pPr>
      <w:r w:rsidRPr="002A2450">
        <w:rPr>
          <w:rFonts w:ascii="ITC Avant Garde" w:hAnsi="ITC Avant Garde"/>
        </w:rPr>
        <w:lastRenderedPageBreak/>
        <w:t xml:space="preserve">sobre la segunda, así como señalar cuáles son las relaciones contractuales entre </w:t>
      </w:r>
      <w:r w:rsidRPr="002A2450">
        <w:rPr>
          <w:rFonts w:ascii="ITC Avant Garde" w:hAnsi="ITC Avant Garde"/>
          <w:b/>
        </w:rPr>
        <w:t>“TELMEX”</w:t>
      </w:r>
      <w:r w:rsidRPr="002A2450">
        <w:rPr>
          <w:rFonts w:ascii="ITC Avant Garde" w:hAnsi="ITC Avant Garde"/>
        </w:rPr>
        <w:t xml:space="preserve"> y </w:t>
      </w:r>
      <w:r w:rsidRPr="002A2450">
        <w:rPr>
          <w:rFonts w:ascii="ITC Avant Garde" w:hAnsi="ITC Avant Garde"/>
          <w:b/>
        </w:rPr>
        <w:t xml:space="preserve">“DISH” </w:t>
      </w:r>
      <w:r w:rsidRPr="002A2450">
        <w:rPr>
          <w:rFonts w:ascii="ITC Avant Garde" w:hAnsi="ITC Avant Garde"/>
        </w:rPr>
        <w:t xml:space="preserve">y si los contratos obedecen a un diseño o mecanismo que les permita alienar los incentivos, las relaciones verticales en una relación de negocios eficientes y si los contratos conforman una sola unidad económica. </w:t>
      </w:r>
    </w:p>
    <w:p w14:paraId="7952CA0A" w14:textId="77777777" w:rsidR="00B35F13" w:rsidRDefault="00B440B5" w:rsidP="00B35F13">
      <w:pPr>
        <w:spacing w:before="240" w:line="360" w:lineRule="auto"/>
        <w:jc w:val="both"/>
        <w:rPr>
          <w:rFonts w:ascii="ITC Avant Garde" w:hAnsi="ITC Avant Garde"/>
        </w:rPr>
      </w:pPr>
      <w:r w:rsidRPr="002A2450">
        <w:rPr>
          <w:rFonts w:ascii="ITC Avant Garde" w:hAnsi="ITC Avant Garde"/>
        </w:rPr>
        <w:t xml:space="preserve">Con base en lo anterior, la Unidad de Cumplimiento emitió los oficios IFT/225/UC/2419/2015 y IFT/225/UC/2420/2015 de cuatro de noviembre de dos mil quince, dirigidos a las Unidades de Política Regulatoria y Competencia Económica, en los que en cumplimiento al acuerdo de tres de noviembre de esa anualidad, </w:t>
      </w:r>
      <w:r w:rsidR="00B54174" w:rsidRPr="002A2450">
        <w:rPr>
          <w:rFonts w:ascii="ITC Avant Garde" w:hAnsi="ITC Avant Garde"/>
        </w:rPr>
        <w:t xml:space="preserve">se solicitó </w:t>
      </w:r>
      <w:r w:rsidRPr="002A2450">
        <w:rPr>
          <w:rFonts w:ascii="ITC Avant Garde" w:hAnsi="ITC Avant Garde"/>
        </w:rPr>
        <w:t>designaran un perito en materia de contabilidad y economía, respectivamente.</w:t>
      </w:r>
    </w:p>
    <w:p w14:paraId="2B2EBA5B" w14:textId="25BD42E2" w:rsidR="00B35F13" w:rsidRDefault="00A357B4" w:rsidP="00B35F13">
      <w:pPr>
        <w:spacing w:before="240" w:line="360" w:lineRule="auto"/>
        <w:jc w:val="both"/>
        <w:rPr>
          <w:rFonts w:ascii="ITC Avant Garde" w:hAnsi="ITC Avant Garde"/>
        </w:rPr>
      </w:pPr>
      <w:r w:rsidRPr="002A2450">
        <w:rPr>
          <w:rFonts w:ascii="ITC Avant Garde" w:hAnsi="ITC Avant Garde"/>
        </w:rPr>
        <w:t>Al respecto, mediante oficio IFT/226/UCE/465/2015 e</w:t>
      </w:r>
      <w:r w:rsidR="002F7B95" w:rsidRPr="002A2450">
        <w:rPr>
          <w:rFonts w:ascii="ITC Avant Garde" w:hAnsi="ITC Avant Garde"/>
        </w:rPr>
        <w:t>l</w:t>
      </w:r>
      <w:r w:rsidRPr="002A2450">
        <w:rPr>
          <w:rFonts w:ascii="ITC Avant Garde" w:hAnsi="ITC Avant Garde"/>
        </w:rPr>
        <w:t xml:space="preserve"> nueve de noviembre de dos mil quince, l</w:t>
      </w:r>
      <w:r w:rsidR="00B54174" w:rsidRPr="002A2450">
        <w:rPr>
          <w:rFonts w:ascii="ITC Avant Garde" w:hAnsi="ITC Avant Garde"/>
        </w:rPr>
        <w:t>a</w:t>
      </w:r>
      <w:r w:rsidRPr="002A2450">
        <w:rPr>
          <w:rFonts w:ascii="ITC Avant Garde" w:hAnsi="ITC Avant Garde"/>
        </w:rPr>
        <w:t xml:space="preserve"> Titular de la Unidad de Competencia Económica inform</w:t>
      </w:r>
      <w:r w:rsidR="00B54174" w:rsidRPr="002A2450">
        <w:rPr>
          <w:rFonts w:ascii="ITC Avant Garde" w:hAnsi="ITC Avant Garde"/>
        </w:rPr>
        <w:t>ó</w:t>
      </w:r>
      <w:r w:rsidRPr="002A2450">
        <w:rPr>
          <w:rFonts w:ascii="ITC Avant Garde" w:hAnsi="ITC Avant Garde"/>
        </w:rPr>
        <w:t xml:space="preserve"> a la Unidad de Cumplimiento que se designaba al C. </w:t>
      </w:r>
      <w:r w:rsidR="0028536F" w:rsidRPr="002A2450">
        <w:rPr>
          <w:rFonts w:ascii="ITC Avant Garde" w:eastAsia="Times New Roman" w:hAnsi="ITC Avant Garde"/>
          <w:b/>
          <w:bCs/>
          <w:color w:val="000000"/>
          <w:lang w:eastAsia="es-MX"/>
        </w:rPr>
        <w:t>RAFAEL NAVARRO ACEVES</w:t>
      </w:r>
      <w:r w:rsidR="0028536F" w:rsidRPr="002A2450">
        <w:rPr>
          <w:rFonts w:ascii="ITC Avant Garde" w:eastAsia="Times New Roman" w:hAnsi="ITC Avant Garde"/>
          <w:bCs/>
          <w:color w:val="000000"/>
          <w:lang w:eastAsia="es-MX"/>
        </w:rPr>
        <w:t xml:space="preserve"> </w:t>
      </w:r>
      <w:r w:rsidRPr="002A2450">
        <w:rPr>
          <w:rFonts w:ascii="ITC Avant Garde" w:hAnsi="ITC Avant Garde"/>
        </w:rPr>
        <w:t xml:space="preserve">como perito en economía por parte de la Unidad de Competencia Económica, en tanto que </w:t>
      </w:r>
      <w:r w:rsidR="00B54174" w:rsidRPr="002A2450">
        <w:rPr>
          <w:rFonts w:ascii="ITC Avant Garde" w:hAnsi="ITC Avant Garde"/>
        </w:rPr>
        <w:t xml:space="preserve">mediante oficio IFT/221/UPR/567/2015, </w:t>
      </w:r>
      <w:r w:rsidRPr="002A2450">
        <w:rPr>
          <w:rFonts w:ascii="ITC Avant Garde" w:hAnsi="ITC Avant Garde"/>
        </w:rPr>
        <w:t>la Unidad de Política Regulatoria señaló que no contaba con contador público con los conocimiento</w:t>
      </w:r>
      <w:r w:rsidR="00B54174" w:rsidRPr="002A2450">
        <w:rPr>
          <w:rFonts w:ascii="ITC Avant Garde" w:hAnsi="ITC Avant Garde"/>
        </w:rPr>
        <w:t>s</w:t>
      </w:r>
      <w:r w:rsidRPr="002A2450">
        <w:rPr>
          <w:rFonts w:ascii="ITC Avant Garde" w:hAnsi="ITC Avant Garde"/>
        </w:rPr>
        <w:t xml:space="preserve"> técnicos que le permitieran desahogar la pericial en materia de contabilidad.</w:t>
      </w:r>
    </w:p>
    <w:p w14:paraId="0D3E75FE" w14:textId="1F06427B" w:rsidR="00B35F13" w:rsidRDefault="00A357B4" w:rsidP="00B35F13">
      <w:pPr>
        <w:spacing w:before="240" w:line="360" w:lineRule="auto"/>
        <w:jc w:val="both"/>
        <w:rPr>
          <w:rFonts w:ascii="ITC Avant Garde" w:hAnsi="ITC Avant Garde"/>
        </w:rPr>
      </w:pPr>
      <w:r w:rsidRPr="002A2450">
        <w:rPr>
          <w:rFonts w:ascii="ITC Avant Garde" w:hAnsi="ITC Avant Garde"/>
        </w:rPr>
        <w:t>Al respecto, por acuerdo de once</w:t>
      </w:r>
      <w:r w:rsidR="00B865BC" w:rsidRPr="002A2450">
        <w:rPr>
          <w:rFonts w:ascii="ITC Avant Garde" w:hAnsi="ITC Avant Garde"/>
        </w:rPr>
        <w:t xml:space="preserve"> de noviembre de dos mil quince, se tuvo por ofrecida la </w:t>
      </w:r>
      <w:r w:rsidR="00B54174" w:rsidRPr="002A2450">
        <w:rPr>
          <w:rFonts w:ascii="ITC Avant Garde" w:hAnsi="ITC Avant Garde"/>
        </w:rPr>
        <w:t xml:space="preserve">prueba </w:t>
      </w:r>
      <w:r w:rsidR="00B865BC" w:rsidRPr="002A2450">
        <w:rPr>
          <w:rFonts w:ascii="ITC Avant Garde" w:hAnsi="ITC Avant Garde"/>
        </w:rPr>
        <w:t>pericial en materia de economía</w:t>
      </w:r>
      <w:r w:rsidR="00B54174" w:rsidRPr="002A2450">
        <w:rPr>
          <w:rFonts w:ascii="ITC Avant Garde" w:hAnsi="ITC Avant Garde"/>
        </w:rPr>
        <w:t xml:space="preserve"> ofrecida por </w:t>
      </w:r>
      <w:r w:rsidR="00B54174" w:rsidRPr="002A2450">
        <w:rPr>
          <w:rFonts w:ascii="ITC Avant Garde" w:hAnsi="ITC Avant Garde"/>
          <w:b/>
        </w:rPr>
        <w:t>“TELMEX”</w:t>
      </w:r>
      <w:r w:rsidR="00B865BC" w:rsidRPr="002A2450">
        <w:rPr>
          <w:rFonts w:ascii="ITC Avant Garde" w:hAnsi="ITC Avant Garde"/>
        </w:rPr>
        <w:t xml:space="preserve"> y por designados a los </w:t>
      </w:r>
      <w:r w:rsidR="00B865BC" w:rsidRPr="002A2450">
        <w:rPr>
          <w:rFonts w:ascii="ITC Avant Garde" w:hAnsi="ITC Avant Garde"/>
          <w:b/>
        </w:rPr>
        <w:t xml:space="preserve">CC. </w:t>
      </w:r>
      <w:r w:rsidR="004A407D" w:rsidRPr="0047339C">
        <w:rPr>
          <w:rFonts w:ascii="ITC Avant Garde" w:eastAsiaTheme="majorEastAsia" w:hAnsi="ITC Avant Garde" w:cstheme="majorBidi"/>
          <w:b/>
          <w:color w:val="0000FF"/>
          <w:szCs w:val="32"/>
        </w:rPr>
        <w:t>“CONFIDENCIAL POR LEY”</w:t>
      </w:r>
      <w:r w:rsidR="005B0590">
        <w:rPr>
          <w:rFonts w:ascii="ITC Avant Garde" w:eastAsiaTheme="majorEastAsia" w:hAnsi="ITC Avant Garde" w:cstheme="majorBidi"/>
          <w:color w:val="0000FF"/>
          <w:szCs w:val="32"/>
        </w:rPr>
        <w:t xml:space="preserve"> </w:t>
      </w:r>
      <w:r w:rsidR="00B865BC" w:rsidRPr="002A2450">
        <w:rPr>
          <w:rFonts w:ascii="ITC Avant Garde" w:hAnsi="ITC Avant Garde"/>
        </w:rPr>
        <w:t xml:space="preserve">y </w:t>
      </w:r>
      <w:r w:rsidR="0028536F" w:rsidRPr="002A2450">
        <w:rPr>
          <w:rFonts w:ascii="ITC Avant Garde" w:eastAsia="Times New Roman" w:hAnsi="ITC Avant Garde"/>
          <w:b/>
          <w:bCs/>
          <w:color w:val="000000"/>
          <w:lang w:eastAsia="es-MX"/>
        </w:rPr>
        <w:t>RAFAEL NAVARRO ACEVES</w:t>
      </w:r>
      <w:r w:rsidR="0028536F" w:rsidRPr="002A2450">
        <w:rPr>
          <w:rFonts w:ascii="ITC Avant Garde" w:eastAsia="Times New Roman" w:hAnsi="ITC Avant Garde"/>
          <w:bCs/>
          <w:color w:val="000000"/>
          <w:lang w:eastAsia="es-MX"/>
        </w:rPr>
        <w:t xml:space="preserve"> </w:t>
      </w:r>
      <w:r w:rsidR="00B865BC" w:rsidRPr="002A2450">
        <w:rPr>
          <w:rFonts w:ascii="ITC Avant Garde" w:hAnsi="ITC Avant Garde"/>
        </w:rPr>
        <w:t xml:space="preserve">como peritos de </w:t>
      </w:r>
      <w:r w:rsidR="00B865BC" w:rsidRPr="002A2450">
        <w:rPr>
          <w:rFonts w:ascii="ITC Avant Garde" w:hAnsi="ITC Avant Garde"/>
          <w:b/>
        </w:rPr>
        <w:t>“TELMEX”</w:t>
      </w:r>
      <w:r w:rsidR="00B865BC" w:rsidRPr="002A2450">
        <w:rPr>
          <w:rFonts w:ascii="ITC Avant Garde" w:hAnsi="ITC Avant Garde"/>
        </w:rPr>
        <w:t xml:space="preserve"> y de esta autoridad, respectivamente, requiriéndose a dichos peritos para que comparecieran ante esta autoridad para aceptar y protestar el desempeño de la designación realizada. </w:t>
      </w:r>
    </w:p>
    <w:p w14:paraId="525C1268" w14:textId="77777777" w:rsidR="00B35F13" w:rsidRDefault="00B865BC" w:rsidP="00B35F13">
      <w:pPr>
        <w:spacing w:before="240" w:line="360" w:lineRule="auto"/>
        <w:jc w:val="both"/>
        <w:rPr>
          <w:rFonts w:ascii="ITC Avant Garde" w:hAnsi="ITC Avant Garde"/>
        </w:rPr>
      </w:pPr>
      <w:r w:rsidRPr="002A2450">
        <w:rPr>
          <w:rFonts w:ascii="ITC Avant Garde" w:hAnsi="ITC Avant Garde"/>
        </w:rPr>
        <w:t>Al respecto, los días diecisiete y dieciocho de noviembre de dos mil quince, los peritos en economía antes señalados comparecieron ante esta autoridad para aceptar y protestar el cargo conferido.</w:t>
      </w:r>
    </w:p>
    <w:p w14:paraId="3D50A867" w14:textId="77777777" w:rsidR="00B35F13" w:rsidRDefault="00B865BC" w:rsidP="00B35F13">
      <w:pPr>
        <w:spacing w:before="240" w:line="360" w:lineRule="auto"/>
        <w:jc w:val="both"/>
        <w:rPr>
          <w:rFonts w:ascii="ITC Avant Garde" w:hAnsi="ITC Avant Garde"/>
        </w:rPr>
      </w:pPr>
      <w:r w:rsidRPr="002A2450">
        <w:rPr>
          <w:rFonts w:ascii="ITC Avant Garde" w:hAnsi="ITC Avant Garde"/>
        </w:rPr>
        <w:lastRenderedPageBreak/>
        <w:t>Ahora bien, por acuerdo de doce de noviembre de dos mil quince</w:t>
      </w:r>
      <w:r w:rsidR="00B54174" w:rsidRPr="002A2450">
        <w:rPr>
          <w:rFonts w:ascii="ITC Avant Garde" w:hAnsi="ITC Avant Garde"/>
        </w:rPr>
        <w:t xml:space="preserve"> y atendiendo al </w:t>
      </w:r>
      <w:r w:rsidRPr="002A2450">
        <w:rPr>
          <w:rFonts w:ascii="ITC Avant Garde" w:hAnsi="ITC Avant Garde"/>
        </w:rPr>
        <w:t xml:space="preserve">contenido del oficio IFT/221/UPR/567/2015 suscrito por el Titular de la Unidad de Política Regulatoria se ordenó girar oficio al Titular de la Unidad de Administración de este </w:t>
      </w:r>
      <w:r w:rsidRPr="002A2450">
        <w:rPr>
          <w:rFonts w:ascii="ITC Avant Garde" w:hAnsi="ITC Avant Garde"/>
          <w:b/>
        </w:rPr>
        <w:t>“IFT”</w:t>
      </w:r>
      <w:r w:rsidRPr="002A2450">
        <w:rPr>
          <w:rFonts w:ascii="ITC Avant Garde" w:hAnsi="ITC Avant Garde"/>
        </w:rPr>
        <w:t xml:space="preserve"> para que de no existir inconveniente, designara un perito en materia de contabilidad. </w:t>
      </w:r>
    </w:p>
    <w:p w14:paraId="2D337DCF" w14:textId="77777777" w:rsidR="00B35F13" w:rsidRDefault="00B865BC" w:rsidP="00B35F13">
      <w:pPr>
        <w:spacing w:before="240" w:line="360" w:lineRule="auto"/>
        <w:jc w:val="both"/>
        <w:rPr>
          <w:rFonts w:ascii="ITC Avant Garde" w:hAnsi="ITC Avant Garde"/>
        </w:rPr>
      </w:pPr>
      <w:r w:rsidRPr="002A2450">
        <w:rPr>
          <w:rFonts w:ascii="ITC Avant Garde" w:hAnsi="ITC Avant Garde"/>
        </w:rPr>
        <w:t>En virtud de lo anterior, por oficio IFT/225/UC/2486/2015</w:t>
      </w:r>
      <w:r w:rsidR="008C1016" w:rsidRPr="002A2450">
        <w:rPr>
          <w:rFonts w:ascii="ITC Avant Garde" w:hAnsi="ITC Avant Garde"/>
        </w:rPr>
        <w:t xml:space="preserve"> de doce de noviembre de dos mil quince el Titular de la Unidad de Cumplimiento requirió al Titular de la Unidad de Administración para </w:t>
      </w:r>
      <w:r w:rsidR="00A96CC2" w:rsidRPr="002A2450">
        <w:rPr>
          <w:rFonts w:ascii="ITC Avant Garde" w:hAnsi="ITC Avant Garde"/>
        </w:rPr>
        <w:t xml:space="preserve">que </w:t>
      </w:r>
      <w:r w:rsidR="008C1016" w:rsidRPr="002A2450">
        <w:rPr>
          <w:rFonts w:ascii="ITC Avant Garde" w:hAnsi="ITC Avant Garde"/>
        </w:rPr>
        <w:t>designar</w:t>
      </w:r>
      <w:r w:rsidR="00A96CC2" w:rsidRPr="002A2450">
        <w:rPr>
          <w:rFonts w:ascii="ITC Avant Garde" w:hAnsi="ITC Avant Garde"/>
        </w:rPr>
        <w:t>a</w:t>
      </w:r>
      <w:r w:rsidR="008C1016" w:rsidRPr="002A2450">
        <w:rPr>
          <w:rFonts w:ascii="ITC Avant Garde" w:hAnsi="ITC Avant Garde"/>
        </w:rPr>
        <w:t xml:space="preserve"> un perito en materia de contabilidad. </w:t>
      </w:r>
    </w:p>
    <w:p w14:paraId="3E33974F" w14:textId="23B2AEA5" w:rsidR="00B35F13" w:rsidRDefault="008C1016" w:rsidP="00B35F13">
      <w:pPr>
        <w:spacing w:before="240" w:line="360" w:lineRule="auto"/>
        <w:jc w:val="both"/>
        <w:rPr>
          <w:rFonts w:ascii="ITC Avant Garde" w:hAnsi="ITC Avant Garde"/>
        </w:rPr>
      </w:pPr>
      <w:r w:rsidRPr="002A2450">
        <w:rPr>
          <w:rFonts w:ascii="ITC Avant Garde" w:hAnsi="ITC Avant Garde"/>
        </w:rPr>
        <w:t xml:space="preserve">Por acuerdo de veinticinco de noviembre de dos mil quince, dadas las comparecencias de los peritos designados en materia de economía se ordenó correr traslado de los cuestionarios exhibidos por </w:t>
      </w:r>
      <w:r w:rsidRPr="002A2450">
        <w:rPr>
          <w:rFonts w:ascii="ITC Avant Garde" w:hAnsi="ITC Avant Garde"/>
          <w:b/>
        </w:rPr>
        <w:t>“TELMEX”</w:t>
      </w:r>
      <w:r w:rsidRPr="002A2450">
        <w:rPr>
          <w:rFonts w:ascii="ITC Avant Garde" w:hAnsi="ITC Avant Garde"/>
        </w:rPr>
        <w:t xml:space="preserve"> para que dentro de un plazo de quince días hábiles rindieran su dictamen respectivo.</w:t>
      </w:r>
    </w:p>
    <w:p w14:paraId="32B1C4C1" w14:textId="77777777" w:rsidR="00B35F13" w:rsidRDefault="008C1016" w:rsidP="00B35F13">
      <w:pPr>
        <w:spacing w:before="240" w:line="360" w:lineRule="auto"/>
        <w:jc w:val="both"/>
        <w:rPr>
          <w:rFonts w:ascii="ITC Avant Garde" w:hAnsi="ITC Avant Garde"/>
          <w:b/>
        </w:rPr>
      </w:pPr>
      <w:r w:rsidRPr="002A2450">
        <w:rPr>
          <w:rFonts w:ascii="ITC Avant Garde" w:hAnsi="ITC Avant Garde"/>
        </w:rPr>
        <w:t xml:space="preserve">De manera paralela a lo anterior, mediante oficio IFT/240/UADM/417/2015 de veinte de noviembre de dos mil quince el Titular de la Unidad de Administración informó que no contaba con servidores públicos con el perfil necesario </w:t>
      </w:r>
      <w:r w:rsidR="00EF3894" w:rsidRPr="002A2450">
        <w:rPr>
          <w:rFonts w:ascii="ITC Avant Garde" w:hAnsi="ITC Avant Garde"/>
        </w:rPr>
        <w:t xml:space="preserve">para fungir como perito en materia de contabilidad, </w:t>
      </w:r>
      <w:r w:rsidRPr="002A2450">
        <w:rPr>
          <w:rFonts w:ascii="ITC Avant Garde" w:hAnsi="ITC Avant Garde"/>
        </w:rPr>
        <w:t>dado los conoc</w:t>
      </w:r>
      <w:r w:rsidR="00F10FBC" w:rsidRPr="002A2450">
        <w:rPr>
          <w:rFonts w:ascii="ITC Avant Garde" w:hAnsi="ITC Avant Garde"/>
        </w:rPr>
        <w:t xml:space="preserve">imientos específicos requeridos, por lo que mediante acuerdo de cuatro de diciembre de dos mil quince, se ordenó llevar a cabo la contratación de un perito para que fungiera como tal por parte de esta autoridad con el objeto de desahogar la prueba pericial contable ofrecida por </w:t>
      </w:r>
      <w:r w:rsidR="00F10FBC" w:rsidRPr="002A2450">
        <w:rPr>
          <w:rFonts w:ascii="ITC Avant Garde" w:hAnsi="ITC Avant Garde"/>
          <w:b/>
        </w:rPr>
        <w:t>“TELMEX”.</w:t>
      </w:r>
    </w:p>
    <w:p w14:paraId="737B5BF7" w14:textId="77777777" w:rsidR="00B35F13" w:rsidRDefault="008C1016" w:rsidP="00B35F13">
      <w:pPr>
        <w:spacing w:before="240" w:line="360" w:lineRule="auto"/>
        <w:jc w:val="both"/>
        <w:rPr>
          <w:rFonts w:ascii="ITC Avant Garde" w:hAnsi="ITC Avant Garde"/>
        </w:rPr>
      </w:pPr>
      <w:r w:rsidRPr="002A2450">
        <w:rPr>
          <w:rFonts w:ascii="ITC Avant Garde" w:hAnsi="ITC Avant Garde"/>
        </w:rPr>
        <w:t xml:space="preserve">Ahora bien, mediante oficio IFT/226/UCE/DGCE/094/2015 el Director General de Consulta Económica de la Unidad de Competencia Económica de este </w:t>
      </w:r>
      <w:r w:rsidRPr="002A2450">
        <w:rPr>
          <w:rFonts w:ascii="ITC Avant Garde" w:hAnsi="ITC Avant Garde"/>
          <w:b/>
        </w:rPr>
        <w:t>“IFT”</w:t>
      </w:r>
      <w:r w:rsidRPr="002A2450">
        <w:rPr>
          <w:rFonts w:ascii="ITC Avant Garde" w:hAnsi="ITC Avant Garde"/>
        </w:rPr>
        <w:t xml:space="preserve"> remitió a la Unidad de Cumplimiento el dictamen signado por el C. </w:t>
      </w:r>
      <w:r w:rsidR="0028536F" w:rsidRPr="002A2450">
        <w:rPr>
          <w:rFonts w:ascii="ITC Avant Garde" w:eastAsia="Times New Roman" w:hAnsi="ITC Avant Garde"/>
          <w:b/>
          <w:bCs/>
          <w:color w:val="000000"/>
          <w:lang w:eastAsia="es-MX"/>
        </w:rPr>
        <w:t>RAFAEL NAVARRO ACEVES</w:t>
      </w:r>
      <w:r w:rsidR="0028536F" w:rsidRPr="002A2450">
        <w:rPr>
          <w:rFonts w:ascii="ITC Avant Garde" w:eastAsia="Times New Roman" w:hAnsi="ITC Avant Garde"/>
          <w:bCs/>
          <w:color w:val="000000"/>
          <w:lang w:eastAsia="es-MX"/>
        </w:rPr>
        <w:t xml:space="preserve"> </w:t>
      </w:r>
      <w:r w:rsidRPr="002A2450">
        <w:rPr>
          <w:rFonts w:ascii="ITC Avant Garde" w:hAnsi="ITC Avant Garde"/>
        </w:rPr>
        <w:t xml:space="preserve">perito designado por esta </w:t>
      </w:r>
      <w:r w:rsidR="00EF3894" w:rsidRPr="002A2450">
        <w:rPr>
          <w:rFonts w:ascii="ITC Avant Garde" w:hAnsi="ITC Avant Garde"/>
        </w:rPr>
        <w:t>autoridad en materia de economía.</w:t>
      </w:r>
    </w:p>
    <w:p w14:paraId="0B027625" w14:textId="6F17E49A" w:rsidR="00B35F13" w:rsidRDefault="00350141" w:rsidP="00B35F13">
      <w:pPr>
        <w:spacing w:before="240" w:line="360" w:lineRule="auto"/>
        <w:jc w:val="both"/>
        <w:rPr>
          <w:rFonts w:ascii="ITC Avant Garde" w:hAnsi="ITC Avant Garde"/>
        </w:rPr>
      </w:pPr>
      <w:r w:rsidRPr="002A2450">
        <w:rPr>
          <w:rFonts w:ascii="ITC Avant Garde" w:hAnsi="ITC Avant Garde"/>
        </w:rPr>
        <w:t>Por otro lado, mediante escrito presentado el once de enero de dos mil dieciséis, el</w:t>
      </w:r>
      <w:r w:rsidR="00022192">
        <w:rPr>
          <w:rFonts w:ascii="ITC Avant Garde" w:hAnsi="ITC Avant Garde"/>
        </w:rPr>
        <w:t xml:space="preserve"> C.</w:t>
      </w:r>
      <w:r w:rsidRPr="002A2450">
        <w:rPr>
          <w:rFonts w:ascii="ITC Avant Garde" w:hAnsi="ITC Avant Garde"/>
        </w:rPr>
        <w:t xml:space="preserve"> </w:t>
      </w:r>
      <w:r w:rsidR="004A407D" w:rsidRPr="0047339C">
        <w:rPr>
          <w:rFonts w:ascii="ITC Avant Garde" w:eastAsiaTheme="majorEastAsia" w:hAnsi="ITC Avant Garde" w:cstheme="majorBidi"/>
          <w:b/>
          <w:color w:val="0000FF"/>
          <w:szCs w:val="32"/>
        </w:rPr>
        <w:t>“CONFIDENCIAL POR LEY”</w:t>
      </w:r>
      <w:r w:rsidRPr="0047339C">
        <w:rPr>
          <w:rFonts w:ascii="ITC Avant Garde" w:hAnsi="ITC Avant Garde"/>
          <w:b/>
        </w:rPr>
        <w:t>,</w:t>
      </w:r>
      <w:r w:rsidRPr="002A2450">
        <w:rPr>
          <w:rFonts w:ascii="ITC Avant Garde" w:hAnsi="ITC Avant Garde"/>
        </w:rPr>
        <w:t xml:space="preserve"> perito designado por parte de </w:t>
      </w:r>
      <w:r w:rsidRPr="002A2450">
        <w:rPr>
          <w:rFonts w:ascii="ITC Avant Garde" w:hAnsi="ITC Avant Garde"/>
          <w:b/>
        </w:rPr>
        <w:t>“TELMEX”</w:t>
      </w:r>
      <w:r w:rsidRPr="002A2450">
        <w:rPr>
          <w:rFonts w:ascii="ITC Avant Garde" w:hAnsi="ITC Avant Garde"/>
        </w:rPr>
        <w:t xml:space="preserve"> señaló que </w:t>
      </w:r>
      <w:r w:rsidRPr="002A2450">
        <w:rPr>
          <w:rFonts w:ascii="ITC Avant Garde" w:hAnsi="ITC Avant Garde"/>
        </w:rPr>
        <w:lastRenderedPageBreak/>
        <w:t>el siete de enero de esa anualidad present</w:t>
      </w:r>
      <w:r w:rsidR="00EF3894" w:rsidRPr="002A2450">
        <w:rPr>
          <w:rFonts w:ascii="ITC Avant Garde" w:hAnsi="ITC Avant Garde"/>
        </w:rPr>
        <w:t>ó</w:t>
      </w:r>
      <w:r w:rsidRPr="002A2450">
        <w:rPr>
          <w:rFonts w:ascii="ITC Avant Garde" w:hAnsi="ITC Avant Garde"/>
        </w:rPr>
        <w:t xml:space="preserve"> su dictamen pericial </w:t>
      </w:r>
      <w:r w:rsidR="00EF3894" w:rsidRPr="002A2450">
        <w:rPr>
          <w:rFonts w:ascii="ITC Avant Garde" w:hAnsi="ITC Avant Garde"/>
        </w:rPr>
        <w:t xml:space="preserve">en materia de economía </w:t>
      </w:r>
      <w:r w:rsidRPr="002A2450">
        <w:rPr>
          <w:rFonts w:ascii="ITC Avant Garde" w:hAnsi="ITC Avant Garde"/>
        </w:rPr>
        <w:t xml:space="preserve">ante este </w:t>
      </w:r>
      <w:r w:rsidRPr="002A2450">
        <w:rPr>
          <w:rFonts w:ascii="ITC Avant Garde" w:hAnsi="ITC Avant Garde"/>
          <w:b/>
        </w:rPr>
        <w:t>“IFT”</w:t>
      </w:r>
      <w:r w:rsidRPr="002A2450">
        <w:rPr>
          <w:rFonts w:ascii="ITC Avant Garde" w:hAnsi="ITC Avant Garde"/>
        </w:rPr>
        <w:t xml:space="preserve"> dirigido a la Unidad de Competencia Económica. Asimismo, mediante oficio IFT/226/UCE/013/2016 de once de enero de dicha anualidad</w:t>
      </w:r>
      <w:r w:rsidR="00F10FBC" w:rsidRPr="002A2450">
        <w:rPr>
          <w:rFonts w:ascii="ITC Avant Garde" w:hAnsi="ITC Avant Garde"/>
        </w:rPr>
        <w:t xml:space="preserve">, la Titular de la Unidad de Competencia remitió el escrito presentado el siete de enero de dos mil dieciséis por el </w:t>
      </w:r>
      <w:r w:rsidR="004A407D" w:rsidRPr="0047339C">
        <w:rPr>
          <w:rFonts w:ascii="ITC Avant Garde" w:eastAsiaTheme="majorEastAsia" w:hAnsi="ITC Avant Garde" w:cstheme="majorBidi"/>
          <w:b/>
          <w:color w:val="0000FF"/>
          <w:szCs w:val="32"/>
        </w:rPr>
        <w:t>“CONFIDENCIAL POR LEY”</w:t>
      </w:r>
      <w:r w:rsidR="00F10FBC" w:rsidRPr="0047339C">
        <w:rPr>
          <w:rFonts w:ascii="ITC Avant Garde" w:hAnsi="ITC Avant Garde"/>
          <w:b/>
        </w:rPr>
        <w:t>.</w:t>
      </w:r>
    </w:p>
    <w:p w14:paraId="26C08D28" w14:textId="18E2C79C" w:rsidR="00B35F13" w:rsidRDefault="00F10FBC" w:rsidP="00B35F13">
      <w:pPr>
        <w:spacing w:before="240" w:line="360" w:lineRule="auto"/>
        <w:jc w:val="both"/>
        <w:rPr>
          <w:rFonts w:ascii="ITC Avant Garde" w:hAnsi="ITC Avant Garde"/>
        </w:rPr>
      </w:pPr>
      <w:r w:rsidRPr="002A2450">
        <w:rPr>
          <w:rFonts w:ascii="ITC Avant Garde" w:hAnsi="ITC Avant Garde"/>
        </w:rPr>
        <w:t>Al respecto, mediante acuerdo de veinte de enero de dos mil dieciséis se tuvieron por presentados los dictámenes de los peritos en economía designado</w:t>
      </w:r>
      <w:r w:rsidR="00EF3894" w:rsidRPr="002A2450">
        <w:rPr>
          <w:rFonts w:ascii="ITC Avant Garde" w:hAnsi="ITC Avant Garde"/>
        </w:rPr>
        <w:t>s</w:t>
      </w:r>
      <w:r w:rsidRPr="002A2450">
        <w:rPr>
          <w:rFonts w:ascii="ITC Avant Garde" w:hAnsi="ITC Avant Garde"/>
        </w:rPr>
        <w:t xml:space="preserve"> por </w:t>
      </w:r>
      <w:r w:rsidRPr="002A2450">
        <w:rPr>
          <w:rFonts w:ascii="ITC Avant Garde" w:hAnsi="ITC Avant Garde"/>
          <w:b/>
        </w:rPr>
        <w:t>“TELMEX”</w:t>
      </w:r>
      <w:r w:rsidR="008F718E" w:rsidRPr="002A2450">
        <w:rPr>
          <w:rFonts w:ascii="ITC Avant Garde" w:hAnsi="ITC Avant Garde"/>
          <w:color w:val="C00000"/>
        </w:rPr>
        <w:t xml:space="preserve"> </w:t>
      </w:r>
      <w:r w:rsidRPr="002A2450">
        <w:rPr>
          <w:rFonts w:ascii="ITC Avant Garde" w:hAnsi="ITC Avant Garde"/>
        </w:rPr>
        <w:t xml:space="preserve">y </w:t>
      </w:r>
      <w:r w:rsidR="00EF3894" w:rsidRPr="002A2450">
        <w:rPr>
          <w:rFonts w:ascii="ITC Avant Garde" w:hAnsi="ITC Avant Garde"/>
        </w:rPr>
        <w:t xml:space="preserve">por </w:t>
      </w:r>
      <w:r w:rsidRPr="002A2450">
        <w:rPr>
          <w:rFonts w:ascii="ITC Avant Garde" w:hAnsi="ITC Avant Garde"/>
        </w:rPr>
        <w:t xml:space="preserve">esta autoridad, </w:t>
      </w:r>
      <w:r w:rsidR="00EF3894" w:rsidRPr="002A2450">
        <w:rPr>
          <w:rFonts w:ascii="ITC Avant Garde" w:hAnsi="ITC Avant Garde"/>
        </w:rPr>
        <w:t xml:space="preserve">y se ordenó la ratificación del </w:t>
      </w:r>
      <w:r w:rsidRPr="002A2450">
        <w:rPr>
          <w:rFonts w:ascii="ITC Avant Garde" w:hAnsi="ITC Avant Garde"/>
        </w:rPr>
        <w:t xml:space="preserve">contenido de los mismos, lo cual se realizó el veintisiete de enero de dos mil dieciséis por dichos profesionistas, por lo que mediante acuerdo de diez de febrero de esa anualidad se ordenó dar vista a </w:t>
      </w:r>
      <w:r w:rsidRPr="002A2450">
        <w:rPr>
          <w:rFonts w:ascii="ITC Avant Garde" w:hAnsi="ITC Avant Garde"/>
          <w:b/>
        </w:rPr>
        <w:t>“TELMEX”</w:t>
      </w:r>
      <w:r w:rsidRPr="002A2450">
        <w:rPr>
          <w:rFonts w:ascii="ITC Avant Garde" w:hAnsi="ITC Avant Garde"/>
        </w:rPr>
        <w:t xml:space="preserve"> respecto de dichos dictámenes, lo cual aconteció el cuatro de marzo de dos mil dieciséis. </w:t>
      </w:r>
    </w:p>
    <w:p w14:paraId="020F606F" w14:textId="77777777" w:rsidR="00B35F13" w:rsidRDefault="00F03E5B" w:rsidP="00B35F13">
      <w:pPr>
        <w:spacing w:before="240" w:line="360" w:lineRule="auto"/>
        <w:jc w:val="both"/>
        <w:rPr>
          <w:rFonts w:ascii="ITC Avant Garde" w:hAnsi="ITC Avant Garde"/>
        </w:rPr>
      </w:pPr>
      <w:r w:rsidRPr="002A2450">
        <w:rPr>
          <w:rFonts w:ascii="ITC Avant Garde" w:hAnsi="ITC Avant Garde"/>
        </w:rPr>
        <w:t xml:space="preserve">Mediante oficio IFT/240/UADM/DG-ARMSG/DPA/28/04/001/2016 de veintiocho de abril de dos mil dieciséis, la Dirección de Procedimientos de Adquisiciones de la Dirección General de Adquisiciones, Recursos Materiales y Servicios Generales de la Unidad de Administración de este </w:t>
      </w:r>
      <w:r w:rsidRPr="002A2450">
        <w:rPr>
          <w:rFonts w:ascii="ITC Avant Garde" w:hAnsi="ITC Avant Garde"/>
          <w:b/>
        </w:rPr>
        <w:t>“IFT”</w:t>
      </w:r>
      <w:r w:rsidRPr="002A2450">
        <w:rPr>
          <w:rFonts w:ascii="ITC Avant Garde" w:hAnsi="ITC Avant Garde"/>
        </w:rPr>
        <w:t xml:space="preserve"> informó a la Unidad de Cumplimiento de la notificación de la adjudicación </w:t>
      </w:r>
      <w:r w:rsidR="00EF3894" w:rsidRPr="002A2450">
        <w:rPr>
          <w:rFonts w:ascii="ITC Avant Garde" w:hAnsi="ITC Avant Garde"/>
        </w:rPr>
        <w:t>a</w:t>
      </w:r>
      <w:r w:rsidRPr="002A2450">
        <w:rPr>
          <w:rFonts w:ascii="ITC Avant Garde" w:hAnsi="ITC Avant Garde"/>
        </w:rPr>
        <w:t xml:space="preserve">l C. Manuel Góngora Pastrana </w:t>
      </w:r>
      <w:r w:rsidR="00EF3894" w:rsidRPr="002A2450">
        <w:rPr>
          <w:rFonts w:ascii="ITC Avant Garde" w:hAnsi="ITC Avant Garde"/>
        </w:rPr>
        <w:t xml:space="preserve">del contrato de prestación de servicios para que fungiera </w:t>
      </w:r>
      <w:r w:rsidRPr="002A2450">
        <w:rPr>
          <w:rFonts w:ascii="ITC Avant Garde" w:hAnsi="ITC Avant Garde"/>
        </w:rPr>
        <w:t>como perito en contabilidad por parte de esta autoridad, por lo que mediante acuerdo de dieciocho de mayo de dos mil dieciséis se ordenó requerir a la Unidad de Administración para que informara de la formalización del contrato respectivo.</w:t>
      </w:r>
    </w:p>
    <w:p w14:paraId="66F6900F" w14:textId="77777777" w:rsidR="00B35F13" w:rsidRDefault="00F03E5B" w:rsidP="00B35F13">
      <w:pPr>
        <w:spacing w:before="240" w:line="360" w:lineRule="auto"/>
        <w:jc w:val="both"/>
        <w:rPr>
          <w:rFonts w:ascii="ITC Avant Garde" w:hAnsi="ITC Avant Garde"/>
        </w:rPr>
      </w:pPr>
      <w:r w:rsidRPr="002A2450">
        <w:rPr>
          <w:rFonts w:ascii="ITC Avant Garde" w:hAnsi="ITC Avant Garde"/>
        </w:rPr>
        <w:t xml:space="preserve">Al respecto, mediante oficio IFT/240/UADM/DG-ARSG/293/2016 de tres de junio de dos mil dieciséis, Dirección General de Adquisiciones, Recursos Materiales y Servicios Generales de la Unidad de Administración informó a la Unidad de Cumplimiento que el contrato con el C. Manuel Góngora Pastrana fue formalizado el trece de mayo de esa anualidad, por lo que mediante acuerdo de nueve de junio de dos mil dieciséis, se tuvo por ofrecida la prueba pericial contable ofrecida </w:t>
      </w:r>
      <w:r w:rsidRPr="002A2450">
        <w:rPr>
          <w:rFonts w:ascii="ITC Avant Garde" w:hAnsi="ITC Avant Garde"/>
        </w:rPr>
        <w:lastRenderedPageBreak/>
        <w:t xml:space="preserve">por </w:t>
      </w:r>
      <w:r w:rsidRPr="002A2450">
        <w:rPr>
          <w:rFonts w:ascii="ITC Avant Garde" w:hAnsi="ITC Avant Garde"/>
          <w:b/>
        </w:rPr>
        <w:t>“TELMEX”</w:t>
      </w:r>
      <w:r w:rsidRPr="002A2450">
        <w:rPr>
          <w:rFonts w:ascii="ITC Avant Garde" w:hAnsi="ITC Avant Garde"/>
        </w:rPr>
        <w:t xml:space="preserve"> y por designados como peritos </w:t>
      </w:r>
      <w:r w:rsidR="00EF3894" w:rsidRPr="002A2450">
        <w:rPr>
          <w:rFonts w:ascii="ITC Avant Garde" w:hAnsi="ITC Avant Garde"/>
        </w:rPr>
        <w:t xml:space="preserve">a </w:t>
      </w:r>
      <w:r w:rsidRPr="002A2450">
        <w:rPr>
          <w:rFonts w:ascii="ITC Avant Garde" w:hAnsi="ITC Avant Garde"/>
        </w:rPr>
        <w:t xml:space="preserve">la </w:t>
      </w:r>
      <w:r w:rsidR="004A407D" w:rsidRPr="0047339C">
        <w:rPr>
          <w:rFonts w:ascii="ITC Avant Garde" w:eastAsiaTheme="majorEastAsia" w:hAnsi="ITC Avant Garde" w:cstheme="majorBidi"/>
          <w:b/>
          <w:color w:val="0000FF"/>
          <w:szCs w:val="32"/>
        </w:rPr>
        <w:t>“CONFIDENCIAL POR LEY”</w:t>
      </w:r>
      <w:r w:rsidRPr="002A2450">
        <w:rPr>
          <w:rFonts w:ascii="ITC Avant Garde" w:hAnsi="ITC Avant Garde"/>
        </w:rPr>
        <w:t xml:space="preserve"> y el C. Manuel Góngora Pastrana, requiriendo a dichos peritos comparecieran en un plazo de tres días ante esta autoridad a la aceptación de su cargo y la protesta del mismo, por lo que el veintiuno y veintitrés de junio de dos mil dieciséis, los peritos designados aceptaron y protestaron el cargo conferido.</w:t>
      </w:r>
    </w:p>
    <w:p w14:paraId="010B0133" w14:textId="77777777" w:rsidR="00B35F13" w:rsidRDefault="00F03E5B" w:rsidP="00B35F13">
      <w:pPr>
        <w:spacing w:before="240" w:line="360" w:lineRule="auto"/>
        <w:jc w:val="both"/>
        <w:rPr>
          <w:rFonts w:ascii="ITC Avant Garde" w:hAnsi="ITC Avant Garde"/>
        </w:rPr>
      </w:pPr>
      <w:r w:rsidRPr="002A2450">
        <w:rPr>
          <w:rFonts w:ascii="ITC Avant Garde" w:hAnsi="ITC Avant Garde"/>
        </w:rPr>
        <w:t xml:space="preserve">Al respecto, mediante acuerdo de treinta de junio de dos mil dieciséis vista la aceptación y protesta del cargo conferido a los peritos se ordenó </w:t>
      </w:r>
      <w:r w:rsidR="009A0A1D" w:rsidRPr="002A2450">
        <w:rPr>
          <w:rFonts w:ascii="ITC Avant Garde" w:hAnsi="ITC Avant Garde"/>
        </w:rPr>
        <w:t xml:space="preserve">correr traslado del cuestionario propuesto por </w:t>
      </w:r>
      <w:r w:rsidR="009A0A1D" w:rsidRPr="002A2450">
        <w:rPr>
          <w:rFonts w:ascii="ITC Avant Garde" w:hAnsi="ITC Avant Garde"/>
          <w:b/>
        </w:rPr>
        <w:t>“TELMEX”</w:t>
      </w:r>
      <w:r w:rsidR="009A0A1D" w:rsidRPr="002A2450">
        <w:rPr>
          <w:rFonts w:ascii="ITC Avant Garde" w:hAnsi="ITC Avant Garde"/>
        </w:rPr>
        <w:t xml:space="preserve"> para que dentro de </w:t>
      </w:r>
      <w:r w:rsidRPr="002A2450">
        <w:rPr>
          <w:rFonts w:ascii="ITC Avant Garde" w:hAnsi="ITC Avant Garde"/>
        </w:rPr>
        <w:t>un plazo de quince días hábiles exhibieran el dictamen respectivo.</w:t>
      </w:r>
    </w:p>
    <w:p w14:paraId="27B38F99" w14:textId="77777777" w:rsidR="00B35F13" w:rsidRDefault="009A0A1D" w:rsidP="00B35F13">
      <w:pPr>
        <w:spacing w:before="240" w:line="360" w:lineRule="auto"/>
        <w:jc w:val="both"/>
        <w:rPr>
          <w:rFonts w:ascii="ITC Avant Garde" w:hAnsi="ITC Avant Garde"/>
        </w:rPr>
      </w:pPr>
      <w:r w:rsidRPr="002A2450">
        <w:rPr>
          <w:rFonts w:ascii="ITC Avant Garde" w:hAnsi="ITC Avant Garde"/>
        </w:rPr>
        <w:t xml:space="preserve">En virtud de lo anterior, el nueve de agosto de dos mil dieciséis la </w:t>
      </w:r>
      <w:r w:rsidR="004A407D" w:rsidRPr="0004375E">
        <w:rPr>
          <w:rFonts w:ascii="ITC Avant Garde" w:eastAsiaTheme="majorEastAsia" w:hAnsi="ITC Avant Garde" w:cstheme="majorBidi"/>
          <w:b/>
          <w:color w:val="0000FF"/>
          <w:szCs w:val="32"/>
        </w:rPr>
        <w:t>“CONFIDENCIAL POR LEY”</w:t>
      </w:r>
      <w:r w:rsidRPr="002A2450">
        <w:rPr>
          <w:rFonts w:ascii="ITC Avant Garde" w:hAnsi="ITC Avant Garde"/>
        </w:rPr>
        <w:t xml:space="preserve"> perito designado por </w:t>
      </w:r>
      <w:r w:rsidRPr="002A2450">
        <w:rPr>
          <w:rFonts w:ascii="ITC Avant Garde" w:hAnsi="ITC Avant Garde"/>
          <w:b/>
        </w:rPr>
        <w:t>“TELMEX”</w:t>
      </w:r>
      <w:r w:rsidRPr="002A2450">
        <w:rPr>
          <w:rFonts w:ascii="ITC Avant Garde" w:hAnsi="ITC Avant Garde"/>
        </w:rPr>
        <w:t xml:space="preserve"> presentó el dictamen respectivo, en tanto que el C. Manuel Góngora Pastrana perito designado por la autoridad, mediante escrito presentado el nueve de agosto de esa misma anualidad, requirió información adicional para poder estar en posibilidad de rendir el dictamen respectivo.</w:t>
      </w:r>
    </w:p>
    <w:p w14:paraId="3105A792" w14:textId="02A9DB44" w:rsidR="00B35F13" w:rsidRDefault="009A0A1D" w:rsidP="00B35F13">
      <w:pPr>
        <w:spacing w:before="240" w:line="360" w:lineRule="auto"/>
        <w:jc w:val="both"/>
        <w:rPr>
          <w:rFonts w:ascii="ITC Avant Garde" w:hAnsi="ITC Avant Garde"/>
        </w:rPr>
      </w:pPr>
      <w:r w:rsidRPr="002A2450">
        <w:rPr>
          <w:rFonts w:ascii="ITC Avant Garde" w:hAnsi="ITC Avant Garde"/>
        </w:rPr>
        <w:t xml:space="preserve">En ese sentido mediante acuerdo de doce de agosto de dos mil dieciséis, se tuvo por presentado el dictamen de </w:t>
      </w:r>
      <w:r w:rsidR="004A407D" w:rsidRPr="0004375E">
        <w:rPr>
          <w:rFonts w:ascii="ITC Avant Garde" w:eastAsiaTheme="majorEastAsia" w:hAnsi="ITC Avant Garde" w:cstheme="majorBidi"/>
          <w:b/>
          <w:color w:val="0000FF"/>
          <w:szCs w:val="32"/>
        </w:rPr>
        <w:t>“CONFIDENCIAL POR LEY”</w:t>
      </w:r>
      <w:r w:rsidRPr="002A2450">
        <w:rPr>
          <w:rFonts w:ascii="ITC Avant Garde" w:hAnsi="ITC Avant Garde"/>
        </w:rPr>
        <w:t xml:space="preserve"> por lo que se le requirió en un plazo de tres días ratificar el contenido del mismo</w:t>
      </w:r>
      <w:r w:rsidR="00EF3894" w:rsidRPr="002A2450">
        <w:rPr>
          <w:rFonts w:ascii="ITC Avant Garde" w:hAnsi="ITC Avant Garde"/>
        </w:rPr>
        <w:t>;</w:t>
      </w:r>
      <w:r w:rsidRPr="002A2450">
        <w:rPr>
          <w:rFonts w:ascii="ITC Avant Garde" w:hAnsi="ITC Avant Garde"/>
        </w:rPr>
        <w:t xml:space="preserve"> asimismo se ordenó requerir a </w:t>
      </w:r>
      <w:r w:rsidRPr="002A2450">
        <w:rPr>
          <w:rFonts w:ascii="ITC Avant Garde" w:hAnsi="ITC Avant Garde"/>
          <w:b/>
        </w:rPr>
        <w:t>“TELMEX”</w:t>
      </w:r>
      <w:r w:rsidR="00EF3894" w:rsidRPr="002A2450">
        <w:rPr>
          <w:rFonts w:ascii="ITC Avant Garde" w:hAnsi="ITC Avant Garde"/>
        </w:rPr>
        <w:t xml:space="preserve"> la información respectiva solicitada por el perito de esta autoridad.</w:t>
      </w:r>
    </w:p>
    <w:p w14:paraId="60CE6E39" w14:textId="77777777" w:rsidR="00B35F13" w:rsidRDefault="009A0A1D" w:rsidP="00B35F13">
      <w:pPr>
        <w:spacing w:before="240" w:line="360" w:lineRule="auto"/>
        <w:jc w:val="both"/>
        <w:rPr>
          <w:rFonts w:ascii="ITC Avant Garde" w:hAnsi="ITC Avant Garde"/>
        </w:rPr>
      </w:pPr>
      <w:r w:rsidRPr="002A2450">
        <w:rPr>
          <w:rFonts w:ascii="ITC Avant Garde" w:hAnsi="ITC Avant Garde"/>
        </w:rPr>
        <w:t xml:space="preserve">Así las cosas, mediante escrito presentado el uno de septiembre de dos mil dieciséis, </w:t>
      </w:r>
      <w:r w:rsidRPr="002A2450">
        <w:rPr>
          <w:rFonts w:ascii="ITC Avant Garde" w:hAnsi="ITC Avant Garde"/>
          <w:b/>
        </w:rPr>
        <w:t>“TELMEX”</w:t>
      </w:r>
      <w:r w:rsidRPr="002A2450">
        <w:rPr>
          <w:rFonts w:ascii="ITC Avant Garde" w:hAnsi="ITC Avant Garde"/>
        </w:rPr>
        <w:t xml:space="preserve"> solicitó una prórroga para desahogar la información adicional requerida por el C. Manuel Góngora Pastrana, misma que por acuerdo de siete de septiembre de dos mil </w:t>
      </w:r>
      <w:r w:rsidR="00676CC2" w:rsidRPr="002A2450">
        <w:rPr>
          <w:rFonts w:ascii="ITC Avant Garde" w:hAnsi="ITC Avant Garde"/>
        </w:rPr>
        <w:t xml:space="preserve">dieciséis </w:t>
      </w:r>
      <w:r w:rsidR="00E83570" w:rsidRPr="002A2450">
        <w:rPr>
          <w:rFonts w:ascii="ITC Avant Garde" w:hAnsi="ITC Avant Garde"/>
        </w:rPr>
        <w:t xml:space="preserve">le fue concedida por un plazo de cinco días hábiles. </w:t>
      </w:r>
    </w:p>
    <w:p w14:paraId="451BA413" w14:textId="77777777" w:rsidR="00A80E02" w:rsidRDefault="00E83570" w:rsidP="00B35F13">
      <w:pPr>
        <w:spacing w:before="240" w:line="360" w:lineRule="auto"/>
        <w:jc w:val="both"/>
        <w:rPr>
          <w:rFonts w:ascii="ITC Avant Garde" w:hAnsi="ITC Avant Garde"/>
        </w:rPr>
        <w:sectPr w:rsidR="00A80E02" w:rsidSect="009F3771">
          <w:headerReference w:type="default" r:id="rId65"/>
          <w:pgSz w:w="12240" w:h="15840"/>
          <w:pgMar w:top="1985" w:right="1701" w:bottom="1418" w:left="1701" w:header="709" w:footer="709" w:gutter="0"/>
          <w:cols w:space="708"/>
          <w:docGrid w:linePitch="360"/>
        </w:sectPr>
      </w:pPr>
      <w:r w:rsidRPr="002A2450">
        <w:rPr>
          <w:rFonts w:ascii="ITC Avant Garde" w:hAnsi="ITC Avant Garde"/>
        </w:rPr>
        <w:t xml:space="preserve">Al respecto, el veintiuno de septiembre de dos mil dieciséis, </w:t>
      </w:r>
      <w:r w:rsidRPr="002A2450">
        <w:rPr>
          <w:rFonts w:ascii="ITC Avant Garde" w:hAnsi="ITC Avant Garde"/>
          <w:b/>
        </w:rPr>
        <w:t>“TELMEX”</w:t>
      </w:r>
      <w:r w:rsidRPr="002A2450">
        <w:rPr>
          <w:rFonts w:ascii="ITC Avant Garde" w:hAnsi="ITC Avant Garde"/>
        </w:rPr>
        <w:t xml:space="preserve"> desahogó la información requerida, por lo que mediante acuerdo de treinta de septiembre de </w:t>
      </w:r>
    </w:p>
    <w:p w14:paraId="1DD232F3" w14:textId="4F107314" w:rsidR="00B35F13" w:rsidRDefault="00E83570" w:rsidP="00B35F13">
      <w:pPr>
        <w:spacing w:before="240" w:line="360" w:lineRule="auto"/>
        <w:jc w:val="both"/>
        <w:rPr>
          <w:rFonts w:ascii="ITC Avant Garde" w:hAnsi="ITC Avant Garde"/>
        </w:rPr>
      </w:pPr>
      <w:proofErr w:type="gramStart"/>
      <w:r w:rsidRPr="002A2450">
        <w:rPr>
          <w:rFonts w:ascii="ITC Avant Garde" w:hAnsi="ITC Avant Garde"/>
        </w:rPr>
        <w:lastRenderedPageBreak/>
        <w:t>dos</w:t>
      </w:r>
      <w:proofErr w:type="gramEnd"/>
      <w:r w:rsidRPr="002A2450">
        <w:rPr>
          <w:rFonts w:ascii="ITC Avant Garde" w:hAnsi="ITC Avant Garde"/>
        </w:rPr>
        <w:t xml:space="preserve"> mil </w:t>
      </w:r>
      <w:r w:rsidR="00445898" w:rsidRPr="002A2450">
        <w:rPr>
          <w:rFonts w:ascii="ITC Avant Garde" w:hAnsi="ITC Avant Garde"/>
        </w:rPr>
        <w:t xml:space="preserve">dieciséis </w:t>
      </w:r>
      <w:r w:rsidRPr="002A2450">
        <w:rPr>
          <w:rFonts w:ascii="ITC Avant Garde" w:hAnsi="ITC Avant Garde"/>
        </w:rPr>
        <w:t>se puso a disposición del C. Manuel Góngora Pastrana la información exhibida para que dentro de un plazo de diez días hábiles exhibiera el dictamen respectivo.</w:t>
      </w:r>
    </w:p>
    <w:p w14:paraId="31C8F4AB" w14:textId="77777777" w:rsidR="00B35F13" w:rsidRDefault="00E83570" w:rsidP="00B35F13">
      <w:pPr>
        <w:spacing w:before="240" w:line="360" w:lineRule="auto"/>
        <w:jc w:val="both"/>
        <w:rPr>
          <w:rFonts w:ascii="ITC Avant Garde" w:hAnsi="ITC Avant Garde"/>
        </w:rPr>
      </w:pPr>
      <w:r w:rsidRPr="002A2450">
        <w:rPr>
          <w:rFonts w:ascii="ITC Avant Garde" w:hAnsi="ITC Avant Garde"/>
        </w:rPr>
        <w:t xml:space="preserve">En ese sentido, el C. Manuel Góngora Pastrana mediante escrito presentado el dieciocho de octubre de dos mil dieciséis solicitó un plazo adicional para rendir su dictamen, por lo que mediante acuerdo de diecinueve de octubre de dos mil dieciséis se concedió un plazo de cinco días hábiles para que rindiera el dictamen </w:t>
      </w:r>
      <w:r w:rsidR="00BA0386" w:rsidRPr="002A2450">
        <w:rPr>
          <w:rFonts w:ascii="ITC Avant Garde" w:hAnsi="ITC Avant Garde"/>
        </w:rPr>
        <w:t>respectivo, mismo que fue presentado por dicho perito el veintiocho de octubre de esa anualidad.</w:t>
      </w:r>
    </w:p>
    <w:p w14:paraId="2B4FAC16" w14:textId="77777777" w:rsidR="00B35F13" w:rsidRDefault="00BA0386" w:rsidP="00B35F13">
      <w:pPr>
        <w:spacing w:before="240" w:line="360" w:lineRule="auto"/>
        <w:jc w:val="both"/>
        <w:rPr>
          <w:rFonts w:ascii="ITC Avant Garde" w:hAnsi="ITC Avant Garde"/>
        </w:rPr>
      </w:pPr>
      <w:r w:rsidRPr="002A2450">
        <w:rPr>
          <w:rFonts w:ascii="ITC Avant Garde" w:hAnsi="ITC Avant Garde"/>
        </w:rPr>
        <w:t xml:space="preserve">En virtud de lo anterior, mediante acuerdo de dos de noviembre de dos mil dieciséis, se requirió al C. Manuel Góngora Pastrana para que compareciera ante esta autoridad a ratificar el dictamen presentado, mismo que aconteció el once de noviembre siguiente, por lo que mediante acuerdo de veintitrés de noviembre de dos mil dieciséis se tuvo por ratificado el dictamen y se ordenó dar vista a </w:t>
      </w:r>
      <w:r w:rsidRPr="002A2450">
        <w:rPr>
          <w:rFonts w:ascii="ITC Avant Garde" w:hAnsi="ITC Avant Garde"/>
          <w:b/>
        </w:rPr>
        <w:t>“TELMEX”</w:t>
      </w:r>
      <w:r w:rsidRPr="002A2450">
        <w:rPr>
          <w:rFonts w:ascii="ITC Avant Garde" w:hAnsi="ITC Avant Garde"/>
        </w:rPr>
        <w:t xml:space="preserve"> con el mismo</w:t>
      </w:r>
      <w:r w:rsidR="00EF3894" w:rsidRPr="002A2450">
        <w:rPr>
          <w:rFonts w:ascii="ITC Avant Garde" w:hAnsi="ITC Avant Garde"/>
        </w:rPr>
        <w:t>,</w:t>
      </w:r>
      <w:r w:rsidRPr="002A2450">
        <w:rPr>
          <w:rFonts w:ascii="ITC Avant Garde" w:hAnsi="ITC Avant Garde"/>
        </w:rPr>
        <w:t xml:space="preserve"> quien por escrito presentado el doce de diciembre de dos mil dieciséis solicitó un prórroga para desahogar la vista ordenada en el dictado acuerdo, misma que por acuerdo de veinte de diciembre de esa anualidad se otorgó a dicha concesionaria un plazo adicional de cinco días hábiles</w:t>
      </w:r>
      <w:r w:rsidR="008F718E" w:rsidRPr="002A2450">
        <w:rPr>
          <w:rFonts w:ascii="ITC Avant Garde" w:hAnsi="ITC Avant Garde"/>
          <w:color w:val="C00000"/>
        </w:rPr>
        <w:t xml:space="preserve"> </w:t>
      </w:r>
      <w:r w:rsidRPr="002A2450">
        <w:rPr>
          <w:rFonts w:ascii="ITC Avant Garde" w:hAnsi="ITC Avant Garde"/>
        </w:rPr>
        <w:t>para que manifestara lo que a su derecho correspondiera.</w:t>
      </w:r>
    </w:p>
    <w:p w14:paraId="7AFE71F9" w14:textId="77777777" w:rsidR="00B35F13" w:rsidRDefault="005F6095" w:rsidP="00B35F13">
      <w:pPr>
        <w:spacing w:before="240" w:line="360" w:lineRule="auto"/>
        <w:jc w:val="both"/>
        <w:rPr>
          <w:rFonts w:ascii="ITC Avant Garde" w:hAnsi="ITC Avant Garde"/>
        </w:rPr>
      </w:pPr>
      <w:r w:rsidRPr="002A2450">
        <w:rPr>
          <w:rFonts w:ascii="ITC Avant Garde" w:hAnsi="ITC Avant Garde"/>
        </w:rPr>
        <w:t xml:space="preserve">Ahora bien, a efecto de orientar el </w:t>
      </w:r>
      <w:r w:rsidR="00567FCE" w:rsidRPr="002A2450">
        <w:rPr>
          <w:rFonts w:ascii="ITC Avant Garde" w:hAnsi="ITC Avant Garde"/>
        </w:rPr>
        <w:t>análisis de las pruebas periciales ofrecidas en materia de economía y contabilidad, es ne</w:t>
      </w:r>
      <w:r w:rsidR="00EF3894" w:rsidRPr="002A2450">
        <w:rPr>
          <w:rFonts w:ascii="ITC Avant Garde" w:hAnsi="ITC Avant Garde"/>
        </w:rPr>
        <w:t xml:space="preserve">cesario precisar que las mismas, según su ofrecimiento, </w:t>
      </w:r>
      <w:r w:rsidR="00567FCE" w:rsidRPr="002A2450">
        <w:rPr>
          <w:rFonts w:ascii="ITC Avant Garde" w:hAnsi="ITC Avant Garde"/>
        </w:rPr>
        <w:t xml:space="preserve">tienen como finalidad acreditar que los contratos celebrados por </w:t>
      </w:r>
      <w:r w:rsidR="00567FCE" w:rsidRPr="002A2450">
        <w:rPr>
          <w:rFonts w:ascii="ITC Avant Garde" w:hAnsi="ITC Avant Garde"/>
          <w:b/>
        </w:rPr>
        <w:t>“TELMEX”</w:t>
      </w:r>
      <w:r w:rsidR="00567FCE" w:rsidRPr="002A2450">
        <w:rPr>
          <w:rFonts w:ascii="ITC Avant Garde" w:hAnsi="ITC Avant Garde"/>
        </w:rPr>
        <w:t xml:space="preserve"> no generan vínculos financieros o corporativos ni otorgan el control de la primera sobre la segunda, así como señalar cuáles son las relaciones contractuales entre </w:t>
      </w:r>
      <w:r w:rsidR="00567FCE" w:rsidRPr="002A2450">
        <w:rPr>
          <w:rFonts w:ascii="ITC Avant Garde" w:hAnsi="ITC Avant Garde"/>
          <w:b/>
        </w:rPr>
        <w:t>“TELMEX”</w:t>
      </w:r>
      <w:r w:rsidR="00567FCE" w:rsidRPr="002A2450">
        <w:rPr>
          <w:rFonts w:ascii="ITC Avant Garde" w:hAnsi="ITC Avant Garde"/>
        </w:rPr>
        <w:t xml:space="preserve"> y </w:t>
      </w:r>
      <w:r w:rsidR="00567FCE" w:rsidRPr="002A2450">
        <w:rPr>
          <w:rFonts w:ascii="ITC Avant Garde" w:hAnsi="ITC Avant Garde"/>
          <w:b/>
        </w:rPr>
        <w:t xml:space="preserve">“DISH” </w:t>
      </w:r>
      <w:r w:rsidR="00567FCE" w:rsidRPr="002A2450">
        <w:rPr>
          <w:rFonts w:ascii="ITC Avant Garde" w:hAnsi="ITC Avant Garde"/>
        </w:rPr>
        <w:t xml:space="preserve">y si los contratos obedecen a un diseño o mecanismo que les permita </w:t>
      </w:r>
      <w:r w:rsidR="00EF3894" w:rsidRPr="002A2450">
        <w:rPr>
          <w:rFonts w:ascii="ITC Avant Garde" w:hAnsi="ITC Avant Garde"/>
        </w:rPr>
        <w:t xml:space="preserve">alinear </w:t>
      </w:r>
      <w:r w:rsidR="00567FCE" w:rsidRPr="002A2450">
        <w:rPr>
          <w:rFonts w:ascii="ITC Avant Garde" w:hAnsi="ITC Avant Garde"/>
        </w:rPr>
        <w:t>los incentivos, las relaciones verticales en una relación de negocios eficientes y si los contratos conforman una sola unidad económica.</w:t>
      </w:r>
    </w:p>
    <w:p w14:paraId="2DB4D740" w14:textId="77777777" w:rsidR="00B35F13" w:rsidRDefault="00567FCE" w:rsidP="00B35F13">
      <w:pPr>
        <w:spacing w:before="240" w:line="360" w:lineRule="auto"/>
        <w:jc w:val="both"/>
        <w:rPr>
          <w:rFonts w:ascii="ITC Avant Garde" w:hAnsi="ITC Avant Garde"/>
        </w:rPr>
      </w:pPr>
      <w:r w:rsidRPr="002A2450">
        <w:rPr>
          <w:rFonts w:ascii="ITC Avant Garde" w:hAnsi="ITC Avant Garde"/>
        </w:rPr>
        <w:lastRenderedPageBreak/>
        <w:t xml:space="preserve">En tales consideraciones, </w:t>
      </w:r>
      <w:r w:rsidR="00CF4F48" w:rsidRPr="002A2450">
        <w:rPr>
          <w:rFonts w:ascii="ITC Avant Garde" w:hAnsi="ITC Avant Garde"/>
        </w:rPr>
        <w:t xml:space="preserve">esta autoridad estima pertinente señalar que las pruebas periciales desahogadas no serán analizadas con base en las conclusiones alcanzadas en los mismos sino que en todo caso, esta autoridad tornará su análisis </w:t>
      </w:r>
      <w:r w:rsidR="0057350F" w:rsidRPr="002A2450">
        <w:rPr>
          <w:rFonts w:ascii="ITC Avant Garde" w:hAnsi="ITC Avant Garde"/>
        </w:rPr>
        <w:t xml:space="preserve">respecto de los </w:t>
      </w:r>
      <w:r w:rsidR="00CF4F48" w:rsidRPr="002A2450">
        <w:rPr>
          <w:rFonts w:ascii="ITC Avant Garde" w:hAnsi="ITC Avant Garde"/>
        </w:rPr>
        <w:t>hechos que motivaron el inicio del presente procedimiento</w:t>
      </w:r>
      <w:r w:rsidR="00EF3894" w:rsidRPr="002A2450">
        <w:rPr>
          <w:rFonts w:ascii="ITC Avant Garde" w:hAnsi="ITC Avant Garde"/>
        </w:rPr>
        <w:t xml:space="preserve"> así como</w:t>
      </w:r>
      <w:r w:rsidR="00CF4F48" w:rsidRPr="002A2450">
        <w:rPr>
          <w:rFonts w:ascii="ITC Avant Garde" w:hAnsi="ITC Avant Garde"/>
        </w:rPr>
        <w:t>, la conducta imputada y aquellos elementos que permitan desvirtuar o no la materia del presente procedimiento.</w:t>
      </w:r>
    </w:p>
    <w:p w14:paraId="137ED982" w14:textId="77777777" w:rsidR="00B35F13" w:rsidRDefault="00CF4F48" w:rsidP="00B35F13">
      <w:pPr>
        <w:spacing w:before="240" w:line="360" w:lineRule="auto"/>
        <w:jc w:val="both"/>
        <w:rPr>
          <w:rFonts w:ascii="ITC Avant Garde" w:hAnsi="ITC Avant Garde"/>
        </w:rPr>
      </w:pPr>
      <w:r w:rsidRPr="002A2450">
        <w:rPr>
          <w:rFonts w:ascii="ITC Avant Garde" w:hAnsi="ITC Avant Garde"/>
        </w:rPr>
        <w:t>Lo anterior, siguiendo los criterios</w:t>
      </w:r>
      <w:r w:rsidR="000276CC" w:rsidRPr="002A2450">
        <w:rPr>
          <w:rFonts w:ascii="ITC Avant Garde" w:hAnsi="ITC Avant Garde"/>
        </w:rPr>
        <w:t xml:space="preserve"> emitidos por los Tribunales Colegiados especializados en la materia. Sirve de apoyo a lo anterior, la siguiente tesis:</w:t>
      </w:r>
    </w:p>
    <w:p w14:paraId="1957381B" w14:textId="77777777" w:rsidR="00B35F13" w:rsidRDefault="000276CC" w:rsidP="00B35F13">
      <w:pPr>
        <w:spacing w:before="240" w:line="360" w:lineRule="auto"/>
        <w:ind w:left="567" w:right="567"/>
        <w:jc w:val="both"/>
        <w:rPr>
          <w:rFonts w:ascii="ITC Avant Garde" w:hAnsi="ITC Avant Garde"/>
        </w:rPr>
      </w:pPr>
      <w:r w:rsidRPr="002A2450">
        <w:rPr>
          <w:rFonts w:ascii="ITC Avant Garde" w:hAnsi="ITC Avant Garde"/>
          <w:b/>
        </w:rPr>
        <w:t>PRUEBA PERICIAL DE CONTENIDO CIENTÍFICO O TÉCNICO. ESTÁNDAR DE CONFIABILIDAD AL QUE DEBE SUJETARSE PARA QUE EN LOS PROCEDIMIENTOS JURISDICCIONALES SE LE RECONOZCA EFICACIA PROBATORIA.</w:t>
      </w:r>
      <w:r w:rsidRPr="002A2450">
        <w:rPr>
          <w:rFonts w:ascii="ITC Avant Garde" w:hAnsi="ITC Avant Garde"/>
        </w:rPr>
        <w:t xml:space="preserve"> El artículo 211 del Código Federal de Procedimientos Civiles, de aplicación supletoria a la Ley de Amparo y a la Ley Federal de Telecomunicaciones abrogada, en términos de sus artículos 2o. y 8, fracción V, respectivamente, dispone que el valor de la prueba pericial quedará a la prudente apreciación del tribunal. La circunstancia precedente hace necesario que, ante la presentación de dictámenes científicos o técnicos expertos, el juzgador de amparo especializado en telecomunicaciones deba determinar, previamente, si los razonamientos subyacentes en ellos y la metodología ahí empleada son científica o técnicamente válidos y si pueden aplicarse a los hechos sujetos a demostración. Así, la calificación de confiabilidad del dictamen experto dependerá directamente del enfoque que adopte el juzgador, el cual debe determinarse no por las conclusiones aportadas por el perito, sino por los principios y metodología empleados. En ese sentido, se postulan como criterios orientadores para admitir o excluir las pruebas periciales de contenido científico o técnico, o bien, algunos aspectos específicos de éstas: a) la </w:t>
      </w:r>
      <w:proofErr w:type="spellStart"/>
      <w:r w:rsidRPr="002A2450">
        <w:rPr>
          <w:rFonts w:ascii="ITC Avant Garde" w:hAnsi="ITC Avant Garde"/>
        </w:rPr>
        <w:t>controlabilidad</w:t>
      </w:r>
      <w:proofErr w:type="spellEnd"/>
      <w:r w:rsidRPr="002A2450">
        <w:rPr>
          <w:rFonts w:ascii="ITC Avant Garde" w:hAnsi="ITC Avant Garde"/>
        </w:rPr>
        <w:t xml:space="preserve"> y </w:t>
      </w:r>
      <w:proofErr w:type="spellStart"/>
      <w:r w:rsidRPr="002A2450">
        <w:rPr>
          <w:rFonts w:ascii="ITC Avant Garde" w:hAnsi="ITC Avant Garde"/>
        </w:rPr>
        <w:t>falseabilidad</w:t>
      </w:r>
      <w:proofErr w:type="spellEnd"/>
      <w:r w:rsidRPr="002A2450">
        <w:rPr>
          <w:rFonts w:ascii="ITC Avant Garde" w:hAnsi="ITC Avant Garde"/>
        </w:rPr>
        <w:t xml:space="preserve"> de la teoría en la que se fundamentan; b) el porcentaje de error conocido o </w:t>
      </w:r>
      <w:r w:rsidRPr="002A2450">
        <w:rPr>
          <w:rFonts w:ascii="ITC Avant Garde" w:hAnsi="ITC Avant Garde"/>
        </w:rPr>
        <w:lastRenderedPageBreak/>
        <w:t>potencial, así como el cumplimiento de los estándares correspondientes a la técnica empleada; c) las publicaciones de la teoría o la técnica que hubieren sido sometidas al control de otros expertos; y, d) la existencia de un consenso general de la comunidad científica o técnica interesada.</w:t>
      </w:r>
    </w:p>
    <w:p w14:paraId="02790DBC" w14:textId="77777777" w:rsidR="00B35F13" w:rsidRDefault="000276CC"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Décima Época, Registro: 2011819, Instancia: Tribunales Colegiados de Circuito, Tipo de Tesis: Aislada, Fuente: Gaceta del Semanario Judicial de la Federación, Libro 31, Junio de 2016, Tomo IV, Materia(s): Administrativa, Tesis: I.1o.A.E.154 A (10a.), Página: 2964 </w:t>
      </w:r>
    </w:p>
    <w:p w14:paraId="0A40B272" w14:textId="77777777" w:rsidR="00B35F13" w:rsidRDefault="000276CC"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Amparo en revisión 9/2015. </w:t>
      </w:r>
      <w:r w:rsidRPr="002A2450">
        <w:rPr>
          <w:rFonts w:ascii="ITC Avant Garde" w:hAnsi="ITC Avant Garde"/>
          <w:b/>
          <w:sz w:val="18"/>
          <w:u w:val="single"/>
        </w:rPr>
        <w:t>Teléfonos de México, S.A.B. de C.V.</w:t>
      </w:r>
      <w:r w:rsidRPr="002A2450">
        <w:rPr>
          <w:rFonts w:ascii="ITC Avant Garde" w:hAnsi="ITC Avant Garde"/>
          <w:sz w:val="18"/>
        </w:rPr>
        <w:t xml:space="preserve"> y otra. 10 de marzo de 2016. Unanimidad de votos. Ponente: Patricio González-Loyola Pérez. Secretario: Mario Jiménez </w:t>
      </w:r>
      <w:proofErr w:type="spellStart"/>
      <w:r w:rsidRPr="002A2450">
        <w:rPr>
          <w:rFonts w:ascii="ITC Avant Garde" w:hAnsi="ITC Avant Garde"/>
          <w:sz w:val="18"/>
        </w:rPr>
        <w:t>Jiménez</w:t>
      </w:r>
      <w:proofErr w:type="spellEnd"/>
      <w:r w:rsidRPr="002A2450">
        <w:rPr>
          <w:rFonts w:ascii="ITC Avant Garde" w:hAnsi="ITC Avant Garde"/>
          <w:sz w:val="18"/>
        </w:rPr>
        <w:t>.</w:t>
      </w:r>
    </w:p>
    <w:p w14:paraId="0205828D" w14:textId="77777777" w:rsidR="00B35F13" w:rsidRDefault="000276CC" w:rsidP="00B35F13">
      <w:pPr>
        <w:spacing w:before="240" w:line="360" w:lineRule="auto"/>
        <w:jc w:val="both"/>
        <w:rPr>
          <w:rFonts w:ascii="ITC Avant Garde" w:hAnsi="ITC Avant Garde"/>
        </w:rPr>
      </w:pPr>
      <w:r w:rsidRPr="002A2450">
        <w:rPr>
          <w:rFonts w:ascii="ITC Avant Garde" w:hAnsi="ITC Avant Garde"/>
        </w:rPr>
        <w:t>Asimismo, debe señalarse que las pruebas periciales tienen por objeto auxiliar a esta autoridad en el conocimiento especializado en la materia a efecto de que pueda aprovechar la pericia y experiencia para arribar a conclusiones que puedan dirimir el procedimiento, por lo que en todo caso debe</w:t>
      </w:r>
      <w:r w:rsidR="00EF3894" w:rsidRPr="002A2450">
        <w:rPr>
          <w:rFonts w:ascii="ITC Avant Garde" w:hAnsi="ITC Avant Garde"/>
        </w:rPr>
        <w:t>n</w:t>
      </w:r>
      <w:r w:rsidRPr="002A2450">
        <w:rPr>
          <w:rFonts w:ascii="ITC Avant Garde" w:hAnsi="ITC Avant Garde"/>
        </w:rPr>
        <w:t xml:space="preserve"> de aportar elementos, hechos, consideraciones, teóricas y prácticas de acuerdo al método empleado que sean pertinentes para acreditar el propósito u objetivo del que se trata de acreditar.</w:t>
      </w:r>
    </w:p>
    <w:p w14:paraId="21EEB26D" w14:textId="77777777" w:rsidR="00B35F13" w:rsidRDefault="000276CC" w:rsidP="00B35F13">
      <w:pPr>
        <w:spacing w:before="240" w:line="360" w:lineRule="auto"/>
        <w:jc w:val="both"/>
        <w:rPr>
          <w:rFonts w:ascii="ITC Avant Garde" w:hAnsi="ITC Avant Garde"/>
        </w:rPr>
      </w:pPr>
      <w:r w:rsidRPr="002A2450">
        <w:rPr>
          <w:rFonts w:ascii="ITC Avant Garde" w:hAnsi="ITC Avant Garde"/>
        </w:rPr>
        <w:t>Sirve de apoyo a lo anterior, la siguiente tesis:</w:t>
      </w:r>
    </w:p>
    <w:p w14:paraId="73DEE25E" w14:textId="77777777" w:rsidR="00B35F13" w:rsidRDefault="000276CC" w:rsidP="00B35F13">
      <w:pPr>
        <w:spacing w:before="240" w:line="360" w:lineRule="auto"/>
        <w:ind w:left="567" w:right="567"/>
        <w:jc w:val="both"/>
        <w:rPr>
          <w:rFonts w:ascii="ITC Avant Garde" w:hAnsi="ITC Avant Garde"/>
        </w:rPr>
      </w:pPr>
      <w:r w:rsidRPr="002A2450">
        <w:rPr>
          <w:rFonts w:ascii="ITC Avant Garde" w:hAnsi="ITC Avant Garde"/>
          <w:b/>
        </w:rPr>
        <w:t>PRUEBA PERICIAL CIENTÍFICA. SU OBJETO Y FINALIDAD</w:t>
      </w:r>
      <w:r w:rsidRPr="002A2450">
        <w:rPr>
          <w:rFonts w:ascii="ITC Avant Garde" w:hAnsi="ITC Avant Garde"/>
        </w:rPr>
        <w:t xml:space="preserve">. El objeto de la prueba pericial es el auxilio en la administración de justicia, consistente en que un experto en determinada ciencia, técnica o arte aporte al juzgador conocimientos propios de su pericia y de los que el juzgador carece, porque escapan al cúmulo de los que posee una persona de nivel cultural promedio, los cuales, además, resultan esenciales para resolver determinada controversia. Así, el uso, primordialmente, de la pericial, y con ella de los métodos científicos, implica el aprovechamiento de conocimientos especializados, indispensables </w:t>
      </w:r>
      <w:r w:rsidRPr="002A2450">
        <w:rPr>
          <w:rFonts w:ascii="ITC Avant Garde" w:hAnsi="ITC Avant Garde"/>
        </w:rPr>
        <w:lastRenderedPageBreak/>
        <w:t>para apreciar y calificar ciertos hechos o evidencias y poderles atribuir o negar significado respecto a una cierta práctica, hipótesis o conjetura que pretende acreditarse. También es útil para determinar qué circunstancias o evidencias son necesarias, conforme al marco metodológico, para arribar válidamente a cierta conclusión. De esta forma, tanto las evidencias, como los métodos deben ser relevantes y fiables para el resultado, fin o propósito que con el medio probatorio se intente alcanzar; aspectos que deben tomarse en cuenta para la calificación de la prueba en lo relativo a su pertinencia e idoneidad. Por lo anterior, el conocimiento especializado que puede obtenerse de los métodos científicos o de procedimientos expertos hace partícipes a los juzgadores de la información que deriva de leyes, teorías, modelos explicativos, máximas de la experiencia y destrezas, incluso de presunciones, todos ellos correspondientes a las diversas ciencias que se rigen por distintas metodologías, por lo cual, las evidencias que aportan comprenden hechos, conductas, prácticas, estados de cosas o circunstancias particulares, en general, que conforme a una teoría o método, sean pertinentes para el propósito u objetivo que con la prueba se intenta acreditar y requiere de una calificación especializada.</w:t>
      </w:r>
    </w:p>
    <w:p w14:paraId="1CC9ED22" w14:textId="77777777" w:rsidR="00B35F13" w:rsidRDefault="000276CC"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Décima Época, Registro: 2010576, Instancia: Tribunales Colegiados de Circuito, Tipo de Tesis: Aislada, Fuente: Gaceta del Semanario Judicial de la Federación, Libro 24, Noviembre de 2015, Tomo IV, Materia(s): Administrativa, Tesis: I.1o.A.E.45 K (10a.), Página: 3605 </w:t>
      </w:r>
    </w:p>
    <w:p w14:paraId="191AEA3B" w14:textId="0A76224D" w:rsidR="00B35F13" w:rsidRPr="00AE1F65" w:rsidRDefault="00AE1F65" w:rsidP="00AE1F65">
      <w:pPr>
        <w:pStyle w:val="Ttulo6"/>
        <w:numPr>
          <w:ilvl w:val="0"/>
          <w:numId w:val="0"/>
        </w:numPr>
        <w:ind w:left="720"/>
        <w:rPr>
          <w:u w:val="single"/>
        </w:rPr>
      </w:pPr>
      <w:r w:rsidRPr="00AE1F65">
        <w:rPr>
          <w:u w:val="single"/>
        </w:rPr>
        <w:t>D</w:t>
      </w:r>
      <w:r w:rsidR="00E66997" w:rsidRPr="00AE1F65">
        <w:rPr>
          <w:u w:val="single"/>
        </w:rPr>
        <w:t>.1. PERICIAL EN MATERIA DE ECONOMÍA</w:t>
      </w:r>
    </w:p>
    <w:p w14:paraId="4F87F6A2" w14:textId="77777777" w:rsidR="00B35F13" w:rsidRDefault="000276CC" w:rsidP="00B35F13">
      <w:pPr>
        <w:spacing w:before="240" w:line="360" w:lineRule="auto"/>
        <w:jc w:val="both"/>
        <w:rPr>
          <w:rFonts w:ascii="ITC Avant Garde" w:hAnsi="ITC Avant Garde"/>
          <w:b/>
        </w:rPr>
      </w:pPr>
      <w:r w:rsidRPr="002A2450">
        <w:rPr>
          <w:rFonts w:ascii="ITC Avant Garde" w:hAnsi="ITC Avant Garde"/>
        </w:rPr>
        <w:t xml:space="preserve">Aclarado lo anterior, se procede a valorar la prueba </w:t>
      </w:r>
      <w:r w:rsidR="00EF3894" w:rsidRPr="002A2450">
        <w:rPr>
          <w:rFonts w:ascii="ITC Avant Garde" w:hAnsi="ITC Avant Garde"/>
        </w:rPr>
        <w:t xml:space="preserve">pericial </w:t>
      </w:r>
      <w:r w:rsidRPr="002A2450">
        <w:rPr>
          <w:rFonts w:ascii="ITC Avant Garde" w:hAnsi="ITC Avant Garde"/>
        </w:rPr>
        <w:t xml:space="preserve">en materia de economía ofrecidas por </w:t>
      </w:r>
      <w:r w:rsidRPr="002A2450">
        <w:rPr>
          <w:rFonts w:ascii="ITC Avant Garde" w:hAnsi="ITC Avant Garde"/>
          <w:b/>
        </w:rPr>
        <w:t>“TELMEX”.</w:t>
      </w:r>
    </w:p>
    <w:p w14:paraId="5A2916C9" w14:textId="77777777" w:rsidR="00B35F13" w:rsidRDefault="000276CC" w:rsidP="00B35F13">
      <w:pPr>
        <w:spacing w:before="240" w:line="360" w:lineRule="auto"/>
        <w:jc w:val="both"/>
        <w:rPr>
          <w:rFonts w:ascii="ITC Avant Garde" w:hAnsi="ITC Avant Garde"/>
        </w:rPr>
      </w:pPr>
      <w:r w:rsidRPr="002A2450">
        <w:rPr>
          <w:rFonts w:ascii="ITC Avant Garde" w:hAnsi="ITC Avant Garde"/>
        </w:rPr>
        <w:t xml:space="preserve">En términos del acuerdo de inicio del procedimiento administrativo de imposición materia del presente procedimiento, la conducta que se imputa a </w:t>
      </w:r>
      <w:r w:rsidRPr="002A2450">
        <w:rPr>
          <w:rFonts w:ascii="ITC Avant Garde" w:hAnsi="ITC Avant Garde"/>
          <w:b/>
        </w:rPr>
        <w:t>“TELMEX”</w:t>
      </w:r>
      <w:r w:rsidRPr="002A2450">
        <w:rPr>
          <w:rFonts w:ascii="ITC Avant Garde" w:hAnsi="ITC Avant Garde"/>
        </w:rPr>
        <w:t xml:space="preserve"> es la presunta violación a</w:t>
      </w:r>
      <w:r w:rsidR="00EF3894" w:rsidRPr="002A2450">
        <w:rPr>
          <w:rFonts w:ascii="ITC Avant Garde" w:hAnsi="ITC Avant Garde"/>
        </w:rPr>
        <w:t xml:space="preserve">l </w:t>
      </w:r>
      <w:r w:rsidR="00065AA4" w:rsidRPr="009E34A4">
        <w:rPr>
          <w:rFonts w:ascii="ITC Avant Garde" w:hAnsi="ITC Avant Garde"/>
          <w:b/>
        </w:rPr>
        <w:t>Tercer Párrafo</w:t>
      </w:r>
      <w:r w:rsidR="00EF3894" w:rsidRPr="002A2450">
        <w:rPr>
          <w:rFonts w:ascii="ITC Avant Garde" w:hAnsi="ITC Avant Garde"/>
        </w:rPr>
        <w:t xml:space="preserve"> de</w:t>
      </w:r>
      <w:r w:rsidRPr="002A2450">
        <w:rPr>
          <w:rFonts w:ascii="ITC Avant Garde" w:hAnsi="ITC Avant Garde"/>
        </w:rPr>
        <w:t xml:space="preserve"> la condición 1-9 de su </w:t>
      </w:r>
      <w:r w:rsidRPr="002A2450">
        <w:rPr>
          <w:rFonts w:ascii="ITC Avant Garde" w:hAnsi="ITC Avant Garde"/>
          <w:b/>
        </w:rPr>
        <w:t xml:space="preserve">“TÍTULO DE </w:t>
      </w:r>
      <w:r w:rsidRPr="002A2450">
        <w:rPr>
          <w:rFonts w:ascii="ITC Avant Garde" w:hAnsi="ITC Avant Garde"/>
          <w:b/>
        </w:rPr>
        <w:lastRenderedPageBreak/>
        <w:t xml:space="preserve">CONCESIÓN” </w:t>
      </w:r>
      <w:r w:rsidRPr="002A2450">
        <w:rPr>
          <w:rFonts w:ascii="ITC Avant Garde" w:hAnsi="ITC Avant Garde"/>
        </w:rPr>
        <w:t>al considerar que derivado de los contratos coaligados celebrados explota indirectamente una concesión para prestar el servicio de televisión en el país.</w:t>
      </w:r>
    </w:p>
    <w:p w14:paraId="66A0EA7E" w14:textId="77777777" w:rsidR="00B35F13" w:rsidRDefault="000276CC" w:rsidP="00B35F13">
      <w:pPr>
        <w:spacing w:before="240" w:line="360" w:lineRule="auto"/>
        <w:jc w:val="both"/>
        <w:rPr>
          <w:rFonts w:ascii="ITC Avant Garde" w:hAnsi="ITC Avant Garde"/>
        </w:rPr>
      </w:pPr>
      <w:r w:rsidRPr="002A2450">
        <w:rPr>
          <w:rFonts w:ascii="ITC Avant Garde" w:hAnsi="ITC Avant Garde"/>
        </w:rPr>
        <w:t xml:space="preserve">Ahora bien, la prueba </w:t>
      </w:r>
      <w:r w:rsidRPr="002A2450">
        <w:rPr>
          <w:rFonts w:ascii="ITC Avant Garde" w:hAnsi="ITC Avant Garde"/>
          <w:b/>
          <w:u w:val="single"/>
        </w:rPr>
        <w:t>pericial en materia de economía</w:t>
      </w:r>
      <w:r w:rsidRPr="002A2450">
        <w:rPr>
          <w:rFonts w:ascii="ITC Avant Garde" w:hAnsi="ITC Avant Garde"/>
        </w:rPr>
        <w:t xml:space="preserve"> presentada por </w:t>
      </w:r>
      <w:r w:rsidRPr="002A2450">
        <w:rPr>
          <w:rFonts w:ascii="ITC Avant Garde" w:hAnsi="ITC Avant Garde"/>
          <w:b/>
        </w:rPr>
        <w:t>“TELMEX”</w:t>
      </w:r>
      <w:r w:rsidRPr="002A2450">
        <w:rPr>
          <w:rFonts w:ascii="ITC Avant Garde" w:hAnsi="ITC Avant Garde"/>
        </w:rPr>
        <w:t xml:space="preserve"> tiene como finalidad explicar desde el punto de vista de </w:t>
      </w:r>
      <w:r w:rsidR="00EF3894" w:rsidRPr="002A2450">
        <w:rPr>
          <w:rFonts w:ascii="ITC Avant Garde" w:hAnsi="ITC Avant Garde"/>
        </w:rPr>
        <w:t xml:space="preserve">dicha </w:t>
      </w:r>
      <w:r w:rsidRPr="002A2450">
        <w:rPr>
          <w:rFonts w:ascii="ITC Avant Garde" w:hAnsi="ITC Avant Garde"/>
        </w:rPr>
        <w:t>materia</w:t>
      </w:r>
      <w:r w:rsidR="00EF3894" w:rsidRPr="002A2450">
        <w:rPr>
          <w:rFonts w:ascii="ITC Avant Garde" w:hAnsi="ITC Avant Garde"/>
        </w:rPr>
        <w:t>,</w:t>
      </w:r>
      <w:r w:rsidRPr="002A2450">
        <w:rPr>
          <w:rFonts w:ascii="ITC Avant Garde" w:hAnsi="ITC Avant Garde"/>
        </w:rPr>
        <w:t xml:space="preserve"> </w:t>
      </w:r>
      <w:r w:rsidR="008A5059" w:rsidRPr="002A2450">
        <w:rPr>
          <w:rFonts w:ascii="ITC Avant Garde" w:hAnsi="ITC Avant Garde"/>
        </w:rPr>
        <w:t>que los contratos celebrados por esa concesionaria no importan la posibilidad de que explote indirectamente una concesión para prestar el servicio de televisión en el país.</w:t>
      </w:r>
    </w:p>
    <w:p w14:paraId="273E4B64" w14:textId="77777777" w:rsidR="00B35F13" w:rsidRDefault="00CF17B2" w:rsidP="00B35F13">
      <w:pPr>
        <w:spacing w:before="240" w:line="360" w:lineRule="auto"/>
        <w:jc w:val="both"/>
        <w:rPr>
          <w:rFonts w:ascii="ITC Avant Garde" w:hAnsi="ITC Avant Garde"/>
        </w:rPr>
      </w:pPr>
      <w:r w:rsidRPr="002A2450">
        <w:rPr>
          <w:rFonts w:ascii="ITC Avant Garde" w:hAnsi="ITC Avant Garde"/>
        </w:rPr>
        <w:t xml:space="preserve">En ese sentido, en perito de </w:t>
      </w:r>
      <w:r w:rsidRPr="002A2450">
        <w:rPr>
          <w:rFonts w:ascii="ITC Avant Garde" w:hAnsi="ITC Avant Garde"/>
          <w:b/>
        </w:rPr>
        <w:t>“TELMEX”</w:t>
      </w:r>
      <w:r w:rsidRPr="002A2450">
        <w:rPr>
          <w:rFonts w:ascii="ITC Avant Garde" w:hAnsi="ITC Avant Garde"/>
        </w:rPr>
        <w:t xml:space="preserve"> señaló en las partes que interesa lo siguiente:</w:t>
      </w:r>
    </w:p>
    <w:p w14:paraId="577E2CD4" w14:textId="77777777" w:rsidR="00B35F13" w:rsidRDefault="00CF17B2"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La caracterización económica de los contratos celebrados es </w:t>
      </w:r>
      <w:r w:rsidRPr="002A2450">
        <w:rPr>
          <w:rFonts w:ascii="ITC Avant Garde" w:hAnsi="ITC Avant Garde"/>
          <w:b/>
          <w:u w:val="single"/>
        </w:rPr>
        <w:t>una relación vertical</w:t>
      </w:r>
      <w:r w:rsidRPr="002A2450">
        <w:rPr>
          <w:rFonts w:ascii="ITC Avant Garde" w:hAnsi="ITC Avant Garde"/>
        </w:rPr>
        <w:t xml:space="preserve"> (aquella que existe entre un proveedor de insumos y un oferente de un bien o servicio final), para lo cual </w:t>
      </w:r>
      <w:r w:rsidRPr="002A2450">
        <w:rPr>
          <w:rFonts w:ascii="ITC Avant Garde" w:hAnsi="ITC Avant Garde"/>
          <w:b/>
        </w:rPr>
        <w:t>“COFRESA</w:t>
      </w:r>
      <w:r w:rsidRPr="002A2450">
        <w:rPr>
          <w:rFonts w:ascii="ITC Avant Garde" w:hAnsi="ITC Avant Garde"/>
        </w:rPr>
        <w:t xml:space="preserve">” demanda insumos de servicios de facturación, cobranza y canalización de servicios al cliente (Contrato de Prestación de Servicios), venta y distribución de </w:t>
      </w:r>
      <w:r w:rsidRPr="002A2450">
        <w:rPr>
          <w:rFonts w:ascii="ITC Avant Garde" w:hAnsi="ITC Avant Garde"/>
          <w:b/>
        </w:rPr>
        <w:t>“DTH”</w:t>
      </w:r>
      <w:r w:rsidRPr="002A2450">
        <w:rPr>
          <w:rFonts w:ascii="ITC Avant Garde" w:hAnsi="ITC Avant Garde"/>
        </w:rPr>
        <w:t xml:space="preserve"> a suscriptores actuales o potenciales de </w:t>
      </w:r>
      <w:r w:rsidR="005B601B" w:rsidRPr="002A2450">
        <w:rPr>
          <w:rFonts w:ascii="ITC Avant Garde" w:hAnsi="ITC Avant Garde"/>
          <w:b/>
        </w:rPr>
        <w:t>“TELMEX”</w:t>
      </w:r>
      <w:r w:rsidRPr="002A2450">
        <w:rPr>
          <w:rFonts w:ascii="ITC Avant Garde" w:hAnsi="ITC Avant Garde"/>
        </w:rPr>
        <w:t xml:space="preserve">, arrendamientos de kits CPE adquiridos por </w:t>
      </w:r>
      <w:r w:rsidRPr="002A2450">
        <w:rPr>
          <w:rFonts w:ascii="ITC Avant Garde" w:hAnsi="ITC Avant Garde"/>
          <w:b/>
        </w:rPr>
        <w:t xml:space="preserve">“TENINVER” </w:t>
      </w:r>
      <w:r w:rsidRPr="002A2450">
        <w:rPr>
          <w:rFonts w:ascii="ITC Avant Garde" w:hAnsi="ITC Avant Garde"/>
        </w:rPr>
        <w:t xml:space="preserve">y a su vez arrendados a </w:t>
      </w:r>
      <w:r w:rsidRPr="002A2450">
        <w:rPr>
          <w:rFonts w:ascii="ITC Avant Garde" w:hAnsi="ITC Avant Garde"/>
          <w:b/>
        </w:rPr>
        <w:t>“COFRESA”</w:t>
      </w:r>
      <w:r w:rsidRPr="002A2450">
        <w:rPr>
          <w:rFonts w:ascii="ITC Avant Garde" w:hAnsi="ITC Avant Garde"/>
        </w:rPr>
        <w:t xml:space="preserve"> para que los distribuya a sus suscriptores de </w:t>
      </w:r>
      <w:r w:rsidR="000A68C4" w:rsidRPr="002A2450">
        <w:rPr>
          <w:rFonts w:ascii="ITC Avant Garde" w:hAnsi="ITC Avant Garde"/>
          <w:b/>
        </w:rPr>
        <w:t>“DTH”</w:t>
      </w:r>
      <w:r w:rsidRPr="002A2450">
        <w:rPr>
          <w:rFonts w:ascii="ITC Avant Garde" w:hAnsi="ITC Avant Garde"/>
        </w:rPr>
        <w:t>.</w:t>
      </w:r>
    </w:p>
    <w:p w14:paraId="46D6900F" w14:textId="77777777" w:rsidR="00B35F13" w:rsidRDefault="00CF17B2"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La relación anterior, actualizan una relación agente-principal, donde los problemas asociados son: i) la información asimétrica y ii) contratos incompletos (que generan que el principal no pueda observar el desempeño o esfuerzo del agente y que sus incentivos no necesariamente coincidan con el del principal).</w:t>
      </w:r>
    </w:p>
    <w:p w14:paraId="224AE1FE" w14:textId="77777777" w:rsidR="00B35F13" w:rsidRDefault="00CF17B2"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cuanto al hecho de que los contratos celebrados contengan mecanismos de solución de problemas, </w:t>
      </w:r>
      <w:r w:rsidRPr="002A2450">
        <w:rPr>
          <w:rFonts w:ascii="ITC Avant Garde" w:hAnsi="ITC Avant Garde"/>
          <w:b/>
          <w:u w:val="single"/>
        </w:rPr>
        <w:t>el perito no es contundente</w:t>
      </w:r>
      <w:r w:rsidRPr="002A2450">
        <w:rPr>
          <w:rFonts w:ascii="ITC Avant Garde" w:hAnsi="ITC Avant Garde"/>
        </w:rPr>
        <w:t xml:space="preserve"> en advertir si cuentan o no con dichos esquemas, solo advierte que los contratos requieren de esos mecanismos para un desempeño eficiente, en ausencia de tales se crean condiciones que generan información incompleta entre partes y de riesgo moral.</w:t>
      </w:r>
    </w:p>
    <w:p w14:paraId="193A9A03" w14:textId="77777777" w:rsidR="00B35F13" w:rsidRDefault="004E164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lastRenderedPageBreak/>
        <w:t xml:space="preserve">Por lo que hace a la respuesta referente a que si los contratos contienen mecanismos para para resolver problemas de asimetría de información, </w:t>
      </w:r>
      <w:r w:rsidRPr="002A2450">
        <w:rPr>
          <w:rFonts w:ascii="ITC Avant Garde" w:hAnsi="ITC Avant Garde"/>
          <w:b/>
          <w:u w:val="single"/>
        </w:rPr>
        <w:t>el perito no es contundente</w:t>
      </w:r>
      <w:r w:rsidRPr="002A2450">
        <w:rPr>
          <w:rFonts w:ascii="ITC Avant Garde" w:hAnsi="ITC Avant Garde"/>
        </w:rPr>
        <w:t xml:space="preserve"> ya que sólo afirma que es necesario que los contratos contemplen mecanismos de monitoreo e intercambio de información para minimizar el riesgo moral</w:t>
      </w:r>
      <w:r w:rsidR="00B64206" w:rsidRPr="002A2450">
        <w:rPr>
          <w:rFonts w:ascii="ITC Avant Garde" w:hAnsi="ITC Avant Garde"/>
        </w:rPr>
        <w:t xml:space="preserve"> que surge en ta</w:t>
      </w:r>
      <w:r w:rsidRPr="002A2450">
        <w:rPr>
          <w:rFonts w:ascii="ITC Avant Garde" w:hAnsi="ITC Avant Garde"/>
        </w:rPr>
        <w:t>les relaciones contractuales sin que señale si efectivamente los contratos contienen o no los mecanismos señalados.</w:t>
      </w:r>
    </w:p>
    <w:p w14:paraId="6C2D9A90" w14:textId="2DCC7F41" w:rsidR="004E164F" w:rsidRPr="002A2450" w:rsidRDefault="004E164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se refiere a que si </w:t>
      </w:r>
      <w:r w:rsidRPr="002A2450">
        <w:rPr>
          <w:rFonts w:ascii="ITC Avant Garde" w:hAnsi="ITC Avant Garde"/>
          <w:b/>
        </w:rPr>
        <w:t>“TELMEX”</w:t>
      </w:r>
      <w:r w:rsidRPr="002A2450">
        <w:rPr>
          <w:rFonts w:ascii="ITC Avant Garde" w:hAnsi="ITC Avant Garde"/>
        </w:rPr>
        <w:t xml:space="preserve"> puede caracterizarse como </w:t>
      </w:r>
      <w:r w:rsidRPr="002A2450">
        <w:rPr>
          <w:rFonts w:ascii="ITC Avant Garde" w:hAnsi="ITC Avant Garde"/>
          <w:i/>
        </w:rPr>
        <w:t>principal</w:t>
      </w:r>
      <w:r w:rsidR="008F718E" w:rsidRPr="009E34A4">
        <w:rPr>
          <w:rFonts w:ascii="ITC Avant Garde" w:hAnsi="ITC Avant Garde"/>
          <w:i/>
          <w:color w:val="C00000"/>
        </w:rPr>
        <w:t xml:space="preserve"> </w:t>
      </w:r>
      <w:r w:rsidRPr="002A2450">
        <w:rPr>
          <w:rFonts w:ascii="ITC Avant Garde" w:hAnsi="ITC Avant Garde"/>
        </w:rPr>
        <w:t xml:space="preserve">y </w:t>
      </w:r>
      <w:r w:rsidRPr="002A2450">
        <w:rPr>
          <w:rFonts w:ascii="ITC Avant Garde" w:hAnsi="ITC Avant Garde"/>
          <w:b/>
        </w:rPr>
        <w:t xml:space="preserve">“COFRESA” </w:t>
      </w:r>
      <w:r w:rsidRPr="002A2450">
        <w:rPr>
          <w:rFonts w:ascii="ITC Avant Garde" w:hAnsi="ITC Avant Garde"/>
        </w:rPr>
        <w:t xml:space="preserve">como </w:t>
      </w:r>
      <w:r w:rsidRPr="002A2450">
        <w:rPr>
          <w:rFonts w:ascii="ITC Avant Garde" w:hAnsi="ITC Avant Garde"/>
          <w:i/>
        </w:rPr>
        <w:t>agente</w:t>
      </w:r>
      <w:r w:rsidRPr="002A2450">
        <w:rPr>
          <w:rFonts w:ascii="ITC Avant Garde" w:hAnsi="ITC Avant Garde"/>
        </w:rPr>
        <w:t xml:space="preserve">, el perito señala que se puede afirmar que </w:t>
      </w:r>
      <w:r w:rsidRPr="002A2450">
        <w:rPr>
          <w:rFonts w:ascii="ITC Avant Garde" w:hAnsi="ITC Avant Garde"/>
          <w:b/>
        </w:rPr>
        <w:t xml:space="preserve">“COFRESA” </w:t>
      </w:r>
      <w:r w:rsidRPr="002A2450">
        <w:rPr>
          <w:rFonts w:ascii="ITC Avant Garde" w:hAnsi="ITC Avant Garde"/>
        </w:rPr>
        <w:t xml:space="preserve">es el </w:t>
      </w:r>
      <w:r w:rsidRPr="002A2450">
        <w:rPr>
          <w:rFonts w:ascii="ITC Avant Garde" w:hAnsi="ITC Avant Garde"/>
          <w:i/>
        </w:rPr>
        <w:t>principal</w:t>
      </w:r>
      <w:r w:rsidRPr="002A2450">
        <w:rPr>
          <w:rFonts w:ascii="ITC Avant Garde" w:hAnsi="ITC Avant Garde"/>
        </w:rPr>
        <w:t xml:space="preserve"> por que contrata los servicios de facturación, distribución y arrendamiento a un </w:t>
      </w:r>
      <w:r w:rsidRPr="002A2450">
        <w:rPr>
          <w:rFonts w:ascii="ITC Avant Garde" w:hAnsi="ITC Avant Garde"/>
          <w:i/>
        </w:rPr>
        <w:t>agente</w:t>
      </w:r>
      <w:r w:rsidRPr="002A2450">
        <w:rPr>
          <w:rFonts w:ascii="ITC Avant Garde" w:hAnsi="ITC Avant Garde"/>
        </w:rPr>
        <w:t xml:space="preserve"> que es </w:t>
      </w:r>
      <w:r w:rsidRPr="002A2450">
        <w:rPr>
          <w:rFonts w:ascii="ITC Avant Garde" w:hAnsi="ITC Avant Garde"/>
          <w:b/>
        </w:rPr>
        <w:t>“TELMEX”</w:t>
      </w:r>
      <w:r w:rsidRPr="002A2450">
        <w:rPr>
          <w:rFonts w:ascii="ITC Avant Garde" w:hAnsi="ITC Avant Garde"/>
        </w:rPr>
        <w:t>,</w:t>
      </w:r>
      <w:r w:rsidR="008F718E" w:rsidRPr="009E34A4">
        <w:rPr>
          <w:rFonts w:ascii="ITC Avant Garde" w:hAnsi="ITC Avant Garde"/>
          <w:color w:val="C00000"/>
        </w:rPr>
        <w:t xml:space="preserve"> </w:t>
      </w:r>
      <w:r w:rsidRPr="002A2450">
        <w:rPr>
          <w:rFonts w:ascii="ITC Avant Garde" w:hAnsi="ITC Avant Garde"/>
        </w:rPr>
        <w:t>aclarando que los</w:t>
      </w:r>
      <w:r w:rsidRPr="002A2450">
        <w:rPr>
          <w:rFonts w:ascii="ITC Avant Garde" w:hAnsi="ITC Avant Garde"/>
          <w:b/>
        </w:rPr>
        <w:t xml:space="preserve"> </w:t>
      </w:r>
      <w:r w:rsidRPr="002A2450">
        <w:rPr>
          <w:rFonts w:ascii="ITC Avant Garde" w:hAnsi="ITC Avant Garde"/>
        </w:rPr>
        <w:t xml:space="preserve">contratos deben contener necesariamente mecanismos de monitoreo así como incentivos, orientados a que el agente, en su desempeño, eficiencia y esfuerzo en servicios de facturación y distribución sean consistentes con el objetivo de </w:t>
      </w:r>
      <w:r w:rsidRPr="002A2450">
        <w:rPr>
          <w:rFonts w:ascii="ITC Avant Garde" w:hAnsi="ITC Avant Garde"/>
          <w:b/>
        </w:rPr>
        <w:t xml:space="preserve">“COFRESA” </w:t>
      </w:r>
      <w:r w:rsidRPr="002A2450">
        <w:rPr>
          <w:rFonts w:ascii="ITC Avant Garde" w:hAnsi="ITC Avant Garde"/>
        </w:rPr>
        <w:t>como principal, en dichas relaciones contractuales.</w:t>
      </w:r>
    </w:p>
    <w:p w14:paraId="5C0B7B4B" w14:textId="77777777" w:rsidR="00B35F13" w:rsidRDefault="004F725D" w:rsidP="00B35F13">
      <w:pPr>
        <w:pStyle w:val="Prrafodelista"/>
        <w:spacing w:before="240" w:line="360" w:lineRule="auto"/>
        <w:ind w:left="567"/>
        <w:jc w:val="both"/>
        <w:rPr>
          <w:rFonts w:ascii="ITC Avant Garde" w:hAnsi="ITC Avant Garde"/>
          <w:b/>
        </w:rPr>
      </w:pPr>
      <w:r w:rsidRPr="002A2450">
        <w:rPr>
          <w:rFonts w:ascii="ITC Avant Garde" w:hAnsi="ITC Avant Garde"/>
        </w:rPr>
        <w:t xml:space="preserve">El </w:t>
      </w:r>
      <w:r w:rsidR="00047ED8" w:rsidRPr="002A2450">
        <w:rPr>
          <w:rFonts w:ascii="ITC Avant Garde" w:hAnsi="ITC Avant Garde"/>
        </w:rPr>
        <w:t xml:space="preserve">análisis del </w:t>
      </w:r>
      <w:r w:rsidRPr="002A2450">
        <w:rPr>
          <w:rFonts w:ascii="ITC Avant Garde" w:hAnsi="ITC Avant Garde"/>
        </w:rPr>
        <w:t xml:space="preserve">perito no toma en consideración las capacidades de negociación entre </w:t>
      </w:r>
      <w:r w:rsidRPr="002A2450">
        <w:rPr>
          <w:rFonts w:ascii="ITC Avant Garde" w:hAnsi="ITC Avant Garde"/>
          <w:b/>
        </w:rPr>
        <w:t xml:space="preserve">“TELMEX” </w:t>
      </w:r>
      <w:r w:rsidRPr="002A2450">
        <w:rPr>
          <w:rFonts w:ascii="ITC Avant Garde" w:hAnsi="ITC Avant Garde"/>
        </w:rPr>
        <w:t xml:space="preserve">y </w:t>
      </w:r>
      <w:r w:rsidRPr="002A2450">
        <w:rPr>
          <w:rFonts w:ascii="ITC Avant Garde" w:hAnsi="ITC Avant Garde"/>
          <w:b/>
        </w:rPr>
        <w:t xml:space="preserve">“COFRESA”. </w:t>
      </w:r>
    </w:p>
    <w:p w14:paraId="0CBEECA1" w14:textId="77777777" w:rsidR="00B35F13" w:rsidRDefault="004E164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Por lo que toca a la respuesta referente a si los contratos plantean problemas de asimetría de información </w:t>
      </w:r>
      <w:r w:rsidR="00640A47" w:rsidRPr="002A2450">
        <w:rPr>
          <w:rFonts w:ascii="ITC Avant Garde" w:hAnsi="ITC Avant Garde"/>
          <w:b/>
          <w:u w:val="single"/>
        </w:rPr>
        <w:t>el perito no es contundente</w:t>
      </w:r>
      <w:r w:rsidR="00640A47" w:rsidRPr="002A2450">
        <w:rPr>
          <w:rFonts w:ascii="ITC Avant Garde" w:hAnsi="ITC Avant Garde"/>
        </w:rPr>
        <w:t xml:space="preserve"> puesto que sólo afirma que </w:t>
      </w:r>
      <w:r w:rsidR="001B25A5" w:rsidRPr="002A2450">
        <w:rPr>
          <w:rFonts w:ascii="ITC Avant Garde" w:hAnsi="ITC Avant Garde"/>
        </w:rPr>
        <w:t>los contratos resuelven el problema de asimetría de la información así como que es necesario que los contratos contemplen mecanismos de monitoreo e intercambio de información oportuna y continua para minimizar el riesgo moral que surge de tal relación sin que se advierta de la respuesta señalada si efectivamente se presentan problemas de asimetría de información.</w:t>
      </w:r>
    </w:p>
    <w:p w14:paraId="7A387AB1" w14:textId="77777777" w:rsidR="00B35F13" w:rsidRDefault="001B25A5"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refiere a si los contratos presentan el problema de contratos incompletos, </w:t>
      </w:r>
      <w:r w:rsidRPr="002A2450">
        <w:rPr>
          <w:rFonts w:ascii="ITC Avant Garde" w:hAnsi="ITC Avant Garde"/>
          <w:b/>
          <w:u w:val="single"/>
        </w:rPr>
        <w:t>el perito no es contundente</w:t>
      </w:r>
      <w:r w:rsidRPr="002A2450">
        <w:rPr>
          <w:rFonts w:ascii="ITC Avant Garde" w:hAnsi="ITC Avant Garde"/>
        </w:rPr>
        <w:t xml:space="preserve"> ya que sólo indica que: i) son incompletos porque no es posible tener cláusulas aplicables a todas y cada una de las circunstancias que se pueden dar entre las partes o en factores exógenos del mercado; ii) considerando lo anterior se opta por un mecanismo </w:t>
      </w:r>
      <w:r w:rsidRPr="002A2450">
        <w:rPr>
          <w:rFonts w:ascii="ITC Avant Garde" w:hAnsi="ITC Avant Garde"/>
        </w:rPr>
        <w:lastRenderedPageBreak/>
        <w:t xml:space="preserve">de negociación que evite alterar el contenido de los contratos y eleven los costos de transacción como de negociación; es fundamental la interacción de las partes para anticipar y </w:t>
      </w:r>
      <w:r w:rsidRPr="00E11C4B">
        <w:rPr>
          <w:rFonts w:ascii="ITC Avant Garde" w:hAnsi="ITC Avant Garde"/>
        </w:rPr>
        <w:t>negociar</w:t>
      </w:r>
      <w:r w:rsidR="008F718E" w:rsidRPr="00E11C4B">
        <w:rPr>
          <w:rFonts w:ascii="ITC Avant Garde" w:hAnsi="ITC Avant Garde"/>
          <w:color w:val="C00000"/>
        </w:rPr>
        <w:t xml:space="preserve"> </w:t>
      </w:r>
      <w:r w:rsidR="00E11C4B" w:rsidRPr="00E11C4B">
        <w:rPr>
          <w:rFonts w:ascii="ITC Avant Garde" w:hAnsi="ITC Avant Garde"/>
        </w:rPr>
        <w:t>acciones</w:t>
      </w:r>
      <w:r w:rsidRPr="00E11C4B">
        <w:rPr>
          <w:rFonts w:ascii="ITC Avant Garde" w:hAnsi="ITC Avant Garde"/>
        </w:rPr>
        <w:t xml:space="preserve"> específicas</w:t>
      </w:r>
      <w:r w:rsidRPr="002A2450">
        <w:rPr>
          <w:rFonts w:ascii="ITC Avant Garde" w:hAnsi="ITC Avant Garde"/>
        </w:rPr>
        <w:t xml:space="preserve"> ante cuestiones externas no anticipadas en el diseño contractual, por lo que los mecanismos de consulta bilateral son fundamentales para la estabilidad de los contratos y la certidumbre de su contenido, y iii) un mecanismo de mensajes y respuestas</w:t>
      </w:r>
      <w:r w:rsidR="008F718E" w:rsidRPr="009E34A4">
        <w:rPr>
          <w:rFonts w:ascii="ITC Avant Garde" w:hAnsi="ITC Avant Garde"/>
          <w:color w:val="C00000"/>
        </w:rPr>
        <w:t xml:space="preserve"> </w:t>
      </w:r>
      <w:r w:rsidRPr="002A2450">
        <w:rPr>
          <w:rFonts w:ascii="ITC Avant Garde" w:hAnsi="ITC Avant Garde"/>
        </w:rPr>
        <w:t>permite a las partes alcanzar los mismos pagos que si los contratos fueran incompletos, lo anterior obedece a que si ven las variables por ambas partes de igual forma, la negociación puede alcanzar los mismos objetivos, como si tales cuestiones fueran anticipadas, por lo que es necesaria la interacción de las partes para maximizar la información disponible y tomar decisiones, como si cada evento fuera anticipado en los con</w:t>
      </w:r>
      <w:r w:rsidR="00015A21" w:rsidRPr="002A2450">
        <w:rPr>
          <w:rFonts w:ascii="ITC Avant Garde" w:hAnsi="ITC Avant Garde"/>
        </w:rPr>
        <w:t>tratos</w:t>
      </w:r>
      <w:r w:rsidR="004F725D" w:rsidRPr="002A2450">
        <w:rPr>
          <w:rFonts w:ascii="ITC Avant Garde" w:hAnsi="ITC Avant Garde"/>
        </w:rPr>
        <w:t>. S</w:t>
      </w:r>
      <w:r w:rsidR="00015A21" w:rsidRPr="002A2450">
        <w:rPr>
          <w:rFonts w:ascii="ITC Avant Garde" w:hAnsi="ITC Avant Garde"/>
        </w:rPr>
        <w:t>in embargo, el perito no señala si los contratos materia del presente procedimiento presentan o no problemas de contratos incompletos.</w:t>
      </w:r>
    </w:p>
    <w:p w14:paraId="027F38FF" w14:textId="77777777" w:rsidR="00B35F13" w:rsidRDefault="00015A21"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cuanto a si las interdependencias, condicionalidades, obligaciones y derechos de los contratos obedecen a un diseño eficiente entre un proveedor y su cliente en una relación a largo plazo, </w:t>
      </w:r>
      <w:r w:rsidRPr="002A2450">
        <w:rPr>
          <w:rFonts w:ascii="ITC Avant Garde" w:hAnsi="ITC Avant Garde"/>
          <w:b/>
          <w:u w:val="single"/>
        </w:rPr>
        <w:t>el perito no es preciso</w:t>
      </w:r>
      <w:r w:rsidRPr="002A2450">
        <w:rPr>
          <w:rFonts w:ascii="ITC Avant Garde" w:hAnsi="ITC Avant Garde"/>
        </w:rPr>
        <w:t xml:space="preserve"> puesto que sólo advierte </w:t>
      </w:r>
      <w:r w:rsidR="009472E3" w:rsidRPr="002A2450">
        <w:rPr>
          <w:rFonts w:ascii="ITC Avant Garde" w:hAnsi="ITC Avant Garde"/>
        </w:rPr>
        <w:t xml:space="preserve">que los contratos </w:t>
      </w:r>
      <w:r w:rsidRPr="002A2450">
        <w:rPr>
          <w:rFonts w:ascii="ITC Avant Garde" w:hAnsi="ITC Avant Garde"/>
        </w:rPr>
        <w:t>contiene al menos dos elementos para resolver el riesgo mo</w:t>
      </w:r>
      <w:r w:rsidR="009472E3" w:rsidRPr="002A2450">
        <w:rPr>
          <w:rFonts w:ascii="ITC Avant Garde" w:hAnsi="ITC Avant Garde"/>
        </w:rPr>
        <w:t>ral entre agente y el principal, esto es, l</w:t>
      </w:r>
      <w:r w:rsidRPr="002A2450">
        <w:rPr>
          <w:rFonts w:ascii="ITC Avant Garde" w:hAnsi="ITC Avant Garde"/>
        </w:rPr>
        <w:t>a compartición del riesgo y</w:t>
      </w:r>
      <w:r w:rsidR="009472E3" w:rsidRPr="002A2450">
        <w:rPr>
          <w:rFonts w:ascii="ITC Avant Garde" w:hAnsi="ITC Avant Garde"/>
        </w:rPr>
        <w:t xml:space="preserve"> l</w:t>
      </w:r>
      <w:r w:rsidRPr="002A2450">
        <w:rPr>
          <w:rFonts w:ascii="ITC Avant Garde" w:hAnsi="ITC Avant Garde"/>
        </w:rPr>
        <w:t>a creación de incentivos</w:t>
      </w:r>
      <w:r w:rsidR="009472E3" w:rsidRPr="002A2450">
        <w:rPr>
          <w:rFonts w:ascii="ITC Avant Garde" w:hAnsi="ITC Avant Garde"/>
        </w:rPr>
        <w:t>; e</w:t>
      </w:r>
      <w:r w:rsidRPr="002A2450">
        <w:rPr>
          <w:rFonts w:ascii="ITC Avant Garde" w:hAnsi="ITC Avant Garde"/>
        </w:rPr>
        <w:t>l esquema de derechos y obligaciones responde a una dist</w:t>
      </w:r>
      <w:r w:rsidR="009472E3" w:rsidRPr="002A2450">
        <w:rPr>
          <w:rFonts w:ascii="ITC Avant Garde" w:hAnsi="ITC Avant Garde"/>
        </w:rPr>
        <w:t xml:space="preserve">ribución de ingresos y riesgos </w:t>
      </w:r>
      <w:r w:rsidRPr="002A2450">
        <w:rPr>
          <w:rFonts w:ascii="ITC Avant Garde" w:hAnsi="ITC Avant Garde"/>
        </w:rPr>
        <w:t xml:space="preserve">entre las partes que son necesarios para inducir </w:t>
      </w:r>
      <w:r w:rsidR="00B64206" w:rsidRPr="002A2450">
        <w:rPr>
          <w:rFonts w:ascii="ITC Avant Garde" w:hAnsi="ITC Avant Garde"/>
        </w:rPr>
        <w:t xml:space="preserve">un </w:t>
      </w:r>
      <w:r w:rsidRPr="002A2450">
        <w:rPr>
          <w:rFonts w:ascii="ITC Avant Garde" w:hAnsi="ITC Avant Garde"/>
        </w:rPr>
        <w:t>esfuerzo óptimo por el agente y que debe ser consistent</w:t>
      </w:r>
      <w:r w:rsidR="009472E3" w:rsidRPr="002A2450">
        <w:rPr>
          <w:rFonts w:ascii="ITC Avant Garde" w:hAnsi="ITC Avant Garde"/>
        </w:rPr>
        <w:t>e con el objetivo del principal, sin embargo, ello no permite observar si efectivamente los contratos obedecen a un diseño eficiente entre un proveedor y su cliente en una relación a largo plazo.</w:t>
      </w:r>
    </w:p>
    <w:p w14:paraId="3602BEA6" w14:textId="77777777" w:rsidR="00B35F13" w:rsidRDefault="009472E3"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Ahora bien, por lo que se refiere a que s</w:t>
      </w:r>
      <w:r w:rsidR="00015A21" w:rsidRPr="002A2450">
        <w:rPr>
          <w:rFonts w:ascii="ITC Avant Garde" w:hAnsi="ITC Avant Garde"/>
        </w:rPr>
        <w:t xml:space="preserve">i la teoría económica de </w:t>
      </w:r>
      <w:r w:rsidRPr="002A2450">
        <w:rPr>
          <w:rFonts w:ascii="ITC Avant Garde" w:hAnsi="ITC Avant Garde"/>
        </w:rPr>
        <w:t xml:space="preserve">los contratos </w:t>
      </w:r>
      <w:r w:rsidR="00015A21" w:rsidRPr="002A2450">
        <w:rPr>
          <w:rFonts w:ascii="ITC Avant Garde" w:hAnsi="ITC Avant Garde"/>
        </w:rPr>
        <w:t xml:space="preserve">explica </w:t>
      </w:r>
      <w:r w:rsidR="00B64206" w:rsidRPr="002A2450">
        <w:rPr>
          <w:rFonts w:ascii="ITC Avant Garde" w:hAnsi="ITC Avant Garde"/>
        </w:rPr>
        <w:t xml:space="preserve">los </w:t>
      </w:r>
      <w:r w:rsidR="00015A21" w:rsidRPr="002A2450">
        <w:rPr>
          <w:rFonts w:ascii="ITC Avant Garde" w:hAnsi="ITC Avant Garde"/>
        </w:rPr>
        <w:t>mecanismos para alinear los incentivos entre un agente (</w:t>
      </w:r>
      <w:r w:rsidRPr="002A2450">
        <w:rPr>
          <w:rFonts w:ascii="ITC Avant Garde" w:hAnsi="ITC Avant Garde"/>
          <w:b/>
        </w:rPr>
        <w:t>“TELMEX”</w:t>
      </w:r>
      <w:r w:rsidR="00015A21" w:rsidRPr="002A2450">
        <w:rPr>
          <w:rFonts w:ascii="ITC Avant Garde" w:hAnsi="ITC Avant Garde"/>
        </w:rPr>
        <w:t>) y un principal (</w:t>
      </w:r>
      <w:r w:rsidRPr="002A2450">
        <w:rPr>
          <w:rFonts w:ascii="ITC Avant Garde" w:hAnsi="ITC Avant Garde"/>
          <w:b/>
        </w:rPr>
        <w:t>“COFRESA”</w:t>
      </w:r>
      <w:r w:rsidR="00015A21" w:rsidRPr="002A2450">
        <w:rPr>
          <w:rFonts w:ascii="ITC Avant Garde" w:hAnsi="ITC Avant Garde"/>
        </w:rPr>
        <w:t>) de tal manera que los riesgos para ambas partes se minimice</w:t>
      </w:r>
      <w:r w:rsidR="00B64206" w:rsidRPr="002A2450">
        <w:rPr>
          <w:rFonts w:ascii="ITC Avant Garde" w:hAnsi="ITC Avant Garde"/>
        </w:rPr>
        <w:t>n</w:t>
      </w:r>
      <w:r w:rsidR="00015A21" w:rsidRPr="002A2450">
        <w:rPr>
          <w:rFonts w:ascii="ITC Avant Garde" w:hAnsi="ITC Avant Garde"/>
        </w:rPr>
        <w:t xml:space="preserve"> y se maximice el retorno de los contratos, más aún cuando el proveedor incurre en inversiones específicas de equipo par</w:t>
      </w:r>
      <w:r w:rsidRPr="002A2450">
        <w:rPr>
          <w:rFonts w:ascii="ITC Avant Garde" w:hAnsi="ITC Avant Garde"/>
        </w:rPr>
        <w:t xml:space="preserve">a su </w:t>
      </w:r>
      <w:r w:rsidRPr="002A2450">
        <w:rPr>
          <w:rFonts w:ascii="ITC Avant Garde" w:hAnsi="ITC Avant Garde"/>
        </w:rPr>
        <w:lastRenderedPageBreak/>
        <w:t xml:space="preserve">arrendamiento al principal, </w:t>
      </w:r>
      <w:r w:rsidRPr="002A2450">
        <w:rPr>
          <w:rFonts w:ascii="ITC Avant Garde" w:hAnsi="ITC Avant Garde"/>
          <w:b/>
          <w:u w:val="single"/>
        </w:rPr>
        <w:t>el perito es vago en su respuesta</w:t>
      </w:r>
      <w:r w:rsidRPr="002A2450">
        <w:rPr>
          <w:rFonts w:ascii="ITC Avant Garde" w:hAnsi="ITC Avant Garde"/>
        </w:rPr>
        <w:t xml:space="preserve"> al señalar en que l</w:t>
      </w:r>
      <w:r w:rsidR="00015A21" w:rsidRPr="002A2450">
        <w:rPr>
          <w:rFonts w:ascii="ITC Avant Garde" w:hAnsi="ITC Avant Garde"/>
        </w:rPr>
        <w:t xml:space="preserve">a literatura económica demuestra que es necesario incluir en los contratos una participación en el ingreso donde el principal es receptor residual y el agente obtiene una fracción de este. </w:t>
      </w:r>
      <w:r w:rsidRPr="002A2450">
        <w:rPr>
          <w:rFonts w:ascii="ITC Avant Garde" w:hAnsi="ITC Avant Garde"/>
        </w:rPr>
        <w:t>Ahora bien, e</w:t>
      </w:r>
      <w:r w:rsidR="00015A21" w:rsidRPr="002A2450">
        <w:rPr>
          <w:rFonts w:ascii="ITC Avant Garde" w:hAnsi="ITC Avant Garde"/>
        </w:rPr>
        <w:t xml:space="preserve">l ingreso es una variable correlacionada con el desempeño del agente, es consecuencia de la eficiencia relativa a sus obligaciones (servicios de facturación y distribución). </w:t>
      </w:r>
      <w:r w:rsidRPr="002A2450">
        <w:rPr>
          <w:rFonts w:ascii="ITC Avant Garde" w:hAnsi="ITC Avant Garde"/>
        </w:rPr>
        <w:t>Sin embargo, n</w:t>
      </w:r>
      <w:r w:rsidR="00015A21" w:rsidRPr="002A2450">
        <w:rPr>
          <w:rFonts w:ascii="ITC Avant Garde" w:hAnsi="ITC Avant Garde"/>
        </w:rPr>
        <w:t>o es perfecta esta correlación, ya que estas variables son determinadas por factores externos y de mercado, por lo que no es una relación univoca con la variable de desempeño que se establece en el contrato y el e</w:t>
      </w:r>
      <w:r w:rsidRPr="002A2450">
        <w:rPr>
          <w:rFonts w:ascii="ITC Avant Garde" w:hAnsi="ITC Avant Garde"/>
        </w:rPr>
        <w:t xml:space="preserve">sfuerzo realizado por el agente, de lo que se sigue que no es posible determinar </w:t>
      </w:r>
      <w:r w:rsidR="00462F4C" w:rsidRPr="002A2450">
        <w:rPr>
          <w:rFonts w:ascii="ITC Avant Garde" w:hAnsi="ITC Avant Garde"/>
        </w:rPr>
        <w:t xml:space="preserve">si la teoría económica de los contratos explica o no, sí el alineamiento de incentivos </w:t>
      </w:r>
      <w:r w:rsidR="00462F4C" w:rsidRPr="002A2450">
        <w:rPr>
          <w:rFonts w:ascii="ITC Avant Garde" w:hAnsi="ITC Avant Garde"/>
          <w:i/>
        </w:rPr>
        <w:t>agente-principal</w:t>
      </w:r>
      <w:r w:rsidR="00462F4C" w:rsidRPr="002A2450">
        <w:rPr>
          <w:rFonts w:ascii="ITC Avant Garde" w:hAnsi="ITC Avant Garde"/>
        </w:rPr>
        <w:t xml:space="preserve"> minimice el riesgo de las partes y maximice el retorno de los contratos cuando el proveedor </w:t>
      </w:r>
      <w:r w:rsidR="00B64206" w:rsidRPr="002A2450">
        <w:rPr>
          <w:rFonts w:ascii="ITC Avant Garde" w:hAnsi="ITC Avant Garde"/>
        </w:rPr>
        <w:t xml:space="preserve">incurre </w:t>
      </w:r>
      <w:r w:rsidR="00462F4C" w:rsidRPr="002A2450">
        <w:rPr>
          <w:rFonts w:ascii="ITC Avant Garde" w:hAnsi="ITC Avant Garde"/>
        </w:rPr>
        <w:t xml:space="preserve">en inversiones específicas de equipo para su arrendamiento al principal, puesto que sólo considera que la correlación entre el ingreso y el desempeño del </w:t>
      </w:r>
      <w:r w:rsidR="00462F4C" w:rsidRPr="002A2450">
        <w:rPr>
          <w:rFonts w:ascii="ITC Avant Garde" w:hAnsi="ITC Avant Garde"/>
          <w:i/>
        </w:rPr>
        <w:t>agente</w:t>
      </w:r>
      <w:r w:rsidR="00462F4C" w:rsidRPr="002A2450">
        <w:rPr>
          <w:rFonts w:ascii="ITC Avant Garde" w:hAnsi="ITC Avant Garde"/>
        </w:rPr>
        <w:t xml:space="preserve"> puede estar condicionada a factores externos o de mercado, de lo que se sigue que dicha relación (ingreso / desempeño) no es necesariamente univoca</w:t>
      </w:r>
      <w:r w:rsidR="00341F12" w:rsidRPr="002A2450">
        <w:rPr>
          <w:rFonts w:ascii="ITC Avant Garde" w:hAnsi="ITC Avant Garde"/>
        </w:rPr>
        <w:t xml:space="preserve">, así como que no se advierte si los mecanismos para alinear los incentivos en los contratos minimice el riesgo y maximice el retorno de los contratos en inversiones específicas de equipo para su arrendamiento al </w:t>
      </w:r>
      <w:r w:rsidR="00341F12" w:rsidRPr="002A2450">
        <w:rPr>
          <w:rFonts w:ascii="ITC Avant Garde" w:hAnsi="ITC Avant Garde"/>
          <w:i/>
        </w:rPr>
        <w:t>principal.</w:t>
      </w:r>
    </w:p>
    <w:p w14:paraId="41A21F2F" w14:textId="77777777" w:rsidR="00B35F13" w:rsidRDefault="00405AC0"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respecta a lo que debe entenderse por </w:t>
      </w:r>
      <w:r w:rsidR="00015A21" w:rsidRPr="002A2450">
        <w:rPr>
          <w:rFonts w:ascii="ITC Avant Garde" w:hAnsi="ITC Avant Garde"/>
          <w:b/>
        </w:rPr>
        <w:t>“concentración”</w:t>
      </w:r>
      <w:r w:rsidRPr="002A2450">
        <w:rPr>
          <w:rFonts w:ascii="ITC Avant Garde" w:hAnsi="ITC Avant Garde"/>
          <w:b/>
        </w:rPr>
        <w:t xml:space="preserve"> </w:t>
      </w:r>
      <w:r w:rsidRPr="002A2450">
        <w:rPr>
          <w:rFonts w:ascii="ITC Avant Garde" w:hAnsi="ITC Avant Garde"/>
        </w:rPr>
        <w:t xml:space="preserve">el perito refiere lo siguiente: i) criterio </w:t>
      </w:r>
      <w:r w:rsidR="00015A21" w:rsidRPr="002A2450">
        <w:rPr>
          <w:rFonts w:ascii="ITC Avant Garde" w:hAnsi="ITC Avant Garde"/>
        </w:rPr>
        <w:t xml:space="preserve">económico relacionado con el mecanismo por el cual una transacción puede determinar </w:t>
      </w:r>
      <w:r w:rsidRPr="002A2450">
        <w:rPr>
          <w:rFonts w:ascii="ITC Avant Garde" w:hAnsi="ITC Avant Garde"/>
        </w:rPr>
        <w:t xml:space="preserve">que </w:t>
      </w:r>
      <w:r w:rsidR="00015A21" w:rsidRPr="002A2450">
        <w:rPr>
          <w:rFonts w:ascii="ITC Avant Garde" w:hAnsi="ITC Avant Garde"/>
        </w:rPr>
        <w:t>un agente económico adquiera capacidad de ejercer influencia en forma unilateral en otro agente econ</w:t>
      </w:r>
      <w:r w:rsidRPr="002A2450">
        <w:rPr>
          <w:rFonts w:ascii="ITC Avant Garde" w:hAnsi="ITC Avant Garde"/>
        </w:rPr>
        <w:t>ómico previamente independiente; ii) t</w:t>
      </w:r>
      <w:r w:rsidR="00015A21" w:rsidRPr="002A2450">
        <w:rPr>
          <w:rFonts w:ascii="ITC Avant Garde" w:hAnsi="ITC Avant Garde"/>
        </w:rPr>
        <w:t xml:space="preserve">ípicamente describe la unificación permanente de empresas previamente separadas, que reemplaza la toma independiente de decisiones por </w:t>
      </w:r>
      <w:r w:rsidRPr="002A2450">
        <w:rPr>
          <w:rFonts w:ascii="ITC Avant Garde" w:hAnsi="ITC Avant Garde"/>
        </w:rPr>
        <w:t xml:space="preserve">un sistema unificado de control; iii) </w:t>
      </w:r>
      <w:r w:rsidR="00015A21" w:rsidRPr="002A2450">
        <w:rPr>
          <w:rFonts w:ascii="ITC Avant Garde" w:hAnsi="ITC Avant Garde"/>
        </w:rPr>
        <w:t xml:space="preserve">Implica desde el punto de vista económico la sustitución de control de los activos y de las decisiones en el mercado de un agente por parte de </w:t>
      </w:r>
      <w:r w:rsidR="00015A21" w:rsidRPr="002A2450">
        <w:rPr>
          <w:rFonts w:ascii="ITC Avant Garde" w:hAnsi="ITC Avant Garde"/>
        </w:rPr>
        <w:lastRenderedPageBreak/>
        <w:t>otro y en otros casos, que la estructura del mercado se modifique en forma permanente lo que conlleva la disminución o pérdida de capacidad de decisiones en el</w:t>
      </w:r>
      <w:r w:rsidR="008F718E" w:rsidRPr="002A2450">
        <w:rPr>
          <w:rFonts w:ascii="ITC Avant Garde" w:hAnsi="ITC Avant Garde"/>
          <w:color w:val="C00000"/>
        </w:rPr>
        <w:t xml:space="preserve"> </w:t>
      </w:r>
      <w:r w:rsidR="00015A21" w:rsidRPr="002A2450">
        <w:rPr>
          <w:rFonts w:ascii="ITC Avant Garde" w:hAnsi="ITC Avant Garde"/>
        </w:rPr>
        <w:t xml:space="preserve">mercado de un agente anteriormente independiente; lo anterior </w:t>
      </w:r>
      <w:r w:rsidR="00A12A36" w:rsidRPr="002A2450">
        <w:rPr>
          <w:rFonts w:ascii="ITC Avant Garde" w:hAnsi="ITC Avant Garde"/>
        </w:rPr>
        <w:t xml:space="preserve">se </w:t>
      </w:r>
      <w:r w:rsidR="00015A21" w:rsidRPr="002A2450">
        <w:rPr>
          <w:rFonts w:ascii="ITC Avant Garde" w:hAnsi="ITC Avant Garde"/>
        </w:rPr>
        <w:t xml:space="preserve">aplica a </w:t>
      </w:r>
      <w:r w:rsidRPr="002A2450">
        <w:rPr>
          <w:rFonts w:ascii="ITC Avant Garde" w:hAnsi="ITC Avant Garde"/>
        </w:rPr>
        <w:t>agentes competidores entre sí</w:t>
      </w:r>
      <w:r w:rsidR="00015A21" w:rsidRPr="002A2450">
        <w:rPr>
          <w:rFonts w:ascii="ITC Avant Garde" w:hAnsi="ITC Avant Garde"/>
        </w:rPr>
        <w:t xml:space="preserve"> (concentración horizontal , como entre agentes ubicados en diferentes etapas de pro</w:t>
      </w:r>
      <w:r w:rsidR="005D52D7" w:rsidRPr="002A2450">
        <w:rPr>
          <w:rFonts w:ascii="ITC Avant Garde" w:hAnsi="ITC Avant Garde"/>
        </w:rPr>
        <w:t>ducción (</w:t>
      </w:r>
      <w:r w:rsidRPr="002A2450">
        <w:rPr>
          <w:rFonts w:ascii="ITC Avant Garde" w:hAnsi="ITC Avant Garde"/>
        </w:rPr>
        <w:t>integración vertical), iv) s</w:t>
      </w:r>
      <w:r w:rsidR="00015A21" w:rsidRPr="002A2450">
        <w:rPr>
          <w:rFonts w:ascii="ITC Avant Garde" w:hAnsi="ITC Avant Garde"/>
        </w:rPr>
        <w:t>e excluyen aquellas relaciones contractuales que dan lugar a una relación de tipo agente-principal, al no existir sustitución de control de activos ni disminución de capacidad de decisión</w:t>
      </w:r>
      <w:r w:rsidR="008F718E" w:rsidRPr="002A2450">
        <w:rPr>
          <w:rFonts w:ascii="ITC Avant Garde" w:hAnsi="ITC Avant Garde"/>
          <w:color w:val="C00000"/>
        </w:rPr>
        <w:t xml:space="preserve"> </w:t>
      </w:r>
      <w:r w:rsidR="00015A21" w:rsidRPr="002A2450">
        <w:rPr>
          <w:rFonts w:ascii="ITC Avant Garde" w:hAnsi="ITC Avant Garde"/>
        </w:rPr>
        <w:t>de la condu</w:t>
      </w:r>
      <w:r w:rsidRPr="002A2450">
        <w:rPr>
          <w:rFonts w:ascii="ITC Avant Garde" w:hAnsi="ITC Avant Garde"/>
        </w:rPr>
        <w:t>cta en el mercado del principal y v) l</w:t>
      </w:r>
      <w:r w:rsidR="00015A21" w:rsidRPr="002A2450">
        <w:rPr>
          <w:rFonts w:ascii="ITC Avant Garde" w:hAnsi="ITC Avant Garde"/>
        </w:rPr>
        <w:t>as decisiones de precio o cantidad en el mercado y las de permanencia o salida del mismo, son las únicas relevantes para considerar a un agente económico independiente de sus competidores o de otros verticalmente relacionados.</w:t>
      </w:r>
    </w:p>
    <w:p w14:paraId="3DBFE114" w14:textId="77777777" w:rsidR="00B35F13" w:rsidRDefault="00405AC0"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se refiere a </w:t>
      </w:r>
      <w:r w:rsidR="00047ED8" w:rsidRPr="002A2450">
        <w:rPr>
          <w:rFonts w:ascii="ITC Avant Garde" w:hAnsi="ITC Avant Garde"/>
        </w:rPr>
        <w:t xml:space="preserve">si </w:t>
      </w:r>
      <w:r w:rsidRPr="002A2450">
        <w:rPr>
          <w:rFonts w:ascii="ITC Avant Garde" w:hAnsi="ITC Avant Garde"/>
        </w:rPr>
        <w:t xml:space="preserve">en las </w:t>
      </w:r>
      <w:r w:rsidR="00015A21" w:rsidRPr="002A2450">
        <w:rPr>
          <w:rFonts w:ascii="ITC Avant Garde" w:hAnsi="ITC Avant Garde"/>
        </w:rPr>
        <w:t>legislaciones de competencia económica, en México y en el extranjero, se considera como “concentración” los con</w:t>
      </w:r>
      <w:r w:rsidRPr="002A2450">
        <w:rPr>
          <w:rFonts w:ascii="ITC Avant Garde" w:hAnsi="ITC Avant Garde"/>
        </w:rPr>
        <w:t xml:space="preserve">tratos de opción de suscripción el perito manifiesta que en </w:t>
      </w:r>
      <w:r w:rsidR="00015A21" w:rsidRPr="002A2450">
        <w:rPr>
          <w:rFonts w:ascii="ITC Avant Garde" w:hAnsi="ITC Avant Garde"/>
        </w:rPr>
        <w:t xml:space="preserve">Estados Unidos de América no son </w:t>
      </w:r>
      <w:proofErr w:type="spellStart"/>
      <w:r w:rsidR="00015A21" w:rsidRPr="002A2450">
        <w:rPr>
          <w:rFonts w:ascii="ITC Avant Garde" w:hAnsi="ITC Avant Garde"/>
        </w:rPr>
        <w:t>notificables</w:t>
      </w:r>
      <w:proofErr w:type="spellEnd"/>
      <w:r w:rsidR="00015A21" w:rsidRPr="002A2450">
        <w:rPr>
          <w:rFonts w:ascii="ITC Avant Garde" w:hAnsi="ITC Avant Garde"/>
        </w:rPr>
        <w:t xml:space="preserve"> hasta que se ejerzan o se transformen en títulos con derecho a voto. Se permiten opciones </w:t>
      </w:r>
      <w:proofErr w:type="spellStart"/>
      <w:r w:rsidR="00015A21" w:rsidRPr="002A2450">
        <w:rPr>
          <w:rFonts w:ascii="ITC Avant Garde" w:hAnsi="ITC Avant Garde"/>
          <w:i/>
        </w:rPr>
        <w:t>call-put</w:t>
      </w:r>
      <w:proofErr w:type="spellEnd"/>
      <w:r w:rsidR="00015A21" w:rsidRPr="002A2450">
        <w:rPr>
          <w:rFonts w:ascii="ITC Avant Garde" w:hAnsi="ITC Avant Garde"/>
        </w:rPr>
        <w:t xml:space="preserve"> sobre acciones de control de empresas, sin involucrar a la autor</w:t>
      </w:r>
      <w:r w:rsidRPr="002A2450">
        <w:rPr>
          <w:rFonts w:ascii="ITC Avant Garde" w:hAnsi="ITC Avant Garde"/>
        </w:rPr>
        <w:t xml:space="preserve">idad antimonopolios, en tanto que, en la </w:t>
      </w:r>
      <w:r w:rsidR="00015A21" w:rsidRPr="002A2450">
        <w:rPr>
          <w:rFonts w:ascii="ITC Avant Garde" w:hAnsi="ITC Avant Garde"/>
        </w:rPr>
        <w:t>Unión Europea</w:t>
      </w:r>
      <w:r w:rsidRPr="002A2450">
        <w:rPr>
          <w:rFonts w:ascii="ITC Avant Garde" w:hAnsi="ITC Avant Garde"/>
        </w:rPr>
        <w:t>, s</w:t>
      </w:r>
      <w:r w:rsidR="00015A21" w:rsidRPr="002A2450">
        <w:rPr>
          <w:rFonts w:ascii="ITC Avant Garde" w:hAnsi="ITC Avant Garde"/>
        </w:rPr>
        <w:t>emejante a los Estados Unidos de América, la opción de compra o conversión de acciones no otorga control a no ser que se ejerza en un futuro próximo por acuerdos jurídicamente vinculantes. Sólo en circunstancias excepcionales la opción junto con otros elementos llevaría a la conclusión de que existe control exclusivo de facto.</w:t>
      </w:r>
    </w:p>
    <w:p w14:paraId="4E62D4C1" w14:textId="77777777" w:rsidR="00B35F13" w:rsidRDefault="00405AC0"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toca a la pregunta de </w:t>
      </w:r>
      <w:r w:rsidR="002F7B95" w:rsidRPr="002A2450">
        <w:rPr>
          <w:rFonts w:ascii="ITC Avant Garde" w:hAnsi="ITC Avant Garde"/>
        </w:rPr>
        <w:t xml:space="preserve">si </w:t>
      </w:r>
      <w:r w:rsidR="00015A21" w:rsidRPr="002A2450">
        <w:rPr>
          <w:rFonts w:ascii="ITC Avant Garde" w:hAnsi="ITC Avant Garde"/>
        </w:rPr>
        <w:t>legislaciones de competencia económica</w:t>
      </w:r>
      <w:r w:rsidRPr="002A2450">
        <w:rPr>
          <w:rFonts w:ascii="ITC Avant Garde" w:hAnsi="ITC Avant Garde"/>
        </w:rPr>
        <w:t xml:space="preserve"> en México y en el extranjero, </w:t>
      </w:r>
      <w:r w:rsidR="00015A21" w:rsidRPr="002A2450">
        <w:rPr>
          <w:rFonts w:ascii="ITC Avant Garde" w:hAnsi="ITC Avant Garde"/>
        </w:rPr>
        <w:t>las opciones liquidables en especie sólo son</w:t>
      </w:r>
      <w:r w:rsidR="006C75E2" w:rsidRPr="002A2450">
        <w:rPr>
          <w:rFonts w:ascii="ITC Avant Garde" w:hAnsi="ITC Avant Garde"/>
        </w:rPr>
        <w:t xml:space="preserve"> </w:t>
      </w:r>
      <w:proofErr w:type="spellStart"/>
      <w:r w:rsidR="006C75E2" w:rsidRPr="002A2450">
        <w:rPr>
          <w:rFonts w:ascii="ITC Avant Garde" w:hAnsi="ITC Avant Garde"/>
        </w:rPr>
        <w:t>notificables</w:t>
      </w:r>
      <w:proofErr w:type="spellEnd"/>
      <w:r w:rsidR="006C75E2" w:rsidRPr="002A2450">
        <w:rPr>
          <w:rFonts w:ascii="ITC Avant Garde" w:hAnsi="ITC Avant Garde"/>
        </w:rPr>
        <w:t xml:space="preserve"> cuando se ejercen, el perito señaló que </w:t>
      </w:r>
      <w:r w:rsidR="00015A21" w:rsidRPr="002A2450">
        <w:rPr>
          <w:rFonts w:ascii="ITC Avant Garde" w:hAnsi="ITC Avant Garde"/>
        </w:rPr>
        <w:t xml:space="preserve">en Estados Unidos de América, no son </w:t>
      </w:r>
      <w:proofErr w:type="spellStart"/>
      <w:r w:rsidR="00015A21" w:rsidRPr="002A2450">
        <w:rPr>
          <w:rFonts w:ascii="ITC Avant Garde" w:hAnsi="ITC Avant Garde"/>
        </w:rPr>
        <w:t>notificables</w:t>
      </w:r>
      <w:proofErr w:type="spellEnd"/>
      <w:r w:rsidR="00015A21" w:rsidRPr="002A2450">
        <w:rPr>
          <w:rFonts w:ascii="ITC Avant Garde" w:hAnsi="ITC Avant Garde"/>
        </w:rPr>
        <w:t xml:space="preserve"> hasta que se ejerzan o se transformen en títulos con derechos a voto; en la Unión Europea no pueden por si mismas conferir control a </w:t>
      </w:r>
      <w:r w:rsidR="006C75E2" w:rsidRPr="002A2450">
        <w:rPr>
          <w:rFonts w:ascii="ITC Avant Garde" w:hAnsi="ITC Avant Garde"/>
        </w:rPr>
        <w:t xml:space="preserve">menos </w:t>
      </w:r>
      <w:r w:rsidR="00015A21" w:rsidRPr="002A2450">
        <w:rPr>
          <w:rFonts w:ascii="ITC Avant Garde" w:hAnsi="ITC Avant Garde"/>
        </w:rPr>
        <w:t xml:space="preserve">que se ejerzan en un futuro próximo por acuerdos jurídicamente vinculantes y excepcionalmente la opción junto con otros </w:t>
      </w:r>
      <w:r w:rsidR="00015A21" w:rsidRPr="002A2450">
        <w:rPr>
          <w:rFonts w:ascii="ITC Avant Garde" w:hAnsi="ITC Avant Garde"/>
        </w:rPr>
        <w:lastRenderedPageBreak/>
        <w:t xml:space="preserve">elementos llevaría a la conclusión de un control de facto. La </w:t>
      </w:r>
      <w:r w:rsidR="006C75E2" w:rsidRPr="002A2450">
        <w:rPr>
          <w:rFonts w:ascii="ITC Avant Garde" w:hAnsi="ITC Avant Garde"/>
        </w:rPr>
        <w:t xml:space="preserve">Comisión Europea </w:t>
      </w:r>
      <w:r w:rsidR="00015A21" w:rsidRPr="002A2450">
        <w:rPr>
          <w:rFonts w:ascii="ITC Avant Garde" w:hAnsi="ITC Avant Garde"/>
        </w:rPr>
        <w:t>no considera relevan</w:t>
      </w:r>
      <w:r w:rsidR="006C75E2" w:rsidRPr="002A2450">
        <w:rPr>
          <w:rFonts w:ascii="ITC Avant Garde" w:hAnsi="ITC Avant Garde"/>
        </w:rPr>
        <w:t>te la opción de compraventa por</w:t>
      </w:r>
      <w:r w:rsidR="00015A21" w:rsidRPr="002A2450">
        <w:rPr>
          <w:rFonts w:ascii="ITC Avant Garde" w:hAnsi="ITC Avant Garde"/>
        </w:rPr>
        <w:t>que representa</w:t>
      </w:r>
      <w:r w:rsidR="006C75E2" w:rsidRPr="002A2450">
        <w:rPr>
          <w:rFonts w:ascii="ITC Avant Garde" w:hAnsi="ITC Avant Garde"/>
        </w:rPr>
        <w:t>n</w:t>
      </w:r>
      <w:r w:rsidR="00015A21" w:rsidRPr="002A2450">
        <w:rPr>
          <w:rFonts w:ascii="ITC Avant Garde" w:hAnsi="ITC Avant Garde"/>
        </w:rPr>
        <w:t xml:space="preserve"> casos hipotéticos</w:t>
      </w:r>
      <w:r w:rsidR="006C75E2" w:rsidRPr="002A2450">
        <w:rPr>
          <w:rFonts w:ascii="ITC Avant Garde" w:hAnsi="ITC Avant Garde"/>
        </w:rPr>
        <w:t xml:space="preserve"> </w:t>
      </w:r>
      <w:r w:rsidR="00B64206" w:rsidRPr="002A2450">
        <w:rPr>
          <w:rFonts w:ascii="ITC Avant Garde" w:hAnsi="ITC Avant Garde"/>
        </w:rPr>
        <w:t xml:space="preserve">y </w:t>
      </w:r>
      <w:r w:rsidR="006C75E2" w:rsidRPr="002A2450">
        <w:rPr>
          <w:rFonts w:ascii="ITC Avant Garde" w:hAnsi="ITC Avant Garde"/>
        </w:rPr>
        <w:t xml:space="preserve">a menos </w:t>
      </w:r>
      <w:r w:rsidR="00015A21" w:rsidRPr="002A2450">
        <w:rPr>
          <w:rFonts w:ascii="ITC Avant Garde" w:hAnsi="ITC Avant Garde"/>
        </w:rPr>
        <w:t xml:space="preserve">que se </w:t>
      </w:r>
      <w:r w:rsidR="006C75E2" w:rsidRPr="002A2450">
        <w:rPr>
          <w:rFonts w:ascii="ITC Avant Garde" w:hAnsi="ITC Avant Garde"/>
        </w:rPr>
        <w:t>e</w:t>
      </w:r>
      <w:r w:rsidR="00015A21" w:rsidRPr="002A2450">
        <w:rPr>
          <w:rFonts w:ascii="ITC Avant Garde" w:hAnsi="ITC Avant Garde"/>
        </w:rPr>
        <w:t>jer</w:t>
      </w:r>
      <w:r w:rsidR="006C75E2" w:rsidRPr="002A2450">
        <w:rPr>
          <w:rFonts w:ascii="ITC Avant Garde" w:hAnsi="ITC Avant Garde"/>
        </w:rPr>
        <w:t xml:space="preserve">za se procedería a su análisis. </w:t>
      </w:r>
      <w:r w:rsidR="00015A21" w:rsidRPr="002A2450">
        <w:rPr>
          <w:rFonts w:ascii="ITC Avant Garde" w:hAnsi="ITC Avant Garde"/>
        </w:rPr>
        <w:t xml:space="preserve">Por tanto, se concluye que la existencia de la opción de compra o venta no constituye por </w:t>
      </w:r>
      <w:r w:rsidR="006C75E2" w:rsidRPr="002A2450">
        <w:rPr>
          <w:rFonts w:ascii="ITC Avant Garde" w:hAnsi="ITC Avant Garde"/>
        </w:rPr>
        <w:t>sí</w:t>
      </w:r>
      <w:r w:rsidR="00015A21" w:rsidRPr="002A2450">
        <w:rPr>
          <w:rFonts w:ascii="ITC Avant Garde" w:hAnsi="ITC Avant Garde"/>
        </w:rPr>
        <w:t xml:space="preserve"> sola evidencia de control directo o indirecto y que sea </w:t>
      </w:r>
      <w:proofErr w:type="spellStart"/>
      <w:r w:rsidR="00015A21" w:rsidRPr="002A2450">
        <w:rPr>
          <w:rFonts w:ascii="ITC Avant Garde" w:hAnsi="ITC Avant Garde"/>
        </w:rPr>
        <w:t>notificable</w:t>
      </w:r>
      <w:proofErr w:type="spellEnd"/>
      <w:r w:rsidR="00015A21" w:rsidRPr="002A2450">
        <w:rPr>
          <w:rFonts w:ascii="ITC Avant Garde" w:hAnsi="ITC Avant Garde"/>
        </w:rPr>
        <w:t>, y para considerarse como un control de facto es necesario otros elementos relacionados con el control sobre el gobierno corporativo actual y no de otro tipo de relaciones, entre ellas las contractuales respecto a relaciones verticales entre agentes involucrados.</w:t>
      </w:r>
    </w:p>
    <w:p w14:paraId="5D088CAB" w14:textId="77777777" w:rsidR="00B35F13" w:rsidRDefault="001C3131"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Por lo que se refiere a si </w:t>
      </w:r>
      <w:r w:rsidR="00015A21" w:rsidRPr="002A2450">
        <w:rPr>
          <w:rFonts w:ascii="ITC Avant Garde" w:hAnsi="ITC Avant Garde"/>
        </w:rPr>
        <w:t xml:space="preserve">una opción tipo </w:t>
      </w:r>
      <w:proofErr w:type="spellStart"/>
      <w:r w:rsidR="00015A21" w:rsidRPr="002A2450">
        <w:rPr>
          <w:rFonts w:ascii="ITC Avant Garde" w:hAnsi="ITC Avant Garde"/>
          <w:i/>
          <w:u w:val="single"/>
        </w:rPr>
        <w:t>call-put</w:t>
      </w:r>
      <w:proofErr w:type="spellEnd"/>
      <w:r w:rsidR="00015A21" w:rsidRPr="002A2450">
        <w:rPr>
          <w:rFonts w:ascii="ITC Avant Garde" w:hAnsi="ITC Avant Garde"/>
        </w:rPr>
        <w:t xml:space="preserve"> constituye una forma eficiente de fijar términos </w:t>
      </w:r>
      <w:r w:rsidR="00900DCC" w:rsidRPr="002A2450">
        <w:rPr>
          <w:rFonts w:ascii="ITC Avant Garde" w:hAnsi="ITC Avant Garde"/>
          <w:i/>
        </w:rPr>
        <w:t xml:space="preserve">ex ante </w:t>
      </w:r>
      <w:r w:rsidR="00015A21" w:rsidRPr="002A2450">
        <w:rPr>
          <w:rFonts w:ascii="ITC Avant Garde" w:hAnsi="ITC Avant Garde"/>
        </w:rPr>
        <w:t>de tal forma que su ejercicio, en caso de darse las condiciones regulatorias y de mercado, sea una alternati</w:t>
      </w:r>
      <w:r w:rsidR="00900DCC" w:rsidRPr="002A2450">
        <w:rPr>
          <w:rFonts w:ascii="ITC Avant Garde" w:hAnsi="ITC Avant Garde"/>
        </w:rPr>
        <w:t xml:space="preserve">va óptima, al respecto el perito señaló que la opción </w:t>
      </w:r>
      <w:r w:rsidR="00015A21" w:rsidRPr="002A2450">
        <w:rPr>
          <w:rFonts w:ascii="ITC Avant Garde" w:hAnsi="ITC Avant Garde"/>
        </w:rPr>
        <w:t>se caracteriza como el derecho de una parte de concluir un acuerdo mediante una declaración unilateral. En fusiones y adquisiciones las opciones se emplean para crear un acuerdo a favor de un comprador (</w:t>
      </w:r>
      <w:proofErr w:type="spellStart"/>
      <w:r w:rsidR="00015A21" w:rsidRPr="002A2450">
        <w:rPr>
          <w:rFonts w:ascii="ITC Avant Garde" w:hAnsi="ITC Avant Garde"/>
          <w:i/>
        </w:rPr>
        <w:t>Call</w:t>
      </w:r>
      <w:proofErr w:type="spellEnd"/>
      <w:r w:rsidR="00015A21" w:rsidRPr="002A2450">
        <w:rPr>
          <w:rFonts w:ascii="ITC Avant Garde" w:hAnsi="ITC Avant Garde"/>
        </w:rPr>
        <w:t>) a favor de un vendedor (</w:t>
      </w:r>
      <w:proofErr w:type="spellStart"/>
      <w:r w:rsidR="00015A21" w:rsidRPr="002A2450">
        <w:rPr>
          <w:rFonts w:ascii="ITC Avant Garde" w:hAnsi="ITC Avant Garde"/>
          <w:i/>
        </w:rPr>
        <w:t>Put</w:t>
      </w:r>
      <w:proofErr w:type="spellEnd"/>
      <w:r w:rsidR="00015A21" w:rsidRPr="002A2450">
        <w:rPr>
          <w:rFonts w:ascii="ITC Avant Garde" w:hAnsi="ITC Avant Garde"/>
        </w:rPr>
        <w:t>) o la combinación de ambos</w:t>
      </w:r>
      <w:r w:rsidR="00900DCC" w:rsidRPr="002A2450">
        <w:rPr>
          <w:rFonts w:ascii="ITC Avant Garde" w:hAnsi="ITC Avant Garde"/>
        </w:rPr>
        <w:t xml:space="preserve">. </w:t>
      </w:r>
      <w:r w:rsidR="00015A21" w:rsidRPr="002A2450">
        <w:rPr>
          <w:rFonts w:ascii="ITC Avant Garde" w:hAnsi="ITC Avant Garde"/>
        </w:rPr>
        <w:t xml:space="preserve">Dichos esquemas limitan las pérdidas y dan certidumbre </w:t>
      </w:r>
      <w:r w:rsidR="00900DCC" w:rsidRPr="002A2450">
        <w:rPr>
          <w:rFonts w:ascii="ITC Avant Garde" w:hAnsi="ITC Avant Garde"/>
        </w:rPr>
        <w:t xml:space="preserve">puesto que </w:t>
      </w:r>
      <w:r w:rsidR="00015A21" w:rsidRPr="002A2450">
        <w:rPr>
          <w:rFonts w:ascii="ITC Avant Garde" w:hAnsi="ITC Avant Garde"/>
        </w:rPr>
        <w:t xml:space="preserve">el </w:t>
      </w:r>
      <w:r w:rsidR="00015A21" w:rsidRPr="002A2450">
        <w:rPr>
          <w:rFonts w:ascii="ITC Avant Garde" w:hAnsi="ITC Avant Garde"/>
          <w:i/>
        </w:rPr>
        <w:t>“</w:t>
      </w:r>
      <w:proofErr w:type="spellStart"/>
      <w:r w:rsidR="00015A21" w:rsidRPr="002A2450">
        <w:rPr>
          <w:rFonts w:ascii="ITC Avant Garde" w:hAnsi="ITC Avant Garde"/>
          <w:i/>
        </w:rPr>
        <w:t>put</w:t>
      </w:r>
      <w:proofErr w:type="spellEnd"/>
      <w:r w:rsidR="00015A21" w:rsidRPr="002A2450">
        <w:rPr>
          <w:rFonts w:ascii="ITC Avant Garde" w:hAnsi="ITC Avant Garde"/>
          <w:i/>
        </w:rPr>
        <w:t>”</w:t>
      </w:r>
      <w:r w:rsidR="00015A21" w:rsidRPr="002A2450">
        <w:rPr>
          <w:rFonts w:ascii="ITC Avant Garde" w:hAnsi="ITC Avant Garde"/>
        </w:rPr>
        <w:t xml:space="preserve"> protege al vendedor de una disminución en el valor del activo y el “</w:t>
      </w:r>
      <w:proofErr w:type="spellStart"/>
      <w:r w:rsidR="00015A21" w:rsidRPr="002A2450">
        <w:rPr>
          <w:rFonts w:ascii="ITC Avant Garde" w:hAnsi="ITC Avant Garde"/>
          <w:i/>
        </w:rPr>
        <w:t>call</w:t>
      </w:r>
      <w:proofErr w:type="spellEnd"/>
      <w:r w:rsidR="00015A21" w:rsidRPr="002A2450">
        <w:rPr>
          <w:rFonts w:ascii="ITC Avant Garde" w:hAnsi="ITC Avant Garde"/>
        </w:rPr>
        <w:t>” al comprador de un incremento. Es una forma eficiente al minimizar los costos.</w:t>
      </w:r>
    </w:p>
    <w:p w14:paraId="02245724" w14:textId="77777777" w:rsidR="00B35F13" w:rsidRDefault="00900DCC"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lo que se refiere a s</w:t>
      </w:r>
      <w:r w:rsidR="00015A21" w:rsidRPr="002A2450">
        <w:rPr>
          <w:rFonts w:ascii="ITC Avant Garde" w:hAnsi="ITC Avant Garde"/>
        </w:rPr>
        <w:t>i las opciones “</w:t>
      </w:r>
      <w:proofErr w:type="spellStart"/>
      <w:r w:rsidR="00015A21" w:rsidRPr="002A2450">
        <w:rPr>
          <w:rFonts w:ascii="ITC Avant Garde" w:hAnsi="ITC Avant Garde"/>
          <w:i/>
        </w:rPr>
        <w:t>call-put</w:t>
      </w:r>
      <w:proofErr w:type="spellEnd"/>
      <w:r w:rsidR="00015A21" w:rsidRPr="002A2450">
        <w:rPr>
          <w:rFonts w:ascii="ITC Avant Garde" w:hAnsi="ITC Avant Garde"/>
        </w:rPr>
        <w:t xml:space="preserve">” limitan el costo de una transacción futura y es económicamente eficiente utilizarlas como instrumento </w:t>
      </w:r>
      <w:r w:rsidR="00B64206" w:rsidRPr="002A2450">
        <w:rPr>
          <w:rFonts w:ascii="ITC Avant Garde" w:hAnsi="ITC Avant Garde"/>
        </w:rPr>
        <w:t xml:space="preserve">para </w:t>
      </w:r>
      <w:r w:rsidR="00015A21" w:rsidRPr="002A2450">
        <w:rPr>
          <w:rFonts w:ascii="ITC Avant Garde" w:hAnsi="ITC Avant Garde"/>
        </w:rPr>
        <w:t>limitar los riesgos</w:t>
      </w:r>
      <w:r w:rsidRPr="002A2450">
        <w:rPr>
          <w:rFonts w:ascii="ITC Avant Garde" w:hAnsi="ITC Avant Garde"/>
        </w:rPr>
        <w:t xml:space="preserve"> para ambas partes, al respecto el perito señaló que </w:t>
      </w:r>
      <w:r w:rsidR="00015A21" w:rsidRPr="002A2450">
        <w:rPr>
          <w:rFonts w:ascii="ITC Avant Garde" w:hAnsi="ITC Avant Garde"/>
        </w:rPr>
        <w:t>tienen la propiedad de limitar las pérdidas entre las partes y dar certidumbre lo que significa disminuir los costos potenciales y minimizar el riesg</w:t>
      </w:r>
      <w:r w:rsidRPr="002A2450">
        <w:rPr>
          <w:rFonts w:ascii="ITC Avant Garde" w:hAnsi="ITC Avant Garde"/>
        </w:rPr>
        <w:t>o</w:t>
      </w:r>
      <w:r w:rsidR="00015A21" w:rsidRPr="002A2450">
        <w:rPr>
          <w:rFonts w:ascii="ITC Avant Garde" w:hAnsi="ITC Avant Garde"/>
        </w:rPr>
        <w:t xml:space="preserve"> por lo que son una forma eficie</w:t>
      </w:r>
      <w:r w:rsidRPr="002A2450">
        <w:rPr>
          <w:rFonts w:ascii="ITC Avant Garde" w:hAnsi="ITC Avant Garde"/>
        </w:rPr>
        <w:t>nte de realizar una transacción.</w:t>
      </w:r>
    </w:p>
    <w:p w14:paraId="0A6FF2A1" w14:textId="77777777" w:rsidR="00B35F13" w:rsidRDefault="00900DCC"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cuanto a que cuáles </w:t>
      </w:r>
      <w:r w:rsidR="00015A21" w:rsidRPr="002A2450">
        <w:rPr>
          <w:rFonts w:ascii="ITC Avant Garde" w:hAnsi="ITC Avant Garde"/>
        </w:rPr>
        <w:t>son los problemas típicos económicos que presentan los contratos a largo plazo</w:t>
      </w:r>
      <w:r w:rsidRPr="002A2450">
        <w:rPr>
          <w:rFonts w:ascii="ITC Avant Garde" w:hAnsi="ITC Avant Garde"/>
        </w:rPr>
        <w:t>,</w:t>
      </w:r>
      <w:r w:rsidR="00B64206" w:rsidRPr="002A2450">
        <w:rPr>
          <w:rFonts w:ascii="ITC Avant Garde" w:hAnsi="ITC Avant Garde"/>
        </w:rPr>
        <w:t xml:space="preserve"> el</w:t>
      </w:r>
      <w:r w:rsidRPr="002A2450">
        <w:rPr>
          <w:rFonts w:ascii="ITC Avant Garde" w:hAnsi="ITC Avant Garde"/>
        </w:rPr>
        <w:t xml:space="preserve"> perito señaló que son </w:t>
      </w:r>
      <w:r w:rsidR="00015A21" w:rsidRPr="002A2450">
        <w:rPr>
          <w:rFonts w:ascii="ITC Avant Garde" w:hAnsi="ITC Avant Garde"/>
        </w:rPr>
        <w:t xml:space="preserve">necesariamente contratos incompletos, </w:t>
      </w:r>
      <w:r w:rsidRPr="002A2450">
        <w:rPr>
          <w:rFonts w:ascii="ITC Avant Garde" w:hAnsi="ITC Avant Garde"/>
        </w:rPr>
        <w:t xml:space="preserve">dado que a </w:t>
      </w:r>
      <w:r w:rsidR="00015A21" w:rsidRPr="002A2450">
        <w:rPr>
          <w:rFonts w:ascii="ITC Avant Garde" w:hAnsi="ITC Avant Garde"/>
        </w:rPr>
        <w:t>mayor vigencia mayor incidencia de eventos no anticipados, ya sea de las partes o cond</w:t>
      </w:r>
      <w:r w:rsidR="001C3707" w:rsidRPr="002A2450">
        <w:rPr>
          <w:rFonts w:ascii="ITC Avant Garde" w:hAnsi="ITC Avant Garde"/>
        </w:rPr>
        <w:t xml:space="preserve">iciones de mercado, </w:t>
      </w:r>
      <w:r w:rsidR="00015A21" w:rsidRPr="002A2450">
        <w:rPr>
          <w:rFonts w:ascii="ITC Avant Garde" w:hAnsi="ITC Avant Garde"/>
        </w:rPr>
        <w:t xml:space="preserve">por lo que se </w:t>
      </w:r>
      <w:r w:rsidR="00015A21" w:rsidRPr="002A2450">
        <w:rPr>
          <w:rFonts w:ascii="ITC Avant Garde" w:hAnsi="ITC Avant Garde"/>
        </w:rPr>
        <w:lastRenderedPageBreak/>
        <w:t xml:space="preserve">opta por un mecanismo </w:t>
      </w:r>
      <w:r w:rsidR="001C3707" w:rsidRPr="002A2450">
        <w:rPr>
          <w:rFonts w:ascii="ITC Avant Garde" w:hAnsi="ITC Avant Garde"/>
        </w:rPr>
        <w:t xml:space="preserve">de negociación </w:t>
      </w:r>
      <w:r w:rsidR="00015A21" w:rsidRPr="002A2450">
        <w:rPr>
          <w:rFonts w:ascii="ITC Avant Garde" w:hAnsi="ITC Avant Garde"/>
        </w:rPr>
        <w:t>que evite alterar el contenido de los contratos y evitar elev</w:t>
      </w:r>
      <w:r w:rsidR="001C3707" w:rsidRPr="002A2450">
        <w:rPr>
          <w:rFonts w:ascii="ITC Avant Garde" w:hAnsi="ITC Avant Garde"/>
        </w:rPr>
        <w:t xml:space="preserve">ar los costos de la transacción, </w:t>
      </w:r>
      <w:r w:rsidR="00015A21" w:rsidRPr="002A2450">
        <w:rPr>
          <w:rFonts w:ascii="ITC Avant Garde" w:hAnsi="ITC Avant Garde"/>
        </w:rPr>
        <w:t xml:space="preserve">por lo que los mecanismos de consulta bilateral son fundamentales para </w:t>
      </w:r>
      <w:r w:rsidR="001C3707" w:rsidRPr="002A2450">
        <w:rPr>
          <w:rFonts w:ascii="ITC Avant Garde" w:hAnsi="ITC Avant Garde"/>
        </w:rPr>
        <w:t xml:space="preserve">la estabilidad de los contratos. </w:t>
      </w:r>
      <w:r w:rsidR="00015A21" w:rsidRPr="002A2450">
        <w:rPr>
          <w:rFonts w:ascii="ITC Avant Garde" w:hAnsi="ITC Avant Garde"/>
        </w:rPr>
        <w:t xml:space="preserve">Un mecanismo de mensajes y </w:t>
      </w:r>
      <w:r w:rsidR="001C3707" w:rsidRPr="002A2450">
        <w:rPr>
          <w:rFonts w:ascii="ITC Avant Garde" w:hAnsi="ITC Avant Garde"/>
        </w:rPr>
        <w:t>respuestas permiten</w:t>
      </w:r>
      <w:r w:rsidR="00015A21" w:rsidRPr="002A2450">
        <w:rPr>
          <w:rFonts w:ascii="ITC Avant Garde" w:hAnsi="ITC Avant Garde"/>
        </w:rPr>
        <w:t xml:space="preserve"> a las partes alcanzar los mismos pagos que si los contratos fueran incompletos.</w:t>
      </w:r>
    </w:p>
    <w:p w14:paraId="538AA8E0" w14:textId="77777777" w:rsidR="00B35F13" w:rsidRDefault="001C3707"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Por lo que hace a sí los contratos prevén inversiones específicas, el perito señala que es cierto, ya que si un contrato involucra que el agente </w:t>
      </w:r>
      <w:r w:rsidRPr="002A2450">
        <w:rPr>
          <w:rFonts w:ascii="ITC Avant Garde" w:hAnsi="ITC Avant Garde"/>
          <w:b/>
          <w:u w:val="single"/>
        </w:rPr>
        <w:t xml:space="preserve">realice </w:t>
      </w:r>
      <w:r w:rsidR="00015A21" w:rsidRPr="002A2450">
        <w:rPr>
          <w:rFonts w:ascii="ITC Avant Garde" w:hAnsi="ITC Avant Garde"/>
          <w:b/>
          <w:u w:val="single"/>
        </w:rPr>
        <w:t>inversiones específicas</w:t>
      </w:r>
      <w:r w:rsidR="00015A21" w:rsidRPr="002A2450">
        <w:rPr>
          <w:rFonts w:ascii="ITC Avant Garde" w:hAnsi="ITC Avant Garde"/>
        </w:rPr>
        <w:t xml:space="preserve"> para proveer al principal (</w:t>
      </w:r>
      <w:r w:rsidR="00015A21" w:rsidRPr="002A2450">
        <w:rPr>
          <w:rFonts w:ascii="ITC Avant Garde" w:hAnsi="ITC Avant Garde"/>
          <w:b/>
          <w:u w:val="single"/>
        </w:rPr>
        <w:t xml:space="preserve">equipos receptores de </w:t>
      </w:r>
      <w:r w:rsidR="000A68C4" w:rsidRPr="002A2450">
        <w:rPr>
          <w:rFonts w:ascii="ITC Avant Garde" w:hAnsi="ITC Avant Garde"/>
          <w:b/>
        </w:rPr>
        <w:t>“DTH”</w:t>
      </w:r>
      <w:r w:rsidR="00015A21" w:rsidRPr="002A2450">
        <w:rPr>
          <w:rFonts w:ascii="ITC Avant Garde" w:hAnsi="ITC Avant Garde"/>
        </w:rPr>
        <w:t>), la relación contractual requiere elementos que minimicen el riesgo en que incurre el agente al adquirir o fabricar activos que son específicos y que involucran inversiones irreversibles o de carácter hundido. En tales contratos hay elementos que aseguran que el agente minimice su riesgo respecto al retorno de la inversión que realiza.</w:t>
      </w:r>
      <w:r w:rsidRPr="002A2450">
        <w:rPr>
          <w:rFonts w:ascii="ITC Avant Garde" w:hAnsi="ITC Avant Garde"/>
        </w:rPr>
        <w:t xml:space="preserve"> </w:t>
      </w:r>
      <w:r w:rsidR="00015A21" w:rsidRPr="002A2450">
        <w:rPr>
          <w:rFonts w:ascii="ITC Avant Garde" w:hAnsi="ITC Avant Garde"/>
          <w:b/>
          <w:u w:val="single"/>
        </w:rPr>
        <w:t>Los activos son específicos</w:t>
      </w:r>
      <w:r w:rsidR="00015A21" w:rsidRPr="002A2450">
        <w:rPr>
          <w:rFonts w:ascii="ITC Avant Garde" w:hAnsi="ITC Avant Garde"/>
        </w:rPr>
        <w:t xml:space="preserve"> si la inversión i) incrementa la productividad de la relación (equipos de </w:t>
      </w:r>
      <w:r w:rsidR="000A68C4" w:rsidRPr="002A2450">
        <w:rPr>
          <w:rFonts w:ascii="ITC Avant Garde" w:hAnsi="ITC Avant Garde"/>
          <w:b/>
        </w:rPr>
        <w:t>“DTH”</w:t>
      </w:r>
      <w:r w:rsidR="00015A21" w:rsidRPr="002A2450">
        <w:rPr>
          <w:rFonts w:ascii="ITC Avant Garde" w:hAnsi="ITC Avant Garde"/>
        </w:rPr>
        <w:t xml:space="preserve"> son complementarios en proporción uno a uno con el número de suscriptores); ii) tienen nulo o bajo valor fuera de la relación contractual (equipos de </w:t>
      </w:r>
      <w:r w:rsidR="000A68C4" w:rsidRPr="002A2450">
        <w:rPr>
          <w:rFonts w:ascii="ITC Avant Garde" w:hAnsi="ITC Avant Garde"/>
          <w:b/>
        </w:rPr>
        <w:t>“DTH”</w:t>
      </w:r>
      <w:r w:rsidR="00015A21" w:rsidRPr="002A2450">
        <w:rPr>
          <w:rFonts w:ascii="ITC Avant Garde" w:hAnsi="ITC Avant Garde"/>
        </w:rPr>
        <w:t xml:space="preserve"> sin uso o valor alternativo) y iii) el costo de inversión está a cargo del agente (el ingreso derivado de la inversión está sujeto a la relación contractual agente-principal, a los eventos de mercado y factores exógenos).</w:t>
      </w:r>
    </w:p>
    <w:p w14:paraId="30B08900" w14:textId="77777777" w:rsidR="00B35F13" w:rsidRDefault="001C3707"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Por lo que se refiere a sí </w:t>
      </w:r>
      <w:r w:rsidR="00015A21" w:rsidRPr="002A2450">
        <w:rPr>
          <w:rFonts w:ascii="ITC Avant Garde" w:hAnsi="ITC Avant Garde"/>
        </w:rPr>
        <w:t>la existencia de mecanismos de monitoreo es una herramienta estándar y eficiente en relaciones ve</w:t>
      </w:r>
      <w:r w:rsidRPr="002A2450">
        <w:rPr>
          <w:rFonts w:ascii="ITC Avant Garde" w:hAnsi="ITC Avant Garde"/>
        </w:rPr>
        <w:t xml:space="preserve">rticales de negocios eficientes el perrito señala que ello es cierto, dado que </w:t>
      </w:r>
      <w:r w:rsidR="00015A21" w:rsidRPr="002A2450">
        <w:rPr>
          <w:rFonts w:ascii="ITC Avant Garde" w:hAnsi="ITC Avant Garde"/>
        </w:rPr>
        <w:t xml:space="preserve">la literatura económica reconoce que </w:t>
      </w:r>
      <w:r w:rsidRPr="002A2450">
        <w:rPr>
          <w:rFonts w:ascii="ITC Avant Garde" w:hAnsi="ITC Avant Garde"/>
        </w:rPr>
        <w:t xml:space="preserve">en </w:t>
      </w:r>
      <w:r w:rsidR="00015A21" w:rsidRPr="002A2450">
        <w:rPr>
          <w:rFonts w:ascii="ITC Avant Garde" w:hAnsi="ITC Avant Garde"/>
        </w:rPr>
        <w:t>la relación agente-principal, el último no puede observar el desempeño o esfuerzo del agente y que su</w:t>
      </w:r>
      <w:r w:rsidRPr="002A2450">
        <w:rPr>
          <w:rFonts w:ascii="ITC Avant Garde" w:hAnsi="ITC Avant Garde"/>
        </w:rPr>
        <w:t>s</w:t>
      </w:r>
      <w:r w:rsidR="00015A21" w:rsidRPr="002A2450">
        <w:rPr>
          <w:rFonts w:ascii="ITC Avant Garde" w:hAnsi="ITC Avant Garde"/>
        </w:rPr>
        <w:t xml:space="preserve"> incentivos no necesariamente coinciden con la maximización del objetivo de éste, </w:t>
      </w:r>
      <w:r w:rsidR="00015A21" w:rsidRPr="002A2450">
        <w:rPr>
          <w:rFonts w:ascii="ITC Avant Garde" w:hAnsi="ITC Avant Garde"/>
          <w:b/>
          <w:u w:val="single"/>
        </w:rPr>
        <w:t>por ello se diseñan contratos con condiciones, restricciones y mecanismos de monitoreo para que los incentivos del agente coincidan con los objetivos del principal</w:t>
      </w:r>
      <w:r w:rsidR="00015A21" w:rsidRPr="002A2450">
        <w:rPr>
          <w:rFonts w:ascii="ITC Avant Garde" w:hAnsi="ITC Avant Garde"/>
        </w:rPr>
        <w:t>.</w:t>
      </w:r>
      <w:r w:rsidRPr="002A2450">
        <w:rPr>
          <w:rFonts w:ascii="ITC Avant Garde" w:hAnsi="ITC Avant Garde"/>
        </w:rPr>
        <w:t xml:space="preserve"> </w:t>
      </w:r>
      <w:r w:rsidR="00015A21" w:rsidRPr="002A2450">
        <w:rPr>
          <w:rFonts w:ascii="ITC Avant Garde" w:hAnsi="ITC Avant Garde"/>
        </w:rPr>
        <w:t xml:space="preserve">En el presente caso el principal es </w:t>
      </w:r>
      <w:r w:rsidRPr="002A2450">
        <w:rPr>
          <w:rFonts w:ascii="ITC Avant Garde" w:hAnsi="ITC Avant Garde"/>
          <w:b/>
        </w:rPr>
        <w:t>“COFRESA”</w:t>
      </w:r>
      <w:r w:rsidR="00015A21" w:rsidRPr="002A2450">
        <w:rPr>
          <w:rFonts w:ascii="ITC Avant Garde" w:hAnsi="ITC Avant Garde"/>
        </w:rPr>
        <w:t xml:space="preserve">, </w:t>
      </w:r>
      <w:r w:rsidRPr="002A2450">
        <w:rPr>
          <w:rFonts w:ascii="ITC Avant Garde" w:hAnsi="ITC Avant Garde"/>
        </w:rPr>
        <w:t xml:space="preserve">quien </w:t>
      </w:r>
      <w:r w:rsidR="00015A21" w:rsidRPr="002A2450">
        <w:rPr>
          <w:rFonts w:ascii="ITC Avant Garde" w:hAnsi="ITC Avant Garde"/>
        </w:rPr>
        <w:t xml:space="preserve">contrata los servicios de facturación, distribución y arrendamiento </w:t>
      </w:r>
      <w:r w:rsidRPr="002A2450">
        <w:rPr>
          <w:rFonts w:ascii="ITC Avant Garde" w:hAnsi="ITC Avant Garde"/>
        </w:rPr>
        <w:t xml:space="preserve">a </w:t>
      </w:r>
      <w:r w:rsidRPr="002A2450">
        <w:rPr>
          <w:rFonts w:ascii="ITC Avant Garde" w:hAnsi="ITC Avant Garde"/>
          <w:b/>
        </w:rPr>
        <w:t xml:space="preserve">“TELMEX” </w:t>
      </w:r>
      <w:r w:rsidR="00015A21" w:rsidRPr="002A2450">
        <w:rPr>
          <w:rFonts w:ascii="ITC Avant Garde" w:hAnsi="ITC Avant Garde"/>
        </w:rPr>
        <w:t xml:space="preserve">y sus </w:t>
      </w:r>
      <w:r w:rsidR="00015A21" w:rsidRPr="002A2450">
        <w:rPr>
          <w:rFonts w:ascii="ITC Avant Garde" w:hAnsi="ITC Avant Garde"/>
        </w:rPr>
        <w:lastRenderedPageBreak/>
        <w:t>subsidiarias</w:t>
      </w:r>
      <w:r w:rsidR="00721535" w:rsidRPr="002A2450">
        <w:rPr>
          <w:rFonts w:ascii="ITC Avant Garde" w:hAnsi="ITC Avant Garde"/>
        </w:rPr>
        <w:t xml:space="preserve">, </w:t>
      </w:r>
      <w:r w:rsidR="00015A21" w:rsidRPr="002A2450">
        <w:rPr>
          <w:rFonts w:ascii="ITC Avant Garde" w:hAnsi="ITC Avant Garde"/>
        </w:rPr>
        <w:t>cuyos contratos deben de contener mecanismos de monitoreo, así como de incentivos para que estén orientados al objetivo.</w:t>
      </w:r>
    </w:p>
    <w:p w14:paraId="1E330B41" w14:textId="77777777" w:rsidR="00B35F13" w:rsidRDefault="00721535"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cuanto a la pregunta respecto a s</w:t>
      </w:r>
      <w:r w:rsidR="00015A21" w:rsidRPr="002A2450">
        <w:rPr>
          <w:rFonts w:ascii="ITC Avant Garde" w:hAnsi="ITC Avant Garde"/>
        </w:rPr>
        <w:t xml:space="preserve">i las condicionalidades y mecanismos de monitoreo entre </w:t>
      </w:r>
      <w:r w:rsidRPr="002A2450">
        <w:rPr>
          <w:rFonts w:ascii="ITC Avant Garde" w:hAnsi="ITC Avant Garde"/>
          <w:b/>
        </w:rPr>
        <w:t>“TELMEX”</w:t>
      </w:r>
      <w:r w:rsidR="00015A21" w:rsidRPr="002A2450">
        <w:rPr>
          <w:rFonts w:ascii="ITC Avant Garde" w:hAnsi="ITC Avant Garde"/>
        </w:rPr>
        <w:t xml:space="preserve">, </w:t>
      </w:r>
      <w:r w:rsidRPr="002A2450">
        <w:rPr>
          <w:rFonts w:ascii="ITC Avant Garde" w:hAnsi="ITC Avant Garde"/>
          <w:b/>
        </w:rPr>
        <w:t>“TENINVER”</w:t>
      </w:r>
      <w:r w:rsidRPr="002A2450">
        <w:rPr>
          <w:rFonts w:ascii="ITC Avant Garde" w:hAnsi="ITC Avant Garde"/>
        </w:rPr>
        <w:t xml:space="preserve"> </w:t>
      </w:r>
      <w:r w:rsidR="00015A21" w:rsidRPr="002A2450">
        <w:rPr>
          <w:rFonts w:ascii="ITC Avant Garde" w:hAnsi="ITC Avant Garde"/>
        </w:rPr>
        <w:t xml:space="preserve">y </w:t>
      </w:r>
      <w:r w:rsidRPr="002A2450">
        <w:rPr>
          <w:rFonts w:ascii="ITC Avant Garde" w:hAnsi="ITC Avant Garde"/>
          <w:b/>
        </w:rPr>
        <w:t>“COFRESA”</w:t>
      </w:r>
      <w:r w:rsidRPr="002A2450">
        <w:rPr>
          <w:rFonts w:ascii="ITC Avant Garde" w:hAnsi="ITC Avant Garde"/>
        </w:rPr>
        <w:t xml:space="preserve"> </w:t>
      </w:r>
      <w:r w:rsidR="00015A21" w:rsidRPr="002A2450">
        <w:rPr>
          <w:rFonts w:ascii="ITC Avant Garde" w:hAnsi="ITC Avant Garde"/>
        </w:rPr>
        <w:t>son elementos necesarios en una relación agente y principal</w:t>
      </w:r>
      <w:r w:rsidRPr="002A2450">
        <w:rPr>
          <w:rFonts w:ascii="ITC Avant Garde" w:hAnsi="ITC Avant Garde"/>
        </w:rPr>
        <w:t xml:space="preserve">, el perito señala que es cierto que requieran </w:t>
      </w:r>
      <w:r w:rsidR="00015A21" w:rsidRPr="002A2450">
        <w:rPr>
          <w:rFonts w:ascii="ITC Avant Garde" w:hAnsi="ITC Avant Garde"/>
        </w:rPr>
        <w:t>mecanismos de condicionamiento, interdependencia, coordinación, intercambio de información, comunicación entre las partes como elementos de un monitoreo regular, así como las inversiones realizadas en equipos específicos a la relación contractual y los derechos y obligaciones respecto a tales inversiones entre las partes</w:t>
      </w:r>
      <w:r w:rsidRPr="002A2450">
        <w:rPr>
          <w:rFonts w:ascii="ITC Avant Garde" w:hAnsi="ITC Avant Garde"/>
        </w:rPr>
        <w:t>.</w:t>
      </w:r>
    </w:p>
    <w:p w14:paraId="628324C4" w14:textId="77777777" w:rsidR="00B35F13" w:rsidRDefault="00721535"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cuanto a la </w:t>
      </w:r>
      <w:r w:rsidR="00015A21" w:rsidRPr="002A2450">
        <w:rPr>
          <w:rFonts w:ascii="ITC Avant Garde" w:hAnsi="ITC Avant Garde"/>
        </w:rPr>
        <w:t>caracterización económica del Contrato de Opción</w:t>
      </w:r>
      <w:r w:rsidRPr="002A2450">
        <w:rPr>
          <w:rFonts w:ascii="ITC Avant Garde" w:hAnsi="ITC Avant Garde"/>
        </w:rPr>
        <w:t>, se solicitó determinara si</w:t>
      </w:r>
      <w:r w:rsidR="00015A21" w:rsidRPr="002A2450">
        <w:rPr>
          <w:rFonts w:ascii="ITC Avant Garde" w:hAnsi="ITC Avant Garde"/>
        </w:rPr>
        <w:t>:</w:t>
      </w:r>
      <w:r w:rsidRPr="002A2450">
        <w:rPr>
          <w:rFonts w:ascii="ITC Avant Garde" w:hAnsi="ITC Avant Garde"/>
        </w:rPr>
        <w:t xml:space="preserve"> i) l</w:t>
      </w:r>
      <w:r w:rsidR="00015A21" w:rsidRPr="002A2450">
        <w:rPr>
          <w:rFonts w:ascii="ITC Avant Garde" w:hAnsi="ITC Avant Garde"/>
        </w:rPr>
        <w:t>os contratos de opción tipo “</w:t>
      </w:r>
      <w:proofErr w:type="spellStart"/>
      <w:r w:rsidR="00015A21" w:rsidRPr="002A2450">
        <w:rPr>
          <w:rFonts w:ascii="ITC Avant Garde" w:hAnsi="ITC Avant Garde"/>
          <w:i/>
        </w:rPr>
        <w:t>call-put</w:t>
      </w:r>
      <w:proofErr w:type="spellEnd"/>
      <w:r w:rsidR="00015A21" w:rsidRPr="002A2450">
        <w:rPr>
          <w:rFonts w:ascii="ITC Avant Garde" w:hAnsi="ITC Avant Garde"/>
        </w:rPr>
        <w:t>” son económicamente eficientes</w:t>
      </w:r>
      <w:r w:rsidRPr="002A2450">
        <w:rPr>
          <w:rFonts w:ascii="ITC Avant Garde" w:hAnsi="ITC Avant Garde"/>
        </w:rPr>
        <w:t>, a lo cual perito señaló que es c</w:t>
      </w:r>
      <w:r w:rsidR="00015A21" w:rsidRPr="002A2450">
        <w:rPr>
          <w:rFonts w:ascii="ITC Avant Garde" w:hAnsi="ITC Avant Garde"/>
        </w:rPr>
        <w:t>ierto, considerando las respuestas ofrecidas</w:t>
      </w:r>
      <w:r w:rsidRPr="002A2450">
        <w:rPr>
          <w:rFonts w:ascii="ITC Avant Garde" w:hAnsi="ITC Avant Garde"/>
        </w:rPr>
        <w:t xml:space="preserve"> anteriormente; ii) en lo que toca a si e</w:t>
      </w:r>
      <w:r w:rsidR="00015A21" w:rsidRPr="002A2450">
        <w:rPr>
          <w:rFonts w:ascii="ITC Avant Garde" w:hAnsi="ITC Avant Garde"/>
        </w:rPr>
        <w:t>s viable, desde la perspectiva económica, asumir el ejercicio de una opción liquidable en especie, desde el día de su otorgamiento</w:t>
      </w:r>
      <w:r w:rsidRPr="002A2450">
        <w:rPr>
          <w:rFonts w:ascii="ITC Avant Garde" w:hAnsi="ITC Avant Garde"/>
        </w:rPr>
        <w:t xml:space="preserve"> el perito señalo que es f</w:t>
      </w:r>
      <w:r w:rsidR="00015A21" w:rsidRPr="002A2450">
        <w:rPr>
          <w:rFonts w:ascii="ITC Avant Garde" w:hAnsi="ITC Avant Garde"/>
        </w:rPr>
        <w:t>also</w:t>
      </w:r>
      <w:r w:rsidRPr="002A2450">
        <w:rPr>
          <w:rFonts w:ascii="ITC Avant Garde" w:hAnsi="ITC Avant Garde"/>
        </w:rPr>
        <w:t xml:space="preserve"> ya que </w:t>
      </w:r>
      <w:r w:rsidR="00015A21" w:rsidRPr="002A2450">
        <w:rPr>
          <w:rFonts w:ascii="ITC Avant Garde" w:hAnsi="ITC Avant Garde"/>
        </w:rPr>
        <w:t>la opción solo tiene valor o es viable al transcurrir un plazo determinado entre la fecha de su otorgamiento y una fecha predeterminada de ejecución o de cancelación, toda vez que durante tal plazo las partes adquieren la información necesaria para q</w:t>
      </w:r>
      <w:r w:rsidRPr="002A2450">
        <w:rPr>
          <w:rFonts w:ascii="ITC Avant Garde" w:hAnsi="ITC Avant Garde"/>
        </w:rPr>
        <w:t xml:space="preserve">ue eventualmente se ejerza o no, </w:t>
      </w:r>
      <w:r w:rsidR="00AB2DDA" w:rsidRPr="002A2450">
        <w:rPr>
          <w:rFonts w:ascii="ITC Avant Garde" w:hAnsi="ITC Avant Garde"/>
        </w:rPr>
        <w:t>e</w:t>
      </w:r>
      <w:r w:rsidR="00015A21" w:rsidRPr="002A2450">
        <w:rPr>
          <w:rFonts w:ascii="ITC Avant Garde" w:hAnsi="ITC Avant Garde"/>
        </w:rPr>
        <w:t xml:space="preserve">l objetivo es adquirir información y minimizar un riesgo al ejercerla </w:t>
      </w:r>
      <w:r w:rsidR="00AB2DDA" w:rsidRPr="002A2450">
        <w:rPr>
          <w:rFonts w:ascii="ITC Avant Garde" w:hAnsi="ITC Avant Garde"/>
        </w:rPr>
        <w:t xml:space="preserve">y </w:t>
      </w:r>
      <w:r w:rsidR="00015A21" w:rsidRPr="002A2450">
        <w:rPr>
          <w:rFonts w:ascii="ITC Avant Garde" w:hAnsi="ITC Avant Garde"/>
        </w:rPr>
        <w:t>exista un retorno o evitar un</w:t>
      </w:r>
      <w:r w:rsidR="00AB2DDA" w:rsidRPr="002A2450">
        <w:rPr>
          <w:rFonts w:ascii="ITC Avant Garde" w:hAnsi="ITC Avant Garde"/>
        </w:rPr>
        <w:t xml:space="preserve"> costo y por tanto no ejercerla, l</w:t>
      </w:r>
      <w:r w:rsidR="00015A21" w:rsidRPr="002A2450">
        <w:rPr>
          <w:rFonts w:ascii="ITC Avant Garde" w:hAnsi="ITC Avant Garde"/>
        </w:rPr>
        <w:t xml:space="preserve">a adquisición </w:t>
      </w:r>
      <w:r w:rsidR="00AB2DDA" w:rsidRPr="002A2450">
        <w:rPr>
          <w:rFonts w:ascii="ITC Avant Garde" w:hAnsi="ITC Avant Garde"/>
        </w:rPr>
        <w:t xml:space="preserve">de </w:t>
      </w:r>
      <w:r w:rsidR="00015A21" w:rsidRPr="002A2450">
        <w:rPr>
          <w:rFonts w:ascii="ITC Avant Garde" w:hAnsi="ITC Avant Garde"/>
        </w:rPr>
        <w:t xml:space="preserve">información sobre el valor de activos y la flexibilidad que implica el derecho mas no </w:t>
      </w:r>
      <w:r w:rsidR="00AB2DDA" w:rsidRPr="002A2450">
        <w:rPr>
          <w:rFonts w:ascii="ITC Avant Garde" w:hAnsi="ITC Avant Garde"/>
        </w:rPr>
        <w:t>l</w:t>
      </w:r>
      <w:r w:rsidR="00015A21" w:rsidRPr="002A2450">
        <w:rPr>
          <w:rFonts w:ascii="ITC Avant Garde" w:hAnsi="ITC Avant Garde"/>
        </w:rPr>
        <w:t>a obligación, es lo que crea valor en el contrato de opción.</w:t>
      </w:r>
    </w:p>
    <w:p w14:paraId="46325BFA" w14:textId="77777777" w:rsidR="00B35F13" w:rsidRDefault="00AB2DDA"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Por lo que hace al cuestionamiento consistente en sí l</w:t>
      </w:r>
      <w:r w:rsidR="00015A21" w:rsidRPr="002A2450">
        <w:rPr>
          <w:rFonts w:ascii="ITC Avant Garde" w:hAnsi="ITC Avant Garde"/>
        </w:rPr>
        <w:t xml:space="preserve">a opción otorgada a </w:t>
      </w:r>
      <w:r w:rsidRPr="002A2450">
        <w:rPr>
          <w:rFonts w:ascii="ITC Avant Garde" w:hAnsi="ITC Avant Garde"/>
          <w:b/>
        </w:rPr>
        <w:t>“TENINVER”</w:t>
      </w:r>
      <w:r w:rsidR="00015A21" w:rsidRPr="002A2450">
        <w:rPr>
          <w:rFonts w:ascii="ITC Avant Garde" w:hAnsi="ITC Avant Garde"/>
        </w:rPr>
        <w:t xml:space="preserve">, constituye una adquisición por parte de </w:t>
      </w:r>
      <w:r w:rsidRPr="002A2450">
        <w:rPr>
          <w:rFonts w:ascii="ITC Avant Garde" w:hAnsi="ITC Avant Garde"/>
        </w:rPr>
        <w:t xml:space="preserve">ésta en </w:t>
      </w:r>
      <w:r w:rsidR="00015A21" w:rsidRPr="002A2450">
        <w:rPr>
          <w:rFonts w:ascii="ITC Avant Garde" w:hAnsi="ITC Avant Garde"/>
        </w:rPr>
        <w:t xml:space="preserve">el capital de </w:t>
      </w:r>
      <w:r w:rsidRPr="002A2450">
        <w:rPr>
          <w:rFonts w:ascii="ITC Avant Garde" w:hAnsi="ITC Avant Garde"/>
          <w:b/>
        </w:rPr>
        <w:t xml:space="preserve">“DISH MÉXICO” </w:t>
      </w:r>
      <w:r w:rsidR="00015A21" w:rsidRPr="002A2450">
        <w:rPr>
          <w:rFonts w:ascii="ITC Avant Garde" w:hAnsi="ITC Avant Garde"/>
        </w:rPr>
        <w:t>desde el momento de su otorgamiento</w:t>
      </w:r>
      <w:r w:rsidRPr="002A2450">
        <w:rPr>
          <w:rFonts w:ascii="ITC Avant Garde" w:hAnsi="ITC Avant Garde"/>
        </w:rPr>
        <w:t>, el perito señala que es f</w:t>
      </w:r>
      <w:r w:rsidR="00015A21" w:rsidRPr="002A2450">
        <w:rPr>
          <w:rFonts w:ascii="ITC Avant Garde" w:hAnsi="ITC Avant Garde"/>
        </w:rPr>
        <w:t xml:space="preserve">also, con base en la respuesta anterior </w:t>
      </w:r>
      <w:r w:rsidRPr="002A2450">
        <w:rPr>
          <w:rFonts w:ascii="ITC Avant Garde" w:hAnsi="ITC Avant Garde"/>
        </w:rPr>
        <w:t xml:space="preserve">ya que </w:t>
      </w:r>
      <w:r w:rsidR="00015A21" w:rsidRPr="002A2450">
        <w:rPr>
          <w:rFonts w:ascii="ITC Avant Garde" w:hAnsi="ITC Avant Garde"/>
        </w:rPr>
        <w:t xml:space="preserve">no constituye una adquisición del capital, ya que para el primero sólo es un contrato que otorga el derecho más no la obligación de comprar un activo y para el segundo </w:t>
      </w:r>
      <w:r w:rsidR="00015A21" w:rsidRPr="002A2450">
        <w:rPr>
          <w:rFonts w:ascii="ITC Avant Garde" w:hAnsi="ITC Avant Garde"/>
        </w:rPr>
        <w:lastRenderedPageBreak/>
        <w:t>otorga un derecho mas no la obligación de vender</w:t>
      </w:r>
      <w:r w:rsidRPr="002A2450">
        <w:rPr>
          <w:rFonts w:ascii="ITC Avant Garde" w:hAnsi="ITC Avant Garde"/>
        </w:rPr>
        <w:t xml:space="preserve"> un activo</w:t>
      </w:r>
      <w:r w:rsidR="00015A21" w:rsidRPr="002A2450">
        <w:rPr>
          <w:rFonts w:ascii="ITC Avant Garde" w:hAnsi="ITC Avant Garde"/>
        </w:rPr>
        <w:t>, lo anterior para limitar perdidas y certidumbre en sus pagos.</w:t>
      </w:r>
    </w:p>
    <w:p w14:paraId="22E07542" w14:textId="77777777" w:rsidR="00B35F13" w:rsidRDefault="00AB2DDA"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Ahora bien por lo que se refiere a si cada uno de los contratos </w:t>
      </w:r>
      <w:r w:rsidRPr="002A2450">
        <w:rPr>
          <w:rFonts w:ascii="ITC Avant Garde" w:hAnsi="ITC Avant Garde"/>
          <w:u w:val="single"/>
        </w:rPr>
        <w:t xml:space="preserve">tienen </w:t>
      </w:r>
      <w:r w:rsidRPr="002A2450">
        <w:rPr>
          <w:rFonts w:ascii="ITC Avant Garde" w:hAnsi="ITC Avant Garde"/>
        </w:rPr>
        <w:t xml:space="preserve">sustancia económica, el perito señala que </w:t>
      </w:r>
      <w:r w:rsidR="00015A21" w:rsidRPr="002A2450">
        <w:rPr>
          <w:rFonts w:ascii="ITC Avant Garde" w:hAnsi="ITC Avant Garde"/>
        </w:rPr>
        <w:t>en efecto todos y cada uno de los contratos tienen sustancia económica.</w:t>
      </w:r>
    </w:p>
    <w:p w14:paraId="35C92D38" w14:textId="77777777" w:rsidR="00B35F13" w:rsidRDefault="00AB2DDA"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lo que se refiere a s</w:t>
      </w:r>
      <w:r w:rsidR="00015A21" w:rsidRPr="002A2450">
        <w:rPr>
          <w:rFonts w:ascii="ITC Avant Garde" w:hAnsi="ITC Avant Garde"/>
        </w:rPr>
        <w:t xml:space="preserve">i las conductas y disposiciones que el Oficio identifica como indicios de </w:t>
      </w:r>
      <w:r w:rsidR="00015A21" w:rsidRPr="002A2450">
        <w:rPr>
          <w:rFonts w:ascii="ITC Avant Garde" w:hAnsi="ITC Avant Garde"/>
          <w:i/>
        </w:rPr>
        <w:t>“adquisición de control”</w:t>
      </w:r>
      <w:r w:rsidR="00015A21" w:rsidRPr="002A2450">
        <w:rPr>
          <w:rFonts w:ascii="ITC Avant Garde" w:hAnsi="ITC Avant Garde"/>
        </w:rPr>
        <w:t xml:space="preserve"> resultan, bajo el análisis e</w:t>
      </w:r>
      <w:r w:rsidRPr="002A2450">
        <w:rPr>
          <w:rFonts w:ascii="ITC Avant Garde" w:hAnsi="ITC Avant Garde"/>
        </w:rPr>
        <w:t xml:space="preserve">conómico correcto, explicables como elementos necesarios </w:t>
      </w:r>
      <w:r w:rsidR="00015A21" w:rsidRPr="002A2450">
        <w:rPr>
          <w:rFonts w:ascii="ITC Avant Garde" w:hAnsi="ITC Avant Garde"/>
        </w:rPr>
        <w:t>en toda relación contractual que da lugar a u</w:t>
      </w:r>
      <w:r w:rsidRPr="002A2450">
        <w:rPr>
          <w:rFonts w:ascii="ITC Avant Garde" w:hAnsi="ITC Avant Garde"/>
        </w:rPr>
        <w:t xml:space="preserve">n escenario de agente-principal, el perito señala que </w:t>
      </w:r>
      <w:r w:rsidR="00015A21" w:rsidRPr="002A2450">
        <w:rPr>
          <w:rFonts w:ascii="ITC Avant Garde" w:hAnsi="ITC Avant Garde"/>
        </w:rPr>
        <w:t xml:space="preserve">los </w:t>
      </w:r>
      <w:r w:rsidR="00015A21" w:rsidRPr="002A2450">
        <w:rPr>
          <w:rFonts w:ascii="ITC Avant Garde" w:hAnsi="ITC Avant Garde"/>
          <w:i/>
        </w:rPr>
        <w:t>"elementos indiciarios"</w:t>
      </w:r>
      <w:r w:rsidR="00015A21" w:rsidRPr="002A2450">
        <w:rPr>
          <w:rFonts w:ascii="ITC Avant Garde" w:hAnsi="ITC Avant Garde"/>
        </w:rPr>
        <w:t xml:space="preserve"> responden en forma precisa a mecanismos necesarios en una relación vertical con el objetivo de evitar los problemas inherentes a una relación agente-principal.</w:t>
      </w:r>
      <w:r w:rsidR="003A57BC" w:rsidRPr="002A2450">
        <w:rPr>
          <w:rFonts w:ascii="ITC Avant Garde" w:hAnsi="ITC Avant Garde"/>
        </w:rPr>
        <w:t xml:space="preserve"> </w:t>
      </w:r>
      <w:r w:rsidR="00015A21" w:rsidRPr="002A2450">
        <w:rPr>
          <w:rFonts w:ascii="ITC Avant Garde" w:hAnsi="ITC Avant Garde"/>
        </w:rPr>
        <w:t>Los mecanismos que señala como indicios de concentración son instrumentos necesarios para el cumplimiento de los contratos a la luz de la teoría de los incentivos y del modelo de agente-principal; su interdependencia responde a que en los contratos de prestación de servicios, distribución y de arrendamiento de equipos comparten los mismos elementos de una relación agente principal y por tanto implican los riesgos derivados de contratos incompletos y la asimetría de información</w:t>
      </w:r>
    </w:p>
    <w:p w14:paraId="6D26F801" w14:textId="77777777" w:rsidR="00B35F13" w:rsidRDefault="003A57BC"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Por cuanto a s</w:t>
      </w:r>
      <w:r w:rsidR="00015A21" w:rsidRPr="002A2450">
        <w:rPr>
          <w:rFonts w:ascii="ITC Avant Garde" w:hAnsi="ITC Avant Garde"/>
        </w:rPr>
        <w:t>i el Oficio identifica correctamente la potencial participación en ingresos derivada el contrato de opción, como una forma de divid</w:t>
      </w:r>
      <w:r w:rsidRPr="002A2450">
        <w:rPr>
          <w:rFonts w:ascii="ITC Avant Garde" w:hAnsi="ITC Avant Garde"/>
        </w:rPr>
        <w:t xml:space="preserve">endos por aportación de capital, al respecto, el perito señala que se confunde </w:t>
      </w:r>
      <w:r w:rsidR="00015A21" w:rsidRPr="002A2450">
        <w:rPr>
          <w:rFonts w:ascii="ITC Avant Garde" w:hAnsi="ITC Avant Garde"/>
        </w:rPr>
        <w:t>los pagos al agente (</w:t>
      </w:r>
      <w:r w:rsidRPr="002A2450">
        <w:rPr>
          <w:rFonts w:ascii="ITC Avant Garde" w:hAnsi="ITC Avant Garde"/>
          <w:b/>
        </w:rPr>
        <w:t>“</w:t>
      </w:r>
      <w:r w:rsidR="00015A21" w:rsidRPr="002A2450">
        <w:rPr>
          <w:rFonts w:ascii="ITC Avant Garde" w:hAnsi="ITC Avant Garde"/>
          <w:b/>
        </w:rPr>
        <w:t>TELMEX</w:t>
      </w:r>
      <w:r w:rsidRPr="002A2450">
        <w:rPr>
          <w:rFonts w:ascii="ITC Avant Garde" w:hAnsi="ITC Avant Garde"/>
          <w:b/>
        </w:rPr>
        <w:t>”</w:t>
      </w:r>
      <w:r w:rsidR="00015A21" w:rsidRPr="002A2450">
        <w:rPr>
          <w:rFonts w:ascii="ITC Avant Garde" w:hAnsi="ITC Avant Garde"/>
        </w:rPr>
        <w:t>) respecto a los resultados del principal con dividendos y no como un instrumento correlacionado con el desempeño del agente.</w:t>
      </w:r>
    </w:p>
    <w:p w14:paraId="5EA95E1D" w14:textId="77777777" w:rsidR="00B35F13" w:rsidRDefault="003A57BC"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toca a sí </w:t>
      </w:r>
      <w:r w:rsidR="00015A21" w:rsidRPr="002A2450">
        <w:rPr>
          <w:rFonts w:ascii="ITC Avant Garde" w:hAnsi="ITC Avant Garde"/>
        </w:rPr>
        <w:t xml:space="preserve">desde la perspectiva económica, </w:t>
      </w:r>
      <w:r w:rsidRPr="002A2450">
        <w:rPr>
          <w:rFonts w:ascii="ITC Avant Garde" w:hAnsi="ITC Avant Garde"/>
        </w:rPr>
        <w:t xml:space="preserve">los contratos con </w:t>
      </w:r>
      <w:r w:rsidRPr="002A2450">
        <w:rPr>
          <w:rFonts w:ascii="ITC Avant Garde" w:hAnsi="ITC Avant Garde"/>
          <w:b/>
        </w:rPr>
        <w:t>“TELMEX”</w:t>
      </w:r>
      <w:r w:rsidR="00015A21" w:rsidRPr="002A2450">
        <w:rPr>
          <w:rFonts w:ascii="ITC Avant Garde" w:hAnsi="ITC Avant Garde"/>
        </w:rPr>
        <w:t xml:space="preserve"> y </w:t>
      </w:r>
      <w:r w:rsidRPr="002A2450">
        <w:rPr>
          <w:rFonts w:ascii="ITC Avant Garde" w:hAnsi="ITC Avant Garde"/>
          <w:b/>
        </w:rPr>
        <w:t>“DISH MÉXICO”</w:t>
      </w:r>
      <w:r w:rsidR="00015A21" w:rsidRPr="002A2450">
        <w:rPr>
          <w:rFonts w:ascii="ITC Avant Garde" w:hAnsi="ITC Avant Garde"/>
        </w:rPr>
        <w:t xml:space="preserve"> pueden considerarse</w:t>
      </w:r>
      <w:r w:rsidRPr="002A2450">
        <w:rPr>
          <w:rFonts w:ascii="ITC Avant Garde" w:hAnsi="ITC Avant Garde"/>
        </w:rPr>
        <w:t xml:space="preserve"> como una sola unidad económica el perito señala que es f</w:t>
      </w:r>
      <w:r w:rsidR="00015A21" w:rsidRPr="002A2450">
        <w:rPr>
          <w:rFonts w:ascii="ITC Avant Garde" w:hAnsi="ITC Avant Garde"/>
        </w:rPr>
        <w:t>also</w:t>
      </w:r>
      <w:r w:rsidRPr="002A2450">
        <w:rPr>
          <w:rFonts w:ascii="ITC Avant Garde" w:hAnsi="ITC Avant Garde"/>
        </w:rPr>
        <w:t xml:space="preserve"> toda vez que </w:t>
      </w:r>
      <w:r w:rsidR="00015A21" w:rsidRPr="002A2450">
        <w:rPr>
          <w:rFonts w:ascii="ITC Avant Garde" w:hAnsi="ITC Avant Garde"/>
        </w:rPr>
        <w:t xml:space="preserve">los contratos tanto en forma conjunta o por separado en forma alguna implicaron la sustitución del control de los activos de </w:t>
      </w:r>
      <w:r w:rsidRPr="002A2450">
        <w:rPr>
          <w:rFonts w:ascii="ITC Avant Garde" w:hAnsi="ITC Avant Garde"/>
          <w:b/>
        </w:rPr>
        <w:t>“DISH MÉXICO”</w:t>
      </w:r>
      <w:r w:rsidR="008F718E" w:rsidRPr="002A2450">
        <w:rPr>
          <w:rFonts w:ascii="ITC Avant Garde" w:hAnsi="ITC Avant Garde"/>
          <w:color w:val="C00000"/>
        </w:rPr>
        <w:t xml:space="preserve"> </w:t>
      </w:r>
      <w:r w:rsidR="00015A21" w:rsidRPr="002A2450">
        <w:rPr>
          <w:rFonts w:ascii="ITC Avant Garde" w:hAnsi="ITC Avant Garde"/>
        </w:rPr>
        <w:t>y de las decisiones en el mercado de este agente económico en forma permanente</w:t>
      </w:r>
      <w:r w:rsidR="008F718E" w:rsidRPr="002A2450">
        <w:rPr>
          <w:rFonts w:ascii="ITC Avant Garde" w:hAnsi="ITC Avant Garde"/>
          <w:color w:val="C00000"/>
        </w:rPr>
        <w:t xml:space="preserve"> </w:t>
      </w:r>
      <w:r w:rsidR="00015A21" w:rsidRPr="002A2450">
        <w:rPr>
          <w:rFonts w:ascii="ITC Avant Garde" w:hAnsi="ITC Avant Garde"/>
        </w:rPr>
        <w:t xml:space="preserve">y por tanto, no se demuestra </w:t>
      </w:r>
      <w:r w:rsidR="00015A21" w:rsidRPr="002A2450">
        <w:rPr>
          <w:rFonts w:ascii="ITC Avant Garde" w:hAnsi="ITC Avant Garde"/>
        </w:rPr>
        <w:lastRenderedPageBreak/>
        <w:t xml:space="preserve">con dichos contratos que </w:t>
      </w:r>
      <w:r w:rsidR="00B64206" w:rsidRPr="002A2450">
        <w:rPr>
          <w:rFonts w:ascii="ITC Avant Garde" w:hAnsi="ITC Avant Garde"/>
          <w:b/>
        </w:rPr>
        <w:t>“TELMEX”</w:t>
      </w:r>
      <w:r w:rsidR="00015A21" w:rsidRPr="002A2450">
        <w:rPr>
          <w:rFonts w:ascii="ITC Avant Garde" w:hAnsi="ITC Avant Garde"/>
        </w:rPr>
        <w:t xml:space="preserve"> haya adquirido de facto influencia en las estrategias de </w:t>
      </w:r>
      <w:r w:rsidRPr="002A2450">
        <w:rPr>
          <w:rFonts w:ascii="ITC Avant Garde" w:hAnsi="ITC Avant Garde"/>
          <w:b/>
        </w:rPr>
        <w:t>“DISH MÉXICO”</w:t>
      </w:r>
      <w:r w:rsidRPr="002A2450">
        <w:rPr>
          <w:rFonts w:ascii="ITC Avant Garde" w:hAnsi="ITC Avant Garde"/>
        </w:rPr>
        <w:t xml:space="preserve"> </w:t>
      </w:r>
      <w:r w:rsidR="00015A21" w:rsidRPr="002A2450">
        <w:rPr>
          <w:rFonts w:ascii="ITC Avant Garde" w:hAnsi="ITC Avant Garde"/>
        </w:rPr>
        <w:t>o la pérdida de libertad de decisión.</w:t>
      </w:r>
    </w:p>
    <w:p w14:paraId="007CE624" w14:textId="77777777" w:rsidR="00B35F13" w:rsidRDefault="003A57BC"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En lo que se refiere a si los contratos confieren a </w:t>
      </w:r>
      <w:r w:rsidRPr="002A2450">
        <w:rPr>
          <w:rFonts w:ascii="ITC Avant Garde" w:hAnsi="ITC Avant Garde"/>
          <w:b/>
        </w:rPr>
        <w:t xml:space="preserve">“TELMEX” </w:t>
      </w:r>
      <w:r w:rsidRPr="002A2450">
        <w:rPr>
          <w:rFonts w:ascii="ITC Avant Garde" w:hAnsi="ITC Avant Garde"/>
        </w:rPr>
        <w:t xml:space="preserve">la capacidad </w:t>
      </w:r>
      <w:r w:rsidR="00015A21" w:rsidRPr="002A2450">
        <w:rPr>
          <w:rFonts w:ascii="ITC Avant Garde" w:hAnsi="ITC Avant Garde"/>
        </w:rPr>
        <w:t xml:space="preserve">de fijar precios en el mercado de </w:t>
      </w:r>
      <w:r w:rsidR="000A68C4" w:rsidRPr="002A2450">
        <w:rPr>
          <w:rFonts w:ascii="ITC Avant Garde" w:hAnsi="ITC Avant Garde"/>
          <w:b/>
        </w:rPr>
        <w:t>“DTH”</w:t>
      </w:r>
      <w:r w:rsidRPr="002A2450">
        <w:rPr>
          <w:rFonts w:ascii="ITC Avant Garde" w:hAnsi="ITC Avant Garde"/>
        </w:rPr>
        <w:t xml:space="preserve">, en el que </w:t>
      </w:r>
      <w:r w:rsidR="005B601B" w:rsidRPr="002A2450">
        <w:rPr>
          <w:rFonts w:ascii="ITC Avant Garde" w:hAnsi="ITC Avant Garde"/>
          <w:b/>
        </w:rPr>
        <w:t>“TELMEX”</w:t>
      </w:r>
      <w:r w:rsidRPr="002A2450">
        <w:rPr>
          <w:rFonts w:ascii="ITC Avant Garde" w:hAnsi="ITC Avant Garde"/>
        </w:rPr>
        <w:t xml:space="preserve"> no participa, el perito señala que es f</w:t>
      </w:r>
      <w:r w:rsidR="00015A21" w:rsidRPr="002A2450">
        <w:rPr>
          <w:rFonts w:ascii="ITC Avant Garde" w:hAnsi="ITC Avant Garde"/>
        </w:rPr>
        <w:t xml:space="preserve">also, </w:t>
      </w:r>
      <w:r w:rsidRPr="002A2450">
        <w:rPr>
          <w:rFonts w:ascii="ITC Avant Garde" w:hAnsi="ITC Avant Garde"/>
        </w:rPr>
        <w:t xml:space="preserve">ya que los </w:t>
      </w:r>
      <w:r w:rsidR="00015A21" w:rsidRPr="002A2450">
        <w:rPr>
          <w:rFonts w:ascii="ITC Avant Garde" w:hAnsi="ITC Avant Garde"/>
        </w:rPr>
        <w:t xml:space="preserve">contratos en forma conjunta o por separado en forma alguna implican la sustitución del control de los activos de </w:t>
      </w:r>
      <w:r w:rsidRPr="002A2450">
        <w:rPr>
          <w:rFonts w:ascii="ITC Avant Garde" w:hAnsi="ITC Avant Garde"/>
          <w:b/>
        </w:rPr>
        <w:t>“DISH MÉXICO”</w:t>
      </w:r>
      <w:r w:rsidRPr="002A2450">
        <w:rPr>
          <w:rFonts w:ascii="ITC Avant Garde" w:hAnsi="ITC Avant Garde"/>
        </w:rPr>
        <w:t xml:space="preserve"> </w:t>
      </w:r>
      <w:r w:rsidR="00015A21" w:rsidRPr="002A2450">
        <w:rPr>
          <w:rFonts w:ascii="ITC Avant Garde" w:hAnsi="ITC Avant Garde"/>
        </w:rPr>
        <w:t xml:space="preserve">y de sus decisiones en el mercado </w:t>
      </w:r>
      <w:r w:rsidRPr="002A2450">
        <w:rPr>
          <w:rFonts w:ascii="ITC Avant Garde" w:hAnsi="ITC Avant Garde"/>
        </w:rPr>
        <w:t>a</w:t>
      </w:r>
      <w:r w:rsidR="00015A21" w:rsidRPr="002A2450">
        <w:rPr>
          <w:rFonts w:ascii="ITC Avant Garde" w:hAnsi="ITC Avant Garde"/>
        </w:rPr>
        <w:t xml:space="preserve">l derivarse los contratos de una relación vertical con objetos específicos a ser realizados por </w:t>
      </w:r>
      <w:r w:rsidR="00231BD6" w:rsidRPr="002A2450">
        <w:rPr>
          <w:rFonts w:ascii="ITC Avant Garde" w:hAnsi="ITC Avant Garde"/>
          <w:b/>
        </w:rPr>
        <w:t>“TELMEX”</w:t>
      </w:r>
      <w:r w:rsidR="00015A21" w:rsidRPr="002A2450">
        <w:rPr>
          <w:rFonts w:ascii="ITC Avant Garde" w:hAnsi="ITC Avant Garde"/>
        </w:rPr>
        <w:t>, no se implica que determine precios en dicho mercado al no participar como competidor con otros agentes que concurren en éste.</w:t>
      </w:r>
    </w:p>
    <w:p w14:paraId="529F01B2" w14:textId="77777777" w:rsidR="00B35F13" w:rsidRDefault="00231BD6"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Por lo que hace a s</w:t>
      </w:r>
      <w:r w:rsidR="00015A21" w:rsidRPr="002A2450">
        <w:rPr>
          <w:rFonts w:ascii="ITC Avant Garde" w:hAnsi="ITC Avant Garde"/>
        </w:rPr>
        <w:t xml:space="preserve">i la tarifa que cobra </w:t>
      </w:r>
      <w:r w:rsidR="00B64206" w:rsidRPr="002A2450">
        <w:rPr>
          <w:rFonts w:ascii="ITC Avant Garde" w:hAnsi="ITC Avant Garde"/>
          <w:b/>
        </w:rPr>
        <w:t>“TELMEX”</w:t>
      </w:r>
      <w:r w:rsidR="00015A21" w:rsidRPr="002A2450">
        <w:rPr>
          <w:rFonts w:ascii="ITC Avant Garde" w:hAnsi="ITC Avant Garde"/>
        </w:rPr>
        <w:t xml:space="preserve"> al amparo del contrato de arrendamiento es irracional para r</w:t>
      </w:r>
      <w:r w:rsidRPr="002A2450">
        <w:rPr>
          <w:rFonts w:ascii="ITC Avant Garde" w:hAnsi="ITC Avant Garde"/>
        </w:rPr>
        <w:t xml:space="preserve">ecuperar la inversión en equipo el perito señaló que no pueden calificarse </w:t>
      </w:r>
      <w:r w:rsidR="00015A21" w:rsidRPr="002A2450">
        <w:rPr>
          <w:rFonts w:ascii="ITC Avant Garde" w:hAnsi="ITC Avant Garde"/>
        </w:rPr>
        <w:t>de irracionales para recuperar la inversión, ya que implicaría una diminución en el bienestar de una de las partes, en este caso el agent</w:t>
      </w:r>
      <w:r w:rsidRPr="002A2450">
        <w:rPr>
          <w:rFonts w:ascii="ITC Avant Garde" w:hAnsi="ITC Avant Garde"/>
        </w:rPr>
        <w:t>e que invierte y que integra clá</w:t>
      </w:r>
      <w:r w:rsidR="00015A21" w:rsidRPr="002A2450">
        <w:rPr>
          <w:rFonts w:ascii="ITC Avant Garde" w:hAnsi="ITC Avant Garde"/>
        </w:rPr>
        <w:t>usulas en el contrato para que el valor presente del flujo de pagos esperados sea superior a la inversión incurrida en los equipos.</w:t>
      </w:r>
    </w:p>
    <w:p w14:paraId="5BCBB14E" w14:textId="77777777" w:rsidR="00B35F13" w:rsidRDefault="00AE224D"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lo que toca a s</w:t>
      </w:r>
      <w:r w:rsidR="00015A21" w:rsidRPr="002A2450">
        <w:rPr>
          <w:rFonts w:ascii="ITC Avant Garde" w:hAnsi="ITC Avant Garde"/>
        </w:rPr>
        <w:t xml:space="preserve">i las tarifas que cobra </w:t>
      </w:r>
      <w:r w:rsidRPr="002A2450">
        <w:rPr>
          <w:rFonts w:ascii="ITC Avant Garde" w:hAnsi="ITC Avant Garde"/>
          <w:b/>
        </w:rPr>
        <w:t>“TELMEX”</w:t>
      </w:r>
      <w:r w:rsidRPr="002A2450">
        <w:rPr>
          <w:rFonts w:ascii="ITC Avant Garde" w:hAnsi="ITC Avant Garde"/>
        </w:rPr>
        <w:t xml:space="preserve"> </w:t>
      </w:r>
      <w:r w:rsidR="00015A21" w:rsidRPr="002A2450">
        <w:rPr>
          <w:rFonts w:ascii="ITC Avant Garde" w:hAnsi="ITC Avant Garde"/>
        </w:rPr>
        <w:t>en el Contrato de Servicios, son irracionales o requieren ocultar aportaciones distintas a las acordadas para ser eficientes</w:t>
      </w:r>
      <w:r w:rsidRPr="002A2450">
        <w:rPr>
          <w:rFonts w:ascii="ITC Avant Garde" w:hAnsi="ITC Avant Garde"/>
        </w:rPr>
        <w:t xml:space="preserve"> el perito reitera lo señalado en la respuesta anterior.</w:t>
      </w:r>
    </w:p>
    <w:p w14:paraId="1C849A78" w14:textId="77777777" w:rsidR="00B35F13" w:rsidRDefault="00AE224D"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lo referencia a s</w:t>
      </w:r>
      <w:r w:rsidR="00015A21" w:rsidRPr="002A2450">
        <w:rPr>
          <w:rFonts w:ascii="ITC Avant Garde" w:hAnsi="ITC Avant Garde"/>
        </w:rPr>
        <w:t>i el contrato de distribución present</w:t>
      </w:r>
      <w:r w:rsidRPr="002A2450">
        <w:rPr>
          <w:rFonts w:ascii="ITC Avant Garde" w:hAnsi="ITC Avant Garde"/>
        </w:rPr>
        <w:t>a</w:t>
      </w:r>
      <w:r w:rsidR="00015A21" w:rsidRPr="002A2450">
        <w:rPr>
          <w:rFonts w:ascii="ITC Avant Garde" w:hAnsi="ITC Avant Garde"/>
        </w:rPr>
        <w:t xml:space="preserve"> eficiencias por sí mismo, sin requerir fusionar los servicios de las partes</w:t>
      </w:r>
      <w:r w:rsidRPr="002A2450">
        <w:rPr>
          <w:rFonts w:ascii="ITC Avant Garde" w:hAnsi="ITC Avant Garde"/>
        </w:rPr>
        <w:t xml:space="preserve"> el perito señala que es cierto dado que el </w:t>
      </w:r>
      <w:r w:rsidR="00015A21" w:rsidRPr="002A2450">
        <w:rPr>
          <w:rFonts w:ascii="ITC Avant Garde" w:hAnsi="ITC Avant Garde"/>
        </w:rPr>
        <w:t>contrato</w:t>
      </w:r>
      <w:r w:rsidRPr="002A2450">
        <w:rPr>
          <w:rFonts w:ascii="ITC Avant Garde" w:hAnsi="ITC Avant Garde"/>
        </w:rPr>
        <w:t xml:space="preserve"> es </w:t>
      </w:r>
      <w:r w:rsidR="00015A21" w:rsidRPr="002A2450">
        <w:rPr>
          <w:rFonts w:ascii="ITC Avant Garde" w:hAnsi="ITC Avant Garde"/>
        </w:rPr>
        <w:t xml:space="preserve">eficiente respecto al desempeño del agente que distribuye, siempre y cuando se incluyan mecanismos de monitoreo e incentivos </w:t>
      </w:r>
      <w:r w:rsidRPr="002A2450">
        <w:rPr>
          <w:rFonts w:ascii="ITC Avant Garde" w:hAnsi="ITC Avant Garde"/>
        </w:rPr>
        <w:t xml:space="preserve">para </w:t>
      </w:r>
      <w:r w:rsidR="00015A21" w:rsidRPr="002A2450">
        <w:rPr>
          <w:rFonts w:ascii="ITC Avant Garde" w:hAnsi="ITC Avant Garde"/>
        </w:rPr>
        <w:t>que el desempeño esperado sea superior al que pudiera realizar el principal de haberlo realizado por medios propios</w:t>
      </w:r>
      <w:r w:rsidRPr="002A2450">
        <w:rPr>
          <w:rFonts w:ascii="ITC Avant Garde" w:hAnsi="ITC Avant Garde"/>
        </w:rPr>
        <w:t>.</w:t>
      </w:r>
    </w:p>
    <w:p w14:paraId="345CB16F" w14:textId="77777777" w:rsidR="00B35F13" w:rsidRDefault="00AE224D"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Por cuanto a s</w:t>
      </w:r>
      <w:r w:rsidR="00015A21" w:rsidRPr="002A2450">
        <w:rPr>
          <w:rFonts w:ascii="ITC Avant Garde" w:hAnsi="ITC Avant Garde"/>
        </w:rPr>
        <w:t>i cada uno de</w:t>
      </w:r>
      <w:r w:rsidRPr="002A2450">
        <w:rPr>
          <w:rFonts w:ascii="ITC Avant Garde" w:hAnsi="ITC Avant Garde"/>
        </w:rPr>
        <w:t xml:space="preserve"> los contratos puede gozar de </w:t>
      </w:r>
      <w:r w:rsidR="00015A21" w:rsidRPr="002A2450">
        <w:rPr>
          <w:rFonts w:ascii="ITC Avant Garde" w:hAnsi="ITC Avant Garde"/>
        </w:rPr>
        <w:t>“</w:t>
      </w:r>
      <w:r w:rsidR="00015A21" w:rsidRPr="002A2450">
        <w:rPr>
          <w:rFonts w:ascii="ITC Avant Garde" w:hAnsi="ITC Avant Garde"/>
          <w:i/>
        </w:rPr>
        <w:t>autonomía económica</w:t>
      </w:r>
      <w:r w:rsidR="00015A21" w:rsidRPr="002A2450">
        <w:rPr>
          <w:rFonts w:ascii="ITC Avant Garde" w:hAnsi="ITC Avant Garde"/>
        </w:rPr>
        <w:t>” y tiene capac</w:t>
      </w:r>
      <w:r w:rsidRPr="002A2450">
        <w:rPr>
          <w:rFonts w:ascii="ITC Avant Garde" w:hAnsi="ITC Avant Garde"/>
        </w:rPr>
        <w:t>idad de eficiencia por sí mismo, el perito señala que es c</w:t>
      </w:r>
      <w:r w:rsidR="00015A21" w:rsidRPr="002A2450">
        <w:rPr>
          <w:rFonts w:ascii="ITC Avant Garde" w:hAnsi="ITC Avant Garde"/>
        </w:rPr>
        <w:t xml:space="preserve">ierto, </w:t>
      </w:r>
      <w:r w:rsidRPr="002A2450">
        <w:rPr>
          <w:rFonts w:ascii="ITC Avant Garde" w:hAnsi="ITC Avant Garde"/>
        </w:rPr>
        <w:t xml:space="preserve">ya que </w:t>
      </w:r>
      <w:r w:rsidR="00015A21" w:rsidRPr="002A2450">
        <w:rPr>
          <w:rFonts w:ascii="ITC Avant Garde" w:hAnsi="ITC Avant Garde"/>
        </w:rPr>
        <w:t xml:space="preserve">cada uno de los contratos son separables y tienen objetivos específicos con mecanismos de monitoreo e incentivos propios, por </w:t>
      </w:r>
      <w:r w:rsidR="00015A21" w:rsidRPr="002A2450">
        <w:rPr>
          <w:rFonts w:ascii="ITC Avant Garde" w:hAnsi="ITC Avant Garde"/>
        </w:rPr>
        <w:lastRenderedPageBreak/>
        <w:t>lo que cada contrato tiene elementos que están orientados a solucionar los potenciales problemas de una relación agente-principal derivado del objeto de cada uno de</w:t>
      </w:r>
      <w:r w:rsidR="008F718E" w:rsidRPr="002A2450">
        <w:rPr>
          <w:rFonts w:ascii="ITC Avant Garde" w:hAnsi="ITC Avant Garde"/>
          <w:color w:val="C00000"/>
        </w:rPr>
        <w:t xml:space="preserve"> </w:t>
      </w:r>
      <w:r w:rsidR="00015A21" w:rsidRPr="002A2450">
        <w:rPr>
          <w:rFonts w:ascii="ITC Avant Garde" w:hAnsi="ITC Avant Garde"/>
        </w:rPr>
        <w:t>ellos, por lo que son eficientes en su objetivo por sí mismos.</w:t>
      </w:r>
    </w:p>
    <w:p w14:paraId="6EF8A9B0" w14:textId="77777777" w:rsidR="00B35F13" w:rsidRDefault="00AE224D"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Ahora bien, en cuanto a si </w:t>
      </w:r>
      <w:r w:rsidR="00015A21" w:rsidRPr="002A2450">
        <w:rPr>
          <w:rFonts w:ascii="ITC Avant Garde" w:hAnsi="ITC Avant Garde"/>
        </w:rPr>
        <w:t>las promociones conjuntas pueden presentar eficiencias sin requerir de un</w:t>
      </w:r>
      <w:r w:rsidRPr="002A2450">
        <w:rPr>
          <w:rFonts w:ascii="ITC Avant Garde" w:hAnsi="ITC Avant Garde"/>
        </w:rPr>
        <w:t xml:space="preserve">o de los servicios o productos </w:t>
      </w:r>
      <w:r w:rsidR="00015A21" w:rsidRPr="002A2450">
        <w:rPr>
          <w:rFonts w:ascii="ITC Avant Garde" w:hAnsi="ITC Avant Garde"/>
        </w:rPr>
        <w:t>tenga un precio por debajo de su costo</w:t>
      </w:r>
      <w:r w:rsidRPr="002A2450">
        <w:rPr>
          <w:rFonts w:ascii="ITC Avant Garde" w:hAnsi="ITC Avant Garde"/>
        </w:rPr>
        <w:t>, el perito señala que l</w:t>
      </w:r>
      <w:r w:rsidR="00015A21" w:rsidRPr="002A2450">
        <w:rPr>
          <w:rFonts w:ascii="ITC Avant Garde" w:hAnsi="ITC Avant Garde"/>
        </w:rPr>
        <w:t>a producción conjunta es una forma de uso eficiente de los recursos. La promoción de uno o más servicio</w:t>
      </w:r>
      <w:r w:rsidR="00B64206" w:rsidRPr="002A2450">
        <w:rPr>
          <w:rFonts w:ascii="ITC Avant Garde" w:hAnsi="ITC Avant Garde"/>
        </w:rPr>
        <w:t>s</w:t>
      </w:r>
      <w:r w:rsidR="00015A21" w:rsidRPr="002A2450">
        <w:rPr>
          <w:rFonts w:ascii="ITC Avant Garde" w:hAnsi="ITC Avant Garde"/>
        </w:rPr>
        <w:t xml:space="preserve"> por medio de un mismo vehículo de distribución es una ejemplificación de lo que denomina como economías de alcance</w:t>
      </w:r>
      <w:r w:rsidRPr="002A2450">
        <w:rPr>
          <w:rFonts w:ascii="ITC Avant Garde" w:hAnsi="ITC Avant Garde"/>
        </w:rPr>
        <w:t xml:space="preserve">. </w:t>
      </w:r>
      <w:r w:rsidR="00015A21" w:rsidRPr="002A2450">
        <w:rPr>
          <w:rFonts w:ascii="ITC Avant Garde" w:hAnsi="ITC Avant Garde"/>
        </w:rPr>
        <w:t>En este caso, se utiliza un mismo vehículo de distribución para hacer llegar promociones a los usuarios de algún servicio, evitando el uso de recursos para distribuir por separado.</w:t>
      </w:r>
    </w:p>
    <w:p w14:paraId="1A602D55" w14:textId="77777777" w:rsidR="00B35F13" w:rsidRDefault="008404D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Por lo que a s</w:t>
      </w:r>
      <w:r w:rsidR="00015A21" w:rsidRPr="002A2450">
        <w:rPr>
          <w:rFonts w:ascii="ITC Avant Garde" w:hAnsi="ITC Avant Garde"/>
        </w:rPr>
        <w:t>i las promociones conjuntas son eficientes sin requerir subsidios cruzados</w:t>
      </w:r>
      <w:r w:rsidRPr="002A2450">
        <w:rPr>
          <w:rFonts w:ascii="ITC Avant Garde" w:hAnsi="ITC Avant Garde"/>
        </w:rPr>
        <w:t xml:space="preserve"> el perito señala e</w:t>
      </w:r>
      <w:r w:rsidR="00015A21" w:rsidRPr="002A2450">
        <w:rPr>
          <w:rFonts w:ascii="ITC Avant Garde" w:hAnsi="ITC Avant Garde"/>
        </w:rPr>
        <w:t xml:space="preserve">n consistencia con la respuesta anterior, </w:t>
      </w:r>
      <w:r w:rsidR="00B64206" w:rsidRPr="002A2450">
        <w:rPr>
          <w:rFonts w:ascii="ITC Avant Garde" w:hAnsi="ITC Avant Garde"/>
        </w:rPr>
        <w:t xml:space="preserve">que </w:t>
      </w:r>
      <w:r w:rsidR="00015A21" w:rsidRPr="002A2450">
        <w:rPr>
          <w:rFonts w:ascii="ITC Avant Garde" w:hAnsi="ITC Avant Garde"/>
        </w:rPr>
        <w:t>la producción conjunta es una forma de uso eficiente de los recursos, donde existe la posibilidad de ofrecer simultáneamente vari</w:t>
      </w:r>
      <w:r w:rsidRPr="002A2450">
        <w:rPr>
          <w:rFonts w:ascii="ITC Avant Garde" w:hAnsi="ITC Avant Garde"/>
        </w:rPr>
        <w:t>os servicios diferentes entre sí</w:t>
      </w:r>
      <w:r w:rsidR="00015A21" w:rsidRPr="002A2450">
        <w:rPr>
          <w:rFonts w:ascii="ITC Avant Garde" w:hAnsi="ITC Avant Garde"/>
        </w:rPr>
        <w:t>, pero que utilizan total o parcialmente elementos de una misma infraestructura que implica un costo menor. En el caso de referencia se utiliza un mismo vehículo de distribución para hacer llegar promociones a los usuarios de algún servicio, evitando que el uso de recursos para distribuir promociones sea</w:t>
      </w:r>
      <w:r w:rsidR="00D44DC3" w:rsidRPr="002A2450">
        <w:rPr>
          <w:rFonts w:ascii="ITC Avant Garde" w:hAnsi="ITC Avant Garde"/>
        </w:rPr>
        <w:t xml:space="preserve"> por</w:t>
      </w:r>
      <w:r w:rsidR="00015A21" w:rsidRPr="002A2450">
        <w:rPr>
          <w:rFonts w:ascii="ITC Avant Garde" w:hAnsi="ITC Avant Garde"/>
        </w:rPr>
        <w:t xml:space="preserve"> separado. Lo anterior, es una </w:t>
      </w:r>
      <w:r w:rsidRPr="002A2450">
        <w:rPr>
          <w:rFonts w:ascii="ITC Avant Garde" w:hAnsi="ITC Avant Garde"/>
        </w:rPr>
        <w:t>forma eficiente de distribución.</w:t>
      </w:r>
    </w:p>
    <w:p w14:paraId="058EC465" w14:textId="77777777" w:rsidR="00B35F13" w:rsidRDefault="008404D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 xml:space="preserve">Por lo que respecta a </w:t>
      </w:r>
      <w:r w:rsidR="002F7B95" w:rsidRPr="002A2450">
        <w:rPr>
          <w:rFonts w:ascii="ITC Avant Garde" w:hAnsi="ITC Avant Garde"/>
        </w:rPr>
        <w:t xml:space="preserve">si </w:t>
      </w:r>
      <w:r w:rsidR="00015A21" w:rsidRPr="002A2450">
        <w:rPr>
          <w:rFonts w:ascii="ITC Avant Garde" w:hAnsi="ITC Avant Garde"/>
        </w:rPr>
        <w:t>son posibles los subsidios cruzados entre entidades económicamente independientes</w:t>
      </w:r>
      <w:r w:rsidRPr="002A2450">
        <w:rPr>
          <w:rFonts w:ascii="ITC Avant Garde" w:hAnsi="ITC Avant Garde"/>
        </w:rPr>
        <w:t xml:space="preserve">, el perito señala que </w:t>
      </w:r>
      <w:r w:rsidR="00D44DC3" w:rsidRPr="002A2450">
        <w:rPr>
          <w:rFonts w:ascii="ITC Avant Garde" w:hAnsi="ITC Avant Garde"/>
        </w:rPr>
        <w:t>d</w:t>
      </w:r>
      <w:r w:rsidR="00015A21" w:rsidRPr="002A2450">
        <w:rPr>
          <w:rFonts w:ascii="ITC Avant Garde" w:hAnsi="ITC Avant Garde"/>
        </w:rPr>
        <w:t>ada la definición ofrecida en la respuesta inmediata anterior, no es posible la existencia de subsidios cruzados entre entidades económicamente independientes, ya que el subsidio cruzado es una transferencia de ingresos de bienes y servicios al interior del conjunto de productos de un determinado agente.</w:t>
      </w:r>
    </w:p>
    <w:p w14:paraId="1746D3B5" w14:textId="77777777" w:rsidR="00B35F13" w:rsidRDefault="008404DF" w:rsidP="007E623E">
      <w:pPr>
        <w:pStyle w:val="Prrafodelista"/>
        <w:numPr>
          <w:ilvl w:val="0"/>
          <w:numId w:val="38"/>
        </w:numPr>
        <w:spacing w:before="240" w:line="360" w:lineRule="auto"/>
        <w:ind w:left="567" w:hanging="567"/>
        <w:jc w:val="both"/>
        <w:rPr>
          <w:rFonts w:ascii="ITC Avant Garde" w:hAnsi="ITC Avant Garde"/>
        </w:rPr>
      </w:pPr>
      <w:r w:rsidRPr="002A2450">
        <w:rPr>
          <w:rFonts w:ascii="ITC Avant Garde" w:hAnsi="ITC Avant Garde"/>
        </w:rPr>
        <w:t>En cuanto a s</w:t>
      </w:r>
      <w:r w:rsidR="00015A21" w:rsidRPr="002A2450">
        <w:rPr>
          <w:rFonts w:ascii="ITC Avant Garde" w:hAnsi="ITC Avant Garde"/>
        </w:rPr>
        <w:t xml:space="preserve">i la asimetría de información es un elemento normal en todo tipo de relaciones y que no es factible tachar de falsedad la precepción de </w:t>
      </w:r>
      <w:r w:rsidRPr="002A2450">
        <w:rPr>
          <w:rFonts w:ascii="ITC Avant Garde" w:hAnsi="ITC Avant Garde"/>
        </w:rPr>
        <w:t>agentes con información similar el perito señala que es c</w:t>
      </w:r>
      <w:r w:rsidR="00015A21" w:rsidRPr="002A2450">
        <w:rPr>
          <w:rFonts w:ascii="ITC Avant Garde" w:hAnsi="ITC Avant Garde"/>
        </w:rPr>
        <w:t xml:space="preserve">ierto, la asimetría en </w:t>
      </w:r>
      <w:r w:rsidR="00015A21" w:rsidRPr="002A2450">
        <w:rPr>
          <w:rFonts w:ascii="ITC Avant Garde" w:hAnsi="ITC Avant Garde"/>
        </w:rPr>
        <w:lastRenderedPageBreak/>
        <w:t>la información es inherente a toda relación contractual</w:t>
      </w:r>
      <w:r w:rsidRPr="002A2450">
        <w:rPr>
          <w:rFonts w:ascii="ITC Avant Garde" w:hAnsi="ITC Avant Garde"/>
        </w:rPr>
        <w:t xml:space="preserve">, </w:t>
      </w:r>
      <w:r w:rsidR="00015A21" w:rsidRPr="002A2450">
        <w:rPr>
          <w:rFonts w:ascii="ITC Avant Garde" w:hAnsi="ITC Avant Garde"/>
        </w:rPr>
        <w:t xml:space="preserve">por lo que cada parte está sujeta a la existencia de asimetría de información, </w:t>
      </w:r>
      <w:r w:rsidR="00B64206" w:rsidRPr="002A2450">
        <w:rPr>
          <w:rFonts w:ascii="ITC Avant Garde" w:hAnsi="ITC Avant Garde"/>
        </w:rPr>
        <w:t xml:space="preserve">y </w:t>
      </w:r>
      <w:r w:rsidR="00015A21" w:rsidRPr="002A2450">
        <w:rPr>
          <w:rFonts w:ascii="ITC Avant Garde" w:hAnsi="ITC Avant Garde"/>
        </w:rPr>
        <w:t>da lugar a conductas relacionadas con un riesgo moral</w:t>
      </w:r>
      <w:r w:rsidR="003B3DE7" w:rsidRPr="002A2450">
        <w:rPr>
          <w:rFonts w:ascii="ITC Avant Garde" w:hAnsi="ITC Avant Garde"/>
        </w:rPr>
        <w:t>, p</w:t>
      </w:r>
      <w:r w:rsidR="00015A21" w:rsidRPr="002A2450">
        <w:rPr>
          <w:rFonts w:ascii="ITC Avant Garde" w:hAnsi="ITC Avant Garde"/>
        </w:rPr>
        <w:t>or tanto, el agente toma decisiones que afectan tanto su utilidad como la del principal, y el principal sólo observa y recibe el resultado de las acciones del agente. Dado lo anterior, es necesario que los contratos contemplen mecanismos de monitoreo e intercambio de información.</w:t>
      </w:r>
    </w:p>
    <w:p w14:paraId="616FA204" w14:textId="77777777" w:rsidR="00B35F13" w:rsidRDefault="007D613C" w:rsidP="00B35F13">
      <w:pPr>
        <w:spacing w:before="240" w:line="360" w:lineRule="auto"/>
        <w:jc w:val="both"/>
        <w:rPr>
          <w:rFonts w:ascii="ITC Avant Garde" w:hAnsi="ITC Avant Garde"/>
        </w:rPr>
      </w:pPr>
      <w:r w:rsidRPr="002A2450">
        <w:rPr>
          <w:rFonts w:ascii="ITC Avant Garde" w:hAnsi="ITC Avant Garde"/>
        </w:rPr>
        <w:t xml:space="preserve">Con base en lo anterior, esta autoridad considera que las respuestas señaladas en los incisos </w:t>
      </w:r>
      <w:r w:rsidRPr="002A2450">
        <w:rPr>
          <w:rFonts w:ascii="ITC Avant Garde" w:hAnsi="ITC Avant Garde"/>
          <w:b/>
        </w:rPr>
        <w:t xml:space="preserve">c), d), f), g), h) </w:t>
      </w:r>
      <w:r w:rsidRPr="002A2450">
        <w:rPr>
          <w:rFonts w:ascii="ITC Avant Garde" w:hAnsi="ITC Avant Garde"/>
        </w:rPr>
        <w:t>e</w:t>
      </w:r>
      <w:r w:rsidRPr="002A2450">
        <w:rPr>
          <w:rFonts w:ascii="ITC Avant Garde" w:hAnsi="ITC Avant Garde"/>
          <w:b/>
        </w:rPr>
        <w:t xml:space="preserve"> i), </w:t>
      </w:r>
      <w:r w:rsidRPr="002A2450">
        <w:rPr>
          <w:rFonts w:ascii="ITC Avant Garde" w:hAnsi="ITC Avant Garde"/>
        </w:rPr>
        <w:t>no resulta</w:t>
      </w:r>
      <w:r w:rsidR="00B64206" w:rsidRPr="002A2450">
        <w:rPr>
          <w:rFonts w:ascii="ITC Avant Garde" w:hAnsi="ITC Avant Garde"/>
        </w:rPr>
        <w:t>n</w:t>
      </w:r>
      <w:r w:rsidRPr="002A2450">
        <w:rPr>
          <w:rFonts w:ascii="ITC Avant Garde" w:hAnsi="ITC Avant Garde"/>
        </w:rPr>
        <w:t xml:space="preserve"> lo suficientemente claras en cuanto a la pregunta formulada por </w:t>
      </w:r>
      <w:r w:rsidRPr="002A2450">
        <w:rPr>
          <w:rFonts w:ascii="ITC Avant Garde" w:hAnsi="ITC Avant Garde"/>
          <w:b/>
        </w:rPr>
        <w:t>“TELMEX”</w:t>
      </w:r>
      <w:r w:rsidRPr="002A2450">
        <w:rPr>
          <w:rFonts w:ascii="ITC Avant Garde" w:hAnsi="ITC Avant Garde"/>
        </w:rPr>
        <w:t xml:space="preserve"> en el cuestionario respectivo, al no haber abordado de manera puntual el perito de mérito el contenido de la pregunta formulada.</w:t>
      </w:r>
    </w:p>
    <w:p w14:paraId="38277E17" w14:textId="77777777" w:rsidR="00B35F13" w:rsidRDefault="00B64206" w:rsidP="00B35F13">
      <w:pPr>
        <w:spacing w:before="240" w:line="360" w:lineRule="auto"/>
        <w:jc w:val="both"/>
        <w:rPr>
          <w:rFonts w:ascii="ITC Avant Garde" w:hAnsi="ITC Avant Garde"/>
        </w:rPr>
      </w:pPr>
      <w:r w:rsidRPr="002A2450">
        <w:rPr>
          <w:rFonts w:ascii="ITC Avant Garde" w:hAnsi="ITC Avant Garde"/>
        </w:rPr>
        <w:t xml:space="preserve">En tal sentido y considerando </w:t>
      </w:r>
      <w:r w:rsidR="002C45F4" w:rsidRPr="002A2450">
        <w:rPr>
          <w:rFonts w:ascii="ITC Avant Garde" w:hAnsi="ITC Avant Garde"/>
        </w:rPr>
        <w:t xml:space="preserve">que la prueba pericial constituye un elemento auxiliar para la autoridad </w:t>
      </w:r>
      <w:proofErr w:type="spellStart"/>
      <w:r w:rsidR="002C45F4" w:rsidRPr="002A2450">
        <w:rPr>
          <w:rFonts w:ascii="ITC Avant Garde" w:hAnsi="ITC Avant Garde"/>
        </w:rPr>
        <w:t>resolutora</w:t>
      </w:r>
      <w:proofErr w:type="spellEnd"/>
      <w:r w:rsidR="002C45F4" w:rsidRPr="002A2450">
        <w:rPr>
          <w:rFonts w:ascii="ITC Avant Garde" w:hAnsi="ITC Avant Garde"/>
        </w:rPr>
        <w:t xml:space="preserve">, éste órgano colegiado procede al análisis de las respuestas formuladas por el perito ofrecido por </w:t>
      </w:r>
      <w:r w:rsidR="002C45F4" w:rsidRPr="002A2450">
        <w:rPr>
          <w:rFonts w:ascii="ITC Avant Garde" w:hAnsi="ITC Avant Garde"/>
          <w:b/>
        </w:rPr>
        <w:t>“TELMEX”</w:t>
      </w:r>
      <w:r w:rsidR="002C45F4" w:rsidRPr="002A2450">
        <w:rPr>
          <w:rFonts w:ascii="ITC Avant Garde" w:hAnsi="ITC Avant Garde"/>
        </w:rPr>
        <w:t xml:space="preserve">, salvo por lo que hace a las respuestas a que se refiere el párrafo anterior en virtud de que las respuestas fueron vagas e imprecisas. </w:t>
      </w:r>
    </w:p>
    <w:p w14:paraId="1B4D257A" w14:textId="77777777" w:rsidR="00B35F13" w:rsidRDefault="007D613C" w:rsidP="00B35F13">
      <w:pPr>
        <w:spacing w:before="240" w:line="360" w:lineRule="auto"/>
        <w:jc w:val="both"/>
        <w:rPr>
          <w:rFonts w:ascii="ITC Avant Garde" w:hAnsi="ITC Avant Garde"/>
        </w:rPr>
      </w:pPr>
      <w:r w:rsidRPr="002A2450">
        <w:rPr>
          <w:rFonts w:ascii="ITC Avant Garde" w:hAnsi="ITC Avant Garde"/>
        </w:rPr>
        <w:t>Ahora bien, con base en el resto de las respuestas otorgadas</w:t>
      </w:r>
      <w:r w:rsidR="002C45F4" w:rsidRPr="002A2450">
        <w:rPr>
          <w:rFonts w:ascii="ITC Avant Garde" w:hAnsi="ITC Avant Garde"/>
        </w:rPr>
        <w:t>,</w:t>
      </w:r>
      <w:r w:rsidRPr="002A2450">
        <w:rPr>
          <w:rFonts w:ascii="ITC Avant Garde" w:hAnsi="ITC Avant Garde"/>
        </w:rPr>
        <w:t xml:space="preserve"> se puede precisar que las mismas concluyen </w:t>
      </w:r>
      <w:r w:rsidR="002C45F4" w:rsidRPr="002A2450">
        <w:rPr>
          <w:rFonts w:ascii="ITC Avant Garde" w:hAnsi="ITC Avant Garde"/>
        </w:rPr>
        <w:t xml:space="preserve">en esencia </w:t>
      </w:r>
      <w:r w:rsidRPr="002A2450">
        <w:rPr>
          <w:rFonts w:ascii="ITC Avant Garde" w:hAnsi="ITC Avant Garde"/>
        </w:rPr>
        <w:t>lo siguiente:</w:t>
      </w:r>
    </w:p>
    <w:p w14:paraId="11577455" w14:textId="77777777" w:rsidR="00B35F13" w:rsidRDefault="007D613C"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Existe una relación vertical en los contratos celebrados dada la demanda de tiene </w:t>
      </w:r>
      <w:r w:rsidRPr="002A2450">
        <w:rPr>
          <w:rFonts w:ascii="ITC Avant Garde" w:hAnsi="ITC Avant Garde"/>
          <w:b/>
        </w:rPr>
        <w:t xml:space="preserve">“COFRESA” </w:t>
      </w:r>
      <w:r w:rsidRPr="002A2450">
        <w:rPr>
          <w:rFonts w:ascii="ITC Avant Garde" w:hAnsi="ITC Avant Garde"/>
        </w:rPr>
        <w:t xml:space="preserve">para requerir los insumos correspondientes a los servicios de facturación, cobranza y canalización de servicios al cliente, venta y distribución de </w:t>
      </w:r>
      <w:r w:rsidRPr="002A2450">
        <w:rPr>
          <w:rFonts w:ascii="ITC Avant Garde" w:hAnsi="ITC Avant Garde"/>
          <w:b/>
        </w:rPr>
        <w:t>“DTH”</w:t>
      </w:r>
      <w:r w:rsidRPr="002A2450">
        <w:rPr>
          <w:rFonts w:ascii="ITC Avant Garde" w:hAnsi="ITC Avant Garde"/>
        </w:rPr>
        <w:t xml:space="preserve"> y el arrendamientos de kits CPE ofrecidos por </w:t>
      </w:r>
      <w:r w:rsidRPr="002A2450">
        <w:rPr>
          <w:rFonts w:ascii="ITC Avant Garde" w:hAnsi="ITC Avant Garde"/>
          <w:b/>
        </w:rPr>
        <w:t xml:space="preserve">“TELMEX”, </w:t>
      </w:r>
      <w:r w:rsidRPr="002A2450">
        <w:rPr>
          <w:rFonts w:ascii="ITC Avant Garde" w:hAnsi="ITC Avant Garde"/>
        </w:rPr>
        <w:t xml:space="preserve">mismos que actualizan una relación </w:t>
      </w:r>
      <w:r w:rsidRPr="002A2450">
        <w:rPr>
          <w:rFonts w:ascii="ITC Avant Garde" w:hAnsi="ITC Avant Garde"/>
          <w:i/>
        </w:rPr>
        <w:t>agente-principal</w:t>
      </w:r>
      <w:r w:rsidR="00F57182" w:rsidRPr="002A2450">
        <w:rPr>
          <w:rFonts w:ascii="ITC Avant Garde" w:hAnsi="ITC Avant Garde"/>
        </w:rPr>
        <w:t xml:space="preserve">. De una interpretación separada de los contratos de provisión de servicios de facturación y cobranza, distribución, arrendamiento y compraventa de minutos de servicio de Larga Distancia Nacional, se puede erróneamente inferir que </w:t>
      </w:r>
      <w:r w:rsidR="00F57182" w:rsidRPr="002A2450">
        <w:rPr>
          <w:rFonts w:ascii="ITC Avant Garde" w:hAnsi="ITC Avant Garde"/>
          <w:b/>
        </w:rPr>
        <w:lastRenderedPageBreak/>
        <w:t>"COFRESA"</w:t>
      </w:r>
      <w:r w:rsidR="00F57182" w:rsidRPr="002A2450">
        <w:rPr>
          <w:rFonts w:ascii="ITC Avant Garde" w:hAnsi="ITC Avant Garde"/>
        </w:rPr>
        <w:t xml:space="preserve">, al ser quien recibe los servicios que ofrece </w:t>
      </w:r>
      <w:r w:rsidR="00F57182" w:rsidRPr="002A2450">
        <w:rPr>
          <w:rFonts w:ascii="ITC Avant Garde" w:hAnsi="ITC Avant Garde"/>
          <w:b/>
        </w:rPr>
        <w:t>“TELMEX”</w:t>
      </w:r>
      <w:r w:rsidR="00F57182" w:rsidRPr="002A2450">
        <w:rPr>
          <w:rFonts w:ascii="ITC Avant Garde" w:hAnsi="ITC Avant Garde"/>
        </w:rPr>
        <w:t xml:space="preserve">, es el </w:t>
      </w:r>
      <w:r w:rsidR="001871E1" w:rsidRPr="002A2450">
        <w:rPr>
          <w:rFonts w:ascii="ITC Avant Garde" w:hAnsi="ITC Avant Garde"/>
          <w:i/>
        </w:rPr>
        <w:t>principal</w:t>
      </w:r>
      <w:r w:rsidR="001871E1" w:rsidRPr="002A2450">
        <w:rPr>
          <w:rFonts w:ascii="ITC Avant Garde" w:hAnsi="ITC Avant Garde"/>
        </w:rPr>
        <w:t xml:space="preserve"> </w:t>
      </w:r>
      <w:r w:rsidR="00F57182" w:rsidRPr="002A2450">
        <w:rPr>
          <w:rFonts w:ascii="ITC Avant Garde" w:hAnsi="ITC Avant Garde"/>
        </w:rPr>
        <w:t xml:space="preserve">y que </w:t>
      </w:r>
      <w:r w:rsidR="001871E1" w:rsidRPr="002A2450">
        <w:rPr>
          <w:rFonts w:ascii="ITC Avant Garde" w:hAnsi="ITC Avant Garde"/>
          <w:b/>
        </w:rPr>
        <w:t>“TELMEX”</w:t>
      </w:r>
      <w:r w:rsidR="001871E1" w:rsidRPr="002A2450">
        <w:rPr>
          <w:rFonts w:ascii="ITC Avant Garde" w:hAnsi="ITC Avant Garde"/>
        </w:rPr>
        <w:t xml:space="preserve"> funge en </w:t>
      </w:r>
      <w:r w:rsidR="00F57182" w:rsidRPr="002A2450">
        <w:rPr>
          <w:rFonts w:ascii="ITC Avant Garde" w:hAnsi="ITC Avant Garde"/>
        </w:rPr>
        <w:t xml:space="preserve">estos contratos </w:t>
      </w:r>
      <w:r w:rsidR="001871E1" w:rsidRPr="002A2450">
        <w:rPr>
          <w:rFonts w:ascii="ITC Avant Garde" w:hAnsi="ITC Avant Garde"/>
        </w:rPr>
        <w:t xml:space="preserve">como </w:t>
      </w:r>
      <w:r w:rsidR="001871E1" w:rsidRPr="002A2450">
        <w:rPr>
          <w:rFonts w:ascii="ITC Avant Garde" w:hAnsi="ITC Avant Garde"/>
          <w:i/>
        </w:rPr>
        <w:t>agente.</w:t>
      </w:r>
      <w:r w:rsidR="00F57182" w:rsidRPr="002A2450">
        <w:rPr>
          <w:rFonts w:ascii="ITC Avant Garde" w:hAnsi="ITC Avant Garde"/>
          <w:i/>
        </w:rPr>
        <w:t xml:space="preserve"> </w:t>
      </w:r>
    </w:p>
    <w:p w14:paraId="73B0BF74" w14:textId="77777777" w:rsidR="00B35F13" w:rsidRDefault="001871E1"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En la relación </w:t>
      </w:r>
      <w:r w:rsidRPr="002A2450">
        <w:rPr>
          <w:rFonts w:ascii="ITC Avant Garde" w:hAnsi="ITC Avant Garde"/>
          <w:i/>
        </w:rPr>
        <w:t>agente-principal</w:t>
      </w:r>
      <w:r w:rsidRPr="002A2450">
        <w:rPr>
          <w:rFonts w:ascii="ITC Avant Garde" w:hAnsi="ITC Avant Garde"/>
        </w:rPr>
        <w:t xml:space="preserve"> los problemas asociados se ven en la información asimétrica y los contratos incompletos, dónde es necesario derivado de la falta de información establecer en dichos contratos mecanismos de monitoreo e intercambio de información, así como que es permisible dados los factores externos y de mercado (en el caso de contratos incompletos) que los contratantes acudan a mecanismos de negociación con el objeto de superar las condiciones no previstas en los contratos.</w:t>
      </w:r>
    </w:p>
    <w:p w14:paraId="4905EEE9" w14:textId="77777777" w:rsidR="00B35F13" w:rsidRDefault="001871E1"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Para efectos de una </w:t>
      </w:r>
      <w:r w:rsidRPr="002A2450">
        <w:rPr>
          <w:rFonts w:ascii="ITC Avant Garde" w:hAnsi="ITC Avant Garde"/>
          <w:i/>
        </w:rPr>
        <w:t>concentración</w:t>
      </w:r>
      <w:r w:rsidRPr="002A2450">
        <w:rPr>
          <w:rFonts w:ascii="ITC Avant Garde" w:hAnsi="ITC Avant Garde"/>
        </w:rPr>
        <w:t xml:space="preserve"> en términos económicos debe excluirse aquellas relaciones contractuales derivadas de la relación </w:t>
      </w:r>
      <w:r w:rsidRPr="002A2450">
        <w:rPr>
          <w:rFonts w:ascii="ITC Avant Garde" w:hAnsi="ITC Avant Garde"/>
          <w:i/>
        </w:rPr>
        <w:t>agente-principal</w:t>
      </w:r>
      <w:r w:rsidRPr="002A2450">
        <w:rPr>
          <w:rFonts w:ascii="ITC Avant Garde" w:hAnsi="ITC Avant Garde"/>
        </w:rPr>
        <w:t xml:space="preserve"> al no existir una sustitución en el control de activos ni una disminución de capacidad de decisión en el mercado</w:t>
      </w:r>
      <w:r w:rsidR="001C70EE" w:rsidRPr="002A2450">
        <w:rPr>
          <w:rFonts w:ascii="ITC Avant Garde" w:hAnsi="ITC Avant Garde"/>
        </w:rPr>
        <w:t>. A este respecto</w:t>
      </w:r>
      <w:r w:rsidRPr="002A2450">
        <w:rPr>
          <w:rFonts w:ascii="ITC Avant Garde" w:hAnsi="ITC Avant Garde"/>
        </w:rPr>
        <w:t>, el perito</w:t>
      </w:r>
      <w:r w:rsidR="001C70EE" w:rsidRPr="002A2450">
        <w:rPr>
          <w:rFonts w:ascii="ITC Avant Garde" w:hAnsi="ITC Avant Garde"/>
        </w:rPr>
        <w:t xml:space="preserve">: (i) </w:t>
      </w:r>
      <w:r w:rsidRPr="002A2450">
        <w:rPr>
          <w:rFonts w:ascii="ITC Avant Garde" w:hAnsi="ITC Avant Garde"/>
        </w:rPr>
        <w:t xml:space="preserve">sólo refiere sin fundamentar su dicho que en las legislaciones de Estados Unidos de América y en la Unión </w:t>
      </w:r>
      <w:r w:rsidR="002C45F4" w:rsidRPr="002A2450">
        <w:rPr>
          <w:rFonts w:ascii="ITC Avant Garde" w:hAnsi="ITC Avant Garde"/>
        </w:rPr>
        <w:t>Europea</w:t>
      </w:r>
      <w:r w:rsidRPr="002A2450">
        <w:rPr>
          <w:rFonts w:ascii="ITC Avant Garde" w:hAnsi="ITC Avant Garde"/>
        </w:rPr>
        <w:t xml:space="preserve">, los contratos de opción no son </w:t>
      </w:r>
      <w:proofErr w:type="spellStart"/>
      <w:r w:rsidRPr="002A2450">
        <w:rPr>
          <w:rFonts w:ascii="ITC Avant Garde" w:hAnsi="ITC Avant Garde"/>
        </w:rPr>
        <w:t>notificables</w:t>
      </w:r>
      <w:proofErr w:type="spellEnd"/>
      <w:r w:rsidRPr="002A2450">
        <w:rPr>
          <w:rFonts w:ascii="ITC Avant Garde" w:hAnsi="ITC Avant Garde"/>
        </w:rPr>
        <w:t xml:space="preserve">, salvo en el caso de la última en mención, que los contratos en un futuro próximo </w:t>
      </w:r>
      <w:r w:rsidRPr="002A2450">
        <w:rPr>
          <w:rFonts w:ascii="ITC Avant Garde" w:hAnsi="ITC Avant Garde"/>
          <w:u w:val="single"/>
        </w:rPr>
        <w:t>otorguen un control</w:t>
      </w:r>
      <w:r w:rsidRPr="002A2450">
        <w:rPr>
          <w:rFonts w:ascii="ITC Avant Garde" w:hAnsi="ITC Avant Garde"/>
        </w:rPr>
        <w:t xml:space="preserve"> sobre otra empresa, derivado de cont</w:t>
      </w:r>
      <w:r w:rsidR="005D3803" w:rsidRPr="002A2450">
        <w:rPr>
          <w:rFonts w:ascii="ITC Avant Garde" w:hAnsi="ITC Avant Garde"/>
        </w:rPr>
        <w:t>ratos jurídicamente vinculante</w:t>
      </w:r>
      <w:r w:rsidR="001C70EE" w:rsidRPr="002A2450">
        <w:rPr>
          <w:rFonts w:ascii="ITC Avant Garde" w:hAnsi="ITC Avant Garde"/>
        </w:rPr>
        <w:t xml:space="preserve">s; y (ii) </w:t>
      </w:r>
      <w:r w:rsidR="005D3803" w:rsidRPr="002A2450">
        <w:rPr>
          <w:rFonts w:ascii="ITC Avant Garde" w:hAnsi="ITC Avant Garde"/>
        </w:rPr>
        <w:t xml:space="preserve">aclara que las opciones en especie en México y en el extranjero </w:t>
      </w:r>
      <w:r w:rsidR="001C70EE" w:rsidRPr="002A2450">
        <w:rPr>
          <w:rFonts w:ascii="ITC Avant Garde" w:hAnsi="ITC Avant Garde"/>
        </w:rPr>
        <w:t xml:space="preserve">sólo </w:t>
      </w:r>
      <w:r w:rsidR="005D3803" w:rsidRPr="002A2450">
        <w:rPr>
          <w:rFonts w:ascii="ITC Avant Garde" w:hAnsi="ITC Avant Garde"/>
        </w:rPr>
        <w:t xml:space="preserve">son </w:t>
      </w:r>
      <w:proofErr w:type="spellStart"/>
      <w:r w:rsidR="005D3803" w:rsidRPr="002A2450">
        <w:rPr>
          <w:rFonts w:ascii="ITC Avant Garde" w:hAnsi="ITC Avant Garde"/>
        </w:rPr>
        <w:t>notificables</w:t>
      </w:r>
      <w:proofErr w:type="spellEnd"/>
      <w:r w:rsidR="005D3803" w:rsidRPr="002A2450">
        <w:rPr>
          <w:rFonts w:ascii="ITC Avant Garde" w:hAnsi="ITC Avant Garde"/>
        </w:rPr>
        <w:t xml:space="preserve"> cuando se ejer</w:t>
      </w:r>
      <w:r w:rsidR="001C70EE" w:rsidRPr="002A2450">
        <w:rPr>
          <w:rFonts w:ascii="ITC Avant Garde" w:hAnsi="ITC Avant Garde"/>
        </w:rPr>
        <w:t>cen</w:t>
      </w:r>
      <w:r w:rsidR="005D3803" w:rsidRPr="002A2450">
        <w:rPr>
          <w:rFonts w:ascii="ITC Avant Garde" w:hAnsi="ITC Avant Garde"/>
        </w:rPr>
        <w:t>, con excepción de la Unión Europea en la que guarda la reserva de control en un futuro.</w:t>
      </w:r>
      <w:r w:rsidR="009E3A00" w:rsidRPr="002A2450">
        <w:rPr>
          <w:rFonts w:ascii="ITC Avant Garde" w:hAnsi="ITC Avant Garde"/>
        </w:rPr>
        <w:t xml:space="preserve"> </w:t>
      </w:r>
    </w:p>
    <w:p w14:paraId="5890F401" w14:textId="77777777" w:rsidR="00B35F13" w:rsidRDefault="009E3A00" w:rsidP="00B35F13">
      <w:pPr>
        <w:pStyle w:val="Prrafodelista"/>
        <w:spacing w:before="240" w:line="360" w:lineRule="auto"/>
        <w:jc w:val="both"/>
        <w:rPr>
          <w:rFonts w:ascii="ITC Avant Garde" w:hAnsi="ITC Avant Garde"/>
        </w:rPr>
      </w:pPr>
      <w:r w:rsidRPr="002A2450">
        <w:rPr>
          <w:rFonts w:ascii="ITC Avant Garde" w:hAnsi="ITC Avant Garde"/>
        </w:rPr>
        <w:t xml:space="preserve">Asimismo señala que la opción otorgada a </w:t>
      </w:r>
      <w:r w:rsidRPr="002A2450">
        <w:rPr>
          <w:rFonts w:ascii="ITC Avant Garde" w:hAnsi="ITC Avant Garde"/>
          <w:b/>
        </w:rPr>
        <w:t>“TENINVER”</w:t>
      </w:r>
      <w:r w:rsidRPr="002A2450">
        <w:rPr>
          <w:rFonts w:ascii="ITC Avant Garde" w:hAnsi="ITC Avant Garde"/>
        </w:rPr>
        <w:t xml:space="preserve"> no constituye una adquisición </w:t>
      </w:r>
      <w:r w:rsidR="002C45F4" w:rsidRPr="002A2450">
        <w:rPr>
          <w:rFonts w:ascii="ITC Avant Garde" w:hAnsi="ITC Avant Garde"/>
        </w:rPr>
        <w:t>d</w:t>
      </w:r>
      <w:r w:rsidRPr="002A2450">
        <w:rPr>
          <w:rFonts w:ascii="ITC Avant Garde" w:hAnsi="ITC Avant Garde"/>
        </w:rPr>
        <w:t>e capital</w:t>
      </w:r>
      <w:r w:rsidR="001C70EE" w:rsidRPr="002A2450">
        <w:rPr>
          <w:rFonts w:ascii="ITC Avant Garde" w:hAnsi="ITC Avant Garde"/>
        </w:rPr>
        <w:t xml:space="preserve"> y </w:t>
      </w:r>
      <w:r w:rsidRPr="002A2450">
        <w:rPr>
          <w:rFonts w:ascii="ITC Avant Garde" w:hAnsi="ITC Avant Garde"/>
        </w:rPr>
        <w:t>lo que pretende es limitar pérdidas y la falta de certidumbre dado que no existe una obligación de comprar y vender los títulos respectivos.</w:t>
      </w:r>
    </w:p>
    <w:p w14:paraId="7A84253C" w14:textId="77777777" w:rsidR="00B35F13" w:rsidRDefault="005D3803"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Por lo que hace a los contratos </w:t>
      </w:r>
      <w:proofErr w:type="spellStart"/>
      <w:r w:rsidRPr="002A2450">
        <w:rPr>
          <w:rFonts w:ascii="ITC Avant Garde" w:hAnsi="ITC Avant Garde"/>
          <w:i/>
        </w:rPr>
        <w:t>call-put</w:t>
      </w:r>
      <w:proofErr w:type="spellEnd"/>
      <w:r w:rsidRPr="002A2450">
        <w:rPr>
          <w:rFonts w:ascii="ITC Avant Garde" w:hAnsi="ITC Avant Garde"/>
        </w:rPr>
        <w:t xml:space="preserve"> el perito </w:t>
      </w:r>
      <w:r w:rsidR="002C45F4" w:rsidRPr="002A2450">
        <w:rPr>
          <w:rFonts w:ascii="ITC Avant Garde" w:hAnsi="ITC Avant Garde"/>
        </w:rPr>
        <w:t xml:space="preserve">señala que dicha operación tiene como objeto </w:t>
      </w:r>
      <w:r w:rsidRPr="002A2450">
        <w:rPr>
          <w:rFonts w:ascii="ITC Avant Garde" w:hAnsi="ITC Avant Garde"/>
        </w:rPr>
        <w:t>limita</w:t>
      </w:r>
      <w:r w:rsidR="002C45F4" w:rsidRPr="002A2450">
        <w:rPr>
          <w:rFonts w:ascii="ITC Avant Garde" w:hAnsi="ITC Avant Garde"/>
        </w:rPr>
        <w:t>r</w:t>
      </w:r>
      <w:r w:rsidRPr="002A2450">
        <w:rPr>
          <w:rFonts w:ascii="ITC Avant Garde" w:hAnsi="ITC Avant Garde"/>
        </w:rPr>
        <w:t xml:space="preserve"> las pérdidas y da</w:t>
      </w:r>
      <w:r w:rsidR="002C45F4" w:rsidRPr="002A2450">
        <w:rPr>
          <w:rFonts w:ascii="ITC Avant Garde" w:hAnsi="ITC Avant Garde"/>
        </w:rPr>
        <w:t>r</w:t>
      </w:r>
      <w:r w:rsidRPr="002A2450">
        <w:rPr>
          <w:rFonts w:ascii="ITC Avant Garde" w:hAnsi="ITC Avant Garde"/>
        </w:rPr>
        <w:t xml:space="preserve"> certidumbre</w:t>
      </w:r>
      <w:r w:rsidR="002C45F4" w:rsidRPr="002A2450">
        <w:rPr>
          <w:rFonts w:ascii="ITC Avant Garde" w:hAnsi="ITC Avant Garde"/>
        </w:rPr>
        <w:t xml:space="preserve"> a las partes</w:t>
      </w:r>
      <w:r w:rsidRPr="002A2450">
        <w:rPr>
          <w:rFonts w:ascii="ITC Avant Garde" w:hAnsi="ITC Avant Garde"/>
        </w:rPr>
        <w:t xml:space="preserve">, </w:t>
      </w:r>
      <w:r w:rsidR="002C45F4" w:rsidRPr="002A2450">
        <w:rPr>
          <w:rFonts w:ascii="ITC Avant Garde" w:hAnsi="ITC Avant Garde"/>
        </w:rPr>
        <w:t xml:space="preserve">sin embargo, también advierte que dicho contrato </w:t>
      </w:r>
      <w:r w:rsidR="00805536" w:rsidRPr="002A2450">
        <w:rPr>
          <w:rFonts w:ascii="ITC Avant Garde" w:hAnsi="ITC Avant Garde"/>
        </w:rPr>
        <w:t xml:space="preserve">puede considerarse como </w:t>
      </w:r>
      <w:r w:rsidR="00805536" w:rsidRPr="002A2450">
        <w:rPr>
          <w:rFonts w:ascii="ITC Avant Garde" w:hAnsi="ITC Avant Garde"/>
        </w:rPr>
        <w:lastRenderedPageBreak/>
        <w:t>una alternativa de realizar una transacción de activos bajo incertidumbre con relación a la evolución de los mercados</w:t>
      </w:r>
      <w:r w:rsidRPr="002A2450">
        <w:rPr>
          <w:rFonts w:ascii="ITC Avant Garde" w:hAnsi="ITC Avant Garde"/>
        </w:rPr>
        <w:t>.</w:t>
      </w:r>
    </w:p>
    <w:p w14:paraId="11D3048C" w14:textId="77777777" w:rsidR="00B35F13" w:rsidRDefault="005D3803"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Por otro lado </w:t>
      </w:r>
      <w:r w:rsidRPr="002A2450">
        <w:rPr>
          <w:rFonts w:ascii="ITC Avant Garde" w:hAnsi="ITC Avant Garde"/>
          <w:b/>
          <w:u w:val="single"/>
        </w:rPr>
        <w:t>es de relevancia mencionar</w:t>
      </w:r>
      <w:r w:rsidRPr="002A2450">
        <w:rPr>
          <w:rFonts w:ascii="ITC Avant Garde" w:hAnsi="ITC Avant Garde"/>
        </w:rPr>
        <w:t xml:space="preserve"> que el perito señala que los contratos sí prevén una inversión específica dada la compra de receptores de </w:t>
      </w:r>
      <w:r w:rsidRPr="002A2450">
        <w:rPr>
          <w:rFonts w:ascii="ITC Avant Garde" w:hAnsi="ITC Avant Garde"/>
          <w:b/>
        </w:rPr>
        <w:t>“DTH”</w:t>
      </w:r>
      <w:r w:rsidRPr="002A2450">
        <w:rPr>
          <w:rFonts w:ascii="ITC Avant Garde" w:hAnsi="ITC Avant Garde"/>
        </w:rPr>
        <w:t xml:space="preserve"> para prestar el servicio </w:t>
      </w:r>
      <w:r w:rsidRPr="002A2450">
        <w:rPr>
          <w:rFonts w:ascii="ITC Avant Garde" w:hAnsi="ITC Avant Garde"/>
          <w:b/>
        </w:rPr>
        <w:t>“D</w:t>
      </w:r>
      <w:r w:rsidR="00B61711" w:rsidRPr="002A2450">
        <w:rPr>
          <w:rFonts w:ascii="ITC Avant Garde" w:hAnsi="ITC Avant Garde"/>
          <w:b/>
        </w:rPr>
        <w:t>T</w:t>
      </w:r>
      <w:r w:rsidRPr="002A2450">
        <w:rPr>
          <w:rFonts w:ascii="ITC Avant Garde" w:hAnsi="ITC Avant Garde"/>
          <w:b/>
        </w:rPr>
        <w:t>H”</w:t>
      </w:r>
      <w:r w:rsidR="009E3A00" w:rsidRPr="002A2450">
        <w:rPr>
          <w:rFonts w:ascii="ITC Avant Garde" w:hAnsi="ITC Avant Garde"/>
          <w:b/>
        </w:rPr>
        <w:t xml:space="preserve">, </w:t>
      </w:r>
      <w:r w:rsidR="009E3A00" w:rsidRPr="002A2450">
        <w:rPr>
          <w:rFonts w:ascii="ITC Avant Garde" w:hAnsi="ITC Avant Garde"/>
        </w:rPr>
        <w:t xml:space="preserve">situación que a lo largo de la presente resolución </w:t>
      </w:r>
      <w:r w:rsidR="009E3A00" w:rsidRPr="002A2450">
        <w:rPr>
          <w:rFonts w:ascii="ITC Avant Garde" w:hAnsi="ITC Avant Garde"/>
          <w:b/>
        </w:rPr>
        <w:t xml:space="preserve">“TELMEX” </w:t>
      </w:r>
      <w:r w:rsidR="009E3A00" w:rsidRPr="002A2450">
        <w:rPr>
          <w:rFonts w:ascii="ITC Avant Garde" w:hAnsi="ITC Avant Garde"/>
        </w:rPr>
        <w:t>sostiene</w:t>
      </w:r>
      <w:r w:rsidR="009E3A00" w:rsidRPr="002A2450">
        <w:rPr>
          <w:rFonts w:ascii="ITC Avant Garde" w:hAnsi="ITC Avant Garde"/>
          <w:b/>
        </w:rPr>
        <w:t xml:space="preserve"> </w:t>
      </w:r>
      <w:r w:rsidR="009E3A00" w:rsidRPr="002A2450">
        <w:rPr>
          <w:rFonts w:ascii="ITC Avant Garde" w:hAnsi="ITC Avant Garde"/>
        </w:rPr>
        <w:t>lo contrario, e incluso señala que los contratos prevén el retorno de la inversión realizada con el objeto de reducir el riesgo.</w:t>
      </w:r>
    </w:p>
    <w:p w14:paraId="3A1CB6CE" w14:textId="77777777" w:rsidR="00B35F13" w:rsidRDefault="004A3A23" w:rsidP="00B35F13">
      <w:pPr>
        <w:pStyle w:val="Prrafodelista"/>
        <w:spacing w:before="240" w:line="360" w:lineRule="auto"/>
        <w:jc w:val="both"/>
        <w:rPr>
          <w:rFonts w:ascii="ITC Avant Garde" w:hAnsi="ITC Avant Garde"/>
        </w:rPr>
      </w:pPr>
      <w:r w:rsidRPr="002A2450">
        <w:rPr>
          <w:rFonts w:ascii="ITC Avant Garde" w:hAnsi="ITC Avant Garde"/>
        </w:rPr>
        <w:t xml:space="preserve">Aunado a lo anterior, en un contrasentido de lo argumentado por </w:t>
      </w:r>
      <w:r w:rsidRPr="002A2450">
        <w:rPr>
          <w:rFonts w:ascii="ITC Avant Garde" w:hAnsi="ITC Avant Garde"/>
          <w:b/>
        </w:rPr>
        <w:t>“TELMEX”</w:t>
      </w:r>
      <w:r w:rsidRPr="002A2450">
        <w:rPr>
          <w:rFonts w:ascii="ITC Avant Garde" w:hAnsi="ITC Avant Garde"/>
        </w:rPr>
        <w:t xml:space="preserve">, el perito señala que la inversión realizada al amparo del contrato de arrendamiento </w:t>
      </w:r>
      <w:r w:rsidR="00805536" w:rsidRPr="002A2450">
        <w:rPr>
          <w:rFonts w:ascii="ITC Avant Garde" w:hAnsi="ITC Avant Garde"/>
        </w:rPr>
        <w:t xml:space="preserve">no puede ser calificado como irracional </w:t>
      </w:r>
      <w:r w:rsidRPr="002A2450">
        <w:rPr>
          <w:rFonts w:ascii="ITC Avant Garde" w:hAnsi="ITC Avant Garde"/>
        </w:rPr>
        <w:t>para recuperarla</w:t>
      </w:r>
      <w:r w:rsidR="00805536" w:rsidRPr="002A2450">
        <w:rPr>
          <w:rFonts w:ascii="ITC Avant Garde" w:hAnsi="ITC Avant Garde"/>
        </w:rPr>
        <w:t xml:space="preserve"> la inversión realizada</w:t>
      </w:r>
      <w:r w:rsidRPr="002A2450">
        <w:rPr>
          <w:rFonts w:ascii="ITC Avant Garde" w:hAnsi="ITC Avant Garde"/>
        </w:rPr>
        <w:t xml:space="preserve">, de lo que se presume </w:t>
      </w:r>
      <w:r w:rsidR="00805536" w:rsidRPr="002A2450">
        <w:rPr>
          <w:rFonts w:ascii="ITC Avant Garde" w:hAnsi="ITC Avant Garde"/>
        </w:rPr>
        <w:t xml:space="preserve">que </w:t>
      </w:r>
      <w:r w:rsidRPr="002A2450">
        <w:rPr>
          <w:rFonts w:ascii="ITC Avant Garde" w:hAnsi="ITC Avant Garde"/>
        </w:rPr>
        <w:t>la pregunta como la respuesta</w:t>
      </w:r>
      <w:r w:rsidR="00805536" w:rsidRPr="002A2450">
        <w:rPr>
          <w:rFonts w:ascii="ITC Avant Garde" w:hAnsi="ITC Avant Garde"/>
        </w:rPr>
        <w:t xml:space="preserve"> implican una aceptación tácita de que el contrato de arrendamiento sí es resulta ser una inversión</w:t>
      </w:r>
      <w:r w:rsidRPr="002A2450">
        <w:rPr>
          <w:rFonts w:ascii="ITC Avant Garde" w:hAnsi="ITC Avant Garde"/>
        </w:rPr>
        <w:t>.</w:t>
      </w:r>
    </w:p>
    <w:p w14:paraId="119DFAEA" w14:textId="77777777" w:rsidR="00B35F13" w:rsidRDefault="00D44DC3" w:rsidP="00B35F13">
      <w:pPr>
        <w:pStyle w:val="Prrafodelista"/>
        <w:spacing w:before="240" w:line="360" w:lineRule="auto"/>
        <w:jc w:val="both"/>
        <w:rPr>
          <w:rFonts w:ascii="ITC Avant Garde" w:hAnsi="ITC Avant Garde"/>
        </w:rPr>
      </w:pPr>
      <w:r w:rsidRPr="002A2450">
        <w:rPr>
          <w:rFonts w:ascii="ITC Avant Garde" w:hAnsi="ITC Avant Garde"/>
        </w:rPr>
        <w:t>Similar criterio sostiene el perito en las tarifas del contrato de servicios y distingue que el contrato de distribución es eficiente en la medida que incluya mecanismos de control para que el desempeño esperado sea superior al realizado por medios propios.</w:t>
      </w:r>
    </w:p>
    <w:p w14:paraId="1085D534" w14:textId="77777777" w:rsidR="00B35F13" w:rsidRDefault="009E3A00"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Por otro lado, el perito afirma que los elementos destacados en el acuerdo de inicio son instrumentos necesarios para el cumplimiento de los contratos de acuerdo a la teoría de los incentivos del modelo </w:t>
      </w:r>
      <w:r w:rsidRPr="002A2450">
        <w:rPr>
          <w:rFonts w:ascii="ITC Avant Garde" w:hAnsi="ITC Avant Garde"/>
          <w:i/>
        </w:rPr>
        <w:t>agente-principal</w:t>
      </w:r>
      <w:r w:rsidRPr="002A2450">
        <w:rPr>
          <w:rFonts w:ascii="ITC Avant Garde" w:hAnsi="ITC Avant Garde"/>
        </w:rPr>
        <w:t xml:space="preserve">, aclarando que con base en lo anterior </w:t>
      </w:r>
      <w:r w:rsidRPr="002A2450">
        <w:rPr>
          <w:rFonts w:ascii="ITC Avant Garde" w:hAnsi="ITC Avant Garde"/>
          <w:b/>
          <w:u w:val="single"/>
        </w:rPr>
        <w:t>exista una interdependencia</w:t>
      </w:r>
      <w:r w:rsidRPr="002A2450">
        <w:rPr>
          <w:rFonts w:ascii="ITC Avant Garde" w:hAnsi="ITC Avant Garde"/>
        </w:rPr>
        <w:t xml:space="preserve"> en los contratos de prestación de servicios, distribución y de arrendamiento.</w:t>
      </w:r>
    </w:p>
    <w:p w14:paraId="2F2B6419" w14:textId="77777777" w:rsidR="00B35F13" w:rsidRDefault="009E3A00"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 xml:space="preserve">Por lo que hace a la posibilidad de participar en los dividendos por parte de </w:t>
      </w:r>
      <w:r w:rsidRPr="002A2450">
        <w:rPr>
          <w:rFonts w:ascii="ITC Avant Garde" w:hAnsi="ITC Avant Garde"/>
          <w:b/>
        </w:rPr>
        <w:t>“TELMEX”</w:t>
      </w:r>
      <w:r w:rsidRPr="002A2450">
        <w:rPr>
          <w:rFonts w:ascii="ITC Avant Garde" w:hAnsi="ITC Avant Garde"/>
        </w:rPr>
        <w:t xml:space="preserve"> señala que el acuerdo de inicio del procedimiento confunde los pagos al </w:t>
      </w:r>
      <w:r w:rsidRPr="002A2450">
        <w:rPr>
          <w:rFonts w:ascii="ITC Avant Garde" w:hAnsi="ITC Avant Garde"/>
          <w:i/>
        </w:rPr>
        <w:t>agente</w:t>
      </w:r>
      <w:r w:rsidRPr="002A2450">
        <w:rPr>
          <w:rFonts w:ascii="ITC Avant Garde" w:hAnsi="ITC Avant Garde"/>
        </w:rPr>
        <w:t xml:space="preserve"> respecto a los resultados </w:t>
      </w:r>
      <w:r w:rsidR="004A3A23" w:rsidRPr="002A2450">
        <w:rPr>
          <w:rFonts w:ascii="ITC Avant Garde" w:hAnsi="ITC Avant Garde"/>
        </w:rPr>
        <w:t xml:space="preserve">del principal. En este apartado, resulta necesario señalar que el perito no abunda en su respuesta sino que se concreta a ceñirse al modelo </w:t>
      </w:r>
      <w:r w:rsidR="004A3A23" w:rsidRPr="002A2450">
        <w:rPr>
          <w:rFonts w:ascii="ITC Avant Garde" w:hAnsi="ITC Avant Garde"/>
          <w:i/>
        </w:rPr>
        <w:t>agente-principal</w:t>
      </w:r>
      <w:r w:rsidR="004A3A23" w:rsidRPr="002A2450">
        <w:rPr>
          <w:rFonts w:ascii="ITC Avant Garde" w:hAnsi="ITC Avant Garde"/>
        </w:rPr>
        <w:t xml:space="preserve"> pero no establece c</w:t>
      </w:r>
      <w:r w:rsidR="00805536" w:rsidRPr="002A2450">
        <w:rPr>
          <w:rFonts w:ascii="ITC Avant Garde" w:hAnsi="ITC Avant Garde"/>
        </w:rPr>
        <w:t>ó</w:t>
      </w:r>
      <w:r w:rsidR="004A3A23" w:rsidRPr="002A2450">
        <w:rPr>
          <w:rFonts w:ascii="ITC Avant Garde" w:hAnsi="ITC Avant Garde"/>
        </w:rPr>
        <w:t xml:space="preserve">mo en el modelo señalado es permisible que </w:t>
      </w:r>
      <w:r w:rsidR="004A3A23" w:rsidRPr="002A2450">
        <w:rPr>
          <w:rFonts w:ascii="ITC Avant Garde" w:hAnsi="ITC Avant Garde"/>
          <w:b/>
        </w:rPr>
        <w:t>“TELMEX”</w:t>
      </w:r>
      <w:r w:rsidR="004A3A23" w:rsidRPr="002A2450">
        <w:rPr>
          <w:rFonts w:ascii="ITC Avant Garde" w:hAnsi="ITC Avant Garde"/>
        </w:rPr>
        <w:t xml:space="preserve"> participe con la opción en el reparto de dividendos.</w:t>
      </w:r>
    </w:p>
    <w:p w14:paraId="114312B9" w14:textId="77777777" w:rsidR="00B35F13" w:rsidRDefault="004A3A23"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lastRenderedPageBreak/>
        <w:t xml:space="preserve">Ahora bien, el perito señala que los contratos de forma conjunta o separa no implican la sustitución de los activos de </w:t>
      </w:r>
      <w:r w:rsidRPr="002A2450">
        <w:rPr>
          <w:rFonts w:ascii="ITC Avant Garde" w:hAnsi="ITC Avant Garde"/>
          <w:b/>
        </w:rPr>
        <w:t>“DISH MÉXICO”</w:t>
      </w:r>
      <w:r w:rsidRPr="002A2450">
        <w:rPr>
          <w:rFonts w:ascii="ITC Avant Garde" w:hAnsi="ITC Avant Garde"/>
        </w:rPr>
        <w:t xml:space="preserve"> </w:t>
      </w:r>
      <w:r w:rsidR="00805536" w:rsidRPr="002A2450">
        <w:rPr>
          <w:rFonts w:ascii="ITC Avant Garde" w:hAnsi="ITC Avant Garde"/>
        </w:rPr>
        <w:t xml:space="preserve">e influir en </w:t>
      </w:r>
      <w:r w:rsidRPr="002A2450">
        <w:rPr>
          <w:rFonts w:ascii="ITC Avant Garde" w:hAnsi="ITC Avant Garde"/>
        </w:rPr>
        <w:t xml:space="preserve">las decisiones de mercado, por lo que no pueden considerarse </w:t>
      </w:r>
      <w:r w:rsidR="00805536" w:rsidRPr="002A2450">
        <w:rPr>
          <w:rFonts w:ascii="ITC Avant Garde" w:hAnsi="ITC Avant Garde"/>
        </w:rPr>
        <w:t xml:space="preserve">a las empresas contratantes como </w:t>
      </w:r>
      <w:r w:rsidRPr="002A2450">
        <w:rPr>
          <w:rFonts w:ascii="ITC Avant Garde" w:hAnsi="ITC Avant Garde"/>
        </w:rPr>
        <w:t xml:space="preserve">una sola unidad económica, así como que </w:t>
      </w:r>
      <w:r w:rsidRPr="002A2450">
        <w:rPr>
          <w:rFonts w:ascii="ITC Avant Garde" w:hAnsi="ITC Avant Garde"/>
          <w:b/>
        </w:rPr>
        <w:t>“TELMEX”</w:t>
      </w:r>
      <w:r w:rsidRPr="002A2450">
        <w:rPr>
          <w:rFonts w:ascii="ITC Avant Garde" w:hAnsi="ITC Avant Garde"/>
        </w:rPr>
        <w:t xml:space="preserve"> no podría determinar por tanto los precios en el mercado al no participar como competidor. </w:t>
      </w:r>
    </w:p>
    <w:p w14:paraId="7C85FE91" w14:textId="77777777" w:rsidR="00B35F13" w:rsidRDefault="00D44DC3" w:rsidP="007E623E">
      <w:pPr>
        <w:pStyle w:val="Prrafodelista"/>
        <w:numPr>
          <w:ilvl w:val="0"/>
          <w:numId w:val="39"/>
        </w:numPr>
        <w:spacing w:before="240" w:line="360" w:lineRule="auto"/>
        <w:jc w:val="both"/>
        <w:rPr>
          <w:rFonts w:ascii="ITC Avant Garde" w:hAnsi="ITC Avant Garde"/>
        </w:rPr>
      </w:pPr>
      <w:r w:rsidRPr="002A2450">
        <w:rPr>
          <w:rFonts w:ascii="ITC Avant Garde" w:hAnsi="ITC Avant Garde"/>
        </w:rPr>
        <w:t>Las promociones conjuntas son eficientes en la medida de que son verdaderas economías de escala, sin embargo, advierte que no es posible un esquema de subsidios cruzados entre entidades económicamente independientes.</w:t>
      </w:r>
    </w:p>
    <w:p w14:paraId="4F7C2801" w14:textId="77777777" w:rsidR="00B35F13" w:rsidRDefault="00D44DC3" w:rsidP="00B35F13">
      <w:pPr>
        <w:spacing w:before="240" w:line="360" w:lineRule="auto"/>
        <w:jc w:val="both"/>
        <w:rPr>
          <w:rFonts w:ascii="ITC Avant Garde" w:hAnsi="ITC Avant Garde"/>
        </w:rPr>
      </w:pPr>
      <w:r w:rsidRPr="002A2450">
        <w:rPr>
          <w:rFonts w:ascii="ITC Avant Garde" w:hAnsi="ITC Avant Garde"/>
        </w:rPr>
        <w:t>Ahora bien, en cuanto a las respuestas formuladas por el perito designado por esta autoridad se observa lo siguiente:</w:t>
      </w:r>
    </w:p>
    <w:p w14:paraId="49D08208"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La caracterización económica de los contratos </w:t>
      </w:r>
      <w:r w:rsidR="00A830C7" w:rsidRPr="002A2450">
        <w:rPr>
          <w:rFonts w:ascii="ITC Avant Garde" w:hAnsi="ITC Avant Garde"/>
        </w:rPr>
        <w:t>son i</w:t>
      </w:r>
      <w:r w:rsidRPr="002A2450">
        <w:rPr>
          <w:rFonts w:ascii="ITC Avant Garde" w:hAnsi="ITC Avant Garde"/>
        </w:rPr>
        <w:t xml:space="preserve">ndividualmente una relación comercial; en conjunto, un mecanismo de influencia de </w:t>
      </w:r>
      <w:r w:rsidR="00A830C7" w:rsidRPr="002A2450">
        <w:rPr>
          <w:rFonts w:ascii="ITC Avant Garde" w:hAnsi="ITC Avant Garde"/>
          <w:b/>
        </w:rPr>
        <w:t xml:space="preserve">“TELMEX”/”TENINVER” </w:t>
      </w:r>
      <w:r w:rsidR="00A830C7" w:rsidRPr="002A2450">
        <w:rPr>
          <w:rFonts w:ascii="ITC Avant Garde" w:hAnsi="ITC Avant Garde"/>
        </w:rPr>
        <w:t xml:space="preserve">sobre </w:t>
      </w:r>
      <w:r w:rsidR="00A830C7" w:rsidRPr="002A2450">
        <w:rPr>
          <w:rFonts w:ascii="ITC Avant Garde" w:hAnsi="ITC Avant Garde"/>
          <w:b/>
        </w:rPr>
        <w:t>“COFRESA”</w:t>
      </w:r>
      <w:r w:rsidRPr="002A2450">
        <w:rPr>
          <w:rFonts w:ascii="ITC Avant Garde" w:hAnsi="ITC Avant Garde"/>
        </w:rPr>
        <w:t xml:space="preserve"> que implicaron que los primeros tuvieran mayores posibilidades de ejercer la opción de compra venta</w:t>
      </w:r>
      <w:r w:rsidR="00A830C7" w:rsidRPr="002A2450">
        <w:rPr>
          <w:rFonts w:ascii="ITC Avant Garde" w:hAnsi="ITC Avant Garde"/>
        </w:rPr>
        <w:t xml:space="preserve">. </w:t>
      </w:r>
      <w:r w:rsidR="00A830C7" w:rsidRPr="002A2450">
        <w:rPr>
          <w:rFonts w:ascii="ITC Avant Garde" w:hAnsi="ITC Avant Garde"/>
          <w:b/>
        </w:rPr>
        <w:t xml:space="preserve">”TENINVER” </w:t>
      </w:r>
      <w:r w:rsidRPr="002A2450">
        <w:rPr>
          <w:rFonts w:ascii="ITC Avant Garde" w:hAnsi="ITC Avant Garde"/>
        </w:rPr>
        <w:t xml:space="preserve">interviene en las decisiones y obtiene beneficios en función del desempeño de </w:t>
      </w:r>
      <w:r w:rsidR="00A830C7" w:rsidRPr="002A2450">
        <w:rPr>
          <w:rFonts w:ascii="ITC Avant Garde" w:hAnsi="ITC Avant Garde"/>
          <w:b/>
        </w:rPr>
        <w:t>“DISH MÉXICO”</w:t>
      </w:r>
      <w:r w:rsidRPr="002A2450">
        <w:rPr>
          <w:rFonts w:ascii="ITC Avant Garde" w:hAnsi="ITC Avant Garde"/>
        </w:rPr>
        <w:t xml:space="preserve"> </w:t>
      </w:r>
      <w:r w:rsidRPr="002A2450">
        <w:rPr>
          <w:rFonts w:ascii="ITC Avant Garde" w:hAnsi="ITC Avant Garde"/>
          <w:b/>
          <w:u w:val="single"/>
        </w:rPr>
        <w:t>al depender la opción de compra del valor de la empresa</w:t>
      </w:r>
      <w:r w:rsidRPr="002A2450">
        <w:rPr>
          <w:rFonts w:ascii="ITC Avant Garde" w:hAnsi="ITC Avant Garde"/>
        </w:rPr>
        <w:t xml:space="preserve">; esto es, actúa como accionista, </w:t>
      </w:r>
      <w:r w:rsidRPr="002A2450">
        <w:rPr>
          <w:rFonts w:ascii="ITC Avant Garde" w:hAnsi="ITC Avant Garde"/>
          <w:b/>
          <w:u w:val="single"/>
        </w:rPr>
        <w:t>superando los requisitos de monitoreo o capacidad e intervención limitada que tendría un acreedor o prestador de servicios</w:t>
      </w:r>
      <w:r w:rsidRPr="002A2450">
        <w:rPr>
          <w:rFonts w:ascii="ITC Avant Garde" w:hAnsi="ITC Avant Garde"/>
        </w:rPr>
        <w:t>.</w:t>
      </w:r>
    </w:p>
    <w:p w14:paraId="697F2AC1" w14:textId="77777777" w:rsidR="00B35F13" w:rsidRDefault="001C70EE" w:rsidP="00B35F13">
      <w:pPr>
        <w:pStyle w:val="Prrafodelista"/>
        <w:spacing w:before="240" w:line="360" w:lineRule="auto"/>
        <w:ind w:left="567"/>
        <w:jc w:val="both"/>
        <w:rPr>
          <w:rFonts w:ascii="ITC Avant Garde" w:hAnsi="ITC Avant Garde"/>
        </w:rPr>
      </w:pPr>
      <w:r w:rsidRPr="002A2450">
        <w:rPr>
          <w:rFonts w:ascii="ITC Avant Garde" w:hAnsi="ITC Avant Garde"/>
        </w:rPr>
        <w:t xml:space="preserve">El perito pierde de vista que los contratos celebrados entre los agentes económicos están coaligados y, en particular, los Contratos de Consecuencias y de Opción de Compra Venta establecen condiciones contractuales que otorgan derechos a </w:t>
      </w:r>
      <w:r w:rsidRPr="002A2450">
        <w:rPr>
          <w:rFonts w:ascii="ITC Avant Garde" w:hAnsi="ITC Avant Garde"/>
          <w:b/>
        </w:rPr>
        <w:t>"TELMEX"</w:t>
      </w:r>
      <w:r w:rsidRPr="002A2450">
        <w:rPr>
          <w:rFonts w:ascii="ITC Avant Garde" w:hAnsi="ITC Avant Garde"/>
        </w:rPr>
        <w:t xml:space="preserve"> para conocer y participar en la toma de decisiones de las operaciones de </w:t>
      </w:r>
      <w:r w:rsidRPr="002A2450">
        <w:rPr>
          <w:rFonts w:ascii="ITC Avant Garde" w:hAnsi="ITC Avant Garde"/>
          <w:b/>
        </w:rPr>
        <w:t>"DISH MÉXICO"</w:t>
      </w:r>
      <w:r w:rsidRPr="002A2450">
        <w:rPr>
          <w:rFonts w:ascii="ITC Avant Garde" w:hAnsi="ITC Avant Garde"/>
        </w:rPr>
        <w:t xml:space="preserve"> que incluyen a sus subsidiarias, incluyendo a </w:t>
      </w:r>
      <w:r w:rsidRPr="002A2450">
        <w:rPr>
          <w:rFonts w:ascii="ITC Avant Garde" w:hAnsi="ITC Avant Garde"/>
          <w:b/>
        </w:rPr>
        <w:t>"COFRESA"</w:t>
      </w:r>
      <w:r w:rsidRPr="002A2450">
        <w:rPr>
          <w:rFonts w:ascii="ITC Avant Garde" w:hAnsi="ITC Avant Garde"/>
        </w:rPr>
        <w:t xml:space="preserve">, es el que actualiza que es el </w:t>
      </w:r>
      <w:r w:rsidRPr="002A2450">
        <w:rPr>
          <w:rFonts w:ascii="ITC Avant Garde" w:hAnsi="ITC Avant Garde"/>
          <w:i/>
        </w:rPr>
        <w:t xml:space="preserve">principal </w:t>
      </w:r>
      <w:r w:rsidRPr="002A2450">
        <w:rPr>
          <w:rFonts w:ascii="ITC Avant Garde" w:hAnsi="ITC Avant Garde"/>
        </w:rPr>
        <w:t xml:space="preserve">quien impone obligaciones contractuales al </w:t>
      </w:r>
      <w:r w:rsidRPr="002A2450">
        <w:rPr>
          <w:rFonts w:ascii="ITC Avant Garde" w:hAnsi="ITC Avant Garde"/>
          <w:i/>
        </w:rPr>
        <w:t>agente</w:t>
      </w:r>
      <w:r w:rsidRPr="002A2450">
        <w:rPr>
          <w:rFonts w:ascii="ITC Avant Garde" w:hAnsi="ITC Avant Garde"/>
        </w:rPr>
        <w:t xml:space="preserve"> para verificar su desempeño en las actividades contratadas. </w:t>
      </w:r>
    </w:p>
    <w:p w14:paraId="3A2B052A" w14:textId="77777777" w:rsidR="00B35F13" w:rsidRDefault="001C70EE" w:rsidP="00B35F13">
      <w:pPr>
        <w:pStyle w:val="Prrafodelista"/>
        <w:spacing w:before="240" w:line="360" w:lineRule="auto"/>
        <w:ind w:left="567"/>
        <w:jc w:val="both"/>
        <w:rPr>
          <w:rFonts w:ascii="ITC Avant Garde" w:hAnsi="ITC Avant Garde"/>
        </w:rPr>
      </w:pPr>
      <w:r w:rsidRPr="002A2450">
        <w:rPr>
          <w:rFonts w:ascii="ITC Avant Garde" w:hAnsi="ITC Avant Garde"/>
        </w:rPr>
        <w:lastRenderedPageBreak/>
        <w:t xml:space="preserve">Así, el análisis del perito es incompleto, pues para evaluar una relación </w:t>
      </w:r>
      <w:r w:rsidRPr="002A2450">
        <w:rPr>
          <w:rFonts w:ascii="ITC Avant Garde" w:hAnsi="ITC Avant Garde"/>
          <w:i/>
        </w:rPr>
        <w:t>agente-principal</w:t>
      </w:r>
      <w:r w:rsidRPr="002A2450">
        <w:rPr>
          <w:rFonts w:ascii="ITC Avant Garde" w:hAnsi="ITC Avant Garde"/>
        </w:rPr>
        <w:t xml:space="preserve"> en materia económica no basta con revisar la relación de proveeduría de los servicios </w:t>
      </w:r>
      <w:r w:rsidR="00B73AA8" w:rsidRPr="002A2450">
        <w:rPr>
          <w:rFonts w:ascii="ITC Avant Garde" w:hAnsi="ITC Avant Garde"/>
        </w:rPr>
        <w:t xml:space="preserve">que se contratan en cada contrato </w:t>
      </w:r>
      <w:r w:rsidRPr="002A2450">
        <w:rPr>
          <w:rFonts w:ascii="ITC Avant Garde" w:hAnsi="ITC Avant Garde"/>
        </w:rPr>
        <w:t>(i.e. de "TELMEX" como proveedor de servicios y de "COFRESA" como usuario de los mismos), sino que deben evaluarse los incentivos de las partes y los mecanismos que los mismos contratos establecen para que una de las partes verifique el desempeño de la otra, lo que en el caso específico indicia que es "TELMEX" quien verifica el desempeño de "DISH MÉXICO" y sus subsidiarias, incluyendo a "COFRESA".</w:t>
      </w:r>
    </w:p>
    <w:p w14:paraId="733FC023" w14:textId="77777777" w:rsidR="00B35F13" w:rsidRDefault="00A830C7"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 xml:space="preserve">os </w:t>
      </w:r>
      <w:r w:rsidRPr="002A2450">
        <w:rPr>
          <w:rFonts w:ascii="ITC Avant Garde" w:hAnsi="ITC Avant Garde"/>
        </w:rPr>
        <w:t xml:space="preserve">contratos de prestación de servicios, de distribución y de arrendamiento, </w:t>
      </w:r>
      <w:r w:rsidR="00D44DC3" w:rsidRPr="002A2450">
        <w:rPr>
          <w:rFonts w:ascii="ITC Avant Garde" w:hAnsi="ITC Avant Garde"/>
        </w:rPr>
        <w:t xml:space="preserve">se caracterizan por la relación principal-agente, dado que </w:t>
      </w:r>
      <w:r w:rsidRPr="002A2450">
        <w:rPr>
          <w:rFonts w:ascii="ITC Avant Garde" w:hAnsi="ITC Avant Garde"/>
          <w:b/>
        </w:rPr>
        <w:t>“TELMEX”/”TENINVER”</w:t>
      </w:r>
      <w:r w:rsidR="00D44DC3" w:rsidRPr="002A2450">
        <w:rPr>
          <w:rFonts w:ascii="ITC Avant Garde" w:hAnsi="ITC Avant Garde"/>
        </w:rPr>
        <w:t xml:space="preserve"> actúan como principal que recibe beneficios directamente como resultado del éxito o fracaso de </w:t>
      </w:r>
      <w:r w:rsidRPr="002A2450">
        <w:rPr>
          <w:rFonts w:ascii="ITC Avant Garde" w:hAnsi="ITC Avant Garde"/>
          <w:b/>
        </w:rPr>
        <w:t xml:space="preserve">“DISH MÉXICO” </w:t>
      </w:r>
      <w:r w:rsidR="00D44DC3" w:rsidRPr="002A2450">
        <w:rPr>
          <w:rFonts w:ascii="ITC Avant Garde" w:hAnsi="ITC Avant Garde"/>
        </w:rPr>
        <w:t>y tienen incentivos para implementar mecanismos que permitan tomar decisiones y ejercer control eficiente</w:t>
      </w:r>
      <w:r w:rsidRPr="002A2450">
        <w:rPr>
          <w:rFonts w:ascii="ITC Avant Garde" w:hAnsi="ITC Avant Garde"/>
        </w:rPr>
        <w:t xml:space="preserve">. Por ejemplo, </w:t>
      </w:r>
      <w:r w:rsidR="00D44DC3" w:rsidRPr="002A2450">
        <w:rPr>
          <w:rFonts w:ascii="ITC Avant Garde" w:hAnsi="ITC Avant Garde"/>
        </w:rPr>
        <w:t xml:space="preserve">el Contrato de Consecuencias establece: cláusulas de no competir, mecanismos de información, establecimiento de comité de operaciones, </w:t>
      </w:r>
      <w:r w:rsidRPr="002A2450">
        <w:rPr>
          <w:rFonts w:ascii="ITC Avant Garde" w:hAnsi="ITC Avant Garde"/>
        </w:rPr>
        <w:t xml:space="preserve">etc., </w:t>
      </w:r>
      <w:r w:rsidR="00D44DC3" w:rsidRPr="002A2450">
        <w:rPr>
          <w:rFonts w:ascii="ITC Avant Garde" w:hAnsi="ITC Avant Garde"/>
        </w:rPr>
        <w:t xml:space="preserve">lo </w:t>
      </w:r>
      <w:r w:rsidRPr="002A2450">
        <w:rPr>
          <w:rFonts w:ascii="ITC Avant Garde" w:hAnsi="ITC Avant Garde"/>
        </w:rPr>
        <w:t xml:space="preserve">que se </w:t>
      </w:r>
      <w:r w:rsidR="00D44DC3" w:rsidRPr="002A2450">
        <w:rPr>
          <w:rFonts w:ascii="ITC Avant Garde" w:hAnsi="ITC Avant Garde"/>
        </w:rPr>
        <w:t xml:space="preserve">explicaría </w:t>
      </w:r>
      <w:r w:rsidRPr="002A2450">
        <w:rPr>
          <w:rFonts w:ascii="ITC Avant Garde" w:hAnsi="ITC Avant Garde"/>
        </w:rPr>
        <w:t xml:space="preserve">como </w:t>
      </w:r>
      <w:r w:rsidR="00D44DC3" w:rsidRPr="002A2450">
        <w:rPr>
          <w:rFonts w:ascii="ITC Avant Garde" w:hAnsi="ITC Avant Garde"/>
        </w:rPr>
        <w:t>una integración vertical del principal con el agente.</w:t>
      </w:r>
    </w:p>
    <w:p w14:paraId="72F4F926" w14:textId="77777777" w:rsidR="00B35F13" w:rsidRDefault="00BC41A9"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 xml:space="preserve">os contratos </w:t>
      </w:r>
      <w:r w:rsidRPr="002A2450">
        <w:rPr>
          <w:rFonts w:ascii="ITC Avant Garde" w:hAnsi="ITC Avant Garde"/>
        </w:rPr>
        <w:t>cuenta</w:t>
      </w:r>
      <w:r w:rsidR="00805536" w:rsidRPr="002A2450">
        <w:rPr>
          <w:rFonts w:ascii="ITC Avant Garde" w:hAnsi="ITC Avant Garde"/>
        </w:rPr>
        <w:t>n</w:t>
      </w:r>
      <w:r w:rsidRPr="002A2450">
        <w:rPr>
          <w:rFonts w:ascii="ITC Avant Garde" w:hAnsi="ITC Avant Garde"/>
        </w:rPr>
        <w:t xml:space="preserve"> con </w:t>
      </w:r>
      <w:r w:rsidR="00D44DC3" w:rsidRPr="002A2450">
        <w:rPr>
          <w:rFonts w:ascii="ITC Avant Garde" w:hAnsi="ITC Avant Garde"/>
        </w:rPr>
        <w:t>mecanismos para resolver problemas de principal-agente.</w:t>
      </w:r>
    </w:p>
    <w:p w14:paraId="1A48624E" w14:textId="77777777" w:rsidR="00B35F13" w:rsidRDefault="00BC41A9"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 xml:space="preserve">os contratos de </w:t>
      </w:r>
      <w:r w:rsidRPr="002A2450">
        <w:rPr>
          <w:rFonts w:ascii="ITC Avant Garde" w:hAnsi="ITC Avant Garde"/>
        </w:rPr>
        <w:t xml:space="preserve">prestación de servicios, distribución y arrendamiento </w:t>
      </w:r>
      <w:r w:rsidR="00D44DC3" w:rsidRPr="002A2450">
        <w:rPr>
          <w:rFonts w:ascii="ITC Avant Garde" w:hAnsi="ITC Avant Garde"/>
        </w:rPr>
        <w:t xml:space="preserve">generaron para </w:t>
      </w:r>
      <w:r w:rsidRPr="002A2450">
        <w:rPr>
          <w:rFonts w:ascii="ITC Avant Garde" w:hAnsi="ITC Avant Garde"/>
          <w:b/>
        </w:rPr>
        <w:t>“TELMEX”/”TENINVER”</w:t>
      </w:r>
      <w:r w:rsidRPr="002A2450">
        <w:rPr>
          <w:rFonts w:ascii="ITC Avant Garde" w:hAnsi="ITC Avant Garde"/>
        </w:rPr>
        <w:t xml:space="preserve"> </w:t>
      </w:r>
      <w:r w:rsidR="00D44DC3" w:rsidRPr="002A2450">
        <w:rPr>
          <w:rFonts w:ascii="ITC Avant Garde" w:hAnsi="ITC Avant Garde"/>
        </w:rPr>
        <w:t xml:space="preserve">mecanismos de monitoreo (Contrato de Consecuencias, Contrato de Opción de Compra y Venta), sobre el rendimiento y actividades de </w:t>
      </w:r>
      <w:r w:rsidRPr="002A2450">
        <w:rPr>
          <w:rFonts w:ascii="ITC Avant Garde" w:hAnsi="ITC Avant Garde"/>
          <w:b/>
        </w:rPr>
        <w:t>“COFRESA”/”DISH MÉXICO”</w:t>
      </w:r>
      <w:r w:rsidR="00D44DC3" w:rsidRPr="002A2450">
        <w:rPr>
          <w:rFonts w:ascii="ITC Avant Garde" w:hAnsi="ITC Avant Garde"/>
        </w:rPr>
        <w:t xml:space="preserve">; además, permitieron la posibilidad de limitar eventos específicos como participar en la toma de decisiones estratégicas de </w:t>
      </w:r>
      <w:r w:rsidRPr="002A2450">
        <w:rPr>
          <w:rFonts w:ascii="ITC Avant Garde" w:hAnsi="ITC Avant Garde"/>
          <w:b/>
        </w:rPr>
        <w:t>”DISH MÉXICO”</w:t>
      </w:r>
      <w:r w:rsidR="00D44DC3" w:rsidRPr="002A2450">
        <w:rPr>
          <w:rFonts w:ascii="ITC Avant Garde" w:hAnsi="ITC Avant Garde"/>
        </w:rPr>
        <w:t>, lo que demuestra</w:t>
      </w:r>
      <w:r w:rsidR="008F718E" w:rsidRPr="002A2450">
        <w:rPr>
          <w:rFonts w:ascii="ITC Avant Garde" w:hAnsi="ITC Avant Garde"/>
          <w:color w:val="C00000"/>
        </w:rPr>
        <w:t xml:space="preserve"> </w:t>
      </w:r>
      <w:r w:rsidR="00D44DC3" w:rsidRPr="002A2450">
        <w:rPr>
          <w:rFonts w:ascii="ITC Avant Garde" w:hAnsi="ITC Avant Garde"/>
        </w:rPr>
        <w:t>el establecimiento de mecanismos para limitar el problema de información asimétrica.</w:t>
      </w:r>
    </w:p>
    <w:p w14:paraId="68054796" w14:textId="77777777" w:rsidR="00A80E02" w:rsidRDefault="00D44DC3" w:rsidP="00A80E02">
      <w:pPr>
        <w:pStyle w:val="Prrafodelista"/>
        <w:numPr>
          <w:ilvl w:val="0"/>
          <w:numId w:val="40"/>
        </w:numPr>
        <w:spacing w:before="240" w:line="360" w:lineRule="auto"/>
        <w:ind w:left="567" w:hanging="567"/>
        <w:jc w:val="both"/>
        <w:rPr>
          <w:rFonts w:ascii="ITC Avant Garde" w:hAnsi="ITC Avant Garde"/>
        </w:rPr>
        <w:sectPr w:rsidR="00A80E02" w:rsidSect="009F3771">
          <w:headerReference w:type="default" r:id="rId66"/>
          <w:pgSz w:w="12240" w:h="15840"/>
          <w:pgMar w:top="1985" w:right="1701" w:bottom="1418" w:left="1701" w:header="709" w:footer="709" w:gutter="0"/>
          <w:cols w:space="708"/>
          <w:docGrid w:linePitch="360"/>
        </w:sectPr>
      </w:pPr>
      <w:r w:rsidRPr="002A2450">
        <w:rPr>
          <w:rFonts w:ascii="ITC Avant Garde" w:hAnsi="ITC Avant Garde"/>
        </w:rPr>
        <w:t xml:space="preserve">La relación contractual entre </w:t>
      </w:r>
      <w:r w:rsidR="00BC41A9" w:rsidRPr="002A2450">
        <w:rPr>
          <w:rFonts w:ascii="ITC Avant Garde" w:hAnsi="ITC Avant Garde"/>
          <w:b/>
        </w:rPr>
        <w:t>“TELMEX”/”TENINVER”</w:t>
      </w:r>
      <w:r w:rsidR="00BC41A9" w:rsidRPr="002A2450">
        <w:rPr>
          <w:rFonts w:ascii="ITC Avant Garde" w:hAnsi="ITC Avant Garde"/>
        </w:rPr>
        <w:t xml:space="preserve"> </w:t>
      </w:r>
      <w:r w:rsidRPr="002A2450">
        <w:rPr>
          <w:rFonts w:ascii="ITC Avant Garde" w:hAnsi="ITC Avant Garde"/>
        </w:rPr>
        <w:t xml:space="preserve">y </w:t>
      </w:r>
      <w:r w:rsidR="00BC41A9" w:rsidRPr="002A2450">
        <w:rPr>
          <w:rFonts w:ascii="ITC Avant Garde" w:hAnsi="ITC Avant Garde"/>
          <w:b/>
        </w:rPr>
        <w:t>”DISH MÉXICO”</w:t>
      </w:r>
      <w:r w:rsidRPr="002A2450">
        <w:rPr>
          <w:rFonts w:ascii="ITC Avant Garde" w:hAnsi="ITC Avant Garde"/>
        </w:rPr>
        <w:t xml:space="preserve"> se caracteriza en que el primero adquirió control </w:t>
      </w:r>
      <w:r w:rsidR="00280C17" w:rsidRPr="002A2450">
        <w:rPr>
          <w:rFonts w:ascii="ITC Avant Garde" w:hAnsi="ITC Avant Garde"/>
        </w:rPr>
        <w:t>s</w:t>
      </w:r>
      <w:r w:rsidRPr="002A2450">
        <w:rPr>
          <w:rFonts w:ascii="ITC Avant Garde" w:hAnsi="ITC Avant Garde"/>
        </w:rPr>
        <w:t xml:space="preserve">obre las actividades del </w:t>
      </w:r>
    </w:p>
    <w:p w14:paraId="477AD199" w14:textId="7DD824B6" w:rsidR="00B35F13" w:rsidRPr="00A80E02" w:rsidRDefault="00D44DC3" w:rsidP="00A80E02">
      <w:pPr>
        <w:pStyle w:val="Prrafodelista"/>
        <w:spacing w:before="240" w:line="360" w:lineRule="auto"/>
        <w:ind w:left="567"/>
        <w:jc w:val="both"/>
        <w:rPr>
          <w:rFonts w:ascii="ITC Avant Garde" w:hAnsi="ITC Avant Garde"/>
        </w:rPr>
      </w:pPr>
      <w:r w:rsidRPr="002A2450">
        <w:rPr>
          <w:rFonts w:ascii="ITC Avant Garde" w:hAnsi="ITC Avant Garde"/>
        </w:rPr>
        <w:lastRenderedPageBreak/>
        <w:t xml:space="preserve">segundo al ceder </w:t>
      </w:r>
      <w:r w:rsidR="00BC41A9" w:rsidRPr="002A2450">
        <w:rPr>
          <w:rFonts w:ascii="ITC Avant Garde" w:hAnsi="ITC Avant Garde"/>
          <w:b/>
        </w:rPr>
        <w:t xml:space="preserve">“COFRESA” </w:t>
      </w:r>
      <w:r w:rsidRPr="002A2450">
        <w:rPr>
          <w:rFonts w:ascii="ITC Avant Garde" w:hAnsi="ITC Avant Garde"/>
        </w:rPr>
        <w:t xml:space="preserve">derechos residuales sobre decisiones </w:t>
      </w:r>
      <w:r w:rsidRPr="00A80E02">
        <w:rPr>
          <w:rFonts w:ascii="ITC Avant Garde" w:hAnsi="ITC Avant Garde"/>
        </w:rPr>
        <w:t xml:space="preserve">financieras y operativas </w:t>
      </w:r>
      <w:r w:rsidR="004A407D" w:rsidRPr="00A80E02">
        <w:rPr>
          <w:rFonts w:ascii="ITC Avant Garde" w:eastAsiaTheme="majorEastAsia" w:hAnsi="ITC Avant Garde" w:cstheme="majorBidi"/>
          <w:b/>
          <w:color w:val="0000FF"/>
          <w:szCs w:val="32"/>
        </w:rPr>
        <w:t>“CONFIDENCIAL POR LEY”</w:t>
      </w:r>
      <w:r w:rsidRPr="00A80E02">
        <w:rPr>
          <w:rFonts w:ascii="ITC Avant Garde" w:hAnsi="ITC Avant Garde"/>
          <w:b/>
        </w:rPr>
        <w:t>,</w:t>
      </w:r>
      <w:r w:rsidRPr="00A80E02">
        <w:rPr>
          <w:rFonts w:ascii="ITC Avant Garde" w:hAnsi="ITC Avant Garde"/>
        </w:rPr>
        <w:t xml:space="preserve"> lo que advierte la posibilidad de tomar decisiones respecto a cuestiones como deuda y financiamiento, venta de activos, diversificación de productos.</w:t>
      </w:r>
    </w:p>
    <w:p w14:paraId="02EB3331" w14:textId="77777777" w:rsidR="00B35F13" w:rsidRDefault="00C218F2"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Los contratos </w:t>
      </w:r>
      <w:r w:rsidR="00D44DC3" w:rsidRPr="002A2450">
        <w:rPr>
          <w:rFonts w:ascii="ITC Avant Garde" w:hAnsi="ITC Avant Garde"/>
        </w:rPr>
        <w:t xml:space="preserve">no son completos, al no ser capaces de prever todas las contingencias, por lo que surgen problemas de agencia derivados de la información asimétrica (el principal no tiene información y el agente la tiene para hacer uso de ella en beneficio propio). </w:t>
      </w:r>
      <w:r w:rsidRPr="002A2450">
        <w:rPr>
          <w:rFonts w:ascii="ITC Avant Garde" w:hAnsi="ITC Avant Garde"/>
        </w:rPr>
        <w:t xml:space="preserve">Los contratos </w:t>
      </w:r>
      <w:r w:rsidR="00D44DC3" w:rsidRPr="002A2450">
        <w:rPr>
          <w:rFonts w:ascii="ITC Avant Garde" w:hAnsi="ITC Avant Garde"/>
        </w:rPr>
        <w:t>están motivados por la relación principal-agente, en cuanto generan mecanismos para monitorear el rendimiento de la empresa y la intervención en las actividades del negocio (Contrato de Consecuencias, Contrato de Compraventa).</w:t>
      </w:r>
    </w:p>
    <w:p w14:paraId="68E30D7D" w14:textId="77777777" w:rsidR="00B35F13" w:rsidRDefault="00C218F2"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La t</w:t>
      </w:r>
      <w:r w:rsidR="00D44DC3" w:rsidRPr="002A2450">
        <w:rPr>
          <w:rFonts w:ascii="ITC Avant Garde" w:hAnsi="ITC Avant Garde"/>
        </w:rPr>
        <w:t>eoría de contratos incompletos</w:t>
      </w:r>
      <w:r w:rsidRPr="002A2450">
        <w:rPr>
          <w:rFonts w:ascii="ITC Avant Garde" w:hAnsi="ITC Avant Garde"/>
        </w:rPr>
        <w:t xml:space="preserve"> señala que </w:t>
      </w:r>
      <w:r w:rsidR="00D44DC3" w:rsidRPr="002A2450">
        <w:rPr>
          <w:rFonts w:ascii="ITC Avant Garde" w:hAnsi="ITC Avant Garde"/>
        </w:rPr>
        <w:t xml:space="preserve">el principal y el agente no pueden contemplar todas las acciones futuras. El no poder verificar variables relevantes implica que los contratos no puedan ser eficientes sin interacción de las partes, por lo que se establece un control común operando </w:t>
      </w:r>
      <w:r w:rsidRPr="002A2450">
        <w:rPr>
          <w:rFonts w:ascii="ITC Avant Garde" w:hAnsi="ITC Avant Garde"/>
        </w:rPr>
        <w:t xml:space="preserve">mediante </w:t>
      </w:r>
      <w:r w:rsidR="00D44DC3" w:rsidRPr="002A2450">
        <w:rPr>
          <w:rFonts w:ascii="ITC Avant Garde" w:hAnsi="ITC Avant Garde"/>
        </w:rPr>
        <w:t>un sistema de contratos equivalente</w:t>
      </w:r>
      <w:r w:rsidRPr="002A2450">
        <w:rPr>
          <w:rFonts w:ascii="ITC Avant Garde" w:hAnsi="ITC Avant Garde"/>
        </w:rPr>
        <w:t>s</w:t>
      </w:r>
      <w:r w:rsidR="00D44DC3" w:rsidRPr="002A2450">
        <w:rPr>
          <w:rFonts w:ascii="ITC Avant Garde" w:hAnsi="ITC Avant Garde"/>
        </w:rPr>
        <w:t xml:space="preserve"> a un mando común.</w:t>
      </w:r>
    </w:p>
    <w:p w14:paraId="57CDCD91" w14:textId="77777777" w:rsidR="00A80E02" w:rsidRDefault="00C218F2" w:rsidP="007E623E">
      <w:pPr>
        <w:pStyle w:val="Prrafodelista"/>
        <w:numPr>
          <w:ilvl w:val="0"/>
          <w:numId w:val="40"/>
        </w:numPr>
        <w:spacing w:before="240" w:line="360" w:lineRule="auto"/>
        <w:ind w:left="567" w:hanging="567"/>
        <w:jc w:val="both"/>
        <w:rPr>
          <w:rFonts w:ascii="ITC Avant Garde" w:hAnsi="ITC Avant Garde"/>
        </w:rPr>
        <w:sectPr w:rsidR="00A80E02" w:rsidSect="009F3771">
          <w:headerReference w:type="default" r:id="rId67"/>
          <w:pgSz w:w="12240" w:h="15840"/>
          <w:pgMar w:top="1985" w:right="1701" w:bottom="1418" w:left="1701" w:header="709" w:footer="709" w:gutter="0"/>
          <w:cols w:space="708"/>
          <w:docGrid w:linePitch="360"/>
        </w:sectPr>
      </w:pPr>
      <w:r w:rsidRPr="002A2450">
        <w:rPr>
          <w:rFonts w:ascii="ITC Avant Garde" w:hAnsi="ITC Avant Garde"/>
        </w:rPr>
        <w:t xml:space="preserve">En cuanto a sí las </w:t>
      </w:r>
      <w:r w:rsidR="00D44DC3" w:rsidRPr="002A2450">
        <w:rPr>
          <w:rFonts w:ascii="ITC Avant Garde" w:hAnsi="ITC Avant Garde"/>
        </w:rPr>
        <w:t xml:space="preserve">interdependencias, condicionalidades, obligaciones y derechos de </w:t>
      </w:r>
      <w:r w:rsidRPr="002A2450">
        <w:rPr>
          <w:rFonts w:ascii="ITC Avant Garde" w:hAnsi="ITC Avant Garde"/>
        </w:rPr>
        <w:t xml:space="preserve">los contratos </w:t>
      </w:r>
      <w:r w:rsidR="00D44DC3" w:rsidRPr="002A2450">
        <w:rPr>
          <w:rFonts w:ascii="ITC Avant Garde" w:hAnsi="ITC Avant Garde"/>
        </w:rPr>
        <w:t>obedecen a un diseño eficiente entre un proveedor y su client</w:t>
      </w:r>
      <w:r w:rsidRPr="002A2450">
        <w:rPr>
          <w:rFonts w:ascii="ITC Avant Garde" w:hAnsi="ITC Avant Garde"/>
        </w:rPr>
        <w:t>e en una relación a largo plazo el perito señaló que e</w:t>
      </w:r>
      <w:r w:rsidR="00D44DC3" w:rsidRPr="002A2450">
        <w:rPr>
          <w:rFonts w:ascii="ITC Avant Garde" w:hAnsi="ITC Avant Garde"/>
        </w:rPr>
        <w:t>xisten tres cuestiones que deben separarse:</w:t>
      </w:r>
      <w:r w:rsidRPr="002A2450">
        <w:rPr>
          <w:rFonts w:ascii="ITC Avant Garde" w:hAnsi="ITC Avant Garde"/>
        </w:rPr>
        <w:t xml:space="preserve"> i) </w:t>
      </w:r>
      <w:r w:rsidR="00D44DC3" w:rsidRPr="002A2450">
        <w:rPr>
          <w:rFonts w:ascii="ITC Avant Garde" w:hAnsi="ITC Avant Garde"/>
        </w:rPr>
        <w:t>Diseño contractual eficiente en términos de los intereses de las partes</w:t>
      </w:r>
      <w:r w:rsidRPr="002A2450">
        <w:rPr>
          <w:rFonts w:ascii="ITC Avant Garde" w:hAnsi="ITC Avant Garde"/>
        </w:rPr>
        <w:t xml:space="preserve">, ii) </w:t>
      </w:r>
      <w:r w:rsidR="00D44DC3" w:rsidRPr="002A2450">
        <w:rPr>
          <w:rFonts w:ascii="ITC Avant Garde" w:hAnsi="ITC Avant Garde"/>
        </w:rPr>
        <w:t>Diseño contractual eficiente en términos sociales</w:t>
      </w:r>
      <w:r w:rsidRPr="002A2450">
        <w:rPr>
          <w:rFonts w:ascii="ITC Avant Garde" w:hAnsi="ITC Avant Garde"/>
        </w:rPr>
        <w:t xml:space="preserve">, y iii) </w:t>
      </w:r>
      <w:r w:rsidR="00D44DC3" w:rsidRPr="002A2450">
        <w:rPr>
          <w:rFonts w:ascii="ITC Avant Garde" w:hAnsi="ITC Avant Garde"/>
        </w:rPr>
        <w:t>Concentración derivada de los contratos, independientemente de si son eficientes o maximizan los beneficios de las partes</w:t>
      </w:r>
      <w:r w:rsidRPr="002A2450">
        <w:rPr>
          <w:rFonts w:ascii="ITC Avant Garde" w:hAnsi="ITC Avant Garde"/>
        </w:rPr>
        <w:t>. En ese sentido, s</w:t>
      </w:r>
      <w:r w:rsidR="00D44DC3" w:rsidRPr="002A2450">
        <w:rPr>
          <w:rFonts w:ascii="ITC Avant Garde" w:hAnsi="ITC Avant Garde"/>
        </w:rPr>
        <w:t xml:space="preserve">on eficientes en términos de los intereses de las partes si aplican mecanismos de control o coordinación adecuados, siendo ese el probable objetivo de los Contratos de Prestación de Servicios, de Distribución y Arrendamiento, además de la suscripción del Contrato de Opción de Compra y Venta, y de Consecuencias (adquisición de </w:t>
      </w:r>
      <w:r w:rsidR="005B601B" w:rsidRPr="002A2450">
        <w:rPr>
          <w:rFonts w:ascii="ITC Avant Garde" w:hAnsi="ITC Avant Garde"/>
          <w:b/>
        </w:rPr>
        <w:t>“TELMEX”</w:t>
      </w:r>
      <w:r w:rsidR="00D44DC3" w:rsidRPr="002A2450">
        <w:rPr>
          <w:rFonts w:ascii="ITC Avant Garde" w:hAnsi="ITC Avant Garde"/>
        </w:rPr>
        <w:t>/</w:t>
      </w:r>
      <w:proofErr w:type="spellStart"/>
      <w:r w:rsidR="00D44DC3" w:rsidRPr="002A2450">
        <w:rPr>
          <w:rFonts w:ascii="ITC Avant Garde" w:hAnsi="ITC Avant Garde"/>
        </w:rPr>
        <w:t>Teninver</w:t>
      </w:r>
      <w:proofErr w:type="spellEnd"/>
      <w:r w:rsidR="00D44DC3" w:rsidRPr="002A2450">
        <w:rPr>
          <w:rFonts w:ascii="ITC Avant Garde" w:hAnsi="ITC Avant Garde"/>
        </w:rPr>
        <w:t xml:space="preserve"> del 51% de acciones de </w:t>
      </w:r>
      <w:proofErr w:type="spellStart"/>
      <w:r w:rsidR="00D44DC3" w:rsidRPr="002A2450">
        <w:rPr>
          <w:rFonts w:ascii="ITC Avant Garde" w:hAnsi="ITC Avant Garde"/>
        </w:rPr>
        <w:t>Cofresa</w:t>
      </w:r>
      <w:proofErr w:type="spellEnd"/>
      <w:r w:rsidR="00D44DC3" w:rsidRPr="002A2450">
        <w:rPr>
          <w:rFonts w:ascii="ITC Avant Garde" w:hAnsi="ITC Avant Garde"/>
        </w:rPr>
        <w:t xml:space="preserve"> y la participación de tomar decisiones conjuntas en las operaciones </w:t>
      </w:r>
    </w:p>
    <w:p w14:paraId="57519378" w14:textId="01C759D4" w:rsidR="00B35F13" w:rsidRDefault="00D44DC3" w:rsidP="00A80E02">
      <w:pPr>
        <w:pStyle w:val="Prrafodelista"/>
        <w:spacing w:before="240" w:line="360" w:lineRule="auto"/>
        <w:ind w:left="567"/>
        <w:jc w:val="both"/>
        <w:rPr>
          <w:rFonts w:ascii="ITC Avant Garde" w:hAnsi="ITC Avant Garde"/>
        </w:rPr>
      </w:pPr>
      <w:proofErr w:type="gramStart"/>
      <w:r w:rsidRPr="002A2450">
        <w:rPr>
          <w:rFonts w:ascii="ITC Avant Garde" w:hAnsi="ITC Avant Garde"/>
        </w:rPr>
        <w:lastRenderedPageBreak/>
        <w:t>de</w:t>
      </w:r>
      <w:proofErr w:type="gramEnd"/>
      <w:r w:rsidRPr="002A2450">
        <w:rPr>
          <w:rFonts w:ascii="ITC Avant Garde" w:hAnsi="ITC Avant Garde"/>
        </w:rPr>
        <w:t xml:space="preserve"> </w:t>
      </w:r>
      <w:proofErr w:type="spellStart"/>
      <w:r w:rsidRPr="002A2450">
        <w:rPr>
          <w:rFonts w:ascii="ITC Avant Garde" w:hAnsi="ITC Avant Garde"/>
        </w:rPr>
        <w:t>Dish</w:t>
      </w:r>
      <w:proofErr w:type="spellEnd"/>
      <w:r w:rsidRPr="002A2450">
        <w:rPr>
          <w:rFonts w:ascii="ITC Avant Garde" w:hAnsi="ITC Avant Garde"/>
        </w:rPr>
        <w:t xml:space="preserve"> México). </w:t>
      </w:r>
      <w:r w:rsidR="00C218F2" w:rsidRPr="002A2450">
        <w:rPr>
          <w:rFonts w:ascii="ITC Avant Garde" w:hAnsi="ITC Avant Garde"/>
        </w:rPr>
        <w:t xml:space="preserve">En tales consideraciones, los contratos </w:t>
      </w:r>
      <w:r w:rsidRPr="002A2450">
        <w:rPr>
          <w:rFonts w:ascii="ITC Avant Garde" w:hAnsi="ITC Avant Garde"/>
        </w:rPr>
        <w:t xml:space="preserve">pudieran obedecer a un diseño eficiente para los intereses de las partes para la solución de problemas de principal-agente, pero no necesariamente para una relación a largo plazo entre proveedor y cliente; por otra parte, el que su diseño sea conveniente para las partes no significa que sea eficiente en términos sociales, ya que si la cuestión de que </w:t>
      </w:r>
      <w:r w:rsidR="00C218F2" w:rsidRPr="002A2450">
        <w:rPr>
          <w:rFonts w:ascii="ITC Avant Garde" w:hAnsi="ITC Avant Garde"/>
        </w:rPr>
        <w:t xml:space="preserve">los contratos </w:t>
      </w:r>
      <w:r w:rsidRPr="002A2450">
        <w:rPr>
          <w:rFonts w:ascii="ITC Avant Garde" w:hAnsi="ITC Avant Garde"/>
        </w:rPr>
        <w:t>implican una concentración, ello es independiente del hecho de que sean eficientes o maximicen los beneficios de las partes o los beneficios sociales.</w:t>
      </w:r>
    </w:p>
    <w:p w14:paraId="7DE706FA" w14:textId="77777777" w:rsidR="00B35F13" w:rsidRDefault="00C218F2"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a teoría económica de los incentivos, señala que una negociación bilateral de contratos tiene como objetivo adquirir ciertos derechos residuales con el propósito de alinear los incentivos para desarrollar alguna actividad, por tanto, las estrategias de coordinación requieren mecanismos que incentiven a cumplir el contrato y son una solución al problema de principal agente.</w:t>
      </w:r>
      <w:r w:rsidR="00E9457E" w:rsidRPr="002A2450">
        <w:rPr>
          <w:rFonts w:ascii="ITC Avant Garde" w:hAnsi="ITC Avant Garde"/>
        </w:rPr>
        <w:t xml:space="preserve"> </w:t>
      </w:r>
      <w:r w:rsidR="00D44DC3" w:rsidRPr="002A2450">
        <w:rPr>
          <w:rFonts w:ascii="ITC Avant Garde" w:hAnsi="ITC Avant Garde"/>
        </w:rPr>
        <w:t xml:space="preserve">En tal sentido, el Contrato de Arrendamiento tuvo como objeto que </w:t>
      </w:r>
      <w:r w:rsidR="00E9457E" w:rsidRPr="002A2450">
        <w:rPr>
          <w:rFonts w:ascii="ITC Avant Garde" w:hAnsi="ITC Avant Garde"/>
          <w:b/>
        </w:rPr>
        <w:t>“TENINVER”</w:t>
      </w:r>
      <w:r w:rsidR="00D44DC3" w:rsidRPr="002A2450">
        <w:rPr>
          <w:rFonts w:ascii="ITC Avant Garde" w:hAnsi="ITC Avant Garde"/>
        </w:rPr>
        <w:t xml:space="preserve"> arrendara a </w:t>
      </w:r>
      <w:r w:rsidR="00E9457E" w:rsidRPr="002A2450">
        <w:rPr>
          <w:rFonts w:ascii="ITC Avant Garde" w:hAnsi="ITC Avant Garde"/>
          <w:b/>
        </w:rPr>
        <w:t>“COFRESA”</w:t>
      </w:r>
      <w:r w:rsidR="00E9457E" w:rsidRPr="002A2450">
        <w:rPr>
          <w:rFonts w:ascii="ITC Avant Garde" w:hAnsi="ITC Avant Garde"/>
        </w:rPr>
        <w:t xml:space="preserve"> </w:t>
      </w:r>
      <w:r w:rsidR="00D44DC3" w:rsidRPr="002A2450">
        <w:rPr>
          <w:rFonts w:ascii="ITC Avant Garde" w:hAnsi="ITC Avant Garde"/>
        </w:rPr>
        <w:t xml:space="preserve">un total de 5,700,000 kits CPE y la obligación de invertir en su provisión hasta por </w:t>
      </w:r>
      <w:r w:rsidR="00702143" w:rsidRPr="002A2450">
        <w:rPr>
          <w:rFonts w:ascii="ITC Avant Garde" w:hAnsi="ITC Avant Garde"/>
        </w:rPr>
        <w:t xml:space="preserve">USD </w:t>
      </w:r>
      <w:r w:rsidR="00D44DC3" w:rsidRPr="002A2450">
        <w:rPr>
          <w:rFonts w:ascii="ITC Avant Garde" w:hAnsi="ITC Avant Garde"/>
        </w:rPr>
        <w:t>$325,000,000.00</w:t>
      </w:r>
      <w:r w:rsidR="000D2038" w:rsidRPr="002A2450">
        <w:rPr>
          <w:rFonts w:ascii="ITC Avant Garde" w:hAnsi="ITC Avant Garde"/>
        </w:rPr>
        <w:t xml:space="preserve"> (Trescientos veinticinco millones de dólares de Estados Unidos de América)</w:t>
      </w:r>
      <w:r w:rsidR="00D44DC3" w:rsidRPr="002A2450">
        <w:rPr>
          <w:rFonts w:ascii="ITC Avant Garde" w:hAnsi="ITC Avant Garde"/>
        </w:rPr>
        <w:t>, contemplando que los primero kits ser</w:t>
      </w:r>
      <w:r w:rsidR="00A12A36" w:rsidRPr="002A2450">
        <w:rPr>
          <w:rFonts w:ascii="ITC Avant Garde" w:hAnsi="ITC Avant Garde"/>
        </w:rPr>
        <w:t>í</w:t>
      </w:r>
      <w:r w:rsidR="00D44DC3" w:rsidRPr="002A2450">
        <w:rPr>
          <w:rFonts w:ascii="ITC Avant Garde" w:hAnsi="ITC Avant Garde"/>
        </w:rPr>
        <w:t xml:space="preserve">an comprados por </w:t>
      </w:r>
      <w:r w:rsidR="00E9457E" w:rsidRPr="002A2450">
        <w:rPr>
          <w:rFonts w:ascii="ITC Avant Garde" w:hAnsi="ITC Avant Garde"/>
          <w:b/>
        </w:rPr>
        <w:t xml:space="preserve">“TENINVER” </w:t>
      </w:r>
      <w:r w:rsidR="00D44DC3" w:rsidRPr="002A2450">
        <w:rPr>
          <w:rFonts w:ascii="ITC Avant Garde" w:hAnsi="ITC Avant Garde"/>
        </w:rPr>
        <w:t xml:space="preserve">a </w:t>
      </w:r>
      <w:r w:rsidR="00E9457E" w:rsidRPr="002A2450">
        <w:rPr>
          <w:rFonts w:ascii="ITC Avant Garde" w:hAnsi="ITC Avant Garde"/>
          <w:b/>
        </w:rPr>
        <w:t xml:space="preserve">“DISH MÉXICO” </w:t>
      </w:r>
      <w:r w:rsidR="00D44DC3" w:rsidRPr="002A2450">
        <w:rPr>
          <w:rFonts w:ascii="ITC Avant Garde" w:hAnsi="ITC Avant Garde"/>
        </w:rPr>
        <w:t xml:space="preserve">directamente y ser arrendados de vuelta a </w:t>
      </w:r>
      <w:r w:rsidR="00E9457E" w:rsidRPr="002A2450">
        <w:rPr>
          <w:rFonts w:ascii="ITC Avant Garde" w:hAnsi="ITC Avant Garde"/>
          <w:b/>
        </w:rPr>
        <w:t>“DISH MÉXICO”</w:t>
      </w:r>
      <w:r w:rsidR="00D44DC3" w:rsidRPr="002A2450">
        <w:rPr>
          <w:rFonts w:ascii="ITC Avant Garde" w:hAnsi="ITC Avant Garde"/>
        </w:rPr>
        <w:t xml:space="preserve">, ya que resultan esenciales para la prestación del servicio de </w:t>
      </w:r>
      <w:r w:rsidR="00E9457E" w:rsidRPr="002A2450">
        <w:rPr>
          <w:rFonts w:ascii="ITC Avant Garde" w:hAnsi="ITC Avant Garde"/>
          <w:b/>
        </w:rPr>
        <w:t>“</w:t>
      </w:r>
      <w:r w:rsidR="00D44DC3" w:rsidRPr="002A2450">
        <w:rPr>
          <w:rFonts w:ascii="ITC Avant Garde" w:hAnsi="ITC Avant Garde"/>
          <w:b/>
        </w:rPr>
        <w:t>DTH</w:t>
      </w:r>
      <w:r w:rsidR="00E9457E" w:rsidRPr="002A2450">
        <w:rPr>
          <w:rFonts w:ascii="ITC Avant Garde" w:hAnsi="ITC Avant Garde"/>
          <w:b/>
        </w:rPr>
        <w:t>”</w:t>
      </w:r>
      <w:r w:rsidR="00D44DC3" w:rsidRPr="002A2450">
        <w:rPr>
          <w:rFonts w:ascii="ITC Avant Garde" w:hAnsi="ITC Avant Garde"/>
        </w:rPr>
        <w:t xml:space="preserve">, por lo que esa transacción es una aportación por parte de </w:t>
      </w:r>
      <w:r w:rsidR="00E9457E" w:rsidRPr="002A2450">
        <w:rPr>
          <w:rFonts w:ascii="ITC Avant Garde" w:hAnsi="ITC Avant Garde"/>
          <w:b/>
        </w:rPr>
        <w:t xml:space="preserve">“TELMEX”/”TENINVER” </w:t>
      </w:r>
      <w:r w:rsidR="00D44DC3" w:rsidRPr="002A2450">
        <w:rPr>
          <w:rFonts w:ascii="ITC Avant Garde" w:hAnsi="ITC Avant Garde"/>
        </w:rPr>
        <w:t xml:space="preserve">que involucra a los otros contratos que dan control e influencia sobre decisiones de </w:t>
      </w:r>
      <w:r w:rsidR="00E9457E" w:rsidRPr="002A2450">
        <w:rPr>
          <w:rFonts w:ascii="ITC Avant Garde" w:hAnsi="ITC Avant Garde"/>
          <w:b/>
        </w:rPr>
        <w:t>“DISH MÉXICO”</w:t>
      </w:r>
      <w:r w:rsidR="00E9457E" w:rsidRPr="002A2450">
        <w:rPr>
          <w:rFonts w:ascii="ITC Avant Garde" w:hAnsi="ITC Avant Garde"/>
        </w:rPr>
        <w:t xml:space="preserve"> </w:t>
      </w:r>
      <w:r w:rsidR="00D44DC3" w:rsidRPr="002A2450">
        <w:rPr>
          <w:rFonts w:ascii="ITC Avant Garde" w:hAnsi="ITC Avant Garde"/>
        </w:rPr>
        <w:t>y un interés residual sobre los beneficios de éste último, más allá de los que obtendría un acreedor.</w:t>
      </w:r>
    </w:p>
    <w:p w14:paraId="5CA836E4" w14:textId="77777777" w:rsidR="00B35F13" w:rsidRDefault="00E9457E"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Concentración es la c</w:t>
      </w:r>
      <w:r w:rsidR="00D44DC3" w:rsidRPr="002A2450">
        <w:rPr>
          <w:rFonts w:ascii="ITC Avant Garde" w:hAnsi="ITC Avant Garde"/>
        </w:rPr>
        <w:t>apacidad que tiene una empresa sobre otra para ejercer control. No es necesario que las partes se fusionen totalmente, basta una relación contractual que implique la alineación de incentivos para que exista desde el punto de vista económico.</w:t>
      </w:r>
    </w:p>
    <w:p w14:paraId="3432B8B6"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En Estados Unidos de América (</w:t>
      </w:r>
      <w:proofErr w:type="spellStart"/>
      <w:r w:rsidRPr="002A2450">
        <w:rPr>
          <w:rFonts w:ascii="ITC Avant Garde" w:hAnsi="ITC Avant Garde"/>
        </w:rPr>
        <w:t>Hart</w:t>
      </w:r>
      <w:proofErr w:type="spellEnd"/>
      <w:r w:rsidRPr="002A2450">
        <w:rPr>
          <w:rFonts w:ascii="ITC Avant Garde" w:hAnsi="ITC Avant Garde"/>
        </w:rPr>
        <w:t xml:space="preserve"> Scott </w:t>
      </w:r>
      <w:proofErr w:type="spellStart"/>
      <w:r w:rsidRPr="002A2450">
        <w:rPr>
          <w:rFonts w:ascii="ITC Avant Garde" w:hAnsi="ITC Avant Garde"/>
        </w:rPr>
        <w:t>Rodino</w:t>
      </w:r>
      <w:proofErr w:type="spellEnd"/>
      <w:r w:rsidRPr="002A2450">
        <w:rPr>
          <w:rFonts w:ascii="ITC Avant Garde" w:hAnsi="ITC Avant Garde"/>
        </w:rPr>
        <w:t xml:space="preserve"> </w:t>
      </w:r>
      <w:proofErr w:type="spellStart"/>
      <w:r w:rsidRPr="002A2450">
        <w:rPr>
          <w:rFonts w:ascii="ITC Avant Garde" w:hAnsi="ITC Avant Garde"/>
        </w:rPr>
        <w:t>Act</w:t>
      </w:r>
      <w:proofErr w:type="spellEnd"/>
      <w:r w:rsidRPr="002A2450">
        <w:rPr>
          <w:rFonts w:ascii="ITC Avant Garde" w:hAnsi="ITC Avant Garde"/>
        </w:rPr>
        <w:t xml:space="preserve">), no obstante que un contrato de opción de suscripción de acciones, de manera presente o futura se equipara a un derecho de voto para designar miembros del consejo de un </w:t>
      </w:r>
      <w:r w:rsidRPr="002A2450">
        <w:rPr>
          <w:rFonts w:ascii="ITC Avant Garde" w:hAnsi="ITC Avant Garde"/>
        </w:rPr>
        <w:lastRenderedPageBreak/>
        <w:t>agente económico, se considera que no se requiere notificar una concentración hasta en tanto no se haga la conversión de la opción.</w:t>
      </w:r>
      <w:r w:rsidR="00E9457E" w:rsidRPr="002A2450">
        <w:rPr>
          <w:rFonts w:ascii="ITC Avant Garde" w:hAnsi="ITC Avant Garde"/>
        </w:rPr>
        <w:t xml:space="preserve"> </w:t>
      </w:r>
      <w:r w:rsidRPr="002A2450">
        <w:rPr>
          <w:rFonts w:ascii="ITC Avant Garde" w:hAnsi="ITC Avant Garde"/>
        </w:rPr>
        <w:t>En la Unión Europea (Comunicación consolidada-Reglamento (CE) no 139/2004), la opción de compraventa o conversión de acciones no implica por sí sola una concentración, aunque en conjunto con otros factores la conversión de acciones debe ser analizada para determinar si deriva en control exclusivo o de facto.</w:t>
      </w:r>
      <w:r w:rsidR="00E9457E" w:rsidRPr="002A2450">
        <w:rPr>
          <w:rFonts w:ascii="ITC Avant Garde" w:hAnsi="ITC Avant Garde"/>
        </w:rPr>
        <w:t xml:space="preserve"> </w:t>
      </w:r>
      <w:r w:rsidRPr="002A2450">
        <w:rPr>
          <w:rFonts w:ascii="ITC Avant Garde" w:hAnsi="ITC Avant Garde"/>
        </w:rPr>
        <w:t>En México, la LFCE en su artículo 87, fracción II, establece que algunas operaciones requieren aprobación para realizar una concentración tratándose de transacciones que resulten en la adquisición o posibilidad de ejercer control (de hecho o de derecho) de manera directa o indirecta.</w:t>
      </w:r>
    </w:p>
    <w:p w14:paraId="207CC109" w14:textId="77777777" w:rsidR="00B35F13" w:rsidRDefault="00E9457E"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En la </w:t>
      </w:r>
      <w:r w:rsidR="00D44DC3" w:rsidRPr="002A2450">
        <w:rPr>
          <w:rFonts w:ascii="ITC Avant Garde" w:hAnsi="ITC Avant Garde"/>
        </w:rPr>
        <w:t xml:space="preserve">Unión Europea, </w:t>
      </w:r>
      <w:r w:rsidRPr="002A2450">
        <w:rPr>
          <w:rFonts w:ascii="ITC Avant Garde" w:hAnsi="ITC Avant Garde"/>
        </w:rPr>
        <w:t xml:space="preserve">el </w:t>
      </w:r>
      <w:r w:rsidR="00D44DC3" w:rsidRPr="002A2450">
        <w:rPr>
          <w:rFonts w:ascii="ITC Avant Garde" w:hAnsi="ITC Avant Garde"/>
        </w:rPr>
        <w:t>artículo 3 del Reglamento Comunitario de Control de Concentraciones: considera que con independencia de la forma en que un agente ejerza un control sobre otro, se estima que existe una concentración independientemente de la forma de adquisición de acciones que se debe notificar desde su inicio y no esperar la ejecución de derivados financieros, esto por la posibilidad de que una empresa influya decisivamente sobre la composición de otra y por tanto, existir una concentración que debió notificarse.</w:t>
      </w:r>
      <w:r w:rsidR="000B6913" w:rsidRPr="002A2450">
        <w:rPr>
          <w:rFonts w:ascii="ITC Avant Garde" w:hAnsi="ITC Avant Garde"/>
        </w:rPr>
        <w:t xml:space="preserve"> </w:t>
      </w:r>
      <w:r w:rsidR="00D44DC3" w:rsidRPr="002A2450">
        <w:rPr>
          <w:rFonts w:ascii="ITC Avant Garde" w:hAnsi="ITC Avant Garde"/>
        </w:rPr>
        <w:t xml:space="preserve">Estados Unidos de América, la FTC considera en la Guía Introductora suplementaria a la </w:t>
      </w:r>
      <w:proofErr w:type="spellStart"/>
      <w:r w:rsidR="00D44DC3" w:rsidRPr="002A2450">
        <w:rPr>
          <w:rFonts w:ascii="ITC Avant Garde" w:hAnsi="ITC Avant Garde"/>
        </w:rPr>
        <w:t>Hart</w:t>
      </w:r>
      <w:proofErr w:type="spellEnd"/>
      <w:r w:rsidR="00D44DC3" w:rsidRPr="002A2450">
        <w:rPr>
          <w:rFonts w:ascii="ITC Avant Garde" w:hAnsi="ITC Avant Garde"/>
        </w:rPr>
        <w:t xml:space="preserve"> Scott </w:t>
      </w:r>
      <w:proofErr w:type="spellStart"/>
      <w:r w:rsidR="00D44DC3" w:rsidRPr="002A2450">
        <w:rPr>
          <w:rFonts w:ascii="ITC Avant Garde" w:hAnsi="ITC Avant Garde"/>
        </w:rPr>
        <w:t>Rodino</w:t>
      </w:r>
      <w:proofErr w:type="spellEnd"/>
      <w:r w:rsidR="00D44DC3" w:rsidRPr="002A2450">
        <w:rPr>
          <w:rFonts w:ascii="ITC Avant Garde" w:hAnsi="ITC Avant Garde"/>
        </w:rPr>
        <w:t xml:space="preserve"> </w:t>
      </w:r>
      <w:proofErr w:type="spellStart"/>
      <w:r w:rsidR="00D44DC3" w:rsidRPr="002A2450">
        <w:rPr>
          <w:rFonts w:ascii="ITC Avant Garde" w:hAnsi="ITC Avant Garde"/>
        </w:rPr>
        <w:t>Act</w:t>
      </w:r>
      <w:proofErr w:type="spellEnd"/>
      <w:r w:rsidR="00D44DC3" w:rsidRPr="002A2450">
        <w:rPr>
          <w:rFonts w:ascii="ITC Avant Garde" w:hAnsi="ITC Avant Garde"/>
        </w:rPr>
        <w:t xml:space="preserve">, que las opciones liquidables no son </w:t>
      </w:r>
      <w:proofErr w:type="spellStart"/>
      <w:r w:rsidR="00D44DC3" w:rsidRPr="002A2450">
        <w:rPr>
          <w:rFonts w:ascii="ITC Avant Garde" w:hAnsi="ITC Avant Garde"/>
        </w:rPr>
        <w:t>notificables</w:t>
      </w:r>
      <w:proofErr w:type="spellEnd"/>
      <w:r w:rsidR="00D44DC3" w:rsidRPr="002A2450">
        <w:rPr>
          <w:rFonts w:ascii="ITC Avant Garde" w:hAnsi="ITC Avant Garde"/>
        </w:rPr>
        <w:t xml:space="preserve"> hasta que se ejerzan.</w:t>
      </w:r>
      <w:r w:rsidR="000B6913" w:rsidRPr="002A2450">
        <w:rPr>
          <w:rFonts w:ascii="ITC Avant Garde" w:hAnsi="ITC Avant Garde"/>
        </w:rPr>
        <w:t xml:space="preserve"> </w:t>
      </w:r>
      <w:r w:rsidR="00D44DC3" w:rsidRPr="002A2450">
        <w:rPr>
          <w:rFonts w:ascii="ITC Avant Garde" w:hAnsi="ITC Avant Garde"/>
        </w:rPr>
        <w:t xml:space="preserve">En </w:t>
      </w:r>
      <w:r w:rsidR="000B6913" w:rsidRPr="002A2450">
        <w:rPr>
          <w:rFonts w:ascii="ITC Avant Garde" w:hAnsi="ITC Avant Garde"/>
        </w:rPr>
        <w:t>Canadá</w:t>
      </w:r>
      <w:r w:rsidR="00D44DC3" w:rsidRPr="002A2450">
        <w:rPr>
          <w:rFonts w:ascii="ITC Avant Garde" w:hAnsi="ITC Avant Garde"/>
        </w:rPr>
        <w:t xml:space="preserve">, se considera en los </w:t>
      </w:r>
      <w:proofErr w:type="spellStart"/>
      <w:r w:rsidR="00D44DC3" w:rsidRPr="002A2450">
        <w:rPr>
          <w:rFonts w:ascii="ITC Avant Garde" w:hAnsi="ITC Avant Garde"/>
        </w:rPr>
        <w:t>Merger</w:t>
      </w:r>
      <w:proofErr w:type="spellEnd"/>
      <w:r w:rsidR="00D44DC3" w:rsidRPr="002A2450">
        <w:rPr>
          <w:rFonts w:ascii="ITC Avant Garde" w:hAnsi="ITC Avant Garde"/>
        </w:rPr>
        <w:t xml:space="preserve"> </w:t>
      </w:r>
      <w:proofErr w:type="spellStart"/>
      <w:r w:rsidR="00D44DC3" w:rsidRPr="002A2450">
        <w:rPr>
          <w:rFonts w:ascii="ITC Avant Garde" w:hAnsi="ITC Avant Garde"/>
        </w:rPr>
        <w:t>Enforcement</w:t>
      </w:r>
      <w:proofErr w:type="spellEnd"/>
      <w:r w:rsidR="00D44DC3" w:rsidRPr="002A2450">
        <w:rPr>
          <w:rFonts w:ascii="ITC Avant Garde" w:hAnsi="ITC Avant Garde"/>
        </w:rPr>
        <w:t xml:space="preserve"> </w:t>
      </w:r>
      <w:proofErr w:type="spellStart"/>
      <w:r w:rsidR="00D44DC3" w:rsidRPr="002A2450">
        <w:rPr>
          <w:rFonts w:ascii="ITC Avant Garde" w:hAnsi="ITC Avant Garde"/>
        </w:rPr>
        <w:t>Guidelines</w:t>
      </w:r>
      <w:proofErr w:type="spellEnd"/>
      <w:r w:rsidR="00D44DC3" w:rsidRPr="002A2450">
        <w:rPr>
          <w:rFonts w:ascii="ITC Avant Garde" w:hAnsi="ITC Avant Garde"/>
        </w:rPr>
        <w:t xml:space="preserve"> que se debe analizar la naturaleza de las opciones liquidables convertibles y su efecto o amenaza para ejercer control e</w:t>
      </w:r>
      <w:r w:rsidR="00805536" w:rsidRPr="002A2450">
        <w:rPr>
          <w:rFonts w:ascii="ITC Avant Garde" w:hAnsi="ITC Avant Garde"/>
        </w:rPr>
        <w:t>n</w:t>
      </w:r>
      <w:r w:rsidR="00D44DC3" w:rsidRPr="002A2450">
        <w:rPr>
          <w:rFonts w:ascii="ITC Avant Garde" w:hAnsi="ITC Avant Garde"/>
        </w:rPr>
        <w:t xml:space="preserve"> caso de que se ejerzan.</w:t>
      </w:r>
      <w:r w:rsidR="000B6913" w:rsidRPr="002A2450">
        <w:rPr>
          <w:rFonts w:ascii="ITC Avant Garde" w:hAnsi="ITC Avant Garde"/>
        </w:rPr>
        <w:t xml:space="preserve"> </w:t>
      </w:r>
      <w:r w:rsidR="00D44DC3" w:rsidRPr="002A2450">
        <w:rPr>
          <w:rFonts w:ascii="ITC Avant Garde" w:hAnsi="ITC Avant Garde"/>
        </w:rPr>
        <w:t xml:space="preserve">En México, no se considera en los artículos 86 y 87 de la LFCE una distinción entre opciones y la adquisición de acciones, por lo que no se puede determinar en todos los casos que una opción liquidable se pueda considerar una concentración que sea </w:t>
      </w:r>
      <w:proofErr w:type="spellStart"/>
      <w:r w:rsidR="00D44DC3" w:rsidRPr="002A2450">
        <w:rPr>
          <w:rFonts w:ascii="ITC Avant Garde" w:hAnsi="ITC Avant Garde"/>
        </w:rPr>
        <w:t>notificable</w:t>
      </w:r>
      <w:proofErr w:type="spellEnd"/>
      <w:r w:rsidR="00D44DC3" w:rsidRPr="002A2450">
        <w:rPr>
          <w:rFonts w:ascii="ITC Avant Garde" w:hAnsi="ITC Avant Garde"/>
        </w:rPr>
        <w:t xml:space="preserve">, aun así, se contempla que se debe obtener la autorización de una concentración cuando se adquiera o ejerza control directo o indirecto sobre otro agente, a través de una opción convertible que pudiera ejercer derechos de voto, o cuando dicha opción junto con otros contratos permita ejercer control de </w:t>
      </w:r>
      <w:r w:rsidR="00D44DC3" w:rsidRPr="002A2450">
        <w:rPr>
          <w:rFonts w:ascii="ITC Avant Garde" w:hAnsi="ITC Avant Garde"/>
        </w:rPr>
        <w:lastRenderedPageBreak/>
        <w:t>facto. En tal sentido, los contratos de opción de compra o venta por si sólo pueden ser concentraciones o ser un elemento de las mismas en función de evaluar otros elementos y de sus condiciones particulares.</w:t>
      </w:r>
      <w:r w:rsidR="000B6913" w:rsidRPr="002A2450">
        <w:rPr>
          <w:rFonts w:ascii="ITC Avant Garde" w:hAnsi="ITC Avant Garde"/>
        </w:rPr>
        <w:t xml:space="preserve"> </w:t>
      </w:r>
      <w:r w:rsidR="00D44DC3" w:rsidRPr="002A2450">
        <w:rPr>
          <w:rFonts w:ascii="ITC Avant Garde" w:hAnsi="ITC Avant Garde"/>
        </w:rPr>
        <w:t xml:space="preserve">En el caso de </w:t>
      </w:r>
      <w:r w:rsidR="000B6913" w:rsidRPr="002A2450">
        <w:rPr>
          <w:rFonts w:ascii="ITC Avant Garde" w:hAnsi="ITC Avant Garde"/>
          <w:b/>
        </w:rPr>
        <w:t>“TELMEX”/”TENINVER”</w:t>
      </w:r>
      <w:r w:rsidR="000B6913" w:rsidRPr="002A2450">
        <w:rPr>
          <w:rFonts w:ascii="ITC Avant Garde" w:hAnsi="ITC Avant Garde"/>
        </w:rPr>
        <w:t xml:space="preserve"> </w:t>
      </w:r>
      <w:r w:rsidR="00D44DC3" w:rsidRPr="002A2450">
        <w:rPr>
          <w:rFonts w:ascii="ITC Avant Garde" w:hAnsi="ITC Avant Garde"/>
        </w:rPr>
        <w:t xml:space="preserve">con </w:t>
      </w:r>
      <w:r w:rsidR="000B6913" w:rsidRPr="002A2450">
        <w:rPr>
          <w:rFonts w:ascii="ITC Avant Garde" w:hAnsi="ITC Avant Garde"/>
          <w:b/>
        </w:rPr>
        <w:t>“DISH MÉXICO”</w:t>
      </w:r>
      <w:r w:rsidR="00D44DC3" w:rsidRPr="002A2450">
        <w:rPr>
          <w:rFonts w:ascii="ITC Avant Garde" w:hAnsi="ITC Avant Garde"/>
        </w:rPr>
        <w:t>, se dieron los contratos, por lo que la determinación de que los primeros tuvieran control o influencia significativa sobre el segundo dependía del análisis de LOS CONTRATOS en su conjunto, del análisis de competencia y de la evidencia de control de facto.</w:t>
      </w:r>
    </w:p>
    <w:p w14:paraId="22A15D5C" w14:textId="77777777" w:rsidR="00B35F13" w:rsidRDefault="000B691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La </w:t>
      </w:r>
      <w:r w:rsidR="00D44DC3" w:rsidRPr="002A2450">
        <w:rPr>
          <w:rFonts w:ascii="ITC Avant Garde" w:hAnsi="ITC Avant Garde"/>
        </w:rPr>
        <w:t xml:space="preserve">opción </w:t>
      </w:r>
      <w:r w:rsidR="00D44DC3" w:rsidRPr="002A2450">
        <w:rPr>
          <w:rFonts w:ascii="ITC Avant Garde" w:hAnsi="ITC Avant Garde"/>
          <w:i/>
        </w:rPr>
        <w:t>“</w:t>
      </w:r>
      <w:proofErr w:type="spellStart"/>
      <w:r w:rsidR="00D44DC3" w:rsidRPr="002A2450">
        <w:rPr>
          <w:rFonts w:ascii="ITC Avant Garde" w:hAnsi="ITC Avant Garde"/>
          <w:i/>
        </w:rPr>
        <w:t>call-put</w:t>
      </w:r>
      <w:proofErr w:type="spellEnd"/>
      <w:r w:rsidR="00D44DC3" w:rsidRPr="002A2450">
        <w:rPr>
          <w:rFonts w:ascii="ITC Avant Garde" w:hAnsi="ITC Avant Garde"/>
          <w:i/>
        </w:rPr>
        <w:t>”</w:t>
      </w:r>
      <w:r w:rsidR="00D44DC3" w:rsidRPr="002A2450">
        <w:rPr>
          <w:rFonts w:ascii="ITC Avant Garde" w:hAnsi="ITC Avant Garde"/>
        </w:rPr>
        <w:t xml:space="preserve"> puede ser </w:t>
      </w:r>
      <w:r w:rsidRPr="002A2450">
        <w:rPr>
          <w:rFonts w:ascii="ITC Avant Garde" w:hAnsi="ITC Avant Garde"/>
        </w:rPr>
        <w:t xml:space="preserve">un </w:t>
      </w:r>
      <w:r w:rsidR="00D44DC3" w:rsidRPr="002A2450">
        <w:rPr>
          <w:rFonts w:ascii="ITC Avant Garde" w:hAnsi="ITC Avant Garde"/>
        </w:rPr>
        <w:t xml:space="preserve">mecanismo eficiente para disminuir riesgos en caso de que las condiciones no sean las esperadas, aclarando que la pregunta se refiere en forma general a la utilización de dichas opciones y si son “eficientes” u “óptimas”, sin indicar una situación específica ni sobre instrumentos alternativos disponibles cuando se trata de relaciones contractuales generales, problemas de control </w:t>
      </w:r>
      <w:r w:rsidR="00805536" w:rsidRPr="002A2450">
        <w:rPr>
          <w:rFonts w:ascii="ITC Avant Garde" w:hAnsi="ITC Avant Garde"/>
        </w:rPr>
        <w:t xml:space="preserve">de </w:t>
      </w:r>
      <w:r w:rsidR="00D44DC3" w:rsidRPr="002A2450">
        <w:rPr>
          <w:rFonts w:ascii="ITC Avant Garde" w:hAnsi="ITC Avant Garde"/>
        </w:rPr>
        <w:t xml:space="preserve">información asimétrica o de otro tipo, lo anterior toda vez que la eficiencia es un tema separado de la existencia de una concentración, pues si bien la relación contractual pudo ser eficiente en términos de los beneficios para una o ambas partes o en términos sociales, ello no implica que una de ellas no ejerza control o influencia sobre la otra ni tampoco significa que no haya tenido lugar una concentración; sin embargo, se advierte que la opción de compra venta probablemente no sea suficiente aisladamente como forma contractual para proteger los intereses de una de las partes en una relación como la de </w:t>
      </w:r>
      <w:r w:rsidRPr="002A2450">
        <w:rPr>
          <w:rFonts w:ascii="ITC Avant Garde" w:hAnsi="ITC Avant Garde"/>
          <w:b/>
        </w:rPr>
        <w:t>“TELMEX”/”TENINVER”</w:t>
      </w:r>
      <w:r w:rsidRPr="002A2450">
        <w:rPr>
          <w:rFonts w:ascii="ITC Avant Garde" w:hAnsi="ITC Avant Garde"/>
        </w:rPr>
        <w:t xml:space="preserve"> y </w:t>
      </w:r>
      <w:r w:rsidRPr="002A2450">
        <w:rPr>
          <w:rFonts w:ascii="ITC Avant Garde" w:hAnsi="ITC Avant Garde"/>
          <w:b/>
        </w:rPr>
        <w:t>“DISH MÉXICO”</w:t>
      </w:r>
      <w:r w:rsidR="00D44DC3" w:rsidRPr="002A2450">
        <w:rPr>
          <w:rFonts w:ascii="ITC Avant Garde" w:hAnsi="ITC Avant Garde"/>
        </w:rPr>
        <w:t xml:space="preserve">. </w:t>
      </w:r>
    </w:p>
    <w:p w14:paraId="1A48FAEF" w14:textId="77777777" w:rsidR="00B35F13" w:rsidRDefault="0004697A"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as opciones “</w:t>
      </w:r>
      <w:proofErr w:type="spellStart"/>
      <w:r w:rsidR="00D44DC3" w:rsidRPr="002A2450">
        <w:rPr>
          <w:rFonts w:ascii="ITC Avant Garde" w:hAnsi="ITC Avant Garde"/>
          <w:i/>
        </w:rPr>
        <w:t>call-put</w:t>
      </w:r>
      <w:proofErr w:type="spellEnd"/>
      <w:r w:rsidR="00D44DC3" w:rsidRPr="002A2450">
        <w:rPr>
          <w:rFonts w:ascii="ITC Avant Garde" w:hAnsi="ITC Avant Garde"/>
        </w:rPr>
        <w:t xml:space="preserve">” </w:t>
      </w:r>
      <w:r w:rsidRPr="002A2450">
        <w:rPr>
          <w:rFonts w:ascii="ITC Avant Garde" w:hAnsi="ITC Avant Garde"/>
        </w:rPr>
        <w:t xml:space="preserve">son </w:t>
      </w:r>
      <w:r w:rsidR="00D44DC3" w:rsidRPr="002A2450">
        <w:rPr>
          <w:rFonts w:ascii="ITC Avant Garde" w:hAnsi="ITC Avant Garde"/>
        </w:rPr>
        <w:t>mecanismos que reducen el riesgo en el caso de que el precio de las acciones varíen por arriba o por debajo del fijado en el contrato, limitan los costos a los que los agentes se enfrentarían en caso de contingencias por pérdida o variaciones en los resultados, por lo que se puede afirmar que son eficientes para ese fin. Sin embargo, no se puede afirmar que en general sean eficientes como instrumento para limitar riesgos al no tenerse una descripción de alternativas disponibles para el tomador de decisiones.</w:t>
      </w:r>
    </w:p>
    <w:p w14:paraId="39231A2A" w14:textId="77777777" w:rsidR="00B35F13" w:rsidRDefault="0004697A"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lastRenderedPageBreak/>
        <w:t>L</w:t>
      </w:r>
      <w:r w:rsidR="00D44DC3" w:rsidRPr="002A2450">
        <w:rPr>
          <w:rFonts w:ascii="ITC Avant Garde" w:hAnsi="ITC Avant Garde"/>
        </w:rPr>
        <w:t>os problemas típicos económicos que presen</w:t>
      </w:r>
      <w:r w:rsidRPr="002A2450">
        <w:rPr>
          <w:rFonts w:ascii="ITC Avant Garde" w:hAnsi="ITC Avant Garde"/>
        </w:rPr>
        <w:t xml:space="preserve">tan los contratos a largo plazo, en la </w:t>
      </w:r>
      <w:r w:rsidR="00D44DC3" w:rsidRPr="002A2450">
        <w:rPr>
          <w:rFonts w:ascii="ITC Avant Garde" w:hAnsi="ITC Avant Garde"/>
        </w:rPr>
        <w:t>teoría económica, hay dos elementos clave:</w:t>
      </w:r>
      <w:r w:rsidRPr="002A2450">
        <w:rPr>
          <w:rFonts w:ascii="ITC Avant Garde" w:hAnsi="ITC Avant Garde"/>
        </w:rPr>
        <w:t xml:space="preserve"> i) </w:t>
      </w:r>
      <w:r w:rsidR="00D44DC3" w:rsidRPr="002A2450">
        <w:rPr>
          <w:rFonts w:ascii="ITC Avant Garde" w:hAnsi="ITC Avant Garde"/>
        </w:rPr>
        <w:t xml:space="preserve">Compromiso de las partes (cláusulas </w:t>
      </w:r>
      <w:r w:rsidR="00D44DC3" w:rsidRPr="002A2450">
        <w:rPr>
          <w:rFonts w:ascii="ITC Avant Garde" w:hAnsi="ITC Avant Garde"/>
          <w:i/>
        </w:rPr>
        <w:t>ex</w:t>
      </w:r>
      <w:r w:rsidRPr="002A2450">
        <w:rPr>
          <w:rFonts w:ascii="ITC Avant Garde" w:hAnsi="ITC Avant Garde"/>
          <w:i/>
        </w:rPr>
        <w:t xml:space="preserve"> </w:t>
      </w:r>
      <w:r w:rsidR="00D44DC3" w:rsidRPr="002A2450">
        <w:rPr>
          <w:rFonts w:ascii="ITC Avant Garde" w:hAnsi="ITC Avant Garde"/>
          <w:i/>
        </w:rPr>
        <w:t>ante</w:t>
      </w:r>
      <w:r w:rsidR="00D44DC3" w:rsidRPr="002A2450">
        <w:rPr>
          <w:rFonts w:ascii="ITC Avant Garde" w:hAnsi="ITC Avant Garde"/>
        </w:rPr>
        <w:t xml:space="preserve"> para asegurar el cumplimiento de lo pactado, que se puede ver afectado por el sistema legal y la aplicación de los contratos por las cortes; la credibilidad entre las partes, los bienes de inversión y las penaliz</w:t>
      </w:r>
      <w:r w:rsidRPr="002A2450">
        <w:rPr>
          <w:rFonts w:ascii="ITC Avant Garde" w:hAnsi="ITC Avant Garde"/>
        </w:rPr>
        <w:t xml:space="preserve">aciones en caso de rompimiento); ii) </w:t>
      </w:r>
      <w:r w:rsidR="00D44DC3" w:rsidRPr="002A2450">
        <w:rPr>
          <w:rFonts w:ascii="ITC Avant Garde" w:hAnsi="ITC Avant Garde"/>
        </w:rPr>
        <w:t>Renegociación (en teoría se considera que los contratos a largo plazo son ineficientes al ser imposible preverse todas las contingencias, por lo que lo más comú</w:t>
      </w:r>
      <w:r w:rsidRPr="002A2450">
        <w:rPr>
          <w:rFonts w:ascii="ITC Avant Garde" w:hAnsi="ITC Avant Garde"/>
        </w:rPr>
        <w:t xml:space="preserve">n en ellos es la renegociación), y iii) </w:t>
      </w:r>
      <w:r w:rsidR="00D44DC3" w:rsidRPr="002A2450">
        <w:rPr>
          <w:rFonts w:ascii="ITC Avant Garde" w:hAnsi="ITC Avant Garde"/>
        </w:rPr>
        <w:t>El problema típico es el compromiso de las partes para su cumplimiento, el cual se puede superar si se establecen penalizaciones en caso de desvío de una de las partes.</w:t>
      </w:r>
    </w:p>
    <w:p w14:paraId="71F19208" w14:textId="77777777" w:rsidR="00B35F13" w:rsidRDefault="00B1790F"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Los contratos </w:t>
      </w:r>
      <w:r w:rsidR="00D44DC3" w:rsidRPr="002A2450">
        <w:rPr>
          <w:rFonts w:ascii="ITC Avant Garde" w:hAnsi="ITC Avant Garde"/>
        </w:rPr>
        <w:t>prevén inversiones específicas en el contrato de arrendamiento</w:t>
      </w:r>
      <w:r w:rsidR="00805536" w:rsidRPr="002A2450">
        <w:rPr>
          <w:rFonts w:ascii="ITC Avant Garde" w:hAnsi="ITC Avant Garde"/>
        </w:rPr>
        <w:t>.</w:t>
      </w:r>
      <w:r w:rsidR="00D44DC3" w:rsidRPr="002A2450">
        <w:rPr>
          <w:rFonts w:ascii="ITC Avant Garde" w:hAnsi="ITC Avant Garde"/>
        </w:rPr>
        <w:t xml:space="preserve"> </w:t>
      </w:r>
      <w:r w:rsidRPr="002A2450">
        <w:rPr>
          <w:rFonts w:ascii="ITC Avant Garde" w:hAnsi="ITC Avant Garde"/>
          <w:b/>
        </w:rPr>
        <w:t xml:space="preserve">“TENINVER” </w:t>
      </w:r>
      <w:r w:rsidR="00D44DC3" w:rsidRPr="002A2450">
        <w:rPr>
          <w:rFonts w:ascii="ITC Avant Garde" w:hAnsi="ITC Avant Garde"/>
        </w:rPr>
        <w:t xml:space="preserve">se compromete a hacer las inversiones necesarias para la provisión de kits CPE; dichos equipos son de su propiedad y le son arrendados a </w:t>
      </w:r>
      <w:r w:rsidRPr="002A2450">
        <w:rPr>
          <w:rFonts w:ascii="ITC Avant Garde" w:hAnsi="ITC Avant Garde"/>
          <w:b/>
        </w:rPr>
        <w:t>“DISH MÉXICO”</w:t>
      </w:r>
      <w:r w:rsidR="00D44DC3" w:rsidRPr="002A2450">
        <w:rPr>
          <w:rFonts w:ascii="ITC Avant Garde" w:hAnsi="ITC Avant Garde"/>
        </w:rPr>
        <w:t>. Aparentemente tienen poco uso alternativo y valor de reventa, por lo que se trata de una inversión altamente específica, lo cual es consistente con la hipótesis de que</w:t>
      </w:r>
      <w:r w:rsidRPr="002A2450">
        <w:rPr>
          <w:rFonts w:ascii="ITC Avant Garde" w:hAnsi="ITC Avant Garde"/>
        </w:rPr>
        <w:t xml:space="preserve"> </w:t>
      </w:r>
      <w:r w:rsidRPr="002A2450">
        <w:rPr>
          <w:rFonts w:ascii="ITC Avant Garde" w:hAnsi="ITC Avant Garde"/>
          <w:b/>
        </w:rPr>
        <w:t xml:space="preserve">“TENINVER” </w:t>
      </w:r>
      <w:r w:rsidR="00D44DC3" w:rsidRPr="002A2450">
        <w:rPr>
          <w:rFonts w:ascii="ITC Avant Garde" w:hAnsi="ITC Avant Garde"/>
        </w:rPr>
        <w:t xml:space="preserve">busca control o influencia sobre </w:t>
      </w:r>
      <w:r w:rsidRPr="002A2450">
        <w:rPr>
          <w:rFonts w:ascii="ITC Avant Garde" w:hAnsi="ITC Avant Garde"/>
          <w:b/>
        </w:rPr>
        <w:t xml:space="preserve">“DISH MÉXICO” </w:t>
      </w:r>
      <w:r w:rsidR="00D44DC3" w:rsidRPr="002A2450">
        <w:rPr>
          <w:rFonts w:ascii="ITC Avant Garde" w:hAnsi="ITC Avant Garde"/>
        </w:rPr>
        <w:t>como una forma de garantizar sus intereses invertidos en activos específicos.</w:t>
      </w:r>
    </w:p>
    <w:p w14:paraId="4704FB25"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Los mecanismos de monitoreo son una herramienta que asegura que las partes cumplan con el objetivo de los contratos, de tal forma que el problema del principal agente se reduce cuando establecen mecanismos y penalizaciones para evitar estrategias oportunistas. Los mecanismos de monitoreo pueden considerarse eficientes al ayudar a resolver el problema del principal agente, el cual se encuentra presente en todo tipo de relaciones, incluyendo las verticales.</w:t>
      </w:r>
      <w:r w:rsidR="00B1790F" w:rsidRPr="002A2450">
        <w:rPr>
          <w:rFonts w:ascii="ITC Avant Garde" w:hAnsi="ITC Avant Garde"/>
        </w:rPr>
        <w:t xml:space="preserve"> </w:t>
      </w:r>
      <w:r w:rsidRPr="002A2450">
        <w:rPr>
          <w:rFonts w:ascii="ITC Avant Garde" w:hAnsi="ITC Avant Garde"/>
        </w:rPr>
        <w:t>Ahora bien, el hecho de que el monitoreo sea una herramienta útil para mejorar la eficiencia, no implica que sea suficiente para resolver problemas de ineficiencia, toda vez que en los casos en que el monitoreo es insuficiente, una mayor eficiencia puede establecerse mediante una relación de control o influencia significativa.</w:t>
      </w:r>
      <w:r w:rsidR="00B1790F" w:rsidRPr="002A2450">
        <w:rPr>
          <w:rFonts w:ascii="ITC Avant Garde" w:hAnsi="ITC Avant Garde"/>
        </w:rPr>
        <w:t xml:space="preserve"> </w:t>
      </w:r>
      <w:r w:rsidRPr="002A2450">
        <w:rPr>
          <w:rFonts w:ascii="ITC Avant Garde" w:hAnsi="ITC Avant Garde"/>
        </w:rPr>
        <w:t xml:space="preserve">La existencia de ineficiencias </w:t>
      </w:r>
      <w:r w:rsidRPr="002A2450">
        <w:rPr>
          <w:rFonts w:ascii="ITC Avant Garde" w:hAnsi="ITC Avant Garde"/>
        </w:rPr>
        <w:lastRenderedPageBreak/>
        <w:t>en una relación contractual y la necesidad de instrumentos para aminorarlas, son elementos que probablemente lleve a cabo una de las partes para controlar a la otra, lo que conlleva que la resolución de ineficiencias implique la integración vertical o la concentración.</w:t>
      </w:r>
    </w:p>
    <w:p w14:paraId="60E840BB" w14:textId="77777777" w:rsidR="00B35F13" w:rsidRDefault="00B1790F"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 xml:space="preserve">as condicionalidades y mecanismos de monitoreo entre </w:t>
      </w:r>
      <w:r w:rsidRPr="002A2450">
        <w:rPr>
          <w:rFonts w:ascii="ITC Avant Garde" w:hAnsi="ITC Avant Garde"/>
          <w:b/>
        </w:rPr>
        <w:t>“TELMEX”</w:t>
      </w:r>
      <w:r w:rsidR="00D44DC3" w:rsidRPr="002A2450">
        <w:rPr>
          <w:rFonts w:ascii="ITC Avant Garde" w:hAnsi="ITC Avant Garde"/>
        </w:rPr>
        <w:t xml:space="preserve">, </w:t>
      </w:r>
      <w:r w:rsidRPr="002A2450">
        <w:rPr>
          <w:rFonts w:ascii="ITC Avant Garde" w:hAnsi="ITC Avant Garde"/>
          <w:b/>
        </w:rPr>
        <w:t>“TENINVER”</w:t>
      </w:r>
      <w:r w:rsidR="00D44DC3" w:rsidRPr="002A2450">
        <w:rPr>
          <w:rFonts w:ascii="ITC Avant Garde" w:hAnsi="ITC Avant Garde"/>
        </w:rPr>
        <w:t xml:space="preserve"> y </w:t>
      </w:r>
      <w:r w:rsidRPr="002A2450">
        <w:rPr>
          <w:rFonts w:ascii="ITC Avant Garde" w:hAnsi="ITC Avant Garde"/>
          <w:b/>
        </w:rPr>
        <w:t xml:space="preserve">“COFRESA” </w:t>
      </w:r>
      <w:r w:rsidR="00D44DC3" w:rsidRPr="002A2450">
        <w:rPr>
          <w:rFonts w:ascii="ITC Avant Garde" w:hAnsi="ITC Avant Garde"/>
        </w:rPr>
        <w:t>tuvieron la finalidad de lograr una relación cooperativa para la dirección del negocio, esto es, tratar con el problema de la agencia, por tanto, si se podrían considerar elementos necesarios de la relación.</w:t>
      </w:r>
    </w:p>
    <w:p w14:paraId="5BF92F96" w14:textId="77777777" w:rsidR="00B35F13" w:rsidRDefault="00B1790F"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R</w:t>
      </w:r>
      <w:r w:rsidR="00D44DC3" w:rsidRPr="002A2450">
        <w:rPr>
          <w:rFonts w:ascii="ITC Avant Garde" w:hAnsi="ITC Avant Garde"/>
        </w:rPr>
        <w:t>especto a la caracterización económica del Contrato de Opción:</w:t>
      </w:r>
      <w:r w:rsidRPr="002A2450">
        <w:rPr>
          <w:rFonts w:ascii="ITC Avant Garde" w:hAnsi="ITC Avant Garde"/>
        </w:rPr>
        <w:t xml:space="preserve"> i) </w:t>
      </w:r>
      <w:r w:rsidR="00D44DC3" w:rsidRPr="002A2450">
        <w:rPr>
          <w:rFonts w:ascii="ITC Avant Garde" w:hAnsi="ITC Avant Garde"/>
        </w:rPr>
        <w:t xml:space="preserve">Los contratos de opción tipo </w:t>
      </w:r>
      <w:r w:rsidR="00D44DC3" w:rsidRPr="002A2450">
        <w:rPr>
          <w:rFonts w:ascii="ITC Avant Garde" w:hAnsi="ITC Avant Garde"/>
          <w:i/>
        </w:rPr>
        <w:t>“</w:t>
      </w:r>
      <w:proofErr w:type="spellStart"/>
      <w:r w:rsidR="00D44DC3" w:rsidRPr="002A2450">
        <w:rPr>
          <w:rFonts w:ascii="ITC Avant Garde" w:hAnsi="ITC Avant Garde"/>
          <w:i/>
        </w:rPr>
        <w:t>call-put</w:t>
      </w:r>
      <w:proofErr w:type="spellEnd"/>
      <w:r w:rsidR="00D44DC3" w:rsidRPr="002A2450">
        <w:rPr>
          <w:rFonts w:ascii="ITC Avant Garde" w:hAnsi="ITC Avant Garde"/>
          <w:i/>
        </w:rPr>
        <w:t>”</w:t>
      </w:r>
      <w:r w:rsidR="00D44DC3" w:rsidRPr="002A2450">
        <w:rPr>
          <w:rFonts w:ascii="ITC Avant Garde" w:hAnsi="ITC Avant Garde"/>
        </w:rPr>
        <w:t xml:space="preserve"> son una herramienta que dependiendo de la situación pueden ser útiles o adecuadas, pero no es posible afirmar que sean eficientes en general independientemente de la situación en que se puedan aplicar, ya que se debe tener claro cuáles son los objetivos y las alternativas disp</w:t>
      </w:r>
      <w:r w:rsidRPr="002A2450">
        <w:rPr>
          <w:rFonts w:ascii="ITC Avant Garde" w:hAnsi="ITC Avant Garde"/>
        </w:rPr>
        <w:t xml:space="preserve">onibles para alcanzar sus fines; ii) </w:t>
      </w:r>
      <w:r w:rsidR="00D44DC3" w:rsidRPr="002A2450">
        <w:rPr>
          <w:rFonts w:ascii="ITC Avant Garde" w:hAnsi="ITC Avant Garde"/>
        </w:rPr>
        <w:t>desde la perspectiva económica</w:t>
      </w:r>
      <w:r w:rsidRPr="002A2450">
        <w:rPr>
          <w:rFonts w:ascii="ITC Avant Garde" w:hAnsi="ITC Avant Garde"/>
        </w:rPr>
        <w:t xml:space="preserve"> la </w:t>
      </w:r>
      <w:r w:rsidR="00D44DC3" w:rsidRPr="002A2450">
        <w:rPr>
          <w:rFonts w:ascii="ITC Avant Garde" w:hAnsi="ITC Avant Garde"/>
        </w:rPr>
        <w:t>opción liquidable es un activo financiero que permite ser liquidado en un plazo establecido; al ser una opción, permite ejercer un derecho antes de la finalización del plazo</w:t>
      </w:r>
      <w:r w:rsidRPr="002A2450">
        <w:rPr>
          <w:rFonts w:ascii="ITC Avant Garde" w:hAnsi="ITC Avant Garde"/>
        </w:rPr>
        <w:t xml:space="preserve">. </w:t>
      </w:r>
      <w:r w:rsidR="00D44DC3" w:rsidRPr="002A2450">
        <w:rPr>
          <w:rFonts w:ascii="ITC Avant Garde" w:hAnsi="ITC Avant Garde"/>
        </w:rPr>
        <w:t>La opción liquidable en especie tiene como objetivo administrar los riesgos de su titular y hacer flexible la realización de ciertas inversiones, pudiendo convertirse en caso de que se hayan cumplido las condiciones pactadas de temporalidad mínima de conversión, umbrales de precio o bien, de mejor rendimiento para ello; sin embargo, no resulta razonable desde la perspectiva económica ejercer la opción liquidable en especie desde su otorgamiento, si el precio o rendimiento no se ha mod</w:t>
      </w:r>
      <w:r w:rsidRPr="002A2450">
        <w:rPr>
          <w:rFonts w:ascii="ITC Avant Garde" w:hAnsi="ITC Avant Garde"/>
        </w:rPr>
        <w:t>ificado con respecto al inicial, y iii)</w:t>
      </w:r>
      <w:r w:rsidR="008F718E" w:rsidRPr="002A2450">
        <w:rPr>
          <w:rFonts w:ascii="ITC Avant Garde" w:hAnsi="ITC Avant Garde"/>
          <w:color w:val="C00000"/>
        </w:rPr>
        <w:t xml:space="preserve"> </w:t>
      </w:r>
      <w:r w:rsidRPr="002A2450">
        <w:rPr>
          <w:rFonts w:ascii="ITC Avant Garde" w:hAnsi="ITC Avant Garde"/>
        </w:rPr>
        <w:t>l</w:t>
      </w:r>
      <w:r w:rsidR="00D44DC3" w:rsidRPr="002A2450">
        <w:rPr>
          <w:rFonts w:ascii="ITC Avant Garde" w:hAnsi="ITC Avant Garde"/>
        </w:rPr>
        <w:t xml:space="preserve">a opción otorgada a </w:t>
      </w:r>
      <w:r w:rsidRPr="002A2450">
        <w:rPr>
          <w:rFonts w:ascii="ITC Avant Garde" w:hAnsi="ITC Avant Garde"/>
          <w:b/>
        </w:rPr>
        <w:t>“TENINVER”</w:t>
      </w:r>
      <w:r w:rsidR="00D44DC3" w:rsidRPr="002A2450">
        <w:rPr>
          <w:rFonts w:ascii="ITC Avant Garde" w:hAnsi="ITC Avant Garde"/>
        </w:rPr>
        <w:t xml:space="preserve"> no podría considerarse que implica una adquisición de capital sino hasta que fuera ejercida. Sin embargo, la opción puede crear relaciones de control o influencia antes de su ejercicio, especialmente al suscribirse contratos adicionales o paralelos que faculten la intervención o restrinjan las decisiones del potencial adquirido.</w:t>
      </w:r>
    </w:p>
    <w:p w14:paraId="76554750" w14:textId="77777777" w:rsidR="00B35F13" w:rsidRDefault="000824C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lastRenderedPageBreak/>
        <w:t xml:space="preserve">No obstante, ante la ambigüedad del término “sustancia económica”, podría decirse que los contratos la tienen, al establecerse derechos que determinan asignación de recursos, rentabilidad del negocio, repartición de riesgos y beneficios entre las partes. </w:t>
      </w:r>
      <w:r w:rsidR="00D44DC3" w:rsidRPr="002A2450">
        <w:rPr>
          <w:rFonts w:ascii="ITC Avant Garde" w:hAnsi="ITC Avant Garde"/>
        </w:rPr>
        <w:t xml:space="preserve">Los contratos en su conjunto fueron celebrados de manera condicionada e interdependiente que incluyeron mecanismos que permitieron a las partes la coordinación de esfuerzos para realizar las actividades económicas de </w:t>
      </w:r>
      <w:r w:rsidRPr="002A2450">
        <w:rPr>
          <w:rFonts w:ascii="ITC Avant Garde" w:hAnsi="ITC Avant Garde"/>
          <w:b/>
        </w:rPr>
        <w:t>“DISH MÉXICO”</w:t>
      </w:r>
      <w:r w:rsidR="00D44DC3" w:rsidRPr="002A2450">
        <w:rPr>
          <w:rFonts w:ascii="ITC Avant Garde" w:hAnsi="ITC Avant Garde"/>
        </w:rPr>
        <w:t xml:space="preserve">, así como de comunicación e información para establecer un control conjunto; se otorgaron derechos y obligaciones económicos a </w:t>
      </w:r>
      <w:r w:rsidRPr="002A2450">
        <w:rPr>
          <w:rFonts w:ascii="ITC Avant Garde" w:hAnsi="ITC Avant Garde"/>
          <w:b/>
        </w:rPr>
        <w:t>“TELMEX”/”TENINVER”</w:t>
      </w:r>
      <w:r w:rsidRPr="002A2450">
        <w:rPr>
          <w:rFonts w:ascii="ITC Avant Garde" w:hAnsi="ITC Avant Garde"/>
        </w:rPr>
        <w:t xml:space="preserve"> </w:t>
      </w:r>
      <w:r w:rsidR="00D44DC3" w:rsidRPr="002A2450">
        <w:rPr>
          <w:rFonts w:ascii="ITC Avant Garde" w:hAnsi="ITC Avant Garde"/>
        </w:rPr>
        <w:t xml:space="preserve">para participar en decisiones que afectaría el valor de las opciones y las inversiones realizadas que podrían considerarse como aportaciones de </w:t>
      </w:r>
      <w:r w:rsidRPr="002A2450">
        <w:rPr>
          <w:rFonts w:ascii="ITC Avant Garde" w:hAnsi="ITC Avant Garde"/>
          <w:b/>
        </w:rPr>
        <w:t xml:space="preserve">“TELMEX” </w:t>
      </w:r>
      <w:r w:rsidR="00D44DC3" w:rsidRPr="002A2450">
        <w:rPr>
          <w:rFonts w:ascii="ITC Avant Garde" w:hAnsi="ITC Avant Garde"/>
        </w:rPr>
        <w:t xml:space="preserve">a </w:t>
      </w:r>
      <w:r w:rsidRPr="002A2450">
        <w:rPr>
          <w:rFonts w:ascii="ITC Avant Garde" w:hAnsi="ITC Avant Garde"/>
          <w:b/>
        </w:rPr>
        <w:t xml:space="preserve">“DISH MÉXICO” </w:t>
      </w:r>
      <w:r w:rsidR="00D44DC3" w:rsidRPr="002A2450">
        <w:rPr>
          <w:rFonts w:ascii="ITC Avant Garde" w:hAnsi="ITC Avant Garde"/>
        </w:rPr>
        <w:t xml:space="preserve">y </w:t>
      </w:r>
      <w:r w:rsidRPr="002A2450">
        <w:rPr>
          <w:rFonts w:ascii="ITC Avant Garde" w:hAnsi="ITC Avant Garde"/>
          <w:b/>
        </w:rPr>
        <w:t>“COFRESA”</w:t>
      </w:r>
      <w:r w:rsidR="00D44DC3" w:rsidRPr="002A2450">
        <w:rPr>
          <w:rFonts w:ascii="ITC Avant Garde" w:hAnsi="ITC Avant Garde"/>
        </w:rPr>
        <w:t>, por lo que debido a estas interrelaciones se advierte una estrategia común.</w:t>
      </w:r>
    </w:p>
    <w:p w14:paraId="7F2FE063"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Dado que no se prec</w:t>
      </w:r>
      <w:r w:rsidR="000824C4" w:rsidRPr="002A2450">
        <w:rPr>
          <w:rFonts w:ascii="ITC Avant Garde" w:hAnsi="ITC Avant Garde"/>
        </w:rPr>
        <w:t xml:space="preserve">isa a que Oficio se refiere respecto de la </w:t>
      </w:r>
      <w:r w:rsidR="000824C4" w:rsidRPr="002A2450">
        <w:rPr>
          <w:rFonts w:ascii="ITC Avant Garde" w:hAnsi="ITC Avant Garde"/>
          <w:i/>
        </w:rPr>
        <w:t xml:space="preserve">adquisición de control </w:t>
      </w:r>
      <w:r w:rsidRPr="002A2450">
        <w:rPr>
          <w:rFonts w:ascii="ITC Avant Garde" w:hAnsi="ITC Avant Garde"/>
        </w:rPr>
        <w:t>no se está en condiciones de responder de manera específica.</w:t>
      </w:r>
      <w:r w:rsidR="000824C4" w:rsidRPr="002A2450">
        <w:rPr>
          <w:rFonts w:ascii="ITC Avant Garde" w:hAnsi="ITC Avant Garde"/>
        </w:rPr>
        <w:t xml:space="preserve"> Sin embargo, </w:t>
      </w:r>
      <w:r w:rsidRPr="002A2450">
        <w:rPr>
          <w:rFonts w:ascii="ITC Avant Garde" w:hAnsi="ITC Avant Garde"/>
        </w:rPr>
        <w:t>el hecho de que ciertas relaciones entre agentes sean “explicables” o necesarias para hacer eficiente una relación principal-agente, no excluye que dicha relación pueda configurar una concentración. La existencia de eficiencias puede justificar una concentración para su autorización, pero en un procedimiento de investigación por concentración prohibida no se toman en cuenta las eficiencias.</w:t>
      </w:r>
    </w:p>
    <w:p w14:paraId="68F997D0" w14:textId="77777777" w:rsidR="00B35F13" w:rsidRDefault="000824C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Dado que no se precisa a que Oficio de se refiere, no se está en condiciones de responder de manera específica s</w:t>
      </w:r>
      <w:r w:rsidR="00D44DC3" w:rsidRPr="002A2450">
        <w:rPr>
          <w:rFonts w:ascii="ITC Avant Garde" w:hAnsi="ITC Avant Garde"/>
        </w:rPr>
        <w:t>i el Oficio identifica correctamente la potencial participación en ingresos derivada el contrato de opción, como una forma de dividendos por aportación de capital.</w:t>
      </w:r>
    </w:p>
    <w:p w14:paraId="61AB8324" w14:textId="77777777" w:rsidR="00B35F13" w:rsidRDefault="000824C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 xml:space="preserve">El perito señala que del análisis de los contratos se refleja que </w:t>
      </w:r>
      <w:r w:rsidRPr="002A2450">
        <w:rPr>
          <w:rFonts w:ascii="ITC Avant Garde" w:hAnsi="ITC Avant Garde"/>
          <w:b/>
        </w:rPr>
        <w:t xml:space="preserve">“TELMEX”/”TENINVER” </w:t>
      </w:r>
      <w:r w:rsidRPr="002A2450">
        <w:rPr>
          <w:rFonts w:ascii="ITC Avant Garde" w:hAnsi="ITC Avant Garde"/>
        </w:rPr>
        <w:t xml:space="preserve">obtuvo derechos sobre </w:t>
      </w:r>
      <w:r w:rsidRPr="002A2450">
        <w:rPr>
          <w:rFonts w:ascii="ITC Avant Garde" w:hAnsi="ITC Avant Garde"/>
          <w:b/>
        </w:rPr>
        <w:t>“DISH MÉXICO”</w:t>
      </w:r>
      <w:r w:rsidRPr="002A2450">
        <w:rPr>
          <w:rFonts w:ascii="ITC Avant Garde" w:hAnsi="ITC Avant Garde"/>
        </w:rPr>
        <w:t xml:space="preserve">, resultando una situación de control de la que se advierte que el primero adquirió la posibilidad de establecer control sobre las decisiones de </w:t>
      </w:r>
      <w:r w:rsidRPr="002A2450">
        <w:rPr>
          <w:rFonts w:ascii="ITC Avant Garde" w:hAnsi="ITC Avant Garde"/>
          <w:b/>
        </w:rPr>
        <w:t>“COFRESA”</w:t>
      </w:r>
      <w:r w:rsidRPr="002A2450">
        <w:rPr>
          <w:rFonts w:ascii="ITC Avant Garde" w:hAnsi="ITC Avant Garde"/>
        </w:rPr>
        <w:t>/</w:t>
      </w:r>
      <w:r w:rsidRPr="002A2450">
        <w:rPr>
          <w:rFonts w:ascii="ITC Avant Garde" w:hAnsi="ITC Avant Garde"/>
          <w:b/>
        </w:rPr>
        <w:t>“DISH MÉXICO”</w:t>
      </w:r>
      <w:r w:rsidRPr="002A2450">
        <w:rPr>
          <w:rFonts w:ascii="ITC Avant Garde" w:hAnsi="ITC Avant Garde"/>
        </w:rPr>
        <w:t xml:space="preserve"> desde la firma de los contratos y que por la naturaleza de éstos, </w:t>
      </w:r>
      <w:r w:rsidRPr="002A2450">
        <w:rPr>
          <w:rFonts w:ascii="ITC Avant Garde" w:hAnsi="ITC Avant Garde"/>
        </w:rPr>
        <w:lastRenderedPageBreak/>
        <w:t xml:space="preserve">tenían la obligación de notificar como concentración, las transacciones realizadas a las autoridades de competencia, </w:t>
      </w:r>
      <w:r w:rsidRPr="002A2450">
        <w:rPr>
          <w:rFonts w:ascii="ITC Avant Garde" w:hAnsi="ITC Avant Garde"/>
          <w:b/>
          <w:u w:val="single"/>
        </w:rPr>
        <w:t>sin embargo el perito no es contundente</w:t>
      </w:r>
      <w:r w:rsidR="008F718E" w:rsidRPr="002A2450">
        <w:rPr>
          <w:rFonts w:ascii="ITC Avant Garde" w:hAnsi="ITC Avant Garde"/>
          <w:b/>
          <w:color w:val="C00000"/>
          <w:u w:val="single"/>
        </w:rPr>
        <w:t xml:space="preserve"> </w:t>
      </w:r>
      <w:r w:rsidRPr="002A2450">
        <w:rPr>
          <w:rFonts w:ascii="ITC Avant Garde" w:hAnsi="ITC Avant Garde"/>
        </w:rPr>
        <w:t>en señalar si</w:t>
      </w:r>
      <w:r w:rsidR="008F718E" w:rsidRPr="002A2450">
        <w:rPr>
          <w:rFonts w:ascii="ITC Avant Garde" w:hAnsi="ITC Avant Garde"/>
          <w:color w:val="C00000"/>
        </w:rPr>
        <w:t xml:space="preserve"> </w:t>
      </w:r>
      <w:r w:rsidR="00D44DC3" w:rsidRPr="002A2450">
        <w:rPr>
          <w:rFonts w:ascii="ITC Avant Garde" w:hAnsi="ITC Avant Garde"/>
        </w:rPr>
        <w:t xml:space="preserve">desde la perspectiva económica </w:t>
      </w:r>
      <w:r w:rsidRPr="002A2450">
        <w:rPr>
          <w:rFonts w:ascii="ITC Avant Garde" w:hAnsi="ITC Avant Garde"/>
          <w:b/>
        </w:rPr>
        <w:t>“TELMEX”/”DISH MÉXICO”</w:t>
      </w:r>
      <w:r w:rsidRPr="002A2450">
        <w:rPr>
          <w:rFonts w:ascii="ITC Avant Garde" w:hAnsi="ITC Avant Garde"/>
        </w:rPr>
        <w:t xml:space="preserve"> </w:t>
      </w:r>
      <w:r w:rsidR="00D44DC3" w:rsidRPr="002A2450">
        <w:rPr>
          <w:rFonts w:ascii="ITC Avant Garde" w:hAnsi="ITC Avant Garde"/>
        </w:rPr>
        <w:t>pueden considerarse como una sola unidad económica.</w:t>
      </w:r>
    </w:p>
    <w:p w14:paraId="357626BD" w14:textId="77777777" w:rsidR="00B35F13" w:rsidRDefault="00F269B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b/>
        </w:rPr>
        <w:t>“DISH MÉXICO”</w:t>
      </w:r>
      <w:r w:rsidRPr="002A2450">
        <w:rPr>
          <w:rFonts w:ascii="ITC Avant Garde" w:hAnsi="ITC Avant Garde"/>
        </w:rPr>
        <w:t xml:space="preserve"> </w:t>
      </w:r>
      <w:r w:rsidR="00D44DC3" w:rsidRPr="002A2450">
        <w:rPr>
          <w:rFonts w:ascii="ITC Avant Garde" w:hAnsi="ITC Avant Garde"/>
        </w:rPr>
        <w:t xml:space="preserve">y </w:t>
      </w:r>
      <w:r w:rsidRPr="002A2450">
        <w:rPr>
          <w:rFonts w:ascii="ITC Avant Garde" w:hAnsi="ITC Avant Garde"/>
          <w:b/>
        </w:rPr>
        <w:t xml:space="preserve">“COFRESA” </w:t>
      </w:r>
      <w:r w:rsidR="00D44DC3" w:rsidRPr="002A2450">
        <w:rPr>
          <w:rFonts w:ascii="ITC Avant Garde" w:hAnsi="ITC Avant Garde"/>
        </w:rPr>
        <w:t xml:space="preserve">no tienen la capacidad de fijar precios en el mercado de </w:t>
      </w:r>
      <w:r w:rsidR="000A68C4" w:rsidRPr="002A2450">
        <w:rPr>
          <w:rFonts w:ascii="ITC Avant Garde" w:hAnsi="ITC Avant Garde"/>
          <w:b/>
        </w:rPr>
        <w:t>“DTH”</w:t>
      </w:r>
      <w:r w:rsidR="00D44DC3" w:rsidRPr="002A2450">
        <w:rPr>
          <w:rFonts w:ascii="ITC Avant Garde" w:hAnsi="ITC Avant Garde"/>
        </w:rPr>
        <w:t xml:space="preserve"> ni derivado del control que ejerció </w:t>
      </w:r>
      <w:r w:rsidRPr="002A2450">
        <w:rPr>
          <w:rFonts w:ascii="ITC Avant Garde" w:hAnsi="ITC Avant Garde"/>
          <w:b/>
        </w:rPr>
        <w:t>“TELMEX”/”TENINVER”</w:t>
      </w:r>
      <w:r w:rsidR="00D44DC3" w:rsidRPr="002A2450">
        <w:rPr>
          <w:rFonts w:ascii="ITC Avant Garde" w:hAnsi="ITC Avant Garde"/>
        </w:rPr>
        <w:t>, ya</w:t>
      </w:r>
      <w:r w:rsidRPr="002A2450">
        <w:rPr>
          <w:rFonts w:ascii="ITC Avant Garde" w:hAnsi="ITC Avant Garde"/>
        </w:rPr>
        <w:t xml:space="preserve"> que </w:t>
      </w:r>
      <w:r w:rsidR="00D44DC3" w:rsidRPr="002A2450">
        <w:rPr>
          <w:rFonts w:ascii="ITC Avant Garde" w:hAnsi="ITC Avant Garde"/>
        </w:rPr>
        <w:t xml:space="preserve">ello correspondería a un agente con poder sustancial en un mercado relevante de televisión restringida, satelital u otro, siendo improbable que </w:t>
      </w:r>
      <w:r w:rsidRPr="002A2450">
        <w:rPr>
          <w:rFonts w:ascii="ITC Avant Garde" w:hAnsi="ITC Avant Garde"/>
          <w:b/>
        </w:rPr>
        <w:t>“TELMEX”/”DISH MÉXICO”</w:t>
      </w:r>
      <w:r w:rsidRPr="002A2450">
        <w:rPr>
          <w:rFonts w:ascii="ITC Avant Garde" w:hAnsi="ITC Avant Garde"/>
        </w:rPr>
        <w:t xml:space="preserve"> </w:t>
      </w:r>
      <w:r w:rsidR="00D44DC3" w:rsidRPr="002A2450">
        <w:rPr>
          <w:rFonts w:ascii="ITC Avant Garde" w:hAnsi="ITC Avant Garde"/>
        </w:rPr>
        <w:t>tuvieran poder sustancial en esos mercados relevantes.</w:t>
      </w:r>
    </w:p>
    <w:p w14:paraId="217D888C" w14:textId="77777777" w:rsidR="00B35F13" w:rsidRDefault="002D1219"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1</w:t>
      </w:r>
      <w:r w:rsidR="00F269B4" w:rsidRPr="002A2450">
        <w:rPr>
          <w:rFonts w:ascii="ITC Avant Garde" w:hAnsi="ITC Avant Garde"/>
        </w:rPr>
        <w:t>En cuanto a determinar si</w:t>
      </w:r>
      <w:r w:rsidR="00D44DC3" w:rsidRPr="002A2450">
        <w:rPr>
          <w:rFonts w:ascii="ITC Avant Garde" w:hAnsi="ITC Avant Garde"/>
        </w:rPr>
        <w:t xml:space="preserve"> la tarifa que cobra </w:t>
      </w:r>
      <w:r w:rsidR="00F269B4" w:rsidRPr="002A2450">
        <w:rPr>
          <w:rFonts w:ascii="ITC Avant Garde" w:hAnsi="ITC Avant Garde"/>
          <w:b/>
        </w:rPr>
        <w:t>“TELMEX”</w:t>
      </w:r>
      <w:r w:rsidR="00D44DC3" w:rsidRPr="002A2450">
        <w:rPr>
          <w:rFonts w:ascii="ITC Avant Garde" w:hAnsi="ITC Avant Garde"/>
        </w:rPr>
        <w:t xml:space="preserve"> al amparo del contrato de arrendamiento es irracional para r</w:t>
      </w:r>
      <w:r w:rsidR="00F269B4" w:rsidRPr="002A2450">
        <w:rPr>
          <w:rFonts w:ascii="ITC Avant Garde" w:hAnsi="ITC Avant Garde"/>
        </w:rPr>
        <w:t xml:space="preserve">ecuperar la inversión en equipo el perito señala que </w:t>
      </w:r>
      <w:r w:rsidR="00D44DC3" w:rsidRPr="002A2450">
        <w:rPr>
          <w:rFonts w:ascii="ITC Avant Garde" w:hAnsi="ITC Avant Garde"/>
        </w:rPr>
        <w:t xml:space="preserve">no se cuenta con información de los costos reales del equipo, ni de las formas en que </w:t>
      </w:r>
      <w:r w:rsidR="00F269B4" w:rsidRPr="002A2450">
        <w:rPr>
          <w:rFonts w:ascii="ITC Avant Garde" w:hAnsi="ITC Avant Garde"/>
          <w:b/>
        </w:rPr>
        <w:t>“TENINVER”</w:t>
      </w:r>
      <w:r w:rsidR="00F269B4" w:rsidRPr="002A2450">
        <w:rPr>
          <w:rFonts w:ascii="ITC Avant Garde" w:hAnsi="ITC Avant Garde"/>
        </w:rPr>
        <w:t xml:space="preserve"> </w:t>
      </w:r>
      <w:r w:rsidR="00D44DC3" w:rsidRPr="002A2450">
        <w:rPr>
          <w:rFonts w:ascii="ITC Avant Garde" w:hAnsi="ITC Avant Garde"/>
        </w:rPr>
        <w:t>recupera los costos de inversión, ni de las tarifas de arrendamiento, por lo que no es posible determinar si la tarifa es “irracional”.</w:t>
      </w:r>
      <w:r w:rsidR="00F269B4" w:rsidRPr="002A2450">
        <w:rPr>
          <w:rFonts w:ascii="ITC Avant Garde" w:hAnsi="ITC Avant Garde"/>
        </w:rPr>
        <w:t xml:space="preserve"> </w:t>
      </w:r>
      <w:r w:rsidR="00D44DC3" w:rsidRPr="002A2450">
        <w:rPr>
          <w:rFonts w:ascii="ITC Avant Garde" w:hAnsi="ITC Avant Garde"/>
        </w:rPr>
        <w:t xml:space="preserve">No obstante, se señala que en el caso de la opción de compra venta, </w:t>
      </w:r>
      <w:r w:rsidR="00F269B4" w:rsidRPr="002A2450">
        <w:rPr>
          <w:rFonts w:ascii="ITC Avant Garde" w:hAnsi="ITC Avant Garde"/>
          <w:b/>
        </w:rPr>
        <w:t>“TENINVER”</w:t>
      </w:r>
      <w:r w:rsidR="00D44DC3" w:rsidRPr="002A2450">
        <w:rPr>
          <w:rFonts w:ascii="ITC Avant Garde" w:hAnsi="ITC Avant Garde"/>
        </w:rPr>
        <w:t xml:space="preserve"> obtenía benef</w:t>
      </w:r>
      <w:r w:rsidR="00F269B4" w:rsidRPr="002A2450">
        <w:rPr>
          <w:rFonts w:ascii="ITC Avant Garde" w:hAnsi="ITC Avant Garde"/>
        </w:rPr>
        <w:t xml:space="preserve">icios derivado del hecho de que </w:t>
      </w:r>
      <w:r w:rsidR="00F269B4" w:rsidRPr="002A2450">
        <w:rPr>
          <w:rFonts w:ascii="ITC Avant Garde" w:hAnsi="ITC Avant Garde"/>
          <w:b/>
        </w:rPr>
        <w:t xml:space="preserve">“DISH MÉXICO” </w:t>
      </w:r>
      <w:r w:rsidR="00D44DC3" w:rsidRPr="002A2450">
        <w:rPr>
          <w:rFonts w:ascii="ITC Avant Garde" w:hAnsi="ITC Avant Garde"/>
        </w:rPr>
        <w:t>incrementara su valor o rentabilidad.</w:t>
      </w:r>
    </w:p>
    <w:p w14:paraId="6A6BED05" w14:textId="77777777" w:rsidR="00B35F13" w:rsidRDefault="00F269B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Por lo que hace a s</w:t>
      </w:r>
      <w:r w:rsidR="00D44DC3" w:rsidRPr="002A2450">
        <w:rPr>
          <w:rFonts w:ascii="ITC Avant Garde" w:hAnsi="ITC Avant Garde"/>
        </w:rPr>
        <w:t xml:space="preserve">i las tarifas que cobra </w:t>
      </w:r>
      <w:r w:rsidRPr="002A2450">
        <w:rPr>
          <w:rFonts w:ascii="ITC Avant Garde" w:hAnsi="ITC Avant Garde"/>
          <w:b/>
        </w:rPr>
        <w:t>“TELMEX”</w:t>
      </w:r>
      <w:r w:rsidRPr="002A2450">
        <w:rPr>
          <w:rFonts w:ascii="ITC Avant Garde" w:hAnsi="ITC Avant Garde"/>
        </w:rPr>
        <w:t xml:space="preserve"> </w:t>
      </w:r>
      <w:r w:rsidR="00D44DC3" w:rsidRPr="002A2450">
        <w:rPr>
          <w:rFonts w:ascii="ITC Avant Garde" w:hAnsi="ITC Avant Garde"/>
        </w:rPr>
        <w:t>en el Contrato de Servicios, son irracionales o requieren ocultar aportaciones distintas a la</w:t>
      </w:r>
      <w:r w:rsidRPr="002A2450">
        <w:rPr>
          <w:rFonts w:ascii="ITC Avant Garde" w:hAnsi="ITC Avant Garde"/>
        </w:rPr>
        <w:t>s acordadas para ser eficientes, el perito señala que en términos de la respuesta anterior n</w:t>
      </w:r>
      <w:r w:rsidR="00D44DC3" w:rsidRPr="002A2450">
        <w:rPr>
          <w:rFonts w:ascii="ITC Avant Garde" w:hAnsi="ITC Avant Garde"/>
        </w:rPr>
        <w:t>o se está en posibilidad de dar respuesta.</w:t>
      </w:r>
    </w:p>
    <w:p w14:paraId="0676A6B2" w14:textId="77777777" w:rsidR="00B35F13" w:rsidRDefault="00F269B4"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Por lo que se refiere a que si e</w:t>
      </w:r>
      <w:r w:rsidR="00D44DC3" w:rsidRPr="002A2450">
        <w:rPr>
          <w:rFonts w:ascii="ITC Avant Garde" w:hAnsi="ITC Avant Garde"/>
        </w:rPr>
        <w:t>l contrato de distribución presente eficiencias por sí mismo, sin requerir fusio</w:t>
      </w:r>
      <w:r w:rsidRPr="002A2450">
        <w:rPr>
          <w:rFonts w:ascii="ITC Avant Garde" w:hAnsi="ITC Avant Garde"/>
        </w:rPr>
        <w:t xml:space="preserve">nar los servicios de las partes el perito señala que </w:t>
      </w:r>
      <w:r w:rsidR="00D44DC3" w:rsidRPr="002A2450">
        <w:rPr>
          <w:rFonts w:ascii="ITC Avant Garde" w:hAnsi="ITC Avant Garde"/>
        </w:rPr>
        <w:t xml:space="preserve">el contrato en cuestión forma parte de un conjunto de contratos </w:t>
      </w:r>
      <w:r w:rsidRPr="002A2450">
        <w:rPr>
          <w:rFonts w:ascii="ITC Avant Garde" w:hAnsi="ITC Avant Garde"/>
        </w:rPr>
        <w:t>(</w:t>
      </w:r>
      <w:r w:rsidR="00D44DC3" w:rsidRPr="002A2450">
        <w:rPr>
          <w:rFonts w:ascii="ITC Avant Garde" w:hAnsi="ITC Avant Garde"/>
        </w:rPr>
        <w:t>el contrato de prestación de servicios y el contrato de arrendamiento</w:t>
      </w:r>
      <w:r w:rsidRPr="002A2450">
        <w:rPr>
          <w:rFonts w:ascii="ITC Avant Garde" w:hAnsi="ITC Avant Garde"/>
        </w:rPr>
        <w:t>)</w:t>
      </w:r>
      <w:r w:rsidR="00D44DC3" w:rsidRPr="002A2450">
        <w:rPr>
          <w:rFonts w:ascii="ITC Avant Garde" w:hAnsi="ITC Avant Garde"/>
        </w:rPr>
        <w:t xml:space="preserve"> por ello, se considera que el Contrato de Distribución aprovecha eficiencias, sin que ello excluya que haya existido una concentración y que la misma no hubiera sido notificada.</w:t>
      </w:r>
    </w:p>
    <w:p w14:paraId="54D25E35"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lastRenderedPageBreak/>
        <w:t xml:space="preserve">La pregunta no define “autonomía económica”, por lo que se </w:t>
      </w:r>
      <w:r w:rsidR="00F269B4" w:rsidRPr="002A2450">
        <w:rPr>
          <w:rFonts w:ascii="ITC Avant Garde" w:hAnsi="ITC Avant Garde"/>
        </w:rPr>
        <w:t>imposibilita emitir una opinión, t</w:t>
      </w:r>
      <w:r w:rsidRPr="002A2450">
        <w:rPr>
          <w:rFonts w:ascii="ITC Avant Garde" w:hAnsi="ITC Avant Garde"/>
        </w:rPr>
        <w:t>ampoco se define “capacidad de eficiencia”, por lo que sólo se puede dar una respuesta en términos generales.</w:t>
      </w:r>
      <w:r w:rsidR="00F269B4" w:rsidRPr="002A2450">
        <w:rPr>
          <w:rFonts w:ascii="ITC Avant Garde" w:hAnsi="ITC Avant Garde"/>
        </w:rPr>
        <w:t xml:space="preserve"> Sin embargo, l</w:t>
      </w:r>
      <w:r w:rsidRPr="002A2450">
        <w:rPr>
          <w:rFonts w:ascii="ITC Avant Garde" w:hAnsi="ITC Avant Garde"/>
        </w:rPr>
        <w:t>os contratos no son eficientes en términos absolutos sino relativos en función del contexto en el que se establecen, dado que generalmente los agentes tienen incentivos en firmar contratos más eficientes, pero no siempre es posible por limitaciones en el sistema jurídico o la incapacidad de llegar a un acuerdo.</w:t>
      </w:r>
      <w:r w:rsidR="00F269B4" w:rsidRPr="002A2450">
        <w:rPr>
          <w:rFonts w:ascii="ITC Avant Garde" w:hAnsi="ITC Avant Garde"/>
        </w:rPr>
        <w:t xml:space="preserve"> </w:t>
      </w:r>
      <w:r w:rsidRPr="002A2450">
        <w:rPr>
          <w:rFonts w:ascii="ITC Avant Garde" w:hAnsi="ITC Avant Garde"/>
        </w:rPr>
        <w:t xml:space="preserve">En conjunto, la relación contractual entre </w:t>
      </w:r>
      <w:r w:rsidR="00F269B4" w:rsidRPr="002A2450">
        <w:rPr>
          <w:rFonts w:ascii="ITC Avant Garde" w:hAnsi="ITC Avant Garde"/>
          <w:b/>
        </w:rPr>
        <w:t xml:space="preserve">“TELMEX”/”TENINVER” </w:t>
      </w:r>
      <w:r w:rsidRPr="002A2450">
        <w:rPr>
          <w:rFonts w:ascii="ITC Avant Garde" w:hAnsi="ITC Avant Garde"/>
        </w:rPr>
        <w:t xml:space="preserve">y </w:t>
      </w:r>
      <w:r w:rsidR="00F269B4" w:rsidRPr="002A2450">
        <w:rPr>
          <w:rFonts w:ascii="ITC Avant Garde" w:hAnsi="ITC Avant Garde"/>
          <w:b/>
        </w:rPr>
        <w:t>“COFRESA”</w:t>
      </w:r>
      <w:r w:rsidR="00F269B4" w:rsidRPr="002A2450">
        <w:rPr>
          <w:rFonts w:ascii="ITC Avant Garde" w:hAnsi="ITC Avant Garde"/>
        </w:rPr>
        <w:t>/</w:t>
      </w:r>
      <w:r w:rsidR="00F269B4" w:rsidRPr="002A2450">
        <w:rPr>
          <w:rFonts w:ascii="ITC Avant Garde" w:hAnsi="ITC Avant Garde"/>
          <w:b/>
        </w:rPr>
        <w:t>“DISH MÉXICO”</w:t>
      </w:r>
      <w:r w:rsidRPr="002A2450">
        <w:rPr>
          <w:rFonts w:ascii="ITC Avant Garde" w:hAnsi="ITC Avant Garde"/>
        </w:rPr>
        <w:t xml:space="preserve"> otorgan al primero la posibilidad de facturar y cobrar a clientes de manera conjunta el servicio de </w:t>
      </w:r>
      <w:r w:rsidR="000A68C4" w:rsidRPr="002A2450">
        <w:rPr>
          <w:rFonts w:ascii="ITC Avant Garde" w:hAnsi="ITC Avant Garde"/>
          <w:b/>
        </w:rPr>
        <w:t>“DTH”</w:t>
      </w:r>
      <w:r w:rsidR="008F718E" w:rsidRPr="002A2450">
        <w:rPr>
          <w:rFonts w:ascii="ITC Avant Garde" w:hAnsi="ITC Avant Garde"/>
          <w:color w:val="C00000"/>
        </w:rPr>
        <w:t xml:space="preserve"> </w:t>
      </w:r>
      <w:r w:rsidRPr="002A2450">
        <w:rPr>
          <w:rFonts w:ascii="ITC Avant Garde" w:hAnsi="ITC Avant Garde"/>
        </w:rPr>
        <w:t xml:space="preserve">(Contrato de Prestación de Servicios), emplear sus canales de distribución y puntos de venta (Contrato de Distribución) y adquirir los kits CPE para arrendarlos a </w:t>
      </w:r>
      <w:r w:rsidR="00F269B4" w:rsidRPr="002A2450">
        <w:rPr>
          <w:rFonts w:ascii="ITC Avant Garde" w:hAnsi="ITC Avant Garde"/>
          <w:b/>
        </w:rPr>
        <w:t>“DISH MÉXICO”</w:t>
      </w:r>
      <w:r w:rsidRPr="002A2450">
        <w:rPr>
          <w:rFonts w:ascii="ITC Avant Garde" w:hAnsi="ITC Avant Garde"/>
        </w:rPr>
        <w:t xml:space="preserve"> (Contrato de Arrendamiento), por lo que debido a la inversión de </w:t>
      </w:r>
      <w:r w:rsidR="006D0165" w:rsidRPr="002A2450">
        <w:rPr>
          <w:rFonts w:ascii="ITC Avant Garde" w:hAnsi="ITC Avant Garde"/>
          <w:b/>
        </w:rPr>
        <w:t>“TELMEX”/”TENINVER”</w:t>
      </w:r>
      <w:r w:rsidR="008F718E" w:rsidRPr="002A2450">
        <w:rPr>
          <w:rFonts w:ascii="ITC Avant Garde" w:hAnsi="ITC Avant Garde"/>
          <w:b/>
          <w:color w:val="C00000"/>
        </w:rPr>
        <w:t xml:space="preserve"> </w:t>
      </w:r>
      <w:r w:rsidRPr="002A2450">
        <w:rPr>
          <w:rFonts w:ascii="ITC Avant Garde" w:hAnsi="ITC Avant Garde"/>
        </w:rPr>
        <w:t xml:space="preserve">es que se suscribieron además, los contratos de opción de compra y venta y de consecuencias (opción convertible de adquirir el 51% acciones con derecho a voto de </w:t>
      </w:r>
      <w:r w:rsidR="006D0165" w:rsidRPr="002A2450">
        <w:rPr>
          <w:rFonts w:ascii="ITC Avant Garde" w:hAnsi="ITC Avant Garde"/>
          <w:b/>
        </w:rPr>
        <w:t xml:space="preserve">“DISH MÉXICO” </w:t>
      </w:r>
      <w:r w:rsidRPr="002A2450">
        <w:rPr>
          <w:rFonts w:ascii="ITC Avant Garde" w:hAnsi="ITC Avant Garde"/>
        </w:rPr>
        <w:t xml:space="preserve">y creación de un comité conjunto para toma de decisiones en eventos específicos de </w:t>
      </w:r>
      <w:r w:rsidR="006D0165" w:rsidRPr="002A2450">
        <w:rPr>
          <w:rFonts w:ascii="ITC Avant Garde" w:hAnsi="ITC Avant Garde"/>
        </w:rPr>
        <w:t>las actividades de éste último)</w:t>
      </w:r>
      <w:r w:rsidR="007B7A1B" w:rsidRPr="002A2450">
        <w:rPr>
          <w:rFonts w:ascii="ITC Avant Garde" w:hAnsi="ITC Avant Garde"/>
        </w:rPr>
        <w:t xml:space="preserve">. De lo anterior </w:t>
      </w:r>
      <w:r w:rsidR="006D0165" w:rsidRPr="002A2450">
        <w:rPr>
          <w:rFonts w:ascii="ITC Avant Garde" w:hAnsi="ITC Avant Garde"/>
        </w:rPr>
        <w:t xml:space="preserve">se desprende que </w:t>
      </w:r>
      <w:r w:rsidRPr="002A2450">
        <w:rPr>
          <w:rFonts w:ascii="ITC Avant Garde" w:hAnsi="ITC Avant Garde"/>
        </w:rPr>
        <w:t>debido a la interdependencia y condicionalidad de los contratos, no se puede determinar si los mismos son eficientes en términos absolutos al estar interrelacionados y por definir la relación contractual de las partes, siendo que sólo se puede afirmar que un contrato adicionado a otro arreglo contractual previo puede incrementar la eficiencia.</w:t>
      </w:r>
    </w:p>
    <w:p w14:paraId="152376EF"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Como regla general las promociones conjuntas pueden ser más eficientes debido a que reducen costos de producción, aun cuando los servicios tengan un precio por debajo de su costo, sin embargo, debe señalarse que es ambigua la expresión “precio por debajo de su costo” en el contexto de las ofertas de servicios en paquete.</w:t>
      </w:r>
      <w:r w:rsidR="006D0165" w:rsidRPr="002A2450">
        <w:rPr>
          <w:rFonts w:ascii="ITC Avant Garde" w:hAnsi="ITC Avant Garde"/>
        </w:rPr>
        <w:t xml:space="preserve"> </w:t>
      </w:r>
      <w:r w:rsidRPr="002A2450">
        <w:rPr>
          <w:rFonts w:ascii="ITC Avant Garde" w:hAnsi="ITC Avant Garde"/>
        </w:rPr>
        <w:t xml:space="preserve">La comercialización conjunta de dos o más servicios en “paquete” se basa en ahorros o eficiencias en costos y excepcionalmente, son prácticas con fines de ineficiencia (prácticas </w:t>
      </w:r>
      <w:r w:rsidRPr="002A2450">
        <w:rPr>
          <w:rFonts w:ascii="ITC Avant Garde" w:hAnsi="ITC Avant Garde"/>
        </w:rPr>
        <w:lastRenderedPageBreak/>
        <w:t>anticompetitivas), ej. de eficiencias: una misma línea o equipo para varios servicios o una sola cuenta de facturación para varios servicios.</w:t>
      </w:r>
    </w:p>
    <w:p w14:paraId="006B53F8" w14:textId="77777777" w:rsidR="00B35F13" w:rsidRDefault="00D44DC3"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Las promociones conjuntas son eficientes al reducir costos de producción, aun en la presencia de subsidios cruzados, no obstante, existe ambigüedad en la expresión “subsidios cruzados” en el contexto de la comercialización de paquetes.</w:t>
      </w:r>
      <w:r w:rsidR="006D0165" w:rsidRPr="002A2450">
        <w:rPr>
          <w:rFonts w:ascii="ITC Avant Garde" w:hAnsi="ITC Avant Garde"/>
        </w:rPr>
        <w:t xml:space="preserve"> </w:t>
      </w:r>
      <w:r w:rsidRPr="002A2450">
        <w:rPr>
          <w:rFonts w:ascii="ITC Avant Garde" w:hAnsi="ITC Avant Garde"/>
        </w:rPr>
        <w:t>Se reitera que los servicios prestados conjuntamente tiene precios y costos comunes que no pueden ser claramente asignados a los servicios individuales, siendo difícil hablar de “subsidios cruzados” en el contexto de la comercialización de paquetes.</w:t>
      </w:r>
    </w:p>
    <w:p w14:paraId="5E4061BD" w14:textId="77777777" w:rsidR="00B35F13" w:rsidRDefault="006D0165"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D</w:t>
      </w:r>
      <w:r w:rsidR="00D44DC3" w:rsidRPr="002A2450">
        <w:rPr>
          <w:rFonts w:ascii="ITC Avant Garde" w:hAnsi="ITC Avant Garde"/>
        </w:rPr>
        <w:t>os entidades independientes en mercados distintos no podrían realizar subsidios cruzados sin ponerse de acuerdo (eliminando la independencia) para que una (o las dos en distintos periodos), reduzca el precio por debajo del costo marginal, mientras que la otra fija el precio por arriba de dicho costo, de tal forma que las transferencias realizadas entre una empresa y otra subsidien las pérdidas del mercado</w:t>
      </w:r>
      <w:r w:rsidRPr="002A2450">
        <w:rPr>
          <w:rFonts w:ascii="ITC Avant Garde" w:hAnsi="ITC Avant Garde"/>
        </w:rPr>
        <w:t xml:space="preserve"> para desplazar a otros agentes,</w:t>
      </w:r>
      <w:r w:rsidR="008F718E" w:rsidRPr="002A2450">
        <w:rPr>
          <w:rFonts w:ascii="ITC Avant Garde" w:hAnsi="ITC Avant Garde"/>
          <w:color w:val="C00000"/>
        </w:rPr>
        <w:t xml:space="preserve"> </w:t>
      </w:r>
      <w:r w:rsidR="00D44DC3" w:rsidRPr="002A2450">
        <w:rPr>
          <w:rFonts w:ascii="ITC Avant Garde" w:hAnsi="ITC Avant Garde"/>
        </w:rPr>
        <w:t xml:space="preserve">de este modo una empresa que incurre en la fijación de un </w:t>
      </w:r>
      <w:r w:rsidR="007B7A1B" w:rsidRPr="002A2450">
        <w:rPr>
          <w:rFonts w:ascii="ITC Avant Garde" w:hAnsi="ITC Avant Garde"/>
        </w:rPr>
        <w:t xml:space="preserve">precio </w:t>
      </w:r>
      <w:r w:rsidR="00D44DC3" w:rsidRPr="002A2450">
        <w:rPr>
          <w:rFonts w:ascii="ITC Avant Garde" w:hAnsi="ITC Avant Garde"/>
        </w:rPr>
        <w:t>por debajo de su costo marginal, sin usar los ingresos de otra empresa (dos empresas independientes) para subsidiar pérdidas, se consideraría que incurre en precios predatorios, por tanto, el subsidio empleado para compensar pérdidas no sería un subsidio cruzado por que no usaría ingresos propios.</w:t>
      </w:r>
    </w:p>
    <w:p w14:paraId="01062430" w14:textId="77777777" w:rsidR="00B35F13" w:rsidRDefault="006D0165" w:rsidP="007E623E">
      <w:pPr>
        <w:pStyle w:val="Prrafodelista"/>
        <w:numPr>
          <w:ilvl w:val="0"/>
          <w:numId w:val="40"/>
        </w:numPr>
        <w:spacing w:before="240" w:line="360" w:lineRule="auto"/>
        <w:ind w:left="567" w:hanging="567"/>
        <w:jc w:val="both"/>
        <w:rPr>
          <w:rFonts w:ascii="ITC Avant Garde" w:hAnsi="ITC Avant Garde"/>
        </w:rPr>
      </w:pPr>
      <w:r w:rsidRPr="002A2450">
        <w:rPr>
          <w:rFonts w:ascii="ITC Avant Garde" w:hAnsi="ITC Avant Garde"/>
        </w:rPr>
        <w:t>L</w:t>
      </w:r>
      <w:r w:rsidR="00D44DC3" w:rsidRPr="002A2450">
        <w:rPr>
          <w:rFonts w:ascii="ITC Avant Garde" w:hAnsi="ITC Avant Garde"/>
        </w:rPr>
        <w:t>a asimetría de información es un elemento común de todo tipo de relación comercial o de otro tipo, puesto que alguna de las partes en la relación contractual carece de información específica sobre el tipo de agente o tipo de acciones que éste puede tomar, por lo que dicho elemento está presente en casi todas las relaciones.</w:t>
      </w:r>
    </w:p>
    <w:p w14:paraId="1906AAE8" w14:textId="77777777" w:rsidR="00B35F13" w:rsidRDefault="006D0165" w:rsidP="00B35F13">
      <w:pPr>
        <w:spacing w:before="240" w:line="360" w:lineRule="auto"/>
        <w:jc w:val="both"/>
        <w:rPr>
          <w:rFonts w:ascii="ITC Avant Garde" w:hAnsi="ITC Avant Garde"/>
        </w:rPr>
      </w:pPr>
      <w:r w:rsidRPr="002A2450">
        <w:rPr>
          <w:rFonts w:ascii="ITC Avant Garde" w:hAnsi="ITC Avant Garde"/>
        </w:rPr>
        <w:t xml:space="preserve">Ahora bien, con base en las respuestas otorgadas por el perito designado por esta autoridad se puede precisar que </w:t>
      </w:r>
      <w:r w:rsidR="007B7A1B" w:rsidRPr="002A2450">
        <w:rPr>
          <w:rFonts w:ascii="ITC Avant Garde" w:hAnsi="ITC Avant Garde"/>
        </w:rPr>
        <w:t>el</w:t>
      </w:r>
      <w:r w:rsidRPr="002A2450">
        <w:rPr>
          <w:rFonts w:ascii="ITC Avant Garde" w:hAnsi="ITC Avant Garde"/>
        </w:rPr>
        <w:t xml:space="preserve"> mism</w:t>
      </w:r>
      <w:r w:rsidR="007B7A1B" w:rsidRPr="002A2450">
        <w:rPr>
          <w:rFonts w:ascii="ITC Avant Garde" w:hAnsi="ITC Avant Garde"/>
        </w:rPr>
        <w:t>o</w:t>
      </w:r>
      <w:r w:rsidRPr="002A2450">
        <w:rPr>
          <w:rFonts w:ascii="ITC Avant Garde" w:hAnsi="ITC Avant Garde"/>
        </w:rPr>
        <w:t xml:space="preserve"> concluye lo siguiente:</w:t>
      </w:r>
    </w:p>
    <w:p w14:paraId="2708851A" w14:textId="77777777" w:rsidR="00A80E02" w:rsidRDefault="006D0165" w:rsidP="007E623E">
      <w:pPr>
        <w:pStyle w:val="Prrafodelista"/>
        <w:numPr>
          <w:ilvl w:val="0"/>
          <w:numId w:val="41"/>
        </w:numPr>
        <w:spacing w:before="240" w:line="360" w:lineRule="auto"/>
        <w:jc w:val="both"/>
        <w:rPr>
          <w:rFonts w:ascii="ITC Avant Garde" w:hAnsi="ITC Avant Garde"/>
        </w:rPr>
        <w:sectPr w:rsidR="00A80E02" w:rsidSect="009F3771">
          <w:headerReference w:type="default" r:id="rId68"/>
          <w:pgSz w:w="12240" w:h="15840"/>
          <w:pgMar w:top="1985" w:right="1701" w:bottom="1418" w:left="1701" w:header="709" w:footer="709" w:gutter="0"/>
          <w:cols w:space="708"/>
          <w:docGrid w:linePitch="360"/>
        </w:sectPr>
      </w:pPr>
      <w:r w:rsidRPr="002A2450">
        <w:rPr>
          <w:rFonts w:ascii="ITC Avant Garde" w:hAnsi="ITC Avant Garde"/>
        </w:rPr>
        <w:t xml:space="preserve">Individualmente los contratos son una relación comercial, en conjunto un mecanismo de influencia de </w:t>
      </w:r>
      <w:r w:rsidRPr="002A2450">
        <w:rPr>
          <w:rFonts w:ascii="ITC Avant Garde" w:hAnsi="ITC Avant Garde"/>
          <w:b/>
        </w:rPr>
        <w:t>“TELMEX”</w:t>
      </w:r>
      <w:r w:rsidRPr="002A2450">
        <w:rPr>
          <w:rFonts w:ascii="ITC Avant Garde" w:hAnsi="ITC Avant Garde"/>
        </w:rPr>
        <w:t xml:space="preserve"> respecto de </w:t>
      </w:r>
      <w:r w:rsidRPr="002A2450">
        <w:rPr>
          <w:rFonts w:ascii="ITC Avant Garde" w:hAnsi="ITC Avant Garde"/>
          <w:b/>
        </w:rPr>
        <w:t xml:space="preserve">“COFRESA” </w:t>
      </w:r>
      <w:r w:rsidRPr="002A2450">
        <w:rPr>
          <w:rFonts w:ascii="ITC Avant Garde" w:hAnsi="ITC Avant Garde"/>
        </w:rPr>
        <w:t xml:space="preserve">dado que la </w:t>
      </w:r>
    </w:p>
    <w:p w14:paraId="6FDAED1E" w14:textId="2E0593EC" w:rsidR="00B35F13" w:rsidRDefault="006D0165" w:rsidP="00A80E02">
      <w:pPr>
        <w:pStyle w:val="Prrafodelista"/>
        <w:spacing w:before="240" w:line="360" w:lineRule="auto"/>
        <w:jc w:val="both"/>
        <w:rPr>
          <w:rFonts w:ascii="ITC Avant Garde" w:hAnsi="ITC Avant Garde"/>
        </w:rPr>
      </w:pPr>
      <w:proofErr w:type="gramStart"/>
      <w:r w:rsidRPr="002A2450">
        <w:rPr>
          <w:rFonts w:ascii="ITC Avant Garde" w:hAnsi="ITC Avant Garde"/>
        </w:rPr>
        <w:lastRenderedPageBreak/>
        <w:t>opción</w:t>
      </w:r>
      <w:proofErr w:type="gramEnd"/>
      <w:r w:rsidRPr="002A2450">
        <w:rPr>
          <w:rFonts w:ascii="ITC Avant Garde" w:hAnsi="ITC Avant Garde"/>
        </w:rPr>
        <w:t xml:space="preserve"> </w:t>
      </w:r>
      <w:r w:rsidR="00E414C0" w:rsidRPr="002A2450">
        <w:rPr>
          <w:rFonts w:ascii="ITC Avant Garde" w:hAnsi="ITC Avant Garde"/>
        </w:rPr>
        <w:t xml:space="preserve">está en función del valor de </w:t>
      </w:r>
      <w:r w:rsidR="00E414C0" w:rsidRPr="002A2450">
        <w:rPr>
          <w:rFonts w:ascii="ITC Avant Garde" w:hAnsi="ITC Avant Garde"/>
          <w:b/>
        </w:rPr>
        <w:t>“DISH MÉXICO”</w:t>
      </w:r>
      <w:r w:rsidR="00E414C0" w:rsidRPr="002A2450">
        <w:rPr>
          <w:rFonts w:ascii="ITC Avant Garde" w:hAnsi="ITC Avant Garde"/>
        </w:rPr>
        <w:t xml:space="preserve"> </w:t>
      </w:r>
      <w:r w:rsidR="007B7A1B" w:rsidRPr="002A2450">
        <w:rPr>
          <w:rFonts w:ascii="ITC Avant Garde" w:hAnsi="ITC Avant Garde"/>
        </w:rPr>
        <w:t xml:space="preserve">y por tanto, </w:t>
      </w:r>
      <w:r w:rsidR="00E414C0" w:rsidRPr="002A2450">
        <w:rPr>
          <w:rFonts w:ascii="ITC Avant Garde" w:hAnsi="ITC Avant Garde"/>
        </w:rPr>
        <w:t>se establecieron controles para ejercer dicha opción.</w:t>
      </w:r>
    </w:p>
    <w:p w14:paraId="50200F65" w14:textId="77777777" w:rsidR="00B35F13" w:rsidRDefault="00E414C0"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 xml:space="preserve">Los contratos de prestación de servicios, de distribución y de arrendamiento, se caracterizan por la relación </w:t>
      </w:r>
      <w:r w:rsidRPr="002A2450">
        <w:rPr>
          <w:rFonts w:ascii="ITC Avant Garde" w:hAnsi="ITC Avant Garde"/>
          <w:i/>
        </w:rPr>
        <w:t>principal-agente</w:t>
      </w:r>
      <w:r w:rsidRPr="002A2450">
        <w:rPr>
          <w:rFonts w:ascii="ITC Avant Garde" w:hAnsi="ITC Avant Garde"/>
        </w:rPr>
        <w:t xml:space="preserve"> donde </w:t>
      </w:r>
      <w:r w:rsidRPr="002A2450">
        <w:rPr>
          <w:rFonts w:ascii="ITC Avant Garde" w:hAnsi="ITC Avant Garde"/>
          <w:b/>
        </w:rPr>
        <w:t xml:space="preserve">“TELMEX”/”TENINVER” </w:t>
      </w:r>
      <w:r w:rsidRPr="002A2450">
        <w:rPr>
          <w:rFonts w:ascii="ITC Avant Garde" w:hAnsi="ITC Avant Garde"/>
        </w:rPr>
        <w:t>actúa como principal de lo que se sigue que tiene incentivos para ejercer un control eficiente (como se advierte del contrato de consecuencias con cláusulas de no competir, mecanismos de información, establecimiento de comité de operaciones, etc.), por lo que se advierte que existen mecanismos de monitoreo como lo son los Contrato de Consecuencias, Contrato de Opción de Compra y Venta</w:t>
      </w:r>
      <w:r w:rsidR="007B7A1B" w:rsidRPr="002A2450">
        <w:rPr>
          <w:rFonts w:ascii="ITC Avant Garde" w:hAnsi="ITC Avant Garde"/>
        </w:rPr>
        <w:t>,</w:t>
      </w:r>
      <w:r w:rsidR="008F718E" w:rsidRPr="002A2450">
        <w:rPr>
          <w:rFonts w:ascii="ITC Avant Garde" w:hAnsi="ITC Avant Garde"/>
          <w:color w:val="C00000"/>
        </w:rPr>
        <w:t xml:space="preserve"> </w:t>
      </w:r>
      <w:r w:rsidR="007B7A1B" w:rsidRPr="002A2450">
        <w:rPr>
          <w:rFonts w:ascii="ITC Avant Garde" w:hAnsi="ITC Avant Garde"/>
        </w:rPr>
        <w:t>mismos que</w:t>
      </w:r>
      <w:r w:rsidRPr="002A2450">
        <w:rPr>
          <w:rFonts w:ascii="ITC Avant Garde" w:hAnsi="ITC Avant Garde"/>
        </w:rPr>
        <w:t xml:space="preserve"> permitieron la posibilidad de limitar eventos específicos para resolver problemas de la relación </w:t>
      </w:r>
      <w:r w:rsidRPr="002A2450">
        <w:rPr>
          <w:rFonts w:ascii="ITC Avant Garde" w:hAnsi="ITC Avant Garde"/>
          <w:i/>
        </w:rPr>
        <w:t xml:space="preserve">principal-agente </w:t>
      </w:r>
      <w:r w:rsidR="007B7A1B" w:rsidRPr="002A2450">
        <w:rPr>
          <w:rFonts w:ascii="ITC Avant Garde" w:hAnsi="ITC Avant Garde"/>
        </w:rPr>
        <w:t xml:space="preserve">mediante, de lo que se concluye que con dichos mecanismos de control, la caracterización de los contratos celebrados no corresponden a la relación </w:t>
      </w:r>
      <w:r w:rsidR="007B7A1B" w:rsidRPr="002A2450">
        <w:rPr>
          <w:rFonts w:ascii="ITC Avant Garde" w:hAnsi="ITC Avant Garde"/>
          <w:i/>
        </w:rPr>
        <w:t>principal-agente</w:t>
      </w:r>
      <w:r w:rsidR="007B7A1B" w:rsidRPr="002A2450">
        <w:rPr>
          <w:rFonts w:ascii="ITC Avant Garde" w:hAnsi="ITC Avant Garde"/>
        </w:rPr>
        <w:t xml:space="preserve"> sino a una relación coaligada cimentada en el interés de la explotación del servicio de </w:t>
      </w:r>
      <w:r w:rsidR="007B7A1B" w:rsidRPr="002A2450">
        <w:rPr>
          <w:rFonts w:ascii="ITC Avant Garde" w:hAnsi="ITC Avant Garde"/>
          <w:b/>
        </w:rPr>
        <w:t>“DTH”</w:t>
      </w:r>
      <w:r w:rsidR="007B7A1B" w:rsidRPr="002A2450">
        <w:rPr>
          <w:rFonts w:ascii="ITC Avant Garde" w:hAnsi="ITC Avant Garde"/>
        </w:rPr>
        <w:t xml:space="preserve"> en México.</w:t>
      </w:r>
    </w:p>
    <w:p w14:paraId="639607AF" w14:textId="77777777" w:rsidR="00B35F13" w:rsidRDefault="00E414C0"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 xml:space="preserve">La relación obtenida de los contratos implica que </w:t>
      </w:r>
      <w:r w:rsidRPr="002A2450">
        <w:rPr>
          <w:rFonts w:ascii="ITC Avant Garde" w:hAnsi="ITC Avant Garde"/>
          <w:b/>
        </w:rPr>
        <w:t>“TELMEX”/”TENINVER”</w:t>
      </w:r>
      <w:r w:rsidRPr="002A2450">
        <w:rPr>
          <w:rFonts w:ascii="ITC Avant Garde" w:hAnsi="ITC Avant Garde"/>
        </w:rPr>
        <w:t xml:space="preserve"> haya adquirido derechos residuales sobre decisiones financieras y operativas </w:t>
      </w:r>
      <w:r w:rsidR="00D939AB" w:rsidRPr="0004375E">
        <w:rPr>
          <w:rFonts w:ascii="ITC Avant Garde" w:eastAsiaTheme="majorEastAsia" w:hAnsi="ITC Avant Garde" w:cstheme="majorBidi"/>
          <w:b/>
          <w:color w:val="0000FF"/>
          <w:szCs w:val="32"/>
        </w:rPr>
        <w:t>“CONFIDENCIAL POR LEY”</w:t>
      </w:r>
      <w:r w:rsidRPr="0004375E">
        <w:rPr>
          <w:rFonts w:ascii="ITC Avant Garde" w:hAnsi="ITC Avant Garde"/>
          <w:b/>
        </w:rPr>
        <w:t>.</w:t>
      </w:r>
    </w:p>
    <w:p w14:paraId="766128C6" w14:textId="77777777" w:rsidR="00B35F13" w:rsidRDefault="00E22BB8"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Los contratos no son completos, al no prever todas las contingencias, por lo que surgen problemas derivados de información asimétrica (el principal no tiene información y el agente la tiene para hacer uso de ella en beneficio propio), sin embargo, los contratos pudieran obedecer a un diseño eficiente para los intereses de las partes para la solución de problemas de principal-agente, pero no necesariamente para una relación a largo plazo entre proveedor y cliente ya que el que su diseño sea conveniente para las partes no significa que sea eficiente en términos sociales.</w:t>
      </w:r>
    </w:p>
    <w:p w14:paraId="1F4435DF" w14:textId="77777777" w:rsidR="00A80E02" w:rsidRDefault="00E22BB8" w:rsidP="007E623E">
      <w:pPr>
        <w:pStyle w:val="Prrafodelista"/>
        <w:numPr>
          <w:ilvl w:val="0"/>
          <w:numId w:val="41"/>
        </w:numPr>
        <w:spacing w:before="240" w:line="360" w:lineRule="auto"/>
        <w:jc w:val="both"/>
        <w:rPr>
          <w:rFonts w:ascii="ITC Avant Garde" w:hAnsi="ITC Avant Garde"/>
        </w:rPr>
        <w:sectPr w:rsidR="00A80E02" w:rsidSect="009F3771">
          <w:headerReference w:type="default" r:id="rId69"/>
          <w:pgSz w:w="12240" w:h="15840"/>
          <w:pgMar w:top="1985" w:right="1701" w:bottom="1418" w:left="1701" w:header="709" w:footer="709" w:gutter="0"/>
          <w:cols w:space="708"/>
          <w:docGrid w:linePitch="360"/>
        </w:sectPr>
      </w:pPr>
      <w:r w:rsidRPr="002A2450">
        <w:rPr>
          <w:rFonts w:ascii="ITC Avant Garde" w:hAnsi="ITC Avant Garde"/>
        </w:rPr>
        <w:t xml:space="preserve">El Contrato de Arrendamiento es una aportación por parte de </w:t>
      </w:r>
      <w:r w:rsidRPr="002A2450">
        <w:rPr>
          <w:rFonts w:ascii="ITC Avant Garde" w:hAnsi="ITC Avant Garde"/>
          <w:b/>
        </w:rPr>
        <w:t xml:space="preserve">“TELMEX”/”TENINVER” </w:t>
      </w:r>
      <w:r w:rsidRPr="002A2450">
        <w:rPr>
          <w:rFonts w:ascii="ITC Avant Garde" w:hAnsi="ITC Avant Garde"/>
        </w:rPr>
        <w:t xml:space="preserve">que involucra a los otros contratos que dan control e </w:t>
      </w:r>
    </w:p>
    <w:p w14:paraId="53A5D134" w14:textId="02CD7668" w:rsidR="00B35F13" w:rsidRDefault="00E22BB8" w:rsidP="00A80E02">
      <w:pPr>
        <w:pStyle w:val="Prrafodelista"/>
        <w:spacing w:before="240" w:line="360" w:lineRule="auto"/>
        <w:jc w:val="both"/>
        <w:rPr>
          <w:rFonts w:ascii="ITC Avant Garde" w:hAnsi="ITC Avant Garde"/>
        </w:rPr>
      </w:pPr>
      <w:proofErr w:type="gramStart"/>
      <w:r w:rsidRPr="002A2450">
        <w:rPr>
          <w:rFonts w:ascii="ITC Avant Garde" w:hAnsi="ITC Avant Garde"/>
        </w:rPr>
        <w:lastRenderedPageBreak/>
        <w:t>influencia</w:t>
      </w:r>
      <w:proofErr w:type="gramEnd"/>
      <w:r w:rsidRPr="002A2450">
        <w:rPr>
          <w:rFonts w:ascii="ITC Avant Garde" w:hAnsi="ITC Avant Garde"/>
        </w:rPr>
        <w:t xml:space="preserve"> sobre decisiones de </w:t>
      </w:r>
      <w:r w:rsidRPr="002A2450">
        <w:rPr>
          <w:rFonts w:ascii="ITC Avant Garde" w:hAnsi="ITC Avant Garde"/>
          <w:b/>
        </w:rPr>
        <w:t>“DISH MÉXICO”</w:t>
      </w:r>
      <w:r w:rsidRPr="002A2450">
        <w:rPr>
          <w:rFonts w:ascii="ITC Avant Garde" w:hAnsi="ITC Avant Garde"/>
        </w:rPr>
        <w:t xml:space="preserve"> y un interés residual sobre los beneficios de éste último, más allá de los que obtendría un acreedor.</w:t>
      </w:r>
    </w:p>
    <w:p w14:paraId="080BB54B" w14:textId="77777777" w:rsidR="00B35F13" w:rsidRDefault="00E22BB8"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En cuanto a lo que debe entenderse por concentración se advirtió que es la capacidad que tiene una empresa sobre otra para ejercer control. Ahora bien en Estados Unidos de América</w:t>
      </w:r>
      <w:r w:rsidR="00512738" w:rsidRPr="002A2450">
        <w:rPr>
          <w:rFonts w:ascii="ITC Avant Garde" w:hAnsi="ITC Avant Garde"/>
        </w:rPr>
        <w:t xml:space="preserve"> la opción no requiere ser notificada hasta en tanto no se ejerza. En la Unión Europea no implica por sí sola una concentración aunque en conjunto con otros factores la conversión de acciones debe ser analizada para determinar si deriva en control exclusivo o de facto. En México, algunas operaciones requieren aprobación para realizar una concentración tratándose de transacciones que resulten en la adquisición o posibilidad de ejercer control (de hecho o de derecho) de manera directa o indirecta.</w:t>
      </w:r>
    </w:p>
    <w:p w14:paraId="0069C21A" w14:textId="77777777" w:rsidR="00B35F13" w:rsidRDefault="00512738"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 xml:space="preserve">La opción </w:t>
      </w:r>
      <w:r w:rsidRPr="002A2450">
        <w:rPr>
          <w:rFonts w:ascii="ITC Avant Garde" w:hAnsi="ITC Avant Garde"/>
          <w:i/>
        </w:rPr>
        <w:t>“</w:t>
      </w:r>
      <w:proofErr w:type="spellStart"/>
      <w:r w:rsidRPr="002A2450">
        <w:rPr>
          <w:rFonts w:ascii="ITC Avant Garde" w:hAnsi="ITC Avant Garde"/>
          <w:i/>
        </w:rPr>
        <w:t>call-put</w:t>
      </w:r>
      <w:proofErr w:type="spellEnd"/>
      <w:r w:rsidRPr="002A2450">
        <w:rPr>
          <w:rFonts w:ascii="ITC Avant Garde" w:hAnsi="ITC Avant Garde"/>
          <w:i/>
        </w:rPr>
        <w:t>”</w:t>
      </w:r>
      <w:r w:rsidRPr="002A2450">
        <w:rPr>
          <w:rFonts w:ascii="ITC Avant Garde" w:hAnsi="ITC Avant Garde"/>
        </w:rPr>
        <w:t xml:space="preserve"> puede ser un mecanismo eficiente para disminuir riesgos aunque la eficiencia es un tema separado puesto que si bien puede ser eficiente para una o ambas partes ello no implica que una de ellas no ejerza control o influencia, por lo que dichas opciones son mecanismos que reducen el riesgo.</w:t>
      </w:r>
    </w:p>
    <w:p w14:paraId="09057C33" w14:textId="77777777" w:rsidR="00B35F13" w:rsidRDefault="00512738" w:rsidP="00B35F13">
      <w:pPr>
        <w:pStyle w:val="Prrafodelista"/>
        <w:spacing w:before="240" w:line="360" w:lineRule="auto"/>
        <w:jc w:val="both"/>
        <w:rPr>
          <w:rFonts w:ascii="ITC Avant Garde" w:hAnsi="ITC Avant Garde"/>
        </w:rPr>
      </w:pPr>
      <w:r w:rsidRPr="002A2450">
        <w:rPr>
          <w:rFonts w:ascii="ITC Avant Garde" w:hAnsi="ITC Avant Garde"/>
        </w:rPr>
        <w:t xml:space="preserve">La opción otorgada a </w:t>
      </w:r>
      <w:r w:rsidRPr="002A2450">
        <w:rPr>
          <w:rFonts w:ascii="ITC Avant Garde" w:hAnsi="ITC Avant Garde"/>
          <w:b/>
        </w:rPr>
        <w:t>“TENINVER”</w:t>
      </w:r>
      <w:r w:rsidRPr="002A2450">
        <w:rPr>
          <w:rFonts w:ascii="ITC Avant Garde" w:hAnsi="ITC Avant Garde"/>
        </w:rPr>
        <w:t xml:space="preserve"> no podría considerarse que implica una adquisición de capital sino hasta que fuera ejercida. Sin embargo, la opción puede crear relaciones de control o influencia antes de su ejercicio, especialmente al suscribirse contratos adicionales o paralelos que faculten en la intervención o restrinjan las decisiones del potencial adquirido.</w:t>
      </w:r>
    </w:p>
    <w:p w14:paraId="1DDC7AB5" w14:textId="77777777" w:rsidR="00B35F13" w:rsidRDefault="00512738"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Los problemas típicos económicos de contratos a largo plazo son el compromiso, renegociación y su cumplimiento.</w:t>
      </w:r>
    </w:p>
    <w:p w14:paraId="2376F2CB" w14:textId="77777777" w:rsidR="00B35F13" w:rsidRDefault="00512738"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 xml:space="preserve">El contrato de arrendamiento prevé una inversión necesaria para la provisión de los kits CPE, por lo que los mecanismos de monitoreo son una herramienta que asegura que las partes cumplan con el objetivo de los contratos, sin embargo, no implica que sea suficiente para resolver problemas de ineficiencia por lo que la existencia de estas puede generar que una de las partes controle a otra, por lo que las condicionalidades y mecanismos de </w:t>
      </w:r>
      <w:r w:rsidRPr="002A2450">
        <w:rPr>
          <w:rFonts w:ascii="ITC Avant Garde" w:hAnsi="ITC Avant Garde"/>
        </w:rPr>
        <w:lastRenderedPageBreak/>
        <w:t xml:space="preserve">monitoreo entre </w:t>
      </w:r>
      <w:r w:rsidRPr="002A2450">
        <w:rPr>
          <w:rFonts w:ascii="ITC Avant Garde" w:hAnsi="ITC Avant Garde"/>
          <w:b/>
        </w:rPr>
        <w:t>“TELMEX”</w:t>
      </w:r>
      <w:r w:rsidRPr="002A2450">
        <w:rPr>
          <w:rFonts w:ascii="ITC Avant Garde" w:hAnsi="ITC Avant Garde"/>
        </w:rPr>
        <w:t xml:space="preserve">, </w:t>
      </w:r>
      <w:r w:rsidRPr="002A2450">
        <w:rPr>
          <w:rFonts w:ascii="ITC Avant Garde" w:hAnsi="ITC Avant Garde"/>
          <w:b/>
        </w:rPr>
        <w:t>“TENINVER”</w:t>
      </w:r>
      <w:r w:rsidRPr="002A2450">
        <w:rPr>
          <w:rFonts w:ascii="ITC Avant Garde" w:hAnsi="ITC Avant Garde"/>
        </w:rPr>
        <w:t xml:space="preserve"> y </w:t>
      </w:r>
      <w:r w:rsidRPr="002A2450">
        <w:rPr>
          <w:rFonts w:ascii="ITC Avant Garde" w:hAnsi="ITC Avant Garde"/>
          <w:b/>
        </w:rPr>
        <w:t xml:space="preserve">“COFRESA” </w:t>
      </w:r>
      <w:r w:rsidRPr="002A2450">
        <w:rPr>
          <w:rFonts w:ascii="ITC Avant Garde" w:hAnsi="ITC Avant Garde"/>
        </w:rPr>
        <w:t>si se podrían considerar elementos necesarios de la relación contractual.</w:t>
      </w:r>
    </w:p>
    <w:p w14:paraId="19504B65" w14:textId="77777777" w:rsidR="00B35F13" w:rsidRDefault="00C81675"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b/>
        </w:rPr>
        <w:t>“DISH MÉXICO”</w:t>
      </w:r>
      <w:r w:rsidRPr="002A2450">
        <w:rPr>
          <w:rFonts w:ascii="ITC Avant Garde" w:hAnsi="ITC Avant Garde"/>
        </w:rPr>
        <w:t xml:space="preserve"> y </w:t>
      </w:r>
      <w:r w:rsidRPr="002A2450">
        <w:rPr>
          <w:rFonts w:ascii="ITC Avant Garde" w:hAnsi="ITC Avant Garde"/>
          <w:b/>
        </w:rPr>
        <w:t xml:space="preserve">“COFRESA” </w:t>
      </w:r>
      <w:r w:rsidRPr="002A2450">
        <w:rPr>
          <w:rFonts w:ascii="ITC Avant Garde" w:hAnsi="ITC Avant Garde"/>
        </w:rPr>
        <w:t xml:space="preserve">no tienen la capacidad de fijar precios en el mercado de </w:t>
      </w:r>
      <w:r w:rsidR="000A68C4" w:rsidRPr="002A2450">
        <w:rPr>
          <w:rFonts w:ascii="ITC Avant Garde" w:hAnsi="ITC Avant Garde"/>
          <w:b/>
        </w:rPr>
        <w:t>“DTH”</w:t>
      </w:r>
      <w:r w:rsidRPr="002A2450">
        <w:rPr>
          <w:rFonts w:ascii="ITC Avant Garde" w:hAnsi="ITC Avant Garde"/>
        </w:rPr>
        <w:t xml:space="preserve"> ni derivado del control que ejerció </w:t>
      </w:r>
      <w:r w:rsidRPr="002A2450">
        <w:rPr>
          <w:rFonts w:ascii="ITC Avant Garde" w:hAnsi="ITC Avant Garde"/>
          <w:b/>
        </w:rPr>
        <w:t xml:space="preserve">“TELMEX”/”TENINVER” </w:t>
      </w:r>
      <w:r w:rsidRPr="002A2450">
        <w:rPr>
          <w:rFonts w:ascii="ITC Avant Garde" w:hAnsi="ITC Avant Garde"/>
        </w:rPr>
        <w:t>ya que ello correspondería a un agente con poder sustancial en un mercado.</w:t>
      </w:r>
    </w:p>
    <w:p w14:paraId="368B342F" w14:textId="77777777" w:rsidR="00B35F13" w:rsidRDefault="00C81675"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 xml:space="preserve">En cuanto a la irracionalidad de las tarifas el perito señala que no cuenta con la información respectiva pero en cualquier caso, de la opción de compra venta, </w:t>
      </w:r>
      <w:r w:rsidRPr="002A2450">
        <w:rPr>
          <w:rFonts w:ascii="ITC Avant Garde" w:hAnsi="ITC Avant Garde"/>
          <w:b/>
        </w:rPr>
        <w:t>“TENINVER”</w:t>
      </w:r>
      <w:r w:rsidRPr="002A2450">
        <w:rPr>
          <w:rFonts w:ascii="ITC Avant Garde" w:hAnsi="ITC Avant Garde"/>
        </w:rPr>
        <w:t xml:space="preserve"> obtenía beneficios derivado del hecho de que </w:t>
      </w:r>
      <w:r w:rsidRPr="002A2450">
        <w:rPr>
          <w:rFonts w:ascii="ITC Avant Garde" w:hAnsi="ITC Avant Garde"/>
          <w:b/>
        </w:rPr>
        <w:t xml:space="preserve">“DISH MÉXICO” </w:t>
      </w:r>
      <w:r w:rsidRPr="002A2450">
        <w:rPr>
          <w:rFonts w:ascii="ITC Avant Garde" w:hAnsi="ITC Avant Garde"/>
        </w:rPr>
        <w:t>incrementara su valor o rentabilidad, asimismo advierte que la irracionalidad no puede ser determinada en el contrato de servicios por las mismas</w:t>
      </w:r>
      <w:r w:rsidR="007B7A1B" w:rsidRPr="002A2450">
        <w:rPr>
          <w:rFonts w:ascii="ITC Avant Garde" w:hAnsi="ITC Avant Garde"/>
        </w:rPr>
        <w:t xml:space="preserve"> consideraciones y finalmente, </w:t>
      </w:r>
      <w:r w:rsidR="00702143" w:rsidRPr="002A2450">
        <w:rPr>
          <w:rFonts w:ascii="ITC Avant Garde" w:hAnsi="ITC Avant Garde"/>
        </w:rPr>
        <w:t>que</w:t>
      </w:r>
      <w:r w:rsidRPr="002A2450">
        <w:rPr>
          <w:rFonts w:ascii="ITC Avant Garde" w:hAnsi="ITC Avant Garde"/>
        </w:rPr>
        <w:t xml:space="preserve"> el contrato de distribución presenta eficiencias derivada de la celebración de contratos interrelacionados. </w:t>
      </w:r>
    </w:p>
    <w:p w14:paraId="4A19C8DE" w14:textId="77777777" w:rsidR="00B35F13" w:rsidRDefault="00C81675"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La interdependencia y condicionalidad de los contratos no puede determinarse si los mismos son eficientes en términos absolutos al estar interrelacionados sino que sólo se puede afirmar que un contrato adicionado a otro arreglo contractual previo puede incrementar la eficiencia.</w:t>
      </w:r>
    </w:p>
    <w:p w14:paraId="45035B02" w14:textId="77777777" w:rsidR="00B35F13" w:rsidRDefault="00C81675" w:rsidP="007E623E">
      <w:pPr>
        <w:pStyle w:val="Prrafodelista"/>
        <w:numPr>
          <w:ilvl w:val="0"/>
          <w:numId w:val="41"/>
        </w:numPr>
        <w:spacing w:before="240" w:line="360" w:lineRule="auto"/>
        <w:jc w:val="both"/>
        <w:rPr>
          <w:rFonts w:ascii="ITC Avant Garde" w:hAnsi="ITC Avant Garde"/>
        </w:rPr>
      </w:pPr>
      <w:r w:rsidRPr="002A2450">
        <w:rPr>
          <w:rFonts w:ascii="ITC Avant Garde" w:hAnsi="ITC Avant Garde"/>
        </w:rPr>
        <w:t>Las promociones conjuntas pueden ser más eficientes debido a que reducen costos de producción, sin embargo, los servicios prestados conjuntamente tiene precios y costos comunes que no pueden ser claramente asignados a los servicios individuales, siendo difícil hablar de “subsidios cruzados” en el contexto de la comercialización de paquetes por lo que dos entidades independientes en mercados distintos no podrían realizar subsidios cruzados sin ponerse de acuerdo (eliminando la independencia) para que una (o las dos en distintos periodos), reduzca el precio por debajo del costo marginal</w:t>
      </w:r>
    </w:p>
    <w:p w14:paraId="735E7653" w14:textId="77777777" w:rsidR="00B35F13" w:rsidRDefault="00C11FC1" w:rsidP="00B35F13">
      <w:pPr>
        <w:spacing w:before="240" w:line="360" w:lineRule="auto"/>
        <w:jc w:val="both"/>
        <w:rPr>
          <w:rFonts w:ascii="ITC Avant Garde" w:hAnsi="ITC Avant Garde"/>
        </w:rPr>
      </w:pPr>
      <w:r w:rsidRPr="002A2450">
        <w:rPr>
          <w:rFonts w:ascii="ITC Avant Garde" w:hAnsi="ITC Avant Garde"/>
        </w:rPr>
        <w:t xml:space="preserve">Ahora bien, habiendo observado las conclusiones de los peritos a las que se ha hecho referencia, esta autoridad en términos de lo dispuesto en el artículo 211 del </w:t>
      </w:r>
      <w:r w:rsidRPr="002A2450">
        <w:rPr>
          <w:rFonts w:ascii="ITC Avant Garde" w:hAnsi="ITC Avant Garde"/>
          <w:b/>
        </w:rPr>
        <w:lastRenderedPageBreak/>
        <w:t xml:space="preserve">“CFPC” </w:t>
      </w:r>
      <w:r w:rsidRPr="002A2450">
        <w:rPr>
          <w:rFonts w:ascii="ITC Avant Garde" w:hAnsi="ITC Avant Garde"/>
        </w:rPr>
        <w:t xml:space="preserve">estima que la pericial ofrecida por </w:t>
      </w:r>
      <w:r w:rsidRPr="002A2450">
        <w:rPr>
          <w:rFonts w:ascii="ITC Avant Garde" w:hAnsi="ITC Avant Garde"/>
          <w:b/>
        </w:rPr>
        <w:t>“TELMEX”</w:t>
      </w:r>
      <w:r w:rsidRPr="002A2450">
        <w:rPr>
          <w:rFonts w:ascii="ITC Avant Garde" w:hAnsi="ITC Avant Garde"/>
        </w:rPr>
        <w:t xml:space="preserve"> resulta </w:t>
      </w:r>
      <w:r w:rsidR="00280C17" w:rsidRPr="002A2450">
        <w:rPr>
          <w:rFonts w:ascii="ITC Avant Garde" w:hAnsi="ITC Avant Garde"/>
        </w:rPr>
        <w:t xml:space="preserve">ineficaz </w:t>
      </w:r>
      <w:r w:rsidRPr="002A2450">
        <w:rPr>
          <w:rFonts w:ascii="ITC Avant Garde" w:hAnsi="ITC Avant Garde"/>
        </w:rPr>
        <w:t xml:space="preserve">para desvirtuar la conducta materia del presente procedimiento, esto es, la presunta </w:t>
      </w:r>
      <w:r w:rsidR="008F718E" w:rsidRPr="009E34A4">
        <w:rPr>
          <w:rFonts w:ascii="ITC Avant Garde" w:hAnsi="ITC Avant Garde"/>
        </w:rPr>
        <w:t xml:space="preserve">explotación indirecta </w:t>
      </w:r>
      <w:r w:rsidRPr="002A2450">
        <w:rPr>
          <w:rFonts w:ascii="ITC Avant Garde" w:hAnsi="ITC Avant Garde"/>
        </w:rPr>
        <w:t>de un título de concesión para prestar el servicio de televisión en el país.</w:t>
      </w:r>
    </w:p>
    <w:p w14:paraId="157D539A" w14:textId="77777777" w:rsidR="00B35F13" w:rsidRDefault="00C11FC1" w:rsidP="00B35F13">
      <w:pPr>
        <w:spacing w:before="240" w:line="360" w:lineRule="auto"/>
        <w:jc w:val="both"/>
        <w:rPr>
          <w:rFonts w:ascii="ITC Avant Garde" w:hAnsi="ITC Avant Garde"/>
        </w:rPr>
      </w:pPr>
      <w:r w:rsidRPr="002A2450">
        <w:rPr>
          <w:rFonts w:ascii="ITC Avant Garde" w:hAnsi="ITC Avant Garde"/>
        </w:rPr>
        <w:t>Lo anterior, ya que si bien cierto que ambos peritos establecen coincidencias como la integración derivada de los contratos y el alineamiento de intereses, también es cierto que dado los problemas que resulta</w:t>
      </w:r>
      <w:r w:rsidR="007B7A1B" w:rsidRPr="002A2450">
        <w:rPr>
          <w:rFonts w:ascii="ITC Avant Garde" w:hAnsi="ITC Avant Garde"/>
        </w:rPr>
        <w:t>n</w:t>
      </w:r>
      <w:r w:rsidRPr="002A2450">
        <w:rPr>
          <w:rFonts w:ascii="ITC Avant Garde" w:hAnsi="ITC Avant Garde"/>
        </w:rPr>
        <w:t xml:space="preserve"> de la información asimétrica y los contratos incompletos, las partes suelen anticipar mecanismos de solución o resolución de las cuestiones futuras derivadas </w:t>
      </w:r>
      <w:r w:rsidR="00531125" w:rsidRPr="002A2450">
        <w:rPr>
          <w:rFonts w:ascii="ITC Avant Garde" w:hAnsi="ITC Avant Garde"/>
        </w:rPr>
        <w:t xml:space="preserve">de </w:t>
      </w:r>
      <w:r w:rsidRPr="002A2450">
        <w:rPr>
          <w:rFonts w:ascii="ITC Avant Garde" w:hAnsi="ITC Avant Garde"/>
        </w:rPr>
        <w:t>factores externos a los contratos.</w:t>
      </w:r>
    </w:p>
    <w:p w14:paraId="1C0DF77C" w14:textId="77777777" w:rsidR="00B35F13" w:rsidRDefault="00C11FC1" w:rsidP="00B35F13">
      <w:pPr>
        <w:spacing w:before="240" w:line="360" w:lineRule="auto"/>
        <w:jc w:val="both"/>
        <w:rPr>
          <w:rFonts w:ascii="ITC Avant Garde" w:hAnsi="ITC Avant Garde"/>
        </w:rPr>
      </w:pPr>
      <w:r w:rsidRPr="002A2450">
        <w:rPr>
          <w:rFonts w:ascii="ITC Avant Garde" w:hAnsi="ITC Avant Garde"/>
        </w:rPr>
        <w:t xml:space="preserve">Pese a lo anterior, debe distinguirse que los mecanismos de control respecto de una relación eminentemente comercial (proveedor- cliente) en atención al modelo </w:t>
      </w:r>
      <w:r w:rsidRPr="002A2450">
        <w:rPr>
          <w:rFonts w:ascii="ITC Avant Garde" w:hAnsi="ITC Avant Garde"/>
          <w:i/>
        </w:rPr>
        <w:t>agente-principal</w:t>
      </w:r>
      <w:r w:rsidRPr="002A2450">
        <w:rPr>
          <w:rFonts w:ascii="ITC Avant Garde" w:hAnsi="ITC Avant Garde"/>
        </w:rPr>
        <w:t xml:space="preserve"> puede llegar a convertirse en un verdadero control de una empresa sobre otra, puesto</w:t>
      </w:r>
      <w:r w:rsidR="007B7A1B" w:rsidRPr="002A2450">
        <w:rPr>
          <w:rFonts w:ascii="ITC Avant Garde" w:hAnsi="ITC Avant Garde"/>
        </w:rPr>
        <w:t xml:space="preserve"> que</w:t>
      </w:r>
      <w:r w:rsidRPr="002A2450">
        <w:rPr>
          <w:rFonts w:ascii="ITC Avant Garde" w:hAnsi="ITC Avant Garde"/>
        </w:rPr>
        <w:t xml:space="preserve"> los incentivos del </w:t>
      </w:r>
      <w:r w:rsidRPr="002A2450">
        <w:rPr>
          <w:rFonts w:ascii="ITC Avant Garde" w:hAnsi="ITC Avant Garde"/>
          <w:i/>
        </w:rPr>
        <w:t>agente</w:t>
      </w:r>
      <w:r w:rsidRPr="002A2450">
        <w:rPr>
          <w:rFonts w:ascii="ITC Avant Garde" w:hAnsi="ITC Avant Garde"/>
        </w:rPr>
        <w:t xml:space="preserve"> en ocasiones puede</w:t>
      </w:r>
      <w:r w:rsidR="007B7A1B" w:rsidRPr="002A2450">
        <w:rPr>
          <w:rFonts w:ascii="ITC Avant Garde" w:hAnsi="ITC Avant Garde"/>
        </w:rPr>
        <w:t>n</w:t>
      </w:r>
      <w:r w:rsidRPr="002A2450">
        <w:rPr>
          <w:rFonts w:ascii="ITC Avant Garde" w:hAnsi="ITC Avant Garde"/>
        </w:rPr>
        <w:t xml:space="preserve"> restar el beneficio que pudiera estar recibiendo e</w:t>
      </w:r>
      <w:r w:rsidR="007B7A1B" w:rsidRPr="002A2450">
        <w:rPr>
          <w:rFonts w:ascii="ITC Avant Garde" w:hAnsi="ITC Avant Garde"/>
        </w:rPr>
        <w:t>l</w:t>
      </w:r>
      <w:r w:rsidRPr="002A2450">
        <w:rPr>
          <w:rFonts w:ascii="ITC Avant Garde" w:hAnsi="ITC Avant Garde"/>
        </w:rPr>
        <w:t xml:space="preserve"> </w:t>
      </w:r>
      <w:r w:rsidRPr="002A2450">
        <w:rPr>
          <w:rFonts w:ascii="ITC Avant Garde" w:hAnsi="ITC Avant Garde"/>
          <w:i/>
        </w:rPr>
        <w:t>principal</w:t>
      </w:r>
      <w:r w:rsidRPr="002A2450">
        <w:rPr>
          <w:rFonts w:ascii="ITC Avant Garde" w:hAnsi="ITC Avant Garde"/>
        </w:rPr>
        <w:t>.</w:t>
      </w:r>
    </w:p>
    <w:p w14:paraId="38D664FC" w14:textId="77777777" w:rsidR="00B35F13" w:rsidRDefault="00C11FC1" w:rsidP="00B35F13">
      <w:pPr>
        <w:spacing w:before="240" w:line="360" w:lineRule="auto"/>
        <w:jc w:val="both"/>
        <w:rPr>
          <w:rFonts w:ascii="ITC Avant Garde" w:hAnsi="ITC Avant Garde"/>
        </w:rPr>
      </w:pPr>
      <w:r w:rsidRPr="002A2450">
        <w:rPr>
          <w:rFonts w:ascii="ITC Avant Garde" w:hAnsi="ITC Avant Garde"/>
        </w:rPr>
        <w:t xml:space="preserve">En ese sentido, en el caso que nos ocupa </w:t>
      </w:r>
      <w:r w:rsidR="00F024C5" w:rsidRPr="002A2450">
        <w:rPr>
          <w:rFonts w:ascii="ITC Avant Garde" w:hAnsi="ITC Avant Garde"/>
        </w:rPr>
        <w:t>los contratos tal y como se ha desarrollado en la presente resolución, advierte</w:t>
      </w:r>
      <w:r w:rsidR="007B7A1B" w:rsidRPr="002A2450">
        <w:rPr>
          <w:rFonts w:ascii="ITC Avant Garde" w:hAnsi="ITC Avant Garde"/>
        </w:rPr>
        <w:t>n</w:t>
      </w:r>
      <w:r w:rsidR="00F024C5" w:rsidRPr="002A2450">
        <w:rPr>
          <w:rFonts w:ascii="ITC Avant Garde" w:hAnsi="ITC Avant Garde"/>
        </w:rPr>
        <w:t xml:space="preserve"> que existen intereses comunes de las partes para la explotación del </w:t>
      </w:r>
      <w:r w:rsidR="00F024C5" w:rsidRPr="002A2450">
        <w:rPr>
          <w:rFonts w:ascii="ITC Avant Garde" w:hAnsi="ITC Avant Garde"/>
          <w:b/>
        </w:rPr>
        <w:t>“DTH”</w:t>
      </w:r>
      <w:r w:rsidR="00F024C5" w:rsidRPr="002A2450">
        <w:rPr>
          <w:rFonts w:ascii="ITC Avant Garde" w:hAnsi="ITC Avant Garde"/>
        </w:rPr>
        <w:t xml:space="preserve"> en México, sin embargo, las economías de escala que representa la eficiencia del derecho residual que otorga </w:t>
      </w:r>
      <w:r w:rsidR="00F024C5" w:rsidRPr="002A2450">
        <w:rPr>
          <w:rFonts w:ascii="ITC Avant Garde" w:hAnsi="ITC Avant Garde"/>
          <w:b/>
        </w:rPr>
        <w:t>“COFRESA”</w:t>
      </w:r>
      <w:r w:rsidR="00F024C5" w:rsidRPr="002A2450">
        <w:rPr>
          <w:rFonts w:ascii="ITC Avant Garde" w:hAnsi="ITC Avant Garde"/>
        </w:rPr>
        <w:t xml:space="preserve"> a </w:t>
      </w:r>
      <w:r w:rsidR="00F024C5" w:rsidRPr="002A2450">
        <w:rPr>
          <w:rFonts w:ascii="ITC Avant Garde" w:hAnsi="ITC Avant Garde"/>
          <w:b/>
        </w:rPr>
        <w:t>“TELMEX”</w:t>
      </w:r>
      <w:r w:rsidR="00F024C5" w:rsidRPr="002A2450">
        <w:rPr>
          <w:rFonts w:ascii="ITC Avant Garde" w:hAnsi="ITC Avant Garde"/>
        </w:rPr>
        <w:t xml:space="preserve"> en las actividades operacionales relacionadas en los contratos de prestación de servicios, distribución y arrendamiento traen aparejada la suscripción de otros contratos como el de opción y de consecuencias, de lo que se sigue que el interés de </w:t>
      </w:r>
      <w:r w:rsidR="00F024C5" w:rsidRPr="002A2450">
        <w:rPr>
          <w:rFonts w:ascii="ITC Avant Garde" w:hAnsi="ITC Avant Garde"/>
          <w:b/>
        </w:rPr>
        <w:t xml:space="preserve">“TELMEX” </w:t>
      </w:r>
      <w:r w:rsidR="00F024C5" w:rsidRPr="002A2450">
        <w:rPr>
          <w:rFonts w:ascii="ITC Avant Garde" w:hAnsi="ITC Avant Garde"/>
        </w:rPr>
        <w:t xml:space="preserve">de que </w:t>
      </w:r>
      <w:r w:rsidR="00F024C5" w:rsidRPr="002A2450">
        <w:rPr>
          <w:rFonts w:ascii="ITC Avant Garde" w:hAnsi="ITC Avant Garde"/>
          <w:b/>
        </w:rPr>
        <w:t>“DISH MÉXICO”</w:t>
      </w:r>
      <w:r w:rsidR="00F024C5" w:rsidRPr="002A2450">
        <w:rPr>
          <w:rFonts w:ascii="ITC Avant Garde" w:hAnsi="ITC Avant Garde"/>
        </w:rPr>
        <w:t xml:space="preserve"> como controladora de </w:t>
      </w:r>
      <w:r w:rsidR="00F024C5" w:rsidRPr="002A2450">
        <w:rPr>
          <w:rFonts w:ascii="ITC Avant Garde" w:hAnsi="ITC Avant Garde"/>
          <w:b/>
        </w:rPr>
        <w:t>“COFRESA”</w:t>
      </w:r>
      <w:r w:rsidR="00F024C5" w:rsidRPr="002A2450">
        <w:rPr>
          <w:rFonts w:ascii="ITC Avant Garde" w:hAnsi="ITC Avant Garde"/>
        </w:rPr>
        <w:t xml:space="preserve"> tenga éxito en el mercado es equiparable con el nivel de inversión relacionado con el contrato de arrendamiento.</w:t>
      </w:r>
    </w:p>
    <w:p w14:paraId="00158142" w14:textId="77777777" w:rsidR="00B35F13" w:rsidRDefault="00F024C5" w:rsidP="00B35F13">
      <w:pPr>
        <w:spacing w:before="240" w:line="360" w:lineRule="auto"/>
        <w:jc w:val="both"/>
        <w:rPr>
          <w:rFonts w:ascii="ITC Avant Garde" w:hAnsi="ITC Avant Garde"/>
        </w:rPr>
      </w:pPr>
      <w:r w:rsidRPr="002A2450">
        <w:rPr>
          <w:rFonts w:ascii="ITC Avant Garde" w:hAnsi="ITC Avant Garde"/>
        </w:rPr>
        <w:t xml:space="preserve">Así las cosas, es dable considerar que para asegurar el éxito del negocio, </w:t>
      </w:r>
      <w:r w:rsidRPr="002A2450">
        <w:rPr>
          <w:rFonts w:ascii="ITC Avant Garde" w:hAnsi="ITC Avant Garde"/>
          <w:b/>
        </w:rPr>
        <w:t>“TELMEX”</w:t>
      </w:r>
      <w:r w:rsidRPr="002A2450">
        <w:rPr>
          <w:rFonts w:ascii="ITC Avant Garde" w:hAnsi="ITC Avant Garde"/>
        </w:rPr>
        <w:t xml:space="preserve"> haya convenido que en los contratos firmados se establecieran cláusulas inherentes a sus intereses como lo son restricciones estatutarias, no competencia, restricción a los títulos de capital, monitoreo, vigilancia, </w:t>
      </w:r>
      <w:r w:rsidR="00B73AA8" w:rsidRPr="002A2450">
        <w:rPr>
          <w:rFonts w:ascii="ITC Avant Garde" w:hAnsi="ITC Avant Garde"/>
        </w:rPr>
        <w:t>auditoría</w:t>
      </w:r>
      <w:r w:rsidRPr="002A2450">
        <w:rPr>
          <w:rFonts w:ascii="ITC Avant Garde" w:hAnsi="ITC Avant Garde"/>
        </w:rPr>
        <w:t xml:space="preserve">, reuniones, otorgamiento de préstamos, etc., puesto que ello precisamente implicaría que la </w:t>
      </w:r>
      <w:r w:rsidRPr="002A2450">
        <w:rPr>
          <w:rFonts w:ascii="ITC Avant Garde" w:hAnsi="ITC Avant Garde"/>
        </w:rPr>
        <w:lastRenderedPageBreak/>
        <w:t>inversión realizada tuviera como efecto estar garantizada al momento de ejercer el derecho de opción.</w:t>
      </w:r>
    </w:p>
    <w:p w14:paraId="7D243494" w14:textId="77777777" w:rsidR="00B35F13" w:rsidRDefault="00F024C5" w:rsidP="00B35F13">
      <w:pPr>
        <w:spacing w:before="240" w:line="360" w:lineRule="auto"/>
        <w:jc w:val="both"/>
        <w:rPr>
          <w:rFonts w:ascii="ITC Avant Garde" w:hAnsi="ITC Avant Garde"/>
        </w:rPr>
      </w:pPr>
      <w:r w:rsidRPr="002A2450">
        <w:rPr>
          <w:rFonts w:ascii="ITC Avant Garde" w:hAnsi="ITC Avant Garde"/>
        </w:rPr>
        <w:t xml:space="preserve">Así las cosas, </w:t>
      </w:r>
      <w:r w:rsidR="009F38A8" w:rsidRPr="002A2450">
        <w:rPr>
          <w:rFonts w:ascii="ITC Avant Garde" w:hAnsi="ITC Avant Garde"/>
        </w:rPr>
        <w:t xml:space="preserve">al existir incentivos suficientes para que pudieran establecerse todos esos mecanismos de control y la aceptación de los mismos por parte de </w:t>
      </w:r>
      <w:r w:rsidR="009F38A8" w:rsidRPr="002A2450">
        <w:rPr>
          <w:rFonts w:ascii="ITC Avant Garde" w:hAnsi="ITC Avant Garde"/>
          <w:b/>
        </w:rPr>
        <w:t xml:space="preserve">“COFRESA” </w:t>
      </w:r>
      <w:r w:rsidR="009F38A8" w:rsidRPr="002A2450">
        <w:rPr>
          <w:rFonts w:ascii="ITC Avant Garde" w:hAnsi="ITC Avant Garde"/>
        </w:rPr>
        <w:t xml:space="preserve">es indudable que las acciones concertadas no corresponden a una relación </w:t>
      </w:r>
      <w:r w:rsidR="007B7A1B" w:rsidRPr="002A2450">
        <w:rPr>
          <w:rFonts w:ascii="ITC Avant Garde" w:hAnsi="ITC Avant Garde"/>
        </w:rPr>
        <w:t xml:space="preserve">meramente </w:t>
      </w:r>
      <w:r w:rsidR="009F38A8" w:rsidRPr="002A2450">
        <w:rPr>
          <w:rFonts w:ascii="ITC Avant Garde" w:hAnsi="ITC Avant Garde"/>
        </w:rPr>
        <w:t>comercial sino a una relación cimenta</w:t>
      </w:r>
      <w:r w:rsidR="00B15DD8" w:rsidRPr="002A2450">
        <w:rPr>
          <w:rFonts w:ascii="ITC Avant Garde" w:hAnsi="ITC Avant Garde"/>
        </w:rPr>
        <w:t>da un proyecto de largo plazo.</w:t>
      </w:r>
    </w:p>
    <w:p w14:paraId="75811F65" w14:textId="77777777" w:rsidR="00B35F13" w:rsidRDefault="00B15DD8" w:rsidP="00B35F13">
      <w:pPr>
        <w:spacing w:before="240" w:line="360" w:lineRule="auto"/>
        <w:jc w:val="both"/>
        <w:rPr>
          <w:rFonts w:ascii="ITC Avant Garde" w:hAnsi="ITC Avant Garde"/>
        </w:rPr>
      </w:pPr>
      <w:r w:rsidRPr="002A2450">
        <w:rPr>
          <w:rFonts w:ascii="ITC Avant Garde" w:hAnsi="ITC Avant Garde"/>
        </w:rPr>
        <w:t xml:space="preserve">Asimismo, no debe perderse de vista que bajo la teoría de los incentivos en la relación </w:t>
      </w:r>
      <w:r w:rsidRPr="002A2450">
        <w:rPr>
          <w:rFonts w:ascii="ITC Avant Garde" w:hAnsi="ITC Avant Garde"/>
          <w:i/>
        </w:rPr>
        <w:t xml:space="preserve">agente-principal </w:t>
      </w:r>
      <w:r w:rsidRPr="002A2450">
        <w:rPr>
          <w:rFonts w:ascii="ITC Avant Garde" w:hAnsi="ITC Avant Garde"/>
        </w:rPr>
        <w:t xml:space="preserve">bajo el planteamiento </w:t>
      </w:r>
      <w:r w:rsidR="00130DE1" w:rsidRPr="002A2450">
        <w:rPr>
          <w:rFonts w:ascii="ITC Avant Garde" w:hAnsi="ITC Avant Garde"/>
        </w:rPr>
        <w:t xml:space="preserve">del interés del </w:t>
      </w:r>
      <w:r w:rsidR="00130DE1" w:rsidRPr="002A2450">
        <w:rPr>
          <w:rFonts w:ascii="ITC Avant Garde" w:hAnsi="ITC Avant Garde"/>
          <w:i/>
        </w:rPr>
        <w:t>agente</w:t>
      </w:r>
      <w:r w:rsidR="00130DE1" w:rsidRPr="002A2450">
        <w:rPr>
          <w:rFonts w:ascii="ITC Avant Garde" w:hAnsi="ITC Avant Garde"/>
        </w:rPr>
        <w:t xml:space="preserve"> puede llegar a vulnerar el interés del principal dada la información asimétrica.</w:t>
      </w:r>
    </w:p>
    <w:p w14:paraId="578161E7" w14:textId="77777777" w:rsidR="00B35F13" w:rsidRDefault="00130DE1" w:rsidP="00B35F13">
      <w:pPr>
        <w:spacing w:before="240" w:line="360" w:lineRule="auto"/>
        <w:jc w:val="both"/>
        <w:rPr>
          <w:rFonts w:ascii="ITC Avant Garde" w:hAnsi="ITC Avant Garde"/>
        </w:rPr>
      </w:pPr>
      <w:r w:rsidRPr="002A2450">
        <w:rPr>
          <w:rFonts w:ascii="ITC Avant Garde" w:hAnsi="ITC Avant Garde"/>
        </w:rPr>
        <w:t xml:space="preserve">Sin embargo, en el presente caso, pareciera que el </w:t>
      </w:r>
      <w:r w:rsidRPr="002A2450">
        <w:rPr>
          <w:rFonts w:ascii="ITC Avant Garde" w:hAnsi="ITC Avant Garde"/>
          <w:i/>
        </w:rPr>
        <w:t xml:space="preserve">principal </w:t>
      </w:r>
      <w:r w:rsidRPr="002A2450">
        <w:rPr>
          <w:rFonts w:ascii="ITC Avant Garde" w:hAnsi="ITC Avant Garde"/>
          <w:b/>
        </w:rPr>
        <w:t>“COFRESA”</w:t>
      </w:r>
      <w:r w:rsidRPr="002A2450">
        <w:rPr>
          <w:rFonts w:ascii="ITC Avant Garde" w:hAnsi="ITC Avant Garde"/>
        </w:rPr>
        <w:t xml:space="preserve"> lejos de imponer los mecanismos de control y vigilancia</w:t>
      </w:r>
      <w:r w:rsidR="007B7A1B" w:rsidRPr="002A2450">
        <w:rPr>
          <w:rFonts w:ascii="ITC Avant Garde" w:hAnsi="ITC Avant Garde"/>
        </w:rPr>
        <w:t>,</w:t>
      </w:r>
      <w:r w:rsidRPr="002A2450">
        <w:rPr>
          <w:rFonts w:ascii="ITC Avant Garde" w:hAnsi="ITC Avant Garde"/>
        </w:rPr>
        <w:t xml:space="preserve"> es el </w:t>
      </w:r>
      <w:r w:rsidRPr="002A2450">
        <w:rPr>
          <w:rFonts w:ascii="ITC Avant Garde" w:hAnsi="ITC Avant Garde"/>
          <w:i/>
        </w:rPr>
        <w:t xml:space="preserve">agente </w:t>
      </w:r>
      <w:r w:rsidRPr="002A2450">
        <w:rPr>
          <w:rFonts w:ascii="ITC Avant Garde" w:hAnsi="ITC Avant Garde"/>
        </w:rPr>
        <w:t>“</w:t>
      </w:r>
      <w:r w:rsidRPr="002A2450">
        <w:rPr>
          <w:rFonts w:ascii="ITC Avant Garde" w:hAnsi="ITC Avant Garde"/>
          <w:b/>
        </w:rPr>
        <w:t>TELMEX</w:t>
      </w:r>
      <w:r w:rsidRPr="002A2450">
        <w:rPr>
          <w:rFonts w:ascii="ITC Avant Garde" w:hAnsi="ITC Avant Garde"/>
        </w:rPr>
        <w:t>”</w:t>
      </w:r>
      <w:r w:rsidRPr="002A2450">
        <w:rPr>
          <w:rFonts w:ascii="ITC Avant Garde" w:hAnsi="ITC Avant Garde"/>
          <w:b/>
        </w:rPr>
        <w:t xml:space="preserve"> </w:t>
      </w:r>
      <w:r w:rsidR="007B7A1B" w:rsidRPr="002A2450">
        <w:rPr>
          <w:rFonts w:ascii="ITC Avant Garde" w:hAnsi="ITC Avant Garde"/>
        </w:rPr>
        <w:t>quien los impone,</w:t>
      </w:r>
      <w:r w:rsidR="007B7A1B" w:rsidRPr="002A2450">
        <w:rPr>
          <w:rFonts w:ascii="ITC Avant Garde" w:hAnsi="ITC Avant Garde"/>
          <w:b/>
        </w:rPr>
        <w:t xml:space="preserve"> </w:t>
      </w:r>
      <w:r w:rsidRPr="002A2450">
        <w:rPr>
          <w:rFonts w:ascii="ITC Avant Garde" w:hAnsi="ITC Avant Garde"/>
        </w:rPr>
        <w:t xml:space="preserve">por lo que de ese modelo dado los contratos firmados pareciera que es </w:t>
      </w:r>
      <w:r w:rsidRPr="002A2450">
        <w:rPr>
          <w:rFonts w:ascii="ITC Avant Garde" w:hAnsi="ITC Avant Garde"/>
          <w:b/>
        </w:rPr>
        <w:t>“COFRESA”</w:t>
      </w:r>
      <w:r w:rsidR="007B7A1B" w:rsidRPr="002A2450">
        <w:rPr>
          <w:rFonts w:ascii="ITC Avant Garde" w:hAnsi="ITC Avant Garde"/>
          <w:b/>
        </w:rPr>
        <w:t xml:space="preserve"> </w:t>
      </w:r>
      <w:r w:rsidR="007B7A1B" w:rsidRPr="002A2450">
        <w:rPr>
          <w:rFonts w:ascii="ITC Avant Garde" w:hAnsi="ITC Avant Garde"/>
        </w:rPr>
        <w:t>la que</w:t>
      </w:r>
      <w:r w:rsidR="007B7A1B" w:rsidRPr="002A2450">
        <w:rPr>
          <w:rFonts w:ascii="ITC Avant Garde" w:hAnsi="ITC Avant Garde"/>
          <w:b/>
        </w:rPr>
        <w:t xml:space="preserve"> </w:t>
      </w:r>
      <w:r w:rsidRPr="002A2450">
        <w:rPr>
          <w:rFonts w:ascii="ITC Avant Garde" w:hAnsi="ITC Avant Garde"/>
        </w:rPr>
        <w:t>se alinea a los inter</w:t>
      </w:r>
      <w:r w:rsidR="00531125" w:rsidRPr="002A2450">
        <w:rPr>
          <w:rFonts w:ascii="ITC Avant Garde" w:hAnsi="ITC Avant Garde"/>
        </w:rPr>
        <w:t>eses</w:t>
      </w:r>
      <w:r w:rsidRPr="002A2450">
        <w:rPr>
          <w:rFonts w:ascii="ITC Avant Garde" w:hAnsi="ITC Avant Garde"/>
        </w:rPr>
        <w:t xml:space="preserve"> de “</w:t>
      </w:r>
      <w:r w:rsidRPr="002A2450">
        <w:rPr>
          <w:rFonts w:ascii="ITC Avant Garde" w:hAnsi="ITC Avant Garde"/>
          <w:b/>
        </w:rPr>
        <w:t>TELMEX</w:t>
      </w:r>
      <w:r w:rsidRPr="002A2450">
        <w:rPr>
          <w:rFonts w:ascii="ITC Avant Garde" w:hAnsi="ITC Avant Garde"/>
        </w:rPr>
        <w:t>”</w:t>
      </w:r>
      <w:r w:rsidR="001606C5" w:rsidRPr="002A2450">
        <w:rPr>
          <w:rFonts w:ascii="ITC Avant Garde" w:hAnsi="ITC Avant Garde"/>
        </w:rPr>
        <w:t xml:space="preserve"> invirtiendo la relación del modelo económico explicado por los especialistas.</w:t>
      </w:r>
    </w:p>
    <w:p w14:paraId="23B694F0" w14:textId="77777777" w:rsidR="00B35F13" w:rsidRDefault="001606C5" w:rsidP="00B35F13">
      <w:pPr>
        <w:spacing w:before="240" w:line="360" w:lineRule="auto"/>
        <w:jc w:val="both"/>
        <w:rPr>
          <w:rFonts w:ascii="ITC Avant Garde" w:hAnsi="ITC Avant Garde"/>
        </w:rPr>
      </w:pPr>
      <w:r w:rsidRPr="002A2450">
        <w:rPr>
          <w:rFonts w:ascii="ITC Avant Garde" w:hAnsi="ITC Avant Garde"/>
        </w:rPr>
        <w:t xml:space="preserve">Así las cosas, aun cuando el modelo señalado y sus características explican algunas relaciones derivadas de los contratos materia del presente procedimiento, </w:t>
      </w:r>
      <w:r w:rsidR="007B7A1B" w:rsidRPr="002A2450">
        <w:rPr>
          <w:rFonts w:ascii="ITC Avant Garde" w:hAnsi="ITC Avant Garde"/>
        </w:rPr>
        <w:t xml:space="preserve">resulta claro </w:t>
      </w:r>
      <w:r w:rsidRPr="002A2450">
        <w:rPr>
          <w:rFonts w:ascii="ITC Avant Garde" w:hAnsi="ITC Avant Garde"/>
        </w:rPr>
        <w:t xml:space="preserve">que los intereses que prevalecen en los mismos son </w:t>
      </w:r>
      <w:r w:rsidR="007B7A1B" w:rsidRPr="002A2450">
        <w:rPr>
          <w:rFonts w:ascii="ITC Avant Garde" w:hAnsi="ITC Avant Garde"/>
        </w:rPr>
        <w:t xml:space="preserve">en mayor medida los </w:t>
      </w:r>
      <w:r w:rsidRPr="002A2450">
        <w:rPr>
          <w:rFonts w:ascii="ITC Avant Garde" w:hAnsi="ITC Avant Garde"/>
        </w:rPr>
        <w:t>de “</w:t>
      </w:r>
      <w:r w:rsidRPr="002A2450">
        <w:rPr>
          <w:rFonts w:ascii="ITC Avant Garde" w:hAnsi="ITC Avant Garde"/>
          <w:b/>
        </w:rPr>
        <w:t>TELMEX</w:t>
      </w:r>
      <w:r w:rsidRPr="002A2450">
        <w:rPr>
          <w:rFonts w:ascii="ITC Avant Garde" w:hAnsi="ITC Avant Garde"/>
        </w:rPr>
        <w:t xml:space="preserve">” </w:t>
      </w:r>
      <w:r w:rsidR="007B7A1B" w:rsidRPr="002A2450">
        <w:rPr>
          <w:rFonts w:ascii="ITC Avant Garde" w:hAnsi="ITC Avant Garde"/>
        </w:rPr>
        <w:t xml:space="preserve">por lo que </w:t>
      </w:r>
      <w:r w:rsidRPr="002A2450">
        <w:rPr>
          <w:rFonts w:ascii="ITC Avant Garde" w:hAnsi="ITC Avant Garde"/>
        </w:rPr>
        <w:t>lejos de desvirtuar la conducta materia del presente procedimiento, resulta insuficiente para explicar el comportamiento de los incentivos señalados.</w:t>
      </w:r>
    </w:p>
    <w:p w14:paraId="0F3D2A09" w14:textId="77777777" w:rsidR="00A80E02" w:rsidRDefault="001606C5" w:rsidP="00B35F13">
      <w:pPr>
        <w:spacing w:before="240" w:line="360" w:lineRule="auto"/>
        <w:jc w:val="both"/>
        <w:rPr>
          <w:rFonts w:ascii="ITC Avant Garde" w:hAnsi="ITC Avant Garde"/>
        </w:rPr>
        <w:sectPr w:rsidR="00A80E02" w:rsidSect="009F3771">
          <w:headerReference w:type="default" r:id="rId70"/>
          <w:pgSz w:w="12240" w:h="15840"/>
          <w:pgMar w:top="1985" w:right="1701" w:bottom="1418" w:left="1701" w:header="709" w:footer="709" w:gutter="0"/>
          <w:cols w:space="708"/>
          <w:docGrid w:linePitch="360"/>
        </w:sectPr>
      </w:pPr>
      <w:r w:rsidRPr="002A2450">
        <w:rPr>
          <w:rFonts w:ascii="ITC Avant Garde" w:hAnsi="ITC Avant Garde"/>
        </w:rPr>
        <w:t>Por tanto, la pericial en materia de economía valorada en los términos antes precisados resulta insuficiente para desvirtuar la conducta materia del presente procedimiento sin pueda otorgarse un valor probatori</w:t>
      </w:r>
      <w:r w:rsidR="00531125" w:rsidRPr="002A2450">
        <w:rPr>
          <w:rFonts w:ascii="ITC Avant Garde" w:hAnsi="ITC Avant Garde"/>
        </w:rPr>
        <w:t>o</w:t>
      </w:r>
      <w:r w:rsidRPr="002A2450">
        <w:rPr>
          <w:rFonts w:ascii="ITC Avant Garde" w:hAnsi="ITC Avant Garde"/>
        </w:rPr>
        <w:t xml:space="preserve"> de acuerdo a lo antes señalado</w:t>
      </w:r>
      <w:r w:rsidR="007B7A1B" w:rsidRPr="002A2450">
        <w:rPr>
          <w:rFonts w:ascii="ITC Avant Garde" w:hAnsi="ITC Avant Garde"/>
        </w:rPr>
        <w:t xml:space="preserve"> y en consecuencia el valor probatorio otorgado a la misma confirma las consideraciones que tomó en cuenta la autoridad para iniciar el procedimiento sancionatorio en que se actúa.</w:t>
      </w:r>
    </w:p>
    <w:p w14:paraId="19BE43A2" w14:textId="77777777" w:rsidR="00B35F13" w:rsidRDefault="003652E8" w:rsidP="00B35F13">
      <w:pPr>
        <w:spacing w:before="240" w:line="360" w:lineRule="auto"/>
        <w:jc w:val="both"/>
        <w:rPr>
          <w:rFonts w:ascii="ITC Avant Garde" w:hAnsi="ITC Avant Garde"/>
        </w:rPr>
      </w:pPr>
      <w:r w:rsidRPr="002A2450">
        <w:rPr>
          <w:rFonts w:ascii="ITC Avant Garde" w:hAnsi="ITC Avant Garde"/>
        </w:rPr>
        <w:lastRenderedPageBreak/>
        <w:t>La conclusión anterior puede lograrse,</w:t>
      </w:r>
      <w:r w:rsidRPr="002A2450">
        <w:rPr>
          <w:rFonts w:ascii="ITC Avant Garde" w:hAnsi="ITC Avant Garde"/>
          <w:b/>
        </w:rPr>
        <w:t xml:space="preserve"> </w:t>
      </w:r>
      <w:r w:rsidRPr="002A2450">
        <w:rPr>
          <w:rFonts w:ascii="ITC Avant Garde" w:hAnsi="ITC Avant Garde"/>
        </w:rPr>
        <w:t xml:space="preserve">puesto que efectivamente como lo señala dicha concesionaria, una relación comercial </w:t>
      </w:r>
      <w:r w:rsidRPr="002A2450">
        <w:rPr>
          <w:rFonts w:ascii="ITC Avant Garde" w:hAnsi="ITC Avant Garde"/>
          <w:i/>
        </w:rPr>
        <w:t>(proveedor-cliente)</w:t>
      </w:r>
      <w:r w:rsidRPr="002A2450">
        <w:rPr>
          <w:rFonts w:ascii="ITC Avant Garde" w:hAnsi="ITC Avant Garde"/>
        </w:rPr>
        <w:t xml:space="preserve"> no es suficiente para determinar un grado de control de una empresa respecto de otra, sin embargo, como se señaló en líneas previas existe no sólo una relación de este tipo sino que son diversos contratos coaligados los que permiten abonar en el sentido de que en su conjunto, los contratos asumen conductas que en principio corresponderían a</w:t>
      </w:r>
      <w:r w:rsidR="007B7A1B" w:rsidRPr="002A2450">
        <w:rPr>
          <w:rFonts w:ascii="ITC Avant Garde" w:hAnsi="ITC Avant Garde"/>
        </w:rPr>
        <w:t>l</w:t>
      </w:r>
      <w:r w:rsidRPr="002A2450">
        <w:rPr>
          <w:rFonts w:ascii="ITC Avant Garde" w:hAnsi="ITC Avant Garde"/>
        </w:rPr>
        <w:t xml:space="preserve"> titular del derecho, sin embargo, las mismas fueron delegadas.</w:t>
      </w:r>
    </w:p>
    <w:p w14:paraId="2385C6C3" w14:textId="77777777" w:rsidR="00B35F13" w:rsidRDefault="003652E8" w:rsidP="00B35F13">
      <w:pPr>
        <w:spacing w:before="240" w:line="360" w:lineRule="auto"/>
        <w:jc w:val="both"/>
        <w:rPr>
          <w:rFonts w:ascii="ITC Avant Garde" w:hAnsi="ITC Avant Garde"/>
        </w:rPr>
      </w:pPr>
      <w:r w:rsidRPr="002A2450">
        <w:rPr>
          <w:rFonts w:ascii="ITC Avant Garde" w:hAnsi="ITC Avant Garde"/>
        </w:rPr>
        <w:t xml:space="preserve">En ese sentido, las conductas delegadas confieren dentro de la cadena de prestación de servicios de </w:t>
      </w:r>
      <w:r w:rsidRPr="002A2450">
        <w:rPr>
          <w:rFonts w:ascii="ITC Avant Garde" w:hAnsi="ITC Avant Garde"/>
          <w:b/>
        </w:rPr>
        <w:t>“DTH”</w:t>
      </w:r>
      <w:r w:rsidRPr="002A2450">
        <w:rPr>
          <w:rFonts w:ascii="ITC Avant Garde" w:hAnsi="ITC Avant Garde"/>
        </w:rPr>
        <w:t xml:space="preserve"> </w:t>
      </w:r>
      <w:r w:rsidR="00BC2996" w:rsidRPr="002A2450">
        <w:rPr>
          <w:rFonts w:ascii="ITC Avant Garde" w:hAnsi="ITC Avant Garde"/>
        </w:rPr>
        <w:t>toda la implementación operativa para su comercialización, desde luego ello en atención a que existe la posibilidad de que se ejerciera un derecho de opción, circunstancia que admite que la alineación de intereses no se encuentre dada en virtud de un solo contrato sino que es posible explicarlo a partir de un análisis conjunto de los contratos.</w:t>
      </w:r>
    </w:p>
    <w:p w14:paraId="7D9821F0" w14:textId="77777777" w:rsidR="00A80E02" w:rsidRDefault="00BC2996" w:rsidP="00B35F13">
      <w:pPr>
        <w:spacing w:before="240" w:line="360" w:lineRule="auto"/>
        <w:jc w:val="both"/>
        <w:rPr>
          <w:rFonts w:ascii="ITC Avant Garde" w:hAnsi="ITC Avant Garde"/>
        </w:rPr>
        <w:sectPr w:rsidR="00A80E02" w:rsidSect="009F3771">
          <w:headerReference w:type="default" r:id="rId71"/>
          <w:pgSz w:w="12240" w:h="15840"/>
          <w:pgMar w:top="1985" w:right="1701" w:bottom="1418" w:left="1701" w:header="709" w:footer="709" w:gutter="0"/>
          <w:cols w:space="708"/>
          <w:docGrid w:linePitch="360"/>
        </w:sectPr>
      </w:pPr>
      <w:r w:rsidRPr="002A2450">
        <w:rPr>
          <w:rFonts w:ascii="ITC Avant Garde" w:hAnsi="ITC Avant Garde"/>
        </w:rPr>
        <w:t>Ahora bien, también es cierto que el contrato de prestación de servicios se encuentra tasado para su contraprestación por un precio fijo</w:t>
      </w:r>
      <w:r w:rsidR="003E4463">
        <w:rPr>
          <w:rFonts w:ascii="ITC Avant Garde" w:hAnsi="ITC Avant Garde"/>
        </w:rPr>
        <w:t xml:space="preserve"> esto es el equivalente al 30% de la cantidad neta facturada mensualmente, la cual sería reducida en una cantidad neta equivalente a</w:t>
      </w:r>
      <w:r w:rsidR="003E4463" w:rsidRPr="00F76758">
        <w:rPr>
          <w:rFonts w:ascii="ITC Avant Garde" w:hAnsi="ITC Avant Garde"/>
        </w:rPr>
        <w:t xml:space="preserve"> </w:t>
      </w:r>
      <w:r w:rsidR="00D939AB" w:rsidRPr="000B55ED">
        <w:rPr>
          <w:rFonts w:ascii="ITC Avant Garde" w:eastAsiaTheme="majorEastAsia" w:hAnsi="ITC Avant Garde" w:cstheme="majorBidi"/>
          <w:color w:val="0000FF"/>
          <w:szCs w:val="32"/>
        </w:rPr>
        <w:t>“</w:t>
      </w:r>
      <w:r w:rsidR="00D939AB" w:rsidRPr="0004375E">
        <w:rPr>
          <w:rFonts w:ascii="ITC Avant Garde" w:eastAsiaTheme="majorEastAsia" w:hAnsi="ITC Avant Garde" w:cstheme="majorBidi"/>
          <w:b/>
          <w:color w:val="0000FF"/>
          <w:szCs w:val="32"/>
        </w:rPr>
        <w:t>CONFIDENCIAL POR LEY”</w:t>
      </w:r>
      <w:r w:rsidR="003E4463" w:rsidRPr="00F76758">
        <w:rPr>
          <w:rFonts w:ascii="ITC Avant Garde" w:hAnsi="ITC Avant Garde"/>
        </w:rPr>
        <w:t xml:space="preserve"> por cada cliente más el impuesto al valor agregado</w:t>
      </w:r>
      <w:r w:rsidR="003E4463">
        <w:rPr>
          <w:rFonts w:ascii="ITC Avant Garde" w:hAnsi="ITC Avant Garde"/>
        </w:rPr>
        <w:t xml:space="preserve"> </w:t>
      </w:r>
      <w:r w:rsidRPr="002A2450">
        <w:rPr>
          <w:rFonts w:ascii="ITC Avant Garde" w:hAnsi="ITC Avant Garde"/>
        </w:rPr>
        <w:t xml:space="preserve">y que el ingreso derivado de ello sólo corresponde a una fracción del ingreso total de la renta generada por la prestación de los servicios de facturación y cobranza, sin embargo, dicho esquema se acompaña del contrato de distribución en dónde de cada cliente adicional que ingresa por los canales de distribución de </w:t>
      </w:r>
      <w:r w:rsidRPr="002A2450">
        <w:rPr>
          <w:rFonts w:ascii="ITC Avant Garde" w:hAnsi="ITC Avant Garde"/>
          <w:b/>
        </w:rPr>
        <w:t>“TELMEX”</w:t>
      </w:r>
      <w:r w:rsidRPr="002A2450">
        <w:rPr>
          <w:rFonts w:ascii="ITC Avant Garde" w:hAnsi="ITC Avant Garde"/>
        </w:rPr>
        <w:t xml:space="preserve"> </w:t>
      </w:r>
      <w:r w:rsidR="007B7A1B" w:rsidRPr="002A2450">
        <w:rPr>
          <w:rFonts w:ascii="ITC Avant Garde" w:hAnsi="ITC Avant Garde"/>
        </w:rPr>
        <w:t xml:space="preserve">ésta última </w:t>
      </w:r>
      <w:r w:rsidRPr="002A2450">
        <w:rPr>
          <w:rFonts w:ascii="ITC Avant Garde" w:hAnsi="ITC Avant Garde"/>
        </w:rPr>
        <w:t xml:space="preserve">participa de una contraprestación de </w:t>
      </w:r>
      <w:r w:rsidR="00D939AB" w:rsidRPr="0004375E">
        <w:rPr>
          <w:rFonts w:ascii="ITC Avant Garde" w:eastAsiaTheme="majorEastAsia" w:hAnsi="ITC Avant Garde" w:cstheme="majorBidi"/>
          <w:b/>
          <w:color w:val="0000FF"/>
          <w:szCs w:val="32"/>
        </w:rPr>
        <w:t>“CONFIDENCIAL POR LEY”</w:t>
      </w:r>
      <w:r w:rsidR="007B7A1B" w:rsidRPr="0004375E">
        <w:rPr>
          <w:rFonts w:ascii="ITC Avant Garde" w:hAnsi="ITC Avant Garde"/>
          <w:b/>
        </w:rPr>
        <w:t>,</w:t>
      </w:r>
      <w:r w:rsidRPr="002A2450">
        <w:rPr>
          <w:rFonts w:ascii="ITC Avant Garde" w:hAnsi="ITC Avant Garde"/>
        </w:rPr>
        <w:t xml:space="preserve"> de lo que se sigue que el interés de cobrar dichos ingresos es propio de </w:t>
      </w:r>
      <w:r w:rsidRPr="002A2450">
        <w:rPr>
          <w:rFonts w:ascii="ITC Avant Garde" w:hAnsi="ITC Avant Garde"/>
          <w:b/>
        </w:rPr>
        <w:t>“TELMEX”</w:t>
      </w:r>
      <w:r w:rsidRPr="002A2450">
        <w:rPr>
          <w:rFonts w:ascii="ITC Avant Garde" w:hAnsi="ITC Avant Garde"/>
        </w:rPr>
        <w:t xml:space="preserve"> y no de </w:t>
      </w:r>
      <w:r w:rsidRPr="002A2450">
        <w:rPr>
          <w:rFonts w:ascii="ITC Avant Garde" w:hAnsi="ITC Avant Garde"/>
          <w:b/>
        </w:rPr>
        <w:t>“COFRESA”</w:t>
      </w:r>
      <w:r w:rsidR="007B7A1B" w:rsidRPr="002A2450">
        <w:rPr>
          <w:rFonts w:ascii="ITC Avant Garde" w:hAnsi="ITC Avant Garde"/>
          <w:b/>
        </w:rPr>
        <w:t xml:space="preserve"> </w:t>
      </w:r>
      <w:r w:rsidR="007B7A1B" w:rsidRPr="002A2450">
        <w:rPr>
          <w:rFonts w:ascii="ITC Avant Garde" w:hAnsi="ITC Avant Garde"/>
        </w:rPr>
        <w:t>y en tal sentido</w:t>
      </w:r>
      <w:r w:rsidRPr="002A2450">
        <w:rPr>
          <w:rFonts w:ascii="ITC Avant Garde" w:hAnsi="ITC Avant Garde"/>
        </w:rPr>
        <w:t xml:space="preserve"> como bien se advierte en los contratos respectivos</w:t>
      </w:r>
      <w:r w:rsidR="007B7A1B" w:rsidRPr="002A2450">
        <w:rPr>
          <w:rFonts w:ascii="ITC Avant Garde" w:hAnsi="ITC Avant Garde"/>
        </w:rPr>
        <w:t xml:space="preserve"> genera un incentivo para emplear </w:t>
      </w:r>
      <w:r w:rsidRPr="002A2450">
        <w:rPr>
          <w:rFonts w:ascii="ITC Avant Garde" w:hAnsi="ITC Avant Garde"/>
        </w:rPr>
        <w:t>sus mejores esfuerzos para la consolidación del servicio.</w:t>
      </w:r>
    </w:p>
    <w:p w14:paraId="0FF1C330" w14:textId="77777777" w:rsidR="00B35F13" w:rsidRDefault="00BC2996" w:rsidP="00B35F13">
      <w:pPr>
        <w:spacing w:before="240" w:line="360" w:lineRule="auto"/>
        <w:jc w:val="both"/>
        <w:rPr>
          <w:rFonts w:ascii="ITC Avant Garde" w:hAnsi="ITC Avant Garde"/>
        </w:rPr>
      </w:pPr>
      <w:r w:rsidRPr="002A2450">
        <w:rPr>
          <w:rFonts w:ascii="ITC Avant Garde" w:hAnsi="ITC Avant Garde"/>
        </w:rPr>
        <w:lastRenderedPageBreak/>
        <w:t xml:space="preserve">A lo anterior, debe sumarse el hecho de que cada suscriptor ingresado por </w:t>
      </w:r>
      <w:r w:rsidRPr="002A2450">
        <w:rPr>
          <w:rFonts w:ascii="ITC Avant Garde" w:hAnsi="ITC Avant Garde"/>
          <w:b/>
        </w:rPr>
        <w:t>“TELMEX”</w:t>
      </w:r>
      <w:r w:rsidRPr="002A2450">
        <w:rPr>
          <w:rFonts w:ascii="ITC Avant Garde" w:hAnsi="ITC Avant Garde"/>
        </w:rPr>
        <w:t xml:space="preserve"> le correspondería una participación directa por la renta de los kits CPE que </w:t>
      </w:r>
      <w:r w:rsidRPr="002A2450">
        <w:rPr>
          <w:rFonts w:ascii="ITC Avant Garde" w:hAnsi="ITC Avant Garde"/>
          <w:b/>
        </w:rPr>
        <w:t>“TENINVER”</w:t>
      </w:r>
      <w:r w:rsidRPr="002A2450">
        <w:rPr>
          <w:rFonts w:ascii="ITC Avant Garde" w:hAnsi="ITC Avant Garde"/>
        </w:rPr>
        <w:t xml:space="preserve"> le renta a </w:t>
      </w:r>
      <w:r w:rsidRPr="002A2450">
        <w:rPr>
          <w:rFonts w:ascii="ITC Avant Garde" w:hAnsi="ITC Avant Garde"/>
          <w:b/>
        </w:rPr>
        <w:t>“COFRESA”</w:t>
      </w:r>
      <w:r w:rsidRPr="002A2450">
        <w:rPr>
          <w:rFonts w:ascii="ITC Avant Garde" w:hAnsi="ITC Avant Garde"/>
        </w:rPr>
        <w:t>.</w:t>
      </w:r>
    </w:p>
    <w:p w14:paraId="626444B0" w14:textId="77777777" w:rsidR="00B35F13" w:rsidRDefault="00BC2996" w:rsidP="00B35F13">
      <w:pPr>
        <w:spacing w:before="240" w:line="360" w:lineRule="auto"/>
        <w:jc w:val="both"/>
        <w:rPr>
          <w:rFonts w:ascii="ITC Avant Garde" w:hAnsi="ITC Avant Garde"/>
          <w:b/>
        </w:rPr>
      </w:pPr>
      <w:r w:rsidRPr="002A2450">
        <w:rPr>
          <w:rFonts w:ascii="ITC Avant Garde" w:hAnsi="ITC Avant Garde"/>
        </w:rPr>
        <w:t xml:space="preserve">Lo anterior, advierte que efectivamente como lo señala </w:t>
      </w:r>
      <w:r w:rsidRPr="002A2450">
        <w:rPr>
          <w:rFonts w:ascii="ITC Avant Garde" w:hAnsi="ITC Avant Garde"/>
          <w:b/>
        </w:rPr>
        <w:t>“TELMEX”</w:t>
      </w:r>
      <w:r w:rsidRPr="002A2450">
        <w:rPr>
          <w:rFonts w:ascii="ITC Avant Garde" w:hAnsi="ITC Avant Garde"/>
        </w:rPr>
        <w:t xml:space="preserve"> ninguno de los peritos afirma que con ello puede transferirse la propiedad o la adquisición de derechos de participación en el capital social, pese a ello, tampoco es posible </w:t>
      </w:r>
      <w:r w:rsidR="007B7A1B" w:rsidRPr="002A2450">
        <w:rPr>
          <w:rFonts w:ascii="ITC Avant Garde" w:hAnsi="ITC Avant Garde"/>
        </w:rPr>
        <w:t xml:space="preserve">n negar </w:t>
      </w:r>
      <w:r w:rsidRPr="002A2450">
        <w:rPr>
          <w:rFonts w:ascii="ITC Avant Garde" w:hAnsi="ITC Avant Garde"/>
        </w:rPr>
        <w:t xml:space="preserve">que el interés de </w:t>
      </w:r>
      <w:r w:rsidRPr="002A2450">
        <w:rPr>
          <w:rFonts w:ascii="ITC Avant Garde" w:hAnsi="ITC Avant Garde"/>
          <w:b/>
        </w:rPr>
        <w:t>“TELMEX”</w:t>
      </w:r>
      <w:r w:rsidRPr="002A2450">
        <w:rPr>
          <w:rFonts w:ascii="ITC Avant Garde" w:hAnsi="ITC Avant Garde"/>
        </w:rPr>
        <w:t xml:space="preserve"> por el desempeño del servicio pueda resultar satisfactorio p</w:t>
      </w:r>
      <w:r w:rsidR="007B7A1B" w:rsidRPr="002A2450">
        <w:rPr>
          <w:rFonts w:ascii="ITC Avant Garde" w:hAnsi="ITC Avant Garde"/>
        </w:rPr>
        <w:t>or</w:t>
      </w:r>
      <w:r w:rsidRPr="002A2450">
        <w:rPr>
          <w:rFonts w:ascii="ITC Avant Garde" w:hAnsi="ITC Avant Garde"/>
        </w:rPr>
        <w:t xml:space="preserve"> las contraprestaciones recibidas directamente por sus servicios, respecto de los cuales le fueron delegados </w:t>
      </w:r>
      <w:r w:rsidR="00784D6E" w:rsidRPr="002A2450">
        <w:rPr>
          <w:rFonts w:ascii="ITC Avant Garde" w:hAnsi="ITC Avant Garde"/>
        </w:rPr>
        <w:t xml:space="preserve">como parte de los insumos operativos de </w:t>
      </w:r>
      <w:r w:rsidR="00784D6E" w:rsidRPr="002A2450">
        <w:rPr>
          <w:rFonts w:ascii="ITC Avant Garde" w:hAnsi="ITC Avant Garde"/>
          <w:b/>
        </w:rPr>
        <w:t>“COFRESA”</w:t>
      </w:r>
      <w:r w:rsidR="00784D6E" w:rsidRPr="002A2450">
        <w:rPr>
          <w:rFonts w:ascii="ITC Avant Garde" w:hAnsi="ITC Avant Garde"/>
        </w:rPr>
        <w:t xml:space="preserve"> para la prestación del servicio </w:t>
      </w:r>
      <w:r w:rsidR="00784D6E" w:rsidRPr="002A2450">
        <w:rPr>
          <w:rFonts w:ascii="ITC Avant Garde" w:hAnsi="ITC Avant Garde"/>
          <w:b/>
        </w:rPr>
        <w:t>“D</w:t>
      </w:r>
      <w:r w:rsidR="00B61711" w:rsidRPr="002A2450">
        <w:rPr>
          <w:rFonts w:ascii="ITC Avant Garde" w:hAnsi="ITC Avant Garde"/>
          <w:b/>
        </w:rPr>
        <w:t>T</w:t>
      </w:r>
      <w:r w:rsidR="00784D6E" w:rsidRPr="002A2450">
        <w:rPr>
          <w:rFonts w:ascii="ITC Avant Garde" w:hAnsi="ITC Avant Garde"/>
          <w:b/>
        </w:rPr>
        <w:t>H”.</w:t>
      </w:r>
    </w:p>
    <w:p w14:paraId="5248A95D" w14:textId="77777777" w:rsidR="00B35F13" w:rsidRDefault="00784D6E" w:rsidP="00B35F13">
      <w:pPr>
        <w:spacing w:before="240" w:line="360" w:lineRule="auto"/>
        <w:jc w:val="both"/>
        <w:rPr>
          <w:rFonts w:ascii="ITC Avant Garde" w:hAnsi="ITC Avant Garde"/>
        </w:rPr>
      </w:pPr>
      <w:r w:rsidRPr="002A2450">
        <w:rPr>
          <w:rFonts w:ascii="ITC Avant Garde" w:hAnsi="ITC Avant Garde"/>
        </w:rPr>
        <w:t xml:space="preserve">Aunado a lo anterior, no debe perderse de vista que los contratos plantean la cláusula de exclusividad respecto de los servicios que presta </w:t>
      </w:r>
      <w:r w:rsidRPr="002A2450">
        <w:rPr>
          <w:rFonts w:ascii="ITC Avant Garde" w:hAnsi="ITC Avant Garde"/>
          <w:b/>
        </w:rPr>
        <w:t>“COFRESA”</w:t>
      </w:r>
      <w:r w:rsidRPr="002A2450">
        <w:rPr>
          <w:rFonts w:ascii="ITC Avant Garde" w:hAnsi="ITC Avant Garde"/>
        </w:rPr>
        <w:t xml:space="preserve">, lo cual resalta el hecho de que en caso de hubiese ejercido la opción, </w:t>
      </w:r>
      <w:r w:rsidRPr="002A2450">
        <w:rPr>
          <w:rFonts w:ascii="ITC Avant Garde" w:hAnsi="ITC Avant Garde"/>
          <w:b/>
        </w:rPr>
        <w:t>“TELMEX”</w:t>
      </w:r>
      <w:r w:rsidRPr="002A2450">
        <w:rPr>
          <w:rFonts w:ascii="ITC Avant Garde" w:hAnsi="ITC Avant Garde"/>
        </w:rPr>
        <w:t xml:space="preserve"> garantizaría el retorno de la compra de los kits CPE estipulados en el contrato de arrendamiento, máxime </w:t>
      </w:r>
      <w:r w:rsidR="007B7A1B" w:rsidRPr="002A2450">
        <w:rPr>
          <w:rFonts w:ascii="ITC Avant Garde" w:hAnsi="ITC Avant Garde"/>
        </w:rPr>
        <w:t xml:space="preserve">si tomamos en cuenta </w:t>
      </w:r>
      <w:r w:rsidRPr="002A2450">
        <w:rPr>
          <w:rFonts w:ascii="ITC Avant Garde" w:hAnsi="ITC Avant Garde"/>
        </w:rPr>
        <w:t>la posibilidad de la existencia de la gestión de un préstamos para solventar en su caso los dividendos generados de manera previa a la opción.</w:t>
      </w:r>
    </w:p>
    <w:p w14:paraId="45425964" w14:textId="77777777" w:rsidR="00B35F13" w:rsidRDefault="00784D6E" w:rsidP="00B35F13">
      <w:pPr>
        <w:spacing w:before="240" w:line="360" w:lineRule="auto"/>
        <w:jc w:val="both"/>
        <w:rPr>
          <w:rFonts w:ascii="ITC Avant Garde" w:hAnsi="ITC Avant Garde"/>
        </w:rPr>
      </w:pPr>
      <w:r w:rsidRPr="002A2450">
        <w:rPr>
          <w:rFonts w:ascii="ITC Avant Garde" w:hAnsi="ITC Avant Garde"/>
        </w:rPr>
        <w:t xml:space="preserve">Ahora bien, no escapa de la autoridad que el perito </w:t>
      </w:r>
      <w:r w:rsidR="0004271E" w:rsidRPr="002A2450">
        <w:rPr>
          <w:rFonts w:ascii="ITC Avant Garde" w:hAnsi="ITC Avant Garde"/>
        </w:rPr>
        <w:t xml:space="preserve">de </w:t>
      </w:r>
      <w:r w:rsidR="0004271E" w:rsidRPr="002A2450">
        <w:rPr>
          <w:rFonts w:ascii="ITC Avant Garde" w:hAnsi="ITC Avant Garde"/>
          <w:b/>
        </w:rPr>
        <w:t xml:space="preserve">“TELMEX” </w:t>
      </w:r>
      <w:r w:rsidRPr="002A2450">
        <w:rPr>
          <w:rFonts w:ascii="ITC Avant Garde" w:hAnsi="ITC Avant Garde"/>
        </w:rPr>
        <w:t xml:space="preserve">haya referido a la </w:t>
      </w:r>
      <w:r w:rsidRPr="002A2450">
        <w:rPr>
          <w:rFonts w:ascii="ITC Avant Garde" w:hAnsi="ITC Avant Garde"/>
          <w:i/>
        </w:rPr>
        <w:t>concentración</w:t>
      </w:r>
      <w:r w:rsidRPr="002A2450">
        <w:rPr>
          <w:rFonts w:ascii="ITC Avant Garde" w:hAnsi="ITC Avant Garde"/>
        </w:rPr>
        <w:t xml:space="preserve"> desde el punto de vista del derecho de competencia y de la normatividad internacional que en su caso la prevé, sin embargo, ello no mer</w:t>
      </w:r>
      <w:r w:rsidR="0004271E" w:rsidRPr="002A2450">
        <w:rPr>
          <w:rFonts w:ascii="ITC Avant Garde" w:hAnsi="ITC Avant Garde"/>
        </w:rPr>
        <w:t>ma</w:t>
      </w:r>
      <w:r w:rsidRPr="002A2450">
        <w:rPr>
          <w:rFonts w:ascii="ITC Avant Garde" w:hAnsi="ITC Avant Garde"/>
        </w:rPr>
        <w:t xml:space="preserve"> en forma alguna a lo señalado en el citado peritaje ya que al acudir en sus conclusiones a la citada figura lo fue en atención al cuestionario propuesto por </w:t>
      </w:r>
      <w:r w:rsidRPr="002A2450">
        <w:rPr>
          <w:rFonts w:ascii="ITC Avant Garde" w:hAnsi="ITC Avant Garde"/>
          <w:b/>
        </w:rPr>
        <w:t>“TELMEX”</w:t>
      </w:r>
      <w:r w:rsidRPr="002A2450">
        <w:rPr>
          <w:rFonts w:ascii="ITC Avant Garde" w:hAnsi="ITC Avant Garde"/>
        </w:rPr>
        <w:t xml:space="preserve"> de lo que se sigue era inevitable acudir a su llamado.</w:t>
      </w:r>
    </w:p>
    <w:p w14:paraId="59C981E7" w14:textId="77777777" w:rsidR="00B35F13" w:rsidRDefault="00784D6E" w:rsidP="00B35F13">
      <w:pPr>
        <w:spacing w:before="240" w:line="360" w:lineRule="auto"/>
        <w:jc w:val="both"/>
        <w:rPr>
          <w:rFonts w:ascii="ITC Avant Garde" w:hAnsi="ITC Avant Garde"/>
        </w:rPr>
      </w:pPr>
      <w:r w:rsidRPr="002A2450">
        <w:rPr>
          <w:rFonts w:ascii="ITC Avant Garde" w:hAnsi="ITC Avant Garde"/>
        </w:rPr>
        <w:t xml:space="preserve">Pese a lo anterior, esta autoridad ha señalado que la conducta materia del presente procedimiento no lo es la </w:t>
      </w:r>
      <w:r w:rsidRPr="002A2450">
        <w:rPr>
          <w:rFonts w:ascii="ITC Avant Garde" w:hAnsi="ITC Avant Garde"/>
          <w:i/>
        </w:rPr>
        <w:t>concentración</w:t>
      </w:r>
      <w:r w:rsidRPr="002A2450">
        <w:rPr>
          <w:rFonts w:ascii="ITC Avant Garde" w:hAnsi="ITC Avant Garde"/>
        </w:rPr>
        <w:t xml:space="preserve"> por lo que </w:t>
      </w:r>
      <w:r w:rsidR="0004271E" w:rsidRPr="002A2450">
        <w:rPr>
          <w:rFonts w:ascii="ITC Avant Garde" w:hAnsi="ITC Avant Garde"/>
        </w:rPr>
        <w:t xml:space="preserve">en tal sentido </w:t>
      </w:r>
      <w:r w:rsidRPr="002A2450">
        <w:rPr>
          <w:rFonts w:ascii="ITC Avant Garde" w:hAnsi="ITC Avant Garde"/>
        </w:rPr>
        <w:t>no vulnera las conclusiones a las que arrib</w:t>
      </w:r>
      <w:r w:rsidR="0004271E" w:rsidRPr="002A2450">
        <w:rPr>
          <w:rFonts w:ascii="ITC Avant Garde" w:hAnsi="ITC Avant Garde"/>
        </w:rPr>
        <w:t>ó</w:t>
      </w:r>
      <w:r w:rsidRPr="002A2450">
        <w:rPr>
          <w:rFonts w:ascii="ITC Avant Garde" w:hAnsi="ITC Avant Garde"/>
        </w:rPr>
        <w:t xml:space="preserve"> n</w:t>
      </w:r>
      <w:r w:rsidR="0004271E" w:rsidRPr="002A2450">
        <w:rPr>
          <w:rFonts w:ascii="ITC Avant Garde" w:hAnsi="ITC Avant Garde"/>
        </w:rPr>
        <w:t>i</w:t>
      </w:r>
      <w:r w:rsidRPr="002A2450">
        <w:rPr>
          <w:rFonts w:ascii="ITC Avant Garde" w:hAnsi="ITC Avant Garde"/>
        </w:rPr>
        <w:t xml:space="preserve"> mucho menos norman </w:t>
      </w:r>
      <w:r w:rsidR="0004271E" w:rsidRPr="002A2450">
        <w:rPr>
          <w:rFonts w:ascii="ITC Avant Garde" w:hAnsi="ITC Avant Garde"/>
        </w:rPr>
        <w:t xml:space="preserve">el </w:t>
      </w:r>
      <w:r w:rsidRPr="002A2450">
        <w:rPr>
          <w:rFonts w:ascii="ITC Avant Garde" w:hAnsi="ITC Avant Garde"/>
        </w:rPr>
        <w:t>criterio para esta autoridad en el presente procedimiento</w:t>
      </w:r>
      <w:r w:rsidR="00D33BF5" w:rsidRPr="002A2450">
        <w:rPr>
          <w:rFonts w:ascii="ITC Avant Garde" w:hAnsi="ITC Avant Garde"/>
        </w:rPr>
        <w:t xml:space="preserve"> puesto que la valoración del citado dictamen ha quedado señalado en líneas previas.</w:t>
      </w:r>
      <w:r w:rsidR="00B73AA8" w:rsidRPr="002A2450">
        <w:rPr>
          <w:rFonts w:ascii="ITC Avant Garde" w:hAnsi="ITC Avant Garde"/>
        </w:rPr>
        <w:t xml:space="preserve"> Además, el perito señala que </w:t>
      </w:r>
      <w:r w:rsidR="00B73AA8" w:rsidRPr="002A2450">
        <w:rPr>
          <w:rFonts w:ascii="ITC Avant Garde" w:hAnsi="ITC Avant Garde"/>
        </w:rPr>
        <w:lastRenderedPageBreak/>
        <w:t xml:space="preserve">en otras jurisdicciones, las opciones de compra venta de acciones sólo pueden ser analizadas cuando se ejercen y el beneficiario recibe la capacidad de </w:t>
      </w:r>
      <w:r w:rsidR="00B73AA8" w:rsidRPr="002A2450">
        <w:rPr>
          <w:rFonts w:ascii="ITC Avant Garde" w:hAnsi="ITC Avant Garde"/>
          <w:i/>
        </w:rPr>
        <w:t>iure</w:t>
      </w:r>
      <w:r w:rsidR="00B73AA8" w:rsidRPr="002A2450">
        <w:rPr>
          <w:rFonts w:ascii="ITC Avant Garde" w:hAnsi="ITC Avant Garde"/>
        </w:rPr>
        <w:t xml:space="preserve"> sobre las acciones. Lo anterior no es cierto. En materia de control de concentraciones, México</w:t>
      </w:r>
      <w:r w:rsidR="002F6AE3" w:rsidRPr="002A2450">
        <w:rPr>
          <w:rFonts w:ascii="ITC Avant Garde" w:hAnsi="ITC Avant Garde"/>
        </w:rPr>
        <w:t xml:space="preserve"> tiene una práctica consistente con la internacional, lo que se </w:t>
      </w:r>
      <w:r w:rsidR="00B73AA8" w:rsidRPr="002A2450">
        <w:rPr>
          <w:rFonts w:ascii="ITC Avant Garde" w:hAnsi="ITC Avant Garde"/>
        </w:rPr>
        <w:t xml:space="preserve">evalúa </w:t>
      </w:r>
      <w:r w:rsidR="002F6AE3" w:rsidRPr="002A2450">
        <w:rPr>
          <w:rFonts w:ascii="ITC Avant Garde" w:hAnsi="ITC Avant Garde"/>
        </w:rPr>
        <w:t xml:space="preserve">es </w:t>
      </w:r>
      <w:r w:rsidR="00B73AA8" w:rsidRPr="002A2450">
        <w:rPr>
          <w:rFonts w:ascii="ITC Avant Garde" w:hAnsi="ITC Avant Garde"/>
        </w:rPr>
        <w:t xml:space="preserve">cuándo un agente económico adquiere la capacidad </w:t>
      </w:r>
      <w:r w:rsidR="00B73AA8" w:rsidRPr="002A2450">
        <w:rPr>
          <w:rFonts w:ascii="ITC Avant Garde" w:hAnsi="ITC Avant Garde"/>
          <w:i/>
        </w:rPr>
        <w:t>de iure o de facto</w:t>
      </w:r>
      <w:r w:rsidR="002F6AE3" w:rsidRPr="002A2450">
        <w:rPr>
          <w:rStyle w:val="Refdenotaalpie"/>
          <w:rFonts w:ascii="ITC Avant Garde" w:hAnsi="ITC Avant Garde"/>
          <w:i/>
        </w:rPr>
        <w:footnoteReference w:id="45"/>
      </w:r>
      <w:r w:rsidR="00B73AA8" w:rsidRPr="002A2450">
        <w:rPr>
          <w:rFonts w:ascii="ITC Avant Garde" w:hAnsi="ITC Avant Garde"/>
          <w:i/>
        </w:rPr>
        <w:t xml:space="preserve"> </w:t>
      </w:r>
      <w:r w:rsidR="00B73AA8" w:rsidRPr="002A2450">
        <w:rPr>
          <w:rFonts w:ascii="ITC Avant Garde" w:hAnsi="ITC Avant Garde"/>
        </w:rPr>
        <w:t xml:space="preserve">para participar en la toma de decisiones de otra persona, a fin de determinar si forman parte de una mismo grupo o entidad económica. No es cierto que sólo se evalúa la capacidad de </w:t>
      </w:r>
      <w:r w:rsidR="002F6AE3" w:rsidRPr="002A2450">
        <w:rPr>
          <w:rFonts w:ascii="ITC Avant Garde" w:hAnsi="ITC Avant Garde"/>
          <w:i/>
        </w:rPr>
        <w:t>iure</w:t>
      </w:r>
      <w:r w:rsidR="00B73AA8" w:rsidRPr="002A2450">
        <w:rPr>
          <w:rFonts w:ascii="ITC Avant Garde" w:hAnsi="ITC Avant Garde"/>
        </w:rPr>
        <w:t xml:space="preserve"> que otorgan las tenencias accionarias, sino tambi</w:t>
      </w:r>
      <w:r w:rsidR="002F6AE3" w:rsidRPr="002A2450">
        <w:rPr>
          <w:rFonts w:ascii="ITC Avant Garde" w:hAnsi="ITC Avant Garde"/>
        </w:rPr>
        <w:t xml:space="preserve">én la capacidad de </w:t>
      </w:r>
      <w:r w:rsidR="002F6AE3" w:rsidRPr="002A2450">
        <w:rPr>
          <w:rFonts w:ascii="ITC Avant Garde" w:hAnsi="ITC Avant Garde"/>
          <w:i/>
        </w:rPr>
        <w:t>facto</w:t>
      </w:r>
      <w:r w:rsidR="002F6AE3" w:rsidRPr="002A2450">
        <w:rPr>
          <w:rFonts w:ascii="ITC Avant Garde" w:hAnsi="ITC Avant Garde"/>
        </w:rPr>
        <w:t xml:space="preserve">. </w:t>
      </w:r>
    </w:p>
    <w:p w14:paraId="0D599C0D" w14:textId="77777777" w:rsidR="00B35F13" w:rsidRDefault="00B73AA8" w:rsidP="00B35F13">
      <w:pPr>
        <w:spacing w:before="240" w:line="360" w:lineRule="auto"/>
        <w:jc w:val="both"/>
        <w:rPr>
          <w:rFonts w:ascii="ITC Avant Garde" w:hAnsi="ITC Avant Garde"/>
        </w:rPr>
      </w:pPr>
      <w:r w:rsidRPr="002A2450">
        <w:rPr>
          <w:rFonts w:ascii="ITC Avant Garde" w:hAnsi="ITC Avant Garde"/>
        </w:rPr>
        <w:t xml:space="preserve">Así, lo que se analiza en este procedimiento </w:t>
      </w:r>
      <w:r w:rsidR="002F6AE3" w:rsidRPr="002A2450">
        <w:rPr>
          <w:rFonts w:ascii="ITC Avant Garde" w:hAnsi="ITC Avant Garde"/>
        </w:rPr>
        <w:t xml:space="preserve">son los derechos que </w:t>
      </w:r>
      <w:r w:rsidR="002F6AE3" w:rsidRPr="002A2450">
        <w:rPr>
          <w:rFonts w:ascii="ITC Avant Garde" w:hAnsi="ITC Avant Garde"/>
          <w:i/>
        </w:rPr>
        <w:t>de facto</w:t>
      </w:r>
      <w:r w:rsidR="002F6AE3" w:rsidRPr="002A2450">
        <w:rPr>
          <w:rFonts w:ascii="ITC Avant Garde" w:hAnsi="ITC Avant Garde"/>
        </w:rPr>
        <w:t xml:space="preserve"> otorgaron los Contratos de Consecuencias y de Opción de Compra Venta a </w:t>
      </w:r>
      <w:r w:rsidR="002F6AE3" w:rsidRPr="002A2450">
        <w:rPr>
          <w:rFonts w:ascii="ITC Avant Garde" w:hAnsi="ITC Avant Garde"/>
          <w:b/>
        </w:rPr>
        <w:t>"TELMEX"</w:t>
      </w:r>
      <w:r w:rsidR="002F6AE3" w:rsidRPr="002A2450">
        <w:rPr>
          <w:rFonts w:ascii="ITC Avant Garde" w:hAnsi="ITC Avant Garde"/>
        </w:rPr>
        <w:t>, mismos que ejerci</w:t>
      </w:r>
      <w:r w:rsidR="000544C9" w:rsidRPr="002A2450">
        <w:rPr>
          <w:rFonts w:ascii="ITC Avant Garde" w:hAnsi="ITC Avant Garde"/>
        </w:rPr>
        <w:t>ó</w:t>
      </w:r>
      <w:r w:rsidR="002F6AE3" w:rsidRPr="002A2450">
        <w:rPr>
          <w:rFonts w:ascii="ITC Avant Garde" w:hAnsi="ITC Avant Garde"/>
        </w:rPr>
        <w:t xml:space="preserve">, para conocer e incidir en la toma de decisiones relevantes sobre eventos específicos que trascendieron a las operaciones de </w:t>
      </w:r>
      <w:r w:rsidR="002F6AE3" w:rsidRPr="002A2450">
        <w:rPr>
          <w:rFonts w:ascii="ITC Avant Garde" w:hAnsi="ITC Avant Garde"/>
          <w:b/>
        </w:rPr>
        <w:t>"DISH MÉXICO"</w:t>
      </w:r>
      <w:r w:rsidR="002F6AE3" w:rsidRPr="002A2450">
        <w:rPr>
          <w:rFonts w:ascii="ITC Avant Garde" w:hAnsi="ITC Avant Garde"/>
        </w:rPr>
        <w:t xml:space="preserve"> y sus subsidiarias, incluyendo a </w:t>
      </w:r>
      <w:r w:rsidR="002F6AE3" w:rsidRPr="002A2450">
        <w:rPr>
          <w:rFonts w:ascii="ITC Avant Garde" w:hAnsi="ITC Avant Garde"/>
          <w:b/>
        </w:rPr>
        <w:t xml:space="preserve">"COFRESA" </w:t>
      </w:r>
      <w:r w:rsidR="002F6AE3" w:rsidRPr="002A2450">
        <w:rPr>
          <w:rFonts w:ascii="ITC Avant Garde" w:hAnsi="ITC Avant Garde"/>
        </w:rPr>
        <w:t xml:space="preserve">que es concesionaria de servicios </w:t>
      </w:r>
      <w:r w:rsidR="002F6AE3" w:rsidRPr="002A2450">
        <w:rPr>
          <w:rFonts w:ascii="ITC Avant Garde" w:hAnsi="ITC Avant Garde"/>
          <w:b/>
        </w:rPr>
        <w:t>“DTH</w:t>
      </w:r>
      <w:r w:rsidR="002F6AE3" w:rsidRPr="002A2450">
        <w:rPr>
          <w:rFonts w:ascii="ITC Avant Garde" w:hAnsi="ITC Avant Garde"/>
        </w:rPr>
        <w:t xml:space="preserve">”. </w:t>
      </w:r>
      <w:r w:rsidR="000544C9" w:rsidRPr="002A2450">
        <w:rPr>
          <w:rFonts w:ascii="ITC Avant Garde" w:hAnsi="ITC Avant Garde"/>
        </w:rPr>
        <w:t xml:space="preserve">Contrario a lo manifestado por el perito, no se imputó la posible violación a la condición 1-9 del </w:t>
      </w:r>
      <w:r w:rsidR="000544C9" w:rsidRPr="002A2450">
        <w:rPr>
          <w:rFonts w:ascii="ITC Avant Garde" w:hAnsi="ITC Avant Garde"/>
          <w:b/>
        </w:rPr>
        <w:t>“TÍTULO DE CONCESIÓN</w:t>
      </w:r>
      <w:r w:rsidR="000544C9" w:rsidRPr="002A2450">
        <w:rPr>
          <w:rFonts w:ascii="ITC Avant Garde" w:hAnsi="ITC Avant Garde"/>
        </w:rPr>
        <w:t xml:space="preserve">” en función de la potencialidad de ejercicio de la opción de compra venta. </w:t>
      </w:r>
    </w:p>
    <w:p w14:paraId="25A04889" w14:textId="77777777" w:rsidR="00B35F13" w:rsidRDefault="00D33BF5" w:rsidP="00B35F13">
      <w:pPr>
        <w:spacing w:before="240" w:line="360" w:lineRule="auto"/>
        <w:jc w:val="both"/>
        <w:rPr>
          <w:rFonts w:ascii="ITC Avant Garde" w:hAnsi="ITC Avant Garde"/>
        </w:rPr>
      </w:pPr>
      <w:r w:rsidRPr="002A2450">
        <w:rPr>
          <w:rFonts w:ascii="ITC Avant Garde" w:hAnsi="ITC Avant Garde"/>
        </w:rPr>
        <w:t xml:space="preserve">En cuanto al hecho de que el perito </w:t>
      </w:r>
      <w:r w:rsidR="0004271E" w:rsidRPr="002A2450">
        <w:rPr>
          <w:rFonts w:ascii="ITC Avant Garde" w:hAnsi="ITC Avant Garde"/>
        </w:rPr>
        <w:t xml:space="preserve">de esta autoridad </w:t>
      </w:r>
      <w:r w:rsidRPr="002A2450">
        <w:rPr>
          <w:rFonts w:ascii="ITC Avant Garde" w:hAnsi="ITC Avant Garde"/>
        </w:rPr>
        <w:t>no se pronunció respecto de convenio de terminación del contrato de opción de compra y venta y consecuencias, tampoco le resta valor probatorio a lo señalado dado que ello sólo podría confirmar la suscripción de los mismos y la ejecuci</w:t>
      </w:r>
      <w:r w:rsidR="0004271E" w:rsidRPr="002A2450">
        <w:rPr>
          <w:rFonts w:ascii="ITC Avant Garde" w:hAnsi="ITC Avant Garde"/>
        </w:rPr>
        <w:t xml:space="preserve">ón de estos durante su vigencia, máxime que el análisis realizado se realizó con base en los planteamientos que </w:t>
      </w:r>
      <w:r w:rsidR="0004271E" w:rsidRPr="002A2450">
        <w:rPr>
          <w:rFonts w:ascii="ITC Avant Garde" w:hAnsi="ITC Avant Garde"/>
          <w:b/>
        </w:rPr>
        <w:t xml:space="preserve">“TELMEX” </w:t>
      </w:r>
      <w:r w:rsidR="0004271E" w:rsidRPr="002A2450">
        <w:rPr>
          <w:rFonts w:ascii="ITC Avant Garde" w:hAnsi="ITC Avant Garde"/>
        </w:rPr>
        <w:t xml:space="preserve">formuló por lo que en todo caso el dictamen respectivo analizó los contratos en los términos en que fueron presentados. </w:t>
      </w:r>
    </w:p>
    <w:p w14:paraId="7ED103B3" w14:textId="6A216429" w:rsidR="00B35F13" w:rsidRPr="00AE1F65" w:rsidRDefault="00AE1F65" w:rsidP="00AE1F65">
      <w:pPr>
        <w:pStyle w:val="Ttulo6"/>
        <w:numPr>
          <w:ilvl w:val="0"/>
          <w:numId w:val="0"/>
        </w:numPr>
        <w:ind w:left="720"/>
        <w:rPr>
          <w:u w:val="single"/>
        </w:rPr>
      </w:pPr>
      <w:r>
        <w:rPr>
          <w:u w:val="single"/>
        </w:rPr>
        <w:t>D</w:t>
      </w:r>
      <w:r w:rsidR="00E66997" w:rsidRPr="00AE1F65">
        <w:rPr>
          <w:u w:val="single"/>
        </w:rPr>
        <w:t>.2. PERICIAL EN MATERIA DE CONTABILIDAD</w:t>
      </w:r>
    </w:p>
    <w:p w14:paraId="7F3D563F" w14:textId="77777777" w:rsidR="00B35F13" w:rsidRDefault="0013756D" w:rsidP="00B35F13">
      <w:pPr>
        <w:spacing w:before="240" w:line="360" w:lineRule="auto"/>
        <w:jc w:val="both"/>
        <w:rPr>
          <w:rFonts w:ascii="ITC Avant Garde" w:hAnsi="ITC Avant Garde"/>
        </w:rPr>
      </w:pPr>
      <w:r w:rsidRPr="002A2450">
        <w:rPr>
          <w:rFonts w:ascii="ITC Avant Garde" w:hAnsi="ITC Avant Garde"/>
        </w:rPr>
        <w:lastRenderedPageBreak/>
        <w:t xml:space="preserve">Por otro lado, la prueba </w:t>
      </w:r>
      <w:r w:rsidRPr="002A2450">
        <w:rPr>
          <w:rFonts w:ascii="ITC Avant Garde" w:hAnsi="ITC Avant Garde"/>
          <w:b/>
          <w:u w:val="single"/>
        </w:rPr>
        <w:t>pericial en materia de contabilidad</w:t>
      </w:r>
      <w:r w:rsidRPr="002A2450">
        <w:rPr>
          <w:rFonts w:ascii="ITC Avant Garde" w:hAnsi="ITC Avant Garde"/>
          <w:b/>
        </w:rPr>
        <w:t xml:space="preserve"> </w:t>
      </w:r>
      <w:r w:rsidRPr="002A2450">
        <w:rPr>
          <w:rFonts w:ascii="ITC Avant Garde" w:hAnsi="ITC Avant Garde"/>
        </w:rPr>
        <w:t xml:space="preserve">presentada por </w:t>
      </w:r>
      <w:r w:rsidRPr="002A2450">
        <w:rPr>
          <w:rFonts w:ascii="ITC Avant Garde" w:hAnsi="ITC Avant Garde"/>
          <w:b/>
        </w:rPr>
        <w:t>“TELMEX”</w:t>
      </w:r>
      <w:r w:rsidRPr="002A2450">
        <w:rPr>
          <w:rFonts w:ascii="ITC Avant Garde" w:hAnsi="ITC Avant Garde"/>
        </w:rPr>
        <w:t xml:space="preserve"> tiene como finalidad determinar si los contratos celebrados por dicha concesionaria no generan vínculos financieros o corporativos ni otorgan el control de la primera sobre la segunda, así como </w:t>
      </w:r>
      <w:r w:rsidR="0004271E" w:rsidRPr="002A2450">
        <w:rPr>
          <w:rFonts w:ascii="ITC Avant Garde" w:hAnsi="ITC Avant Garde"/>
        </w:rPr>
        <w:t xml:space="preserve">determinar </w:t>
      </w:r>
      <w:r w:rsidRPr="002A2450">
        <w:rPr>
          <w:rFonts w:ascii="ITC Avant Garde" w:hAnsi="ITC Avant Garde"/>
        </w:rPr>
        <w:t xml:space="preserve">cuáles son las relaciones contractuales entre </w:t>
      </w:r>
      <w:r w:rsidRPr="002A2450">
        <w:rPr>
          <w:rFonts w:ascii="ITC Avant Garde" w:hAnsi="ITC Avant Garde"/>
          <w:b/>
        </w:rPr>
        <w:t>“TELMEX”</w:t>
      </w:r>
      <w:r w:rsidRPr="002A2450">
        <w:rPr>
          <w:rFonts w:ascii="ITC Avant Garde" w:hAnsi="ITC Avant Garde"/>
        </w:rPr>
        <w:t xml:space="preserve"> y </w:t>
      </w:r>
      <w:r w:rsidRPr="002A2450">
        <w:rPr>
          <w:rFonts w:ascii="ITC Avant Garde" w:hAnsi="ITC Avant Garde"/>
          <w:b/>
        </w:rPr>
        <w:t xml:space="preserve">“DISH” </w:t>
      </w:r>
      <w:r w:rsidRPr="002A2450">
        <w:rPr>
          <w:rFonts w:ascii="ITC Avant Garde" w:hAnsi="ITC Avant Garde"/>
        </w:rPr>
        <w:t>y si los contratos obedecen a un diseño o mecanismo que les permita alienar los incentivos, las relaciones verticales en una relación de negocios eficientes y si los contratos conforman una sola unidad económica.</w:t>
      </w:r>
    </w:p>
    <w:p w14:paraId="1DAA1973" w14:textId="77777777" w:rsidR="00B35F13" w:rsidRDefault="0004271E" w:rsidP="00B35F13">
      <w:pPr>
        <w:spacing w:before="240" w:line="360" w:lineRule="auto"/>
        <w:jc w:val="both"/>
        <w:rPr>
          <w:rFonts w:ascii="ITC Avant Garde" w:hAnsi="ITC Avant Garde"/>
        </w:rPr>
      </w:pPr>
      <w:r w:rsidRPr="002A2450">
        <w:rPr>
          <w:rFonts w:ascii="ITC Avant Garde" w:hAnsi="ITC Avant Garde"/>
        </w:rPr>
        <w:t>En ese sentido, el</w:t>
      </w:r>
      <w:r w:rsidR="0013756D" w:rsidRPr="002A2450">
        <w:rPr>
          <w:rFonts w:ascii="ITC Avant Garde" w:hAnsi="ITC Avant Garde"/>
        </w:rPr>
        <w:t xml:space="preserve"> perito de </w:t>
      </w:r>
      <w:r w:rsidR="0013756D" w:rsidRPr="002A2450">
        <w:rPr>
          <w:rFonts w:ascii="ITC Avant Garde" w:hAnsi="ITC Avant Garde"/>
          <w:b/>
        </w:rPr>
        <w:t>“TELMEX”</w:t>
      </w:r>
      <w:r w:rsidR="0013756D" w:rsidRPr="002A2450">
        <w:rPr>
          <w:rFonts w:ascii="ITC Avant Garde" w:hAnsi="ITC Avant Garde"/>
        </w:rPr>
        <w:t xml:space="preserve"> señaló en las partes que interesa lo siguiente:</w:t>
      </w:r>
    </w:p>
    <w:p w14:paraId="712A4CF7" w14:textId="77777777" w:rsidR="00B35F13" w:rsidRDefault="00FC7742"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De acuerdo a la normatividad contable</w:t>
      </w:r>
      <w:r w:rsidR="0004271E" w:rsidRPr="002A2450">
        <w:rPr>
          <w:rFonts w:ascii="ITC Avant Garde" w:hAnsi="ITC Avant Garde"/>
        </w:rPr>
        <w:t>,</w:t>
      </w:r>
      <w:r w:rsidRPr="002A2450">
        <w:rPr>
          <w:rFonts w:ascii="ITC Avant Garde" w:hAnsi="ITC Avant Garde"/>
        </w:rPr>
        <w:t xml:space="preserve"> los efectos derivados de los contratos se refieren a una serie </w:t>
      </w:r>
      <w:r w:rsidR="0013756D" w:rsidRPr="002A2450">
        <w:rPr>
          <w:rFonts w:ascii="ITC Avant Garde" w:hAnsi="ITC Avant Garde"/>
        </w:rPr>
        <w:t>de transacciones económicas</w:t>
      </w:r>
      <w:r w:rsidRPr="002A2450">
        <w:rPr>
          <w:rFonts w:ascii="ITC Avant Garde" w:hAnsi="ITC Avant Garde"/>
        </w:rPr>
        <w:t xml:space="preserve"> en l</w:t>
      </w:r>
      <w:r w:rsidR="0004271E" w:rsidRPr="002A2450">
        <w:rPr>
          <w:rFonts w:ascii="ITC Avant Garde" w:hAnsi="ITC Avant Garde"/>
        </w:rPr>
        <w:t>a</w:t>
      </w:r>
      <w:r w:rsidRPr="002A2450">
        <w:rPr>
          <w:rFonts w:ascii="ITC Avant Garde" w:hAnsi="ITC Avant Garde"/>
        </w:rPr>
        <w:t xml:space="preserve"> que </w:t>
      </w:r>
      <w:r w:rsidR="0013756D" w:rsidRPr="002A2450">
        <w:rPr>
          <w:rFonts w:ascii="ITC Avant Garde" w:hAnsi="ITC Avant Garde"/>
        </w:rPr>
        <w:t xml:space="preserve">hay diferentes entidades y </w:t>
      </w:r>
      <w:r w:rsidRPr="002A2450">
        <w:rPr>
          <w:rFonts w:ascii="ITC Avant Garde" w:hAnsi="ITC Avant Garde"/>
        </w:rPr>
        <w:t xml:space="preserve">crean </w:t>
      </w:r>
      <w:r w:rsidR="0013756D" w:rsidRPr="002A2450">
        <w:rPr>
          <w:rFonts w:ascii="ITC Avant Garde" w:hAnsi="ITC Avant Garde"/>
        </w:rPr>
        <w:t xml:space="preserve">derechos y obligaciones. Estos </w:t>
      </w:r>
      <w:r w:rsidRPr="002A2450">
        <w:rPr>
          <w:rFonts w:ascii="ITC Avant Garde" w:hAnsi="ITC Avant Garde"/>
        </w:rPr>
        <w:t xml:space="preserve">derechos y obligaciones pueden </w:t>
      </w:r>
      <w:r w:rsidR="0013756D" w:rsidRPr="002A2450">
        <w:rPr>
          <w:rFonts w:ascii="ITC Avant Garde" w:hAnsi="ITC Avant Garde"/>
        </w:rPr>
        <w:t xml:space="preserve">derivar en </w:t>
      </w:r>
      <w:r w:rsidRPr="002A2450">
        <w:rPr>
          <w:rFonts w:ascii="ITC Avant Garde" w:hAnsi="ITC Avant Garde"/>
        </w:rPr>
        <w:t xml:space="preserve">la creación </w:t>
      </w:r>
      <w:r w:rsidR="0013756D" w:rsidRPr="002A2450">
        <w:rPr>
          <w:rFonts w:ascii="ITC Avant Garde" w:hAnsi="ITC Avant Garde"/>
        </w:rPr>
        <w:t>de activos y pasivos en las entidades participantes</w:t>
      </w:r>
      <w:r w:rsidRPr="002A2450">
        <w:rPr>
          <w:rFonts w:ascii="ITC Avant Garde" w:hAnsi="ITC Avant Garde"/>
        </w:rPr>
        <w:t xml:space="preserve">. </w:t>
      </w:r>
      <w:r w:rsidR="0013756D" w:rsidRPr="002A2450">
        <w:rPr>
          <w:rFonts w:ascii="ITC Avant Garde" w:hAnsi="ITC Avant Garde"/>
        </w:rPr>
        <w:t xml:space="preserve">Al analizar </w:t>
      </w:r>
      <w:r w:rsidRPr="002A2450">
        <w:rPr>
          <w:rFonts w:ascii="ITC Avant Garde" w:hAnsi="ITC Avant Garde"/>
        </w:rPr>
        <w:t>los contratos</w:t>
      </w:r>
      <w:r w:rsidR="008F718E" w:rsidRPr="002A2450">
        <w:rPr>
          <w:rFonts w:ascii="ITC Avant Garde" w:hAnsi="ITC Avant Garde"/>
          <w:color w:val="C00000"/>
        </w:rPr>
        <w:t xml:space="preserve"> </w:t>
      </w:r>
      <w:r w:rsidR="0013756D" w:rsidRPr="002A2450">
        <w:rPr>
          <w:rFonts w:ascii="ITC Avant Garde" w:hAnsi="ITC Avant Garde"/>
        </w:rPr>
        <w:t>se observa que establecen una</w:t>
      </w:r>
      <w:r w:rsidR="008F718E" w:rsidRPr="002A2450">
        <w:rPr>
          <w:rFonts w:ascii="ITC Avant Garde" w:hAnsi="ITC Avant Garde"/>
          <w:color w:val="C00000"/>
        </w:rPr>
        <w:t xml:space="preserve"> </w:t>
      </w:r>
      <w:r w:rsidR="0013756D" w:rsidRPr="002A2450">
        <w:rPr>
          <w:rFonts w:ascii="ITC Avant Garde" w:hAnsi="ITC Avant Garde"/>
        </w:rPr>
        <w:t>serie</w:t>
      </w:r>
      <w:r w:rsidR="008F718E" w:rsidRPr="002A2450">
        <w:rPr>
          <w:rFonts w:ascii="ITC Avant Garde" w:hAnsi="ITC Avant Garde"/>
          <w:color w:val="C00000"/>
        </w:rPr>
        <w:t xml:space="preserve"> </w:t>
      </w:r>
      <w:r w:rsidR="0013756D" w:rsidRPr="002A2450">
        <w:rPr>
          <w:rFonts w:ascii="ITC Avant Garde" w:hAnsi="ITC Avant Garde"/>
        </w:rPr>
        <w:t>de</w:t>
      </w:r>
      <w:r w:rsidR="008F718E" w:rsidRPr="002A2450">
        <w:rPr>
          <w:rFonts w:ascii="ITC Avant Garde" w:hAnsi="ITC Avant Garde"/>
          <w:color w:val="C00000"/>
        </w:rPr>
        <w:t xml:space="preserve"> </w:t>
      </w:r>
      <w:r w:rsidR="0013756D" w:rsidRPr="002A2450">
        <w:rPr>
          <w:rFonts w:ascii="ITC Avant Garde" w:hAnsi="ITC Avant Garde"/>
        </w:rPr>
        <w:t>condiciones para</w:t>
      </w:r>
      <w:r w:rsidR="008F718E" w:rsidRPr="002A2450">
        <w:rPr>
          <w:rFonts w:ascii="ITC Avant Garde" w:hAnsi="ITC Avant Garde"/>
          <w:color w:val="C00000"/>
        </w:rPr>
        <w:t xml:space="preserve"> </w:t>
      </w:r>
      <w:r w:rsidR="0013756D" w:rsidRPr="002A2450">
        <w:rPr>
          <w:rFonts w:ascii="ITC Avant Garde" w:hAnsi="ITC Avant Garde"/>
        </w:rPr>
        <w:t>realizar</w:t>
      </w:r>
      <w:r w:rsidR="008F718E" w:rsidRPr="002A2450">
        <w:rPr>
          <w:rFonts w:ascii="ITC Avant Garde" w:hAnsi="ITC Avant Garde"/>
          <w:color w:val="C00000"/>
        </w:rPr>
        <w:t xml:space="preserve"> </w:t>
      </w:r>
      <w:r w:rsidR="0013756D" w:rsidRPr="002A2450">
        <w:rPr>
          <w:rFonts w:ascii="ITC Avant Garde" w:hAnsi="ITC Avant Garde"/>
        </w:rPr>
        <w:t>transacciones que impactan</w:t>
      </w:r>
      <w:r w:rsidR="008F718E" w:rsidRPr="002A2450">
        <w:rPr>
          <w:rFonts w:ascii="ITC Avant Garde" w:hAnsi="ITC Avant Garde"/>
          <w:color w:val="C00000"/>
        </w:rPr>
        <w:t xml:space="preserve"> </w:t>
      </w:r>
      <w:r w:rsidR="0013756D" w:rsidRPr="002A2450">
        <w:rPr>
          <w:rFonts w:ascii="ITC Avant Garde" w:hAnsi="ITC Avant Garde"/>
        </w:rPr>
        <w:t>los estados financieros de las distintas entidades p</w:t>
      </w:r>
      <w:r w:rsidR="00751E40" w:rsidRPr="002A2450">
        <w:rPr>
          <w:rFonts w:ascii="ITC Avant Garde" w:hAnsi="ITC Avant Garde"/>
        </w:rPr>
        <w:t xml:space="preserve">articipantes, pero por el tipo </w:t>
      </w:r>
      <w:r w:rsidR="0013756D" w:rsidRPr="002A2450">
        <w:rPr>
          <w:rFonts w:ascii="ITC Avant Garde" w:hAnsi="ITC Avant Garde"/>
        </w:rPr>
        <w:t xml:space="preserve">de contratos, </w:t>
      </w:r>
      <w:r w:rsidR="0013756D" w:rsidRPr="002A2450">
        <w:rPr>
          <w:rFonts w:ascii="ITC Avant Garde" w:hAnsi="ITC Avant Garde"/>
          <w:b/>
          <w:u w:val="single"/>
        </w:rPr>
        <w:t>la sustancia económica</w:t>
      </w:r>
      <w:r w:rsidR="008F718E" w:rsidRPr="002A2450">
        <w:rPr>
          <w:rFonts w:ascii="ITC Avant Garde" w:hAnsi="ITC Avant Garde"/>
          <w:b/>
          <w:color w:val="C00000"/>
          <w:u w:val="single"/>
        </w:rPr>
        <w:t xml:space="preserve"> </w:t>
      </w:r>
      <w:r w:rsidR="0013756D" w:rsidRPr="002A2450">
        <w:rPr>
          <w:rFonts w:ascii="ITC Avant Garde" w:hAnsi="ITC Avant Garde"/>
          <w:b/>
          <w:u w:val="single"/>
        </w:rPr>
        <w:t>de</w:t>
      </w:r>
      <w:r w:rsidR="008F718E" w:rsidRPr="002A2450">
        <w:rPr>
          <w:rFonts w:ascii="ITC Avant Garde" w:hAnsi="ITC Avant Garde"/>
          <w:b/>
          <w:color w:val="C00000"/>
          <w:u w:val="single"/>
        </w:rPr>
        <w:t xml:space="preserve"> </w:t>
      </w:r>
      <w:r w:rsidR="0013756D" w:rsidRPr="002A2450">
        <w:rPr>
          <w:rFonts w:ascii="ITC Avant Garde" w:hAnsi="ITC Avant Garde"/>
          <w:b/>
          <w:u w:val="single"/>
        </w:rPr>
        <w:t>las transacciones y acuerdos que</w:t>
      </w:r>
      <w:r w:rsidR="008F718E" w:rsidRPr="009E34A4">
        <w:rPr>
          <w:rFonts w:ascii="ITC Avant Garde" w:hAnsi="ITC Avant Garde"/>
          <w:b/>
          <w:color w:val="C00000"/>
          <w:u w:val="single"/>
        </w:rPr>
        <w:t xml:space="preserve"> </w:t>
      </w:r>
      <w:r w:rsidR="0013756D" w:rsidRPr="002A2450">
        <w:rPr>
          <w:rFonts w:ascii="ITC Avant Garde" w:hAnsi="ITC Avant Garde"/>
          <w:b/>
          <w:u w:val="single"/>
        </w:rPr>
        <w:t>conllevan, no apuntan a una relación</w:t>
      </w:r>
      <w:r w:rsidR="0017353B" w:rsidRPr="002A2450">
        <w:rPr>
          <w:rFonts w:ascii="ITC Avant Garde" w:hAnsi="ITC Avant Garde"/>
          <w:b/>
          <w:u w:val="single"/>
        </w:rPr>
        <w:t xml:space="preserve"> que cree vínculos corporativos</w:t>
      </w:r>
      <w:r w:rsidR="0013756D" w:rsidRPr="002A2450">
        <w:rPr>
          <w:rFonts w:ascii="ITC Avant Garde" w:hAnsi="ITC Avant Garde"/>
        </w:rPr>
        <w:t>.</w:t>
      </w:r>
      <w:r w:rsidRPr="002A2450">
        <w:rPr>
          <w:rFonts w:ascii="ITC Avant Garde" w:hAnsi="ITC Avant Garde"/>
        </w:rPr>
        <w:t xml:space="preserve"> </w:t>
      </w:r>
      <w:r w:rsidRPr="002A2450">
        <w:rPr>
          <w:rFonts w:ascii="ITC Avant Garde" w:hAnsi="ITC Avant Garde"/>
          <w:b/>
          <w:u w:val="single"/>
        </w:rPr>
        <w:t>S</w:t>
      </w:r>
      <w:r w:rsidR="0013756D" w:rsidRPr="002A2450">
        <w:rPr>
          <w:rFonts w:ascii="ITC Avant Garde" w:hAnsi="ITC Avant Garde"/>
          <w:b/>
          <w:u w:val="single"/>
        </w:rPr>
        <w:t>i bien crean vínculos financieros por la creación de activos y pasivos</w:t>
      </w:r>
      <w:r w:rsidR="0013756D" w:rsidRPr="002A2450">
        <w:rPr>
          <w:rFonts w:ascii="ITC Avant Garde" w:hAnsi="ITC Avant Garde"/>
        </w:rPr>
        <w:t xml:space="preserve"> </w:t>
      </w:r>
      <w:r w:rsidR="0013756D" w:rsidRPr="002A2450">
        <w:rPr>
          <w:rFonts w:ascii="ITC Avant Garde" w:hAnsi="ITC Avant Garde"/>
          <w:b/>
          <w:u w:val="single"/>
        </w:rPr>
        <w:t>y afectan su capital contable</w:t>
      </w:r>
      <w:r w:rsidR="0013756D" w:rsidRPr="002A2450">
        <w:rPr>
          <w:rFonts w:ascii="ITC Avant Garde" w:hAnsi="ITC Avant Garde"/>
        </w:rPr>
        <w:t xml:space="preserve">, éstos no van más allá de la relación cliente-proveedor, </w:t>
      </w:r>
      <w:r w:rsidR="0013756D" w:rsidRPr="002A2450">
        <w:rPr>
          <w:rFonts w:ascii="ITC Avant Garde" w:hAnsi="ITC Avant Garde"/>
          <w:b/>
          <w:u w:val="single"/>
        </w:rPr>
        <w:t>no obstante que dicha relación adquiere otros matices por la naturaleza compleja de los contratos</w:t>
      </w:r>
      <w:r w:rsidR="0013756D" w:rsidRPr="002A2450">
        <w:rPr>
          <w:rFonts w:ascii="ITC Avant Garde" w:hAnsi="ITC Avant Garde"/>
        </w:rPr>
        <w:t>.</w:t>
      </w:r>
    </w:p>
    <w:p w14:paraId="3061AE1C" w14:textId="77777777" w:rsidR="00B35F13" w:rsidRDefault="001853E6"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 xml:space="preserve">Por lo que se refiere a que si los contratos otorgan a </w:t>
      </w:r>
      <w:r w:rsidRPr="002A2450">
        <w:rPr>
          <w:rFonts w:ascii="ITC Avant Garde" w:hAnsi="ITC Avant Garde"/>
          <w:b/>
        </w:rPr>
        <w:t>“TELMEX”</w:t>
      </w:r>
      <w:r w:rsidRPr="002A2450">
        <w:rPr>
          <w:rFonts w:ascii="ITC Avant Garde" w:hAnsi="ITC Avant Garde"/>
        </w:rPr>
        <w:t xml:space="preserve"> el control de </w:t>
      </w:r>
      <w:r w:rsidRPr="002A2450">
        <w:rPr>
          <w:rFonts w:ascii="ITC Avant Garde" w:hAnsi="ITC Avant Garde"/>
          <w:b/>
        </w:rPr>
        <w:t xml:space="preserve">“DISH MÉXICO” </w:t>
      </w:r>
      <w:r w:rsidRPr="002A2450">
        <w:rPr>
          <w:rFonts w:ascii="ITC Avant Garde" w:hAnsi="ITC Avant Garde"/>
        </w:rPr>
        <w:t xml:space="preserve">conforme a la normatividad contable, el perito señaló que debe entenderse que el </w:t>
      </w:r>
      <w:r w:rsidR="0013756D" w:rsidRPr="002A2450">
        <w:rPr>
          <w:rFonts w:ascii="ITC Avant Garde" w:hAnsi="ITC Avant Garde"/>
          <w:i/>
        </w:rPr>
        <w:t xml:space="preserve">"Control es el poder que tiene un órgano centralizado tomador de decisiones para gobernar las políticas de operación y financieras de los recursos y fuentes de una entidad económica, a fin de obtener un </w:t>
      </w:r>
      <w:r w:rsidR="0013756D" w:rsidRPr="002A2450">
        <w:rPr>
          <w:rStyle w:val="EstiloCar"/>
          <w:rFonts w:ascii="ITC Avant Garde" w:hAnsi="ITC Avant Garde"/>
          <w:i/>
          <w:sz w:val="22"/>
        </w:rPr>
        <w:t>beneficio</w:t>
      </w:r>
      <w:r w:rsidR="0013756D" w:rsidRPr="002A2450">
        <w:rPr>
          <w:rStyle w:val="EstiloCar"/>
          <w:rFonts w:asciiTheme="majorHAnsi" w:hAnsiTheme="majorHAnsi"/>
          <w:i/>
        </w:rPr>
        <w:t>.</w:t>
      </w:r>
      <w:r w:rsidR="0013756D" w:rsidRPr="002A2450">
        <w:rPr>
          <w:rFonts w:ascii="ITC Avant Garde" w:hAnsi="ITC Avant Garde"/>
          <w:i/>
        </w:rPr>
        <w:t xml:space="preserve"> La entidad económica puede ser un sujeto jurídicamente independiente o un conjunto de ellos, siempre y cuando éstos se encuentren </w:t>
      </w:r>
      <w:r w:rsidR="0013756D" w:rsidRPr="002A2450">
        <w:rPr>
          <w:rFonts w:ascii="ITC Avant Garde" w:hAnsi="ITC Avant Garde"/>
          <w:i/>
        </w:rPr>
        <w:lastRenderedPageBreak/>
        <w:t>controlados bajo un único centro de decisiones"</w:t>
      </w:r>
      <w:r w:rsidRPr="002A2450">
        <w:rPr>
          <w:rFonts w:ascii="ITC Avant Garde" w:hAnsi="ITC Avant Garde"/>
        </w:rPr>
        <w:t xml:space="preserve"> </w:t>
      </w:r>
      <w:r w:rsidR="0017353B" w:rsidRPr="002A2450">
        <w:rPr>
          <w:rFonts w:ascii="ITC Avant Garde" w:hAnsi="ITC Avant Garde"/>
        </w:rPr>
        <w:t xml:space="preserve">en ese sentido </w:t>
      </w:r>
      <w:r w:rsidR="0013756D" w:rsidRPr="002A2450">
        <w:rPr>
          <w:rFonts w:ascii="ITC Avant Garde" w:hAnsi="ITC Avant Garde"/>
          <w:b/>
          <w:u w:val="single"/>
        </w:rPr>
        <w:t xml:space="preserve">se considera que una entidad tiene el control de un recurso, específicamente un activo, cuando ésta tiene el derecho de obtener para sí misma, los beneficios económicos futuros que derivan del activo y de regular el acceso de terceros a dichos </w:t>
      </w:r>
      <w:r w:rsidR="0013756D" w:rsidRPr="002A2450">
        <w:rPr>
          <w:rStyle w:val="EstiloCar"/>
          <w:rFonts w:ascii="ITC Avant Garde" w:hAnsi="ITC Avant Garde"/>
          <w:b/>
          <w:sz w:val="22"/>
          <w:u w:val="single"/>
        </w:rPr>
        <w:t>beneficios.</w:t>
      </w:r>
      <w:r w:rsidR="0013756D" w:rsidRPr="002A2450">
        <w:rPr>
          <w:rFonts w:ascii="ITC Avant Garde" w:hAnsi="ITC Avant Garde"/>
        </w:rPr>
        <w:t xml:space="preserve"> </w:t>
      </w:r>
      <w:r w:rsidR="0013756D" w:rsidRPr="002A2450">
        <w:rPr>
          <w:rFonts w:ascii="ITC Avant Garde" w:hAnsi="ITC Avant Garde"/>
          <w:b/>
          <w:u w:val="single"/>
        </w:rPr>
        <w:t>Esto puede suceder de distintas maneras y no necesariamente la inversión conlleva propiedad de una entidad en la otra</w:t>
      </w:r>
      <w:r w:rsidR="0013756D" w:rsidRPr="002A2450">
        <w:rPr>
          <w:rFonts w:ascii="ITC Avant Garde" w:hAnsi="ITC Avant Garde"/>
        </w:rPr>
        <w:t xml:space="preserve">, por lo que </w:t>
      </w:r>
      <w:r w:rsidR="0013756D" w:rsidRPr="002A2450">
        <w:rPr>
          <w:rFonts w:ascii="ITC Avant Garde" w:hAnsi="ITC Avant Garde"/>
          <w:b/>
          <w:u w:val="single"/>
        </w:rPr>
        <w:t>la NIF B-8 "Estados Financieros Consolidados o Combinados"</w:t>
      </w:r>
      <w:r w:rsidR="0013756D" w:rsidRPr="002A2450">
        <w:rPr>
          <w:rFonts w:ascii="ITC Avant Garde" w:hAnsi="ITC Avant Garde"/>
        </w:rPr>
        <w:t xml:space="preserve"> </w:t>
      </w:r>
      <w:r w:rsidR="0013756D" w:rsidRPr="002A2450">
        <w:rPr>
          <w:rFonts w:ascii="ITC Avant Garde" w:hAnsi="ITC Avant Garde"/>
          <w:b/>
          <w:u w:val="single"/>
        </w:rPr>
        <w:t xml:space="preserve">ha ampliado </w:t>
      </w:r>
      <w:r w:rsidR="000544C9" w:rsidRPr="002A2450">
        <w:rPr>
          <w:rFonts w:ascii="ITC Avant Garde" w:hAnsi="ITC Avant Garde"/>
          <w:b/>
          <w:u w:val="single"/>
        </w:rPr>
        <w:t>e</w:t>
      </w:r>
      <w:r w:rsidR="0013756D" w:rsidRPr="002A2450">
        <w:rPr>
          <w:rFonts w:ascii="ITC Avant Garde" w:hAnsi="ITC Avant Garde"/>
          <w:b/>
          <w:u w:val="single"/>
        </w:rPr>
        <w:t>ste concepto de la tenencia de acciones de derechos a voto (tenencia accionaria), a otros acuerdos contractuales que otorguen poder sobre la participada u otros factores como el grado de involucramiento</w:t>
      </w:r>
      <w:r w:rsidR="0013756D" w:rsidRPr="002A2450">
        <w:rPr>
          <w:rFonts w:ascii="ITC Avant Garde" w:hAnsi="ITC Avant Garde"/>
        </w:rPr>
        <w:t xml:space="preserve"> en la participada que podrían ser indicadores de la existencia de poder</w:t>
      </w:r>
      <w:r w:rsidRPr="002A2450">
        <w:rPr>
          <w:rFonts w:ascii="ITC Avant Garde" w:hAnsi="ITC Avant Garde"/>
        </w:rPr>
        <w:t xml:space="preserve">. </w:t>
      </w:r>
    </w:p>
    <w:p w14:paraId="5FEFAFA5" w14:textId="77777777" w:rsidR="00B35F13" w:rsidRDefault="0013756D" w:rsidP="00B35F13">
      <w:pPr>
        <w:pStyle w:val="Prrafodelista"/>
        <w:spacing w:before="240" w:line="360" w:lineRule="auto"/>
        <w:ind w:left="567"/>
        <w:jc w:val="both"/>
        <w:rPr>
          <w:rFonts w:ascii="ITC Avant Garde" w:hAnsi="ITC Avant Garde"/>
        </w:rPr>
      </w:pPr>
      <w:r w:rsidRPr="002A2450">
        <w:rPr>
          <w:rFonts w:ascii="ITC Avant Garde" w:hAnsi="ITC Avant Garde"/>
          <w:b/>
          <w:u w:val="single"/>
        </w:rPr>
        <w:t>Para tener poder sobre una participada, un inversionista requiere tener derechos que le den esa capacidad presente de dirigir las actividades relevantes de la misma.</w:t>
      </w:r>
      <w:r w:rsidR="00351132" w:rsidRPr="002A2450">
        <w:rPr>
          <w:rFonts w:ascii="ITC Avant Garde" w:hAnsi="ITC Avant Garde"/>
          <w:b/>
        </w:rPr>
        <w:t xml:space="preserve"> </w:t>
      </w:r>
      <w:r w:rsidRPr="002A2450">
        <w:rPr>
          <w:rFonts w:ascii="ITC Avant Garde" w:hAnsi="ITC Avant Garde"/>
        </w:rPr>
        <w:t>El inversionista al controlar una participada está expuesto a rendimientos variables procedentes de su involucramiento al tener el potencial de variarlos como consecuencia de su desempeño en el ámbito económico, esto es, si además de tener poder sobre ella y exposición a derechos o rendimientos variables, tiene la capacidad de usar su poder para afectar el rendimiento de la participada como consecuencia de dicho involucramiento. Asimismo, dicho control puede ejercerse de forma indirecta a través de ot</w:t>
      </w:r>
      <w:r w:rsidR="00351132" w:rsidRPr="002A2450">
        <w:rPr>
          <w:rFonts w:ascii="ITC Avant Garde" w:hAnsi="ITC Avant Garde"/>
        </w:rPr>
        <w:t xml:space="preserve">ra entidad (principal o agente). </w:t>
      </w:r>
      <w:r w:rsidRPr="002A2450">
        <w:rPr>
          <w:rFonts w:ascii="ITC Avant Garde" w:hAnsi="ITC Avant Garde"/>
          <w:b/>
          <w:u w:val="single"/>
        </w:rPr>
        <w:t>Un agente es una persona o entidad comprometida a actuar en nombre y en beneficio de otra conocida como principal, la cual le ha delegado su poder de tomar decisiones sobre las actividades relevantes de una entidad en la que participa el principal.</w:t>
      </w:r>
      <w:r w:rsidR="00351132" w:rsidRPr="002A2450">
        <w:rPr>
          <w:rFonts w:ascii="ITC Avant Garde" w:hAnsi="ITC Avant Garde"/>
          <w:b/>
        </w:rPr>
        <w:t xml:space="preserve"> </w:t>
      </w:r>
      <w:r w:rsidRPr="002A2450">
        <w:rPr>
          <w:rFonts w:ascii="ITC Avant Garde" w:hAnsi="ITC Avant Garde"/>
        </w:rPr>
        <w:t>De esta forma, un agente está dedicado a actuar en nombre y beneficio del principal, por lo que el agente no controla directamente a la participada cuando ejerce su autoridad para tomar decisiones.</w:t>
      </w:r>
    </w:p>
    <w:p w14:paraId="67707103" w14:textId="77777777" w:rsidR="00B35F13" w:rsidRDefault="0013756D" w:rsidP="00B35F13">
      <w:pPr>
        <w:spacing w:before="240" w:line="360" w:lineRule="auto"/>
        <w:ind w:left="567"/>
        <w:jc w:val="both"/>
        <w:rPr>
          <w:rFonts w:ascii="ITC Avant Garde" w:hAnsi="ITC Avant Garde"/>
        </w:rPr>
      </w:pPr>
      <w:r w:rsidRPr="002A2450">
        <w:rPr>
          <w:rFonts w:ascii="ITC Avant Garde" w:hAnsi="ITC Avant Garde"/>
        </w:rPr>
        <w:t xml:space="preserve">En tal sentido, para </w:t>
      </w:r>
      <w:r w:rsidR="00351132" w:rsidRPr="002A2450">
        <w:rPr>
          <w:rFonts w:ascii="ITC Avant Garde" w:hAnsi="ITC Avant Garde"/>
          <w:b/>
        </w:rPr>
        <w:t xml:space="preserve">“TELMEX” </w:t>
      </w:r>
      <w:r w:rsidRPr="002A2450">
        <w:rPr>
          <w:rFonts w:ascii="ITC Avant Garde" w:hAnsi="ITC Avant Garde"/>
          <w:b/>
          <w:u w:val="single"/>
        </w:rPr>
        <w:t xml:space="preserve">ninguno de </w:t>
      </w:r>
      <w:r w:rsidR="00351132" w:rsidRPr="002A2450">
        <w:rPr>
          <w:rFonts w:ascii="ITC Avant Garde" w:hAnsi="ITC Avant Garde"/>
          <w:b/>
          <w:u w:val="single"/>
        </w:rPr>
        <w:t xml:space="preserve">los contratos </w:t>
      </w:r>
      <w:r w:rsidR="0004271E" w:rsidRPr="002A2450">
        <w:rPr>
          <w:rFonts w:ascii="ITC Avant Garde" w:hAnsi="ITC Avant Garde"/>
          <w:b/>
          <w:u w:val="single"/>
        </w:rPr>
        <w:t xml:space="preserve">lo ubica </w:t>
      </w:r>
      <w:r w:rsidRPr="002A2450">
        <w:rPr>
          <w:rFonts w:ascii="ITC Avant Garde" w:hAnsi="ITC Avant Garde"/>
          <w:b/>
          <w:u w:val="single"/>
        </w:rPr>
        <w:t>en alguno de los supuestos mencionados</w:t>
      </w:r>
      <w:r w:rsidRPr="002A2450">
        <w:rPr>
          <w:rFonts w:ascii="ITC Avant Garde" w:hAnsi="ITC Avant Garde"/>
          <w:b/>
        </w:rPr>
        <w:t xml:space="preserve"> </w:t>
      </w:r>
      <w:r w:rsidRPr="002A2450">
        <w:rPr>
          <w:rFonts w:ascii="ITC Avant Garde" w:hAnsi="ITC Avant Garde"/>
        </w:rPr>
        <w:t xml:space="preserve">al no tener poder de decisión ni operativa ni financiera al interior de </w:t>
      </w:r>
      <w:r w:rsidR="00425402" w:rsidRPr="002A2450">
        <w:rPr>
          <w:rFonts w:ascii="ITC Avant Garde" w:hAnsi="ITC Avant Garde"/>
          <w:b/>
        </w:rPr>
        <w:t>“DISH MÉXICO”</w:t>
      </w:r>
      <w:r w:rsidRPr="002A2450">
        <w:rPr>
          <w:rFonts w:ascii="ITC Avant Garde" w:hAnsi="ITC Avant Garde"/>
        </w:rPr>
        <w:t xml:space="preserve">; al no haber colocado recursos en ésta </w:t>
      </w:r>
      <w:r w:rsidRPr="002A2450">
        <w:rPr>
          <w:rFonts w:ascii="ITC Avant Garde" w:hAnsi="ITC Avant Garde"/>
        </w:rPr>
        <w:lastRenderedPageBreak/>
        <w:t>última en forma de inversión de forma tal que</w:t>
      </w:r>
      <w:r w:rsidR="00425402" w:rsidRPr="002A2450">
        <w:rPr>
          <w:rFonts w:ascii="ITC Avant Garde" w:hAnsi="ITC Avant Garde"/>
        </w:rPr>
        <w:t xml:space="preserve"> </w:t>
      </w:r>
      <w:r w:rsidR="00425402" w:rsidRPr="002A2450">
        <w:rPr>
          <w:rFonts w:ascii="ITC Avant Garde" w:hAnsi="ITC Avant Garde"/>
          <w:b/>
        </w:rPr>
        <w:t xml:space="preserve">“TELMEX” </w:t>
      </w:r>
      <w:r w:rsidRPr="002A2450">
        <w:rPr>
          <w:rFonts w:ascii="ITC Avant Garde" w:hAnsi="ITC Avant Garde"/>
        </w:rPr>
        <w:t xml:space="preserve">contemplara recibir </w:t>
      </w:r>
      <w:r w:rsidRPr="002A2450">
        <w:rPr>
          <w:rStyle w:val="EstiloCar"/>
          <w:rFonts w:ascii="ITC Avant Garde" w:hAnsi="ITC Avant Garde"/>
          <w:sz w:val="22"/>
        </w:rPr>
        <w:t xml:space="preserve">beneficios </w:t>
      </w:r>
      <w:r w:rsidRPr="002A2450">
        <w:rPr>
          <w:rFonts w:ascii="ITC Avant Garde" w:hAnsi="ITC Avant Garde"/>
        </w:rPr>
        <w:t>económicos futuros por el sólo hecho de tener una relación contractual y en consecuencia, no ha aportado recursos que hagan considerar a dicha entidad una invers</w:t>
      </w:r>
      <w:r w:rsidR="00425402" w:rsidRPr="002A2450">
        <w:rPr>
          <w:rFonts w:ascii="ITC Avant Garde" w:hAnsi="ITC Avant Garde"/>
        </w:rPr>
        <w:t>ió</w:t>
      </w:r>
      <w:r w:rsidRPr="002A2450">
        <w:rPr>
          <w:rFonts w:ascii="ITC Avant Garde" w:hAnsi="ITC Avant Garde"/>
        </w:rPr>
        <w:t xml:space="preserve">n ni la obligación contable de reportar alguna participación en </w:t>
      </w:r>
      <w:r w:rsidR="00425402" w:rsidRPr="002A2450">
        <w:rPr>
          <w:rFonts w:ascii="ITC Avant Garde" w:hAnsi="ITC Avant Garde"/>
          <w:b/>
        </w:rPr>
        <w:t>“DISH MÉXICO”</w:t>
      </w:r>
      <w:r w:rsidRPr="002A2450">
        <w:rPr>
          <w:rFonts w:ascii="ITC Avant Garde" w:hAnsi="ITC Avant Garde"/>
        </w:rPr>
        <w:t xml:space="preserve"> dentro de sus libros.</w:t>
      </w:r>
    </w:p>
    <w:p w14:paraId="73EB7B25" w14:textId="77777777" w:rsidR="00B35F13" w:rsidRDefault="0013756D" w:rsidP="00B35F13">
      <w:pPr>
        <w:spacing w:before="240" w:line="360" w:lineRule="auto"/>
        <w:ind w:left="567"/>
        <w:jc w:val="both"/>
        <w:rPr>
          <w:rFonts w:ascii="ITC Avant Garde" w:hAnsi="ITC Avant Garde"/>
        </w:rPr>
      </w:pPr>
      <w:r w:rsidRPr="002A2450">
        <w:rPr>
          <w:rFonts w:ascii="ITC Avant Garde" w:hAnsi="ITC Avant Garde"/>
        </w:rPr>
        <w:t xml:space="preserve">Tampoco se deriva algún hecho que lleve a suponer que </w:t>
      </w:r>
      <w:r w:rsidR="00425402" w:rsidRPr="002A2450">
        <w:rPr>
          <w:rFonts w:ascii="ITC Avant Garde" w:hAnsi="ITC Avant Garde"/>
          <w:b/>
        </w:rPr>
        <w:t xml:space="preserve">“TELMEX” </w:t>
      </w:r>
      <w:r w:rsidRPr="002A2450">
        <w:rPr>
          <w:rFonts w:ascii="ITC Avant Garde" w:hAnsi="ITC Avant Garde"/>
        </w:rPr>
        <w:t xml:space="preserve">tiene algún tipo de poder sobre </w:t>
      </w:r>
      <w:r w:rsidR="00425402" w:rsidRPr="002A2450">
        <w:rPr>
          <w:rFonts w:ascii="ITC Avant Garde" w:hAnsi="ITC Avant Garde"/>
          <w:b/>
        </w:rPr>
        <w:t>“DISH MÉXICO”</w:t>
      </w:r>
      <w:r w:rsidRPr="002A2450">
        <w:rPr>
          <w:rFonts w:ascii="ITC Avant Garde" w:hAnsi="ITC Avant Garde"/>
        </w:rPr>
        <w:t xml:space="preserve">. </w:t>
      </w:r>
      <w:r w:rsidR="00425402" w:rsidRPr="002A2450">
        <w:rPr>
          <w:rFonts w:ascii="ITC Avant Garde" w:hAnsi="ITC Avant Garde"/>
          <w:b/>
        </w:rPr>
        <w:t xml:space="preserve">“TELMEX” </w:t>
      </w:r>
      <w:r w:rsidR="00425402" w:rsidRPr="002A2450">
        <w:rPr>
          <w:rFonts w:ascii="ITC Avant Garde" w:hAnsi="ITC Avant Garde"/>
        </w:rPr>
        <w:t>no</w:t>
      </w:r>
      <w:r w:rsidRPr="002A2450">
        <w:rPr>
          <w:rFonts w:ascii="ITC Avant Garde" w:hAnsi="ITC Avant Garde"/>
        </w:rPr>
        <w:t xml:space="preserve"> recibirá </w:t>
      </w:r>
      <w:r w:rsidRPr="002A2450">
        <w:rPr>
          <w:rStyle w:val="EstiloCar"/>
          <w:rFonts w:ascii="ITC Avant Garde" w:hAnsi="ITC Avant Garde"/>
          <w:sz w:val="22"/>
        </w:rPr>
        <w:t xml:space="preserve">rendimientos </w:t>
      </w:r>
      <w:r w:rsidRPr="002A2450">
        <w:rPr>
          <w:rFonts w:ascii="ITC Avant Garde" w:hAnsi="ITC Avant Garde"/>
        </w:rPr>
        <w:t xml:space="preserve">variables y no tiene vinculación de poder que le lleve a afectar los rendimientos que </w:t>
      </w:r>
      <w:r w:rsidR="00425402" w:rsidRPr="002A2450">
        <w:rPr>
          <w:rFonts w:ascii="ITC Avant Garde" w:hAnsi="ITC Avant Garde"/>
          <w:b/>
        </w:rPr>
        <w:t>“DISH MÉXICO”</w:t>
      </w:r>
      <w:r w:rsidR="00425402" w:rsidRPr="002A2450">
        <w:rPr>
          <w:rFonts w:ascii="ITC Avant Garde" w:hAnsi="ITC Avant Garde"/>
        </w:rPr>
        <w:t xml:space="preserve"> </w:t>
      </w:r>
      <w:r w:rsidRPr="002A2450">
        <w:rPr>
          <w:rFonts w:ascii="ITC Avant Garde" w:hAnsi="ITC Avant Garde"/>
        </w:rPr>
        <w:t xml:space="preserve">genere. Ninguno de los contratos le otorga a </w:t>
      </w:r>
      <w:r w:rsidR="005B601B" w:rsidRPr="002A2450">
        <w:rPr>
          <w:rFonts w:ascii="ITC Avant Garde" w:hAnsi="ITC Avant Garde"/>
          <w:b/>
        </w:rPr>
        <w:t>“TELMEX”</w:t>
      </w:r>
      <w:r w:rsidRPr="002A2450">
        <w:rPr>
          <w:rFonts w:ascii="ITC Avant Garde" w:hAnsi="ITC Avant Garde"/>
        </w:rPr>
        <w:t xml:space="preserve"> de forma automática derechos de voto ni para nombrar, reasignar o remover a miembros del personal clave de la administración de </w:t>
      </w:r>
      <w:r w:rsidR="00425402" w:rsidRPr="002A2450">
        <w:rPr>
          <w:rFonts w:ascii="ITC Avant Garde" w:hAnsi="ITC Avant Garde"/>
          <w:b/>
        </w:rPr>
        <w:t>“DISH MÉXICO”</w:t>
      </w:r>
      <w:r w:rsidRPr="002A2450">
        <w:rPr>
          <w:rFonts w:ascii="ITC Avant Garde" w:hAnsi="ITC Avant Garde"/>
        </w:rPr>
        <w:t xml:space="preserve">. Asimismo, </w:t>
      </w:r>
      <w:r w:rsidR="00425402" w:rsidRPr="002A2450">
        <w:rPr>
          <w:rFonts w:ascii="ITC Avant Garde" w:hAnsi="ITC Avant Garde"/>
          <w:b/>
        </w:rPr>
        <w:t xml:space="preserve">“TELMEX” </w:t>
      </w:r>
      <w:r w:rsidRPr="002A2450">
        <w:rPr>
          <w:rFonts w:ascii="ITC Avant Garde" w:hAnsi="ITC Avant Garde"/>
        </w:rPr>
        <w:t xml:space="preserve">tampoco obtiene a través de LOS CONTRATOS derecho para dirigir a </w:t>
      </w:r>
      <w:r w:rsidR="00425402" w:rsidRPr="002A2450">
        <w:rPr>
          <w:rFonts w:ascii="ITC Avant Garde" w:hAnsi="ITC Avant Garde"/>
          <w:b/>
        </w:rPr>
        <w:t>“DISH MÉXICO”</w:t>
      </w:r>
      <w:r w:rsidR="00425402" w:rsidRPr="002A2450">
        <w:rPr>
          <w:rFonts w:ascii="ITC Avant Garde" w:hAnsi="ITC Avant Garde"/>
        </w:rPr>
        <w:t xml:space="preserve"> </w:t>
      </w:r>
      <w:r w:rsidRPr="002A2450">
        <w:rPr>
          <w:rFonts w:ascii="ITC Avant Garde" w:hAnsi="ITC Avant Garde"/>
        </w:rPr>
        <w:t xml:space="preserve">a fin de que ésta realice transacciones en su beneficio o que </w:t>
      </w:r>
      <w:r w:rsidR="00425402" w:rsidRPr="002A2450">
        <w:rPr>
          <w:rFonts w:ascii="ITC Avant Garde" w:hAnsi="ITC Avant Garde"/>
          <w:b/>
        </w:rPr>
        <w:t xml:space="preserve">“TELMEX” </w:t>
      </w:r>
      <w:r w:rsidRPr="002A2450">
        <w:rPr>
          <w:rFonts w:ascii="ITC Avant Garde" w:hAnsi="ITC Avant Garde"/>
        </w:rPr>
        <w:t xml:space="preserve">tenga derecho a vetar decisiones que </w:t>
      </w:r>
      <w:r w:rsidR="00425402" w:rsidRPr="002A2450">
        <w:rPr>
          <w:rFonts w:ascii="ITC Avant Garde" w:hAnsi="ITC Avant Garde"/>
          <w:b/>
        </w:rPr>
        <w:t>“DISH MÉXICO”</w:t>
      </w:r>
      <w:r w:rsidRPr="002A2450">
        <w:rPr>
          <w:rFonts w:ascii="ITC Avant Garde" w:hAnsi="ITC Avant Garde"/>
        </w:rPr>
        <w:t xml:space="preserve"> tome.</w:t>
      </w:r>
    </w:p>
    <w:p w14:paraId="52A42FCB" w14:textId="77777777" w:rsidR="00B35F13" w:rsidRDefault="00425402"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cuanto a si</w:t>
      </w:r>
      <w:r w:rsidR="0013756D" w:rsidRPr="002A2450">
        <w:rPr>
          <w:rFonts w:ascii="ITC Avant Garde" w:hAnsi="ITC Avant Garde"/>
        </w:rPr>
        <w:t xml:space="preserve"> </w:t>
      </w:r>
      <w:r w:rsidRPr="002A2450">
        <w:rPr>
          <w:rFonts w:ascii="ITC Avant Garde" w:hAnsi="ITC Avant Garde"/>
        </w:rPr>
        <w:t xml:space="preserve">los contratos confieren control conjunto para efectos de la normatividad contable el perito señaló que el </w:t>
      </w:r>
      <w:r w:rsidR="0013756D" w:rsidRPr="002A2450">
        <w:rPr>
          <w:rFonts w:ascii="ITC Avant Garde" w:hAnsi="ITC Avant Garde"/>
        </w:rPr>
        <w:t xml:space="preserve">control compartido establecido en un acuerdo requiere que las decisiones sobre las actividades relevantes derivadas del acuerdo cuenten con el consentimiento unánime de las </w:t>
      </w:r>
      <w:r w:rsidRPr="002A2450">
        <w:rPr>
          <w:rFonts w:ascii="ITC Avant Garde" w:hAnsi="ITC Avant Garde"/>
        </w:rPr>
        <w:t xml:space="preserve">partes que comparten el control, </w:t>
      </w:r>
      <w:r w:rsidR="0013756D" w:rsidRPr="002A2450">
        <w:rPr>
          <w:rFonts w:ascii="ITC Avant Garde" w:hAnsi="ITC Avant Garde"/>
        </w:rPr>
        <w:t xml:space="preserve">la NIF C-21 “Acuerdos de Control Conjunto”, es un “vehículo” que se refiere a "una estructura financiera identificada de forma separada, incluyendo entidades jurídicamente separadas y entidades establecidas sólo por estatutos, independientemente del tipo de personalidad jurídica que tengan. </w:t>
      </w:r>
      <w:r w:rsidR="0013756D" w:rsidRPr="002A2450">
        <w:rPr>
          <w:rFonts w:ascii="ITC Avant Garde" w:hAnsi="ITC Avant Garde"/>
          <w:b/>
          <w:u w:val="single"/>
        </w:rPr>
        <w:t>El vehículo puede ser entonces una entidad que puede ser utilizada para ejercer el control conjunto. Sin importar si existe una acuerdo de por medio que sirva como vehículo, el control conjunto se caracteriza por i) Las partes están obligadas mediante un convenio y ii) El convenio otorga a dos o más de esas partes control conjunto sobre las actividades relevantes regidas por el acuerdo</w:t>
      </w:r>
      <w:r w:rsidR="0013756D" w:rsidRPr="002A2450">
        <w:rPr>
          <w:rFonts w:ascii="ITC Avant Garde" w:hAnsi="ITC Avant Garde"/>
        </w:rPr>
        <w:t>.</w:t>
      </w:r>
    </w:p>
    <w:p w14:paraId="11E8D654" w14:textId="77777777" w:rsidR="00B35F13" w:rsidRDefault="0013756D" w:rsidP="00B35F13">
      <w:pPr>
        <w:spacing w:before="240" w:line="360" w:lineRule="auto"/>
        <w:ind w:left="567"/>
        <w:jc w:val="both"/>
        <w:rPr>
          <w:rFonts w:ascii="ITC Avant Garde" w:hAnsi="ITC Avant Garde"/>
        </w:rPr>
      </w:pPr>
      <w:r w:rsidRPr="002A2450">
        <w:rPr>
          <w:rFonts w:ascii="ITC Avant Garde" w:hAnsi="ITC Avant Garde"/>
        </w:rPr>
        <w:lastRenderedPageBreak/>
        <w:t>Existen dos tipos de acuerdo con control conjunto:</w:t>
      </w:r>
      <w:r w:rsidR="00425402" w:rsidRPr="002A2450">
        <w:rPr>
          <w:rFonts w:ascii="ITC Avant Garde" w:hAnsi="ITC Avant Garde"/>
        </w:rPr>
        <w:t xml:space="preserve"> </w:t>
      </w:r>
      <w:r w:rsidRPr="002A2450">
        <w:rPr>
          <w:rFonts w:ascii="ITC Avant Garde" w:hAnsi="ITC Avant Garde"/>
        </w:rPr>
        <w:t>Negocio conjunto: es un tipo de acuerdo con control conjunto mediante el cual, las partes que tienen control conjunto del acuerdo tienen derecho a participar en los activos netos (capital contable) relativos al acuerdo; el negocio conjunto puede tener una forma jurídica similar o diferente a la de la tenedora.</w:t>
      </w:r>
      <w:r w:rsidR="00425402" w:rsidRPr="002A2450">
        <w:rPr>
          <w:rFonts w:ascii="ITC Avant Garde" w:hAnsi="ITC Avant Garde"/>
        </w:rPr>
        <w:t xml:space="preserve"> </w:t>
      </w:r>
      <w:r w:rsidRPr="002A2450">
        <w:rPr>
          <w:rFonts w:ascii="ITC Avant Garde" w:hAnsi="ITC Avant Garde"/>
        </w:rPr>
        <w:t>Operación conjunta: es un tipo de acuerdo con control conjunto, mediante el cual las partes que mantienen control conjunto tienen directamente derecho a los activos y obligaciones por los pasivos, relativos al acuerdo.</w:t>
      </w:r>
    </w:p>
    <w:p w14:paraId="56E08C18" w14:textId="77777777" w:rsidR="00B35F13" w:rsidRDefault="00425402" w:rsidP="00B35F13">
      <w:pPr>
        <w:spacing w:before="240" w:line="360" w:lineRule="auto"/>
        <w:ind w:left="567"/>
        <w:jc w:val="both"/>
        <w:rPr>
          <w:rFonts w:ascii="ITC Avant Garde" w:hAnsi="ITC Avant Garde"/>
        </w:rPr>
      </w:pPr>
      <w:r w:rsidRPr="002A2450">
        <w:rPr>
          <w:rFonts w:ascii="ITC Avant Garde" w:hAnsi="ITC Avant Garde"/>
        </w:rPr>
        <w:t xml:space="preserve">Por tanto, los contratos </w:t>
      </w:r>
      <w:r w:rsidR="0013756D" w:rsidRPr="002A2450">
        <w:rPr>
          <w:rFonts w:ascii="ITC Avant Garde" w:hAnsi="ITC Avant Garde"/>
        </w:rPr>
        <w:t xml:space="preserve">no constituyen un acuerdo que pueda entenderse como Negocio Conjunto u Operación Conjunto, </w:t>
      </w:r>
      <w:r w:rsidRPr="002A2450">
        <w:rPr>
          <w:rFonts w:ascii="ITC Avant Garde" w:hAnsi="ITC Avant Garde"/>
        </w:rPr>
        <w:t xml:space="preserve">puesto que </w:t>
      </w:r>
      <w:r w:rsidR="0013756D" w:rsidRPr="002A2450">
        <w:rPr>
          <w:rFonts w:ascii="ITC Avant Garde" w:hAnsi="ITC Avant Garde"/>
        </w:rPr>
        <w:t xml:space="preserve">no otorgan a las partes la posibilidad de participar en los activos netos de alguna de las contrapartes (Negocio Conjunto) y no otorgan a alguna de las partes derechos por los activos u obligaciones por los pasivos de alguna de las contrapartes (Operación Conjunta). Ninguno de ellos otorga control conjunto a alguna de las partes sobre las actividades regidas en éstos, ya que no es necesario tener la decisión unánime para que las operaciones y transacciones contenidas en </w:t>
      </w:r>
      <w:r w:rsidR="002626D5" w:rsidRPr="002A2450">
        <w:rPr>
          <w:rFonts w:ascii="ITC Avant Garde" w:hAnsi="ITC Avant Garde"/>
        </w:rPr>
        <w:t xml:space="preserve">los contratos sucedan, </w:t>
      </w:r>
      <w:r w:rsidR="002626D5" w:rsidRPr="002A2450">
        <w:rPr>
          <w:rFonts w:ascii="ITC Avant Garde" w:hAnsi="ITC Avant Garde"/>
          <w:b/>
          <w:u w:val="single"/>
        </w:rPr>
        <w:t>pudiendo actuar cualquiera de las partes motu propio y sin autorización o consentimiento de alguna otra de ellas para realizar actividades regidas en los contratos, así como para realizar las actividades de negocio que cada una de las partes requiere</w:t>
      </w:r>
      <w:r w:rsidR="008F718E" w:rsidRPr="002A2450">
        <w:rPr>
          <w:rFonts w:ascii="ITC Avant Garde" w:hAnsi="ITC Avant Garde"/>
          <w:b/>
          <w:color w:val="C00000"/>
          <w:u w:val="single"/>
        </w:rPr>
        <w:t xml:space="preserve"> </w:t>
      </w:r>
      <w:r w:rsidR="002626D5" w:rsidRPr="002A2450">
        <w:rPr>
          <w:rFonts w:ascii="ITC Avant Garde" w:hAnsi="ITC Avant Garde"/>
          <w:b/>
          <w:u w:val="single"/>
        </w:rPr>
        <w:t xml:space="preserve">hacer como </w:t>
      </w:r>
      <w:r w:rsidR="002D1219" w:rsidRPr="002A2450">
        <w:rPr>
          <w:rFonts w:ascii="ITC Avant Garde" w:hAnsi="ITC Avant Garde"/>
          <w:b/>
          <w:u w:val="single"/>
        </w:rPr>
        <w:t xml:space="preserve">parte de </w:t>
      </w:r>
      <w:r w:rsidR="002626D5" w:rsidRPr="002A2450">
        <w:rPr>
          <w:rFonts w:ascii="ITC Avant Garde" w:hAnsi="ITC Avant Garde"/>
          <w:b/>
          <w:u w:val="single"/>
        </w:rPr>
        <w:t>sus operaciones cotidianas</w:t>
      </w:r>
      <w:r w:rsidR="002626D5" w:rsidRPr="002A2450">
        <w:rPr>
          <w:rFonts w:ascii="ITC Avant Garde" w:hAnsi="ITC Avant Garde"/>
        </w:rPr>
        <w:t>.</w:t>
      </w:r>
    </w:p>
    <w:p w14:paraId="56BC6710" w14:textId="77777777" w:rsidR="00B35F13" w:rsidRDefault="002626D5"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Por lo que se refiere a si bajo la normatividad contable, el contrato de consecuencias genera algún concepto de control, derechos u obligaciones para alguna de las partes</w:t>
      </w:r>
      <w:r w:rsidR="002D1219" w:rsidRPr="002A2450">
        <w:rPr>
          <w:rFonts w:ascii="ITC Avant Garde" w:hAnsi="ITC Avant Garde"/>
        </w:rPr>
        <w:t>,</w:t>
      </w:r>
      <w:r w:rsidRPr="002A2450">
        <w:rPr>
          <w:rFonts w:ascii="ITC Avant Garde" w:hAnsi="ITC Avant Garde"/>
        </w:rPr>
        <w:t xml:space="preserve"> el perito señaló que</w:t>
      </w:r>
      <w:r w:rsidR="00C13D83" w:rsidRPr="002A2450">
        <w:rPr>
          <w:rFonts w:ascii="ITC Avant Garde" w:hAnsi="ITC Avant Garde"/>
        </w:rPr>
        <w:t xml:space="preserve"> e</w:t>
      </w:r>
      <w:r w:rsidR="0013756D" w:rsidRPr="002A2450">
        <w:rPr>
          <w:rFonts w:ascii="ITC Avant Garde" w:hAnsi="ITC Avant Garde"/>
        </w:rPr>
        <w:t xml:space="preserve">l Contrato de Consecuencias no constituye prohibiciones para que las partes realicen distintos tipos de transacciones inherentes a su actividad de negocios cotidiana (realizar la venta de servicios sobre una base independiente a suscriptores, realizar acuerdos de distribución o de cualquier tipo; desarrollar o participar en plataformas de televisión de paga; invertir en otros negocios o entidades). De </w:t>
      </w:r>
      <w:r w:rsidR="0013756D" w:rsidRPr="002A2450">
        <w:rPr>
          <w:rFonts w:ascii="ITC Avant Garde" w:hAnsi="ITC Avant Garde"/>
        </w:rPr>
        <w:lastRenderedPageBreak/>
        <w:t>esta forma, NO se genera un</w:t>
      </w:r>
      <w:r w:rsidR="00791724" w:rsidRPr="002A2450">
        <w:rPr>
          <w:rFonts w:ascii="ITC Avant Garde" w:hAnsi="ITC Avant Garde"/>
        </w:rPr>
        <w:t xml:space="preserve"> </w:t>
      </w:r>
      <w:r w:rsidR="0013756D" w:rsidRPr="002A2450">
        <w:rPr>
          <w:rFonts w:ascii="ITC Avant Garde" w:hAnsi="ITC Avant Garde"/>
        </w:rPr>
        <w:t>vínculo de control o control conjunto que derive del Contrato de Consecuencias entre estas empresas.</w:t>
      </w:r>
    </w:p>
    <w:p w14:paraId="3FD90521" w14:textId="77777777" w:rsidR="00B35F13" w:rsidRDefault="00CA34BA"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toca a</w:t>
      </w:r>
      <w:r w:rsidRPr="002A2450">
        <w:rPr>
          <w:rFonts w:ascii="ITC Avant Garde" w:hAnsi="ITC Avant Garde"/>
          <w:b/>
        </w:rPr>
        <w:t xml:space="preserve"> </w:t>
      </w:r>
      <w:r w:rsidRPr="002A2450">
        <w:rPr>
          <w:rFonts w:ascii="ITC Avant Garde" w:hAnsi="ITC Avant Garde"/>
        </w:rPr>
        <w:t xml:space="preserve">sí las conductas de </w:t>
      </w:r>
      <w:r w:rsidRPr="002A2450">
        <w:rPr>
          <w:rFonts w:ascii="ITC Avant Garde" w:hAnsi="ITC Avant Garde"/>
          <w:b/>
        </w:rPr>
        <w:t xml:space="preserve">“TELMEX” </w:t>
      </w:r>
      <w:r w:rsidRPr="002A2450">
        <w:rPr>
          <w:rFonts w:ascii="ITC Avant Garde" w:hAnsi="ITC Avant Garde"/>
        </w:rPr>
        <w:t xml:space="preserve">mencionadas en el oficio, tales como su asistencia a reuniones, son actividades que para efectos de la normatividad contable, se podrían considerar como una dirección de las actividades de </w:t>
      </w:r>
      <w:r w:rsidRPr="002A2450">
        <w:rPr>
          <w:rFonts w:ascii="ITC Avant Garde" w:hAnsi="ITC Avant Garde"/>
          <w:b/>
        </w:rPr>
        <w:t xml:space="preserve">“DISH MÉXICO” </w:t>
      </w:r>
      <w:r w:rsidRPr="002A2450">
        <w:rPr>
          <w:rFonts w:ascii="ITC Avant Garde" w:hAnsi="ITC Avant Garde"/>
        </w:rPr>
        <w:t>que afectan de manera significativa a los retornos de la misma. Al respecto, el perito señaló que</w:t>
      </w:r>
      <w:r w:rsidR="0013756D" w:rsidRPr="002A2450">
        <w:rPr>
          <w:rFonts w:ascii="ITC Avant Garde" w:hAnsi="ITC Avant Garde"/>
        </w:rPr>
        <w:t xml:space="preserve"> con sus actos </w:t>
      </w:r>
      <w:r w:rsidRPr="002A2450">
        <w:rPr>
          <w:rFonts w:ascii="ITC Avant Garde" w:hAnsi="ITC Avant Garde"/>
          <w:b/>
        </w:rPr>
        <w:t>“TELMEX”</w:t>
      </w:r>
      <w:r w:rsidR="0013756D" w:rsidRPr="002A2450">
        <w:rPr>
          <w:rFonts w:ascii="ITC Avant Garde" w:hAnsi="ITC Avant Garde"/>
        </w:rPr>
        <w:t xml:space="preserve"> </w:t>
      </w:r>
      <w:r w:rsidRPr="002A2450">
        <w:rPr>
          <w:rFonts w:ascii="ITC Avant Garde" w:hAnsi="ITC Avant Garde"/>
        </w:rPr>
        <w:t xml:space="preserve">no tiene </w:t>
      </w:r>
      <w:r w:rsidR="0013756D" w:rsidRPr="002A2450">
        <w:rPr>
          <w:rFonts w:ascii="ITC Avant Garde" w:hAnsi="ITC Avant Garde"/>
        </w:rPr>
        <w:t xml:space="preserve">poder para dirigir actividades relevantes de </w:t>
      </w:r>
      <w:r w:rsidRPr="002A2450">
        <w:rPr>
          <w:rFonts w:ascii="ITC Avant Garde" w:hAnsi="ITC Avant Garde"/>
          <w:b/>
        </w:rPr>
        <w:t>“DISH MÉXICO”</w:t>
      </w:r>
      <w:r w:rsidR="0013756D" w:rsidRPr="002A2450">
        <w:rPr>
          <w:rFonts w:ascii="ITC Avant Garde" w:hAnsi="ITC Avant Garde"/>
        </w:rPr>
        <w:t xml:space="preserve">. </w:t>
      </w:r>
      <w:r w:rsidRPr="002A2450">
        <w:rPr>
          <w:rFonts w:ascii="ITC Avant Garde" w:hAnsi="ITC Avant Garde"/>
        </w:rPr>
        <w:t>Así como que t</w:t>
      </w:r>
      <w:r w:rsidR="0013756D" w:rsidRPr="002A2450">
        <w:rPr>
          <w:rFonts w:ascii="ITC Avant Garde" w:hAnsi="ITC Avant Garde"/>
        </w:rPr>
        <w:t xml:space="preserve">ampoco tiene exposición o derecho a rendimientos variables que pueda afirmarse que haya una vinculación entre un inexistente poder y la afectación del monto de los rendimientos que pudiera obtener; tampoco es posible observar que </w:t>
      </w:r>
      <w:r w:rsidRPr="002A2450">
        <w:rPr>
          <w:rFonts w:ascii="ITC Avant Garde" w:hAnsi="ITC Avant Garde"/>
          <w:b/>
        </w:rPr>
        <w:t xml:space="preserve">“TELMEX” </w:t>
      </w:r>
      <w:r w:rsidR="0013756D" w:rsidRPr="002A2450">
        <w:rPr>
          <w:rFonts w:ascii="ITC Avant Garde" w:hAnsi="ITC Avant Garde"/>
        </w:rPr>
        <w:t>haya adquirido algún tipo de derecho sustantivo para ejercer acciones de dirección</w:t>
      </w:r>
      <w:r w:rsidRPr="002A2450">
        <w:rPr>
          <w:rFonts w:ascii="ITC Avant Garde" w:hAnsi="ITC Avant Garde"/>
        </w:rPr>
        <w:t xml:space="preserve">. </w:t>
      </w:r>
    </w:p>
    <w:p w14:paraId="2BFD6A1E" w14:textId="77777777" w:rsidR="00B35F13" w:rsidRDefault="0013756D" w:rsidP="00B35F13">
      <w:pPr>
        <w:spacing w:before="240" w:line="360" w:lineRule="auto"/>
        <w:ind w:left="567"/>
        <w:jc w:val="both"/>
        <w:rPr>
          <w:rFonts w:ascii="ITC Avant Garde" w:hAnsi="ITC Avant Garde"/>
        </w:rPr>
      </w:pPr>
      <w:r w:rsidRPr="002A2450">
        <w:rPr>
          <w:rFonts w:ascii="ITC Avant Garde" w:hAnsi="ITC Avant Garde"/>
        </w:rPr>
        <w:t xml:space="preserve">En lo referente a la asistencia de representantes de </w:t>
      </w:r>
      <w:r w:rsidR="00CA34BA" w:rsidRPr="002A2450">
        <w:rPr>
          <w:rFonts w:ascii="ITC Avant Garde" w:hAnsi="ITC Avant Garde"/>
          <w:b/>
        </w:rPr>
        <w:t>“TELMEX”</w:t>
      </w:r>
      <w:r w:rsidRPr="002A2450">
        <w:rPr>
          <w:rFonts w:ascii="ITC Avant Garde" w:hAnsi="ITC Avant Garde"/>
        </w:rPr>
        <w:t xml:space="preserve"> a reuniones NO se puede presumir que ninguna de estas situaciones resulte en conductas de </w:t>
      </w:r>
      <w:r w:rsidR="00CA34BA" w:rsidRPr="002A2450">
        <w:rPr>
          <w:rFonts w:ascii="ITC Avant Garde" w:hAnsi="ITC Avant Garde"/>
          <w:b/>
        </w:rPr>
        <w:t>“TELMEX”</w:t>
      </w:r>
      <w:r w:rsidRPr="002A2450">
        <w:rPr>
          <w:rFonts w:ascii="ITC Avant Garde" w:hAnsi="ITC Avant Garde"/>
        </w:rPr>
        <w:t xml:space="preserve"> que le conviertan en un órgano centralizado tomador de decisiones y, consecuentemente, no le harían entonces tener actividades que pudieran considerarse como de control y/o dirección sobre las actividades de </w:t>
      </w:r>
      <w:r w:rsidR="00CA34BA" w:rsidRPr="002A2450">
        <w:rPr>
          <w:rFonts w:ascii="ITC Avant Garde" w:hAnsi="ITC Avant Garde"/>
          <w:b/>
        </w:rPr>
        <w:t>“DISH MÉXICO”</w:t>
      </w:r>
      <w:r w:rsidRPr="002A2450">
        <w:rPr>
          <w:rFonts w:ascii="ITC Avant Garde" w:hAnsi="ITC Avant Garde"/>
        </w:rPr>
        <w:t>.</w:t>
      </w:r>
    </w:p>
    <w:p w14:paraId="38537244" w14:textId="77777777" w:rsidR="00B35F13" w:rsidRDefault="00CA34BA"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 xml:space="preserve">Por lo que se refiere a si los contratos confieren a </w:t>
      </w:r>
      <w:r w:rsidRPr="002A2450">
        <w:rPr>
          <w:rFonts w:ascii="ITC Avant Garde" w:hAnsi="ITC Avant Garde"/>
          <w:b/>
        </w:rPr>
        <w:t>“TELMEX”</w:t>
      </w:r>
      <w:r w:rsidRPr="002A2450">
        <w:rPr>
          <w:rFonts w:ascii="ITC Avant Garde" w:hAnsi="ITC Avant Garde"/>
        </w:rPr>
        <w:t xml:space="preserve"> y/o a </w:t>
      </w:r>
      <w:r w:rsidRPr="002A2450">
        <w:rPr>
          <w:rFonts w:ascii="ITC Avant Garde" w:hAnsi="ITC Avant Garde"/>
          <w:b/>
        </w:rPr>
        <w:t>“TENINVER”</w:t>
      </w:r>
      <w:r w:rsidRPr="002A2450">
        <w:rPr>
          <w:rFonts w:ascii="ITC Avant Garde" w:hAnsi="ITC Avant Garde"/>
        </w:rPr>
        <w:t xml:space="preserve"> influencia significativa en </w:t>
      </w:r>
      <w:r w:rsidRPr="002A2450">
        <w:rPr>
          <w:rFonts w:ascii="ITC Avant Garde" w:hAnsi="ITC Avant Garde"/>
          <w:b/>
        </w:rPr>
        <w:t>“DISH MÉXICO”</w:t>
      </w:r>
      <w:r w:rsidRPr="002A2450">
        <w:rPr>
          <w:rFonts w:ascii="ITC Avant Garde" w:hAnsi="ITC Avant Garde"/>
        </w:rPr>
        <w:t xml:space="preserve"> con base en lo establecido en la normatividad contable, el perito señaló que </w:t>
      </w:r>
      <w:r w:rsidR="0013756D" w:rsidRPr="002A2450">
        <w:rPr>
          <w:rFonts w:ascii="ITC Avant Garde" w:hAnsi="ITC Avant Garde"/>
        </w:rPr>
        <w:t xml:space="preserve">actualmente </w:t>
      </w:r>
      <w:r w:rsidR="003D68DC" w:rsidRPr="002A2450">
        <w:rPr>
          <w:rFonts w:ascii="ITC Avant Garde" w:hAnsi="ITC Avant Garde"/>
          <w:b/>
        </w:rPr>
        <w:t xml:space="preserve">“TELMEX” Y/O </w:t>
      </w:r>
      <w:r w:rsidR="003D68DC" w:rsidRPr="002A2450">
        <w:rPr>
          <w:rFonts w:ascii="ITC Avant Garde" w:hAnsi="ITC Avant Garde"/>
        </w:rPr>
        <w:t>“</w:t>
      </w:r>
      <w:r w:rsidR="003D68DC" w:rsidRPr="002A2450">
        <w:rPr>
          <w:rFonts w:ascii="ITC Avant Garde" w:hAnsi="ITC Avant Garde"/>
          <w:b/>
        </w:rPr>
        <w:t xml:space="preserve">TENINVER” </w:t>
      </w:r>
      <w:r w:rsidR="0013756D" w:rsidRPr="002A2450">
        <w:rPr>
          <w:rFonts w:ascii="ITC Avant Garde" w:hAnsi="ITC Avant Garde"/>
        </w:rPr>
        <w:t xml:space="preserve">no son inversionistas en </w:t>
      </w:r>
      <w:r w:rsidR="003D68DC" w:rsidRPr="002A2450">
        <w:rPr>
          <w:rFonts w:ascii="ITC Avant Garde" w:hAnsi="ITC Avant Garde"/>
          <w:b/>
        </w:rPr>
        <w:t>“DISH MÉXICO”</w:t>
      </w:r>
      <w:r w:rsidR="0013756D" w:rsidRPr="002A2450">
        <w:rPr>
          <w:rFonts w:ascii="ITC Avant Garde" w:hAnsi="ITC Avant Garde"/>
        </w:rPr>
        <w:t xml:space="preserve"> ya que no cuentan con p</w:t>
      </w:r>
      <w:r w:rsidR="00C13D83" w:rsidRPr="002A2450">
        <w:rPr>
          <w:rFonts w:ascii="ITC Avant Garde" w:hAnsi="ITC Avant Garde"/>
        </w:rPr>
        <w:t>articipación accionaria alguna,</w:t>
      </w:r>
      <w:r w:rsidR="0013756D" w:rsidRPr="002A2450">
        <w:rPr>
          <w:rFonts w:ascii="ITC Avant Garde" w:hAnsi="ITC Avant Garde"/>
        </w:rPr>
        <w:t xml:space="preserve"> </w:t>
      </w:r>
      <w:r w:rsidR="003D68DC" w:rsidRPr="002A2450">
        <w:rPr>
          <w:rFonts w:ascii="ITC Avant Garde" w:hAnsi="ITC Avant Garde"/>
        </w:rPr>
        <w:t xml:space="preserve">por lo que no </w:t>
      </w:r>
      <w:r w:rsidR="0013756D" w:rsidRPr="002A2450">
        <w:rPr>
          <w:rFonts w:ascii="ITC Avant Garde" w:hAnsi="ITC Avant Garde"/>
        </w:rPr>
        <w:t>pueden ejercer influencia significativa, pues no son inversionistas respecto de esta última.</w:t>
      </w:r>
      <w:r w:rsidR="00C13D83" w:rsidRPr="002A2450">
        <w:rPr>
          <w:rFonts w:ascii="ITC Avant Garde" w:hAnsi="ITC Avant Garde"/>
        </w:rPr>
        <w:t xml:space="preserve"> </w:t>
      </w:r>
      <w:r w:rsidR="0013756D" w:rsidRPr="002A2450">
        <w:rPr>
          <w:rFonts w:ascii="ITC Avant Garde" w:hAnsi="ITC Avant Garde"/>
        </w:rPr>
        <w:t xml:space="preserve">Ahora bien, el Contrato de Consecuencias contiene un clausulado referente a cierta Opción de Compra que implica derechos futuros de </w:t>
      </w:r>
      <w:r w:rsidR="00F84806" w:rsidRPr="002A2450">
        <w:rPr>
          <w:rFonts w:ascii="ITC Avant Garde" w:hAnsi="ITC Avant Garde"/>
          <w:b/>
        </w:rPr>
        <w:t>“TENINVER”</w:t>
      </w:r>
      <w:r w:rsidR="00F84806" w:rsidRPr="002A2450">
        <w:rPr>
          <w:rFonts w:ascii="ITC Avant Garde" w:hAnsi="ITC Avant Garde"/>
        </w:rPr>
        <w:t xml:space="preserve"> </w:t>
      </w:r>
      <w:r w:rsidR="0013756D" w:rsidRPr="002A2450">
        <w:rPr>
          <w:rFonts w:ascii="ITC Avant Garde" w:hAnsi="ITC Avant Garde"/>
        </w:rPr>
        <w:t xml:space="preserve">y de </w:t>
      </w:r>
      <w:r w:rsidR="00F84806" w:rsidRPr="002A2450">
        <w:rPr>
          <w:rFonts w:ascii="ITC Avant Garde" w:hAnsi="ITC Avant Garde"/>
          <w:b/>
        </w:rPr>
        <w:t xml:space="preserve">“TELMEX” </w:t>
      </w:r>
      <w:r w:rsidR="0013756D" w:rsidRPr="002A2450">
        <w:rPr>
          <w:rFonts w:ascii="ITC Avant Garde" w:hAnsi="ITC Avant Garde"/>
        </w:rPr>
        <w:t xml:space="preserve">como obligado solidario en </w:t>
      </w:r>
      <w:r w:rsidR="00F84806" w:rsidRPr="002A2450">
        <w:rPr>
          <w:rFonts w:ascii="ITC Avant Garde" w:hAnsi="ITC Avant Garde"/>
          <w:b/>
        </w:rPr>
        <w:t>“DISH MÉXICO”</w:t>
      </w:r>
      <w:r w:rsidR="0013756D" w:rsidRPr="002A2450">
        <w:rPr>
          <w:rFonts w:ascii="ITC Avant Garde" w:hAnsi="ITC Avant Garde"/>
        </w:rPr>
        <w:t xml:space="preserve">. Incluso, se tiene un Contrato de Opción en el mismo sentido. Se podría tener entonces un caso </w:t>
      </w:r>
      <w:r w:rsidR="0013756D" w:rsidRPr="002A2450">
        <w:rPr>
          <w:rFonts w:ascii="ITC Avant Garde" w:hAnsi="ITC Avant Garde"/>
        </w:rPr>
        <w:lastRenderedPageBreak/>
        <w:t>de derechos de voto potenciales y, consecuentemente, podrían surgir dudas acerca de si alguna de las empresas re</w:t>
      </w:r>
      <w:r w:rsidR="00F84806" w:rsidRPr="002A2450">
        <w:rPr>
          <w:rFonts w:ascii="ITC Avant Garde" w:hAnsi="ITC Avant Garde"/>
        </w:rPr>
        <w:t xml:space="preserve">feridas tiene dicha influencia. </w:t>
      </w:r>
      <w:r w:rsidR="0013756D" w:rsidRPr="002A2450">
        <w:rPr>
          <w:rFonts w:ascii="ITC Avant Garde" w:hAnsi="ITC Avant Garde"/>
        </w:rPr>
        <w:t xml:space="preserve">Sin embargo, </w:t>
      </w:r>
      <w:r w:rsidR="00F84806" w:rsidRPr="002A2450">
        <w:rPr>
          <w:rFonts w:ascii="ITC Avant Garde" w:hAnsi="ITC Avant Garde"/>
        </w:rPr>
        <w:t>d</w:t>
      </w:r>
      <w:r w:rsidR="0013756D" w:rsidRPr="002A2450">
        <w:rPr>
          <w:rFonts w:ascii="ITC Avant Garde" w:hAnsi="ITC Avant Garde"/>
        </w:rPr>
        <w:t xml:space="preserve">ado que la autorización puede ser otorgada o no, el que los derechos de voto futuros en </w:t>
      </w:r>
      <w:r w:rsidR="00F84806" w:rsidRPr="002A2450">
        <w:rPr>
          <w:rFonts w:ascii="ITC Avant Garde" w:hAnsi="ITC Avant Garde"/>
          <w:b/>
        </w:rPr>
        <w:t>“DISH MÉXICO”</w:t>
      </w:r>
      <w:r w:rsidR="0013756D" w:rsidRPr="002A2450">
        <w:rPr>
          <w:rFonts w:ascii="ITC Avant Garde" w:hAnsi="ITC Avant Garde"/>
        </w:rPr>
        <w:t xml:space="preserve"> pasen a </w:t>
      </w:r>
      <w:r w:rsidR="00F84806" w:rsidRPr="002A2450">
        <w:rPr>
          <w:rFonts w:ascii="ITC Avant Garde" w:hAnsi="ITC Avant Garde"/>
          <w:b/>
        </w:rPr>
        <w:t>“TENINVER”</w:t>
      </w:r>
      <w:r w:rsidR="00F84806" w:rsidRPr="002A2450">
        <w:rPr>
          <w:rFonts w:ascii="ITC Avant Garde" w:hAnsi="ITC Avant Garde"/>
        </w:rPr>
        <w:t xml:space="preserve"> </w:t>
      </w:r>
      <w:r w:rsidR="0013756D" w:rsidRPr="002A2450">
        <w:rPr>
          <w:rFonts w:ascii="ITC Avant Garde" w:hAnsi="ITC Avant Garde"/>
        </w:rPr>
        <w:t xml:space="preserve">depende de la realización de un evento futuro, por lo que no podrían considerarse como un elemento que </w:t>
      </w:r>
      <w:r w:rsidR="00F84806" w:rsidRPr="002A2450">
        <w:rPr>
          <w:rFonts w:ascii="ITC Avant Garde" w:hAnsi="ITC Avant Garde"/>
        </w:rPr>
        <w:t>le de influencia significativa.</w:t>
      </w:r>
    </w:p>
    <w:p w14:paraId="41C47D7F" w14:textId="77777777" w:rsidR="00B35F13" w:rsidRDefault="0013756D" w:rsidP="00B35F13">
      <w:pPr>
        <w:spacing w:before="240" w:line="360" w:lineRule="auto"/>
        <w:ind w:left="567"/>
        <w:jc w:val="both"/>
        <w:rPr>
          <w:rFonts w:ascii="ITC Avant Garde" w:hAnsi="ITC Avant Garde"/>
        </w:rPr>
      </w:pPr>
      <w:r w:rsidRPr="002A2450">
        <w:rPr>
          <w:rFonts w:ascii="ITC Avant Garde" w:hAnsi="ITC Avant Garde"/>
        </w:rPr>
        <w:t xml:space="preserve">Por tanto, </w:t>
      </w:r>
      <w:r w:rsidR="00F84806" w:rsidRPr="002A2450">
        <w:rPr>
          <w:rFonts w:ascii="ITC Avant Garde" w:hAnsi="ITC Avant Garde"/>
          <w:b/>
        </w:rPr>
        <w:t xml:space="preserve">“TELMEX” </w:t>
      </w:r>
      <w:r w:rsidRPr="002A2450">
        <w:rPr>
          <w:rFonts w:ascii="ITC Avant Garde" w:hAnsi="ITC Avant Garde"/>
        </w:rPr>
        <w:t xml:space="preserve">y/o </w:t>
      </w:r>
      <w:r w:rsidR="00F84806" w:rsidRPr="002A2450">
        <w:rPr>
          <w:rFonts w:ascii="ITC Avant Garde" w:hAnsi="ITC Avant Garde"/>
          <w:b/>
        </w:rPr>
        <w:t>“TENINVER”</w:t>
      </w:r>
      <w:r w:rsidRPr="002A2450">
        <w:rPr>
          <w:rFonts w:ascii="ITC Avant Garde" w:hAnsi="ITC Avant Garde"/>
        </w:rPr>
        <w:t xml:space="preserve"> no se consideran como inversionistas de </w:t>
      </w:r>
      <w:r w:rsidR="00F84806" w:rsidRPr="002A2450">
        <w:rPr>
          <w:rFonts w:ascii="ITC Avant Garde" w:hAnsi="ITC Avant Garde"/>
          <w:b/>
        </w:rPr>
        <w:t>“DISH MÉXICO”</w:t>
      </w:r>
      <w:r w:rsidRPr="002A2450">
        <w:rPr>
          <w:rFonts w:ascii="ITC Avant Garde" w:hAnsi="ITC Avant Garde"/>
        </w:rPr>
        <w:t xml:space="preserve"> al no ser ninguna de estas entidades propietarias de acciones ni existen otros elementos que pudieran dar pie a que dicha influencia exista.</w:t>
      </w:r>
    </w:p>
    <w:p w14:paraId="24A2CE30" w14:textId="77777777" w:rsidR="00B35F13" w:rsidRDefault="00F84806"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Por lo que se refiere a si los contratos obligan a las partes al reconocimiento de derechos y obligaciones derivados del contrato de opción como un pasivo, instrumento financiero o algún otro elemento financiero dentro de lo</w:t>
      </w:r>
      <w:r w:rsidR="009E556E" w:rsidRPr="002A2450">
        <w:rPr>
          <w:rFonts w:ascii="ITC Avant Garde" w:hAnsi="ITC Avant Garde"/>
        </w:rPr>
        <w:t xml:space="preserve">s libros contables, el perito señaló que el </w:t>
      </w:r>
      <w:r w:rsidR="0013756D" w:rsidRPr="002A2450">
        <w:rPr>
          <w:rFonts w:ascii="ITC Avant Garde" w:hAnsi="ITC Avant Garde"/>
        </w:rPr>
        <w:t xml:space="preserve">contrato de opción de compra y venta de acciones establece que </w:t>
      </w:r>
      <w:r w:rsidR="009E556E" w:rsidRPr="002A2450">
        <w:rPr>
          <w:rFonts w:ascii="ITC Avant Garde" w:hAnsi="ITC Avant Garde"/>
          <w:b/>
        </w:rPr>
        <w:t xml:space="preserve">“DISH MÉXICO” </w:t>
      </w:r>
      <w:r w:rsidR="0013756D" w:rsidRPr="002A2450">
        <w:rPr>
          <w:rFonts w:ascii="ITC Avant Garde" w:hAnsi="ITC Avant Garde"/>
        </w:rPr>
        <w:t xml:space="preserve">otorga a </w:t>
      </w:r>
      <w:r w:rsidR="009E556E" w:rsidRPr="002A2450">
        <w:rPr>
          <w:rFonts w:ascii="ITC Avant Garde" w:hAnsi="ITC Avant Garde"/>
          <w:b/>
        </w:rPr>
        <w:t xml:space="preserve">“TENINVER” </w:t>
      </w:r>
      <w:r w:rsidR="0013756D" w:rsidRPr="002A2450">
        <w:rPr>
          <w:rFonts w:ascii="ITC Avant Garde" w:hAnsi="ITC Avant Garde"/>
        </w:rPr>
        <w:t xml:space="preserve">el derecho incondicional e irrevocable de suscribir 51% de sus acciones con derecho a voto y económicos (Opción de compra) y al mismo tiempo </w:t>
      </w:r>
      <w:r w:rsidR="009E556E" w:rsidRPr="002A2450">
        <w:rPr>
          <w:rFonts w:ascii="ITC Avant Garde" w:hAnsi="ITC Avant Garde"/>
          <w:b/>
        </w:rPr>
        <w:t xml:space="preserve">“TENINVER” </w:t>
      </w:r>
      <w:r w:rsidR="0013756D" w:rsidRPr="002A2450">
        <w:rPr>
          <w:rFonts w:ascii="ITC Avant Garde" w:hAnsi="ITC Avant Garde"/>
        </w:rPr>
        <w:t xml:space="preserve">otorga a </w:t>
      </w:r>
      <w:r w:rsidR="009E556E" w:rsidRPr="002A2450">
        <w:rPr>
          <w:rFonts w:ascii="ITC Avant Garde" w:hAnsi="ITC Avant Garde"/>
          <w:b/>
        </w:rPr>
        <w:t xml:space="preserve">“DISH MÉXICO” </w:t>
      </w:r>
      <w:r w:rsidR="0013756D" w:rsidRPr="002A2450">
        <w:rPr>
          <w:rFonts w:ascii="ITC Avant Garde" w:hAnsi="ITC Avant Garde"/>
        </w:rPr>
        <w:t>el derecho incondicional e irrevocable de requerir a</w:t>
      </w:r>
      <w:r w:rsidR="009E556E" w:rsidRPr="002A2450">
        <w:rPr>
          <w:rFonts w:ascii="ITC Avant Garde" w:hAnsi="ITC Avant Garde"/>
        </w:rPr>
        <w:t xml:space="preserve"> </w:t>
      </w:r>
      <w:r w:rsidR="009E556E" w:rsidRPr="002A2450">
        <w:rPr>
          <w:rFonts w:ascii="ITC Avant Garde" w:hAnsi="ITC Avant Garde"/>
          <w:b/>
        </w:rPr>
        <w:t xml:space="preserve">“TENINVER” </w:t>
      </w:r>
      <w:r w:rsidR="0013756D" w:rsidRPr="002A2450">
        <w:rPr>
          <w:rFonts w:ascii="ITC Avant Garde" w:hAnsi="ITC Avant Garde"/>
        </w:rPr>
        <w:t>que suscriba 51% de sus acciones con derechos de voto y económicos (Opción de venta), sujeto al cumplimiento de las siguientes condiciones:</w:t>
      </w:r>
      <w:r w:rsidR="009E556E" w:rsidRPr="002A2450">
        <w:rPr>
          <w:rFonts w:ascii="ITC Avant Garde" w:hAnsi="ITC Avant Garde"/>
        </w:rPr>
        <w:t xml:space="preserve"> </w:t>
      </w:r>
      <w:r w:rsidR="0013756D" w:rsidRPr="002A2450">
        <w:rPr>
          <w:rFonts w:ascii="ITC Avant Garde" w:hAnsi="ITC Avant Garde"/>
        </w:rPr>
        <w:t>1. Que la Comisión Federal de Competencia emita una resolución que autorice la transacción y que no objete ni limite materialmente los activos o n</w:t>
      </w:r>
      <w:r w:rsidR="009E556E" w:rsidRPr="002A2450">
        <w:rPr>
          <w:rFonts w:ascii="ITC Avant Garde" w:hAnsi="ITC Avant Garde"/>
        </w:rPr>
        <w:t xml:space="preserve">egocios de </w:t>
      </w:r>
      <w:r w:rsidR="005B601B" w:rsidRPr="002A2450">
        <w:rPr>
          <w:rFonts w:ascii="ITC Avant Garde" w:hAnsi="ITC Avant Garde"/>
          <w:b/>
        </w:rPr>
        <w:t>“TELMEX”</w:t>
      </w:r>
      <w:r w:rsidR="009E556E" w:rsidRPr="002A2450">
        <w:rPr>
          <w:rFonts w:ascii="ITC Avant Garde" w:hAnsi="ITC Avant Garde"/>
        </w:rPr>
        <w:t xml:space="preserve"> o </w:t>
      </w:r>
      <w:proofErr w:type="spellStart"/>
      <w:r w:rsidR="009E556E" w:rsidRPr="002A2450">
        <w:rPr>
          <w:rFonts w:ascii="ITC Avant Garde" w:hAnsi="ITC Avant Garde"/>
        </w:rPr>
        <w:t>Dish</w:t>
      </w:r>
      <w:proofErr w:type="spellEnd"/>
      <w:r w:rsidR="009E556E" w:rsidRPr="002A2450">
        <w:rPr>
          <w:rFonts w:ascii="ITC Avant Garde" w:hAnsi="ITC Avant Garde"/>
        </w:rPr>
        <w:t xml:space="preserve"> México; y </w:t>
      </w:r>
      <w:r w:rsidR="0013756D" w:rsidRPr="002A2450">
        <w:rPr>
          <w:rFonts w:ascii="ITC Avant Garde" w:hAnsi="ITC Avant Garde"/>
        </w:rPr>
        <w:t>2. Que ninguna autoridad administrativa o judicial emita alguna orden que prohíba su ejercicio.</w:t>
      </w:r>
      <w:r w:rsidR="009E556E" w:rsidRPr="002A2450">
        <w:rPr>
          <w:rFonts w:ascii="ITC Avant Garde" w:hAnsi="ITC Avant Garde"/>
        </w:rPr>
        <w:t xml:space="preserve"> Por tanto, la </w:t>
      </w:r>
      <w:r w:rsidR="0013756D" w:rsidRPr="002A2450">
        <w:rPr>
          <w:rFonts w:ascii="ITC Avant Garde" w:hAnsi="ITC Avant Garde"/>
        </w:rPr>
        <w:t xml:space="preserve">opción NO encuadra en los supuestos y características de los </w:t>
      </w:r>
      <w:r w:rsidR="0013756D" w:rsidRPr="002A2450">
        <w:rPr>
          <w:rFonts w:ascii="ITC Avant Garde" w:hAnsi="ITC Avant Garde"/>
          <w:b/>
        </w:rPr>
        <w:t>INSTRUMENTOS FINANCIEROS DERIVADOS</w:t>
      </w:r>
      <w:r w:rsidR="0013756D" w:rsidRPr="002A2450">
        <w:rPr>
          <w:rFonts w:ascii="ITC Avant Garde" w:hAnsi="ITC Avant Garde"/>
        </w:rPr>
        <w:t xml:space="preserve">, porque tiene INCERTIDUMBRE, puede no ejecutarse y que requiere aprobación de AUTORIDAD GUBERNAMENTAL y sobre todo, es CONTINGENTE. Por esto, ni </w:t>
      </w:r>
      <w:r w:rsidR="009E556E" w:rsidRPr="002A2450">
        <w:rPr>
          <w:rFonts w:ascii="ITC Avant Garde" w:hAnsi="ITC Avant Garde"/>
          <w:b/>
        </w:rPr>
        <w:t>“TELMEX”</w:t>
      </w:r>
      <w:r w:rsidR="009E556E" w:rsidRPr="002A2450">
        <w:rPr>
          <w:rFonts w:ascii="ITC Avant Garde" w:hAnsi="ITC Avant Garde"/>
        </w:rPr>
        <w:t xml:space="preserve"> </w:t>
      </w:r>
      <w:r w:rsidR="0013756D" w:rsidRPr="002A2450">
        <w:rPr>
          <w:rFonts w:ascii="ITC Avant Garde" w:hAnsi="ITC Avant Garde"/>
        </w:rPr>
        <w:t xml:space="preserve">(auditada por un grupo de auditores a nivel internacional), ni </w:t>
      </w:r>
      <w:r w:rsidR="009E556E" w:rsidRPr="002A2450">
        <w:rPr>
          <w:rFonts w:ascii="ITC Avant Garde" w:hAnsi="ITC Avant Garde"/>
          <w:b/>
        </w:rPr>
        <w:t>“DISH MÉXICO”</w:t>
      </w:r>
      <w:r w:rsidR="009E556E" w:rsidRPr="002A2450">
        <w:rPr>
          <w:rFonts w:ascii="ITC Avant Garde" w:hAnsi="ITC Avant Garde"/>
        </w:rPr>
        <w:t xml:space="preserve"> </w:t>
      </w:r>
      <w:r w:rsidR="0013756D" w:rsidRPr="002A2450">
        <w:rPr>
          <w:rFonts w:ascii="ITC Avant Garde" w:hAnsi="ITC Avant Garde"/>
        </w:rPr>
        <w:t xml:space="preserve">(auditada por OTRO grupo de auditores a nivel internacional) han registrado </w:t>
      </w:r>
      <w:r w:rsidR="0013756D" w:rsidRPr="002A2450">
        <w:rPr>
          <w:rFonts w:ascii="ITC Avant Garde" w:hAnsi="ITC Avant Garde"/>
        </w:rPr>
        <w:lastRenderedPageBreak/>
        <w:t xml:space="preserve">la opción en sus respectivas contabilidades. Por tanto, </w:t>
      </w:r>
      <w:r w:rsidR="0013756D" w:rsidRPr="002A2450">
        <w:rPr>
          <w:rFonts w:ascii="ITC Avant Garde" w:hAnsi="ITC Avant Garde"/>
          <w:b/>
        </w:rPr>
        <w:t>LOS CONTRATOS NO GENERAN</w:t>
      </w:r>
      <w:r w:rsidR="0013756D" w:rsidRPr="002A2450">
        <w:rPr>
          <w:rFonts w:ascii="ITC Avant Garde" w:hAnsi="ITC Avant Garde"/>
        </w:rPr>
        <w:t xml:space="preserve"> elementos que obliguen a las partes al reconocimiento de derechos y obligaciones derivados del contrato de opción como un pasivo, instrumento financiero (PRIMARIO O DERIVADO) o algún otro elemento financiero dentro de los libros contables de las entidades con base en la normatividad vigente.</w:t>
      </w:r>
    </w:p>
    <w:p w14:paraId="10D48A86" w14:textId="77777777" w:rsidR="00B35F13" w:rsidRDefault="009E556E"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respecta a si</w:t>
      </w:r>
      <w:r w:rsidRPr="002A2450">
        <w:rPr>
          <w:rFonts w:ascii="ITC Avant Garde" w:hAnsi="ITC Avant Garde"/>
          <w:b/>
        </w:rPr>
        <w:t xml:space="preserve"> </w:t>
      </w:r>
      <w:r w:rsidRPr="002A2450">
        <w:rPr>
          <w:rFonts w:ascii="ITC Avant Garde" w:hAnsi="ITC Avant Garde"/>
        </w:rPr>
        <w:t xml:space="preserve">de acuerdo a la normatividad contable las supuestas "aportaciones" de </w:t>
      </w:r>
      <w:r w:rsidRPr="002A2450">
        <w:rPr>
          <w:rFonts w:ascii="ITC Avant Garde" w:hAnsi="ITC Avant Garde"/>
          <w:b/>
        </w:rPr>
        <w:t>“TELMEX”</w:t>
      </w:r>
      <w:r w:rsidRPr="002A2450">
        <w:rPr>
          <w:rFonts w:ascii="ITC Avant Garde" w:hAnsi="ITC Avant Garde"/>
        </w:rPr>
        <w:t>, mencionadas en el oficio deben clasificarse, registrarse y revelarse como aporta</w:t>
      </w:r>
      <w:r w:rsidR="00C13D83" w:rsidRPr="002A2450">
        <w:rPr>
          <w:rFonts w:ascii="ITC Avant Garde" w:hAnsi="ITC Avant Garde"/>
        </w:rPr>
        <w:t>ciones de capital, el perito señaló que l</w:t>
      </w:r>
      <w:r w:rsidR="0013756D" w:rsidRPr="002A2450">
        <w:rPr>
          <w:rFonts w:ascii="ITC Avant Garde" w:hAnsi="ITC Avant Garde"/>
        </w:rPr>
        <w:t xml:space="preserve">a adquisición de kits CPE a </w:t>
      </w:r>
      <w:r w:rsidR="00C6333F" w:rsidRPr="002A2450">
        <w:rPr>
          <w:rFonts w:ascii="ITC Avant Garde" w:hAnsi="ITC Avant Garde"/>
          <w:b/>
        </w:rPr>
        <w:t>“COFRESA”</w:t>
      </w:r>
      <w:r w:rsidR="00C6333F" w:rsidRPr="002A2450">
        <w:rPr>
          <w:rFonts w:ascii="ITC Avant Garde" w:hAnsi="ITC Avant Garde"/>
        </w:rPr>
        <w:t xml:space="preserve"> </w:t>
      </w:r>
      <w:r w:rsidR="0013756D" w:rsidRPr="002A2450">
        <w:rPr>
          <w:rFonts w:ascii="ITC Avant Garde" w:hAnsi="ITC Avant Garde"/>
        </w:rPr>
        <w:t xml:space="preserve">o a </w:t>
      </w:r>
      <w:r w:rsidR="00C6333F" w:rsidRPr="002A2450">
        <w:rPr>
          <w:rFonts w:ascii="ITC Avant Garde" w:hAnsi="ITC Avant Garde"/>
          <w:b/>
        </w:rPr>
        <w:t>“DISH”</w:t>
      </w:r>
      <w:r w:rsidR="0013756D" w:rsidRPr="002A2450">
        <w:rPr>
          <w:rFonts w:ascii="ITC Avant Garde" w:hAnsi="ITC Avant Garde"/>
        </w:rPr>
        <w:t>, es una transacción comercial de compra-venta que como tal, independientemente de la entidad que participe en esta transacción, creará un ingreso para quien venda los Kits CPE y creará un activo del tipo de Propiedad, Planta y Equipo a ser registrado en e</w:t>
      </w:r>
      <w:r w:rsidR="00C13D83" w:rsidRPr="002A2450">
        <w:rPr>
          <w:rFonts w:ascii="ITC Avant Garde" w:hAnsi="ITC Avant Garde"/>
        </w:rPr>
        <w:t>l balance de quien los adquiera</w:t>
      </w:r>
      <w:r w:rsidR="0013756D" w:rsidRPr="002A2450">
        <w:rPr>
          <w:rFonts w:ascii="ITC Avant Garde" w:hAnsi="ITC Avant Garde"/>
        </w:rPr>
        <w:t>, por lo que está claro que no implica que exista una aportación al capital de la entidad que vende los Kits CPE. En el acuerdo de inicio, se pretende relacionar lo que el Contrato de Arrendamiento establece con el Contrato de Opciones de Compra y Venta (</w:t>
      </w:r>
      <w:proofErr w:type="spellStart"/>
      <w:r w:rsidR="0013756D" w:rsidRPr="002A2450">
        <w:rPr>
          <w:rFonts w:ascii="ITC Avant Garde" w:hAnsi="ITC Avant Garde"/>
        </w:rPr>
        <w:t>Put</w:t>
      </w:r>
      <w:proofErr w:type="spellEnd"/>
      <w:r w:rsidR="0013756D" w:rsidRPr="002A2450">
        <w:rPr>
          <w:rFonts w:ascii="ITC Avant Garde" w:hAnsi="ITC Avant Garde"/>
        </w:rPr>
        <w:t xml:space="preserve"> and </w:t>
      </w:r>
      <w:proofErr w:type="spellStart"/>
      <w:r w:rsidR="0013756D" w:rsidRPr="002A2450">
        <w:rPr>
          <w:rFonts w:ascii="ITC Avant Garde" w:hAnsi="ITC Avant Garde"/>
        </w:rPr>
        <w:t>Call</w:t>
      </w:r>
      <w:proofErr w:type="spellEnd"/>
      <w:r w:rsidR="0013756D" w:rsidRPr="002A2450">
        <w:rPr>
          <w:rFonts w:ascii="ITC Avant Garde" w:hAnsi="ITC Avant Garde"/>
        </w:rPr>
        <w:t xml:space="preserve">, </w:t>
      </w:r>
      <w:proofErr w:type="spellStart"/>
      <w:r w:rsidR="0013756D" w:rsidRPr="002A2450">
        <w:rPr>
          <w:rFonts w:ascii="ITC Avant Garde" w:hAnsi="ITC Avant Garde"/>
        </w:rPr>
        <w:t>Option</w:t>
      </w:r>
      <w:proofErr w:type="spellEnd"/>
      <w:r w:rsidR="0013756D" w:rsidRPr="002A2450">
        <w:rPr>
          <w:rFonts w:ascii="ITC Avant Garde" w:hAnsi="ITC Avant Garde"/>
        </w:rPr>
        <w:t xml:space="preserve"> </w:t>
      </w:r>
      <w:proofErr w:type="spellStart"/>
      <w:r w:rsidR="0013756D" w:rsidRPr="002A2450">
        <w:rPr>
          <w:rFonts w:ascii="ITC Avant Garde" w:hAnsi="ITC Avant Garde"/>
        </w:rPr>
        <w:t>Agreement</w:t>
      </w:r>
      <w:proofErr w:type="spellEnd"/>
      <w:r w:rsidR="0013756D" w:rsidRPr="002A2450">
        <w:rPr>
          <w:rFonts w:ascii="ITC Avant Garde" w:hAnsi="ITC Avant Garde"/>
        </w:rPr>
        <w:t xml:space="preserve">) y con el Contrato de Consecuencias (Remedies </w:t>
      </w:r>
      <w:proofErr w:type="spellStart"/>
      <w:r w:rsidR="0013756D" w:rsidRPr="002A2450">
        <w:rPr>
          <w:rFonts w:ascii="ITC Avant Garde" w:hAnsi="ITC Avant Garde"/>
        </w:rPr>
        <w:t>Agreement</w:t>
      </w:r>
      <w:proofErr w:type="spellEnd"/>
      <w:r w:rsidR="0013756D" w:rsidRPr="002A2450">
        <w:rPr>
          <w:rFonts w:ascii="ITC Avant Garde" w:hAnsi="ITC Avant Garde"/>
        </w:rPr>
        <w:t xml:space="preserve">) a fin de sustentar que la compra inicial de un millón ciento cincuenta mil Kits CPE y del resto de Kits CPE se constituye como una aportación de </w:t>
      </w:r>
      <w:r w:rsidR="00C13D83" w:rsidRPr="002A2450">
        <w:rPr>
          <w:rFonts w:ascii="ITC Avant Garde" w:hAnsi="ITC Avant Garde"/>
          <w:b/>
        </w:rPr>
        <w:t xml:space="preserve">“TELMEX” </w:t>
      </w:r>
      <w:r w:rsidR="0013756D" w:rsidRPr="002A2450">
        <w:rPr>
          <w:rFonts w:ascii="ITC Avant Garde" w:hAnsi="ITC Avant Garde"/>
        </w:rPr>
        <w:t xml:space="preserve">en </w:t>
      </w:r>
      <w:r w:rsidR="00C13D83" w:rsidRPr="002A2450">
        <w:rPr>
          <w:rFonts w:ascii="ITC Avant Garde" w:hAnsi="ITC Avant Garde"/>
          <w:b/>
        </w:rPr>
        <w:t>“DISH MÉXICO”</w:t>
      </w:r>
      <w:r w:rsidR="0013756D" w:rsidRPr="002A2450">
        <w:rPr>
          <w:rFonts w:ascii="ITC Avant Garde" w:hAnsi="ITC Avant Garde"/>
        </w:rPr>
        <w:t xml:space="preserve">. </w:t>
      </w:r>
      <w:r w:rsidR="0013756D" w:rsidRPr="002A2450">
        <w:rPr>
          <w:rFonts w:ascii="ITC Avant Garde" w:hAnsi="ITC Avant Garde"/>
          <w:b/>
          <w:u w:val="single"/>
        </w:rPr>
        <w:t>Sin embargo, el tipo de transacción que implica la adquisición de los kits CPE es una de compra-venta</w:t>
      </w:r>
      <w:r w:rsidR="0013756D" w:rsidRPr="002A2450">
        <w:rPr>
          <w:rFonts w:ascii="ITC Avant Garde" w:hAnsi="ITC Avant Garde"/>
        </w:rPr>
        <w:t xml:space="preserve"> que no tiene fundamentos para tratarse como una aportación a capital en alguna entidad.</w:t>
      </w:r>
      <w:r w:rsidR="00C13D83" w:rsidRPr="002A2450">
        <w:rPr>
          <w:rFonts w:ascii="ITC Avant Garde" w:hAnsi="ITC Avant Garde"/>
        </w:rPr>
        <w:t xml:space="preserve"> </w:t>
      </w:r>
      <w:r w:rsidR="0013756D" w:rsidRPr="002A2450">
        <w:rPr>
          <w:rFonts w:ascii="ITC Avant Garde" w:hAnsi="ITC Avant Garde"/>
        </w:rPr>
        <w:t xml:space="preserve">Si bien contablemente busca identificarse la sustancia económica de las transacciones y operaciones en que participa una entidad, de la lectura de los dos contratos, el Contrato de Opciones de Compra y Venta y el Contrato de Consecuencias, no se identifican elementos que pudieran llevar a suponer un tratamiento diferente para esta transacción de compra-venta. Además, en ninguna parte de dichos contratos se indica que la transacción de compra-venta de los Kits CPE, en caso de que </w:t>
      </w:r>
      <w:r w:rsidR="00C13D83" w:rsidRPr="002A2450">
        <w:rPr>
          <w:rFonts w:ascii="ITC Avant Garde" w:hAnsi="ITC Avant Garde"/>
          <w:b/>
        </w:rPr>
        <w:t xml:space="preserve">“DISH </w:t>
      </w:r>
      <w:r w:rsidR="00C13D83" w:rsidRPr="002A2450">
        <w:rPr>
          <w:rFonts w:ascii="ITC Avant Garde" w:hAnsi="ITC Avant Garde"/>
          <w:b/>
        </w:rPr>
        <w:lastRenderedPageBreak/>
        <w:t xml:space="preserve">MÉXICO” </w:t>
      </w:r>
      <w:r w:rsidR="0013756D" w:rsidRPr="002A2450">
        <w:rPr>
          <w:rFonts w:ascii="ITC Avant Garde" w:hAnsi="ITC Avant Garde"/>
        </w:rPr>
        <w:t>la hiciera, implicara alguna emisión de acciones por parte de ésta al recibir como ingreso la contraprestación por la venta de dichos Kits CPE.</w:t>
      </w:r>
      <w:r w:rsidR="008F718E" w:rsidRPr="009E34A4">
        <w:rPr>
          <w:rFonts w:ascii="ITC Avant Garde" w:hAnsi="ITC Avant Garde"/>
          <w:color w:val="C00000"/>
        </w:rPr>
        <w:t xml:space="preserve"> </w:t>
      </w:r>
      <w:r w:rsidR="0013756D" w:rsidRPr="002A2450">
        <w:rPr>
          <w:rFonts w:ascii="ITC Avant Garde" w:hAnsi="ITC Avant Garde"/>
        </w:rPr>
        <w:t xml:space="preserve">Por tanto, es posible afirmar que las supuestas aportaciones de </w:t>
      </w:r>
      <w:r w:rsidR="005B601B" w:rsidRPr="002A2450">
        <w:rPr>
          <w:rFonts w:ascii="ITC Avant Garde" w:hAnsi="ITC Avant Garde"/>
          <w:b/>
        </w:rPr>
        <w:t>“TELMEX”</w:t>
      </w:r>
      <w:r w:rsidR="0013756D" w:rsidRPr="002A2450">
        <w:rPr>
          <w:rFonts w:ascii="ITC Avant Garde" w:hAnsi="ITC Avant Garde"/>
        </w:rPr>
        <w:t xml:space="preserve"> no son tal y consecuentemente, no pueden clasificarse, registrarse ni revelarse como aportaciones de capital.</w:t>
      </w:r>
    </w:p>
    <w:p w14:paraId="6A3FD445" w14:textId="77777777" w:rsidR="00B35F13" w:rsidRDefault="00C6333F"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 xml:space="preserve">En lo que toca </w:t>
      </w:r>
      <w:r w:rsidR="002D1219" w:rsidRPr="002A2450">
        <w:rPr>
          <w:rFonts w:ascii="ITC Avant Garde" w:hAnsi="ITC Avant Garde"/>
        </w:rPr>
        <w:t xml:space="preserve">a la </w:t>
      </w:r>
      <w:r w:rsidRPr="002A2450">
        <w:rPr>
          <w:rFonts w:ascii="ITC Avant Garde" w:hAnsi="ITC Avant Garde"/>
        </w:rPr>
        <w:t>pregunta de si bajo la normatividad contable, la opción de suscripción prevista en el contrato de opción, debe clasificarse, registrarse y revelarse como transacciones exigibles</w:t>
      </w:r>
      <w:r w:rsidR="002D1219" w:rsidRPr="002A2450">
        <w:rPr>
          <w:rFonts w:ascii="ITC Avant Garde" w:hAnsi="ITC Avant Garde"/>
        </w:rPr>
        <w:t>,</w:t>
      </w:r>
      <w:r w:rsidR="002F2331" w:rsidRPr="002A2450">
        <w:rPr>
          <w:rFonts w:ascii="ITC Avant Garde" w:hAnsi="ITC Avant Garde"/>
        </w:rPr>
        <w:t xml:space="preserve"> el perito señaló</w:t>
      </w:r>
      <w:r w:rsidR="008F718E" w:rsidRPr="002A2450">
        <w:rPr>
          <w:rFonts w:ascii="ITC Avant Garde" w:hAnsi="ITC Avant Garde"/>
          <w:color w:val="C00000"/>
        </w:rPr>
        <w:t xml:space="preserve"> </w:t>
      </w:r>
      <w:r w:rsidR="002F2331" w:rsidRPr="002A2450">
        <w:rPr>
          <w:rFonts w:ascii="ITC Avant Garde" w:hAnsi="ITC Avant Garde"/>
        </w:rPr>
        <w:t xml:space="preserve">que </w:t>
      </w:r>
      <w:r w:rsidR="0013756D" w:rsidRPr="002A2450">
        <w:rPr>
          <w:rFonts w:ascii="ITC Avant Garde" w:hAnsi="ITC Avant Garde"/>
        </w:rPr>
        <w:t>las transacciones se reconocen contablemente cuando en un acuerdo de voluntades se adquiere un derecho por una de las partes involucradas en dicha transacción y surge una obligación para la otra parte involucrada, independientemente de cuando se realicen,</w:t>
      </w:r>
      <w:r w:rsidR="002D1219" w:rsidRPr="002A2450">
        <w:rPr>
          <w:rFonts w:ascii="ITC Avant Garde" w:hAnsi="ITC Avant Garde"/>
        </w:rPr>
        <w:t xml:space="preserve"> por lo que</w:t>
      </w:r>
      <w:r w:rsidR="008F718E" w:rsidRPr="002A2450">
        <w:rPr>
          <w:rFonts w:ascii="ITC Avant Garde" w:hAnsi="ITC Avant Garde"/>
          <w:color w:val="C00000"/>
        </w:rPr>
        <w:t xml:space="preserve"> </w:t>
      </w:r>
      <w:r w:rsidR="0013756D" w:rsidRPr="002A2450">
        <w:rPr>
          <w:rFonts w:ascii="ITC Avant Garde" w:hAnsi="ITC Avant Garde"/>
        </w:rPr>
        <w:t>bajo la normatividad contable, la opción de suscripción prevista en el contrato de opción, NO PUEDE NI DEBE clasificarse, registrarse y revelarse como transacciones exigibles.</w:t>
      </w:r>
    </w:p>
    <w:p w14:paraId="1F6E0B24" w14:textId="77777777" w:rsidR="00B35F13" w:rsidRDefault="002F2331"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se refiere a si atendiendo a las condiciones para reconocer instrumentos financieros derivados, establecidas en la normatividad financiera aplicable es válido el reconocimiento de la opción de compra, el perito señaló que atendiendo</w:t>
      </w:r>
      <w:r w:rsidR="0013756D" w:rsidRPr="002A2450">
        <w:rPr>
          <w:rFonts w:ascii="ITC Avant Garde" w:hAnsi="ITC Avant Garde"/>
        </w:rPr>
        <w:t xml:space="preserve"> a las condiciones para reconocer instrumentos financieros derivados establecidos en la normatividad financiera aplicable, </w:t>
      </w:r>
      <w:r w:rsidR="0013756D" w:rsidRPr="002A2450">
        <w:rPr>
          <w:rFonts w:ascii="ITC Avant Garde" w:hAnsi="ITC Avant Garde"/>
          <w:b/>
        </w:rPr>
        <w:t>NO</w:t>
      </w:r>
      <w:r w:rsidR="0013756D" w:rsidRPr="002A2450">
        <w:rPr>
          <w:rFonts w:ascii="ITC Avant Garde" w:hAnsi="ITC Avant Garde"/>
        </w:rPr>
        <w:t xml:space="preserve"> es válido el reconocimiento de la opción de compra.</w:t>
      </w:r>
    </w:p>
    <w:p w14:paraId="415FED88" w14:textId="77777777" w:rsidR="00B35F13" w:rsidRDefault="002F2331"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hace a si ¿una opción implica derechos sustantivos que puedan ejercerse en el presente? El perito señaló que e</w:t>
      </w:r>
      <w:r w:rsidR="0013756D" w:rsidRPr="002A2450">
        <w:rPr>
          <w:rFonts w:ascii="ITC Avant Garde" w:hAnsi="ITC Avant Garde"/>
        </w:rPr>
        <w:t xml:space="preserve">n este caso, el ejercicio de la opción y su realización está a expensas de la autoridad, por lo que existe un límite a los derechos potenciales de voto y no puede considerarse un derecho sustantivo. Al estar limitados no se trata de derechos sustantivos sino de derechos potenciales que se detallan en una opción y bajo qué condiciones y fechas pueden ser efectivamente ejercidos. Nunca en el presente, pues se trata de hechos y situaciones futuras, desconocidos al momento en que el instrumento financiero se crea. Así, ninguno de los derechos que puede llegar </w:t>
      </w:r>
      <w:r w:rsidR="0013756D" w:rsidRPr="002A2450">
        <w:rPr>
          <w:rFonts w:ascii="ITC Avant Garde" w:hAnsi="ITC Avant Garde"/>
        </w:rPr>
        <w:lastRenderedPageBreak/>
        <w:t>a conferir una opción, desde el punto de vista contable, puede ser ejercido en el presente.</w:t>
      </w:r>
    </w:p>
    <w:p w14:paraId="6084EBEA" w14:textId="77777777" w:rsidR="00B35F13" w:rsidRDefault="002F2331"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toca a ¿el sólo hecho de una relación contractual entre dos entidades puede derivar en una relación de control?</w:t>
      </w:r>
      <w:r w:rsidR="0012012F" w:rsidRPr="002A2450">
        <w:rPr>
          <w:rFonts w:ascii="ITC Avant Garde" w:hAnsi="ITC Avant Garde"/>
        </w:rPr>
        <w:t xml:space="preserve"> El perito señaló que l</w:t>
      </w:r>
      <w:r w:rsidR="0013756D" w:rsidRPr="002A2450">
        <w:rPr>
          <w:rFonts w:ascii="ITC Avant Garde" w:hAnsi="ITC Avant Garde"/>
        </w:rPr>
        <w:t>o que da origen de una relación contractual puede ser tan diverso como contratos y tipos de contratos existan, sus finalidades y objetos que pueden ser infinitos. Un subconjunto indeterminado de estos contratos tendrían como finalidad mediante alguna de sus cláusulas, las de generar control de una entidad sobre otra. Pero para ello debería estar especificado en dicho clausulado de tal forma que los elementos que le den control a la entidad debieran ser susceptibles de identificación</w:t>
      </w:r>
      <w:r w:rsidR="0093108B" w:rsidRPr="002A2450">
        <w:rPr>
          <w:rFonts w:ascii="ITC Avant Garde" w:hAnsi="ITC Avant Garde"/>
        </w:rPr>
        <w:t>.</w:t>
      </w:r>
      <w:r w:rsidR="0013756D" w:rsidRPr="002A2450">
        <w:rPr>
          <w:rFonts w:ascii="ITC Avant Garde" w:hAnsi="ITC Avant Garde"/>
        </w:rPr>
        <w:t xml:space="preserve"> De esta forma, no por el hecho de que exista una relación contractual entre dos entidades una tiene control sobre la otra. En el caso que se quiera generar control, esto debe estar detallado en el contrato.</w:t>
      </w:r>
      <w:r w:rsidR="0012012F" w:rsidRPr="002A2450">
        <w:rPr>
          <w:rFonts w:ascii="ITC Avant Garde" w:hAnsi="ITC Avant Garde"/>
        </w:rPr>
        <w:t xml:space="preserve"> </w:t>
      </w:r>
    </w:p>
    <w:p w14:paraId="5C1DA299" w14:textId="77777777" w:rsidR="00B35F13" w:rsidRDefault="0012012F"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Asimismo, por lo que hace a</w:t>
      </w:r>
      <w:r w:rsidRPr="002A2450">
        <w:rPr>
          <w:rFonts w:ascii="ITC Avant Garde" w:hAnsi="ITC Avant Garde"/>
          <w:b/>
        </w:rPr>
        <w:t xml:space="preserve"> </w:t>
      </w:r>
      <w:r w:rsidRPr="002A2450">
        <w:rPr>
          <w:rFonts w:ascii="ITC Avant Garde" w:hAnsi="ITC Avant Garde"/>
        </w:rPr>
        <w:t xml:space="preserve">sí a la luz de la normatividad financiera vigente aplicable, aún y cuando no exista participación accionarla, sería posible hablar de una sola entidad económica sujeta a consolidación </w:t>
      </w:r>
      <w:r w:rsidR="0013756D" w:rsidRPr="002A2450">
        <w:rPr>
          <w:rFonts w:ascii="ITC Avant Garde" w:hAnsi="ITC Avant Garde"/>
        </w:rPr>
        <w:t xml:space="preserve">la respuesta es que </w:t>
      </w:r>
      <w:r w:rsidR="0013756D" w:rsidRPr="002A2450">
        <w:rPr>
          <w:rFonts w:ascii="ITC Avant Garde" w:hAnsi="ITC Avant Garde"/>
          <w:b/>
        </w:rPr>
        <w:t>NO</w:t>
      </w:r>
      <w:r w:rsidR="0013756D" w:rsidRPr="002A2450">
        <w:rPr>
          <w:rFonts w:ascii="ITC Avant Garde" w:hAnsi="ITC Avant Garde"/>
        </w:rPr>
        <w:t>, ya que se necesita ser un inversionista que tenga una inversión permanente en una entidad o grupo de entidades y que, además, tenga el control de las mismas, ya que al tener una inversión permanente conlleva participar en el capital contable y la forma jurídica en México para que esto ocurra es a través de acciones o partes sociales,</w:t>
      </w:r>
      <w:r w:rsidR="002D1219" w:rsidRPr="002A2450">
        <w:rPr>
          <w:rFonts w:ascii="ITC Avant Garde" w:hAnsi="ITC Avant Garde"/>
        </w:rPr>
        <w:t xml:space="preserve"> y en tal sentido</w:t>
      </w:r>
      <w:r w:rsidR="0013756D" w:rsidRPr="002A2450">
        <w:rPr>
          <w:rFonts w:ascii="ITC Avant Garde" w:hAnsi="ITC Avant Garde"/>
        </w:rPr>
        <w:t xml:space="preserve"> la tenencia accionaría se vuelve necesaria para que la consolidación ocurra.</w:t>
      </w:r>
    </w:p>
    <w:p w14:paraId="5CAC0E0E" w14:textId="77777777" w:rsidR="00B35F13" w:rsidRDefault="0012012F"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Por lo que hace a</w:t>
      </w:r>
      <w:r w:rsidRPr="002A2450">
        <w:rPr>
          <w:rFonts w:ascii="ITC Avant Garde" w:hAnsi="ITC Avant Garde"/>
          <w:b/>
        </w:rPr>
        <w:t xml:space="preserve"> </w:t>
      </w:r>
      <w:r w:rsidRPr="002A2450">
        <w:rPr>
          <w:rFonts w:ascii="ITC Avant Garde" w:hAnsi="ITC Avant Garde"/>
        </w:rPr>
        <w:t>sí con base en la normatividad financiera vigente aplicable, las opciones están devengadas desde el momento en que se define el contrato</w:t>
      </w:r>
      <w:r w:rsidR="002D1219" w:rsidRPr="002A2450">
        <w:rPr>
          <w:rFonts w:ascii="ITC Avant Garde" w:hAnsi="ITC Avant Garde"/>
        </w:rPr>
        <w:t>,</w:t>
      </w:r>
      <w:r w:rsidR="00021A68" w:rsidRPr="002A2450">
        <w:rPr>
          <w:rFonts w:ascii="ITC Avant Garde" w:hAnsi="ITC Avant Garde"/>
        </w:rPr>
        <w:t xml:space="preserve"> el perito señaló que </w:t>
      </w:r>
      <w:r w:rsidR="0013756D" w:rsidRPr="002A2450">
        <w:rPr>
          <w:rFonts w:ascii="ITC Avant Garde" w:hAnsi="ITC Avant Garde"/>
        </w:rPr>
        <w:t xml:space="preserve">el sólo hecho de que exista un contrato de un instrumento financiero derivado, no implica que se tengan elementos para presumir que existe una </w:t>
      </w:r>
      <w:proofErr w:type="spellStart"/>
      <w:r w:rsidR="0013756D" w:rsidRPr="002A2450">
        <w:rPr>
          <w:rFonts w:ascii="ITC Avant Garde" w:hAnsi="ITC Avant Garde"/>
        </w:rPr>
        <w:t>devengación</w:t>
      </w:r>
      <w:proofErr w:type="spellEnd"/>
      <w:r w:rsidR="0013756D" w:rsidRPr="002A2450">
        <w:rPr>
          <w:rFonts w:ascii="ITC Avant Garde" w:hAnsi="ITC Avant Garde"/>
        </w:rPr>
        <w:t xml:space="preserve"> desde el punto de vista contable, puesto que dicho contrato se refiere siempre a la suerte de un subyacente. Un contrato de opción, permite a quien lo posee </w:t>
      </w:r>
      <w:r w:rsidR="002D1219" w:rsidRPr="002A2450">
        <w:rPr>
          <w:rFonts w:ascii="ITC Avant Garde" w:hAnsi="ITC Avant Garde"/>
        </w:rPr>
        <w:t xml:space="preserve">que </w:t>
      </w:r>
      <w:r w:rsidR="0013756D" w:rsidRPr="002A2450">
        <w:rPr>
          <w:rFonts w:ascii="ITC Avant Garde" w:hAnsi="ITC Avant Garde"/>
        </w:rPr>
        <w:t xml:space="preserve">pueda elegir entre </w:t>
      </w:r>
      <w:r w:rsidR="0013756D" w:rsidRPr="002A2450">
        <w:rPr>
          <w:rFonts w:ascii="ITC Avant Garde" w:hAnsi="ITC Avant Garde"/>
        </w:rPr>
        <w:lastRenderedPageBreak/>
        <w:t>ejercer o no el derecho que el contrato le otorga, es decir, se convierte en una situación incierta al momento en que el contrato se define y que, justo entonces, dado que el subyacente no ha tenido ninguna variación en su valor, en ese instante no se han generado derechos u obligaciones para ninguna de las partes.</w:t>
      </w:r>
      <w:r w:rsidR="00021A68" w:rsidRPr="002A2450">
        <w:rPr>
          <w:rFonts w:ascii="ITC Avant Garde" w:hAnsi="ITC Avant Garde"/>
        </w:rPr>
        <w:t xml:space="preserve"> </w:t>
      </w:r>
      <w:r w:rsidR="0013756D" w:rsidRPr="002A2450">
        <w:rPr>
          <w:rFonts w:ascii="ITC Avant Garde" w:hAnsi="ITC Avant Garde"/>
        </w:rPr>
        <w:t xml:space="preserve">Por tanto, es posible concluir que no hay elementos para presumir que hay alguna </w:t>
      </w:r>
      <w:proofErr w:type="spellStart"/>
      <w:r w:rsidR="0013756D" w:rsidRPr="002A2450">
        <w:rPr>
          <w:rFonts w:ascii="ITC Avant Garde" w:hAnsi="ITC Avant Garde"/>
        </w:rPr>
        <w:t>devengación</w:t>
      </w:r>
      <w:proofErr w:type="spellEnd"/>
      <w:r w:rsidR="0013756D" w:rsidRPr="002A2450">
        <w:rPr>
          <w:rFonts w:ascii="ITC Avant Garde" w:hAnsi="ITC Avant Garde"/>
        </w:rPr>
        <w:t xml:space="preserve"> desde la perspectiva contable, ya que las opciones </w:t>
      </w:r>
      <w:r w:rsidR="0013756D" w:rsidRPr="002A2450">
        <w:rPr>
          <w:rFonts w:ascii="ITC Avant Garde" w:hAnsi="ITC Avant Garde"/>
          <w:b/>
        </w:rPr>
        <w:t>NO</w:t>
      </w:r>
      <w:r w:rsidR="0013756D" w:rsidRPr="002A2450">
        <w:rPr>
          <w:rFonts w:ascii="ITC Avant Garde" w:hAnsi="ITC Avant Garde"/>
        </w:rPr>
        <w:t xml:space="preserve"> están devengadas desde el momento en que se define el contrato.</w:t>
      </w:r>
    </w:p>
    <w:p w14:paraId="645BADBB" w14:textId="77777777" w:rsidR="00B35F13" w:rsidRDefault="00021A68"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respecta a</w:t>
      </w:r>
      <w:r w:rsidRPr="002A2450">
        <w:rPr>
          <w:rFonts w:ascii="ITC Avant Garde" w:hAnsi="ITC Avant Garde"/>
          <w:b/>
        </w:rPr>
        <w:t xml:space="preserve"> </w:t>
      </w:r>
      <w:r w:rsidRPr="002A2450">
        <w:rPr>
          <w:rFonts w:ascii="ITC Avant Garde" w:hAnsi="ITC Avant Garde"/>
        </w:rPr>
        <w:t>si con base en la normatividad financiera vigente aplicable en materia de instrumentos financieros derivados es siempre posible que se dé una liquidación neta</w:t>
      </w:r>
      <w:r w:rsidR="00BF4DD4" w:rsidRPr="002A2450">
        <w:rPr>
          <w:rFonts w:ascii="ITC Avant Garde" w:hAnsi="ITC Avant Garde"/>
        </w:rPr>
        <w:t>,</w:t>
      </w:r>
      <w:r w:rsidRPr="002A2450">
        <w:rPr>
          <w:rFonts w:ascii="ITC Avant Garde" w:hAnsi="ITC Avant Garde"/>
        </w:rPr>
        <w:t xml:space="preserve"> el perito señala que </w:t>
      </w:r>
      <w:r w:rsidR="0013756D" w:rsidRPr="002A2450">
        <w:rPr>
          <w:rFonts w:ascii="ITC Avant Garde" w:hAnsi="ITC Avant Garde"/>
        </w:rPr>
        <w:t>pueden tenerse instrumentos financieros que no permitan una liquidación neta pero, para efectos de la normatividad, no podrían ser considerados como derivados. Se tiene entonces que un instrumento financiero puede tener o no una liquidación neta. Sólo aquellos que tengan liquidación neta, si cumplen l</w:t>
      </w:r>
      <w:r w:rsidR="00BF4DD4" w:rsidRPr="002A2450">
        <w:rPr>
          <w:rFonts w:ascii="ITC Avant Garde" w:hAnsi="ITC Avant Garde"/>
        </w:rPr>
        <w:t>a</w:t>
      </w:r>
      <w:r w:rsidR="0013756D" w:rsidRPr="002A2450">
        <w:rPr>
          <w:rFonts w:ascii="ITC Avant Garde" w:hAnsi="ITC Avant Garde"/>
        </w:rPr>
        <w:t>s características requeridas por el Boletín C-10 en su párrafo 40, pueden ser considerados como derivados.</w:t>
      </w:r>
      <w:r w:rsidRPr="002A2450">
        <w:rPr>
          <w:rFonts w:ascii="ITC Avant Garde" w:hAnsi="ITC Avant Garde"/>
        </w:rPr>
        <w:t xml:space="preserve"> </w:t>
      </w:r>
      <w:r w:rsidR="0013756D" w:rsidRPr="002A2450">
        <w:rPr>
          <w:rFonts w:ascii="ITC Avant Garde" w:hAnsi="ITC Avant Garde"/>
        </w:rPr>
        <w:t xml:space="preserve">Con base en lo anterior, es posible concluir que una de las condiciones </w:t>
      </w:r>
      <w:r w:rsidR="0013756D" w:rsidRPr="002A2450">
        <w:rPr>
          <w:rFonts w:ascii="ITC Avant Garde" w:hAnsi="ITC Avant Garde"/>
          <w:i/>
        </w:rPr>
        <w:t>sine qua non</w:t>
      </w:r>
      <w:r w:rsidR="0013756D" w:rsidRPr="002A2450">
        <w:rPr>
          <w:rFonts w:ascii="ITC Avant Garde" w:hAnsi="ITC Avant Garde"/>
        </w:rPr>
        <w:t xml:space="preserve"> para considerar un instrumento financiero como derivado es que tenga o permita una liquidación neta.</w:t>
      </w:r>
    </w:p>
    <w:p w14:paraId="1BA86960" w14:textId="77777777" w:rsidR="00B35F13" w:rsidRDefault="00021A68"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En lo que toca a si, bajo las normas internacionales de información financiera, los contratos configuran una concentración de hecho o una adquisición</w:t>
      </w:r>
      <w:r w:rsidR="00BF4DD4" w:rsidRPr="002A2450">
        <w:rPr>
          <w:rFonts w:ascii="ITC Avant Garde" w:hAnsi="ITC Avant Garde"/>
        </w:rPr>
        <w:t xml:space="preserve">. al respecto, </w:t>
      </w:r>
      <w:r w:rsidRPr="002A2450">
        <w:rPr>
          <w:rFonts w:ascii="ITC Avant Garde" w:hAnsi="ITC Avant Garde"/>
        </w:rPr>
        <w:t xml:space="preserve">el perito señala que </w:t>
      </w:r>
      <w:r w:rsidRPr="002A2450">
        <w:rPr>
          <w:rFonts w:ascii="ITC Avant Garde" w:hAnsi="ITC Avant Garde"/>
          <w:b/>
          <w:u w:val="single"/>
        </w:rPr>
        <w:t>e</w:t>
      </w:r>
      <w:r w:rsidR="0013756D" w:rsidRPr="002A2450">
        <w:rPr>
          <w:rFonts w:ascii="ITC Avant Garde" w:hAnsi="ITC Avant Garde"/>
          <w:b/>
          <w:u w:val="single"/>
        </w:rPr>
        <w:t xml:space="preserve">s de hacer notar que </w:t>
      </w:r>
      <w:r w:rsidR="00BF4DD4" w:rsidRPr="002A2450">
        <w:rPr>
          <w:rFonts w:ascii="ITC Avant Garde" w:hAnsi="ITC Avant Garde"/>
          <w:b/>
          <w:u w:val="single"/>
        </w:rPr>
        <w:t xml:space="preserve">los contratos </w:t>
      </w:r>
      <w:r w:rsidR="0013756D" w:rsidRPr="002A2450">
        <w:rPr>
          <w:rFonts w:ascii="ITC Avant Garde" w:hAnsi="ITC Avant Garde"/>
          <w:b/>
          <w:u w:val="single"/>
        </w:rPr>
        <w:t>de índole comercial que de forma general se relacionan con operaciones de naturaleza comercial de compra venta de productos o servicios y de lo prestación de servicios de índole operativa (gestión y administración) no se relacionan de forma alguna con el concepto de concentración mencionado en la NIIF-7 por lo que el concepto queda fuera del marco normativo sobre el cual se ha solicitado brindar una opinión profesional.</w:t>
      </w:r>
      <w:r w:rsidRPr="002A2450">
        <w:rPr>
          <w:rFonts w:ascii="ITC Avant Garde" w:hAnsi="ITC Avant Garde"/>
          <w:b/>
          <w:u w:val="single"/>
        </w:rPr>
        <w:t xml:space="preserve"> </w:t>
      </w:r>
      <w:r w:rsidRPr="002A2450">
        <w:rPr>
          <w:rFonts w:ascii="ITC Avant Garde" w:hAnsi="ITC Avant Garde"/>
        </w:rPr>
        <w:t xml:space="preserve">Sin embargo aclara que, </w:t>
      </w:r>
      <w:r w:rsidR="008743D8" w:rsidRPr="002A2450">
        <w:rPr>
          <w:rFonts w:ascii="ITC Avant Garde" w:hAnsi="ITC Avant Garde"/>
        </w:rPr>
        <w:t xml:space="preserve">la </w:t>
      </w:r>
      <w:r w:rsidR="0013756D" w:rsidRPr="002A2450">
        <w:rPr>
          <w:rFonts w:ascii="ITC Avant Garde" w:hAnsi="ITC Avant Garde"/>
          <w:b/>
          <w:u w:val="single"/>
        </w:rPr>
        <w:t>NIIF-3 Combinaciones de Negocios</w:t>
      </w:r>
      <w:r w:rsidR="0013756D" w:rsidRPr="002A2450">
        <w:rPr>
          <w:rFonts w:ascii="ITC Avant Garde" w:hAnsi="ITC Avant Garde"/>
        </w:rPr>
        <w:t xml:space="preserve"> concluye que toda combinación de negocios es una adquisición para lo cual se ha requerido la utilización de un </w:t>
      </w:r>
      <w:r w:rsidR="0013756D" w:rsidRPr="002A2450">
        <w:rPr>
          <w:rFonts w:ascii="ITC Avant Garde" w:hAnsi="ITC Avant Garde"/>
        </w:rPr>
        <w:lastRenderedPageBreak/>
        <w:t>método de contabilización para la combinación de negocios que es el Método de adquisición.</w:t>
      </w:r>
      <w:r w:rsidR="008743D8" w:rsidRPr="002A2450">
        <w:rPr>
          <w:rFonts w:ascii="ITC Avant Garde" w:hAnsi="ITC Avant Garde"/>
        </w:rPr>
        <w:t xml:space="preserve"> </w:t>
      </w:r>
      <w:r w:rsidR="0013756D" w:rsidRPr="002A2450">
        <w:rPr>
          <w:rFonts w:ascii="ITC Avant Garde" w:hAnsi="ITC Avant Garde"/>
          <w:b/>
        </w:rPr>
        <w:t xml:space="preserve">La combinación de negocios </w:t>
      </w:r>
      <w:r w:rsidR="0013756D" w:rsidRPr="002A2450">
        <w:rPr>
          <w:rFonts w:ascii="ITC Avant Garde" w:hAnsi="ITC Avant Garde"/>
        </w:rPr>
        <w:t>es una transacción u otro suceso en el que una adquirente obtiene el control de uno o más negocios. Las transacciones que se denominan algunas veces "verdaderas fusiones" o "fusiones entre iguales" también son combinaciones de negocios en el sentido en que se utiliza el termino en la NIIF-3.</w:t>
      </w:r>
      <w:r w:rsidR="008743D8" w:rsidRPr="002A2450">
        <w:rPr>
          <w:rFonts w:ascii="ITC Avant Garde" w:hAnsi="ITC Avant Garde"/>
        </w:rPr>
        <w:t xml:space="preserve"> </w:t>
      </w:r>
      <w:r w:rsidR="0013756D" w:rsidRPr="002A2450">
        <w:rPr>
          <w:rFonts w:ascii="ITC Avant Garde" w:hAnsi="ITC Avant Garde"/>
        </w:rPr>
        <w:t xml:space="preserve">Para ello, debe contabilizarse mediante la aplicación del método de la adquisición, a menos que sea una combinación de negocios que implique entidades o negocios bajo control común o que la adquirida sea una subsidiaria de una entidad de inversión, tal como se define en la NIIF-10 Estados Financieros Consolidados, que se requiera medir a valor razonable con cambios en resultados. Una de las partes de una combinación de negocios siempre puede identificarse como la adquirente siendo la entidad que obtiene el control de otro negocio (la adquirida). </w:t>
      </w:r>
      <w:r w:rsidR="0013756D" w:rsidRPr="002A2450">
        <w:rPr>
          <w:rFonts w:ascii="ITC Avant Garde" w:hAnsi="ITC Avant Garde"/>
          <w:b/>
          <w:u w:val="single"/>
        </w:rPr>
        <w:t>Las formaciones de negocios o la adquisición de un activo o grupo de activos que no constituya un negocio no son combinaciones de negocios</w:t>
      </w:r>
      <w:r w:rsidR="008743D8" w:rsidRPr="002A2450">
        <w:rPr>
          <w:rFonts w:ascii="ITC Avant Garde" w:hAnsi="ITC Avant Garde"/>
          <w:b/>
          <w:u w:val="single"/>
        </w:rPr>
        <w:t xml:space="preserve">. </w:t>
      </w:r>
      <w:r w:rsidR="0013756D" w:rsidRPr="002A2450">
        <w:rPr>
          <w:rFonts w:ascii="ITC Avant Garde" w:hAnsi="ITC Avant Garde"/>
          <w:b/>
          <w:u w:val="single"/>
        </w:rPr>
        <w:t xml:space="preserve">Por tanto, </w:t>
      </w:r>
      <w:r w:rsidR="00BF4DD4" w:rsidRPr="002A2450">
        <w:rPr>
          <w:rFonts w:ascii="ITC Avant Garde" w:hAnsi="ITC Avant Garde"/>
          <w:b/>
          <w:u w:val="single"/>
        </w:rPr>
        <w:t xml:space="preserve">los contratos </w:t>
      </w:r>
      <w:r w:rsidR="0013756D" w:rsidRPr="002A2450">
        <w:rPr>
          <w:rFonts w:ascii="ITC Avant Garde" w:hAnsi="ITC Avant Garde"/>
          <w:b/>
          <w:u w:val="single"/>
        </w:rPr>
        <w:t>analizados no corresponden de forma alguna a combinación de negocios en virtud de que las operaciones no incluyen la adquisición de participaciones en el patrimonio entre las partes.</w:t>
      </w:r>
      <w:r w:rsidR="008743D8" w:rsidRPr="002A2450">
        <w:rPr>
          <w:rFonts w:ascii="ITC Avant Garde" w:hAnsi="ITC Avant Garde"/>
          <w:b/>
          <w:u w:val="single"/>
        </w:rPr>
        <w:t xml:space="preserve"> Asimismo, la </w:t>
      </w:r>
      <w:r w:rsidR="0013756D" w:rsidRPr="002A2450">
        <w:rPr>
          <w:rFonts w:ascii="ITC Avant Garde" w:hAnsi="ITC Avant Garde"/>
          <w:b/>
          <w:u w:val="single"/>
        </w:rPr>
        <w:t>NIIF-5 Activos no Corrientes Mantenidos para la Venta y Operaciones Discontinuadas</w:t>
      </w:r>
      <w:r w:rsidR="0013756D" w:rsidRPr="002A2450">
        <w:rPr>
          <w:rFonts w:ascii="ITC Avant Garde" w:hAnsi="ITC Avant Garde"/>
        </w:rPr>
        <w:t>: Cuando una entidad adquiera un activo no corriente (o grupo de activos para su disposición) exclusivamente con el propósito de su posterior venta, clasificara dicho activo no corriente (o grupo de activos para su disposición) como mantenido para la venta, en la fecha de adquisición, sólo si se cumple el requisito de existir un plan de venta y el establecimiento de un precio razonable.</w:t>
      </w:r>
      <w:r w:rsidR="008743D8" w:rsidRPr="002A2450">
        <w:rPr>
          <w:rFonts w:ascii="ITC Avant Garde" w:hAnsi="ITC Avant Garde"/>
        </w:rPr>
        <w:t xml:space="preserve"> Por lo que e</w:t>
      </w:r>
      <w:r w:rsidR="0013756D" w:rsidRPr="002A2450">
        <w:rPr>
          <w:rFonts w:ascii="ITC Avant Garde" w:hAnsi="ITC Avant Garde"/>
          <w:b/>
          <w:u w:val="single"/>
        </w:rPr>
        <w:t>s claro que las operaciones derivadas de los Contratos analizados no corresponden a adquisiciones de activos o corrientes adquiridas para su posterior venta</w:t>
      </w:r>
      <w:r w:rsidR="0013756D" w:rsidRPr="002A2450">
        <w:rPr>
          <w:rFonts w:ascii="ITC Avant Garde" w:hAnsi="ITC Avant Garde"/>
          <w:b/>
        </w:rPr>
        <w:t>.</w:t>
      </w:r>
      <w:r w:rsidR="00BF4DD4" w:rsidRPr="002A2450">
        <w:rPr>
          <w:rFonts w:ascii="ITC Avant Garde" w:hAnsi="ITC Avant Garde"/>
          <w:b/>
        </w:rPr>
        <w:t xml:space="preserve"> </w:t>
      </w:r>
      <w:r w:rsidR="00BF4DD4" w:rsidRPr="002A2450">
        <w:rPr>
          <w:rFonts w:ascii="ITC Avant Garde" w:hAnsi="ITC Avant Garde"/>
        </w:rPr>
        <w:t xml:space="preserve">Ahora bien en la </w:t>
      </w:r>
      <w:r w:rsidR="0013756D" w:rsidRPr="002A2450">
        <w:rPr>
          <w:rFonts w:ascii="ITC Avant Garde" w:hAnsi="ITC Avant Garde"/>
          <w:b/>
          <w:u w:val="single"/>
        </w:rPr>
        <w:t>NIIF-10 Estados Financieros Consolidados.</w:t>
      </w:r>
      <w:r w:rsidR="0013756D" w:rsidRPr="002A2450">
        <w:rPr>
          <w:rFonts w:ascii="ITC Avant Garde" w:hAnsi="ITC Avant Garde"/>
        </w:rPr>
        <w:t xml:space="preserve"> En el contexto de esta norma, el concepto de adquisición está relacionado con la inversión como la participación de un negocio, por lo que </w:t>
      </w:r>
      <w:r w:rsidR="0013756D" w:rsidRPr="002A2450">
        <w:rPr>
          <w:rFonts w:ascii="ITC Avant Garde" w:hAnsi="ITC Avant Garde"/>
          <w:b/>
          <w:u w:val="single"/>
        </w:rPr>
        <w:t xml:space="preserve">considerando el contexto </w:t>
      </w:r>
      <w:r w:rsidR="0013756D" w:rsidRPr="002A2450">
        <w:rPr>
          <w:rFonts w:ascii="ITC Avant Garde" w:hAnsi="ITC Avant Garde"/>
          <w:b/>
          <w:u w:val="single"/>
        </w:rPr>
        <w:lastRenderedPageBreak/>
        <w:t>de las preguntas ofrecidas este es el enfoque de mayor interés.</w:t>
      </w:r>
      <w:r w:rsidR="008F718E" w:rsidRPr="002A2450">
        <w:rPr>
          <w:rFonts w:ascii="ITC Avant Garde" w:hAnsi="ITC Avant Garde"/>
          <w:color w:val="C00000"/>
        </w:rPr>
        <w:t xml:space="preserve"> </w:t>
      </w:r>
      <w:r w:rsidR="008743D8" w:rsidRPr="002A2450">
        <w:rPr>
          <w:rFonts w:ascii="ITC Avant Garde" w:hAnsi="ITC Avant Garde"/>
        </w:rPr>
        <w:t>L</w:t>
      </w:r>
      <w:r w:rsidR="0013756D" w:rsidRPr="002A2450">
        <w:rPr>
          <w:rFonts w:ascii="ITC Avant Garde" w:hAnsi="ITC Avant Garde"/>
        </w:rPr>
        <w:t xml:space="preserve">as operaciones derivadas de los contratos analizados </w:t>
      </w:r>
      <w:r w:rsidR="0013756D" w:rsidRPr="002A2450">
        <w:rPr>
          <w:rFonts w:ascii="ITC Avant Garde" w:hAnsi="ITC Avant Garde"/>
          <w:b/>
          <w:u w:val="single"/>
        </w:rPr>
        <w:t>no corresponden de forma alguna a inform</w:t>
      </w:r>
      <w:r w:rsidR="00BF4DD4" w:rsidRPr="002A2450">
        <w:rPr>
          <w:rFonts w:ascii="ITC Avant Garde" w:hAnsi="ITC Avant Garde"/>
          <w:b/>
          <w:u w:val="single"/>
        </w:rPr>
        <w:t xml:space="preserve">ación que deba ser susceptible </w:t>
      </w:r>
      <w:r w:rsidR="0013756D" w:rsidRPr="002A2450">
        <w:rPr>
          <w:rFonts w:ascii="ITC Avant Garde" w:hAnsi="ITC Avant Garde"/>
          <w:b/>
          <w:u w:val="single"/>
        </w:rPr>
        <w:t>de consolidar bajo los términos de control ya que no generan ningún tipo de poder en el patrimonio, ni en las actividades relevantes y la dirección de las mismas, de ninguna de las partes.</w:t>
      </w:r>
      <w:r w:rsidR="008743D8" w:rsidRPr="002A2450">
        <w:rPr>
          <w:rFonts w:ascii="ITC Avant Garde" w:hAnsi="ITC Avant Garde"/>
        </w:rPr>
        <w:t xml:space="preserve"> </w:t>
      </w:r>
      <w:r w:rsidR="0013756D" w:rsidRPr="002A2450">
        <w:rPr>
          <w:rFonts w:ascii="ITC Avant Garde" w:hAnsi="ITC Avant Garde"/>
        </w:rPr>
        <w:t xml:space="preserve">Sí el contrato de opción de compra llegara a considerarse como una participación no dominante y, con el objetivo de evitar la duplicación del efecto contable de los resultados, solo deberá reconocerse por parte de la "Sociedad controladora". Ni </w:t>
      </w:r>
      <w:r w:rsidR="00BF4DD4" w:rsidRPr="002A2450">
        <w:rPr>
          <w:rFonts w:ascii="ITC Avant Garde" w:hAnsi="ITC Avant Garde"/>
          <w:b/>
        </w:rPr>
        <w:t>“TELMEX”</w:t>
      </w:r>
      <w:r w:rsidR="00BF4DD4" w:rsidRPr="002A2450">
        <w:rPr>
          <w:rFonts w:ascii="ITC Avant Garde" w:hAnsi="ITC Avant Garde"/>
        </w:rPr>
        <w:t xml:space="preserve"> </w:t>
      </w:r>
      <w:r w:rsidR="0013756D" w:rsidRPr="002A2450">
        <w:rPr>
          <w:rFonts w:ascii="ITC Avant Garde" w:hAnsi="ITC Avant Garde"/>
        </w:rPr>
        <w:t xml:space="preserve">ni </w:t>
      </w:r>
      <w:r w:rsidR="00BF4DD4" w:rsidRPr="002A2450">
        <w:rPr>
          <w:rFonts w:ascii="ITC Avant Garde" w:hAnsi="ITC Avant Garde"/>
          <w:b/>
        </w:rPr>
        <w:t xml:space="preserve">“TENINVER” </w:t>
      </w:r>
      <w:r w:rsidR="0013756D" w:rsidRPr="002A2450">
        <w:rPr>
          <w:rFonts w:ascii="ITC Avant Garde" w:hAnsi="ITC Avant Garde"/>
        </w:rPr>
        <w:t xml:space="preserve">pueden considerarse como "Sociedad Controladora" al ser entidades de un grupo económico independiente, por lo que no deberá reconocerse de forma directa o indirecta los resultados de la operación de </w:t>
      </w:r>
      <w:r w:rsidR="00BF4DD4" w:rsidRPr="002A2450">
        <w:rPr>
          <w:rFonts w:ascii="ITC Avant Garde" w:hAnsi="ITC Avant Garde"/>
          <w:b/>
        </w:rPr>
        <w:t>“COFRESA”</w:t>
      </w:r>
      <w:r w:rsidR="0013756D" w:rsidRPr="002A2450">
        <w:rPr>
          <w:rFonts w:ascii="ITC Avant Garde" w:hAnsi="ITC Avant Garde"/>
        </w:rPr>
        <w:t xml:space="preserve">, ya que de lo contrario se estaría ante una duplicación contable de la información financiera. Además, es evidente que </w:t>
      </w:r>
      <w:r w:rsidR="00BF4DD4" w:rsidRPr="002A2450">
        <w:rPr>
          <w:rFonts w:ascii="ITC Avant Garde" w:hAnsi="ITC Avant Garde"/>
          <w:b/>
        </w:rPr>
        <w:t>“DISH MÉXICO”</w:t>
      </w:r>
      <w:r w:rsidR="0013756D" w:rsidRPr="002A2450">
        <w:rPr>
          <w:rFonts w:ascii="ITC Avant Garde" w:hAnsi="ITC Avant Garde"/>
        </w:rPr>
        <w:t xml:space="preserve">, al ser una entidad que ya se está consolidando en un grupo económico independiente, no es susceptible de evaluar la posibilidad de considerarlo parte de </w:t>
      </w:r>
      <w:r w:rsidR="005B601B" w:rsidRPr="002A2450">
        <w:rPr>
          <w:rFonts w:ascii="ITC Avant Garde" w:hAnsi="ITC Avant Garde"/>
          <w:b/>
        </w:rPr>
        <w:t>“TELMEX”</w:t>
      </w:r>
      <w:r w:rsidR="0013756D" w:rsidRPr="002A2450">
        <w:rPr>
          <w:rFonts w:ascii="ITC Avant Garde" w:hAnsi="ITC Avant Garde"/>
        </w:rPr>
        <w:t>.</w:t>
      </w:r>
    </w:p>
    <w:p w14:paraId="5E64ACD0" w14:textId="77777777" w:rsidR="00B35F13" w:rsidRDefault="00BF4DD4"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Por lo que hace a</w:t>
      </w:r>
      <w:r w:rsidRPr="002A2450">
        <w:rPr>
          <w:rFonts w:ascii="ITC Avant Garde" w:hAnsi="ITC Avant Garde"/>
          <w:b/>
        </w:rPr>
        <w:t xml:space="preserve"> </w:t>
      </w:r>
      <w:r w:rsidRPr="002A2450">
        <w:rPr>
          <w:rFonts w:ascii="ITC Avant Garde" w:hAnsi="ITC Avant Garde"/>
        </w:rPr>
        <w:t xml:space="preserve">sí los contratos otorgan a </w:t>
      </w:r>
      <w:r w:rsidRPr="002A2450">
        <w:rPr>
          <w:rFonts w:ascii="ITC Avant Garde" w:hAnsi="ITC Avant Garde"/>
          <w:b/>
        </w:rPr>
        <w:t xml:space="preserve">“TELMEX” </w:t>
      </w:r>
      <w:r w:rsidRPr="002A2450">
        <w:rPr>
          <w:rFonts w:ascii="ITC Avant Garde" w:hAnsi="ITC Avant Garde"/>
        </w:rPr>
        <w:t xml:space="preserve">el control de </w:t>
      </w:r>
      <w:r w:rsidRPr="002A2450">
        <w:rPr>
          <w:rFonts w:ascii="ITC Avant Garde" w:hAnsi="ITC Avant Garde"/>
          <w:b/>
        </w:rPr>
        <w:t xml:space="preserve">“DISH MÉXICO” </w:t>
      </w:r>
      <w:r w:rsidRPr="002A2450">
        <w:rPr>
          <w:rFonts w:ascii="ITC Avant Garde" w:hAnsi="ITC Avant Garde"/>
        </w:rPr>
        <w:t>conforme a la NIIF-10 u otra norma financiera internacionalmente reconocida, el perito señala que</w:t>
      </w:r>
      <w:r w:rsidR="008F718E" w:rsidRPr="002A2450">
        <w:rPr>
          <w:rFonts w:ascii="ITC Avant Garde" w:hAnsi="ITC Avant Garde"/>
          <w:color w:val="C00000"/>
        </w:rPr>
        <w:t xml:space="preserve"> </w:t>
      </w:r>
      <w:r w:rsidR="0013756D" w:rsidRPr="002A2450">
        <w:rPr>
          <w:rFonts w:ascii="ITC Avant Garde" w:hAnsi="ITC Avant Garde"/>
        </w:rPr>
        <w:t xml:space="preserve">no reúnen los elementos para determinar que existía algún control a pesar de que pudiera determinarse algún tipo de poder derivado de </w:t>
      </w:r>
      <w:r w:rsidR="002D1219" w:rsidRPr="002A2450">
        <w:rPr>
          <w:rFonts w:ascii="ITC Avant Garde" w:hAnsi="ITC Avant Garde"/>
        </w:rPr>
        <w:t xml:space="preserve">dicha relación </w:t>
      </w:r>
      <w:r w:rsidR="0013756D" w:rsidRPr="002A2450">
        <w:rPr>
          <w:rFonts w:ascii="ITC Avant Garde" w:hAnsi="ITC Avant Garde"/>
        </w:rPr>
        <w:t>entre las Partes; no obstante la relación contractual que existe no se puede entender como el factor relativo a la capacidad de influir ejercida o que pudiera ejercer alguna de las partes.</w:t>
      </w:r>
      <w:r w:rsidRPr="002A2450">
        <w:rPr>
          <w:rFonts w:ascii="ITC Avant Garde" w:hAnsi="ITC Avant Garde"/>
        </w:rPr>
        <w:t xml:space="preserve"> </w:t>
      </w:r>
      <w:r w:rsidR="0013756D" w:rsidRPr="002A2450">
        <w:rPr>
          <w:rFonts w:ascii="ITC Avant Garde" w:hAnsi="ITC Avant Garde"/>
        </w:rPr>
        <w:t xml:space="preserve">La relación contractual de ninguna forma establece una relación de inversión y por ende ninguna de las partes ha obtenido ningún tipo de derechos sobre la otra parte para dirigir sus actividades relevantes, al estar las relaciones contractuales limitadas a aspectos comerciales, por lo que es claro que los acuerdos entre las partes no reúnen elementos para determinar algún control a pesar de que pudiera determinarse alguna injerencia derivada de </w:t>
      </w:r>
      <w:r w:rsidRPr="002A2450">
        <w:rPr>
          <w:rFonts w:ascii="ITC Avant Garde" w:hAnsi="ITC Avant Garde"/>
        </w:rPr>
        <w:t xml:space="preserve">los contratos. </w:t>
      </w:r>
      <w:r w:rsidR="0013756D" w:rsidRPr="002A2450">
        <w:rPr>
          <w:rFonts w:ascii="ITC Avant Garde" w:hAnsi="ITC Avant Garde"/>
        </w:rPr>
        <w:t xml:space="preserve">En el caso que se analiza, no existe actualmente ningún tipo de </w:t>
      </w:r>
      <w:r w:rsidR="0013756D" w:rsidRPr="002A2450">
        <w:rPr>
          <w:rFonts w:ascii="ITC Avant Garde" w:hAnsi="ITC Avant Garde"/>
        </w:rPr>
        <w:lastRenderedPageBreak/>
        <w:t xml:space="preserve">participación accionaría por parte de </w:t>
      </w:r>
      <w:r w:rsidRPr="002A2450">
        <w:rPr>
          <w:rFonts w:ascii="ITC Avant Garde" w:hAnsi="ITC Avant Garde"/>
          <w:b/>
        </w:rPr>
        <w:t>“TELMEX”</w:t>
      </w:r>
      <w:r w:rsidRPr="002A2450">
        <w:rPr>
          <w:rFonts w:ascii="ITC Avant Garde" w:hAnsi="ITC Avant Garde"/>
        </w:rPr>
        <w:t xml:space="preserve"> </w:t>
      </w:r>
      <w:r w:rsidR="0013756D" w:rsidRPr="002A2450">
        <w:rPr>
          <w:rFonts w:ascii="ITC Avant Garde" w:hAnsi="ITC Avant Garde"/>
        </w:rPr>
        <w:t xml:space="preserve">ni de </w:t>
      </w:r>
      <w:r w:rsidRPr="002A2450">
        <w:rPr>
          <w:rFonts w:ascii="ITC Avant Garde" w:hAnsi="ITC Avant Garde"/>
          <w:b/>
        </w:rPr>
        <w:t xml:space="preserve">“TENINVER” </w:t>
      </w:r>
      <w:r w:rsidR="0013756D" w:rsidRPr="002A2450">
        <w:rPr>
          <w:rFonts w:ascii="ITC Avant Garde" w:hAnsi="ITC Avant Garde"/>
        </w:rPr>
        <w:t xml:space="preserve">en </w:t>
      </w:r>
      <w:r w:rsidRPr="002A2450">
        <w:rPr>
          <w:rFonts w:ascii="ITC Avant Garde" w:hAnsi="ITC Avant Garde"/>
          <w:b/>
        </w:rPr>
        <w:t>“</w:t>
      </w:r>
      <w:r w:rsidR="0013756D" w:rsidRPr="002A2450">
        <w:rPr>
          <w:rFonts w:ascii="ITC Avant Garde" w:hAnsi="ITC Avant Garde"/>
          <w:b/>
        </w:rPr>
        <w:t>COFRESA</w:t>
      </w:r>
      <w:r w:rsidRPr="002A2450">
        <w:rPr>
          <w:rFonts w:ascii="ITC Avant Garde" w:hAnsi="ITC Avant Garde"/>
          <w:b/>
        </w:rPr>
        <w:t>”</w:t>
      </w:r>
      <w:r w:rsidR="0013756D" w:rsidRPr="002A2450">
        <w:rPr>
          <w:rFonts w:ascii="ITC Avant Garde" w:hAnsi="ITC Avant Garde"/>
        </w:rPr>
        <w:t xml:space="preserve">, por lo que no existe ninguna forma de control directo o indirecto de </w:t>
      </w:r>
      <w:r w:rsidR="007D16A9" w:rsidRPr="002A2450">
        <w:rPr>
          <w:rFonts w:ascii="ITC Avant Garde" w:hAnsi="ITC Avant Garde"/>
          <w:b/>
        </w:rPr>
        <w:t>“TELMEX”</w:t>
      </w:r>
      <w:r w:rsidR="0013756D" w:rsidRPr="002A2450">
        <w:rPr>
          <w:rFonts w:ascii="ITC Avant Garde" w:hAnsi="ITC Avant Garde"/>
        </w:rPr>
        <w:t xml:space="preserve"> y/o </w:t>
      </w:r>
      <w:r w:rsidR="007D16A9" w:rsidRPr="002A2450">
        <w:rPr>
          <w:rFonts w:ascii="ITC Avant Garde" w:hAnsi="ITC Avant Garde"/>
          <w:b/>
        </w:rPr>
        <w:t>“TENINVER”</w:t>
      </w:r>
      <w:r w:rsidR="0013756D" w:rsidRPr="002A2450">
        <w:rPr>
          <w:rFonts w:ascii="ITC Avant Garde" w:hAnsi="ITC Avant Garde"/>
        </w:rPr>
        <w:t xml:space="preserve"> en </w:t>
      </w:r>
      <w:r w:rsidR="007D16A9" w:rsidRPr="002A2450">
        <w:rPr>
          <w:rFonts w:ascii="ITC Avant Garde" w:hAnsi="ITC Avant Garde"/>
          <w:b/>
        </w:rPr>
        <w:t>“DISH MÉXICO”</w:t>
      </w:r>
      <w:r w:rsidR="0013756D" w:rsidRPr="002A2450">
        <w:rPr>
          <w:rFonts w:ascii="ITC Avant Garde" w:hAnsi="ITC Avant Garde"/>
        </w:rPr>
        <w:t xml:space="preserve">. </w:t>
      </w:r>
    </w:p>
    <w:p w14:paraId="483DCE50" w14:textId="77777777" w:rsidR="00B35F13" w:rsidRDefault="007D16A9"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b/>
        </w:rPr>
        <w:t xml:space="preserve">En lo que se refiere a </w:t>
      </w:r>
      <w:r w:rsidRPr="002A2450">
        <w:rPr>
          <w:rFonts w:ascii="ITC Avant Garde" w:hAnsi="ITC Avant Garde"/>
        </w:rPr>
        <w:t>si los contratos confieren control común o control conjunto para efecto de la NIIF-11 u otra norma financiera internacionalmente reconocida, el perito señala que l</w:t>
      </w:r>
      <w:r w:rsidR="0013756D" w:rsidRPr="002A2450">
        <w:rPr>
          <w:rFonts w:ascii="ITC Avant Garde" w:hAnsi="ITC Avant Garde"/>
        </w:rPr>
        <w:t>as obligaciones y derechos derivados de los contratos entre las partes no generan una relación de control conjunto; al no cumplir con las características de derecho a los activos y de las obligaciones con respecto a los pasivos, los cuales en esencia están enfocados en transacciones cuyo vínculo único es el comercial. Incluso los contratos de servicios enuncian aspectos de no exclusividad, no autoridad; asimismo, el contenido de los acuerdos no deberá inte</w:t>
      </w:r>
      <w:r w:rsidRPr="002A2450">
        <w:rPr>
          <w:rFonts w:ascii="ITC Avant Garde" w:hAnsi="ITC Avant Garde"/>
        </w:rPr>
        <w:t xml:space="preserve">rpretarse como una prohibición </w:t>
      </w:r>
      <w:r w:rsidR="0013756D" w:rsidRPr="002A2450">
        <w:rPr>
          <w:rFonts w:ascii="ITC Avant Garde" w:hAnsi="ITC Avant Garde"/>
        </w:rPr>
        <w:t>o limitación para las partes, y exclusivamente es indicado como beneficio derivado de la prestación de los servicios el derecho al cobro de una contraprestación.</w:t>
      </w:r>
      <w:r w:rsidRPr="002A2450">
        <w:rPr>
          <w:rFonts w:ascii="ITC Avant Garde" w:hAnsi="ITC Avant Garde"/>
        </w:rPr>
        <w:t xml:space="preserve"> </w:t>
      </w:r>
      <w:r w:rsidR="0013756D" w:rsidRPr="002A2450">
        <w:rPr>
          <w:rFonts w:ascii="ITC Avant Garde" w:hAnsi="ITC Avant Garde"/>
        </w:rPr>
        <w:t>Finalmente el contrato de opción de compra y venta si bien incluye aspectos que generarían un posible derecho de suscripción de una parte social de la compañía, el contrato de opción de compra y venta en conjunto con el contrato de consecuencias incluyen una serie de requisitos y limitaciones que dadas las circunstancias actuales de la industria, muestran una remota posibilidad para ejercerse.</w:t>
      </w:r>
    </w:p>
    <w:p w14:paraId="2DE9735A" w14:textId="77777777" w:rsidR="00B35F13" w:rsidRDefault="007D16A9"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rPr>
        <w:t xml:space="preserve">En lo que toca a si las conductas de </w:t>
      </w:r>
      <w:r w:rsidRPr="002A2450">
        <w:rPr>
          <w:rFonts w:ascii="ITC Avant Garde" w:hAnsi="ITC Avant Garde"/>
          <w:b/>
        </w:rPr>
        <w:t xml:space="preserve">“TELMEX” </w:t>
      </w:r>
      <w:r w:rsidRPr="002A2450">
        <w:rPr>
          <w:rFonts w:ascii="ITC Avant Garde" w:hAnsi="ITC Avant Garde"/>
        </w:rPr>
        <w:t xml:space="preserve">mencionadas en el oficio, tales como su asistencia a reuniones son actividades para efectos de la NIIF 10, se podrían considerar como una dirección de las actividades de </w:t>
      </w:r>
      <w:r w:rsidRPr="002A2450">
        <w:rPr>
          <w:rFonts w:ascii="ITC Avant Garde" w:hAnsi="ITC Avant Garde"/>
          <w:b/>
        </w:rPr>
        <w:t>“DISH MÉXICO”</w:t>
      </w:r>
      <w:r w:rsidRPr="002A2450">
        <w:rPr>
          <w:rFonts w:ascii="ITC Avant Garde" w:hAnsi="ITC Avant Garde"/>
        </w:rPr>
        <w:t xml:space="preserve"> que afectan de manera significativa a los retornos de la misma, el perito señala que l</w:t>
      </w:r>
      <w:r w:rsidR="0013756D" w:rsidRPr="002A2450">
        <w:rPr>
          <w:rFonts w:ascii="ITC Avant Garde" w:hAnsi="ITC Avant Garde"/>
        </w:rPr>
        <w:t xml:space="preserve">os acuerdos entre las Partes no reúnen los elementos para determinar que exista alguna relación directa o indirecta bajo los términos de entidades relacionadas, por lo que la normatividad citada para determinar el grado de injerencia de </w:t>
      </w:r>
      <w:r w:rsidRPr="002A2450">
        <w:rPr>
          <w:rFonts w:ascii="ITC Avant Garde" w:hAnsi="ITC Avant Garde"/>
          <w:b/>
        </w:rPr>
        <w:t xml:space="preserve">“TELMEX” </w:t>
      </w:r>
      <w:r w:rsidR="0013756D" w:rsidRPr="002A2450">
        <w:rPr>
          <w:rFonts w:ascii="ITC Avant Garde" w:hAnsi="ITC Avant Garde"/>
        </w:rPr>
        <w:t xml:space="preserve">sobre </w:t>
      </w:r>
      <w:r w:rsidRPr="002A2450">
        <w:rPr>
          <w:rFonts w:ascii="ITC Avant Garde" w:hAnsi="ITC Avant Garde"/>
          <w:b/>
        </w:rPr>
        <w:t>“DISH MÉXICO”</w:t>
      </w:r>
      <w:r w:rsidRPr="002A2450">
        <w:rPr>
          <w:rFonts w:ascii="ITC Avant Garde" w:hAnsi="ITC Avant Garde"/>
        </w:rPr>
        <w:t xml:space="preserve"> </w:t>
      </w:r>
      <w:r w:rsidR="0013756D" w:rsidRPr="002A2450">
        <w:rPr>
          <w:rFonts w:ascii="ITC Avant Garde" w:hAnsi="ITC Avant Garde"/>
        </w:rPr>
        <w:t>no califica como una actividad de control.</w:t>
      </w:r>
    </w:p>
    <w:p w14:paraId="0C6747F3" w14:textId="77777777" w:rsidR="00B35F13" w:rsidRDefault="007D16A9"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b/>
        </w:rPr>
        <w:lastRenderedPageBreak/>
        <w:t xml:space="preserve">En lo que se refiere a si </w:t>
      </w:r>
      <w:r w:rsidRPr="002A2450">
        <w:rPr>
          <w:rFonts w:ascii="ITC Avant Garde" w:hAnsi="ITC Avant Garde"/>
        </w:rPr>
        <w:t>bajo la NIC 28, las 28 o cua</w:t>
      </w:r>
      <w:r w:rsidR="00432E0D" w:rsidRPr="002A2450">
        <w:rPr>
          <w:rFonts w:ascii="ITC Avant Garde" w:hAnsi="ITC Avant Garde"/>
        </w:rPr>
        <w:t>lquier otra norma internacional,</w:t>
      </w:r>
      <w:r w:rsidR="008F718E" w:rsidRPr="002A2450">
        <w:rPr>
          <w:rFonts w:ascii="ITC Avant Garde" w:hAnsi="ITC Avant Garde"/>
          <w:color w:val="C00000"/>
        </w:rPr>
        <w:t xml:space="preserve"> </w:t>
      </w:r>
      <w:r w:rsidRPr="002A2450">
        <w:rPr>
          <w:rFonts w:ascii="ITC Avant Garde" w:hAnsi="ITC Avant Garde"/>
        </w:rPr>
        <w:t xml:space="preserve">los contratos confieren a </w:t>
      </w:r>
      <w:r w:rsidRPr="002A2450">
        <w:rPr>
          <w:rFonts w:ascii="ITC Avant Garde" w:hAnsi="ITC Avant Garde"/>
          <w:b/>
        </w:rPr>
        <w:t xml:space="preserve">“TELMEX” </w:t>
      </w:r>
      <w:r w:rsidRPr="002A2450">
        <w:rPr>
          <w:rFonts w:ascii="ITC Avant Garde" w:hAnsi="ITC Avant Garde"/>
        </w:rPr>
        <w:t xml:space="preserve">y/o a </w:t>
      </w:r>
      <w:r w:rsidRPr="002A2450">
        <w:rPr>
          <w:rFonts w:ascii="ITC Avant Garde" w:hAnsi="ITC Avant Garde"/>
          <w:b/>
        </w:rPr>
        <w:t xml:space="preserve">“TENINVER” </w:t>
      </w:r>
      <w:r w:rsidRPr="002A2450">
        <w:rPr>
          <w:rFonts w:ascii="ITC Avant Garde" w:hAnsi="ITC Avant Garde"/>
        </w:rPr>
        <w:t xml:space="preserve">influencia significativa en </w:t>
      </w:r>
      <w:r w:rsidRPr="002A2450">
        <w:rPr>
          <w:rFonts w:ascii="ITC Avant Garde" w:hAnsi="ITC Avant Garde"/>
          <w:b/>
        </w:rPr>
        <w:t>“DISH MÉXICO”</w:t>
      </w:r>
      <w:r w:rsidRPr="002A2450">
        <w:rPr>
          <w:rFonts w:ascii="ITC Avant Garde" w:hAnsi="ITC Avant Garde"/>
        </w:rPr>
        <w:t xml:space="preserve">, el perito señala que </w:t>
      </w:r>
      <w:r w:rsidR="00ED4087" w:rsidRPr="002A2450">
        <w:rPr>
          <w:rFonts w:ascii="ITC Avant Garde" w:hAnsi="ITC Avant Garde"/>
        </w:rPr>
        <w:t>l</w:t>
      </w:r>
      <w:r w:rsidR="0013756D" w:rsidRPr="002A2450">
        <w:rPr>
          <w:rFonts w:ascii="ITC Avant Garde" w:hAnsi="ITC Avant Garde"/>
        </w:rPr>
        <w:t xml:space="preserve">os acuerdos entre las Partes no reúnen los elementos y características para determinar que exista alguna relación directa o indirecta bajo los términos de una entidad asociada o participada, por lo que la normatividad citada para determinar el grado de influencia significativa de </w:t>
      </w:r>
      <w:r w:rsidR="00ED4087" w:rsidRPr="002A2450">
        <w:rPr>
          <w:rFonts w:ascii="ITC Avant Garde" w:hAnsi="ITC Avant Garde"/>
          <w:b/>
        </w:rPr>
        <w:t>“TELMEX”</w:t>
      </w:r>
      <w:r w:rsidR="008F718E" w:rsidRPr="002A2450">
        <w:rPr>
          <w:rFonts w:ascii="ITC Avant Garde" w:hAnsi="ITC Avant Garde"/>
          <w:b/>
          <w:color w:val="C00000"/>
        </w:rPr>
        <w:t xml:space="preserve"> </w:t>
      </w:r>
      <w:r w:rsidR="0013756D" w:rsidRPr="002A2450">
        <w:rPr>
          <w:rFonts w:ascii="ITC Avant Garde" w:hAnsi="ITC Avant Garde"/>
        </w:rPr>
        <w:t xml:space="preserve">sobre </w:t>
      </w:r>
      <w:r w:rsidR="00ED4087" w:rsidRPr="002A2450">
        <w:rPr>
          <w:rFonts w:ascii="ITC Avant Garde" w:hAnsi="ITC Avant Garde"/>
          <w:b/>
        </w:rPr>
        <w:t>“DISH MÉXICO”</w:t>
      </w:r>
      <w:r w:rsidR="00ED4087" w:rsidRPr="002A2450">
        <w:rPr>
          <w:rFonts w:ascii="ITC Avant Garde" w:hAnsi="ITC Avant Garde"/>
        </w:rPr>
        <w:t xml:space="preserve">, </w:t>
      </w:r>
      <w:r w:rsidR="0013756D" w:rsidRPr="002A2450">
        <w:rPr>
          <w:rFonts w:ascii="ITC Avant Garde" w:hAnsi="ITC Avant Garde"/>
        </w:rPr>
        <w:t>no es aplicable y de ninguna forma se trata de una inversión asociada.</w:t>
      </w:r>
      <w:r w:rsidR="0013756D" w:rsidRPr="002A2450">
        <w:rPr>
          <w:rFonts w:ascii="ITC Avant Garde" w:hAnsi="ITC Avant Garde"/>
          <w:b/>
        </w:rPr>
        <w:t xml:space="preserve"> </w:t>
      </w:r>
      <w:r w:rsidR="0013756D" w:rsidRPr="002A2450">
        <w:rPr>
          <w:rFonts w:ascii="ITC Avant Garde" w:hAnsi="ITC Avant Garde"/>
        </w:rPr>
        <w:t>No se pueden considerar como derechos de votos potenciales ejercitables o convertibles aquellos que no pueden ser ejercidos hasta una fecha futura o haya ocurrido un suceso futuro.</w:t>
      </w:r>
    </w:p>
    <w:p w14:paraId="3C9FFC79" w14:textId="77777777" w:rsidR="00B35F13" w:rsidRDefault="00ED4087"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b/>
        </w:rPr>
        <w:t xml:space="preserve">Por lo que hace a </w:t>
      </w:r>
      <w:r w:rsidRPr="002A2450">
        <w:rPr>
          <w:rFonts w:ascii="ITC Avant Garde" w:hAnsi="ITC Avant Garde"/>
        </w:rPr>
        <w:t>si bajo las normas internacionales de información financiera, las supuestas "</w:t>
      </w:r>
      <w:r w:rsidRPr="002A2450">
        <w:rPr>
          <w:rFonts w:ascii="ITC Avant Garde" w:hAnsi="ITC Avant Garde"/>
          <w:i/>
        </w:rPr>
        <w:t>aportaciones</w:t>
      </w:r>
      <w:r w:rsidRPr="002A2450">
        <w:rPr>
          <w:rFonts w:ascii="ITC Avant Garde" w:hAnsi="ITC Avant Garde"/>
        </w:rPr>
        <w:t xml:space="preserve">" de </w:t>
      </w:r>
      <w:r w:rsidRPr="002A2450">
        <w:rPr>
          <w:rFonts w:ascii="ITC Avant Garde" w:hAnsi="ITC Avant Garde"/>
          <w:b/>
        </w:rPr>
        <w:t>“TELMEX”</w:t>
      </w:r>
      <w:r w:rsidRPr="002A2450">
        <w:rPr>
          <w:rFonts w:ascii="ITC Avant Garde" w:hAnsi="ITC Avant Garde"/>
        </w:rPr>
        <w:t>, mencionadas en el oficio debieron registrarse como aportaciones de capital, el perito señala que n</w:t>
      </w:r>
      <w:r w:rsidR="0013756D" w:rsidRPr="002A2450">
        <w:rPr>
          <w:rFonts w:ascii="ITC Avant Garde" w:hAnsi="ITC Avant Garde"/>
        </w:rPr>
        <w:t>o guarda ningún tipo de relación con transacciones comerciales, como las que se derivan de los contratos entre las Partes.</w:t>
      </w:r>
    </w:p>
    <w:p w14:paraId="4AD2DDB6" w14:textId="77777777" w:rsidR="00B35F13" w:rsidRDefault="00ED4087" w:rsidP="007E623E">
      <w:pPr>
        <w:pStyle w:val="Prrafodelista"/>
        <w:numPr>
          <w:ilvl w:val="0"/>
          <w:numId w:val="42"/>
        </w:numPr>
        <w:spacing w:before="240" w:line="360" w:lineRule="auto"/>
        <w:ind w:left="567" w:hanging="567"/>
        <w:jc w:val="both"/>
        <w:rPr>
          <w:rFonts w:ascii="ITC Avant Garde" w:hAnsi="ITC Avant Garde"/>
        </w:rPr>
      </w:pPr>
      <w:r w:rsidRPr="002A2450">
        <w:rPr>
          <w:rFonts w:ascii="ITC Avant Garde" w:hAnsi="ITC Avant Garde"/>
          <w:b/>
        </w:rPr>
        <w:t>En cuanto a si</w:t>
      </w:r>
      <w:r w:rsidRPr="002A2450">
        <w:rPr>
          <w:rFonts w:ascii="ITC Avant Garde" w:hAnsi="ITC Avant Garde"/>
        </w:rPr>
        <w:t xml:space="preserve"> bajo las normas internacionales. de información financiera, la opción de suscripción prevista en los contratos de opción, debe registrarse como si se hubiese ejercido desde noviembre de dos mil ocho el perito señala que l</w:t>
      </w:r>
      <w:r w:rsidR="0013756D" w:rsidRPr="002A2450">
        <w:rPr>
          <w:rFonts w:ascii="ITC Avant Garde" w:hAnsi="ITC Avant Garde"/>
        </w:rPr>
        <w:t xml:space="preserve">a Opción </w:t>
      </w:r>
      <w:r w:rsidR="002D1219" w:rsidRPr="002A2450">
        <w:rPr>
          <w:rFonts w:ascii="ITC Avant Garde" w:hAnsi="ITC Avant Garde"/>
        </w:rPr>
        <w:t xml:space="preserve">de </w:t>
      </w:r>
      <w:r w:rsidR="0013756D" w:rsidRPr="002A2450">
        <w:rPr>
          <w:rFonts w:ascii="ITC Avant Garde" w:hAnsi="ITC Avant Garde"/>
        </w:rPr>
        <w:t>Compra no cumple con las características para ser clasificada como un instrumento financiero, ya que el ejercicio de la misma está limitado al cumplimiento de condiciones específicas relacionadas con las autorizaciones gubernamentales respectivas lo cual limita la existencia de un instrumento per se.</w:t>
      </w:r>
    </w:p>
    <w:p w14:paraId="3BFD9D5A" w14:textId="77777777" w:rsidR="00B35F13" w:rsidRDefault="00ED4087" w:rsidP="00B35F13">
      <w:pPr>
        <w:spacing w:before="240" w:line="360" w:lineRule="auto"/>
        <w:jc w:val="both"/>
        <w:rPr>
          <w:rFonts w:ascii="ITC Avant Garde" w:hAnsi="ITC Avant Garde"/>
        </w:rPr>
      </w:pPr>
      <w:r w:rsidRPr="002A2450">
        <w:rPr>
          <w:rFonts w:ascii="ITC Avant Garde" w:hAnsi="ITC Avant Garde"/>
        </w:rPr>
        <w:t xml:space="preserve">Con base en lo anterior, puede resumirse que el perito de </w:t>
      </w:r>
      <w:r w:rsidRPr="002A2450">
        <w:rPr>
          <w:rFonts w:ascii="ITC Avant Garde" w:hAnsi="ITC Avant Garde"/>
          <w:b/>
        </w:rPr>
        <w:t>“TELMEX”</w:t>
      </w:r>
      <w:r w:rsidRPr="002A2450">
        <w:rPr>
          <w:rFonts w:ascii="ITC Avant Garde" w:hAnsi="ITC Avant Garde"/>
        </w:rPr>
        <w:t xml:space="preserve"> en materia de contabilidad destaca lo siguiente:</w:t>
      </w:r>
    </w:p>
    <w:p w14:paraId="53B6FC83" w14:textId="77777777" w:rsidR="00B35F13" w:rsidRDefault="00ED4087"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Los contratos refieren a una serie de transacciones económicas en las que hay derechos y obligaciones que pueden derivar en la creación de activos y pasivos los cuales no apuntan una relación que cree vínculos corporativos </w:t>
      </w:r>
      <w:r w:rsidRPr="002A2450">
        <w:rPr>
          <w:rFonts w:ascii="ITC Avant Garde" w:hAnsi="ITC Avant Garde"/>
        </w:rPr>
        <w:lastRenderedPageBreak/>
        <w:t xml:space="preserve">ya que sin bien afectan su capital contable, </w:t>
      </w:r>
      <w:r w:rsidRPr="002A2450">
        <w:rPr>
          <w:rFonts w:ascii="ITC Avant Garde" w:hAnsi="ITC Avant Garde"/>
          <w:b/>
          <w:u w:val="single"/>
        </w:rPr>
        <w:t>dicha relación adquiere otros matices por</w:t>
      </w:r>
      <w:r w:rsidR="002D1219" w:rsidRPr="002A2450">
        <w:rPr>
          <w:rFonts w:ascii="ITC Avant Garde" w:hAnsi="ITC Avant Garde"/>
          <w:b/>
          <w:u w:val="single"/>
        </w:rPr>
        <w:t xml:space="preserve"> su</w:t>
      </w:r>
      <w:r w:rsidRPr="002A2450">
        <w:rPr>
          <w:rFonts w:ascii="ITC Avant Garde" w:hAnsi="ITC Avant Garde"/>
          <w:b/>
          <w:u w:val="single"/>
        </w:rPr>
        <w:t xml:space="preserve"> naturaleza compleja</w:t>
      </w:r>
      <w:r w:rsidRPr="002A2450">
        <w:rPr>
          <w:rFonts w:ascii="ITC Avant Garde" w:hAnsi="ITC Avant Garde"/>
          <w:b/>
        </w:rPr>
        <w:t>.</w:t>
      </w:r>
    </w:p>
    <w:p w14:paraId="22816EFE" w14:textId="77777777" w:rsidR="00B35F13" w:rsidRDefault="00ED4087"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cuanto al control, de acuerdo a normatividad, este concepto tendría que asociarse a las acciones con derecho a voto, sin embargo </w:t>
      </w:r>
      <w:r w:rsidR="002A1B30" w:rsidRPr="002A2450">
        <w:rPr>
          <w:rFonts w:ascii="ITC Avant Garde" w:hAnsi="ITC Avant Garde"/>
        </w:rPr>
        <w:t xml:space="preserve">la NIIF B-8 “Estados Financieros Consolidados o Combinados” ha ampliado su concepto para permitir </w:t>
      </w:r>
      <w:r w:rsidR="002A1B30" w:rsidRPr="002A2450">
        <w:rPr>
          <w:rFonts w:ascii="ITC Avant Garde" w:hAnsi="ITC Avant Garde"/>
          <w:b/>
          <w:u w:val="single"/>
        </w:rPr>
        <w:t>la existencia de otros acuerdos contractuales que otorguen poder sobre la participada u otros factores como el grado de involucramiento, dónde se requiere que la capacidad de dirigir actividades relevantes</w:t>
      </w:r>
      <w:r w:rsidR="002A1B30" w:rsidRPr="002A2450">
        <w:rPr>
          <w:rFonts w:ascii="ITC Avant Garde" w:hAnsi="ITC Avant Garde"/>
        </w:rPr>
        <w:t xml:space="preserve">, sin embargo, el perito señala que ninguno de los contratos actualiza los supuestos mencionados al considerar que </w:t>
      </w:r>
      <w:r w:rsidR="002A1B30" w:rsidRPr="002A2450">
        <w:rPr>
          <w:rFonts w:ascii="ITC Avant Garde" w:hAnsi="ITC Avant Garde"/>
          <w:b/>
        </w:rPr>
        <w:t>“TELMEX”</w:t>
      </w:r>
      <w:r w:rsidR="002A1B30" w:rsidRPr="002A2450">
        <w:rPr>
          <w:rFonts w:ascii="ITC Avant Garde" w:hAnsi="ITC Avant Garde"/>
        </w:rPr>
        <w:t xml:space="preserve"> no ha colocado inversión alguna puesto que no recibe rendimientos.</w:t>
      </w:r>
    </w:p>
    <w:p w14:paraId="3FAC320A" w14:textId="77777777" w:rsidR="00B35F13" w:rsidRDefault="002A1B30" w:rsidP="00B35F13">
      <w:pPr>
        <w:pStyle w:val="Prrafodelista"/>
        <w:spacing w:before="240" w:line="360" w:lineRule="auto"/>
        <w:jc w:val="both"/>
        <w:rPr>
          <w:rFonts w:ascii="ITC Avant Garde" w:hAnsi="ITC Avant Garde"/>
        </w:rPr>
      </w:pPr>
      <w:r w:rsidRPr="002A2450">
        <w:rPr>
          <w:rFonts w:ascii="ITC Avant Garde" w:hAnsi="ITC Avant Garde"/>
        </w:rPr>
        <w:t>Sin embargo, establece que de acuerdo a la NIF C-21 “Acuerdos de Control Conjunto”, un vehículo para ejercer el control debe ser caracterizada mediante un contrato o convenio en el cual las partes se obligan y otorga</w:t>
      </w:r>
      <w:r w:rsidR="002D1219" w:rsidRPr="002A2450">
        <w:rPr>
          <w:rFonts w:ascii="ITC Avant Garde" w:hAnsi="ITC Avant Garde"/>
        </w:rPr>
        <w:t>n</w:t>
      </w:r>
      <w:r w:rsidRPr="002A2450">
        <w:rPr>
          <w:rFonts w:ascii="ITC Avant Garde" w:hAnsi="ITC Avant Garde"/>
        </w:rPr>
        <w:t xml:space="preserve"> el poder sobre actividades relevantes.</w:t>
      </w:r>
    </w:p>
    <w:p w14:paraId="7E15C5B6" w14:textId="77777777" w:rsidR="00B35F13" w:rsidRDefault="002A1B30" w:rsidP="00B35F13">
      <w:pPr>
        <w:pStyle w:val="Prrafodelista"/>
        <w:spacing w:before="240" w:line="360" w:lineRule="auto"/>
        <w:jc w:val="both"/>
        <w:rPr>
          <w:rFonts w:ascii="ITC Avant Garde" w:hAnsi="ITC Avant Garde"/>
        </w:rPr>
      </w:pPr>
      <w:r w:rsidRPr="002A2450">
        <w:rPr>
          <w:rFonts w:ascii="ITC Avant Garde" w:hAnsi="ITC Avant Garde"/>
        </w:rPr>
        <w:t>En ese sentido, considera que el contrato de consecuencias no es un vehículo de control ya que no constituye prohibiciones para que las partes realicen distintos tipos de transacciones inherentes a su actividad de negocios cotidiana.</w:t>
      </w:r>
    </w:p>
    <w:p w14:paraId="7F1D3CBD" w14:textId="77777777" w:rsidR="00B35F13" w:rsidRDefault="002A1B30"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cuanto a las reuniones, para efectos de la normatividad contable, considera que </w:t>
      </w:r>
      <w:r w:rsidRPr="002A2450">
        <w:rPr>
          <w:rFonts w:ascii="ITC Avant Garde" w:hAnsi="ITC Avant Garde"/>
          <w:b/>
        </w:rPr>
        <w:t>“TELMEX”</w:t>
      </w:r>
      <w:r w:rsidRPr="002A2450">
        <w:rPr>
          <w:rFonts w:ascii="ITC Avant Garde" w:hAnsi="ITC Avant Garde"/>
        </w:rPr>
        <w:t xml:space="preserve"> no tiene poder para dirigir actividades relevantes de </w:t>
      </w:r>
      <w:r w:rsidRPr="002A2450">
        <w:rPr>
          <w:rFonts w:ascii="ITC Avant Garde" w:hAnsi="ITC Avant Garde"/>
          <w:b/>
        </w:rPr>
        <w:t xml:space="preserve">“DISH MÉXICO” </w:t>
      </w:r>
      <w:r w:rsidRPr="002A2450">
        <w:rPr>
          <w:rFonts w:ascii="ITC Avant Garde" w:hAnsi="ITC Avant Garde"/>
        </w:rPr>
        <w:t xml:space="preserve">por lo que no se puede presumir que dichas conductas puedan considerarse de control o dirección sobre las actividades de </w:t>
      </w:r>
      <w:r w:rsidRPr="002A2450">
        <w:rPr>
          <w:rFonts w:ascii="ITC Avant Garde" w:hAnsi="ITC Avant Garde"/>
          <w:b/>
        </w:rPr>
        <w:t>“DISH MÉXICO”.</w:t>
      </w:r>
    </w:p>
    <w:p w14:paraId="447CE082" w14:textId="77777777" w:rsidR="00B35F13" w:rsidRDefault="002A1B30" w:rsidP="00B35F13">
      <w:pPr>
        <w:pStyle w:val="Prrafodelista"/>
        <w:spacing w:before="240" w:line="360" w:lineRule="auto"/>
        <w:jc w:val="both"/>
        <w:rPr>
          <w:rFonts w:ascii="ITC Avant Garde" w:hAnsi="ITC Avant Garde"/>
        </w:rPr>
      </w:pPr>
      <w:r w:rsidRPr="002A2450">
        <w:rPr>
          <w:rFonts w:ascii="ITC Avant Garde" w:hAnsi="ITC Avant Garde"/>
        </w:rPr>
        <w:t xml:space="preserve">Asimismo considera que no hay influencia significativa puesto que ni </w:t>
      </w:r>
      <w:r w:rsidRPr="002A2450">
        <w:rPr>
          <w:rFonts w:ascii="ITC Avant Garde" w:hAnsi="ITC Avant Garde"/>
          <w:b/>
        </w:rPr>
        <w:t>“TELMEX”</w:t>
      </w:r>
      <w:r w:rsidRPr="002A2450">
        <w:rPr>
          <w:rFonts w:ascii="ITC Avant Garde" w:hAnsi="ITC Avant Garde"/>
        </w:rPr>
        <w:t xml:space="preserve"> ni </w:t>
      </w:r>
      <w:r w:rsidRPr="002A2450">
        <w:rPr>
          <w:rFonts w:ascii="ITC Avant Garde" w:hAnsi="ITC Avant Garde"/>
          <w:b/>
        </w:rPr>
        <w:t>“TENINVER”</w:t>
      </w:r>
      <w:r w:rsidRPr="002A2450">
        <w:rPr>
          <w:rFonts w:ascii="ITC Avant Garde" w:hAnsi="ITC Avant Garde"/>
        </w:rPr>
        <w:t xml:space="preserve"> son accionistas dado que dependen del ejercicio de opción respectivo.</w:t>
      </w:r>
    </w:p>
    <w:p w14:paraId="5C36A38F" w14:textId="77777777" w:rsidR="00B35F13" w:rsidRDefault="0093108B" w:rsidP="00B35F13">
      <w:pPr>
        <w:pStyle w:val="Prrafodelista"/>
        <w:spacing w:before="240" w:line="360" w:lineRule="auto"/>
        <w:jc w:val="both"/>
        <w:rPr>
          <w:rFonts w:ascii="ITC Avant Garde" w:hAnsi="ITC Avant Garde"/>
        </w:rPr>
      </w:pPr>
      <w:r w:rsidRPr="002A2450">
        <w:rPr>
          <w:rFonts w:ascii="ITC Avant Garde" w:hAnsi="ITC Avant Garde"/>
        </w:rPr>
        <w:t xml:space="preserve">Asimismo, el perito no desconoce que en una relación contractual puede ser tan diversa como contratos y tipos existan, por lo que debería estar </w:t>
      </w:r>
      <w:r w:rsidRPr="002A2450">
        <w:rPr>
          <w:rFonts w:ascii="ITC Avant Garde" w:hAnsi="ITC Avant Garde"/>
        </w:rPr>
        <w:lastRenderedPageBreak/>
        <w:t>especificado en el clausulado, elementos que le den el control de una empresa sobre otra</w:t>
      </w:r>
    </w:p>
    <w:p w14:paraId="694027B7" w14:textId="77777777" w:rsidR="00B35F13" w:rsidRDefault="002D1219"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En cuant</w:t>
      </w:r>
      <w:r w:rsidR="0093108B" w:rsidRPr="002A2450">
        <w:rPr>
          <w:rFonts w:ascii="ITC Avant Garde" w:hAnsi="ITC Avant Garde"/>
        </w:rPr>
        <w:t>o a la opción, como un pasivo, instrumento financiero o algún otro elemento financiero dentro de los libros contables</w:t>
      </w:r>
      <w:r w:rsidRPr="002A2450">
        <w:rPr>
          <w:rFonts w:ascii="ITC Avant Garde" w:hAnsi="ITC Avant Garde"/>
        </w:rPr>
        <w:t>,</w:t>
      </w:r>
      <w:r w:rsidR="0093108B" w:rsidRPr="002A2450">
        <w:rPr>
          <w:rFonts w:ascii="ITC Avant Garde" w:hAnsi="ITC Avant Garde"/>
        </w:rPr>
        <w:t xml:space="preserve"> </w:t>
      </w:r>
      <w:r w:rsidRPr="002A2450">
        <w:rPr>
          <w:rFonts w:ascii="ITC Avant Garde" w:hAnsi="ITC Avant Garde"/>
        </w:rPr>
        <w:t xml:space="preserve">la </w:t>
      </w:r>
      <w:r w:rsidR="0093108B" w:rsidRPr="002A2450">
        <w:rPr>
          <w:rFonts w:ascii="ITC Avant Garde" w:hAnsi="ITC Avant Garde"/>
        </w:rPr>
        <w:t>normatividad señala que la opción no cuadra en los supuestos y características de instrumentos derivados al tener incertidumbre.</w:t>
      </w:r>
    </w:p>
    <w:p w14:paraId="0DCC3701" w14:textId="77777777" w:rsidR="00B35F13" w:rsidRDefault="0093108B" w:rsidP="00B35F13">
      <w:pPr>
        <w:pStyle w:val="Prrafodelista"/>
        <w:spacing w:before="240" w:line="360" w:lineRule="auto"/>
        <w:jc w:val="both"/>
        <w:rPr>
          <w:rFonts w:ascii="ITC Avant Garde" w:hAnsi="ITC Avant Garde"/>
        </w:rPr>
      </w:pPr>
      <w:r w:rsidRPr="002A2450">
        <w:rPr>
          <w:rFonts w:ascii="ITC Avant Garde" w:hAnsi="ITC Avant Garde"/>
        </w:rPr>
        <w:t>Aunado a lo anterior, señala que la opción no puede ni debe clasificarse, registrarse y revelarse como transacciones exigibles, así como que tampoco es válido el reconocimiento de la opción de compra para reconocerla como instrumentos financieros derivados.</w:t>
      </w:r>
    </w:p>
    <w:p w14:paraId="7CCBCD92" w14:textId="77777777" w:rsidR="00B35F13" w:rsidRDefault="0093108B" w:rsidP="00B35F13">
      <w:pPr>
        <w:pStyle w:val="Prrafodelista"/>
        <w:spacing w:before="240" w:line="360" w:lineRule="auto"/>
        <w:jc w:val="both"/>
        <w:rPr>
          <w:rFonts w:ascii="ITC Avant Garde" w:hAnsi="ITC Avant Garde"/>
        </w:rPr>
      </w:pPr>
      <w:r w:rsidRPr="002A2450">
        <w:rPr>
          <w:rFonts w:ascii="ITC Avant Garde" w:hAnsi="ITC Avant Garde"/>
        </w:rPr>
        <w:t>En ese sentido, el ejercicio de la opción y su realización está a expensas de la autoridad, por lo que existe un límite a los derechos potenciales de voto y no puede considerarse un derecho sustantivo</w:t>
      </w:r>
      <w:r w:rsidR="00A932BC" w:rsidRPr="002A2450">
        <w:rPr>
          <w:rFonts w:ascii="ITC Avant Garde" w:hAnsi="ITC Avant Garde"/>
        </w:rPr>
        <w:t>.</w:t>
      </w:r>
    </w:p>
    <w:p w14:paraId="0AE93E3D" w14:textId="77777777" w:rsidR="00B35F13" w:rsidRDefault="00A932BC" w:rsidP="00B35F13">
      <w:pPr>
        <w:pStyle w:val="Prrafodelista"/>
        <w:spacing w:before="240" w:line="360" w:lineRule="auto"/>
        <w:jc w:val="both"/>
        <w:rPr>
          <w:rFonts w:ascii="ITC Avant Garde" w:hAnsi="ITC Avant Garde"/>
        </w:rPr>
      </w:pPr>
      <w:r w:rsidRPr="002A2450">
        <w:rPr>
          <w:rFonts w:ascii="ITC Avant Garde" w:hAnsi="ITC Avant Garde"/>
        </w:rPr>
        <w:t xml:space="preserve">Aunado a lo anterior, determina que el contrato de opción al ser incierto de acuerdo a la normatividad contable, el sólo hecho de que exista un contrato de un instrumento financiero derivado, no implica que se tengan elementos para presumir que existe una </w:t>
      </w:r>
      <w:proofErr w:type="spellStart"/>
      <w:r w:rsidRPr="002A2450">
        <w:rPr>
          <w:rFonts w:ascii="ITC Avant Garde" w:hAnsi="ITC Avant Garde"/>
        </w:rPr>
        <w:t>devengación</w:t>
      </w:r>
      <w:proofErr w:type="spellEnd"/>
      <w:r w:rsidRPr="002A2450">
        <w:rPr>
          <w:rFonts w:ascii="ITC Avant Garde" w:hAnsi="ITC Avant Garde"/>
        </w:rPr>
        <w:t xml:space="preserve"> desde el punto de vista contable, así como que en materia de instrumentos financieros derivados es requisito </w:t>
      </w:r>
      <w:r w:rsidRPr="002A2450">
        <w:rPr>
          <w:rFonts w:ascii="ITC Avant Garde" w:hAnsi="ITC Avant Garde"/>
          <w:i/>
        </w:rPr>
        <w:t>sine qua non</w:t>
      </w:r>
      <w:r w:rsidRPr="002A2450">
        <w:rPr>
          <w:rFonts w:ascii="ITC Avant Garde" w:hAnsi="ITC Avant Garde"/>
        </w:rPr>
        <w:t xml:space="preserve"> que para que </w:t>
      </w:r>
      <w:r w:rsidR="002D1219" w:rsidRPr="002A2450">
        <w:rPr>
          <w:rFonts w:ascii="ITC Avant Garde" w:hAnsi="ITC Avant Garde"/>
        </w:rPr>
        <w:t xml:space="preserve">un </w:t>
      </w:r>
      <w:r w:rsidRPr="002A2450">
        <w:rPr>
          <w:rFonts w:ascii="ITC Avant Garde" w:hAnsi="ITC Avant Garde"/>
        </w:rPr>
        <w:t xml:space="preserve">instrumento financiero </w:t>
      </w:r>
      <w:r w:rsidR="002D1219" w:rsidRPr="002A2450">
        <w:rPr>
          <w:rFonts w:ascii="ITC Avant Garde" w:hAnsi="ITC Avant Garde"/>
        </w:rPr>
        <w:t xml:space="preserve">se considere </w:t>
      </w:r>
      <w:r w:rsidRPr="002A2450">
        <w:rPr>
          <w:rFonts w:ascii="ITC Avant Garde" w:hAnsi="ITC Avant Garde"/>
        </w:rPr>
        <w:t>como derivado</w:t>
      </w:r>
      <w:r w:rsidR="002D1219" w:rsidRPr="002A2450">
        <w:rPr>
          <w:rFonts w:ascii="ITC Avant Garde" w:hAnsi="ITC Avant Garde"/>
        </w:rPr>
        <w:t>,</w:t>
      </w:r>
      <w:r w:rsidRPr="002A2450">
        <w:rPr>
          <w:rFonts w:ascii="ITC Avant Garde" w:hAnsi="ITC Avant Garde"/>
        </w:rPr>
        <w:t xml:space="preserve"> es que tenga o permita una liquidación neta.</w:t>
      </w:r>
    </w:p>
    <w:p w14:paraId="3508B1D9" w14:textId="77777777" w:rsidR="00B35F13" w:rsidRDefault="0093108B"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lo que se refiere a las supuestas aportaciones de </w:t>
      </w:r>
      <w:r w:rsidRPr="002A2450">
        <w:rPr>
          <w:rFonts w:ascii="ITC Avant Garde" w:hAnsi="ITC Avant Garde"/>
          <w:b/>
        </w:rPr>
        <w:t xml:space="preserve">“TELMEX” </w:t>
      </w:r>
      <w:r w:rsidRPr="002A2450">
        <w:rPr>
          <w:rFonts w:ascii="ITC Avant Garde" w:hAnsi="ITC Avant Garde"/>
        </w:rPr>
        <w:t xml:space="preserve">(en el contrato de arrendamiento) </w:t>
      </w:r>
      <w:r w:rsidR="002D1219" w:rsidRPr="002A2450">
        <w:rPr>
          <w:rFonts w:ascii="ITC Avant Garde" w:hAnsi="ITC Avant Garde"/>
        </w:rPr>
        <w:t xml:space="preserve">señala que se trata de </w:t>
      </w:r>
      <w:r w:rsidRPr="002A2450">
        <w:rPr>
          <w:rFonts w:ascii="ITC Avant Garde" w:hAnsi="ITC Avant Garde"/>
        </w:rPr>
        <w:t xml:space="preserve">una transacción comercial de compra-venta que no tiene fundamentos para tratarse como una aportación a capital en alguna entidad, máxime que no se establece la suscripción de acciones al recibir el ingreso de la </w:t>
      </w:r>
      <w:r w:rsidR="008C4AFF" w:rsidRPr="002A2450">
        <w:rPr>
          <w:rFonts w:ascii="ITC Avant Garde" w:hAnsi="ITC Avant Garde"/>
        </w:rPr>
        <w:t>contraprestación</w:t>
      </w:r>
      <w:r w:rsidRPr="002A2450">
        <w:rPr>
          <w:rFonts w:ascii="ITC Avant Garde" w:hAnsi="ITC Avant Garde"/>
        </w:rPr>
        <w:t>.</w:t>
      </w:r>
    </w:p>
    <w:p w14:paraId="4FD4482C" w14:textId="77777777" w:rsidR="00B35F13" w:rsidRDefault="00432E0D" w:rsidP="00B35F13">
      <w:pPr>
        <w:pStyle w:val="Prrafodelista"/>
        <w:spacing w:before="240" w:line="360" w:lineRule="auto"/>
        <w:jc w:val="both"/>
        <w:rPr>
          <w:rFonts w:ascii="ITC Avant Garde" w:hAnsi="ITC Avant Garde"/>
        </w:rPr>
      </w:pPr>
      <w:r w:rsidRPr="002A2450">
        <w:rPr>
          <w:rFonts w:ascii="ITC Avant Garde" w:hAnsi="ITC Avant Garde"/>
        </w:rPr>
        <w:t xml:space="preserve">Al respecto, el perito señala que las supuestas </w:t>
      </w:r>
      <w:r w:rsidRPr="002A2450">
        <w:rPr>
          <w:rFonts w:ascii="ITC Avant Garde" w:hAnsi="ITC Avant Garde"/>
          <w:i/>
        </w:rPr>
        <w:t xml:space="preserve">aportaciones </w:t>
      </w:r>
      <w:r w:rsidRPr="002A2450">
        <w:rPr>
          <w:rFonts w:ascii="ITC Avant Garde" w:hAnsi="ITC Avant Garde"/>
        </w:rPr>
        <w:t xml:space="preserve">no </w:t>
      </w:r>
      <w:r w:rsidR="002D1219" w:rsidRPr="002A2450">
        <w:rPr>
          <w:rFonts w:ascii="ITC Avant Garde" w:hAnsi="ITC Avant Garde"/>
        </w:rPr>
        <w:t>guardan</w:t>
      </w:r>
      <w:r w:rsidRPr="002A2450">
        <w:rPr>
          <w:rFonts w:ascii="ITC Avant Garde" w:hAnsi="ITC Avant Garde"/>
        </w:rPr>
        <w:t xml:space="preserve"> ningún tipo de relación con transacciones comerciales, como las que se derivan de los contratos entre las Partes por lo que no debieron registrarse como aportaciones al capital.</w:t>
      </w:r>
    </w:p>
    <w:p w14:paraId="711F391C" w14:textId="77777777" w:rsidR="00B35F13" w:rsidRDefault="008C4AFF"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lastRenderedPageBreak/>
        <w:t>Por lo que hace a la unidad económica cuando no existe participación accionaria</w:t>
      </w:r>
      <w:r w:rsidR="002D1219" w:rsidRPr="002A2450">
        <w:rPr>
          <w:rFonts w:ascii="ITC Avant Garde" w:hAnsi="ITC Avant Garde"/>
        </w:rPr>
        <w:t>,</w:t>
      </w:r>
      <w:r w:rsidRPr="002A2450">
        <w:rPr>
          <w:rFonts w:ascii="ITC Avant Garde" w:hAnsi="ITC Avant Garde"/>
        </w:rPr>
        <w:t xml:space="preserve"> el perito considera que no puede existir ya que necesita ser inversionista, que tenga el control de la misma, por lo que de no existir estas no es posible habla</w:t>
      </w:r>
      <w:r w:rsidR="00A932BC" w:rsidRPr="002A2450">
        <w:rPr>
          <w:rFonts w:ascii="ITC Avant Garde" w:hAnsi="ITC Avant Garde"/>
        </w:rPr>
        <w:t>r</w:t>
      </w:r>
      <w:r w:rsidRPr="002A2450">
        <w:rPr>
          <w:rFonts w:ascii="ITC Avant Garde" w:hAnsi="ITC Avant Garde"/>
        </w:rPr>
        <w:t xml:space="preserve"> de una unidad económica.</w:t>
      </w:r>
    </w:p>
    <w:p w14:paraId="600F25B2" w14:textId="77777777" w:rsidR="00B35F13" w:rsidRDefault="00A932BC"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En cuanto a si los contratos configuran un</w:t>
      </w:r>
      <w:r w:rsidR="002D1219" w:rsidRPr="002A2450">
        <w:rPr>
          <w:rFonts w:ascii="ITC Avant Garde" w:hAnsi="ITC Avant Garde"/>
        </w:rPr>
        <w:t>a</w:t>
      </w:r>
      <w:r w:rsidRPr="002A2450">
        <w:rPr>
          <w:rFonts w:ascii="ITC Avant Garde" w:hAnsi="ITC Avant Garde"/>
        </w:rPr>
        <w:t xml:space="preserve"> concentración</w:t>
      </w:r>
      <w:r w:rsidR="002D1219" w:rsidRPr="002A2450">
        <w:rPr>
          <w:rFonts w:ascii="ITC Avant Garde" w:hAnsi="ITC Avant Garde"/>
        </w:rPr>
        <w:t>,</w:t>
      </w:r>
      <w:r w:rsidRPr="002A2450">
        <w:rPr>
          <w:rFonts w:ascii="ITC Avant Garde" w:hAnsi="ITC Avant Garde"/>
        </w:rPr>
        <w:t xml:space="preserve"> el perito señala que la misma queda fuera del marco normativo de la contabilidad, sin embargo, considera que la combinación de negocios es una adquisición que requiere el método de adquisición, donde la combinación de negocios es entendida como una transacción u otro suceso en el que una adquirente obtiene el control de uno o más negocios que se denominan "verdaderas fusiones" o "fusiones entre iguales", por lo que es claro que las operaciones derivadas de los Contratos analizados no corresponden a adquisiciones de activos o corrientes adquiridas para su posterior venta.</w:t>
      </w:r>
    </w:p>
    <w:p w14:paraId="0F7A54AA" w14:textId="77777777" w:rsidR="00B35F13" w:rsidRDefault="00A932BC" w:rsidP="00B35F13">
      <w:pPr>
        <w:pStyle w:val="Prrafodelista"/>
        <w:spacing w:before="240" w:line="360" w:lineRule="auto"/>
        <w:jc w:val="both"/>
        <w:rPr>
          <w:rFonts w:ascii="ITC Avant Garde" w:hAnsi="ITC Avant Garde"/>
        </w:rPr>
      </w:pPr>
      <w:r w:rsidRPr="002A2450">
        <w:rPr>
          <w:rFonts w:ascii="ITC Avant Garde" w:hAnsi="ITC Avant Garde"/>
        </w:rPr>
        <w:t>Asimismo, señala que los contratos no reúnen los elementos bajo la normatividad financiera</w:t>
      </w:r>
      <w:r w:rsidR="00432E0D" w:rsidRPr="002A2450">
        <w:rPr>
          <w:rFonts w:ascii="ITC Avant Garde" w:hAnsi="ITC Avant Garde"/>
        </w:rPr>
        <w:t xml:space="preserve"> que </w:t>
      </w:r>
      <w:r w:rsidR="002D1219" w:rsidRPr="002A2450">
        <w:rPr>
          <w:rFonts w:ascii="ITC Avant Garde" w:hAnsi="ITC Avant Garde"/>
        </w:rPr>
        <w:t xml:space="preserve">determinen la existencia de </w:t>
      </w:r>
      <w:r w:rsidR="00432E0D" w:rsidRPr="002A2450">
        <w:rPr>
          <w:rFonts w:ascii="ITC Avant Garde" w:hAnsi="ITC Avant Garde"/>
        </w:rPr>
        <w:t xml:space="preserve">un control a pesar de que pudiese determinarse algún tipo de poder derivado de </w:t>
      </w:r>
      <w:r w:rsidR="002D1219" w:rsidRPr="002A2450">
        <w:rPr>
          <w:rFonts w:ascii="ITC Avant Garde" w:hAnsi="ITC Avant Garde"/>
        </w:rPr>
        <w:t xml:space="preserve">la relación </w:t>
      </w:r>
      <w:r w:rsidR="00432E0D" w:rsidRPr="002A2450">
        <w:rPr>
          <w:rFonts w:ascii="ITC Avant Garde" w:hAnsi="ITC Avant Garde"/>
        </w:rPr>
        <w:t>entre las partes.</w:t>
      </w:r>
    </w:p>
    <w:p w14:paraId="440B8F7B" w14:textId="77777777" w:rsidR="00B35F13" w:rsidRDefault="00432E0D" w:rsidP="00B35F13">
      <w:pPr>
        <w:pStyle w:val="Prrafodelista"/>
        <w:spacing w:before="240" w:line="360" w:lineRule="auto"/>
        <w:jc w:val="both"/>
        <w:rPr>
          <w:rFonts w:ascii="ITC Avant Garde" w:hAnsi="ITC Avant Garde"/>
        </w:rPr>
      </w:pPr>
      <w:r w:rsidRPr="002A2450">
        <w:rPr>
          <w:rFonts w:ascii="ITC Avant Garde" w:hAnsi="ITC Avant Garde"/>
        </w:rPr>
        <w:t>Ahora bien, señala que las obligaciones y derechos derivados de los contratos entre las partes</w:t>
      </w:r>
      <w:r w:rsidR="002D1219" w:rsidRPr="002A2450">
        <w:rPr>
          <w:rFonts w:ascii="ITC Avant Garde" w:hAnsi="ITC Avant Garde"/>
        </w:rPr>
        <w:t>,</w:t>
      </w:r>
      <w:r w:rsidRPr="002A2450">
        <w:rPr>
          <w:rFonts w:ascii="ITC Avant Garde" w:hAnsi="ITC Avant Garde"/>
        </w:rPr>
        <w:t xml:space="preserve"> no generan una relación de control conjunto al no cumplir con las características de derecho a los activos y de las obligaciones con respecto a los pasivos.</w:t>
      </w:r>
    </w:p>
    <w:p w14:paraId="3F8F83F7" w14:textId="77777777" w:rsidR="00B35F13" w:rsidRDefault="00432E0D"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En cuanto se refiere a las reuniones sostenidas a la luz de la normatividad contable considera que las mismas no reúnen los elementos para determinar que exista alguna relación directa o indirecta bajo los términos de entidades relacionadas.</w:t>
      </w:r>
    </w:p>
    <w:p w14:paraId="7C2DAE4D" w14:textId="77777777" w:rsidR="00B35F13" w:rsidRDefault="00432E0D" w:rsidP="00B35F13">
      <w:pPr>
        <w:pStyle w:val="Prrafodelista"/>
        <w:spacing w:before="240" w:line="360" w:lineRule="auto"/>
        <w:jc w:val="both"/>
        <w:rPr>
          <w:rFonts w:ascii="ITC Avant Garde" w:hAnsi="ITC Avant Garde"/>
        </w:rPr>
      </w:pPr>
      <w:r w:rsidRPr="002A2450">
        <w:rPr>
          <w:rFonts w:ascii="ITC Avant Garde" w:hAnsi="ITC Avant Garde"/>
        </w:rPr>
        <w:t xml:space="preserve">Aunado a lo anterior, considera que tampoco existe una </w:t>
      </w:r>
      <w:r w:rsidR="00624569" w:rsidRPr="002A2450">
        <w:rPr>
          <w:rFonts w:ascii="ITC Avant Garde" w:hAnsi="ITC Avant Garde"/>
        </w:rPr>
        <w:t>influencia</w:t>
      </w:r>
      <w:r w:rsidRPr="002A2450">
        <w:rPr>
          <w:rFonts w:ascii="ITC Avant Garde" w:hAnsi="ITC Avant Garde"/>
        </w:rPr>
        <w:t xml:space="preserve"> significativa por lo que la normatividad citada para determinar el grado de influencia significativa de </w:t>
      </w:r>
      <w:r w:rsidRPr="002A2450">
        <w:rPr>
          <w:rFonts w:ascii="ITC Avant Garde" w:hAnsi="ITC Avant Garde"/>
          <w:b/>
        </w:rPr>
        <w:t>“TELMEX”</w:t>
      </w:r>
      <w:r w:rsidRPr="002A2450">
        <w:rPr>
          <w:rFonts w:ascii="ITC Avant Garde" w:hAnsi="ITC Avant Garde"/>
        </w:rPr>
        <w:t xml:space="preserve"> sobre </w:t>
      </w:r>
      <w:r w:rsidRPr="002A2450">
        <w:rPr>
          <w:rFonts w:ascii="ITC Avant Garde" w:hAnsi="ITC Avant Garde"/>
          <w:b/>
        </w:rPr>
        <w:t>“DISH MÉXICO”</w:t>
      </w:r>
      <w:r w:rsidRPr="002A2450">
        <w:rPr>
          <w:rFonts w:ascii="ITC Avant Garde" w:hAnsi="ITC Avant Garde"/>
        </w:rPr>
        <w:t>, no es aplicable y de ninguna forma se trata de una inversión asociada.</w:t>
      </w:r>
      <w:r w:rsidRPr="002A2450">
        <w:rPr>
          <w:rFonts w:ascii="ITC Avant Garde" w:hAnsi="ITC Avant Garde"/>
          <w:b/>
        </w:rPr>
        <w:t xml:space="preserve"> </w:t>
      </w:r>
      <w:r w:rsidRPr="002A2450">
        <w:rPr>
          <w:rFonts w:ascii="ITC Avant Garde" w:hAnsi="ITC Avant Garde"/>
        </w:rPr>
        <w:t xml:space="preserve">No se pueden considerar como derechos de votos potenciales ejercitables o convertibles </w:t>
      </w:r>
      <w:r w:rsidRPr="002A2450">
        <w:rPr>
          <w:rFonts w:ascii="ITC Avant Garde" w:hAnsi="ITC Avant Garde"/>
        </w:rPr>
        <w:lastRenderedPageBreak/>
        <w:t xml:space="preserve">aquellos que no pueden ser ejercidos hasta una fecha futura o </w:t>
      </w:r>
      <w:r w:rsidR="002D1219" w:rsidRPr="002A2450">
        <w:rPr>
          <w:rFonts w:ascii="ITC Avant Garde" w:hAnsi="ITC Avant Garde"/>
        </w:rPr>
        <w:t xml:space="preserve">que </w:t>
      </w:r>
      <w:r w:rsidRPr="002A2450">
        <w:rPr>
          <w:rFonts w:ascii="ITC Avant Garde" w:hAnsi="ITC Avant Garde"/>
        </w:rPr>
        <w:t>haya ocurrido un suceso futuro</w:t>
      </w:r>
      <w:r w:rsidR="00624569" w:rsidRPr="002A2450">
        <w:rPr>
          <w:rFonts w:ascii="ITC Avant Garde" w:hAnsi="ITC Avant Garde"/>
        </w:rPr>
        <w:t>.</w:t>
      </w:r>
    </w:p>
    <w:p w14:paraId="22D8CF94" w14:textId="77777777" w:rsidR="00B35F13" w:rsidRDefault="00432E0D" w:rsidP="00B35F13">
      <w:pPr>
        <w:spacing w:before="240" w:line="360" w:lineRule="auto"/>
        <w:jc w:val="both"/>
        <w:rPr>
          <w:rFonts w:ascii="ITC Avant Garde" w:hAnsi="ITC Avant Garde"/>
        </w:rPr>
      </w:pPr>
      <w:r w:rsidRPr="002A2450">
        <w:rPr>
          <w:rFonts w:ascii="ITC Avant Garde" w:hAnsi="ITC Avant Garde"/>
        </w:rPr>
        <w:t>Ahora bien, en cuanto a las respuestas formuladas por el perito designado por esta autoridad se observa lo siguiente:</w:t>
      </w:r>
    </w:p>
    <w:p w14:paraId="0679AF0E" w14:textId="77777777" w:rsidR="00B35F13" w:rsidRDefault="00595C37"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cuanto a si</w:t>
      </w:r>
      <w:r w:rsidR="008F718E" w:rsidRPr="002A2450">
        <w:rPr>
          <w:rFonts w:ascii="ITC Avant Garde" w:hAnsi="ITC Avant Garde"/>
          <w:b/>
          <w:color w:val="C00000"/>
        </w:rPr>
        <w:t xml:space="preserve"> </w:t>
      </w:r>
      <w:r w:rsidRPr="002A2450">
        <w:rPr>
          <w:rFonts w:ascii="ITC Avant Garde" w:hAnsi="ITC Avant Garde"/>
        </w:rPr>
        <w:t>bajo</w:t>
      </w:r>
      <w:r w:rsidR="008F718E" w:rsidRPr="002A2450">
        <w:rPr>
          <w:rFonts w:ascii="ITC Avant Garde" w:hAnsi="ITC Avant Garde"/>
          <w:color w:val="C00000"/>
        </w:rPr>
        <w:t xml:space="preserve"> </w:t>
      </w:r>
      <w:r w:rsidRPr="002A2450">
        <w:rPr>
          <w:rFonts w:ascii="ITC Avant Garde" w:hAnsi="ITC Avant Garde"/>
        </w:rPr>
        <w:t>la</w:t>
      </w:r>
      <w:r w:rsidR="008F718E" w:rsidRPr="002A2450">
        <w:rPr>
          <w:rFonts w:ascii="ITC Avant Garde" w:hAnsi="ITC Avant Garde"/>
          <w:color w:val="C00000"/>
        </w:rPr>
        <w:t xml:space="preserve"> </w:t>
      </w:r>
      <w:r w:rsidRPr="002A2450">
        <w:rPr>
          <w:rFonts w:ascii="ITC Avant Garde" w:hAnsi="ITC Avant Garde"/>
        </w:rPr>
        <w:t xml:space="preserve"> normatividad</w:t>
      </w:r>
      <w:r w:rsidR="008F718E" w:rsidRPr="002A2450">
        <w:rPr>
          <w:rFonts w:ascii="ITC Avant Garde" w:hAnsi="ITC Avant Garde"/>
          <w:color w:val="C00000"/>
        </w:rPr>
        <w:t xml:space="preserve"> </w:t>
      </w:r>
      <w:r w:rsidRPr="002A2450">
        <w:rPr>
          <w:rFonts w:ascii="ITC Avant Garde" w:hAnsi="ITC Avant Garde"/>
        </w:rPr>
        <w:t>contable los efectos</w:t>
      </w:r>
      <w:r w:rsidR="008F718E" w:rsidRPr="002A2450">
        <w:rPr>
          <w:rFonts w:ascii="ITC Avant Garde" w:hAnsi="ITC Avant Garde"/>
          <w:color w:val="C00000"/>
        </w:rPr>
        <w:t xml:space="preserve"> </w:t>
      </w:r>
      <w:r w:rsidRPr="002A2450">
        <w:rPr>
          <w:rFonts w:ascii="ITC Avant Garde" w:hAnsi="ITC Avant Garde"/>
        </w:rPr>
        <w:t>derivados de</w:t>
      </w:r>
      <w:r w:rsidR="008F718E" w:rsidRPr="002A2450">
        <w:rPr>
          <w:rFonts w:ascii="ITC Avant Garde" w:hAnsi="ITC Avant Garde"/>
          <w:color w:val="C00000"/>
        </w:rPr>
        <w:t xml:space="preserve"> </w:t>
      </w:r>
      <w:r w:rsidRPr="002A2450">
        <w:rPr>
          <w:rFonts w:ascii="ITC Avant Garde" w:hAnsi="ITC Avant Garde"/>
        </w:rPr>
        <w:t>los contratos generan elementos que permitan determinar la existencia de vínculos financieros o corporativos entre las partes diferentes</w:t>
      </w:r>
      <w:r w:rsidR="008F718E" w:rsidRPr="002A2450">
        <w:rPr>
          <w:rFonts w:ascii="ITC Avant Garde" w:hAnsi="ITC Avant Garde"/>
          <w:color w:val="C00000"/>
        </w:rPr>
        <w:t xml:space="preserve"> </w:t>
      </w:r>
      <w:r w:rsidRPr="002A2450">
        <w:rPr>
          <w:rFonts w:ascii="ITC Avant Garde" w:hAnsi="ITC Avant Garde"/>
        </w:rPr>
        <w:t xml:space="preserve">a las operaciones de cliente proveedor, el perito señala que: i) de los contratos de prestación de servicios, arrendamiento y distribución, atendiendo al postulado básico de "sustancia económica", que obliga a la captación de la esencia económica en la delimitación y operación del sistema de información contable, </w:t>
      </w:r>
      <w:r w:rsidRPr="002A2450">
        <w:rPr>
          <w:rFonts w:ascii="ITC Avant Garde" w:hAnsi="ITC Avant Garde"/>
          <w:b/>
          <w:u w:val="single"/>
        </w:rPr>
        <w:t>se advierte que regulan transacciones comerciales que originan vínculos financieros no corporativos, derechos y obligaciones a las partes y que derivan en operaciones de cliente proveedor</w:t>
      </w:r>
      <w:r w:rsidRPr="002A2450">
        <w:rPr>
          <w:rFonts w:ascii="ITC Avant Garde" w:hAnsi="ITC Avant Garde"/>
        </w:rPr>
        <w:t xml:space="preserve">; ii) del contrato de opción de compra y venta y del contrato de consecuencias, </w:t>
      </w:r>
      <w:r w:rsidRPr="002A2450">
        <w:rPr>
          <w:rFonts w:ascii="ITC Avant Garde" w:hAnsi="ITC Avant Garde"/>
          <w:b/>
          <w:u w:val="single"/>
        </w:rPr>
        <w:t>no se advierte en los mismos la regulación de transacciones comerciales que originen vínculos que deriven en operaciones de cliente proveedor,</w:t>
      </w:r>
      <w:r w:rsidRPr="002A2450">
        <w:rPr>
          <w:rFonts w:ascii="ITC Avant Garde" w:hAnsi="ITC Avant Garde"/>
        </w:rPr>
        <w:t xml:space="preserve"> regulan </w:t>
      </w:r>
      <w:r w:rsidRPr="002A2450">
        <w:rPr>
          <w:rFonts w:ascii="ITC Avant Garde" w:hAnsi="ITC Avant Garde"/>
          <w:b/>
          <w:u w:val="single"/>
        </w:rPr>
        <w:t>operaciones a futuro que generarían vínculos corporativos</w:t>
      </w:r>
      <w:r w:rsidRPr="002A2450">
        <w:rPr>
          <w:rFonts w:ascii="ITC Avant Garde" w:hAnsi="ITC Avant Garde"/>
        </w:rPr>
        <w:t xml:space="preserve"> entre las partes, a través de una opción de suscripción en el capital de una de ellas si se llegasen a presentar ciertos eventos futuros y con compromisos a participar en negocios también futuros; iii) se advierte la creación de vínculos corporativos entre las partes que celebraron el contrato de operaciones y se hace mención en un </w:t>
      </w:r>
      <w:r w:rsidRPr="002A2450">
        <w:rPr>
          <w:rFonts w:ascii="ITC Avant Garde" w:hAnsi="ITC Avant Garde"/>
          <w:b/>
          <w:u w:val="single"/>
        </w:rPr>
        <w:t>considerando que negociaron una alianza comercial estratégica con “TELMEX”</w:t>
      </w:r>
      <w:r w:rsidRPr="002A2450">
        <w:rPr>
          <w:rFonts w:ascii="ITC Avant Garde" w:hAnsi="ITC Avant Garde"/>
          <w:b/>
        </w:rPr>
        <w:t xml:space="preserve"> </w:t>
      </w:r>
      <w:r w:rsidRPr="002A2450">
        <w:rPr>
          <w:rFonts w:ascii="ITC Avant Garde" w:hAnsi="ITC Avant Garde"/>
        </w:rPr>
        <w:t xml:space="preserve">y/o sus afiliadas que permita desarrollar y explotar efectivamente el negocio </w:t>
      </w:r>
      <w:r w:rsidR="000A68C4" w:rsidRPr="002A2450">
        <w:rPr>
          <w:rFonts w:ascii="ITC Avant Garde" w:hAnsi="ITC Avant Garde"/>
          <w:b/>
        </w:rPr>
        <w:t>“DTH”</w:t>
      </w:r>
      <w:r w:rsidRPr="002A2450">
        <w:rPr>
          <w:rFonts w:ascii="ITC Avant Garde" w:hAnsi="ITC Avant Garde"/>
        </w:rPr>
        <w:t xml:space="preserve"> en México, y iv)</w:t>
      </w:r>
      <w:r w:rsidR="008F718E" w:rsidRPr="002A2450">
        <w:rPr>
          <w:rFonts w:ascii="ITC Avant Garde" w:hAnsi="ITC Avant Garde"/>
          <w:color w:val="C00000"/>
        </w:rPr>
        <w:t xml:space="preserve"> </w:t>
      </w:r>
      <w:r w:rsidRPr="002A2450">
        <w:rPr>
          <w:rFonts w:ascii="ITC Avant Garde" w:hAnsi="ITC Avant Garde"/>
        </w:rPr>
        <w:t xml:space="preserve">del convenio entre socios a celebrarse entre </w:t>
      </w:r>
      <w:r w:rsidRPr="002A2450">
        <w:rPr>
          <w:rFonts w:ascii="ITC Avant Garde" w:hAnsi="ITC Avant Garde"/>
          <w:b/>
        </w:rPr>
        <w:t xml:space="preserve">“DISH MÉXICO” </w:t>
      </w:r>
      <w:r w:rsidRPr="002A2450">
        <w:rPr>
          <w:rFonts w:ascii="ITC Avant Garde" w:hAnsi="ITC Avant Garde"/>
        </w:rPr>
        <w:t xml:space="preserve">y </w:t>
      </w:r>
      <w:r w:rsidRPr="002A2450">
        <w:rPr>
          <w:rFonts w:ascii="ITC Avant Garde" w:hAnsi="ITC Avant Garde"/>
          <w:b/>
        </w:rPr>
        <w:t xml:space="preserve">“TENINVER” </w:t>
      </w:r>
      <w:r w:rsidRPr="002A2450">
        <w:rPr>
          <w:rFonts w:ascii="ITC Avant Garde" w:hAnsi="ITC Avant Garde"/>
        </w:rPr>
        <w:t xml:space="preserve">se advierte que éste debía celebrarse </w:t>
      </w:r>
      <w:r w:rsidRPr="002A2450">
        <w:rPr>
          <w:rFonts w:ascii="ITC Avant Garde" w:hAnsi="ITC Avant Garde"/>
          <w:b/>
          <w:u w:val="single"/>
        </w:rPr>
        <w:t xml:space="preserve">en caso de que se ejercieran cualquiera de las opciones para regular y limitar ciertos derechos relativos a las partes sociales de “DISH MÉXICO”, limitar la transmisión </w:t>
      </w:r>
      <w:r w:rsidRPr="002A2450">
        <w:rPr>
          <w:rFonts w:ascii="ITC Avant Garde" w:hAnsi="ITC Avant Garde"/>
          <w:b/>
          <w:u w:val="single"/>
        </w:rPr>
        <w:lastRenderedPageBreak/>
        <w:t>de las mismas y acordar la administración consistente y uniforme de dicha empresa conforme a lo estipulado en el propio convenio</w:t>
      </w:r>
      <w:r w:rsidRPr="002A2450">
        <w:rPr>
          <w:rFonts w:ascii="ITC Avant Garde" w:hAnsi="ITC Avant Garde"/>
        </w:rPr>
        <w:t>.</w:t>
      </w:r>
    </w:p>
    <w:p w14:paraId="1F84DD9B" w14:textId="77777777" w:rsidR="00B35F13" w:rsidRDefault="00595C37"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hace a si los contratos otorgan a </w:t>
      </w:r>
      <w:r w:rsidRPr="002A2450">
        <w:rPr>
          <w:rFonts w:ascii="ITC Avant Garde" w:hAnsi="ITC Avant Garde"/>
          <w:b/>
        </w:rPr>
        <w:t xml:space="preserve">“TELMEX” </w:t>
      </w:r>
      <w:r w:rsidRPr="002A2450">
        <w:rPr>
          <w:rFonts w:ascii="ITC Avant Garde" w:hAnsi="ITC Avant Garde"/>
        </w:rPr>
        <w:t xml:space="preserve">el control de </w:t>
      </w:r>
      <w:r w:rsidRPr="002A2450">
        <w:rPr>
          <w:rFonts w:ascii="ITC Avant Garde" w:hAnsi="ITC Avant Garde"/>
          <w:b/>
        </w:rPr>
        <w:t xml:space="preserve">“DISH MÉXICO” </w:t>
      </w:r>
      <w:r w:rsidRPr="002A2450">
        <w:rPr>
          <w:rFonts w:ascii="ITC Avant Garde" w:hAnsi="ITC Avant Garde"/>
        </w:rPr>
        <w:t xml:space="preserve">conforme a normatividad contable, </w:t>
      </w:r>
      <w:r w:rsidR="00624569" w:rsidRPr="002A2450">
        <w:rPr>
          <w:rFonts w:ascii="ITC Avant Garde" w:hAnsi="ITC Avant Garde"/>
        </w:rPr>
        <w:t xml:space="preserve">el perito señala que </w:t>
      </w:r>
      <w:r w:rsidRPr="002A2450">
        <w:rPr>
          <w:rFonts w:ascii="ITC Avant Garde" w:hAnsi="ITC Avant Garde"/>
        </w:rPr>
        <w:t>el contrato de prestación de servicios, arrendamiento y distribución regulan transacciones comerciales y en su caso la forma de supervisar las operaciones pactadas, pero en ningún momento se definen ni acuerdan la realización de inversiones permanentes que permitan tener participación accionaría de una empresa sobre la otra.</w:t>
      </w:r>
      <w:r w:rsidR="00624569" w:rsidRPr="002A2450">
        <w:rPr>
          <w:rFonts w:ascii="ITC Avant Garde" w:hAnsi="ITC Avant Garde"/>
        </w:rPr>
        <w:t xml:space="preserve"> E</w:t>
      </w:r>
      <w:r w:rsidRPr="002A2450">
        <w:rPr>
          <w:rFonts w:ascii="ITC Avant Garde" w:hAnsi="ITC Avant Garde"/>
        </w:rPr>
        <w:t xml:space="preserve">l contrato de opción de compra y venta y el contrato de consecuencias, regulan operaciones que a futuro generarían vínculos corporativos entre las partes a través de una opción de suscripción en el capital de una de ellas. </w:t>
      </w:r>
      <w:r w:rsidR="00624569" w:rsidRPr="002A2450">
        <w:rPr>
          <w:rFonts w:ascii="ITC Avant Garde" w:hAnsi="ITC Avant Garde"/>
        </w:rPr>
        <w:t>E</w:t>
      </w:r>
      <w:r w:rsidRPr="002A2450">
        <w:rPr>
          <w:rFonts w:ascii="ITC Avant Garde" w:hAnsi="ITC Avant Garde"/>
        </w:rPr>
        <w:t xml:space="preserve">n el supuesto de que en el futuro se ejercieran las opciones, </w:t>
      </w:r>
      <w:r w:rsidR="00624569" w:rsidRPr="002A2450">
        <w:rPr>
          <w:rFonts w:ascii="ITC Avant Garde" w:hAnsi="ITC Avant Garde"/>
          <w:b/>
        </w:rPr>
        <w:t xml:space="preserve">“DISH MÉXICO” </w:t>
      </w:r>
      <w:r w:rsidRPr="002A2450">
        <w:rPr>
          <w:rFonts w:ascii="ITC Avant Garde" w:hAnsi="ITC Avant Garde"/>
        </w:rPr>
        <w:t xml:space="preserve">estaría obligado a vender y </w:t>
      </w:r>
      <w:r w:rsidR="00624569" w:rsidRPr="002A2450">
        <w:rPr>
          <w:rFonts w:ascii="ITC Avant Garde" w:hAnsi="ITC Avant Garde"/>
          <w:b/>
        </w:rPr>
        <w:t>“TENINVER”</w:t>
      </w:r>
      <w:r w:rsidRPr="002A2450">
        <w:rPr>
          <w:rFonts w:ascii="ITC Avant Garde" w:hAnsi="ITC Avant Garde"/>
        </w:rPr>
        <w:t xml:space="preserve"> tendría la obligación de pagar las acciones, sin embargo, al no consumarse las opciones dichos</w:t>
      </w:r>
      <w:r w:rsidR="00624569" w:rsidRPr="002A2450">
        <w:rPr>
          <w:rFonts w:ascii="ITC Avant Garde" w:hAnsi="ITC Avant Garde"/>
        </w:rPr>
        <w:t xml:space="preserve"> </w:t>
      </w:r>
      <w:r w:rsidRPr="002A2450">
        <w:rPr>
          <w:rFonts w:ascii="ITC Avant Garde" w:hAnsi="ITC Avant Garde"/>
        </w:rPr>
        <w:t>contratos no tienen efecto</w:t>
      </w:r>
      <w:r w:rsidR="00E37167" w:rsidRPr="002A2450">
        <w:rPr>
          <w:rFonts w:ascii="ITC Avant Garde" w:hAnsi="ITC Avant Garde"/>
        </w:rPr>
        <w:t xml:space="preserve"> conforme a la normatividad contable.</w:t>
      </w:r>
    </w:p>
    <w:p w14:paraId="08F42B43" w14:textId="77777777" w:rsidR="00B35F13" w:rsidRDefault="00624569"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se hace a </w:t>
      </w:r>
      <w:r w:rsidR="00595C37" w:rsidRPr="002A2450">
        <w:rPr>
          <w:rFonts w:ascii="ITC Avant Garde" w:hAnsi="ITC Avant Garde"/>
        </w:rPr>
        <w:t>si los contratos confieren control conjunto para efectos de la normatividad contable</w:t>
      </w:r>
      <w:r w:rsidRPr="002A2450">
        <w:rPr>
          <w:rFonts w:ascii="ITC Avant Garde" w:hAnsi="ITC Avant Garde"/>
        </w:rPr>
        <w:t>, el perito señaló que: i) e</w:t>
      </w:r>
      <w:r w:rsidR="00595C37" w:rsidRPr="002A2450">
        <w:rPr>
          <w:rFonts w:ascii="ITC Avant Garde" w:hAnsi="ITC Avant Garde"/>
        </w:rPr>
        <w:t>l contrato de prestación de servicios, arrendamiento y distribución, regulan transacciones comerciales y en su caso, la forma de supervisar las operaciones pactadas</w:t>
      </w:r>
      <w:r w:rsidRPr="002A2450">
        <w:rPr>
          <w:rFonts w:ascii="ITC Avant Garde" w:hAnsi="ITC Avant Garde"/>
        </w:rPr>
        <w:t xml:space="preserve">, pero </w:t>
      </w:r>
      <w:r w:rsidR="00595C37" w:rsidRPr="002A2450">
        <w:rPr>
          <w:rFonts w:ascii="ITC Avant Garde" w:hAnsi="ITC Avant Garde"/>
        </w:rPr>
        <w:t>en ningún momento se define ni acuerda la realización de inversiones permanentes que permitan tener participación accionaría de una empresa sobre la otra</w:t>
      </w:r>
      <w:r w:rsidR="00E37167" w:rsidRPr="002A2450">
        <w:rPr>
          <w:rFonts w:ascii="ITC Avant Garde" w:hAnsi="ITC Avant Garde"/>
        </w:rPr>
        <w:t>,</w:t>
      </w:r>
      <w:r w:rsidRPr="002A2450">
        <w:rPr>
          <w:rFonts w:ascii="ITC Avant Garde" w:hAnsi="ITC Avant Garde"/>
        </w:rPr>
        <w:t xml:space="preserve"> ii) </w:t>
      </w:r>
      <w:r w:rsidR="00595C37" w:rsidRPr="002A2450">
        <w:rPr>
          <w:rFonts w:ascii="ITC Avant Garde" w:hAnsi="ITC Avant Garde"/>
        </w:rPr>
        <w:t>el contrato de opción de compra y venta y el contrato de consecuencias, regulan operaciones que a futuro generarían vínculos corporativos entre las partes a través de una opción de suscripción en el capital de una de ellas</w:t>
      </w:r>
      <w:r w:rsidR="00E37167" w:rsidRPr="002A2450">
        <w:rPr>
          <w:rFonts w:ascii="ITC Avant Garde" w:hAnsi="ITC Avant Garde"/>
        </w:rPr>
        <w:t xml:space="preserve">. </w:t>
      </w:r>
      <w:r w:rsidR="00AF228E" w:rsidRPr="002A2450">
        <w:rPr>
          <w:rFonts w:ascii="ITC Avant Garde" w:hAnsi="ITC Avant Garde"/>
        </w:rPr>
        <w:t>E</w:t>
      </w:r>
      <w:r w:rsidR="00595C37" w:rsidRPr="002A2450">
        <w:rPr>
          <w:rFonts w:ascii="ITC Avant Garde" w:hAnsi="ITC Avant Garde"/>
        </w:rPr>
        <w:t>n el supuesto de que en el futuro se ejercieran las opciones,</w:t>
      </w:r>
      <w:r w:rsidR="00AF228E" w:rsidRPr="002A2450">
        <w:rPr>
          <w:rFonts w:ascii="ITC Avant Garde" w:hAnsi="ITC Avant Garde"/>
          <w:b/>
        </w:rPr>
        <w:t xml:space="preserve"> “DISH MÉXICO” </w:t>
      </w:r>
      <w:r w:rsidR="00595C37" w:rsidRPr="002A2450">
        <w:rPr>
          <w:rFonts w:ascii="ITC Avant Garde" w:hAnsi="ITC Avant Garde"/>
        </w:rPr>
        <w:t xml:space="preserve">estaría obligado a vender y </w:t>
      </w:r>
      <w:r w:rsidR="00AF228E" w:rsidRPr="002A2450">
        <w:rPr>
          <w:rFonts w:ascii="ITC Avant Garde" w:hAnsi="ITC Avant Garde"/>
          <w:b/>
        </w:rPr>
        <w:t>“TENINVER”</w:t>
      </w:r>
      <w:r w:rsidR="00595C37" w:rsidRPr="002A2450">
        <w:rPr>
          <w:rFonts w:ascii="ITC Avant Garde" w:hAnsi="ITC Avant Garde"/>
        </w:rPr>
        <w:t xml:space="preserve"> tendría la obligación de pagar las acciones, sin embargo, al no consumarse las opciones di</w:t>
      </w:r>
      <w:r w:rsidR="00AF228E" w:rsidRPr="002A2450">
        <w:rPr>
          <w:rFonts w:ascii="ITC Avant Garde" w:hAnsi="ITC Avant Garde"/>
        </w:rPr>
        <w:t>chos contratos no tienen efecto</w:t>
      </w:r>
      <w:r w:rsidR="00E37167" w:rsidRPr="002A2450">
        <w:rPr>
          <w:rFonts w:ascii="ITC Avant Garde" w:hAnsi="ITC Avant Garde"/>
        </w:rPr>
        <w:t xml:space="preserve"> conforme a la normatividad contable</w:t>
      </w:r>
      <w:r w:rsidR="00AF228E" w:rsidRPr="002A2450">
        <w:rPr>
          <w:rFonts w:ascii="ITC Avant Garde" w:hAnsi="ITC Avant Garde"/>
        </w:rPr>
        <w:t xml:space="preserve">; iii) </w:t>
      </w:r>
      <w:r w:rsidR="00595C37" w:rsidRPr="002A2450">
        <w:rPr>
          <w:rFonts w:ascii="ITC Avant Garde" w:hAnsi="ITC Avant Garde"/>
        </w:rPr>
        <w:t xml:space="preserve">en el contrato de operaciones, ni </w:t>
      </w:r>
      <w:r w:rsidR="00AF228E" w:rsidRPr="002A2450">
        <w:rPr>
          <w:rFonts w:ascii="ITC Avant Garde" w:hAnsi="ITC Avant Garde"/>
          <w:b/>
        </w:rPr>
        <w:t>“TELMEX”</w:t>
      </w:r>
      <w:r w:rsidR="00595C37" w:rsidRPr="002A2450">
        <w:rPr>
          <w:rFonts w:ascii="ITC Avant Garde" w:hAnsi="ITC Avant Garde"/>
        </w:rPr>
        <w:t xml:space="preserve"> ni </w:t>
      </w:r>
      <w:r w:rsidR="00AF228E" w:rsidRPr="002A2450">
        <w:rPr>
          <w:rFonts w:ascii="ITC Avant Garde" w:hAnsi="ITC Avant Garde"/>
          <w:b/>
        </w:rPr>
        <w:t>“TENINVER”</w:t>
      </w:r>
      <w:r w:rsidR="008F718E" w:rsidRPr="002A2450">
        <w:rPr>
          <w:rFonts w:ascii="ITC Avant Garde" w:hAnsi="ITC Avant Garde"/>
          <w:color w:val="C00000"/>
        </w:rPr>
        <w:t xml:space="preserve"> </w:t>
      </w:r>
      <w:r w:rsidR="00595C37" w:rsidRPr="002A2450">
        <w:rPr>
          <w:rFonts w:ascii="ITC Avant Garde" w:hAnsi="ITC Avant Garde"/>
        </w:rPr>
        <w:t>son partes de este contrato</w:t>
      </w:r>
      <w:r w:rsidR="00AF228E" w:rsidRPr="002A2450">
        <w:rPr>
          <w:rFonts w:ascii="ITC Avant Garde" w:hAnsi="ITC Avant Garde"/>
        </w:rPr>
        <w:t xml:space="preserve">, iv) el </w:t>
      </w:r>
      <w:r w:rsidR="00595C37" w:rsidRPr="002A2450">
        <w:rPr>
          <w:rFonts w:ascii="ITC Avant Garde" w:hAnsi="ITC Avant Garde"/>
        </w:rPr>
        <w:lastRenderedPageBreak/>
        <w:t>convenio entre socios, este convenio debía celebrarse en caso de que se ejercieran cualquiera de las opciones, mismas que no se consumaron.</w:t>
      </w:r>
      <w:r w:rsidR="00AF228E" w:rsidRPr="002A2450">
        <w:rPr>
          <w:rFonts w:ascii="ITC Avant Garde" w:hAnsi="ITC Avant Garde"/>
        </w:rPr>
        <w:t xml:space="preserve"> Por lo que </w:t>
      </w:r>
      <w:r w:rsidR="00595C37" w:rsidRPr="002A2450">
        <w:rPr>
          <w:rFonts w:ascii="ITC Avant Garde" w:hAnsi="ITC Avant Garde"/>
        </w:rPr>
        <w:t xml:space="preserve">se concluye que los contratos no confieren a </w:t>
      </w:r>
      <w:r w:rsidR="00AF228E" w:rsidRPr="002A2450">
        <w:rPr>
          <w:rFonts w:ascii="ITC Avant Garde" w:hAnsi="ITC Avant Garde"/>
          <w:b/>
        </w:rPr>
        <w:t xml:space="preserve">“TELMEX” </w:t>
      </w:r>
      <w:r w:rsidR="00595C37" w:rsidRPr="002A2450">
        <w:rPr>
          <w:rFonts w:ascii="ITC Avant Garde" w:hAnsi="ITC Avant Garde"/>
        </w:rPr>
        <w:t xml:space="preserve">y </w:t>
      </w:r>
      <w:r w:rsidR="00AF228E" w:rsidRPr="002A2450">
        <w:rPr>
          <w:rFonts w:ascii="ITC Avant Garde" w:hAnsi="ITC Avant Garde"/>
          <w:b/>
        </w:rPr>
        <w:t>“DISH MÉXICO”</w:t>
      </w:r>
      <w:r w:rsidR="00595C37" w:rsidRPr="002A2450">
        <w:rPr>
          <w:rFonts w:ascii="ITC Avant Garde" w:hAnsi="ITC Avant Garde"/>
        </w:rPr>
        <w:t xml:space="preserve"> control conjunto conforme a normatividad contable</w:t>
      </w:r>
      <w:r w:rsidR="00AF228E" w:rsidRPr="002A2450">
        <w:rPr>
          <w:rFonts w:ascii="ITC Avant Garde" w:hAnsi="ITC Avant Garde"/>
        </w:rPr>
        <w:t>.</w:t>
      </w:r>
    </w:p>
    <w:p w14:paraId="30622D16" w14:textId="77777777" w:rsidR="00B35F13" w:rsidRDefault="00AF228E"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hace a </w:t>
      </w:r>
      <w:r w:rsidR="00595C37" w:rsidRPr="002A2450">
        <w:rPr>
          <w:rFonts w:ascii="ITC Avant Garde" w:hAnsi="ITC Avant Garde"/>
        </w:rPr>
        <w:t>si el contrato de consecuencias genera algún concepto de control, derechos u obligac</w:t>
      </w:r>
      <w:r w:rsidRPr="002A2450">
        <w:rPr>
          <w:rFonts w:ascii="ITC Avant Garde" w:hAnsi="ITC Avant Garde"/>
        </w:rPr>
        <w:t>iones para alguna de las partes</w:t>
      </w:r>
      <w:r w:rsidR="00DF6D54" w:rsidRPr="002A2450">
        <w:rPr>
          <w:rFonts w:ascii="ITC Avant Garde" w:hAnsi="ITC Avant Garde"/>
        </w:rPr>
        <w:t xml:space="preserve"> bajo la normatividad contable, </w:t>
      </w:r>
      <w:r w:rsidRPr="002A2450">
        <w:rPr>
          <w:rFonts w:ascii="ITC Avant Garde" w:hAnsi="ITC Avant Garde"/>
        </w:rPr>
        <w:t xml:space="preserve">el perito señaló </w:t>
      </w:r>
      <w:r w:rsidR="00DF6D54" w:rsidRPr="002A2450">
        <w:rPr>
          <w:rFonts w:ascii="ITC Avant Garde" w:hAnsi="ITC Avant Garde"/>
        </w:rPr>
        <w:t xml:space="preserve">que desde el punto de vista contable el </w:t>
      </w:r>
      <w:r w:rsidR="00595C37" w:rsidRPr="002A2450">
        <w:rPr>
          <w:rFonts w:ascii="ITC Avant Garde" w:hAnsi="ITC Avant Garde"/>
        </w:rPr>
        <w:t>contrato de consecuencias no genera el concepto de control para alguna de las partes y que sólo se pactan derechos y obligaciones para las partes</w:t>
      </w:r>
      <w:r w:rsidR="00DF6D54" w:rsidRPr="002A2450">
        <w:rPr>
          <w:rFonts w:ascii="ITC Avant Garde" w:hAnsi="ITC Avant Garde"/>
        </w:rPr>
        <w:t>.</w:t>
      </w:r>
    </w:p>
    <w:p w14:paraId="5DD9E573" w14:textId="77777777" w:rsidR="00B35F13" w:rsidRDefault="00AF228E"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b/>
        </w:rPr>
        <w:t>En cuanto a si</w:t>
      </w:r>
      <w:r w:rsidR="00595C37" w:rsidRPr="002A2450">
        <w:rPr>
          <w:rFonts w:ascii="ITC Avant Garde" w:hAnsi="ITC Avant Garde"/>
        </w:rPr>
        <w:t xml:space="preserve"> las conductas de </w:t>
      </w:r>
      <w:r w:rsidRPr="002A2450">
        <w:rPr>
          <w:rFonts w:ascii="ITC Avant Garde" w:hAnsi="ITC Avant Garde"/>
          <w:b/>
        </w:rPr>
        <w:t xml:space="preserve">“TELMEX” </w:t>
      </w:r>
      <w:r w:rsidR="00595C37" w:rsidRPr="002A2450">
        <w:rPr>
          <w:rFonts w:ascii="ITC Avant Garde" w:hAnsi="ITC Avant Garde"/>
        </w:rPr>
        <w:t xml:space="preserve">mencionadas en el oficio, tales como su asistencia a reuniones, son actividades </w:t>
      </w:r>
      <w:r w:rsidR="007545FF" w:rsidRPr="002A2450">
        <w:rPr>
          <w:rFonts w:ascii="ITC Avant Garde" w:hAnsi="ITC Avant Garde"/>
        </w:rPr>
        <w:t xml:space="preserve">que </w:t>
      </w:r>
      <w:r w:rsidR="00595C37" w:rsidRPr="002A2450">
        <w:rPr>
          <w:rFonts w:ascii="ITC Avant Garde" w:hAnsi="ITC Avant Garde"/>
        </w:rPr>
        <w:t xml:space="preserve">se podrían considerar como una dirección de las actividades de </w:t>
      </w:r>
      <w:r w:rsidR="00E1668E" w:rsidRPr="002A2450">
        <w:rPr>
          <w:rFonts w:ascii="ITC Avant Garde" w:hAnsi="ITC Avant Garde"/>
          <w:b/>
        </w:rPr>
        <w:t xml:space="preserve">“DISH MÉXICO” </w:t>
      </w:r>
      <w:r w:rsidR="00595C37" w:rsidRPr="002A2450">
        <w:rPr>
          <w:rFonts w:ascii="ITC Avant Garde" w:hAnsi="ITC Avant Garde"/>
        </w:rPr>
        <w:t>que afectan de</w:t>
      </w:r>
      <w:r w:rsidR="008F718E" w:rsidRPr="009E34A4">
        <w:rPr>
          <w:rFonts w:ascii="ITC Avant Garde" w:hAnsi="ITC Avant Garde"/>
          <w:color w:val="C00000"/>
        </w:rPr>
        <w:t xml:space="preserve"> </w:t>
      </w:r>
      <w:r w:rsidR="00595C37" w:rsidRPr="002A2450">
        <w:rPr>
          <w:rFonts w:ascii="ITC Avant Garde" w:hAnsi="ITC Avant Garde"/>
        </w:rPr>
        <w:t>manera significa</w:t>
      </w:r>
      <w:r w:rsidR="00E1668E" w:rsidRPr="002A2450">
        <w:rPr>
          <w:rFonts w:ascii="ITC Avant Garde" w:hAnsi="ITC Avant Garde"/>
        </w:rPr>
        <w:t xml:space="preserve">tiva a los retornos de la misma, el perito señala </w:t>
      </w:r>
      <w:r w:rsidR="00595C37" w:rsidRPr="002A2450">
        <w:rPr>
          <w:rFonts w:ascii="ITC Avant Garde" w:hAnsi="ITC Avant Garde"/>
        </w:rPr>
        <w:t xml:space="preserve">que las conductas mencionadas no son actividades que </w:t>
      </w:r>
      <w:r w:rsidR="00DF6D54" w:rsidRPr="002A2450">
        <w:rPr>
          <w:rFonts w:ascii="ITC Avant Garde" w:hAnsi="ITC Avant Garde"/>
        </w:rPr>
        <w:t xml:space="preserve">para efectos de la normatividad contable pueda considerarse </w:t>
      </w:r>
      <w:r w:rsidR="00595C37" w:rsidRPr="002A2450">
        <w:rPr>
          <w:rFonts w:ascii="ITC Avant Garde" w:hAnsi="ITC Avant Garde"/>
        </w:rPr>
        <w:t xml:space="preserve">como una dirección de actividades de </w:t>
      </w:r>
      <w:r w:rsidR="00E1668E" w:rsidRPr="002A2450">
        <w:rPr>
          <w:rFonts w:ascii="ITC Avant Garde" w:hAnsi="ITC Avant Garde"/>
          <w:b/>
        </w:rPr>
        <w:t>“DISH MÉXICO”</w:t>
      </w:r>
    </w:p>
    <w:p w14:paraId="5891C7D3"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b/>
        </w:rPr>
        <w:t xml:space="preserve">Por lo que se refiere a </w:t>
      </w:r>
      <w:r w:rsidR="00595C37" w:rsidRPr="002A2450">
        <w:rPr>
          <w:rFonts w:ascii="ITC Avant Garde" w:hAnsi="ITC Avant Garde"/>
        </w:rPr>
        <w:t xml:space="preserve">si los contratos confieren a </w:t>
      </w:r>
      <w:r w:rsidRPr="002A2450">
        <w:rPr>
          <w:rFonts w:ascii="ITC Avant Garde" w:hAnsi="ITC Avant Garde"/>
          <w:b/>
        </w:rPr>
        <w:t xml:space="preserve">“TELMEX” </w:t>
      </w:r>
      <w:r w:rsidR="00595C37" w:rsidRPr="002A2450">
        <w:rPr>
          <w:rFonts w:ascii="ITC Avant Garde" w:hAnsi="ITC Avant Garde"/>
        </w:rPr>
        <w:t xml:space="preserve">y/o a </w:t>
      </w:r>
      <w:r w:rsidRPr="002A2450">
        <w:rPr>
          <w:rFonts w:ascii="ITC Avant Garde" w:hAnsi="ITC Avant Garde"/>
          <w:b/>
        </w:rPr>
        <w:t>“TENINVER”</w:t>
      </w:r>
      <w:r w:rsidR="00595C37" w:rsidRPr="002A2450">
        <w:rPr>
          <w:rFonts w:ascii="ITC Avant Garde" w:hAnsi="ITC Avant Garde"/>
        </w:rPr>
        <w:t xml:space="preserve"> influencia significativa en </w:t>
      </w:r>
      <w:r w:rsidRPr="002A2450">
        <w:rPr>
          <w:rFonts w:ascii="ITC Avant Garde" w:hAnsi="ITC Avant Garde"/>
          <w:b/>
        </w:rPr>
        <w:t xml:space="preserve">“DISH MÉXICO” </w:t>
      </w:r>
      <w:r w:rsidRPr="002A2450">
        <w:rPr>
          <w:rFonts w:ascii="ITC Avant Garde" w:hAnsi="ITC Avant Garde"/>
        </w:rPr>
        <w:t xml:space="preserve">el perito señala </w:t>
      </w:r>
      <w:r w:rsidR="00DF6D54" w:rsidRPr="002A2450">
        <w:rPr>
          <w:rFonts w:ascii="ITC Avant Garde" w:hAnsi="ITC Avant Garde"/>
        </w:rPr>
        <w:t xml:space="preserve">con base en la normatividad contable dichos </w:t>
      </w:r>
      <w:r w:rsidR="00595C37" w:rsidRPr="002A2450">
        <w:rPr>
          <w:rFonts w:ascii="ITC Avant Garde" w:hAnsi="ITC Avant Garde"/>
        </w:rPr>
        <w:t xml:space="preserve">contratos no confieren a </w:t>
      </w:r>
      <w:r w:rsidRPr="002A2450">
        <w:rPr>
          <w:rFonts w:ascii="ITC Avant Garde" w:hAnsi="ITC Avant Garde"/>
          <w:b/>
        </w:rPr>
        <w:t xml:space="preserve">“TELMEX” </w:t>
      </w:r>
      <w:r w:rsidRPr="002A2450">
        <w:rPr>
          <w:rFonts w:ascii="ITC Avant Garde" w:hAnsi="ITC Avant Garde"/>
        </w:rPr>
        <w:t xml:space="preserve">y/o a </w:t>
      </w:r>
      <w:r w:rsidRPr="002A2450">
        <w:rPr>
          <w:rFonts w:ascii="ITC Avant Garde" w:hAnsi="ITC Avant Garde"/>
          <w:b/>
        </w:rPr>
        <w:t>“TENINVER”</w:t>
      </w:r>
      <w:r w:rsidRPr="002A2450">
        <w:rPr>
          <w:rFonts w:ascii="ITC Avant Garde" w:hAnsi="ITC Avant Garde"/>
        </w:rPr>
        <w:t xml:space="preserve"> </w:t>
      </w:r>
      <w:r w:rsidR="00595C37" w:rsidRPr="002A2450">
        <w:rPr>
          <w:rFonts w:ascii="ITC Avant Garde" w:hAnsi="ITC Avant Garde"/>
        </w:rPr>
        <w:t xml:space="preserve">influencia significativa en </w:t>
      </w:r>
      <w:r w:rsidRPr="002A2450">
        <w:rPr>
          <w:rFonts w:ascii="ITC Avant Garde" w:hAnsi="ITC Avant Garde"/>
          <w:b/>
        </w:rPr>
        <w:t>“DISH MÉXICO”</w:t>
      </w:r>
      <w:r w:rsidR="007545FF" w:rsidRPr="002A2450">
        <w:rPr>
          <w:rFonts w:ascii="ITC Avant Garde" w:hAnsi="ITC Avant Garde"/>
        </w:rPr>
        <w:t>, desde el punto de vista contable.</w:t>
      </w:r>
    </w:p>
    <w:p w14:paraId="37C24715"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toca </w:t>
      </w:r>
      <w:r w:rsidR="00702143" w:rsidRPr="002A2450">
        <w:rPr>
          <w:rFonts w:ascii="ITC Avant Garde" w:hAnsi="ITC Avant Garde"/>
        </w:rPr>
        <w:t>a</w:t>
      </w:r>
      <w:r w:rsidR="00702143" w:rsidRPr="002A2450">
        <w:rPr>
          <w:rFonts w:ascii="ITC Avant Garde" w:hAnsi="ITC Avant Garde"/>
          <w:b/>
        </w:rPr>
        <w:t xml:space="preserve"> </w:t>
      </w:r>
      <w:r w:rsidR="00702143" w:rsidRPr="002A2450">
        <w:rPr>
          <w:rFonts w:ascii="ITC Avant Garde" w:hAnsi="ITC Avant Garde"/>
        </w:rPr>
        <w:t>si</w:t>
      </w:r>
      <w:r w:rsidR="00595C37" w:rsidRPr="002A2450">
        <w:rPr>
          <w:rFonts w:ascii="ITC Avant Garde" w:hAnsi="ITC Avant Garde"/>
        </w:rPr>
        <w:t xml:space="preserve"> los contratos obligan a las partes al reconocimiento de derechos </w:t>
      </w:r>
      <w:r w:rsidR="00702143" w:rsidRPr="002A2450">
        <w:rPr>
          <w:rFonts w:ascii="ITC Avant Garde" w:hAnsi="ITC Avant Garde"/>
        </w:rPr>
        <w:t>y obligaciones</w:t>
      </w:r>
      <w:r w:rsidR="00595C37" w:rsidRPr="002A2450">
        <w:rPr>
          <w:rFonts w:ascii="ITC Avant Garde" w:hAnsi="ITC Avant Garde"/>
        </w:rPr>
        <w:t xml:space="preserve"> derivados del contrato de opción como un pasivo, instrumento financiero o algún otro elemento financiero dentro de lo</w:t>
      </w:r>
      <w:r w:rsidRPr="002A2450">
        <w:rPr>
          <w:rFonts w:ascii="ITC Avant Garde" w:hAnsi="ITC Avant Garde"/>
        </w:rPr>
        <w:t xml:space="preserve">s libros contables, el perito señala </w:t>
      </w:r>
      <w:r w:rsidR="00595C37" w:rsidRPr="002A2450">
        <w:rPr>
          <w:rFonts w:ascii="ITC Avant Garde" w:hAnsi="ITC Avant Garde"/>
        </w:rPr>
        <w:t>los contratos no obligan a las partes al reconocimiento de derechos y obligaciones derivados del contrato de opción como un pasivo, instrumento financiero o algún otro elemento financiero dentro de los libros contables de las entidades.</w:t>
      </w:r>
    </w:p>
    <w:p w14:paraId="7FDCA254"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En lo que corresponde a </w:t>
      </w:r>
      <w:r w:rsidR="00595C37" w:rsidRPr="002A2450">
        <w:rPr>
          <w:rFonts w:ascii="ITC Avant Garde" w:hAnsi="ITC Avant Garde"/>
        </w:rPr>
        <w:t xml:space="preserve">las supuestas "aportaciones" de </w:t>
      </w:r>
      <w:r w:rsidRPr="002A2450">
        <w:rPr>
          <w:rFonts w:ascii="ITC Avant Garde" w:hAnsi="ITC Avant Garde"/>
          <w:b/>
        </w:rPr>
        <w:t>“TELMEX”</w:t>
      </w:r>
      <w:r w:rsidR="00595C37" w:rsidRPr="002A2450">
        <w:rPr>
          <w:rFonts w:ascii="ITC Avant Garde" w:hAnsi="ITC Avant Garde"/>
        </w:rPr>
        <w:t>, mencionadas en el oficio deben clasificarse, registrarse y revelar</w:t>
      </w:r>
      <w:r w:rsidRPr="002A2450">
        <w:rPr>
          <w:rFonts w:ascii="ITC Avant Garde" w:hAnsi="ITC Avant Garde"/>
        </w:rPr>
        <w:t xml:space="preserve">se como </w:t>
      </w:r>
      <w:r w:rsidRPr="002A2450">
        <w:rPr>
          <w:rFonts w:ascii="ITC Avant Garde" w:hAnsi="ITC Avant Garde"/>
        </w:rPr>
        <w:lastRenderedPageBreak/>
        <w:t>aportaciones de capital</w:t>
      </w:r>
      <w:r w:rsidR="007545FF" w:rsidRPr="002A2450">
        <w:rPr>
          <w:rFonts w:ascii="ITC Avant Garde" w:hAnsi="ITC Avant Garde"/>
        </w:rPr>
        <w:t xml:space="preserve"> de acuerdo a la normatividad contable</w:t>
      </w:r>
      <w:r w:rsidRPr="002A2450">
        <w:rPr>
          <w:rFonts w:ascii="ITC Avant Garde" w:hAnsi="ITC Avant Garde"/>
        </w:rPr>
        <w:t>, el perito considera lo señalado en la respuesta anterior.</w:t>
      </w:r>
    </w:p>
    <w:p w14:paraId="66F7444B"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lo que respecta a</w:t>
      </w:r>
      <w:r w:rsidRPr="002A2450">
        <w:rPr>
          <w:rFonts w:ascii="ITC Avant Garde" w:hAnsi="ITC Avant Garde"/>
          <w:b/>
        </w:rPr>
        <w:t xml:space="preserve"> </w:t>
      </w:r>
      <w:r w:rsidR="00595C37" w:rsidRPr="002A2450">
        <w:rPr>
          <w:rFonts w:ascii="ITC Avant Garde" w:hAnsi="ITC Avant Garde"/>
        </w:rPr>
        <w:t>la opción de suscripción prevista en el contrato de opción, debe clasificarse, registrarse y revelar</w:t>
      </w:r>
      <w:r w:rsidRPr="002A2450">
        <w:rPr>
          <w:rFonts w:ascii="ITC Avant Garde" w:hAnsi="ITC Avant Garde"/>
        </w:rPr>
        <w:t xml:space="preserve">se como transacciones exigibles, el perito señala que </w:t>
      </w:r>
      <w:r w:rsidR="007545FF" w:rsidRPr="002A2450">
        <w:rPr>
          <w:rFonts w:ascii="ITC Avant Garde" w:hAnsi="ITC Avant Garde"/>
        </w:rPr>
        <w:t xml:space="preserve">en términos de la normatividad contable </w:t>
      </w:r>
      <w:r w:rsidR="00595C37" w:rsidRPr="002A2450">
        <w:rPr>
          <w:rFonts w:ascii="ITC Avant Garde" w:hAnsi="ITC Avant Garde"/>
        </w:rPr>
        <w:t xml:space="preserve">la opción de suscripción pactada en el contrato de opción sería una transacción exigible, solamente bajo el supuesto de que se llegasen a ejercer las opciones. </w:t>
      </w:r>
      <w:r w:rsidRPr="002A2450">
        <w:rPr>
          <w:rFonts w:ascii="ITC Avant Garde" w:hAnsi="ITC Avant Garde"/>
        </w:rPr>
        <w:t>C</w:t>
      </w:r>
      <w:r w:rsidR="00595C37" w:rsidRPr="002A2450">
        <w:rPr>
          <w:rFonts w:ascii="ITC Avant Garde" w:hAnsi="ITC Avant Garde"/>
        </w:rPr>
        <w:t xml:space="preserve">omo tal circunstancia no se realiza, </w:t>
      </w:r>
      <w:r w:rsidRPr="002A2450">
        <w:rPr>
          <w:rFonts w:ascii="ITC Avant Garde" w:hAnsi="ITC Avant Garde"/>
          <w:b/>
        </w:rPr>
        <w:t>“DISH MÉXICO”</w:t>
      </w:r>
      <w:r w:rsidRPr="002A2450">
        <w:rPr>
          <w:rFonts w:ascii="ITC Avant Garde" w:hAnsi="ITC Avant Garde"/>
        </w:rPr>
        <w:t xml:space="preserve"> </w:t>
      </w:r>
      <w:r w:rsidR="00595C37" w:rsidRPr="002A2450">
        <w:rPr>
          <w:rFonts w:ascii="ITC Avant Garde" w:hAnsi="ITC Avant Garde"/>
        </w:rPr>
        <w:t xml:space="preserve">no tiene la obligación de vender, ni </w:t>
      </w:r>
      <w:r w:rsidRPr="002A2450">
        <w:rPr>
          <w:rFonts w:ascii="ITC Avant Garde" w:hAnsi="ITC Avant Garde"/>
          <w:b/>
        </w:rPr>
        <w:t xml:space="preserve">“TENINVER” </w:t>
      </w:r>
      <w:r w:rsidR="00595C37" w:rsidRPr="002A2450">
        <w:rPr>
          <w:rFonts w:ascii="ITC Avant Garde" w:hAnsi="ITC Avant Garde"/>
        </w:rPr>
        <w:t xml:space="preserve">tiene la obligación de pagar, por lo que no debe clasificarse ni registrarse </w:t>
      </w:r>
      <w:r w:rsidR="007545FF" w:rsidRPr="002A2450">
        <w:rPr>
          <w:rFonts w:ascii="ITC Avant Garde" w:hAnsi="ITC Avant Garde"/>
        </w:rPr>
        <w:t xml:space="preserve">contablemente </w:t>
      </w:r>
      <w:r w:rsidR="00595C37" w:rsidRPr="002A2450">
        <w:rPr>
          <w:rFonts w:ascii="ITC Avant Garde" w:hAnsi="ITC Avant Garde"/>
        </w:rPr>
        <w:t>como una transacción exigible.</w:t>
      </w:r>
    </w:p>
    <w:p w14:paraId="2B3912A2"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hace a </w:t>
      </w:r>
      <w:r w:rsidR="00595C37" w:rsidRPr="002A2450">
        <w:rPr>
          <w:rFonts w:ascii="ITC Avant Garde" w:hAnsi="ITC Avant Garde"/>
        </w:rPr>
        <w:t>si atendiendo a las condiciones para reconocer instrumentos f</w:t>
      </w:r>
      <w:r w:rsidRPr="002A2450">
        <w:rPr>
          <w:rFonts w:ascii="ITC Avant Garde" w:hAnsi="ITC Avant Garde"/>
        </w:rPr>
        <w:t>inancieros derivados establecido</w:t>
      </w:r>
      <w:r w:rsidR="00595C37" w:rsidRPr="002A2450">
        <w:rPr>
          <w:rFonts w:ascii="ITC Avant Garde" w:hAnsi="ITC Avant Garde"/>
        </w:rPr>
        <w:t>s en la normatividad financiera aplicable es válido el recono</w:t>
      </w:r>
      <w:r w:rsidRPr="002A2450">
        <w:rPr>
          <w:rFonts w:ascii="ITC Avant Garde" w:hAnsi="ITC Avant Garde"/>
        </w:rPr>
        <w:t xml:space="preserve">cimiento de la opción de compra. Al respecto el perito señala </w:t>
      </w:r>
      <w:r w:rsidR="00595C37" w:rsidRPr="002A2450">
        <w:rPr>
          <w:rFonts w:ascii="ITC Avant Garde" w:hAnsi="ITC Avant Garde"/>
        </w:rPr>
        <w:t xml:space="preserve">que de conformidad con lo pactado en el contrato de opción de compra venta y </w:t>
      </w:r>
      <w:r w:rsidR="007545FF" w:rsidRPr="002A2450">
        <w:rPr>
          <w:rFonts w:ascii="ITC Avant Garde" w:hAnsi="ITC Avant Garde"/>
        </w:rPr>
        <w:t xml:space="preserve">al </w:t>
      </w:r>
      <w:r w:rsidR="00595C37" w:rsidRPr="002A2450">
        <w:rPr>
          <w:rFonts w:ascii="ITC Avant Garde" w:hAnsi="ITC Avant Garde"/>
        </w:rPr>
        <w:t>no haber ocurrido las condiciones para la consumación de las opciones, no es posible el reconocimiento a que se hace referencia en los párrafos: 21 del boletín c-2 y del párrafo 90 del boletín c-10</w:t>
      </w:r>
      <w:r w:rsidR="007545FF" w:rsidRPr="002A2450">
        <w:rPr>
          <w:rFonts w:ascii="ITC Avant Garde" w:hAnsi="ITC Avant Garde"/>
        </w:rPr>
        <w:t>.</w:t>
      </w:r>
    </w:p>
    <w:p w14:paraId="7AED34ED" w14:textId="77777777" w:rsidR="00B35F13" w:rsidRDefault="00646A14"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corresponde a si </w:t>
      </w:r>
      <w:r w:rsidR="00595C37" w:rsidRPr="002A2450">
        <w:rPr>
          <w:rFonts w:ascii="ITC Avant Garde" w:hAnsi="ITC Avant Garde"/>
        </w:rPr>
        <w:t>¿</w:t>
      </w:r>
      <w:r w:rsidR="00C6657F" w:rsidRPr="002A2450">
        <w:rPr>
          <w:rFonts w:ascii="ITC Avant Garde" w:hAnsi="ITC Avant Garde"/>
        </w:rPr>
        <w:t>U</w:t>
      </w:r>
      <w:r w:rsidR="00595C37" w:rsidRPr="002A2450">
        <w:rPr>
          <w:rFonts w:ascii="ITC Avant Garde" w:hAnsi="ITC Avant Garde"/>
        </w:rPr>
        <w:t>na opción implica derechos sustantivos que puedan ejercerse en el presente?</w:t>
      </w:r>
      <w:r w:rsidRPr="002A2450">
        <w:rPr>
          <w:rFonts w:ascii="ITC Avant Garde" w:hAnsi="ITC Avant Garde"/>
        </w:rPr>
        <w:t xml:space="preserve"> El perito señala que </w:t>
      </w:r>
      <w:r w:rsidR="007545FF" w:rsidRPr="002A2450">
        <w:rPr>
          <w:rFonts w:ascii="ITC Avant Garde" w:hAnsi="ITC Avant Garde"/>
        </w:rPr>
        <w:t xml:space="preserve">de conformidad con la normatividad contables </w:t>
      </w:r>
      <w:r w:rsidR="00595C37" w:rsidRPr="002A2450">
        <w:rPr>
          <w:rFonts w:ascii="ITC Avant Garde" w:hAnsi="ITC Avant Garde"/>
        </w:rPr>
        <w:t>la opción pactada al estar sujeta a la ocurrencia de un evento futuro que no se realizó, y que consecuentemente tampoco se consumó la operación de compraventa</w:t>
      </w:r>
      <w:r w:rsidR="007545FF" w:rsidRPr="002A2450">
        <w:rPr>
          <w:rFonts w:ascii="ITC Avant Garde" w:hAnsi="ITC Avant Garde"/>
        </w:rPr>
        <w:t xml:space="preserve"> desde el punto de vista contable</w:t>
      </w:r>
      <w:r w:rsidR="00595C37" w:rsidRPr="002A2450">
        <w:rPr>
          <w:rFonts w:ascii="ITC Avant Garde" w:hAnsi="ITC Avant Garde"/>
        </w:rPr>
        <w:t>, no implica derechos que puedan ejercerse en el presente.</w:t>
      </w:r>
    </w:p>
    <w:p w14:paraId="1DCA10F8"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respecta a </w:t>
      </w:r>
      <w:r w:rsidR="007545FF" w:rsidRPr="002A2450">
        <w:rPr>
          <w:rFonts w:ascii="ITC Avant Garde" w:hAnsi="ITC Avant Garde"/>
        </w:rPr>
        <w:t>la</w:t>
      </w:r>
      <w:r w:rsidRPr="002A2450">
        <w:rPr>
          <w:rFonts w:ascii="ITC Avant Garde" w:hAnsi="ITC Avant Garde"/>
        </w:rPr>
        <w:t xml:space="preserve"> </w:t>
      </w:r>
      <w:r w:rsidR="00595C37" w:rsidRPr="002A2450">
        <w:rPr>
          <w:rFonts w:ascii="ITC Avant Garde" w:hAnsi="ITC Avant Garde"/>
        </w:rPr>
        <w:t>pregunta 12: ¿</w:t>
      </w:r>
      <w:r w:rsidRPr="002A2450">
        <w:rPr>
          <w:rFonts w:ascii="ITC Avant Garde" w:hAnsi="ITC Avant Garde"/>
        </w:rPr>
        <w:t>E</w:t>
      </w:r>
      <w:r w:rsidR="00595C37" w:rsidRPr="002A2450">
        <w:rPr>
          <w:rFonts w:ascii="ITC Avant Garde" w:hAnsi="ITC Avant Garde"/>
        </w:rPr>
        <w:t>l sólo hecho de una relación contractual entre dos entidades puede derivar en una relación de control?</w:t>
      </w:r>
      <w:r w:rsidRPr="002A2450">
        <w:rPr>
          <w:rFonts w:ascii="ITC Avant Garde" w:hAnsi="ITC Avant Garde"/>
        </w:rPr>
        <w:t xml:space="preserve"> El perito señala </w:t>
      </w:r>
      <w:r w:rsidR="00595C37" w:rsidRPr="002A2450">
        <w:rPr>
          <w:rFonts w:ascii="ITC Avant Garde" w:hAnsi="ITC Avant Garde"/>
        </w:rPr>
        <w:t xml:space="preserve">que </w:t>
      </w:r>
      <w:r w:rsidR="007545FF" w:rsidRPr="002A2450">
        <w:rPr>
          <w:rFonts w:ascii="ITC Avant Garde" w:hAnsi="ITC Avant Garde"/>
        </w:rPr>
        <w:t xml:space="preserve">desde el punto de vista contable </w:t>
      </w:r>
      <w:r w:rsidR="00595C37" w:rsidRPr="002A2450">
        <w:rPr>
          <w:rFonts w:ascii="ITC Avant Garde" w:hAnsi="ITC Avant Garde"/>
        </w:rPr>
        <w:t>en todo caso dependerá de lo pactado en el contrato entre las partes, por lo que puede o no derivar en una relación de control.</w:t>
      </w:r>
    </w:p>
    <w:p w14:paraId="64D50816"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Por lo que se refiere a</w:t>
      </w:r>
      <w:r w:rsidRPr="002A2450">
        <w:rPr>
          <w:rFonts w:ascii="ITC Avant Garde" w:hAnsi="ITC Avant Garde"/>
          <w:b/>
        </w:rPr>
        <w:t xml:space="preserve"> </w:t>
      </w:r>
      <w:r w:rsidR="00595C37" w:rsidRPr="002A2450">
        <w:rPr>
          <w:rFonts w:ascii="ITC Avant Garde" w:hAnsi="ITC Avant Garde"/>
        </w:rPr>
        <w:t xml:space="preserve">si a la luz de la normatividad financiera vigente aplicable, aún y cuando no exista participación accionarla, sería posible </w:t>
      </w:r>
      <w:r w:rsidR="00595C37" w:rsidRPr="002A2450">
        <w:rPr>
          <w:rFonts w:ascii="ITC Avant Garde" w:hAnsi="ITC Avant Garde"/>
        </w:rPr>
        <w:lastRenderedPageBreak/>
        <w:t>hablar de una sola entidad económica sujeta a consolidación</w:t>
      </w:r>
      <w:r w:rsidRPr="002A2450">
        <w:rPr>
          <w:rFonts w:ascii="ITC Avant Garde" w:hAnsi="ITC Avant Garde"/>
        </w:rPr>
        <w:t xml:space="preserve">. Al respecto, el perito señala </w:t>
      </w:r>
      <w:r w:rsidR="00595C37" w:rsidRPr="002A2450">
        <w:rPr>
          <w:rFonts w:ascii="ITC Avant Garde" w:hAnsi="ITC Avant Garde"/>
        </w:rPr>
        <w:t>que si no existe control, poder y participación accionaría, no es posible hablar de una sola entidad económica sujeta a consolidación.</w:t>
      </w:r>
    </w:p>
    <w:p w14:paraId="455C34DF"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En lo que respecta a </w:t>
      </w:r>
      <w:r w:rsidR="00595C37" w:rsidRPr="002A2450">
        <w:rPr>
          <w:rFonts w:ascii="ITC Avant Garde" w:hAnsi="ITC Avant Garde"/>
        </w:rPr>
        <w:t>si con base en la normatividad financiera vigente aplicable, las opciones están devengadas desde el momen</w:t>
      </w:r>
      <w:r w:rsidRPr="002A2450">
        <w:rPr>
          <w:rFonts w:ascii="ITC Avant Garde" w:hAnsi="ITC Avant Garde"/>
        </w:rPr>
        <w:t xml:space="preserve">to en que se define el contrato. El perito señala que </w:t>
      </w:r>
      <w:r w:rsidR="00595C37" w:rsidRPr="002A2450">
        <w:rPr>
          <w:rFonts w:ascii="ITC Avant Garde" w:hAnsi="ITC Avant Garde"/>
        </w:rPr>
        <w:t xml:space="preserve">la opción de suscripción no debe clasificarse ni registrarse como transacción exigible; que </w:t>
      </w:r>
      <w:r w:rsidR="007545FF" w:rsidRPr="002A2450">
        <w:rPr>
          <w:rFonts w:ascii="ITC Avant Garde" w:hAnsi="ITC Avant Garde"/>
        </w:rPr>
        <w:t xml:space="preserve">desde el punto de vista contable </w:t>
      </w:r>
      <w:r w:rsidR="00595C37" w:rsidRPr="002A2450">
        <w:rPr>
          <w:rFonts w:ascii="ITC Avant Garde" w:hAnsi="ITC Avant Garde"/>
        </w:rPr>
        <w:t>no es válido el reconocimiento de la opción de compra y que la opción no implica derechos que puedan ejercerse en el presente.</w:t>
      </w:r>
      <w:r w:rsidRPr="002A2450">
        <w:rPr>
          <w:rFonts w:ascii="ITC Avant Garde" w:hAnsi="ITC Avant Garde"/>
        </w:rPr>
        <w:t xml:space="preserve"> Por tanto, </w:t>
      </w:r>
      <w:r w:rsidR="00595C37" w:rsidRPr="002A2450">
        <w:rPr>
          <w:rFonts w:ascii="ITC Avant Garde" w:hAnsi="ITC Avant Garde"/>
        </w:rPr>
        <w:t>al no existir el reconocimiento de derechos y obligaciones y no tratarse de una transacción exigible, no es válido el reconocimiento de la opción de compra por no implicar derechos que pudieran ejercerse en el presente, consecuentemente, las opciones no están devengadas.</w:t>
      </w:r>
    </w:p>
    <w:p w14:paraId="2BFCCEF5"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En lo tocante a </w:t>
      </w:r>
      <w:r w:rsidR="00595C37" w:rsidRPr="002A2450">
        <w:rPr>
          <w:rFonts w:ascii="ITC Avant Garde" w:hAnsi="ITC Avant Garde"/>
        </w:rPr>
        <w:t>si con base en la normatividad financiera vigente aplicable en materia de instrumentos financieros derivados es siempre posible</w:t>
      </w:r>
      <w:r w:rsidRPr="002A2450">
        <w:rPr>
          <w:rFonts w:ascii="ITC Avant Garde" w:hAnsi="ITC Avant Garde"/>
        </w:rPr>
        <w:t xml:space="preserve"> que se dé una liquidación neta. Al respecto, el perito señala que </w:t>
      </w:r>
      <w:r w:rsidR="00595C37" w:rsidRPr="002A2450">
        <w:rPr>
          <w:rFonts w:ascii="ITC Avant Garde" w:hAnsi="ITC Avant Garde"/>
        </w:rPr>
        <w:t xml:space="preserve">con base en la normatividad financiera vigente aplicable en materia de instrumentos financieros derivados, no siempre </w:t>
      </w:r>
      <w:r w:rsidR="007545FF" w:rsidRPr="002A2450">
        <w:rPr>
          <w:rFonts w:ascii="ITC Avant Garde" w:hAnsi="ITC Avant Garde"/>
        </w:rPr>
        <w:t xml:space="preserve">es </w:t>
      </w:r>
      <w:r w:rsidR="00595C37" w:rsidRPr="002A2450">
        <w:rPr>
          <w:rFonts w:ascii="ITC Avant Garde" w:hAnsi="ITC Avant Garde"/>
        </w:rPr>
        <w:t>posible que se dé una liquidación neta</w:t>
      </w:r>
      <w:r w:rsidRPr="002A2450">
        <w:rPr>
          <w:rFonts w:ascii="ITC Avant Garde" w:hAnsi="ITC Avant Garde"/>
        </w:rPr>
        <w:t>.</w:t>
      </w:r>
    </w:p>
    <w:p w14:paraId="337EE80B"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lo que corresponde</w:t>
      </w:r>
      <w:r w:rsidRPr="002A2450">
        <w:rPr>
          <w:rFonts w:ascii="ITC Avant Garde" w:hAnsi="ITC Avant Garde"/>
          <w:b/>
        </w:rPr>
        <w:t xml:space="preserve"> a </w:t>
      </w:r>
      <w:r w:rsidR="00595C37" w:rsidRPr="002A2450">
        <w:rPr>
          <w:rFonts w:ascii="ITC Avant Garde" w:hAnsi="ITC Avant Garde"/>
        </w:rPr>
        <w:t>si bajo las normas internacionales de información financiera, los contratos configuran una concentración de hecho o una adquisición.</w:t>
      </w:r>
      <w:r w:rsidRPr="002A2450">
        <w:rPr>
          <w:rFonts w:ascii="ITC Avant Garde" w:hAnsi="ITC Avant Garde"/>
        </w:rPr>
        <w:t xml:space="preserve"> El perito señala que </w:t>
      </w:r>
      <w:r w:rsidR="00595C37" w:rsidRPr="002A2450">
        <w:rPr>
          <w:rFonts w:ascii="ITC Avant Garde" w:hAnsi="ITC Avant Garde"/>
        </w:rPr>
        <w:t>de la lectura de los contratos se obtiene</w:t>
      </w:r>
      <w:r w:rsidRPr="002A2450">
        <w:rPr>
          <w:rFonts w:ascii="ITC Avant Garde" w:hAnsi="ITC Avant Garde"/>
        </w:rPr>
        <w:t xml:space="preserve"> que: i) </w:t>
      </w:r>
      <w:r w:rsidR="00595C37" w:rsidRPr="002A2450">
        <w:rPr>
          <w:rFonts w:ascii="ITC Avant Garde" w:hAnsi="ITC Avant Garde"/>
        </w:rPr>
        <w:t xml:space="preserve">del contrato de distribución entre </w:t>
      </w:r>
      <w:r w:rsidRPr="002A2450">
        <w:rPr>
          <w:rFonts w:ascii="ITC Avant Garde" w:hAnsi="ITC Avant Garde"/>
          <w:b/>
        </w:rPr>
        <w:t xml:space="preserve">“TELMEX” </w:t>
      </w:r>
      <w:r w:rsidR="00595C37" w:rsidRPr="002A2450">
        <w:rPr>
          <w:rFonts w:ascii="ITC Avant Garde" w:hAnsi="ITC Avant Garde"/>
        </w:rPr>
        <w:t xml:space="preserve">y </w:t>
      </w:r>
      <w:r w:rsidRPr="002A2450">
        <w:rPr>
          <w:rFonts w:ascii="ITC Avant Garde" w:hAnsi="ITC Avant Garde"/>
          <w:b/>
        </w:rPr>
        <w:t>“COFRESA”</w:t>
      </w:r>
      <w:r w:rsidR="00595C37" w:rsidRPr="002A2450">
        <w:rPr>
          <w:rFonts w:ascii="ITC Avant Garde" w:hAnsi="ITC Avant Garde"/>
        </w:rPr>
        <w:t xml:space="preserve">: </w:t>
      </w:r>
      <w:r w:rsidRPr="002A2450">
        <w:rPr>
          <w:rFonts w:ascii="ITC Avant Garde" w:hAnsi="ITC Avant Garde"/>
          <w:b/>
        </w:rPr>
        <w:t xml:space="preserve">“TELMEX” </w:t>
      </w:r>
      <w:r w:rsidR="00595C37" w:rsidRPr="002A2450">
        <w:rPr>
          <w:rFonts w:ascii="ITC Avant Garde" w:hAnsi="ITC Avant Garde"/>
        </w:rPr>
        <w:t xml:space="preserve">y </w:t>
      </w:r>
      <w:r w:rsidRPr="002A2450">
        <w:rPr>
          <w:rFonts w:ascii="ITC Avant Garde" w:hAnsi="ITC Avant Garde"/>
          <w:b/>
        </w:rPr>
        <w:t>“TENINVER”</w:t>
      </w:r>
      <w:r w:rsidR="00595C37" w:rsidRPr="002A2450">
        <w:rPr>
          <w:rFonts w:ascii="ITC Avant Garde" w:hAnsi="ITC Avant Garde"/>
        </w:rPr>
        <w:t xml:space="preserve"> prestan servicios-</w:t>
      </w:r>
      <w:r w:rsidRPr="002A2450">
        <w:rPr>
          <w:rFonts w:ascii="ITC Avant Garde" w:hAnsi="ITC Avant Garde"/>
          <w:b/>
        </w:rPr>
        <w:t xml:space="preserve">“COFRESA” </w:t>
      </w:r>
      <w:r w:rsidRPr="002A2450">
        <w:rPr>
          <w:rFonts w:ascii="ITC Avant Garde" w:hAnsi="ITC Avant Garde"/>
        </w:rPr>
        <w:t xml:space="preserve">los adquiere; ii) </w:t>
      </w:r>
      <w:r w:rsidR="00595C37" w:rsidRPr="002A2450">
        <w:rPr>
          <w:rFonts w:ascii="ITC Avant Garde" w:hAnsi="ITC Avant Garde"/>
        </w:rPr>
        <w:t xml:space="preserve">del contrato de servicios entre </w:t>
      </w:r>
      <w:r w:rsidRPr="002A2450">
        <w:rPr>
          <w:rFonts w:ascii="ITC Avant Garde" w:hAnsi="ITC Avant Garde"/>
          <w:b/>
        </w:rPr>
        <w:t xml:space="preserve">“TELMEX” </w:t>
      </w:r>
      <w:r w:rsidRPr="002A2450">
        <w:rPr>
          <w:rFonts w:ascii="ITC Avant Garde" w:hAnsi="ITC Avant Garde"/>
        </w:rPr>
        <w:t xml:space="preserve">y </w:t>
      </w:r>
      <w:r w:rsidRPr="002A2450">
        <w:rPr>
          <w:rFonts w:ascii="ITC Avant Garde" w:hAnsi="ITC Avant Garde"/>
          <w:b/>
        </w:rPr>
        <w:t>“COFRESA”</w:t>
      </w:r>
      <w:r w:rsidRPr="002A2450">
        <w:rPr>
          <w:rFonts w:ascii="ITC Avant Garde" w:hAnsi="ITC Avant Garde"/>
        </w:rPr>
        <w:t>:</w:t>
      </w:r>
      <w:r w:rsidR="00595C37" w:rsidRPr="002A2450">
        <w:rPr>
          <w:rFonts w:ascii="ITC Avant Garde" w:hAnsi="ITC Avant Garde"/>
        </w:rPr>
        <w:t xml:space="preserve"> </w:t>
      </w:r>
      <w:r w:rsidRPr="002A2450">
        <w:rPr>
          <w:rFonts w:ascii="ITC Avant Garde" w:hAnsi="ITC Avant Garde"/>
          <w:b/>
        </w:rPr>
        <w:t>“TELMEX”</w:t>
      </w:r>
      <w:r w:rsidR="008F718E" w:rsidRPr="002A2450">
        <w:rPr>
          <w:rFonts w:ascii="ITC Avant Garde" w:hAnsi="ITC Avant Garde"/>
          <w:b/>
          <w:color w:val="C00000"/>
        </w:rPr>
        <w:t xml:space="preserve"> </w:t>
      </w:r>
      <w:r w:rsidR="00595C37" w:rsidRPr="002A2450">
        <w:rPr>
          <w:rFonts w:ascii="ITC Avant Garde" w:hAnsi="ITC Avant Garde"/>
        </w:rPr>
        <w:t xml:space="preserve">presta a </w:t>
      </w:r>
      <w:r w:rsidRPr="002A2450">
        <w:rPr>
          <w:rFonts w:ascii="ITC Avant Garde" w:hAnsi="ITC Avant Garde"/>
          <w:b/>
        </w:rPr>
        <w:t xml:space="preserve">“COFRESA” </w:t>
      </w:r>
      <w:r w:rsidR="00595C37" w:rsidRPr="002A2450">
        <w:rPr>
          <w:rFonts w:ascii="ITC Avant Garde" w:hAnsi="ITC Avant Garde"/>
        </w:rPr>
        <w:t>servicios de facturación y cobranza-</w:t>
      </w:r>
      <w:r w:rsidRPr="002A2450">
        <w:rPr>
          <w:rFonts w:ascii="ITC Avant Garde" w:hAnsi="ITC Avant Garde"/>
          <w:b/>
        </w:rPr>
        <w:t>“COFRESA”</w:t>
      </w:r>
      <w:r w:rsidR="00595C37" w:rsidRPr="002A2450">
        <w:rPr>
          <w:rFonts w:ascii="ITC Avant Garde" w:hAnsi="ITC Avant Garde"/>
        </w:rPr>
        <w:t xml:space="preserve"> los adquiere</w:t>
      </w:r>
      <w:r w:rsidRPr="002A2450">
        <w:rPr>
          <w:rFonts w:ascii="ITC Avant Garde" w:hAnsi="ITC Avant Garde"/>
        </w:rPr>
        <w:t xml:space="preserve">; iii) </w:t>
      </w:r>
      <w:r w:rsidR="00595C37" w:rsidRPr="002A2450">
        <w:rPr>
          <w:rFonts w:ascii="ITC Avant Garde" w:hAnsi="ITC Avant Garde"/>
        </w:rPr>
        <w:t xml:space="preserve">del contrato de opción: adquieren derechos </w:t>
      </w:r>
      <w:r w:rsidRPr="002A2450">
        <w:rPr>
          <w:rFonts w:ascii="ITC Avant Garde" w:hAnsi="ITC Avant Garde"/>
          <w:b/>
        </w:rPr>
        <w:t xml:space="preserve">“TENINVER” </w:t>
      </w:r>
      <w:r w:rsidR="00595C37" w:rsidRPr="002A2450">
        <w:rPr>
          <w:rFonts w:ascii="ITC Avant Garde" w:hAnsi="ITC Avant Garde"/>
        </w:rPr>
        <w:t xml:space="preserve">y </w:t>
      </w:r>
      <w:r w:rsidRPr="002A2450">
        <w:rPr>
          <w:rFonts w:ascii="ITC Avant Garde" w:hAnsi="ITC Avant Garde"/>
          <w:b/>
        </w:rPr>
        <w:t>“DISH MÉXICO”</w:t>
      </w:r>
      <w:r w:rsidRPr="002A2450">
        <w:rPr>
          <w:rFonts w:ascii="ITC Avant Garde" w:hAnsi="ITC Avant Garde"/>
        </w:rPr>
        <w:t xml:space="preserve"> </w:t>
      </w:r>
      <w:r w:rsidR="00595C37" w:rsidRPr="002A2450">
        <w:rPr>
          <w:rFonts w:ascii="ITC Avant Garde" w:hAnsi="ITC Avant Garde"/>
        </w:rPr>
        <w:t>para adquisición de acciones y venta de acciones</w:t>
      </w:r>
      <w:r w:rsidRPr="002A2450">
        <w:rPr>
          <w:rFonts w:ascii="ITC Avant Garde" w:hAnsi="ITC Avant Garde"/>
        </w:rPr>
        <w:t xml:space="preserve">; iv) </w:t>
      </w:r>
      <w:r w:rsidR="00595C37" w:rsidRPr="002A2450">
        <w:rPr>
          <w:rFonts w:ascii="ITC Avant Garde" w:hAnsi="ITC Avant Garde"/>
        </w:rPr>
        <w:t xml:space="preserve">del contrato de arrendamiento entre </w:t>
      </w:r>
      <w:r w:rsidRPr="002A2450">
        <w:rPr>
          <w:rFonts w:ascii="ITC Avant Garde" w:hAnsi="ITC Avant Garde"/>
          <w:b/>
        </w:rPr>
        <w:t>“TENINVER”</w:t>
      </w:r>
      <w:r w:rsidR="00595C37" w:rsidRPr="002A2450">
        <w:rPr>
          <w:rFonts w:ascii="ITC Avant Garde" w:hAnsi="ITC Avant Garde"/>
        </w:rPr>
        <w:t xml:space="preserve"> y </w:t>
      </w:r>
      <w:r w:rsidRPr="002A2450">
        <w:rPr>
          <w:rFonts w:ascii="ITC Avant Garde" w:hAnsi="ITC Avant Garde"/>
          <w:b/>
        </w:rPr>
        <w:t>“COFRESA”</w:t>
      </w:r>
      <w:r w:rsidR="00595C37" w:rsidRPr="002A2450">
        <w:rPr>
          <w:rFonts w:ascii="ITC Avant Garde" w:hAnsi="ITC Avant Garde"/>
        </w:rPr>
        <w:t xml:space="preserve">: </w:t>
      </w:r>
      <w:r w:rsidRPr="002A2450">
        <w:rPr>
          <w:rFonts w:ascii="ITC Avant Garde" w:hAnsi="ITC Avant Garde"/>
          <w:b/>
        </w:rPr>
        <w:t>“TENINVER”</w:t>
      </w:r>
      <w:r w:rsidRPr="002A2450">
        <w:rPr>
          <w:rFonts w:ascii="ITC Avant Garde" w:hAnsi="ITC Avant Garde"/>
        </w:rPr>
        <w:t xml:space="preserve"> </w:t>
      </w:r>
      <w:r w:rsidR="00595C37" w:rsidRPr="002A2450">
        <w:rPr>
          <w:rFonts w:ascii="ITC Avant Garde" w:hAnsi="ITC Avant Garde"/>
        </w:rPr>
        <w:t xml:space="preserve">adquiere de </w:t>
      </w:r>
      <w:r w:rsidRPr="002A2450">
        <w:rPr>
          <w:rFonts w:ascii="ITC Avant Garde" w:hAnsi="ITC Avant Garde"/>
          <w:b/>
        </w:rPr>
        <w:t xml:space="preserve">“COFRESA” </w:t>
      </w:r>
      <w:r w:rsidR="00595C37" w:rsidRPr="002A2450">
        <w:rPr>
          <w:rFonts w:ascii="ITC Avant Garde" w:hAnsi="ITC Avant Garde"/>
        </w:rPr>
        <w:t xml:space="preserve">equipos para volver a arrendarlos a </w:t>
      </w:r>
      <w:r w:rsidRPr="002A2450">
        <w:rPr>
          <w:rFonts w:ascii="ITC Avant Garde" w:hAnsi="ITC Avant Garde"/>
          <w:b/>
        </w:rPr>
        <w:t>“COFRESA”</w:t>
      </w:r>
      <w:r w:rsidRPr="002A2450">
        <w:rPr>
          <w:rFonts w:ascii="ITC Avant Garde" w:hAnsi="ITC Avant Garde"/>
        </w:rPr>
        <w:t xml:space="preserve"> </w:t>
      </w:r>
      <w:r w:rsidR="00595C37" w:rsidRPr="002A2450">
        <w:rPr>
          <w:rFonts w:ascii="ITC Avant Garde" w:hAnsi="ITC Avant Garde"/>
        </w:rPr>
        <w:t xml:space="preserve">(compraventa y arrendamiento de los bienes adquiridos al vendedor original) </w:t>
      </w:r>
      <w:r w:rsidRPr="002A2450">
        <w:rPr>
          <w:rFonts w:ascii="ITC Avant Garde" w:hAnsi="ITC Avant Garde"/>
          <w:b/>
        </w:rPr>
        <w:t>“TENINVER”</w:t>
      </w:r>
      <w:r w:rsidR="008F718E" w:rsidRPr="002A2450">
        <w:rPr>
          <w:rFonts w:ascii="ITC Avant Garde" w:hAnsi="ITC Avant Garde"/>
          <w:color w:val="C00000"/>
        </w:rPr>
        <w:t xml:space="preserve"> </w:t>
      </w:r>
      <w:r w:rsidR="00595C37" w:rsidRPr="002A2450">
        <w:rPr>
          <w:rFonts w:ascii="ITC Avant Garde" w:hAnsi="ITC Avant Garde"/>
        </w:rPr>
        <w:t xml:space="preserve">presta el servicio de </w:t>
      </w:r>
      <w:r w:rsidR="00595C37" w:rsidRPr="002A2450">
        <w:rPr>
          <w:rFonts w:ascii="ITC Avant Garde" w:hAnsi="ITC Avant Garde"/>
        </w:rPr>
        <w:lastRenderedPageBreak/>
        <w:t xml:space="preserve">arrendamiento – </w:t>
      </w:r>
      <w:r w:rsidRPr="002A2450">
        <w:rPr>
          <w:rFonts w:ascii="ITC Avant Garde" w:hAnsi="ITC Avant Garde"/>
          <w:b/>
        </w:rPr>
        <w:t>“COFRESA”</w:t>
      </w:r>
      <w:r w:rsidR="00595C37" w:rsidRPr="002A2450">
        <w:rPr>
          <w:rFonts w:ascii="ITC Avant Garde" w:hAnsi="ITC Avant Garde"/>
        </w:rPr>
        <w:t xml:space="preserve"> lo adquiere (arrendamiento: convenio que otorga el derecho de usar bienes muebles e inmuebles, planta y/o</w:t>
      </w:r>
      <w:r w:rsidRPr="002A2450">
        <w:rPr>
          <w:rFonts w:ascii="ITC Avant Garde" w:hAnsi="ITC Avant Garde"/>
        </w:rPr>
        <w:t xml:space="preserve"> equipo, a cambio de una renta); v) </w:t>
      </w:r>
      <w:r w:rsidR="00595C37" w:rsidRPr="002A2450">
        <w:rPr>
          <w:rFonts w:ascii="ITC Avant Garde" w:hAnsi="ITC Avant Garde"/>
        </w:rPr>
        <w:t>del contrato de consecuencias: derecho a algunas de las partes a participar en acuerdos de negocios futuros.</w:t>
      </w:r>
      <w:r w:rsidRPr="002A2450">
        <w:rPr>
          <w:rFonts w:ascii="ITC Avant Garde" w:hAnsi="ITC Avant Garde"/>
        </w:rPr>
        <w:t xml:space="preserve"> P</w:t>
      </w:r>
      <w:r w:rsidR="00595C37" w:rsidRPr="002A2450">
        <w:rPr>
          <w:rFonts w:ascii="ITC Avant Garde" w:hAnsi="ITC Avant Garde"/>
        </w:rPr>
        <w:t xml:space="preserve">or lo que se concluye que </w:t>
      </w:r>
      <w:r w:rsidR="00595C37" w:rsidRPr="002A2450">
        <w:rPr>
          <w:rFonts w:ascii="ITC Avant Garde" w:hAnsi="ITC Avant Garde"/>
          <w:b/>
          <w:u w:val="single"/>
        </w:rPr>
        <w:t>los contratos configuran una adquisición</w:t>
      </w:r>
      <w:r w:rsidR="00595C37" w:rsidRPr="002A2450">
        <w:rPr>
          <w:rFonts w:ascii="ITC Avant Garde" w:hAnsi="ITC Avant Garde"/>
        </w:rPr>
        <w:t>.</w:t>
      </w:r>
    </w:p>
    <w:p w14:paraId="4D067C1F" w14:textId="77777777" w:rsidR="00B35F13" w:rsidRDefault="00473EA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 xml:space="preserve">Por lo que respecta a </w:t>
      </w:r>
      <w:r w:rsidR="00595C37" w:rsidRPr="002A2450">
        <w:rPr>
          <w:rFonts w:ascii="ITC Avant Garde" w:hAnsi="ITC Avant Garde"/>
        </w:rPr>
        <w:t xml:space="preserve">si los contratos otorgan a </w:t>
      </w:r>
      <w:r w:rsidRPr="002A2450">
        <w:rPr>
          <w:rFonts w:ascii="ITC Avant Garde" w:hAnsi="ITC Avant Garde"/>
          <w:b/>
        </w:rPr>
        <w:t xml:space="preserve">“TELMEX” </w:t>
      </w:r>
      <w:r w:rsidR="00595C37" w:rsidRPr="002A2450">
        <w:rPr>
          <w:rFonts w:ascii="ITC Avant Garde" w:hAnsi="ITC Avant Garde"/>
        </w:rPr>
        <w:t xml:space="preserve">el control de </w:t>
      </w:r>
      <w:r w:rsidRPr="002A2450">
        <w:rPr>
          <w:rFonts w:ascii="ITC Avant Garde" w:hAnsi="ITC Avant Garde"/>
          <w:b/>
        </w:rPr>
        <w:t xml:space="preserve">“DISH MÉXICO” </w:t>
      </w:r>
      <w:r w:rsidR="00595C37" w:rsidRPr="002A2450">
        <w:rPr>
          <w:rFonts w:ascii="ITC Avant Garde" w:hAnsi="ITC Avant Garde"/>
        </w:rPr>
        <w:t xml:space="preserve">conforme a la </w:t>
      </w:r>
      <w:r w:rsidRPr="002A2450">
        <w:rPr>
          <w:rFonts w:ascii="ITC Avant Garde" w:hAnsi="ITC Avant Garde"/>
        </w:rPr>
        <w:t xml:space="preserve">NIIF-10 </w:t>
      </w:r>
      <w:r w:rsidR="00595C37" w:rsidRPr="002A2450">
        <w:rPr>
          <w:rFonts w:ascii="ITC Avant Garde" w:hAnsi="ITC Avant Garde"/>
        </w:rPr>
        <w:t>u otra norma financiera internacionalmente reconocida.</w:t>
      </w:r>
      <w:r w:rsidR="008907E6" w:rsidRPr="002A2450">
        <w:rPr>
          <w:rFonts w:ascii="ITC Avant Garde" w:hAnsi="ITC Avant Garde"/>
        </w:rPr>
        <w:t xml:space="preserve"> El perito señala que </w:t>
      </w:r>
      <w:r w:rsidR="000135AC" w:rsidRPr="002A2450">
        <w:rPr>
          <w:rFonts w:ascii="ITC Avant Garde" w:hAnsi="ITC Avant Garde"/>
        </w:rPr>
        <w:t xml:space="preserve">la NIIF-10 establece que un inversor controla una participada cuando tiene la capacidad de influir en los rendimientos a través de su poder en la participada, por lo que </w:t>
      </w:r>
      <w:r w:rsidR="00595C37" w:rsidRPr="002A2450">
        <w:rPr>
          <w:rFonts w:ascii="ITC Avant Garde" w:hAnsi="ITC Avant Garde"/>
        </w:rPr>
        <w:t xml:space="preserve">los contratos </w:t>
      </w:r>
      <w:r w:rsidR="000135AC" w:rsidRPr="002A2450">
        <w:rPr>
          <w:rFonts w:ascii="ITC Avant Garde" w:hAnsi="ITC Avant Garde"/>
        </w:rPr>
        <w:t xml:space="preserve">conforme a la normatividad en materia contable y financiera </w:t>
      </w:r>
      <w:r w:rsidR="00595C37" w:rsidRPr="002A2450">
        <w:rPr>
          <w:rFonts w:ascii="ITC Avant Garde" w:hAnsi="ITC Avant Garde"/>
        </w:rPr>
        <w:t xml:space="preserve">no otorgan a </w:t>
      </w:r>
      <w:r w:rsidR="008907E6" w:rsidRPr="002A2450">
        <w:rPr>
          <w:rFonts w:ascii="ITC Avant Garde" w:hAnsi="ITC Avant Garde"/>
          <w:b/>
        </w:rPr>
        <w:t xml:space="preserve">“TELMEX” </w:t>
      </w:r>
      <w:r w:rsidR="00595C37" w:rsidRPr="002A2450">
        <w:rPr>
          <w:rFonts w:ascii="ITC Avant Garde" w:hAnsi="ITC Avant Garde"/>
        </w:rPr>
        <w:t xml:space="preserve">el control de </w:t>
      </w:r>
      <w:r w:rsidR="008907E6" w:rsidRPr="002A2450">
        <w:rPr>
          <w:rFonts w:ascii="ITC Avant Garde" w:hAnsi="ITC Avant Garde"/>
          <w:b/>
        </w:rPr>
        <w:t>“DISH MÉXICO”.</w:t>
      </w:r>
    </w:p>
    <w:p w14:paraId="53111D49" w14:textId="77777777" w:rsidR="00B35F13" w:rsidRDefault="008907E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cuanto a</w:t>
      </w:r>
      <w:r w:rsidRPr="002A2450">
        <w:rPr>
          <w:rFonts w:ascii="ITC Avant Garde" w:hAnsi="ITC Avant Garde"/>
          <w:b/>
        </w:rPr>
        <w:t xml:space="preserve"> </w:t>
      </w:r>
      <w:r w:rsidR="00595C37" w:rsidRPr="002A2450">
        <w:rPr>
          <w:rFonts w:ascii="ITC Avant Garde" w:hAnsi="ITC Avant Garde"/>
        </w:rPr>
        <w:t xml:space="preserve">si los contratos confieren control común o control conjunto para efecto de la </w:t>
      </w:r>
      <w:r w:rsidRPr="002A2450">
        <w:rPr>
          <w:rFonts w:ascii="ITC Avant Garde" w:hAnsi="ITC Avant Garde"/>
        </w:rPr>
        <w:t xml:space="preserve">NIIF-11 </w:t>
      </w:r>
      <w:r w:rsidR="00595C37" w:rsidRPr="002A2450">
        <w:rPr>
          <w:rFonts w:ascii="ITC Avant Garde" w:hAnsi="ITC Avant Garde"/>
        </w:rPr>
        <w:t>u otra norma financiera internacionalmente reconocida.</w:t>
      </w:r>
      <w:r w:rsidRPr="002A2450">
        <w:rPr>
          <w:rFonts w:ascii="ITC Avant Garde" w:hAnsi="ITC Avant Garde"/>
        </w:rPr>
        <w:t xml:space="preserve"> El perito manifiesta que </w:t>
      </w:r>
      <w:r w:rsidR="000135AC" w:rsidRPr="002A2450">
        <w:rPr>
          <w:rFonts w:ascii="ITC Avant Garde" w:hAnsi="ITC Avant Garde"/>
        </w:rPr>
        <w:t xml:space="preserve">la NIIF-11 define control conjunto como el reparto de control contractualmente decidido de un acuerdo que existe sólo cuando las decisiones sobre las actividades relevantes requieren el consentimiento unánime de las partes, de lo que se sigue que de conformidad con la normatividad contable y financiera </w:t>
      </w:r>
      <w:r w:rsidRPr="002A2450">
        <w:rPr>
          <w:rFonts w:ascii="ITC Avant Garde" w:hAnsi="ITC Avant Garde"/>
        </w:rPr>
        <w:t>los contratos</w:t>
      </w:r>
      <w:r w:rsidR="00595C37" w:rsidRPr="002A2450">
        <w:rPr>
          <w:rFonts w:ascii="ITC Avant Garde" w:hAnsi="ITC Avant Garde"/>
        </w:rPr>
        <w:t xml:space="preserve"> no reúnen las características de control conjunto ya que básicamente las decisiones sobre las actividades relevantes no requieren el consentimiento unánime de las partes y </w:t>
      </w:r>
      <w:r w:rsidR="000135AC" w:rsidRPr="002A2450">
        <w:rPr>
          <w:rFonts w:ascii="ITC Avant Garde" w:hAnsi="ITC Avant Garde"/>
        </w:rPr>
        <w:t xml:space="preserve">desde el punto de vista contable, </w:t>
      </w:r>
      <w:r w:rsidR="00595C37" w:rsidRPr="002A2450">
        <w:rPr>
          <w:rFonts w:ascii="ITC Avant Garde" w:hAnsi="ITC Avant Garde"/>
        </w:rPr>
        <w:t>éstas a su vez, consideradas de forma colectiva, no dirigen las actividades que afecten de forma significativa los rendimientos.</w:t>
      </w:r>
    </w:p>
    <w:p w14:paraId="7AAA6A09" w14:textId="77777777" w:rsidR="00B35F13" w:rsidRDefault="008907E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cuanto se refiere a</w:t>
      </w:r>
      <w:r w:rsidRPr="002A2450">
        <w:rPr>
          <w:rFonts w:ascii="ITC Avant Garde" w:hAnsi="ITC Avant Garde"/>
          <w:b/>
        </w:rPr>
        <w:t xml:space="preserve"> </w:t>
      </w:r>
      <w:r w:rsidR="00595C37" w:rsidRPr="002A2450">
        <w:rPr>
          <w:rFonts w:ascii="ITC Avant Garde" w:hAnsi="ITC Avant Garde"/>
        </w:rPr>
        <w:t xml:space="preserve">si las conductas de </w:t>
      </w:r>
      <w:r w:rsidRPr="002A2450">
        <w:rPr>
          <w:rFonts w:ascii="ITC Avant Garde" w:hAnsi="ITC Avant Garde"/>
          <w:b/>
        </w:rPr>
        <w:t xml:space="preserve">“TELMEX” </w:t>
      </w:r>
      <w:r w:rsidR="00595C37" w:rsidRPr="002A2450">
        <w:rPr>
          <w:rFonts w:ascii="ITC Avant Garde" w:hAnsi="ITC Avant Garde"/>
        </w:rPr>
        <w:t xml:space="preserve">mencionadas en el oficio, tales como su asistencia a reuniones son actividades para efectos de la </w:t>
      </w:r>
      <w:r w:rsidRPr="002A2450">
        <w:rPr>
          <w:rFonts w:ascii="ITC Avant Garde" w:hAnsi="ITC Avant Garde"/>
        </w:rPr>
        <w:t>NIIF 10</w:t>
      </w:r>
      <w:r w:rsidR="00595C37" w:rsidRPr="002A2450">
        <w:rPr>
          <w:rFonts w:ascii="ITC Avant Garde" w:hAnsi="ITC Avant Garde"/>
        </w:rPr>
        <w:t xml:space="preserve">, se podrían considerar como una dirección de las actividades de </w:t>
      </w:r>
      <w:r w:rsidRPr="002A2450">
        <w:rPr>
          <w:rFonts w:ascii="ITC Avant Garde" w:hAnsi="ITC Avant Garde"/>
          <w:b/>
        </w:rPr>
        <w:t xml:space="preserve">“DISH MÉXICO” </w:t>
      </w:r>
      <w:r w:rsidR="00595C37" w:rsidRPr="002A2450">
        <w:rPr>
          <w:rFonts w:ascii="ITC Avant Garde" w:hAnsi="ITC Avant Garde"/>
        </w:rPr>
        <w:t>que afectan de manera significativa a los retornos de la misma.</w:t>
      </w:r>
      <w:r w:rsidRPr="002A2450">
        <w:rPr>
          <w:rFonts w:ascii="ITC Avant Garde" w:hAnsi="ITC Avant Garde"/>
        </w:rPr>
        <w:t xml:space="preserve"> El perito </w:t>
      </w:r>
      <w:r w:rsidR="000135AC" w:rsidRPr="002A2450">
        <w:rPr>
          <w:rFonts w:ascii="ITC Avant Garde" w:hAnsi="ITC Avant Garde"/>
        </w:rPr>
        <w:t xml:space="preserve">manifiesta que la NIIF-11 define control conjunto como el reparto de control contractualmente decidido de un acuerdo que existe sólo cuando las decisiones sobre las actividades relevantes requieren el consentimiento </w:t>
      </w:r>
      <w:r w:rsidR="000135AC" w:rsidRPr="002A2450">
        <w:rPr>
          <w:rFonts w:ascii="ITC Avant Garde" w:hAnsi="ITC Avant Garde"/>
        </w:rPr>
        <w:lastRenderedPageBreak/>
        <w:t>unánime de las partes, de lo que se sigue que de conformidad con la normatividad contable y financiera</w:t>
      </w:r>
      <w:r w:rsidRPr="002A2450">
        <w:rPr>
          <w:rFonts w:ascii="ITC Avant Garde" w:hAnsi="ITC Avant Garde"/>
        </w:rPr>
        <w:t xml:space="preserve"> no corresponden a actividades que afecten de manera significativa.</w:t>
      </w:r>
    </w:p>
    <w:p w14:paraId="46A60230" w14:textId="77777777" w:rsidR="00B35F13" w:rsidRDefault="008907E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Por lo que hace a</w:t>
      </w:r>
      <w:r w:rsidRPr="002A2450">
        <w:rPr>
          <w:rFonts w:ascii="ITC Avant Garde" w:hAnsi="ITC Avant Garde"/>
          <w:b/>
        </w:rPr>
        <w:t xml:space="preserve"> </w:t>
      </w:r>
      <w:r w:rsidR="00595C37" w:rsidRPr="002A2450">
        <w:rPr>
          <w:rFonts w:ascii="ITC Avant Garde" w:hAnsi="ITC Avant Garde"/>
        </w:rPr>
        <w:t xml:space="preserve">si bajo la </w:t>
      </w:r>
      <w:r w:rsidRPr="002A2450">
        <w:rPr>
          <w:rFonts w:ascii="ITC Avant Garde" w:hAnsi="ITC Avant Garde"/>
        </w:rPr>
        <w:t>NIC 28</w:t>
      </w:r>
      <w:r w:rsidR="00595C37" w:rsidRPr="002A2450">
        <w:rPr>
          <w:rFonts w:ascii="ITC Avant Garde" w:hAnsi="ITC Avant Garde"/>
        </w:rPr>
        <w:t xml:space="preserve">, </w:t>
      </w:r>
      <w:r w:rsidR="000135AC" w:rsidRPr="002A2450">
        <w:rPr>
          <w:rFonts w:ascii="ITC Avant Garde" w:hAnsi="ITC Avant Garde"/>
        </w:rPr>
        <w:t xml:space="preserve">IAS </w:t>
      </w:r>
      <w:r w:rsidR="00595C37" w:rsidRPr="002A2450">
        <w:rPr>
          <w:rFonts w:ascii="ITC Avant Garde" w:hAnsi="ITC Avant Garde"/>
        </w:rPr>
        <w:t xml:space="preserve">28 o cualquier otra norma internacional </w:t>
      </w:r>
      <w:r w:rsidRPr="002A2450">
        <w:rPr>
          <w:rFonts w:ascii="ITC Avant Garde" w:hAnsi="ITC Avant Garde"/>
        </w:rPr>
        <w:t>l</w:t>
      </w:r>
      <w:r w:rsidR="00595C37" w:rsidRPr="002A2450">
        <w:rPr>
          <w:rFonts w:ascii="ITC Avant Garde" w:hAnsi="ITC Avant Garde"/>
        </w:rPr>
        <w:t xml:space="preserve">os contratos confieren a </w:t>
      </w:r>
      <w:r w:rsidRPr="002A2450">
        <w:rPr>
          <w:rFonts w:ascii="ITC Avant Garde" w:hAnsi="ITC Avant Garde"/>
          <w:b/>
        </w:rPr>
        <w:t xml:space="preserve">“TELMEX” </w:t>
      </w:r>
      <w:r w:rsidR="00595C37" w:rsidRPr="002A2450">
        <w:rPr>
          <w:rFonts w:ascii="ITC Avant Garde" w:hAnsi="ITC Avant Garde"/>
        </w:rPr>
        <w:t>y/</w:t>
      </w:r>
      <w:r w:rsidRPr="002A2450">
        <w:rPr>
          <w:rFonts w:ascii="ITC Avant Garde" w:hAnsi="ITC Avant Garde"/>
        </w:rPr>
        <w:t>o</w:t>
      </w:r>
      <w:r w:rsidR="00595C37" w:rsidRPr="002A2450">
        <w:rPr>
          <w:rFonts w:ascii="ITC Avant Garde" w:hAnsi="ITC Avant Garde"/>
        </w:rPr>
        <w:t xml:space="preserve"> a </w:t>
      </w:r>
      <w:r w:rsidRPr="002A2450">
        <w:rPr>
          <w:rFonts w:ascii="ITC Avant Garde" w:hAnsi="ITC Avant Garde"/>
          <w:b/>
        </w:rPr>
        <w:t xml:space="preserve">“TENINVER” </w:t>
      </w:r>
      <w:r w:rsidR="00595C37" w:rsidRPr="002A2450">
        <w:rPr>
          <w:rFonts w:ascii="ITC Avant Garde" w:hAnsi="ITC Avant Garde"/>
        </w:rPr>
        <w:t xml:space="preserve">influencia significativa en </w:t>
      </w:r>
      <w:r w:rsidRPr="002A2450">
        <w:rPr>
          <w:rFonts w:ascii="ITC Avant Garde" w:hAnsi="ITC Avant Garde"/>
          <w:b/>
        </w:rPr>
        <w:t xml:space="preserve">“DISH MÉXICO”, </w:t>
      </w:r>
      <w:r w:rsidRPr="002A2450">
        <w:rPr>
          <w:rFonts w:ascii="ITC Avant Garde" w:hAnsi="ITC Avant Garde"/>
        </w:rPr>
        <w:t xml:space="preserve">el perito señala que </w:t>
      </w:r>
      <w:r w:rsidR="000135AC" w:rsidRPr="002A2450">
        <w:rPr>
          <w:rFonts w:ascii="ITC Avant Garde" w:hAnsi="ITC Avant Garde"/>
        </w:rPr>
        <w:t>la NIC 28 dete</w:t>
      </w:r>
      <w:r w:rsidR="00452EE5" w:rsidRPr="002A2450">
        <w:rPr>
          <w:rFonts w:ascii="ITC Avant Garde" w:hAnsi="ITC Avant Garde"/>
        </w:rPr>
        <w:t>rmina las inversiones asociadas, dónde se presume que existe influencia significativa cuando un inversionista directa o indirectamente es propietario del diez por ciento</w:t>
      </w:r>
      <w:r w:rsidR="008F718E" w:rsidRPr="002A2450">
        <w:rPr>
          <w:rFonts w:ascii="ITC Avant Garde" w:hAnsi="ITC Avant Garde"/>
          <w:color w:val="C00000"/>
        </w:rPr>
        <w:t xml:space="preserve"> </w:t>
      </w:r>
      <w:r w:rsidR="00452EE5" w:rsidRPr="002A2450">
        <w:rPr>
          <w:rFonts w:ascii="ITC Avant Garde" w:hAnsi="ITC Avant Garde"/>
        </w:rPr>
        <w:t xml:space="preserve">o </w:t>
      </w:r>
      <w:r w:rsidR="00702143" w:rsidRPr="002A2450">
        <w:rPr>
          <w:rFonts w:ascii="ITC Avant Garde" w:hAnsi="ITC Avant Garde"/>
        </w:rPr>
        <w:t>más</w:t>
      </w:r>
      <w:r w:rsidR="00452EE5" w:rsidRPr="002A2450">
        <w:rPr>
          <w:rFonts w:ascii="ITC Avant Garde" w:hAnsi="ITC Avant Garde"/>
        </w:rPr>
        <w:t xml:space="preserve"> del poder de voto de la participada que cotiza en la bolsa o veinticinco por ciento de una participada que no cotiza en dicha bolsa, de lo que se sigue que los contratos </w:t>
      </w:r>
      <w:r w:rsidR="00595C37" w:rsidRPr="002A2450">
        <w:rPr>
          <w:rFonts w:ascii="ITC Avant Garde" w:hAnsi="ITC Avant Garde"/>
        </w:rPr>
        <w:t xml:space="preserve">no confieren a </w:t>
      </w:r>
      <w:r w:rsidRPr="002A2450">
        <w:rPr>
          <w:rFonts w:ascii="ITC Avant Garde" w:hAnsi="ITC Avant Garde"/>
          <w:b/>
        </w:rPr>
        <w:t xml:space="preserve">“TELMEX” </w:t>
      </w:r>
      <w:r w:rsidR="00595C37" w:rsidRPr="002A2450">
        <w:rPr>
          <w:rFonts w:ascii="ITC Avant Garde" w:hAnsi="ITC Avant Garde"/>
        </w:rPr>
        <w:t xml:space="preserve">y/o a </w:t>
      </w:r>
      <w:r w:rsidRPr="002A2450">
        <w:rPr>
          <w:rFonts w:ascii="ITC Avant Garde" w:hAnsi="ITC Avant Garde"/>
          <w:b/>
        </w:rPr>
        <w:t xml:space="preserve">“TENINVER” </w:t>
      </w:r>
      <w:r w:rsidR="00595C37" w:rsidRPr="002A2450">
        <w:rPr>
          <w:rFonts w:ascii="ITC Avant Garde" w:hAnsi="ITC Avant Garde"/>
        </w:rPr>
        <w:t xml:space="preserve">influencia significativa en </w:t>
      </w:r>
      <w:r w:rsidRPr="002A2450">
        <w:rPr>
          <w:rFonts w:ascii="ITC Avant Garde" w:hAnsi="ITC Avant Garde"/>
          <w:b/>
        </w:rPr>
        <w:t>“DISH MÉXICO”</w:t>
      </w:r>
      <w:r w:rsidR="00595C37" w:rsidRPr="002A2450">
        <w:rPr>
          <w:rFonts w:ascii="ITC Avant Garde" w:hAnsi="ITC Avant Garde"/>
        </w:rPr>
        <w:t>.</w:t>
      </w:r>
    </w:p>
    <w:p w14:paraId="6F579789" w14:textId="77777777" w:rsidR="00B35F13" w:rsidRDefault="008907E6"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cuanto</w:t>
      </w:r>
      <w:r w:rsidRPr="002A2450">
        <w:rPr>
          <w:rFonts w:ascii="ITC Avant Garde" w:hAnsi="ITC Avant Garde"/>
          <w:b/>
        </w:rPr>
        <w:t xml:space="preserve"> a </w:t>
      </w:r>
      <w:r w:rsidR="00595C37" w:rsidRPr="002A2450">
        <w:rPr>
          <w:rFonts w:ascii="ITC Avant Garde" w:hAnsi="ITC Avant Garde"/>
        </w:rPr>
        <w:t xml:space="preserve">si bajo las normas internacionales de información financiera, las supuestas "aportaciones" de </w:t>
      </w:r>
      <w:r w:rsidRPr="002A2450">
        <w:rPr>
          <w:rFonts w:ascii="ITC Avant Garde" w:hAnsi="ITC Avant Garde"/>
          <w:b/>
        </w:rPr>
        <w:t>“TELMEX”</w:t>
      </w:r>
      <w:r w:rsidR="00595C37" w:rsidRPr="002A2450">
        <w:rPr>
          <w:rFonts w:ascii="ITC Avant Garde" w:hAnsi="ITC Avant Garde"/>
        </w:rPr>
        <w:t>, mencionadas en el oficio debieron registrarse como aportaciones de capital</w:t>
      </w:r>
      <w:r w:rsidR="00C76FDF" w:rsidRPr="002A2450">
        <w:rPr>
          <w:rFonts w:ascii="ITC Avant Garde" w:hAnsi="ITC Avant Garde"/>
        </w:rPr>
        <w:t>, el perito manifiesta que</w:t>
      </w:r>
      <w:r w:rsidR="00595C37" w:rsidRPr="002A2450">
        <w:rPr>
          <w:rFonts w:ascii="ITC Avant Garde" w:hAnsi="ITC Avant Garde"/>
        </w:rPr>
        <w:t xml:space="preserve"> </w:t>
      </w:r>
      <w:r w:rsidR="00452EE5" w:rsidRPr="002A2450">
        <w:rPr>
          <w:rFonts w:ascii="ITC Avant Garde" w:hAnsi="ITC Avant Garde"/>
        </w:rPr>
        <w:t xml:space="preserve">desde el punto de vista contable no existe evidencia </w:t>
      </w:r>
      <w:r w:rsidR="00595C37" w:rsidRPr="002A2450">
        <w:rPr>
          <w:rFonts w:ascii="ITC Avant Garde" w:hAnsi="ITC Avant Garde"/>
        </w:rPr>
        <w:t xml:space="preserve">de ningún capital contribuido. </w:t>
      </w:r>
      <w:r w:rsidR="00C76FDF" w:rsidRPr="002A2450">
        <w:rPr>
          <w:rFonts w:ascii="ITC Avant Garde" w:hAnsi="ITC Avant Garde"/>
        </w:rPr>
        <w:t>C</w:t>
      </w:r>
      <w:r w:rsidR="00595C37" w:rsidRPr="002A2450">
        <w:rPr>
          <w:rFonts w:ascii="ITC Avant Garde" w:hAnsi="ITC Avant Garde"/>
        </w:rPr>
        <w:t xml:space="preserve">onsecuentemente no deben clasificarse, registrarse y revelarse </w:t>
      </w:r>
      <w:r w:rsidR="00452EE5" w:rsidRPr="002A2450">
        <w:rPr>
          <w:rFonts w:ascii="ITC Avant Garde" w:hAnsi="ITC Avant Garde"/>
        </w:rPr>
        <w:t>contablemente como aportaciones de capital</w:t>
      </w:r>
    </w:p>
    <w:p w14:paraId="2AE2334C" w14:textId="77777777" w:rsidR="00B35F13" w:rsidRDefault="00C76FDF" w:rsidP="007E623E">
      <w:pPr>
        <w:pStyle w:val="Prrafodelista"/>
        <w:numPr>
          <w:ilvl w:val="0"/>
          <w:numId w:val="44"/>
        </w:numPr>
        <w:spacing w:before="240" w:line="360" w:lineRule="auto"/>
        <w:ind w:left="567" w:hanging="567"/>
        <w:jc w:val="both"/>
        <w:rPr>
          <w:rFonts w:ascii="ITC Avant Garde" w:hAnsi="ITC Avant Garde"/>
        </w:rPr>
      </w:pPr>
      <w:r w:rsidRPr="002A2450">
        <w:rPr>
          <w:rFonts w:ascii="ITC Avant Garde" w:hAnsi="ITC Avant Garde"/>
        </w:rPr>
        <w:t>En lo que respecta a</w:t>
      </w:r>
      <w:r w:rsidRPr="002A2450">
        <w:rPr>
          <w:rFonts w:ascii="ITC Avant Garde" w:hAnsi="ITC Avant Garde"/>
          <w:b/>
        </w:rPr>
        <w:t xml:space="preserve"> </w:t>
      </w:r>
      <w:r w:rsidR="00595C37" w:rsidRPr="002A2450">
        <w:rPr>
          <w:rFonts w:ascii="ITC Avant Garde" w:hAnsi="ITC Avant Garde"/>
        </w:rPr>
        <w:t>si bajo las normas internacionales de información financiera, la opción de suscripción prevista en los contratos de opción, debe registrarse como si se hubiese ejercido desde noviembre de 2008.</w:t>
      </w:r>
      <w:r w:rsidRPr="002A2450">
        <w:rPr>
          <w:rFonts w:ascii="ITC Avant Garde" w:hAnsi="ITC Avant Garde"/>
        </w:rPr>
        <w:t xml:space="preserve"> El perito señala que </w:t>
      </w:r>
      <w:r w:rsidR="00595C37" w:rsidRPr="002A2450">
        <w:rPr>
          <w:rFonts w:ascii="ITC Avant Garde" w:hAnsi="ITC Avant Garde"/>
        </w:rPr>
        <w:t>al no existir el reconocimiento de derechos y obligaciones, que no se trata de una transacción exigible, que no es válido el reconocimiento de la opción de compra, que no implican derechos sustantivos que puedan ejercerse en el presente, que las opciones no están devengadas: la opción de suscripción prevista en el contrato de opción, no debe registrarse como si se hubiese ejercido desde noviembre de 2008.</w:t>
      </w:r>
    </w:p>
    <w:p w14:paraId="43D6A5FA" w14:textId="77777777" w:rsidR="00B35F13" w:rsidRDefault="00DB2ABE" w:rsidP="00B35F13">
      <w:pPr>
        <w:spacing w:before="240" w:line="360" w:lineRule="auto"/>
        <w:jc w:val="both"/>
        <w:rPr>
          <w:rFonts w:ascii="ITC Avant Garde" w:hAnsi="ITC Avant Garde"/>
        </w:rPr>
      </w:pPr>
      <w:r w:rsidRPr="002A2450">
        <w:rPr>
          <w:rFonts w:ascii="ITC Avant Garde" w:hAnsi="ITC Avant Garde"/>
        </w:rPr>
        <w:t>Con base en lo anterior, se puede señalar que el perito de esta autoridad concretamente refiere lo siguiente:</w:t>
      </w:r>
    </w:p>
    <w:p w14:paraId="4932F2C0" w14:textId="77777777" w:rsidR="00B35F13" w:rsidRDefault="00E45249"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lastRenderedPageBreak/>
        <w:t xml:space="preserve">La sustancia económica es el reconocimiento contable de las transacciones, transformaciones y otros eventos que afectan económicamente a una entidad, </w:t>
      </w:r>
      <w:r w:rsidR="000544C9" w:rsidRPr="002A2450">
        <w:rPr>
          <w:rFonts w:ascii="ITC Avant Garde" w:hAnsi="ITC Avant Garde"/>
          <w:b/>
          <w:u w:val="single"/>
        </w:rPr>
        <w:t xml:space="preserve">donde </w:t>
      </w:r>
      <w:r w:rsidRPr="002A2450">
        <w:rPr>
          <w:rFonts w:ascii="ITC Avant Garde" w:hAnsi="ITC Avant Garde"/>
          <w:b/>
          <w:u w:val="single"/>
        </w:rPr>
        <w:t xml:space="preserve">no debe </w:t>
      </w:r>
      <w:r w:rsidR="000544C9" w:rsidRPr="002A2450">
        <w:rPr>
          <w:rFonts w:ascii="ITC Avant Garde" w:hAnsi="ITC Avant Garde"/>
          <w:b/>
          <w:u w:val="single"/>
        </w:rPr>
        <w:t xml:space="preserve">privilegiarse </w:t>
      </w:r>
      <w:r w:rsidRPr="002A2450">
        <w:rPr>
          <w:rFonts w:ascii="ITC Avant Garde" w:hAnsi="ITC Avant Garde"/>
          <w:b/>
          <w:u w:val="single"/>
        </w:rPr>
        <w:t>la realidad económica de la entidad y no sólo la forma jurídica de las operaciones</w:t>
      </w:r>
      <w:r w:rsidRPr="002A2450">
        <w:rPr>
          <w:rFonts w:ascii="ITC Avant Garde" w:hAnsi="ITC Avant Garde"/>
        </w:rPr>
        <w:t xml:space="preserve">, </w:t>
      </w:r>
      <w:r w:rsidRPr="002A2450">
        <w:rPr>
          <w:rFonts w:ascii="ITC Avant Garde" w:hAnsi="ITC Avant Garde"/>
          <w:b/>
          <w:u w:val="single"/>
        </w:rPr>
        <w:t>puesto que la forma legal puede tener una apariencia diferente al auténtico fondo económico de la operación</w:t>
      </w:r>
      <w:r w:rsidRPr="002A2450">
        <w:rPr>
          <w:rFonts w:ascii="ITC Avant Garde" w:hAnsi="ITC Avant Garde"/>
        </w:rPr>
        <w:t>.</w:t>
      </w:r>
    </w:p>
    <w:p w14:paraId="49A321BE" w14:textId="77777777" w:rsidR="00B35F13" w:rsidRDefault="00E45249" w:rsidP="00B35F13">
      <w:pPr>
        <w:pStyle w:val="Prrafodelista"/>
        <w:spacing w:before="240" w:line="360" w:lineRule="auto"/>
        <w:jc w:val="both"/>
        <w:rPr>
          <w:rFonts w:ascii="ITC Avant Garde" w:hAnsi="ITC Avant Garde"/>
        </w:rPr>
      </w:pPr>
      <w:r w:rsidRPr="002A2450">
        <w:rPr>
          <w:rFonts w:ascii="ITC Avant Garde" w:hAnsi="ITC Avant Garde"/>
        </w:rPr>
        <w:t>Los efectos derivados de las transacciones deben reconocerse contablemente en su totalidad en el momento en el que ocurren, independientemente de la fecha en que se consideren realizados para fines contables.</w:t>
      </w:r>
    </w:p>
    <w:p w14:paraId="7D892387" w14:textId="77777777" w:rsidR="00B35F13" w:rsidRDefault="008825C1"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cuanto a los vínculos financieros o corporativos derivados de los contratos celebrados por </w:t>
      </w:r>
      <w:r w:rsidRPr="002A2450">
        <w:rPr>
          <w:rFonts w:ascii="ITC Avant Garde" w:hAnsi="ITC Avant Garde"/>
          <w:b/>
        </w:rPr>
        <w:t xml:space="preserve">“TELMEX”, </w:t>
      </w:r>
      <w:r w:rsidRPr="002A2450">
        <w:rPr>
          <w:rFonts w:ascii="ITC Avant Garde" w:hAnsi="ITC Avant Garde"/>
        </w:rPr>
        <w:t>el perito señala que al amparo de la normatividad contables señala que una operación puede tener una apariencia diferente al fondo económico,</w:t>
      </w:r>
      <w:r w:rsidRPr="002A2450">
        <w:rPr>
          <w:rFonts w:ascii="ITC Avant Garde" w:hAnsi="ITC Avant Garde"/>
          <w:b/>
          <w:u w:val="single"/>
        </w:rPr>
        <w:t xml:space="preserve"> por ende las formalidades jurídicas deben analizarse en un contexto adecuado a la luz de la sustancia económica a fin de no se tergiverse.</w:t>
      </w:r>
      <w:r w:rsidRPr="002A2450">
        <w:rPr>
          <w:rFonts w:ascii="ITC Avant Garde" w:hAnsi="ITC Avant Garde"/>
        </w:rPr>
        <w:t xml:space="preserve"> De acuerdo a un enfoque financiero el capital contable o patrimonio representa la porción del activo total que es financiada entre otros por los patrocinadores. Por tanto, un instrumento financiero es cualquier contrato que dé origen a un activo financiero.</w:t>
      </w:r>
    </w:p>
    <w:p w14:paraId="50C49430" w14:textId="77777777" w:rsidR="00B35F13" w:rsidRDefault="008825C1" w:rsidP="00B35F13">
      <w:pPr>
        <w:pStyle w:val="Prrafodelista"/>
        <w:spacing w:before="240" w:line="360" w:lineRule="auto"/>
        <w:jc w:val="both"/>
        <w:rPr>
          <w:rFonts w:ascii="ITC Avant Garde" w:hAnsi="ITC Avant Garde"/>
        </w:rPr>
      </w:pPr>
      <w:r w:rsidRPr="002A2450">
        <w:rPr>
          <w:rFonts w:ascii="ITC Avant Garde" w:hAnsi="ITC Avant Garde"/>
          <w:b/>
          <w:u w:val="single"/>
        </w:rPr>
        <w:t>El vínculo financiero se da a través o como consecuencia de transacciones donde se suministran, transfieren o intercambian bienes o servicios comprendidos</w:t>
      </w:r>
      <w:r w:rsidRPr="002A2450">
        <w:rPr>
          <w:rFonts w:ascii="ITC Avant Garde" w:hAnsi="ITC Avant Garde"/>
        </w:rPr>
        <w:t>. En ese sentido, se espera que por la transferencia de bienes o servicios a sus clientes, una entidad obtenga beneficios económicos cuantificados en términos monetarios o mejorando así su activo.</w:t>
      </w:r>
    </w:p>
    <w:p w14:paraId="647DB2DE" w14:textId="77777777" w:rsidR="00B35F13" w:rsidRDefault="008825C1"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respecta a que si los contratos otorgan el </w:t>
      </w:r>
      <w:r w:rsidRPr="002A2450">
        <w:rPr>
          <w:rFonts w:ascii="ITC Avant Garde" w:hAnsi="ITC Avant Garde"/>
          <w:b/>
          <w:u w:val="single"/>
        </w:rPr>
        <w:t>control</w:t>
      </w:r>
      <w:r w:rsidRPr="002A2450">
        <w:rPr>
          <w:rFonts w:ascii="ITC Avant Garde" w:hAnsi="ITC Avant Garde"/>
        </w:rPr>
        <w:t xml:space="preserve"> a </w:t>
      </w:r>
      <w:r w:rsidRPr="002A2450">
        <w:rPr>
          <w:rFonts w:ascii="ITC Avant Garde" w:hAnsi="ITC Avant Garde"/>
          <w:b/>
        </w:rPr>
        <w:t>“TELMEX”</w:t>
      </w:r>
      <w:r w:rsidRPr="002A2450">
        <w:rPr>
          <w:rFonts w:ascii="ITC Avant Garde" w:hAnsi="ITC Avant Garde"/>
        </w:rPr>
        <w:t xml:space="preserve">, el perito con base en la normatividad contable y financiera señala que la personalidad de la entidad económica es independiente de la de sus accionistas, propietarios o patrocinadores. La entidad económica se presume como una unidad identificable. Por tanto, </w:t>
      </w:r>
      <w:r w:rsidRPr="002A2450">
        <w:rPr>
          <w:rFonts w:ascii="ITC Avant Garde" w:hAnsi="ITC Avant Garde"/>
          <w:b/>
          <w:u w:val="single"/>
        </w:rPr>
        <w:t>existe control cuando entre otras cosas se tiene la capacidad presente de afectar los rendimiento</w:t>
      </w:r>
      <w:r w:rsidR="000725FF" w:rsidRPr="002A2450">
        <w:rPr>
          <w:rFonts w:ascii="ITC Avant Garde" w:hAnsi="ITC Avant Garde"/>
          <w:b/>
          <w:u w:val="single"/>
        </w:rPr>
        <w:t>s</w:t>
      </w:r>
      <w:r w:rsidRPr="002A2450">
        <w:rPr>
          <w:rFonts w:ascii="ITC Avant Garde" w:hAnsi="ITC Avant Garde"/>
        </w:rPr>
        <w:t xml:space="preserve"> </w:t>
      </w:r>
      <w:r w:rsidRPr="002A2450">
        <w:rPr>
          <w:rFonts w:ascii="ITC Avant Garde" w:hAnsi="ITC Avant Garde"/>
          <w:b/>
          <w:u w:val="single"/>
        </w:rPr>
        <w:lastRenderedPageBreak/>
        <w:t>a través de su poder</w:t>
      </w:r>
      <w:r w:rsidRPr="002A2450">
        <w:rPr>
          <w:rFonts w:ascii="ITC Avant Garde" w:hAnsi="ITC Avant Garde"/>
        </w:rPr>
        <w:t xml:space="preserve"> sobre una participada, esto es, </w:t>
      </w:r>
      <w:r w:rsidRPr="002A2450">
        <w:rPr>
          <w:rFonts w:ascii="ITC Avant Garde" w:hAnsi="ITC Avant Garde"/>
          <w:b/>
          <w:u w:val="single"/>
        </w:rPr>
        <w:t>cuando se tiene poder para dirigir actividades relevantes,</w:t>
      </w:r>
      <w:r w:rsidRPr="002A2450">
        <w:rPr>
          <w:rFonts w:ascii="ITC Avant Garde" w:hAnsi="ITC Avant Garde"/>
        </w:rPr>
        <w:t xml:space="preserve"> las cuales son aquellas que lleva a cabo una entidad y que afectan de forma significativa sus rendimientos. </w:t>
      </w:r>
      <w:r w:rsidRPr="002A2450">
        <w:rPr>
          <w:rFonts w:ascii="ITC Avant Garde" w:hAnsi="ITC Avant Garde"/>
          <w:b/>
          <w:u w:val="single"/>
        </w:rPr>
        <w:t>Un inversionista tiene poder sobre una participada cuando posee derechos que le otorgan capacidad presente de dirigir sus actividades relevantes</w:t>
      </w:r>
      <w:r w:rsidRPr="002A2450">
        <w:rPr>
          <w:rFonts w:ascii="ITC Avant Garde" w:hAnsi="ITC Avant Garde"/>
        </w:rPr>
        <w:t xml:space="preserve"> las cuales son relativas a establecer políticas estratégicas, operativas y financieras.</w:t>
      </w:r>
    </w:p>
    <w:p w14:paraId="54B711D9" w14:textId="77777777" w:rsidR="00B35F13" w:rsidRDefault="008825C1" w:rsidP="00B35F13">
      <w:pPr>
        <w:pStyle w:val="Prrafodelista"/>
        <w:spacing w:before="240" w:line="360" w:lineRule="auto"/>
        <w:jc w:val="both"/>
        <w:rPr>
          <w:rFonts w:ascii="ITC Avant Garde" w:hAnsi="ITC Avant Garde"/>
        </w:rPr>
      </w:pPr>
      <w:r w:rsidRPr="002A2450">
        <w:rPr>
          <w:rFonts w:ascii="ITC Avant Garde" w:hAnsi="ITC Avant Garde"/>
          <w:b/>
          <w:u w:val="single"/>
        </w:rPr>
        <w:t>El poder sobre una participada en principio se otorga sobre derechos. Sin embargo</w:t>
      </w:r>
      <w:r w:rsidR="000725FF" w:rsidRPr="002A2450">
        <w:rPr>
          <w:rFonts w:ascii="ITC Avant Garde" w:hAnsi="ITC Avant Garde"/>
          <w:b/>
          <w:u w:val="single"/>
        </w:rPr>
        <w:t>,</w:t>
      </w:r>
      <w:r w:rsidRPr="002A2450">
        <w:rPr>
          <w:rFonts w:ascii="ITC Avant Garde" w:hAnsi="ITC Avant Garde"/>
          <w:b/>
          <w:u w:val="single"/>
        </w:rPr>
        <w:t xml:space="preserve"> en otros casos es m</w:t>
      </w:r>
      <w:r w:rsidR="000725FF" w:rsidRPr="002A2450">
        <w:rPr>
          <w:rFonts w:ascii="ITC Avant Garde" w:hAnsi="ITC Avant Garde"/>
          <w:b/>
          <w:u w:val="single"/>
        </w:rPr>
        <w:t>ás complejos</w:t>
      </w:r>
      <w:r w:rsidRPr="002A2450">
        <w:rPr>
          <w:rFonts w:ascii="ITC Avant Garde" w:hAnsi="ITC Avant Garde"/>
        </w:rPr>
        <w:t xml:space="preserve"> y puede requerir el tener que considerar más de un factor, por ejemplo, </w:t>
      </w:r>
      <w:r w:rsidRPr="002A2450">
        <w:rPr>
          <w:rFonts w:ascii="ITC Avant Garde" w:hAnsi="ITC Avant Garde"/>
          <w:b/>
          <w:u w:val="single"/>
        </w:rPr>
        <w:t xml:space="preserve">cuando el poder procede </w:t>
      </w:r>
      <w:r w:rsidR="000725FF" w:rsidRPr="002A2450">
        <w:rPr>
          <w:rFonts w:ascii="ITC Avant Garde" w:hAnsi="ITC Avant Garde"/>
          <w:b/>
          <w:u w:val="single"/>
        </w:rPr>
        <w:t>de uno o más acuerdos contractuales</w:t>
      </w:r>
      <w:r w:rsidR="000725FF" w:rsidRPr="002A2450">
        <w:rPr>
          <w:rFonts w:ascii="ITC Avant Garde" w:hAnsi="ITC Avant Garde"/>
        </w:rPr>
        <w:t>.</w:t>
      </w:r>
    </w:p>
    <w:p w14:paraId="0F2CA099" w14:textId="4543CA5C" w:rsidR="000725FF" w:rsidRPr="002A2450" w:rsidRDefault="000725FF" w:rsidP="00B35F13">
      <w:pPr>
        <w:pStyle w:val="Prrafodelista"/>
        <w:spacing w:before="240" w:line="360" w:lineRule="auto"/>
        <w:jc w:val="both"/>
        <w:rPr>
          <w:rFonts w:ascii="ITC Avant Garde" w:hAnsi="ITC Avant Garde"/>
        </w:rPr>
      </w:pPr>
      <w:r w:rsidRPr="002A2450">
        <w:rPr>
          <w:rFonts w:ascii="ITC Avant Garde" w:hAnsi="ITC Avant Garde"/>
          <w:b/>
          <w:u w:val="single"/>
        </w:rPr>
        <w:t>Algunos ejemplos de poder con base en derechos son: vetar la realización de transacciones y derechos de toma de decisiones</w:t>
      </w:r>
      <w:r w:rsidRPr="002A2450">
        <w:rPr>
          <w:rFonts w:ascii="ITC Avant Garde" w:hAnsi="ITC Avant Garde"/>
        </w:rPr>
        <w:t>.</w:t>
      </w:r>
    </w:p>
    <w:p w14:paraId="129CA31D" w14:textId="77777777" w:rsidR="00B35F13" w:rsidRDefault="00C76A63" w:rsidP="00B35F13">
      <w:pPr>
        <w:pStyle w:val="Prrafodelista"/>
        <w:spacing w:before="240" w:line="360" w:lineRule="auto"/>
        <w:jc w:val="both"/>
        <w:rPr>
          <w:rFonts w:ascii="ITC Avant Garde" w:hAnsi="ITC Avant Garde"/>
        </w:rPr>
      </w:pPr>
      <w:r w:rsidRPr="002A2450">
        <w:rPr>
          <w:rFonts w:ascii="ITC Avant Garde" w:hAnsi="ITC Avant Garde"/>
        </w:rPr>
        <w:t>Estas consideraciones fueron replicadas en la pregunt</w:t>
      </w:r>
      <w:r w:rsidR="008D5983" w:rsidRPr="002A2450">
        <w:rPr>
          <w:rFonts w:ascii="ITC Avant Garde" w:hAnsi="ITC Avant Garde"/>
        </w:rPr>
        <w:t>a</w:t>
      </w:r>
      <w:r w:rsidRPr="002A2450">
        <w:rPr>
          <w:rFonts w:ascii="ITC Avant Garde" w:hAnsi="ITC Avant Garde"/>
        </w:rPr>
        <w:t xml:space="preserve"> relacionada para </w:t>
      </w:r>
      <w:r w:rsidR="008D5983" w:rsidRPr="002A2450">
        <w:rPr>
          <w:rFonts w:ascii="ITC Avant Garde" w:hAnsi="ITC Avant Garde"/>
        </w:rPr>
        <w:t>e</w:t>
      </w:r>
      <w:r w:rsidRPr="002A2450">
        <w:rPr>
          <w:rFonts w:ascii="ITC Avant Garde" w:hAnsi="ITC Avant Garde"/>
        </w:rPr>
        <w:t>l contrato</w:t>
      </w:r>
      <w:r w:rsidR="008D5983" w:rsidRPr="002A2450">
        <w:rPr>
          <w:rFonts w:ascii="ITC Avant Garde" w:hAnsi="ITC Avant Garde"/>
        </w:rPr>
        <w:t xml:space="preserve"> de consecuencia.</w:t>
      </w:r>
    </w:p>
    <w:p w14:paraId="584AE563" w14:textId="77777777" w:rsidR="00B35F13" w:rsidRDefault="000725FF"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cuanto a si los contratos otorgan control conjunto, el perito manifiesta que con base en la normatividad contable y financiera señala que </w:t>
      </w:r>
      <w:r w:rsidRPr="002A2450">
        <w:rPr>
          <w:rFonts w:ascii="ITC Avant Garde" w:hAnsi="ITC Avant Garde"/>
          <w:b/>
          <w:u w:val="single"/>
        </w:rPr>
        <w:t>el control conjunto o negocio conjunto puede tener una forma jurídica similar o diferente a la de la tenedora como por ejemplo una entidad estructurada</w:t>
      </w:r>
      <w:r w:rsidRPr="002A2450">
        <w:rPr>
          <w:rFonts w:ascii="ITC Avant Garde" w:hAnsi="ITC Avant Garde"/>
        </w:rPr>
        <w:t>.</w:t>
      </w:r>
    </w:p>
    <w:p w14:paraId="0B6615BE" w14:textId="77777777" w:rsidR="00B35F13" w:rsidRDefault="000725FF" w:rsidP="00B35F13">
      <w:pPr>
        <w:pStyle w:val="Prrafodelista"/>
        <w:spacing w:before="240" w:line="360" w:lineRule="auto"/>
        <w:jc w:val="both"/>
        <w:rPr>
          <w:rFonts w:ascii="ITC Avant Garde" w:hAnsi="ITC Avant Garde"/>
        </w:rPr>
      </w:pPr>
      <w:r w:rsidRPr="002A2450">
        <w:rPr>
          <w:rFonts w:ascii="ITC Avant Garde" w:hAnsi="ITC Avant Garde"/>
        </w:rPr>
        <w:t>Una entidad estructurada es una entidad diseñada estructu</w:t>
      </w:r>
      <w:r w:rsidR="00C76A63" w:rsidRPr="002A2450">
        <w:rPr>
          <w:rFonts w:ascii="ITC Avant Garde" w:hAnsi="ITC Avant Garde"/>
        </w:rPr>
        <w:t>rada</w:t>
      </w:r>
      <w:r w:rsidRPr="002A2450">
        <w:rPr>
          <w:rFonts w:ascii="ITC Avant Garde" w:hAnsi="ITC Avant Garde"/>
        </w:rPr>
        <w:t xml:space="preserve">, en principio por derechos de voto, </w:t>
      </w:r>
      <w:r w:rsidRPr="002A2450">
        <w:rPr>
          <w:rFonts w:ascii="ITC Avant Garde" w:hAnsi="ITC Avant Garde"/>
          <w:b/>
          <w:u w:val="single"/>
        </w:rPr>
        <w:t>pero puede darse un control o influencia significativa cuando se trate de tareas administrativas o asuntos corporativos y/o actividades que se dirijan por medio de acuerdos contractuales</w:t>
      </w:r>
      <w:r w:rsidRPr="002A2450">
        <w:rPr>
          <w:rFonts w:ascii="ITC Avant Garde" w:hAnsi="ITC Avant Garde"/>
        </w:rPr>
        <w:t xml:space="preserve">. </w:t>
      </w:r>
    </w:p>
    <w:p w14:paraId="0FD76999" w14:textId="77777777" w:rsidR="00B35F13" w:rsidRDefault="000725FF" w:rsidP="00B35F13">
      <w:pPr>
        <w:pStyle w:val="Prrafodelista"/>
        <w:spacing w:before="240" w:line="360" w:lineRule="auto"/>
        <w:jc w:val="both"/>
        <w:rPr>
          <w:rFonts w:ascii="ITC Avant Garde" w:hAnsi="ITC Avant Garde"/>
        </w:rPr>
      </w:pPr>
      <w:r w:rsidRPr="002A2450">
        <w:rPr>
          <w:rFonts w:ascii="ITC Avant Garde" w:hAnsi="ITC Avant Garde"/>
        </w:rPr>
        <w:t>Asimismo abunda el perito señalando que, el control conjunto es un convenio que regula actividades sobre las cuales dos o más empresas mantienen control conjunto, sin embargo, puntualiza que las operaciones conjuntas pueden o no estructurarse a través de un vehículo, mientas que los negocios conjuntos siempre tienen un vehículo para su ejecución.</w:t>
      </w:r>
    </w:p>
    <w:p w14:paraId="142D755A" w14:textId="77777777" w:rsidR="00B35F13" w:rsidRDefault="000725FF" w:rsidP="00B35F13">
      <w:pPr>
        <w:pStyle w:val="Prrafodelista"/>
        <w:spacing w:before="240" w:line="360" w:lineRule="auto"/>
        <w:jc w:val="both"/>
        <w:rPr>
          <w:rFonts w:ascii="ITC Avant Garde" w:hAnsi="ITC Avant Garde"/>
        </w:rPr>
      </w:pPr>
      <w:r w:rsidRPr="002A2450">
        <w:rPr>
          <w:rFonts w:ascii="ITC Avant Garde" w:hAnsi="ITC Avant Garde"/>
          <w:b/>
          <w:u w:val="single"/>
        </w:rPr>
        <w:lastRenderedPageBreak/>
        <w:t>Por tanto, independientemente de la forma legal que adopte el acuerdo de control conjunto, este debe reconocerse de acuerdo con su sustancia económica</w:t>
      </w:r>
      <w:r w:rsidRPr="002A2450">
        <w:rPr>
          <w:rFonts w:ascii="ITC Avant Garde" w:hAnsi="ITC Avant Garde"/>
        </w:rPr>
        <w:t>.</w:t>
      </w:r>
    </w:p>
    <w:p w14:paraId="0A750364" w14:textId="77777777" w:rsidR="00B35F13" w:rsidRDefault="00C76A63" w:rsidP="00B35F13">
      <w:pPr>
        <w:pStyle w:val="Prrafodelista"/>
        <w:spacing w:before="240" w:line="360" w:lineRule="auto"/>
        <w:jc w:val="both"/>
        <w:rPr>
          <w:rFonts w:ascii="ITC Avant Garde" w:hAnsi="ITC Avant Garde"/>
        </w:rPr>
      </w:pPr>
      <w:r w:rsidRPr="002A2450">
        <w:rPr>
          <w:rFonts w:ascii="ITC Avant Garde" w:hAnsi="ITC Avant Garde"/>
        </w:rPr>
        <w:t>Una entidad debe identificar el tipo de acuerdo en el que está involucrada, por ello se debe de utilizar el juicio profesional considerando aspectos como:</w:t>
      </w:r>
    </w:p>
    <w:p w14:paraId="539FE864" w14:textId="2EFBBC56" w:rsidR="00C76A63" w:rsidRPr="002A2450" w:rsidRDefault="00C76A63" w:rsidP="007E623E">
      <w:pPr>
        <w:pStyle w:val="Prrafodelista"/>
        <w:numPr>
          <w:ilvl w:val="0"/>
          <w:numId w:val="58"/>
        </w:numPr>
        <w:spacing w:before="240" w:line="360" w:lineRule="auto"/>
        <w:jc w:val="both"/>
        <w:rPr>
          <w:rFonts w:ascii="ITC Avant Garde" w:hAnsi="ITC Avant Garde"/>
        </w:rPr>
      </w:pPr>
      <w:r w:rsidRPr="002A2450">
        <w:rPr>
          <w:rFonts w:ascii="ITC Avant Garde" w:hAnsi="ITC Avant Garde"/>
        </w:rPr>
        <w:t>La estructura y forma jurídica del</w:t>
      </w:r>
      <w:r w:rsidR="00780F36" w:rsidRPr="002A2450">
        <w:rPr>
          <w:rFonts w:ascii="ITC Avant Garde" w:hAnsi="ITC Avant Garde"/>
        </w:rPr>
        <w:t xml:space="preserve"> </w:t>
      </w:r>
      <w:r w:rsidRPr="002A2450">
        <w:rPr>
          <w:rFonts w:ascii="ITC Avant Garde" w:hAnsi="ITC Avant Garde"/>
        </w:rPr>
        <w:t>acuerdo</w:t>
      </w:r>
    </w:p>
    <w:p w14:paraId="38A335C5" w14:textId="77777777" w:rsidR="00C76A63" w:rsidRPr="002A2450" w:rsidRDefault="00C76A63" w:rsidP="007E623E">
      <w:pPr>
        <w:pStyle w:val="Prrafodelista"/>
        <w:numPr>
          <w:ilvl w:val="0"/>
          <w:numId w:val="58"/>
        </w:numPr>
        <w:spacing w:before="240" w:line="360" w:lineRule="auto"/>
        <w:jc w:val="both"/>
        <w:rPr>
          <w:rFonts w:ascii="ITC Avant Garde" w:hAnsi="ITC Avant Garde"/>
        </w:rPr>
      </w:pPr>
      <w:r w:rsidRPr="002A2450">
        <w:rPr>
          <w:rFonts w:ascii="ITC Avant Garde" w:hAnsi="ITC Avant Garde"/>
        </w:rPr>
        <w:t>Los términos establecidos por las partes</w:t>
      </w:r>
    </w:p>
    <w:p w14:paraId="6852A08E" w14:textId="77777777" w:rsidR="00C76A63" w:rsidRPr="002A2450" w:rsidRDefault="00C76A63" w:rsidP="007E623E">
      <w:pPr>
        <w:pStyle w:val="Prrafodelista"/>
        <w:numPr>
          <w:ilvl w:val="0"/>
          <w:numId w:val="58"/>
        </w:numPr>
        <w:spacing w:before="240" w:line="360" w:lineRule="auto"/>
        <w:jc w:val="both"/>
        <w:rPr>
          <w:rFonts w:ascii="ITC Avant Garde" w:hAnsi="ITC Avant Garde"/>
        </w:rPr>
      </w:pPr>
      <w:r w:rsidRPr="002A2450">
        <w:rPr>
          <w:rFonts w:ascii="ITC Avant Garde" w:hAnsi="ITC Avant Garde"/>
        </w:rPr>
        <w:t>Estatutos del acuerdo</w:t>
      </w:r>
    </w:p>
    <w:p w14:paraId="6630BFAB" w14:textId="77777777" w:rsidR="00B35F13" w:rsidRDefault="00C76A63" w:rsidP="007E623E">
      <w:pPr>
        <w:pStyle w:val="Prrafodelista"/>
        <w:numPr>
          <w:ilvl w:val="0"/>
          <w:numId w:val="58"/>
        </w:numPr>
        <w:spacing w:before="240" w:line="360" w:lineRule="auto"/>
        <w:jc w:val="both"/>
        <w:rPr>
          <w:rFonts w:ascii="ITC Avant Garde" w:hAnsi="ITC Avant Garde"/>
        </w:rPr>
      </w:pPr>
      <w:r w:rsidRPr="002A2450">
        <w:rPr>
          <w:rFonts w:ascii="ITC Avant Garde" w:hAnsi="ITC Avant Garde"/>
        </w:rPr>
        <w:t>Circunstancias cuando sean relevantes</w:t>
      </w:r>
    </w:p>
    <w:p w14:paraId="6DE83BCC" w14:textId="77777777" w:rsidR="00B35F13" w:rsidRDefault="00C76A63"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cuanto al hecho de considerar que la asistencia a reuniones se podrían considerar como una dirección de actividades, debe advertirse que del análisis realizado por esta autoridad a la respuesta otorgada por el perito se puede corroborar que no existe norma contable o financiera que determine o no la pregunta formulada por el </w:t>
      </w:r>
      <w:r w:rsidRPr="002A2450">
        <w:rPr>
          <w:rFonts w:ascii="ITC Avant Garde" w:hAnsi="ITC Avant Garde"/>
          <w:b/>
        </w:rPr>
        <w:t>“TELMEX”</w:t>
      </w:r>
      <w:r w:rsidRPr="002A2450">
        <w:rPr>
          <w:rFonts w:ascii="ITC Avant Garde" w:hAnsi="ITC Avant Garde"/>
        </w:rPr>
        <w:t xml:space="preserve"> de lo que se sigue que la respuesta otorgada por el citado profesionista no resulta ser concluyente y por ello, insuficiente para ser considerada por esta autoridad.</w:t>
      </w:r>
    </w:p>
    <w:p w14:paraId="3264CF81" w14:textId="77777777" w:rsidR="00B35F13" w:rsidRDefault="005B797E" w:rsidP="00B35F13">
      <w:pPr>
        <w:pStyle w:val="Prrafodelista"/>
        <w:spacing w:before="240" w:line="360" w:lineRule="auto"/>
        <w:jc w:val="both"/>
        <w:rPr>
          <w:rFonts w:ascii="ITC Avant Garde" w:hAnsi="ITC Avant Garde"/>
        </w:rPr>
      </w:pPr>
      <w:r w:rsidRPr="002A2450">
        <w:rPr>
          <w:rFonts w:ascii="ITC Avant Garde" w:hAnsi="ITC Avant Garde"/>
        </w:rPr>
        <w:t xml:space="preserve">Con relación al tema en cuestión, </w:t>
      </w:r>
      <w:r w:rsidRPr="002A2450">
        <w:rPr>
          <w:rFonts w:ascii="ITC Avant Garde" w:hAnsi="ITC Avant Garde"/>
          <w:b/>
        </w:rPr>
        <w:t>“TELMEX”</w:t>
      </w:r>
      <w:r w:rsidRPr="002A2450">
        <w:rPr>
          <w:rFonts w:ascii="ITC Avant Garde" w:hAnsi="ITC Avant Garde"/>
        </w:rPr>
        <w:t xml:space="preserve"> señaló si dichas reuniones en términos de la NIIF-10 podrían considerarse como una dirección de actividades, el perito con base en la normatividad contable y financiera señaló que dirigir actividades es sólo una de las formas en que puede log</w:t>
      </w:r>
      <w:r w:rsidR="002F6358" w:rsidRPr="002A2450">
        <w:rPr>
          <w:rFonts w:ascii="ITC Avant Garde" w:hAnsi="ITC Avant Garde"/>
        </w:rPr>
        <w:t>r</w:t>
      </w:r>
      <w:r w:rsidRPr="002A2450">
        <w:rPr>
          <w:rFonts w:ascii="ITC Avant Garde" w:hAnsi="ITC Avant Garde"/>
        </w:rPr>
        <w:t xml:space="preserve">arse el poder puesto que </w:t>
      </w:r>
      <w:r w:rsidRPr="002A2450">
        <w:rPr>
          <w:rFonts w:ascii="ITC Avant Garde" w:hAnsi="ITC Avant Garde"/>
          <w:b/>
          <w:u w:val="single"/>
        </w:rPr>
        <w:t>dirigir las políticas operativas y financieras de una participada no se aplicaría necesariamente a participadas que no estén dirigidas a través del cotos o derechos similares</w:t>
      </w:r>
      <w:r w:rsidRPr="002A2450">
        <w:rPr>
          <w:rFonts w:ascii="ITC Avant Garde" w:hAnsi="ITC Avant Garde"/>
        </w:rPr>
        <w:t xml:space="preserve">, así como que </w:t>
      </w:r>
      <w:r w:rsidRPr="002A2450">
        <w:rPr>
          <w:rFonts w:ascii="ITC Avant Garde" w:hAnsi="ITC Avant Garde"/>
          <w:b/>
          <w:u w:val="single"/>
        </w:rPr>
        <w:t>un inversor con menos de la mitad de los derechos de voto de una participada podría no tener poder a menos que tuviera derechos legales o contractuales</w:t>
      </w:r>
      <w:r w:rsidRPr="002A2450">
        <w:rPr>
          <w:rFonts w:ascii="ITC Avant Garde" w:hAnsi="ITC Avant Garde"/>
        </w:rPr>
        <w:t>.</w:t>
      </w:r>
    </w:p>
    <w:p w14:paraId="2A9ABF98" w14:textId="77777777" w:rsidR="00B35F13" w:rsidRDefault="005B797E" w:rsidP="00B35F13">
      <w:pPr>
        <w:pStyle w:val="Prrafodelista"/>
        <w:spacing w:before="240" w:line="360" w:lineRule="auto"/>
        <w:jc w:val="both"/>
        <w:rPr>
          <w:rFonts w:ascii="ITC Avant Garde" w:hAnsi="ITC Avant Garde"/>
        </w:rPr>
      </w:pPr>
      <w:r w:rsidRPr="002A2450">
        <w:rPr>
          <w:rFonts w:ascii="ITC Avant Garde" w:hAnsi="ITC Avant Garde"/>
        </w:rPr>
        <w:t xml:space="preserve">Asimismo advirtió que en términos del </w:t>
      </w:r>
      <w:r w:rsidRPr="002A2450">
        <w:rPr>
          <w:rFonts w:ascii="ITC Avant Garde" w:hAnsi="ITC Avant Garde"/>
          <w:b/>
          <w:u w:val="single"/>
        </w:rPr>
        <w:t xml:space="preserve">Consejo de Normas Internacionales </w:t>
      </w:r>
      <w:r w:rsidRPr="002A2450">
        <w:rPr>
          <w:rFonts w:ascii="ITC Avant Garde" w:hAnsi="ITC Avant Garde"/>
          <w:u w:val="single"/>
        </w:rPr>
        <w:t>que existen situaciones en las que los derechos de voto potenciales sustantivos pueden dar al tenedor poder antes de su ejercicio o coinversión para obtener esos derechos.</w:t>
      </w:r>
    </w:p>
    <w:p w14:paraId="70BD8F68" w14:textId="77777777" w:rsidR="00B35F13" w:rsidRDefault="00C76A63"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lastRenderedPageBreak/>
        <w:t xml:space="preserve">Respecto a que si los contratos confieren influencia significativa a </w:t>
      </w:r>
      <w:r w:rsidRPr="002A2450">
        <w:rPr>
          <w:rFonts w:ascii="ITC Avant Garde" w:hAnsi="ITC Avant Garde"/>
          <w:b/>
        </w:rPr>
        <w:t>“TELMEX”</w:t>
      </w:r>
      <w:r w:rsidRPr="002A2450">
        <w:rPr>
          <w:rFonts w:ascii="ITC Avant Garde" w:hAnsi="ITC Avant Garde"/>
        </w:rPr>
        <w:t xml:space="preserve"> sobre </w:t>
      </w:r>
      <w:r w:rsidRPr="002A2450">
        <w:rPr>
          <w:rFonts w:ascii="ITC Avant Garde" w:hAnsi="ITC Avant Garde"/>
          <w:b/>
        </w:rPr>
        <w:t>“DISH”</w:t>
      </w:r>
      <w:r w:rsidRPr="002A2450">
        <w:rPr>
          <w:rFonts w:ascii="ITC Avant Garde" w:hAnsi="ITC Avant Garde"/>
        </w:rPr>
        <w:t>,</w:t>
      </w:r>
      <w:r w:rsidR="008F718E" w:rsidRPr="002A2450">
        <w:rPr>
          <w:rFonts w:ascii="ITC Avant Garde" w:hAnsi="ITC Avant Garde"/>
          <w:color w:val="C00000"/>
        </w:rPr>
        <w:t xml:space="preserve"> </w:t>
      </w:r>
      <w:r w:rsidRPr="002A2450">
        <w:rPr>
          <w:rFonts w:ascii="ITC Avant Garde" w:hAnsi="ITC Avant Garde"/>
        </w:rPr>
        <w:t>el perito manifiesta que con base en la normatividad contable y financiera, influencia significativa es el poder para participar en decidir las políticas financieras y de operación de una entidad sin llegar a tener el control.</w:t>
      </w:r>
    </w:p>
    <w:p w14:paraId="5BC495BD" w14:textId="77777777" w:rsidR="00B35F13" w:rsidRDefault="00C76A63" w:rsidP="00B35F13">
      <w:pPr>
        <w:pStyle w:val="Prrafodelista"/>
        <w:spacing w:before="240" w:line="360" w:lineRule="auto"/>
        <w:jc w:val="both"/>
        <w:rPr>
          <w:rFonts w:ascii="ITC Avant Garde" w:hAnsi="ITC Avant Garde"/>
        </w:rPr>
      </w:pPr>
      <w:r w:rsidRPr="002A2450">
        <w:rPr>
          <w:rFonts w:ascii="ITC Avant Garde" w:hAnsi="ITC Avant Garde"/>
        </w:rPr>
        <w:t xml:space="preserve">El perito manifiesta que salvo que sea claramente demostrable por otras circunstancias, </w:t>
      </w:r>
      <w:r w:rsidRPr="002A2450">
        <w:rPr>
          <w:rFonts w:ascii="ITC Avant Garde" w:hAnsi="ITC Avant Garde"/>
          <w:b/>
          <w:u w:val="single"/>
        </w:rPr>
        <w:t>hay evidencia de influencia significativa entre otros casos cuando: se participa en los procesos de fijación de políticas financieras y operativas de la participada y cuando se participa en las decisiones sobre derechos de dividendos y otros movimientos de propietarios de la participada</w:t>
      </w:r>
      <w:r w:rsidRPr="002A2450">
        <w:rPr>
          <w:rFonts w:ascii="ITC Avant Garde" w:hAnsi="ITC Avant Garde"/>
        </w:rPr>
        <w:t>.</w:t>
      </w:r>
    </w:p>
    <w:p w14:paraId="700B1844" w14:textId="77777777" w:rsidR="00B35F13" w:rsidRDefault="005B797E" w:rsidP="00B35F13">
      <w:pPr>
        <w:pStyle w:val="Prrafodelista"/>
        <w:spacing w:before="240" w:line="360" w:lineRule="auto"/>
        <w:jc w:val="both"/>
        <w:rPr>
          <w:rFonts w:ascii="ITC Avant Garde" w:hAnsi="ITC Avant Garde"/>
        </w:rPr>
      </w:pPr>
      <w:r w:rsidRPr="002A2450">
        <w:rPr>
          <w:rFonts w:ascii="ITC Avant Garde" w:hAnsi="ITC Avant Garde"/>
        </w:rPr>
        <w:t xml:space="preserve">En el mismo sentido, </w:t>
      </w:r>
      <w:r w:rsidRPr="002A2450">
        <w:rPr>
          <w:rFonts w:ascii="ITC Avant Garde" w:hAnsi="ITC Avant Garde"/>
          <w:b/>
        </w:rPr>
        <w:t>“TELMEX”</w:t>
      </w:r>
      <w:r w:rsidRPr="002A2450">
        <w:rPr>
          <w:rFonts w:ascii="ITC Avant Garde" w:hAnsi="ITC Avant Garde"/>
        </w:rPr>
        <w:t xml:space="preserve"> señaló si en términos de las NIC, IAS 28 u otra normatividad internacional los contratos confieren influencia significativa, al respecto el perito señaló que en términos de la normatividad contable y financiera la influencia significativa es el poder de intervenir en las decisiones de política financiera y de explotación de la participada</w:t>
      </w:r>
      <w:r w:rsidR="00BA6AD8" w:rsidRPr="002A2450">
        <w:rPr>
          <w:rFonts w:ascii="ITC Avant Garde" w:hAnsi="ITC Avant Garde"/>
        </w:rPr>
        <w:t>, en ese sentido</w:t>
      </w:r>
      <w:r w:rsidR="00BA6AD8" w:rsidRPr="002A2450">
        <w:rPr>
          <w:rFonts w:ascii="ITC Avant Garde" w:hAnsi="ITC Avant Garde"/>
          <w:b/>
          <w:u w:val="single"/>
        </w:rPr>
        <w:t>, se presume influencia significativa la participación en los procesos de fijación de políticas sobre dividendos y otras distribuciones, transacciones o suministro de información técnica esencial</w:t>
      </w:r>
      <w:r w:rsidR="00BA6AD8" w:rsidRPr="002A2450">
        <w:rPr>
          <w:rFonts w:ascii="ITC Avant Garde" w:hAnsi="ITC Avant Garde"/>
        </w:rPr>
        <w:t>.</w:t>
      </w:r>
    </w:p>
    <w:p w14:paraId="70C5F084" w14:textId="77777777" w:rsidR="00B35F13" w:rsidRDefault="003473FE"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En lo que respecta a si los contratos obligan a las partes al reconocimiento de derechos y obligaciones dentro de los libros contables el perito señala que con base en la normatividad contable y financiera </w:t>
      </w:r>
      <w:r w:rsidRPr="002A2450">
        <w:rPr>
          <w:rFonts w:ascii="ITC Avant Garde" w:hAnsi="ITC Avant Garde"/>
          <w:b/>
          <w:u w:val="single"/>
        </w:rPr>
        <w:t>el reconocimiento contable es un proceso que implica evaluar, presentar o revelar</w:t>
      </w:r>
      <w:r w:rsidR="006A36BA" w:rsidRPr="002A2450">
        <w:rPr>
          <w:rFonts w:ascii="ITC Avant Garde" w:hAnsi="ITC Avant Garde"/>
          <w:b/>
          <w:u w:val="single"/>
        </w:rPr>
        <w:t xml:space="preserve"> los efectos de las transacciones</w:t>
      </w:r>
      <w:r w:rsidR="006A36BA" w:rsidRPr="002A2450">
        <w:rPr>
          <w:rFonts w:ascii="ITC Avant Garde" w:hAnsi="ITC Avant Garde"/>
        </w:rPr>
        <w:t>, transformaciones internas y otros eventos</w:t>
      </w:r>
      <w:r w:rsidRPr="002A2450">
        <w:rPr>
          <w:rFonts w:ascii="ITC Avant Garde" w:hAnsi="ITC Avant Garde"/>
        </w:rPr>
        <w:t xml:space="preserve">. </w:t>
      </w:r>
      <w:r w:rsidRPr="002A2450">
        <w:rPr>
          <w:rFonts w:ascii="ITC Avant Garde" w:hAnsi="ITC Avant Garde"/>
          <w:b/>
          <w:u w:val="single"/>
        </w:rPr>
        <w:t>El sólo hecho de revelar no implica su reconocimiento</w:t>
      </w:r>
      <w:r w:rsidRPr="002A2450">
        <w:rPr>
          <w:rFonts w:ascii="ITC Avant Garde" w:hAnsi="ITC Avant Garde"/>
        </w:rPr>
        <w:t xml:space="preserve">. El reconocimiento como tal tiene un momento o etapa inicial que es el proceso de valuar, presentar y revelar; en tanto que la segunda etapa, es un procedimiento de modificación de la partida inicialmente reconocida. </w:t>
      </w:r>
    </w:p>
    <w:p w14:paraId="113968CC" w14:textId="77777777" w:rsidR="00B35F13" w:rsidRDefault="003473FE" w:rsidP="00B35F13">
      <w:pPr>
        <w:pStyle w:val="Prrafodelista"/>
        <w:spacing w:before="240" w:line="360" w:lineRule="auto"/>
        <w:jc w:val="both"/>
        <w:rPr>
          <w:rFonts w:ascii="ITC Avant Garde" w:hAnsi="ITC Avant Garde"/>
        </w:rPr>
      </w:pPr>
      <w:r w:rsidRPr="002A2450">
        <w:rPr>
          <w:rFonts w:ascii="ITC Avant Garde" w:hAnsi="ITC Avant Garde"/>
        </w:rPr>
        <w:lastRenderedPageBreak/>
        <w:t xml:space="preserve">Ahora bien, </w:t>
      </w:r>
      <w:r w:rsidRPr="002A2450">
        <w:rPr>
          <w:rFonts w:ascii="ITC Avant Garde" w:hAnsi="ITC Avant Garde"/>
          <w:b/>
          <w:u w:val="single"/>
        </w:rPr>
        <w:t xml:space="preserve">el reconocimiento tiene grados de incertidumbre dentro de los cuales se encuentra el </w:t>
      </w:r>
      <w:r w:rsidRPr="002A2450">
        <w:rPr>
          <w:rFonts w:ascii="ITC Avant Garde" w:hAnsi="ITC Avant Garde"/>
          <w:b/>
          <w:i/>
          <w:u w:val="single"/>
        </w:rPr>
        <w:t>probable</w:t>
      </w:r>
      <w:r w:rsidRPr="002A2450">
        <w:rPr>
          <w:rFonts w:ascii="ITC Avant Garde" w:hAnsi="ITC Avant Garde"/>
          <w:b/>
          <w:u w:val="single"/>
        </w:rPr>
        <w:t>, esto es, existe alta certeza de que el suceso futuro ocurrirá</w:t>
      </w:r>
      <w:r w:rsidRPr="002A2450">
        <w:rPr>
          <w:rFonts w:ascii="ITC Avant Garde" w:hAnsi="ITC Avant Garde"/>
        </w:rPr>
        <w:t xml:space="preserve">. </w:t>
      </w:r>
    </w:p>
    <w:p w14:paraId="69695D54" w14:textId="77777777" w:rsidR="00B35F13" w:rsidRDefault="003473FE" w:rsidP="00B35F13">
      <w:pPr>
        <w:pStyle w:val="Prrafodelista"/>
        <w:spacing w:before="240" w:line="360" w:lineRule="auto"/>
        <w:jc w:val="both"/>
        <w:rPr>
          <w:rFonts w:ascii="ITC Avant Garde" w:hAnsi="ITC Avant Garde"/>
        </w:rPr>
      </w:pPr>
      <w:r w:rsidRPr="002A2450">
        <w:rPr>
          <w:rFonts w:ascii="ITC Avant Garde" w:hAnsi="ITC Avant Garde"/>
        </w:rPr>
        <w:t>En el caso del contrato de opción, se establece una fecha determinada sujeta a una condición suspensiva.</w:t>
      </w:r>
    </w:p>
    <w:p w14:paraId="2F8B2DFC" w14:textId="77777777" w:rsidR="00B35F13" w:rsidRDefault="003473FE"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hace a sí las aportaciones que realiza </w:t>
      </w:r>
      <w:r w:rsidRPr="002A2450">
        <w:rPr>
          <w:rFonts w:ascii="ITC Avant Garde" w:hAnsi="ITC Avant Garde"/>
          <w:b/>
        </w:rPr>
        <w:t>“TELMEX”</w:t>
      </w:r>
      <w:r w:rsidRPr="002A2450">
        <w:rPr>
          <w:rFonts w:ascii="ITC Avant Garde" w:hAnsi="ITC Avant Garde"/>
        </w:rPr>
        <w:t xml:space="preserve"> en términos del acuerdo de inicio son aportaciones a capital, el perito manifiesta que en términos de la normatividad contable y financiera</w:t>
      </w:r>
      <w:r w:rsidR="006A36BA" w:rsidRPr="002A2450">
        <w:rPr>
          <w:rFonts w:ascii="ITC Avant Garde" w:hAnsi="ITC Avant Garde"/>
        </w:rPr>
        <w:t xml:space="preserve"> el reconocimiento de los efectos de las transacciones transitan por el grado de incertidumbre, por lo que los efectos de la mismas deben reconocerse contablemente en el momento en que ocurren.</w:t>
      </w:r>
    </w:p>
    <w:p w14:paraId="239D300F" w14:textId="77777777" w:rsidR="00B35F13" w:rsidRDefault="006A36BA" w:rsidP="00B35F13">
      <w:pPr>
        <w:pStyle w:val="Prrafodelista"/>
        <w:spacing w:before="240" w:line="360" w:lineRule="auto"/>
        <w:jc w:val="both"/>
        <w:rPr>
          <w:rFonts w:ascii="ITC Avant Garde" w:hAnsi="ITC Avant Garde"/>
        </w:rPr>
      </w:pPr>
      <w:r w:rsidRPr="002A2450">
        <w:rPr>
          <w:rFonts w:ascii="ITC Avant Garde" w:hAnsi="ITC Avant Garde"/>
        </w:rPr>
        <w:t xml:space="preserve">Asimismo señala que, </w:t>
      </w:r>
      <w:r w:rsidRPr="002A2450">
        <w:rPr>
          <w:rFonts w:ascii="ITC Avant Garde" w:hAnsi="ITC Avant Garde"/>
          <w:b/>
          <w:u w:val="single"/>
        </w:rPr>
        <w:t>las transacciones se reconocen cuando en un acuerdo de voluntades se adquiere un derecho por una de las partes involucrada a dicha transacción</w:t>
      </w:r>
      <w:r w:rsidRPr="002A2450">
        <w:rPr>
          <w:rFonts w:ascii="ITC Avant Garde" w:hAnsi="ITC Avant Garde"/>
        </w:rPr>
        <w:t>.</w:t>
      </w:r>
    </w:p>
    <w:p w14:paraId="7BACA106" w14:textId="77777777" w:rsidR="00B35F13" w:rsidRDefault="006A36BA" w:rsidP="00B35F13">
      <w:pPr>
        <w:pStyle w:val="Prrafodelista"/>
        <w:spacing w:before="240" w:line="360" w:lineRule="auto"/>
        <w:jc w:val="both"/>
        <w:rPr>
          <w:rFonts w:ascii="ITC Avant Garde" w:hAnsi="ITC Avant Garde"/>
        </w:rPr>
      </w:pPr>
      <w:r w:rsidRPr="002A2450">
        <w:rPr>
          <w:rFonts w:ascii="ITC Avant Garde" w:hAnsi="ITC Avant Garde"/>
        </w:rPr>
        <w:t xml:space="preserve">Finalmente, el perito manifiesta que en </w:t>
      </w:r>
      <w:r w:rsidRPr="002A2450">
        <w:rPr>
          <w:rFonts w:ascii="ITC Avant Garde" w:hAnsi="ITC Avant Garde"/>
          <w:b/>
          <w:u w:val="single"/>
        </w:rPr>
        <w:t>la venta y arrendamiento en vía de regreso realizada en los contratos, por su clasificación debe reconocerse como arrendamiento capitalizable u operativo</w:t>
      </w:r>
      <w:r w:rsidRPr="002A2450">
        <w:rPr>
          <w:rFonts w:ascii="ITC Avant Garde" w:hAnsi="ITC Avant Garde"/>
        </w:rPr>
        <w:t>.</w:t>
      </w:r>
    </w:p>
    <w:p w14:paraId="2A38096C" w14:textId="77777777" w:rsidR="00B35F13" w:rsidRDefault="006A36BA"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se refiere a si la opción implica un derecho sustantivo el perito manifiesta que con base en la normatividad contable y financiera que para que un derecho sea sustantivo debe ser ejercido, sin embargo, </w:t>
      </w:r>
      <w:r w:rsidRPr="002A2450">
        <w:rPr>
          <w:rFonts w:ascii="ITC Avant Garde" w:hAnsi="ITC Avant Garde"/>
          <w:b/>
          <w:u w:val="single"/>
        </w:rPr>
        <w:t>algunas veces los derechos pueden ser sustantivos aun cuando no sean ejercibles en el presente</w:t>
      </w:r>
      <w:r w:rsidRPr="002A2450">
        <w:rPr>
          <w:rFonts w:ascii="ITC Avant Garde" w:hAnsi="ITC Avant Garde"/>
        </w:rPr>
        <w:t>.</w:t>
      </w:r>
    </w:p>
    <w:p w14:paraId="7BD8CBA3" w14:textId="77777777" w:rsidR="00B35F13" w:rsidRDefault="007D2149"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En lo que toca al hecho de que cuando no exista participación accionaria sería posible hablar de una sola entidad económica, el perito manifiesta que con base en la normatividad contable y financiera que una entidad económica es un conjunto integrado de actividades y recursos y existe un solo centro de control.</w:t>
      </w:r>
    </w:p>
    <w:p w14:paraId="44984673" w14:textId="77777777" w:rsidR="00B35F13" w:rsidRDefault="007D2149" w:rsidP="00B35F13">
      <w:pPr>
        <w:pStyle w:val="Prrafodelista"/>
        <w:spacing w:before="240" w:line="360" w:lineRule="auto"/>
        <w:jc w:val="both"/>
        <w:rPr>
          <w:rFonts w:ascii="ITC Avant Garde" w:hAnsi="ITC Avant Garde"/>
        </w:rPr>
      </w:pPr>
      <w:r w:rsidRPr="002A2450">
        <w:rPr>
          <w:rFonts w:ascii="ITC Avant Garde" w:hAnsi="ITC Avant Garde"/>
        </w:rPr>
        <w:t xml:space="preserve">Para lo anterior, </w:t>
      </w:r>
      <w:r w:rsidRPr="002A2450">
        <w:rPr>
          <w:rFonts w:ascii="ITC Avant Garde" w:hAnsi="ITC Avant Garde"/>
          <w:b/>
          <w:u w:val="single"/>
        </w:rPr>
        <w:t>control es el poder que tiene un órgano centralizado tomador de decisiones para gobernar las políticas de operación y financieras a fin de obtener un beneficio</w:t>
      </w:r>
      <w:r w:rsidRPr="002A2450">
        <w:rPr>
          <w:rFonts w:ascii="ITC Avant Garde" w:hAnsi="ITC Avant Garde"/>
        </w:rPr>
        <w:t>.</w:t>
      </w:r>
    </w:p>
    <w:p w14:paraId="6E9528BF" w14:textId="77777777" w:rsidR="00B35F13" w:rsidRDefault="007D2149" w:rsidP="00B35F13">
      <w:pPr>
        <w:pStyle w:val="Prrafodelista"/>
        <w:spacing w:before="240" w:line="360" w:lineRule="auto"/>
        <w:jc w:val="both"/>
        <w:rPr>
          <w:rFonts w:ascii="ITC Avant Garde" w:hAnsi="ITC Avant Garde"/>
        </w:rPr>
      </w:pPr>
      <w:r w:rsidRPr="002A2450">
        <w:rPr>
          <w:rFonts w:ascii="ITC Avant Garde" w:hAnsi="ITC Avant Garde"/>
        </w:rPr>
        <w:lastRenderedPageBreak/>
        <w:t>Un inversionista controla a una participada entre otras cosas cuando existe una vinculación entre poder y rendimientos, usualmente relativas a establecer políticas estratégicas, operativas y financieras.</w:t>
      </w:r>
    </w:p>
    <w:p w14:paraId="70108292" w14:textId="77777777" w:rsidR="00B35F13" w:rsidRDefault="007D2149" w:rsidP="00B35F13">
      <w:pPr>
        <w:pStyle w:val="Prrafodelista"/>
        <w:spacing w:before="240" w:line="360" w:lineRule="auto"/>
        <w:jc w:val="both"/>
        <w:rPr>
          <w:rFonts w:ascii="ITC Avant Garde" w:hAnsi="ITC Avant Garde"/>
        </w:rPr>
      </w:pPr>
      <w:r w:rsidRPr="002A2450">
        <w:rPr>
          <w:rFonts w:ascii="ITC Avant Garde" w:hAnsi="ITC Avant Garde"/>
          <w:b/>
          <w:u w:val="single"/>
        </w:rPr>
        <w:t>La capacidad de dirigir actividades relevantes como poder sobre la participada puede realizarse incluso si su derecho a dirigir todavía no se ha ejercido</w:t>
      </w:r>
      <w:r w:rsidRPr="002A2450">
        <w:rPr>
          <w:rFonts w:ascii="ITC Avant Garde" w:hAnsi="ITC Avant Garde"/>
        </w:rPr>
        <w:t xml:space="preserve">. </w:t>
      </w:r>
    </w:p>
    <w:p w14:paraId="4A60A196" w14:textId="77777777" w:rsidR="00B35F13" w:rsidRDefault="00EA6866"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Los peritos coinciden en el hecho de que las opciones se entienden devengadas hasta su ejecución.</w:t>
      </w:r>
    </w:p>
    <w:p w14:paraId="12C9088B" w14:textId="77777777" w:rsidR="00B35F13" w:rsidRDefault="00EA6866"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hace a sí los instrumentos financieros derivados es posible que se dé una liquidación neta, el perito manifiesta que con base en la normatividad contable y financiera que </w:t>
      </w:r>
      <w:r w:rsidRPr="002A2450">
        <w:rPr>
          <w:rFonts w:ascii="ITC Avant Garde" w:hAnsi="ITC Avant Garde"/>
          <w:b/>
          <w:u w:val="single"/>
        </w:rPr>
        <w:t>el contrato puede ser liquidado de manera neta a través de medios o mecanismos que se encuentra fuera del mismo, o bien, estipular la entrega de un activo que coloca al receptor en una posición sustancialmente similar a una liquidación neta</w:t>
      </w:r>
      <w:r w:rsidRPr="002A2450">
        <w:rPr>
          <w:rFonts w:ascii="ITC Avant Garde" w:hAnsi="ITC Avant Garde"/>
        </w:rPr>
        <w:t xml:space="preserve">. </w:t>
      </w:r>
    </w:p>
    <w:p w14:paraId="144EA7F1" w14:textId="77777777" w:rsidR="00B35F13" w:rsidRDefault="00EA6866"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se refiere a si los contratos confieren una concentración el perito manifiesta que en términos de la normatividad contable y financiera que en las normas antes señaladas </w:t>
      </w:r>
      <w:r w:rsidRPr="002A2450">
        <w:rPr>
          <w:rFonts w:ascii="ITC Avant Garde" w:hAnsi="ITC Avant Garde"/>
          <w:b/>
          <w:u w:val="single"/>
        </w:rPr>
        <w:t>no se contempló la definición del término de concentración.</w:t>
      </w:r>
    </w:p>
    <w:p w14:paraId="5709E825" w14:textId="77777777" w:rsidR="00B35F13" w:rsidRDefault="00EA6866"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t xml:space="preserve">Por lo que toca a si los contratos otorgan a </w:t>
      </w:r>
      <w:r w:rsidRPr="002A2450">
        <w:rPr>
          <w:rFonts w:ascii="ITC Avant Garde" w:hAnsi="ITC Avant Garde"/>
          <w:b/>
        </w:rPr>
        <w:t xml:space="preserve">“TELMEX” </w:t>
      </w:r>
      <w:r w:rsidRPr="002A2450">
        <w:rPr>
          <w:rFonts w:ascii="ITC Avant Garde" w:hAnsi="ITC Avant Garde"/>
        </w:rPr>
        <w:t xml:space="preserve">el control sobre </w:t>
      </w:r>
      <w:r w:rsidRPr="002A2450">
        <w:rPr>
          <w:rFonts w:ascii="ITC Avant Garde" w:hAnsi="ITC Avant Garde"/>
          <w:b/>
        </w:rPr>
        <w:t>“DISH MÉXICO”</w:t>
      </w:r>
      <w:r w:rsidRPr="002A2450">
        <w:rPr>
          <w:rFonts w:ascii="ITC Avant Garde" w:hAnsi="ITC Avant Garde"/>
        </w:rPr>
        <w:t xml:space="preserve"> </w:t>
      </w:r>
      <w:r w:rsidR="008D5983" w:rsidRPr="002A2450">
        <w:rPr>
          <w:rFonts w:ascii="ITC Avant Garde" w:hAnsi="ITC Avant Garde"/>
        </w:rPr>
        <w:t>en términos de la NIIF 10, el perito manifiesta que en términos de la normatividad contable y financiera (NIIF 10) un inversor controla a una participada cuando tienen entre otras cosas a influir en los rendimientos.</w:t>
      </w:r>
    </w:p>
    <w:p w14:paraId="6C6022FB" w14:textId="77777777" w:rsidR="00B35F13" w:rsidRDefault="008D5983" w:rsidP="00B35F13">
      <w:pPr>
        <w:pStyle w:val="Prrafodelista"/>
        <w:spacing w:before="240" w:line="360" w:lineRule="auto"/>
        <w:jc w:val="both"/>
        <w:rPr>
          <w:rFonts w:ascii="ITC Avant Garde" w:hAnsi="ITC Avant Garde"/>
        </w:rPr>
      </w:pPr>
      <w:r w:rsidRPr="002A2450">
        <w:rPr>
          <w:rFonts w:ascii="ITC Avant Garde" w:hAnsi="ITC Avant Garde"/>
        </w:rPr>
        <w:t xml:space="preserve">Ahora bien, el perito también señalado que dentro del procedimiento de modificaciones a la NIIF 10 </w:t>
      </w:r>
      <w:r w:rsidRPr="002A2450">
        <w:rPr>
          <w:rFonts w:ascii="ITC Avant Garde" w:hAnsi="ITC Avant Garde"/>
          <w:b/>
          <w:u w:val="single"/>
        </w:rPr>
        <w:t xml:space="preserve">el Consejo de Normas Internacionales </w:t>
      </w:r>
      <w:r w:rsidR="0074191F" w:rsidRPr="002A2450">
        <w:rPr>
          <w:rFonts w:ascii="ITC Avant Garde" w:hAnsi="ITC Avant Garde"/>
          <w:b/>
          <w:u w:val="single"/>
        </w:rPr>
        <w:t xml:space="preserve">concluyó que los derechos de voto son suficientes para darle poder sobre la participada independiente mente de si ha ejercicio su poder de voto, a menos que esos derechos no sean sustantivos o haya cuerdos separados que </w:t>
      </w:r>
      <w:r w:rsidR="00702143" w:rsidRPr="002A2450">
        <w:rPr>
          <w:rFonts w:ascii="ITC Avant Garde" w:hAnsi="ITC Avant Garde"/>
          <w:b/>
          <w:u w:val="single"/>
        </w:rPr>
        <w:t>proporcione</w:t>
      </w:r>
      <w:r w:rsidR="0074191F" w:rsidRPr="002A2450">
        <w:rPr>
          <w:rFonts w:ascii="ITC Avant Garde" w:hAnsi="ITC Avant Garde"/>
          <w:b/>
          <w:u w:val="single"/>
        </w:rPr>
        <w:t xml:space="preserve"> a otra entidad poder sobre la participada (tales como a través de un acuerdo contractual de la toma de decisiones o los derechos de votos potenciales sustantivos.)</w:t>
      </w:r>
    </w:p>
    <w:p w14:paraId="69931A10" w14:textId="77777777" w:rsidR="00B35F13" w:rsidRDefault="0074191F" w:rsidP="007E623E">
      <w:pPr>
        <w:pStyle w:val="Prrafodelista"/>
        <w:numPr>
          <w:ilvl w:val="0"/>
          <w:numId w:val="43"/>
        </w:numPr>
        <w:spacing w:before="240" w:line="360" w:lineRule="auto"/>
        <w:jc w:val="both"/>
        <w:rPr>
          <w:rFonts w:ascii="ITC Avant Garde" w:hAnsi="ITC Avant Garde"/>
        </w:rPr>
      </w:pPr>
      <w:r w:rsidRPr="002A2450">
        <w:rPr>
          <w:rFonts w:ascii="ITC Avant Garde" w:hAnsi="ITC Avant Garde"/>
        </w:rPr>
        <w:lastRenderedPageBreak/>
        <w:t>En lo que se refiere a si los contratos con base en la NIIF 11 confieren control conjunto el perito manifiesta que en términos de la normatividad contable y financiera el control conjunto es el reparto de control contractualmente decidido de un acuerdo que existe solo cuando las decisiones sobre las actividades relevantes.</w:t>
      </w:r>
    </w:p>
    <w:p w14:paraId="1892BBA5" w14:textId="77777777" w:rsidR="00B35F13" w:rsidRDefault="0074191F" w:rsidP="00B35F13">
      <w:pPr>
        <w:pStyle w:val="Prrafodelista"/>
        <w:spacing w:before="240" w:line="360" w:lineRule="auto"/>
        <w:jc w:val="both"/>
        <w:rPr>
          <w:rFonts w:ascii="ITC Avant Garde" w:hAnsi="ITC Avant Garde"/>
        </w:rPr>
      </w:pPr>
      <w:r w:rsidRPr="002A2450">
        <w:rPr>
          <w:rFonts w:ascii="ITC Avant Garde" w:hAnsi="ITC Avant Garde"/>
          <w:b/>
          <w:u w:val="single"/>
        </w:rPr>
        <w:t>Una entidad evaluará sus derechos y obligaciones considerando la estructura y forma legal del acuerdo, las cláusulas acordadas por las partes del acuerdo y cuando corresponda, otros factores o circunstancias</w:t>
      </w:r>
      <w:r w:rsidRPr="002A2450">
        <w:rPr>
          <w:rFonts w:ascii="ITC Avant Garde" w:hAnsi="ITC Avant Garde"/>
        </w:rPr>
        <w:t>.</w:t>
      </w:r>
    </w:p>
    <w:p w14:paraId="29C2AB12" w14:textId="77777777" w:rsidR="00B35F13" w:rsidRDefault="003C3E14" w:rsidP="00B35F13">
      <w:pPr>
        <w:spacing w:before="240" w:line="360" w:lineRule="auto"/>
        <w:jc w:val="both"/>
        <w:rPr>
          <w:rFonts w:ascii="ITC Avant Garde" w:hAnsi="ITC Avant Garde"/>
        </w:rPr>
      </w:pPr>
      <w:r w:rsidRPr="002A2450">
        <w:rPr>
          <w:rFonts w:ascii="ITC Avant Garde" w:hAnsi="ITC Avant Garde"/>
        </w:rPr>
        <w:t>Con base en la</w:t>
      </w:r>
      <w:r w:rsidR="004673DF" w:rsidRPr="002A2450">
        <w:rPr>
          <w:rFonts w:ascii="ITC Avant Garde" w:hAnsi="ITC Avant Garde"/>
        </w:rPr>
        <w:t>s</w:t>
      </w:r>
      <w:r w:rsidRPr="002A2450">
        <w:rPr>
          <w:rFonts w:ascii="ITC Avant Garde" w:hAnsi="ITC Avant Garde"/>
        </w:rPr>
        <w:t xml:space="preserve"> respuesta</w:t>
      </w:r>
      <w:r w:rsidR="004673DF" w:rsidRPr="002A2450">
        <w:rPr>
          <w:rFonts w:ascii="ITC Avant Garde" w:hAnsi="ITC Avant Garde"/>
        </w:rPr>
        <w:t>s</w:t>
      </w:r>
      <w:r w:rsidRPr="002A2450">
        <w:rPr>
          <w:rFonts w:ascii="ITC Avant Garde" w:hAnsi="ITC Avant Garde"/>
        </w:rPr>
        <w:t xml:space="preserve"> otorgada</w:t>
      </w:r>
      <w:r w:rsidR="004673DF" w:rsidRPr="002A2450">
        <w:rPr>
          <w:rFonts w:ascii="ITC Avant Garde" w:hAnsi="ITC Avant Garde"/>
        </w:rPr>
        <w:t>s</w:t>
      </w:r>
      <w:r w:rsidRPr="002A2450">
        <w:rPr>
          <w:rFonts w:ascii="ITC Avant Garde" w:hAnsi="ITC Avant Garde"/>
        </w:rPr>
        <w:t xml:space="preserve"> por los peritos, esta autoridad reconoce </w:t>
      </w:r>
      <w:r w:rsidR="004673DF" w:rsidRPr="002A2450">
        <w:rPr>
          <w:rFonts w:ascii="ITC Avant Garde" w:hAnsi="ITC Avant Garde"/>
        </w:rPr>
        <w:t xml:space="preserve">que dado el planteamiento en las preguntas formuladas por </w:t>
      </w:r>
      <w:r w:rsidR="004673DF" w:rsidRPr="002A2450">
        <w:rPr>
          <w:rFonts w:ascii="ITC Avant Garde" w:hAnsi="ITC Avant Garde"/>
          <w:b/>
        </w:rPr>
        <w:t>“TELMEX”</w:t>
      </w:r>
      <w:r w:rsidR="004673DF" w:rsidRPr="002A2450">
        <w:rPr>
          <w:rFonts w:ascii="ITC Avant Garde" w:hAnsi="ITC Avant Garde"/>
        </w:rPr>
        <w:t xml:space="preserve"> era previsible </w:t>
      </w:r>
      <w:r w:rsidRPr="002A2450">
        <w:rPr>
          <w:rFonts w:ascii="ITC Avant Garde" w:hAnsi="ITC Avant Garde"/>
        </w:rPr>
        <w:t xml:space="preserve">la similitud de criterios con los que concluyeron </w:t>
      </w:r>
      <w:r w:rsidR="00A140BB" w:rsidRPr="002A2450">
        <w:rPr>
          <w:rFonts w:ascii="ITC Avant Garde" w:hAnsi="ITC Avant Garde"/>
        </w:rPr>
        <w:t xml:space="preserve">los peritos </w:t>
      </w:r>
      <w:r w:rsidRPr="002A2450">
        <w:rPr>
          <w:rFonts w:ascii="ITC Avant Garde" w:hAnsi="ITC Avant Garde"/>
        </w:rPr>
        <w:t>sus respuestas</w:t>
      </w:r>
      <w:r w:rsidR="004673DF" w:rsidRPr="002A2450">
        <w:rPr>
          <w:rFonts w:ascii="ITC Avant Garde" w:hAnsi="ITC Avant Garde"/>
        </w:rPr>
        <w:t xml:space="preserve"> </w:t>
      </w:r>
      <w:r w:rsidR="00A140BB" w:rsidRPr="002A2450">
        <w:rPr>
          <w:rFonts w:ascii="ITC Avant Garde" w:hAnsi="ITC Avant Garde"/>
        </w:rPr>
        <w:t xml:space="preserve">ya </w:t>
      </w:r>
      <w:r w:rsidR="004673DF" w:rsidRPr="002A2450">
        <w:rPr>
          <w:rFonts w:ascii="ITC Avant Garde" w:hAnsi="ITC Avant Garde"/>
        </w:rPr>
        <w:t>que las mismas fueron realizadas al amparo de la normatividad contable</w:t>
      </w:r>
      <w:r w:rsidR="00A140BB" w:rsidRPr="002A2450">
        <w:rPr>
          <w:rFonts w:ascii="ITC Avant Garde" w:hAnsi="ITC Avant Garde"/>
        </w:rPr>
        <w:t xml:space="preserve"> y financiera</w:t>
      </w:r>
      <w:r w:rsidR="004673DF" w:rsidRPr="002A2450">
        <w:rPr>
          <w:rFonts w:ascii="ITC Avant Garde" w:hAnsi="ITC Avant Garde"/>
        </w:rPr>
        <w:t>.</w:t>
      </w:r>
    </w:p>
    <w:p w14:paraId="542DAA98" w14:textId="77777777" w:rsidR="00B35F13" w:rsidRDefault="00566413" w:rsidP="00B35F13">
      <w:pPr>
        <w:spacing w:before="240" w:line="360" w:lineRule="auto"/>
        <w:jc w:val="both"/>
        <w:rPr>
          <w:rFonts w:ascii="ITC Avant Garde" w:hAnsi="ITC Avant Garde"/>
        </w:rPr>
      </w:pPr>
      <w:r w:rsidRPr="002A2450">
        <w:rPr>
          <w:rFonts w:ascii="ITC Avant Garde" w:hAnsi="ITC Avant Garde"/>
        </w:rPr>
        <w:t>Lo anterior, guarda sustento en el hecho de que en términos de la normatividad contable</w:t>
      </w:r>
      <w:r w:rsidR="00A140BB" w:rsidRPr="002A2450">
        <w:rPr>
          <w:rFonts w:ascii="ITC Avant Garde" w:hAnsi="ITC Avant Garde"/>
        </w:rPr>
        <w:t xml:space="preserve"> y financiera sólo se pueden registrar operaciones reconocidas por dicha normatividad</w:t>
      </w:r>
      <w:r w:rsidR="000544C9" w:rsidRPr="002A2450">
        <w:rPr>
          <w:rFonts w:ascii="ITC Avant Garde" w:hAnsi="ITC Avant Garde"/>
        </w:rPr>
        <w:t>,</w:t>
      </w:r>
      <w:r w:rsidR="00A140BB" w:rsidRPr="002A2450">
        <w:rPr>
          <w:rFonts w:ascii="ITC Avant Garde" w:hAnsi="ITC Avant Garde"/>
        </w:rPr>
        <w:t xml:space="preserve"> más no así las operaciones que pudieran resultar contrarias a la normatividad de la materia, puesto que desde esta perspectiva sería ilógico que </w:t>
      </w:r>
      <w:r w:rsidRPr="002A2450">
        <w:rPr>
          <w:rFonts w:ascii="ITC Avant Garde" w:hAnsi="ITC Avant Garde"/>
        </w:rPr>
        <w:t xml:space="preserve">se registran todas </w:t>
      </w:r>
      <w:r w:rsidR="007A2C7A" w:rsidRPr="002A2450">
        <w:rPr>
          <w:rFonts w:ascii="ITC Avant Garde" w:hAnsi="ITC Avant Garde"/>
        </w:rPr>
        <w:t xml:space="preserve">esas operaciones, puesto que los registros de las operaciones contables y financieras no </w:t>
      </w:r>
      <w:r w:rsidR="00644F95" w:rsidRPr="002A2450">
        <w:rPr>
          <w:rFonts w:ascii="ITC Avant Garde" w:hAnsi="ITC Avant Garde"/>
        </w:rPr>
        <w:t xml:space="preserve">son </w:t>
      </w:r>
      <w:r w:rsidR="007A2C7A" w:rsidRPr="002A2450">
        <w:rPr>
          <w:rFonts w:ascii="ITC Avant Garde" w:hAnsi="ITC Avant Garde"/>
        </w:rPr>
        <w:t>los instrumentos en los que se inscriban las estrategias o propósitos de los negocios o actividades económicas de las personas físicas o morales. De ello que la información contable y financiera, por sí misma, no es un elemento suficiente para trascender o modificar la imputación realizada</w:t>
      </w:r>
      <w:r w:rsidR="003D4F72">
        <w:rPr>
          <w:rFonts w:ascii="ITC Avant Garde" w:hAnsi="ITC Avant Garde"/>
        </w:rPr>
        <w:t xml:space="preserve"> </w:t>
      </w:r>
      <w:r w:rsidR="00644F95" w:rsidRPr="002A2450">
        <w:rPr>
          <w:rFonts w:ascii="ITC Avant Garde" w:hAnsi="ITC Avant Garde"/>
        </w:rPr>
        <w:t>ya que se considera que</w:t>
      </w:r>
      <w:r w:rsidR="00360832" w:rsidRPr="002A2450">
        <w:rPr>
          <w:rFonts w:ascii="ITC Avant Garde" w:hAnsi="ITC Avant Garde"/>
        </w:rPr>
        <w:t xml:space="preserve"> </w:t>
      </w:r>
      <w:r w:rsidRPr="002A2450">
        <w:rPr>
          <w:rFonts w:ascii="ITC Avant Garde" w:hAnsi="ITC Avant Garde"/>
        </w:rPr>
        <w:t xml:space="preserve">aquellas operaciones lícitas </w:t>
      </w:r>
      <w:r w:rsidR="00A140BB" w:rsidRPr="002A2450">
        <w:rPr>
          <w:rFonts w:ascii="ITC Avant Garde" w:hAnsi="ITC Avant Garde"/>
        </w:rPr>
        <w:t>o infractoras puesto que un elemento de las conductas contrarias a la norma es precisamente que dichos actos no puedan ser velados dentro del marco jurídico existentes</w:t>
      </w:r>
      <w:r w:rsidRPr="002A2450">
        <w:rPr>
          <w:rFonts w:ascii="ITC Avant Garde" w:hAnsi="ITC Avant Garde"/>
        </w:rPr>
        <w:t>, por tanto, sería impensable considerar que en el presente asunto</w:t>
      </w:r>
      <w:r w:rsidR="00A140BB" w:rsidRPr="002A2450">
        <w:rPr>
          <w:rFonts w:ascii="ITC Avant Garde" w:hAnsi="ITC Avant Garde"/>
        </w:rPr>
        <w:t xml:space="preserve"> se</w:t>
      </w:r>
      <w:r w:rsidRPr="002A2450">
        <w:rPr>
          <w:rFonts w:ascii="ITC Avant Garde" w:hAnsi="ITC Avant Garde"/>
        </w:rPr>
        <w:t xml:space="preserve"> pudiera extraer</w:t>
      </w:r>
      <w:r w:rsidR="00A140BB" w:rsidRPr="002A2450">
        <w:rPr>
          <w:rFonts w:ascii="ITC Avant Garde" w:hAnsi="ITC Avant Garde"/>
        </w:rPr>
        <w:t>,</w:t>
      </w:r>
      <w:r w:rsidRPr="002A2450">
        <w:rPr>
          <w:rFonts w:ascii="ITC Avant Garde" w:hAnsi="ITC Avant Garde"/>
        </w:rPr>
        <w:t xml:space="preserve"> </w:t>
      </w:r>
      <w:r w:rsidR="00A140BB" w:rsidRPr="002A2450">
        <w:rPr>
          <w:rFonts w:ascii="ITC Avant Garde" w:hAnsi="ITC Avant Garde"/>
        </w:rPr>
        <w:t xml:space="preserve">con base en la normatividad contable y financiera, </w:t>
      </w:r>
      <w:r w:rsidRPr="002A2450">
        <w:rPr>
          <w:rFonts w:ascii="ITC Avant Garde" w:hAnsi="ITC Avant Garde"/>
        </w:rPr>
        <w:t xml:space="preserve">la información </w:t>
      </w:r>
      <w:r w:rsidR="00A140BB" w:rsidRPr="002A2450">
        <w:rPr>
          <w:rFonts w:ascii="ITC Avant Garde" w:hAnsi="ITC Avant Garde"/>
        </w:rPr>
        <w:t xml:space="preserve">legal y </w:t>
      </w:r>
      <w:r w:rsidRPr="002A2450">
        <w:rPr>
          <w:rFonts w:ascii="ITC Avant Garde" w:hAnsi="ITC Avant Garde"/>
        </w:rPr>
        <w:t xml:space="preserve">suficiente que </w:t>
      </w:r>
      <w:r w:rsidR="00A140BB" w:rsidRPr="002A2450">
        <w:rPr>
          <w:rFonts w:ascii="ITC Avant Garde" w:hAnsi="ITC Avant Garde"/>
        </w:rPr>
        <w:t xml:space="preserve">justificara el incumplimiento al </w:t>
      </w:r>
      <w:r w:rsidR="00065AA4" w:rsidRPr="009E34A4">
        <w:rPr>
          <w:rFonts w:ascii="ITC Avant Garde" w:hAnsi="ITC Avant Garde"/>
          <w:b/>
        </w:rPr>
        <w:t>Tercer Párrafo</w:t>
      </w:r>
      <w:r w:rsidR="00A140BB" w:rsidRPr="002A2450">
        <w:rPr>
          <w:rFonts w:ascii="ITC Avant Garde" w:hAnsi="ITC Avant Garde"/>
        </w:rPr>
        <w:t xml:space="preserve"> de la condición 1-9 del </w:t>
      </w:r>
      <w:r w:rsidR="00A140BB" w:rsidRPr="002A2450">
        <w:rPr>
          <w:rFonts w:ascii="ITC Avant Garde" w:hAnsi="ITC Avant Garde"/>
          <w:b/>
        </w:rPr>
        <w:t xml:space="preserve">“TÍTULO DE CONCESIÓN” </w:t>
      </w:r>
      <w:r w:rsidR="00A140BB" w:rsidRPr="002A2450">
        <w:rPr>
          <w:rFonts w:ascii="ITC Avant Garde" w:hAnsi="ITC Avant Garde"/>
        </w:rPr>
        <w:t xml:space="preserve">otorgado a </w:t>
      </w:r>
      <w:r w:rsidR="00A140BB" w:rsidRPr="002A2450">
        <w:rPr>
          <w:rFonts w:ascii="ITC Avant Garde" w:hAnsi="ITC Avant Garde"/>
          <w:b/>
        </w:rPr>
        <w:t>“TELMEX”</w:t>
      </w:r>
      <w:r w:rsidR="00A140BB" w:rsidRPr="002A2450">
        <w:rPr>
          <w:rFonts w:ascii="ITC Avant Garde" w:hAnsi="ITC Avant Garde"/>
        </w:rPr>
        <w:t>.</w:t>
      </w:r>
    </w:p>
    <w:p w14:paraId="645FF256" w14:textId="77777777" w:rsidR="00B35F13" w:rsidRDefault="00A140BB"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debe considerarse que los presuntos infractores que tiende a llevar a cabo </w:t>
      </w:r>
      <w:r w:rsidR="00360832" w:rsidRPr="002A2450">
        <w:rPr>
          <w:rFonts w:ascii="ITC Avant Garde" w:hAnsi="ITC Avant Garde"/>
        </w:rPr>
        <w:t xml:space="preserve">presuntamente </w:t>
      </w:r>
      <w:r w:rsidRPr="002A2450">
        <w:rPr>
          <w:rFonts w:ascii="ITC Avant Garde" w:hAnsi="ITC Avant Garde"/>
        </w:rPr>
        <w:t xml:space="preserve">conductas contrarias a la normatividad actúan </w:t>
      </w:r>
      <w:r w:rsidR="00DA7F39" w:rsidRPr="002A2450">
        <w:rPr>
          <w:rFonts w:ascii="ITC Avant Garde" w:hAnsi="ITC Avant Garde"/>
        </w:rPr>
        <w:t>con el principio de libertad bajo la ley, esto es, realizan acciones que el marco legal les permite con el objeto de vulnerar las deficiencias o lagunas que la normatividad puede presentar, sin embargo, corresponde a la autoridad llevar a cabo todas las acciones necesarias a efecto de dichas conductas sean sancionadas a partir del análisis de las mismas.</w:t>
      </w:r>
    </w:p>
    <w:p w14:paraId="7B3402BE" w14:textId="77777777" w:rsidR="00B35F13" w:rsidRDefault="00DA7F39" w:rsidP="00B35F13">
      <w:pPr>
        <w:spacing w:before="240" w:line="360" w:lineRule="auto"/>
        <w:jc w:val="both"/>
        <w:rPr>
          <w:rFonts w:ascii="ITC Avant Garde" w:hAnsi="ITC Avant Garde"/>
        </w:rPr>
      </w:pPr>
      <w:r w:rsidRPr="002A2450">
        <w:rPr>
          <w:rFonts w:ascii="ITC Avant Garde" w:hAnsi="ITC Avant Garde"/>
        </w:rPr>
        <w:t xml:space="preserve">En ese sentido, no extraña a esta autoridad que la pericial contable, al amparo de su normatividad pueda advertir una conducta ilícita dado que su propia normatividad regula aquellas acciones que se presentan bajo el marco legal aplicable, de allí que es válido que esta autoridad </w:t>
      </w:r>
      <w:r w:rsidR="00566413" w:rsidRPr="002A2450">
        <w:rPr>
          <w:rFonts w:ascii="ITC Avant Garde" w:hAnsi="ITC Avant Garde"/>
        </w:rPr>
        <w:t xml:space="preserve">lleve a cabo un análisis enfocado </w:t>
      </w:r>
      <w:r w:rsidRPr="002A2450">
        <w:rPr>
          <w:rFonts w:ascii="ITC Avant Garde" w:hAnsi="ITC Avant Garde"/>
        </w:rPr>
        <w:t xml:space="preserve">de todos los </w:t>
      </w:r>
      <w:r w:rsidR="00566413" w:rsidRPr="002A2450">
        <w:rPr>
          <w:rFonts w:ascii="ITC Avant Garde" w:hAnsi="ITC Avant Garde"/>
        </w:rPr>
        <w:t xml:space="preserve">elementos </w:t>
      </w:r>
      <w:r w:rsidRPr="002A2450">
        <w:rPr>
          <w:rFonts w:ascii="ITC Avant Garde" w:hAnsi="ITC Avant Garde"/>
        </w:rPr>
        <w:t xml:space="preserve">que obran en el expediente </w:t>
      </w:r>
      <w:r w:rsidR="00566413" w:rsidRPr="002A2450">
        <w:rPr>
          <w:rFonts w:ascii="ITC Avant Garde" w:hAnsi="ITC Avant Garde"/>
        </w:rPr>
        <w:t>que pudieran servir como prueba indirecta para determinar el valor probatori</w:t>
      </w:r>
      <w:r w:rsidRPr="002A2450">
        <w:rPr>
          <w:rFonts w:ascii="ITC Avant Garde" w:hAnsi="ITC Avant Garde"/>
        </w:rPr>
        <w:t>o</w:t>
      </w:r>
      <w:r w:rsidR="00566413" w:rsidRPr="002A2450">
        <w:rPr>
          <w:rFonts w:ascii="ITC Avant Garde" w:hAnsi="ITC Avant Garde"/>
        </w:rPr>
        <w:t xml:space="preserve"> de la pericial en estudio.</w:t>
      </w:r>
    </w:p>
    <w:p w14:paraId="3F245890" w14:textId="77777777" w:rsidR="00B35F13" w:rsidRDefault="00566413" w:rsidP="00B35F13">
      <w:pPr>
        <w:spacing w:before="240" w:line="360" w:lineRule="auto"/>
        <w:jc w:val="both"/>
        <w:rPr>
          <w:rFonts w:ascii="ITC Avant Garde" w:hAnsi="ITC Avant Garde"/>
        </w:rPr>
      </w:pPr>
      <w:r w:rsidRPr="002A2450">
        <w:rPr>
          <w:rFonts w:ascii="ITC Avant Garde" w:hAnsi="ITC Avant Garde"/>
        </w:rPr>
        <w:t>Al respecto sirve de aplicación la siguiente tesis:</w:t>
      </w:r>
    </w:p>
    <w:p w14:paraId="326980D4" w14:textId="155A2AB0" w:rsidR="00566413" w:rsidRPr="002A2450" w:rsidRDefault="00566413" w:rsidP="00B35F13">
      <w:pPr>
        <w:spacing w:before="240" w:line="360" w:lineRule="auto"/>
        <w:ind w:left="567" w:right="567"/>
        <w:jc w:val="both"/>
        <w:rPr>
          <w:rFonts w:ascii="ITC Avant Garde" w:hAnsi="ITC Avant Garde"/>
          <w:sz w:val="24"/>
          <w:szCs w:val="24"/>
          <w:lang w:eastAsia="es-MX"/>
        </w:rPr>
      </w:pPr>
      <w:r w:rsidRPr="002A2450">
        <w:rPr>
          <w:rFonts w:ascii="ITC Avant Garde" w:hAnsi="ITC Avant Garde"/>
          <w:b/>
          <w:sz w:val="24"/>
          <w:szCs w:val="24"/>
          <w:lang w:eastAsia="es-MX"/>
        </w:rPr>
        <w:t>COMPETENCIA ECONÓMICA. LA PRUEBA INDIRECTA ES IDÓNEA PARA ACREDITAR, A TRAVÉS DE INDICIOS, CIERTOS HECHOS O CIRCUNSTANCIAS A PARTIR DE LO QUE SE CONOCE COMO LA MEJOR INFORMACIÓN DISPONIBLE, RESPECTO DE LA ACTUACIÓN DE EMPRESAS QUE HAN CONCERTADO ACUERDOS PARA LLEVAR A CABO PRÁCTICAS MONOPÓLICAS.</w:t>
      </w:r>
      <w:r w:rsidRPr="002A2450">
        <w:rPr>
          <w:rFonts w:ascii="ITC Avant Garde" w:hAnsi="ITC Avant Garde"/>
          <w:sz w:val="24"/>
          <w:szCs w:val="24"/>
          <w:lang w:eastAsia="es-MX"/>
        </w:rPr>
        <w:t xml:space="preserve"> En materia de competencia económica es difícil establecer con precisión cómo se ha concertado un acuerdo o llegado a un comportamiento anticompetitivo, dado el cuidado que los interesados ponen para velar u ocultar cualquier vestigio de ello, por lo cual es evidente que, en la mayoría de los casos, no puede encontrarse prueba directa de la conducta desplegada por el agente o agentes </w:t>
      </w:r>
      <w:r w:rsidRPr="002A2450">
        <w:rPr>
          <w:rFonts w:ascii="ITC Avant Garde" w:hAnsi="ITC Avant Garde"/>
          <w:sz w:val="24"/>
          <w:szCs w:val="24"/>
          <w:lang w:eastAsia="es-MX"/>
        </w:rPr>
        <w:lastRenderedPageBreak/>
        <w:t xml:space="preserve">involucrados, ni de todos los detalles que, por obvias razones, se ocultan u oscurecen, para lo cual debe hacerse una labor de enlace o </w:t>
      </w:r>
      <w:proofErr w:type="spellStart"/>
      <w:r w:rsidRPr="002A2450">
        <w:rPr>
          <w:rFonts w:ascii="ITC Avant Garde" w:hAnsi="ITC Avant Garde"/>
          <w:sz w:val="24"/>
          <w:szCs w:val="24"/>
          <w:lang w:eastAsia="es-MX"/>
        </w:rPr>
        <w:t>adminiculación</w:t>
      </w:r>
      <w:proofErr w:type="spellEnd"/>
      <w:r w:rsidRPr="002A2450">
        <w:rPr>
          <w:rFonts w:ascii="ITC Avant Garde" w:hAnsi="ITC Avant Garde"/>
          <w:sz w:val="24"/>
          <w:szCs w:val="24"/>
          <w:lang w:eastAsia="es-MX"/>
        </w:rPr>
        <w:t xml:space="preserve"> de diversos hechos conocidos para extraer una presunción o hipótesis a partir de un indicio, y derivar inferencias basadas en la experiencia que lleven al conocimiento del hecho principal, sin que pueda exigirse un mayor rigor en el </w:t>
      </w:r>
      <w:proofErr w:type="spellStart"/>
      <w:r w:rsidRPr="002A2450">
        <w:rPr>
          <w:rFonts w:ascii="ITC Avant Garde" w:hAnsi="ITC Avant Garde"/>
          <w:sz w:val="24"/>
          <w:szCs w:val="24"/>
          <w:lang w:eastAsia="es-MX"/>
        </w:rPr>
        <w:t>acreditamiento</w:t>
      </w:r>
      <w:proofErr w:type="spellEnd"/>
      <w:r w:rsidRPr="002A2450">
        <w:rPr>
          <w:rFonts w:ascii="ITC Avant Garde" w:hAnsi="ITC Avant Garde"/>
          <w:sz w:val="24"/>
          <w:szCs w:val="24"/>
          <w:lang w:eastAsia="es-MX"/>
        </w:rPr>
        <w:t xml:space="preserve"> de circunstancias y móviles, dada su naturaleza. En ese orden de ideas, acorde con lo dispuesto tanto en la Ley Federal de Competencia Económica como en su reglamento, la prueba indirecta es idónea para acreditar, a través de indicios suficientes, adminiculados con enunciados generales, ciertos hechos o circunstancias </w:t>
      </w:r>
      <w:r w:rsidRPr="002A2450">
        <w:rPr>
          <w:rFonts w:ascii="ITC Avant Garde" w:hAnsi="ITC Avant Garde"/>
          <w:b/>
          <w:bCs/>
          <w:sz w:val="24"/>
          <w:szCs w:val="24"/>
          <w:u w:val="single"/>
          <w:lang w:eastAsia="es-MX"/>
        </w:rPr>
        <w:t>a partir de lo que se conoce como la mejor información disponible</w:t>
      </w:r>
      <w:r w:rsidRPr="002A2450">
        <w:rPr>
          <w:rFonts w:ascii="ITC Avant Garde" w:hAnsi="ITC Avant Garde"/>
          <w:sz w:val="24"/>
          <w:szCs w:val="24"/>
          <w:lang w:eastAsia="es-MX"/>
        </w:rPr>
        <w:t>, respecto de la actuación de empresas que han concertado acuerdos para llevar a cabo prácticas monopólicas; pues es de esperarse que los actos realizados por esas empresas para conseguir un fin contrario a la ley, sean disfrazados, ocultados, seccionados, diseminados a tal grado que la actuación de la entidad, como tal, se haga casi imperceptible y ello haga difícil, cuando no imposible, establecer mediante prueba directa la relación que existe entre el acto realizado y la persona moral o entidad a la que pretenda imputarse su realización.</w:t>
      </w:r>
    </w:p>
    <w:p w14:paraId="200E3E83" w14:textId="77777777" w:rsidR="00B35F13" w:rsidRDefault="00566413" w:rsidP="00B35F13">
      <w:pPr>
        <w:spacing w:before="240" w:line="360" w:lineRule="auto"/>
        <w:ind w:left="567" w:right="567"/>
        <w:jc w:val="both"/>
        <w:rPr>
          <w:rFonts w:ascii="ITC Avant Garde" w:hAnsi="ITC Avant Garde"/>
          <w:bCs/>
          <w:sz w:val="18"/>
          <w:szCs w:val="24"/>
          <w:lang w:eastAsia="es-MX"/>
        </w:rPr>
      </w:pPr>
      <w:r w:rsidRPr="002A2450">
        <w:rPr>
          <w:rFonts w:ascii="ITC Avant Garde" w:hAnsi="ITC Avant Garde"/>
          <w:bCs/>
          <w:sz w:val="18"/>
          <w:szCs w:val="24"/>
          <w:lang w:eastAsia="es-MX"/>
        </w:rPr>
        <w:t xml:space="preserve">Época: Novena Época, Registro: 168495, Instancia: Tribunales Colegiados de Circuito, Tipo de Tesis: Jurisprudencia, Fuente: Semanario Judicial de la Federación y su Gaceta, Tomo XXVIII, Noviembre de 2008, Materia(s): Administrativa, Tesis: I.4o.A. J/74, Página: 1228 </w:t>
      </w:r>
    </w:p>
    <w:p w14:paraId="3401E59B" w14:textId="77777777" w:rsidR="00B35F13" w:rsidRDefault="00DA7F39" w:rsidP="00B35F13">
      <w:pPr>
        <w:spacing w:before="240" w:line="360" w:lineRule="auto"/>
        <w:jc w:val="both"/>
        <w:rPr>
          <w:rFonts w:ascii="ITC Avant Garde" w:hAnsi="ITC Avant Garde"/>
        </w:rPr>
      </w:pPr>
      <w:r w:rsidRPr="002A2450">
        <w:rPr>
          <w:rFonts w:ascii="ITC Avant Garde" w:hAnsi="ITC Avant Garde"/>
        </w:rPr>
        <w:t>Ahora bien</w:t>
      </w:r>
      <w:r w:rsidR="00566413" w:rsidRPr="002A2450">
        <w:rPr>
          <w:rFonts w:ascii="ITC Avant Garde" w:hAnsi="ITC Avant Garde"/>
        </w:rPr>
        <w:t xml:space="preserve">, la pericial contable </w:t>
      </w:r>
      <w:r w:rsidR="003C3E14" w:rsidRPr="002A2450">
        <w:rPr>
          <w:rFonts w:ascii="ITC Avant Garde" w:hAnsi="ITC Avant Garde"/>
        </w:rPr>
        <w:t xml:space="preserve">como </w:t>
      </w:r>
      <w:r w:rsidR="00566413" w:rsidRPr="002A2450">
        <w:rPr>
          <w:rFonts w:ascii="ITC Avant Garde" w:hAnsi="ITC Avant Garde"/>
        </w:rPr>
        <w:t xml:space="preserve">en </w:t>
      </w:r>
      <w:r w:rsidR="003C3E14" w:rsidRPr="002A2450">
        <w:rPr>
          <w:rFonts w:ascii="ITC Avant Garde" w:hAnsi="ITC Avant Garde"/>
        </w:rPr>
        <w:t>toda técnica</w:t>
      </w:r>
      <w:r w:rsidR="00566413" w:rsidRPr="002A2450">
        <w:rPr>
          <w:rFonts w:ascii="ITC Avant Garde" w:hAnsi="ITC Avant Garde"/>
        </w:rPr>
        <w:t>,</w:t>
      </w:r>
      <w:r w:rsidR="003C3E14" w:rsidRPr="002A2450">
        <w:rPr>
          <w:rFonts w:ascii="ITC Avant Garde" w:hAnsi="ITC Avant Garde"/>
        </w:rPr>
        <w:t xml:space="preserve"> puede existir interpretaciones dada la experiencia de los peritos a cargo.</w:t>
      </w:r>
    </w:p>
    <w:p w14:paraId="688B5649" w14:textId="77777777" w:rsidR="00B35F13" w:rsidRDefault="003C3E14"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w:t>
      </w:r>
      <w:r w:rsidR="008A77A6" w:rsidRPr="002A2450">
        <w:rPr>
          <w:rFonts w:ascii="ITC Avant Garde" w:hAnsi="ITC Avant Garde"/>
        </w:rPr>
        <w:t xml:space="preserve">debe </w:t>
      </w:r>
      <w:r w:rsidRPr="002A2450">
        <w:rPr>
          <w:rFonts w:ascii="ITC Avant Garde" w:hAnsi="ITC Avant Garde"/>
        </w:rPr>
        <w:t>señalar</w:t>
      </w:r>
      <w:r w:rsidR="008A77A6" w:rsidRPr="002A2450">
        <w:rPr>
          <w:rFonts w:ascii="ITC Avant Garde" w:hAnsi="ITC Avant Garde"/>
        </w:rPr>
        <w:t>se</w:t>
      </w:r>
      <w:r w:rsidRPr="002A2450">
        <w:rPr>
          <w:rFonts w:ascii="ITC Avant Garde" w:hAnsi="ITC Avant Garde"/>
        </w:rPr>
        <w:t xml:space="preserve"> que </w:t>
      </w:r>
      <w:r w:rsidR="00F213A5" w:rsidRPr="002A2450">
        <w:rPr>
          <w:rFonts w:ascii="ITC Avant Garde" w:hAnsi="ITC Avant Garde"/>
        </w:rPr>
        <w:t>son</w:t>
      </w:r>
      <w:r w:rsidRPr="002A2450">
        <w:rPr>
          <w:rFonts w:ascii="ITC Avant Garde" w:hAnsi="ITC Avant Garde"/>
        </w:rPr>
        <w:t xml:space="preserve"> precisamente </w:t>
      </w:r>
      <w:r w:rsidR="008A77A6" w:rsidRPr="002A2450">
        <w:rPr>
          <w:rFonts w:ascii="ITC Avant Garde" w:hAnsi="ITC Avant Garde"/>
        </w:rPr>
        <w:t xml:space="preserve">las </w:t>
      </w:r>
      <w:r w:rsidRPr="002A2450">
        <w:rPr>
          <w:rFonts w:ascii="ITC Avant Garde" w:hAnsi="ITC Avant Garde"/>
        </w:rPr>
        <w:t xml:space="preserve">diferencias las que estimulan a esta autoridad </w:t>
      </w:r>
      <w:r w:rsidR="00F213A5" w:rsidRPr="002A2450">
        <w:rPr>
          <w:rFonts w:ascii="ITC Avant Garde" w:hAnsi="ITC Avant Garde"/>
        </w:rPr>
        <w:t xml:space="preserve">para reconocer que los contratos celebrados por </w:t>
      </w:r>
      <w:r w:rsidR="00F213A5" w:rsidRPr="002A2450">
        <w:rPr>
          <w:rFonts w:ascii="ITC Avant Garde" w:hAnsi="ITC Avant Garde"/>
          <w:b/>
        </w:rPr>
        <w:t xml:space="preserve">“TELMEX” </w:t>
      </w:r>
      <w:r w:rsidR="00F213A5" w:rsidRPr="002A2450">
        <w:rPr>
          <w:rFonts w:ascii="ITC Avant Garde" w:hAnsi="ITC Avant Garde"/>
        </w:rPr>
        <w:t>componen matices que por su naturaleza resultan ser complejas para la técnica en contabilidad, puesto que de los dictámenes analizados, los actos o hechos consumados en los contratos parecieran no poder ser explicados a través de la pericial ofrecida.</w:t>
      </w:r>
    </w:p>
    <w:p w14:paraId="1B73E282" w14:textId="77777777" w:rsidR="00B35F13" w:rsidRDefault="00F213A5" w:rsidP="00B35F13">
      <w:pPr>
        <w:spacing w:before="240" w:line="360" w:lineRule="auto"/>
        <w:jc w:val="both"/>
        <w:rPr>
          <w:rFonts w:ascii="ITC Avant Garde" w:hAnsi="ITC Avant Garde"/>
        </w:rPr>
      </w:pPr>
      <w:r w:rsidRPr="002A2450">
        <w:rPr>
          <w:rFonts w:ascii="ITC Avant Garde" w:hAnsi="ITC Avant Garde"/>
        </w:rPr>
        <w:t>Lo anterior, ya que efectivamente la opción con base en la normatividad contable y las cantidades señaladas en el contrato de arrendamiento no son registrables hasta su ejecución, en tanto que las segundas no corresponden a un movimiento en el capital social de la empresa, al no considerarse como una inversión directa que pueda ser reflejada en dicho capital.</w:t>
      </w:r>
    </w:p>
    <w:p w14:paraId="760A387E" w14:textId="77777777" w:rsidR="00B35F13" w:rsidRDefault="00F213A5" w:rsidP="00B35F13">
      <w:pPr>
        <w:spacing w:before="240" w:line="360" w:lineRule="auto"/>
        <w:jc w:val="both"/>
        <w:rPr>
          <w:rFonts w:ascii="ITC Avant Garde" w:hAnsi="ITC Avant Garde"/>
        </w:rPr>
      </w:pPr>
      <w:r w:rsidRPr="002A2450">
        <w:rPr>
          <w:rFonts w:ascii="ITC Avant Garde" w:hAnsi="ITC Avant Garde"/>
        </w:rPr>
        <w:t xml:space="preserve">Sin embargo, parece reconocerse por ambos peritos que el control puede ser asumido fuera de las reglas de contabilidad a través del clausulado de los contratos, puesto que en ellos se puede </w:t>
      </w:r>
      <w:r w:rsidR="00006ACC" w:rsidRPr="002A2450">
        <w:rPr>
          <w:rFonts w:ascii="ITC Avant Garde" w:hAnsi="ITC Avant Garde"/>
        </w:rPr>
        <w:t xml:space="preserve">encontrar la verdadera intensión de las partes, así como sus limitaciones y derechos. </w:t>
      </w:r>
    </w:p>
    <w:p w14:paraId="2FAB1EAD" w14:textId="77777777" w:rsidR="00B35F13" w:rsidRDefault="00006ACC" w:rsidP="00B35F13">
      <w:pPr>
        <w:spacing w:before="240" w:line="360" w:lineRule="auto"/>
        <w:jc w:val="both"/>
        <w:rPr>
          <w:rFonts w:ascii="ITC Avant Garde" w:hAnsi="ITC Avant Garde"/>
        </w:rPr>
      </w:pPr>
      <w:r w:rsidRPr="002A2450">
        <w:rPr>
          <w:rFonts w:ascii="ITC Avant Garde" w:hAnsi="ITC Avant Garde"/>
        </w:rPr>
        <w:t xml:space="preserve">En tales consideraciones, </w:t>
      </w:r>
      <w:r w:rsidRPr="002A2450">
        <w:rPr>
          <w:rFonts w:ascii="ITC Avant Garde" w:hAnsi="ITC Avant Garde"/>
          <w:b/>
          <w:u w:val="single"/>
        </w:rPr>
        <w:t>estas conclusiones si bien son válidas en el contexto conceptual y normativo en el que se suscribe</w:t>
      </w:r>
      <w:r w:rsidR="000E3F2C" w:rsidRPr="002A2450">
        <w:rPr>
          <w:rFonts w:ascii="ITC Avant Garde" w:hAnsi="ITC Avant Garde"/>
          <w:b/>
          <w:u w:val="single"/>
        </w:rPr>
        <w:t>n</w:t>
      </w:r>
      <w:r w:rsidR="000E3F2C" w:rsidRPr="002A2450">
        <w:rPr>
          <w:rFonts w:ascii="ITC Avant Garde" w:hAnsi="ITC Avant Garde"/>
        </w:rPr>
        <w:t xml:space="preserve">, esta autoridad considera </w:t>
      </w:r>
      <w:r w:rsidR="00436A76" w:rsidRPr="002A2450">
        <w:rPr>
          <w:rFonts w:ascii="ITC Avant Garde" w:hAnsi="ITC Avant Garde"/>
        </w:rPr>
        <w:t xml:space="preserve">necesario </w:t>
      </w:r>
      <w:r w:rsidR="000E3F2C" w:rsidRPr="002A2450">
        <w:rPr>
          <w:rFonts w:ascii="ITC Avant Garde" w:hAnsi="ITC Avant Garde"/>
        </w:rPr>
        <w:t xml:space="preserve">valorar la pertinencia de la pericial propuesta </w:t>
      </w:r>
      <w:r w:rsidR="00436A76" w:rsidRPr="002A2450">
        <w:rPr>
          <w:rFonts w:ascii="ITC Avant Garde" w:hAnsi="ITC Avant Garde"/>
        </w:rPr>
        <w:t xml:space="preserve">así como las conclusiones alcanzadas atendiendo a su naturaleza meramente contable, como una actividad reflejada en libros que de ninguna forma releva la verdadera intención y las relaciones jurídicas y de influencia en las partes contratantes. Lo anterior con base en las </w:t>
      </w:r>
      <w:r w:rsidR="000E3F2C" w:rsidRPr="002A2450">
        <w:rPr>
          <w:rFonts w:ascii="ITC Avant Garde" w:hAnsi="ITC Avant Garde"/>
        </w:rPr>
        <w:t>siguientes consideraciones:</w:t>
      </w:r>
    </w:p>
    <w:p w14:paraId="5C3BEEF7" w14:textId="77777777" w:rsidR="00B35F13" w:rsidRDefault="000E3F2C" w:rsidP="00B35F13">
      <w:pPr>
        <w:spacing w:before="240" w:line="360" w:lineRule="auto"/>
        <w:jc w:val="both"/>
        <w:rPr>
          <w:rFonts w:ascii="ITC Avant Garde" w:hAnsi="ITC Avant Garde"/>
        </w:rPr>
      </w:pPr>
      <w:r w:rsidRPr="002A2450">
        <w:rPr>
          <w:rFonts w:ascii="ITC Avant Garde" w:hAnsi="ITC Avant Garde"/>
        </w:rPr>
        <w:t>De acuerdo a las tesis emitidas por el Poder Judicial de la Federación, la contabilidad es una técnica que sistemática y estructuralmente produce información cuantitativa, a través de la cual no puede demostrar la naturaleza de las instituciones jurídicas a excepción de que éstas les otorguen un significado en el marco normativo, así como pueden explicar un evento futuro dada la naturaleza de la técnica en la que se desenvuelve.</w:t>
      </w:r>
    </w:p>
    <w:p w14:paraId="21D716ED" w14:textId="77777777" w:rsidR="00B35F13" w:rsidRDefault="000E3F2C" w:rsidP="00B35F13">
      <w:pPr>
        <w:spacing w:before="240" w:line="360" w:lineRule="auto"/>
        <w:jc w:val="both"/>
        <w:rPr>
          <w:rFonts w:ascii="ITC Avant Garde" w:hAnsi="ITC Avant Garde"/>
        </w:rPr>
      </w:pPr>
      <w:r w:rsidRPr="002A2450">
        <w:rPr>
          <w:rFonts w:ascii="ITC Avant Garde" w:hAnsi="ITC Avant Garde"/>
        </w:rPr>
        <w:lastRenderedPageBreak/>
        <w:t>Sirve de apoyo a lo anterior, las siguientes tesis:</w:t>
      </w:r>
    </w:p>
    <w:p w14:paraId="6B764AFF" w14:textId="77777777" w:rsidR="00B35F13" w:rsidRDefault="003C3E14" w:rsidP="00B35F13">
      <w:pPr>
        <w:spacing w:before="240" w:line="360" w:lineRule="auto"/>
        <w:ind w:left="567" w:right="567"/>
        <w:jc w:val="both"/>
        <w:rPr>
          <w:rFonts w:ascii="ITC Avant Garde" w:hAnsi="ITC Avant Garde"/>
        </w:rPr>
      </w:pPr>
      <w:r w:rsidRPr="002A2450">
        <w:rPr>
          <w:rFonts w:ascii="ITC Avant Garde" w:hAnsi="ITC Avant Garde"/>
          <w:b/>
        </w:rPr>
        <w:t>PRUEBA PERICIAL CONTABLE. MEDIANTE ÉSTA NO PUEDE DEMOSTRARSE LA NATURALEZA DE INSTITUCIONES JURÍDICAS.</w:t>
      </w:r>
      <w:r w:rsidR="000E3F2C" w:rsidRPr="002A2450">
        <w:rPr>
          <w:rFonts w:ascii="ITC Avant Garde" w:hAnsi="ITC Avant Garde"/>
        </w:rPr>
        <w:t xml:space="preserve"> </w:t>
      </w:r>
      <w:r w:rsidRPr="002A2450">
        <w:rPr>
          <w:rFonts w:ascii="ITC Avant Garde" w:hAnsi="ITC Avant Garde"/>
        </w:rPr>
        <w:t xml:space="preserve">Si se toma en consideración que la contabilidad es una técnica que sistemática y estructuralmente produce información cuantitativa sobre situaciones económicas identificables y cuantificables de una entidad, </w:t>
      </w:r>
      <w:r w:rsidRPr="002A2450">
        <w:rPr>
          <w:rFonts w:ascii="ITC Avant Garde" w:hAnsi="ITC Avant Garde"/>
          <w:b/>
          <w:u w:val="single"/>
        </w:rPr>
        <w:t>resulta evidente que mediante una prueba pericial contable no puede demostrarse la naturaleza de instituciones jurídicas, pues la esencia de éstas depende del tratamiento que les dé la ley, de acuerdo con las finalidades de la norma, y no de un resultado cuantitativo que pudiera derivar de las operaciones que se realicen</w:t>
      </w:r>
      <w:r w:rsidRPr="002A2450">
        <w:rPr>
          <w:rFonts w:ascii="ITC Avant Garde" w:hAnsi="ITC Avant Garde"/>
        </w:rPr>
        <w:t>.</w:t>
      </w:r>
    </w:p>
    <w:p w14:paraId="7F98D582" w14:textId="77777777" w:rsidR="00B35F13" w:rsidRDefault="003C3E14" w:rsidP="00B35F13">
      <w:pPr>
        <w:spacing w:before="240" w:line="360" w:lineRule="auto"/>
        <w:ind w:left="567" w:right="567"/>
        <w:jc w:val="both"/>
        <w:rPr>
          <w:rFonts w:ascii="ITC Avant Garde" w:hAnsi="ITC Avant Garde"/>
          <w:sz w:val="18"/>
        </w:rPr>
      </w:pPr>
      <w:r w:rsidRPr="002A2450">
        <w:rPr>
          <w:rFonts w:ascii="ITC Avant Garde" w:hAnsi="ITC Avant Garde"/>
          <w:sz w:val="18"/>
        </w:rPr>
        <w:t>Época: Novena Época</w:t>
      </w:r>
      <w:r w:rsidR="000E3F2C" w:rsidRPr="002A2450">
        <w:rPr>
          <w:rFonts w:ascii="ITC Avant Garde" w:hAnsi="ITC Avant Garde"/>
          <w:sz w:val="18"/>
        </w:rPr>
        <w:t xml:space="preserve">, </w:t>
      </w:r>
      <w:r w:rsidRPr="002A2450">
        <w:rPr>
          <w:rFonts w:ascii="ITC Avant Garde" w:hAnsi="ITC Avant Garde"/>
          <w:sz w:val="18"/>
        </w:rPr>
        <w:t>Registro: 179802</w:t>
      </w:r>
      <w:r w:rsidR="000E3F2C" w:rsidRPr="002A2450">
        <w:rPr>
          <w:rFonts w:ascii="ITC Avant Garde" w:hAnsi="ITC Avant Garde"/>
          <w:sz w:val="18"/>
        </w:rPr>
        <w:t xml:space="preserve">, </w:t>
      </w:r>
      <w:r w:rsidRPr="002A2450">
        <w:rPr>
          <w:rFonts w:ascii="ITC Avant Garde" w:hAnsi="ITC Avant Garde"/>
          <w:sz w:val="18"/>
        </w:rPr>
        <w:t>Instancia: Primera Sala</w:t>
      </w:r>
      <w:r w:rsidR="000E3F2C" w:rsidRPr="002A2450">
        <w:rPr>
          <w:rFonts w:ascii="ITC Avant Garde" w:hAnsi="ITC Avant Garde"/>
          <w:sz w:val="18"/>
        </w:rPr>
        <w:t xml:space="preserve">, </w:t>
      </w:r>
      <w:r w:rsidRPr="002A2450">
        <w:rPr>
          <w:rFonts w:ascii="ITC Avant Garde" w:hAnsi="ITC Avant Garde"/>
          <w:sz w:val="18"/>
        </w:rPr>
        <w:t>Tipo de Tesis: Aislada</w:t>
      </w:r>
      <w:r w:rsidR="000E3F2C" w:rsidRPr="002A2450">
        <w:rPr>
          <w:rFonts w:ascii="ITC Avant Garde" w:hAnsi="ITC Avant Garde"/>
          <w:sz w:val="18"/>
        </w:rPr>
        <w:t xml:space="preserve">, </w:t>
      </w:r>
      <w:r w:rsidRPr="002A2450">
        <w:rPr>
          <w:rFonts w:ascii="ITC Avant Garde" w:hAnsi="ITC Avant Garde"/>
          <w:sz w:val="18"/>
        </w:rPr>
        <w:t>Fuente: Semanario Judicial de la Federación y su Gaceta</w:t>
      </w:r>
      <w:r w:rsidR="000E3F2C" w:rsidRPr="002A2450">
        <w:rPr>
          <w:rFonts w:ascii="ITC Avant Garde" w:hAnsi="ITC Avant Garde"/>
          <w:sz w:val="18"/>
        </w:rPr>
        <w:t xml:space="preserve">, </w:t>
      </w:r>
      <w:r w:rsidRPr="002A2450">
        <w:rPr>
          <w:rFonts w:ascii="ITC Avant Garde" w:hAnsi="ITC Avant Garde"/>
          <w:sz w:val="18"/>
        </w:rPr>
        <w:t>Tomo XX, Diciembre de 2004</w:t>
      </w:r>
      <w:r w:rsidR="000E3F2C" w:rsidRPr="002A2450">
        <w:rPr>
          <w:rFonts w:ascii="ITC Avant Garde" w:hAnsi="ITC Avant Garde"/>
          <w:sz w:val="18"/>
        </w:rPr>
        <w:t xml:space="preserve">, </w:t>
      </w:r>
      <w:r w:rsidRPr="002A2450">
        <w:rPr>
          <w:rFonts w:ascii="ITC Avant Garde" w:hAnsi="ITC Avant Garde"/>
          <w:sz w:val="18"/>
        </w:rPr>
        <w:t>Materia(s): Administrativa</w:t>
      </w:r>
      <w:r w:rsidR="000E3F2C" w:rsidRPr="002A2450">
        <w:rPr>
          <w:rFonts w:ascii="ITC Avant Garde" w:hAnsi="ITC Avant Garde"/>
          <w:sz w:val="18"/>
        </w:rPr>
        <w:t xml:space="preserve">, </w:t>
      </w:r>
      <w:r w:rsidRPr="002A2450">
        <w:rPr>
          <w:rFonts w:ascii="ITC Avant Garde" w:hAnsi="ITC Avant Garde"/>
          <w:sz w:val="18"/>
        </w:rPr>
        <w:t>Tesis: 1a. CXV/2004</w:t>
      </w:r>
      <w:r w:rsidR="000E3F2C" w:rsidRPr="002A2450">
        <w:rPr>
          <w:rFonts w:ascii="ITC Avant Garde" w:hAnsi="ITC Avant Garde"/>
          <w:sz w:val="18"/>
        </w:rPr>
        <w:t xml:space="preserve">, </w:t>
      </w:r>
      <w:r w:rsidRPr="002A2450">
        <w:rPr>
          <w:rFonts w:ascii="ITC Avant Garde" w:hAnsi="ITC Avant Garde"/>
          <w:sz w:val="18"/>
        </w:rPr>
        <w:t xml:space="preserve">Página: 372 </w:t>
      </w:r>
    </w:p>
    <w:p w14:paraId="34897B05" w14:textId="77777777" w:rsidR="00B35F13" w:rsidRDefault="003C3E14" w:rsidP="00B35F13">
      <w:pPr>
        <w:spacing w:before="240" w:line="360" w:lineRule="auto"/>
        <w:ind w:left="567" w:right="567"/>
        <w:jc w:val="both"/>
        <w:rPr>
          <w:rFonts w:ascii="ITC Avant Garde" w:hAnsi="ITC Avant Garde"/>
        </w:rPr>
      </w:pPr>
      <w:r w:rsidRPr="002A2450">
        <w:rPr>
          <w:rFonts w:ascii="ITC Avant Garde" w:hAnsi="ITC Avant Garde"/>
          <w:b/>
        </w:rPr>
        <w:t>PRUEBA PERICIAL CONTABLE. NO CONSTITUYE UN MEDIO IDÓNEO PARA ACREDITAR HECHOS FUTUROS O INCIERTOS</w:t>
      </w:r>
      <w:r w:rsidRPr="002A2450">
        <w:rPr>
          <w:rFonts w:ascii="ITC Avant Garde" w:hAnsi="ITC Avant Garde"/>
        </w:rPr>
        <w:t>.</w:t>
      </w:r>
      <w:r w:rsidR="000E3F2C" w:rsidRPr="002A2450">
        <w:rPr>
          <w:rFonts w:ascii="ITC Avant Garde" w:hAnsi="ITC Avant Garde"/>
        </w:rPr>
        <w:t xml:space="preserve"> </w:t>
      </w:r>
      <w:r w:rsidRPr="002A2450">
        <w:rPr>
          <w:rFonts w:ascii="ITC Avant Garde" w:hAnsi="ITC Avant Garde"/>
        </w:rPr>
        <w:t xml:space="preserve">La contabilidad es una técnica que sistemática y estructuralmente produce información cuantitativa expresada en unidades monetarias, sobre las situaciones económicas identificables y cuantificables que realiza una entidad, lo cual se logra a través de un proceso de captación de las operaciones que cronológicamente mida, clasifique, registre y resuma con claridad. De lo anterior se desprende que la contabilidad se aboca a la captación de las operaciones efectuadas por una entidad, las cuales son analizadas, clasificadas y registradas, a fin de producir información, por lo que la contabilidad siempre es un registro histórico que, por sí misma, no anticipa eventos. </w:t>
      </w:r>
      <w:r w:rsidRPr="002A2450">
        <w:rPr>
          <w:rFonts w:ascii="ITC Avant Garde" w:hAnsi="ITC Avant Garde"/>
          <w:b/>
          <w:u w:val="single"/>
        </w:rPr>
        <w:t xml:space="preserve">En consecuencia, la prueba pericial en materia contable no constituye un medio probatorio idóneo para acreditar hechos futuros o inciertos (como lo es el efecto que deriva del establecimiento de un gravamen), ni para demostrar hechos que </w:t>
      </w:r>
      <w:r w:rsidRPr="002A2450">
        <w:rPr>
          <w:rFonts w:ascii="ITC Avant Garde" w:hAnsi="ITC Avant Garde"/>
          <w:b/>
          <w:u w:val="single"/>
        </w:rPr>
        <w:lastRenderedPageBreak/>
        <w:t>dependen de circunstancias ajenas a la propia empresa (como son las condiciones del mercado), apreciándose que la respuesta que llegue a dar el perito sobre dichas materias se aleja del conocimiento que corresponde a su oficio y se adentra en el terreno de las especulaciones, lo que implica que la referida pericial no arroja elementos objetivos que generen convicción en el juzgador.</w:t>
      </w:r>
    </w:p>
    <w:p w14:paraId="7850C96A" w14:textId="77777777" w:rsidR="00B35F13" w:rsidRDefault="00702143" w:rsidP="00B35F13">
      <w:pPr>
        <w:spacing w:before="240" w:line="360" w:lineRule="auto"/>
        <w:ind w:left="567" w:right="567"/>
        <w:jc w:val="both"/>
        <w:rPr>
          <w:rFonts w:ascii="ITC Avant Garde" w:hAnsi="ITC Avant Garde"/>
        </w:rPr>
      </w:pPr>
      <w:r w:rsidRPr="002A2450">
        <w:rPr>
          <w:rFonts w:ascii="ITC Avant Garde" w:hAnsi="ITC Avant Garde"/>
          <w:sz w:val="18"/>
        </w:rPr>
        <w:t>Época</w:t>
      </w:r>
      <w:r w:rsidR="000E3F2C" w:rsidRPr="002A2450">
        <w:rPr>
          <w:rFonts w:ascii="ITC Avant Garde" w:hAnsi="ITC Avant Garde"/>
          <w:sz w:val="18"/>
        </w:rPr>
        <w:t>: Novena Época, Registro: 166314, Instancia: Primera Sala, Tipo de Tesis: Aislada, Fuente: Semanario Judicial de la Federación y su Gaceta, Tomo XXX, Septiembre de 2009, Materia(s): Común, Tesis: 1a. CLI/2009, Página: 453</w:t>
      </w:r>
      <w:r w:rsidR="000E3F2C" w:rsidRPr="002A2450">
        <w:rPr>
          <w:rFonts w:ascii="ITC Avant Garde" w:hAnsi="ITC Avant Garde"/>
        </w:rPr>
        <w:t xml:space="preserve">. </w:t>
      </w:r>
    </w:p>
    <w:p w14:paraId="526C529F" w14:textId="77777777" w:rsidR="00B35F13" w:rsidRDefault="000E3F2C" w:rsidP="00B35F13">
      <w:pPr>
        <w:spacing w:before="240" w:line="360" w:lineRule="auto"/>
        <w:jc w:val="both"/>
        <w:rPr>
          <w:rFonts w:ascii="ITC Avant Garde" w:hAnsi="ITC Avant Garde"/>
        </w:rPr>
      </w:pPr>
      <w:r w:rsidRPr="002A2450">
        <w:rPr>
          <w:rFonts w:ascii="ITC Avant Garde" w:hAnsi="ITC Avant Garde"/>
        </w:rPr>
        <w:t>En ese sentido, es válido reconocer el hecho de que si la prueba en cuestión tendría como objeto verificar si los contratos obedecen a un diseño o mecanismo que les permita alienar los incentivos, las relaciones verticales en una relación de negocios eficientes y si los contratos conforman una sola unidad económica, es dable concluir que la misma no resulta ser una prueba evidentemente idónea para acreditar dichos supuestos.</w:t>
      </w:r>
    </w:p>
    <w:p w14:paraId="49F41B80" w14:textId="77777777" w:rsidR="00B35F13" w:rsidRDefault="000E3F2C" w:rsidP="00B35F13">
      <w:pPr>
        <w:spacing w:before="240" w:line="360" w:lineRule="auto"/>
        <w:jc w:val="both"/>
        <w:rPr>
          <w:rFonts w:ascii="ITC Avant Garde" w:hAnsi="ITC Avant Garde"/>
        </w:rPr>
      </w:pPr>
      <w:r w:rsidRPr="002A2450">
        <w:rPr>
          <w:rFonts w:ascii="ITC Avant Garde" w:hAnsi="ITC Avant Garde"/>
        </w:rPr>
        <w:t>Lo anterior, ya que efectivamente, las técnicas de registro contable parten de la sistematización de eventos acaecidos que difícilmente podrían generarse con relación a eventos futuros, de lo que se sigue que la técnica contable (sin perjuicio de compromisos a largo plazo y/o diferidos) resulta ser tautológica y por ello, incapaz de explicar todas las relaciones que pueden derivarse de una relación contractual como la prevista en el presente procedimiento.</w:t>
      </w:r>
    </w:p>
    <w:p w14:paraId="256DCBCE" w14:textId="77777777" w:rsidR="00B35F13" w:rsidRDefault="000E3F2C" w:rsidP="00B35F13">
      <w:pPr>
        <w:spacing w:before="240" w:line="360" w:lineRule="auto"/>
        <w:jc w:val="both"/>
        <w:rPr>
          <w:rFonts w:ascii="ITC Avant Garde" w:hAnsi="ITC Avant Garde"/>
        </w:rPr>
      </w:pPr>
      <w:r w:rsidRPr="002A2450">
        <w:rPr>
          <w:rFonts w:ascii="ITC Avant Garde" w:hAnsi="ITC Avant Garde"/>
        </w:rPr>
        <w:t xml:space="preserve">En ese sentido, vale recapitular como bien lo señalan los peritos, dichos contratos obedecen una naturaleza compleja dónde la existencia de un posible control no se encuentra descartada pero </w:t>
      </w:r>
      <w:r w:rsidR="005563D2" w:rsidRPr="002A2450">
        <w:rPr>
          <w:rFonts w:ascii="ITC Avant Garde" w:hAnsi="ITC Avant Garde"/>
        </w:rPr>
        <w:t>transfieren dicha posibilidad a la existencia de clausulados que así lo definan o permitan, dado que como bien se ha señalado en las tesis de mérito, su función no puede constituir ni acreditar instituciones jurídicas diversas a las que se encuentran constreñidas.</w:t>
      </w:r>
    </w:p>
    <w:p w14:paraId="5A52C8B9" w14:textId="77777777" w:rsidR="00B35F13" w:rsidRDefault="005563D2" w:rsidP="00B35F13">
      <w:pPr>
        <w:spacing w:before="240" w:line="360" w:lineRule="auto"/>
        <w:jc w:val="both"/>
        <w:rPr>
          <w:rFonts w:ascii="ITC Avant Garde" w:hAnsi="ITC Avant Garde"/>
          <w:b/>
        </w:rPr>
      </w:pPr>
      <w:r w:rsidRPr="002A2450">
        <w:rPr>
          <w:rFonts w:ascii="ITC Avant Garde" w:hAnsi="ITC Avant Garde"/>
        </w:rPr>
        <w:lastRenderedPageBreak/>
        <w:t xml:space="preserve">Así las cosas, la pericial en contabilidad en estudio no es una prueba idónea para desvirtuar los hechos derivados del presunto incumplimiento de </w:t>
      </w:r>
      <w:r w:rsidRPr="002A2450">
        <w:rPr>
          <w:rFonts w:ascii="ITC Avant Garde" w:hAnsi="ITC Avant Garde"/>
          <w:b/>
        </w:rPr>
        <w:t>“TELMEX”</w:t>
      </w:r>
      <w:r w:rsidR="008F718E" w:rsidRPr="002A2450">
        <w:rPr>
          <w:rFonts w:ascii="ITC Avant Garde" w:hAnsi="ITC Avant Garde"/>
          <w:color w:val="C00000"/>
        </w:rPr>
        <w:t xml:space="preserve"> </w:t>
      </w:r>
      <w:r w:rsidRPr="002A2450">
        <w:rPr>
          <w:rFonts w:ascii="ITC Avant Garde" w:hAnsi="ITC Avant Garde"/>
        </w:rPr>
        <w:t xml:space="preserve">a la condición 1-9 de su </w:t>
      </w:r>
      <w:r w:rsidRPr="002A2450">
        <w:rPr>
          <w:rFonts w:ascii="ITC Avant Garde" w:hAnsi="ITC Avant Garde"/>
          <w:b/>
        </w:rPr>
        <w:t>“TÍTULO DE CONCESIÓN”</w:t>
      </w:r>
      <w:r w:rsidRPr="002A2450">
        <w:rPr>
          <w:rFonts w:ascii="ITC Avant Garde" w:hAnsi="ITC Avant Garde"/>
        </w:rPr>
        <w:t xml:space="preserve"> dado que dicha conducta no pertenece a la técnica contable sino a las consideraciones de derecho regulatorio en materia de telecomunicaciones, puesto que a la luz de las consideraciones vertidas por los peritos no es posible que con dicha técnica puedan explicarse las relaciones señaladas en</w:t>
      </w:r>
      <w:r w:rsidR="00436A76" w:rsidRPr="002A2450">
        <w:rPr>
          <w:rFonts w:ascii="ITC Avant Garde" w:hAnsi="ITC Avant Garde"/>
        </w:rPr>
        <w:t xml:space="preserve"> los contratos ni mucho menos có</w:t>
      </w:r>
      <w:r w:rsidRPr="002A2450">
        <w:rPr>
          <w:rFonts w:ascii="ITC Avant Garde" w:hAnsi="ITC Avant Garde"/>
        </w:rPr>
        <w:t xml:space="preserve">mo en su análisis en conjunto puedan determinar la coordinación de intereses con base en el cúmulo de contratos coaligados para el funcionamiento de la </w:t>
      </w:r>
      <w:r w:rsidRPr="002A2450">
        <w:rPr>
          <w:rFonts w:ascii="ITC Avant Garde" w:hAnsi="ITC Avant Garde"/>
          <w:i/>
        </w:rPr>
        <w:t xml:space="preserve">Alianza Estratégica </w:t>
      </w:r>
      <w:r w:rsidRPr="002A2450">
        <w:rPr>
          <w:rFonts w:ascii="ITC Avant Garde" w:hAnsi="ITC Avant Garde"/>
        </w:rPr>
        <w:t xml:space="preserve">conformada para el servicio </w:t>
      </w:r>
      <w:r w:rsidRPr="002A2450">
        <w:rPr>
          <w:rFonts w:ascii="ITC Avant Garde" w:hAnsi="ITC Avant Garde"/>
          <w:b/>
        </w:rPr>
        <w:t>“D</w:t>
      </w:r>
      <w:r w:rsidR="00436A76" w:rsidRPr="002A2450">
        <w:rPr>
          <w:rFonts w:ascii="ITC Avant Garde" w:hAnsi="ITC Avant Garde"/>
          <w:b/>
        </w:rPr>
        <w:t>T</w:t>
      </w:r>
      <w:r w:rsidRPr="002A2450">
        <w:rPr>
          <w:rFonts w:ascii="ITC Avant Garde" w:hAnsi="ITC Avant Garde"/>
          <w:b/>
        </w:rPr>
        <w:t>H”.</w:t>
      </w:r>
    </w:p>
    <w:p w14:paraId="40676E5B" w14:textId="77777777" w:rsidR="00B35F13" w:rsidRDefault="005563D2" w:rsidP="00B35F13">
      <w:pPr>
        <w:spacing w:before="240" w:line="360" w:lineRule="auto"/>
        <w:jc w:val="both"/>
        <w:rPr>
          <w:rFonts w:ascii="ITC Avant Garde" w:hAnsi="ITC Avant Garde"/>
        </w:rPr>
      </w:pPr>
      <w:r w:rsidRPr="002A2450">
        <w:rPr>
          <w:rFonts w:ascii="ITC Avant Garde" w:hAnsi="ITC Avant Garde"/>
        </w:rPr>
        <w:t>Lo anterior, de ninguna manera pone en tela de juicio las conclusiones señaladas por los peritos</w:t>
      </w:r>
      <w:r w:rsidR="00436A76" w:rsidRPr="002A2450">
        <w:rPr>
          <w:rFonts w:ascii="ITC Avant Garde" w:hAnsi="ITC Avant Garde"/>
        </w:rPr>
        <w:t>,</w:t>
      </w:r>
      <w:r w:rsidRPr="002A2450">
        <w:rPr>
          <w:rFonts w:ascii="ITC Avant Garde" w:hAnsi="ITC Avant Garde"/>
        </w:rPr>
        <w:t xml:space="preserve"> sin embargo si se advierte que la técnica contable resulta ser acotada a sus propios lineamientos y </w:t>
      </w:r>
      <w:r w:rsidR="00436A76" w:rsidRPr="002A2450">
        <w:rPr>
          <w:rFonts w:ascii="ITC Avant Garde" w:hAnsi="ITC Avant Garde"/>
        </w:rPr>
        <w:t xml:space="preserve">es evidentemente conceptual, resulta innegable que </w:t>
      </w:r>
      <w:r w:rsidRPr="002A2450">
        <w:rPr>
          <w:rFonts w:ascii="ITC Avant Garde" w:hAnsi="ITC Avant Garde"/>
        </w:rPr>
        <w:t xml:space="preserve">para efectos del presente procedimiento resulta ser incapaz de explicar cómo los contratos celebrados por </w:t>
      </w:r>
      <w:r w:rsidRPr="002A2450">
        <w:rPr>
          <w:rFonts w:ascii="ITC Avant Garde" w:hAnsi="ITC Avant Garde"/>
          <w:b/>
        </w:rPr>
        <w:t>“TELMEX”</w:t>
      </w:r>
      <w:r w:rsidRPr="002A2450">
        <w:rPr>
          <w:rFonts w:ascii="ITC Avant Garde" w:hAnsi="ITC Avant Garde"/>
        </w:rPr>
        <w:t xml:space="preserve"> tienen aparejada un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Pr="002A2450">
        <w:rPr>
          <w:rFonts w:ascii="ITC Avant Garde" w:hAnsi="ITC Avant Garde"/>
        </w:rPr>
        <w:t>a una concesión para prestar el servicio de televisión restringida.</w:t>
      </w:r>
    </w:p>
    <w:p w14:paraId="61B5D252" w14:textId="77777777" w:rsidR="00B35F13" w:rsidRDefault="004A428F" w:rsidP="00B35F13">
      <w:pPr>
        <w:spacing w:before="240" w:line="360" w:lineRule="auto"/>
        <w:jc w:val="both"/>
        <w:rPr>
          <w:rFonts w:ascii="ITC Avant Garde" w:hAnsi="ITC Avant Garde"/>
        </w:rPr>
      </w:pPr>
      <w:r w:rsidRPr="002A2450">
        <w:rPr>
          <w:rFonts w:ascii="ITC Avant Garde" w:hAnsi="ITC Avant Garde"/>
        </w:rPr>
        <w:t xml:space="preserve">En ese sentido, la prueba pericial en materia contable no </w:t>
      </w:r>
      <w:r w:rsidR="00436A76" w:rsidRPr="002A2450">
        <w:rPr>
          <w:rFonts w:ascii="ITC Avant Garde" w:hAnsi="ITC Avant Garde"/>
        </w:rPr>
        <w:t xml:space="preserve">se considera apta </w:t>
      </w:r>
      <w:r w:rsidR="009A614D" w:rsidRPr="002A2450">
        <w:rPr>
          <w:rFonts w:ascii="ITC Avant Garde" w:hAnsi="ITC Avant Garde"/>
        </w:rPr>
        <w:t xml:space="preserve">ni </w:t>
      </w:r>
      <w:r w:rsidRPr="002A2450">
        <w:rPr>
          <w:rFonts w:ascii="ITC Avant Garde" w:hAnsi="ITC Avant Garde"/>
        </w:rPr>
        <w:t xml:space="preserve">idónea para acreditar los extremos pretendidos por </w:t>
      </w:r>
      <w:r w:rsidRPr="002A2450">
        <w:rPr>
          <w:rFonts w:ascii="ITC Avant Garde" w:hAnsi="ITC Avant Garde"/>
          <w:b/>
        </w:rPr>
        <w:t>“TELMEX”</w:t>
      </w:r>
      <w:r w:rsidRPr="002A2450">
        <w:rPr>
          <w:rFonts w:ascii="ITC Avant Garde" w:hAnsi="ITC Avant Garde"/>
        </w:rPr>
        <w:t xml:space="preserve"> en el presente procedimiento y por ello </w:t>
      </w:r>
      <w:r w:rsidR="00436A76" w:rsidRPr="002A2450">
        <w:rPr>
          <w:rFonts w:ascii="ITC Avant Garde" w:hAnsi="ITC Avant Garde"/>
        </w:rPr>
        <w:t xml:space="preserve">resulta </w:t>
      </w:r>
      <w:r w:rsidRPr="002A2450">
        <w:rPr>
          <w:rFonts w:ascii="ITC Avant Garde" w:hAnsi="ITC Avant Garde"/>
        </w:rPr>
        <w:t xml:space="preserve">insuficiente para otorgarle un valor probatorio </w:t>
      </w:r>
      <w:r w:rsidR="00436A76" w:rsidRPr="002A2450">
        <w:rPr>
          <w:rFonts w:ascii="ITC Avant Garde" w:hAnsi="ITC Avant Garde"/>
        </w:rPr>
        <w:t xml:space="preserve">tal que por sí misma pudiera </w:t>
      </w:r>
      <w:r w:rsidRPr="002A2450">
        <w:rPr>
          <w:rFonts w:ascii="ITC Avant Garde" w:hAnsi="ITC Avant Garde"/>
        </w:rPr>
        <w:t>desvirtuar la conducta materia del presente procedimiento.</w:t>
      </w:r>
    </w:p>
    <w:p w14:paraId="51A05B83" w14:textId="77777777" w:rsidR="00B35F13" w:rsidRDefault="004A428F" w:rsidP="00B35F13">
      <w:pPr>
        <w:spacing w:before="240" w:line="360" w:lineRule="auto"/>
        <w:jc w:val="both"/>
        <w:rPr>
          <w:rFonts w:ascii="ITC Avant Garde" w:eastAsia="Times New Roman" w:hAnsi="ITC Avant Garde"/>
          <w:b/>
          <w:bCs/>
          <w:color w:val="000000"/>
          <w:lang w:eastAsia="es-MX"/>
        </w:rPr>
      </w:pPr>
      <w:r w:rsidRPr="002A2450">
        <w:rPr>
          <w:rFonts w:ascii="ITC Avant Garde" w:hAnsi="ITC Avant Garde"/>
        </w:rPr>
        <w:t xml:space="preserve">Ahora bien, </w:t>
      </w:r>
      <w:r w:rsidRPr="002A2450">
        <w:rPr>
          <w:rFonts w:ascii="ITC Avant Garde" w:hAnsi="ITC Avant Garde"/>
          <w:b/>
        </w:rPr>
        <w:t>“TELMEX”</w:t>
      </w:r>
      <w:r w:rsidRPr="002A2450">
        <w:rPr>
          <w:rFonts w:ascii="ITC Avant Garde" w:hAnsi="ITC Avant Garde"/>
        </w:rPr>
        <w:t xml:space="preserve"> ofreció como prueba la </w:t>
      </w:r>
      <w:r w:rsidRPr="002A2450">
        <w:rPr>
          <w:rFonts w:ascii="ITC Avant Garde" w:hAnsi="ITC Avant Garde"/>
          <w:i/>
        </w:rPr>
        <w:t>instrumental de actuaciones</w:t>
      </w:r>
      <w:r w:rsidRPr="002A2450">
        <w:rPr>
          <w:rFonts w:ascii="ITC Avant Garde" w:hAnsi="ITC Avant Garde"/>
        </w:rPr>
        <w:t xml:space="preserve"> la cual </w:t>
      </w:r>
      <w:r w:rsidRPr="002A2450">
        <w:rPr>
          <w:rFonts w:ascii="ITC Avant Garde" w:eastAsia="Times New Roman" w:hAnsi="ITC Avant Garde"/>
          <w:bCs/>
          <w:color w:val="000000"/>
          <w:lang w:eastAsia="es-MX"/>
        </w:rPr>
        <w:t xml:space="preserve">con fundamento en lo dispuesto en los artículos 16, fracción V, 50 y 51 de la </w:t>
      </w:r>
      <w:r w:rsidRPr="002A2450">
        <w:rPr>
          <w:rFonts w:ascii="ITC Avant Garde" w:eastAsia="Times New Roman" w:hAnsi="ITC Avant Garde"/>
          <w:b/>
          <w:bCs/>
          <w:color w:val="000000"/>
          <w:lang w:eastAsia="es-MX"/>
        </w:rPr>
        <w:t>“LFPA”</w:t>
      </w:r>
      <w:r w:rsidRPr="002A2450">
        <w:rPr>
          <w:rFonts w:ascii="ITC Avant Garde" w:eastAsia="Times New Roman" w:hAnsi="ITC Avant Garde"/>
          <w:bCs/>
          <w:color w:val="000000"/>
          <w:lang w:eastAsia="es-MX"/>
        </w:rPr>
        <w:t xml:space="preserve">, 79, 87, y 93 del </w:t>
      </w:r>
      <w:r w:rsidRPr="002A2450">
        <w:rPr>
          <w:rFonts w:ascii="ITC Avant Garde" w:eastAsia="Times New Roman" w:hAnsi="ITC Avant Garde"/>
          <w:b/>
          <w:bCs/>
          <w:color w:val="000000"/>
          <w:lang w:eastAsia="es-MX"/>
        </w:rPr>
        <w:t>CFPC</w:t>
      </w:r>
      <w:r w:rsidRPr="002A2450">
        <w:rPr>
          <w:rFonts w:ascii="ITC Avant Garde" w:eastAsia="Times New Roman" w:hAnsi="ITC Avant Garde"/>
          <w:bCs/>
          <w:color w:val="000000"/>
          <w:lang w:eastAsia="es-MX"/>
        </w:rPr>
        <w:t>,</w:t>
      </w:r>
      <w:r w:rsidR="008F718E" w:rsidRPr="002A2450">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debe precisarse que esta autoridad realizó el análisis y estudio de todas y cada una de las constancias documentales que conformen el expediente en que se actúa y de las mismas, no se desprenden elementos de convicción suficientes que desvirtúen el incumplimiento por parte de dicha concesionaria al</w:t>
      </w:r>
      <w:r w:rsidR="00436A76" w:rsidRPr="002A2450">
        <w:rPr>
          <w:rFonts w:ascii="ITC Avant Garde" w:eastAsia="Times New Roman" w:hAnsi="ITC Avant Garde"/>
          <w:bCs/>
          <w:color w:val="000000"/>
          <w:lang w:eastAsia="es-MX"/>
        </w:rPr>
        <w:t xml:space="preserve"> </w:t>
      </w:r>
      <w:r w:rsidR="00065AA4" w:rsidRPr="009E34A4">
        <w:rPr>
          <w:rFonts w:ascii="ITC Avant Garde" w:eastAsia="Times New Roman" w:hAnsi="ITC Avant Garde"/>
          <w:b/>
          <w:bCs/>
          <w:color w:val="000000"/>
          <w:lang w:eastAsia="es-MX"/>
        </w:rPr>
        <w:t>Tercer Párrafo</w:t>
      </w:r>
      <w:r w:rsidR="00436A76" w:rsidRPr="002A2450">
        <w:rPr>
          <w:rFonts w:ascii="ITC Avant Garde" w:eastAsia="Times New Roman" w:hAnsi="ITC Avant Garde"/>
          <w:bCs/>
          <w:color w:val="000000"/>
          <w:lang w:eastAsia="es-MX"/>
        </w:rPr>
        <w:t xml:space="preserve"> de la</w:t>
      </w:r>
      <w:r w:rsidRPr="002A2450">
        <w:rPr>
          <w:rFonts w:ascii="ITC Avant Garde" w:eastAsia="Times New Roman" w:hAnsi="ITC Avant Garde"/>
          <w:bCs/>
          <w:color w:val="000000"/>
          <w:lang w:eastAsia="es-MX"/>
        </w:rPr>
        <w:t xml:space="preserve"> condición 1-9 de su </w:t>
      </w:r>
      <w:r w:rsidRPr="002A2450">
        <w:rPr>
          <w:rFonts w:ascii="ITC Avant Garde" w:eastAsia="Times New Roman" w:hAnsi="ITC Avant Garde"/>
          <w:b/>
          <w:bCs/>
          <w:color w:val="000000"/>
          <w:lang w:eastAsia="es-MX"/>
        </w:rPr>
        <w:t>“TÍTULO DE CONCESIÓN”.</w:t>
      </w:r>
    </w:p>
    <w:p w14:paraId="27341048" w14:textId="77777777" w:rsidR="00B35F13" w:rsidRDefault="004A428F"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No pasa desapercibido que nuestro más Alto Tribunal ha emitido su fallo sobre esta probanza, que independientemente que no se considera en el Código Federal de Procedimientos Civiles, nos ilustra con la siguiente tesis:</w:t>
      </w:r>
    </w:p>
    <w:p w14:paraId="19F14EBD" w14:textId="77777777" w:rsidR="00B35F13" w:rsidRDefault="004A428F" w:rsidP="00B35F13">
      <w:pPr>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PRUEBA INSTRUMENTAL DE ACTUACIONES, QUE SE ENTIENDE POR.</w:t>
      </w:r>
      <w:r w:rsidRPr="002A2450">
        <w:rPr>
          <w:rFonts w:ascii="ITC Avant Garde" w:eastAsia="Times New Roman" w:hAnsi="ITC Avant Garde"/>
          <w:bCs/>
          <w:color w:val="000000"/>
          <w:lang w:eastAsia="es-MX"/>
        </w:rPr>
        <w:t xml:space="preserve"> La prueba "instrumental de actuaciones" propiamente no existe, pues no es más que el nombre que en la práctica se ha dado a la totalidad de las pruebas recabadas en un determinado negocio; por tanto, si una de las partes del juicio laboral que ocurre al amparo funda sus conceptos de violación en que la prueba instrumental de actuaciones demuestra un determinado hecho, sin precisar a qué prueba en particular se refiere de las recabadas en el juicio, sus conceptos de violación, por deficientes, son infundados.</w:t>
      </w:r>
    </w:p>
    <w:p w14:paraId="4770964F" w14:textId="77777777" w:rsidR="00B35F13" w:rsidRDefault="004A428F" w:rsidP="00B35F13">
      <w:pPr>
        <w:spacing w:before="240" w:line="360" w:lineRule="auto"/>
        <w:ind w:left="567" w:right="567"/>
        <w:jc w:val="both"/>
        <w:rPr>
          <w:rFonts w:ascii="ITC Avant Garde" w:eastAsia="Times New Roman" w:hAnsi="ITC Avant Garde"/>
          <w:bCs/>
          <w:color w:val="000000"/>
          <w:sz w:val="18"/>
          <w:lang w:eastAsia="es-MX"/>
        </w:rPr>
      </w:pPr>
      <w:r w:rsidRPr="002A2450">
        <w:rPr>
          <w:rFonts w:ascii="ITC Avant Garde" w:eastAsia="Times New Roman" w:hAnsi="ITC Avant Garde"/>
          <w:bCs/>
          <w:color w:val="000000"/>
          <w:sz w:val="18"/>
          <w:lang w:eastAsia="es-MX"/>
        </w:rPr>
        <w:t>Época: Séptima Época, Registro: 244101, Instancia: Cuarta Sala, Tipo de Tesis: Aislada, Fuente: Semanario Judicial de la Federa</w:t>
      </w:r>
      <w:r w:rsidR="00436A76" w:rsidRPr="002A2450">
        <w:rPr>
          <w:rFonts w:ascii="ITC Avant Garde" w:eastAsia="Times New Roman" w:hAnsi="ITC Avant Garde"/>
          <w:bCs/>
          <w:color w:val="000000"/>
          <w:sz w:val="18"/>
          <w:lang w:eastAsia="es-MX"/>
        </w:rPr>
        <w:t>ción, Volumen 52, Quinta Parte,</w:t>
      </w:r>
      <w:r w:rsidRPr="002A2450">
        <w:rPr>
          <w:rFonts w:ascii="ITC Avant Garde" w:eastAsia="Times New Roman" w:hAnsi="ITC Avant Garde"/>
          <w:bCs/>
          <w:color w:val="000000"/>
          <w:sz w:val="18"/>
          <w:lang w:eastAsia="es-MX"/>
        </w:rPr>
        <w:t xml:space="preserve"> Mate</w:t>
      </w:r>
      <w:r w:rsidR="00C10614" w:rsidRPr="002A2450">
        <w:rPr>
          <w:rFonts w:ascii="ITC Avant Garde" w:eastAsia="Times New Roman" w:hAnsi="ITC Avant Garde"/>
          <w:bCs/>
          <w:color w:val="000000"/>
          <w:sz w:val="18"/>
          <w:lang w:eastAsia="es-MX"/>
        </w:rPr>
        <w:t>ria(s): Común, Tesis: Página: 5</w:t>
      </w:r>
    </w:p>
    <w:p w14:paraId="3D0419D0" w14:textId="77777777" w:rsidR="00B35F13" w:rsidRDefault="004A428F"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las documentales que obran en el presente expediente han sido valoradas a lo largo de la presente resolución en los apartados respectivos, otorgándole</w:t>
      </w:r>
      <w:r w:rsidR="00436A76" w:rsidRPr="002A2450">
        <w:rPr>
          <w:rFonts w:ascii="ITC Avant Garde" w:eastAsia="Times New Roman" w:hAnsi="ITC Avant Garde"/>
          <w:bCs/>
          <w:color w:val="000000"/>
          <w:lang w:eastAsia="es-MX"/>
        </w:rPr>
        <w:t>s</w:t>
      </w:r>
      <w:r w:rsidRPr="002A2450">
        <w:rPr>
          <w:rFonts w:ascii="ITC Avant Garde" w:eastAsia="Times New Roman" w:hAnsi="ITC Avant Garde"/>
          <w:bCs/>
          <w:color w:val="000000"/>
          <w:lang w:eastAsia="es-MX"/>
        </w:rPr>
        <w:t xml:space="preserve"> el valor probatorio correspondiente, las cuales prueban los hechos señalados en los mismos</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sin que de las mismas existan elementos que puedan desvirtuar la conducta materia del presente procedimiento.</w:t>
      </w:r>
    </w:p>
    <w:p w14:paraId="1A593E03" w14:textId="77777777" w:rsidR="00B35F13" w:rsidRDefault="004A428F"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Finalmente, la prueba ofrecida como “PRESUNCIONAL EN SU DOBLE ASPECTO, LEGAL Y HUMANA”, en términos de lo dispuesto por el artículo 218 del </w:t>
      </w:r>
      <w:r w:rsidRPr="002A2450">
        <w:rPr>
          <w:rFonts w:ascii="ITC Avant Garde" w:eastAsia="Times New Roman" w:hAnsi="ITC Avant Garde"/>
          <w:b/>
          <w:bCs/>
          <w:color w:val="000000"/>
          <w:lang w:eastAsia="es-MX"/>
        </w:rPr>
        <w:t>CFPC</w:t>
      </w:r>
      <w:r w:rsidRPr="002A2450">
        <w:rPr>
          <w:rFonts w:ascii="ITC Avant Garde" w:eastAsia="Times New Roman" w:hAnsi="ITC Avant Garde"/>
          <w:bCs/>
          <w:color w:val="000000"/>
          <w:lang w:eastAsia="es-MX"/>
        </w:rPr>
        <w:t xml:space="preserve"> tiene valor probatorio pleno, sin embargo, dicha prueba sólo puede tener el alcance suficiente cuando la misma derive de algún precepto legal y cuando de un hecho conocido se advierta uno desconocido, que pueda favorecer los intereses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en tales consideraciones esta autoridad no advierte precepto legal alguno o hecho conocido con el cual pueda desvirtuarse el presunto </w:t>
      </w:r>
      <w:r w:rsidRPr="002A2450">
        <w:rPr>
          <w:rFonts w:ascii="ITC Avant Garde" w:eastAsia="Times New Roman" w:hAnsi="ITC Avant Garde"/>
          <w:bCs/>
          <w:color w:val="000000"/>
          <w:lang w:eastAsia="es-MX"/>
        </w:rPr>
        <w:lastRenderedPageBreak/>
        <w:t>incumplimiento al</w:t>
      </w:r>
      <w:r w:rsidR="00436A76" w:rsidRPr="002A2450">
        <w:rPr>
          <w:rFonts w:ascii="ITC Avant Garde" w:eastAsia="Times New Roman" w:hAnsi="ITC Avant Garde"/>
          <w:bCs/>
          <w:color w:val="000000"/>
          <w:lang w:eastAsia="es-MX"/>
        </w:rPr>
        <w:t xml:space="preserve"> </w:t>
      </w:r>
      <w:r w:rsidR="00065AA4" w:rsidRPr="009E34A4">
        <w:rPr>
          <w:rFonts w:ascii="ITC Avant Garde" w:eastAsia="Times New Roman" w:hAnsi="ITC Avant Garde"/>
          <w:b/>
          <w:bCs/>
          <w:color w:val="000000"/>
          <w:lang w:eastAsia="es-MX"/>
        </w:rPr>
        <w:t>Tercer Párrafo</w:t>
      </w:r>
      <w:r w:rsidR="00436A76" w:rsidRPr="002A2450">
        <w:rPr>
          <w:rFonts w:ascii="ITC Avant Garde" w:eastAsia="Times New Roman" w:hAnsi="ITC Avant Garde"/>
          <w:bCs/>
          <w:color w:val="000000"/>
          <w:lang w:eastAsia="es-MX"/>
        </w:rPr>
        <w:t xml:space="preserve"> de la</w:t>
      </w:r>
      <w:r w:rsidRPr="002A2450">
        <w:rPr>
          <w:rFonts w:ascii="ITC Avant Garde" w:eastAsia="Times New Roman" w:hAnsi="ITC Avant Garde"/>
          <w:bCs/>
          <w:color w:val="000000"/>
          <w:lang w:eastAsia="es-MX"/>
        </w:rPr>
        <w:t xml:space="preserve"> condición 1-9 del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 xml:space="preserve"> otorgado a </w:t>
      </w:r>
      <w:r w:rsidRPr="002A2450">
        <w:rPr>
          <w:rFonts w:ascii="ITC Avant Garde" w:eastAsia="Times New Roman" w:hAnsi="ITC Avant Garde"/>
          <w:b/>
          <w:bCs/>
          <w:color w:val="000000"/>
          <w:lang w:eastAsia="es-MX"/>
        </w:rPr>
        <w:t xml:space="preserve">“TELMEX”. </w:t>
      </w:r>
    </w:p>
    <w:p w14:paraId="3103751C" w14:textId="77777777" w:rsidR="00B35F13" w:rsidRPr="00CE1EA8" w:rsidRDefault="004A428F" w:rsidP="001B0FC3">
      <w:pPr>
        <w:pStyle w:val="Ttulo3"/>
      </w:pPr>
      <w:bookmarkStart w:id="91" w:name="_Toc477170194"/>
      <w:r w:rsidRPr="00CE1EA8">
        <w:t>SEXTO. DE LAS DENUNCIAS</w:t>
      </w:r>
      <w:bookmarkEnd w:id="91"/>
    </w:p>
    <w:p w14:paraId="496C9CCD" w14:textId="77777777" w:rsidR="00B35F13" w:rsidRDefault="00C10614" w:rsidP="00B35F13">
      <w:pPr>
        <w:spacing w:before="240" w:line="360" w:lineRule="auto"/>
        <w:jc w:val="both"/>
        <w:rPr>
          <w:rFonts w:ascii="ITC Avant Garde" w:hAnsi="ITC Avant Garde"/>
        </w:rPr>
      </w:pPr>
      <w:r w:rsidRPr="002A2450">
        <w:rPr>
          <w:rFonts w:ascii="ITC Avant Garde" w:hAnsi="ITC Avant Garde"/>
        </w:rPr>
        <w:t xml:space="preserve">Mediante oficio IFT/225/UC/DG-SUV/5196/2016 de once de noviembre de dos mil dieciséis, la </w:t>
      </w:r>
      <w:r w:rsidRPr="002A2450">
        <w:rPr>
          <w:rFonts w:ascii="ITC Avant Garde" w:hAnsi="ITC Avant Garde"/>
          <w:b/>
        </w:rPr>
        <w:t>“DGS”</w:t>
      </w:r>
      <w:r w:rsidRPr="002A2450">
        <w:rPr>
          <w:rFonts w:ascii="ITC Avant Garde" w:hAnsi="ITC Avant Garde"/>
        </w:rPr>
        <w:t xml:space="preserve"> remitió a la Dirección General de Sanciones de la Unidad de Cumplimiento dos denuncias presentadas por las empresas </w:t>
      </w:r>
      <w:proofErr w:type="spellStart"/>
      <w:r w:rsidRPr="002A2450">
        <w:rPr>
          <w:rFonts w:ascii="ITC Avant Garde" w:hAnsi="ITC Avant Garde"/>
        </w:rPr>
        <w:t>Cablemas</w:t>
      </w:r>
      <w:proofErr w:type="spellEnd"/>
      <w:r w:rsidRPr="002A2450">
        <w:rPr>
          <w:rFonts w:ascii="ITC Avant Garde" w:hAnsi="ITC Avant Garde"/>
        </w:rPr>
        <w:t xml:space="preserve"> Telecomunicaciones, S.A. de C.V. y Total Play Telecomunicaciones, S.A. de C.V. en contra de </w:t>
      </w:r>
      <w:r w:rsidRPr="002A2450">
        <w:rPr>
          <w:rFonts w:ascii="ITC Avant Garde" w:hAnsi="ITC Avant Garde"/>
          <w:b/>
        </w:rPr>
        <w:t>“TELMEX”</w:t>
      </w:r>
      <w:r w:rsidRPr="002A2450">
        <w:rPr>
          <w:rFonts w:ascii="ITC Avant Garde" w:hAnsi="ITC Avant Garde"/>
        </w:rPr>
        <w:t xml:space="preserve"> por el presunto incumplimiento a la condición 1-9 de su </w:t>
      </w:r>
      <w:r w:rsidRPr="002A2450">
        <w:rPr>
          <w:rFonts w:ascii="ITC Avant Garde" w:hAnsi="ITC Avant Garde"/>
          <w:b/>
        </w:rPr>
        <w:t>“TÍTULO DE CONCESIÓN”</w:t>
      </w:r>
      <w:r w:rsidRPr="002A2450">
        <w:rPr>
          <w:rFonts w:ascii="ITC Avant Garde" w:hAnsi="ITC Avant Garde"/>
        </w:rPr>
        <w:t xml:space="preserve"> al considerar lo siguiente:</w:t>
      </w:r>
    </w:p>
    <w:p w14:paraId="71F1F745" w14:textId="77777777" w:rsidR="00B35F13" w:rsidRPr="001B0FC3" w:rsidRDefault="00367E7B" w:rsidP="001B0FC3">
      <w:pPr>
        <w:pStyle w:val="Ttulo4"/>
        <w:rPr>
          <w:b/>
        </w:rPr>
      </w:pPr>
      <w:bookmarkStart w:id="92" w:name="_Toc477170195"/>
      <w:r w:rsidRPr="001B0FC3">
        <w:rPr>
          <w:b/>
        </w:rPr>
        <w:t xml:space="preserve">I. </w:t>
      </w:r>
      <w:r w:rsidR="005D52D7" w:rsidRPr="001B0FC3">
        <w:rPr>
          <w:b/>
        </w:rPr>
        <w:t>“CABLEMAS TELECOMUNICACIONES”</w:t>
      </w:r>
      <w:bookmarkEnd w:id="92"/>
    </w:p>
    <w:p w14:paraId="70DE5A68" w14:textId="3D293C10" w:rsidR="00C10614" w:rsidRPr="002A2450" w:rsidRDefault="00C10614" w:rsidP="007E623E">
      <w:pPr>
        <w:pStyle w:val="Prrafodelista"/>
        <w:numPr>
          <w:ilvl w:val="0"/>
          <w:numId w:val="8"/>
        </w:numPr>
        <w:spacing w:before="240" w:line="360" w:lineRule="auto"/>
        <w:jc w:val="both"/>
        <w:rPr>
          <w:rFonts w:ascii="ITC Avant Garde" w:hAnsi="ITC Avant Garde"/>
        </w:rPr>
      </w:pPr>
      <w:r w:rsidRPr="002A2450">
        <w:rPr>
          <w:rFonts w:ascii="ITC Avant Garde" w:hAnsi="ITC Avant Garde"/>
          <w:b/>
        </w:rPr>
        <w:t>“TELMEX” / “TELNOR”</w:t>
      </w:r>
      <w:r w:rsidRPr="002A2450">
        <w:rPr>
          <w:rFonts w:ascii="ITC Avant Garde" w:hAnsi="ITC Avant Garde"/>
        </w:rPr>
        <w:t xml:space="preserve"> llevan a cabo de manera directa o indirecta la explotación de los servicios concesionados a </w:t>
      </w:r>
      <w:r w:rsidRPr="002A2450">
        <w:rPr>
          <w:rFonts w:ascii="ITC Avant Garde" w:hAnsi="ITC Avant Garde"/>
          <w:b/>
        </w:rPr>
        <w:t xml:space="preserve">“DISH”, </w:t>
      </w:r>
      <w:r w:rsidRPr="002A2450">
        <w:rPr>
          <w:rFonts w:ascii="ITC Avant Garde" w:hAnsi="ITC Avant Garde"/>
        </w:rPr>
        <w:t xml:space="preserve">al usar su red como punta de lanza en la oferta de comercialización de los servicios </w:t>
      </w:r>
      <w:r w:rsidRPr="002A2450">
        <w:rPr>
          <w:rFonts w:ascii="ITC Avant Garde" w:hAnsi="ITC Avant Garde"/>
          <w:b/>
        </w:rPr>
        <w:t>“DTH”</w:t>
      </w:r>
      <w:r w:rsidRPr="002A2450">
        <w:rPr>
          <w:rFonts w:ascii="ITC Avant Garde" w:hAnsi="ITC Avant Garde"/>
        </w:rPr>
        <w:t xml:space="preserve"> sin estar autorizados para la prestación del servicio de televisión restringida.</w:t>
      </w:r>
    </w:p>
    <w:p w14:paraId="1D3F3CE6" w14:textId="77777777" w:rsidR="00C10614" w:rsidRPr="002A2450" w:rsidRDefault="00C10614" w:rsidP="007E623E">
      <w:pPr>
        <w:pStyle w:val="Prrafodelista"/>
        <w:numPr>
          <w:ilvl w:val="0"/>
          <w:numId w:val="8"/>
        </w:numPr>
        <w:spacing w:before="240" w:line="360" w:lineRule="auto"/>
        <w:jc w:val="both"/>
        <w:rPr>
          <w:rFonts w:ascii="ITC Avant Garde" w:hAnsi="ITC Avant Garde"/>
        </w:rPr>
      </w:pPr>
      <w:r w:rsidRPr="002A2450">
        <w:rPr>
          <w:rFonts w:ascii="ITC Avant Garde" w:hAnsi="ITC Avant Garde"/>
        </w:rPr>
        <w:t xml:space="preserve">Dichas empresas llevan a cabo la comercialización de los servicios de </w:t>
      </w:r>
      <w:r w:rsidRPr="002A2450">
        <w:rPr>
          <w:rFonts w:ascii="ITC Avant Garde" w:hAnsi="ITC Avant Garde"/>
          <w:b/>
        </w:rPr>
        <w:t>“DTH”</w:t>
      </w:r>
      <w:r w:rsidRPr="002A2450">
        <w:rPr>
          <w:rFonts w:ascii="ITC Avant Garde" w:hAnsi="ITC Avant Garde"/>
        </w:rPr>
        <w:t xml:space="preserve"> a través de su red minorista entendiéndose por ésta </w:t>
      </w:r>
      <w:r w:rsidR="0053279C" w:rsidRPr="002A2450">
        <w:rPr>
          <w:rFonts w:ascii="ITC Avant Garde" w:hAnsi="ITC Avant Garde"/>
        </w:rPr>
        <w:t>el servicio prestado a usuarios residenciales que acuden a solicitar el servicio individual a diferencia de inversores empresariales.</w:t>
      </w:r>
    </w:p>
    <w:p w14:paraId="49427BE2" w14:textId="77777777" w:rsidR="00B35F13" w:rsidRDefault="0053279C" w:rsidP="007E623E">
      <w:pPr>
        <w:pStyle w:val="Prrafodelista"/>
        <w:numPr>
          <w:ilvl w:val="0"/>
          <w:numId w:val="8"/>
        </w:numPr>
        <w:spacing w:before="240" w:line="360" w:lineRule="auto"/>
        <w:jc w:val="both"/>
        <w:rPr>
          <w:rFonts w:ascii="ITC Avant Garde" w:hAnsi="ITC Avant Garde"/>
        </w:rPr>
      </w:pPr>
      <w:r w:rsidRPr="002A2450">
        <w:rPr>
          <w:rFonts w:ascii="ITC Avant Garde" w:hAnsi="ITC Avant Garde"/>
        </w:rPr>
        <w:t xml:space="preserve">Las empresas denunciadas violan la condición 1-9 de su </w:t>
      </w:r>
      <w:r w:rsidRPr="002A2450">
        <w:rPr>
          <w:rFonts w:ascii="ITC Avant Garde" w:hAnsi="ITC Avant Garde"/>
          <w:b/>
        </w:rPr>
        <w:t>“TÍTULO DE CONCESIÓN”</w:t>
      </w:r>
      <w:r w:rsidRPr="002A2450">
        <w:rPr>
          <w:rFonts w:ascii="ITC Avant Garde" w:hAnsi="ITC Avant Garde"/>
        </w:rPr>
        <w:t xml:space="preserve"> al participar de manera directa e indirecta en la explotación de la Concesión otorgada a </w:t>
      </w:r>
      <w:r w:rsidRPr="002A2450">
        <w:rPr>
          <w:rFonts w:ascii="ITC Avant Garde" w:hAnsi="ITC Avant Garde"/>
          <w:b/>
        </w:rPr>
        <w:t>“DISH”</w:t>
      </w:r>
      <w:r w:rsidRPr="002A2450">
        <w:rPr>
          <w:rFonts w:ascii="ITC Avant Garde" w:hAnsi="ITC Avant Garde"/>
        </w:rPr>
        <w:t xml:space="preserve"> interviniendo de manera sistemática en la fase de distribución y comercialización del servicio de </w:t>
      </w:r>
      <w:r w:rsidRPr="002A2450">
        <w:rPr>
          <w:rFonts w:ascii="ITC Avant Garde" w:hAnsi="ITC Avant Garde"/>
          <w:b/>
        </w:rPr>
        <w:t>“DTH”</w:t>
      </w:r>
      <w:r w:rsidRPr="002A2450">
        <w:rPr>
          <w:rFonts w:ascii="ITC Avant Garde" w:hAnsi="ITC Avant Garde"/>
        </w:rPr>
        <w:t xml:space="preserve"> dentro del proceso de producción del servicio público de televisión y audio restringidos constituyendo ventajas exclusivas a su favor.</w:t>
      </w:r>
    </w:p>
    <w:p w14:paraId="418012F6" w14:textId="77777777" w:rsidR="00B35F13" w:rsidRPr="001B0FC3" w:rsidRDefault="00367E7B" w:rsidP="001B0FC3">
      <w:pPr>
        <w:pStyle w:val="Ttulo4"/>
        <w:rPr>
          <w:b/>
        </w:rPr>
      </w:pPr>
      <w:bookmarkStart w:id="93" w:name="_Toc477170196"/>
      <w:r w:rsidRPr="001B0FC3">
        <w:rPr>
          <w:b/>
        </w:rPr>
        <w:t xml:space="preserve">II. </w:t>
      </w:r>
      <w:r w:rsidR="005D52D7" w:rsidRPr="001B0FC3">
        <w:rPr>
          <w:b/>
        </w:rPr>
        <w:t>“TOTAL PLAY TELECOMUNICACIONES”</w:t>
      </w:r>
      <w:bookmarkEnd w:id="93"/>
    </w:p>
    <w:p w14:paraId="7E98D284" w14:textId="7C115F40" w:rsidR="0053279C" w:rsidRPr="002A2450" w:rsidRDefault="0053279C" w:rsidP="007E623E">
      <w:pPr>
        <w:pStyle w:val="Prrafodelista"/>
        <w:numPr>
          <w:ilvl w:val="0"/>
          <w:numId w:val="8"/>
        </w:numPr>
        <w:spacing w:before="240" w:line="360" w:lineRule="auto"/>
        <w:jc w:val="both"/>
        <w:rPr>
          <w:rFonts w:ascii="ITC Avant Garde" w:hAnsi="ITC Avant Garde"/>
        </w:rPr>
      </w:pPr>
      <w:r w:rsidRPr="002A2450">
        <w:rPr>
          <w:rFonts w:ascii="ITC Avant Garde" w:hAnsi="ITC Avant Garde"/>
          <w:b/>
        </w:rPr>
        <w:t>“TELMEX”</w:t>
      </w:r>
      <w:r w:rsidRPr="002A2450">
        <w:rPr>
          <w:rFonts w:ascii="ITC Avant Garde" w:hAnsi="ITC Avant Garde"/>
        </w:rPr>
        <w:t xml:space="preserve"> viola la condición 1-9 de su </w:t>
      </w:r>
      <w:r w:rsidRPr="002A2450">
        <w:rPr>
          <w:rFonts w:ascii="ITC Avant Garde" w:hAnsi="ITC Avant Garde"/>
          <w:b/>
        </w:rPr>
        <w:t>“TÍTULO DE CONCESIÓN”</w:t>
      </w:r>
      <w:r w:rsidRPr="002A2450">
        <w:rPr>
          <w:rFonts w:ascii="ITC Avant Garde" w:hAnsi="ITC Avant Garde"/>
        </w:rPr>
        <w:t xml:space="preserve"> al explotar la concesión de </w:t>
      </w:r>
      <w:r w:rsidRPr="002A2450">
        <w:rPr>
          <w:rFonts w:ascii="ITC Avant Garde" w:hAnsi="ITC Avant Garde"/>
          <w:b/>
        </w:rPr>
        <w:t>“COFRESA”</w:t>
      </w:r>
      <w:r w:rsidRPr="002A2450">
        <w:rPr>
          <w:rFonts w:ascii="ITC Avant Garde" w:hAnsi="ITC Avant Garde"/>
        </w:rPr>
        <w:t xml:space="preserve">, propiedad de </w:t>
      </w:r>
      <w:r w:rsidRPr="002A2450">
        <w:rPr>
          <w:rFonts w:ascii="ITC Avant Garde" w:hAnsi="ITC Avant Garde"/>
          <w:b/>
        </w:rPr>
        <w:t>“DISH MÉXICO”</w:t>
      </w:r>
      <w:r w:rsidRPr="002A2450">
        <w:rPr>
          <w:rFonts w:ascii="ITC Avant Garde" w:hAnsi="ITC Avant Garde"/>
        </w:rPr>
        <w:t xml:space="preserve">, la cual se </w:t>
      </w:r>
      <w:r w:rsidRPr="002A2450">
        <w:rPr>
          <w:rFonts w:ascii="ITC Avant Garde" w:hAnsi="ITC Avant Garde"/>
        </w:rPr>
        <w:lastRenderedPageBreak/>
        <w:t>encuentra autorizada para prestar el servicio público de televisión restringida por satélite.</w:t>
      </w:r>
    </w:p>
    <w:p w14:paraId="43FE78C2" w14:textId="77777777" w:rsidR="00B35F13" w:rsidRDefault="0053279C" w:rsidP="007E623E">
      <w:pPr>
        <w:pStyle w:val="Prrafodelista"/>
        <w:numPr>
          <w:ilvl w:val="0"/>
          <w:numId w:val="8"/>
        </w:numPr>
        <w:spacing w:before="240" w:line="360" w:lineRule="auto"/>
        <w:jc w:val="both"/>
        <w:rPr>
          <w:rFonts w:ascii="ITC Avant Garde" w:hAnsi="ITC Avant Garde"/>
          <w:b/>
        </w:rPr>
      </w:pPr>
      <w:r w:rsidRPr="002A2450">
        <w:rPr>
          <w:rFonts w:ascii="ITC Avant Garde" w:hAnsi="ITC Avant Garde"/>
          <w:b/>
        </w:rPr>
        <w:t xml:space="preserve">“TELMEX” </w:t>
      </w:r>
      <w:r w:rsidRPr="002A2450">
        <w:rPr>
          <w:rFonts w:ascii="ITC Avant Garde" w:hAnsi="ITC Avant Garde"/>
        </w:rPr>
        <w:t xml:space="preserve">está incurriendo en la explotación de una concesión de televisión, toda vez que claramente </w:t>
      </w:r>
      <w:r w:rsidR="00BB5A9E" w:rsidRPr="002A2450">
        <w:rPr>
          <w:rFonts w:ascii="ITC Avant Garde" w:hAnsi="ITC Avant Garde"/>
        </w:rPr>
        <w:t xml:space="preserve">a partir de los contratos de opción y consecuencias tiene influencia en la operación </w:t>
      </w:r>
      <w:r w:rsidRPr="002A2450">
        <w:rPr>
          <w:rFonts w:ascii="ITC Avant Garde" w:hAnsi="ITC Avant Garde"/>
        </w:rPr>
        <w:t xml:space="preserve">de la concesión </w:t>
      </w:r>
      <w:r w:rsidR="00BB5A9E" w:rsidRPr="002A2450">
        <w:rPr>
          <w:rFonts w:ascii="ITC Avant Garde" w:hAnsi="ITC Avant Garde"/>
        </w:rPr>
        <w:t xml:space="preserve">otorgada a </w:t>
      </w:r>
      <w:r w:rsidRPr="002A2450">
        <w:rPr>
          <w:rFonts w:ascii="ITC Avant Garde" w:hAnsi="ITC Avant Garde"/>
          <w:b/>
        </w:rPr>
        <w:t>“COFRESA”.</w:t>
      </w:r>
    </w:p>
    <w:p w14:paraId="7986C2B3" w14:textId="77777777" w:rsidR="00B35F13" w:rsidRDefault="0053279C" w:rsidP="00B35F13">
      <w:pPr>
        <w:spacing w:before="240" w:line="360" w:lineRule="auto"/>
        <w:jc w:val="both"/>
        <w:rPr>
          <w:rFonts w:ascii="ITC Avant Garde" w:hAnsi="ITC Avant Garde"/>
        </w:rPr>
      </w:pPr>
      <w:r w:rsidRPr="002A2450">
        <w:rPr>
          <w:rFonts w:ascii="ITC Avant Garde" w:hAnsi="ITC Avant Garde"/>
        </w:rPr>
        <w:t xml:space="preserve">Al respecto, por acuerdo de veintitrés de noviembre de dos mil dieciséis, se dio vista a </w:t>
      </w:r>
      <w:r w:rsidRPr="002A2450">
        <w:rPr>
          <w:rFonts w:ascii="ITC Avant Garde" w:hAnsi="ITC Avant Garde"/>
          <w:b/>
        </w:rPr>
        <w:t>“TELMEX”</w:t>
      </w:r>
      <w:r w:rsidRPr="002A2450">
        <w:rPr>
          <w:rFonts w:ascii="ITC Avant Garde" w:hAnsi="ITC Avant Garde"/>
        </w:rPr>
        <w:t xml:space="preserve"> para que </w:t>
      </w:r>
      <w:r w:rsidR="007E58CA" w:rsidRPr="002A2450">
        <w:rPr>
          <w:rFonts w:ascii="ITC Avant Garde" w:hAnsi="ITC Avant Garde"/>
        </w:rPr>
        <w:t xml:space="preserve">dentro de un plazo de diez días </w:t>
      </w:r>
      <w:r w:rsidRPr="002A2450">
        <w:rPr>
          <w:rFonts w:ascii="ITC Avant Garde" w:hAnsi="ITC Avant Garde"/>
        </w:rPr>
        <w:t xml:space="preserve">manifestara lo que a su derecho correspondiera respecto de las denuncias remitidas por la </w:t>
      </w:r>
      <w:r w:rsidRPr="002A2450">
        <w:rPr>
          <w:rFonts w:ascii="ITC Avant Garde" w:hAnsi="ITC Avant Garde"/>
          <w:b/>
        </w:rPr>
        <w:t>“DGS”</w:t>
      </w:r>
      <w:r w:rsidR="007E58CA" w:rsidRPr="002A2450">
        <w:rPr>
          <w:rFonts w:ascii="ITC Avant Garde" w:hAnsi="ITC Avant Garde"/>
          <w:b/>
        </w:rPr>
        <w:t xml:space="preserve">. </w:t>
      </w:r>
      <w:r w:rsidR="007E58CA" w:rsidRPr="002A2450">
        <w:rPr>
          <w:rFonts w:ascii="ITC Avant Garde" w:hAnsi="ITC Avant Garde"/>
        </w:rPr>
        <w:t xml:space="preserve">Al respecto, </w:t>
      </w:r>
      <w:r w:rsidR="007E58CA" w:rsidRPr="002A2450">
        <w:rPr>
          <w:rFonts w:ascii="ITC Avant Garde" w:hAnsi="ITC Avant Garde"/>
          <w:b/>
        </w:rPr>
        <w:t>“TELMEX”</w:t>
      </w:r>
      <w:r w:rsidR="007E58CA" w:rsidRPr="002A2450">
        <w:rPr>
          <w:rFonts w:ascii="ITC Avant Garde" w:hAnsi="ITC Avant Garde"/>
        </w:rPr>
        <w:t xml:space="preserve"> presentó el doce de diciembre de dos mil dieciséis un escrito mediante el cual solicitó una prórroga para desahogar la vista ordenada en el acuerdo de veintitrés de noviembre de dos mil dieciséis.</w:t>
      </w:r>
    </w:p>
    <w:p w14:paraId="0963111D" w14:textId="77777777" w:rsidR="00B35F13" w:rsidRDefault="007E58CA" w:rsidP="00B35F13">
      <w:pPr>
        <w:spacing w:before="240" w:line="360" w:lineRule="auto"/>
        <w:jc w:val="both"/>
        <w:rPr>
          <w:rFonts w:ascii="ITC Avant Garde" w:hAnsi="ITC Avant Garde"/>
        </w:rPr>
      </w:pPr>
      <w:r w:rsidRPr="002A2450">
        <w:rPr>
          <w:rFonts w:ascii="ITC Avant Garde" w:hAnsi="ITC Avant Garde"/>
        </w:rPr>
        <w:t xml:space="preserve">En ese sentido, por acuerdo de veinte de diciembre de dos mil dieciséis, se otorgó un plazo adicional de cinco días hábiles para que </w:t>
      </w:r>
      <w:r w:rsidRPr="002A2450">
        <w:rPr>
          <w:rFonts w:ascii="ITC Avant Garde" w:hAnsi="ITC Avant Garde"/>
          <w:b/>
        </w:rPr>
        <w:t>“TELMEX”</w:t>
      </w:r>
      <w:r w:rsidRPr="002A2450">
        <w:rPr>
          <w:rFonts w:ascii="ITC Avant Garde" w:hAnsi="ITC Avant Garde"/>
        </w:rPr>
        <w:t xml:space="preserve"> desahogara la vista ordenada en el acuerdo de veintitrés de noviembre de dos mil dieciséis.</w:t>
      </w:r>
    </w:p>
    <w:p w14:paraId="294D9A69" w14:textId="77777777" w:rsidR="00B35F13" w:rsidRDefault="007E58CA" w:rsidP="00B35F13">
      <w:pPr>
        <w:spacing w:before="240" w:line="360" w:lineRule="auto"/>
        <w:jc w:val="both"/>
        <w:rPr>
          <w:rFonts w:ascii="ITC Avant Garde" w:hAnsi="ITC Avant Garde"/>
        </w:rPr>
      </w:pPr>
      <w:r w:rsidRPr="002A2450">
        <w:rPr>
          <w:rFonts w:ascii="ITC Avant Garde" w:hAnsi="ITC Avant Garde"/>
        </w:rPr>
        <w:t xml:space="preserve">En ese sentido, mediante escrito presentado el </w:t>
      </w:r>
      <w:r w:rsidR="00436A76" w:rsidRPr="002A2450">
        <w:rPr>
          <w:rFonts w:ascii="ITC Avant Garde" w:hAnsi="ITC Avant Garde"/>
        </w:rPr>
        <w:t xml:space="preserve">trece de enero de dos mil diecisiete </w:t>
      </w:r>
      <w:r w:rsidRPr="002A2450">
        <w:rPr>
          <w:rFonts w:ascii="ITC Avant Garde" w:hAnsi="ITC Avant Garde"/>
        </w:rPr>
        <w:t>desahogó la vista ordenada en el acuerdo de veintitrés de noviembre de dos mil dieciséis.</w:t>
      </w:r>
    </w:p>
    <w:p w14:paraId="4E981FA5" w14:textId="77777777" w:rsidR="00B35F13" w:rsidRDefault="007E58CA" w:rsidP="00B35F13">
      <w:pPr>
        <w:spacing w:before="240" w:line="360" w:lineRule="auto"/>
        <w:jc w:val="both"/>
        <w:rPr>
          <w:rFonts w:ascii="ITC Avant Garde" w:hAnsi="ITC Avant Garde"/>
        </w:rPr>
      </w:pPr>
      <w:r w:rsidRPr="002A2450">
        <w:rPr>
          <w:rFonts w:ascii="ITC Avant Garde" w:hAnsi="ITC Avant Garde"/>
        </w:rPr>
        <w:t xml:space="preserve">Ahora bien, </w:t>
      </w:r>
      <w:r w:rsidR="007D219D" w:rsidRPr="002A2450">
        <w:rPr>
          <w:rFonts w:ascii="ITC Avant Garde" w:hAnsi="ITC Avant Garde"/>
        </w:rPr>
        <w:t>de los hechos denunciados por las empresas señaladas, es factible advertir que los mismos corresponden a:</w:t>
      </w:r>
    </w:p>
    <w:p w14:paraId="36000E6E" w14:textId="212975C7" w:rsidR="007D219D" w:rsidRPr="002A2450" w:rsidRDefault="007D219D" w:rsidP="007E623E">
      <w:pPr>
        <w:pStyle w:val="Prrafodelista"/>
        <w:numPr>
          <w:ilvl w:val="0"/>
          <w:numId w:val="45"/>
        </w:numPr>
        <w:spacing w:before="240" w:line="360" w:lineRule="auto"/>
        <w:jc w:val="both"/>
        <w:rPr>
          <w:rFonts w:ascii="ITC Avant Garde" w:hAnsi="ITC Avant Garde"/>
        </w:rPr>
      </w:pPr>
      <w:r w:rsidRPr="002A2450">
        <w:rPr>
          <w:rFonts w:ascii="ITC Avant Garde" w:hAnsi="ITC Avant Garde"/>
        </w:rPr>
        <w:t xml:space="preserve">La presunta violación a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p>
    <w:p w14:paraId="317DA240" w14:textId="77777777" w:rsidR="00B35F13" w:rsidRDefault="007D219D" w:rsidP="007E623E">
      <w:pPr>
        <w:pStyle w:val="Prrafodelista"/>
        <w:numPr>
          <w:ilvl w:val="0"/>
          <w:numId w:val="45"/>
        </w:numPr>
        <w:spacing w:before="240" w:line="360" w:lineRule="auto"/>
        <w:jc w:val="both"/>
        <w:rPr>
          <w:rFonts w:ascii="ITC Avant Garde" w:hAnsi="ITC Avant Garde"/>
        </w:rPr>
      </w:pPr>
      <w:r w:rsidRPr="002A2450">
        <w:rPr>
          <w:rFonts w:ascii="ITC Avant Garde" w:hAnsi="ITC Avant Garde"/>
        </w:rPr>
        <w:t xml:space="preserve">La conducta denunciada consiste en la presunta explotación directa o indirecta del título de concesión otorgado a </w:t>
      </w:r>
      <w:r w:rsidRPr="002A2450">
        <w:rPr>
          <w:rFonts w:ascii="ITC Avant Garde" w:hAnsi="ITC Avant Garde"/>
          <w:b/>
        </w:rPr>
        <w:t>“COFRESA”</w:t>
      </w:r>
      <w:r w:rsidRPr="002A2450">
        <w:rPr>
          <w:rFonts w:ascii="ITC Avant Garde" w:hAnsi="ITC Avant Garde"/>
        </w:rPr>
        <w:t xml:space="preserve"> para prestar el servicio de </w:t>
      </w:r>
      <w:r w:rsidRPr="002A2450">
        <w:rPr>
          <w:rFonts w:ascii="ITC Avant Garde" w:hAnsi="ITC Avant Garde"/>
          <w:b/>
        </w:rPr>
        <w:t>“DTH”</w:t>
      </w:r>
    </w:p>
    <w:p w14:paraId="40E26709" w14:textId="77777777" w:rsidR="00B35F13" w:rsidRDefault="007D219D" w:rsidP="00B35F13">
      <w:pPr>
        <w:spacing w:before="240" w:line="360" w:lineRule="auto"/>
        <w:jc w:val="both"/>
        <w:rPr>
          <w:rFonts w:ascii="ITC Avant Garde" w:hAnsi="ITC Avant Garde"/>
        </w:rPr>
      </w:pPr>
      <w:r w:rsidRPr="002A2450">
        <w:rPr>
          <w:rFonts w:ascii="ITC Avant Garde" w:hAnsi="ITC Avant Garde"/>
        </w:rPr>
        <w:t xml:space="preserve">A la luz de lo antes mencionado, debe señalarse que los hechos en que fundan las empresas señaladas la denuncia respectiva, </w:t>
      </w:r>
      <w:r w:rsidR="00182EFE" w:rsidRPr="002A2450">
        <w:rPr>
          <w:rFonts w:ascii="ITC Avant Garde" w:hAnsi="ITC Avant Garde"/>
        </w:rPr>
        <w:t xml:space="preserve">coinciden con </w:t>
      </w:r>
      <w:r w:rsidR="00436A76" w:rsidRPr="002A2450">
        <w:rPr>
          <w:rFonts w:ascii="ITC Avant Garde" w:hAnsi="ITC Avant Garde"/>
        </w:rPr>
        <w:t xml:space="preserve">aquellos que </w:t>
      </w:r>
      <w:r w:rsidR="00436A76" w:rsidRPr="002A2450">
        <w:rPr>
          <w:rFonts w:ascii="ITC Avant Garde" w:hAnsi="ITC Avant Garde"/>
        </w:rPr>
        <w:lastRenderedPageBreak/>
        <w:t xml:space="preserve">motivaron </w:t>
      </w:r>
      <w:r w:rsidR="00182EFE" w:rsidRPr="002A2450">
        <w:rPr>
          <w:rFonts w:ascii="ITC Avant Garde" w:hAnsi="ITC Avant Garde"/>
        </w:rPr>
        <w:t>el acuerdo de inicio del procedimiento administrativo de imposición de sanción, materia del presente procedimiento.</w:t>
      </w:r>
    </w:p>
    <w:p w14:paraId="7D6DF4C3" w14:textId="77777777" w:rsidR="00B35F13" w:rsidRDefault="00182EFE" w:rsidP="00B35F13">
      <w:pPr>
        <w:spacing w:before="240" w:line="360" w:lineRule="auto"/>
        <w:jc w:val="both"/>
        <w:rPr>
          <w:rFonts w:ascii="ITC Avant Garde" w:hAnsi="ITC Avant Garde"/>
        </w:rPr>
      </w:pPr>
      <w:r w:rsidRPr="002A2450">
        <w:rPr>
          <w:rFonts w:ascii="ITC Avant Garde" w:hAnsi="ITC Avant Garde"/>
        </w:rPr>
        <w:t xml:space="preserve">En ese sentido, de una lectura a las mismas, debe señalarse que las denuncias y sus anexos no aportan mayores elementos </w:t>
      </w:r>
      <w:r w:rsidR="00436A76" w:rsidRPr="002A2450">
        <w:rPr>
          <w:rFonts w:ascii="ITC Avant Garde" w:hAnsi="ITC Avant Garde"/>
        </w:rPr>
        <w:t xml:space="preserve">a aquellos con los que contaba esta </w:t>
      </w:r>
      <w:r w:rsidRPr="002A2450">
        <w:rPr>
          <w:rFonts w:ascii="ITC Avant Garde" w:hAnsi="ITC Avant Garde"/>
        </w:rPr>
        <w:t xml:space="preserve">autoridad </w:t>
      </w:r>
      <w:r w:rsidR="00436A76" w:rsidRPr="002A2450">
        <w:rPr>
          <w:rFonts w:ascii="ITC Avant Garde" w:hAnsi="ITC Avant Garde"/>
        </w:rPr>
        <w:t xml:space="preserve">al momento de iniciar el procedimiento sancionatorio en que se actúa, consistentes en el </w:t>
      </w:r>
      <w:r w:rsidRPr="002A2450">
        <w:rPr>
          <w:rFonts w:ascii="ITC Avant Garde" w:hAnsi="ITC Avant Garde"/>
        </w:rPr>
        <w:t>probable incumplimiento que se resuelve en términos de la presente resolución.</w:t>
      </w:r>
    </w:p>
    <w:p w14:paraId="6F544332" w14:textId="77777777" w:rsidR="00B35F13" w:rsidRDefault="00182EFE" w:rsidP="00B35F13">
      <w:pPr>
        <w:spacing w:before="240" w:line="360" w:lineRule="auto"/>
        <w:jc w:val="both"/>
        <w:rPr>
          <w:rFonts w:ascii="ITC Avant Garde" w:hAnsi="ITC Avant Garde"/>
          <w:b/>
        </w:rPr>
      </w:pPr>
      <w:r w:rsidRPr="002A2450">
        <w:rPr>
          <w:rFonts w:ascii="ITC Avant Garde" w:hAnsi="ITC Avant Garde"/>
        </w:rPr>
        <w:t xml:space="preserve">En tales consideraciones, al advertir que los hechos consignados y sus anexos no aportan elementos novedosos al presente procedimiento, dado que las conductas </w:t>
      </w:r>
      <w:r w:rsidR="002F6E1B" w:rsidRPr="002A2450">
        <w:rPr>
          <w:rFonts w:ascii="ITC Avant Garde" w:hAnsi="ITC Avant Garde"/>
        </w:rPr>
        <w:t xml:space="preserve">y </w:t>
      </w:r>
      <w:r w:rsidRPr="002A2450">
        <w:rPr>
          <w:rFonts w:ascii="ITC Avant Garde" w:hAnsi="ITC Avant Garde"/>
        </w:rPr>
        <w:t xml:space="preserve">hechos </w:t>
      </w:r>
      <w:r w:rsidR="00436A76" w:rsidRPr="002A2450">
        <w:rPr>
          <w:rFonts w:ascii="ITC Avant Garde" w:hAnsi="ITC Avant Garde"/>
        </w:rPr>
        <w:t xml:space="preserve">denunciados </w:t>
      </w:r>
      <w:r w:rsidRPr="002A2450">
        <w:rPr>
          <w:rFonts w:ascii="ITC Avant Garde" w:hAnsi="ITC Avant Garde"/>
        </w:rPr>
        <w:t xml:space="preserve">se encuentran </w:t>
      </w:r>
      <w:r w:rsidR="00436A76" w:rsidRPr="002A2450">
        <w:rPr>
          <w:rFonts w:ascii="ITC Avant Garde" w:hAnsi="ITC Avant Garde"/>
        </w:rPr>
        <w:t xml:space="preserve">atendidos y desarrollados </w:t>
      </w:r>
      <w:r w:rsidRPr="002A2450">
        <w:rPr>
          <w:rFonts w:ascii="ITC Avant Garde" w:hAnsi="ITC Avant Garde"/>
        </w:rPr>
        <w:t xml:space="preserve">en el expediente en </w:t>
      </w:r>
      <w:r w:rsidR="002F6E1B" w:rsidRPr="002A2450">
        <w:rPr>
          <w:rFonts w:ascii="ITC Avant Garde" w:hAnsi="ITC Avant Garde"/>
        </w:rPr>
        <w:t xml:space="preserve">que </w:t>
      </w:r>
      <w:r w:rsidRPr="002A2450">
        <w:rPr>
          <w:rFonts w:ascii="ITC Avant Garde" w:hAnsi="ITC Avant Garde"/>
        </w:rPr>
        <w:t xml:space="preserve">se actúa, debe concluirse que las mismas no resultan relevantes ni </w:t>
      </w:r>
      <w:r w:rsidR="00436A76" w:rsidRPr="002A2450">
        <w:rPr>
          <w:rFonts w:ascii="ITC Avant Garde" w:hAnsi="ITC Avant Garde"/>
        </w:rPr>
        <w:t xml:space="preserve">revelan un hecho diverso que tuviera que ser tomado en cuenta por esta autoridad </w:t>
      </w:r>
      <w:r w:rsidRPr="002A2450">
        <w:rPr>
          <w:rFonts w:ascii="ITC Avant Garde" w:hAnsi="ITC Avant Garde"/>
        </w:rPr>
        <w:t xml:space="preserve">para </w:t>
      </w:r>
      <w:r w:rsidR="00436A76" w:rsidRPr="002A2450">
        <w:rPr>
          <w:rFonts w:ascii="ITC Avant Garde" w:hAnsi="ITC Avant Garde"/>
        </w:rPr>
        <w:t xml:space="preserve">acreditar </w:t>
      </w:r>
      <w:r w:rsidRPr="002A2450">
        <w:rPr>
          <w:rFonts w:ascii="ITC Avant Garde" w:hAnsi="ITC Avant Garde"/>
        </w:rPr>
        <w:t xml:space="preserve">la conducta imputada a </w:t>
      </w:r>
      <w:r w:rsidRPr="002A2450">
        <w:rPr>
          <w:rFonts w:ascii="ITC Avant Garde" w:hAnsi="ITC Avant Garde"/>
          <w:b/>
        </w:rPr>
        <w:t>“TELMEX”.</w:t>
      </w:r>
    </w:p>
    <w:p w14:paraId="15FD5EA0" w14:textId="77777777" w:rsidR="00B35F13" w:rsidRDefault="00182EFE" w:rsidP="00B35F13">
      <w:pPr>
        <w:spacing w:before="240" w:line="360" w:lineRule="auto"/>
        <w:jc w:val="both"/>
        <w:rPr>
          <w:rFonts w:ascii="ITC Avant Garde" w:hAnsi="ITC Avant Garde"/>
        </w:rPr>
      </w:pPr>
      <w:r w:rsidRPr="002A2450">
        <w:rPr>
          <w:rFonts w:ascii="ITC Avant Garde" w:hAnsi="ITC Avant Garde"/>
        </w:rPr>
        <w:t xml:space="preserve">Lo anterior es así, ya que precisamente los hechos que se denuncian corresponden </w:t>
      </w:r>
      <w:r w:rsidR="00436A76" w:rsidRPr="002A2450">
        <w:rPr>
          <w:rFonts w:ascii="ITC Avant Garde" w:hAnsi="ITC Avant Garde"/>
        </w:rPr>
        <w:t>sustancialmente a los mismos que fueron materia del</w:t>
      </w:r>
      <w:r w:rsidRPr="002A2450">
        <w:rPr>
          <w:rFonts w:ascii="ITC Avant Garde" w:hAnsi="ITC Avant Garde"/>
        </w:rPr>
        <w:t xml:space="preserve"> procedimiento sustanciado, de lo que se sigue que al no existir elementos más allá de los considerandos señalados en el acuerdo de inicio es dable concluir que las conductas son las que precisamente se resuelven a través del presente instrumento y por ello al no aportar elementos novedosos, esta autoridad considera que no pueden resultar vinculatorias ni mucho menos ser susceptibles de variar la </w:t>
      </w:r>
      <w:proofErr w:type="spellStart"/>
      <w:r w:rsidRPr="002A2450">
        <w:rPr>
          <w:rFonts w:ascii="ITC Avant Garde" w:hAnsi="ITC Avant Garde"/>
          <w:i/>
        </w:rPr>
        <w:t>litis</w:t>
      </w:r>
      <w:proofErr w:type="spellEnd"/>
      <w:r w:rsidR="008F718E" w:rsidRPr="002A2450">
        <w:rPr>
          <w:rFonts w:ascii="ITC Avant Garde" w:hAnsi="ITC Avant Garde"/>
          <w:i/>
          <w:color w:val="C00000"/>
        </w:rPr>
        <w:t xml:space="preserve"> </w:t>
      </w:r>
      <w:r w:rsidRPr="002A2450">
        <w:rPr>
          <w:rFonts w:ascii="ITC Avant Garde" w:hAnsi="ITC Avant Garde"/>
        </w:rPr>
        <w:t>en el presente procedimiento, por lo que debe concluirse que las mismas no serán consideradas en la presente resolución dado que se trata de la misma conducta y los mismos hechos.</w:t>
      </w:r>
    </w:p>
    <w:p w14:paraId="5EB89E43" w14:textId="77777777" w:rsidR="00B35F13" w:rsidRDefault="00182EFE" w:rsidP="00B35F13">
      <w:pPr>
        <w:spacing w:before="240" w:line="360" w:lineRule="auto"/>
        <w:jc w:val="both"/>
        <w:rPr>
          <w:rFonts w:ascii="ITC Avant Garde" w:hAnsi="ITC Avant Garde"/>
        </w:rPr>
      </w:pPr>
      <w:r w:rsidRPr="002A2450">
        <w:rPr>
          <w:rFonts w:ascii="ITC Avant Garde" w:hAnsi="ITC Avant Garde"/>
        </w:rPr>
        <w:t xml:space="preserve">En tales consideraciones, al </w:t>
      </w:r>
      <w:r w:rsidR="00F25988" w:rsidRPr="002A2450">
        <w:rPr>
          <w:rFonts w:ascii="ITC Avant Garde" w:hAnsi="ITC Avant Garde"/>
        </w:rPr>
        <w:t xml:space="preserve">estimar </w:t>
      </w:r>
      <w:r w:rsidRPr="002A2450">
        <w:rPr>
          <w:rFonts w:ascii="ITC Avant Garde" w:hAnsi="ITC Avant Garde"/>
        </w:rPr>
        <w:t xml:space="preserve">que las mismas no deben tomarse en cuenta en la presente resolución debe señalarse a </w:t>
      </w:r>
      <w:r w:rsidRPr="002A2450">
        <w:rPr>
          <w:rFonts w:ascii="ITC Avant Garde" w:hAnsi="ITC Avant Garde"/>
          <w:b/>
        </w:rPr>
        <w:t>“TELMEX”</w:t>
      </w:r>
      <w:r w:rsidRPr="002A2450">
        <w:rPr>
          <w:rFonts w:ascii="ITC Avant Garde" w:hAnsi="ITC Avant Garde"/>
        </w:rPr>
        <w:t xml:space="preserve"> que independientemente del escrito presentado el </w:t>
      </w:r>
      <w:r w:rsidR="00436A76" w:rsidRPr="002A2450">
        <w:rPr>
          <w:rFonts w:ascii="ITC Avant Garde" w:hAnsi="ITC Avant Garde"/>
        </w:rPr>
        <w:t xml:space="preserve">trece de enero de dos mil diecisiete </w:t>
      </w:r>
      <w:r w:rsidRPr="002A2450">
        <w:rPr>
          <w:rFonts w:ascii="ITC Avant Garde" w:hAnsi="ITC Avant Garde"/>
        </w:rPr>
        <w:t xml:space="preserve">ante este </w:t>
      </w:r>
      <w:r w:rsidRPr="002A2450">
        <w:rPr>
          <w:rFonts w:ascii="ITC Avant Garde" w:hAnsi="ITC Avant Garde"/>
          <w:b/>
        </w:rPr>
        <w:t>“IFT”</w:t>
      </w:r>
      <w:r w:rsidRPr="002A2450">
        <w:rPr>
          <w:rFonts w:ascii="ITC Avant Garde" w:hAnsi="ITC Avant Garde"/>
        </w:rPr>
        <w:t xml:space="preserve"> al no considerarse en la presente resolución sus manifestaciones resultan innecesarias para su estudio dado que cualquier consideración respecto al desahogo de la vista </w:t>
      </w:r>
      <w:r w:rsidRPr="002A2450">
        <w:rPr>
          <w:rFonts w:ascii="ITC Avant Garde" w:hAnsi="ITC Avant Garde"/>
        </w:rPr>
        <w:lastRenderedPageBreak/>
        <w:t xml:space="preserve">ordenada con relación a las denuncias señaladas no variaría la </w:t>
      </w:r>
      <w:proofErr w:type="spellStart"/>
      <w:r w:rsidRPr="002A2450">
        <w:rPr>
          <w:rFonts w:ascii="ITC Avant Garde" w:hAnsi="ITC Avant Garde"/>
          <w:i/>
        </w:rPr>
        <w:t>litis</w:t>
      </w:r>
      <w:proofErr w:type="spellEnd"/>
      <w:r w:rsidRPr="002A2450">
        <w:rPr>
          <w:rFonts w:ascii="ITC Avant Garde" w:hAnsi="ITC Avant Garde"/>
          <w:i/>
        </w:rPr>
        <w:t xml:space="preserve"> </w:t>
      </w:r>
      <w:r w:rsidR="00436A76" w:rsidRPr="002A2450">
        <w:rPr>
          <w:rFonts w:ascii="ITC Avant Garde" w:hAnsi="ITC Avant Garde"/>
        </w:rPr>
        <w:t>del presente procedimiento, ni el sentido de la presente resolución.</w:t>
      </w:r>
    </w:p>
    <w:p w14:paraId="15CB57F7" w14:textId="77777777" w:rsidR="00B35F13" w:rsidRPr="00CE1EA8" w:rsidRDefault="00D20094" w:rsidP="001B0FC3">
      <w:pPr>
        <w:pStyle w:val="Ttulo3"/>
      </w:pPr>
      <w:bookmarkStart w:id="94" w:name="_Toc477170197"/>
      <w:r w:rsidRPr="00CE1EA8">
        <w:t>SÉPTIMO</w:t>
      </w:r>
      <w:r w:rsidR="00FD298A" w:rsidRPr="00CE1EA8">
        <w:t>. ANÁLISIS DE LOS ALEGATOS.</w:t>
      </w:r>
      <w:bookmarkEnd w:id="94"/>
    </w:p>
    <w:p w14:paraId="04F68CFC" w14:textId="77777777" w:rsidR="00B35F13" w:rsidRDefault="00FD298A" w:rsidP="00B35F13">
      <w:pPr>
        <w:spacing w:before="240" w:line="360" w:lineRule="auto"/>
        <w:jc w:val="both"/>
        <w:rPr>
          <w:rFonts w:ascii="ITC Avant Garde" w:hAnsi="ITC Avant Garde" w:cs="Arial"/>
          <w:bCs/>
          <w:color w:val="000000"/>
        </w:rPr>
      </w:pPr>
      <w:r w:rsidRPr="002A2450">
        <w:rPr>
          <w:rFonts w:ascii="ITC Avant Garde" w:hAnsi="ITC Avant Garde" w:cs="Arial"/>
          <w:bCs/>
          <w:color w:val="000000"/>
        </w:rPr>
        <w:t xml:space="preserve">Siguiendo las etapas del debido proceso, esta autoridad mediante acuerdo de </w:t>
      </w:r>
      <w:r w:rsidR="00EB2012" w:rsidRPr="002A2450">
        <w:rPr>
          <w:rFonts w:ascii="ITC Avant Garde" w:hAnsi="ITC Avant Garde" w:cs="Arial"/>
          <w:bCs/>
          <w:color w:val="000000"/>
        </w:rPr>
        <w:t xml:space="preserve">diecinueve de enero de dos mil diecisiete </w:t>
      </w:r>
      <w:r w:rsidRPr="002A2450">
        <w:rPr>
          <w:rFonts w:ascii="ITC Avant Garde" w:hAnsi="ITC Avant Garde" w:cs="Arial"/>
          <w:bCs/>
          <w:color w:val="000000"/>
        </w:rPr>
        <w:t xml:space="preserve">notificado el </w:t>
      </w:r>
      <w:r w:rsidR="00EB2012" w:rsidRPr="002A2450">
        <w:rPr>
          <w:rFonts w:ascii="ITC Avant Garde" w:hAnsi="ITC Avant Garde" w:cs="Arial"/>
          <w:bCs/>
          <w:color w:val="000000"/>
        </w:rPr>
        <w:t xml:space="preserve">veintitrés de enero </w:t>
      </w:r>
      <w:r w:rsidRPr="002A2450">
        <w:rPr>
          <w:rFonts w:ascii="ITC Avant Garde" w:hAnsi="ITC Avant Garde" w:cs="Arial"/>
          <w:bCs/>
          <w:color w:val="000000"/>
        </w:rPr>
        <w:t xml:space="preserve">siguiente, le otorgó a </w:t>
      </w:r>
      <w:r w:rsidRPr="002A2450">
        <w:rPr>
          <w:rFonts w:ascii="ITC Avant Garde" w:hAnsi="ITC Avant Garde" w:cs="Arial"/>
          <w:b/>
          <w:bCs/>
          <w:color w:val="000000"/>
        </w:rPr>
        <w:t>“</w:t>
      </w:r>
      <w:r w:rsidR="00D20094" w:rsidRPr="002A2450">
        <w:rPr>
          <w:rFonts w:ascii="ITC Avant Garde" w:hAnsi="ITC Avant Garde" w:cs="Arial"/>
          <w:b/>
          <w:bCs/>
          <w:color w:val="000000"/>
        </w:rPr>
        <w:t>TELMEX</w:t>
      </w:r>
      <w:r w:rsidRPr="002A2450">
        <w:rPr>
          <w:rFonts w:ascii="ITC Avant Garde" w:hAnsi="ITC Avant Garde" w:cs="Arial"/>
          <w:b/>
          <w:bCs/>
          <w:color w:val="000000"/>
        </w:rPr>
        <w:t xml:space="preserve">” </w:t>
      </w:r>
      <w:r w:rsidRPr="002A2450">
        <w:rPr>
          <w:rFonts w:ascii="ITC Avant Garde" w:hAnsi="ITC Avant Garde" w:cs="Arial"/>
          <w:bCs/>
          <w:color w:val="000000"/>
        </w:rPr>
        <w:t xml:space="preserve">un plazo de diez días hábiles para que formulara los alegatos que considerara convenientes, derecho que fue ejercido a través de la presentación del escrito </w:t>
      </w:r>
      <w:r w:rsidR="00EB2012" w:rsidRPr="002A2450">
        <w:rPr>
          <w:rFonts w:ascii="ITC Avant Garde" w:hAnsi="ITC Avant Garde" w:cs="Arial"/>
          <w:bCs/>
          <w:color w:val="000000"/>
        </w:rPr>
        <w:t xml:space="preserve">el </w:t>
      </w:r>
      <w:r w:rsidR="00452EE5" w:rsidRPr="002A2450">
        <w:rPr>
          <w:rFonts w:ascii="ITC Avant Garde" w:hAnsi="ITC Avant Garde" w:cs="Arial"/>
          <w:bCs/>
          <w:color w:val="000000"/>
        </w:rPr>
        <w:t xml:space="preserve">tres de febrero </w:t>
      </w:r>
      <w:r w:rsidRPr="002A2450">
        <w:rPr>
          <w:rFonts w:ascii="ITC Avant Garde" w:hAnsi="ITC Avant Garde" w:cs="Arial"/>
          <w:bCs/>
          <w:color w:val="000000"/>
        </w:rPr>
        <w:t>dos mil</w:t>
      </w:r>
      <w:r w:rsidR="00452EE5" w:rsidRPr="002A2450">
        <w:rPr>
          <w:rFonts w:ascii="ITC Avant Garde" w:hAnsi="ITC Avant Garde" w:cs="Arial"/>
          <w:bCs/>
          <w:color w:val="000000"/>
        </w:rPr>
        <w:t xml:space="preserve"> diecisiete</w:t>
      </w:r>
      <w:r w:rsidRPr="002A2450">
        <w:rPr>
          <w:rFonts w:ascii="ITC Avant Garde" w:hAnsi="ITC Avant Garde" w:cs="Arial"/>
          <w:bCs/>
          <w:color w:val="000000"/>
        </w:rPr>
        <w:t>, en el cual se realizan las siguientes precisiones:</w:t>
      </w:r>
    </w:p>
    <w:p w14:paraId="5B9AA0B8" w14:textId="77777777" w:rsidR="00B35F13" w:rsidRDefault="00FD298A" w:rsidP="00B35F13">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Antes de analizar los alegatos presentados, se</w:t>
      </w:r>
      <w:r w:rsidR="00D20094" w:rsidRPr="002A2450">
        <w:rPr>
          <w:rFonts w:ascii="ITC Avant Garde" w:eastAsia="Times New Roman" w:hAnsi="ITC Avant Garde"/>
          <w:bCs/>
          <w:color w:val="000000"/>
          <w:lang w:eastAsia="es-MX"/>
        </w:rPr>
        <w:t xml:space="preserve"> debe precisar lo sostenido por </w:t>
      </w:r>
      <w:r w:rsidRPr="002A2450">
        <w:rPr>
          <w:rFonts w:ascii="ITC Avant Garde" w:eastAsia="Times New Roman" w:hAnsi="ITC Avant Garde"/>
          <w:bCs/>
          <w:color w:val="000000"/>
          <w:lang w:eastAsia="es-MX"/>
        </w:rPr>
        <w:t>nuestro Máximo Tribunal de Justicia, en el sentido de que los alegatos no son la etapa procesal a través de la cual deban hacerse manifestaciones a efecto de desvirtuar las imputaciones hechas para iniciar el procedimiento sancionador.</w:t>
      </w:r>
    </w:p>
    <w:p w14:paraId="6D29956C" w14:textId="77777777" w:rsidR="00B35F13" w:rsidRDefault="00FD298A" w:rsidP="00B35F13">
      <w:pPr>
        <w:pStyle w:val="Textoindependiente"/>
        <w:tabs>
          <w:tab w:val="left" w:pos="851"/>
        </w:tabs>
        <w:spacing w:before="240" w:after="16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Estos argumentos, se traducen en el acto mediante el cual, una parte expone en forma metódica y razonada los fundamentos de hecho y de derecho sobre los méritos de la prueba aportada, y el demérito de las ofrecidas por la contraparte, es decir, reafirmar los planteamientos aportados a la contienda en el momento procesal oportuno, esencialmente en la demanda o su ampliación o sus respectivas contestaciones.</w:t>
      </w:r>
    </w:p>
    <w:p w14:paraId="5D8C681B" w14:textId="77777777" w:rsidR="00B35F13" w:rsidRDefault="00FD298A" w:rsidP="00B35F13">
      <w:pPr>
        <w:spacing w:before="240" w:line="360" w:lineRule="auto"/>
        <w:jc w:val="both"/>
        <w:rPr>
          <w:rFonts w:ascii="ITC Avant Garde" w:hAnsi="ITC Avant Garde" w:cs="Arial"/>
          <w:bCs/>
          <w:color w:val="000000"/>
        </w:rPr>
      </w:pPr>
      <w:r w:rsidRPr="002A2450">
        <w:rPr>
          <w:rFonts w:ascii="ITC Avant Garde" w:eastAsia="Times New Roman" w:hAnsi="ITC Avant Garde"/>
          <w:bCs/>
          <w:color w:val="000000"/>
          <w:lang w:eastAsia="es-MX"/>
        </w:rPr>
        <w:t xml:space="preserve">En efecto, los alegatos son las argumentaciones que formulan las partes una vez concluidas las fases </w:t>
      </w:r>
      <w:proofErr w:type="spellStart"/>
      <w:r w:rsidRPr="002A2450">
        <w:rPr>
          <w:rFonts w:ascii="ITC Avant Garde" w:eastAsia="Times New Roman" w:hAnsi="ITC Avant Garde"/>
          <w:bCs/>
          <w:color w:val="000000"/>
          <w:lang w:eastAsia="es-MX"/>
        </w:rPr>
        <w:t>postulatoria</w:t>
      </w:r>
      <w:proofErr w:type="spellEnd"/>
      <w:r w:rsidRPr="002A2450">
        <w:rPr>
          <w:rFonts w:ascii="ITC Avant Garde" w:eastAsia="Times New Roman" w:hAnsi="ITC Avant Garde"/>
          <w:bCs/>
          <w:color w:val="000000"/>
          <w:lang w:eastAsia="es-MX"/>
        </w:rPr>
        <w:t xml:space="preserve"> y probatoria; lo cual fue atendido por “</w:t>
      </w:r>
      <w:r w:rsidR="00D20094" w:rsidRPr="002A2450">
        <w:rPr>
          <w:rFonts w:ascii="ITC Avant Garde" w:eastAsia="Times New Roman" w:hAnsi="ITC Avant Garde"/>
          <w:b/>
          <w:bCs/>
          <w:color w:val="000000"/>
          <w:lang w:eastAsia="es-MX"/>
        </w:rPr>
        <w:t>TELMEX</w:t>
      </w:r>
      <w:r w:rsidRPr="002A2450">
        <w:rPr>
          <w:rFonts w:ascii="ITC Avant Garde" w:eastAsia="Times New Roman" w:hAnsi="ITC Avant Garde"/>
          <w:b/>
          <w:bCs/>
          <w:color w:val="000000"/>
          <w:lang w:eastAsia="es-MX"/>
        </w:rPr>
        <w:t xml:space="preserve">” </w:t>
      </w:r>
      <w:r w:rsidRPr="002A2450">
        <w:rPr>
          <w:rFonts w:ascii="ITC Avant Garde" w:eastAsia="Times New Roman" w:hAnsi="ITC Avant Garde"/>
          <w:bCs/>
          <w:color w:val="000000"/>
          <w:lang w:eastAsia="es-MX"/>
        </w:rPr>
        <w:t>mediante escrito recibido el</w:t>
      </w:r>
      <w:r w:rsidR="00D20094" w:rsidRPr="002A2450">
        <w:rPr>
          <w:rFonts w:ascii="ITC Avant Garde" w:eastAsia="Times New Roman" w:hAnsi="ITC Avant Garde"/>
          <w:bCs/>
          <w:color w:val="000000"/>
          <w:lang w:eastAsia="es-MX"/>
        </w:rPr>
        <w:t xml:space="preserve"> </w:t>
      </w:r>
      <w:r w:rsidR="00452EE5" w:rsidRPr="002A2450">
        <w:rPr>
          <w:rFonts w:ascii="ITC Avant Garde" w:hAnsi="ITC Avant Garde" w:cs="Arial"/>
          <w:bCs/>
          <w:color w:val="000000"/>
        </w:rPr>
        <w:t>tres de febrero dos mil diecisiete</w:t>
      </w:r>
      <w:r w:rsidRPr="002A2450">
        <w:rPr>
          <w:rFonts w:ascii="ITC Avant Garde" w:hAnsi="ITC Avant Garde" w:cs="Arial"/>
          <w:bCs/>
          <w:color w:val="000000"/>
        </w:rPr>
        <w:t xml:space="preserve">, en los cuales realizó diversas manifestaciones </w:t>
      </w:r>
      <w:r w:rsidRPr="002A2450">
        <w:rPr>
          <w:rFonts w:ascii="ITC Avant Garde" w:eastAsia="Times New Roman" w:hAnsi="ITC Avant Garde"/>
          <w:bCs/>
          <w:color w:val="000000"/>
          <w:lang w:eastAsia="es-MX"/>
        </w:rPr>
        <w:t>reafirmando los planteamientos aportados en su escrito de manifestaciones, mismos que ya fueron puntualmente atendidos durante el desarrollo de la presente resolución</w:t>
      </w:r>
      <w:r w:rsidRPr="002A2450">
        <w:rPr>
          <w:rFonts w:ascii="ITC Avant Garde" w:hAnsi="ITC Avant Garde" w:cs="Arial"/>
          <w:bCs/>
          <w:color w:val="000000"/>
        </w:rPr>
        <w:t>.</w:t>
      </w:r>
    </w:p>
    <w:p w14:paraId="27AB3B33" w14:textId="77777777" w:rsidR="00B35F13" w:rsidRDefault="00FD298A" w:rsidP="00B35F13">
      <w:pPr>
        <w:spacing w:before="240" w:line="360" w:lineRule="auto"/>
        <w:jc w:val="both"/>
        <w:rPr>
          <w:rFonts w:ascii="ITC Avant Garde" w:hAnsi="ITC Avant Garde" w:cs="Arial"/>
          <w:bCs/>
          <w:color w:val="000000"/>
        </w:rPr>
      </w:pPr>
      <w:r w:rsidRPr="002A2450">
        <w:rPr>
          <w:rFonts w:ascii="ITC Avant Garde" w:hAnsi="ITC Avant Garde" w:cs="Arial"/>
          <w:bCs/>
          <w:color w:val="000000"/>
        </w:rPr>
        <w:t>Sirve de aplicación por analogía la siguiente Tesis que a la letra señala:</w:t>
      </w:r>
    </w:p>
    <w:p w14:paraId="10948895" w14:textId="77777777" w:rsidR="00B35F13" w:rsidRDefault="00FD298A" w:rsidP="00B35F13">
      <w:pPr>
        <w:spacing w:before="240" w:line="360" w:lineRule="auto"/>
        <w:ind w:left="567" w:right="851"/>
        <w:jc w:val="both"/>
        <w:rPr>
          <w:rFonts w:ascii="ITC Avant Garde" w:hAnsi="ITC Avant Garde" w:cs="Arial"/>
          <w:bCs/>
          <w:color w:val="000000"/>
        </w:rPr>
      </w:pPr>
      <w:r w:rsidRPr="002A2450">
        <w:rPr>
          <w:rFonts w:ascii="ITC Avant Garde" w:hAnsi="ITC Avant Garde" w:cs="Arial"/>
          <w:b/>
          <w:bCs/>
          <w:color w:val="000000"/>
        </w:rPr>
        <w:lastRenderedPageBreak/>
        <w:t>“ALEGATOS EN EL JUICIO DE NULIDAD. NO PROCEDE CONCEDER EL AMPARO PARA EL EFECTO DE QUE SE HAGA SU ESTUDIO EN FORMA DESTACADA, SI LA SALA FISCAL, EN FORMA IMPLÍCITA, ABORDÓ LAS CUESTIONES EN ELLOS PLANTEADAS Y LAS CONSIDERÓ INFUNDADAS, PUES EN TAL SUPUESTO NO VARIARÍA EL SENTIDO DEL FALLO (APLICACIÓN DE LA JURISPRUDENCIA 2a</w:t>
      </w:r>
      <w:r w:rsidR="00702143" w:rsidRPr="002A2450">
        <w:rPr>
          <w:rFonts w:ascii="ITC Avant Garde" w:hAnsi="ITC Avant Garde" w:cs="Arial"/>
          <w:b/>
          <w:bCs/>
          <w:color w:val="000000"/>
        </w:rPr>
        <w:t>. /</w:t>
      </w:r>
      <w:r w:rsidRPr="002A2450">
        <w:rPr>
          <w:rFonts w:ascii="ITC Avant Garde" w:hAnsi="ITC Avant Garde" w:cs="Arial"/>
          <w:b/>
          <w:bCs/>
          <w:color w:val="000000"/>
        </w:rPr>
        <w:t>J. 62/2001).</w:t>
      </w:r>
      <w:r w:rsidRPr="002A2450">
        <w:rPr>
          <w:rFonts w:ascii="ITC Avant Garde" w:hAnsi="ITC Avant Garde" w:cs="Arial"/>
          <w:bCs/>
          <w:color w:val="000000"/>
        </w:rPr>
        <w:t xml:space="preserve"> En la citada jurisprudencia, la Segunda Sala de la Suprema Corte de Justicia de la Nación estableció que debe ampararse al quejoso, cuando la respectiva Sala del Tribunal Federal de Justicia Fiscal y Administrativa haya omitido analizar los alegatos de bien probado o aquellos en los que se controvierten los argumentos expuestos en la contestación de la demanda o se objetan o refutan las pruebas aportadas por la contraparte. Sin embargo, el otorgamiento de la protección constitucional por ese motivo se encuentra supeditada a que la omisión pueda trascender al sentido de la sentencia, es decir, que de realizarse el estudio de tales cuestionamientos, pueda derivar una nueva reflexión y cambiar el sentido en que previamente se resolvió, pues de lo contrario no se justificaría ordenar su examen, si finalmente no tendrían relevancia para la emisión de la nueva resolución. Por tanto, no procede conceder el amparo al quejoso, cuando la Sala Fiscal haya omitido hacer un pronunciamiento destacado acerca de dichos alegatos, si en forma implícita abordó las cuestiones en ellos planteadas y las estimó infundadas, pues con ello no podría variarse el sentido del fallo; por consiguiente, a nada práctico conduciría conceder el amparo por ese motivo, si a la postre la responsable emitiría un nuevo fallo en el mismo sentido que el reclamado.”</w:t>
      </w:r>
    </w:p>
    <w:p w14:paraId="51724203" w14:textId="77777777" w:rsidR="00B35F13" w:rsidRDefault="00FD298A" w:rsidP="00B35F13">
      <w:pPr>
        <w:spacing w:before="240" w:line="360" w:lineRule="auto"/>
        <w:ind w:left="567" w:right="851"/>
        <w:jc w:val="both"/>
        <w:rPr>
          <w:rFonts w:ascii="ITC Avant Garde" w:hAnsi="ITC Avant Garde" w:cs="Arial"/>
          <w:bCs/>
          <w:color w:val="000000"/>
          <w:sz w:val="18"/>
        </w:rPr>
      </w:pPr>
      <w:r w:rsidRPr="002A2450">
        <w:rPr>
          <w:rFonts w:ascii="ITC Avant Garde" w:hAnsi="ITC Avant Garde" w:cs="Arial"/>
          <w:bCs/>
          <w:color w:val="000000"/>
          <w:sz w:val="18"/>
        </w:rPr>
        <w:t>Época: Novena Época, Registro: 176761, Instancia: Tribunales Colegiados de Circuito, Tipo de Tesis: Aislada, Fuente: Semanario Judicial de la Federación y su Gaceta, Tomo XXII, Noviembre de 2005, Materia(s): Administrativa, Tesis: V.5o.2 A, Página: 835.</w:t>
      </w:r>
    </w:p>
    <w:p w14:paraId="734FAF0B" w14:textId="77777777" w:rsidR="00B35F13" w:rsidRDefault="00FD298A"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En ese sentido como se puede advertir del criterio trascrito, es claro que no existe la necesidad de que se transcriban los alegatos para cumplir con los principios de congruencia y exhaustividad en la presente resolución, pues tales principios se satisficieron al precisar los puntos sujetos a debate y </w:t>
      </w:r>
      <w:r w:rsidRPr="002A2450">
        <w:rPr>
          <w:rFonts w:ascii="ITC Avant Garde" w:eastAsia="Times New Roman" w:hAnsi="ITC Avant Garde"/>
          <w:b/>
          <w:bCs/>
          <w:color w:val="000000"/>
          <w:u w:val="single"/>
          <w:lang w:eastAsia="es-MX"/>
        </w:rPr>
        <w:t>al haber sido atendidas todas las cuestiones planteadas en los mismos en el considerando Cuarto, en su caso deberá estarse a lo establecido en dicho considerando</w:t>
      </w:r>
      <w:r w:rsidRPr="002A2450">
        <w:rPr>
          <w:rFonts w:ascii="ITC Avant Garde" w:eastAsia="Times New Roman" w:hAnsi="ITC Avant Garde"/>
          <w:bCs/>
          <w:color w:val="000000"/>
          <w:lang w:eastAsia="es-MX"/>
        </w:rPr>
        <w:t>.</w:t>
      </w:r>
    </w:p>
    <w:p w14:paraId="0B35A69F" w14:textId="77777777" w:rsidR="00B35F13" w:rsidRDefault="00FD298A" w:rsidP="00B35F13">
      <w:pPr>
        <w:tabs>
          <w:tab w:val="left" w:pos="709"/>
          <w:tab w:val="left" w:pos="851"/>
        </w:tabs>
        <w:spacing w:before="240" w:line="360" w:lineRule="auto"/>
        <w:jc w:val="both"/>
        <w:rPr>
          <w:rFonts w:ascii="ITC Avant Garde" w:hAnsi="ITC Avant Garde" w:cs="Tahoma"/>
          <w:bCs/>
          <w:color w:val="000000"/>
          <w:shd w:val="clear" w:color="auto" w:fill="FFFFFF"/>
        </w:rPr>
      </w:pPr>
      <w:r w:rsidRPr="002A2450">
        <w:rPr>
          <w:rFonts w:ascii="ITC Avant Garde" w:eastAsia="Times New Roman" w:hAnsi="ITC Avant Garde"/>
          <w:bCs/>
          <w:color w:val="000000"/>
          <w:lang w:eastAsia="es-MX"/>
        </w:rPr>
        <w:t>Por</w:t>
      </w:r>
      <w:r w:rsidRPr="002A2450">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w:t>
      </w:r>
      <w:proofErr w:type="spellStart"/>
      <w:r w:rsidRPr="002A2450">
        <w:rPr>
          <w:rFonts w:ascii="ITC Avant Garde" w:hAnsi="ITC Avant Garde" w:cs="Tahoma"/>
          <w:bCs/>
          <w:color w:val="000000"/>
          <w:shd w:val="clear" w:color="auto" w:fill="FFFFFF"/>
        </w:rPr>
        <w:t>convictiva</w:t>
      </w:r>
      <w:proofErr w:type="spellEnd"/>
      <w:r w:rsidRPr="002A2450">
        <w:rPr>
          <w:rFonts w:ascii="ITC Avant Garde" w:hAnsi="ITC Avant Garde" w:cs="Tahoma"/>
          <w:bCs/>
          <w:color w:val="000000"/>
          <w:shd w:val="clear" w:color="auto" w:fill="FFFFFF"/>
        </w:rPr>
        <w:t xml:space="preserve"> en esta autoridad, siguiendo los principios procesales que rigen todo procedimiento.</w:t>
      </w:r>
    </w:p>
    <w:p w14:paraId="27CFE2CA" w14:textId="77777777" w:rsidR="00B35F13" w:rsidRDefault="00FD298A" w:rsidP="00B35F13">
      <w:pPr>
        <w:tabs>
          <w:tab w:val="left" w:pos="851"/>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Sirve de aplicación por analogía la siguiente Jurisprudencia que señala:</w:t>
      </w:r>
    </w:p>
    <w:p w14:paraId="369D9D39" w14:textId="77777777" w:rsidR="00B35F13" w:rsidRDefault="00FD298A" w:rsidP="00B35F13">
      <w:pPr>
        <w:tabs>
          <w:tab w:val="left" w:pos="8080"/>
        </w:tabs>
        <w:spacing w:before="240" w:line="360" w:lineRule="auto"/>
        <w:ind w:left="567" w:right="567"/>
        <w:jc w:val="both"/>
        <w:rPr>
          <w:rFonts w:ascii="ITC Avant Garde" w:eastAsia="Times New Roman" w:hAnsi="ITC Avant Garde"/>
          <w:bCs/>
          <w:color w:val="000000"/>
          <w:lang w:eastAsia="es-MX"/>
        </w:rPr>
      </w:pPr>
      <w:r w:rsidRPr="002A2450">
        <w:rPr>
          <w:rFonts w:ascii="ITC Avant Garde" w:eastAsia="Times New Roman" w:hAnsi="ITC Avant Garde"/>
          <w:b/>
          <w:bCs/>
          <w:color w:val="000000"/>
          <w:lang w:eastAsia="es-MX"/>
        </w:rPr>
        <w:t>“DERECHO AL DEBIDO PROCESO. SU CONTENIDO.</w:t>
      </w:r>
      <w:r w:rsidRPr="002A2450">
        <w:rPr>
          <w:rFonts w:ascii="ITC Avant Garde" w:eastAsia="Times New Roman" w:hAnsi="ITC Avant Garde"/>
          <w:bCs/>
          <w:color w:val="000000"/>
          <w:lang w:eastAsia="es-MX"/>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w:t>
      </w:r>
      <w:r w:rsidRPr="002A2450">
        <w:rPr>
          <w:rFonts w:ascii="ITC Avant Garde" w:eastAsia="Times New Roman" w:hAnsi="ITC Avant Garde"/>
          <w:bCs/>
          <w:color w:val="000000"/>
          <w:lang w:eastAsia="es-MX"/>
        </w:rPr>
        <w:lastRenderedPageBreak/>
        <w:t>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7CFE8CD8" w14:textId="77777777" w:rsidR="00B35F13" w:rsidRDefault="00FD298A" w:rsidP="00B35F13">
      <w:pPr>
        <w:tabs>
          <w:tab w:val="left" w:pos="1276"/>
        </w:tabs>
        <w:spacing w:before="240" w:line="360" w:lineRule="auto"/>
        <w:ind w:left="567" w:right="567"/>
        <w:jc w:val="both"/>
        <w:rPr>
          <w:rFonts w:ascii="ITC Avant Garde" w:eastAsia="Times New Roman" w:hAnsi="ITC Avant Garde"/>
          <w:bCs/>
          <w:color w:val="000000"/>
          <w:sz w:val="18"/>
          <w:lang w:eastAsia="es-MX"/>
        </w:rPr>
      </w:pPr>
      <w:r w:rsidRPr="002A2450">
        <w:rPr>
          <w:rFonts w:ascii="ITC Avant Garde" w:eastAsia="Times New Roman" w:hAnsi="ITC Avant Garde"/>
          <w:bCs/>
          <w:color w:val="000000"/>
          <w:sz w:val="18"/>
          <w:lang w:eastAsia="es-MX"/>
        </w:rPr>
        <w:t>Época: Décima Época, Registro: 2005716, Instancia: Primera Sala, Tipo de Tesis: Jurisprudencia, Fuente: Gaceta del Semanario Judicial de la Federación, Libro 3, Febrero de 2014, Tomo I, Materia(s): Constitucional, Tesis: 1a</w:t>
      </w:r>
      <w:r w:rsidR="00702143" w:rsidRPr="002A2450">
        <w:rPr>
          <w:rFonts w:ascii="ITC Avant Garde" w:eastAsia="Times New Roman" w:hAnsi="ITC Avant Garde"/>
          <w:bCs/>
          <w:color w:val="000000"/>
          <w:sz w:val="18"/>
          <w:lang w:eastAsia="es-MX"/>
        </w:rPr>
        <w:t>. /</w:t>
      </w:r>
      <w:r w:rsidRPr="002A2450">
        <w:rPr>
          <w:rFonts w:ascii="ITC Avant Garde" w:eastAsia="Times New Roman" w:hAnsi="ITC Avant Garde"/>
          <w:bCs/>
          <w:color w:val="000000"/>
          <w:sz w:val="18"/>
          <w:lang w:eastAsia="es-MX"/>
        </w:rPr>
        <w:t>J. 11/2014 (10a.), Página: 396.</w:t>
      </w:r>
    </w:p>
    <w:p w14:paraId="05D65CCE" w14:textId="77777777" w:rsidR="00B35F13" w:rsidRDefault="00EB2012" w:rsidP="001B0FC3">
      <w:pPr>
        <w:pStyle w:val="Ttulo3"/>
      </w:pPr>
      <w:bookmarkStart w:id="95" w:name="_Toc477170198"/>
      <w:r w:rsidRPr="002A2450">
        <w:t>OCTAVO. ANÁLISIS DE LA CONDUCTA Y CONSECUENCIAS JURÍDICAS</w:t>
      </w:r>
      <w:bookmarkEnd w:id="95"/>
    </w:p>
    <w:p w14:paraId="6AED4A97" w14:textId="77777777" w:rsidR="00B35F13" w:rsidRDefault="00FD298A" w:rsidP="00B35F13">
      <w:pPr>
        <w:tabs>
          <w:tab w:val="left" w:pos="993"/>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Derivado de lo antes expuesto, se considera que existen elementos probatorios suficientes y determinantes para acreditar que </w:t>
      </w:r>
      <w:r w:rsidRPr="002A2450">
        <w:rPr>
          <w:rFonts w:ascii="ITC Avant Garde" w:hAnsi="ITC Avant Garde" w:cs="Tahoma"/>
          <w:b/>
          <w:bCs/>
          <w:color w:val="000000"/>
          <w:shd w:val="clear" w:color="auto" w:fill="FFFFFF"/>
        </w:rPr>
        <w:t>“</w:t>
      </w:r>
      <w:r w:rsidR="00D20094" w:rsidRPr="002A2450">
        <w:rPr>
          <w:rFonts w:ascii="ITC Avant Garde" w:hAnsi="ITC Avant Garde" w:cs="Tahoma"/>
          <w:b/>
          <w:bCs/>
          <w:color w:val="000000"/>
          <w:shd w:val="clear" w:color="auto" w:fill="FFFFFF"/>
        </w:rPr>
        <w:t>TELMEX</w:t>
      </w:r>
      <w:r w:rsidRPr="002A2450">
        <w:rPr>
          <w:rFonts w:ascii="ITC Avant Garde" w:hAnsi="ITC Avant Garde" w:cs="Tahoma"/>
          <w:b/>
          <w:bCs/>
          <w:color w:val="000000"/>
          <w:shd w:val="clear" w:color="auto" w:fill="FFFFFF"/>
        </w:rPr>
        <w:t>”</w:t>
      </w:r>
      <w:r w:rsidRPr="002A2450">
        <w:rPr>
          <w:rFonts w:ascii="ITC Avant Garde" w:hAnsi="ITC Avant Garde"/>
          <w:b/>
        </w:rPr>
        <w:t xml:space="preserve"> </w:t>
      </w:r>
      <w:r w:rsidRPr="002A2450">
        <w:rPr>
          <w:rFonts w:ascii="ITC Avant Garde" w:hAnsi="ITC Avant Garde"/>
        </w:rPr>
        <w:t xml:space="preserve">incumplió con lo dispuesto </w:t>
      </w:r>
      <w:r w:rsidR="00D20094" w:rsidRPr="002A2450">
        <w:rPr>
          <w:rFonts w:ascii="ITC Avant Garde" w:hAnsi="ITC Avant Garde"/>
        </w:rPr>
        <w:lastRenderedPageBreak/>
        <w:t xml:space="preserve">en </w:t>
      </w:r>
      <w:r w:rsidR="00EB2012" w:rsidRPr="002A2450">
        <w:rPr>
          <w:rFonts w:ascii="ITC Avant Garde" w:hAnsi="ITC Avant Garde"/>
        </w:rPr>
        <w:t>e</w:t>
      </w:r>
      <w:r w:rsidR="00D20094" w:rsidRPr="002A2450">
        <w:rPr>
          <w:rFonts w:ascii="ITC Avant Garde" w:hAnsi="ITC Avant Garde"/>
        </w:rPr>
        <w:t xml:space="preserve">l </w:t>
      </w:r>
      <w:r w:rsidR="00065AA4" w:rsidRPr="009E34A4">
        <w:rPr>
          <w:rFonts w:ascii="ITC Avant Garde" w:hAnsi="ITC Avant Garde"/>
          <w:b/>
        </w:rPr>
        <w:t>Tercer Párrafo</w:t>
      </w:r>
      <w:r w:rsidR="00EB2012" w:rsidRPr="002A2450">
        <w:rPr>
          <w:rFonts w:ascii="ITC Avant Garde" w:hAnsi="ITC Avant Garde"/>
        </w:rPr>
        <w:t xml:space="preserve"> de la </w:t>
      </w:r>
      <w:r w:rsidR="00D20094" w:rsidRPr="002A2450">
        <w:rPr>
          <w:rFonts w:ascii="ITC Avant Garde" w:hAnsi="ITC Avant Garde"/>
        </w:rPr>
        <w:t xml:space="preserve">condición 1-9 </w:t>
      </w:r>
      <w:r w:rsidRPr="002A2450">
        <w:rPr>
          <w:rFonts w:ascii="ITC Avant Garde" w:hAnsi="ITC Avant Garde"/>
          <w:color w:val="000000"/>
        </w:rPr>
        <w:t xml:space="preserve">de </w:t>
      </w:r>
      <w:r w:rsidR="00D20094" w:rsidRPr="002A2450">
        <w:rPr>
          <w:rFonts w:ascii="ITC Avant Garde" w:hAnsi="ITC Avant Garde"/>
          <w:color w:val="000000"/>
        </w:rPr>
        <w:t xml:space="preserve">su </w:t>
      </w:r>
      <w:r w:rsidR="00D20094" w:rsidRPr="002A2450">
        <w:rPr>
          <w:rFonts w:ascii="ITC Avant Garde" w:hAnsi="ITC Avant Garde"/>
          <w:b/>
          <w:color w:val="000000"/>
        </w:rPr>
        <w:t>“TÍTULO DE CONCESIÓN”</w:t>
      </w:r>
      <w:r w:rsidR="00EB2012" w:rsidRPr="002A2450">
        <w:rPr>
          <w:rFonts w:ascii="ITC Avant Garde" w:hAnsi="ITC Avant Garde"/>
          <w:b/>
          <w:color w:val="000000"/>
        </w:rPr>
        <w:t xml:space="preserve">, </w:t>
      </w:r>
      <w:r w:rsidR="00EB2012" w:rsidRPr="002A2450">
        <w:rPr>
          <w:rFonts w:ascii="ITC Avant Garde" w:eastAsia="Times New Roman" w:hAnsi="ITC Avant Garde"/>
          <w:bCs/>
          <w:color w:val="000000"/>
          <w:lang w:eastAsia="es-MX"/>
        </w:rPr>
        <w:t>el cual establece lo siguiente:</w:t>
      </w:r>
    </w:p>
    <w:p w14:paraId="15E9C0E6" w14:textId="77777777" w:rsidR="00B35F13" w:rsidRDefault="00EB2012" w:rsidP="00B35F13">
      <w:pPr>
        <w:spacing w:before="240" w:line="360" w:lineRule="auto"/>
        <w:ind w:left="567" w:right="567"/>
        <w:jc w:val="both"/>
        <w:rPr>
          <w:rFonts w:ascii="ITC Avant Garde" w:hAnsi="ITC Avant Garde" w:cs="Arial"/>
          <w:i/>
        </w:rPr>
      </w:pPr>
      <w:r w:rsidRPr="002A2450">
        <w:rPr>
          <w:rFonts w:ascii="ITC Avant Garde" w:hAnsi="ITC Avant Garde" w:cs="Arial"/>
          <w:i/>
        </w:rPr>
        <w:t>“1-9</w:t>
      </w:r>
      <w:r w:rsidRPr="002A2450">
        <w:rPr>
          <w:rFonts w:ascii="ITC Avant Garde" w:hAnsi="ITC Avant Garde" w:cs="Arial"/>
          <w:i/>
        </w:rPr>
        <w:tab/>
      </w:r>
      <w:r w:rsidRPr="002A2450">
        <w:rPr>
          <w:rFonts w:ascii="ITC Avant Garde" w:hAnsi="ITC Avant Garde" w:cs="Arial"/>
          <w:b/>
          <w:i/>
          <w:u w:val="single"/>
        </w:rPr>
        <w:t>Distribución de Señales de Televisión</w:t>
      </w:r>
    </w:p>
    <w:p w14:paraId="03B1F9E2" w14:textId="77777777" w:rsidR="00B35F13" w:rsidRDefault="00EB2012" w:rsidP="00B35F13">
      <w:pPr>
        <w:spacing w:before="240" w:line="360" w:lineRule="auto"/>
        <w:ind w:left="567" w:right="567"/>
        <w:jc w:val="both"/>
        <w:rPr>
          <w:rFonts w:ascii="ITC Avant Garde" w:hAnsi="ITC Avant Garde" w:cs="Arial"/>
          <w:i/>
        </w:rPr>
      </w:pPr>
      <w:r w:rsidRPr="002A2450">
        <w:rPr>
          <w:rFonts w:ascii="ITC Avant Garde" w:hAnsi="ITC Avant Garde" w:cs="Arial"/>
          <w:i/>
        </w:rPr>
        <w:t>La distribución de señales de televisión consiste en un servicio de telecomunicación que se realiza en un sentido a varios puntos de recepción simultáneamente.</w:t>
      </w:r>
    </w:p>
    <w:p w14:paraId="76C091F6" w14:textId="77777777" w:rsidR="00B35F13" w:rsidRDefault="00EB2012" w:rsidP="00B35F13">
      <w:pPr>
        <w:spacing w:before="240" w:line="360" w:lineRule="auto"/>
        <w:ind w:left="567" w:right="567"/>
        <w:jc w:val="both"/>
        <w:rPr>
          <w:rFonts w:ascii="ITC Avant Garde" w:hAnsi="ITC Avant Garde" w:cs="Arial"/>
          <w:i/>
        </w:rPr>
      </w:pPr>
      <w:r w:rsidRPr="002A2450">
        <w:rPr>
          <w:rFonts w:ascii="ITC Avant Garde" w:hAnsi="ITC Avant Garde" w:cs="Arial"/>
          <w:i/>
        </w:rPr>
        <w:t>“</w:t>
      </w:r>
      <w:r w:rsidR="005B601B" w:rsidRPr="002A2450">
        <w:rPr>
          <w:rFonts w:ascii="ITC Avant Garde" w:hAnsi="ITC Avant Garde" w:cs="Arial"/>
          <w:b/>
          <w:i/>
        </w:rPr>
        <w:t>“TELMEX”</w:t>
      </w:r>
      <w:r w:rsidRPr="002A2450">
        <w:rPr>
          <w:rFonts w:ascii="ITC Avant Garde" w:hAnsi="ITC Avant Garde" w:cs="Arial"/>
          <w:i/>
        </w:rPr>
        <w:t>”, previa autorización de “La Secretaría”, podrá distribuir señales de televisión a través de su red a empresas autorizadas para prestar servicios de televisión al público, en los términos de las leyes y reglamentos aplicables.</w:t>
      </w:r>
    </w:p>
    <w:p w14:paraId="78DA058A" w14:textId="77777777" w:rsidR="00B35F13" w:rsidRDefault="00EB2012" w:rsidP="00B35F13">
      <w:pPr>
        <w:spacing w:before="240" w:line="360" w:lineRule="auto"/>
        <w:ind w:left="567" w:right="567"/>
        <w:jc w:val="both"/>
        <w:rPr>
          <w:rFonts w:ascii="ITC Avant Garde" w:hAnsi="ITC Avant Garde" w:cs="Arial"/>
        </w:rPr>
      </w:pPr>
      <w:r w:rsidRPr="002A2450">
        <w:rPr>
          <w:rFonts w:ascii="ITC Avant Garde" w:hAnsi="ITC Avant Garde" w:cs="Arial"/>
          <w:i/>
        </w:rPr>
        <w:t>“</w:t>
      </w:r>
      <w:r w:rsidR="005B601B" w:rsidRPr="002A2450">
        <w:rPr>
          <w:rFonts w:ascii="ITC Avant Garde" w:hAnsi="ITC Avant Garde" w:cs="Arial"/>
          <w:b/>
          <w:i/>
        </w:rPr>
        <w:t>“TELMEX”</w:t>
      </w:r>
      <w:r w:rsidRPr="002A2450">
        <w:rPr>
          <w:rFonts w:ascii="ITC Avant Garde" w:hAnsi="ITC Avant Garde" w:cs="Arial"/>
          <w:i/>
        </w:rPr>
        <w:t xml:space="preserve">” no podrá </w:t>
      </w:r>
      <w:r w:rsidRPr="002A2450">
        <w:rPr>
          <w:rFonts w:ascii="ITC Avant Garde" w:hAnsi="ITC Avant Garde" w:cs="Arial"/>
          <w:b/>
          <w:i/>
          <w:u w:val="single"/>
        </w:rPr>
        <w:t>explotar, directa o indirectamente, ninguna concesión de servicios de televisión al público en el país.”</w:t>
      </w:r>
    </w:p>
    <w:p w14:paraId="0B3C6A3B" w14:textId="77777777" w:rsidR="00B35F13" w:rsidRDefault="00FD298A" w:rsidP="00B35F13">
      <w:pPr>
        <w:tabs>
          <w:tab w:val="left" w:pos="993"/>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En ese sentido dichos elementos son los siguientes:</w:t>
      </w:r>
    </w:p>
    <w:p w14:paraId="2EE44B21" w14:textId="5F13875A" w:rsidR="00F9419F" w:rsidRPr="002A2450" w:rsidRDefault="00F9419F" w:rsidP="007E623E">
      <w:pPr>
        <w:pStyle w:val="Prrafodelista"/>
        <w:numPr>
          <w:ilvl w:val="0"/>
          <w:numId w:val="46"/>
        </w:numPr>
        <w:tabs>
          <w:tab w:val="left" w:pos="993"/>
        </w:tabs>
        <w:spacing w:before="240" w:line="360" w:lineRule="auto"/>
        <w:ind w:left="567" w:hanging="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La suscripción por parte de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de los contratos de prestación de servicios, distribución, arrendamiento, opción de compra y venta y consecuencias.</w:t>
      </w:r>
    </w:p>
    <w:p w14:paraId="265E41C2" w14:textId="77777777" w:rsidR="00B35F13" w:rsidRDefault="00F9419F" w:rsidP="007E623E">
      <w:pPr>
        <w:pStyle w:val="Prrafodelista"/>
        <w:numPr>
          <w:ilvl w:val="0"/>
          <w:numId w:val="46"/>
        </w:numPr>
        <w:tabs>
          <w:tab w:val="left" w:pos="993"/>
        </w:tabs>
        <w:spacing w:before="240" w:line="360" w:lineRule="auto"/>
        <w:ind w:left="567" w:hanging="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La suscripción por parte de </w:t>
      </w:r>
      <w:r w:rsidRPr="002A2450">
        <w:rPr>
          <w:rFonts w:ascii="ITC Avant Garde" w:eastAsia="Times New Roman" w:hAnsi="ITC Avant Garde"/>
          <w:b/>
          <w:bCs/>
          <w:color w:val="000000"/>
          <w:lang w:eastAsia="es-MX"/>
        </w:rPr>
        <w:t xml:space="preserve">“TELMEX” </w:t>
      </w:r>
      <w:r w:rsidRPr="002A2450">
        <w:rPr>
          <w:rFonts w:ascii="ITC Avant Garde" w:eastAsia="Times New Roman" w:hAnsi="ITC Avant Garde"/>
          <w:bCs/>
          <w:color w:val="000000"/>
          <w:lang w:eastAsia="es-MX"/>
        </w:rPr>
        <w:t>del convenio de terminación del contrato de opción</w:t>
      </w:r>
      <w:r w:rsidR="009A614D" w:rsidRPr="002A2450">
        <w:rPr>
          <w:rFonts w:ascii="ITC Avant Garde" w:eastAsia="Times New Roman" w:hAnsi="ITC Avant Garde"/>
          <w:bCs/>
          <w:color w:val="000000"/>
          <w:lang w:eastAsia="es-MX"/>
        </w:rPr>
        <w:t xml:space="preserve"> de compra y venta</w:t>
      </w:r>
      <w:r w:rsidRPr="002A2450">
        <w:rPr>
          <w:rFonts w:ascii="ITC Avant Garde" w:eastAsia="Times New Roman" w:hAnsi="ITC Avant Garde"/>
          <w:bCs/>
          <w:color w:val="000000"/>
          <w:lang w:eastAsia="es-MX"/>
        </w:rPr>
        <w:t xml:space="preserve"> y consecuencias.</w:t>
      </w:r>
    </w:p>
    <w:p w14:paraId="665FA559" w14:textId="77777777" w:rsidR="00B35F13" w:rsidRDefault="00F9419F" w:rsidP="00B35F13">
      <w:pPr>
        <w:pStyle w:val="Prrafodelista"/>
        <w:tabs>
          <w:tab w:val="left" w:pos="993"/>
        </w:tabs>
        <w:spacing w:before="240" w:line="360" w:lineRule="auto"/>
        <w:ind w:left="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Dentro de los contratos señalados, se establece entre otras obligaciones las siguientes:</w:t>
      </w:r>
    </w:p>
    <w:p w14:paraId="718BF08A" w14:textId="77777777" w:rsidR="00B35F13" w:rsidRDefault="00F9419F" w:rsidP="007E623E">
      <w:pPr>
        <w:pStyle w:val="Prrafodelista"/>
        <w:numPr>
          <w:ilvl w:val="1"/>
          <w:numId w:val="19"/>
        </w:numPr>
        <w:tabs>
          <w:tab w:val="left" w:pos="1134"/>
        </w:tabs>
        <w:spacing w:before="240" w:line="360" w:lineRule="auto"/>
        <w:ind w:left="1134" w:hanging="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La suscripción entre </w:t>
      </w:r>
      <w:r w:rsidRPr="002A2450">
        <w:rPr>
          <w:rFonts w:ascii="ITC Avant Garde" w:eastAsia="Times New Roman" w:hAnsi="ITC Avant Garde"/>
          <w:bCs/>
          <w:i/>
          <w:color w:val="000000"/>
          <w:lang w:eastAsia="es-MX"/>
        </w:rPr>
        <w:t>Grupo MVS</w:t>
      </w:r>
      <w:r w:rsidRPr="002A2450">
        <w:t xml:space="preserve"> </w:t>
      </w:r>
      <w:r w:rsidRPr="002A2450">
        <w:rPr>
          <w:rFonts w:ascii="ITC Avant Garde" w:eastAsia="Times New Roman" w:hAnsi="ITC Avant Garde"/>
          <w:bCs/>
          <w:color w:val="000000"/>
          <w:lang w:eastAsia="es-MX"/>
        </w:rPr>
        <w:t xml:space="preserve">de un contrato de operación, a través del cual, diversas empresas de ese grupo </w:t>
      </w:r>
      <w:r w:rsidR="00452EE5" w:rsidRPr="002A2450">
        <w:rPr>
          <w:rFonts w:ascii="ITC Avant Garde" w:eastAsia="Times New Roman" w:hAnsi="ITC Avant Garde"/>
          <w:bCs/>
          <w:color w:val="000000"/>
          <w:lang w:eastAsia="es-MX"/>
        </w:rPr>
        <w:t xml:space="preserve">suscribieron </w:t>
      </w:r>
      <w:r w:rsidRPr="002A2450">
        <w:rPr>
          <w:rFonts w:ascii="ITC Avant Garde" w:eastAsia="Times New Roman" w:hAnsi="ITC Avant Garde"/>
          <w:bCs/>
          <w:color w:val="000000"/>
          <w:lang w:eastAsia="es-MX"/>
        </w:rPr>
        <w:t xml:space="preserve">una serie de convenios con el objeto de dotar a </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de los insumos necesarios para la prestación del servicio </w:t>
      </w:r>
      <w:r w:rsidRPr="002A2450">
        <w:rPr>
          <w:rFonts w:ascii="ITC Avant Garde" w:eastAsia="Times New Roman" w:hAnsi="ITC Avant Garde"/>
          <w:b/>
          <w:bCs/>
          <w:color w:val="000000"/>
          <w:lang w:eastAsia="es-MX"/>
        </w:rPr>
        <w:t>“D</w:t>
      </w:r>
      <w:r w:rsidR="00B61711" w:rsidRPr="002A2450">
        <w:rPr>
          <w:rFonts w:ascii="ITC Avant Garde" w:eastAsia="Times New Roman" w:hAnsi="ITC Avant Garde"/>
          <w:b/>
          <w:bCs/>
          <w:color w:val="000000"/>
          <w:lang w:eastAsia="es-MX"/>
        </w:rPr>
        <w:t>T</w:t>
      </w:r>
      <w:r w:rsidRPr="002A2450">
        <w:rPr>
          <w:rFonts w:ascii="ITC Avant Garde" w:eastAsia="Times New Roman" w:hAnsi="ITC Avant Garde"/>
          <w:b/>
          <w:bCs/>
          <w:color w:val="000000"/>
          <w:lang w:eastAsia="es-MX"/>
        </w:rPr>
        <w:t>H”</w:t>
      </w:r>
      <w:r w:rsidRPr="002A2450">
        <w:rPr>
          <w:rFonts w:ascii="ITC Avant Garde" w:eastAsia="Times New Roman" w:hAnsi="ITC Avant Garde"/>
          <w:bCs/>
          <w:color w:val="000000"/>
          <w:lang w:eastAsia="es-MX"/>
        </w:rPr>
        <w:t xml:space="preserve"> en México.</w:t>
      </w:r>
    </w:p>
    <w:p w14:paraId="56FD491D" w14:textId="77777777" w:rsidR="00A80E02" w:rsidRDefault="00F9419F" w:rsidP="007E623E">
      <w:pPr>
        <w:pStyle w:val="Prrafodelista"/>
        <w:numPr>
          <w:ilvl w:val="1"/>
          <w:numId w:val="19"/>
        </w:numPr>
        <w:tabs>
          <w:tab w:val="left" w:pos="1134"/>
        </w:tabs>
        <w:spacing w:before="240" w:line="360" w:lineRule="auto"/>
        <w:ind w:left="1134" w:hanging="567"/>
        <w:jc w:val="both"/>
        <w:rPr>
          <w:rFonts w:ascii="ITC Avant Garde" w:eastAsia="Times New Roman" w:hAnsi="ITC Avant Garde"/>
          <w:bCs/>
          <w:color w:val="000000"/>
          <w:lang w:eastAsia="es-MX"/>
        </w:rPr>
        <w:sectPr w:rsidR="00A80E02" w:rsidSect="009F3771">
          <w:headerReference w:type="default" r:id="rId72"/>
          <w:pgSz w:w="12240" w:h="15840"/>
          <w:pgMar w:top="1985" w:right="1701" w:bottom="1418" w:left="1701" w:header="709" w:footer="709" w:gutter="0"/>
          <w:cols w:space="708"/>
          <w:docGrid w:linePitch="360"/>
        </w:sectPr>
      </w:pPr>
      <w:r w:rsidRPr="002A2450">
        <w:rPr>
          <w:rFonts w:ascii="ITC Avant Garde" w:eastAsia="Times New Roman" w:hAnsi="ITC Avant Garde"/>
          <w:bCs/>
          <w:color w:val="000000"/>
          <w:lang w:eastAsia="es-MX"/>
        </w:rPr>
        <w:t xml:space="preserve">Derivado del contrato de operación y de manera simultánea se negoció con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una </w:t>
      </w:r>
      <w:r w:rsidRPr="002A2450">
        <w:rPr>
          <w:rFonts w:ascii="ITC Avant Garde" w:eastAsia="Times New Roman" w:hAnsi="ITC Avant Garde"/>
          <w:bCs/>
          <w:i/>
          <w:color w:val="000000"/>
          <w:lang w:eastAsia="es-MX"/>
        </w:rPr>
        <w:t xml:space="preserve">Alianza Estratégica </w:t>
      </w:r>
      <w:r w:rsidRPr="002A2450">
        <w:rPr>
          <w:rFonts w:ascii="ITC Avant Garde" w:eastAsia="Times New Roman" w:hAnsi="ITC Avant Garde"/>
          <w:bCs/>
          <w:color w:val="000000"/>
          <w:lang w:eastAsia="es-MX"/>
        </w:rPr>
        <w:t xml:space="preserve">consistente en delegar a dicha empresa </w:t>
      </w:r>
      <w:r w:rsidR="003765EC" w:rsidRPr="002A2450">
        <w:rPr>
          <w:rFonts w:ascii="ITC Avant Garde" w:eastAsia="Times New Roman" w:hAnsi="ITC Avant Garde"/>
          <w:bCs/>
          <w:color w:val="000000"/>
          <w:lang w:eastAsia="es-MX"/>
        </w:rPr>
        <w:t xml:space="preserve">un conjunto de actividades operacionales </w:t>
      </w:r>
      <w:r w:rsidR="00452EE5" w:rsidRPr="002A2450">
        <w:rPr>
          <w:rFonts w:ascii="ITC Avant Garde" w:eastAsia="Times New Roman" w:hAnsi="ITC Avant Garde"/>
          <w:bCs/>
          <w:color w:val="000000"/>
          <w:lang w:eastAsia="es-MX"/>
        </w:rPr>
        <w:t xml:space="preserve">que incidían en </w:t>
      </w:r>
      <w:r w:rsidR="003765EC" w:rsidRPr="002A2450">
        <w:rPr>
          <w:rFonts w:ascii="ITC Avant Garde" w:eastAsia="Times New Roman" w:hAnsi="ITC Avant Garde"/>
          <w:bCs/>
          <w:color w:val="000000"/>
          <w:lang w:eastAsia="es-MX"/>
        </w:rPr>
        <w:t xml:space="preserve">la </w:t>
      </w:r>
    </w:p>
    <w:p w14:paraId="7B0BB413" w14:textId="2955ADE7" w:rsidR="00B35F13" w:rsidRDefault="003765EC" w:rsidP="00A80E02">
      <w:pPr>
        <w:pStyle w:val="Prrafodelista"/>
        <w:tabs>
          <w:tab w:val="left" w:pos="1134"/>
        </w:tabs>
        <w:spacing w:before="240" w:line="360" w:lineRule="auto"/>
        <w:ind w:left="1134"/>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 xml:space="preserve">prestación del servicio </w:t>
      </w:r>
      <w:r w:rsidRPr="002A2450">
        <w:rPr>
          <w:rFonts w:ascii="ITC Avant Garde" w:eastAsia="Times New Roman" w:hAnsi="ITC Avant Garde"/>
          <w:b/>
          <w:bCs/>
          <w:color w:val="000000"/>
          <w:lang w:eastAsia="es-MX"/>
        </w:rPr>
        <w:t>“D</w:t>
      </w:r>
      <w:r w:rsidR="00B61711" w:rsidRPr="002A2450">
        <w:rPr>
          <w:rFonts w:ascii="ITC Avant Garde" w:eastAsia="Times New Roman" w:hAnsi="ITC Avant Garde"/>
          <w:b/>
          <w:bCs/>
          <w:color w:val="000000"/>
          <w:lang w:eastAsia="es-MX"/>
        </w:rPr>
        <w:t>T</w:t>
      </w:r>
      <w:r w:rsidRPr="002A2450">
        <w:rPr>
          <w:rFonts w:ascii="ITC Avant Garde" w:eastAsia="Times New Roman" w:hAnsi="ITC Avant Garde"/>
          <w:b/>
          <w:bCs/>
          <w:color w:val="000000"/>
          <w:lang w:eastAsia="es-MX"/>
        </w:rPr>
        <w:t>H”</w:t>
      </w:r>
      <w:r w:rsidRPr="002A2450">
        <w:rPr>
          <w:rFonts w:ascii="ITC Avant Garde" w:eastAsia="Times New Roman" w:hAnsi="ITC Avant Garde"/>
          <w:bCs/>
          <w:color w:val="000000"/>
          <w:lang w:eastAsia="es-MX"/>
        </w:rPr>
        <w:t xml:space="preserve"> en México sujeto a un plazo cierto, </w:t>
      </w:r>
      <w:r w:rsidR="00EB2012" w:rsidRPr="002A2450">
        <w:rPr>
          <w:rFonts w:ascii="ITC Avant Garde" w:eastAsia="Times New Roman" w:hAnsi="ITC Avant Garde"/>
          <w:bCs/>
          <w:color w:val="000000"/>
          <w:lang w:eastAsia="es-MX"/>
        </w:rPr>
        <w:t xml:space="preserve">con </w:t>
      </w:r>
      <w:r w:rsidRPr="002A2450">
        <w:rPr>
          <w:rFonts w:ascii="ITC Avant Garde" w:eastAsia="Times New Roman" w:hAnsi="ITC Avant Garde"/>
          <w:bCs/>
          <w:color w:val="000000"/>
          <w:lang w:eastAsia="es-MX"/>
        </w:rPr>
        <w:t xml:space="preserve">la posibilidad de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pudiera suscribir el 51% de las acciones de </w:t>
      </w:r>
      <w:r w:rsidRPr="002A2450">
        <w:rPr>
          <w:rFonts w:ascii="ITC Avant Garde" w:eastAsia="Times New Roman" w:hAnsi="ITC Avant Garde"/>
          <w:b/>
          <w:bCs/>
          <w:color w:val="000000"/>
          <w:lang w:eastAsia="es-MX"/>
        </w:rPr>
        <w:t>“DISH MÉXICO”</w:t>
      </w:r>
      <w:r w:rsidRPr="002A2450">
        <w:rPr>
          <w:rFonts w:ascii="ITC Avant Garde" w:eastAsia="Times New Roman" w:hAnsi="ITC Avant Garde"/>
          <w:bCs/>
          <w:color w:val="000000"/>
          <w:lang w:eastAsia="es-MX"/>
        </w:rPr>
        <w:t xml:space="preserve"> quien es propietaria de </w:t>
      </w:r>
      <w:r w:rsidRPr="002A2450">
        <w:rPr>
          <w:rFonts w:ascii="ITC Avant Garde" w:eastAsia="Times New Roman" w:hAnsi="ITC Avant Garde"/>
          <w:b/>
          <w:bCs/>
          <w:color w:val="000000"/>
          <w:lang w:eastAsia="es-MX"/>
        </w:rPr>
        <w:t>“COFRESA”</w:t>
      </w:r>
      <w:r w:rsidR="00360832" w:rsidRPr="002A2450">
        <w:rPr>
          <w:rFonts w:ascii="ITC Avant Garde" w:eastAsia="Times New Roman" w:hAnsi="ITC Avant Garde"/>
          <w:b/>
          <w:bCs/>
          <w:color w:val="000000"/>
          <w:lang w:eastAsia="es-MX"/>
        </w:rPr>
        <w:t xml:space="preserve">, </w:t>
      </w:r>
      <w:r w:rsidR="00360832" w:rsidRPr="002A2450">
        <w:rPr>
          <w:rFonts w:ascii="ITC Avant Garde" w:eastAsia="Times New Roman" w:hAnsi="ITC Avant Garde"/>
          <w:bCs/>
          <w:color w:val="000000"/>
          <w:lang w:eastAsia="es-MX"/>
        </w:rPr>
        <w:t>cuya opción fue potencial hasta en tanto se suscribió el Convenio de Terminación de</w:t>
      </w:r>
      <w:r w:rsidR="00544C25" w:rsidRPr="002A2450">
        <w:rPr>
          <w:rFonts w:ascii="ITC Avant Garde" w:eastAsia="Times New Roman" w:hAnsi="ITC Avant Garde"/>
          <w:bCs/>
          <w:color w:val="000000"/>
          <w:lang w:eastAsia="es-MX"/>
        </w:rPr>
        <w:t>l</w:t>
      </w:r>
      <w:r w:rsidR="00360832" w:rsidRPr="002A2450">
        <w:rPr>
          <w:rFonts w:ascii="ITC Avant Garde" w:eastAsia="Times New Roman" w:hAnsi="ITC Avant Garde"/>
          <w:bCs/>
          <w:color w:val="000000"/>
          <w:lang w:eastAsia="es-MX"/>
        </w:rPr>
        <w:t xml:space="preserve"> ocho de agosto de dos mil catorce</w:t>
      </w:r>
      <w:r w:rsidRPr="002A2450">
        <w:rPr>
          <w:rFonts w:ascii="ITC Avant Garde" w:eastAsia="Times New Roman" w:hAnsi="ITC Avant Garde"/>
          <w:b/>
          <w:bCs/>
          <w:color w:val="000000"/>
          <w:lang w:eastAsia="es-MX"/>
        </w:rPr>
        <w:t>.</w:t>
      </w:r>
    </w:p>
    <w:p w14:paraId="562B65D5" w14:textId="77777777" w:rsidR="00B35F13" w:rsidRDefault="003765EC" w:rsidP="007E623E">
      <w:pPr>
        <w:pStyle w:val="Prrafodelista"/>
        <w:numPr>
          <w:ilvl w:val="1"/>
          <w:numId w:val="19"/>
        </w:numPr>
        <w:tabs>
          <w:tab w:val="left" w:pos="1134"/>
        </w:tabs>
        <w:spacing w:before="240" w:line="360" w:lineRule="auto"/>
        <w:ind w:left="1134" w:hanging="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Dentro de los contratos celebrados por </w:t>
      </w:r>
      <w:r w:rsidRPr="002A2450">
        <w:rPr>
          <w:rFonts w:ascii="ITC Avant Garde" w:eastAsia="Times New Roman" w:hAnsi="ITC Avant Garde"/>
          <w:b/>
          <w:bCs/>
          <w:color w:val="000000"/>
          <w:lang w:eastAsia="es-MX"/>
        </w:rPr>
        <w:t>“TELMEX”</w:t>
      </w:r>
      <w:r w:rsidR="008F718E" w:rsidRPr="009E34A4">
        <w:rPr>
          <w:rFonts w:ascii="ITC Avant Garde" w:eastAsia="Times New Roman" w:hAnsi="ITC Avant Garde"/>
          <w:b/>
          <w:bCs/>
          <w:color w:val="C00000"/>
          <w:lang w:eastAsia="es-MX"/>
        </w:rPr>
        <w:t xml:space="preserve"> </w:t>
      </w:r>
      <w:r w:rsidRPr="002A2450">
        <w:rPr>
          <w:rFonts w:ascii="ITC Avant Garde" w:eastAsia="Times New Roman" w:hAnsi="ITC Avant Garde"/>
          <w:bCs/>
          <w:color w:val="000000"/>
          <w:lang w:eastAsia="es-MX"/>
        </w:rPr>
        <w:t>se observan las siguientes obligaciones:</w:t>
      </w:r>
    </w:p>
    <w:p w14:paraId="3FA695F9" w14:textId="77777777" w:rsidR="00A80E02" w:rsidRDefault="003765EC"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Distribución</w:t>
      </w:r>
    </w:p>
    <w:p w14:paraId="2ED21625" w14:textId="6FD068E9"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6E35A988" w14:textId="77777777" w:rsidR="00B35F13" w:rsidRDefault="00954F9F"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Prestación de servicios</w:t>
      </w:r>
    </w:p>
    <w:p w14:paraId="2446E663" w14:textId="6DB2274D"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7CAD0504" w14:textId="77777777" w:rsidR="00B35F13" w:rsidRDefault="00954F9F"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Arrendamiento</w:t>
      </w:r>
    </w:p>
    <w:p w14:paraId="4CBE7E94" w14:textId="56AC8B68"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r w:rsidRPr="0004375E">
        <w:rPr>
          <w:rFonts w:ascii="ITC Avant Garde" w:hAnsi="ITC Avant Garde"/>
          <w:b/>
          <w:i/>
        </w:rPr>
        <w:t xml:space="preserve"> </w:t>
      </w:r>
    </w:p>
    <w:p w14:paraId="2928FC60" w14:textId="14A6595A" w:rsidR="00CE699E" w:rsidRPr="002A2450" w:rsidRDefault="00CE699E"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Opción de compra y venta </w:t>
      </w:r>
    </w:p>
    <w:p w14:paraId="0F5C320C" w14:textId="5175A228"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03A9B327" w14:textId="77777777" w:rsidR="00B35F13" w:rsidRDefault="00A3393B"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Consecuencias</w:t>
      </w:r>
    </w:p>
    <w:p w14:paraId="675BBBF3" w14:textId="6C46D229"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3296A6E3" w14:textId="77777777" w:rsidR="00B35F13" w:rsidRDefault="0004271E"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Contrato de operación</w:t>
      </w:r>
    </w:p>
    <w:p w14:paraId="3BAA1558" w14:textId="3A1CFB36" w:rsidR="00B35F13" w:rsidRPr="0004375E" w:rsidRDefault="004405CE" w:rsidP="00022192">
      <w:pPr>
        <w:spacing w:before="240" w:line="360" w:lineRule="auto"/>
        <w:ind w:left="1276" w:right="567" w:hanging="142"/>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5DE237CE" w14:textId="588D3153" w:rsidR="009910C8" w:rsidRPr="002A2450" w:rsidRDefault="009910C8" w:rsidP="00022192">
      <w:pPr>
        <w:pStyle w:val="Prrafodelista"/>
        <w:tabs>
          <w:tab w:val="left" w:pos="993"/>
        </w:tabs>
        <w:spacing w:before="240" w:line="360" w:lineRule="auto"/>
        <w:ind w:left="1440" w:hanging="1156"/>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Convenio de Terminación</w:t>
      </w:r>
    </w:p>
    <w:p w14:paraId="64CF06B5" w14:textId="6A74849E" w:rsidR="00B35F13" w:rsidRPr="00A80E02" w:rsidRDefault="00961B52" w:rsidP="00A80E02">
      <w:pPr>
        <w:numPr>
          <w:ilvl w:val="0"/>
          <w:numId w:val="47"/>
        </w:numPr>
        <w:autoSpaceDE w:val="0"/>
        <w:autoSpaceDN w:val="0"/>
        <w:adjustRightInd w:val="0"/>
        <w:spacing w:before="240" w:line="360" w:lineRule="auto"/>
        <w:ind w:right="567"/>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lastRenderedPageBreak/>
        <w:t>Se celebró el día 8 de agosto de 2014 y, a partir</w:t>
      </w:r>
      <w:r w:rsidR="009910C8" w:rsidRPr="002A2450">
        <w:rPr>
          <w:rFonts w:ascii="ITC Avant Garde" w:eastAsia="Times New Roman" w:hAnsi="ITC Avant Garde"/>
          <w:bCs/>
          <w:color w:val="000000"/>
          <w:lang w:eastAsia="es-MX"/>
        </w:rPr>
        <w:t xml:space="preserve"> de </w:t>
      </w:r>
      <w:r w:rsidRPr="002A2450">
        <w:rPr>
          <w:rFonts w:ascii="ITC Avant Garde" w:eastAsia="Times New Roman" w:hAnsi="ITC Avant Garde"/>
          <w:bCs/>
          <w:color w:val="000000"/>
          <w:lang w:eastAsia="es-MX"/>
        </w:rPr>
        <w:t xml:space="preserve">esta </w:t>
      </w:r>
      <w:r w:rsidR="009910C8" w:rsidRPr="002A2450">
        <w:rPr>
          <w:rFonts w:ascii="ITC Avant Garde" w:eastAsia="Times New Roman" w:hAnsi="ITC Avant Garde"/>
          <w:bCs/>
          <w:color w:val="000000"/>
          <w:lang w:eastAsia="es-MX"/>
        </w:rPr>
        <w:t>fecha</w:t>
      </w:r>
      <w:r w:rsidRPr="002A2450">
        <w:rPr>
          <w:rFonts w:ascii="ITC Avant Garde" w:eastAsia="Times New Roman" w:hAnsi="ITC Avant Garde"/>
          <w:bCs/>
          <w:color w:val="000000"/>
          <w:lang w:eastAsia="es-MX"/>
        </w:rPr>
        <w:t xml:space="preserve">: (i) </w:t>
      </w:r>
      <w:r w:rsidR="009910C8" w:rsidRPr="002A2450">
        <w:rPr>
          <w:rFonts w:ascii="ITC Avant Garde" w:eastAsia="Times New Roman" w:hAnsi="ITC Avant Garde"/>
          <w:bCs/>
          <w:color w:val="000000"/>
          <w:lang w:eastAsia="es-MX"/>
        </w:rPr>
        <w:t>el Contrato de Opción y el Contrato de Consecuencias se dan por terminados; en el entendido, sin embargo, que las obligaciones de confidencialidad establecidas en el Contrato de Opción y el Contrato de Consecuencias p</w:t>
      </w:r>
      <w:r w:rsidRPr="002A2450">
        <w:rPr>
          <w:rFonts w:ascii="ITC Avant Garde" w:eastAsia="Times New Roman" w:hAnsi="ITC Avant Garde"/>
          <w:bCs/>
          <w:color w:val="000000"/>
          <w:lang w:eastAsia="es-MX"/>
        </w:rPr>
        <w:t xml:space="preserve">revalecerán a dicha terminación; y </w:t>
      </w:r>
      <w:r w:rsidR="009910C8" w:rsidRPr="002A2450">
        <w:rPr>
          <w:rFonts w:ascii="ITC Avant Garde" w:eastAsia="Times New Roman" w:hAnsi="ITC Avant Garde"/>
          <w:bCs/>
          <w:color w:val="000000"/>
          <w:lang w:eastAsia="es-MX"/>
        </w:rPr>
        <w:t xml:space="preserve">las Partes reconocen y acuerdan que el Contrato de </w:t>
      </w:r>
      <w:r w:rsidR="009910C8" w:rsidRPr="00A80E02">
        <w:rPr>
          <w:rFonts w:ascii="ITC Avant Garde" w:eastAsia="Times New Roman" w:hAnsi="ITC Avant Garde"/>
          <w:bCs/>
          <w:color w:val="000000"/>
          <w:lang w:eastAsia="es-MX"/>
        </w:rPr>
        <w:t>Servicios, el Contrato de Distribución y el Contrato de Arrendamiento continuarán en pleno vigor y</w:t>
      </w:r>
      <w:r w:rsidRPr="00A80E02">
        <w:rPr>
          <w:rFonts w:ascii="ITC Avant Garde" w:eastAsia="Times New Roman" w:hAnsi="ITC Avant Garde"/>
          <w:bCs/>
          <w:color w:val="000000"/>
          <w:lang w:eastAsia="es-MX"/>
        </w:rPr>
        <w:t xml:space="preserve"> surtiendo efectos.</w:t>
      </w:r>
    </w:p>
    <w:p w14:paraId="33284D6A" w14:textId="5E96CA24" w:rsidR="00B35F13" w:rsidRPr="0004375E" w:rsidRDefault="004405CE"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23081AE5" w14:textId="0C18EC27" w:rsidR="00B35F13" w:rsidRDefault="000446D0"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Con base en lo anterior, se puede llegar a las siguientes conclusiones:</w:t>
      </w:r>
    </w:p>
    <w:p w14:paraId="5A4CD9AD" w14:textId="77777777" w:rsidR="00B35F13" w:rsidRDefault="002F6E1B"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Existe</w:t>
      </w:r>
      <w:r w:rsidR="008A0116">
        <w:rPr>
          <w:rFonts w:ascii="ITC Avant Garde" w:eastAsia="Times New Roman" w:hAnsi="ITC Avant Garde"/>
          <w:bCs/>
          <w:color w:val="000000"/>
          <w:lang w:eastAsia="es-MX"/>
        </w:rPr>
        <w:t xml:space="preserve">n tesis emitidas por el Poder Judicial que precisan que dentro del </w:t>
      </w:r>
      <w:r w:rsidRPr="002A2450">
        <w:rPr>
          <w:rFonts w:ascii="ITC Avant Garde" w:eastAsia="Times New Roman" w:hAnsi="ITC Avant Garde"/>
          <w:bCs/>
          <w:color w:val="000000"/>
          <w:lang w:eastAsia="es-MX"/>
        </w:rPr>
        <w:t>sistema jurídico mexicano</w:t>
      </w:r>
      <w:r w:rsidR="008A0116">
        <w:rPr>
          <w:rFonts w:ascii="ITC Avant Garde" w:eastAsia="Times New Roman" w:hAnsi="ITC Avant Garde"/>
          <w:bCs/>
          <w:color w:val="000000"/>
          <w:lang w:eastAsia="es-MX"/>
        </w:rPr>
        <w:t xml:space="preserve"> existe un reconocimiento </w:t>
      </w:r>
      <w:r w:rsidRPr="002A2450">
        <w:rPr>
          <w:rFonts w:ascii="ITC Avant Garde" w:eastAsia="Times New Roman" w:hAnsi="ITC Avant Garde"/>
          <w:bCs/>
          <w:color w:val="000000"/>
          <w:lang w:eastAsia="es-MX"/>
        </w:rPr>
        <w:t xml:space="preserve"> de la existencia de contratos coaligados que implica la aceptación de la interdependencia de los mismos, motivados por el interés común de sus participantes.</w:t>
      </w:r>
    </w:p>
    <w:p w14:paraId="46BBB79D" w14:textId="52A59ECB" w:rsidR="00B35F13" w:rsidRPr="00022192" w:rsidRDefault="002379A4" w:rsidP="00B35F13">
      <w:pPr>
        <w:spacing w:before="240" w:line="360" w:lineRule="auto"/>
        <w:jc w:val="both"/>
        <w:rPr>
          <w:rFonts w:ascii="ITC Avant Garde" w:hAnsi="ITC Avant Garde" w:cs="Arial"/>
          <w:color w:val="231F20"/>
        </w:rPr>
      </w:pPr>
      <w:r w:rsidRPr="002A2450">
        <w:rPr>
          <w:rFonts w:ascii="ITC Avant Garde" w:eastAsia="Times New Roman" w:hAnsi="ITC Avant Garde"/>
          <w:bCs/>
          <w:color w:val="000000"/>
          <w:lang w:eastAsia="es-MX"/>
        </w:rPr>
        <w:t xml:space="preserve">Ahora bien, el análisis de los contratos coaligados </w:t>
      </w:r>
      <w:r w:rsidR="00DC1559" w:rsidRPr="002A2450">
        <w:rPr>
          <w:rFonts w:ascii="ITC Avant Garde" w:eastAsia="Times New Roman" w:hAnsi="ITC Avant Garde"/>
          <w:bCs/>
          <w:color w:val="000000"/>
          <w:lang w:eastAsia="es-MX"/>
        </w:rPr>
        <w:t xml:space="preserve">debe realizarse a la luz de un método sistémico de los mismos, ya que efectivamente, </w:t>
      </w:r>
      <w:r w:rsidR="00975E8E" w:rsidRPr="002A2450">
        <w:rPr>
          <w:rFonts w:ascii="ITC Avant Garde" w:eastAsia="Times New Roman" w:hAnsi="ITC Avant Garde"/>
          <w:bCs/>
          <w:color w:val="000000"/>
          <w:lang w:eastAsia="es-MX"/>
        </w:rPr>
        <w:t xml:space="preserve">dichos contratos </w:t>
      </w:r>
      <w:r w:rsidR="00DC1559" w:rsidRPr="002A2450">
        <w:rPr>
          <w:rFonts w:ascii="ITC Avant Garde" w:eastAsia="Times New Roman" w:hAnsi="ITC Avant Garde"/>
          <w:bCs/>
          <w:color w:val="000000"/>
          <w:lang w:eastAsia="es-MX"/>
        </w:rPr>
        <w:t xml:space="preserve">no corresponden a los mecanismos que </w:t>
      </w:r>
      <w:r w:rsidR="007544B5" w:rsidRPr="002A2450">
        <w:rPr>
          <w:rFonts w:ascii="ITC Avant Garde" w:eastAsia="Times New Roman" w:hAnsi="ITC Avant Garde"/>
          <w:bCs/>
          <w:color w:val="000000"/>
          <w:lang w:eastAsia="es-MX"/>
        </w:rPr>
        <w:t xml:space="preserve">normalmente se analizan </w:t>
      </w:r>
      <w:r w:rsidR="00DC1559" w:rsidRPr="002A2450">
        <w:rPr>
          <w:rFonts w:ascii="ITC Avant Garde" w:eastAsia="Times New Roman" w:hAnsi="ITC Avant Garde"/>
          <w:bCs/>
          <w:color w:val="000000"/>
          <w:lang w:eastAsia="es-MX"/>
        </w:rPr>
        <w:t>en el derecho de competencia (</w:t>
      </w:r>
      <w:r w:rsidR="00DC1559" w:rsidRPr="002A2450">
        <w:rPr>
          <w:rFonts w:ascii="ITC Avant Garde" w:eastAsia="Times New Roman" w:hAnsi="ITC Avant Garde"/>
          <w:bCs/>
          <w:i/>
          <w:color w:val="000000"/>
          <w:lang w:eastAsia="es-MX"/>
        </w:rPr>
        <w:t>concentración</w:t>
      </w:r>
      <w:r w:rsidR="00975E8E" w:rsidRPr="002A2450">
        <w:rPr>
          <w:rFonts w:ascii="ITC Avant Garde" w:eastAsia="Times New Roman" w:hAnsi="ITC Avant Garde"/>
          <w:bCs/>
          <w:i/>
          <w:color w:val="000000"/>
          <w:lang w:eastAsia="es-MX"/>
        </w:rPr>
        <w:t>)</w:t>
      </w:r>
      <w:r w:rsidR="00975E8E" w:rsidRPr="002A2450">
        <w:rPr>
          <w:rFonts w:ascii="ITC Avant Garde" w:eastAsia="Times New Roman" w:hAnsi="ITC Avant Garde"/>
          <w:bCs/>
          <w:color w:val="000000"/>
          <w:lang w:eastAsia="es-MX"/>
        </w:rPr>
        <w:t xml:space="preserve"> ni en el derecho común (bajo el principio de autonomía de los contratos), puesto que como se ha desarrollado en la presente resolución, los contratos coaligados </w:t>
      </w:r>
      <w:r w:rsidR="00F9067C">
        <w:rPr>
          <w:rFonts w:ascii="ITC Avant Garde" w:eastAsia="Times New Roman" w:hAnsi="ITC Avant Garde"/>
          <w:bCs/>
          <w:color w:val="000000"/>
          <w:lang w:eastAsia="es-MX"/>
        </w:rPr>
        <w:t>obedecen</w:t>
      </w:r>
      <w:r w:rsidR="00975E8E" w:rsidRPr="002A2450">
        <w:rPr>
          <w:rFonts w:ascii="ITC Avant Garde" w:eastAsia="Times New Roman" w:hAnsi="ITC Avant Garde"/>
          <w:bCs/>
          <w:color w:val="000000"/>
          <w:lang w:eastAsia="es-MX"/>
        </w:rPr>
        <w:t xml:space="preserve"> a un complejo sistema de modelo de organización contractual que corresponde a la nueva ingeniería societaria, donde no existe un ente jurídico determinado sino un modelo o mecanismo de operación entre diversas sociedades dónde se permite la injerencia de hecho y/o derecho </w:t>
      </w:r>
      <w:r w:rsidR="00BD1967" w:rsidRPr="002A2450">
        <w:rPr>
          <w:rFonts w:ascii="ITC Avant Garde" w:hAnsi="ITC Avant Garde" w:cs="Arial"/>
          <w:color w:val="231F20"/>
        </w:rPr>
        <w:t>para participar o incidir a través de cual</w:t>
      </w:r>
      <w:r w:rsidR="00022192">
        <w:rPr>
          <w:rFonts w:ascii="ITC Avant Garde" w:hAnsi="ITC Avant Garde" w:cs="Arial"/>
          <w:color w:val="231F20"/>
        </w:rPr>
        <w:t xml:space="preserve">quier medio, mecanismo o forma, </w:t>
      </w:r>
      <w:r w:rsidR="00BD1967" w:rsidRPr="002A2450">
        <w:rPr>
          <w:rFonts w:ascii="ITC Avant Garde" w:hAnsi="ITC Avant Garde" w:cs="Arial"/>
          <w:color w:val="231F20"/>
        </w:rPr>
        <w:lastRenderedPageBreak/>
        <w:t>en la operación o los derechos derivados de una concesión otorgada por la autoridad competente</w:t>
      </w:r>
      <w:r w:rsidR="00BD1967" w:rsidRPr="002A2450">
        <w:rPr>
          <w:rFonts w:ascii="ITC Avant Garde" w:eastAsia="Times New Roman" w:hAnsi="ITC Avant Garde"/>
          <w:bCs/>
          <w:color w:val="000000"/>
          <w:lang w:eastAsia="es-MX"/>
        </w:rPr>
        <w:t xml:space="preserve"> a </w:t>
      </w:r>
      <w:r w:rsidR="00BD1967" w:rsidRPr="002A2450">
        <w:rPr>
          <w:rFonts w:ascii="ITC Avant Garde" w:eastAsia="Times New Roman" w:hAnsi="ITC Avant Garde"/>
          <w:b/>
          <w:bCs/>
          <w:color w:val="000000"/>
          <w:lang w:eastAsia="es-MX"/>
        </w:rPr>
        <w:t xml:space="preserve">“COFRESA” </w:t>
      </w:r>
      <w:r w:rsidR="00BD1967" w:rsidRPr="009E34A4">
        <w:rPr>
          <w:rFonts w:ascii="ITC Avant Garde" w:eastAsia="Times New Roman" w:hAnsi="ITC Avant Garde"/>
          <w:bCs/>
          <w:color w:val="000000"/>
          <w:lang w:eastAsia="es-MX"/>
        </w:rPr>
        <w:t xml:space="preserve">por parte de </w:t>
      </w:r>
      <w:r w:rsidR="00BD1967" w:rsidRPr="009E34A4">
        <w:rPr>
          <w:rFonts w:ascii="ITC Avant Garde" w:eastAsia="Times New Roman" w:hAnsi="ITC Avant Garde"/>
          <w:b/>
          <w:bCs/>
          <w:color w:val="000000"/>
          <w:lang w:eastAsia="es-MX"/>
        </w:rPr>
        <w:t>“TELMEX”</w:t>
      </w:r>
      <w:r w:rsidR="00BD1967" w:rsidRPr="002A2450">
        <w:rPr>
          <w:rFonts w:ascii="ITC Avant Garde" w:eastAsia="Times New Roman" w:hAnsi="ITC Avant Garde"/>
          <w:b/>
          <w:bCs/>
          <w:color w:val="000000"/>
          <w:lang w:eastAsia="es-MX"/>
        </w:rPr>
        <w:t>.</w:t>
      </w:r>
    </w:p>
    <w:p w14:paraId="05C41652" w14:textId="77777777" w:rsidR="00B35F13" w:rsidRDefault="00280C17"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ese sentido, los contratos analizados en el presente asunto a saber fueron los contratos de </w:t>
      </w:r>
      <w:r w:rsidRPr="002A2450">
        <w:rPr>
          <w:rFonts w:ascii="ITC Avant Garde" w:eastAsia="Times New Roman" w:hAnsi="ITC Avant Garde"/>
          <w:bCs/>
          <w:i/>
          <w:color w:val="000000"/>
          <w:lang w:eastAsia="es-MX"/>
        </w:rPr>
        <w:t xml:space="preserve">distribución, prestación de servicios, arrendamiento, opción de compra y venta </w:t>
      </w:r>
      <w:r w:rsidRPr="002A2450">
        <w:rPr>
          <w:rFonts w:ascii="ITC Avant Garde" w:eastAsia="Times New Roman" w:hAnsi="ITC Avant Garde"/>
          <w:bCs/>
          <w:color w:val="000000"/>
          <w:lang w:eastAsia="es-MX"/>
        </w:rPr>
        <w:t xml:space="preserve">y </w:t>
      </w:r>
      <w:r w:rsidRPr="002A2450">
        <w:rPr>
          <w:rFonts w:ascii="ITC Avant Garde" w:eastAsia="Times New Roman" w:hAnsi="ITC Avant Garde"/>
          <w:bCs/>
          <w:i/>
          <w:color w:val="000000"/>
          <w:lang w:eastAsia="es-MX"/>
        </w:rPr>
        <w:t>convenio de consecuencias</w:t>
      </w:r>
      <w:r w:rsidRPr="002A2450">
        <w:rPr>
          <w:rFonts w:ascii="ITC Avant Garde" w:eastAsia="Times New Roman" w:hAnsi="ITC Avant Garde"/>
          <w:bCs/>
          <w:color w:val="000000"/>
          <w:lang w:eastAsia="es-MX"/>
        </w:rPr>
        <w:t>.</w:t>
      </w:r>
    </w:p>
    <w:p w14:paraId="5B3D3048" w14:textId="77777777" w:rsidR="00B35F13" w:rsidRDefault="00DC1559"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Los contratos antes señalados, entendidos como un sistema, modelo o mecanismo de obligaciones y derechos respecto de las partes contratantes, permitieron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w:t>
      </w:r>
      <w:r w:rsidR="005C7D47" w:rsidRPr="002A2450">
        <w:rPr>
          <w:rFonts w:ascii="ITC Avant Garde" w:eastAsia="Times New Roman" w:hAnsi="ITC Avant Garde"/>
          <w:bCs/>
          <w:color w:val="000000"/>
          <w:lang w:eastAsia="es-MX"/>
        </w:rPr>
        <w:t xml:space="preserve">tuviera injerencia o influencia decisiva en la toma de decisiones y en la conducción del negocio de la televisión </w:t>
      </w:r>
      <w:r w:rsidR="00544C25" w:rsidRPr="002A2450">
        <w:rPr>
          <w:rFonts w:ascii="ITC Avant Garde" w:eastAsia="Times New Roman" w:hAnsi="ITC Avant Garde"/>
          <w:bCs/>
          <w:color w:val="000000"/>
          <w:lang w:eastAsia="es-MX"/>
        </w:rPr>
        <w:t xml:space="preserve">restringida por plataforma </w:t>
      </w:r>
      <w:r w:rsidR="005C7D47" w:rsidRPr="002A2450">
        <w:rPr>
          <w:rFonts w:ascii="ITC Avant Garde" w:eastAsia="Times New Roman" w:hAnsi="ITC Avant Garde"/>
          <w:bCs/>
          <w:color w:val="000000"/>
          <w:lang w:eastAsia="es-MX"/>
        </w:rPr>
        <w:t xml:space="preserve">satelital en México que presta </w:t>
      </w:r>
      <w:r w:rsidR="005C7D47" w:rsidRPr="002A2450">
        <w:rPr>
          <w:rFonts w:ascii="ITC Avant Garde" w:eastAsia="Times New Roman" w:hAnsi="ITC Avant Garde"/>
          <w:b/>
          <w:bCs/>
          <w:color w:val="000000"/>
          <w:lang w:eastAsia="es-MX"/>
        </w:rPr>
        <w:t xml:space="preserve">“COFRESA” </w:t>
      </w:r>
      <w:r w:rsidR="005C7D47" w:rsidRPr="002A2450">
        <w:rPr>
          <w:rFonts w:ascii="ITC Avant Garde" w:eastAsia="Times New Roman" w:hAnsi="ITC Avant Garde"/>
          <w:bCs/>
          <w:color w:val="000000"/>
          <w:lang w:eastAsia="es-MX"/>
        </w:rPr>
        <w:t xml:space="preserve">y en consecuencia se actualizó una </w:t>
      </w:r>
      <w:r w:rsidR="008F718E" w:rsidRPr="009E34A4">
        <w:rPr>
          <w:rFonts w:ascii="ITC Avant Garde" w:eastAsia="Times New Roman" w:hAnsi="ITC Avant Garde"/>
          <w:bCs/>
          <w:color w:val="000000"/>
          <w:lang w:eastAsia="es-MX"/>
        </w:rPr>
        <w:t>explotación indirecta</w:t>
      </w:r>
      <w:r w:rsidR="008F718E" w:rsidRPr="002A2450">
        <w:rPr>
          <w:rFonts w:ascii="ITC Avant Garde" w:eastAsia="Times New Roman" w:hAnsi="ITC Avant Garde"/>
          <w:bCs/>
          <w:color w:val="C00000"/>
          <w:lang w:eastAsia="es-MX"/>
        </w:rPr>
        <w:t xml:space="preserve"> </w:t>
      </w:r>
      <w:r w:rsidR="005C7D47" w:rsidRPr="002A2450">
        <w:rPr>
          <w:rFonts w:ascii="ITC Avant Garde" w:eastAsia="Times New Roman" w:hAnsi="ITC Avant Garde"/>
          <w:bCs/>
          <w:color w:val="000000"/>
          <w:lang w:eastAsia="es-MX"/>
        </w:rPr>
        <w:t xml:space="preserve">de la </w:t>
      </w:r>
      <w:r w:rsidRPr="002A2450">
        <w:rPr>
          <w:rFonts w:ascii="ITC Avant Garde" w:eastAsia="Times New Roman" w:hAnsi="ITC Avant Garde"/>
          <w:bCs/>
          <w:color w:val="000000"/>
          <w:lang w:eastAsia="es-MX"/>
        </w:rPr>
        <w:t xml:space="preserve">concesión otorgada </w:t>
      </w:r>
      <w:r w:rsidRPr="002A2450">
        <w:rPr>
          <w:rFonts w:ascii="ITC Avant Garde" w:eastAsia="Times New Roman" w:hAnsi="ITC Avant Garde"/>
          <w:b/>
          <w:bCs/>
          <w:color w:val="000000"/>
          <w:lang w:eastAsia="es-MX"/>
        </w:rPr>
        <w:t>“COFRESA”</w:t>
      </w:r>
      <w:r w:rsidRPr="002A2450">
        <w:rPr>
          <w:rFonts w:ascii="ITC Avant Garde" w:eastAsia="Times New Roman" w:hAnsi="ITC Avant Garde"/>
          <w:bCs/>
          <w:color w:val="000000"/>
          <w:lang w:eastAsia="es-MX"/>
        </w:rPr>
        <w:t xml:space="preserve"> para prestar el servicio de televisión </w:t>
      </w:r>
      <w:r w:rsidR="005C7D47" w:rsidRPr="002A2450">
        <w:rPr>
          <w:rFonts w:ascii="ITC Avant Garde" w:eastAsia="Times New Roman" w:hAnsi="ITC Avant Garde"/>
          <w:bCs/>
          <w:color w:val="000000"/>
          <w:lang w:eastAsia="es-MX"/>
        </w:rPr>
        <w:t xml:space="preserve">satelital </w:t>
      </w:r>
      <w:r w:rsidRPr="002A2450">
        <w:rPr>
          <w:rFonts w:ascii="ITC Avant Garde" w:eastAsia="Times New Roman" w:hAnsi="ITC Avant Garde"/>
          <w:bCs/>
          <w:color w:val="000000"/>
          <w:lang w:eastAsia="es-MX"/>
        </w:rPr>
        <w:t xml:space="preserve">al público en el país, en contravención a lo señalado en el </w:t>
      </w:r>
      <w:r w:rsidR="00065AA4" w:rsidRPr="009E34A4">
        <w:rPr>
          <w:rFonts w:ascii="ITC Avant Garde" w:eastAsia="Times New Roman" w:hAnsi="ITC Avant Garde"/>
          <w:b/>
          <w:bCs/>
          <w:color w:val="000000"/>
          <w:lang w:eastAsia="es-MX"/>
        </w:rPr>
        <w:t>Tercer Párrafo</w:t>
      </w:r>
      <w:r w:rsidRPr="002A2450">
        <w:rPr>
          <w:rFonts w:ascii="ITC Avant Garde" w:eastAsia="Times New Roman" w:hAnsi="ITC Avant Garde"/>
          <w:bCs/>
          <w:color w:val="000000"/>
          <w:lang w:eastAsia="es-MX"/>
        </w:rPr>
        <w:t xml:space="preserve"> de la condición 1-9 de </w:t>
      </w:r>
      <w:r w:rsidRPr="002A2450">
        <w:rPr>
          <w:rFonts w:ascii="ITC Avant Garde" w:eastAsia="Times New Roman" w:hAnsi="ITC Avant Garde"/>
          <w:b/>
          <w:bCs/>
          <w:color w:val="000000"/>
          <w:lang w:eastAsia="es-MX"/>
        </w:rPr>
        <w:t xml:space="preserve">“TÍTULO DE CONCESIÓN” </w:t>
      </w:r>
      <w:r w:rsidRPr="002A2450">
        <w:rPr>
          <w:rFonts w:ascii="ITC Avant Garde" w:eastAsia="Times New Roman" w:hAnsi="ITC Avant Garde"/>
          <w:bCs/>
          <w:color w:val="000000"/>
          <w:lang w:eastAsia="es-MX"/>
        </w:rPr>
        <w:t xml:space="preserve">otorgado a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w:t>
      </w:r>
    </w:p>
    <w:p w14:paraId="18446378" w14:textId="77777777" w:rsidR="00B35F13" w:rsidRDefault="00DC1559" w:rsidP="00B35F13">
      <w:pPr>
        <w:spacing w:before="240" w:line="360" w:lineRule="auto"/>
        <w:jc w:val="both"/>
        <w:rPr>
          <w:rFonts w:ascii="ITC Avant Garde" w:hAnsi="ITC Avant Garde" w:cs="Arial"/>
        </w:rPr>
      </w:pPr>
      <w:r w:rsidRPr="002A2450">
        <w:rPr>
          <w:rFonts w:ascii="ITC Avant Garde" w:eastAsia="Times New Roman" w:hAnsi="ITC Avant Garde"/>
          <w:bCs/>
          <w:color w:val="000000"/>
          <w:lang w:eastAsia="es-MX"/>
        </w:rPr>
        <w:t xml:space="preserve">Para lograr lo anterior, las empresas de </w:t>
      </w:r>
      <w:r w:rsidRPr="002A2450">
        <w:rPr>
          <w:rFonts w:ascii="ITC Avant Garde" w:eastAsia="Times New Roman" w:hAnsi="ITC Avant Garde"/>
          <w:bCs/>
          <w:i/>
          <w:color w:val="000000"/>
          <w:lang w:eastAsia="es-MX"/>
        </w:rPr>
        <w:t xml:space="preserve">Grupo MVS </w:t>
      </w:r>
      <w:r w:rsidRPr="002A2450">
        <w:rPr>
          <w:rFonts w:ascii="ITC Avant Garde" w:eastAsia="Times New Roman" w:hAnsi="ITC Avant Garde"/>
          <w:bCs/>
          <w:color w:val="000000"/>
          <w:lang w:eastAsia="es-MX"/>
        </w:rPr>
        <w:t xml:space="preserve">llevaron a cabo una reestructuración de sus empresas </w:t>
      </w:r>
      <w:r w:rsidR="00D52BF9" w:rsidRPr="002A2450">
        <w:rPr>
          <w:rFonts w:ascii="ITC Avant Garde" w:eastAsia="Times New Roman" w:hAnsi="ITC Avant Garde"/>
          <w:bCs/>
          <w:color w:val="000000"/>
          <w:lang w:eastAsia="es-MX"/>
        </w:rPr>
        <w:t xml:space="preserve">y de manera conjunta con </w:t>
      </w:r>
      <w:r w:rsidR="00D52BF9" w:rsidRPr="002A2450">
        <w:rPr>
          <w:rFonts w:ascii="ITC Avant Garde" w:hAnsi="ITC Avant Garde" w:cs="Arial"/>
          <w:b/>
        </w:rPr>
        <w:t xml:space="preserve">“ECHOSTAR CORPORATION” </w:t>
      </w:r>
      <w:r w:rsidR="00961B52" w:rsidRPr="002A2450">
        <w:rPr>
          <w:rFonts w:ascii="ITC Avant Garde" w:hAnsi="ITC Avant Garde" w:cs="Arial"/>
        </w:rPr>
        <w:t>celebraron</w:t>
      </w:r>
      <w:r w:rsidR="00D52BF9" w:rsidRPr="002A2450">
        <w:rPr>
          <w:rFonts w:ascii="ITC Avant Garde" w:hAnsi="ITC Avant Garde" w:cs="Arial"/>
        </w:rPr>
        <w:t xml:space="preserve"> una </w:t>
      </w:r>
      <w:r w:rsidR="00D52BF9" w:rsidRPr="002A2450">
        <w:rPr>
          <w:rFonts w:ascii="ITC Avant Garde" w:hAnsi="ITC Avant Garde" w:cs="Arial"/>
          <w:i/>
        </w:rPr>
        <w:t xml:space="preserve">Alianza Estratégica </w:t>
      </w:r>
      <w:r w:rsidR="00D52BF9" w:rsidRPr="002A2450">
        <w:rPr>
          <w:rFonts w:ascii="ITC Avant Garde" w:hAnsi="ITC Avant Garde" w:cs="Arial"/>
        </w:rPr>
        <w:t xml:space="preserve">con </w:t>
      </w:r>
      <w:r w:rsidR="00D52BF9" w:rsidRPr="002A2450">
        <w:rPr>
          <w:rFonts w:ascii="ITC Avant Garde" w:hAnsi="ITC Avant Garde" w:cs="Arial"/>
          <w:b/>
        </w:rPr>
        <w:t>“TELMEX”</w:t>
      </w:r>
      <w:r w:rsidR="00D52BF9" w:rsidRPr="002A2450">
        <w:rPr>
          <w:rFonts w:ascii="ITC Avant Garde" w:hAnsi="ITC Avant Garde" w:cs="Arial"/>
          <w:b/>
          <w:i/>
        </w:rPr>
        <w:t xml:space="preserve"> </w:t>
      </w:r>
      <w:r w:rsidR="00961B52" w:rsidRPr="002A2450">
        <w:rPr>
          <w:rFonts w:ascii="ITC Avant Garde" w:hAnsi="ITC Avant Garde" w:cs="Arial"/>
          <w:b/>
          <w:i/>
        </w:rPr>
        <w:t xml:space="preserve">a través de "TENINVER" </w:t>
      </w:r>
      <w:r w:rsidR="00D52BF9" w:rsidRPr="002A2450">
        <w:rPr>
          <w:rFonts w:ascii="ITC Avant Garde" w:hAnsi="ITC Avant Garde" w:cs="Arial"/>
        </w:rPr>
        <w:t xml:space="preserve">para prestar el servicio de </w:t>
      </w:r>
      <w:r w:rsidR="00D52BF9" w:rsidRPr="002A2450">
        <w:rPr>
          <w:rFonts w:ascii="ITC Avant Garde" w:hAnsi="ITC Avant Garde" w:cs="Arial"/>
          <w:b/>
        </w:rPr>
        <w:t xml:space="preserve">“DTH” </w:t>
      </w:r>
      <w:r w:rsidR="00D52BF9" w:rsidRPr="002A2450">
        <w:rPr>
          <w:rFonts w:ascii="ITC Avant Garde" w:hAnsi="ITC Avant Garde" w:cs="Arial"/>
        </w:rPr>
        <w:t xml:space="preserve">en México. </w:t>
      </w:r>
    </w:p>
    <w:p w14:paraId="6E420C51" w14:textId="77777777" w:rsidR="00B35F13" w:rsidRDefault="00D52BF9" w:rsidP="00B35F13">
      <w:pPr>
        <w:spacing w:before="240" w:line="360" w:lineRule="auto"/>
        <w:jc w:val="both"/>
        <w:rPr>
          <w:rFonts w:ascii="ITC Avant Garde" w:hAnsi="ITC Avant Garde" w:cs="Arial"/>
        </w:rPr>
      </w:pPr>
      <w:r w:rsidRPr="002A2450">
        <w:rPr>
          <w:rFonts w:ascii="ITC Avant Garde" w:hAnsi="ITC Avant Garde" w:cs="Arial"/>
        </w:rPr>
        <w:t xml:space="preserve">La reestructura anterior, fue realizada al amparo del contrato de operación, dentro del cual se dio cuenta de la existencia de ocho contratos celebrados con el objeto de dotar a </w:t>
      </w:r>
      <w:r w:rsidRPr="002A2450">
        <w:rPr>
          <w:rFonts w:ascii="ITC Avant Garde" w:hAnsi="ITC Avant Garde" w:cs="Arial"/>
          <w:b/>
        </w:rPr>
        <w:t>“DISH MÉXICO”/”COFRESA”</w:t>
      </w:r>
      <w:r w:rsidRPr="002A2450">
        <w:rPr>
          <w:rFonts w:ascii="ITC Avant Garde" w:hAnsi="ITC Avant Garde" w:cs="Arial"/>
        </w:rPr>
        <w:t xml:space="preserve"> de </w:t>
      </w:r>
      <w:r w:rsidR="00961B52" w:rsidRPr="002A2450">
        <w:rPr>
          <w:rFonts w:ascii="ITC Avant Garde" w:hAnsi="ITC Avant Garde" w:cs="Arial"/>
        </w:rPr>
        <w:t>recursos</w:t>
      </w:r>
      <w:r w:rsidRPr="002A2450">
        <w:rPr>
          <w:rFonts w:ascii="ITC Avant Garde" w:hAnsi="ITC Avant Garde" w:cs="Arial"/>
        </w:rPr>
        <w:t xml:space="preserve"> para la prestación del servicio de televisión restringida vía satelital.</w:t>
      </w:r>
    </w:p>
    <w:p w14:paraId="74645582" w14:textId="77777777" w:rsidR="00B35F13" w:rsidRDefault="00D52BF9" w:rsidP="00B35F13">
      <w:pPr>
        <w:spacing w:before="240" w:line="360" w:lineRule="auto"/>
        <w:jc w:val="both"/>
        <w:rPr>
          <w:rFonts w:ascii="ITC Avant Garde" w:hAnsi="ITC Avant Garde" w:cs="Arial"/>
        </w:rPr>
      </w:pPr>
      <w:r w:rsidRPr="002A2450">
        <w:rPr>
          <w:rFonts w:ascii="ITC Avant Garde" w:hAnsi="ITC Avant Garde" w:cs="Arial"/>
        </w:rPr>
        <w:t xml:space="preserve">Estos contratos implicaron: </w:t>
      </w:r>
    </w:p>
    <w:p w14:paraId="0A3ABB01" w14:textId="77777777" w:rsidR="00022192"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sectPr w:rsidR="00022192" w:rsidRPr="0004375E" w:rsidSect="009F3771">
          <w:headerReference w:type="default" r:id="rId73"/>
          <w:pgSz w:w="12240" w:h="15840"/>
          <w:pgMar w:top="1985" w:right="1701" w:bottom="1418" w:left="1701" w:header="709" w:footer="709" w:gutter="0"/>
          <w:cols w:space="708"/>
          <w:docGrid w:linePitch="360"/>
        </w:sectPr>
      </w:pPr>
      <w:r w:rsidRPr="0004375E">
        <w:rPr>
          <w:rFonts w:ascii="ITC Avant Garde" w:eastAsiaTheme="majorEastAsia" w:hAnsi="ITC Avant Garde" w:cstheme="majorBidi"/>
          <w:b/>
          <w:color w:val="0000FF"/>
          <w:szCs w:val="32"/>
        </w:rPr>
        <w:t>“CONFIDENCIAL POR LEY”</w:t>
      </w:r>
    </w:p>
    <w:p w14:paraId="3FCAAE2F" w14:textId="77777777" w:rsidR="00B35F13" w:rsidRDefault="00664BC8" w:rsidP="007E623E">
      <w:pPr>
        <w:pStyle w:val="Prrafodelista"/>
        <w:numPr>
          <w:ilvl w:val="0"/>
          <w:numId w:val="63"/>
        </w:numPr>
        <w:spacing w:before="240" w:line="360" w:lineRule="auto"/>
        <w:jc w:val="both"/>
        <w:rPr>
          <w:rFonts w:ascii="ITC Avant Garde" w:hAnsi="ITC Avant Garde" w:cs="Arial"/>
          <w:b/>
        </w:rPr>
      </w:pPr>
      <w:r w:rsidRPr="002A2450">
        <w:rPr>
          <w:rFonts w:ascii="ITC Avant Garde" w:hAnsi="ITC Avant Garde" w:cs="Arial"/>
        </w:rPr>
        <w:lastRenderedPageBreak/>
        <w:t xml:space="preserve">Ahora bien, con la transformación a </w:t>
      </w:r>
      <w:r w:rsidRPr="002A2450">
        <w:rPr>
          <w:rFonts w:ascii="ITC Avant Garde" w:hAnsi="ITC Avant Garde" w:cs="Arial"/>
          <w:b/>
        </w:rPr>
        <w:t xml:space="preserve">“DISH MÉXICO” </w:t>
      </w:r>
      <w:r w:rsidRPr="002A2450">
        <w:rPr>
          <w:rFonts w:ascii="ITC Avant Garde" w:hAnsi="ITC Avant Garde" w:cs="Arial"/>
        </w:rPr>
        <w:t>se llevaron a cabo una serie de contratos para dotar</w:t>
      </w:r>
      <w:r w:rsidR="000E645E" w:rsidRPr="002A2450">
        <w:rPr>
          <w:rFonts w:ascii="ITC Avant Garde" w:hAnsi="ITC Avant Garde" w:cs="Arial"/>
        </w:rPr>
        <w:t>le</w:t>
      </w:r>
      <w:r w:rsidRPr="002A2450">
        <w:rPr>
          <w:rFonts w:ascii="ITC Avant Garde" w:hAnsi="ITC Avant Garde" w:cs="Arial"/>
        </w:rPr>
        <w:t xml:space="preserve"> </w:t>
      </w:r>
      <w:r w:rsidR="000E645E" w:rsidRPr="002A2450">
        <w:rPr>
          <w:rFonts w:ascii="ITC Avant Garde" w:hAnsi="ITC Avant Garde" w:cs="Arial"/>
        </w:rPr>
        <w:t>de recursos</w:t>
      </w:r>
      <w:r w:rsidRPr="002A2450">
        <w:rPr>
          <w:rFonts w:ascii="ITC Avant Garde" w:hAnsi="ITC Avant Garde" w:cs="Arial"/>
        </w:rPr>
        <w:t xml:space="preserve">, para lo cual se realizó lo siguiente: </w:t>
      </w:r>
    </w:p>
    <w:p w14:paraId="6F1C9D36" w14:textId="13414E4C" w:rsidR="00B35F13"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1412E4DE" w14:textId="77777777" w:rsidR="00B35F13" w:rsidRDefault="00B16758" w:rsidP="00B35F13">
      <w:pPr>
        <w:spacing w:before="240" w:line="360" w:lineRule="auto"/>
        <w:jc w:val="both"/>
        <w:rPr>
          <w:rFonts w:ascii="ITC Avant Garde" w:hAnsi="ITC Avant Garde" w:cs="Arial"/>
        </w:rPr>
      </w:pPr>
      <w:r w:rsidRPr="002A2450">
        <w:rPr>
          <w:rFonts w:ascii="ITC Avant Garde" w:hAnsi="ITC Avant Garde" w:cs="Arial"/>
        </w:rPr>
        <w:t xml:space="preserve">Con lo anterior, </w:t>
      </w:r>
      <w:r w:rsidRPr="002A2450">
        <w:rPr>
          <w:rFonts w:ascii="ITC Avant Garde" w:hAnsi="ITC Avant Garde" w:cs="Arial"/>
          <w:b/>
        </w:rPr>
        <w:t>“COFRESA”</w:t>
      </w:r>
      <w:r w:rsidRPr="002A2450">
        <w:rPr>
          <w:rFonts w:ascii="ITC Avant Garde" w:hAnsi="ITC Avant Garde" w:cs="Arial"/>
        </w:rPr>
        <w:t xml:space="preserve"> contaba con los </w:t>
      </w:r>
      <w:r w:rsidR="000E645E" w:rsidRPr="002A2450">
        <w:rPr>
          <w:rFonts w:ascii="ITC Avant Garde" w:hAnsi="ITC Avant Garde" w:cs="Arial"/>
        </w:rPr>
        <w:t xml:space="preserve">recursos </w:t>
      </w:r>
      <w:r w:rsidRPr="002A2450">
        <w:rPr>
          <w:rFonts w:ascii="ITC Avant Garde" w:hAnsi="ITC Avant Garde" w:cs="Arial"/>
        </w:rPr>
        <w:t xml:space="preserve">suficientes para poder prestar el servicio de televisión restringida </w:t>
      </w:r>
      <w:r w:rsidRPr="002A2450">
        <w:rPr>
          <w:rFonts w:ascii="ITC Avant Garde" w:hAnsi="ITC Avant Garde" w:cs="Arial"/>
          <w:b/>
        </w:rPr>
        <w:t>“DTH”</w:t>
      </w:r>
      <w:r w:rsidRPr="002A2450">
        <w:rPr>
          <w:rFonts w:ascii="ITC Avant Garde" w:hAnsi="ITC Avant Garde" w:cs="Arial"/>
        </w:rPr>
        <w:t xml:space="preserve"> en México.</w:t>
      </w:r>
    </w:p>
    <w:p w14:paraId="1E02E1B5" w14:textId="77777777" w:rsidR="00B35F13" w:rsidRDefault="00105D28" w:rsidP="00B35F13">
      <w:pPr>
        <w:spacing w:before="240" w:line="360" w:lineRule="auto"/>
        <w:jc w:val="both"/>
        <w:rPr>
          <w:rFonts w:ascii="ITC Avant Garde" w:hAnsi="ITC Avant Garde" w:cs="Arial"/>
        </w:rPr>
      </w:pPr>
      <w:r w:rsidRPr="002A2450">
        <w:rPr>
          <w:rFonts w:ascii="ITC Avant Garde" w:hAnsi="ITC Avant Garde" w:cs="Arial"/>
        </w:rPr>
        <w:t xml:space="preserve">Al respecto, resulta necesario precisar que </w:t>
      </w:r>
      <w:r w:rsidRPr="002A2450">
        <w:rPr>
          <w:rFonts w:ascii="ITC Avant Garde" w:hAnsi="ITC Avant Garde"/>
        </w:rPr>
        <w:t xml:space="preserve">el contrato de operación, en la Sección 5.04. Conducción del negocio, </w:t>
      </w:r>
      <w:r w:rsidR="00507B68" w:rsidRPr="002A2450">
        <w:rPr>
          <w:rFonts w:ascii="ITC Avant Garde" w:hAnsi="ITC Avant Garde" w:cs="Arial"/>
          <w:b/>
        </w:rPr>
        <w:t xml:space="preserve">“ECHOSTAR MEXICO”, “GRUPO MVS”, “DISH MÉXICO”, “COFRESA” </w:t>
      </w:r>
      <w:r w:rsidR="00507B68" w:rsidRPr="002A2450">
        <w:rPr>
          <w:rFonts w:ascii="ITC Avant Garde" w:hAnsi="ITC Avant Garde" w:cs="Arial"/>
        </w:rPr>
        <w:t xml:space="preserve">y </w:t>
      </w:r>
      <w:r w:rsidR="00507B68" w:rsidRPr="002A2450">
        <w:rPr>
          <w:rFonts w:ascii="ITC Avant Garde" w:hAnsi="ITC Avant Garde" w:cs="Arial"/>
          <w:b/>
        </w:rPr>
        <w:t xml:space="preserve">“DISH HOLDINGS” </w:t>
      </w:r>
      <w:r w:rsidR="00507B68" w:rsidRPr="002A2450">
        <w:rPr>
          <w:rFonts w:ascii="ITC Avant Garde" w:hAnsi="ITC Avant Garde" w:cs="Arial"/>
        </w:rPr>
        <w:t>establecieron</w:t>
      </w:r>
      <w:r w:rsidRPr="002A2450">
        <w:rPr>
          <w:rFonts w:ascii="ITC Avant Garde" w:hAnsi="ITC Avant Garde"/>
        </w:rPr>
        <w:t xml:space="preserve"> la limitación a modificar documentos constitutivos, transigir respecto de cualquiera de las partes sociales, pagar dividendos, adquirir capital social o activos sobre cualquier línea de negocios, modificar políticas de inversión, gravar cualquier parte social, modificación a las prácticas contables, resolver o comprometerse por cualquier demanda que implique más de </w:t>
      </w:r>
      <w:r w:rsidR="0025146A" w:rsidRPr="0004375E">
        <w:rPr>
          <w:rFonts w:ascii="ITC Avant Garde" w:eastAsiaTheme="majorEastAsia" w:hAnsi="ITC Avant Garde" w:cstheme="majorBidi"/>
          <w:b/>
          <w:color w:val="0000FF"/>
          <w:szCs w:val="32"/>
        </w:rPr>
        <w:t>“CONFIDENCIAL POR LEY”</w:t>
      </w:r>
      <w:r w:rsidRPr="0004375E">
        <w:rPr>
          <w:rFonts w:ascii="ITC Avant Garde" w:hAnsi="ITC Avant Garde"/>
          <w:b/>
        </w:rPr>
        <w:t>,</w:t>
      </w:r>
      <w:r w:rsidRPr="002A2450">
        <w:rPr>
          <w:rFonts w:ascii="ITC Avant Garde" w:hAnsi="ITC Avant Garde"/>
        </w:rPr>
        <w:t xml:space="preserve"> adoptar planes de liquidación o reestructuración, realizar gastos de capital salvo que estén en el plan de negocios y solventar cualquier tipo de i</w:t>
      </w:r>
      <w:r w:rsidR="00507B68" w:rsidRPr="002A2450">
        <w:rPr>
          <w:rFonts w:ascii="ITC Avant Garde" w:hAnsi="ITC Avant Garde"/>
        </w:rPr>
        <w:t xml:space="preserve">mpuesto sin previa autorización, hasta en tanto se ejerciera la opción, lo que implicó un </w:t>
      </w:r>
      <w:r w:rsidR="007544B5" w:rsidRPr="002A2450">
        <w:rPr>
          <w:rFonts w:ascii="ITC Avant Garde" w:hAnsi="ITC Avant Garde"/>
        </w:rPr>
        <w:t xml:space="preserve">control negativo </w:t>
      </w:r>
      <w:r w:rsidR="00507B68" w:rsidRPr="002A2450">
        <w:rPr>
          <w:rFonts w:ascii="ITC Avant Garde" w:hAnsi="ITC Avant Garde"/>
        </w:rPr>
        <w:t xml:space="preserve">por parte de </w:t>
      </w:r>
      <w:r w:rsidR="00507B68" w:rsidRPr="002A2450">
        <w:rPr>
          <w:rFonts w:ascii="ITC Avant Garde" w:hAnsi="ITC Avant Garde"/>
          <w:b/>
        </w:rPr>
        <w:t>“TELMEX”</w:t>
      </w:r>
      <w:r w:rsidR="00507B68" w:rsidRPr="002A2450">
        <w:rPr>
          <w:rFonts w:ascii="ITC Avant Garde" w:hAnsi="ITC Avant Garde"/>
        </w:rPr>
        <w:t xml:space="preserve"> respecto de la organización interna de dichas empresas y sus subsidiarias.</w:t>
      </w:r>
    </w:p>
    <w:p w14:paraId="7113DB0B" w14:textId="77777777" w:rsidR="00B35F13" w:rsidRDefault="00B16758" w:rsidP="00B35F13">
      <w:pPr>
        <w:spacing w:before="240" w:line="360" w:lineRule="auto"/>
        <w:jc w:val="both"/>
        <w:rPr>
          <w:rFonts w:ascii="ITC Avant Garde" w:hAnsi="ITC Avant Garde" w:cs="Arial"/>
          <w:b/>
        </w:rPr>
      </w:pPr>
      <w:r w:rsidRPr="002A2450">
        <w:rPr>
          <w:rFonts w:ascii="ITC Avant Garde" w:hAnsi="ITC Avant Garde" w:cs="Arial"/>
        </w:rPr>
        <w:t xml:space="preserve">No obstante lo anterior, de manera conjunta con los contratos anteriores </w:t>
      </w:r>
      <w:r w:rsidRPr="002A2450">
        <w:rPr>
          <w:rFonts w:ascii="ITC Avant Garde" w:hAnsi="ITC Avant Garde" w:cs="Arial"/>
          <w:b/>
        </w:rPr>
        <w:t>“ECHOSTAR MÉXICO”</w:t>
      </w:r>
      <w:r w:rsidRPr="002A2450">
        <w:rPr>
          <w:rFonts w:ascii="ITC Avant Garde" w:hAnsi="ITC Avant Garde" w:cs="Arial"/>
        </w:rPr>
        <w:t xml:space="preserve"> y </w:t>
      </w:r>
      <w:r w:rsidRPr="002A2450">
        <w:rPr>
          <w:rFonts w:ascii="ITC Avant Garde" w:hAnsi="ITC Avant Garde" w:cs="Arial"/>
          <w:b/>
        </w:rPr>
        <w:t>“GFMTV”</w:t>
      </w:r>
      <w:r w:rsidRPr="002A2450">
        <w:rPr>
          <w:rFonts w:ascii="ITC Avant Garde" w:hAnsi="ITC Avant Garde" w:cs="Arial"/>
        </w:rPr>
        <w:t xml:space="preserve"> acordaron con </w:t>
      </w:r>
      <w:r w:rsidRPr="002A2450">
        <w:rPr>
          <w:rFonts w:ascii="ITC Avant Garde" w:hAnsi="ITC Avant Garde" w:cs="Arial"/>
          <w:b/>
        </w:rPr>
        <w:t>“TELMEX”/”TENINVER”</w:t>
      </w:r>
      <w:r w:rsidRPr="002A2450">
        <w:rPr>
          <w:rFonts w:ascii="ITC Avant Garde" w:hAnsi="ITC Avant Garde" w:cs="Arial"/>
        </w:rPr>
        <w:t xml:space="preserve"> una </w:t>
      </w:r>
      <w:r w:rsidRPr="002A2450">
        <w:rPr>
          <w:rFonts w:ascii="ITC Avant Garde" w:hAnsi="ITC Avant Garde" w:cs="Arial"/>
          <w:i/>
        </w:rPr>
        <w:t>Alianza Estratégica</w:t>
      </w:r>
      <w:r w:rsidRPr="002A2450">
        <w:rPr>
          <w:rFonts w:ascii="ITC Avant Garde" w:hAnsi="ITC Avant Garde" w:cs="Arial"/>
        </w:rPr>
        <w:t xml:space="preserve"> para prestar el servicio de televisión restringida en México, bajo el nombre comercial de </w:t>
      </w:r>
      <w:r w:rsidRPr="002A2450">
        <w:rPr>
          <w:rFonts w:ascii="ITC Avant Garde" w:hAnsi="ITC Avant Garde" w:cs="Arial"/>
          <w:b/>
        </w:rPr>
        <w:t>“DISH”.</w:t>
      </w:r>
    </w:p>
    <w:p w14:paraId="2B209E46" w14:textId="7873D53A" w:rsidR="00B35F13" w:rsidRDefault="00105D28" w:rsidP="00B35F13">
      <w:pPr>
        <w:spacing w:before="240" w:line="360" w:lineRule="auto"/>
        <w:jc w:val="both"/>
        <w:rPr>
          <w:rFonts w:ascii="ITC Avant Garde" w:eastAsia="Times New Roman" w:hAnsi="ITC Avant Garde"/>
          <w:bCs/>
          <w:color w:val="000000"/>
          <w:lang w:eastAsia="es-MX"/>
        </w:rPr>
      </w:pPr>
      <w:r w:rsidRPr="002A2450">
        <w:rPr>
          <w:rFonts w:ascii="ITC Avant Garde" w:hAnsi="ITC Avant Garde" w:cs="Arial"/>
        </w:rPr>
        <w:t xml:space="preserve">Al respecto, </w:t>
      </w:r>
      <w:r w:rsidR="00A80E02">
        <w:rPr>
          <w:rFonts w:ascii="ITC Avant Garde" w:hAnsi="ITC Avant Garde" w:cs="Arial"/>
        </w:rPr>
        <w:t>l</w:t>
      </w:r>
      <w:r w:rsidR="00B16758" w:rsidRPr="002A2450">
        <w:rPr>
          <w:rFonts w:ascii="ITC Avant Garde" w:hAnsi="ITC Avant Garde" w:cs="Arial"/>
        </w:rPr>
        <w:t xml:space="preserve">a citada </w:t>
      </w:r>
      <w:r w:rsidR="00B16758" w:rsidRPr="002A2450">
        <w:rPr>
          <w:rFonts w:ascii="ITC Avant Garde" w:hAnsi="ITC Avant Garde" w:cs="Arial"/>
          <w:i/>
        </w:rPr>
        <w:t xml:space="preserve">Alianza Estratégica </w:t>
      </w:r>
      <w:r w:rsidR="00733EE1" w:rsidRPr="002A2450">
        <w:rPr>
          <w:rFonts w:ascii="ITC Avant Garde" w:hAnsi="ITC Avant Garde" w:cs="Arial"/>
        </w:rPr>
        <w:t xml:space="preserve">con </w:t>
      </w:r>
      <w:r w:rsidR="00733EE1" w:rsidRPr="002A2450">
        <w:rPr>
          <w:rFonts w:ascii="ITC Avant Garde" w:hAnsi="ITC Avant Garde" w:cs="Arial"/>
          <w:b/>
        </w:rPr>
        <w:t xml:space="preserve">“TELMEX” </w:t>
      </w:r>
      <w:r w:rsidR="00B16758" w:rsidRPr="002A2450">
        <w:rPr>
          <w:rFonts w:ascii="ITC Avant Garde" w:hAnsi="ITC Avant Garde" w:cs="Arial"/>
        </w:rPr>
        <w:t>deriv</w:t>
      </w:r>
      <w:r w:rsidR="000E645E" w:rsidRPr="002A2450">
        <w:rPr>
          <w:rFonts w:ascii="ITC Avant Garde" w:hAnsi="ITC Avant Garde" w:cs="Arial"/>
        </w:rPr>
        <w:t>ó</w:t>
      </w:r>
      <w:r w:rsidR="00B16758" w:rsidRPr="002A2450">
        <w:rPr>
          <w:rFonts w:ascii="ITC Avant Garde" w:hAnsi="ITC Avant Garde" w:cs="Arial"/>
        </w:rPr>
        <w:t xml:space="preserve"> </w:t>
      </w:r>
      <w:r w:rsidR="000E645E" w:rsidRPr="002A2450">
        <w:rPr>
          <w:rFonts w:ascii="ITC Avant Garde" w:hAnsi="ITC Avant Garde" w:cs="Arial"/>
        </w:rPr>
        <w:t xml:space="preserve">de </w:t>
      </w:r>
      <w:r w:rsidR="00B16758" w:rsidRPr="002A2450">
        <w:rPr>
          <w:rFonts w:ascii="ITC Avant Garde" w:hAnsi="ITC Avant Garde" w:cs="Arial"/>
        </w:rPr>
        <w:t xml:space="preserve">la celebración de los contratos de </w:t>
      </w:r>
      <w:r w:rsidR="00B16758" w:rsidRPr="002A2450">
        <w:rPr>
          <w:rFonts w:ascii="ITC Avant Garde" w:eastAsia="Times New Roman" w:hAnsi="ITC Avant Garde"/>
          <w:bCs/>
          <w:i/>
          <w:color w:val="000000"/>
          <w:lang w:eastAsia="es-MX"/>
        </w:rPr>
        <w:t xml:space="preserve">distribución, prestación de servicios, arrendamiento, opción de compra y venta </w:t>
      </w:r>
      <w:r w:rsidR="00B16758" w:rsidRPr="002A2450">
        <w:rPr>
          <w:rFonts w:ascii="ITC Avant Garde" w:eastAsia="Times New Roman" w:hAnsi="ITC Avant Garde"/>
          <w:bCs/>
          <w:color w:val="000000"/>
          <w:lang w:eastAsia="es-MX"/>
        </w:rPr>
        <w:t xml:space="preserve">y </w:t>
      </w:r>
      <w:r w:rsidR="00B16758" w:rsidRPr="002A2450">
        <w:rPr>
          <w:rFonts w:ascii="ITC Avant Garde" w:eastAsia="Times New Roman" w:hAnsi="ITC Avant Garde"/>
          <w:bCs/>
          <w:i/>
          <w:color w:val="000000"/>
          <w:lang w:eastAsia="es-MX"/>
        </w:rPr>
        <w:t>convenio de consecuencias</w:t>
      </w:r>
      <w:r w:rsidR="00733EE1" w:rsidRPr="002A2450">
        <w:rPr>
          <w:rFonts w:ascii="ITC Avant Garde" w:eastAsia="Times New Roman" w:hAnsi="ITC Avant Garde"/>
          <w:bCs/>
          <w:color w:val="000000"/>
          <w:lang w:eastAsia="es-MX"/>
        </w:rPr>
        <w:t xml:space="preserve">, </w:t>
      </w:r>
    </w:p>
    <w:p w14:paraId="3B340375" w14:textId="77777777" w:rsidR="00B35F13" w:rsidRDefault="00B16758" w:rsidP="00B35F13">
      <w:pPr>
        <w:spacing w:before="240" w:line="360" w:lineRule="auto"/>
        <w:jc w:val="both"/>
        <w:rPr>
          <w:rFonts w:ascii="ITC Avant Garde" w:hAnsi="ITC Avant Garde" w:cs="Arial"/>
        </w:rPr>
      </w:pPr>
      <w:r w:rsidRPr="002A2450">
        <w:rPr>
          <w:rFonts w:ascii="ITC Avant Garde" w:hAnsi="ITC Avant Garde" w:cs="Arial"/>
        </w:rPr>
        <w:lastRenderedPageBreak/>
        <w:t>D</w:t>
      </w:r>
      <w:r w:rsidR="00733EE1" w:rsidRPr="002A2450">
        <w:rPr>
          <w:rFonts w:ascii="ITC Avant Garde" w:hAnsi="ITC Avant Garde" w:cs="Arial"/>
        </w:rPr>
        <w:t>e los contratos antes señalados se pued</w:t>
      </w:r>
      <w:r w:rsidR="000E645E" w:rsidRPr="002A2450">
        <w:rPr>
          <w:rFonts w:ascii="ITC Avant Garde" w:hAnsi="ITC Avant Garde" w:cs="Arial"/>
        </w:rPr>
        <w:t>e</w:t>
      </w:r>
      <w:r w:rsidR="00733EE1" w:rsidRPr="002A2450">
        <w:rPr>
          <w:rFonts w:ascii="ITC Avant Garde" w:hAnsi="ITC Avant Garde" w:cs="Arial"/>
        </w:rPr>
        <w:t xml:space="preserve"> advertir lo siguiente:</w:t>
      </w:r>
    </w:p>
    <w:p w14:paraId="150AEA2C" w14:textId="32DC7A11" w:rsidR="00B35F13" w:rsidRPr="001B0FC3" w:rsidRDefault="001B0FC3"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Distribución</w:t>
      </w:r>
    </w:p>
    <w:p w14:paraId="15A27802" w14:textId="2EA34CC6" w:rsidR="00B35F13"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085E0A85" w14:textId="2C2EACA8" w:rsidR="00B35F13" w:rsidRPr="001B0FC3" w:rsidRDefault="00733EE1"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Prestación de servicios</w:t>
      </w:r>
    </w:p>
    <w:p w14:paraId="441AC94C" w14:textId="3DBC5E34" w:rsidR="00B35F13"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40F71801" w14:textId="77777777" w:rsidR="00B35F13" w:rsidRPr="001B0FC3" w:rsidRDefault="00733EE1"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Arrendamiento</w:t>
      </w:r>
    </w:p>
    <w:p w14:paraId="568AF6D1" w14:textId="7E3E3ABA" w:rsidR="00B35F13"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5AE37972" w14:textId="14E2A970" w:rsidR="00B35F13" w:rsidRPr="001B0FC3" w:rsidRDefault="00733EE1"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Opción de compra</w:t>
      </w:r>
    </w:p>
    <w:p w14:paraId="654E1B11" w14:textId="77777777" w:rsidR="005B0590" w:rsidRPr="0004375E" w:rsidRDefault="0025146A" w:rsidP="005B0590">
      <w:pPr>
        <w:spacing w:before="240" w:line="360" w:lineRule="auto"/>
        <w:ind w:left="567" w:right="567"/>
        <w:jc w:val="both"/>
        <w:rPr>
          <w:rFonts w:ascii="ITC Avant Garde" w:hAnsi="ITC Avant Garde"/>
          <w:b/>
          <w:i/>
        </w:rPr>
      </w:pPr>
      <w:r w:rsidRPr="0004375E">
        <w:rPr>
          <w:rFonts w:ascii="ITC Avant Garde" w:eastAsiaTheme="majorEastAsia" w:hAnsi="ITC Avant Garde" w:cstheme="majorBidi"/>
          <w:b/>
          <w:color w:val="0000FF"/>
          <w:szCs w:val="32"/>
        </w:rPr>
        <w:t>“CONFIDENCIAL POR LEY”</w:t>
      </w:r>
    </w:p>
    <w:p w14:paraId="6882D20C" w14:textId="00714CC5" w:rsidR="00B35F13" w:rsidRPr="001B0FC3" w:rsidRDefault="00733EE1"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Contrato de consecuencias</w:t>
      </w:r>
    </w:p>
    <w:p w14:paraId="4E2129A0" w14:textId="3BAEA113" w:rsidR="00B35F13" w:rsidRPr="0004375E" w:rsidRDefault="0025146A"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106FB5AC" w14:textId="4D90FC05" w:rsidR="00B35F13" w:rsidRDefault="000E645E" w:rsidP="007E623E">
      <w:pPr>
        <w:pStyle w:val="Prrafodelista"/>
        <w:numPr>
          <w:ilvl w:val="0"/>
          <w:numId w:val="19"/>
        </w:numPr>
        <w:spacing w:before="240" w:line="360" w:lineRule="auto"/>
        <w:ind w:left="567" w:hanging="567"/>
        <w:jc w:val="both"/>
        <w:rPr>
          <w:rFonts w:ascii="ITC Avant Garde" w:hAnsi="ITC Avant Garde"/>
          <w:b/>
        </w:rPr>
      </w:pPr>
      <w:r w:rsidRPr="002A2450">
        <w:rPr>
          <w:rFonts w:ascii="ITC Avant Garde" w:hAnsi="ITC Avant Garde"/>
          <w:b/>
        </w:rPr>
        <w:t>Convenio de Terminación</w:t>
      </w:r>
    </w:p>
    <w:p w14:paraId="2269017A" w14:textId="0E73ED9F" w:rsidR="00387FD7" w:rsidRPr="002A2450" w:rsidRDefault="00387FD7" w:rsidP="00B35F13">
      <w:pPr>
        <w:spacing w:before="240" w:line="360" w:lineRule="auto"/>
        <w:jc w:val="both"/>
        <w:rPr>
          <w:rFonts w:ascii="ITC Avant Garde" w:hAnsi="ITC Avant Garde" w:cs="Arial"/>
        </w:rPr>
      </w:pPr>
      <w:r w:rsidRPr="002A2450">
        <w:rPr>
          <w:rFonts w:ascii="ITC Avant Garde" w:hAnsi="ITC Avant Garde" w:cs="Arial"/>
        </w:rPr>
        <w:t>Los efectos de la terminación de dichos contratos son los siguientes:</w:t>
      </w:r>
    </w:p>
    <w:p w14:paraId="17F3B280"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t>Se deja sin efectos el derecho de “TENINVER” para suscribir una parte social clase “A” representativa del 51% del capital social con derecho a voto y económicos de “DISH MÉXICO” y consecuentemente ésta última no estaría en posibilidad de requerir a “TENINVER” la suscripción de la parte social antes mencionada.</w:t>
      </w:r>
    </w:p>
    <w:p w14:paraId="71D608B2" w14:textId="77777777" w:rsidR="00A80E02" w:rsidRDefault="00387FD7" w:rsidP="007E623E">
      <w:pPr>
        <w:pStyle w:val="Prrafodelista"/>
        <w:numPr>
          <w:ilvl w:val="0"/>
          <w:numId w:val="43"/>
        </w:numPr>
        <w:spacing w:before="240" w:line="360" w:lineRule="auto"/>
        <w:jc w:val="both"/>
        <w:rPr>
          <w:rFonts w:ascii="ITC Avant Garde" w:hAnsi="ITC Avant Garde" w:cs="Arial"/>
        </w:rPr>
        <w:sectPr w:rsidR="00A80E02" w:rsidSect="009F3771">
          <w:pgSz w:w="12240" w:h="15840"/>
          <w:pgMar w:top="1985" w:right="1701" w:bottom="1418" w:left="1701" w:header="709" w:footer="709" w:gutter="0"/>
          <w:cols w:space="708"/>
          <w:docGrid w:linePitch="360"/>
        </w:sectPr>
      </w:pPr>
      <w:r w:rsidRPr="002A2450">
        <w:rPr>
          <w:rFonts w:ascii="ITC Avant Garde" w:hAnsi="ITC Avant Garde" w:cs="Arial"/>
        </w:rPr>
        <w:t>“DISH MÉXICO” ya no está obligada a proporcionar a “TENINVER” información relacionada con el negocio y condición financiera de la misma y sus subsidiarias como si fuera socio de “DISH MÉXICO”.</w:t>
      </w:r>
    </w:p>
    <w:p w14:paraId="55CDCA3F"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lastRenderedPageBreak/>
        <w:t>“TENINVER” ya no podrá visitar e inspeccionar cualesquiera de los bienes, activos, libros corporativos y registros financieros de “DISH MÉXICO” o de cualquier de sus subsidiarias, así como comentar los asuntos, finanzas y cuentas</w:t>
      </w:r>
    </w:p>
    <w:p w14:paraId="46BC0D2B"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t>“TELMEX” no podrá participar en los dividendos de “DISH MÉXICO”/“COFRESA” al amparo de la opción otorgada en el contrato respectivo.</w:t>
      </w:r>
    </w:p>
    <w:p w14:paraId="62819D84"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t>Se deja sin efectos la prohibición a “TENINVER/TELMEX” de participar en negocios futuros relacionados con el servicio “DTH” y video móvil en México y la prohibición de no competir.</w:t>
      </w:r>
    </w:p>
    <w:p w14:paraId="7E9545FE"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t xml:space="preserve">Se libera de la obligación a “TENINVER” de llevar a cabo los actos que sean necesarios, a efecto de que un banco de su elección otorgue un préstamo a esta última “DISH MÉXICO”, </w:t>
      </w:r>
    </w:p>
    <w:p w14:paraId="24DF43AC" w14:textId="77777777" w:rsidR="00B35F13" w:rsidRDefault="00387FD7" w:rsidP="007E623E">
      <w:pPr>
        <w:pStyle w:val="Prrafodelista"/>
        <w:numPr>
          <w:ilvl w:val="0"/>
          <w:numId w:val="43"/>
        </w:numPr>
        <w:spacing w:before="240" w:line="360" w:lineRule="auto"/>
        <w:jc w:val="both"/>
        <w:rPr>
          <w:rFonts w:ascii="ITC Avant Garde" w:hAnsi="ITC Avant Garde" w:cs="Arial"/>
        </w:rPr>
      </w:pPr>
      <w:r w:rsidRPr="002A2450">
        <w:rPr>
          <w:rFonts w:ascii="ITC Avant Garde" w:hAnsi="ITC Avant Garde" w:cs="Arial"/>
        </w:rPr>
        <w:t>Queda sin efectos la constitución del “Comité de Operación” o su operación.</w:t>
      </w:r>
    </w:p>
    <w:p w14:paraId="73379B49" w14:textId="77777777" w:rsidR="00B35F13" w:rsidRDefault="00733EE1" w:rsidP="00B35F13">
      <w:pPr>
        <w:spacing w:before="240" w:line="360" w:lineRule="auto"/>
        <w:jc w:val="both"/>
        <w:rPr>
          <w:rFonts w:ascii="ITC Avant Garde" w:hAnsi="ITC Avant Garde" w:cs="Arial"/>
        </w:rPr>
      </w:pPr>
      <w:r w:rsidRPr="002A2450">
        <w:rPr>
          <w:rFonts w:ascii="ITC Avant Garde" w:hAnsi="ITC Avant Garde" w:cs="Arial"/>
        </w:rPr>
        <w:t xml:space="preserve">Ahora bien, con base en </w:t>
      </w:r>
      <w:r w:rsidR="00DC315C" w:rsidRPr="002A2450">
        <w:rPr>
          <w:rFonts w:ascii="ITC Avant Garde" w:hAnsi="ITC Avant Garde" w:cs="Arial"/>
        </w:rPr>
        <w:t xml:space="preserve">el análisis del contenido obligacional de </w:t>
      </w:r>
      <w:r w:rsidRPr="002A2450">
        <w:rPr>
          <w:rFonts w:ascii="ITC Avant Garde" w:hAnsi="ITC Avant Garde" w:cs="Arial"/>
        </w:rPr>
        <w:t xml:space="preserve">los contratos anteriores </w:t>
      </w:r>
      <w:r w:rsidR="00DC315C" w:rsidRPr="002A2450">
        <w:rPr>
          <w:rFonts w:ascii="ITC Avant Garde" w:hAnsi="ITC Avant Garde" w:cs="Arial"/>
        </w:rPr>
        <w:t>así como de los efectos pretendidos, consecuencias, vínculos e influencias entre unos y otros, esta autoridad considera acreditado lo siguiente</w:t>
      </w:r>
      <w:r w:rsidRPr="002A2450">
        <w:rPr>
          <w:rFonts w:ascii="ITC Avant Garde" w:hAnsi="ITC Avant Garde" w:cs="Arial"/>
        </w:rPr>
        <w:t>:</w:t>
      </w:r>
    </w:p>
    <w:p w14:paraId="28D79670" w14:textId="77777777" w:rsidR="00B35F13" w:rsidRDefault="00733EE1" w:rsidP="007E623E">
      <w:pPr>
        <w:pStyle w:val="Prrafodelista"/>
        <w:numPr>
          <w:ilvl w:val="0"/>
          <w:numId w:val="56"/>
        </w:numPr>
        <w:spacing w:before="240" w:line="360" w:lineRule="auto"/>
        <w:jc w:val="both"/>
        <w:rPr>
          <w:rFonts w:ascii="ITC Avant Garde" w:hAnsi="ITC Avant Garde" w:cs="Arial"/>
        </w:rPr>
      </w:pPr>
      <w:r w:rsidRPr="002A2450">
        <w:rPr>
          <w:rFonts w:ascii="ITC Avant Garde" w:hAnsi="ITC Avant Garde" w:cs="Arial"/>
        </w:rPr>
        <w:t xml:space="preserve">La injerencia y participación en la toma de decisiones por parte de </w:t>
      </w:r>
      <w:r w:rsidRPr="002A2450">
        <w:rPr>
          <w:rFonts w:ascii="ITC Avant Garde" w:hAnsi="ITC Avant Garde" w:cs="Arial"/>
          <w:b/>
        </w:rPr>
        <w:t>“TELMEX”</w:t>
      </w:r>
      <w:r w:rsidRPr="002A2450">
        <w:rPr>
          <w:rFonts w:ascii="ITC Avant Garde" w:hAnsi="ITC Avant Garde" w:cs="Arial"/>
        </w:rPr>
        <w:t xml:space="preserve"> en </w:t>
      </w:r>
      <w:r w:rsidRPr="002A2450">
        <w:rPr>
          <w:rFonts w:ascii="ITC Avant Garde" w:hAnsi="ITC Avant Garde" w:cs="Arial"/>
          <w:b/>
        </w:rPr>
        <w:t>“DISH MÉXICO”/”COFRESA”</w:t>
      </w:r>
      <w:r w:rsidRPr="002A2450">
        <w:rPr>
          <w:rFonts w:ascii="ITC Avant Garde" w:hAnsi="ITC Avant Garde" w:cs="Arial"/>
        </w:rPr>
        <w:t xml:space="preserve"> puesto que esta autoridad tuvo conocimiento de 35 reuniones celebradas en el domicilio de </w:t>
      </w:r>
      <w:r w:rsidRPr="002A2450">
        <w:rPr>
          <w:rFonts w:ascii="ITC Avant Garde" w:hAnsi="ITC Avant Garde" w:cs="Arial"/>
          <w:b/>
        </w:rPr>
        <w:t>“TELMEX”</w:t>
      </w:r>
      <w:r w:rsidRPr="002A2450">
        <w:rPr>
          <w:rFonts w:ascii="ITC Avant Garde" w:hAnsi="ITC Avant Garde" w:cs="Arial"/>
        </w:rPr>
        <w:t xml:space="preserve"> con la asistencia de directivos del más alto nivel </w:t>
      </w:r>
      <w:r w:rsidR="00AB618D" w:rsidRPr="002A2450">
        <w:rPr>
          <w:rFonts w:ascii="ITC Avant Garde" w:hAnsi="ITC Avant Garde" w:cs="Arial"/>
        </w:rPr>
        <w:t>de dichas empresa quien</w:t>
      </w:r>
      <w:r w:rsidR="00DC315C" w:rsidRPr="002A2450">
        <w:rPr>
          <w:rFonts w:ascii="ITC Avant Garde" w:hAnsi="ITC Avant Garde" w:cs="Arial"/>
        </w:rPr>
        <w:t>es</w:t>
      </w:r>
      <w:r w:rsidR="00AB618D" w:rsidRPr="002A2450">
        <w:rPr>
          <w:rFonts w:ascii="ITC Avant Garde" w:hAnsi="ITC Avant Garde" w:cs="Arial"/>
        </w:rPr>
        <w:t xml:space="preserve"> actuaron como representantes de sus respectivas compañías y no a nombre propio, dónde se tomaron decisiones respecto de la operación de</w:t>
      </w:r>
      <w:r w:rsidR="005E71C3" w:rsidRPr="002A2450">
        <w:rPr>
          <w:rFonts w:ascii="ITC Avant Garde" w:hAnsi="ITC Avant Garde" w:cs="Arial"/>
        </w:rPr>
        <w:t xml:space="preserve">l servicio que provee </w:t>
      </w:r>
      <w:r w:rsidR="00AB618D" w:rsidRPr="002A2450">
        <w:rPr>
          <w:rFonts w:ascii="ITC Avant Garde" w:hAnsi="ITC Avant Garde" w:cs="Arial"/>
        </w:rPr>
        <w:t xml:space="preserve"> </w:t>
      </w:r>
      <w:r w:rsidR="00AB618D" w:rsidRPr="002A2450">
        <w:rPr>
          <w:rFonts w:ascii="ITC Avant Garde" w:hAnsi="ITC Avant Garde" w:cs="Arial"/>
          <w:b/>
        </w:rPr>
        <w:t>“DISH”</w:t>
      </w:r>
      <w:r w:rsidR="00AB618D" w:rsidRPr="002A2450">
        <w:rPr>
          <w:rFonts w:ascii="ITC Avant Garde" w:hAnsi="ITC Avant Garde" w:cs="Arial"/>
        </w:rPr>
        <w:t xml:space="preserve">, respecto del cual </w:t>
      </w:r>
      <w:r w:rsidR="00AB618D" w:rsidRPr="002A2450">
        <w:rPr>
          <w:rFonts w:ascii="ITC Avant Garde" w:hAnsi="ITC Avant Garde" w:cs="Arial"/>
          <w:b/>
        </w:rPr>
        <w:t>“TELMEX”</w:t>
      </w:r>
      <w:r w:rsidR="00AB618D" w:rsidRPr="002A2450">
        <w:rPr>
          <w:rFonts w:ascii="ITC Avant Garde" w:hAnsi="ITC Avant Garde" w:cs="Arial"/>
        </w:rPr>
        <w:t xml:space="preserve"> no tiene concesión alguna.</w:t>
      </w:r>
    </w:p>
    <w:p w14:paraId="7C1F78D0" w14:textId="77777777" w:rsidR="00B35F13" w:rsidRDefault="00AB618D" w:rsidP="00B35F13">
      <w:pPr>
        <w:pStyle w:val="Prrafodelista"/>
        <w:spacing w:before="240" w:line="360" w:lineRule="auto"/>
        <w:jc w:val="both"/>
        <w:rPr>
          <w:rFonts w:ascii="ITC Avant Garde" w:hAnsi="ITC Avant Garde"/>
        </w:rPr>
      </w:pPr>
      <w:r w:rsidRPr="002A2450">
        <w:rPr>
          <w:rFonts w:ascii="ITC Avant Garde" w:hAnsi="ITC Avant Garde" w:cs="Arial"/>
        </w:rPr>
        <w:t xml:space="preserve">Para la conclusión anterior, se consideró la existencia de </w:t>
      </w:r>
      <w:r w:rsidRPr="002A2450">
        <w:rPr>
          <w:rFonts w:ascii="ITC Avant Garde" w:hAnsi="ITC Avant Garde"/>
        </w:rPr>
        <w:t xml:space="preserve">4 minutas levantadas con motivo de las </w:t>
      </w:r>
      <w:r w:rsidRPr="002A2450">
        <w:rPr>
          <w:rFonts w:ascii="ITC Avant Garde" w:hAnsi="ITC Avant Garde"/>
          <w:i/>
        </w:rPr>
        <w:t>“Reuniones Operativas y Administrativas”</w:t>
      </w:r>
      <w:r w:rsidRPr="002A2450">
        <w:rPr>
          <w:rFonts w:ascii="ITC Avant Garde" w:hAnsi="ITC Avant Garde"/>
        </w:rPr>
        <w:t xml:space="preserve"> realizadas el veinticuatro de septiembre y veintiséis de noviembre de dos mil </w:t>
      </w:r>
      <w:r w:rsidRPr="002A2450">
        <w:rPr>
          <w:rFonts w:ascii="ITC Avant Garde" w:hAnsi="ITC Avant Garde"/>
        </w:rPr>
        <w:lastRenderedPageBreak/>
        <w:t xml:space="preserve">trece y catorce de enero y veinticinco de febrero de dos mil catorce dónde los temas fueron: </w:t>
      </w:r>
    </w:p>
    <w:p w14:paraId="14EBFD05" w14:textId="71B306F9" w:rsidR="00AB618D" w:rsidRPr="002A2450" w:rsidRDefault="00AB618D" w:rsidP="007E623E">
      <w:pPr>
        <w:pStyle w:val="Prrafodelista"/>
        <w:numPr>
          <w:ilvl w:val="1"/>
          <w:numId w:val="54"/>
        </w:numPr>
        <w:spacing w:before="240" w:line="360" w:lineRule="auto"/>
        <w:jc w:val="both"/>
        <w:rPr>
          <w:rFonts w:ascii="ITC Avant Garde" w:hAnsi="ITC Avant Garde"/>
        </w:rPr>
      </w:pPr>
      <w:r w:rsidRPr="002A2450">
        <w:rPr>
          <w:rFonts w:ascii="ITC Avant Garde" w:hAnsi="ITC Avant Garde"/>
        </w:rPr>
        <w:t xml:space="preserve">La posibilidad de que </w:t>
      </w:r>
      <w:r w:rsidRPr="002A2450">
        <w:rPr>
          <w:rFonts w:ascii="ITC Avant Garde" w:hAnsi="ITC Avant Garde"/>
          <w:b/>
        </w:rPr>
        <w:t>“TELMEX”</w:t>
      </w:r>
      <w:r w:rsidRPr="002A2450">
        <w:rPr>
          <w:rFonts w:ascii="ITC Avant Garde" w:hAnsi="ITC Avant Garde"/>
        </w:rPr>
        <w:t xml:space="preserve"> tenga posiciones en el </w:t>
      </w:r>
      <w:proofErr w:type="spellStart"/>
      <w:r w:rsidRPr="002A2450">
        <w:rPr>
          <w:rFonts w:ascii="ITC Avant Garde" w:hAnsi="ITC Avant Garde"/>
          <w:i/>
        </w:rPr>
        <w:t>Call</w:t>
      </w:r>
      <w:proofErr w:type="spellEnd"/>
      <w:r w:rsidRPr="002A2450">
        <w:rPr>
          <w:rFonts w:ascii="ITC Avant Garde" w:hAnsi="ITC Avant Garde"/>
          <w:i/>
        </w:rPr>
        <w:t xml:space="preserve"> Center </w:t>
      </w:r>
      <w:r w:rsidRPr="002A2450">
        <w:rPr>
          <w:rFonts w:ascii="ITC Avant Garde" w:hAnsi="ITC Avant Garde"/>
        </w:rPr>
        <w:t>de Morelia.</w:t>
      </w:r>
    </w:p>
    <w:p w14:paraId="3C565FE4" w14:textId="77777777" w:rsidR="00AB618D" w:rsidRPr="002A2450" w:rsidRDefault="00AB618D" w:rsidP="007E623E">
      <w:pPr>
        <w:pStyle w:val="Prrafodelista"/>
        <w:numPr>
          <w:ilvl w:val="1"/>
          <w:numId w:val="54"/>
        </w:numPr>
        <w:spacing w:before="240" w:line="360" w:lineRule="auto"/>
        <w:jc w:val="both"/>
        <w:rPr>
          <w:rFonts w:ascii="ITC Avant Garde" w:hAnsi="ITC Avant Garde"/>
        </w:rPr>
      </w:pPr>
      <w:r w:rsidRPr="002A2450">
        <w:rPr>
          <w:rFonts w:ascii="ITC Avant Garde" w:hAnsi="ITC Avant Garde"/>
        </w:rPr>
        <w:t xml:space="preserve">Analizar el interés de </w:t>
      </w:r>
      <w:r w:rsidRPr="002A2450">
        <w:rPr>
          <w:rFonts w:ascii="ITC Avant Garde" w:hAnsi="ITC Avant Garde"/>
          <w:b/>
        </w:rPr>
        <w:t>“TELMEX”</w:t>
      </w:r>
      <w:r w:rsidRPr="002A2450">
        <w:rPr>
          <w:rFonts w:ascii="ITC Avant Garde" w:hAnsi="ITC Avant Garde"/>
        </w:rPr>
        <w:t xml:space="preserve"> para utilizar el servicio de los despachos externos de cobranza.</w:t>
      </w:r>
    </w:p>
    <w:p w14:paraId="3EB7610A" w14:textId="77777777" w:rsidR="00B35F13" w:rsidRDefault="00AB618D" w:rsidP="007E623E">
      <w:pPr>
        <w:pStyle w:val="Prrafodelista"/>
        <w:numPr>
          <w:ilvl w:val="1"/>
          <w:numId w:val="54"/>
        </w:numPr>
        <w:spacing w:before="240" w:line="360" w:lineRule="auto"/>
        <w:jc w:val="both"/>
        <w:rPr>
          <w:rFonts w:ascii="ITC Avant Garde" w:hAnsi="ITC Avant Garde"/>
        </w:rPr>
      </w:pPr>
      <w:r w:rsidRPr="002A2450">
        <w:rPr>
          <w:rFonts w:ascii="ITC Avant Garde" w:hAnsi="ITC Avant Garde"/>
        </w:rPr>
        <w:t xml:space="preserve">La posibilidad de que </w:t>
      </w:r>
      <w:r w:rsidRPr="002A2450">
        <w:rPr>
          <w:rFonts w:ascii="ITC Avant Garde" w:hAnsi="ITC Avant Garde"/>
          <w:b/>
        </w:rPr>
        <w:t>“TELMEX”</w:t>
      </w:r>
      <w:r w:rsidRPr="002A2450">
        <w:rPr>
          <w:rFonts w:ascii="ITC Avant Garde" w:hAnsi="ITC Avant Garde"/>
        </w:rPr>
        <w:t xml:space="preserve"> adquiera cotizaciones para que pueda adquirir CPE a un mejor precio.</w:t>
      </w:r>
    </w:p>
    <w:p w14:paraId="1031D0FC" w14:textId="77777777" w:rsidR="00B35F13" w:rsidRDefault="00AB618D" w:rsidP="00B35F13">
      <w:pPr>
        <w:spacing w:before="240" w:line="360" w:lineRule="auto"/>
        <w:ind w:left="567"/>
        <w:jc w:val="both"/>
        <w:rPr>
          <w:rFonts w:ascii="ITC Avant Garde" w:hAnsi="ITC Avant Garde"/>
        </w:rPr>
      </w:pPr>
      <w:r w:rsidRPr="002A2450">
        <w:rPr>
          <w:rFonts w:ascii="ITC Avant Garde" w:hAnsi="ITC Avant Garde"/>
        </w:rPr>
        <w:t xml:space="preserve">Con lo anterior, se acredita, </w:t>
      </w:r>
      <w:r w:rsidR="000E645E" w:rsidRPr="002A2450">
        <w:rPr>
          <w:rFonts w:ascii="ITC Avant Garde" w:hAnsi="ITC Avant Garde"/>
        </w:rPr>
        <w:t xml:space="preserve">que si bien no se </w:t>
      </w:r>
      <w:r w:rsidR="00BC2265" w:rsidRPr="002A2450">
        <w:rPr>
          <w:rFonts w:ascii="ITC Avant Garde" w:hAnsi="ITC Avant Garde"/>
        </w:rPr>
        <w:t>tiene evidencia de la constitución formal d</w:t>
      </w:r>
      <w:r w:rsidR="000E645E" w:rsidRPr="002A2450">
        <w:rPr>
          <w:rFonts w:ascii="ITC Avant Garde" w:hAnsi="ITC Avant Garde"/>
        </w:rPr>
        <w:t>el</w:t>
      </w:r>
      <w:r w:rsidRPr="002A2450">
        <w:rPr>
          <w:rFonts w:ascii="ITC Avant Garde" w:hAnsi="ITC Avant Garde"/>
        </w:rPr>
        <w:t xml:space="preserve"> Comité de Operaciones, sí se llevaron a cabo reuniones entre </w:t>
      </w:r>
      <w:r w:rsidR="00776552" w:rsidRPr="002A2450">
        <w:rPr>
          <w:rFonts w:ascii="ITC Avant Garde" w:hAnsi="ITC Avant Garde"/>
        </w:rPr>
        <w:t xml:space="preserve">personas físicas que ocupan cargos de decisión </w:t>
      </w:r>
      <w:r w:rsidR="00BC2265" w:rsidRPr="002A2450">
        <w:rPr>
          <w:rFonts w:ascii="ITC Avant Garde" w:hAnsi="ITC Avant Garde"/>
        </w:rPr>
        <w:t xml:space="preserve">del más alto nivel </w:t>
      </w:r>
      <w:r w:rsidR="00776552" w:rsidRPr="002A2450">
        <w:rPr>
          <w:rFonts w:ascii="ITC Avant Garde" w:hAnsi="ITC Avant Garde"/>
        </w:rPr>
        <w:t xml:space="preserve">en </w:t>
      </w:r>
      <w:r w:rsidR="00776552" w:rsidRPr="002A2450">
        <w:rPr>
          <w:rFonts w:ascii="ITC Avant Garde" w:hAnsi="ITC Avant Garde"/>
          <w:b/>
        </w:rPr>
        <w:t>"TELMEX"</w:t>
      </w:r>
      <w:r w:rsidR="00776552" w:rsidRPr="002A2450">
        <w:rPr>
          <w:rFonts w:ascii="ITC Avant Garde" w:hAnsi="ITC Avant Garde"/>
          <w:bCs/>
        </w:rPr>
        <w:t>,</w:t>
      </w:r>
      <w:r w:rsidR="00776552" w:rsidRPr="002A2450">
        <w:rPr>
          <w:rFonts w:ascii="ITC Avant Garde" w:hAnsi="ITC Avant Garde"/>
          <w:b/>
          <w:bCs/>
        </w:rPr>
        <w:t xml:space="preserve"> "DISH MÉXICO HOLDINGS"</w:t>
      </w:r>
      <w:r w:rsidR="00776552" w:rsidRPr="002A2450">
        <w:rPr>
          <w:rFonts w:ascii="ITC Avant Garde" w:hAnsi="ITC Avant Garde"/>
          <w:bCs/>
        </w:rPr>
        <w:t>,</w:t>
      </w:r>
      <w:r w:rsidR="00776552" w:rsidRPr="002A2450">
        <w:rPr>
          <w:rFonts w:ascii="ITC Avant Garde" w:hAnsi="ITC Avant Garde"/>
          <w:b/>
          <w:bCs/>
        </w:rPr>
        <w:t xml:space="preserve"> "DISH MÉXICO" </w:t>
      </w:r>
      <w:r w:rsidR="00776552" w:rsidRPr="002A2450">
        <w:rPr>
          <w:rFonts w:ascii="ITC Avant Garde" w:hAnsi="ITC Avant Garde"/>
          <w:bCs/>
        </w:rPr>
        <w:t xml:space="preserve">y </w:t>
      </w:r>
      <w:r w:rsidR="00776552" w:rsidRPr="002A2450">
        <w:rPr>
          <w:rFonts w:ascii="ITC Avant Garde" w:hAnsi="ITC Avant Garde"/>
          <w:b/>
          <w:bCs/>
        </w:rPr>
        <w:t xml:space="preserve">"COFRESA" </w:t>
      </w:r>
      <w:r w:rsidR="00776552" w:rsidRPr="002A2450">
        <w:rPr>
          <w:rFonts w:ascii="ITC Avant Garde" w:hAnsi="ITC Avant Garde"/>
          <w:bCs/>
        </w:rPr>
        <w:t xml:space="preserve"> </w:t>
      </w:r>
      <w:r w:rsidRPr="002A2450">
        <w:rPr>
          <w:rFonts w:ascii="ITC Avant Garde" w:hAnsi="ITC Avant Garde"/>
        </w:rPr>
        <w:t>y tomaron acciones para implementa</w:t>
      </w:r>
      <w:r w:rsidR="00E07B7B" w:rsidRPr="002A2450">
        <w:rPr>
          <w:rFonts w:ascii="ITC Avant Garde" w:hAnsi="ITC Avant Garde"/>
        </w:rPr>
        <w:t>r</w:t>
      </w:r>
      <w:r w:rsidRPr="002A2450">
        <w:rPr>
          <w:rFonts w:ascii="ITC Avant Garde" w:hAnsi="ITC Avant Garde"/>
        </w:rPr>
        <w:t xml:space="preserve"> servicios operativos para la prestación del servicio </w:t>
      </w:r>
      <w:r w:rsidRPr="002A2450">
        <w:rPr>
          <w:rFonts w:ascii="ITC Avant Garde" w:hAnsi="ITC Avant Garde"/>
          <w:b/>
        </w:rPr>
        <w:t>“D</w:t>
      </w:r>
      <w:r w:rsidR="00B61711" w:rsidRPr="002A2450">
        <w:rPr>
          <w:rFonts w:ascii="ITC Avant Garde" w:hAnsi="ITC Avant Garde"/>
          <w:b/>
        </w:rPr>
        <w:t>T</w:t>
      </w:r>
      <w:r w:rsidRPr="002A2450">
        <w:rPr>
          <w:rFonts w:ascii="ITC Avant Garde" w:hAnsi="ITC Avant Garde"/>
          <w:b/>
        </w:rPr>
        <w:t>H”</w:t>
      </w:r>
      <w:r w:rsidRPr="002A2450">
        <w:rPr>
          <w:rFonts w:ascii="ITC Avant Garde" w:hAnsi="ITC Avant Garde"/>
        </w:rPr>
        <w:t xml:space="preserve">, puesto que </w:t>
      </w:r>
      <w:r w:rsidR="00E07B7B" w:rsidRPr="002A2450">
        <w:rPr>
          <w:rFonts w:ascii="ITC Avant Garde" w:hAnsi="ITC Avant Garde"/>
        </w:rPr>
        <w:t xml:space="preserve">las manifestaciones y pruebas presentadas por </w:t>
      </w:r>
      <w:r w:rsidR="00E07B7B" w:rsidRPr="002A2450">
        <w:rPr>
          <w:rFonts w:ascii="ITC Avant Garde" w:hAnsi="ITC Avant Garde"/>
          <w:b/>
        </w:rPr>
        <w:t>"TELMEX"</w:t>
      </w:r>
      <w:r w:rsidR="00E07B7B" w:rsidRPr="002A2450">
        <w:rPr>
          <w:rFonts w:ascii="ITC Avant Garde" w:hAnsi="ITC Avant Garde"/>
        </w:rPr>
        <w:t xml:space="preserve"> no desvirtuaron</w:t>
      </w:r>
      <w:r w:rsidR="00DC315C" w:rsidRPr="002A2450">
        <w:rPr>
          <w:rFonts w:ascii="ITC Avant Garde" w:hAnsi="ITC Avant Garde"/>
        </w:rPr>
        <w:t xml:space="preserve"> ni justific</w:t>
      </w:r>
      <w:r w:rsidR="00E07B7B" w:rsidRPr="002A2450">
        <w:rPr>
          <w:rFonts w:ascii="ITC Avant Garde" w:hAnsi="ITC Avant Garde"/>
        </w:rPr>
        <w:t>aron</w:t>
      </w:r>
      <w:r w:rsidR="00DC315C" w:rsidRPr="002A2450">
        <w:rPr>
          <w:rFonts w:ascii="ITC Avant Garde" w:hAnsi="ITC Avant Garde"/>
        </w:rPr>
        <w:t xml:space="preserve"> có</w:t>
      </w:r>
      <w:r w:rsidRPr="002A2450">
        <w:rPr>
          <w:rFonts w:ascii="ITC Avant Garde" w:hAnsi="ITC Avant Garde"/>
        </w:rPr>
        <w:t>mo los temas tratados son consens</w:t>
      </w:r>
      <w:r w:rsidR="00610F91" w:rsidRPr="002A2450">
        <w:rPr>
          <w:rFonts w:ascii="ITC Avant Garde" w:hAnsi="ITC Avant Garde"/>
        </w:rPr>
        <w:t>u</w:t>
      </w:r>
      <w:r w:rsidRPr="002A2450">
        <w:rPr>
          <w:rFonts w:ascii="ITC Avant Garde" w:hAnsi="ITC Avant Garde"/>
        </w:rPr>
        <w:t>ados, aprobados y ejecutados, como si se tratara de una sola entidad</w:t>
      </w:r>
      <w:r w:rsidR="00311126" w:rsidRPr="002A2450">
        <w:rPr>
          <w:rFonts w:ascii="ITC Avant Garde" w:hAnsi="ITC Avant Garde"/>
        </w:rPr>
        <w:t>.</w:t>
      </w:r>
    </w:p>
    <w:p w14:paraId="2A5144FB" w14:textId="2B9D3137" w:rsidR="00B35F13" w:rsidRDefault="00311126" w:rsidP="00A80E02">
      <w:pPr>
        <w:spacing w:before="240" w:line="360" w:lineRule="auto"/>
        <w:ind w:left="567"/>
        <w:jc w:val="both"/>
        <w:rPr>
          <w:rFonts w:ascii="ITC Avant Garde" w:hAnsi="ITC Avant Garde"/>
        </w:rPr>
      </w:pPr>
      <w:r w:rsidRPr="002A2450">
        <w:rPr>
          <w:rFonts w:ascii="ITC Avant Garde" w:hAnsi="ITC Avant Garde"/>
        </w:rPr>
        <w:t xml:space="preserve">Lo anterior, ya que </w:t>
      </w:r>
      <w:r w:rsidR="00AB618D" w:rsidRPr="002A2450">
        <w:rPr>
          <w:rFonts w:ascii="ITC Avant Garde" w:hAnsi="ITC Avant Garde"/>
        </w:rPr>
        <w:t xml:space="preserve">los temas discutidos como parte de </w:t>
      </w:r>
      <w:r w:rsidR="00E07B7B" w:rsidRPr="002A2450">
        <w:rPr>
          <w:rFonts w:ascii="ITC Avant Garde" w:hAnsi="ITC Avant Garde"/>
        </w:rPr>
        <w:t xml:space="preserve">la </w:t>
      </w:r>
      <w:r w:rsidR="00AB618D" w:rsidRPr="002A2450">
        <w:rPr>
          <w:rFonts w:ascii="ITC Avant Garde" w:hAnsi="ITC Avant Garde"/>
        </w:rPr>
        <w:t>operación de un ente económico es de</w:t>
      </w:r>
      <w:r w:rsidR="00E07B7B" w:rsidRPr="002A2450">
        <w:rPr>
          <w:rFonts w:ascii="ITC Avant Garde" w:hAnsi="ITC Avant Garde"/>
        </w:rPr>
        <w:t>l</w:t>
      </w:r>
      <w:r w:rsidR="00AB618D" w:rsidRPr="002A2450">
        <w:rPr>
          <w:rFonts w:ascii="ITC Avant Garde" w:hAnsi="ITC Avant Garde"/>
        </w:rPr>
        <w:t xml:space="preserve"> todo natural, pero</w:t>
      </w:r>
      <w:r w:rsidR="00E07B7B" w:rsidRPr="002A2450">
        <w:rPr>
          <w:rFonts w:ascii="ITC Avant Garde" w:hAnsi="ITC Avant Garde"/>
        </w:rPr>
        <w:t xml:space="preserve"> en este caso se acredita que </w:t>
      </w:r>
      <w:r w:rsidR="00AB618D" w:rsidRPr="002A2450">
        <w:rPr>
          <w:rFonts w:ascii="ITC Avant Garde" w:hAnsi="ITC Avant Garde"/>
          <w:b/>
        </w:rPr>
        <w:t>“TELMEX”</w:t>
      </w:r>
      <w:r w:rsidR="00AB618D" w:rsidRPr="002A2450">
        <w:rPr>
          <w:rFonts w:ascii="ITC Avant Garde" w:hAnsi="ITC Avant Garde"/>
        </w:rPr>
        <w:t xml:space="preserve"> </w:t>
      </w:r>
      <w:r w:rsidR="00E07B7B" w:rsidRPr="002A2450">
        <w:rPr>
          <w:rFonts w:ascii="ITC Avant Garde" w:hAnsi="ITC Avant Garde"/>
        </w:rPr>
        <w:t xml:space="preserve">tuvo y ejerció derechos </w:t>
      </w:r>
      <w:r w:rsidR="00E07B7B" w:rsidRPr="002A2450">
        <w:rPr>
          <w:rFonts w:ascii="ITC Avant Garde" w:hAnsi="ITC Avant Garde"/>
          <w:i/>
        </w:rPr>
        <w:t xml:space="preserve">de facto </w:t>
      </w:r>
      <w:r w:rsidR="00E07B7B" w:rsidRPr="002A2450">
        <w:rPr>
          <w:rFonts w:ascii="ITC Avant Garde" w:hAnsi="ITC Avant Garde"/>
        </w:rPr>
        <w:t xml:space="preserve">para conocer e intervenir en el proceso de toma de decisiones </w:t>
      </w:r>
      <w:r w:rsidR="00AB618D" w:rsidRPr="002A2450">
        <w:rPr>
          <w:rFonts w:ascii="ITC Avant Garde" w:hAnsi="ITC Avant Garde"/>
        </w:rPr>
        <w:t xml:space="preserve"> en la operación de </w:t>
      </w:r>
      <w:r w:rsidR="00E07B7B" w:rsidRPr="002A2450">
        <w:rPr>
          <w:rFonts w:ascii="ITC Avant Garde" w:hAnsi="ITC Avant Garde"/>
        </w:rPr>
        <w:t xml:space="preserve">los </w:t>
      </w:r>
      <w:r w:rsidR="00AB618D" w:rsidRPr="002A2450">
        <w:rPr>
          <w:rFonts w:ascii="ITC Avant Garde" w:hAnsi="ITC Avant Garde"/>
        </w:rPr>
        <w:t>negocio</w:t>
      </w:r>
      <w:r w:rsidR="00E07B7B" w:rsidRPr="002A2450">
        <w:rPr>
          <w:rFonts w:ascii="ITC Avant Garde" w:hAnsi="ITC Avant Garde"/>
        </w:rPr>
        <w:t xml:space="preserve">s o actividades de </w:t>
      </w:r>
      <w:r w:rsidR="00E07B7B" w:rsidRPr="002A2450">
        <w:rPr>
          <w:rFonts w:ascii="ITC Avant Garde" w:hAnsi="ITC Avant Garde"/>
          <w:b/>
        </w:rPr>
        <w:t>"DISH MÉXICO"</w:t>
      </w:r>
      <w:r w:rsidR="00E07B7B" w:rsidRPr="002A2450">
        <w:rPr>
          <w:rFonts w:ascii="ITC Avant Garde" w:hAnsi="ITC Avant Garde"/>
        </w:rPr>
        <w:t xml:space="preserve"> y sus subsidiarias, entre las que se encuentra </w:t>
      </w:r>
      <w:r w:rsidR="00E07B7B" w:rsidRPr="002A2450">
        <w:rPr>
          <w:rFonts w:ascii="ITC Avant Garde" w:hAnsi="ITC Avant Garde"/>
          <w:b/>
        </w:rPr>
        <w:t>"COFRESA"</w:t>
      </w:r>
      <w:r w:rsidR="00E07B7B" w:rsidRPr="002A2450">
        <w:rPr>
          <w:rFonts w:ascii="ITC Avant Garde" w:hAnsi="ITC Avant Garde"/>
        </w:rPr>
        <w:t>, con lo cual se sustenta que</w:t>
      </w:r>
      <w:r w:rsidR="00AB618D" w:rsidRPr="002A2450">
        <w:rPr>
          <w:rFonts w:ascii="ITC Avant Garde" w:hAnsi="ITC Avant Garde"/>
        </w:rPr>
        <w:t xml:space="preserve"> efectivamente exist</w:t>
      </w:r>
      <w:r w:rsidR="00E07B7B" w:rsidRPr="002A2450">
        <w:rPr>
          <w:rFonts w:ascii="ITC Avant Garde" w:hAnsi="ITC Avant Garde"/>
        </w:rPr>
        <w:t>en</w:t>
      </w:r>
      <w:r w:rsidR="00AB618D" w:rsidRPr="002A2450">
        <w:rPr>
          <w:rFonts w:ascii="ITC Avant Garde" w:hAnsi="ITC Avant Garde"/>
        </w:rPr>
        <w:t xml:space="preserve"> elementos </w:t>
      </w:r>
      <w:r w:rsidRPr="002A2450">
        <w:rPr>
          <w:rFonts w:ascii="ITC Avant Garde" w:hAnsi="ITC Avant Garde"/>
        </w:rPr>
        <w:t xml:space="preserve">suficientes para acreditar </w:t>
      </w:r>
      <w:r w:rsidR="00AB618D" w:rsidRPr="002A2450">
        <w:rPr>
          <w:rFonts w:ascii="ITC Avant Garde" w:hAnsi="ITC Avant Garde"/>
        </w:rPr>
        <w:t xml:space="preserve">que con dichas conductas, </w:t>
      </w:r>
      <w:r w:rsidR="00AB618D" w:rsidRPr="002A2450">
        <w:rPr>
          <w:rFonts w:ascii="ITC Avant Garde" w:hAnsi="ITC Avant Garde"/>
          <w:b/>
        </w:rPr>
        <w:t>“TELMEX”</w:t>
      </w:r>
      <w:r w:rsidR="00AB618D" w:rsidRPr="002A2450">
        <w:rPr>
          <w:rFonts w:ascii="ITC Avant Garde" w:hAnsi="ITC Avant Garde"/>
        </w:rPr>
        <w:t xml:space="preserve"> particip</w:t>
      </w:r>
      <w:r w:rsidRPr="002A2450">
        <w:rPr>
          <w:rFonts w:ascii="ITC Avant Garde" w:hAnsi="ITC Avant Garde"/>
        </w:rPr>
        <w:t>ó</w:t>
      </w:r>
      <w:r w:rsidR="00AB618D" w:rsidRPr="002A2450">
        <w:rPr>
          <w:rFonts w:ascii="ITC Avant Garde" w:hAnsi="ITC Avant Garde"/>
        </w:rPr>
        <w:t xml:space="preserve"> no como proveedor sino como un verdadero miembro en la conducción del sistema </w:t>
      </w:r>
      <w:r w:rsidR="00AB618D" w:rsidRPr="002A2450">
        <w:rPr>
          <w:rFonts w:ascii="ITC Avant Garde" w:hAnsi="ITC Avant Garde"/>
          <w:b/>
        </w:rPr>
        <w:t>“DISH”</w:t>
      </w:r>
      <w:r w:rsidR="00AB618D" w:rsidRPr="002A2450">
        <w:rPr>
          <w:rFonts w:ascii="ITC Avant Garde" w:hAnsi="ITC Avant Garde"/>
        </w:rPr>
        <w:t>.</w:t>
      </w:r>
    </w:p>
    <w:p w14:paraId="6A740504" w14:textId="77777777" w:rsidR="00A80E02" w:rsidRDefault="00311126" w:rsidP="00B35F13">
      <w:pPr>
        <w:spacing w:before="240" w:line="360" w:lineRule="auto"/>
        <w:ind w:left="567"/>
        <w:jc w:val="both"/>
        <w:rPr>
          <w:rFonts w:ascii="ITC Avant Garde" w:hAnsi="ITC Avant Garde"/>
        </w:rPr>
        <w:sectPr w:rsidR="00A80E02" w:rsidSect="009F3771">
          <w:headerReference w:type="default" r:id="rId74"/>
          <w:pgSz w:w="12240" w:h="15840"/>
          <w:pgMar w:top="1985" w:right="1701" w:bottom="1418" w:left="1701" w:header="709" w:footer="709" w:gutter="0"/>
          <w:cols w:space="708"/>
          <w:docGrid w:linePitch="360"/>
        </w:sectPr>
      </w:pPr>
      <w:r w:rsidRPr="002A2450">
        <w:rPr>
          <w:rFonts w:ascii="ITC Avant Garde" w:hAnsi="ITC Avant Garde"/>
        </w:rPr>
        <w:t xml:space="preserve">Ahora bien, no debe pasar desapercibido el hecho de que en términos del contrato de opción (Sección 3.) </w:t>
      </w:r>
      <w:r w:rsidRPr="002A2450">
        <w:rPr>
          <w:rFonts w:ascii="ITC Avant Garde" w:hAnsi="ITC Avant Garde"/>
          <w:b/>
        </w:rPr>
        <w:t>“TENINVER”</w:t>
      </w:r>
      <w:r w:rsidRPr="002A2450">
        <w:rPr>
          <w:rFonts w:ascii="ITC Avant Garde" w:hAnsi="ITC Avant Garde"/>
        </w:rPr>
        <w:t xml:space="preserve"> tendría derecho a recibir</w:t>
      </w:r>
      <w:r w:rsidR="00CC4F7C" w:rsidRPr="002A2450">
        <w:rPr>
          <w:rFonts w:ascii="ITC Avant Garde" w:hAnsi="ITC Avant Garde"/>
        </w:rPr>
        <w:t>,</w:t>
      </w:r>
      <w:r w:rsidRPr="002A2450">
        <w:rPr>
          <w:rFonts w:ascii="ITC Avant Garde" w:hAnsi="ITC Avant Garde"/>
        </w:rPr>
        <w:t xml:space="preserve"> como si fuera socio</w:t>
      </w:r>
      <w:r w:rsidR="00CC4F7C" w:rsidRPr="002A2450">
        <w:rPr>
          <w:rFonts w:ascii="ITC Avant Garde" w:hAnsi="ITC Avant Garde"/>
        </w:rPr>
        <w:t>,</w:t>
      </w:r>
      <w:r w:rsidRPr="002A2450">
        <w:rPr>
          <w:rFonts w:ascii="ITC Avant Garde" w:hAnsi="ITC Avant Garde"/>
        </w:rPr>
        <w:t xml:space="preserve"> </w:t>
      </w:r>
      <w:r w:rsidR="00CC4F7C" w:rsidRPr="002A2450">
        <w:rPr>
          <w:rFonts w:ascii="ITC Avant Garde" w:hAnsi="ITC Avant Garde"/>
        </w:rPr>
        <w:t xml:space="preserve">la información relacionada con </w:t>
      </w:r>
      <w:r w:rsidR="005A3CF7" w:rsidRPr="002A2450">
        <w:rPr>
          <w:rFonts w:ascii="ITC Avant Garde" w:hAnsi="ITC Avant Garde"/>
        </w:rPr>
        <w:t>l</w:t>
      </w:r>
      <w:r w:rsidRPr="002A2450">
        <w:rPr>
          <w:rFonts w:ascii="ITC Avant Garde" w:hAnsi="ITC Avant Garde"/>
        </w:rPr>
        <w:t xml:space="preserve">os activos, libros corporativos y </w:t>
      </w:r>
    </w:p>
    <w:p w14:paraId="6A4F6D8E" w14:textId="4875CE31" w:rsidR="00B35F13" w:rsidRDefault="00311126" w:rsidP="00B35F13">
      <w:pPr>
        <w:spacing w:before="240" w:line="360" w:lineRule="auto"/>
        <w:ind w:left="567"/>
        <w:jc w:val="both"/>
        <w:rPr>
          <w:rFonts w:ascii="ITC Avant Garde" w:hAnsi="ITC Avant Garde"/>
        </w:rPr>
      </w:pPr>
      <w:proofErr w:type="gramStart"/>
      <w:r w:rsidRPr="002A2450">
        <w:rPr>
          <w:rFonts w:ascii="ITC Avant Garde" w:hAnsi="ITC Avant Garde"/>
        </w:rPr>
        <w:lastRenderedPageBreak/>
        <w:t>registros</w:t>
      </w:r>
      <w:proofErr w:type="gramEnd"/>
      <w:r w:rsidRPr="002A2450">
        <w:rPr>
          <w:rFonts w:ascii="ITC Avant Garde" w:hAnsi="ITC Avant Garde"/>
        </w:rPr>
        <w:t xml:space="preserve"> financieros de </w:t>
      </w:r>
      <w:r w:rsidRPr="002A2450">
        <w:rPr>
          <w:rFonts w:ascii="ITC Avant Garde" w:hAnsi="ITC Avant Garde"/>
          <w:b/>
        </w:rPr>
        <w:t>“DISH MÉXICO”</w:t>
      </w:r>
      <w:r w:rsidRPr="002A2450">
        <w:rPr>
          <w:rFonts w:ascii="ITC Avant Garde" w:hAnsi="ITC Avant Garde"/>
        </w:rPr>
        <w:t>, así como comentar los asuntos de finanzas y cuentas de dicha empresa y a ser asesorado respecto de los mismos.</w:t>
      </w:r>
    </w:p>
    <w:p w14:paraId="78B43CF2" w14:textId="77777777" w:rsidR="00B35F13" w:rsidRDefault="00311126" w:rsidP="00B35F13">
      <w:pPr>
        <w:spacing w:before="240" w:line="360" w:lineRule="auto"/>
        <w:ind w:left="567"/>
        <w:jc w:val="both"/>
        <w:rPr>
          <w:rFonts w:ascii="ITC Avant Garde" w:hAnsi="ITC Avant Garde"/>
        </w:rPr>
      </w:pPr>
      <w:r w:rsidRPr="002A2450">
        <w:rPr>
          <w:rFonts w:ascii="ITC Avant Garde" w:hAnsi="ITC Avant Garde"/>
        </w:rPr>
        <w:t xml:space="preserve">Con lo anterior, resulta </w:t>
      </w:r>
      <w:r w:rsidR="00E43E13" w:rsidRPr="002A2450">
        <w:rPr>
          <w:rFonts w:ascii="ITC Avant Garde" w:hAnsi="ITC Avant Garde"/>
        </w:rPr>
        <w:t xml:space="preserve">innegable que </w:t>
      </w:r>
      <w:r w:rsidR="00E43E13" w:rsidRPr="002A2450">
        <w:rPr>
          <w:rFonts w:ascii="ITC Avant Garde" w:hAnsi="ITC Avant Garde"/>
          <w:b/>
        </w:rPr>
        <w:t>“TELMEX”</w:t>
      </w:r>
      <w:r w:rsidR="00CC4F7C" w:rsidRPr="002A2450">
        <w:rPr>
          <w:rFonts w:ascii="ITC Avant Garde" w:hAnsi="ITC Avant Garde"/>
          <w:b/>
        </w:rPr>
        <w:t xml:space="preserve"> </w:t>
      </w:r>
      <w:r w:rsidR="00CC4F7C" w:rsidRPr="002A2450">
        <w:rPr>
          <w:rFonts w:ascii="ITC Avant Garde" w:hAnsi="ITC Avant Garde"/>
        </w:rPr>
        <w:t xml:space="preserve">contaba con la información financiera suficiente para poder participar en la condición del negocio </w:t>
      </w:r>
      <w:r w:rsidR="00CC4F7C" w:rsidRPr="002A2450">
        <w:rPr>
          <w:rFonts w:ascii="ITC Avant Garde" w:hAnsi="ITC Avant Garde"/>
          <w:b/>
        </w:rPr>
        <w:t xml:space="preserve">“DISH”, </w:t>
      </w:r>
      <w:r w:rsidR="005A3CF7" w:rsidRPr="002A2450">
        <w:rPr>
          <w:rFonts w:ascii="ITC Avant Garde" w:hAnsi="ITC Avant Garde"/>
        </w:rPr>
        <w:t>que aunado a las 35 reuniones de las que esta autoridad tuvo conocimiento, es dable considerar que dentro de las mismas se toma</w:t>
      </w:r>
      <w:r w:rsidR="008521D0" w:rsidRPr="002A2450">
        <w:rPr>
          <w:rFonts w:ascii="ITC Avant Garde" w:hAnsi="ITC Avant Garde"/>
        </w:rPr>
        <w:t>ro</w:t>
      </w:r>
      <w:r w:rsidR="005A3CF7" w:rsidRPr="002A2450">
        <w:rPr>
          <w:rFonts w:ascii="ITC Avant Garde" w:hAnsi="ITC Avant Garde"/>
        </w:rPr>
        <w:t xml:space="preserve">n decisiones relacionadas con la prestación del servicio de televisión restringida vía satelital, lo que evidencia que la relación sostenida era más allá de una </w:t>
      </w:r>
      <w:r w:rsidR="00507B68" w:rsidRPr="002A2450">
        <w:rPr>
          <w:rFonts w:ascii="ITC Avant Garde" w:hAnsi="ITC Avant Garde"/>
        </w:rPr>
        <w:t xml:space="preserve">simple </w:t>
      </w:r>
      <w:r w:rsidR="005A3CF7" w:rsidRPr="002A2450">
        <w:rPr>
          <w:rFonts w:ascii="ITC Avant Garde" w:hAnsi="ITC Avant Garde"/>
        </w:rPr>
        <w:t>relación mercantil.</w:t>
      </w:r>
    </w:p>
    <w:p w14:paraId="62C7A422" w14:textId="77777777" w:rsidR="00B35F13" w:rsidRDefault="00397E9F" w:rsidP="00B35F13">
      <w:pPr>
        <w:spacing w:before="240" w:line="360" w:lineRule="auto"/>
        <w:ind w:left="567" w:right="567"/>
        <w:jc w:val="both"/>
        <w:rPr>
          <w:rFonts w:ascii="ITC Avant Garde" w:hAnsi="ITC Avant Garde"/>
        </w:rPr>
      </w:pPr>
      <w:r w:rsidRPr="002A2450">
        <w:rPr>
          <w:rFonts w:ascii="ITC Avant Garde" w:hAnsi="ITC Avant Garde"/>
        </w:rPr>
        <w:t xml:space="preserve">Asimismo, </w:t>
      </w:r>
      <w:r w:rsidR="0055347B" w:rsidRPr="0004375E">
        <w:rPr>
          <w:rFonts w:ascii="ITC Avant Garde" w:eastAsiaTheme="majorEastAsia" w:hAnsi="ITC Avant Garde" w:cstheme="majorBidi"/>
          <w:b/>
          <w:color w:val="0000FF"/>
          <w:szCs w:val="32"/>
        </w:rPr>
        <w:t>“CONFIDENCIAL POR LEY”</w:t>
      </w:r>
      <w:r w:rsidR="0055347B">
        <w:rPr>
          <w:rFonts w:ascii="ITC Avant Garde" w:eastAsiaTheme="majorEastAsia" w:hAnsi="ITC Avant Garde" w:cstheme="majorBidi"/>
          <w:color w:val="0000FF"/>
          <w:szCs w:val="32"/>
        </w:rPr>
        <w:t xml:space="preserve"> </w:t>
      </w:r>
      <w:r w:rsidRPr="002A2450">
        <w:rPr>
          <w:rFonts w:ascii="ITC Avant Garde" w:hAnsi="ITC Avant Garde"/>
        </w:rPr>
        <w:t xml:space="preserve">Contrato de Consecuencias establece que antes del ejercicio de cualquiera de las opciones otorgadas conforme al Contrato de Opciones de Compra y Venta ninguno de los siguientes eventos debía ocurrir sin el previo consentimiento de </w:t>
      </w:r>
      <w:r w:rsidR="005B601B" w:rsidRPr="002A2450">
        <w:rPr>
          <w:rFonts w:ascii="ITC Avant Garde" w:hAnsi="ITC Avant Garde"/>
          <w:b/>
        </w:rPr>
        <w:t>“TELMEX”</w:t>
      </w:r>
      <w:r w:rsidRPr="002A2450">
        <w:rPr>
          <w:rFonts w:ascii="ITC Avant Garde" w:hAnsi="ITC Avant Garde"/>
        </w:rPr>
        <w:t xml:space="preserve"> y </w:t>
      </w:r>
      <w:r w:rsidR="00BC2265" w:rsidRPr="002A2450">
        <w:rPr>
          <w:rFonts w:ascii="ITC Avant Garde" w:hAnsi="ITC Avant Garde"/>
          <w:b/>
        </w:rPr>
        <w:t>“TENINVER”</w:t>
      </w:r>
      <w:r w:rsidRPr="002A2450">
        <w:rPr>
          <w:rFonts w:ascii="ITC Avant Garde" w:hAnsi="ITC Avant Garde"/>
        </w:rPr>
        <w:t>, entre otros:</w:t>
      </w:r>
    </w:p>
    <w:p w14:paraId="6C63D46C" w14:textId="5BDF5C5A" w:rsidR="00B35F13" w:rsidRPr="0004375E" w:rsidRDefault="0055347B" w:rsidP="00B35F13">
      <w:pPr>
        <w:spacing w:before="240" w:line="360" w:lineRule="auto"/>
        <w:ind w:left="567"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42E20982" w14:textId="77777777" w:rsidR="00B35F13" w:rsidRDefault="00397E9F" w:rsidP="00B35F13">
      <w:pPr>
        <w:spacing w:before="240" w:line="360" w:lineRule="auto"/>
        <w:jc w:val="both"/>
        <w:rPr>
          <w:rFonts w:ascii="ITC Avant Garde" w:eastAsia="Times New Roman" w:hAnsi="ITC Avant Garde" w:cs="Calibri"/>
          <w:lang w:eastAsia="es-ES_tradnl"/>
        </w:rPr>
      </w:pPr>
      <w:r w:rsidRPr="002A2450">
        <w:rPr>
          <w:rFonts w:ascii="ITC Avant Garde" w:hAnsi="ITC Avant Garde"/>
        </w:rPr>
        <w:t xml:space="preserve">Por lo anterior, se tiene por acreditado que los Contratos de Consecuencias, coaligado con el Contrato de Opción de Compra </w:t>
      </w:r>
      <w:r w:rsidR="005B601B" w:rsidRPr="002A2450">
        <w:rPr>
          <w:rFonts w:ascii="ITC Avant Garde" w:hAnsi="ITC Avant Garde"/>
        </w:rPr>
        <w:t xml:space="preserve">Venta establecen  </w:t>
      </w:r>
      <w:r w:rsidRPr="002A2450">
        <w:rPr>
          <w:rFonts w:ascii="ITC Avant Garde" w:eastAsia="Times New Roman" w:hAnsi="ITC Avant Garde" w:cs="Calibri"/>
          <w:lang w:eastAsia="es-ES_tradnl"/>
        </w:rPr>
        <w:t xml:space="preserve">canales a través de las cuales </w:t>
      </w:r>
      <w:r w:rsidR="005B601B" w:rsidRPr="002A2450">
        <w:rPr>
          <w:rFonts w:ascii="ITC Avant Garde" w:eastAsia="Times New Roman" w:hAnsi="ITC Avant Garde" w:cs="Calibri"/>
          <w:b/>
          <w:lang w:eastAsia="es-ES_tradnl"/>
        </w:rPr>
        <w:t>“TELMEX”</w:t>
      </w:r>
      <w:r w:rsidRPr="002A2450">
        <w:rPr>
          <w:rFonts w:ascii="ITC Avant Garde" w:eastAsia="Times New Roman" w:hAnsi="ITC Avant Garde" w:cs="Calibri"/>
          <w:lang w:eastAsia="es-ES_tradnl"/>
        </w:rPr>
        <w:t>/</w:t>
      </w:r>
      <w:r w:rsidR="005B601B" w:rsidRPr="002A2450">
        <w:rPr>
          <w:rFonts w:ascii="ITC Avant Garde" w:eastAsia="Times New Roman" w:hAnsi="ITC Avant Garde" w:cs="Calibri"/>
          <w:lang w:eastAsia="es-ES_tradnl"/>
        </w:rPr>
        <w:t xml:space="preserve"> </w:t>
      </w:r>
      <w:r w:rsidR="005B601B" w:rsidRPr="002A2450">
        <w:rPr>
          <w:rFonts w:ascii="ITC Avant Garde" w:eastAsia="Times New Roman" w:hAnsi="ITC Avant Garde" w:cs="Calibri"/>
          <w:b/>
          <w:lang w:eastAsia="es-ES_tradnl"/>
        </w:rPr>
        <w:t>"TENINVER"</w:t>
      </w:r>
      <w:r w:rsidRPr="002A2450">
        <w:rPr>
          <w:rFonts w:ascii="ITC Avant Garde" w:eastAsia="Times New Roman" w:hAnsi="ITC Avant Garde" w:cs="Calibri"/>
          <w:lang w:eastAsia="es-ES_tradnl"/>
        </w:rPr>
        <w:t xml:space="preserve"> podrían monitorear el desarrollo de las </w:t>
      </w:r>
      <w:proofErr w:type="gramStart"/>
      <w:r w:rsidRPr="002A2450">
        <w:rPr>
          <w:rFonts w:ascii="ITC Avant Garde" w:eastAsia="Times New Roman" w:hAnsi="ITC Avant Garde" w:cs="Calibri"/>
          <w:lang w:eastAsia="es-ES_tradnl"/>
        </w:rPr>
        <w:t>actividades</w:t>
      </w:r>
      <w:proofErr w:type="gramEnd"/>
      <w:r w:rsidRPr="002A2450">
        <w:rPr>
          <w:rFonts w:ascii="ITC Avant Garde" w:eastAsia="Times New Roman" w:hAnsi="ITC Avant Garde" w:cs="Calibri"/>
          <w:lang w:eastAsia="es-ES_tradnl"/>
        </w:rPr>
        <w:t xml:space="preserve"> de </w:t>
      </w:r>
      <w:r w:rsidR="005B601B" w:rsidRPr="002A2450">
        <w:rPr>
          <w:rFonts w:ascii="ITC Avant Garde" w:eastAsia="Times New Roman" w:hAnsi="ITC Avant Garde" w:cs="Calibri"/>
          <w:b/>
          <w:lang w:eastAsia="es-ES_tradnl"/>
        </w:rPr>
        <w:t>“DISH MÉXICO”</w:t>
      </w:r>
      <w:r w:rsidRPr="002A2450">
        <w:rPr>
          <w:rFonts w:ascii="ITC Avant Garde" w:eastAsia="Times New Roman" w:hAnsi="ITC Avant Garde" w:cs="Calibri"/>
          <w:lang w:eastAsia="es-ES_tradnl"/>
        </w:rPr>
        <w:t xml:space="preserve"> (por ejemplo, notificación de eventos específicos entre otros), e intercambiar información y coordinar actividades (reuniones frecuentes de miembros de los miembros de los consejos de administración de </w:t>
      </w:r>
      <w:r w:rsidR="005B601B" w:rsidRPr="002A2450">
        <w:rPr>
          <w:rFonts w:ascii="ITC Avant Garde" w:eastAsia="Times New Roman" w:hAnsi="ITC Avant Garde" w:cs="Calibri"/>
          <w:b/>
          <w:lang w:eastAsia="es-ES_tradnl"/>
        </w:rPr>
        <w:t>“TELMEX”</w:t>
      </w:r>
      <w:r w:rsidRPr="002A2450">
        <w:rPr>
          <w:rFonts w:ascii="ITC Avant Garde" w:eastAsia="Times New Roman" w:hAnsi="ITC Avant Garde" w:cs="Calibri"/>
          <w:lang w:eastAsia="es-ES_tradnl"/>
        </w:rPr>
        <w:t xml:space="preserve"> y diversas empresas de </w:t>
      </w:r>
      <w:r w:rsidR="005B601B" w:rsidRPr="002A2450">
        <w:rPr>
          <w:rFonts w:ascii="ITC Avant Garde" w:eastAsia="Times New Roman" w:hAnsi="ITC Avant Garde" w:cs="Calibri"/>
          <w:b/>
          <w:lang w:eastAsia="es-ES_tradnl"/>
        </w:rPr>
        <w:t xml:space="preserve">“GRUPO </w:t>
      </w:r>
      <w:r w:rsidRPr="002A2450">
        <w:rPr>
          <w:rFonts w:ascii="ITC Avant Garde" w:eastAsia="Times New Roman" w:hAnsi="ITC Avant Garde" w:cs="Calibri"/>
          <w:b/>
          <w:lang w:eastAsia="es-ES_tradnl"/>
        </w:rPr>
        <w:t>MVS</w:t>
      </w:r>
      <w:r w:rsidR="005B601B" w:rsidRPr="002A2450">
        <w:rPr>
          <w:rFonts w:ascii="ITC Avant Garde" w:eastAsia="Times New Roman" w:hAnsi="ITC Avant Garde" w:cs="Calibri"/>
          <w:lang w:eastAsia="es-ES_tradnl"/>
        </w:rPr>
        <w:t>”</w:t>
      </w:r>
      <w:r w:rsidRPr="002A2450">
        <w:rPr>
          <w:rFonts w:ascii="ITC Avant Garde" w:eastAsia="Times New Roman" w:hAnsi="ITC Avant Garde" w:cs="Calibri"/>
          <w:lang w:eastAsia="es-ES_tradnl"/>
        </w:rPr>
        <w:t>.</w:t>
      </w:r>
    </w:p>
    <w:p w14:paraId="5C230003" w14:textId="77777777" w:rsidR="00B35F13" w:rsidRDefault="005B601B" w:rsidP="00B35F13">
      <w:pPr>
        <w:tabs>
          <w:tab w:val="num" w:pos="709"/>
        </w:tabs>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Aún más, </w:t>
      </w:r>
      <w:r w:rsidR="00976B0A" w:rsidRPr="002A2450">
        <w:rPr>
          <w:rFonts w:ascii="ITC Avant Garde" w:eastAsia="Calibri" w:hAnsi="ITC Avant Garde" w:cs="Times New Roman"/>
        </w:rPr>
        <w:t xml:space="preserve">se acredita que </w:t>
      </w:r>
      <w:r w:rsidR="00071855" w:rsidRPr="002A2450">
        <w:rPr>
          <w:rFonts w:ascii="ITC Avant Garde" w:eastAsia="Times New Roman" w:hAnsi="ITC Avant Garde" w:cs="Calibri"/>
          <w:b/>
          <w:lang w:eastAsia="es-ES_tradnl"/>
        </w:rPr>
        <w:t>“TELMEX”</w:t>
      </w:r>
      <w:r w:rsidR="00071855" w:rsidRPr="002A2450">
        <w:rPr>
          <w:rFonts w:ascii="ITC Avant Garde" w:eastAsia="Times New Roman" w:hAnsi="ITC Avant Garde" w:cs="Calibri"/>
          <w:lang w:eastAsia="es-ES_tradnl"/>
        </w:rPr>
        <w:t xml:space="preserve">/ </w:t>
      </w:r>
      <w:r w:rsidR="00071855" w:rsidRPr="002A2450">
        <w:rPr>
          <w:rFonts w:ascii="ITC Avant Garde" w:eastAsia="Times New Roman" w:hAnsi="ITC Avant Garde" w:cs="Calibri"/>
          <w:b/>
          <w:lang w:eastAsia="es-ES_tradnl"/>
        </w:rPr>
        <w:t>"TENINVER"</w:t>
      </w:r>
      <w:r w:rsidRPr="002A2450">
        <w:rPr>
          <w:rFonts w:ascii="ITC Avant Garde" w:eastAsia="Calibri" w:hAnsi="ITC Avant Garde" w:cs="Times New Roman"/>
        </w:rPr>
        <w:t xml:space="preserve"> no sólo </w:t>
      </w:r>
      <w:r w:rsidR="00976B0A" w:rsidRPr="002A2450">
        <w:rPr>
          <w:rFonts w:ascii="ITC Avant Garde" w:eastAsia="Calibri" w:hAnsi="ITC Avant Garde" w:cs="Times New Roman"/>
        </w:rPr>
        <w:t xml:space="preserve">tuvo los derechos para conocer y </w:t>
      </w:r>
      <w:r w:rsidRPr="002A2450">
        <w:rPr>
          <w:rFonts w:ascii="ITC Avant Garde" w:eastAsia="Calibri" w:hAnsi="ITC Avant Garde" w:cs="Times New Roman"/>
        </w:rPr>
        <w:t>autorizar la toma de decisiones sobre eventos</w:t>
      </w:r>
      <w:r w:rsidR="00976B0A" w:rsidRPr="002A2450">
        <w:rPr>
          <w:rFonts w:ascii="ITC Avant Garde" w:eastAsia="Calibri" w:hAnsi="ITC Avant Garde" w:cs="Times New Roman"/>
        </w:rPr>
        <w:t xml:space="preserve"> específicos que </w:t>
      </w:r>
      <w:r w:rsidR="00976B0A" w:rsidRPr="002A2450">
        <w:rPr>
          <w:rFonts w:ascii="ITC Avant Garde" w:eastAsia="Calibri" w:hAnsi="ITC Avant Garde" w:cs="Times New Roman"/>
        </w:rPr>
        <w:lastRenderedPageBreak/>
        <w:t xml:space="preserve">trascendieron a las operaciones de </w:t>
      </w:r>
      <w:r w:rsidR="00976B0A" w:rsidRPr="002A2450">
        <w:rPr>
          <w:rFonts w:ascii="ITC Avant Garde" w:eastAsia="Calibri" w:hAnsi="ITC Avant Garde" w:cs="Times New Roman"/>
          <w:b/>
        </w:rPr>
        <w:t>"DISH MÉXICO"</w:t>
      </w:r>
      <w:r w:rsidR="00976B0A" w:rsidRPr="002A2450">
        <w:rPr>
          <w:rFonts w:ascii="ITC Avant Garde" w:eastAsia="Calibri" w:hAnsi="ITC Avant Garde" w:cs="Times New Roman"/>
        </w:rPr>
        <w:t xml:space="preserve"> y sus subsidiarias, incluida </w:t>
      </w:r>
      <w:r w:rsidR="00976B0A" w:rsidRPr="002A2450">
        <w:rPr>
          <w:rFonts w:ascii="ITC Avant Garde" w:eastAsia="Calibri" w:hAnsi="ITC Avant Garde" w:cs="Times New Roman"/>
          <w:b/>
        </w:rPr>
        <w:t>"COFRESA"</w:t>
      </w:r>
      <w:r w:rsidRPr="002A2450">
        <w:rPr>
          <w:rFonts w:ascii="ITC Avant Garde" w:eastAsia="Calibri" w:hAnsi="ITC Avant Garde" w:cs="Times New Roman"/>
        </w:rPr>
        <w:t xml:space="preserve">, sino que efectivamente </w:t>
      </w:r>
      <w:r w:rsidR="00976B0A" w:rsidRPr="002A2450">
        <w:rPr>
          <w:rFonts w:ascii="ITC Avant Garde" w:eastAsia="Calibri" w:hAnsi="ITC Avant Garde" w:cs="Times New Roman"/>
        </w:rPr>
        <w:t xml:space="preserve">ejerció esas facultades en </w:t>
      </w:r>
      <w:r w:rsidRPr="002A2450">
        <w:rPr>
          <w:rFonts w:ascii="ITC Avant Garde" w:eastAsia="Calibri" w:hAnsi="ITC Avant Garde" w:cs="Times New Roman"/>
        </w:rPr>
        <w:t>tres ocasiones</w:t>
      </w:r>
      <w:r w:rsidR="00976B0A" w:rsidRPr="002A2450">
        <w:rPr>
          <w:rFonts w:ascii="ITC Avant Garde" w:eastAsia="Calibri" w:hAnsi="ITC Avant Garde" w:cs="Times New Roman"/>
        </w:rPr>
        <w:t xml:space="preserve">. </w:t>
      </w:r>
    </w:p>
    <w:p w14:paraId="0E9ADB11" w14:textId="749390B2" w:rsidR="005B601B" w:rsidRDefault="00976B0A" w:rsidP="00B35F13">
      <w:pPr>
        <w:tabs>
          <w:tab w:val="num" w:pos="709"/>
        </w:tabs>
        <w:spacing w:before="240" w:line="360" w:lineRule="auto"/>
        <w:jc w:val="both"/>
        <w:rPr>
          <w:rFonts w:ascii="ITC Avant Garde" w:eastAsia="Calibri" w:hAnsi="ITC Avant Garde" w:cs="Times New Roman"/>
        </w:rPr>
      </w:pPr>
      <w:r w:rsidRPr="009E34A4">
        <w:rPr>
          <w:rFonts w:ascii="ITC Avant Garde" w:eastAsia="Calibri" w:hAnsi="ITC Avant Garde" w:cs="Times New Roman"/>
          <w:b/>
        </w:rPr>
        <w:t>"DISH MÉXICO"</w:t>
      </w:r>
      <w:r w:rsidRPr="002A2450">
        <w:rPr>
          <w:rFonts w:ascii="ITC Avant Garde" w:eastAsia="Calibri" w:hAnsi="ITC Avant Garde" w:cs="Times New Roman"/>
        </w:rPr>
        <w:t xml:space="preserve"> solicitó</w:t>
      </w:r>
      <w:r w:rsidR="005B601B" w:rsidRPr="002A2450">
        <w:rPr>
          <w:rFonts w:ascii="ITC Avant Garde" w:eastAsia="Calibri" w:hAnsi="ITC Avant Garde" w:cs="Times New Roman"/>
        </w:rPr>
        <w:t xml:space="preserve">, en términos de la Sección 8.3 del Contrato de Consecuencias, la autorización de </w:t>
      </w:r>
      <w:r w:rsidRPr="002A2450">
        <w:rPr>
          <w:rFonts w:ascii="ITC Avant Garde" w:eastAsia="Times New Roman" w:hAnsi="ITC Avant Garde" w:cs="Calibri"/>
          <w:b/>
          <w:lang w:eastAsia="es-ES_tradnl"/>
        </w:rPr>
        <w:t>“TELMEX”</w:t>
      </w:r>
      <w:r w:rsidRPr="002A2450">
        <w:rPr>
          <w:rFonts w:ascii="ITC Avant Garde" w:eastAsia="Times New Roman" w:hAnsi="ITC Avant Garde" w:cs="Calibri"/>
          <w:lang w:eastAsia="es-ES_tradnl"/>
        </w:rPr>
        <w:t xml:space="preserve">/ </w:t>
      </w:r>
      <w:r w:rsidRPr="002A2450">
        <w:rPr>
          <w:rFonts w:ascii="ITC Avant Garde" w:eastAsia="Times New Roman" w:hAnsi="ITC Avant Garde" w:cs="Calibri"/>
          <w:b/>
          <w:lang w:eastAsia="es-ES_tradnl"/>
        </w:rPr>
        <w:t>"TENINVER"</w:t>
      </w:r>
      <w:r w:rsidRPr="002A2450">
        <w:rPr>
          <w:rFonts w:ascii="ITC Avant Garde" w:eastAsia="Times New Roman" w:hAnsi="ITC Avant Garde" w:cs="Calibri"/>
          <w:lang w:eastAsia="es-ES_tradnl"/>
        </w:rPr>
        <w:t xml:space="preserve"> </w:t>
      </w:r>
      <w:r w:rsidR="005B601B" w:rsidRPr="002A2450">
        <w:rPr>
          <w:rFonts w:ascii="ITC Avant Garde" w:eastAsia="Calibri" w:hAnsi="ITC Avant Garde" w:cs="Times New Roman"/>
        </w:rPr>
        <w:t>para realiza</w:t>
      </w:r>
      <w:r w:rsidRPr="002A2450">
        <w:rPr>
          <w:rFonts w:ascii="ITC Avant Garde" w:eastAsia="Calibri" w:hAnsi="ITC Avant Garde" w:cs="Times New Roman"/>
        </w:rPr>
        <w:t xml:space="preserve">r </w:t>
      </w:r>
      <w:r w:rsidR="005B601B" w:rsidRPr="002A2450">
        <w:rPr>
          <w:rFonts w:ascii="ITC Avant Garde" w:eastAsia="Calibri" w:hAnsi="ITC Avant Garde" w:cs="Times New Roman"/>
        </w:rPr>
        <w:t xml:space="preserve">las operaciones que se </w:t>
      </w:r>
      <w:r w:rsidRPr="002A2450">
        <w:rPr>
          <w:rFonts w:ascii="ITC Avant Garde" w:eastAsia="Calibri" w:hAnsi="ITC Avant Garde" w:cs="Times New Roman"/>
        </w:rPr>
        <w:t xml:space="preserve">detallan en el siguiente cuadro. </w:t>
      </w:r>
    </w:p>
    <w:tbl>
      <w:tblPr>
        <w:tblStyle w:val="Tablaconcuadrcula"/>
        <w:tblW w:w="8828" w:type="dxa"/>
        <w:tblLook w:val="04A0" w:firstRow="1" w:lastRow="0" w:firstColumn="1" w:lastColumn="0" w:noHBand="0" w:noVBand="1"/>
        <w:tblCaption w:val="Contrato de Consecuencias, la autorización de “TELMEX”/ &quot;TENINVER&quot; "/>
        <w:tblDescription w:val="La información de la tabla es en su mayoría Confidencial por Ley, pero se muestra una tabla de 2 columnas en la que se proporcionan las fechas y asuntos de la carta de solicitud de autorización. "/>
      </w:tblPr>
      <w:tblGrid>
        <w:gridCol w:w="2953"/>
        <w:gridCol w:w="5875"/>
      </w:tblGrid>
      <w:tr w:rsidR="0041026A" w:rsidRPr="002A2450" w14:paraId="785B8A66" w14:textId="77777777" w:rsidTr="005B0590">
        <w:trPr>
          <w:tblHeader/>
        </w:trPr>
        <w:tc>
          <w:tcPr>
            <w:tcW w:w="2953" w:type="dxa"/>
            <w:shd w:val="clear" w:color="auto" w:fill="A6A6A6" w:themeFill="background1" w:themeFillShade="A6"/>
            <w:vAlign w:val="center"/>
          </w:tcPr>
          <w:p w14:paraId="2702A41F" w14:textId="77777777" w:rsidR="0041026A" w:rsidRPr="002A2450" w:rsidRDefault="0041026A" w:rsidP="005B0590">
            <w:pPr>
              <w:spacing w:line="360" w:lineRule="auto"/>
              <w:ind w:left="-68"/>
              <w:jc w:val="center"/>
              <w:rPr>
                <w:rFonts w:ascii="ITC Avant Garde" w:eastAsia="Calibri" w:hAnsi="ITC Avant Garde" w:cs="Times New Roman"/>
                <w:b/>
                <w:sz w:val="20"/>
                <w:szCs w:val="20"/>
              </w:rPr>
            </w:pPr>
            <w:r w:rsidRPr="002A2450">
              <w:rPr>
                <w:rFonts w:ascii="ITC Avant Garde" w:eastAsia="Calibri" w:hAnsi="ITC Avant Garde" w:cs="Times New Roman"/>
                <w:b/>
                <w:sz w:val="20"/>
                <w:szCs w:val="20"/>
              </w:rPr>
              <w:t>Fecha de la carta de solicitud de autorización</w:t>
            </w:r>
          </w:p>
        </w:tc>
        <w:tc>
          <w:tcPr>
            <w:tcW w:w="5875" w:type="dxa"/>
            <w:shd w:val="clear" w:color="auto" w:fill="A6A6A6" w:themeFill="background1" w:themeFillShade="A6"/>
            <w:vAlign w:val="center"/>
          </w:tcPr>
          <w:p w14:paraId="2B5F0BFC" w14:textId="77777777" w:rsidR="0041026A" w:rsidRPr="002A2450" w:rsidRDefault="0041026A" w:rsidP="005B0590">
            <w:pPr>
              <w:spacing w:line="360" w:lineRule="auto"/>
              <w:jc w:val="center"/>
              <w:rPr>
                <w:rFonts w:ascii="ITC Avant Garde" w:eastAsia="Calibri" w:hAnsi="ITC Avant Garde" w:cs="Times New Roman"/>
                <w:b/>
                <w:sz w:val="20"/>
                <w:szCs w:val="20"/>
              </w:rPr>
            </w:pPr>
            <w:r w:rsidRPr="002A2450">
              <w:rPr>
                <w:rFonts w:ascii="ITC Avant Garde" w:eastAsia="Calibri" w:hAnsi="ITC Avant Garde" w:cs="Times New Roman"/>
                <w:b/>
                <w:sz w:val="20"/>
                <w:szCs w:val="20"/>
              </w:rPr>
              <w:t>Asunto</w:t>
            </w:r>
          </w:p>
        </w:tc>
      </w:tr>
      <w:tr w:rsidR="0041026A" w:rsidRPr="002A2450" w14:paraId="343830B0" w14:textId="77777777" w:rsidTr="00074C39">
        <w:trPr>
          <w:tblHeader/>
        </w:trPr>
        <w:tc>
          <w:tcPr>
            <w:tcW w:w="2953" w:type="dxa"/>
          </w:tcPr>
          <w:p w14:paraId="6AD972AC" w14:textId="77777777" w:rsidR="0041026A" w:rsidRPr="002A2450" w:rsidRDefault="0041026A" w:rsidP="005B0590">
            <w:pPr>
              <w:spacing w:line="360" w:lineRule="auto"/>
              <w:ind w:left="171"/>
              <w:jc w:val="center"/>
              <w:rPr>
                <w:rFonts w:ascii="ITC Avant Garde" w:eastAsia="Calibri" w:hAnsi="ITC Avant Garde" w:cs="Times New Roman"/>
                <w:sz w:val="20"/>
                <w:szCs w:val="20"/>
              </w:rPr>
            </w:pPr>
            <w:r w:rsidRPr="002A2450">
              <w:rPr>
                <w:rFonts w:ascii="ITC Avant Garde" w:eastAsia="Calibri" w:hAnsi="ITC Avant Garde" w:cs="Times New Roman"/>
                <w:sz w:val="20"/>
                <w:szCs w:val="20"/>
              </w:rPr>
              <w:t>Primero de noviembre de dos mil diez</w:t>
            </w:r>
          </w:p>
        </w:tc>
        <w:tc>
          <w:tcPr>
            <w:tcW w:w="5875" w:type="dxa"/>
          </w:tcPr>
          <w:p w14:paraId="331127FF" w14:textId="19230E79" w:rsidR="0041026A" w:rsidRPr="0004375E" w:rsidRDefault="0055347B" w:rsidP="005B0590">
            <w:pPr>
              <w:spacing w:line="360" w:lineRule="auto"/>
              <w:ind w:left="195"/>
              <w:rPr>
                <w:rFonts w:ascii="ITC Avant Garde" w:eastAsia="Calibri" w:hAnsi="ITC Avant Garde" w:cs="Times New Roman"/>
                <w:b/>
                <w:sz w:val="20"/>
                <w:szCs w:val="20"/>
              </w:rPr>
            </w:pPr>
            <w:r w:rsidRPr="0004375E">
              <w:rPr>
                <w:rFonts w:ascii="ITC Avant Garde" w:eastAsiaTheme="majorEastAsia" w:hAnsi="ITC Avant Garde" w:cstheme="majorBidi"/>
                <w:b/>
                <w:color w:val="0000FF"/>
                <w:szCs w:val="32"/>
              </w:rPr>
              <w:t>“CONFIDENCIAL POR LEY”</w:t>
            </w:r>
          </w:p>
        </w:tc>
      </w:tr>
      <w:tr w:rsidR="0041026A" w:rsidRPr="002A2450" w14:paraId="2C5E97C9" w14:textId="77777777" w:rsidTr="00074C39">
        <w:trPr>
          <w:tblHeader/>
        </w:trPr>
        <w:tc>
          <w:tcPr>
            <w:tcW w:w="2953" w:type="dxa"/>
          </w:tcPr>
          <w:p w14:paraId="6AB09B9D" w14:textId="77777777" w:rsidR="0041026A" w:rsidRPr="002A2450" w:rsidRDefault="0041026A" w:rsidP="005B0590">
            <w:pPr>
              <w:spacing w:line="360" w:lineRule="auto"/>
              <w:ind w:left="171"/>
              <w:jc w:val="center"/>
              <w:rPr>
                <w:rFonts w:ascii="ITC Avant Garde" w:eastAsia="Calibri" w:hAnsi="ITC Avant Garde" w:cs="Times New Roman"/>
                <w:sz w:val="20"/>
                <w:szCs w:val="20"/>
              </w:rPr>
            </w:pPr>
            <w:r w:rsidRPr="002A2450">
              <w:rPr>
                <w:rFonts w:ascii="ITC Avant Garde" w:eastAsia="Calibri" w:hAnsi="ITC Avant Garde" w:cs="Times New Roman"/>
                <w:sz w:val="20"/>
                <w:szCs w:val="20"/>
              </w:rPr>
              <w:t>Dos de diciembre de dos mil once</w:t>
            </w:r>
          </w:p>
        </w:tc>
        <w:tc>
          <w:tcPr>
            <w:tcW w:w="5875" w:type="dxa"/>
          </w:tcPr>
          <w:p w14:paraId="144EC169" w14:textId="0CC406F8" w:rsidR="0041026A" w:rsidRPr="0004375E" w:rsidRDefault="0055347B" w:rsidP="005B0590">
            <w:pPr>
              <w:spacing w:line="360" w:lineRule="auto"/>
              <w:ind w:left="195"/>
              <w:rPr>
                <w:rFonts w:ascii="ITC Avant Garde" w:eastAsia="Calibri" w:hAnsi="ITC Avant Garde" w:cs="Times New Roman"/>
                <w:b/>
                <w:sz w:val="20"/>
                <w:szCs w:val="20"/>
              </w:rPr>
            </w:pPr>
            <w:r w:rsidRPr="0004375E">
              <w:rPr>
                <w:rFonts w:ascii="ITC Avant Garde" w:eastAsiaTheme="majorEastAsia" w:hAnsi="ITC Avant Garde" w:cstheme="majorBidi"/>
                <w:b/>
                <w:color w:val="0000FF"/>
                <w:szCs w:val="32"/>
              </w:rPr>
              <w:t>“CONFIDENCIAL POR LEY”</w:t>
            </w:r>
          </w:p>
        </w:tc>
      </w:tr>
      <w:tr w:rsidR="0041026A" w:rsidRPr="002A2450" w14:paraId="5859E0EB" w14:textId="77777777" w:rsidTr="00074C39">
        <w:trPr>
          <w:tblHeader/>
        </w:trPr>
        <w:tc>
          <w:tcPr>
            <w:tcW w:w="2953" w:type="dxa"/>
          </w:tcPr>
          <w:p w14:paraId="43F1CE2A" w14:textId="77777777" w:rsidR="0041026A" w:rsidRPr="002A2450" w:rsidRDefault="0041026A" w:rsidP="005B0590">
            <w:pPr>
              <w:spacing w:line="360" w:lineRule="auto"/>
              <w:ind w:left="171"/>
              <w:jc w:val="center"/>
              <w:rPr>
                <w:rFonts w:ascii="ITC Avant Garde" w:eastAsia="Calibri" w:hAnsi="ITC Avant Garde" w:cs="Times New Roman"/>
                <w:sz w:val="20"/>
                <w:szCs w:val="20"/>
              </w:rPr>
            </w:pPr>
            <w:r w:rsidRPr="002A2450">
              <w:rPr>
                <w:rFonts w:ascii="ITC Avant Garde" w:eastAsia="Calibri" w:hAnsi="ITC Avant Garde" w:cs="Times New Roman"/>
                <w:sz w:val="20"/>
                <w:szCs w:val="20"/>
              </w:rPr>
              <w:t>Primero de julio de dos mil doce</w:t>
            </w:r>
          </w:p>
        </w:tc>
        <w:tc>
          <w:tcPr>
            <w:tcW w:w="5875" w:type="dxa"/>
          </w:tcPr>
          <w:p w14:paraId="2E7EFA6D" w14:textId="53C915A3" w:rsidR="0041026A" w:rsidRPr="0004375E" w:rsidRDefault="0055347B" w:rsidP="005B0590">
            <w:pPr>
              <w:spacing w:line="360" w:lineRule="auto"/>
              <w:ind w:left="195"/>
              <w:rPr>
                <w:rFonts w:ascii="ITC Avant Garde" w:eastAsia="Calibri" w:hAnsi="ITC Avant Garde" w:cs="Times New Roman"/>
                <w:b/>
                <w:sz w:val="20"/>
                <w:szCs w:val="20"/>
              </w:rPr>
            </w:pPr>
            <w:r w:rsidRPr="0004375E">
              <w:rPr>
                <w:rFonts w:ascii="ITC Avant Garde" w:eastAsiaTheme="majorEastAsia" w:hAnsi="ITC Avant Garde" w:cstheme="majorBidi"/>
                <w:b/>
                <w:color w:val="0000FF"/>
                <w:szCs w:val="32"/>
              </w:rPr>
              <w:t>“CONFIDENCIAL POR LEY”</w:t>
            </w:r>
            <w:r w:rsidR="0041026A" w:rsidRPr="0004375E">
              <w:rPr>
                <w:rFonts w:ascii="ITC Avant Garde" w:eastAsia="Calibri" w:hAnsi="ITC Avant Garde" w:cs="Times New Roman"/>
                <w:b/>
                <w:sz w:val="20"/>
                <w:szCs w:val="20"/>
              </w:rPr>
              <w:t>.</w:t>
            </w:r>
          </w:p>
        </w:tc>
      </w:tr>
    </w:tbl>
    <w:p w14:paraId="442F2E58" w14:textId="0DC86838" w:rsidR="00B35F13" w:rsidRDefault="005B601B" w:rsidP="00B35F13">
      <w:pPr>
        <w:tabs>
          <w:tab w:val="num" w:pos="709"/>
        </w:tabs>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Conforme a lo anterior se observa que </w:t>
      </w:r>
      <w:r w:rsidR="00071855" w:rsidRPr="002A2450">
        <w:rPr>
          <w:rFonts w:ascii="ITC Avant Garde" w:eastAsia="Times New Roman" w:hAnsi="ITC Avant Garde" w:cs="Calibri"/>
          <w:b/>
          <w:lang w:eastAsia="es-ES_tradnl"/>
        </w:rPr>
        <w:t>“TELMEX”</w:t>
      </w:r>
      <w:r w:rsidR="00071855" w:rsidRPr="002A2450">
        <w:rPr>
          <w:rFonts w:ascii="ITC Avant Garde" w:eastAsia="Times New Roman" w:hAnsi="ITC Avant Garde" w:cs="Calibri"/>
          <w:lang w:eastAsia="es-ES_tradnl"/>
        </w:rPr>
        <w:t xml:space="preserve">/ </w:t>
      </w:r>
      <w:r w:rsidR="00071855" w:rsidRPr="002A2450">
        <w:rPr>
          <w:rFonts w:ascii="ITC Avant Garde" w:eastAsia="Times New Roman" w:hAnsi="ITC Avant Garde" w:cs="Calibri"/>
          <w:b/>
          <w:lang w:eastAsia="es-ES_tradnl"/>
        </w:rPr>
        <w:t>"TENINVER"</w:t>
      </w:r>
      <w:r w:rsidRPr="002A2450">
        <w:rPr>
          <w:rFonts w:ascii="ITC Avant Garde" w:eastAsia="Calibri" w:hAnsi="ITC Avant Garde" w:cs="Times New Roman"/>
        </w:rPr>
        <w:t xml:space="preserve"> </w:t>
      </w:r>
      <w:r w:rsidR="00071855" w:rsidRPr="002A2450">
        <w:rPr>
          <w:rFonts w:ascii="ITC Avant Garde" w:eastAsia="Calibri" w:hAnsi="ITC Avant Garde" w:cs="Times New Roman"/>
        </w:rPr>
        <w:t xml:space="preserve">intervino </w:t>
      </w:r>
      <w:r w:rsidRPr="002A2450">
        <w:rPr>
          <w:rFonts w:ascii="ITC Avant Garde" w:eastAsia="Calibri" w:hAnsi="ITC Avant Garde" w:cs="Times New Roman"/>
        </w:rPr>
        <w:t xml:space="preserve">en </w:t>
      </w:r>
      <w:r w:rsidR="00071855" w:rsidRPr="002A2450">
        <w:rPr>
          <w:rFonts w:ascii="ITC Avant Garde" w:eastAsia="Calibri" w:hAnsi="ITC Avant Garde" w:cs="Times New Roman"/>
        </w:rPr>
        <w:t xml:space="preserve">la </w:t>
      </w:r>
      <w:r w:rsidRPr="002A2450">
        <w:rPr>
          <w:rFonts w:ascii="ITC Avant Garde" w:eastAsia="Calibri" w:hAnsi="ITC Avant Garde" w:cs="Times New Roman"/>
        </w:rPr>
        <w:t>toma de decisiones relacionad</w:t>
      </w:r>
      <w:r w:rsidR="00071855" w:rsidRPr="002A2450">
        <w:rPr>
          <w:rFonts w:ascii="ITC Avant Garde" w:eastAsia="Calibri" w:hAnsi="ITC Avant Garde" w:cs="Times New Roman"/>
        </w:rPr>
        <w:t xml:space="preserve">as con el manejo de </w:t>
      </w:r>
      <w:r w:rsidR="00071855" w:rsidRPr="002A2450">
        <w:rPr>
          <w:rFonts w:ascii="ITC Avant Garde" w:eastAsia="Calibri" w:hAnsi="ITC Avant Garde" w:cs="Times New Roman"/>
          <w:b/>
        </w:rPr>
        <w:t xml:space="preserve">"DISH MÉXICO" </w:t>
      </w:r>
      <w:r w:rsidR="00071855" w:rsidRPr="002A2450">
        <w:rPr>
          <w:rFonts w:ascii="ITC Avant Garde" w:eastAsia="Calibri" w:hAnsi="ITC Avant Garde" w:cs="Times New Roman"/>
        </w:rPr>
        <w:t xml:space="preserve">y sus subsidiarias. En particular, el </w:t>
      </w:r>
      <w:r w:rsidR="008776C0">
        <w:rPr>
          <w:rFonts w:ascii="ITC Avant Garde" w:eastAsia="Calibri" w:hAnsi="ITC Avant Garde" w:cs="Times New Roman"/>
        </w:rPr>
        <w:t>uno</w:t>
      </w:r>
      <w:r w:rsidR="00071855" w:rsidRPr="002A2450">
        <w:rPr>
          <w:rFonts w:ascii="ITC Avant Garde" w:eastAsia="Calibri" w:hAnsi="ITC Avant Garde" w:cs="Times New Roman"/>
        </w:rPr>
        <w:t xml:space="preserve"> de julio de</w:t>
      </w:r>
      <w:r w:rsidR="008776C0">
        <w:rPr>
          <w:rFonts w:ascii="ITC Avant Garde" w:eastAsia="Calibri" w:hAnsi="ITC Avant Garde" w:cs="Times New Roman"/>
        </w:rPr>
        <w:t xml:space="preserve"> dos mil doce</w:t>
      </w:r>
      <w:r w:rsidR="00071855" w:rsidRPr="002A2450">
        <w:rPr>
          <w:rFonts w:ascii="ITC Avant Garde" w:eastAsia="Calibri" w:hAnsi="ITC Avant Garde" w:cs="Times New Roman"/>
        </w:rPr>
        <w:t>, conoció y le solicitaron la autorización</w:t>
      </w:r>
      <w:r w:rsidR="00A80E02">
        <w:rPr>
          <w:rFonts w:ascii="ITC Avant Garde" w:eastAsia="Calibri" w:hAnsi="ITC Avant Garde" w:cs="Times New Roman"/>
        </w:rPr>
        <w:t xml:space="preserve"> </w:t>
      </w:r>
      <w:r w:rsidR="00071855" w:rsidRPr="002A2450">
        <w:rPr>
          <w:rFonts w:ascii="ITC Avant Garde" w:eastAsia="Calibri" w:hAnsi="ITC Avant Garde" w:cs="Times New Roman"/>
        </w:rPr>
        <w:t xml:space="preserve">para modificar el contrato de capacidad satelital celebrado entre </w:t>
      </w:r>
      <w:r w:rsidR="00071855" w:rsidRPr="002A2450">
        <w:rPr>
          <w:rFonts w:ascii="ITC Avant Garde" w:eastAsia="Calibri" w:hAnsi="ITC Avant Garde" w:cs="Times New Roman"/>
          <w:b/>
        </w:rPr>
        <w:t>"COFRESA"</w:t>
      </w:r>
      <w:r w:rsidR="00071855" w:rsidRPr="002A2450">
        <w:rPr>
          <w:rFonts w:ascii="ITC Avant Garde" w:eastAsia="Calibri" w:hAnsi="ITC Avant Garde" w:cs="Times New Roman"/>
        </w:rPr>
        <w:t xml:space="preserve"> y </w:t>
      </w:r>
      <w:r w:rsidR="008776C0">
        <w:rPr>
          <w:rFonts w:ascii="ITC Avant Garde" w:eastAsia="Calibri" w:hAnsi="ITC Avant Garde" w:cs="Times New Roman"/>
          <w:b/>
        </w:rPr>
        <w:t>“</w:t>
      </w:r>
      <w:r w:rsidR="008776C0" w:rsidRPr="009E34A4">
        <w:rPr>
          <w:rFonts w:ascii="ITC Avant Garde" w:eastAsia="Calibri" w:hAnsi="ITC Avant Garde" w:cs="Times New Roman"/>
          <w:b/>
        </w:rPr>
        <w:t>QUETZSAT</w:t>
      </w:r>
      <w:r w:rsidR="008776C0">
        <w:rPr>
          <w:rFonts w:ascii="ITC Avant Garde" w:eastAsia="Calibri" w:hAnsi="ITC Avant Garde" w:cs="Times New Roman"/>
          <w:b/>
        </w:rPr>
        <w:t>”</w:t>
      </w:r>
    </w:p>
    <w:p w14:paraId="7FBEE7F7" w14:textId="77777777" w:rsidR="00B35F13" w:rsidRDefault="00071855" w:rsidP="00B35F13">
      <w:pPr>
        <w:tabs>
          <w:tab w:val="num" w:pos="709"/>
        </w:tabs>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Por lo anterior, se tiene por acreditado que </w:t>
      </w:r>
      <w:r w:rsidRPr="002A2450">
        <w:rPr>
          <w:rFonts w:ascii="ITC Avant Garde" w:eastAsia="Calibri" w:hAnsi="ITC Avant Garde" w:cs="Times New Roman"/>
          <w:b/>
        </w:rPr>
        <w:t xml:space="preserve">"TELMEX" </w:t>
      </w:r>
      <w:r w:rsidRPr="002A2450">
        <w:rPr>
          <w:rFonts w:ascii="ITC Avant Garde" w:eastAsia="Calibri" w:hAnsi="ITC Avant Garde" w:cs="Times New Roman"/>
        </w:rPr>
        <w:t xml:space="preserve">a través de </w:t>
      </w:r>
      <w:r w:rsidRPr="002A2450">
        <w:rPr>
          <w:rFonts w:ascii="ITC Avant Garde" w:eastAsia="Calibri" w:hAnsi="ITC Avant Garde" w:cs="Times New Roman"/>
          <w:b/>
        </w:rPr>
        <w:t>"TENINVER"</w:t>
      </w:r>
      <w:r w:rsidRPr="002A2450">
        <w:t xml:space="preserve"> </w:t>
      </w:r>
      <w:r w:rsidRPr="002A2450">
        <w:rPr>
          <w:rFonts w:ascii="ITC Avant Garde" w:eastAsia="Calibri" w:hAnsi="ITC Avant Garde" w:cs="Times New Roman"/>
        </w:rPr>
        <w:t xml:space="preserve">tuvo la capacidad de hecho y de derecho para conocer e intervenir en decisiones sobre la operación de </w:t>
      </w:r>
      <w:r w:rsidRPr="002A2450">
        <w:rPr>
          <w:rFonts w:ascii="ITC Avant Garde" w:eastAsia="Calibri" w:hAnsi="ITC Avant Garde" w:cs="Times New Roman"/>
          <w:b/>
        </w:rPr>
        <w:t>"DISH MÉXICO"</w:t>
      </w:r>
      <w:r w:rsidRPr="002A2450">
        <w:rPr>
          <w:rFonts w:ascii="ITC Avant Garde" w:eastAsia="Calibri" w:hAnsi="ITC Avant Garde" w:cs="Times New Roman"/>
        </w:rPr>
        <w:t xml:space="preserve"> y sus subsidiarias, incluyendo a </w:t>
      </w:r>
      <w:r w:rsidRPr="002A2450">
        <w:rPr>
          <w:rFonts w:ascii="ITC Avant Garde" w:eastAsia="Calibri" w:hAnsi="ITC Avant Garde" w:cs="Times New Roman"/>
          <w:b/>
        </w:rPr>
        <w:t>"COFRESA"</w:t>
      </w:r>
      <w:r w:rsidRPr="002A2450">
        <w:rPr>
          <w:rFonts w:ascii="ITC Avant Garde" w:eastAsia="Calibri" w:hAnsi="ITC Avant Garde" w:cs="Times New Roman"/>
        </w:rPr>
        <w:t xml:space="preserve"> que es concesionaria para prestar DTH que es un servicio de televisión al público. </w:t>
      </w:r>
    </w:p>
    <w:p w14:paraId="49FE12EB" w14:textId="6111B7A4" w:rsidR="00071855" w:rsidRPr="002A2450" w:rsidRDefault="00F757B1" w:rsidP="00B35F13">
      <w:pPr>
        <w:tabs>
          <w:tab w:val="num" w:pos="709"/>
        </w:tabs>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Lo anterior sustenta que </w:t>
      </w:r>
      <w:r w:rsidRPr="002A2450">
        <w:rPr>
          <w:rFonts w:ascii="ITC Avant Garde" w:eastAsia="Calibri" w:hAnsi="ITC Avant Garde" w:cs="Times New Roman"/>
          <w:b/>
        </w:rPr>
        <w:t xml:space="preserve">"TELMEX" </w:t>
      </w:r>
      <w:r w:rsidRPr="002A2450">
        <w:rPr>
          <w:rFonts w:ascii="ITC Avant Garde" w:eastAsia="Calibri" w:hAnsi="ITC Avant Garde" w:cs="Times New Roman"/>
        </w:rPr>
        <w:t xml:space="preserve">a través de </w:t>
      </w:r>
      <w:r w:rsidRPr="002A2450">
        <w:rPr>
          <w:rFonts w:ascii="ITC Avant Garde" w:eastAsia="Calibri" w:hAnsi="ITC Avant Garde" w:cs="Times New Roman"/>
          <w:b/>
        </w:rPr>
        <w:t xml:space="preserve">"TENINVER" </w:t>
      </w:r>
      <w:r w:rsidRPr="002A2450">
        <w:rPr>
          <w:rFonts w:ascii="ITC Avant Garde" w:eastAsia="Calibri" w:hAnsi="ITC Avant Garde" w:cs="Times New Roman"/>
        </w:rPr>
        <w:t xml:space="preserve">explotó indirectamente la concesión otorgada a </w:t>
      </w:r>
      <w:r w:rsidRPr="002A2450">
        <w:rPr>
          <w:rFonts w:ascii="ITC Avant Garde" w:eastAsia="Calibri" w:hAnsi="ITC Avant Garde" w:cs="Times New Roman"/>
          <w:b/>
        </w:rPr>
        <w:t>"COFRESA"</w:t>
      </w:r>
      <w:r w:rsidRPr="002A2450">
        <w:rPr>
          <w:rFonts w:ascii="ITC Avant Garde" w:eastAsia="Calibri" w:hAnsi="ITC Avant Garde" w:cs="Times New Roman"/>
        </w:rPr>
        <w:t xml:space="preserve"> que es concesionaria para prestar DTH que es un servicio de televisión al público, lo que constituye una violación de la condición 1-9 del “</w:t>
      </w:r>
      <w:r w:rsidRPr="002A2450">
        <w:rPr>
          <w:rFonts w:ascii="ITC Avant Garde" w:eastAsia="Calibri" w:hAnsi="ITC Avant Garde" w:cs="Times New Roman"/>
          <w:b/>
        </w:rPr>
        <w:t>Título de Concesión”</w:t>
      </w:r>
      <w:r w:rsidRPr="002A2450">
        <w:rPr>
          <w:rFonts w:ascii="ITC Avant Garde" w:eastAsia="Calibri" w:hAnsi="ITC Avant Garde" w:cs="Times New Roman"/>
        </w:rPr>
        <w:t xml:space="preserve">. </w:t>
      </w:r>
    </w:p>
    <w:p w14:paraId="7D7E8C8A" w14:textId="77777777" w:rsidR="00B35F13" w:rsidRDefault="0063563E" w:rsidP="00B35F13">
      <w:pPr>
        <w:pStyle w:val="Resaltar2"/>
        <w:shd w:val="clear" w:color="auto" w:fill="auto"/>
        <w:spacing w:before="240" w:after="160"/>
        <w:rPr>
          <w:color w:val="auto"/>
        </w:rPr>
      </w:pPr>
      <w:r w:rsidRPr="002A2450" w:rsidDel="0063563E">
        <w:rPr>
          <w:b/>
        </w:rPr>
        <w:lastRenderedPageBreak/>
        <w:t xml:space="preserve"> </w:t>
      </w:r>
      <w:r w:rsidR="00F757B1" w:rsidRPr="009E34A4">
        <w:rPr>
          <w:color w:val="auto"/>
        </w:rPr>
        <w:t xml:space="preserve">Como se sustenta en el inciso B) del Considerando Cuarto de esta Resolución, </w:t>
      </w:r>
      <w:r w:rsidR="00F757B1" w:rsidRPr="009E34A4">
        <w:rPr>
          <w:b/>
          <w:color w:val="auto"/>
        </w:rPr>
        <w:t>"TELMEX"</w:t>
      </w:r>
      <w:r w:rsidR="00F757B1" w:rsidRPr="009E34A4">
        <w:rPr>
          <w:color w:val="auto"/>
        </w:rPr>
        <w:t xml:space="preserve"> presentó manifestaciones que lograron desvirtuar que </w:t>
      </w:r>
      <w:r w:rsidR="00F757B1" w:rsidRPr="009E34A4">
        <w:rPr>
          <w:b/>
          <w:color w:val="auto"/>
        </w:rPr>
        <w:t>"TELMEX"</w:t>
      </w:r>
      <w:r w:rsidR="00F757B1" w:rsidRPr="009E34A4">
        <w:rPr>
          <w:color w:val="auto"/>
        </w:rPr>
        <w:t xml:space="preserve"> a través de </w:t>
      </w:r>
      <w:r w:rsidR="00F757B1" w:rsidRPr="009E34A4">
        <w:rPr>
          <w:b/>
          <w:color w:val="auto"/>
        </w:rPr>
        <w:t>"TENINVER"</w:t>
      </w:r>
      <w:r w:rsidR="00F757B1" w:rsidRPr="009E34A4">
        <w:rPr>
          <w:color w:val="auto"/>
        </w:rPr>
        <w:t xml:space="preserve"> haya recibido un beneficio o pago, o participado de los resultados de las actividades concesionadas a "COFRESA" a consecuencia de la tenencia y el ejercicio de derechos que los Contratos de </w:t>
      </w:r>
      <w:r w:rsidR="00C1688D" w:rsidRPr="009E34A4">
        <w:rPr>
          <w:color w:val="auto"/>
        </w:rPr>
        <w:t xml:space="preserve">Consecuencias y de Opción de Compra Venta le otorgaron para conocer e intervenir –a través del veto—en la toma de decisiones sobre eventos específicos que trascienden a la </w:t>
      </w:r>
      <w:proofErr w:type="spellStart"/>
      <w:r w:rsidR="00C1688D" w:rsidRPr="009E34A4">
        <w:rPr>
          <w:color w:val="auto"/>
        </w:rPr>
        <w:t>ofertación</w:t>
      </w:r>
      <w:proofErr w:type="spellEnd"/>
      <w:r w:rsidR="00C1688D" w:rsidRPr="009E34A4">
        <w:rPr>
          <w:color w:val="auto"/>
        </w:rPr>
        <w:t xml:space="preserve"> de "DISH MÉXICO" y sus subsidiarias.</w:t>
      </w:r>
    </w:p>
    <w:p w14:paraId="5DCE0EFD" w14:textId="77777777" w:rsidR="00B35F13" w:rsidRDefault="00C1688D" w:rsidP="00B35F13">
      <w:pPr>
        <w:pStyle w:val="Resaltar2"/>
        <w:shd w:val="clear" w:color="auto" w:fill="auto"/>
        <w:spacing w:before="240" w:after="160"/>
        <w:rPr>
          <w:rFonts w:cs="Arial"/>
          <w:color w:val="auto"/>
        </w:rPr>
      </w:pPr>
      <w:r w:rsidRPr="009E34A4">
        <w:rPr>
          <w:color w:val="auto"/>
        </w:rPr>
        <w:t xml:space="preserve">El Contrato de Opción de Compra Venta sí tenían previsto la potencialidad de que </w:t>
      </w:r>
      <w:r w:rsidRPr="009E34A4">
        <w:rPr>
          <w:rFonts w:cs="Arial"/>
          <w:b/>
          <w:color w:val="auto"/>
        </w:rPr>
        <w:t>TELMEX”</w:t>
      </w:r>
      <w:r w:rsidRPr="009E34A4">
        <w:rPr>
          <w:rFonts w:cs="Arial"/>
          <w:color w:val="auto"/>
        </w:rPr>
        <w:t xml:space="preserve"> pudiera recibir dividendos por parte de </w:t>
      </w:r>
      <w:r w:rsidRPr="009E34A4">
        <w:rPr>
          <w:rFonts w:cs="Arial"/>
          <w:b/>
          <w:color w:val="auto"/>
        </w:rPr>
        <w:t>“DISH MÉXICO”</w:t>
      </w:r>
      <w:r w:rsidRPr="009E34A4">
        <w:rPr>
          <w:rFonts w:cs="Arial"/>
          <w:color w:val="auto"/>
        </w:rPr>
        <w:t xml:space="preserve"> y de sus subsidiarias, incluyendo a </w:t>
      </w:r>
      <w:r w:rsidRPr="009E34A4">
        <w:rPr>
          <w:rFonts w:cs="Arial"/>
          <w:b/>
          <w:color w:val="auto"/>
        </w:rPr>
        <w:t>"COFRESA"</w:t>
      </w:r>
      <w:r w:rsidRPr="009E34A4">
        <w:rPr>
          <w:rFonts w:cs="Arial"/>
          <w:color w:val="auto"/>
        </w:rPr>
        <w:t xml:space="preserve"> en los siguientes términos:</w:t>
      </w:r>
    </w:p>
    <w:p w14:paraId="3FF8DD6C" w14:textId="24DC6AB7" w:rsidR="00B35F13" w:rsidRPr="0004375E" w:rsidRDefault="0055347B" w:rsidP="00B35F13">
      <w:pPr>
        <w:pStyle w:val="Prrafodelista"/>
        <w:spacing w:before="240" w:line="360" w:lineRule="auto"/>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19C8D3E0" w14:textId="77777777" w:rsidR="00B35F13" w:rsidRDefault="005A3CF7" w:rsidP="00B35F13">
      <w:pPr>
        <w:pStyle w:val="Prrafodelista"/>
        <w:spacing w:before="240" w:line="360" w:lineRule="auto"/>
        <w:jc w:val="both"/>
        <w:rPr>
          <w:rFonts w:ascii="ITC Avant Garde" w:hAnsi="ITC Avant Garde"/>
        </w:rPr>
      </w:pPr>
      <w:r w:rsidRPr="002A2450">
        <w:rPr>
          <w:rFonts w:ascii="ITC Avant Garde" w:hAnsi="ITC Avant Garde"/>
        </w:rPr>
        <w:t xml:space="preserve">Con lo anterior, </w:t>
      </w:r>
      <w:r w:rsidR="00D32C49" w:rsidRPr="002A2450">
        <w:rPr>
          <w:rFonts w:ascii="ITC Avant Garde" w:hAnsi="ITC Avant Garde"/>
        </w:rPr>
        <w:t xml:space="preserve">al ser </w:t>
      </w:r>
      <w:r w:rsidRPr="002A2450">
        <w:rPr>
          <w:rFonts w:ascii="ITC Avant Garde" w:hAnsi="ITC Avant Garde"/>
          <w:b/>
        </w:rPr>
        <w:t>“TELMEX”</w:t>
      </w:r>
      <w:r w:rsidRPr="002A2450">
        <w:rPr>
          <w:rFonts w:ascii="ITC Avant Garde" w:hAnsi="ITC Avant Garde"/>
        </w:rPr>
        <w:t xml:space="preserve"> titular de </w:t>
      </w:r>
      <w:r w:rsidR="00D32C49" w:rsidRPr="002A2450">
        <w:rPr>
          <w:rFonts w:ascii="ITC Avant Garde" w:hAnsi="ITC Avant Garde"/>
        </w:rPr>
        <w:t xml:space="preserve">una </w:t>
      </w:r>
      <w:r w:rsidRPr="002A2450">
        <w:rPr>
          <w:rFonts w:ascii="ITC Avant Garde" w:hAnsi="ITC Avant Garde"/>
        </w:rPr>
        <w:t>opción</w:t>
      </w:r>
      <w:r w:rsidR="00D32C49" w:rsidRPr="002A2450">
        <w:rPr>
          <w:rFonts w:ascii="ITC Avant Garde" w:hAnsi="ITC Avant Garde"/>
        </w:rPr>
        <w:t xml:space="preserve">, se encontraba en la posibilidad de obtener dividendos de </w:t>
      </w:r>
      <w:r w:rsidR="00D32C49" w:rsidRPr="002A2450">
        <w:rPr>
          <w:rFonts w:ascii="ITC Avant Garde" w:hAnsi="ITC Avant Garde"/>
          <w:b/>
        </w:rPr>
        <w:t>“DISH MÉXICO”</w:t>
      </w:r>
      <w:r w:rsidR="00D32C49" w:rsidRPr="002A2450">
        <w:rPr>
          <w:rFonts w:ascii="ITC Avant Garde" w:hAnsi="ITC Avant Garde"/>
        </w:rPr>
        <w:t xml:space="preserve"> pese a que no participa en el capital social de dicha empresa, adquiriendo un carácter de accionista sin serlo, o dicho de otra forma se estaba atribuyendo el carácter de socio de facto, sin que a lo largo del presente procedimiento se haya desvirtuado dicha posibilidad.</w:t>
      </w:r>
    </w:p>
    <w:p w14:paraId="4871DCE7" w14:textId="77777777" w:rsidR="00B35F13" w:rsidRDefault="00D32C49" w:rsidP="00B35F13">
      <w:pPr>
        <w:pStyle w:val="Prrafodelista"/>
        <w:spacing w:before="240" w:line="360" w:lineRule="auto"/>
        <w:jc w:val="both"/>
        <w:rPr>
          <w:rFonts w:ascii="ITC Avant Garde" w:hAnsi="ITC Avant Garde"/>
        </w:rPr>
      </w:pPr>
      <w:r w:rsidRPr="002A2450">
        <w:rPr>
          <w:rFonts w:ascii="ITC Avant Garde" w:hAnsi="ITC Avant Garde"/>
        </w:rPr>
        <w:t xml:space="preserve">En tales consideraciones, la posibilidad de participar en los dividendos no deriva </w:t>
      </w:r>
      <w:r w:rsidR="00A476F3" w:rsidRPr="002A2450">
        <w:rPr>
          <w:rFonts w:ascii="ITC Avant Garde" w:hAnsi="ITC Avant Garde"/>
        </w:rPr>
        <w:t xml:space="preserve">de </w:t>
      </w:r>
      <w:r w:rsidRPr="002A2450">
        <w:rPr>
          <w:rFonts w:ascii="ITC Avant Garde" w:hAnsi="ITC Avant Garde"/>
        </w:rPr>
        <w:t xml:space="preserve">un evento futuro sino que </w:t>
      </w:r>
      <w:r w:rsidR="00A476F3" w:rsidRPr="002A2450">
        <w:rPr>
          <w:rFonts w:ascii="ITC Avant Garde" w:hAnsi="ITC Avant Garde"/>
        </w:rPr>
        <w:t xml:space="preserve">dicha posibilidad es independiente del ejercicio </w:t>
      </w:r>
      <w:r w:rsidRPr="002A2450">
        <w:rPr>
          <w:rFonts w:ascii="ITC Avant Garde" w:hAnsi="ITC Avant Garde"/>
        </w:rPr>
        <w:t>o no de la opción de compra o de venta</w:t>
      </w:r>
      <w:r w:rsidR="00A476F3" w:rsidRPr="002A2450">
        <w:rPr>
          <w:rFonts w:ascii="ITC Avant Garde" w:hAnsi="ITC Avant Garde"/>
        </w:rPr>
        <w:t xml:space="preserve">, puesto que lo único que se encontraba sujeto a autorización por parte de la autoridad respectiva era el ejercicio de la opción para la suscripción del 51% de las acciones representativas del capital de </w:t>
      </w:r>
      <w:r w:rsidR="00A476F3" w:rsidRPr="002A2450">
        <w:rPr>
          <w:rFonts w:ascii="ITC Avant Garde" w:hAnsi="ITC Avant Garde"/>
          <w:b/>
        </w:rPr>
        <w:t>“DISH MÉXICO”</w:t>
      </w:r>
      <w:r w:rsidR="00507B68" w:rsidRPr="002A2450">
        <w:rPr>
          <w:rFonts w:ascii="ITC Avant Garde" w:hAnsi="ITC Avant Garde"/>
          <w:b/>
        </w:rPr>
        <w:t xml:space="preserve">. </w:t>
      </w:r>
      <w:r w:rsidR="00507B68" w:rsidRPr="002A2450">
        <w:rPr>
          <w:rFonts w:ascii="ITC Avant Garde" w:hAnsi="ITC Avant Garde"/>
        </w:rPr>
        <w:t>En ese sentido y respecto a la posibilidad de obtener dividendos, es importante mencionar</w:t>
      </w:r>
      <w:r w:rsidR="00A476F3" w:rsidRPr="002A2450">
        <w:rPr>
          <w:rFonts w:ascii="ITC Avant Garde" w:hAnsi="ITC Avant Garde"/>
        </w:rPr>
        <w:t xml:space="preserve"> que el contenido obligacional del contrato de opción de compra y venta no limita dicho ejercicio a la autorización de una autoridad o a la actualización de algún evento.</w:t>
      </w:r>
    </w:p>
    <w:p w14:paraId="1B03A53D" w14:textId="77777777" w:rsidR="00B35F13" w:rsidRDefault="00A476F3" w:rsidP="00B35F13">
      <w:pPr>
        <w:pStyle w:val="Prrafodelista"/>
        <w:spacing w:before="240" w:line="360" w:lineRule="auto"/>
        <w:jc w:val="both"/>
        <w:rPr>
          <w:rFonts w:ascii="ITC Avant Garde" w:hAnsi="ITC Avant Garde"/>
        </w:rPr>
      </w:pPr>
      <w:r w:rsidRPr="002A2450">
        <w:rPr>
          <w:rFonts w:ascii="ITC Avant Garde" w:hAnsi="ITC Avant Garde"/>
        </w:rPr>
        <w:lastRenderedPageBreak/>
        <w:t xml:space="preserve">Así las cosas el pago de dividendos en términos del contrato señalado fue un derecho que adquirió </w:t>
      </w:r>
      <w:r w:rsidRPr="002A2450">
        <w:rPr>
          <w:rFonts w:ascii="ITC Avant Garde" w:hAnsi="ITC Avant Garde"/>
          <w:b/>
        </w:rPr>
        <w:t xml:space="preserve">“TELMEX” </w:t>
      </w:r>
      <w:r w:rsidRPr="002A2450">
        <w:rPr>
          <w:rFonts w:ascii="ITC Avant Garde" w:hAnsi="ITC Avant Garde"/>
        </w:rPr>
        <w:t>al momento de la suscripción del mismo, en tanto que el ejercicio de la opción, requeriría de una autorización para su eficacia, consecuencias excluyentes y que advierte que la posibilidad de participar en los dividendos no era sujeta a condición suspensiva alguna.</w:t>
      </w:r>
    </w:p>
    <w:p w14:paraId="33C84E93" w14:textId="77777777" w:rsidR="00B35F13" w:rsidRDefault="00A476F3" w:rsidP="00B35F13">
      <w:pPr>
        <w:pStyle w:val="Prrafodelista"/>
        <w:spacing w:before="240" w:line="360" w:lineRule="auto"/>
        <w:jc w:val="both"/>
        <w:rPr>
          <w:rFonts w:ascii="ITC Avant Garde" w:hAnsi="ITC Avant Garde" w:cs="Arial"/>
        </w:rPr>
      </w:pPr>
      <w:r w:rsidRPr="002A2450">
        <w:rPr>
          <w:rFonts w:ascii="ITC Avant Garde" w:hAnsi="ITC Avant Garde"/>
        </w:rPr>
        <w:t xml:space="preserve">Ahora bien, la participación de </w:t>
      </w:r>
      <w:r w:rsidRPr="002A2450">
        <w:rPr>
          <w:rFonts w:ascii="ITC Avant Garde" w:hAnsi="ITC Avant Garde"/>
          <w:b/>
        </w:rPr>
        <w:t>“TELMEX”</w:t>
      </w:r>
      <w:r w:rsidRPr="002A2450">
        <w:rPr>
          <w:rFonts w:ascii="ITC Avant Garde" w:hAnsi="ITC Avant Garde"/>
        </w:rPr>
        <w:t xml:space="preserve"> en los dividendos de </w:t>
      </w:r>
      <w:r w:rsidRPr="002A2450">
        <w:rPr>
          <w:rFonts w:ascii="ITC Avant Garde" w:hAnsi="ITC Avant Garde"/>
          <w:b/>
        </w:rPr>
        <w:t>“DISH MÉXICO”</w:t>
      </w:r>
      <w:r w:rsidRPr="002A2450">
        <w:rPr>
          <w:rFonts w:ascii="ITC Avant Garde" w:hAnsi="ITC Avant Garde"/>
        </w:rPr>
        <w:t xml:space="preserve"> se encontraba garantizada en términos de contrato de consecuencias </w:t>
      </w:r>
      <w:r w:rsidR="0055347B" w:rsidRPr="0004375E">
        <w:rPr>
          <w:rFonts w:ascii="ITC Avant Garde" w:eastAsiaTheme="majorEastAsia" w:hAnsi="ITC Avant Garde" w:cstheme="majorBidi"/>
          <w:b/>
          <w:color w:val="0000FF"/>
          <w:szCs w:val="32"/>
        </w:rPr>
        <w:t>“CONFIDENCIAL POR LEY”</w:t>
      </w:r>
      <w:r w:rsidR="0055347B">
        <w:rPr>
          <w:rFonts w:ascii="ITC Avant Garde" w:eastAsiaTheme="majorEastAsia" w:hAnsi="ITC Avant Garde" w:cstheme="majorBidi"/>
          <w:color w:val="0000FF"/>
          <w:szCs w:val="32"/>
        </w:rPr>
        <w:t xml:space="preserve"> </w:t>
      </w:r>
      <w:r w:rsidRPr="002A2450">
        <w:rPr>
          <w:rFonts w:ascii="ITC Avant Garde" w:hAnsi="ITC Avant Garde"/>
        </w:rPr>
        <w:t xml:space="preserve"> puesto que en dicha cláusula se </w:t>
      </w:r>
      <w:r w:rsidR="00507B68" w:rsidRPr="002A2450">
        <w:rPr>
          <w:rFonts w:ascii="ITC Avant Garde" w:hAnsi="ITC Avant Garde"/>
        </w:rPr>
        <w:t xml:space="preserve">puede </w:t>
      </w:r>
      <w:r w:rsidRPr="002A2450">
        <w:rPr>
          <w:rFonts w:ascii="ITC Avant Garde" w:hAnsi="ITC Avant Garde"/>
        </w:rPr>
        <w:t xml:space="preserve">advertir la posibilidad de que </w:t>
      </w:r>
      <w:r w:rsidRPr="002A2450">
        <w:rPr>
          <w:rFonts w:ascii="ITC Avant Garde" w:hAnsi="ITC Avant Garde"/>
          <w:b/>
        </w:rPr>
        <w:t>“TENINVER”</w:t>
      </w:r>
      <w:r w:rsidR="0098278A" w:rsidRPr="002A2450">
        <w:rPr>
          <w:rFonts w:ascii="ITC Avant Garde" w:hAnsi="ITC Avant Garde" w:cs="Arial"/>
        </w:rPr>
        <w:t xml:space="preserve"> llevará a cabo los actos que sean necesarios, a efecto de que un banco de su elección, sujetándose a la aprobación razonable de </w:t>
      </w:r>
      <w:r w:rsidR="0098278A" w:rsidRPr="002A2450">
        <w:rPr>
          <w:rFonts w:ascii="ITC Avant Garde" w:hAnsi="ITC Avant Garde" w:cs="Arial"/>
          <w:b/>
        </w:rPr>
        <w:t>“DISH MÉXICO”</w:t>
      </w:r>
      <w:r w:rsidR="0098278A" w:rsidRPr="002A2450">
        <w:rPr>
          <w:rFonts w:ascii="ITC Avant Garde" w:hAnsi="ITC Avant Garde" w:cs="Arial"/>
        </w:rPr>
        <w:t xml:space="preserve">, otorgue a </w:t>
      </w:r>
      <w:r w:rsidR="0098278A" w:rsidRPr="002A2450">
        <w:rPr>
          <w:rFonts w:ascii="ITC Avant Garde" w:hAnsi="ITC Avant Garde" w:cs="Arial"/>
          <w:b/>
        </w:rPr>
        <w:t>“DISH MÉXICO”</w:t>
      </w:r>
      <w:r w:rsidR="0098278A" w:rsidRPr="002A2450">
        <w:rPr>
          <w:rFonts w:ascii="ITC Avant Garde" w:hAnsi="ITC Avant Garde" w:cs="Arial"/>
        </w:rPr>
        <w:t xml:space="preserve"> un préstamo en los términos de mercado existentes en ese momento, dicho préstamo será una obligación exclusiva de </w:t>
      </w:r>
      <w:r w:rsidR="0098278A" w:rsidRPr="002A2450">
        <w:rPr>
          <w:rFonts w:ascii="ITC Avant Garde" w:hAnsi="ITC Avant Garde" w:cs="Arial"/>
          <w:b/>
        </w:rPr>
        <w:t>“DISH MÉXICO”</w:t>
      </w:r>
      <w:r w:rsidR="0098278A" w:rsidRPr="002A2450">
        <w:rPr>
          <w:rFonts w:ascii="ITC Avant Garde" w:hAnsi="ITC Avant Garde" w:cs="Arial"/>
        </w:rPr>
        <w:t xml:space="preserve"> y, si fuera aplicable a sus subsidiarias, por una cantidad principal igual a USD $325,000,000</w:t>
      </w:r>
      <w:r w:rsidR="000D2038" w:rsidRPr="002A2450">
        <w:rPr>
          <w:rFonts w:ascii="ITC Avant Garde" w:hAnsi="ITC Avant Garde" w:cs="Arial"/>
        </w:rPr>
        <w:t xml:space="preserve"> </w:t>
      </w:r>
      <w:r w:rsidR="000D2038" w:rsidRPr="002A2450">
        <w:rPr>
          <w:rFonts w:ascii="ITC Avant Garde" w:hAnsi="ITC Avant Garde"/>
        </w:rPr>
        <w:t>(Trescientos veinticinco millones de dólares de Estados Unidos de América)</w:t>
      </w:r>
      <w:r w:rsidR="0098278A" w:rsidRPr="002A2450">
        <w:rPr>
          <w:rFonts w:ascii="ITC Avant Garde" w:hAnsi="ITC Avant Garde" w:cs="Arial"/>
        </w:rPr>
        <w:t xml:space="preserve">, mediante el cual se respaldará un dividendo que será pagado por </w:t>
      </w:r>
      <w:r w:rsidR="0098278A" w:rsidRPr="002A2450">
        <w:rPr>
          <w:rFonts w:ascii="ITC Avant Garde" w:hAnsi="ITC Avant Garde" w:cs="Arial"/>
          <w:b/>
        </w:rPr>
        <w:t>“DISH MÉXICO”</w:t>
      </w:r>
      <w:r w:rsidR="0098278A" w:rsidRPr="002A2450">
        <w:rPr>
          <w:rFonts w:ascii="ITC Avant Garde" w:hAnsi="ITC Avant Garde" w:cs="Arial"/>
        </w:rPr>
        <w:t xml:space="preserve"> en </w:t>
      </w:r>
      <w:r w:rsidR="008776C0">
        <w:rPr>
          <w:rFonts w:ascii="ITC Avant Garde" w:hAnsi="ITC Avant Garde" w:cs="Arial"/>
        </w:rPr>
        <w:t>dos mil catorce</w:t>
      </w:r>
      <w:r w:rsidR="0098278A" w:rsidRPr="002A2450">
        <w:rPr>
          <w:rFonts w:ascii="ITC Avant Garde" w:hAnsi="ITC Avant Garde" w:cs="Arial"/>
        </w:rPr>
        <w:t>.</w:t>
      </w:r>
    </w:p>
    <w:p w14:paraId="5ED824A5" w14:textId="77777777" w:rsidR="00B35F13" w:rsidRDefault="0098278A" w:rsidP="00B35F13">
      <w:pPr>
        <w:pStyle w:val="Prrafodelista"/>
        <w:spacing w:before="240" w:line="360" w:lineRule="auto"/>
        <w:jc w:val="both"/>
        <w:rPr>
          <w:rFonts w:ascii="ITC Avant Garde" w:hAnsi="ITC Avant Garde" w:cs="Arial"/>
        </w:rPr>
      </w:pPr>
      <w:r w:rsidRPr="002A2450">
        <w:rPr>
          <w:rFonts w:ascii="ITC Avant Garde" w:hAnsi="ITC Avant Garde" w:cs="Arial"/>
        </w:rPr>
        <w:t xml:space="preserve">La cantidad anterior, corresponde precisamente a las obligaciones contraídas en el contrato de arrendamiento, por lo que en suma, el pago de dividendos independientemente o no de ejercicio de la opción, se encontraba previamente garantizado, ya sea </w:t>
      </w:r>
      <w:r w:rsidR="00F62F66" w:rsidRPr="002A2450">
        <w:rPr>
          <w:rFonts w:ascii="ITC Avant Garde" w:hAnsi="ITC Avant Garde" w:cs="Arial"/>
        </w:rPr>
        <w:t>antes de</w:t>
      </w:r>
      <w:r w:rsidRPr="002A2450">
        <w:rPr>
          <w:rFonts w:ascii="ITC Avant Garde" w:hAnsi="ITC Avant Garde" w:cs="Arial"/>
        </w:rPr>
        <w:t xml:space="preserve">l ejercicio de la opción o a la fecha de cierre del ejercicio de la opción correspondiente a dos mil catorce, en cuyo caso se garantizaría que los USD $325,000,000 </w:t>
      </w:r>
      <w:r w:rsidR="000D2038" w:rsidRPr="002A2450">
        <w:rPr>
          <w:rFonts w:ascii="ITC Avant Garde" w:hAnsi="ITC Avant Garde"/>
        </w:rPr>
        <w:t xml:space="preserve">(Trescientos veinticinco millones de dólares de Estados Unidos de América) </w:t>
      </w:r>
      <w:r w:rsidRPr="002A2450">
        <w:rPr>
          <w:rFonts w:ascii="ITC Avant Garde" w:hAnsi="ITC Avant Garde" w:cs="Arial"/>
        </w:rPr>
        <w:t>sería</w:t>
      </w:r>
      <w:r w:rsidR="00507B68" w:rsidRPr="002A2450">
        <w:rPr>
          <w:rFonts w:ascii="ITC Avant Garde" w:hAnsi="ITC Avant Garde" w:cs="Arial"/>
        </w:rPr>
        <w:t>n</w:t>
      </w:r>
      <w:r w:rsidRPr="002A2450">
        <w:rPr>
          <w:rFonts w:ascii="ITC Avant Garde" w:hAnsi="ITC Avant Garde" w:cs="Arial"/>
        </w:rPr>
        <w:t xml:space="preserve"> reintegrados a </w:t>
      </w:r>
      <w:r w:rsidRPr="002A2450">
        <w:rPr>
          <w:rFonts w:ascii="ITC Avant Garde" w:hAnsi="ITC Avant Garde" w:cs="Arial"/>
          <w:b/>
        </w:rPr>
        <w:t>“TELMEX”</w:t>
      </w:r>
      <w:r w:rsidRPr="002A2450">
        <w:rPr>
          <w:rFonts w:ascii="ITC Avant Garde" w:hAnsi="ITC Avant Garde" w:cs="Arial"/>
        </w:rPr>
        <w:t xml:space="preserve"> independientemente de la opción.</w:t>
      </w:r>
    </w:p>
    <w:p w14:paraId="72D72AB8" w14:textId="77777777" w:rsidR="00B35F13" w:rsidRDefault="0098278A" w:rsidP="007E623E">
      <w:pPr>
        <w:pStyle w:val="Prrafodelista"/>
        <w:numPr>
          <w:ilvl w:val="0"/>
          <w:numId w:val="60"/>
        </w:numPr>
        <w:spacing w:before="240" w:line="360" w:lineRule="auto"/>
        <w:ind w:left="709" w:hanging="425"/>
        <w:jc w:val="both"/>
        <w:rPr>
          <w:rFonts w:ascii="ITC Avant Garde" w:hAnsi="ITC Avant Garde"/>
        </w:rPr>
      </w:pPr>
      <w:r w:rsidRPr="002A2450">
        <w:rPr>
          <w:rFonts w:ascii="ITC Avant Garde" w:hAnsi="ITC Avant Garde"/>
        </w:rPr>
        <w:t xml:space="preserve">Con lo señalado en el párrafo que antecede, se advirtió, por tanto, que la cantidad de </w:t>
      </w:r>
      <w:r w:rsidRPr="002A2450">
        <w:rPr>
          <w:rFonts w:ascii="ITC Avant Garde" w:hAnsi="ITC Avant Garde" w:cs="Arial"/>
        </w:rPr>
        <w:t xml:space="preserve">USD $325,000,000 </w:t>
      </w:r>
      <w:r w:rsidR="000D2038" w:rsidRPr="002A2450">
        <w:rPr>
          <w:rFonts w:ascii="ITC Avant Garde" w:hAnsi="ITC Avant Garde"/>
        </w:rPr>
        <w:t xml:space="preserve">(Trescientos veinticinco millones de dólares de Estados Unidos de América) </w:t>
      </w:r>
      <w:r w:rsidRPr="002A2450">
        <w:rPr>
          <w:rFonts w:ascii="ITC Avant Garde" w:hAnsi="ITC Avant Garde" w:cs="Arial"/>
        </w:rPr>
        <w:t xml:space="preserve">correspondientes al precio del total de </w:t>
      </w:r>
      <w:r w:rsidR="00DB48C0">
        <w:rPr>
          <w:rFonts w:ascii="ITC Avant Garde" w:hAnsi="ITC Avant Garde" w:cs="Arial"/>
        </w:rPr>
        <w:t>Kits</w:t>
      </w:r>
      <w:r w:rsidRPr="002A2450">
        <w:rPr>
          <w:rFonts w:ascii="ITC Avant Garde" w:hAnsi="ITC Avant Garde" w:cs="Arial"/>
        </w:rPr>
        <w:t xml:space="preserve"> CPE que se otorgarían en arrendamiento, corresponde precisamente al pago de </w:t>
      </w:r>
      <w:r w:rsidRPr="002A2450">
        <w:rPr>
          <w:rFonts w:ascii="ITC Avant Garde" w:hAnsi="ITC Avant Garde" w:cs="Arial"/>
        </w:rPr>
        <w:lastRenderedPageBreak/>
        <w:t>los dividendos en caso de que se ejerciera la opción, así como que en caso de decretarse antes del ejercicio de la opción el pago de dividendos, estos tendría que liquidar previamente el pago por el monto total del arrendamiento.</w:t>
      </w:r>
    </w:p>
    <w:p w14:paraId="5A987335" w14:textId="1F1E4C3C" w:rsidR="00B35F13" w:rsidRPr="00A80E02" w:rsidRDefault="0098278A" w:rsidP="00A80E02">
      <w:pPr>
        <w:pStyle w:val="Prrafodelista"/>
        <w:spacing w:before="240" w:line="360" w:lineRule="auto"/>
        <w:jc w:val="both"/>
        <w:rPr>
          <w:rFonts w:ascii="ITC Avant Garde" w:hAnsi="ITC Avant Garde" w:cs="Arial"/>
        </w:rPr>
      </w:pPr>
      <w:r w:rsidRPr="002A2450">
        <w:rPr>
          <w:rFonts w:ascii="ITC Avant Garde" w:hAnsi="ITC Avant Garde" w:cs="Arial"/>
        </w:rPr>
        <w:t xml:space="preserve">En tales consideraciones, resulta claro que la compra de los </w:t>
      </w:r>
      <w:r w:rsidR="00DB48C0">
        <w:rPr>
          <w:rFonts w:ascii="ITC Avant Garde" w:hAnsi="ITC Avant Garde" w:cs="Arial"/>
        </w:rPr>
        <w:t>Kits</w:t>
      </w:r>
      <w:r w:rsidRPr="002A2450">
        <w:rPr>
          <w:rFonts w:ascii="ITC Avant Garde" w:hAnsi="ITC Avant Garde" w:cs="Arial"/>
        </w:rPr>
        <w:t xml:space="preserve"> CPE </w:t>
      </w:r>
      <w:r w:rsidR="00F9067C">
        <w:rPr>
          <w:rFonts w:ascii="ITC Avant Garde" w:hAnsi="ITC Avant Garde" w:cs="Arial"/>
        </w:rPr>
        <w:t xml:space="preserve">pudiera corresponder </w:t>
      </w:r>
      <w:r w:rsidR="00F9067C" w:rsidRPr="002A2450">
        <w:rPr>
          <w:rFonts w:ascii="ITC Avant Garde" w:hAnsi="ITC Avant Garde" w:cs="Arial"/>
        </w:rPr>
        <w:t xml:space="preserve"> </w:t>
      </w:r>
      <w:r w:rsidRPr="002A2450">
        <w:rPr>
          <w:rFonts w:ascii="ITC Avant Garde" w:hAnsi="ITC Avant Garde" w:cs="Arial"/>
        </w:rPr>
        <w:t xml:space="preserve">a una </w:t>
      </w:r>
      <w:r w:rsidR="00C1688D" w:rsidRPr="002A2450">
        <w:rPr>
          <w:rFonts w:ascii="ITC Avant Garde" w:hAnsi="ITC Avant Garde" w:cs="Arial"/>
        </w:rPr>
        <w:t>aportación</w:t>
      </w:r>
      <w:r w:rsidRPr="002A2450">
        <w:rPr>
          <w:rFonts w:ascii="ITC Avant Garde" w:hAnsi="ITC Avant Garde" w:cs="Arial"/>
        </w:rPr>
        <w:t xml:space="preserve">, puesto que el contenido obligacional de los contratos independientemente del ejercicio de la opción, otorga a </w:t>
      </w:r>
      <w:r w:rsidRPr="002A2450">
        <w:rPr>
          <w:rFonts w:ascii="ITC Avant Garde" w:hAnsi="ITC Avant Garde" w:cs="Arial"/>
          <w:b/>
        </w:rPr>
        <w:t>“TELMEX”</w:t>
      </w:r>
      <w:r w:rsidRPr="002A2450">
        <w:rPr>
          <w:rFonts w:ascii="ITC Avant Garde" w:hAnsi="ITC Avant Garde" w:cs="Arial"/>
        </w:rPr>
        <w:t xml:space="preserve"> la posibilidad de recuperar precisamente la cantidad de USD $325</w:t>
      </w:r>
      <w:proofErr w:type="gramStart"/>
      <w:r w:rsidRPr="002A2450">
        <w:rPr>
          <w:rFonts w:ascii="ITC Avant Garde" w:hAnsi="ITC Avant Garde" w:cs="Arial"/>
        </w:rPr>
        <w:t>,000,000</w:t>
      </w:r>
      <w:proofErr w:type="gramEnd"/>
      <w:r w:rsidR="000D2038" w:rsidRPr="002A2450">
        <w:rPr>
          <w:rFonts w:ascii="ITC Avant Garde" w:hAnsi="ITC Avant Garde" w:cs="Arial"/>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cs="Arial"/>
        </w:rPr>
        <w:t>.</w:t>
      </w:r>
      <w:r w:rsidR="00395CF6" w:rsidRPr="002A2450">
        <w:rPr>
          <w:rFonts w:ascii="ITC Avant Garde" w:hAnsi="ITC Avant Garde" w:cs="Arial"/>
        </w:rPr>
        <w:t xml:space="preserve"> </w:t>
      </w:r>
      <w:r w:rsidRPr="002A2450">
        <w:rPr>
          <w:rFonts w:ascii="ITC Avant Garde" w:hAnsi="ITC Avant Garde" w:cs="Arial"/>
        </w:rPr>
        <w:t xml:space="preserve">Con base en lo anterior, </w:t>
      </w:r>
      <w:r w:rsidR="00F9067C">
        <w:rPr>
          <w:rFonts w:ascii="ITC Avant Garde" w:hAnsi="ITC Avant Garde" w:cs="Arial"/>
        </w:rPr>
        <w:t xml:space="preserve">fue que se presumió que </w:t>
      </w:r>
      <w:r w:rsidR="00610F91" w:rsidRPr="002A2450">
        <w:rPr>
          <w:rFonts w:ascii="ITC Avant Garde" w:hAnsi="ITC Avant Garde" w:cs="Arial"/>
        </w:rPr>
        <w:t>el arrendamiento celebrado correspond</w:t>
      </w:r>
      <w:r w:rsidR="00F9067C">
        <w:rPr>
          <w:rFonts w:ascii="ITC Avant Garde" w:hAnsi="ITC Avant Garde" w:cs="Arial"/>
        </w:rPr>
        <w:t>ía</w:t>
      </w:r>
      <w:r w:rsidR="00610F91" w:rsidRPr="002A2450">
        <w:rPr>
          <w:rFonts w:ascii="ITC Avant Garde" w:hAnsi="ITC Avant Garde" w:cs="Arial"/>
        </w:rPr>
        <w:t xml:space="preserve"> a una inversión de forma velada </w:t>
      </w:r>
      <w:r w:rsidR="00507B68" w:rsidRPr="00A80E02">
        <w:rPr>
          <w:rFonts w:ascii="ITC Avant Garde" w:hAnsi="ITC Avant Garde" w:cs="Arial"/>
        </w:rPr>
        <w:t xml:space="preserve">que le otorgaría liquidez a </w:t>
      </w:r>
      <w:r w:rsidR="00507B68" w:rsidRPr="00A80E02">
        <w:rPr>
          <w:rFonts w:ascii="ITC Avant Garde" w:hAnsi="ITC Avant Garde" w:cs="Arial"/>
          <w:b/>
        </w:rPr>
        <w:t>“COFRESA”</w:t>
      </w:r>
      <w:r w:rsidR="00507B68" w:rsidRPr="00A80E02">
        <w:rPr>
          <w:rFonts w:ascii="ITC Avant Garde" w:hAnsi="ITC Avant Garde" w:cs="Arial"/>
        </w:rPr>
        <w:t xml:space="preserve"> para la prestación del servicio que </w:t>
      </w:r>
      <w:r w:rsidR="00702143" w:rsidRPr="00A80E02">
        <w:rPr>
          <w:rFonts w:ascii="ITC Avant Garde" w:hAnsi="ITC Avant Garde" w:cs="Arial"/>
        </w:rPr>
        <w:t>tenía</w:t>
      </w:r>
      <w:r w:rsidR="00507B68" w:rsidRPr="00A80E02">
        <w:rPr>
          <w:rFonts w:ascii="ITC Avant Garde" w:hAnsi="ITC Avant Garde" w:cs="Arial"/>
        </w:rPr>
        <w:t xml:space="preserve"> concesionado</w:t>
      </w:r>
      <w:r w:rsidR="00F9067C" w:rsidRPr="00A80E02">
        <w:rPr>
          <w:rFonts w:ascii="ITC Avant Garde" w:hAnsi="ITC Avant Garde" w:cs="Arial"/>
        </w:rPr>
        <w:t>, sin embargo tal afirmación no se encuentra acreditada en el expediente</w:t>
      </w:r>
      <w:r w:rsidR="00507B68" w:rsidRPr="00A80E02">
        <w:rPr>
          <w:rFonts w:ascii="ITC Avant Garde" w:hAnsi="ITC Avant Garde" w:cs="Arial"/>
        </w:rPr>
        <w:t>.</w:t>
      </w:r>
    </w:p>
    <w:p w14:paraId="05000162" w14:textId="77777777" w:rsidR="00B35F13" w:rsidRDefault="00395CF6" w:rsidP="00B35F13">
      <w:pPr>
        <w:pStyle w:val="Prrafodelista"/>
        <w:spacing w:before="240" w:line="360" w:lineRule="auto"/>
        <w:jc w:val="both"/>
        <w:rPr>
          <w:rFonts w:ascii="ITC Avant Garde" w:hAnsi="ITC Avant Garde" w:cs="Arial"/>
        </w:rPr>
      </w:pPr>
      <w:r w:rsidRPr="002A2450">
        <w:rPr>
          <w:rFonts w:ascii="ITC Avant Garde" w:hAnsi="ITC Avant Garde" w:cs="Arial"/>
        </w:rPr>
        <w:t>Esta aportación quedó sujet</w:t>
      </w:r>
      <w:r w:rsidR="008521D0" w:rsidRPr="002A2450">
        <w:rPr>
          <w:rFonts w:ascii="ITC Avant Garde" w:hAnsi="ITC Avant Garde" w:cs="Arial"/>
        </w:rPr>
        <w:t>a</w:t>
      </w:r>
      <w:r w:rsidRPr="002A2450">
        <w:rPr>
          <w:rFonts w:ascii="ITC Avant Garde" w:hAnsi="ITC Avant Garde" w:cs="Arial"/>
        </w:rPr>
        <w:t xml:space="preserve"> a los siguientes términos y condiciones</w:t>
      </w:r>
      <w:r w:rsidR="0098278A" w:rsidRPr="002A2450">
        <w:rPr>
          <w:rFonts w:ascii="ITC Avant Garde" w:hAnsi="ITC Avant Garde" w:cs="Arial"/>
        </w:rPr>
        <w:t>:</w:t>
      </w:r>
    </w:p>
    <w:p w14:paraId="3294E3E0" w14:textId="77777777"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En términos del contrato de Consecuencias, </w:t>
      </w:r>
      <w:r w:rsidR="00AE173F" w:rsidRPr="0004375E">
        <w:rPr>
          <w:rFonts w:ascii="ITC Avant Garde" w:eastAsiaTheme="majorEastAsia" w:hAnsi="ITC Avant Garde" w:cstheme="majorBidi"/>
          <w:b/>
          <w:color w:val="0000FF"/>
          <w:szCs w:val="32"/>
        </w:rPr>
        <w:t>“CONFIDENCIAL POR LEY”</w:t>
      </w:r>
      <w:r w:rsidRPr="002A2450">
        <w:rPr>
          <w:rFonts w:ascii="ITC Avant Garde" w:hAnsi="ITC Avant Garde"/>
        </w:rPr>
        <w:t xml:space="preserve"> </w:t>
      </w:r>
      <w:proofErr w:type="spellStart"/>
      <w:r w:rsidRPr="002A2450">
        <w:rPr>
          <w:rFonts w:ascii="ITC Avant Garde" w:hAnsi="ITC Avant Garde"/>
        </w:rPr>
        <w:t>Teninver</w:t>
      </w:r>
      <w:proofErr w:type="spellEnd"/>
      <w:r w:rsidRPr="002A2450">
        <w:rPr>
          <w:rFonts w:ascii="ITC Avant Garde" w:hAnsi="ITC Avant Garde"/>
        </w:rPr>
        <w:t xml:space="preserve">, se establece entre otras cosas lo siguiente: i) </w:t>
      </w:r>
      <w:r w:rsidRPr="002A2450">
        <w:rPr>
          <w:rFonts w:ascii="ITC Avant Garde" w:hAnsi="ITC Avant Garde"/>
          <w:b/>
        </w:rPr>
        <w:t xml:space="preserve">“TENINVER” </w:t>
      </w:r>
      <w:r w:rsidRPr="002A2450">
        <w:rPr>
          <w:rFonts w:ascii="ITC Avant Garde" w:hAnsi="ITC Avant Garde"/>
        </w:rPr>
        <w:t xml:space="preserve">llevará a cabo los actos necesarios a efecto de que un banco de su elección, sujeto a la aprobación de </w:t>
      </w:r>
      <w:r w:rsidRPr="002A2450">
        <w:rPr>
          <w:rFonts w:ascii="ITC Avant Garde" w:hAnsi="ITC Avant Garde"/>
          <w:b/>
        </w:rPr>
        <w:t>“DISH MÉXICO”</w:t>
      </w:r>
      <w:r w:rsidRPr="002A2450">
        <w:rPr>
          <w:rFonts w:ascii="ITC Avant Garde" w:hAnsi="ITC Avant Garde"/>
        </w:rPr>
        <w:t xml:space="preserve">, le otorgue a la segunda un préstamo; ii) dicha obligación sería exclusiva de </w:t>
      </w:r>
      <w:r w:rsidRPr="002A2450">
        <w:rPr>
          <w:rFonts w:ascii="ITC Avant Garde" w:hAnsi="ITC Avant Garde"/>
          <w:b/>
        </w:rPr>
        <w:t xml:space="preserve">“DISH MÉXICO” </w:t>
      </w:r>
      <w:r w:rsidR="000D2038" w:rsidRPr="002A2450">
        <w:rPr>
          <w:rFonts w:ascii="ITC Avant Garde" w:hAnsi="ITC Avant Garde"/>
        </w:rPr>
        <w:t xml:space="preserve">por una cantidad igual a </w:t>
      </w:r>
      <w:r w:rsidRPr="002A2450">
        <w:rPr>
          <w:rFonts w:ascii="ITC Avant Garde" w:hAnsi="ITC Avant Garde"/>
        </w:rPr>
        <w:t>USD $325´000,000.00</w:t>
      </w:r>
      <w:r w:rsidR="000D2038" w:rsidRPr="002A2450">
        <w:rPr>
          <w:rFonts w:ascii="ITC Avant Garde" w:hAnsi="ITC Avant Garde"/>
        </w:rPr>
        <w:t xml:space="preserve"> (Trescientos veinticinco millones de dólares de Estados Unidos de América)</w:t>
      </w:r>
      <w:r w:rsidRPr="002A2450">
        <w:rPr>
          <w:rFonts w:ascii="ITC Avant Garde" w:hAnsi="ITC Avant Garde"/>
        </w:rPr>
        <w:t xml:space="preserve"> menos la cantidad que </w:t>
      </w:r>
      <w:r w:rsidRPr="002A2450">
        <w:rPr>
          <w:rFonts w:ascii="ITC Avant Garde" w:hAnsi="ITC Avant Garde"/>
          <w:b/>
        </w:rPr>
        <w:t>“TENINVER”</w:t>
      </w:r>
      <w:r w:rsidRPr="002A2450">
        <w:rPr>
          <w:rFonts w:ascii="ITC Avant Garde" w:hAnsi="ITC Avant Garde"/>
        </w:rPr>
        <w:t xml:space="preserve"> haya erogado con motivo del contrato de arrendamiento; iii) el préstamo respaldará un dividendo que ser</w:t>
      </w:r>
      <w:r w:rsidR="00395CF6" w:rsidRPr="002A2450">
        <w:rPr>
          <w:rFonts w:ascii="ITC Avant Garde" w:hAnsi="ITC Avant Garde"/>
        </w:rPr>
        <w:t xml:space="preserve">ía </w:t>
      </w:r>
      <w:r w:rsidRPr="002A2450">
        <w:rPr>
          <w:rFonts w:ascii="ITC Avant Garde" w:hAnsi="ITC Avant Garde"/>
        </w:rPr>
        <w:t xml:space="preserve">pagado por </w:t>
      </w:r>
      <w:r w:rsidRPr="002A2450">
        <w:rPr>
          <w:rFonts w:ascii="ITC Avant Garde" w:hAnsi="ITC Avant Garde"/>
          <w:b/>
        </w:rPr>
        <w:t xml:space="preserve">“DISH MÉXICO” </w:t>
      </w:r>
      <w:r w:rsidRPr="002A2450">
        <w:rPr>
          <w:rFonts w:ascii="ITC Avant Garde" w:hAnsi="ITC Avant Garde"/>
        </w:rPr>
        <w:t>en 2014</w:t>
      </w:r>
      <w:r w:rsidR="00395CF6" w:rsidRPr="002A2450">
        <w:rPr>
          <w:rFonts w:ascii="ITC Avant Garde" w:hAnsi="ITC Avant Garde"/>
        </w:rPr>
        <w:t>, sobre el cual no se tienen indicios de que se haya efectuado</w:t>
      </w:r>
      <w:r w:rsidRPr="002A2450">
        <w:rPr>
          <w:rFonts w:ascii="ITC Avant Garde" w:hAnsi="ITC Avant Garde"/>
        </w:rPr>
        <w:t>.</w:t>
      </w:r>
    </w:p>
    <w:p w14:paraId="5A82D2A0" w14:textId="77777777"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En términos del contrato de compraventa de CPE, </w:t>
      </w:r>
      <w:r w:rsidRPr="002A2450">
        <w:rPr>
          <w:rFonts w:ascii="ITC Avant Garde" w:hAnsi="ITC Avant Garde"/>
          <w:b/>
        </w:rPr>
        <w:t>ECHOSTAR TECHNOLOGIES LLC</w:t>
      </w:r>
      <w:r w:rsidRPr="002A2450">
        <w:rPr>
          <w:rFonts w:ascii="ITC Avant Garde" w:hAnsi="ITC Avant Garde"/>
        </w:rPr>
        <w:t xml:space="preserve">, en su carácter de vendedor, transmitió la </w:t>
      </w:r>
      <w:r w:rsidRPr="002A2450">
        <w:rPr>
          <w:rFonts w:ascii="ITC Avant Garde" w:hAnsi="ITC Avant Garde"/>
        </w:rPr>
        <w:lastRenderedPageBreak/>
        <w:t>propiedad de los equipos CPE (</w:t>
      </w:r>
      <w:r w:rsidRPr="002A2450">
        <w:rPr>
          <w:rFonts w:ascii="ITC Avant Garde" w:hAnsi="ITC Avant Garde"/>
          <w:i/>
        </w:rPr>
        <w:t>decodificador/descifrador integrado/ set-top box</w:t>
      </w:r>
      <w:r w:rsidRPr="002A2450">
        <w:rPr>
          <w:rFonts w:ascii="ITC Avant Garde" w:hAnsi="ITC Avant Garde"/>
        </w:rPr>
        <w:t xml:space="preserve">), a </w:t>
      </w:r>
      <w:r w:rsidRPr="002A2450">
        <w:rPr>
          <w:rFonts w:ascii="ITC Avant Garde" w:hAnsi="ITC Avant Garde"/>
          <w:b/>
        </w:rPr>
        <w:t>“COFRESA”</w:t>
      </w:r>
      <w:r w:rsidRPr="002A2450">
        <w:rPr>
          <w:rFonts w:ascii="ITC Avant Garde" w:hAnsi="ITC Avant Garde"/>
        </w:rPr>
        <w:t>, en su carácter de comprador.</w:t>
      </w:r>
    </w:p>
    <w:p w14:paraId="14862D47" w14:textId="5B9411FC"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Ahora bien, en términos del contrato de arrendamiento celebrado entre </w:t>
      </w:r>
      <w:r w:rsidRPr="002A2450">
        <w:rPr>
          <w:rFonts w:ascii="ITC Avant Garde" w:hAnsi="ITC Avant Garde"/>
          <w:b/>
        </w:rPr>
        <w:t>“COFRESA”</w:t>
      </w:r>
      <w:r w:rsidRPr="002A2450">
        <w:rPr>
          <w:rFonts w:ascii="ITC Avant Garde" w:hAnsi="ITC Avant Garde"/>
        </w:rPr>
        <w:t xml:space="preserve"> y </w:t>
      </w:r>
      <w:r w:rsidRPr="002A2450">
        <w:rPr>
          <w:rFonts w:ascii="ITC Avant Garde" w:hAnsi="ITC Avant Garde"/>
          <w:b/>
        </w:rPr>
        <w:t>“TENINVER”</w:t>
      </w:r>
      <w:r w:rsidRPr="002A2450">
        <w:rPr>
          <w:rFonts w:ascii="ITC Avant Garde" w:hAnsi="ITC Avant Garde"/>
        </w:rPr>
        <w:t xml:space="preserve">, la primera vendería a la segunda los kits CPE adquiridos por </w:t>
      </w:r>
      <w:r w:rsidRPr="002A2450">
        <w:rPr>
          <w:rFonts w:ascii="ITC Avant Garde" w:hAnsi="ITC Avant Garde"/>
          <w:b/>
        </w:rPr>
        <w:t xml:space="preserve">“COFRESA” </w:t>
      </w:r>
      <w:r w:rsidRPr="002A2450">
        <w:rPr>
          <w:rFonts w:ascii="ITC Avant Garde" w:hAnsi="ITC Avant Garde"/>
        </w:rPr>
        <w:t>y la segunda</w:t>
      </w:r>
      <w:r w:rsidRPr="002A2450">
        <w:rPr>
          <w:rFonts w:ascii="ITC Avant Garde" w:hAnsi="ITC Avant Garde"/>
          <w:b/>
        </w:rPr>
        <w:t xml:space="preserve"> </w:t>
      </w:r>
      <w:r w:rsidRPr="002A2450">
        <w:rPr>
          <w:rFonts w:ascii="ITC Avant Garde" w:hAnsi="ITC Avant Garde"/>
        </w:rPr>
        <w:t>arrendaría dichos equipos a</w:t>
      </w:r>
      <w:r w:rsidRPr="002A2450">
        <w:rPr>
          <w:rFonts w:ascii="ITC Avant Garde" w:hAnsi="ITC Avant Garde"/>
          <w:b/>
        </w:rPr>
        <w:t xml:space="preserve"> </w:t>
      </w:r>
      <w:r w:rsidRPr="002A2450">
        <w:rPr>
          <w:rFonts w:ascii="ITC Avant Garde" w:hAnsi="ITC Avant Garde"/>
        </w:rPr>
        <w:t>la primera en mención.</w:t>
      </w:r>
    </w:p>
    <w:p w14:paraId="29309730" w14:textId="03162540" w:rsidR="00B35F13" w:rsidRPr="00A80E02" w:rsidRDefault="0098278A" w:rsidP="00A80E02">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El contrato de arredramiento en su cláusula 3.2 señala que el arrendador (</w:t>
      </w:r>
      <w:r w:rsidRPr="002A2450">
        <w:rPr>
          <w:rFonts w:ascii="ITC Avant Garde" w:hAnsi="ITC Avant Garde"/>
          <w:b/>
        </w:rPr>
        <w:t>“TENINVER”</w:t>
      </w:r>
      <w:r w:rsidRPr="002A2450">
        <w:rPr>
          <w:rFonts w:ascii="ITC Avant Garde" w:hAnsi="ITC Avant Garde"/>
        </w:rPr>
        <w:t>)</w:t>
      </w:r>
      <w:r w:rsidRPr="002A2450">
        <w:rPr>
          <w:rFonts w:ascii="ITC Avant Garde" w:hAnsi="ITC Avant Garde"/>
          <w:b/>
        </w:rPr>
        <w:t xml:space="preserve"> </w:t>
      </w:r>
      <w:r w:rsidRPr="002A2450">
        <w:rPr>
          <w:rFonts w:ascii="ITC Avant Garde" w:hAnsi="ITC Avant Garde"/>
        </w:rPr>
        <w:t xml:space="preserve">no estaría obligado a invertir más de </w:t>
      </w:r>
      <w:r w:rsidRPr="002A2450">
        <w:rPr>
          <w:rFonts w:ascii="ITC Avant Garde" w:hAnsi="ITC Avant Garde"/>
          <w:b/>
        </w:rPr>
        <w:t>USD $325´000,000.00</w:t>
      </w:r>
      <w:r w:rsidR="000D2038" w:rsidRPr="002A2450">
        <w:rPr>
          <w:rFonts w:ascii="ITC Avant Garde" w:hAnsi="ITC Avant Garde"/>
          <w:b/>
        </w:rPr>
        <w:t xml:space="preserve"> </w:t>
      </w:r>
      <w:r w:rsidR="000D2038" w:rsidRPr="00A80E02">
        <w:rPr>
          <w:rFonts w:ascii="ITC Avant Garde" w:hAnsi="ITC Avant Garde"/>
        </w:rPr>
        <w:t>(Trescientos veinticinco millones de dólares de Estados Unidos de América)</w:t>
      </w:r>
      <w:r w:rsidRPr="00A80E02">
        <w:rPr>
          <w:rFonts w:ascii="ITC Avant Garde" w:hAnsi="ITC Avant Garde"/>
        </w:rPr>
        <w:t>.</w:t>
      </w:r>
    </w:p>
    <w:p w14:paraId="48EE171F" w14:textId="77777777"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De acuerdo al contrato de opción de compra y venta, Sección 6. Definiciones, inciso (ll) el precio del ejercicio de la opción sería de </w:t>
      </w:r>
      <w:r w:rsidRPr="002A2450">
        <w:rPr>
          <w:rFonts w:ascii="ITC Avant Garde" w:hAnsi="ITC Avant Garde"/>
          <w:b/>
        </w:rPr>
        <w:t>USD $325´000,000.00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rPr>
        <w:t>.</w:t>
      </w:r>
    </w:p>
    <w:p w14:paraId="3E02942B" w14:textId="77777777"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De acuerdo a </w:t>
      </w:r>
      <w:r w:rsidR="00AE173F" w:rsidRPr="000B55ED">
        <w:rPr>
          <w:rFonts w:ascii="ITC Avant Garde" w:eastAsiaTheme="majorEastAsia" w:hAnsi="ITC Avant Garde" w:cstheme="majorBidi"/>
          <w:color w:val="0000FF"/>
          <w:szCs w:val="32"/>
        </w:rPr>
        <w:t>“</w:t>
      </w:r>
      <w:r w:rsidR="00AE173F" w:rsidRPr="0004375E">
        <w:rPr>
          <w:rFonts w:ascii="ITC Avant Garde" w:eastAsiaTheme="majorEastAsia" w:hAnsi="ITC Avant Garde" w:cstheme="majorBidi"/>
          <w:b/>
          <w:color w:val="0000FF"/>
          <w:szCs w:val="32"/>
        </w:rPr>
        <w:t>CONFIDENCIAL POR LEY”</w:t>
      </w:r>
      <w:r w:rsidRPr="002A2450">
        <w:rPr>
          <w:rFonts w:ascii="ITC Avant Garde" w:hAnsi="ITC Avant Garde"/>
        </w:rPr>
        <w:t xml:space="preserve"> del contrato de consecuencias, las partes señalaron que la cantidad total por la cual </w:t>
      </w:r>
      <w:r w:rsidRPr="002A2450">
        <w:rPr>
          <w:rFonts w:ascii="ITC Avant Garde" w:hAnsi="ITC Avant Garde"/>
          <w:b/>
        </w:rPr>
        <w:t xml:space="preserve">“TENINVER” </w:t>
      </w:r>
      <w:r w:rsidRPr="002A2450">
        <w:rPr>
          <w:rFonts w:ascii="ITC Avant Garde" w:hAnsi="ITC Avant Garde"/>
        </w:rPr>
        <w:t xml:space="preserve">y </w:t>
      </w:r>
      <w:r w:rsidRPr="002A2450">
        <w:rPr>
          <w:rFonts w:ascii="ITC Avant Garde" w:hAnsi="ITC Avant Garde"/>
          <w:b/>
        </w:rPr>
        <w:t>“TELMEX”</w:t>
      </w:r>
      <w:r w:rsidRPr="002A2450">
        <w:rPr>
          <w:rFonts w:ascii="ITC Avant Garde" w:hAnsi="ITC Avant Garde"/>
        </w:rPr>
        <w:t xml:space="preserve"> estarían obligadas a indemnizar</w:t>
      </w:r>
      <w:r w:rsidR="00507B68" w:rsidRPr="002A2450">
        <w:rPr>
          <w:rFonts w:ascii="ITC Avant Garde" w:hAnsi="ITC Avant Garde"/>
        </w:rPr>
        <w:t xml:space="preserve"> por cualquier demanda o procedimiento derivado de la violación a cualquier normatividad,</w:t>
      </w:r>
      <w:r w:rsidRPr="002A2450">
        <w:rPr>
          <w:rFonts w:ascii="ITC Avant Garde" w:hAnsi="ITC Avant Garde"/>
        </w:rPr>
        <w:t xml:space="preserve"> a la parte respectiva en ningún caso excedería de </w:t>
      </w:r>
      <w:r w:rsidRPr="002A2450">
        <w:rPr>
          <w:rFonts w:ascii="ITC Avant Garde" w:hAnsi="ITC Avant Garde"/>
          <w:b/>
        </w:rPr>
        <w:t>USD $325´000,000.00</w:t>
      </w:r>
      <w:r w:rsidR="000D2038" w:rsidRPr="002A2450">
        <w:rPr>
          <w:rFonts w:ascii="ITC Avant Garde" w:hAnsi="ITC Avant Garde"/>
          <w:b/>
        </w:rPr>
        <w:t xml:space="preserve"> </w:t>
      </w:r>
      <w:r w:rsidR="000D2038" w:rsidRPr="002A2450">
        <w:rPr>
          <w:rFonts w:ascii="ITC Avant Garde" w:hAnsi="ITC Avant Garde"/>
        </w:rPr>
        <w:t>(Trescientos veinticinco millones de dólares de Estados Unidos de América)</w:t>
      </w:r>
      <w:r w:rsidRPr="002A2450">
        <w:rPr>
          <w:rFonts w:ascii="ITC Avant Garde" w:hAnsi="ITC Avant Garde"/>
        </w:rPr>
        <w:t>.</w:t>
      </w:r>
    </w:p>
    <w:p w14:paraId="4F2B8EF5" w14:textId="77777777" w:rsidR="00B35F13" w:rsidRDefault="0098278A" w:rsidP="007E623E">
      <w:pPr>
        <w:pStyle w:val="Prrafodelista"/>
        <w:numPr>
          <w:ilvl w:val="0"/>
          <w:numId w:val="55"/>
        </w:numPr>
        <w:spacing w:before="240" w:line="360" w:lineRule="auto"/>
        <w:ind w:left="1134" w:hanging="425"/>
        <w:jc w:val="both"/>
        <w:rPr>
          <w:rFonts w:ascii="ITC Avant Garde" w:hAnsi="ITC Avant Garde"/>
        </w:rPr>
      </w:pPr>
      <w:r w:rsidRPr="002A2450">
        <w:rPr>
          <w:rFonts w:ascii="ITC Avant Garde" w:hAnsi="ITC Avant Garde"/>
        </w:rPr>
        <w:t xml:space="preserve">Finalmente, en el contrato de arrendamiento se estableció que </w:t>
      </w:r>
      <w:r w:rsidRPr="002A2450">
        <w:rPr>
          <w:rFonts w:ascii="ITC Avant Garde" w:hAnsi="ITC Avant Garde"/>
          <w:b/>
        </w:rPr>
        <w:t>“COFRESA”</w:t>
      </w:r>
      <w:r w:rsidRPr="002A2450">
        <w:rPr>
          <w:rFonts w:ascii="ITC Avant Garde" w:hAnsi="ITC Avant Garde"/>
        </w:rPr>
        <w:t xml:space="preserve"> no estaría obligada a devolver los equipos al </w:t>
      </w:r>
      <w:r w:rsidR="00507B68" w:rsidRPr="002A2450">
        <w:rPr>
          <w:rFonts w:ascii="ITC Avant Garde" w:hAnsi="ITC Avant Garde"/>
        </w:rPr>
        <w:t>término</w:t>
      </w:r>
      <w:r w:rsidRPr="002A2450">
        <w:rPr>
          <w:rFonts w:ascii="ITC Avant Garde" w:hAnsi="ITC Avant Garde"/>
        </w:rPr>
        <w:t xml:space="preserve"> del contrato.</w:t>
      </w:r>
    </w:p>
    <w:p w14:paraId="19384DEC" w14:textId="77777777" w:rsidR="00B35F13" w:rsidRDefault="00395CF6" w:rsidP="00B35F13">
      <w:pPr>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Respecto a esta aportación, </w:t>
      </w:r>
      <w:r w:rsidR="00AE173F" w:rsidRPr="0004375E">
        <w:rPr>
          <w:rFonts w:ascii="ITC Avant Garde" w:eastAsiaTheme="majorEastAsia" w:hAnsi="ITC Avant Garde" w:cstheme="majorBidi"/>
          <w:b/>
          <w:color w:val="0000FF"/>
          <w:szCs w:val="32"/>
        </w:rPr>
        <w:t>“CONFIDENCIAL POR LEY”</w:t>
      </w:r>
      <w:r w:rsidRPr="002A2450">
        <w:rPr>
          <w:rFonts w:ascii="ITC Avant Garde" w:eastAsia="Calibri" w:hAnsi="ITC Avant Garde" w:cs="Times New Roman"/>
        </w:rPr>
        <w:t xml:space="preserve"> Contrato de Opciones de Compra y Venta, estipula que el monto </w:t>
      </w:r>
      <w:proofErr w:type="gramStart"/>
      <w:r w:rsidRPr="002A2450">
        <w:rPr>
          <w:rFonts w:ascii="ITC Avant Garde" w:eastAsia="Calibri" w:hAnsi="ITC Avant Garde" w:cs="Times New Roman"/>
        </w:rPr>
        <w:t xml:space="preserve">que </w:t>
      </w:r>
      <w:r w:rsidR="00BC2265" w:rsidRPr="002A2450">
        <w:rPr>
          <w:rFonts w:ascii="ITC Avant Garde" w:eastAsia="Calibri" w:hAnsi="ITC Avant Garde" w:cs="Times New Roman"/>
          <w:b/>
        </w:rPr>
        <w:t>”</w:t>
      </w:r>
      <w:proofErr w:type="gramEnd"/>
      <w:r w:rsidR="00BC2265" w:rsidRPr="002A2450">
        <w:rPr>
          <w:rFonts w:ascii="ITC Avant Garde" w:eastAsia="Calibri" w:hAnsi="ITC Avant Garde" w:cs="Times New Roman"/>
          <w:b/>
        </w:rPr>
        <w:t>DISH MÉXICO”</w:t>
      </w:r>
      <w:r w:rsidRPr="002A2450">
        <w:rPr>
          <w:rFonts w:ascii="ITC Avant Garde" w:eastAsia="Calibri" w:hAnsi="ITC Avant Garde" w:cs="Times New Roman"/>
        </w:rPr>
        <w:t xml:space="preserve"> reciba de </w:t>
      </w:r>
      <w:r w:rsidR="00BC2265" w:rsidRPr="002A2450">
        <w:rPr>
          <w:rFonts w:ascii="ITC Avant Garde" w:eastAsia="Calibri" w:hAnsi="ITC Avant Garde" w:cs="Times New Roman"/>
          <w:b/>
        </w:rPr>
        <w:t>“TENINVER”</w:t>
      </w:r>
      <w:r w:rsidRPr="002A2450">
        <w:rPr>
          <w:rFonts w:ascii="ITC Avant Garde" w:eastAsia="Calibri" w:hAnsi="ITC Avant Garde" w:cs="Times New Roman"/>
        </w:rPr>
        <w:t xml:space="preserve"> por el ejercicio de alguna de las opciones, originalmente $325 millones de dólares de EE.UU., deberá destinarse al pago que tendrá obligación de hacer con motivo </w:t>
      </w:r>
      <w:r w:rsidRPr="002A2450">
        <w:rPr>
          <w:rFonts w:ascii="ITC Avant Garde" w:eastAsia="Calibri" w:hAnsi="ITC Avant Garde" w:cs="Times New Roman"/>
        </w:rPr>
        <w:lastRenderedPageBreak/>
        <w:t>de la terminación anticipada del Contrato de Arrendamiento, toda vez que el ejercicio de dicha opción es considerado un Evento de Liquidez.</w:t>
      </w:r>
    </w:p>
    <w:p w14:paraId="6FA88514" w14:textId="77777777" w:rsidR="00B35F13" w:rsidRDefault="00395CF6" w:rsidP="00B35F13">
      <w:pPr>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De esta forma se tiene la siguiente estructura de transferencia de recursos:</w:t>
      </w:r>
    </w:p>
    <w:p w14:paraId="1F52A877" w14:textId="1E1B6527" w:rsidR="00B35F13" w:rsidRPr="0004375E" w:rsidRDefault="00AE173F" w:rsidP="00B35F13">
      <w:pPr>
        <w:spacing w:before="240" w:line="360" w:lineRule="auto"/>
        <w:ind w:left="567" w:right="567"/>
        <w:jc w:val="both"/>
        <w:rPr>
          <w:rFonts w:ascii="ITC Avant Garde" w:hAnsi="ITC Avant Garde"/>
          <w:b/>
          <w:i/>
        </w:rPr>
      </w:pPr>
      <w:r w:rsidRPr="0004375E">
        <w:rPr>
          <w:rFonts w:ascii="ITC Avant Garde" w:eastAsiaTheme="majorEastAsia" w:hAnsi="ITC Avant Garde" w:cstheme="majorBidi"/>
          <w:b/>
          <w:color w:val="0000FF"/>
          <w:szCs w:val="32"/>
        </w:rPr>
        <w:t>“CONFIDENCIAL POR LEY”</w:t>
      </w:r>
    </w:p>
    <w:p w14:paraId="75B60665" w14:textId="77777777" w:rsidR="00B35F13" w:rsidRDefault="00395CF6" w:rsidP="00B35F13">
      <w:pPr>
        <w:spacing w:before="240" w:line="360" w:lineRule="auto"/>
        <w:jc w:val="both"/>
        <w:rPr>
          <w:rFonts w:ascii="ITC Avant Garde" w:eastAsia="Calibri" w:hAnsi="ITC Avant Garde" w:cs="Times New Roman"/>
        </w:rPr>
      </w:pPr>
      <w:r w:rsidRPr="002A2450">
        <w:rPr>
          <w:rFonts w:ascii="ITC Avant Garde" w:eastAsia="Calibri" w:hAnsi="ITC Avant Garde" w:cs="Times New Roman"/>
        </w:rPr>
        <w:t xml:space="preserve">Es decir, </w:t>
      </w:r>
      <w:r w:rsidR="00BC2265" w:rsidRPr="002A2450">
        <w:rPr>
          <w:rFonts w:ascii="ITC Avant Garde" w:hAnsi="ITC Avant Garde"/>
          <w:b/>
        </w:rPr>
        <w:t>“TENINVER”</w:t>
      </w:r>
      <w:r w:rsidRPr="002A2450">
        <w:rPr>
          <w:rFonts w:ascii="ITC Avant Garde" w:eastAsia="Calibri" w:hAnsi="ITC Avant Garde" w:cs="Times New Roman"/>
        </w:rPr>
        <w:t xml:space="preserve"> realiza aportaciones a </w:t>
      </w:r>
      <w:r w:rsidR="00BC2265" w:rsidRPr="002A2450">
        <w:rPr>
          <w:rFonts w:ascii="ITC Avant Garde" w:eastAsia="Calibri" w:hAnsi="ITC Avant Garde" w:cs="Times New Roman"/>
          <w:b/>
        </w:rPr>
        <w:t>“COFRESA”</w:t>
      </w:r>
      <w:r w:rsidRPr="002A2450">
        <w:rPr>
          <w:rFonts w:ascii="ITC Avant Garde" w:eastAsia="Calibri" w:hAnsi="ITC Avant Garde" w:cs="Times New Roman"/>
        </w:rPr>
        <w:t xml:space="preserve"> desde la firma de los Contratos </w:t>
      </w:r>
      <w:r w:rsidRPr="002A2450">
        <w:rPr>
          <w:rFonts w:ascii="ITC Avant Garde" w:eastAsia="Calibri" w:hAnsi="ITC Avant Garde" w:cs="Times New Roman"/>
          <w:u w:val="single"/>
        </w:rPr>
        <w:t>hasta el ejercicio de alguna opción</w:t>
      </w:r>
      <w:r w:rsidRPr="002A2450">
        <w:rPr>
          <w:rFonts w:ascii="ITC Avant Garde" w:eastAsia="Calibri" w:hAnsi="ITC Avant Garde" w:cs="Times New Roman"/>
        </w:rPr>
        <w:t xml:space="preserve">. La distribución de dichas aportaciones en el tiempo dependerá del momento en que alguna opción se ejerza. </w:t>
      </w:r>
    </w:p>
    <w:p w14:paraId="6722F1A9" w14:textId="77777777" w:rsidR="00B35F13" w:rsidRDefault="00395CF6" w:rsidP="00B35F13">
      <w:pPr>
        <w:pStyle w:val="Prrafodelista"/>
        <w:spacing w:before="240" w:line="360" w:lineRule="auto"/>
        <w:ind w:left="0"/>
        <w:jc w:val="both"/>
        <w:rPr>
          <w:rFonts w:ascii="ITC Avant Garde" w:hAnsi="ITC Avant Garde" w:cs="Arial"/>
        </w:rPr>
      </w:pPr>
      <w:r w:rsidRPr="002A2450">
        <w:rPr>
          <w:rFonts w:ascii="ITC Avant Garde" w:hAnsi="ITC Avant Garde" w:cs="Arial"/>
        </w:rPr>
        <w:t xml:space="preserve">Por una parte </w:t>
      </w:r>
      <w:r w:rsidRPr="002A2450">
        <w:rPr>
          <w:rFonts w:ascii="ITC Avant Garde" w:hAnsi="ITC Avant Garde" w:cs="Arial"/>
          <w:b/>
        </w:rPr>
        <w:t>"TELMEX"</w:t>
      </w:r>
      <w:r w:rsidRPr="002A2450">
        <w:rPr>
          <w:rFonts w:ascii="ITC Avant Garde" w:hAnsi="ITC Avant Garde" w:cs="Arial"/>
        </w:rPr>
        <w:t xml:space="preserve"> logra acreditar que a partir de la fecha de la firma del Convenio de Terminación, el 8 de agosto de 2014, quedaron sin efectos los Contratos de Consecuencias y de Opción de Compra Venta. Por otra parte, no se tienen elementos que permitan acreditar que en efecto </w:t>
      </w:r>
      <w:r w:rsidRPr="002A2450">
        <w:rPr>
          <w:rFonts w:ascii="ITC Avant Garde" w:hAnsi="ITC Avant Garde" w:cs="Arial"/>
          <w:b/>
        </w:rPr>
        <w:t>"DISH MÉXICO"</w:t>
      </w:r>
      <w:r w:rsidR="003F1599" w:rsidRPr="002A2450">
        <w:rPr>
          <w:rFonts w:ascii="ITC Avant Garde" w:hAnsi="ITC Avant Garde" w:cs="Arial"/>
        </w:rPr>
        <w:t xml:space="preserve"> haya realizado pagos u otorgado beneficios a </w:t>
      </w:r>
      <w:r w:rsidR="003F1599" w:rsidRPr="002A2450">
        <w:rPr>
          <w:rFonts w:ascii="ITC Avant Garde" w:hAnsi="ITC Avant Garde" w:cs="Arial"/>
          <w:b/>
        </w:rPr>
        <w:t>"TELMEX"</w:t>
      </w:r>
      <w:r w:rsidR="003F1599" w:rsidRPr="002A2450">
        <w:rPr>
          <w:rFonts w:ascii="ITC Avant Garde" w:hAnsi="ITC Avant Garde" w:cs="Arial"/>
        </w:rPr>
        <w:t xml:space="preserve"> a través de </w:t>
      </w:r>
      <w:r w:rsidR="003F1599" w:rsidRPr="002A2450">
        <w:rPr>
          <w:rFonts w:ascii="ITC Avant Garde" w:hAnsi="ITC Avant Garde" w:cs="Arial"/>
          <w:b/>
        </w:rPr>
        <w:t>"TENINVER"</w:t>
      </w:r>
      <w:r w:rsidR="003F1599" w:rsidRPr="002A2450">
        <w:rPr>
          <w:rFonts w:ascii="ITC Avant Garde" w:hAnsi="ITC Avant Garde" w:cs="Arial"/>
        </w:rPr>
        <w:t xml:space="preserve"> procedentes de la operación de </w:t>
      </w:r>
      <w:r w:rsidR="003F1599" w:rsidRPr="002A2450">
        <w:rPr>
          <w:rFonts w:ascii="ITC Avant Garde" w:hAnsi="ITC Avant Garde" w:cs="Arial"/>
          <w:b/>
        </w:rPr>
        <w:t>"COFRESA"</w:t>
      </w:r>
      <w:r w:rsidR="003F1599" w:rsidRPr="002A2450">
        <w:rPr>
          <w:rFonts w:ascii="ITC Avant Garde" w:hAnsi="ITC Avant Garde" w:cs="Arial"/>
        </w:rPr>
        <w:t xml:space="preserve"> o de otras subsidiarias concesionaras de algún servicio de televisión al público. </w:t>
      </w:r>
    </w:p>
    <w:p w14:paraId="0EF308D8" w14:textId="77777777" w:rsidR="00A80E02" w:rsidRDefault="003F1599" w:rsidP="00B35F13">
      <w:pPr>
        <w:pStyle w:val="Prrafodelista"/>
        <w:spacing w:before="240" w:line="360" w:lineRule="auto"/>
        <w:ind w:left="0"/>
        <w:jc w:val="both"/>
        <w:rPr>
          <w:rFonts w:ascii="ITC Avant Garde" w:hAnsi="ITC Avant Garde" w:cs="Arial"/>
        </w:rPr>
        <w:sectPr w:rsidR="00A80E02" w:rsidSect="009F3771">
          <w:headerReference w:type="default" r:id="rId75"/>
          <w:pgSz w:w="12240" w:h="15840"/>
          <w:pgMar w:top="1985" w:right="1701" w:bottom="1418" w:left="1701" w:header="709" w:footer="709" w:gutter="0"/>
          <w:cols w:space="708"/>
          <w:docGrid w:linePitch="360"/>
        </w:sectPr>
      </w:pPr>
      <w:r w:rsidRPr="002A2450">
        <w:rPr>
          <w:rFonts w:ascii="ITC Avant Garde" w:hAnsi="ITC Avant Garde" w:cs="Arial"/>
        </w:rPr>
        <w:t xml:space="preserve">Lo anterior en el entendido que los Contratos de Operación, Prestación de Servicios, Distribución y Arrendamiento establecen un sistema de pagos de </w:t>
      </w:r>
      <w:r w:rsidRPr="002A2450">
        <w:rPr>
          <w:rFonts w:ascii="ITC Avant Garde" w:hAnsi="ITC Avant Garde" w:cs="Arial"/>
          <w:b/>
        </w:rPr>
        <w:t>"COFRESA"</w:t>
      </w:r>
      <w:r w:rsidRPr="002A2450">
        <w:rPr>
          <w:rFonts w:ascii="ITC Avant Garde" w:hAnsi="ITC Avant Garde" w:cs="Arial"/>
        </w:rPr>
        <w:t xml:space="preserve"> a </w:t>
      </w:r>
      <w:r w:rsidRPr="002A2450">
        <w:rPr>
          <w:rFonts w:ascii="ITC Avant Garde" w:hAnsi="ITC Avant Garde" w:cs="Arial"/>
          <w:b/>
        </w:rPr>
        <w:t>"TENINVER"</w:t>
      </w:r>
      <w:r w:rsidRPr="002A2450">
        <w:rPr>
          <w:rFonts w:ascii="ITC Avant Garde" w:hAnsi="ITC Avant Garde" w:cs="Arial"/>
        </w:rPr>
        <w:t xml:space="preserve"> que corresponde a la prestación de servicios</w:t>
      </w:r>
      <w:r w:rsidRPr="002A2450">
        <w:rPr>
          <w:rStyle w:val="Refdenotaalpie"/>
          <w:rFonts w:ascii="ITC Avant Garde" w:hAnsi="ITC Avant Garde" w:cs="Arial"/>
        </w:rPr>
        <w:footnoteReference w:id="46"/>
      </w:r>
      <w:r w:rsidRPr="002A2450">
        <w:rPr>
          <w:rFonts w:ascii="ITC Avant Garde" w:hAnsi="ITC Avant Garde" w:cs="Arial"/>
        </w:rPr>
        <w:t xml:space="preserve"> y no una participación de los resultados de las actividades concesionadas a </w:t>
      </w:r>
      <w:r w:rsidRPr="002A2450">
        <w:rPr>
          <w:rFonts w:ascii="ITC Avant Garde" w:hAnsi="ITC Avant Garde" w:cs="Arial"/>
          <w:b/>
        </w:rPr>
        <w:t>"COFRESA"</w:t>
      </w:r>
      <w:r w:rsidRPr="002A2450">
        <w:rPr>
          <w:rFonts w:ascii="ITC Avant Garde" w:hAnsi="ITC Avant Garde" w:cs="Arial"/>
        </w:rPr>
        <w:t xml:space="preserve">. Concluir lo contrario llevaría al absurdo de que cualquier persona que reciba un pago de </w:t>
      </w:r>
      <w:r w:rsidRPr="002A2450">
        <w:rPr>
          <w:rFonts w:ascii="ITC Avant Garde" w:hAnsi="ITC Avant Garde" w:cs="Arial"/>
          <w:b/>
        </w:rPr>
        <w:t>"COFRESA"</w:t>
      </w:r>
      <w:r w:rsidRPr="002A2450">
        <w:rPr>
          <w:rFonts w:ascii="ITC Avant Garde" w:hAnsi="ITC Avant Garde" w:cs="Arial"/>
        </w:rPr>
        <w:t xml:space="preserve"> por prestarle un servicio está explotando indirectame</w:t>
      </w:r>
      <w:r w:rsidR="00A80E02">
        <w:rPr>
          <w:rFonts w:ascii="ITC Avant Garde" w:hAnsi="ITC Avant Garde" w:cs="Arial"/>
        </w:rPr>
        <w:t>nte los derechos concesionados.</w:t>
      </w:r>
    </w:p>
    <w:p w14:paraId="04EAC2ED" w14:textId="77777777" w:rsidR="00B35F13" w:rsidRDefault="001E1346" w:rsidP="00B35F13">
      <w:pPr>
        <w:pStyle w:val="Prrafodelista"/>
        <w:spacing w:before="240" w:line="360" w:lineRule="auto"/>
        <w:ind w:left="0"/>
        <w:jc w:val="both"/>
        <w:rPr>
          <w:rFonts w:ascii="ITC Avant Garde" w:hAnsi="ITC Avant Garde" w:cs="Arial"/>
        </w:rPr>
      </w:pPr>
      <w:r w:rsidRPr="002A2450">
        <w:rPr>
          <w:rFonts w:ascii="ITC Avant Garde" w:hAnsi="ITC Avant Garde" w:cs="Arial"/>
        </w:rPr>
        <w:lastRenderedPageBreak/>
        <w:t xml:space="preserve">Si bien no se acredita </w:t>
      </w:r>
      <w:r w:rsidR="0038396A" w:rsidRPr="002A2450">
        <w:rPr>
          <w:rFonts w:ascii="ITC Avant Garde" w:hAnsi="ITC Avant Garde" w:cs="Arial"/>
        </w:rPr>
        <w:t xml:space="preserve">que </w:t>
      </w:r>
      <w:r w:rsidR="0038396A" w:rsidRPr="002A2450">
        <w:rPr>
          <w:rFonts w:ascii="ITC Avant Garde" w:hAnsi="ITC Avant Garde" w:cs="Arial"/>
          <w:b/>
        </w:rPr>
        <w:t>"TELMEX"/"TENINVER"</w:t>
      </w:r>
      <w:r w:rsidR="0038396A" w:rsidRPr="002A2450">
        <w:rPr>
          <w:rFonts w:ascii="ITC Avant Garde" w:hAnsi="ITC Avant Garde" w:cs="Arial"/>
        </w:rPr>
        <w:t xml:space="preserve"> hay</w:t>
      </w:r>
      <w:r w:rsidRPr="002A2450">
        <w:rPr>
          <w:rFonts w:ascii="ITC Avant Garde" w:hAnsi="ITC Avant Garde" w:cs="Arial"/>
        </w:rPr>
        <w:t>a</w:t>
      </w:r>
      <w:r w:rsidR="0038396A" w:rsidRPr="002A2450">
        <w:rPr>
          <w:rFonts w:ascii="ITC Avant Garde" w:hAnsi="ITC Avant Garde" w:cs="Arial"/>
        </w:rPr>
        <w:t xml:space="preserve"> recibido un pago o beneficio derivado de las actividades de </w:t>
      </w:r>
      <w:r w:rsidR="0038396A" w:rsidRPr="002A2450">
        <w:rPr>
          <w:rFonts w:ascii="ITC Avant Garde" w:hAnsi="ITC Avant Garde" w:cs="Arial"/>
          <w:b/>
        </w:rPr>
        <w:t>"COFRESA"</w:t>
      </w:r>
      <w:r w:rsidR="0038396A" w:rsidRPr="002A2450">
        <w:rPr>
          <w:rFonts w:ascii="ITC Avant Garde" w:hAnsi="ITC Avant Garde" w:cs="Arial"/>
        </w:rPr>
        <w:t xml:space="preserve"> </w:t>
      </w:r>
      <w:r w:rsidRPr="002A2450">
        <w:rPr>
          <w:rFonts w:ascii="ITC Avant Garde" w:hAnsi="ITC Avant Garde" w:cs="Arial"/>
        </w:rPr>
        <w:t xml:space="preserve">o de otras subsidiarias de </w:t>
      </w:r>
      <w:r w:rsidRPr="002A2450">
        <w:rPr>
          <w:rFonts w:ascii="ITC Avant Garde" w:hAnsi="ITC Avant Garde" w:cs="Arial"/>
          <w:b/>
        </w:rPr>
        <w:t>"DISH MÉXICO"</w:t>
      </w:r>
      <w:r w:rsidRPr="002A2450">
        <w:rPr>
          <w:rFonts w:ascii="ITC Avant Garde" w:hAnsi="ITC Avant Garde" w:cs="Arial"/>
        </w:rPr>
        <w:t xml:space="preserve"> de servicios de televisión, ello no desvirtúa la imputación de que </w:t>
      </w:r>
      <w:r w:rsidRPr="002A2450">
        <w:rPr>
          <w:rFonts w:ascii="ITC Avant Garde" w:hAnsi="ITC Avant Garde" w:cs="Arial"/>
          <w:b/>
        </w:rPr>
        <w:t xml:space="preserve">"TELMEX" </w:t>
      </w:r>
      <w:r w:rsidRPr="002A2450">
        <w:rPr>
          <w:rFonts w:ascii="ITC Avant Garde" w:hAnsi="ITC Avant Garde" w:cs="Arial"/>
        </w:rPr>
        <w:t>haya explotado indirectamente a través de</w:t>
      </w:r>
      <w:r w:rsidRPr="002A2450">
        <w:rPr>
          <w:rFonts w:ascii="ITC Avant Garde" w:hAnsi="ITC Avant Garde" w:cs="Arial"/>
          <w:b/>
        </w:rPr>
        <w:t xml:space="preserve"> "TENINVER" </w:t>
      </w:r>
      <w:r w:rsidRPr="002A2450">
        <w:rPr>
          <w:rFonts w:ascii="ITC Avant Garde" w:hAnsi="ITC Avant Garde" w:cs="Arial"/>
        </w:rPr>
        <w:t>la concesión otorgada a "</w:t>
      </w:r>
      <w:r w:rsidRPr="002A2450">
        <w:rPr>
          <w:rFonts w:ascii="ITC Avant Garde" w:hAnsi="ITC Avant Garde" w:cs="Arial"/>
          <w:b/>
        </w:rPr>
        <w:t>COFRESA"</w:t>
      </w:r>
      <w:r w:rsidRPr="002A2450">
        <w:rPr>
          <w:rFonts w:ascii="ITC Avant Garde" w:hAnsi="ITC Avant Garde" w:cs="Arial"/>
        </w:rPr>
        <w:t xml:space="preserve">. Lo anterior, toda vez que, como se señala en el [Considerando Tercero y en el inciso B del Considerando Cuarto] de esta Resolución, la explotación indirecta de una concesión puede ocurrir a través de cualquier medio, mecanismo o forma que dé la capacidad de iure o de facto a un agente económico para para participar o incidir en la operación o los derechos derivados de una concesión otorgada por la autoridad competente para prestar servicios de televisión al público en cualquiera de sus modalidades. </w:t>
      </w:r>
    </w:p>
    <w:p w14:paraId="0CB6C499" w14:textId="77777777" w:rsidR="00B35F13" w:rsidRDefault="001E1346" w:rsidP="00B35F13">
      <w:pPr>
        <w:pStyle w:val="Prrafodelista"/>
        <w:spacing w:before="240" w:line="360" w:lineRule="auto"/>
        <w:ind w:left="0"/>
        <w:jc w:val="both"/>
      </w:pPr>
      <w:r w:rsidRPr="002A2450">
        <w:rPr>
          <w:rFonts w:ascii="ITC Avant Garde" w:hAnsi="ITC Avant Garde" w:cs="Arial"/>
        </w:rPr>
        <w:t xml:space="preserve">De tal forma que </w:t>
      </w:r>
      <w:r w:rsidR="008729BA">
        <w:rPr>
          <w:rFonts w:ascii="ITC Avant Garde" w:hAnsi="ITC Avant Garde" w:cs="Arial"/>
        </w:rPr>
        <w:t xml:space="preserve">el hecho de que no se acredite en el presente expediente que existió un beneficio económico, ello por sí mismo no desvirtúa la conducta imputada, </w:t>
      </w:r>
      <w:r w:rsidRPr="002A2450">
        <w:rPr>
          <w:rFonts w:ascii="ITC Avant Garde" w:hAnsi="ITC Avant Garde" w:cs="Arial"/>
        </w:rPr>
        <w:t xml:space="preserve"> consistente en que </w:t>
      </w:r>
      <w:r w:rsidRPr="002A2450">
        <w:rPr>
          <w:rFonts w:ascii="ITC Avant Garde" w:hAnsi="ITC Avant Garde" w:cs="Arial"/>
          <w:b/>
        </w:rPr>
        <w:t>"TELMEX"</w:t>
      </w:r>
      <w:r w:rsidRPr="002A2450">
        <w:rPr>
          <w:rFonts w:ascii="ITC Avant Garde" w:hAnsi="ITC Avant Garde" w:cs="Arial"/>
        </w:rPr>
        <w:t xml:space="preserve"> a través de </w:t>
      </w:r>
      <w:r w:rsidRPr="002A2450">
        <w:rPr>
          <w:rFonts w:ascii="ITC Avant Garde" w:hAnsi="ITC Avant Garde" w:cs="Arial"/>
          <w:b/>
        </w:rPr>
        <w:t>"TENINVER"</w:t>
      </w:r>
      <w:r w:rsidRPr="002A2450">
        <w:rPr>
          <w:rFonts w:ascii="ITC Avant Garde" w:hAnsi="ITC Avant Garde" w:cs="Arial"/>
        </w:rPr>
        <w:t xml:space="preserve"> tuvo y ejerció derechos para conocer y participar o incidir en la operación o los derechos derivados de una concesión otorgada por la autoridad competente para prestar servicios de televisión al público en </w:t>
      </w:r>
      <w:r w:rsidR="008729BA">
        <w:rPr>
          <w:rFonts w:ascii="ITC Avant Garde" w:hAnsi="ITC Avant Garde" w:cs="Arial"/>
        </w:rPr>
        <w:t xml:space="preserve">su modalidad de televisión </w:t>
      </w:r>
      <w:r w:rsidR="008729BA" w:rsidRPr="00FC328B">
        <w:rPr>
          <w:rFonts w:ascii="ITC Avant Garde" w:hAnsi="ITC Avant Garde" w:cs="Arial"/>
        </w:rPr>
        <w:t xml:space="preserve">restringida </w:t>
      </w:r>
      <w:r w:rsidR="00FC328B" w:rsidRPr="00FC328B">
        <w:rPr>
          <w:rFonts w:ascii="ITC Avant Garde" w:hAnsi="ITC Avant Garde" w:cs="Arial"/>
        </w:rPr>
        <w:t>satelital.</w:t>
      </w:r>
    </w:p>
    <w:p w14:paraId="6EAF43D1" w14:textId="77777777" w:rsidR="00A80E02" w:rsidRDefault="00702329" w:rsidP="007E623E">
      <w:pPr>
        <w:pStyle w:val="Prrafodelista"/>
        <w:numPr>
          <w:ilvl w:val="0"/>
          <w:numId w:val="56"/>
        </w:numPr>
        <w:spacing w:before="240" w:line="360" w:lineRule="auto"/>
        <w:jc w:val="both"/>
        <w:rPr>
          <w:rFonts w:ascii="ITC Avant Garde" w:hAnsi="ITC Avant Garde"/>
        </w:rPr>
        <w:sectPr w:rsidR="00A80E02" w:rsidSect="009F3771">
          <w:headerReference w:type="default" r:id="rId76"/>
          <w:pgSz w:w="12240" w:h="15840"/>
          <w:pgMar w:top="1985" w:right="1701" w:bottom="1418" w:left="1701" w:header="709" w:footer="709" w:gutter="0"/>
          <w:cols w:space="708"/>
          <w:docGrid w:linePitch="360"/>
        </w:sectPr>
      </w:pPr>
      <w:r w:rsidRPr="002A2450">
        <w:rPr>
          <w:rFonts w:ascii="ITC Avant Garde" w:hAnsi="ITC Avant Garde"/>
        </w:rPr>
        <w:t xml:space="preserve">Ahora bien, también se </w:t>
      </w:r>
      <w:r w:rsidR="00776552" w:rsidRPr="002A2450">
        <w:rPr>
          <w:rFonts w:ascii="ITC Avant Garde" w:hAnsi="ITC Avant Garde"/>
        </w:rPr>
        <w:t xml:space="preserve">acreditó </w:t>
      </w:r>
      <w:r w:rsidRPr="002A2450">
        <w:rPr>
          <w:rFonts w:ascii="ITC Avant Garde" w:hAnsi="ITC Avant Garde"/>
        </w:rPr>
        <w:t xml:space="preserve">que existen elementos suficientes para considerar que existió un control indirecto </w:t>
      </w:r>
      <w:r w:rsidR="005D00BB" w:rsidRPr="002A2450">
        <w:rPr>
          <w:rFonts w:ascii="ITC Avant Garde" w:hAnsi="ITC Avant Garde"/>
        </w:rPr>
        <w:t xml:space="preserve">y negativo </w:t>
      </w:r>
      <w:r w:rsidRPr="002A2450">
        <w:rPr>
          <w:rFonts w:ascii="ITC Avant Garde" w:hAnsi="ITC Avant Garde"/>
        </w:rPr>
        <w:t xml:space="preserve">por parte de </w:t>
      </w:r>
      <w:r w:rsidRPr="002A2450">
        <w:rPr>
          <w:rFonts w:ascii="ITC Avant Garde" w:hAnsi="ITC Avant Garde"/>
          <w:b/>
        </w:rPr>
        <w:t>“TELMEX”</w:t>
      </w:r>
      <w:r w:rsidRPr="002A2450">
        <w:rPr>
          <w:rFonts w:ascii="ITC Avant Garde" w:hAnsi="ITC Avant Garde"/>
        </w:rPr>
        <w:t xml:space="preserve"> ya que dentro del contrato de operación, </w:t>
      </w:r>
      <w:r w:rsidRPr="002A2450">
        <w:rPr>
          <w:rFonts w:ascii="ITC Avant Garde" w:eastAsia="Times New Roman" w:hAnsi="ITC Avant Garde"/>
          <w:bCs/>
          <w:color w:val="000000"/>
          <w:lang w:eastAsia="es-MX"/>
        </w:rPr>
        <w:t xml:space="preserve">estipula que ninguna de las subsidiarias de </w:t>
      </w:r>
      <w:r w:rsidR="00507B68" w:rsidRPr="002A2450">
        <w:rPr>
          <w:rFonts w:ascii="ITC Avant Garde" w:hAnsi="ITC Avant Garde" w:cs="Arial"/>
          <w:b/>
        </w:rPr>
        <w:t xml:space="preserve">“ECHOSTAR MEXICO”, </w:t>
      </w:r>
      <w:r w:rsidRPr="002A2450">
        <w:rPr>
          <w:rFonts w:ascii="ITC Avant Garde" w:hAnsi="ITC Avant Garde" w:cs="Arial"/>
          <w:b/>
        </w:rPr>
        <w:t xml:space="preserve">“GRUPO MVS”, “DISH MÉXICO”, “COFRESA” </w:t>
      </w:r>
      <w:r w:rsidRPr="002A2450">
        <w:rPr>
          <w:rFonts w:ascii="ITC Avant Garde" w:hAnsi="ITC Avant Garde" w:cs="Arial"/>
        </w:rPr>
        <w:t xml:space="preserve">y </w:t>
      </w:r>
      <w:r w:rsidRPr="002A2450">
        <w:rPr>
          <w:rFonts w:ascii="ITC Avant Garde" w:hAnsi="ITC Avant Garde" w:cs="Arial"/>
          <w:b/>
        </w:rPr>
        <w:t>“DISH HOLDINGS”</w:t>
      </w:r>
      <w:r w:rsidRPr="002A2450">
        <w:rPr>
          <w:rFonts w:ascii="ITC Avant Garde" w:hAnsi="ITC Avant Garde" w:cs="Arial"/>
        </w:rPr>
        <w:t xml:space="preserve"> podrían modificar sus documentos constitutivos; entregar, vender, pignorar, enajenar o gravar, o autorizar o comprometerse a la emisión, venta, otorgamiento en prenda, enajenación o gravamen de cualquiera de las participaciones sociales, o cualesquiera opciones, warrants, valores convertibles u otros derechos de cualquier tipo para adquirir cualquier parte social, o cualquier participación sociales (incluyendo, sin limitar, derechos de apreciación de acciones o acciones fantasma), de la Sociedad; d</w:t>
      </w:r>
      <w:r w:rsidRPr="002A2450">
        <w:rPr>
          <w:rFonts w:ascii="ITC Avant Garde" w:hAnsi="ITC Avant Garde"/>
        </w:rPr>
        <w:t>eclarar, separar, realizar o pagar cualquier dividendo u otra</w:t>
      </w:r>
      <w:r w:rsidR="008F718E" w:rsidRPr="002A2450">
        <w:rPr>
          <w:rFonts w:ascii="ITC Avant Garde" w:hAnsi="ITC Avant Garde"/>
          <w:color w:val="C00000"/>
        </w:rPr>
        <w:t xml:space="preserve"> </w:t>
      </w:r>
      <w:r w:rsidRPr="002A2450">
        <w:rPr>
          <w:rFonts w:ascii="ITC Avant Garde" w:hAnsi="ITC Avant Garde"/>
        </w:rPr>
        <w:t xml:space="preserve">distribución, pagadera en efectivo; vender, arrendar, </w:t>
      </w:r>
    </w:p>
    <w:p w14:paraId="690E9B9E" w14:textId="56149544" w:rsidR="00B35F13" w:rsidRDefault="00702329" w:rsidP="00A80E02">
      <w:pPr>
        <w:pStyle w:val="Prrafodelista"/>
        <w:spacing w:before="240" w:line="360" w:lineRule="auto"/>
        <w:jc w:val="both"/>
        <w:rPr>
          <w:rFonts w:ascii="ITC Avant Garde" w:hAnsi="ITC Avant Garde"/>
        </w:rPr>
      </w:pPr>
      <w:proofErr w:type="gramStart"/>
      <w:r w:rsidRPr="002A2450">
        <w:rPr>
          <w:rFonts w:ascii="ITC Avant Garde" w:hAnsi="ITC Avant Garde"/>
        </w:rPr>
        <w:lastRenderedPageBreak/>
        <w:t>hipotecar</w:t>
      </w:r>
      <w:proofErr w:type="gramEnd"/>
      <w:r w:rsidRPr="002A2450">
        <w:rPr>
          <w:rFonts w:ascii="ITC Avant Garde" w:hAnsi="ITC Avant Garde"/>
        </w:rPr>
        <w:t xml:space="preserve">, o de otro modo enajenar o sujetar a cualquier </w:t>
      </w:r>
      <w:r w:rsidR="00507B68" w:rsidRPr="002A2450">
        <w:rPr>
          <w:rFonts w:ascii="ITC Avant Garde" w:hAnsi="ITC Avant Garde"/>
        </w:rPr>
        <w:t>g</w:t>
      </w:r>
      <w:r w:rsidRPr="002A2450">
        <w:rPr>
          <w:rFonts w:ascii="ITC Avant Garde" w:hAnsi="ITC Avant Garde"/>
        </w:rPr>
        <w:t xml:space="preserve">ravamen cualquiera de sus activos, etc., hasta antes de que concluyera la fecha para el ejercicio de la opción. </w:t>
      </w:r>
    </w:p>
    <w:p w14:paraId="4F00A02D" w14:textId="709D1AA8" w:rsidR="00B35F13" w:rsidRPr="00A80E02" w:rsidRDefault="00702329" w:rsidP="00A80E02">
      <w:pPr>
        <w:pStyle w:val="Prrafodelista"/>
        <w:spacing w:before="240" w:line="360" w:lineRule="auto"/>
        <w:jc w:val="both"/>
        <w:rPr>
          <w:rFonts w:ascii="ITC Avant Garde" w:hAnsi="ITC Avant Garde"/>
        </w:rPr>
      </w:pPr>
      <w:r w:rsidRPr="002A2450">
        <w:rPr>
          <w:rFonts w:ascii="ITC Avant Garde" w:hAnsi="ITC Avant Garde"/>
        </w:rPr>
        <w:t xml:space="preserve">Las restricciones anteriores, tenían como objeto garantizar a </w:t>
      </w:r>
      <w:r w:rsidRPr="002A2450">
        <w:rPr>
          <w:rFonts w:ascii="ITC Avant Garde" w:hAnsi="ITC Avant Garde"/>
          <w:b/>
        </w:rPr>
        <w:t>“TELMEX”</w:t>
      </w:r>
      <w:r w:rsidRPr="002A2450">
        <w:rPr>
          <w:rFonts w:ascii="ITC Avant Garde" w:hAnsi="ITC Avant Garde"/>
        </w:rPr>
        <w:t xml:space="preserve"> que hasta en tanto no se ejerciera la opción, dichas empresas guardaría</w:t>
      </w:r>
      <w:r w:rsidR="00507B68" w:rsidRPr="002A2450">
        <w:rPr>
          <w:rFonts w:ascii="ITC Avant Garde" w:hAnsi="ITC Avant Garde"/>
        </w:rPr>
        <w:t>n</w:t>
      </w:r>
      <w:r w:rsidRPr="002A2450">
        <w:rPr>
          <w:rFonts w:ascii="ITC Avant Garde" w:hAnsi="ITC Avant Garde"/>
        </w:rPr>
        <w:t xml:space="preserve"> el </w:t>
      </w:r>
      <w:r w:rsidR="00507B68" w:rsidRPr="002A2450">
        <w:rPr>
          <w:rFonts w:ascii="ITC Avant Garde" w:hAnsi="ITC Avant Garde"/>
        </w:rPr>
        <w:t xml:space="preserve">mismo estatus accionario y corporativo y conservarían su </w:t>
      </w:r>
      <w:r w:rsidRPr="002A2450">
        <w:rPr>
          <w:rFonts w:ascii="ITC Avant Garde" w:hAnsi="ITC Avant Garde"/>
        </w:rPr>
        <w:t xml:space="preserve">capital social en </w:t>
      </w:r>
      <w:r w:rsidR="00507B68" w:rsidRPr="002A2450">
        <w:rPr>
          <w:rFonts w:ascii="ITC Avant Garde" w:hAnsi="ITC Avant Garde"/>
        </w:rPr>
        <w:t xml:space="preserve">los mismos términos en que </w:t>
      </w:r>
      <w:r w:rsidR="003B6CC3" w:rsidRPr="002A2450">
        <w:rPr>
          <w:rFonts w:ascii="ITC Avant Garde" w:hAnsi="ITC Avant Garde"/>
        </w:rPr>
        <w:t xml:space="preserve">se encontraban a </w:t>
      </w:r>
      <w:r w:rsidRPr="002A2450">
        <w:rPr>
          <w:rFonts w:ascii="ITC Avant Garde" w:hAnsi="ITC Avant Garde"/>
        </w:rPr>
        <w:t xml:space="preserve">efecto de que de ejercerse dicha opción, las mismas estarían en posibilidad de garantizar </w:t>
      </w:r>
      <w:r w:rsidR="003B6CC3" w:rsidRPr="002A2450">
        <w:rPr>
          <w:rFonts w:ascii="ITC Avant Garde" w:hAnsi="ITC Avant Garde"/>
        </w:rPr>
        <w:t xml:space="preserve">el pago de </w:t>
      </w:r>
      <w:r w:rsidRPr="002A2450">
        <w:rPr>
          <w:rFonts w:ascii="ITC Avant Garde" w:hAnsi="ITC Avant Garde"/>
        </w:rPr>
        <w:t xml:space="preserve">la </w:t>
      </w:r>
      <w:r w:rsidRPr="00A80E02">
        <w:rPr>
          <w:rFonts w:ascii="ITC Avant Garde" w:hAnsi="ITC Avant Garde"/>
        </w:rPr>
        <w:t xml:space="preserve">cantidad de </w:t>
      </w:r>
      <w:r w:rsidRPr="00A80E02">
        <w:rPr>
          <w:rFonts w:ascii="ITC Avant Garde" w:hAnsi="ITC Avant Garde"/>
          <w:b/>
        </w:rPr>
        <w:t>USD $325´000,000.00</w:t>
      </w:r>
      <w:r w:rsidR="000D2038" w:rsidRPr="00A80E02">
        <w:rPr>
          <w:rFonts w:ascii="ITC Avant Garde" w:hAnsi="ITC Avant Garde"/>
          <w:b/>
        </w:rPr>
        <w:t xml:space="preserve"> </w:t>
      </w:r>
      <w:r w:rsidR="000D2038" w:rsidRPr="00A80E02">
        <w:rPr>
          <w:rFonts w:ascii="ITC Avant Garde" w:hAnsi="ITC Avant Garde"/>
        </w:rPr>
        <w:t>(Trescientos veinticinco millones de dólares de Estados Unidos de América)</w:t>
      </w:r>
      <w:r w:rsidRPr="00A80E02">
        <w:rPr>
          <w:rFonts w:ascii="ITC Avant Garde" w:hAnsi="ITC Avant Garde"/>
        </w:rPr>
        <w:t>.</w:t>
      </w:r>
    </w:p>
    <w:p w14:paraId="3571715B" w14:textId="77777777" w:rsidR="00B35F13" w:rsidRDefault="00702329" w:rsidP="00B35F13">
      <w:pPr>
        <w:pStyle w:val="Prrafodelista"/>
        <w:spacing w:before="240" w:line="360" w:lineRule="auto"/>
        <w:jc w:val="both"/>
        <w:rPr>
          <w:rFonts w:ascii="ITC Avant Garde" w:hAnsi="ITC Avant Garde"/>
        </w:rPr>
      </w:pPr>
      <w:r w:rsidRPr="002A2450">
        <w:rPr>
          <w:rFonts w:ascii="ITC Avant Garde" w:hAnsi="ITC Avant Garde"/>
        </w:rPr>
        <w:t xml:space="preserve">Aunado a lo anterior, dentro del contrato de consecuencias se previó la cláusula de no competencia respecto de cualquier actividad relacionada con el servicio </w:t>
      </w:r>
      <w:r w:rsidRPr="002A2450">
        <w:rPr>
          <w:rFonts w:ascii="ITC Avant Garde" w:hAnsi="ITC Avant Garde"/>
          <w:b/>
        </w:rPr>
        <w:t>“DTH”</w:t>
      </w:r>
      <w:r w:rsidRPr="002A2450">
        <w:rPr>
          <w:rFonts w:ascii="ITC Avant Garde" w:hAnsi="ITC Avant Garde"/>
        </w:rPr>
        <w:t xml:space="preserve"> en México, por tanto, la misma tendría por objeto </w:t>
      </w:r>
      <w:r w:rsidR="003B6CC3" w:rsidRPr="002A2450">
        <w:rPr>
          <w:rFonts w:ascii="ITC Avant Garde" w:hAnsi="ITC Avant Garde"/>
        </w:rPr>
        <w:t xml:space="preserve">que </w:t>
      </w:r>
      <w:r w:rsidRPr="002A2450">
        <w:rPr>
          <w:rFonts w:ascii="ITC Avant Garde" w:hAnsi="ITC Avant Garde"/>
          <w:b/>
        </w:rPr>
        <w:t>“TELMEX”</w:t>
      </w:r>
      <w:r w:rsidR="003B6CC3" w:rsidRPr="002A2450">
        <w:rPr>
          <w:rFonts w:ascii="ITC Avant Garde" w:hAnsi="ITC Avant Garde"/>
          <w:b/>
        </w:rPr>
        <w:t xml:space="preserve"> </w:t>
      </w:r>
      <w:r w:rsidR="003B6CC3" w:rsidRPr="002A2450">
        <w:rPr>
          <w:rFonts w:ascii="ITC Avant Garde" w:hAnsi="ITC Avant Garde"/>
        </w:rPr>
        <w:t xml:space="preserve">no podría celebrar alianza similar con un competidor de </w:t>
      </w:r>
      <w:r w:rsidR="003B6CC3" w:rsidRPr="002A2450">
        <w:rPr>
          <w:rFonts w:ascii="ITC Avant Garde" w:hAnsi="ITC Avant Garde"/>
          <w:b/>
        </w:rPr>
        <w:t>“COFRESA”</w:t>
      </w:r>
      <w:r w:rsidR="003B6CC3" w:rsidRPr="002A2450">
        <w:rPr>
          <w:rFonts w:ascii="ITC Avant Garde" w:hAnsi="ITC Avant Garde"/>
        </w:rPr>
        <w:t xml:space="preserve"> y a cambio le permitiría ejercer un </w:t>
      </w:r>
      <w:r w:rsidR="0026538B" w:rsidRPr="002A2450">
        <w:rPr>
          <w:rFonts w:ascii="ITC Avant Garde" w:hAnsi="ITC Avant Garde"/>
        </w:rPr>
        <w:t xml:space="preserve">control indirecto y negativo por parte de </w:t>
      </w:r>
      <w:r w:rsidR="003B6CC3" w:rsidRPr="002A2450">
        <w:rPr>
          <w:rFonts w:ascii="ITC Avant Garde" w:hAnsi="ITC Avant Garde"/>
        </w:rPr>
        <w:t xml:space="preserve">la primera concesionaria </w:t>
      </w:r>
      <w:r w:rsidR="0026538B" w:rsidRPr="002A2450">
        <w:rPr>
          <w:rFonts w:ascii="ITC Avant Garde" w:hAnsi="ITC Avant Garde"/>
        </w:rPr>
        <w:t>respecto del servicio de telev</w:t>
      </w:r>
      <w:r w:rsidR="003B6CC3" w:rsidRPr="002A2450">
        <w:rPr>
          <w:rFonts w:ascii="ITC Avant Garde" w:hAnsi="ITC Avant Garde"/>
        </w:rPr>
        <w:t>isión restringida vía satelital que presta la segunda.</w:t>
      </w:r>
    </w:p>
    <w:p w14:paraId="64A171A9" w14:textId="77777777" w:rsidR="00B35F13" w:rsidRDefault="00702329" w:rsidP="00B35F13">
      <w:pPr>
        <w:pStyle w:val="Prrafodelista"/>
        <w:spacing w:before="240" w:line="360" w:lineRule="auto"/>
        <w:jc w:val="both"/>
        <w:rPr>
          <w:rFonts w:ascii="ITC Avant Garde" w:hAnsi="ITC Avant Garde"/>
        </w:rPr>
      </w:pPr>
      <w:r w:rsidRPr="002A2450">
        <w:rPr>
          <w:rFonts w:ascii="ITC Avant Garde" w:hAnsi="ITC Avant Garde"/>
        </w:rPr>
        <w:t xml:space="preserve">Ahora bien, </w:t>
      </w:r>
      <w:r w:rsidR="0026538B" w:rsidRPr="002A2450">
        <w:rPr>
          <w:rFonts w:ascii="ITC Avant Garde" w:hAnsi="ITC Avant Garde"/>
        </w:rPr>
        <w:t xml:space="preserve">el control que </w:t>
      </w:r>
      <w:r w:rsidR="0026538B" w:rsidRPr="002A2450">
        <w:rPr>
          <w:rFonts w:ascii="ITC Avant Garde" w:hAnsi="ITC Avant Garde"/>
          <w:b/>
        </w:rPr>
        <w:t>“TELMEX”</w:t>
      </w:r>
      <w:r w:rsidR="0026538B" w:rsidRPr="002A2450">
        <w:rPr>
          <w:rFonts w:ascii="ITC Avant Garde" w:hAnsi="ITC Avant Garde"/>
        </w:rPr>
        <w:t xml:space="preserve"> ejerció sobre </w:t>
      </w:r>
      <w:r w:rsidR="0026538B" w:rsidRPr="002A2450">
        <w:rPr>
          <w:rFonts w:ascii="ITC Avant Garde" w:hAnsi="ITC Avant Garde"/>
          <w:b/>
        </w:rPr>
        <w:t>“DISH MÉXICO”</w:t>
      </w:r>
      <w:r w:rsidR="0026538B" w:rsidRPr="002A2450">
        <w:rPr>
          <w:rFonts w:ascii="ITC Avant Garde" w:hAnsi="ITC Avant Garde"/>
        </w:rPr>
        <w:t xml:space="preserve"> de manera interna y negativa se vio robustecido con la existencia de los comunicados sostenidos por </w:t>
      </w:r>
      <w:r w:rsidR="0026538B" w:rsidRPr="002A2450">
        <w:rPr>
          <w:rFonts w:ascii="ITC Avant Garde" w:hAnsi="ITC Avant Garde"/>
          <w:b/>
        </w:rPr>
        <w:t>“TELMEX”</w:t>
      </w:r>
      <w:r w:rsidR="0026538B" w:rsidRPr="002A2450">
        <w:rPr>
          <w:rFonts w:ascii="ITC Avant Garde" w:hAnsi="ITC Avant Garde"/>
        </w:rPr>
        <w:t xml:space="preserve"> y </w:t>
      </w:r>
      <w:r w:rsidR="0026538B" w:rsidRPr="002A2450">
        <w:rPr>
          <w:rFonts w:ascii="ITC Avant Garde" w:hAnsi="ITC Avant Garde"/>
          <w:b/>
        </w:rPr>
        <w:t>“COFRESA”</w:t>
      </w:r>
      <w:r w:rsidR="0026538B" w:rsidRPr="002A2450">
        <w:rPr>
          <w:rFonts w:ascii="ITC Avant Garde" w:hAnsi="ITC Avant Garde"/>
        </w:rPr>
        <w:t xml:space="preserve"> a efecto de informar el cambio en la contraprestación del contrato de servicios para quedar </w:t>
      </w:r>
      <w:r w:rsidR="003E4463">
        <w:rPr>
          <w:rFonts w:ascii="ITC Avant Garde" w:hAnsi="ITC Avant Garde"/>
        </w:rPr>
        <w:t>reducida en una cantidad neta equivalente a</w:t>
      </w:r>
      <w:r w:rsidR="003E4463" w:rsidRPr="00F76758">
        <w:rPr>
          <w:rFonts w:ascii="ITC Avant Garde" w:hAnsi="ITC Avant Garde"/>
        </w:rPr>
        <w:t xml:space="preserve"> </w:t>
      </w:r>
      <w:r w:rsidR="00AE173F" w:rsidRPr="0004375E">
        <w:rPr>
          <w:rFonts w:ascii="ITC Avant Garde" w:eastAsiaTheme="majorEastAsia" w:hAnsi="ITC Avant Garde" w:cstheme="majorBidi"/>
          <w:b/>
          <w:color w:val="0000FF"/>
          <w:szCs w:val="32"/>
        </w:rPr>
        <w:t>“CONFIDENCIAL POR LEY”</w:t>
      </w:r>
      <w:r w:rsidR="003E4463" w:rsidRPr="00F76758">
        <w:rPr>
          <w:rFonts w:ascii="ITC Avant Garde" w:hAnsi="ITC Avant Garde"/>
        </w:rPr>
        <w:t xml:space="preserve"> por cada cliente más el impuesto al valor agregado</w:t>
      </w:r>
      <w:r w:rsidR="003E4463">
        <w:rPr>
          <w:rFonts w:ascii="ITC Avant Garde" w:hAnsi="ITC Avant Garde"/>
        </w:rPr>
        <w:t xml:space="preserve"> respecto del </w:t>
      </w:r>
      <w:r w:rsidR="0026538B" w:rsidRPr="002A2450">
        <w:rPr>
          <w:rFonts w:ascii="ITC Avant Garde" w:hAnsi="ITC Avant Garde"/>
        </w:rPr>
        <w:t xml:space="preserve">30% del total neto facturado, así como la autorización por parte de </w:t>
      </w:r>
      <w:r w:rsidR="0026538B" w:rsidRPr="002A2450">
        <w:rPr>
          <w:rFonts w:ascii="ITC Avant Garde" w:hAnsi="ITC Avant Garde"/>
          <w:b/>
        </w:rPr>
        <w:t>“TELMEX”</w:t>
      </w:r>
      <w:r w:rsidR="0026538B" w:rsidRPr="002A2450">
        <w:rPr>
          <w:rFonts w:ascii="ITC Avant Garde" w:hAnsi="ITC Avant Garde"/>
        </w:rPr>
        <w:t xml:space="preserve"> para llevar a cabo:</w:t>
      </w:r>
    </w:p>
    <w:p w14:paraId="52BC8386" w14:textId="77777777" w:rsidR="00B45E0D" w:rsidRPr="0004375E" w:rsidRDefault="00AE173F" w:rsidP="0004375E">
      <w:pPr>
        <w:spacing w:before="240" w:line="360" w:lineRule="auto"/>
        <w:ind w:left="1276" w:right="567"/>
        <w:jc w:val="both"/>
        <w:rPr>
          <w:rFonts w:ascii="ITC Avant Garde" w:eastAsiaTheme="majorEastAsia" w:hAnsi="ITC Avant Garde" w:cstheme="majorBidi"/>
          <w:b/>
          <w:color w:val="0000FF"/>
          <w:szCs w:val="32"/>
        </w:rPr>
      </w:pPr>
      <w:r w:rsidRPr="0004375E">
        <w:rPr>
          <w:rFonts w:ascii="ITC Avant Garde" w:eastAsiaTheme="majorEastAsia" w:hAnsi="ITC Avant Garde" w:cstheme="majorBidi"/>
          <w:b/>
          <w:color w:val="0000FF"/>
          <w:szCs w:val="32"/>
        </w:rPr>
        <w:t>“CONFIDENCIAL POR LEY”</w:t>
      </w:r>
    </w:p>
    <w:p w14:paraId="2B1333BB" w14:textId="77777777" w:rsidR="00A80E02" w:rsidRDefault="0026538B" w:rsidP="005B0590">
      <w:pPr>
        <w:spacing w:before="240" w:line="360" w:lineRule="auto"/>
        <w:ind w:left="567" w:right="567"/>
        <w:jc w:val="both"/>
        <w:rPr>
          <w:rFonts w:ascii="ITC Avant Garde" w:hAnsi="ITC Avant Garde"/>
        </w:rPr>
        <w:sectPr w:rsidR="00A80E02" w:rsidSect="009F3771">
          <w:headerReference w:type="default" r:id="rId77"/>
          <w:pgSz w:w="12240" w:h="15840"/>
          <w:pgMar w:top="1985" w:right="1701" w:bottom="1418" w:left="1701" w:header="709" w:footer="709" w:gutter="0"/>
          <w:cols w:space="708"/>
          <w:docGrid w:linePitch="360"/>
        </w:sectPr>
      </w:pPr>
      <w:r w:rsidRPr="002A2450">
        <w:rPr>
          <w:rFonts w:ascii="ITC Avant Garde" w:hAnsi="ITC Avant Garde"/>
        </w:rPr>
        <w:t xml:space="preserve">Con lo anterior, se acreditó </w:t>
      </w:r>
      <w:r w:rsidR="0038396A" w:rsidRPr="002A2450">
        <w:rPr>
          <w:rFonts w:ascii="ITC Avant Garde" w:hAnsi="ITC Avant Garde"/>
        </w:rPr>
        <w:t xml:space="preserve">que </w:t>
      </w:r>
      <w:r w:rsidR="0038396A" w:rsidRPr="002A2450">
        <w:rPr>
          <w:rFonts w:ascii="ITC Avant Garde" w:hAnsi="ITC Avant Garde"/>
          <w:b/>
        </w:rPr>
        <w:t>“TELMEX”</w:t>
      </w:r>
      <w:r w:rsidR="0038396A" w:rsidRPr="002A2450">
        <w:rPr>
          <w:rFonts w:ascii="ITC Avant Garde" w:hAnsi="ITC Avant Garde"/>
        </w:rPr>
        <w:t xml:space="preserve">  a través de </w:t>
      </w:r>
      <w:r w:rsidR="0038396A" w:rsidRPr="002A2450">
        <w:rPr>
          <w:rFonts w:ascii="ITC Avant Garde" w:hAnsi="ITC Avant Garde"/>
          <w:b/>
        </w:rPr>
        <w:t>"TENINVER"</w:t>
      </w:r>
      <w:r w:rsidR="0038396A" w:rsidRPr="002A2450">
        <w:rPr>
          <w:rFonts w:ascii="ITC Avant Garde" w:hAnsi="ITC Avant Garde"/>
        </w:rPr>
        <w:t xml:space="preserve"> tuvo y ejerció derechos para conocer e intervenir en la toma de decisiones </w:t>
      </w:r>
    </w:p>
    <w:p w14:paraId="4E5EEA92" w14:textId="001119B0" w:rsidR="00B35F13" w:rsidRDefault="0038396A" w:rsidP="005B0590">
      <w:pPr>
        <w:spacing w:before="240" w:line="360" w:lineRule="auto"/>
        <w:ind w:left="567" w:right="567"/>
        <w:jc w:val="both"/>
        <w:rPr>
          <w:rFonts w:ascii="ITC Avant Garde" w:hAnsi="ITC Avant Garde"/>
        </w:rPr>
      </w:pPr>
      <w:proofErr w:type="gramStart"/>
      <w:r w:rsidRPr="002A2450">
        <w:rPr>
          <w:rFonts w:ascii="ITC Avant Garde" w:hAnsi="ITC Avant Garde"/>
        </w:rPr>
        <w:lastRenderedPageBreak/>
        <w:t>sobre</w:t>
      </w:r>
      <w:proofErr w:type="gramEnd"/>
      <w:r w:rsidRPr="002A2450">
        <w:rPr>
          <w:rFonts w:ascii="ITC Avant Garde" w:hAnsi="ITC Avant Garde"/>
        </w:rPr>
        <w:t xml:space="preserve"> la operación de </w:t>
      </w:r>
      <w:r w:rsidR="0026538B" w:rsidRPr="002A2450">
        <w:rPr>
          <w:rFonts w:ascii="ITC Avant Garde" w:hAnsi="ITC Avant Garde"/>
          <w:b/>
        </w:rPr>
        <w:t>“DISH MÉXICO”</w:t>
      </w:r>
      <w:r w:rsidRPr="002A2450">
        <w:rPr>
          <w:rFonts w:ascii="ITC Avant Garde" w:hAnsi="ITC Avant Garde"/>
          <w:b/>
        </w:rPr>
        <w:t xml:space="preserve"> </w:t>
      </w:r>
      <w:r w:rsidRPr="002A2450">
        <w:rPr>
          <w:rFonts w:ascii="ITC Avant Garde" w:hAnsi="ITC Avant Garde"/>
        </w:rPr>
        <w:t xml:space="preserve">y sus subsidiarias incluyendo a </w:t>
      </w:r>
      <w:r w:rsidRPr="002A2450">
        <w:rPr>
          <w:rFonts w:ascii="ITC Avant Garde" w:hAnsi="ITC Avant Garde"/>
          <w:b/>
        </w:rPr>
        <w:t>"COFRESA"</w:t>
      </w:r>
      <w:r w:rsidR="0026538B" w:rsidRPr="002A2450">
        <w:rPr>
          <w:rFonts w:ascii="ITC Avant Garde" w:hAnsi="ITC Avant Garde"/>
        </w:rPr>
        <w:t>,</w:t>
      </w:r>
      <w:r w:rsidRPr="002A2450">
        <w:rPr>
          <w:rFonts w:ascii="ITC Avant Garde" w:hAnsi="ITC Avant Garde"/>
        </w:rPr>
        <w:t xml:space="preserve"> consistentes en que </w:t>
      </w:r>
      <w:r w:rsidR="0026538B" w:rsidRPr="002A2450">
        <w:rPr>
          <w:rFonts w:ascii="ITC Avant Garde" w:hAnsi="ITC Avant Garde"/>
          <w:b/>
        </w:rPr>
        <w:t>“TELMEX”</w:t>
      </w:r>
      <w:r w:rsidR="0026538B" w:rsidRPr="002A2450">
        <w:rPr>
          <w:rFonts w:ascii="ITC Avant Garde" w:hAnsi="ITC Avant Garde"/>
        </w:rPr>
        <w:t xml:space="preserve"> </w:t>
      </w:r>
      <w:r w:rsidRPr="002A2450">
        <w:rPr>
          <w:rFonts w:ascii="ITC Avant Garde" w:hAnsi="ITC Avant Garde"/>
        </w:rPr>
        <w:t xml:space="preserve">debía </w:t>
      </w:r>
      <w:r w:rsidR="0026538B" w:rsidRPr="002A2450">
        <w:rPr>
          <w:rFonts w:ascii="ITC Avant Garde" w:hAnsi="ITC Avant Garde"/>
        </w:rPr>
        <w:t>autoriza</w:t>
      </w:r>
      <w:r w:rsidRPr="002A2450">
        <w:rPr>
          <w:rFonts w:ascii="ITC Avant Garde" w:hAnsi="ITC Avant Garde"/>
        </w:rPr>
        <w:t xml:space="preserve">r decisiones sobre eventos específicos antes de su realización (i.e. veto o control negativo). </w:t>
      </w:r>
      <w:r w:rsidRPr="002A2450">
        <w:rPr>
          <w:rFonts w:ascii="ITC Avant Garde" w:hAnsi="ITC Avant Garde"/>
          <w:b/>
        </w:rPr>
        <w:t>TELMEX”</w:t>
      </w:r>
      <w:r w:rsidRPr="002A2450">
        <w:rPr>
          <w:rFonts w:ascii="ITC Avant Garde" w:hAnsi="ITC Avant Garde"/>
        </w:rPr>
        <w:t xml:space="preserve"> a través de </w:t>
      </w:r>
      <w:r w:rsidRPr="002A2450">
        <w:rPr>
          <w:rFonts w:ascii="ITC Avant Garde" w:hAnsi="ITC Avant Garde"/>
          <w:b/>
        </w:rPr>
        <w:t>"TENINVER"</w:t>
      </w:r>
      <w:r w:rsidRPr="002A2450">
        <w:rPr>
          <w:rFonts w:ascii="ITC Avant Garde" w:hAnsi="ITC Avant Garde"/>
        </w:rPr>
        <w:t xml:space="preserve"> ejerció este derecho en tres ocasiones, una de ellas el 1 de julio de 2012 respecto de una decisión que trascendió a la operación de "COFRESA" en la provisión del servicio de DTH. </w:t>
      </w:r>
    </w:p>
    <w:p w14:paraId="4E906258" w14:textId="77777777" w:rsidR="00B35F13" w:rsidRDefault="0026538B" w:rsidP="00B35F13">
      <w:pPr>
        <w:spacing w:before="240" w:line="360" w:lineRule="auto"/>
        <w:jc w:val="both"/>
        <w:rPr>
          <w:rFonts w:ascii="ITC Avant Garde" w:hAnsi="ITC Avant Garde"/>
        </w:rPr>
      </w:pPr>
      <w:r w:rsidRPr="002A2450">
        <w:rPr>
          <w:rFonts w:ascii="ITC Avant Garde" w:hAnsi="ITC Avant Garde"/>
        </w:rPr>
        <w:t>En virtud de lo anterior, es que esta autoridad a la luz de la interpretación sistemática de los contratos coaligados</w:t>
      </w:r>
      <w:r w:rsidR="005D00BB" w:rsidRPr="002A2450">
        <w:rPr>
          <w:rFonts w:ascii="ITC Avant Garde" w:hAnsi="ITC Avant Garde"/>
        </w:rPr>
        <w:t>,</w:t>
      </w:r>
      <w:r w:rsidRPr="002A2450">
        <w:rPr>
          <w:rFonts w:ascii="ITC Avant Garde" w:hAnsi="ITC Avant Garde"/>
        </w:rPr>
        <w:t xml:space="preserve"> se determinó que los mismos constituyen un mecanismo contractual </w:t>
      </w:r>
      <w:r w:rsidR="0038396A" w:rsidRPr="002A2450">
        <w:rPr>
          <w:rFonts w:ascii="ITC Avant Garde" w:hAnsi="ITC Avant Garde"/>
        </w:rPr>
        <w:t xml:space="preserve">en los que </w:t>
      </w:r>
      <w:r w:rsidRPr="002A2450">
        <w:rPr>
          <w:rFonts w:ascii="ITC Avant Garde" w:hAnsi="ITC Avant Garde"/>
        </w:rPr>
        <w:t xml:space="preserve">se delegó a </w:t>
      </w:r>
      <w:r w:rsidRPr="002A2450">
        <w:rPr>
          <w:rFonts w:ascii="ITC Avant Garde" w:hAnsi="ITC Avant Garde"/>
          <w:b/>
        </w:rPr>
        <w:t>“TELMEX”</w:t>
      </w:r>
      <w:r w:rsidRPr="002A2450">
        <w:rPr>
          <w:rFonts w:ascii="ITC Avant Garde" w:hAnsi="ITC Avant Garde"/>
        </w:rPr>
        <w:t xml:space="preserve"> </w:t>
      </w:r>
      <w:r w:rsidR="0038396A" w:rsidRPr="002A2450">
        <w:rPr>
          <w:rFonts w:ascii="ITC Avant Garde" w:hAnsi="ITC Avant Garde"/>
        </w:rPr>
        <w:t xml:space="preserve">a través de </w:t>
      </w:r>
      <w:r w:rsidR="0038396A" w:rsidRPr="002A2450">
        <w:rPr>
          <w:rFonts w:ascii="ITC Avant Garde" w:hAnsi="ITC Avant Garde"/>
          <w:b/>
        </w:rPr>
        <w:t>"TENINVER"</w:t>
      </w:r>
      <w:r w:rsidR="0038396A" w:rsidRPr="002A2450">
        <w:rPr>
          <w:rFonts w:ascii="ITC Avant Garde" w:hAnsi="ITC Avant Garde"/>
        </w:rPr>
        <w:t xml:space="preserve"> derechos para conocer e intervenir, esto es para influir, </w:t>
      </w:r>
      <w:r w:rsidR="003B6CC3" w:rsidRPr="002A2450">
        <w:rPr>
          <w:rFonts w:ascii="ITC Avant Garde" w:hAnsi="ITC Avant Garde"/>
        </w:rPr>
        <w:t xml:space="preserve">en </w:t>
      </w:r>
      <w:r w:rsidR="0038396A" w:rsidRPr="002A2450">
        <w:rPr>
          <w:rFonts w:ascii="ITC Avant Garde" w:hAnsi="ITC Avant Garde"/>
        </w:rPr>
        <w:t xml:space="preserve">la toma de decisiones sobre las operaciones de </w:t>
      </w:r>
      <w:r w:rsidR="0038396A" w:rsidRPr="002A2450">
        <w:rPr>
          <w:rFonts w:ascii="ITC Avant Garde" w:hAnsi="ITC Avant Garde"/>
          <w:b/>
        </w:rPr>
        <w:t>"DISH MÉXICO"</w:t>
      </w:r>
      <w:r w:rsidR="0038396A" w:rsidRPr="002A2450">
        <w:rPr>
          <w:rFonts w:ascii="ITC Avant Garde" w:hAnsi="ITC Avant Garde"/>
        </w:rPr>
        <w:t xml:space="preserve"> y sus subsidiarias, incluyendo a </w:t>
      </w:r>
      <w:r w:rsidR="0038396A" w:rsidRPr="002A2450">
        <w:rPr>
          <w:rFonts w:ascii="ITC Avant Garde" w:hAnsi="ITC Avant Garde"/>
          <w:b/>
        </w:rPr>
        <w:t>"COFRESA"</w:t>
      </w:r>
      <w:r w:rsidR="0038396A" w:rsidRPr="002A2450">
        <w:rPr>
          <w:rFonts w:ascii="ITC Avant Garde" w:hAnsi="ITC Avant Garde"/>
        </w:rPr>
        <w:t xml:space="preserve"> que es concesionaria </w:t>
      </w:r>
      <w:r w:rsidRPr="002A2450">
        <w:rPr>
          <w:rFonts w:ascii="ITC Avant Garde" w:hAnsi="ITC Avant Garde"/>
        </w:rPr>
        <w:t xml:space="preserve">del servicio </w:t>
      </w:r>
      <w:r w:rsidR="00B61711" w:rsidRPr="002A2450">
        <w:rPr>
          <w:rFonts w:ascii="ITC Avant Garde" w:hAnsi="ITC Avant Garde"/>
          <w:b/>
        </w:rPr>
        <w:t>“DT</w:t>
      </w:r>
      <w:r w:rsidRPr="002A2450">
        <w:rPr>
          <w:rFonts w:ascii="ITC Avant Garde" w:hAnsi="ITC Avant Garde"/>
          <w:b/>
        </w:rPr>
        <w:t>H”</w:t>
      </w:r>
      <w:r w:rsidR="0038396A" w:rsidRPr="002A2450">
        <w:rPr>
          <w:rFonts w:ascii="ITC Avant Garde" w:hAnsi="ITC Avant Garde"/>
          <w:b/>
        </w:rPr>
        <w:t xml:space="preserve">. </w:t>
      </w:r>
      <w:r w:rsidR="0038396A" w:rsidRPr="002A2450">
        <w:rPr>
          <w:rFonts w:ascii="ITC Avant Garde" w:hAnsi="ITC Avant Garde"/>
        </w:rPr>
        <w:t xml:space="preserve">Los derechos para intervenir son </w:t>
      </w:r>
      <w:r w:rsidRPr="002A2450">
        <w:rPr>
          <w:rFonts w:ascii="ITC Avant Garde" w:hAnsi="ITC Avant Garde"/>
        </w:rPr>
        <w:t>indirecto</w:t>
      </w:r>
      <w:r w:rsidR="0038396A" w:rsidRPr="002A2450">
        <w:rPr>
          <w:rFonts w:ascii="ITC Avant Garde" w:hAnsi="ITC Avant Garde"/>
        </w:rPr>
        <w:t>s</w:t>
      </w:r>
      <w:r w:rsidRPr="002A2450">
        <w:rPr>
          <w:rFonts w:ascii="ITC Avant Garde" w:hAnsi="ITC Avant Garde"/>
        </w:rPr>
        <w:t xml:space="preserve"> y </w:t>
      </w:r>
      <w:r w:rsidR="0038396A" w:rsidRPr="002A2450">
        <w:rPr>
          <w:rFonts w:ascii="ITC Avant Garde" w:hAnsi="ITC Avant Garde"/>
        </w:rPr>
        <w:t xml:space="preserve">de control </w:t>
      </w:r>
      <w:r w:rsidRPr="002A2450">
        <w:rPr>
          <w:rFonts w:ascii="ITC Avant Garde" w:hAnsi="ITC Avant Garde"/>
        </w:rPr>
        <w:t xml:space="preserve">negativo sobre </w:t>
      </w:r>
      <w:r w:rsidRPr="002A2450">
        <w:rPr>
          <w:rFonts w:ascii="ITC Avant Garde" w:hAnsi="ITC Avant Garde"/>
          <w:b/>
        </w:rPr>
        <w:t>“DISH MÉXICO”</w:t>
      </w:r>
      <w:r w:rsidRPr="002A2450">
        <w:rPr>
          <w:rFonts w:ascii="ITC Avant Garde" w:hAnsi="ITC Avant Garde"/>
        </w:rPr>
        <w:t xml:space="preserve"> para que de manera indirecta pudiera </w:t>
      </w:r>
      <w:r w:rsidR="003B6CC3" w:rsidRPr="002A2450">
        <w:rPr>
          <w:rFonts w:ascii="ITC Avant Garde" w:hAnsi="ITC Avant Garde"/>
        </w:rPr>
        <w:t xml:space="preserve">influir en las decisiones de negocio de </w:t>
      </w:r>
      <w:r w:rsidR="003B6CC3" w:rsidRPr="002A2450">
        <w:rPr>
          <w:rFonts w:ascii="ITC Avant Garde" w:hAnsi="ITC Avant Garde"/>
          <w:b/>
        </w:rPr>
        <w:t xml:space="preserve">“COFRESA” </w:t>
      </w:r>
      <w:r w:rsidR="003B6CC3" w:rsidRPr="002A2450">
        <w:rPr>
          <w:rFonts w:ascii="ITC Avant Garde" w:hAnsi="ITC Avant Garde"/>
        </w:rPr>
        <w:t xml:space="preserve">y en consecuencia se deriva una </w:t>
      </w:r>
      <w:r w:rsidR="008F718E" w:rsidRPr="009E34A4">
        <w:rPr>
          <w:rFonts w:ascii="ITC Avant Garde" w:hAnsi="ITC Avant Garde"/>
        </w:rPr>
        <w:t>explotación indirecta</w:t>
      </w:r>
      <w:r w:rsidR="008F718E" w:rsidRPr="002A2450">
        <w:rPr>
          <w:rFonts w:ascii="ITC Avant Garde" w:hAnsi="ITC Avant Garde"/>
          <w:color w:val="C00000"/>
        </w:rPr>
        <w:t xml:space="preserve"> </w:t>
      </w:r>
      <w:r w:rsidR="003B6CC3" w:rsidRPr="002A2450">
        <w:rPr>
          <w:rFonts w:ascii="ITC Avant Garde" w:hAnsi="ITC Avant Garde"/>
        </w:rPr>
        <w:t xml:space="preserve">por parte de </w:t>
      </w:r>
      <w:r w:rsidR="003B6CC3" w:rsidRPr="002A2450">
        <w:rPr>
          <w:rFonts w:ascii="ITC Avant Garde" w:hAnsi="ITC Avant Garde"/>
          <w:b/>
        </w:rPr>
        <w:t xml:space="preserve">“TELMEX” </w:t>
      </w:r>
      <w:r w:rsidR="0038396A" w:rsidRPr="002A2450">
        <w:rPr>
          <w:rFonts w:ascii="ITC Avant Garde" w:hAnsi="ITC Avant Garde"/>
          <w:b/>
        </w:rPr>
        <w:t xml:space="preserve">a través de "TENINVER" </w:t>
      </w:r>
      <w:r w:rsidR="003B6CC3" w:rsidRPr="002A2450">
        <w:rPr>
          <w:rFonts w:ascii="ITC Avant Garde" w:hAnsi="ITC Avant Garde"/>
        </w:rPr>
        <w:t xml:space="preserve">a </w:t>
      </w:r>
      <w:r w:rsidRPr="002A2450">
        <w:rPr>
          <w:rFonts w:ascii="ITC Avant Garde" w:hAnsi="ITC Avant Garde"/>
        </w:rPr>
        <w:t>una concesión de televisión en el país.</w:t>
      </w:r>
    </w:p>
    <w:p w14:paraId="35215FB8" w14:textId="77777777" w:rsidR="00B35F13" w:rsidRDefault="003B6CC3" w:rsidP="00B35F13">
      <w:pPr>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En ese sentido, esta autoridad considera que existen elementos para concluir que </w:t>
      </w:r>
      <w:r w:rsidRPr="002A2450">
        <w:rPr>
          <w:rFonts w:ascii="ITC Avant Garde" w:eastAsia="Times New Roman" w:hAnsi="ITC Avant Garde"/>
          <w:b/>
          <w:bCs/>
          <w:color w:val="000000"/>
          <w:lang w:eastAsia="es-MX"/>
        </w:rPr>
        <w:t>“TELMEX”</w:t>
      </w:r>
      <w:r w:rsidRPr="002A2450">
        <w:rPr>
          <w:rFonts w:ascii="ITC Avant Garde" w:eastAsia="Times New Roman" w:hAnsi="ITC Avant Garde"/>
          <w:bCs/>
          <w:color w:val="000000"/>
          <w:lang w:eastAsia="es-MX"/>
        </w:rPr>
        <w:t xml:space="preserve"> con su conducta infringió lo dispuesto en el </w:t>
      </w:r>
      <w:r w:rsidR="00065AA4" w:rsidRPr="009E34A4">
        <w:rPr>
          <w:rFonts w:ascii="ITC Avant Garde" w:eastAsia="Times New Roman" w:hAnsi="ITC Avant Garde"/>
          <w:b/>
          <w:bCs/>
          <w:color w:val="000000"/>
          <w:lang w:eastAsia="es-MX"/>
        </w:rPr>
        <w:t>Tercer Párrafo</w:t>
      </w:r>
      <w:r w:rsidRPr="002A2450">
        <w:rPr>
          <w:rFonts w:ascii="ITC Avant Garde" w:eastAsia="Times New Roman" w:hAnsi="ITC Avant Garde"/>
          <w:bCs/>
          <w:color w:val="000000"/>
          <w:lang w:eastAsia="es-MX"/>
        </w:rPr>
        <w:t xml:space="preserve"> de la condición 1-9 de su </w:t>
      </w:r>
      <w:r w:rsidRPr="002A2450">
        <w:rPr>
          <w:rFonts w:ascii="ITC Avant Garde" w:eastAsia="Times New Roman" w:hAnsi="ITC Avant Garde"/>
          <w:b/>
          <w:bCs/>
          <w:color w:val="000000"/>
          <w:lang w:eastAsia="es-MX"/>
        </w:rPr>
        <w:t>“TÍTULO DE CONCESIÓN”</w:t>
      </w:r>
      <w:r w:rsidRPr="002A2450">
        <w:rPr>
          <w:rFonts w:ascii="ITC Avant Garde" w:eastAsia="Times New Roman" w:hAnsi="ITC Avant Garde"/>
          <w:bCs/>
          <w:color w:val="000000"/>
          <w:lang w:eastAsia="es-MX"/>
        </w:rPr>
        <w:t xml:space="preserve"> y en consecuencia resulta procedente imponer una sanción en términos de la normatividad que resulte aplicable.</w:t>
      </w:r>
    </w:p>
    <w:p w14:paraId="41AB3EF9" w14:textId="77777777" w:rsidR="00B35F13" w:rsidRDefault="00DA2C4B" w:rsidP="001B0FC3">
      <w:pPr>
        <w:pStyle w:val="Ttulo3"/>
      </w:pPr>
      <w:bookmarkStart w:id="96" w:name="_Toc477170199"/>
      <w:r w:rsidRPr="002A2450">
        <w:t>NOVENO</w:t>
      </w:r>
      <w:r w:rsidR="00FD298A" w:rsidRPr="002A2450">
        <w:t>. Determinación y cuantificación de la sanción.</w:t>
      </w:r>
      <w:bookmarkEnd w:id="96"/>
    </w:p>
    <w:p w14:paraId="29F8859D" w14:textId="77777777" w:rsidR="00B35F13" w:rsidRDefault="00F46AC4" w:rsidP="00B35F13">
      <w:pPr>
        <w:spacing w:before="240" w:line="360" w:lineRule="auto"/>
        <w:jc w:val="both"/>
        <w:rPr>
          <w:rFonts w:ascii="ITC Avant Garde" w:hAnsi="ITC Avant Garde"/>
        </w:rPr>
      </w:pPr>
      <w:r w:rsidRPr="002A2450">
        <w:rPr>
          <w:rFonts w:ascii="ITC Avant Garde" w:hAnsi="ITC Avant Garde"/>
        </w:rPr>
        <w:t>Previo a la determinación y cuantificación de la multa respectiva, es necesario precisar las siguientes consideraciones a luz de lo analizado en la presente resolución.</w:t>
      </w:r>
    </w:p>
    <w:p w14:paraId="0610BA66" w14:textId="77777777" w:rsidR="00B35F13" w:rsidRDefault="00F46AC4"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vale recordar a </w:t>
      </w:r>
      <w:r w:rsidRPr="002A2450">
        <w:rPr>
          <w:rFonts w:ascii="ITC Avant Garde" w:hAnsi="ITC Avant Garde"/>
          <w:b/>
        </w:rPr>
        <w:t>“TELMEX”</w:t>
      </w:r>
      <w:r w:rsidRPr="002A2450">
        <w:rPr>
          <w:rFonts w:ascii="ITC Avant Garde" w:hAnsi="ITC Avant Garde"/>
        </w:rPr>
        <w:t xml:space="preserve"> que dentro del acuerdo de inicio del procedimiento administrativo de imposición de sanción, esta autoridad señaló lo siguiente:</w:t>
      </w:r>
    </w:p>
    <w:p w14:paraId="250CAD66" w14:textId="3E2AABE1" w:rsidR="00F46AC4" w:rsidRPr="002A2450" w:rsidRDefault="00F46AC4" w:rsidP="00B35F13">
      <w:pPr>
        <w:autoSpaceDE w:val="0"/>
        <w:autoSpaceDN w:val="0"/>
        <w:adjustRightInd w:val="0"/>
        <w:spacing w:before="240" w:line="360" w:lineRule="auto"/>
        <w:ind w:left="567" w:right="567"/>
        <w:rPr>
          <w:rFonts w:ascii="ITC Avant Garde" w:hAnsi="ITC Avant Garde" w:cs="Arial"/>
          <w:b/>
          <w:i/>
          <w:color w:val="231F20"/>
        </w:rPr>
      </w:pPr>
      <w:r w:rsidRPr="002A2450">
        <w:rPr>
          <w:rFonts w:ascii="ITC Avant Garde" w:hAnsi="ITC Avant Garde" w:cs="Arial"/>
          <w:b/>
          <w:i/>
          <w:color w:val="231F20"/>
        </w:rPr>
        <w:t>“…</w:t>
      </w:r>
    </w:p>
    <w:p w14:paraId="7BC0A4C0" w14:textId="77777777" w:rsidR="00B35F13" w:rsidRDefault="00F46AC4" w:rsidP="00B35F13">
      <w:pPr>
        <w:autoSpaceDE w:val="0"/>
        <w:autoSpaceDN w:val="0"/>
        <w:adjustRightInd w:val="0"/>
        <w:spacing w:before="240" w:line="360" w:lineRule="auto"/>
        <w:ind w:left="567" w:right="567"/>
        <w:jc w:val="center"/>
        <w:rPr>
          <w:rFonts w:ascii="ITC Avant Garde" w:hAnsi="ITC Avant Garde" w:cs="Arial"/>
          <w:b/>
          <w:i/>
          <w:color w:val="231F20"/>
        </w:rPr>
      </w:pPr>
      <w:r w:rsidRPr="002A2450">
        <w:rPr>
          <w:rFonts w:ascii="ITC Avant Garde" w:hAnsi="ITC Avant Garde" w:cs="Arial"/>
          <w:b/>
          <w:i/>
          <w:color w:val="231F20"/>
        </w:rPr>
        <w:t>TIPICIDAD DE LA CONDUCTA</w:t>
      </w:r>
    </w:p>
    <w:p w14:paraId="6BCE38F0" w14:textId="77777777" w:rsidR="00B35F13" w:rsidRDefault="00F46AC4" w:rsidP="00B35F13">
      <w:pPr>
        <w:spacing w:before="240" w:line="360" w:lineRule="auto"/>
        <w:ind w:left="567" w:right="567"/>
        <w:jc w:val="both"/>
        <w:rPr>
          <w:rFonts w:ascii="ITC Avant Garde" w:hAnsi="ITC Avant Garde"/>
          <w:i/>
        </w:rPr>
      </w:pPr>
      <w:r w:rsidRPr="002A2450">
        <w:rPr>
          <w:rFonts w:ascii="ITC Avant Garde" w:hAnsi="ITC Avant Garde"/>
          <w:i/>
        </w:rPr>
        <w:t xml:space="preserve">En el apartado “Antecedentes” (foja 3), del Título de Concesión de </w:t>
      </w:r>
      <w:r w:rsidRPr="002A2450">
        <w:rPr>
          <w:rFonts w:ascii="ITC Avant Garde" w:hAnsi="ITC Avant Garde"/>
          <w:b/>
          <w:i/>
        </w:rPr>
        <w:t xml:space="preserve">TELMEX </w:t>
      </w:r>
      <w:r w:rsidRPr="002A2450">
        <w:rPr>
          <w:rFonts w:ascii="ITC Avant Garde" w:hAnsi="ITC Avant Garde"/>
          <w:i/>
        </w:rPr>
        <w:t>se estableció lo siguiente:</w:t>
      </w:r>
    </w:p>
    <w:p w14:paraId="4CE2BCEF" w14:textId="287D590E" w:rsidR="00F46AC4" w:rsidRPr="002A2450" w:rsidRDefault="00F46AC4" w:rsidP="00B35F13">
      <w:pPr>
        <w:spacing w:before="240" w:line="360" w:lineRule="auto"/>
        <w:ind w:left="567" w:right="567"/>
        <w:jc w:val="both"/>
        <w:rPr>
          <w:rFonts w:ascii="ITC Avant Garde" w:hAnsi="ITC Avant Garde"/>
          <w:i/>
        </w:rPr>
      </w:pPr>
      <w:r w:rsidRPr="002A2450">
        <w:rPr>
          <w:rFonts w:ascii="ITC Avant Garde" w:hAnsi="ITC Avant Garde"/>
          <w:i/>
        </w:rPr>
        <w:t>“… “</w:t>
      </w:r>
      <w:r w:rsidR="005B601B" w:rsidRPr="002A2450">
        <w:rPr>
          <w:rFonts w:ascii="ITC Avant Garde" w:hAnsi="ITC Avant Garde"/>
          <w:b/>
          <w:i/>
        </w:rPr>
        <w:t>“TELMEX”</w:t>
      </w:r>
      <w:r w:rsidRPr="002A2450">
        <w:rPr>
          <w:rFonts w:ascii="ITC Avant Garde" w:hAnsi="ITC Avant Garde"/>
          <w:i/>
        </w:rPr>
        <w:t>” acepta la presente modificación a la concesión de la que es titular, para que ésta quede en los términos establecidos en las siguientes condiciones de los 8 capítulos del presente Título, el cual entrará en vigor a partir de la fecha de su firma, quedando sin efecto la cláusula trigésima novena de la Concesión que se modifica.”</w:t>
      </w:r>
    </w:p>
    <w:p w14:paraId="3176FDB5" w14:textId="77777777" w:rsidR="00F46AC4" w:rsidRPr="002A2450" w:rsidRDefault="00F46AC4" w:rsidP="00B35F13">
      <w:pPr>
        <w:spacing w:before="240" w:line="360" w:lineRule="auto"/>
        <w:ind w:left="567" w:right="567"/>
        <w:jc w:val="both"/>
        <w:rPr>
          <w:rFonts w:ascii="ITC Avant Garde" w:hAnsi="ITC Avant Garde"/>
          <w:i/>
        </w:rPr>
      </w:pPr>
      <w:r w:rsidRPr="002A2450">
        <w:rPr>
          <w:rFonts w:ascii="ITC Avant Garde" w:hAnsi="ITC Avant Garde"/>
          <w:i/>
        </w:rPr>
        <w:t xml:space="preserve">… </w:t>
      </w:r>
    </w:p>
    <w:p w14:paraId="69B544F9" w14:textId="77777777" w:rsidR="00B35F13" w:rsidRDefault="00DA2C4B" w:rsidP="00B35F13">
      <w:pPr>
        <w:spacing w:before="240" w:line="360" w:lineRule="auto"/>
        <w:ind w:left="567" w:right="567"/>
        <w:jc w:val="both"/>
        <w:rPr>
          <w:rFonts w:ascii="ITC Avant Garde" w:hAnsi="ITC Avant Garde"/>
          <w:i/>
        </w:rPr>
      </w:pPr>
      <w:r w:rsidRPr="002A2450">
        <w:rPr>
          <w:rFonts w:ascii="ITC Avant Garde" w:hAnsi="ITC Avant Garde"/>
          <w:i/>
        </w:rPr>
        <w:t>Ahora bien, para efectos de presente procedimiento, la condición de dicho Título de Consecución que se considera violada es la 1-9 en su tercer párrafo, cuya porción regulatoria establece expresamente que:</w:t>
      </w:r>
    </w:p>
    <w:p w14:paraId="3A584FFB" w14:textId="616B3AA2" w:rsidR="00DA2C4B" w:rsidRPr="002A2450" w:rsidRDefault="00DA2C4B" w:rsidP="00B35F13">
      <w:pPr>
        <w:spacing w:before="240" w:line="360" w:lineRule="auto"/>
        <w:ind w:left="567" w:right="567"/>
        <w:jc w:val="both"/>
        <w:rPr>
          <w:rFonts w:ascii="ITC Avant Garde" w:hAnsi="ITC Avant Garde"/>
          <w:i/>
          <w:u w:val="single"/>
        </w:rPr>
      </w:pPr>
      <w:r w:rsidRPr="002A2450">
        <w:rPr>
          <w:rFonts w:ascii="ITC Avant Garde" w:hAnsi="ITC Avant Garde"/>
          <w:i/>
        </w:rPr>
        <w:t>“</w:t>
      </w:r>
      <w:r w:rsidRPr="002A2450">
        <w:rPr>
          <w:rFonts w:ascii="ITC Avant Garde" w:hAnsi="ITC Avant Garde"/>
          <w:b/>
          <w:i/>
        </w:rPr>
        <w:t xml:space="preserve">1-9 </w:t>
      </w:r>
      <w:r w:rsidRPr="002A2450">
        <w:rPr>
          <w:rFonts w:ascii="ITC Avant Garde" w:hAnsi="ITC Avant Garde"/>
          <w:b/>
          <w:i/>
          <w:u w:val="single"/>
        </w:rPr>
        <w:t>Distribución de Señales de Televisión</w:t>
      </w:r>
    </w:p>
    <w:p w14:paraId="69012A2C" w14:textId="77777777" w:rsidR="00DA2C4B" w:rsidRPr="002A2450" w:rsidRDefault="00DA2C4B" w:rsidP="00B35F13">
      <w:pPr>
        <w:spacing w:before="240" w:line="360" w:lineRule="auto"/>
        <w:ind w:left="567" w:right="567"/>
        <w:jc w:val="both"/>
        <w:rPr>
          <w:rFonts w:ascii="ITC Avant Garde" w:hAnsi="ITC Avant Garde"/>
          <w:i/>
        </w:rPr>
      </w:pPr>
      <w:r w:rsidRPr="002A2450">
        <w:rPr>
          <w:rFonts w:ascii="ITC Avant Garde" w:hAnsi="ITC Avant Garde"/>
          <w:i/>
        </w:rPr>
        <w:t>…</w:t>
      </w:r>
    </w:p>
    <w:p w14:paraId="6CBBB997" w14:textId="77777777" w:rsidR="00DA2C4B" w:rsidRPr="002A2450" w:rsidRDefault="00DA2C4B" w:rsidP="00B35F13">
      <w:pPr>
        <w:spacing w:before="240" w:line="360" w:lineRule="auto"/>
        <w:ind w:left="567" w:right="567"/>
        <w:jc w:val="both"/>
        <w:rPr>
          <w:rFonts w:ascii="ITC Avant Garde" w:hAnsi="ITC Avant Garde"/>
          <w:i/>
        </w:rPr>
      </w:pPr>
      <w:r w:rsidRPr="002A2450">
        <w:rPr>
          <w:rFonts w:ascii="ITC Avant Garde" w:hAnsi="ITC Avant Garde"/>
          <w:i/>
        </w:rPr>
        <w:t>…</w:t>
      </w:r>
    </w:p>
    <w:p w14:paraId="7DB1F42A" w14:textId="77777777" w:rsidR="00B35F13" w:rsidRDefault="00DA2C4B" w:rsidP="00B35F13">
      <w:pPr>
        <w:spacing w:before="240" w:line="360" w:lineRule="auto"/>
        <w:ind w:left="567" w:right="567"/>
        <w:jc w:val="both"/>
        <w:rPr>
          <w:rFonts w:ascii="ITC Avant Garde" w:hAnsi="ITC Avant Garde"/>
          <w:b/>
          <w:i/>
          <w:u w:val="single"/>
        </w:rPr>
      </w:pPr>
      <w:r w:rsidRPr="002A2450">
        <w:rPr>
          <w:rFonts w:ascii="ITC Avant Garde" w:hAnsi="ITC Avant Garde"/>
          <w:b/>
          <w:i/>
          <w:u w:val="single"/>
        </w:rPr>
        <w:t>“</w:t>
      </w:r>
      <w:r w:rsidR="005B601B" w:rsidRPr="002A2450">
        <w:rPr>
          <w:rFonts w:ascii="ITC Avant Garde" w:hAnsi="ITC Avant Garde"/>
          <w:b/>
          <w:i/>
          <w:u w:val="single"/>
        </w:rPr>
        <w:t>“TELMEX”</w:t>
      </w:r>
      <w:r w:rsidRPr="002A2450">
        <w:rPr>
          <w:rFonts w:ascii="ITC Avant Garde" w:hAnsi="ITC Avant Garde"/>
          <w:b/>
          <w:i/>
          <w:u w:val="single"/>
        </w:rPr>
        <w:t>” no podrá explotar, directa o indirectamente, ninguna concesión de servicios de televisión al público en el país.”</w:t>
      </w:r>
    </w:p>
    <w:p w14:paraId="6C952E3C" w14:textId="77777777" w:rsidR="00B35F13" w:rsidRDefault="00DA2C4B" w:rsidP="00B35F13">
      <w:pPr>
        <w:autoSpaceDE w:val="0"/>
        <w:autoSpaceDN w:val="0"/>
        <w:adjustRightInd w:val="0"/>
        <w:spacing w:before="240" w:line="360" w:lineRule="auto"/>
        <w:ind w:left="567" w:right="567"/>
        <w:jc w:val="both"/>
        <w:rPr>
          <w:rFonts w:ascii="ITC Avant Garde" w:hAnsi="ITC Avant Garde"/>
          <w:i/>
        </w:rPr>
      </w:pPr>
      <w:r w:rsidRPr="002A2450">
        <w:rPr>
          <w:rFonts w:ascii="ITC Avant Garde" w:hAnsi="ITC Avant Garde"/>
          <w:i/>
        </w:rPr>
        <w:t xml:space="preserve">Una vez que ha quedado precisada la conducta de TELMEX consistente en la presunta </w:t>
      </w:r>
      <w:r w:rsidR="008F718E" w:rsidRPr="009E34A4">
        <w:rPr>
          <w:rFonts w:ascii="ITC Avant Garde" w:hAnsi="ITC Avant Garde"/>
          <w:i/>
        </w:rPr>
        <w:t xml:space="preserve">explotación indirecta </w:t>
      </w:r>
      <w:r w:rsidRPr="002A2450">
        <w:rPr>
          <w:rFonts w:ascii="ITC Avant Garde" w:hAnsi="ITC Avant Garde"/>
          <w:i/>
        </w:rPr>
        <w:t xml:space="preserve">de una concesión de servicios de televisión al público en el país, conducta que resulta contraria al tercer </w:t>
      </w:r>
      <w:r w:rsidRPr="002A2450">
        <w:rPr>
          <w:rFonts w:ascii="ITC Avant Garde" w:hAnsi="ITC Avant Garde"/>
          <w:i/>
        </w:rPr>
        <w:lastRenderedPageBreak/>
        <w:t>párrafo de la citada condición y atendiendo al principio de tipicidad, en esta parte se analiza la consecuencia jurídica que prevé la normatividad en la materia en caso de acreditarse el incumplimiento que se le atribuye a TELMEX.</w:t>
      </w:r>
    </w:p>
    <w:p w14:paraId="6970F15E" w14:textId="77777777" w:rsidR="00B35F13" w:rsidRDefault="00F46AC4" w:rsidP="00B35F13">
      <w:pPr>
        <w:autoSpaceDE w:val="0"/>
        <w:autoSpaceDN w:val="0"/>
        <w:adjustRightInd w:val="0"/>
        <w:spacing w:before="240" w:line="360" w:lineRule="auto"/>
        <w:ind w:left="567" w:right="567"/>
        <w:jc w:val="both"/>
        <w:rPr>
          <w:rFonts w:ascii="ITC Avant Garde" w:hAnsi="ITC Avant Garde" w:cs="Arial"/>
          <w:i/>
          <w:color w:val="231F20"/>
        </w:rPr>
      </w:pPr>
      <w:r w:rsidRPr="002A2450">
        <w:rPr>
          <w:rFonts w:ascii="ITC Avant Garde" w:hAnsi="ITC Avant Garde" w:cs="Arial"/>
          <w:i/>
          <w:color w:val="231F20"/>
        </w:rPr>
        <w:t>Al respecto, el artículo 298, apartado B, inciso III de la Ley Federal de Telecomunicaciones y Radiodifusión a la letra establece:</w:t>
      </w:r>
    </w:p>
    <w:p w14:paraId="6F65D831" w14:textId="77777777" w:rsidR="00B35F13" w:rsidRDefault="00F46AC4" w:rsidP="00B35F13">
      <w:pPr>
        <w:pStyle w:val="Estilo"/>
        <w:spacing w:before="240" w:after="160" w:line="360" w:lineRule="auto"/>
        <w:ind w:left="567" w:right="567"/>
        <w:rPr>
          <w:rFonts w:ascii="ITC Avant Garde" w:hAnsi="ITC Avant Garde"/>
          <w:i/>
          <w:sz w:val="22"/>
        </w:rPr>
      </w:pPr>
      <w:r w:rsidRPr="002A2450">
        <w:rPr>
          <w:rFonts w:ascii="ITC Avant Garde" w:hAnsi="ITC Avant Garde"/>
          <w:i/>
          <w:sz w:val="22"/>
        </w:rPr>
        <w:t xml:space="preserve">“… </w:t>
      </w:r>
      <w:r w:rsidR="003B6CC3" w:rsidRPr="002A2450">
        <w:rPr>
          <w:rFonts w:ascii="ITC Avant Garde" w:eastAsiaTheme="minorHAnsi" w:hAnsi="ITC Avant Garde" w:cs="Arial"/>
          <w:i/>
          <w:color w:val="231F20"/>
          <w:sz w:val="22"/>
          <w:lang w:val="es-MX"/>
        </w:rPr>
        <w:t>Artículo 298. Las infracciones a lo dispuesto en esta Ley y a las disposiciones que deriven de ella, se sancionarán por el Instituto de conformidad con lo siguiente:</w:t>
      </w:r>
    </w:p>
    <w:p w14:paraId="415D9CAC" w14:textId="77777777" w:rsidR="00B35F13" w:rsidRDefault="00F46AC4" w:rsidP="007E623E">
      <w:pPr>
        <w:pStyle w:val="Estilo"/>
        <w:numPr>
          <w:ilvl w:val="0"/>
          <w:numId w:val="48"/>
        </w:numPr>
        <w:spacing w:before="240" w:after="160" w:line="360" w:lineRule="auto"/>
        <w:ind w:left="1134" w:right="567" w:hanging="567"/>
        <w:rPr>
          <w:rFonts w:ascii="ITC Avant Garde" w:hAnsi="ITC Avant Garde"/>
          <w:i/>
          <w:sz w:val="22"/>
        </w:rPr>
      </w:pPr>
      <w:r w:rsidRPr="002A2450">
        <w:rPr>
          <w:rFonts w:ascii="ITC Avant Garde" w:hAnsi="ITC Avant Garde"/>
          <w:i/>
          <w:sz w:val="22"/>
        </w:rPr>
        <w:t>Con multa por el equivalente de 1% hasta 3% de los ingresos del concesionario o autorizado por:</w:t>
      </w:r>
    </w:p>
    <w:p w14:paraId="04E09119" w14:textId="77777777" w:rsidR="00B35F13" w:rsidRDefault="00F46AC4" w:rsidP="007E623E">
      <w:pPr>
        <w:pStyle w:val="Estilo"/>
        <w:numPr>
          <w:ilvl w:val="0"/>
          <w:numId w:val="49"/>
        </w:numPr>
        <w:spacing w:before="240" w:after="160" w:line="360" w:lineRule="auto"/>
        <w:ind w:left="1134" w:right="567" w:hanging="567"/>
        <w:rPr>
          <w:rFonts w:ascii="ITC Avant Garde" w:hAnsi="ITC Avant Garde"/>
          <w:i/>
          <w:sz w:val="22"/>
        </w:rPr>
      </w:pPr>
      <w:r w:rsidRPr="002A2450">
        <w:rPr>
          <w:rFonts w:ascii="ITC Avant Garde" w:hAnsi="ITC Avant Garde"/>
          <w:b/>
          <w:i/>
          <w:sz w:val="22"/>
          <w:u w:val="single"/>
        </w:rPr>
        <w:t>No cumplir con las obligaciones o condiciones establecidas en la concesión o autorización cuyo incumplimiento no esté sancionado con revocación</w:t>
      </w:r>
      <w:r w:rsidRPr="002A2450">
        <w:rPr>
          <w:rFonts w:ascii="ITC Avant Garde" w:hAnsi="ITC Avant Garde"/>
          <w:i/>
          <w:sz w:val="22"/>
        </w:rPr>
        <w:t>, o”</w:t>
      </w:r>
    </w:p>
    <w:p w14:paraId="2F5DE303" w14:textId="77777777" w:rsidR="00B35F13" w:rsidRDefault="00F46AC4" w:rsidP="00B35F13">
      <w:pPr>
        <w:autoSpaceDE w:val="0"/>
        <w:autoSpaceDN w:val="0"/>
        <w:adjustRightInd w:val="0"/>
        <w:spacing w:before="240" w:line="360" w:lineRule="auto"/>
        <w:ind w:left="567" w:right="567"/>
        <w:jc w:val="both"/>
        <w:rPr>
          <w:rFonts w:ascii="ITC Avant Garde" w:hAnsi="ITC Avant Garde" w:cs="Arial"/>
          <w:i/>
          <w:color w:val="231F20"/>
        </w:rPr>
      </w:pPr>
      <w:r w:rsidRPr="002A2450">
        <w:rPr>
          <w:rFonts w:ascii="ITC Avant Garde" w:hAnsi="ITC Avant Garde" w:cs="Arial"/>
          <w:i/>
          <w:color w:val="231F20"/>
        </w:rPr>
        <w:t>Del análisis del precepto legal trascrito se desprende la consecuencia normativa prevista para aquellos concesionarios que incumplan con las condiciones establecidas en su título de concesión, hipótesis que de actualizarse daría lugar a la imposición de una multa por el equivalente de 1% hasta 3% sobre los ingresos acumulables del infractor durante el último ejercicio fiscal.</w:t>
      </w:r>
    </w:p>
    <w:p w14:paraId="4E33636F" w14:textId="362B1F55" w:rsidR="00F46AC4" w:rsidRPr="002A2450" w:rsidRDefault="00F46AC4" w:rsidP="00B35F13">
      <w:pPr>
        <w:spacing w:before="240" w:line="360" w:lineRule="auto"/>
        <w:ind w:left="567" w:right="567"/>
        <w:jc w:val="both"/>
        <w:rPr>
          <w:rFonts w:ascii="ITC Avant Garde" w:hAnsi="ITC Avant Garde"/>
          <w:i/>
        </w:rPr>
      </w:pPr>
      <w:r w:rsidRPr="002A2450">
        <w:rPr>
          <w:rFonts w:ascii="ITC Avant Garde" w:hAnsi="ITC Avant Garde" w:cs="Arial"/>
          <w:i/>
          <w:color w:val="231F20"/>
        </w:rPr>
        <w:t xml:space="preserve">Por lo anterior, </w:t>
      </w:r>
      <w:r w:rsidRPr="002A2450">
        <w:rPr>
          <w:rFonts w:ascii="ITC Avant Garde" w:hAnsi="ITC Avant Garde"/>
          <w:i/>
        </w:rPr>
        <w:t xml:space="preserve">de acreditarse la violación imputada, </w:t>
      </w:r>
      <w:r w:rsidRPr="002A2450">
        <w:rPr>
          <w:rFonts w:ascii="ITC Avant Garde" w:hAnsi="ITC Avant Garde"/>
          <w:b/>
          <w:i/>
        </w:rPr>
        <w:t>TELMEX</w:t>
      </w:r>
      <w:r w:rsidRPr="002A2450">
        <w:rPr>
          <w:rFonts w:ascii="ITC Avant Garde" w:hAnsi="ITC Avant Garde"/>
          <w:i/>
        </w:rPr>
        <w:t xml:space="preserve"> se podría hacer acreedor a una sanción en términos del artículo 298, apartado B), fracción III, de la </w:t>
      </w:r>
      <w:proofErr w:type="spellStart"/>
      <w:r w:rsidRPr="002A2450">
        <w:rPr>
          <w:rFonts w:ascii="ITC Avant Garde" w:hAnsi="ITC Avant Garde"/>
          <w:i/>
        </w:rPr>
        <w:t>LFTyR</w:t>
      </w:r>
      <w:proofErr w:type="spellEnd"/>
      <w:r w:rsidRPr="002A2450">
        <w:rPr>
          <w:rFonts w:ascii="ITC Avant Garde" w:hAnsi="ITC Avant Garde"/>
          <w:i/>
        </w:rPr>
        <w:t xml:space="preserve">, por no cumplir con las condiciones establecidas en su </w:t>
      </w:r>
      <w:r w:rsidRPr="002A2450">
        <w:rPr>
          <w:rFonts w:ascii="ITC Avant Garde" w:hAnsi="ITC Avant Garde"/>
          <w:b/>
          <w:i/>
        </w:rPr>
        <w:t>Título de Concesión</w:t>
      </w:r>
      <w:r w:rsidRPr="002A2450">
        <w:rPr>
          <w:rFonts w:ascii="ITC Avant Garde" w:hAnsi="ITC Avant Garde"/>
          <w:i/>
        </w:rPr>
        <w:t>.</w:t>
      </w:r>
    </w:p>
    <w:p w14:paraId="42A4A0C9" w14:textId="77777777" w:rsidR="00B35F13" w:rsidRDefault="00F46AC4" w:rsidP="00B35F13">
      <w:pPr>
        <w:spacing w:before="240" w:line="360" w:lineRule="auto"/>
        <w:ind w:left="567" w:right="567"/>
        <w:jc w:val="both"/>
        <w:rPr>
          <w:rFonts w:ascii="ITC Avant Garde" w:hAnsi="ITC Avant Garde"/>
        </w:rPr>
      </w:pPr>
      <w:r w:rsidRPr="002A2450">
        <w:rPr>
          <w:rFonts w:ascii="ITC Avant Garde" w:hAnsi="ITC Avant Garde" w:cs="Arial"/>
          <w:i/>
          <w:color w:val="231F20"/>
        </w:rPr>
        <w:t>…”</w:t>
      </w:r>
    </w:p>
    <w:p w14:paraId="177467AD" w14:textId="77777777" w:rsidR="00B35F13" w:rsidRDefault="00F46AC4" w:rsidP="00B35F13">
      <w:pPr>
        <w:spacing w:before="240" w:line="360" w:lineRule="auto"/>
        <w:jc w:val="both"/>
        <w:rPr>
          <w:rFonts w:ascii="ITC Avant Garde" w:hAnsi="ITC Avant Garde"/>
        </w:rPr>
      </w:pPr>
      <w:r w:rsidRPr="002A2450">
        <w:rPr>
          <w:rFonts w:ascii="ITC Avant Garde" w:hAnsi="ITC Avant Garde"/>
        </w:rPr>
        <w:lastRenderedPageBreak/>
        <w:t>Ahora bien</w:t>
      </w:r>
      <w:r w:rsidR="00D17DD4" w:rsidRPr="002A2450">
        <w:rPr>
          <w:rFonts w:ascii="ITC Avant Garde" w:hAnsi="ITC Avant Garde"/>
        </w:rPr>
        <w:t xml:space="preserve">, de acuerdo con lo anterior, </w:t>
      </w:r>
      <w:r w:rsidR="00D17DD4" w:rsidRPr="002A2450">
        <w:rPr>
          <w:rFonts w:ascii="ITC Avant Garde" w:hAnsi="ITC Avant Garde"/>
          <w:b/>
        </w:rPr>
        <w:t>“TELMEX”</w:t>
      </w:r>
      <w:r w:rsidR="00D17DD4" w:rsidRPr="002A2450">
        <w:rPr>
          <w:rFonts w:ascii="ITC Avant Garde" w:hAnsi="ITC Avant Garde"/>
        </w:rPr>
        <w:t xml:space="preserve"> estaría sujeto a la imposición de una multa en términos de la </w:t>
      </w:r>
      <w:r w:rsidR="00D17DD4" w:rsidRPr="002A2450">
        <w:rPr>
          <w:rFonts w:ascii="ITC Avant Garde" w:hAnsi="ITC Avant Garde"/>
          <w:b/>
        </w:rPr>
        <w:t>“</w:t>
      </w:r>
      <w:proofErr w:type="spellStart"/>
      <w:r w:rsidR="00D17DD4" w:rsidRPr="002A2450">
        <w:rPr>
          <w:rFonts w:ascii="ITC Avant Garde" w:hAnsi="ITC Avant Garde"/>
          <w:b/>
        </w:rPr>
        <w:t>LFTyR</w:t>
      </w:r>
      <w:proofErr w:type="spellEnd"/>
      <w:r w:rsidR="00D17DD4" w:rsidRPr="002A2450">
        <w:rPr>
          <w:rFonts w:ascii="ITC Avant Garde" w:hAnsi="ITC Avant Garde"/>
          <w:b/>
        </w:rPr>
        <w:t>”</w:t>
      </w:r>
      <w:r w:rsidR="00D17DD4" w:rsidRPr="002A2450">
        <w:rPr>
          <w:rFonts w:ascii="ITC Avant Garde" w:hAnsi="ITC Avant Garde"/>
        </w:rPr>
        <w:t xml:space="preserve">. Sin embargo, debe señalarse que de acuerdo a lo sostenido tanto en el acuerdo de inicio como en la presente resolución, los contratos coaligados en su conjunto otorgaban a dicha concesionaria la posibilidad de explotar indirectamente el Título de Concesión otorgado a </w:t>
      </w:r>
      <w:r w:rsidR="00D17DD4" w:rsidRPr="002A2450">
        <w:rPr>
          <w:rFonts w:ascii="ITC Avant Garde" w:hAnsi="ITC Avant Garde"/>
          <w:b/>
        </w:rPr>
        <w:t>“COFRES</w:t>
      </w:r>
      <w:r w:rsidR="00D039A3" w:rsidRPr="002A2450">
        <w:rPr>
          <w:rFonts w:ascii="ITC Avant Garde" w:hAnsi="ITC Avant Garde"/>
          <w:b/>
        </w:rPr>
        <w:t>A</w:t>
      </w:r>
      <w:r w:rsidR="00D17DD4" w:rsidRPr="002A2450">
        <w:rPr>
          <w:rFonts w:ascii="ITC Avant Garde" w:hAnsi="ITC Avant Garde"/>
          <w:b/>
        </w:rPr>
        <w:t>”</w:t>
      </w:r>
      <w:r w:rsidR="00D17DD4" w:rsidRPr="002A2450">
        <w:rPr>
          <w:rFonts w:ascii="ITC Avant Garde" w:hAnsi="ITC Avant Garde"/>
        </w:rPr>
        <w:t xml:space="preserve">, dado el interés que mantenía con relación al posible ejercicio de la opción de compra y venta de acciones para formar parte del capital social de </w:t>
      </w:r>
      <w:r w:rsidR="00D17DD4" w:rsidRPr="002A2450">
        <w:rPr>
          <w:rFonts w:ascii="ITC Avant Garde" w:hAnsi="ITC Avant Garde"/>
          <w:b/>
        </w:rPr>
        <w:t>“DISH MÉXICO”</w:t>
      </w:r>
      <w:r w:rsidR="00D17DD4" w:rsidRPr="002A2450">
        <w:rPr>
          <w:rFonts w:ascii="ITC Avant Garde" w:hAnsi="ITC Avant Garde"/>
        </w:rPr>
        <w:t>.</w:t>
      </w:r>
    </w:p>
    <w:p w14:paraId="6787DE5D" w14:textId="77777777" w:rsidR="00B35F13" w:rsidRDefault="00D17DD4" w:rsidP="00B35F13">
      <w:pPr>
        <w:spacing w:before="240" w:line="360" w:lineRule="auto"/>
        <w:jc w:val="both"/>
        <w:rPr>
          <w:rFonts w:ascii="ITC Avant Garde" w:hAnsi="ITC Avant Garde"/>
        </w:rPr>
      </w:pPr>
      <w:r w:rsidRPr="002A2450">
        <w:rPr>
          <w:rFonts w:ascii="ITC Avant Garde" w:hAnsi="ITC Avant Garde"/>
        </w:rPr>
        <w:t xml:space="preserve">En ese sentido, todos los contratos en su conjunto formaban un complejo sistema contractual que permitió establecer un modelo de organización contractual para prestar el servicio de </w:t>
      </w:r>
      <w:r w:rsidRPr="002A2450">
        <w:rPr>
          <w:rFonts w:ascii="ITC Avant Garde" w:hAnsi="ITC Avant Garde"/>
          <w:b/>
        </w:rPr>
        <w:t>“DTH”</w:t>
      </w:r>
      <w:r w:rsidRPr="002A2450">
        <w:rPr>
          <w:rFonts w:ascii="ITC Avant Garde" w:hAnsi="ITC Avant Garde"/>
        </w:rPr>
        <w:t xml:space="preserve"> en México.</w:t>
      </w:r>
    </w:p>
    <w:p w14:paraId="2DBB4013" w14:textId="77777777" w:rsidR="00B35F13" w:rsidRDefault="00D17DD4" w:rsidP="00B35F13">
      <w:pPr>
        <w:spacing w:before="240" w:line="360" w:lineRule="auto"/>
        <w:jc w:val="both"/>
        <w:rPr>
          <w:rFonts w:ascii="ITC Avant Garde" w:hAnsi="ITC Avant Garde"/>
        </w:rPr>
      </w:pPr>
      <w:r w:rsidRPr="002A2450">
        <w:rPr>
          <w:rFonts w:ascii="ITC Avant Garde" w:hAnsi="ITC Avant Garde"/>
        </w:rPr>
        <w:t xml:space="preserve">Sin embargo, debe advertirse que de las constancias que obran en los autos del expediente en que se actúa, </w:t>
      </w:r>
      <w:r w:rsidRPr="002A2450">
        <w:rPr>
          <w:rFonts w:ascii="ITC Avant Garde" w:hAnsi="ITC Avant Garde"/>
          <w:b/>
        </w:rPr>
        <w:t>“TELMEX”</w:t>
      </w:r>
      <w:r w:rsidRPr="002A2450">
        <w:rPr>
          <w:rFonts w:ascii="ITC Avant Garde" w:hAnsi="ITC Avant Garde"/>
        </w:rPr>
        <w:t xml:space="preserve"> presentó ante la Oficialía de Partes de este </w:t>
      </w:r>
      <w:r w:rsidRPr="002A2450">
        <w:rPr>
          <w:rFonts w:ascii="ITC Avant Garde" w:hAnsi="ITC Avant Garde"/>
          <w:b/>
        </w:rPr>
        <w:t>“IFT”</w:t>
      </w:r>
      <w:r w:rsidRPr="002A2450">
        <w:rPr>
          <w:rFonts w:ascii="ITC Avant Garde" w:hAnsi="ITC Avant Garde"/>
        </w:rPr>
        <w:t xml:space="preserve"> el </w:t>
      </w:r>
      <w:r w:rsidRPr="002A2450">
        <w:rPr>
          <w:rFonts w:ascii="ITC Avant Garde" w:eastAsia="Times New Roman" w:hAnsi="ITC Avant Garde"/>
          <w:b/>
          <w:bCs/>
          <w:i/>
          <w:color w:val="000000"/>
          <w:lang w:eastAsia="es-MX"/>
        </w:rPr>
        <w:t>“CONVENIO DE TERMINACIÓN AL CONTRATO DE OPCIÓN, ASÍ COMO AL CONTRATO DE CONSECUENCIAS”</w:t>
      </w:r>
      <w:r w:rsidRPr="002A2450">
        <w:rPr>
          <w:rFonts w:ascii="ITC Avant Garde" w:eastAsia="Times New Roman" w:hAnsi="ITC Avant Garde"/>
          <w:b/>
          <w:bCs/>
          <w:color w:val="000000"/>
          <w:lang w:eastAsia="es-MX"/>
        </w:rPr>
        <w:t>.</w:t>
      </w:r>
    </w:p>
    <w:p w14:paraId="29EA5C12" w14:textId="77777777" w:rsidR="00B35F13" w:rsidRDefault="00DA2C4B" w:rsidP="00B35F13">
      <w:pPr>
        <w:spacing w:before="240" w:line="360" w:lineRule="auto"/>
        <w:jc w:val="both"/>
        <w:rPr>
          <w:rFonts w:ascii="ITC Avant Garde" w:hAnsi="ITC Avant Garde"/>
        </w:rPr>
      </w:pPr>
      <w:r w:rsidRPr="002A2450">
        <w:rPr>
          <w:rFonts w:ascii="ITC Avant Garde" w:hAnsi="ITC Avant Garde"/>
        </w:rPr>
        <w:t>En tal sentido</w:t>
      </w:r>
      <w:r w:rsidR="00D17DD4" w:rsidRPr="002A2450">
        <w:rPr>
          <w:rFonts w:ascii="ITC Avant Garde" w:hAnsi="ITC Avant Garde"/>
        </w:rPr>
        <w:t xml:space="preserve">, debe señalarse que con la terminación de dichos contratos se </w:t>
      </w:r>
      <w:r w:rsidR="000222C5" w:rsidRPr="002A2450">
        <w:rPr>
          <w:rFonts w:ascii="ITC Avant Garde" w:hAnsi="ITC Avant Garde"/>
        </w:rPr>
        <w:t>imposibilita</w:t>
      </w:r>
      <w:r w:rsidR="003B6CC3" w:rsidRPr="002A2450">
        <w:rPr>
          <w:rFonts w:ascii="ITC Avant Garde" w:hAnsi="ITC Avant Garde"/>
        </w:rPr>
        <w:t xml:space="preserve"> el ejercicio de </w:t>
      </w:r>
      <w:r w:rsidR="00D17DD4" w:rsidRPr="002A2450">
        <w:rPr>
          <w:rFonts w:ascii="ITC Avant Garde" w:hAnsi="ITC Avant Garde"/>
        </w:rPr>
        <w:t>los siguientes derechos y/</w:t>
      </w:r>
      <w:proofErr w:type="spellStart"/>
      <w:r w:rsidR="00D17DD4" w:rsidRPr="002A2450">
        <w:rPr>
          <w:rFonts w:ascii="ITC Avant Garde" w:hAnsi="ITC Avant Garde"/>
        </w:rPr>
        <w:t>o</w:t>
      </w:r>
      <w:proofErr w:type="spellEnd"/>
      <w:r w:rsidR="00D17DD4" w:rsidRPr="002A2450">
        <w:rPr>
          <w:rFonts w:ascii="ITC Avant Garde" w:hAnsi="ITC Avant Garde"/>
        </w:rPr>
        <w:t xml:space="preserve"> obligaciones</w:t>
      </w:r>
      <w:r w:rsidR="003B6CC3" w:rsidRPr="002A2450">
        <w:rPr>
          <w:rFonts w:ascii="ITC Avant Garde" w:hAnsi="ITC Avant Garde"/>
        </w:rPr>
        <w:t xml:space="preserve"> a saber</w:t>
      </w:r>
      <w:r w:rsidR="00D17DD4" w:rsidRPr="002A2450">
        <w:rPr>
          <w:rFonts w:ascii="ITC Avant Garde" w:hAnsi="ITC Avant Garde"/>
        </w:rPr>
        <w:t>:</w:t>
      </w:r>
    </w:p>
    <w:p w14:paraId="0E61E204" w14:textId="0395EE79" w:rsidR="00D17DD4" w:rsidRPr="002A2450" w:rsidRDefault="003B6CC3"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cs="Arial"/>
        </w:rPr>
        <w:t>Que</w:t>
      </w:r>
      <w:r w:rsidRPr="002A2450">
        <w:rPr>
          <w:rFonts w:ascii="ITC Avant Garde" w:hAnsi="ITC Avant Garde" w:cs="Arial"/>
          <w:b/>
        </w:rPr>
        <w:t xml:space="preserve"> </w:t>
      </w:r>
      <w:r w:rsidR="00D17DD4" w:rsidRPr="002A2450">
        <w:rPr>
          <w:rFonts w:ascii="ITC Avant Garde" w:hAnsi="ITC Avant Garde" w:cs="Arial"/>
          <w:b/>
        </w:rPr>
        <w:t>“DISH MÉXICO”</w:t>
      </w:r>
      <w:r w:rsidR="00D17DD4" w:rsidRPr="002A2450">
        <w:rPr>
          <w:rFonts w:ascii="ITC Avant Garde" w:hAnsi="ITC Avant Garde" w:cs="Arial"/>
        </w:rPr>
        <w:t xml:space="preserve"> otorgue </w:t>
      </w:r>
      <w:r w:rsidR="00D17DD4" w:rsidRPr="002A2450">
        <w:rPr>
          <w:rFonts w:ascii="ITC Avant Garde" w:hAnsi="ITC Avant Garde" w:cs="Arial"/>
          <w:b/>
        </w:rPr>
        <w:t>“TENINVER”</w:t>
      </w:r>
      <w:r w:rsidR="00D17DD4" w:rsidRPr="002A2450">
        <w:rPr>
          <w:rFonts w:ascii="ITC Avant Garde" w:hAnsi="ITC Avant Garde" w:cs="Arial"/>
        </w:rPr>
        <w:t xml:space="preserve"> el derecho de suscribir una parte social clase “A” representativa del 51% de la parte social con derecho a voto y económicos y de manera recíproca, </w:t>
      </w:r>
      <w:r w:rsidR="00D17DD4" w:rsidRPr="002A2450">
        <w:rPr>
          <w:rFonts w:ascii="ITC Avant Garde" w:hAnsi="ITC Avant Garde" w:cs="Arial"/>
          <w:b/>
        </w:rPr>
        <w:t xml:space="preserve">“DISH MÉXICO” </w:t>
      </w:r>
      <w:r w:rsidR="00D17DD4" w:rsidRPr="002A2450">
        <w:rPr>
          <w:rFonts w:ascii="ITC Avant Garde" w:hAnsi="ITC Avant Garde" w:cs="Arial"/>
        </w:rPr>
        <w:t xml:space="preserve">no podrá requerir a </w:t>
      </w:r>
      <w:r w:rsidR="00D17DD4" w:rsidRPr="002A2450">
        <w:rPr>
          <w:rFonts w:ascii="ITC Avant Garde" w:hAnsi="ITC Avant Garde" w:cs="Arial"/>
          <w:b/>
        </w:rPr>
        <w:t>“TENINVER”</w:t>
      </w:r>
      <w:r w:rsidR="00D17DD4" w:rsidRPr="002A2450">
        <w:rPr>
          <w:rFonts w:ascii="ITC Avant Garde" w:hAnsi="ITC Avant Garde" w:cs="Arial"/>
        </w:rPr>
        <w:t xml:space="preserve"> la suscripción de la parte social antes mencionada.</w:t>
      </w:r>
    </w:p>
    <w:p w14:paraId="5C287AC9" w14:textId="77777777" w:rsidR="00D17DD4" w:rsidRPr="002A2450" w:rsidRDefault="003B6CC3"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cs="Arial"/>
        </w:rPr>
        <w:t>Que</w:t>
      </w:r>
      <w:r w:rsidRPr="002A2450">
        <w:rPr>
          <w:rFonts w:ascii="ITC Avant Garde" w:hAnsi="ITC Avant Garde" w:cs="Arial"/>
          <w:b/>
        </w:rPr>
        <w:t xml:space="preserve"> </w:t>
      </w:r>
      <w:r w:rsidR="00D17DD4" w:rsidRPr="002A2450">
        <w:rPr>
          <w:rFonts w:ascii="ITC Avant Garde" w:hAnsi="ITC Avant Garde"/>
          <w:b/>
        </w:rPr>
        <w:t>“</w:t>
      </w:r>
      <w:r w:rsidR="00D17DD4" w:rsidRPr="002A2450">
        <w:rPr>
          <w:rFonts w:ascii="ITC Avant Garde" w:hAnsi="ITC Avant Garde" w:cs="Arial"/>
          <w:b/>
        </w:rPr>
        <w:t xml:space="preserve">DISH MÉXICO” </w:t>
      </w:r>
      <w:r w:rsidR="00D17DD4" w:rsidRPr="002A2450">
        <w:rPr>
          <w:rFonts w:ascii="ITC Avant Garde" w:hAnsi="ITC Avant Garde" w:cs="Arial"/>
        </w:rPr>
        <w:t>proporcione</w:t>
      </w:r>
      <w:r w:rsidR="00D17DD4" w:rsidRPr="002A2450">
        <w:rPr>
          <w:rFonts w:ascii="ITC Avant Garde" w:hAnsi="ITC Avant Garde" w:cs="Arial"/>
          <w:b/>
        </w:rPr>
        <w:t xml:space="preserve"> </w:t>
      </w:r>
      <w:r w:rsidR="00D17DD4" w:rsidRPr="002A2450">
        <w:rPr>
          <w:rFonts w:ascii="ITC Avant Garde" w:hAnsi="ITC Avant Garde" w:cs="Arial"/>
        </w:rPr>
        <w:t xml:space="preserve">a </w:t>
      </w:r>
      <w:r w:rsidR="00D17DD4" w:rsidRPr="002A2450">
        <w:rPr>
          <w:rFonts w:ascii="ITC Avant Garde" w:hAnsi="ITC Avant Garde" w:cs="Arial"/>
          <w:b/>
        </w:rPr>
        <w:t>“TENINVER”</w:t>
      </w:r>
      <w:r w:rsidR="00D17DD4" w:rsidRPr="002A2450">
        <w:rPr>
          <w:rFonts w:ascii="ITC Avant Garde" w:hAnsi="ITC Avant Garde" w:cs="Arial"/>
        </w:rPr>
        <w:t xml:space="preserve"> información relacionada con el negocio y condición financiera de la misma y sus subsidiarias como si fuera socio de </w:t>
      </w:r>
      <w:r w:rsidR="00D17DD4" w:rsidRPr="002A2450">
        <w:rPr>
          <w:rFonts w:ascii="ITC Avant Garde" w:hAnsi="ITC Avant Garde" w:cs="Arial"/>
          <w:b/>
        </w:rPr>
        <w:t>“DISH MÉXICO”.</w:t>
      </w:r>
    </w:p>
    <w:p w14:paraId="17FB47DD" w14:textId="77777777" w:rsidR="000222C5" w:rsidRPr="002A2450" w:rsidRDefault="003B6CC3"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cs="Arial"/>
        </w:rPr>
        <w:t>Que</w:t>
      </w:r>
      <w:r w:rsidRPr="002A2450">
        <w:rPr>
          <w:rFonts w:ascii="ITC Avant Garde" w:hAnsi="ITC Avant Garde" w:cs="Arial"/>
          <w:b/>
        </w:rPr>
        <w:t xml:space="preserve"> </w:t>
      </w:r>
      <w:r w:rsidR="000222C5" w:rsidRPr="002A2450">
        <w:rPr>
          <w:rFonts w:ascii="ITC Avant Garde" w:hAnsi="ITC Avant Garde" w:cs="Arial"/>
          <w:b/>
        </w:rPr>
        <w:t xml:space="preserve">“DISH MÉXICO” </w:t>
      </w:r>
      <w:r w:rsidR="000222C5" w:rsidRPr="002A2450">
        <w:rPr>
          <w:rFonts w:ascii="ITC Avant Garde" w:hAnsi="ITC Avant Garde" w:cs="Arial"/>
        </w:rPr>
        <w:t xml:space="preserve">permita a </w:t>
      </w:r>
      <w:r w:rsidR="000222C5" w:rsidRPr="002A2450">
        <w:rPr>
          <w:rFonts w:ascii="ITC Avant Garde" w:hAnsi="ITC Avant Garde" w:cs="Arial"/>
          <w:b/>
        </w:rPr>
        <w:t>“TENINVER”</w:t>
      </w:r>
      <w:r w:rsidR="000222C5" w:rsidRPr="002A2450">
        <w:rPr>
          <w:rFonts w:ascii="ITC Avant Garde" w:hAnsi="ITC Avant Garde" w:cs="Arial"/>
        </w:rPr>
        <w:t xml:space="preserve"> y a cada uno de sus representantes autorizados, visitar e inspeccionar, en horas hábiles, con previo aviso, cualesquiera de los bienes, activos, libros corporativos y registros </w:t>
      </w:r>
      <w:r w:rsidR="000222C5" w:rsidRPr="002A2450">
        <w:rPr>
          <w:rFonts w:ascii="ITC Avant Garde" w:hAnsi="ITC Avant Garde" w:cs="Arial"/>
        </w:rPr>
        <w:lastRenderedPageBreak/>
        <w:t>financieros o de cualquier de sus subsidiarias, así como comentar los asuntos, finanzas y cuentas</w:t>
      </w:r>
    </w:p>
    <w:p w14:paraId="1E00B0C5" w14:textId="77777777" w:rsidR="000222C5" w:rsidRPr="002A2450" w:rsidRDefault="003B6CC3" w:rsidP="007E623E">
      <w:pPr>
        <w:pStyle w:val="Prrafodelista"/>
        <w:numPr>
          <w:ilvl w:val="0"/>
          <w:numId w:val="57"/>
        </w:numPr>
        <w:spacing w:before="240" w:line="360" w:lineRule="auto"/>
        <w:ind w:left="714" w:hanging="357"/>
        <w:contextualSpacing w:val="0"/>
        <w:jc w:val="both"/>
        <w:rPr>
          <w:rFonts w:ascii="ITC Avant Garde" w:hAnsi="ITC Avant Garde"/>
          <w:b/>
        </w:rPr>
      </w:pPr>
      <w:r w:rsidRPr="002A2450">
        <w:rPr>
          <w:rFonts w:ascii="ITC Avant Garde" w:hAnsi="ITC Avant Garde" w:cs="Arial"/>
        </w:rPr>
        <w:t>La posibilidad de</w:t>
      </w:r>
      <w:r w:rsidRPr="002A2450">
        <w:rPr>
          <w:rFonts w:ascii="ITC Avant Garde" w:hAnsi="ITC Avant Garde" w:cs="Arial"/>
          <w:b/>
        </w:rPr>
        <w:t xml:space="preserve"> </w:t>
      </w:r>
      <w:r w:rsidR="000222C5" w:rsidRPr="002A2450">
        <w:rPr>
          <w:rFonts w:ascii="ITC Avant Garde" w:hAnsi="ITC Avant Garde" w:cs="Arial"/>
          <w:b/>
        </w:rPr>
        <w:t>“TELMEX”</w:t>
      </w:r>
      <w:r w:rsidR="000222C5" w:rsidRPr="002A2450">
        <w:rPr>
          <w:rFonts w:ascii="ITC Avant Garde" w:hAnsi="ITC Avant Garde" w:cs="Arial"/>
        </w:rPr>
        <w:t xml:space="preserve"> </w:t>
      </w:r>
      <w:r w:rsidRPr="002A2450">
        <w:rPr>
          <w:rFonts w:ascii="ITC Avant Garde" w:hAnsi="ITC Avant Garde" w:cs="Arial"/>
        </w:rPr>
        <w:t xml:space="preserve">de </w:t>
      </w:r>
      <w:r w:rsidR="000222C5" w:rsidRPr="002A2450">
        <w:rPr>
          <w:rFonts w:ascii="ITC Avant Garde" w:hAnsi="ITC Avant Garde" w:cs="Arial"/>
        </w:rPr>
        <w:t xml:space="preserve">participar en los dividendos de </w:t>
      </w:r>
      <w:r w:rsidR="00C35B39" w:rsidRPr="002A2450">
        <w:rPr>
          <w:rFonts w:ascii="ITC Avant Garde" w:hAnsi="ITC Avant Garde" w:cs="Arial"/>
          <w:b/>
        </w:rPr>
        <w:t>“DISH MÉXICO”</w:t>
      </w:r>
      <w:r w:rsidR="000222C5" w:rsidRPr="002A2450">
        <w:rPr>
          <w:rFonts w:ascii="ITC Avant Garde" w:hAnsi="ITC Avant Garde" w:cs="Arial"/>
          <w:b/>
        </w:rPr>
        <w:t>/“COFRESA”</w:t>
      </w:r>
      <w:r w:rsidR="000222C5" w:rsidRPr="002A2450">
        <w:rPr>
          <w:rFonts w:ascii="ITC Avant Garde" w:hAnsi="ITC Avant Garde" w:cs="Arial"/>
        </w:rPr>
        <w:t xml:space="preserve"> </w:t>
      </w:r>
      <w:r w:rsidR="002D6E92" w:rsidRPr="002A2450">
        <w:rPr>
          <w:rFonts w:ascii="ITC Avant Garde" w:hAnsi="ITC Avant Garde" w:cs="Arial"/>
        </w:rPr>
        <w:t>al amparo de la opción otorgada en el contrato respectivo.</w:t>
      </w:r>
    </w:p>
    <w:p w14:paraId="1B8A33FC" w14:textId="77777777" w:rsidR="002D6E92" w:rsidRPr="002A2450" w:rsidRDefault="002D6E92"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rPr>
        <w:t xml:space="preserve">El derecho a participar en negocios futuros relacionados con el servicio </w:t>
      </w:r>
      <w:r w:rsidRPr="002A2450">
        <w:rPr>
          <w:rFonts w:ascii="ITC Avant Garde" w:hAnsi="ITC Avant Garde"/>
          <w:b/>
        </w:rPr>
        <w:t>“DTH”</w:t>
      </w:r>
      <w:r w:rsidRPr="002A2450">
        <w:rPr>
          <w:rFonts w:ascii="ITC Avant Garde" w:hAnsi="ITC Avant Garde"/>
        </w:rPr>
        <w:t xml:space="preserve"> y video móvil </w:t>
      </w:r>
      <w:r w:rsidR="00A1703B" w:rsidRPr="002A2450">
        <w:rPr>
          <w:rFonts w:ascii="ITC Avant Garde" w:hAnsi="ITC Avant Garde"/>
        </w:rPr>
        <w:t>en México y la prohibición de no competir.</w:t>
      </w:r>
    </w:p>
    <w:p w14:paraId="1FF909CA" w14:textId="77777777" w:rsidR="00A1703B" w:rsidRPr="002A2450" w:rsidRDefault="00A1703B"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rPr>
        <w:t xml:space="preserve">El hecho de que </w:t>
      </w:r>
      <w:r w:rsidRPr="002A2450">
        <w:rPr>
          <w:rFonts w:ascii="ITC Avant Garde" w:hAnsi="ITC Avant Garde" w:cs="Arial"/>
          <w:b/>
        </w:rPr>
        <w:t xml:space="preserve">“TENINVER” </w:t>
      </w:r>
      <w:r w:rsidRPr="002A2450">
        <w:rPr>
          <w:rFonts w:ascii="ITC Avant Garde" w:hAnsi="ITC Avant Garde" w:cs="Arial"/>
        </w:rPr>
        <w:t xml:space="preserve">llevará a cabo los actos que sean necesarios, a efecto de que un banco de su elección otorgue, sujetándose a la aprobación razonable de </w:t>
      </w:r>
      <w:r w:rsidRPr="002A2450">
        <w:rPr>
          <w:rFonts w:ascii="ITC Avant Garde" w:hAnsi="ITC Avant Garde" w:cs="Arial"/>
          <w:b/>
        </w:rPr>
        <w:t>“DISH MÉXICO”</w:t>
      </w:r>
      <w:r w:rsidRPr="002A2450">
        <w:rPr>
          <w:rFonts w:ascii="ITC Avant Garde" w:hAnsi="ITC Avant Garde" w:cs="Arial"/>
        </w:rPr>
        <w:t>, un préstamo a esta última.</w:t>
      </w:r>
    </w:p>
    <w:p w14:paraId="4C5B8DC1" w14:textId="77777777" w:rsidR="00B35F13" w:rsidRDefault="00A1703B" w:rsidP="007E623E">
      <w:pPr>
        <w:pStyle w:val="Prrafodelista"/>
        <w:numPr>
          <w:ilvl w:val="0"/>
          <w:numId w:val="57"/>
        </w:numPr>
        <w:spacing w:before="240" w:line="360" w:lineRule="auto"/>
        <w:ind w:left="714" w:hanging="357"/>
        <w:contextualSpacing w:val="0"/>
        <w:jc w:val="both"/>
        <w:rPr>
          <w:rFonts w:ascii="ITC Avant Garde" w:hAnsi="ITC Avant Garde"/>
        </w:rPr>
      </w:pPr>
      <w:r w:rsidRPr="002A2450">
        <w:rPr>
          <w:rFonts w:ascii="ITC Avant Garde" w:hAnsi="ITC Avant Garde" w:cs="Arial"/>
        </w:rPr>
        <w:t xml:space="preserve">La constitución del </w:t>
      </w:r>
      <w:r w:rsidRPr="002A2450">
        <w:rPr>
          <w:rFonts w:ascii="ITC Avant Garde" w:hAnsi="ITC Avant Garde" w:cs="Arial"/>
          <w:i/>
        </w:rPr>
        <w:t>“Comité de Operación”.</w:t>
      </w:r>
    </w:p>
    <w:p w14:paraId="69D0513C" w14:textId="77777777" w:rsidR="00B35F13" w:rsidRDefault="00A1703B" w:rsidP="00B35F13">
      <w:pPr>
        <w:spacing w:before="240" w:line="360" w:lineRule="auto"/>
        <w:jc w:val="both"/>
        <w:rPr>
          <w:rFonts w:ascii="ITC Avant Garde" w:hAnsi="ITC Avant Garde"/>
        </w:rPr>
      </w:pPr>
      <w:r w:rsidRPr="002A2450">
        <w:rPr>
          <w:rFonts w:ascii="ITC Avant Garde" w:hAnsi="ITC Avant Garde"/>
        </w:rPr>
        <w:t>En ese sentido, al haber cesado los derechos y/</w:t>
      </w:r>
      <w:proofErr w:type="spellStart"/>
      <w:r w:rsidRPr="002A2450">
        <w:rPr>
          <w:rFonts w:ascii="ITC Avant Garde" w:hAnsi="ITC Avant Garde"/>
        </w:rPr>
        <w:t>o</w:t>
      </w:r>
      <w:proofErr w:type="spellEnd"/>
      <w:r w:rsidRPr="002A2450">
        <w:rPr>
          <w:rFonts w:ascii="ITC Avant Garde" w:hAnsi="ITC Avant Garde"/>
        </w:rPr>
        <w:t xml:space="preserve"> obligaciones antes señaladas, </w:t>
      </w:r>
      <w:r w:rsidR="005B72AB" w:rsidRPr="002A2450">
        <w:rPr>
          <w:rFonts w:ascii="ITC Avant Garde" w:hAnsi="ITC Avant Garde"/>
        </w:rPr>
        <w:t xml:space="preserve">esta autoridad considera que el mecanismo empleado a través del complejo contractual desarrollado por </w:t>
      </w:r>
      <w:r w:rsidR="005B72AB" w:rsidRPr="002A2450">
        <w:rPr>
          <w:rFonts w:ascii="ITC Avant Garde" w:hAnsi="ITC Avant Garde"/>
          <w:b/>
        </w:rPr>
        <w:t xml:space="preserve">“TELMEX” </w:t>
      </w:r>
      <w:r w:rsidR="00DA2C4B" w:rsidRPr="002A2450">
        <w:rPr>
          <w:rFonts w:ascii="ITC Avant Garde" w:hAnsi="ITC Avant Garde"/>
        </w:rPr>
        <w:t>tuvo una vigencia que comprendió</w:t>
      </w:r>
      <w:r w:rsidR="005B72AB" w:rsidRPr="002A2450">
        <w:rPr>
          <w:rFonts w:ascii="ITC Avant Garde" w:hAnsi="ITC Avant Garde"/>
        </w:rPr>
        <w:t xml:space="preserve"> del veinticuatro de noviembre de dos mil ocho al ocho </w:t>
      </w:r>
      <w:r w:rsidR="003B6CC3" w:rsidRPr="002A2450">
        <w:rPr>
          <w:rFonts w:ascii="ITC Avant Garde" w:hAnsi="ITC Avant Garde"/>
        </w:rPr>
        <w:t>de agosto de dos mil catorce, fecha en la que cesaron los efectos de dichos contratos.</w:t>
      </w:r>
    </w:p>
    <w:p w14:paraId="01AB1840" w14:textId="77777777" w:rsidR="00B35F13" w:rsidRDefault="00F005AB" w:rsidP="00B35F13">
      <w:pPr>
        <w:spacing w:before="240" w:line="360" w:lineRule="auto"/>
        <w:jc w:val="both"/>
        <w:rPr>
          <w:rFonts w:ascii="ITC Avant Garde" w:hAnsi="ITC Avant Garde"/>
        </w:rPr>
      </w:pPr>
      <w:r w:rsidRPr="002A2450">
        <w:rPr>
          <w:rFonts w:ascii="ITC Avant Garde" w:hAnsi="ITC Avant Garde"/>
        </w:rPr>
        <w:t>Al respecto, conviene precisar que la conducta que se resuelve está sujeta a una temporalidad, luego entonces, al haber cesado, esta autoridad considera necesario precisar la modalidad en que se cometió dicha conducta.</w:t>
      </w:r>
    </w:p>
    <w:p w14:paraId="487C748E" w14:textId="77777777" w:rsidR="00B35F13" w:rsidRDefault="00F005AB" w:rsidP="00B35F13">
      <w:pPr>
        <w:spacing w:before="240" w:line="360" w:lineRule="auto"/>
        <w:jc w:val="both"/>
        <w:rPr>
          <w:rFonts w:ascii="ITC Avant Garde" w:hAnsi="ITC Avant Garde"/>
        </w:rPr>
      </w:pPr>
      <w:r w:rsidRPr="002A2450">
        <w:rPr>
          <w:rFonts w:ascii="ITC Avant Garde" w:hAnsi="ITC Avant Garde"/>
        </w:rPr>
        <w:t xml:space="preserve">Para lo anterior, debe señalarse que al igual que la teoría penal, bajos los principios del </w:t>
      </w:r>
      <w:proofErr w:type="spellStart"/>
      <w:r w:rsidRPr="002A2450">
        <w:rPr>
          <w:rFonts w:ascii="ITC Avant Garde" w:hAnsi="ITC Avant Garde"/>
          <w:i/>
        </w:rPr>
        <w:t>ius</w:t>
      </w:r>
      <w:proofErr w:type="spellEnd"/>
      <w:r w:rsidRPr="002A2450">
        <w:rPr>
          <w:rFonts w:ascii="ITC Avant Garde" w:hAnsi="ITC Avant Garde"/>
          <w:i/>
        </w:rPr>
        <w:t xml:space="preserve"> </w:t>
      </w:r>
      <w:proofErr w:type="spellStart"/>
      <w:r w:rsidRPr="002A2450">
        <w:rPr>
          <w:rFonts w:ascii="ITC Avant Garde" w:hAnsi="ITC Avant Garde"/>
          <w:i/>
        </w:rPr>
        <w:t>puniendi</w:t>
      </w:r>
      <w:proofErr w:type="spellEnd"/>
      <w:r w:rsidR="00D039A3" w:rsidRPr="002A2450">
        <w:rPr>
          <w:rFonts w:ascii="ITC Avant Garde" w:hAnsi="ITC Avant Garde"/>
          <w:i/>
        </w:rPr>
        <w:t>,</w:t>
      </w:r>
      <w:r w:rsidRPr="002A2450">
        <w:rPr>
          <w:rFonts w:ascii="ITC Avant Garde" w:hAnsi="ITC Avant Garde"/>
        </w:rPr>
        <w:t xml:space="preserve"> es necesario precisar que la conducta realizada por </w:t>
      </w:r>
      <w:r w:rsidRPr="002A2450">
        <w:rPr>
          <w:rFonts w:ascii="ITC Avant Garde" w:hAnsi="ITC Avant Garde"/>
          <w:b/>
        </w:rPr>
        <w:t>“TELMEX”</w:t>
      </w:r>
      <w:r w:rsidRPr="002A2450">
        <w:rPr>
          <w:rFonts w:ascii="ITC Avant Garde" w:hAnsi="ITC Avant Garde"/>
        </w:rPr>
        <w:t xml:space="preserve"> es una conducta continuada, </w:t>
      </w:r>
      <w:r w:rsidR="00D039A3" w:rsidRPr="002A2450">
        <w:rPr>
          <w:rFonts w:ascii="ITC Avant Garde" w:hAnsi="ITC Avant Garde"/>
        </w:rPr>
        <w:t xml:space="preserve">por lo que </w:t>
      </w:r>
      <w:r w:rsidRPr="002A2450">
        <w:rPr>
          <w:rFonts w:ascii="ITC Avant Garde" w:hAnsi="ITC Avant Garde"/>
        </w:rPr>
        <w:t xml:space="preserve">la misma debe ser sancionada en términos de </w:t>
      </w:r>
      <w:r w:rsidR="00DA2C4B" w:rsidRPr="002A2450">
        <w:rPr>
          <w:rFonts w:ascii="ITC Avant Garde" w:hAnsi="ITC Avant Garde"/>
        </w:rPr>
        <w:t xml:space="preserve">la legislación vigente al momento de </w:t>
      </w:r>
      <w:r w:rsidRPr="002A2450">
        <w:rPr>
          <w:rFonts w:ascii="ITC Avant Garde" w:hAnsi="ITC Avant Garde"/>
        </w:rPr>
        <w:t>que la conducta fue cesada.</w:t>
      </w:r>
    </w:p>
    <w:p w14:paraId="609E82EE" w14:textId="77777777" w:rsidR="00B35F13" w:rsidRDefault="00F005AB" w:rsidP="00B35F13">
      <w:pPr>
        <w:spacing w:before="240" w:line="360" w:lineRule="auto"/>
        <w:jc w:val="both"/>
        <w:rPr>
          <w:rFonts w:ascii="ITC Avant Garde" w:hAnsi="ITC Avant Garde"/>
        </w:rPr>
      </w:pPr>
      <w:r w:rsidRPr="002A2450">
        <w:rPr>
          <w:rFonts w:ascii="ITC Avant Garde" w:hAnsi="ITC Avant Garde"/>
        </w:rPr>
        <w:t>Sirve</w:t>
      </w:r>
      <w:r w:rsidR="00DA2C4B" w:rsidRPr="002A2450">
        <w:rPr>
          <w:rFonts w:ascii="ITC Avant Garde" w:hAnsi="ITC Avant Garde"/>
        </w:rPr>
        <w:t>n</w:t>
      </w:r>
      <w:r w:rsidRPr="002A2450">
        <w:rPr>
          <w:rFonts w:ascii="ITC Avant Garde" w:hAnsi="ITC Avant Garde"/>
        </w:rPr>
        <w:t xml:space="preserve"> de apoyo a lo anterior las siguientes tesis:</w:t>
      </w:r>
    </w:p>
    <w:p w14:paraId="11427030" w14:textId="77777777" w:rsidR="00B35F13" w:rsidRDefault="00F005AB" w:rsidP="00B35F13">
      <w:pPr>
        <w:spacing w:before="240" w:line="360" w:lineRule="auto"/>
        <w:ind w:left="567" w:right="567"/>
        <w:jc w:val="both"/>
        <w:rPr>
          <w:rFonts w:ascii="ITC Avant Garde" w:hAnsi="ITC Avant Garde"/>
        </w:rPr>
      </w:pPr>
      <w:r w:rsidRPr="002A2450">
        <w:rPr>
          <w:rFonts w:ascii="ITC Avant Garde" w:hAnsi="ITC Avant Garde"/>
          <w:b/>
        </w:rPr>
        <w:lastRenderedPageBreak/>
        <w:t>INFRACCIONES ADMINISTRATIVAS. SUS MODALIDADES</w:t>
      </w:r>
      <w:r w:rsidRPr="002A2450">
        <w:rPr>
          <w:rFonts w:ascii="ITC Avant Garde" w:hAnsi="ITC Avant Garde"/>
        </w:rPr>
        <w:t xml:space="preserve">. Las modalidades de las infracciones tributarias a que se refiere el artículo 67, fracción III, del Código Fiscal de la Federación, no aparecen definidas en dicho cuerpo normativo. Es en materia penal, tratándose de delitos, donde mejor se han perfilado estos conceptos, motivo por el cual analógicamente debe acudirse a los mismos. Tratándose del delito instantáneo, el derecho positivo mexicano, la doctrina y la jurisprudencia, son acordes al conceptuarlo como: "Aquel que se consuma en un solo acto, agotando el tipo", cuyos efectos pueden o no prolongarse en el tiempo; en cambio, tratándose de las modalidades de "continuo" y "continuado", existe diversidad de criterios. El artículo 99 del referido Código Fiscal da el concepto al que debe atenderse en esta materia respecto al delito continuado al establecer que: "El delito es continuado, cuando se ejecuta con pluralidad de conductas o hechos con unidad de intención delictuosa e identidad de disposición legal, incluso de diversa gravedad". Respecto del delito continuo, sus notas características, extraídas sustancialmente de la jurisprudencia, consisten en las siguientes: "Es la acción u omisión que se prolonga sin interrupción por más o menos tiempo". </w:t>
      </w:r>
      <w:r w:rsidRPr="002A2450">
        <w:rPr>
          <w:rFonts w:ascii="ITC Avant Garde" w:hAnsi="ITC Avant Garde"/>
          <w:b/>
          <w:u w:val="single"/>
        </w:rPr>
        <w:t>Con base en lo anterior; las infracciones administrativas podrán ser: instantáneas, cuando se consuman en un solo acto, agotando todos los elementos de la infracción, cuyos efectos pueden o no prolongarse en el tiempo; continuas, si la acción u omisión se prolonga sin interrupción por más o menos tiempo; o, continuadas, en la hipótesis de pluralidad de acciones que integran una sola infracción en razón de la unidad de propósito inflacionario e identidad de lesión jurídica</w:t>
      </w:r>
      <w:r w:rsidRPr="002A2450">
        <w:rPr>
          <w:rFonts w:ascii="ITC Avant Garde" w:hAnsi="ITC Avant Garde"/>
        </w:rPr>
        <w:t>.</w:t>
      </w:r>
    </w:p>
    <w:p w14:paraId="11E7667B" w14:textId="77777777" w:rsidR="00B35F13" w:rsidRDefault="00F005AB" w:rsidP="00B35F13">
      <w:pPr>
        <w:spacing w:before="240" w:line="360" w:lineRule="auto"/>
        <w:ind w:left="567" w:right="567"/>
        <w:jc w:val="both"/>
        <w:rPr>
          <w:rFonts w:ascii="ITC Avant Garde" w:hAnsi="ITC Avant Garde"/>
          <w:sz w:val="18"/>
        </w:rPr>
      </w:pPr>
      <w:r w:rsidRPr="002A2450">
        <w:rPr>
          <w:rFonts w:ascii="ITC Avant Garde" w:hAnsi="ITC Avant Garde"/>
          <w:sz w:val="18"/>
        </w:rPr>
        <w:t xml:space="preserve">Época: Novena Época, Registro: 193926, Instancia: Segunda Sala, Tipo de Tesis: Aislada, Fuente: Semanario Judicial de la Federación y su Gaceta, Tomo IX, Mayo de 1999, Materia(s): Administrativa, Tesis: 2a. LIX/99, Página: 505 </w:t>
      </w:r>
    </w:p>
    <w:p w14:paraId="14CCF6AA" w14:textId="77777777" w:rsidR="00B35F13" w:rsidRDefault="00F005AB" w:rsidP="00B35F13">
      <w:pPr>
        <w:spacing w:before="240" w:line="360" w:lineRule="auto"/>
        <w:ind w:left="567" w:right="567"/>
        <w:jc w:val="both"/>
        <w:rPr>
          <w:rFonts w:ascii="ITC Avant Garde" w:hAnsi="ITC Avant Garde"/>
        </w:rPr>
      </w:pPr>
      <w:r w:rsidRPr="002A2450">
        <w:rPr>
          <w:rFonts w:ascii="ITC Avant Garde" w:hAnsi="ITC Avant Garde"/>
          <w:b/>
        </w:rPr>
        <w:lastRenderedPageBreak/>
        <w:t>RESPONSABILIDADES DE LOS SERVIDORES PÚBLICOS. TRATÁNDOSE DE CONDUCTAS INFRACTORAS CONTINUADAS, EL PLAZO PARA QUE OPERE LA PRESCRIPCIÓN DE LAS FACULTADES DE LAS AUTORIDADES PARA IMPONER SANCIONES DEBE COMPUTARSE CONFORME AL ARTÍCULO 102, FRACCIÓN III, DEL CÓDIGO PENAL FEDERAL, DE APLICACIÓN SUPLETORIA (LEGISLACIÓN VIGENTE EN EL ÁMBITO FEDERAL HASTA EL 13 DE MARZO DE 2002).</w:t>
      </w:r>
      <w:r w:rsidRPr="002A2450">
        <w:rPr>
          <w:rFonts w:ascii="ITC Avant Garde" w:hAnsi="ITC Avant Garde"/>
        </w:rPr>
        <w:t xml:space="preserve"> El artículo 78 de la Ley Federal de Responsabilidades de los Servidores Públicos, vigente en el ámbito federal hasta el 13 de marzo de 2002, al prever que el plazo de prescripción de las facultades de las autoridades para imponer sanciones -uno o tres años, dependiendo del monto del beneficio obtenido o del daño causado- se contará a partir del día siguiente a aquel en que se hubiera incurrido en la responsabilidad o a partir del momento en que hubiese cesado, si fue de carácter continuo, únicamente contempla cómo debe computarse ese plazo cuando se trate de conductas infractoras instantáneas o continuas, por lo que cuando se esté ante la repetición de una misma conducta infractora en un periodo determinado que, con unidad de propósito, infringe la misma norma administrativa, la clasificación y el cómputo respectivo no deben realizarse conforme a dicho artículo, sino que debe acudirse en forma supletoria al Código Penal Federal -que en su artículo 7o. además de expresar cuándo un delito es instantáneo y continuo o permanente, en su fracción III establece que el delito también puede ser continuado cuando con unidad de propósito delictivo, pluralidad de conductas y unidad de sujeto pasivo, se viola el mismo precepto legal y en el diverso precepto 102, fracción III, dispone que, en este caso, el plazo para la prescripción debe contarse desde el día en que se realizó la última conducta- en virtud de que tiene el carácter de continuada en los términos precisados por dicho código y, por tanto, el cómputo debe realizarse de acuerdo al artículo últimamente aludido.</w:t>
      </w:r>
    </w:p>
    <w:p w14:paraId="51E59D36" w14:textId="77777777" w:rsidR="00B35F13" w:rsidRDefault="00F005AB" w:rsidP="00B35F13">
      <w:pPr>
        <w:spacing w:before="240" w:line="360" w:lineRule="auto"/>
        <w:ind w:left="567" w:right="567"/>
        <w:jc w:val="both"/>
        <w:rPr>
          <w:rFonts w:ascii="ITC Avant Garde" w:hAnsi="ITC Avant Garde"/>
          <w:sz w:val="18"/>
        </w:rPr>
      </w:pPr>
      <w:r w:rsidRPr="002A2450">
        <w:rPr>
          <w:rFonts w:ascii="ITC Avant Garde" w:hAnsi="ITC Avant Garde"/>
          <w:sz w:val="18"/>
        </w:rPr>
        <w:lastRenderedPageBreak/>
        <w:t>Época: Novena Época, Registro: 171305, Instancia: Tribunales Colegiados de Circuito, Tipo de Tesis: Aislada, Fuente: Semanario Judicial de la Federación y su Gaceta, Tomo XXVI, Septiembre de 2007, Materia(s): Administrativa, Tesis: I.4o.A.601 A, Página: 2641</w:t>
      </w:r>
    </w:p>
    <w:p w14:paraId="040A1CA9" w14:textId="77777777" w:rsidR="00B35F13" w:rsidRDefault="00F005AB" w:rsidP="00B35F13">
      <w:pPr>
        <w:spacing w:before="240" w:line="360" w:lineRule="auto"/>
        <w:ind w:left="567" w:right="567"/>
        <w:jc w:val="both"/>
        <w:rPr>
          <w:rFonts w:ascii="ITC Avant Garde" w:hAnsi="ITC Avant Garde"/>
        </w:rPr>
      </w:pPr>
      <w:r w:rsidRPr="002A2450">
        <w:rPr>
          <w:rFonts w:ascii="ITC Avant Garde" w:hAnsi="ITC Avant Garde"/>
          <w:b/>
        </w:rPr>
        <w:t>DELITO CONTINUADO Y DELITO CONTINUO O PERMANENTE. DIFERENCIAS</w:t>
      </w:r>
      <w:r w:rsidRPr="002A2450">
        <w:rPr>
          <w:rFonts w:ascii="ITC Avant Garde" w:hAnsi="ITC Avant Garde"/>
        </w:rPr>
        <w:t>.</w:t>
      </w:r>
      <w:r w:rsidR="00593854" w:rsidRPr="002A2450">
        <w:rPr>
          <w:rFonts w:ascii="ITC Avant Garde" w:hAnsi="ITC Avant Garde"/>
        </w:rPr>
        <w:t xml:space="preserve"> </w:t>
      </w:r>
      <w:r w:rsidRPr="002A2450">
        <w:rPr>
          <w:rFonts w:ascii="ITC Avant Garde" w:hAnsi="ITC Avant Garde"/>
        </w:rPr>
        <w:t xml:space="preserve">Es menester precisar que la figura del delito continuado no está recibida en el Código Penal del Distrito Federal, que tan sólo alude al delito continuo en su artículo 19, mismo que al ser definido por dicho precepto en su segundo párrafo, se integra, como bien advierte Castellanos Tena, con los elementos que la doctrina señala al permanente. En efecto, dice dicho párrafo: </w:t>
      </w:r>
      <w:r w:rsidRPr="002A2450">
        <w:rPr>
          <w:rFonts w:ascii="ITC Avant Garde" w:hAnsi="ITC Avant Garde"/>
          <w:b/>
          <w:u w:val="single"/>
        </w:rPr>
        <w:t>"Se considera, para los efectos legales, delito continuo aquél en que se prolonga sin interrupción, por más o menos tiempo, la acción o la omisión que lo constituye",</w:t>
      </w:r>
      <w:r w:rsidRPr="002A2450">
        <w:rPr>
          <w:rFonts w:ascii="ITC Avant Garde" w:hAnsi="ITC Avant Garde"/>
        </w:rPr>
        <w:t xml:space="preserve"> y tal es por ejemplo el caso de los delitos de privación ilegal de la libertad. En cambio en el delito continuado, que es bien distinto, las acciones o las omisiones no se prolongan sin interrupción, sino que hay una discontinuidad en su ejecución y en sí, cada una de ellas, completan y constituyen un delito perfecto y autónomo, y como señala Pavón Vasconcelos: "una violación perfecta a la norma penal". Por lo tanto, en el caso de autos, debe concluirse que las diversas disposiciones indebidas que en distintas épocas pudiera haber ejecutado el quejoso en los bienes de la empresa ofendida, son otros tantos hechos autónomos y sin que incluso pueda decirse delitos autónomos, pues obviamente las disposiciones a que se refiere el quejoso y que se dice ocurrieron en mayo de mil novecientos setenta y seis, no pueden ser objeto de calificación penal alguna porque no hubo ninguna acusación o querella respecto de las mismas, ni por ende ejercicio de la acción penal, ya que la querella se contrajo a las disposiciones de quinientos cuarenta y cinco mil novecientos catorce pesos con veintiún centavos, realizadas del diez al diecisiete de julio de mil novecientos setenta y siete, claro está que entre la fecha de consumación y conocimiento de ellas por el ofendido y la querella </w:t>
      </w:r>
      <w:r w:rsidRPr="002A2450">
        <w:rPr>
          <w:rFonts w:ascii="ITC Avant Garde" w:hAnsi="ITC Avant Garde"/>
        </w:rPr>
        <w:lastRenderedPageBreak/>
        <w:t>presentada (agosto de 1977) no transcurrió el año a que se refiere el párrafo inicial del artículo 107 del Código Penal. El desacierto, pues, de las consideraciones de agravio invocadas por el ahora recurrente y del auto dictado por el Juez de la causa, consiste en haber iniciado el cómputo del término para la prescripción, respecto de hechos que no fueron objeto de acusación ni de ejercicio de la acción penal y en estimar que en el caso se está en presencia de un sólo e inescindible delito al que la doctrina denomina "continuado" y el que, como ya vimos, no está comprendido en el Código Penal aplicable.</w:t>
      </w:r>
    </w:p>
    <w:p w14:paraId="2413DFF6" w14:textId="77777777" w:rsidR="00B35F13" w:rsidRDefault="00F005AB" w:rsidP="00B35F13">
      <w:pPr>
        <w:spacing w:before="240" w:line="360" w:lineRule="auto"/>
        <w:ind w:left="567" w:right="567"/>
        <w:jc w:val="both"/>
        <w:rPr>
          <w:rFonts w:ascii="ITC Avant Garde" w:hAnsi="ITC Avant Garde"/>
        </w:rPr>
      </w:pPr>
      <w:r w:rsidRPr="002A2450">
        <w:rPr>
          <w:rFonts w:ascii="ITC Avant Garde" w:hAnsi="ITC Avant Garde"/>
          <w:sz w:val="18"/>
        </w:rPr>
        <w:t xml:space="preserve">Época: Séptima Época, Registro: 251152, Instancia: Tribunales Colegiados de Circuito, Tipo de Tesis: Aislada, Fuente: Semanario Judicial de la Federación, Volumen 139-144, Sexta Parte, Materia(s): Penal, Tesis: Página: 57 </w:t>
      </w:r>
    </w:p>
    <w:p w14:paraId="3A1BBC80" w14:textId="77777777" w:rsidR="00B35F13" w:rsidRDefault="00593854" w:rsidP="00B35F13">
      <w:pPr>
        <w:spacing w:before="240" w:line="360" w:lineRule="auto"/>
        <w:jc w:val="both"/>
        <w:rPr>
          <w:rFonts w:ascii="ITC Avant Garde" w:hAnsi="ITC Avant Garde"/>
        </w:rPr>
      </w:pPr>
      <w:r w:rsidRPr="002A2450">
        <w:rPr>
          <w:rFonts w:ascii="ITC Avant Garde" w:hAnsi="ITC Avant Garde"/>
        </w:rPr>
        <w:t>Lo anterior, ya que la suscripción de los contratos y la vigencia de los mismos son actos que culminaron con la suscripción del convenio de terminación del contrato de opción y el de consecuencias.</w:t>
      </w:r>
    </w:p>
    <w:p w14:paraId="13B06898" w14:textId="77777777" w:rsidR="00B35F13" w:rsidRDefault="00593854" w:rsidP="00B35F13">
      <w:pPr>
        <w:spacing w:before="240" w:line="360" w:lineRule="auto"/>
        <w:jc w:val="both"/>
        <w:rPr>
          <w:rFonts w:ascii="ITC Avant Garde" w:hAnsi="ITC Avant Garde"/>
        </w:rPr>
      </w:pPr>
      <w:r w:rsidRPr="002A2450">
        <w:rPr>
          <w:rFonts w:ascii="ITC Avant Garde" w:hAnsi="ITC Avant Garde"/>
        </w:rPr>
        <w:t xml:space="preserve">En ese sentido, la conducta </w:t>
      </w:r>
      <w:r w:rsidR="008729BA">
        <w:rPr>
          <w:rFonts w:ascii="ITC Avant Garde" w:hAnsi="ITC Avant Garde"/>
        </w:rPr>
        <w:t>desplegada</w:t>
      </w:r>
      <w:r w:rsidR="008729BA" w:rsidRPr="002A2450">
        <w:rPr>
          <w:rFonts w:ascii="ITC Avant Garde" w:hAnsi="ITC Avant Garde"/>
        </w:rPr>
        <w:t xml:space="preserve"> </w:t>
      </w:r>
      <w:r w:rsidRPr="002A2450">
        <w:rPr>
          <w:rFonts w:ascii="ITC Avant Garde" w:hAnsi="ITC Avant Garde"/>
        </w:rPr>
        <w:t xml:space="preserve">por </w:t>
      </w:r>
      <w:r w:rsidRPr="002A2450">
        <w:rPr>
          <w:rFonts w:ascii="ITC Avant Garde" w:hAnsi="ITC Avant Garde"/>
          <w:b/>
        </w:rPr>
        <w:t>“TELMEX”</w:t>
      </w:r>
      <w:r w:rsidRPr="002A2450">
        <w:rPr>
          <w:rFonts w:ascii="ITC Avant Garde" w:hAnsi="ITC Avant Garde"/>
        </w:rPr>
        <w:t xml:space="preserve"> </w:t>
      </w:r>
      <w:r w:rsidR="003B6CC3" w:rsidRPr="002A2450">
        <w:rPr>
          <w:rFonts w:ascii="ITC Avant Garde" w:hAnsi="ITC Avant Garde"/>
        </w:rPr>
        <w:t xml:space="preserve">que se considera contraria a su </w:t>
      </w:r>
      <w:r w:rsidR="003B6CC3" w:rsidRPr="002A2450">
        <w:rPr>
          <w:rFonts w:ascii="ITC Avant Garde" w:hAnsi="ITC Avant Garde"/>
          <w:b/>
        </w:rPr>
        <w:t xml:space="preserve">“TÍTULO DE CONCESIÓN” </w:t>
      </w:r>
      <w:r w:rsidR="003B6CC3" w:rsidRPr="002A2450">
        <w:rPr>
          <w:rFonts w:ascii="ITC Avant Garde" w:hAnsi="ITC Avant Garde"/>
        </w:rPr>
        <w:t>concluyó</w:t>
      </w:r>
      <w:r w:rsidRPr="002A2450">
        <w:rPr>
          <w:rFonts w:ascii="ITC Avant Garde" w:hAnsi="ITC Avant Garde"/>
        </w:rPr>
        <w:t xml:space="preserve"> hasta el ocho de agosto de dos mil catorce, motivo por el cual </w:t>
      </w:r>
      <w:r w:rsidR="00DA2C4B" w:rsidRPr="002A2450">
        <w:rPr>
          <w:rFonts w:ascii="ITC Avant Garde" w:hAnsi="ITC Avant Garde"/>
        </w:rPr>
        <w:t>para efectos de determinar la ley aplicable para imponer la sanción en el presente asunto, debe considerarse la que se encontraba vigente al momento en que cesó la conducta.</w:t>
      </w:r>
    </w:p>
    <w:p w14:paraId="03D84AB4" w14:textId="77777777" w:rsidR="00B35F13" w:rsidRDefault="00DA2C4B" w:rsidP="00B35F13">
      <w:pPr>
        <w:spacing w:before="240" w:line="360" w:lineRule="auto"/>
        <w:jc w:val="both"/>
        <w:rPr>
          <w:rFonts w:ascii="ITC Avant Garde" w:hAnsi="ITC Avant Garde"/>
        </w:rPr>
      </w:pPr>
      <w:r w:rsidRPr="002A2450">
        <w:rPr>
          <w:rFonts w:ascii="ITC Avant Garde" w:hAnsi="ITC Avant Garde"/>
        </w:rPr>
        <w:t>En tal sentido y</w:t>
      </w:r>
      <w:r w:rsidR="00593854" w:rsidRPr="002A2450">
        <w:rPr>
          <w:rFonts w:ascii="ITC Avant Garde" w:hAnsi="ITC Avant Garde"/>
        </w:rPr>
        <w:t xml:space="preserve"> aclarado lo anterior, </w:t>
      </w:r>
      <w:r w:rsidRPr="002A2450">
        <w:rPr>
          <w:rFonts w:ascii="ITC Avant Garde" w:hAnsi="ITC Avant Garde"/>
        </w:rPr>
        <w:t xml:space="preserve">resulta procedente en el presente asunto aplicar el régimen de sanciones a que se refería la </w:t>
      </w:r>
      <w:r w:rsidRPr="002A2450">
        <w:rPr>
          <w:rFonts w:ascii="ITC Avant Garde" w:hAnsi="ITC Avant Garde"/>
          <w:b/>
        </w:rPr>
        <w:t>“LFT”</w:t>
      </w:r>
      <w:r w:rsidRPr="002A2450">
        <w:rPr>
          <w:rFonts w:ascii="ITC Avant Garde" w:hAnsi="ITC Avant Garde"/>
        </w:rPr>
        <w:t xml:space="preserve"> ya que era el ordenamiento vigente al momento de consumarse la conducta mat</w:t>
      </w:r>
      <w:r w:rsidR="003B6CC3" w:rsidRPr="002A2450">
        <w:rPr>
          <w:rFonts w:ascii="ITC Avant Garde" w:hAnsi="ITC Avant Garde"/>
        </w:rPr>
        <w:t xml:space="preserve">eria del presente procedimiento, </w:t>
      </w:r>
      <w:r w:rsidR="00547A6E" w:rsidRPr="002A2450">
        <w:rPr>
          <w:rFonts w:ascii="ITC Avant Garde" w:hAnsi="ITC Avant Garde"/>
        </w:rPr>
        <w:t xml:space="preserve">ya que si bien la </w:t>
      </w:r>
      <w:r w:rsidR="00547A6E" w:rsidRPr="002A2450">
        <w:rPr>
          <w:rFonts w:ascii="ITC Avant Garde" w:hAnsi="ITC Avant Garde"/>
          <w:b/>
        </w:rPr>
        <w:t>“</w:t>
      </w:r>
      <w:proofErr w:type="spellStart"/>
      <w:r w:rsidR="00547A6E" w:rsidRPr="002A2450">
        <w:rPr>
          <w:rFonts w:ascii="ITC Avant Garde" w:hAnsi="ITC Avant Garde"/>
          <w:b/>
        </w:rPr>
        <w:t>LFTyR</w:t>
      </w:r>
      <w:proofErr w:type="spellEnd"/>
      <w:r w:rsidR="00547A6E" w:rsidRPr="002A2450">
        <w:rPr>
          <w:rFonts w:ascii="ITC Avant Garde" w:hAnsi="ITC Avant Garde"/>
          <w:b/>
        </w:rPr>
        <w:t>”</w:t>
      </w:r>
      <w:r w:rsidR="00547A6E" w:rsidRPr="002A2450">
        <w:rPr>
          <w:rFonts w:ascii="ITC Avant Garde" w:hAnsi="ITC Avant Garde"/>
        </w:rPr>
        <w:t xml:space="preserve"> se publicó en el </w:t>
      </w:r>
      <w:r w:rsidR="00547A6E" w:rsidRPr="002A2450">
        <w:rPr>
          <w:rFonts w:ascii="ITC Avant Garde" w:hAnsi="ITC Avant Garde"/>
          <w:b/>
        </w:rPr>
        <w:t>“DOF”</w:t>
      </w:r>
      <w:r w:rsidR="00547A6E" w:rsidRPr="002A2450">
        <w:rPr>
          <w:rFonts w:ascii="ITC Avant Garde" w:hAnsi="ITC Avant Garde"/>
        </w:rPr>
        <w:t xml:space="preserve"> el </w:t>
      </w:r>
      <w:r w:rsidR="008729BA">
        <w:rPr>
          <w:rFonts w:ascii="ITC Avant Garde" w:hAnsi="ITC Avant Garde"/>
        </w:rPr>
        <w:t>catorce</w:t>
      </w:r>
      <w:r w:rsidR="008729BA" w:rsidRPr="002A2450">
        <w:rPr>
          <w:rFonts w:ascii="ITC Avant Garde" w:hAnsi="ITC Avant Garde"/>
        </w:rPr>
        <w:t xml:space="preserve"> </w:t>
      </w:r>
      <w:r w:rsidR="00547A6E" w:rsidRPr="002A2450">
        <w:rPr>
          <w:rFonts w:ascii="ITC Avant Garde" w:hAnsi="ITC Avant Garde"/>
        </w:rPr>
        <w:t>de julio de dos mil catorce, la misma entró en vigor el trece agosto de la misma anualidad</w:t>
      </w:r>
      <w:r w:rsidR="003E3A53" w:rsidRPr="002A2450">
        <w:rPr>
          <w:rFonts w:ascii="ITC Avant Garde" w:hAnsi="ITC Avant Garde"/>
        </w:rPr>
        <w:t xml:space="preserve"> por lo </w:t>
      </w:r>
      <w:r w:rsidR="008729BA">
        <w:rPr>
          <w:rFonts w:ascii="ITC Avant Garde" w:hAnsi="ITC Avant Garde"/>
        </w:rPr>
        <w:t xml:space="preserve">que </w:t>
      </w:r>
      <w:r w:rsidR="003E3A53" w:rsidRPr="002A2450">
        <w:rPr>
          <w:rFonts w:ascii="ITC Avant Garde" w:hAnsi="ITC Avant Garde"/>
        </w:rPr>
        <w:t>esta última normatividad no resulta aplicable en el presente asunto</w:t>
      </w:r>
      <w:r w:rsidR="00547A6E" w:rsidRPr="002A2450">
        <w:rPr>
          <w:rFonts w:ascii="ITC Avant Garde" w:hAnsi="ITC Avant Garde"/>
        </w:rPr>
        <w:t>.</w:t>
      </w:r>
    </w:p>
    <w:p w14:paraId="46F81C49" w14:textId="77777777" w:rsidR="00B35F13" w:rsidRDefault="003E3A53" w:rsidP="00B35F13">
      <w:pPr>
        <w:tabs>
          <w:tab w:val="left" w:pos="851"/>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 xml:space="preserve">A mayor abundamiento debe señalarse que </w:t>
      </w:r>
      <w:r w:rsidR="0063563E" w:rsidRPr="002A2450">
        <w:rPr>
          <w:rFonts w:ascii="ITC Avant Garde" w:eastAsia="Times New Roman" w:hAnsi="ITC Avant Garde"/>
          <w:bCs/>
          <w:color w:val="000000"/>
          <w:lang w:eastAsia="es-MX"/>
        </w:rPr>
        <w:t xml:space="preserve">aun cuando una norma que regula una sanción se encuentre </w:t>
      </w:r>
      <w:r w:rsidR="00CF73A7">
        <w:rPr>
          <w:rFonts w:ascii="ITC Avant Garde" w:eastAsia="Times New Roman" w:hAnsi="ITC Avant Garde"/>
          <w:bCs/>
          <w:color w:val="000000"/>
          <w:lang w:eastAsia="es-MX"/>
        </w:rPr>
        <w:t xml:space="preserve">abrogada o </w:t>
      </w:r>
      <w:r w:rsidR="0063563E" w:rsidRPr="002A2450">
        <w:rPr>
          <w:rFonts w:ascii="ITC Avant Garde" w:eastAsia="Times New Roman" w:hAnsi="ITC Avant Garde"/>
          <w:bCs/>
          <w:color w:val="000000"/>
          <w:lang w:eastAsia="es-MX"/>
        </w:rPr>
        <w:t xml:space="preserve">derogada o haya perdido vigencia por </w:t>
      </w:r>
      <w:r w:rsidR="0063563E" w:rsidRPr="002A2450">
        <w:rPr>
          <w:rFonts w:ascii="ITC Avant Garde" w:eastAsia="Times New Roman" w:hAnsi="ITC Avant Garde"/>
          <w:bCs/>
          <w:color w:val="000000"/>
          <w:lang w:eastAsia="es-MX"/>
        </w:rPr>
        <w:lastRenderedPageBreak/>
        <w:t xml:space="preserve">existir una norma posterior que la adicione, modifique o sustituya, la anterior seguirá siendo aplicable por los hechos sancionables ocurridos durante el término de su vigencia. </w:t>
      </w:r>
    </w:p>
    <w:p w14:paraId="424C4F14" w14:textId="77777777" w:rsidR="00B35F13" w:rsidRDefault="0063563E" w:rsidP="00B35F13">
      <w:pPr>
        <w:tabs>
          <w:tab w:val="left" w:pos="851"/>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Cs/>
          <w:color w:val="000000"/>
          <w:lang w:eastAsia="es-MX"/>
        </w:rPr>
        <w:t>Resultan aplicables las siguientes tesis que señalan:</w:t>
      </w:r>
    </w:p>
    <w:p w14:paraId="20B5A8EE" w14:textId="77777777" w:rsidR="00B35F13" w:rsidRDefault="0063563E" w:rsidP="00B35F13">
      <w:pPr>
        <w:tabs>
          <w:tab w:val="left" w:pos="851"/>
        </w:tabs>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
          <w:bCs/>
          <w:i/>
          <w:color w:val="000000"/>
          <w:lang w:eastAsia="es-MX"/>
        </w:rPr>
        <w:t>RESPONSABILIDADES ADMINISTRATIVAS DE LOS SERVIDORES PÚBLICOS. ES APLICABLE AL PROCEDIMIENTO LA LEY DE LA MATERIA EN VIGOR A PARTIR DEL 14 DE MARZO DE 2002, CUANDO SE INICIE BAJO SU VIGENCIA, NO OBSTANTE QUE LOS HECHOS MOTIVO DEL PROCEDIMIENTO HAYAN OCURRIDO BAJO LA VIGENCIA DE LA LEY ANTERIOR.</w:t>
      </w:r>
      <w:r w:rsidRPr="002A2450">
        <w:rPr>
          <w:rFonts w:ascii="ITC Avant Garde" w:eastAsia="Times New Roman" w:hAnsi="ITC Avant Garde"/>
          <w:bCs/>
          <w:i/>
          <w:color w:val="000000"/>
          <w:lang w:eastAsia="es-MX"/>
        </w:rPr>
        <w:t xml:space="preserve"> Este Tribunal Colegiado se aparta del criterio sostenido en la tesis TC01477.9AD1 que aparece con el rubro: "RESPONSABILIDADES DE LOS SERVIDORES PÚBLICOS. DEBE APLICARSE LA LEY VIGENTE EN EL MOMENTO EN QUE OCURRIERON LOS HECHOS MOTIVO DE LA SANCIÓN Y NO LA VIGENTE EN EL MOMENTO EN QUE INICIÓ EL PROCEDIMIENTO ADMINISTRATIVO PARA IMPONERLA.", porque de una nueva reflexión sobre el tema se llega a una conclusión diversa. Efectivamente, conviene recordar en principio, que el régimen disciplinario de los servidores públicos se caracteriza por su contenido mixto, es decir, </w:t>
      </w:r>
      <w:r w:rsidRPr="002A2450">
        <w:rPr>
          <w:rFonts w:ascii="ITC Avant Garde" w:eastAsia="Times New Roman" w:hAnsi="ITC Avant Garde"/>
          <w:b/>
          <w:bCs/>
          <w:i/>
          <w:color w:val="000000"/>
          <w:u w:val="single"/>
          <w:lang w:eastAsia="es-MX"/>
        </w:rPr>
        <w:t>se integra con normas de naturaleza sustantiva o de fondo (conductas, sanciones y reglas para aplicarlas) y por normas de naturaleza adjetiva o procesales (procedimientos, su regulación, autoridades, etcétera).</w:t>
      </w:r>
      <w:r w:rsidRPr="002A2450">
        <w:rPr>
          <w:rFonts w:ascii="ITC Avant Garde" w:eastAsia="Times New Roman" w:hAnsi="ITC Avant Garde"/>
          <w:bCs/>
          <w:i/>
          <w:color w:val="000000"/>
          <w:lang w:eastAsia="es-MX"/>
        </w:rPr>
        <w:t xml:space="preserve"> Ahora bien, a partir del catorce de marzo de dos mil dos, en que entró en vigor la Ley Federal de Responsabilidades Administrativas de los Servidores Públicos, se pueden dar dos escenarios conforme al primer párrafo de su artículo sexto transitorio: A) Si el procedimiento se inició antes de esa fecha, le resulta aplicable la ley anterior, esto es, la Ley Federal de Responsabilidades de los Servidores Públicos; y, </w:t>
      </w:r>
      <w:r w:rsidRPr="002A2450">
        <w:rPr>
          <w:rFonts w:ascii="ITC Avant Garde" w:eastAsia="Times New Roman" w:hAnsi="ITC Avant Garde"/>
          <w:b/>
          <w:bCs/>
          <w:i/>
          <w:color w:val="000000"/>
          <w:u w:val="single"/>
          <w:lang w:eastAsia="es-MX"/>
        </w:rPr>
        <w:t xml:space="preserve">B) Si el procedimiento se inició en tal fecha o después, le resulta aplicable la ley nueva, o sea, la Ley Federal de Responsabilidades Administrativas de los Servidores Públicos, en lo </w:t>
      </w:r>
      <w:r w:rsidRPr="002A2450">
        <w:rPr>
          <w:rFonts w:ascii="ITC Avant Garde" w:eastAsia="Times New Roman" w:hAnsi="ITC Avant Garde"/>
          <w:b/>
          <w:bCs/>
          <w:i/>
          <w:color w:val="000000"/>
          <w:u w:val="single"/>
          <w:lang w:eastAsia="es-MX"/>
        </w:rPr>
        <w:lastRenderedPageBreak/>
        <w:t>referente a la sustanciación -reglas procedimentales- y dictado de la resolución -reglas de juzgamiento de carácter adjetivo que norman el cómo decidir-, no obstante que los hechos motivo de la infracción se hubiesen cometido antes de esa fecha, pues la ley anterior seguirá siendo aplicable sólo en cuanto al fondo del asunto como norma sustantiva que, en su caso, sería determinar si la conducta imputada implica o no responsabilidad y la sanción que le corresponde, esencialmente -contenido sustantivo de la decisión en cuanto derechos y obligaciones de las partes, el qué se decide en relación con la conducta observada-.</w:t>
      </w:r>
      <w:r w:rsidRPr="002A2450">
        <w:rPr>
          <w:rFonts w:ascii="ITC Avant Garde" w:eastAsia="Times New Roman" w:hAnsi="ITC Avant Garde"/>
          <w:bCs/>
          <w:i/>
          <w:color w:val="000000"/>
          <w:lang w:eastAsia="es-MX"/>
        </w:rPr>
        <w:t xml:space="preserve"> Ello es así en atención a que, como lo ha expresado la Suprema Corte de Justicia de la Nación, las leyes de procedimiento no producen efectos retroactivos en virtud de que los actos procesales se encuentran regulados por la ley adjetiva vigente en el momento en que nacen o se llevan a cabo, recordando la expresión doctrinal de que las leyes procesales se apoderan de los procedimientos en el estado en que se encuentren al entrar en vigor. A mayor abundamiento, tomando en consideración la distinción que hace el artículo transitorio en cita entre los aspectos sustantivos y los procesales, </w:t>
      </w:r>
      <w:r w:rsidRPr="002A2450">
        <w:rPr>
          <w:rFonts w:ascii="ITC Avant Garde" w:eastAsia="Times New Roman" w:hAnsi="ITC Avant Garde"/>
          <w:b/>
          <w:bCs/>
          <w:i/>
          <w:color w:val="000000"/>
          <w:u w:val="single"/>
          <w:lang w:eastAsia="es-MX"/>
        </w:rPr>
        <w:t>es posible establecer que, en relación con los hechos motivo de la responsabilidad de un servidor público acaecidos con anterioridad a la entrada en vigor de la nueva ley, le será aplicable en cuanto al fondo la ley anterior y, en cambio, le será aplicable en cuanto al procedimiento la nueva, no obstante y a pesar de tratarse de hechos enjuiciables conforme a las normas sustantivas de la ley anterior.</w:t>
      </w:r>
    </w:p>
    <w:p w14:paraId="4E982A15" w14:textId="77777777" w:rsidR="00B35F13" w:rsidRDefault="0063563E" w:rsidP="00B35F13">
      <w:pPr>
        <w:tabs>
          <w:tab w:val="left" w:pos="851"/>
        </w:tabs>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Época: Novena Época, Registro: 178146, Instancia: Tribunales Colegiados de Circuito, Tipo de Tesis: Aislada, Fuente: Semanario Judicial de la Federación y su Gaceta, Tomo XXI, Junio de 2005, Materia(s): Administrativa, Tesis: I.4o.A.485 A, Página: 848</w:t>
      </w:r>
    </w:p>
    <w:p w14:paraId="3196F207" w14:textId="77777777" w:rsidR="00B35F13" w:rsidRDefault="0063563E" w:rsidP="00B35F13">
      <w:pPr>
        <w:tabs>
          <w:tab w:val="left" w:pos="851"/>
        </w:tabs>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
          <w:bCs/>
          <w:i/>
          <w:color w:val="000000"/>
          <w:lang w:eastAsia="es-MX"/>
        </w:rPr>
        <w:lastRenderedPageBreak/>
        <w:t>DEFRAUDACIÓN FISCAL. LA ACTUALIZACIÓN DE LAS CANTIDADES RELATIVAS AL MONTO DEL PERJUICIO A LA HACIENDA PÚBLICA SEÑALADAS EN LAS FRACCIONES I A III DEL ARTÍCULO 108 DEL CÓDIGO FISCAL DE LA FEDERACIÓN, DE CONFORMIDAD CON EL PROCEDIMIENTO ESTABLECIDO EN EL PRECEPTO 17-A -RESOLUCIÓN DE MISCELÁNEA FISCAL- NO SE TRADUCE EN UNA REFORMA A LA NORMA PENAL QUE PERMITA LA APLICACIÓN DEL PRINCIPIO DE RETROACTIVIDAD PARA LA OBTENCIÓN DE LA SUSTITUCIÓN Y CONMUTACIÓN DE SANCIONES O CUALQUIER OTRO BENEFICIO PREVISTO EN LA LEY.</w:t>
      </w:r>
      <w:r w:rsidRPr="002A2450">
        <w:rPr>
          <w:rFonts w:ascii="ITC Avant Garde" w:eastAsia="Times New Roman" w:hAnsi="ITC Avant Garde"/>
          <w:bCs/>
          <w:i/>
          <w:color w:val="000000"/>
          <w:lang w:eastAsia="es-MX"/>
        </w:rPr>
        <w:t xml:space="preserve"> El artículo 17-A del Código Fiscal de la Federación establece un procedimiento de actualización de las cantidades en moneda nacional referentes a las contribuciones, los aprovechamientos y las devoluciones a cargo del fisco federal, que realiza el Servicio de Administración Tributaria tomando en consideración la inflación entre otros factores; actualización que se publica en el Diario Oficial de la Federación a través del anexo de la Resolución Miscelánea Fiscal correspondiente y que en forma periódica incide en el contenido de las fracciones I a III del numeral 108 del citado código que permiten determinar el monto del perjuicio ocasionado al fisco y, con base en lo anterior, fijar la pena de prisión a imponer dentro de un mínimo y un máximo. Ahora bien, es cierto que en términos del artículo 14 constitucional, a ninguna ley se dará efecto retroactivo en perjuicio de persona alguna, de lo que se deduce que excepcionalmente sí puede tener ese efecto en su beneficio, sin embargo, respecto de las cantidades referidas, no es aplicable el principio de retroactividad antes mencionado a favor del sentenciado, porque la citada actualización deriva de una miscelánea fiscal que no es una norma legislativa o reglamentaria, sino que sus disposiciones son administrativas que una específica autoridad hacendaria puede emitir, esto es, en sentido formal no se trata de una ley aunado a que debe tenerse presente que el numeral 92, último párrafo, del Código Fiscal de </w:t>
      </w:r>
      <w:r w:rsidRPr="002A2450">
        <w:rPr>
          <w:rFonts w:ascii="ITC Avant Garde" w:eastAsia="Times New Roman" w:hAnsi="ITC Avant Garde"/>
          <w:bCs/>
          <w:i/>
          <w:color w:val="000000"/>
          <w:lang w:eastAsia="es-MX"/>
        </w:rPr>
        <w:lastRenderedPageBreak/>
        <w:t xml:space="preserve">la Federación, dispone que la fijación de la pena de prisión que corresponde a los delitos fiscales, de acuerdo con los límites del monto de las cantidades que constituyan el perjuicio, </w:t>
      </w:r>
      <w:r w:rsidRPr="002A2450">
        <w:rPr>
          <w:rFonts w:ascii="ITC Avant Garde" w:eastAsia="Times New Roman" w:hAnsi="ITC Avant Garde"/>
          <w:b/>
          <w:bCs/>
          <w:i/>
          <w:color w:val="000000"/>
          <w:u w:val="single"/>
          <w:lang w:eastAsia="es-MX"/>
        </w:rPr>
        <w:t xml:space="preserve">será conforme al establecido cuando se efectúe la conducta ilícita de que se trate; en ese tenor, para la referida actualización no opera el mencionado principio, porque el delito se consuma desde el momento en que se realiza la descripción típica, en consecuencia, para establecer el </w:t>
      </w:r>
      <w:proofErr w:type="spellStart"/>
      <w:r w:rsidRPr="002A2450">
        <w:rPr>
          <w:rFonts w:ascii="ITC Avant Garde" w:eastAsia="Times New Roman" w:hAnsi="ITC Avant Garde"/>
          <w:b/>
          <w:bCs/>
          <w:i/>
          <w:color w:val="000000"/>
          <w:u w:val="single"/>
          <w:lang w:eastAsia="es-MX"/>
        </w:rPr>
        <w:t>quántum</w:t>
      </w:r>
      <w:proofErr w:type="spellEnd"/>
      <w:r w:rsidRPr="002A2450">
        <w:rPr>
          <w:rFonts w:ascii="ITC Avant Garde" w:eastAsia="Times New Roman" w:hAnsi="ITC Avant Garde"/>
          <w:b/>
          <w:bCs/>
          <w:i/>
          <w:color w:val="000000"/>
          <w:u w:val="single"/>
          <w:lang w:eastAsia="es-MX"/>
        </w:rPr>
        <w:t xml:space="preserve"> de la pena para la obtención de los beneficios de la sustitución y conmutación de sanciones o cualquier otro previsto en la ley, debe estarse a la norma vigente al momento de la consumación del hecho delictivo.</w:t>
      </w:r>
    </w:p>
    <w:p w14:paraId="6A3876C7" w14:textId="77777777" w:rsidR="00B35F13" w:rsidRDefault="0063563E" w:rsidP="00B35F13">
      <w:pPr>
        <w:tabs>
          <w:tab w:val="left" w:pos="851"/>
        </w:tabs>
        <w:spacing w:before="240" w:line="360" w:lineRule="auto"/>
        <w:ind w:left="567" w:right="567"/>
        <w:jc w:val="both"/>
        <w:rPr>
          <w:rFonts w:ascii="ITC Avant Garde" w:eastAsia="Times New Roman" w:hAnsi="ITC Avant Garde"/>
          <w:bCs/>
          <w:i/>
          <w:color w:val="000000"/>
          <w:lang w:eastAsia="es-MX"/>
        </w:rPr>
      </w:pPr>
      <w:r w:rsidRPr="002A2450">
        <w:rPr>
          <w:rFonts w:ascii="ITC Avant Garde" w:eastAsia="Times New Roman" w:hAnsi="ITC Avant Garde"/>
          <w:bCs/>
          <w:i/>
          <w:color w:val="000000"/>
          <w:lang w:eastAsia="es-MX"/>
        </w:rPr>
        <w:t xml:space="preserve">Época: Décima Época, Registro: 2008078, Instancia: Primera Sala, Tipo de Tesis: Jurisprudencia, Fuente: Semanario Judicial de la Federación, Publicación: viernes 05 de diciembre de 2014 10:05 </w:t>
      </w:r>
      <w:r w:rsidRPr="00FC328B">
        <w:rPr>
          <w:rFonts w:ascii="ITC Avant Garde" w:eastAsia="Times New Roman" w:hAnsi="ITC Avant Garde"/>
          <w:bCs/>
          <w:i/>
          <w:color w:val="000000"/>
          <w:lang w:eastAsia="es-MX"/>
        </w:rPr>
        <w:t>h,</w:t>
      </w:r>
      <w:r w:rsidR="00FC328B" w:rsidRPr="00FC328B">
        <w:rPr>
          <w:rFonts w:ascii="ITC Avant Garde" w:eastAsia="Times New Roman" w:hAnsi="ITC Avant Garde"/>
          <w:bCs/>
          <w:i/>
          <w:color w:val="000000"/>
          <w:lang w:eastAsia="es-MX"/>
        </w:rPr>
        <w:t xml:space="preserve"> </w:t>
      </w:r>
      <w:r w:rsidRPr="00FC328B">
        <w:rPr>
          <w:rFonts w:ascii="ITC Avant Garde" w:eastAsia="Times New Roman" w:hAnsi="ITC Avant Garde"/>
          <w:bCs/>
          <w:i/>
          <w:color w:val="000000"/>
          <w:lang w:eastAsia="es-MX"/>
        </w:rPr>
        <w:t>Materia(s</w:t>
      </w:r>
      <w:r w:rsidRPr="002A2450">
        <w:rPr>
          <w:rFonts w:ascii="ITC Avant Garde" w:eastAsia="Times New Roman" w:hAnsi="ITC Avant Garde"/>
          <w:bCs/>
          <w:i/>
          <w:color w:val="000000"/>
          <w:lang w:eastAsia="es-MX"/>
        </w:rPr>
        <w:t>): (Constitucional</w:t>
      </w:r>
      <w:r w:rsidRPr="00FC328B">
        <w:rPr>
          <w:rFonts w:ascii="ITC Avant Garde" w:eastAsia="Times New Roman" w:hAnsi="ITC Avant Garde"/>
          <w:bCs/>
          <w:i/>
          <w:color w:val="000000"/>
          <w:lang w:eastAsia="es-MX"/>
        </w:rPr>
        <w:t>)</w:t>
      </w:r>
      <w:proofErr w:type="gramStart"/>
      <w:r w:rsidRPr="00FC328B">
        <w:rPr>
          <w:rFonts w:ascii="ITC Avant Garde" w:eastAsia="Times New Roman" w:hAnsi="ITC Avant Garde"/>
          <w:bCs/>
          <w:i/>
          <w:color w:val="000000"/>
          <w:lang w:eastAsia="es-MX"/>
        </w:rPr>
        <w:t>,Tesis</w:t>
      </w:r>
      <w:proofErr w:type="gramEnd"/>
      <w:r w:rsidRPr="00FC328B">
        <w:rPr>
          <w:rFonts w:ascii="ITC Avant Garde" w:eastAsia="Times New Roman" w:hAnsi="ITC Avant Garde"/>
          <w:bCs/>
          <w:i/>
          <w:color w:val="000000"/>
          <w:lang w:eastAsia="es-MX"/>
        </w:rPr>
        <w:t>:</w:t>
      </w:r>
      <w:r w:rsidRPr="002A2450">
        <w:rPr>
          <w:rFonts w:ascii="ITC Avant Garde" w:eastAsia="Times New Roman" w:hAnsi="ITC Avant Garde"/>
          <w:bCs/>
          <w:i/>
          <w:color w:val="000000"/>
          <w:lang w:eastAsia="es-MX"/>
        </w:rPr>
        <w:t xml:space="preserve"> 1a./J. 56/2014 (10a.)</w:t>
      </w:r>
    </w:p>
    <w:p w14:paraId="6F5C02B6" w14:textId="77777777" w:rsidR="00B35F13" w:rsidRDefault="001E0913" w:rsidP="00B35F13">
      <w:pPr>
        <w:spacing w:before="240" w:line="360" w:lineRule="auto"/>
        <w:jc w:val="both"/>
        <w:rPr>
          <w:rFonts w:ascii="ITC Avant Garde" w:hAnsi="ITC Avant Garde"/>
        </w:rPr>
      </w:pPr>
      <w:r w:rsidRPr="002A2450">
        <w:rPr>
          <w:rFonts w:ascii="ITC Avant Garde" w:hAnsi="ITC Avant Garde"/>
        </w:rPr>
        <w:t xml:space="preserve">En ese sentido, si bien es cierto que la </w:t>
      </w:r>
      <w:r w:rsidR="008521D0" w:rsidRPr="009E34A4">
        <w:rPr>
          <w:rFonts w:ascii="ITC Avant Garde" w:hAnsi="ITC Avant Garde"/>
          <w:b/>
        </w:rPr>
        <w:t>“</w:t>
      </w:r>
      <w:r w:rsidR="00BB0DE0" w:rsidRPr="009E34A4">
        <w:rPr>
          <w:rFonts w:ascii="ITC Avant Garde" w:hAnsi="ITC Avant Garde"/>
          <w:b/>
        </w:rPr>
        <w:t>LFT</w:t>
      </w:r>
      <w:r w:rsidR="008521D0" w:rsidRPr="00236727">
        <w:rPr>
          <w:rFonts w:ascii="ITC Avant Garde" w:hAnsi="ITC Avant Garde"/>
          <w:b/>
        </w:rPr>
        <w:t>”</w:t>
      </w:r>
      <w:r w:rsidR="00BB0DE0" w:rsidRPr="002A2450">
        <w:rPr>
          <w:rFonts w:ascii="ITC Avant Garde" w:hAnsi="ITC Avant Garde"/>
        </w:rPr>
        <w:t xml:space="preserve"> actualmente se encuentra </w:t>
      </w:r>
      <w:r w:rsidR="009C480B" w:rsidRPr="002A2450">
        <w:rPr>
          <w:rFonts w:ascii="ITC Avant Garde" w:hAnsi="ITC Avant Garde"/>
        </w:rPr>
        <w:t>abrogada</w:t>
      </w:r>
      <w:r w:rsidR="00BB0DE0" w:rsidRPr="002A2450">
        <w:rPr>
          <w:rFonts w:ascii="ITC Avant Garde" w:hAnsi="ITC Avant Garde"/>
        </w:rPr>
        <w:t xml:space="preserve">, la conducta que aquí se sanciona se encuentra de igual forma regulada en la </w:t>
      </w:r>
      <w:r w:rsidRPr="002A2450">
        <w:rPr>
          <w:rFonts w:ascii="ITC Avant Garde" w:hAnsi="ITC Avant Garde"/>
        </w:rPr>
        <w:t xml:space="preserve">actual </w:t>
      </w:r>
      <w:r w:rsidRPr="002A2450">
        <w:rPr>
          <w:rFonts w:ascii="ITC Avant Garde" w:hAnsi="ITC Avant Garde"/>
          <w:b/>
        </w:rPr>
        <w:t>“</w:t>
      </w:r>
      <w:proofErr w:type="spellStart"/>
      <w:r w:rsidRPr="002A2450">
        <w:rPr>
          <w:rFonts w:ascii="ITC Avant Garde" w:hAnsi="ITC Avant Garde"/>
          <w:b/>
        </w:rPr>
        <w:t>LFTyR</w:t>
      </w:r>
      <w:proofErr w:type="spellEnd"/>
      <w:r w:rsidRPr="002A2450">
        <w:rPr>
          <w:rFonts w:ascii="ITC Avant Garde" w:hAnsi="ITC Avant Garde"/>
          <w:b/>
        </w:rPr>
        <w:t>”</w:t>
      </w:r>
      <w:r w:rsidR="00BB0DE0" w:rsidRPr="002A2450">
        <w:rPr>
          <w:rFonts w:ascii="ITC Avant Garde" w:hAnsi="ITC Avant Garde"/>
        </w:rPr>
        <w:t xml:space="preserve">, la cual </w:t>
      </w:r>
      <w:r w:rsidRPr="002A2450">
        <w:rPr>
          <w:rFonts w:ascii="ITC Avant Garde" w:hAnsi="ITC Avant Garde"/>
        </w:rPr>
        <w:t>contempla en su artículo 298 inciso B), fracción III, la posibilidad de sancionar del 1% al 3% de los ingresos acumulables del presunto infrac</w:t>
      </w:r>
      <w:r w:rsidR="00BC2265" w:rsidRPr="002A2450">
        <w:rPr>
          <w:rFonts w:ascii="ITC Avant Garde" w:hAnsi="ITC Avant Garde"/>
        </w:rPr>
        <w:t>tor por el incumplimiento a las condiciones derivadas de una concesión</w:t>
      </w:r>
      <w:r w:rsidRPr="002A2450">
        <w:rPr>
          <w:rFonts w:ascii="ITC Avant Garde" w:hAnsi="ITC Avant Garde"/>
        </w:rPr>
        <w:t>,</w:t>
      </w:r>
      <w:r w:rsidR="00BB0DE0" w:rsidRPr="002A2450">
        <w:rPr>
          <w:rFonts w:ascii="ITC Avant Garde" w:hAnsi="ITC Avant Garde"/>
        </w:rPr>
        <w:t xml:space="preserve"> es decir, existe una traslación del tipo administrativo sancionatorio.</w:t>
      </w:r>
    </w:p>
    <w:p w14:paraId="498C0CF0" w14:textId="77777777" w:rsidR="00B35F13" w:rsidRDefault="008521D0" w:rsidP="00B35F13">
      <w:pPr>
        <w:spacing w:before="240" w:line="360" w:lineRule="auto"/>
        <w:jc w:val="both"/>
        <w:rPr>
          <w:rFonts w:ascii="ITC Avant Garde" w:hAnsi="ITC Avant Garde"/>
        </w:rPr>
      </w:pPr>
      <w:r w:rsidRPr="002A2450">
        <w:rPr>
          <w:rFonts w:ascii="ITC Avant Garde" w:hAnsi="ITC Avant Garde"/>
        </w:rPr>
        <w:t>Por tanto</w:t>
      </w:r>
      <w:r w:rsidR="00BB0DE0" w:rsidRPr="002A2450">
        <w:rPr>
          <w:rFonts w:ascii="ITC Avant Garde" w:hAnsi="ITC Avant Garde"/>
        </w:rPr>
        <w:t>, dicha</w:t>
      </w:r>
      <w:r w:rsidR="001E0913" w:rsidRPr="002A2450">
        <w:rPr>
          <w:rFonts w:ascii="ITC Avant Garde" w:hAnsi="ITC Avant Garde"/>
        </w:rPr>
        <w:t xml:space="preserve"> traslación del tipo no implica una violación a lo dispuesto en el artículo 14 de la </w:t>
      </w:r>
      <w:r w:rsidR="001E0913" w:rsidRPr="002A2450">
        <w:rPr>
          <w:rFonts w:ascii="ITC Avant Garde" w:hAnsi="ITC Avant Garde"/>
          <w:b/>
        </w:rPr>
        <w:t xml:space="preserve">“CPEUM” </w:t>
      </w:r>
      <w:r w:rsidR="001E0913" w:rsidRPr="002A2450">
        <w:rPr>
          <w:rFonts w:ascii="ITC Avant Garde" w:hAnsi="ITC Avant Garde"/>
        </w:rPr>
        <w:t>ni al principio de</w:t>
      </w:r>
      <w:r w:rsidR="001E0913" w:rsidRPr="002A2450">
        <w:rPr>
          <w:rFonts w:ascii="ITC Avant Garde" w:hAnsi="ITC Avant Garde"/>
          <w:b/>
        </w:rPr>
        <w:t xml:space="preserve"> </w:t>
      </w:r>
      <w:r w:rsidR="001E0913" w:rsidRPr="002A2450">
        <w:rPr>
          <w:rFonts w:ascii="ITC Avant Garde" w:hAnsi="ITC Avant Garde"/>
        </w:rPr>
        <w:t>retroactividad de la norma, puesto que en cualquier caso, tal y como se advierte de las tesis mencionadas</w:t>
      </w:r>
      <w:r w:rsidR="00BB0DE0" w:rsidRPr="002A2450">
        <w:rPr>
          <w:rFonts w:ascii="ITC Avant Garde" w:hAnsi="ITC Avant Garde"/>
        </w:rPr>
        <w:t>, para imponer una multa,</w:t>
      </w:r>
      <w:r w:rsidR="00F62F66" w:rsidRPr="002A2450">
        <w:rPr>
          <w:rFonts w:ascii="ITC Avant Garde" w:hAnsi="ITC Avant Garde"/>
        </w:rPr>
        <w:t xml:space="preserve"> </w:t>
      </w:r>
      <w:r w:rsidR="001E0913" w:rsidRPr="002A2450">
        <w:rPr>
          <w:rFonts w:ascii="ITC Avant Garde" w:hAnsi="ITC Avant Garde"/>
        </w:rPr>
        <w:t xml:space="preserve">debe </w:t>
      </w:r>
      <w:r w:rsidR="00BB0DE0" w:rsidRPr="002A2450">
        <w:rPr>
          <w:rFonts w:ascii="ITC Avant Garde" w:hAnsi="ITC Avant Garde"/>
        </w:rPr>
        <w:t>aplicarse la ley</w:t>
      </w:r>
      <w:r w:rsidR="001E0913" w:rsidRPr="002A2450">
        <w:rPr>
          <w:rFonts w:ascii="ITC Avant Garde" w:hAnsi="ITC Avant Garde"/>
        </w:rPr>
        <w:t xml:space="preserve"> vigente al momento en que se consumó la infracción</w:t>
      </w:r>
      <w:r w:rsidR="004B141B" w:rsidRPr="002A2450">
        <w:rPr>
          <w:rFonts w:ascii="ITC Avant Garde" w:hAnsi="ITC Avant Garde"/>
        </w:rPr>
        <w:t xml:space="preserve"> y en todo caso a la más favorable</w:t>
      </w:r>
      <w:r w:rsidR="001E0913" w:rsidRPr="002A2450">
        <w:rPr>
          <w:rFonts w:ascii="ITC Avant Garde" w:hAnsi="ITC Avant Garde"/>
        </w:rPr>
        <w:t>.</w:t>
      </w:r>
    </w:p>
    <w:p w14:paraId="53CF09A2" w14:textId="77777777" w:rsidR="00B35F13" w:rsidRDefault="001E0913" w:rsidP="00B35F13">
      <w:pPr>
        <w:spacing w:before="240" w:line="360" w:lineRule="auto"/>
        <w:jc w:val="both"/>
        <w:rPr>
          <w:rFonts w:ascii="ITC Avant Garde" w:hAnsi="ITC Avant Garde"/>
        </w:rPr>
      </w:pPr>
      <w:r w:rsidRPr="002A2450">
        <w:rPr>
          <w:rFonts w:ascii="ITC Avant Garde" w:hAnsi="ITC Avant Garde"/>
        </w:rPr>
        <w:t>Al respecto, resulta aplicable por analogía la siguiente jurisprudencia:</w:t>
      </w:r>
      <w:r w:rsidR="00E678CE">
        <w:rPr>
          <w:rFonts w:ascii="ITC Avant Garde" w:hAnsi="ITC Avant Garde"/>
        </w:rPr>
        <w:t xml:space="preserve"> </w:t>
      </w:r>
    </w:p>
    <w:p w14:paraId="5CAA7A07" w14:textId="77777777" w:rsidR="00B35F13" w:rsidRDefault="001E0913" w:rsidP="00B35F13">
      <w:pPr>
        <w:spacing w:before="240" w:line="360" w:lineRule="auto"/>
        <w:ind w:left="567" w:right="567"/>
        <w:jc w:val="both"/>
        <w:rPr>
          <w:rFonts w:ascii="ITC Avant Garde" w:hAnsi="ITC Avant Garde"/>
        </w:rPr>
      </w:pPr>
      <w:r w:rsidRPr="002A2450">
        <w:rPr>
          <w:rFonts w:ascii="ITC Avant Garde" w:hAnsi="ITC Avant Garde"/>
          <w:b/>
        </w:rPr>
        <w:lastRenderedPageBreak/>
        <w:t>TRASLACIÓN DEL TIPO Y ADECUACIÓN DE LA PENA. CONSTITUYEN UN DERECHO DEL GOBERNADO PROTEGIDO CONSTITUCIONALMENTE.</w:t>
      </w:r>
      <w:r w:rsidRPr="002A2450">
        <w:rPr>
          <w:rFonts w:ascii="ITC Avant Garde" w:hAnsi="ITC Avant Garde"/>
        </w:rPr>
        <w:t xml:space="preserve"> El primer párrafo del artículo 14 de la Constitución Política de los Estados Unidos Mexicanos prohíbe la aplicación retroactiva de la ley en perjuicio de persona alguna. Ahora bien, de la interpretación a contrario sensu de tal precepto, se advierte que otorga el derecho al gobernado de que se le aplique retroactivamente la ley penal cuando sea en su beneficio, por lo que si cometió un delito bajo la vigencia de una ley sustantiva con base en la cual se le sentenció y, posteriormente se promulga una nueva que prevé una pena menor para el mismo delito, o el acto considerado por la ley anterior como delito deja de tener tal carácter o se modifican las circunstancias para su persecución, aquél tiene el derecho protegido constitucionalmente a que se le aplique retroactivamente la nueva ley y, por ende, a que se le reduzca la pena o se le ponga en libertad. Esto es así, porque si el legislador en un nuevo ordenamiento legal dispone que un determinado hecho ilícito merece sancionarse con una pena menor o que no hay motivos para suponer que, a partir de ese momento, el orden social pueda alterarse con un acto anteriormente considerado como delictivo, es inválido que el poder público insista en exigir la ejecución de la sanción como se había impuesto por un hecho que ya no la amerita o que no la merece en tal proporción. Consecuentemente, la traslación del tipo y la adecuación de la pena constituyen un derecho de todo gobernado, que puede ejercer ante la autoridad correspondiente en vía incidental, para que ésta determine si la conducta estimada como delictiva conforme a la legislación punitiva vigente en la fecha de su comisión continúa siéndolo en términos del nuevo ordenamiento, esto es, para que analice los elementos que determinaron la configuración del ilícito de acuerdo a su tipificación abrogada frente a la legislación vigente y decida si éstos se mantienen o no y, en su caso, aplicarle la sanción más favorable.</w:t>
      </w:r>
    </w:p>
    <w:p w14:paraId="232F39AA" w14:textId="77777777" w:rsidR="00B35F13" w:rsidRDefault="001E0913" w:rsidP="00B35F13">
      <w:pPr>
        <w:spacing w:before="240" w:line="360" w:lineRule="auto"/>
        <w:ind w:left="567" w:right="567"/>
        <w:jc w:val="both"/>
        <w:rPr>
          <w:rFonts w:ascii="ITC Avant Garde" w:hAnsi="ITC Avant Garde"/>
          <w:sz w:val="18"/>
        </w:rPr>
      </w:pPr>
      <w:r w:rsidRPr="002A2450">
        <w:rPr>
          <w:rFonts w:ascii="ITC Avant Garde" w:hAnsi="ITC Avant Garde"/>
          <w:sz w:val="18"/>
        </w:rPr>
        <w:lastRenderedPageBreak/>
        <w:t>Época: Décima Época, Registro: 159862, Instancia: Primera Sala, Tipo de Tesis: Jurisprudencia, Fuente: Semanario Judicial de la Federación y su Gaceta, Libro XVIII, Marzo de 2013, Tomo 1, Materia(s): Constitucional, Tesis: 1a</w:t>
      </w:r>
      <w:proofErr w:type="gramStart"/>
      <w:r w:rsidRPr="002A2450">
        <w:rPr>
          <w:rFonts w:ascii="ITC Avant Garde" w:hAnsi="ITC Avant Garde"/>
          <w:sz w:val="18"/>
        </w:rPr>
        <w:t>./</w:t>
      </w:r>
      <w:proofErr w:type="gramEnd"/>
      <w:r w:rsidRPr="002A2450">
        <w:rPr>
          <w:rFonts w:ascii="ITC Avant Garde" w:hAnsi="ITC Avant Garde"/>
          <w:sz w:val="18"/>
        </w:rPr>
        <w:t xml:space="preserve">J. 4/2013 (9a.), Página: 413 </w:t>
      </w:r>
    </w:p>
    <w:p w14:paraId="2893F4E8" w14:textId="77777777" w:rsidR="00B35F13" w:rsidRDefault="00DA2C4B" w:rsidP="00B35F13">
      <w:pPr>
        <w:spacing w:before="240" w:line="360" w:lineRule="auto"/>
        <w:jc w:val="both"/>
        <w:rPr>
          <w:rFonts w:ascii="ITC Avant Garde" w:hAnsi="ITC Avant Garde"/>
        </w:rPr>
      </w:pPr>
      <w:r w:rsidRPr="002A2450">
        <w:rPr>
          <w:rFonts w:ascii="ITC Avant Garde" w:hAnsi="ITC Avant Garde"/>
        </w:rPr>
        <w:t xml:space="preserve">Lo anterior, es consistente con lo previsto en el artículo 14 de la </w:t>
      </w:r>
      <w:r w:rsidRPr="002A2450">
        <w:rPr>
          <w:rFonts w:ascii="ITC Avant Garde" w:hAnsi="ITC Avant Garde"/>
          <w:b/>
        </w:rPr>
        <w:t xml:space="preserve">“CPEUM” </w:t>
      </w:r>
      <w:r w:rsidRPr="002A2450">
        <w:rPr>
          <w:rFonts w:ascii="ITC Avant Garde" w:hAnsi="ITC Avant Garde"/>
        </w:rPr>
        <w:t>que al efecto establece:</w:t>
      </w:r>
    </w:p>
    <w:p w14:paraId="76DA79C8" w14:textId="65C3EE25" w:rsidR="00DA2C4B" w:rsidRPr="002A2450" w:rsidRDefault="00DA2C4B" w:rsidP="00B35F13">
      <w:pPr>
        <w:spacing w:before="240" w:line="360" w:lineRule="auto"/>
        <w:ind w:left="567" w:right="567"/>
        <w:jc w:val="both"/>
        <w:rPr>
          <w:rFonts w:ascii="ITC Avant Garde" w:hAnsi="ITC Avant Garde"/>
          <w:i/>
        </w:rPr>
      </w:pPr>
      <w:r w:rsidRPr="002A2450">
        <w:rPr>
          <w:rFonts w:ascii="ITC Avant Garde" w:hAnsi="ITC Avant Garde"/>
          <w:i/>
        </w:rPr>
        <w:t>“</w:t>
      </w:r>
      <w:r w:rsidRPr="002A2450">
        <w:rPr>
          <w:rFonts w:ascii="ITC Avant Garde" w:hAnsi="ITC Avant Garde"/>
          <w:b/>
          <w:i/>
        </w:rPr>
        <w:t>Artículo 14</w:t>
      </w:r>
      <w:r w:rsidRPr="002A2450">
        <w:rPr>
          <w:rFonts w:ascii="ITC Avant Garde" w:hAnsi="ITC Avant Garde"/>
          <w:i/>
        </w:rPr>
        <w:t>. A ninguna ley se dará efecto retroactivo en perjuicio de persona alguna.</w:t>
      </w:r>
    </w:p>
    <w:p w14:paraId="2F995703" w14:textId="77777777" w:rsidR="00B35F13" w:rsidRDefault="00DA2C4B" w:rsidP="00B35F13">
      <w:pPr>
        <w:spacing w:before="240" w:line="360" w:lineRule="auto"/>
        <w:ind w:left="567" w:right="567"/>
        <w:jc w:val="both"/>
        <w:rPr>
          <w:rFonts w:ascii="ITC Avant Garde" w:hAnsi="ITC Avant Garde"/>
          <w:i/>
        </w:rPr>
      </w:pPr>
      <w:r w:rsidRPr="002A2450">
        <w:rPr>
          <w:rFonts w:ascii="ITC Avant Garde" w:hAnsi="ITC Avant Garde"/>
          <w:i/>
        </w:rPr>
        <w:t xml:space="preserve">Nadie podrá ser privado de la libertad o de sus propiedades, posesiones o derechos, </w:t>
      </w:r>
      <w:r w:rsidRPr="002A2450">
        <w:rPr>
          <w:rFonts w:ascii="ITC Avant Garde" w:hAnsi="ITC Avant Garde"/>
          <w:b/>
          <w:i/>
          <w:u w:val="single"/>
        </w:rPr>
        <w:t>sino mediante juicio seguido ante los tribunales previamente establecidos</w:t>
      </w:r>
      <w:r w:rsidRPr="002A2450">
        <w:rPr>
          <w:rFonts w:ascii="ITC Avant Garde" w:hAnsi="ITC Avant Garde"/>
          <w:i/>
        </w:rPr>
        <w:t xml:space="preserve">, en el que se cumplan las formalidades esenciales del procedimiento </w:t>
      </w:r>
      <w:r w:rsidRPr="002A2450">
        <w:rPr>
          <w:rFonts w:ascii="ITC Avant Garde" w:hAnsi="ITC Avant Garde"/>
          <w:b/>
          <w:i/>
          <w:u w:val="single"/>
        </w:rPr>
        <w:t>y conforme a las Leyes expedidas con anterioridad al hecho.</w:t>
      </w:r>
      <w:r w:rsidRPr="002A2450">
        <w:rPr>
          <w:rFonts w:ascii="ITC Avant Garde" w:hAnsi="ITC Avant Garde"/>
          <w:i/>
        </w:rPr>
        <w:t>”</w:t>
      </w:r>
    </w:p>
    <w:p w14:paraId="662404AC" w14:textId="77777777" w:rsidR="00B35F13" w:rsidRDefault="00D65A99" w:rsidP="00B35F13">
      <w:pPr>
        <w:spacing w:before="240" w:line="360" w:lineRule="auto"/>
        <w:jc w:val="both"/>
        <w:rPr>
          <w:rFonts w:ascii="ITC Avant Garde" w:hAnsi="ITC Avant Garde"/>
        </w:rPr>
      </w:pPr>
      <w:r w:rsidRPr="002A2450">
        <w:rPr>
          <w:rFonts w:ascii="ITC Avant Garde" w:hAnsi="ITC Avant Garde"/>
        </w:rPr>
        <w:t xml:space="preserve">Sentado lo anterior, resulta jurídicamente viable sostener que </w:t>
      </w:r>
      <w:r w:rsidR="004E5BC7" w:rsidRPr="002A2450">
        <w:rPr>
          <w:rFonts w:ascii="ITC Avant Garde" w:hAnsi="ITC Avant Garde"/>
        </w:rPr>
        <w:t>e</w:t>
      </w:r>
      <w:r w:rsidR="00D91017" w:rsidRPr="002A2450">
        <w:rPr>
          <w:rFonts w:ascii="ITC Avant Garde" w:eastAsia="Times New Roman" w:hAnsi="ITC Avant Garde"/>
          <w:bCs/>
          <w:lang w:eastAsia="es-MX"/>
        </w:rPr>
        <w:t xml:space="preserve">l incumplimiento </w:t>
      </w:r>
      <w:r w:rsidRPr="002A2450">
        <w:rPr>
          <w:rFonts w:ascii="ITC Avant Garde" w:eastAsia="Times New Roman" w:hAnsi="ITC Avant Garde"/>
          <w:bCs/>
          <w:lang w:eastAsia="es-MX"/>
        </w:rPr>
        <w:t xml:space="preserve">al </w:t>
      </w:r>
      <w:r w:rsidR="00065AA4" w:rsidRPr="009E34A4">
        <w:rPr>
          <w:rFonts w:ascii="ITC Avant Garde" w:eastAsia="Times New Roman" w:hAnsi="ITC Avant Garde"/>
          <w:b/>
          <w:bCs/>
          <w:lang w:eastAsia="es-MX"/>
        </w:rPr>
        <w:t>Tercer Párrafo</w:t>
      </w:r>
      <w:r w:rsidRPr="002A2450">
        <w:rPr>
          <w:rFonts w:ascii="ITC Avant Garde" w:eastAsia="Times New Roman" w:hAnsi="ITC Avant Garde"/>
          <w:bCs/>
          <w:lang w:eastAsia="es-MX"/>
        </w:rPr>
        <w:t xml:space="preserve"> de </w:t>
      </w:r>
      <w:r w:rsidR="00D91017" w:rsidRPr="002A2450">
        <w:rPr>
          <w:rFonts w:ascii="ITC Avant Garde" w:eastAsia="Times New Roman" w:hAnsi="ITC Avant Garde"/>
          <w:bCs/>
          <w:lang w:eastAsia="es-MX"/>
        </w:rPr>
        <w:t>la condición</w:t>
      </w:r>
      <w:r w:rsidR="004E5BC7" w:rsidRPr="002A2450">
        <w:rPr>
          <w:rFonts w:ascii="ITC Avant Garde" w:eastAsia="Times New Roman" w:hAnsi="ITC Avant Garde"/>
          <w:bCs/>
          <w:lang w:eastAsia="es-MX"/>
        </w:rPr>
        <w:t xml:space="preserve"> 1-9 </w:t>
      </w:r>
      <w:r w:rsidR="00D91017" w:rsidRPr="002A2450">
        <w:rPr>
          <w:rFonts w:ascii="ITC Avant Garde" w:eastAsia="Times New Roman" w:hAnsi="ITC Avant Garde"/>
          <w:bCs/>
          <w:lang w:eastAsia="es-MX"/>
        </w:rPr>
        <w:t>de</w:t>
      </w:r>
      <w:r w:rsidR="004E5BC7" w:rsidRPr="002A2450">
        <w:rPr>
          <w:rFonts w:ascii="ITC Avant Garde" w:eastAsia="Times New Roman" w:hAnsi="ITC Avant Garde"/>
          <w:bCs/>
          <w:lang w:eastAsia="es-MX"/>
        </w:rPr>
        <w:t>l</w:t>
      </w:r>
      <w:r w:rsidR="00D91017" w:rsidRPr="002A2450">
        <w:rPr>
          <w:rFonts w:ascii="ITC Avant Garde" w:eastAsia="Times New Roman" w:hAnsi="ITC Avant Garde"/>
          <w:bCs/>
          <w:lang w:eastAsia="es-MX"/>
        </w:rPr>
        <w:t xml:space="preserve"> </w:t>
      </w:r>
      <w:r w:rsidR="004E5BC7" w:rsidRPr="002A2450">
        <w:rPr>
          <w:rFonts w:ascii="ITC Avant Garde" w:eastAsia="Times New Roman" w:hAnsi="ITC Avant Garde"/>
          <w:b/>
          <w:bCs/>
          <w:lang w:eastAsia="es-MX"/>
        </w:rPr>
        <w:t>“TÍTULO DE CONCESIÓN”</w:t>
      </w:r>
      <w:r w:rsidR="00D91017" w:rsidRPr="002A2450">
        <w:rPr>
          <w:rFonts w:ascii="ITC Avant Garde" w:eastAsia="Times New Roman" w:hAnsi="ITC Avant Garde"/>
          <w:bCs/>
          <w:lang w:eastAsia="es-MX"/>
        </w:rPr>
        <w:t xml:space="preserve">, </w:t>
      </w:r>
      <w:r w:rsidR="004E5BC7" w:rsidRPr="002A2450">
        <w:rPr>
          <w:rFonts w:ascii="ITC Avant Garde" w:eastAsia="Times New Roman" w:hAnsi="ITC Avant Garde"/>
          <w:bCs/>
          <w:lang w:eastAsia="es-MX"/>
        </w:rPr>
        <w:t xml:space="preserve">otorgado a </w:t>
      </w:r>
      <w:r w:rsidR="004E5BC7" w:rsidRPr="002A2450">
        <w:rPr>
          <w:rFonts w:ascii="ITC Avant Garde" w:eastAsia="Times New Roman" w:hAnsi="ITC Avant Garde"/>
          <w:b/>
          <w:bCs/>
          <w:lang w:eastAsia="es-MX"/>
        </w:rPr>
        <w:t xml:space="preserve">“TELMEX” </w:t>
      </w:r>
      <w:r w:rsidR="00547A6E" w:rsidRPr="002A2450">
        <w:rPr>
          <w:rFonts w:ascii="ITC Avant Garde" w:eastAsia="Times New Roman" w:hAnsi="ITC Avant Garde"/>
          <w:bCs/>
          <w:lang w:eastAsia="es-MX"/>
        </w:rPr>
        <w:t>resulta sancionable conforme al supuesto normativo</w:t>
      </w:r>
      <w:r w:rsidR="00547A6E" w:rsidRPr="002A2450">
        <w:rPr>
          <w:rFonts w:ascii="ITC Avant Garde" w:eastAsia="Times New Roman" w:hAnsi="ITC Avant Garde"/>
          <w:b/>
          <w:bCs/>
          <w:lang w:eastAsia="es-MX"/>
        </w:rPr>
        <w:t xml:space="preserve"> </w:t>
      </w:r>
      <w:r w:rsidR="00D91017" w:rsidRPr="002A2450">
        <w:rPr>
          <w:rFonts w:ascii="ITC Avant Garde" w:eastAsia="Times New Roman" w:hAnsi="ITC Avant Garde"/>
          <w:bCs/>
          <w:lang w:eastAsia="es-MX"/>
        </w:rPr>
        <w:t>previsto en el artículo 71, Apartado B, fracción IV de la</w:t>
      </w:r>
      <w:r w:rsidR="004E5BC7" w:rsidRPr="002A2450">
        <w:rPr>
          <w:rFonts w:ascii="ITC Avant Garde" w:eastAsia="Times New Roman" w:hAnsi="ITC Avant Garde"/>
          <w:bCs/>
          <w:lang w:eastAsia="es-MX"/>
        </w:rPr>
        <w:t xml:space="preserve"> </w:t>
      </w:r>
      <w:r w:rsidR="004E5BC7" w:rsidRPr="002A2450">
        <w:rPr>
          <w:rFonts w:ascii="ITC Avant Garde" w:eastAsia="Times New Roman" w:hAnsi="ITC Avant Garde"/>
          <w:b/>
          <w:bCs/>
          <w:lang w:eastAsia="es-MX"/>
        </w:rPr>
        <w:t>“LFT”</w:t>
      </w:r>
      <w:r w:rsidR="00D91017" w:rsidRPr="002A2450">
        <w:rPr>
          <w:rFonts w:ascii="ITC Avant Garde" w:eastAsia="Times New Roman" w:hAnsi="ITC Avant Garde"/>
          <w:bCs/>
          <w:lang w:eastAsia="es-MX"/>
        </w:rPr>
        <w:t>, que a la letra señala:</w:t>
      </w:r>
    </w:p>
    <w:p w14:paraId="4AB19F94" w14:textId="28ABE95B" w:rsidR="00D91017" w:rsidRPr="002A2450" w:rsidRDefault="00D91017" w:rsidP="00B35F13">
      <w:pPr>
        <w:pStyle w:val="Textoindependiente"/>
        <w:tabs>
          <w:tab w:val="left" w:pos="993"/>
        </w:tabs>
        <w:spacing w:before="240" w:after="160" w:line="360" w:lineRule="auto"/>
        <w:ind w:left="1134"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t>“Artículo 71. Las infracciones a lo dispuesto en esta Ley, se sancionarán por la Secretaría de conformidad con lo siguiente:</w:t>
      </w:r>
    </w:p>
    <w:p w14:paraId="7E8EA719" w14:textId="77777777" w:rsidR="00B35F13" w:rsidRDefault="00D91017" w:rsidP="00B35F13">
      <w:pPr>
        <w:pStyle w:val="Textoindependiente"/>
        <w:tabs>
          <w:tab w:val="left" w:pos="993"/>
        </w:tabs>
        <w:spacing w:before="240" w:after="160" w:line="360" w:lineRule="auto"/>
        <w:ind w:left="1418"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t>[…]</w:t>
      </w:r>
    </w:p>
    <w:p w14:paraId="342F6BB7" w14:textId="77777777" w:rsidR="00B35F13" w:rsidRDefault="00D91017" w:rsidP="00B35F13">
      <w:pPr>
        <w:pStyle w:val="texto0"/>
        <w:spacing w:before="240" w:after="160" w:line="360" w:lineRule="auto"/>
        <w:ind w:left="1134" w:right="851" w:firstLine="0"/>
        <w:rPr>
          <w:rFonts w:ascii="ITC Avant Garde" w:hAnsi="ITC Avant Garde" w:cs="Times New Roman"/>
          <w:bCs/>
          <w:i/>
          <w:sz w:val="22"/>
          <w:szCs w:val="22"/>
          <w:lang w:val="es-MX"/>
        </w:rPr>
      </w:pPr>
      <w:r w:rsidRPr="002A2450">
        <w:rPr>
          <w:rFonts w:ascii="ITC Avant Garde" w:hAnsi="ITC Avant Garde" w:cs="Times New Roman"/>
          <w:bCs/>
          <w:i/>
          <w:sz w:val="22"/>
          <w:szCs w:val="22"/>
          <w:lang w:val="es-MX"/>
        </w:rPr>
        <w:t>B. Con multa de 4,000 a 40,000 salarios mínimos por:</w:t>
      </w:r>
    </w:p>
    <w:p w14:paraId="71E2E6E1" w14:textId="41AD6603" w:rsidR="00D91017" w:rsidRPr="002A2450" w:rsidRDefault="00D91017" w:rsidP="00B35F13">
      <w:pPr>
        <w:pStyle w:val="ROMANOS"/>
        <w:spacing w:before="240" w:after="160" w:line="360" w:lineRule="auto"/>
        <w:ind w:left="1134" w:right="851" w:firstLine="0"/>
        <w:rPr>
          <w:rFonts w:ascii="ITC Avant Garde" w:hAnsi="ITC Avant Garde" w:cs="Times New Roman"/>
          <w:bCs/>
          <w:i/>
          <w:sz w:val="22"/>
          <w:szCs w:val="22"/>
          <w:lang w:val="es-MX"/>
        </w:rPr>
      </w:pPr>
      <w:r w:rsidRPr="002A2450">
        <w:rPr>
          <w:rFonts w:ascii="ITC Avant Garde" w:hAnsi="ITC Avant Garde" w:cs="Times New Roman"/>
          <w:bCs/>
          <w:i/>
          <w:sz w:val="22"/>
          <w:szCs w:val="22"/>
          <w:lang w:val="es-MX"/>
        </w:rPr>
        <w:t>IV.</w:t>
      </w:r>
      <w:r w:rsidRPr="002A2450">
        <w:rPr>
          <w:rFonts w:ascii="ITC Avant Garde" w:hAnsi="ITC Avant Garde" w:cs="Times New Roman"/>
          <w:bCs/>
          <w:i/>
          <w:sz w:val="22"/>
          <w:szCs w:val="22"/>
          <w:lang w:val="es-MX"/>
        </w:rPr>
        <w:tab/>
        <w:t>No cumplir con las obligaciones o condiciones establecidas en los títulos de concesión o permiso.</w:t>
      </w:r>
    </w:p>
    <w:p w14:paraId="40534F40" w14:textId="77777777" w:rsidR="00B35F13" w:rsidRDefault="00D91017" w:rsidP="00B35F13">
      <w:pPr>
        <w:pStyle w:val="Textoindependiente"/>
        <w:tabs>
          <w:tab w:val="left" w:pos="993"/>
        </w:tabs>
        <w:spacing w:before="240" w:after="160" w:line="360" w:lineRule="auto"/>
        <w:ind w:left="1418"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t>[…]</w:t>
      </w:r>
    </w:p>
    <w:p w14:paraId="3A0FBFA9" w14:textId="77777777" w:rsidR="00B35F13" w:rsidRDefault="00D91017" w:rsidP="00B35F13">
      <w:pPr>
        <w:pStyle w:val="Textoindependiente"/>
        <w:tabs>
          <w:tab w:val="left" w:pos="993"/>
        </w:tabs>
        <w:spacing w:before="240" w:after="160" w:line="360" w:lineRule="auto"/>
        <w:ind w:left="1134"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lastRenderedPageBreak/>
        <w:t xml:space="preserve">Para los efectos del presente capítulo, se entiende por salario mínimo, el salario mínimo general diario vigente en el Distrito Federal al momento de cometerse la infracción.” </w:t>
      </w:r>
    </w:p>
    <w:p w14:paraId="56226C16" w14:textId="77777777" w:rsidR="00B35F13" w:rsidRDefault="00593854" w:rsidP="00B35F13">
      <w:pPr>
        <w:pStyle w:val="Textoindependiente"/>
        <w:tabs>
          <w:tab w:val="left" w:pos="993"/>
        </w:tabs>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ese sentido </w:t>
      </w:r>
      <w:r w:rsidR="00D91017" w:rsidRPr="002A2450">
        <w:rPr>
          <w:rFonts w:ascii="ITC Avant Garde" w:eastAsia="Times New Roman" w:hAnsi="ITC Avant Garde"/>
          <w:bCs/>
          <w:lang w:eastAsia="es-MX"/>
        </w:rPr>
        <w:t>a efecto de determinar el monto de la sanción de referencia, esta autoridad debe tomar en consideración el momento en que se concretó la conducta que se pretende sancionar para determinar el Salario Mínimo General Vigente (</w:t>
      </w:r>
      <w:r w:rsidR="00D91017" w:rsidRPr="002A2450">
        <w:rPr>
          <w:rFonts w:ascii="ITC Avant Garde" w:eastAsia="Times New Roman" w:hAnsi="ITC Avant Garde"/>
          <w:b/>
          <w:bCs/>
          <w:lang w:eastAsia="es-MX"/>
        </w:rPr>
        <w:t>“SMGDV”</w:t>
      </w:r>
      <w:r w:rsidR="00D91017" w:rsidRPr="002A2450">
        <w:rPr>
          <w:rFonts w:ascii="ITC Avant Garde" w:eastAsia="Times New Roman" w:hAnsi="ITC Avant Garde"/>
          <w:bCs/>
          <w:lang w:eastAsia="es-MX"/>
        </w:rPr>
        <w:t>) que se utilizará para el cálculo y determinación de la misma.</w:t>
      </w:r>
    </w:p>
    <w:p w14:paraId="7492D6D1" w14:textId="77777777" w:rsidR="00B35F13" w:rsidRDefault="00D65A99" w:rsidP="00B35F13">
      <w:pPr>
        <w:pStyle w:val="Textoindependiente"/>
        <w:tabs>
          <w:tab w:val="left" w:pos="993"/>
        </w:tabs>
        <w:spacing w:before="240" w:after="160" w:line="360" w:lineRule="auto"/>
        <w:jc w:val="both"/>
        <w:rPr>
          <w:rFonts w:ascii="ITC Avant Garde" w:hAnsi="ITC Avant Garde"/>
          <w:iCs/>
          <w:lang w:eastAsia="es-MX"/>
        </w:rPr>
      </w:pPr>
      <w:r w:rsidRPr="002A2450">
        <w:rPr>
          <w:rFonts w:ascii="ITC Avant Garde" w:hAnsi="ITC Avant Garde"/>
          <w:iCs/>
          <w:lang w:eastAsia="es-MX"/>
        </w:rPr>
        <w:t xml:space="preserve">Ahora bien, toda vez que la conducta que se pretende sancionar cesó en sus efectos </w:t>
      </w:r>
      <w:r w:rsidR="00547A6E" w:rsidRPr="002A2450">
        <w:rPr>
          <w:rFonts w:ascii="ITC Avant Garde" w:hAnsi="ITC Avant Garde"/>
          <w:iCs/>
          <w:lang w:eastAsia="es-MX"/>
        </w:rPr>
        <w:t xml:space="preserve"> </w:t>
      </w:r>
      <w:r w:rsidR="00CF73A7">
        <w:rPr>
          <w:rFonts w:ascii="ITC Avant Garde" w:hAnsi="ITC Avant Garde"/>
          <w:iCs/>
          <w:lang w:eastAsia="es-MX"/>
        </w:rPr>
        <w:t xml:space="preserve">el ocho de </w:t>
      </w:r>
      <w:r w:rsidR="00547A6E" w:rsidRPr="002A2450">
        <w:rPr>
          <w:rFonts w:ascii="ITC Avant Garde" w:hAnsi="ITC Avant Garde"/>
          <w:iCs/>
          <w:lang w:eastAsia="es-MX"/>
        </w:rPr>
        <w:t xml:space="preserve">agosto de </w:t>
      </w:r>
      <w:r w:rsidRPr="002A2450">
        <w:rPr>
          <w:rFonts w:ascii="ITC Avant Garde" w:hAnsi="ITC Avant Garde"/>
          <w:iCs/>
          <w:lang w:eastAsia="es-MX"/>
        </w:rPr>
        <w:t>dos mil catorce, la multa que se imponga tendrá como base el salario mínimo establecido para dicha anualidad.</w:t>
      </w:r>
    </w:p>
    <w:p w14:paraId="239D6D5F" w14:textId="77777777" w:rsidR="00B35F13" w:rsidRDefault="00F9725F" w:rsidP="00B35F13">
      <w:pPr>
        <w:pStyle w:val="Textoindependiente"/>
        <w:tabs>
          <w:tab w:val="left" w:pos="993"/>
        </w:tabs>
        <w:spacing w:before="240" w:after="160" w:line="360" w:lineRule="auto"/>
        <w:jc w:val="both"/>
        <w:rPr>
          <w:rFonts w:ascii="ITC Avant Garde" w:hAnsi="ITC Avant Garde"/>
          <w:iCs/>
          <w:lang w:eastAsia="es-MX"/>
        </w:rPr>
      </w:pPr>
      <w:r w:rsidRPr="002A2450">
        <w:rPr>
          <w:rFonts w:ascii="ITC Avant Garde" w:hAnsi="ITC Avant Garde"/>
          <w:iCs/>
          <w:lang w:eastAsia="es-MX"/>
        </w:rPr>
        <w:t xml:space="preserve">Al respecto, el </w:t>
      </w:r>
      <w:r w:rsidR="009E54AA" w:rsidRPr="002A2450">
        <w:rPr>
          <w:rFonts w:ascii="ITC Avant Garde" w:hAnsi="ITC Avant Garde"/>
          <w:iCs/>
          <w:lang w:eastAsia="es-MX"/>
        </w:rPr>
        <w:t xml:space="preserve">veintiséis </w:t>
      </w:r>
      <w:r w:rsidRPr="002A2450">
        <w:rPr>
          <w:rFonts w:ascii="ITC Avant Garde" w:hAnsi="ITC Avant Garde"/>
          <w:iCs/>
          <w:lang w:eastAsia="es-MX"/>
        </w:rPr>
        <w:t>de diciembre de dos mil</w:t>
      </w:r>
      <w:r w:rsidR="009E54AA" w:rsidRPr="002A2450">
        <w:rPr>
          <w:rFonts w:ascii="ITC Avant Garde" w:hAnsi="ITC Avant Garde"/>
          <w:iCs/>
          <w:lang w:eastAsia="es-MX"/>
        </w:rPr>
        <w:t xml:space="preserve"> trece</w:t>
      </w:r>
      <w:r w:rsidRPr="002A2450">
        <w:rPr>
          <w:rFonts w:ascii="ITC Avant Garde" w:hAnsi="ITC Avant Garde"/>
          <w:iCs/>
          <w:lang w:eastAsia="es-MX"/>
        </w:rPr>
        <w:t xml:space="preserve">, el Consejo de Representantes de la Comisión Nacional de Salarios Mínimos publicó en el </w:t>
      </w:r>
      <w:r w:rsidRPr="002A2450">
        <w:rPr>
          <w:rFonts w:ascii="ITC Avant Garde" w:hAnsi="ITC Avant Garde"/>
          <w:b/>
          <w:iCs/>
          <w:lang w:eastAsia="es-MX"/>
        </w:rPr>
        <w:t xml:space="preserve">“DOF” </w:t>
      </w:r>
      <w:r w:rsidRPr="002A2450">
        <w:rPr>
          <w:rFonts w:ascii="ITC Avant Garde" w:hAnsi="ITC Avant Garde"/>
          <w:iCs/>
          <w:lang w:eastAsia="es-MX"/>
        </w:rPr>
        <w:t xml:space="preserve">los salarios mínimos generales y profesionales vigentes a partir de dos mil </w:t>
      </w:r>
      <w:r w:rsidR="009E54AA" w:rsidRPr="002A2450">
        <w:rPr>
          <w:rFonts w:ascii="ITC Avant Garde" w:hAnsi="ITC Avant Garde"/>
          <w:iCs/>
          <w:lang w:eastAsia="es-MX"/>
        </w:rPr>
        <w:t>catorce</w:t>
      </w:r>
      <w:r w:rsidRPr="002A2450">
        <w:rPr>
          <w:rFonts w:ascii="ITC Avant Garde" w:hAnsi="ITC Avant Garde"/>
          <w:iCs/>
          <w:lang w:eastAsia="es-MX"/>
        </w:rPr>
        <w:t xml:space="preserve">, el cuál fue de </w:t>
      </w:r>
      <w:r w:rsidRPr="002A2450">
        <w:rPr>
          <w:rFonts w:ascii="ITC Avant Garde" w:hAnsi="ITC Avant Garde"/>
          <w:b/>
          <w:iCs/>
          <w:lang w:eastAsia="es-MX"/>
        </w:rPr>
        <w:t>$</w:t>
      </w:r>
      <w:r w:rsidR="009E54AA" w:rsidRPr="002A2450">
        <w:rPr>
          <w:rFonts w:ascii="ITC Avant Garde" w:hAnsi="ITC Avant Garde"/>
          <w:b/>
          <w:iCs/>
          <w:lang w:eastAsia="es-MX"/>
        </w:rPr>
        <w:t>67.29</w:t>
      </w:r>
      <w:r w:rsidRPr="002A2450">
        <w:rPr>
          <w:rFonts w:ascii="ITC Avant Garde" w:hAnsi="ITC Avant Garde"/>
          <w:iCs/>
          <w:lang w:eastAsia="es-MX"/>
        </w:rPr>
        <w:t xml:space="preserve"> (Setenta y tres pesos 04/100 M.N.)</w:t>
      </w:r>
      <w:r w:rsidR="00726267" w:rsidRPr="002A2450">
        <w:rPr>
          <w:rFonts w:ascii="ITC Avant Garde" w:hAnsi="ITC Avant Garde"/>
          <w:iCs/>
          <w:lang w:eastAsia="es-MX"/>
        </w:rPr>
        <w:t>.</w:t>
      </w:r>
    </w:p>
    <w:p w14:paraId="78522F04" w14:textId="77777777" w:rsidR="00B35F13" w:rsidRDefault="00D65A99" w:rsidP="00B35F13">
      <w:pPr>
        <w:pStyle w:val="Textoindependiente"/>
        <w:tabs>
          <w:tab w:val="left" w:pos="993"/>
        </w:tabs>
        <w:spacing w:before="240" w:after="160" w:line="360" w:lineRule="auto"/>
        <w:jc w:val="both"/>
        <w:rPr>
          <w:rFonts w:ascii="ITC Avant Garde" w:eastAsia="Times New Roman" w:hAnsi="ITC Avant Garde"/>
          <w:b/>
          <w:bCs/>
          <w:lang w:eastAsia="es-MX"/>
        </w:rPr>
      </w:pPr>
      <w:r w:rsidRPr="002A2450">
        <w:rPr>
          <w:rFonts w:ascii="ITC Avant Garde" w:eastAsia="Times New Roman" w:hAnsi="ITC Avant Garde"/>
          <w:b/>
          <w:bCs/>
          <w:lang w:eastAsia="es-MX"/>
        </w:rPr>
        <w:t>INDIVIDUALIZACIÓN DE LA MULTA</w:t>
      </w:r>
    </w:p>
    <w:p w14:paraId="297F60C8" w14:textId="77777777" w:rsidR="00B35F13" w:rsidRDefault="00D65A99"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P</w:t>
      </w:r>
      <w:r w:rsidR="00D91017" w:rsidRPr="002A2450">
        <w:rPr>
          <w:rFonts w:ascii="ITC Avant Garde" w:eastAsia="Times New Roman" w:hAnsi="ITC Avant Garde" w:cs="Times New Roman"/>
          <w:bCs/>
          <w:lang w:eastAsia="es-MX"/>
        </w:rPr>
        <w:t xml:space="preserve">ara individualizar la multa que procede imponer a </w:t>
      </w:r>
      <w:r w:rsidR="009E54AA" w:rsidRPr="002A2450">
        <w:rPr>
          <w:rFonts w:ascii="ITC Avant Garde" w:eastAsia="Times New Roman" w:hAnsi="ITC Avant Garde"/>
          <w:b/>
          <w:bCs/>
          <w:lang w:eastAsia="es-MX"/>
        </w:rPr>
        <w:t>“TELMEX”</w:t>
      </w:r>
      <w:r w:rsidR="00D91017" w:rsidRPr="002A2450">
        <w:rPr>
          <w:rFonts w:ascii="ITC Avant Garde" w:eastAsia="Times New Roman" w:hAnsi="ITC Avant Garde"/>
          <w:lang w:eastAsia="es-MX"/>
        </w:rPr>
        <w:t xml:space="preserve">, </w:t>
      </w:r>
      <w:r w:rsidR="00D91017" w:rsidRPr="002A2450">
        <w:rPr>
          <w:rFonts w:ascii="ITC Avant Garde" w:eastAsia="Times New Roman" w:hAnsi="ITC Avant Garde" w:cs="Times New Roman"/>
          <w:bCs/>
          <w:lang w:eastAsia="es-MX"/>
        </w:rPr>
        <w:t>por violación al</w:t>
      </w:r>
      <w:r w:rsidRPr="002A2450">
        <w:rPr>
          <w:rFonts w:ascii="ITC Avant Garde" w:eastAsia="Times New Roman" w:hAnsi="ITC Avant Garde" w:cs="Times New Roman"/>
          <w:bCs/>
          <w:lang w:eastAsia="es-MX"/>
        </w:rPr>
        <w:t xml:space="preserve"> </w:t>
      </w:r>
      <w:r w:rsidR="00065AA4" w:rsidRPr="009E34A4">
        <w:rPr>
          <w:rFonts w:ascii="ITC Avant Garde" w:eastAsia="Times New Roman" w:hAnsi="ITC Avant Garde" w:cs="Times New Roman"/>
          <w:b/>
          <w:bCs/>
          <w:lang w:eastAsia="es-MX"/>
        </w:rPr>
        <w:t>Tercer Párrafo</w:t>
      </w:r>
      <w:r w:rsidRPr="002A2450">
        <w:rPr>
          <w:rFonts w:ascii="ITC Avant Garde" w:eastAsia="Times New Roman" w:hAnsi="ITC Avant Garde" w:cs="Times New Roman"/>
          <w:bCs/>
          <w:lang w:eastAsia="es-MX"/>
        </w:rPr>
        <w:t xml:space="preserve"> de la</w:t>
      </w:r>
      <w:r w:rsidR="00D91017" w:rsidRPr="002A2450">
        <w:rPr>
          <w:rFonts w:ascii="ITC Avant Garde" w:eastAsia="Times New Roman" w:hAnsi="ITC Avant Garde" w:cs="Times New Roman"/>
          <w:bCs/>
          <w:lang w:eastAsia="es-MX"/>
        </w:rPr>
        <w:t xml:space="preserve"> condición </w:t>
      </w:r>
      <w:r w:rsidR="009E54AA" w:rsidRPr="002A2450">
        <w:rPr>
          <w:rFonts w:ascii="ITC Avant Garde" w:eastAsia="Times New Roman" w:hAnsi="ITC Avant Garde" w:cs="Times New Roman"/>
          <w:bCs/>
          <w:lang w:eastAsia="es-MX"/>
        </w:rPr>
        <w:t xml:space="preserve">1-9 de </w:t>
      </w:r>
      <w:r w:rsidR="00D91017" w:rsidRPr="002A2450">
        <w:rPr>
          <w:rFonts w:ascii="ITC Avant Garde" w:hAnsi="ITC Avant Garde"/>
        </w:rPr>
        <w:t xml:space="preserve">su </w:t>
      </w:r>
      <w:r w:rsidR="009E54AA" w:rsidRPr="002A2450">
        <w:rPr>
          <w:rFonts w:ascii="ITC Avant Garde" w:hAnsi="ITC Avant Garde"/>
          <w:b/>
        </w:rPr>
        <w:t>“TÍTULO DE CONCESIÓN”</w:t>
      </w:r>
      <w:r w:rsidRPr="002A2450">
        <w:rPr>
          <w:rFonts w:ascii="ITC Avant Garde" w:eastAsia="Times New Roman" w:hAnsi="ITC Avant Garde" w:cs="Times New Roman"/>
          <w:bCs/>
          <w:lang w:eastAsia="es-MX"/>
        </w:rPr>
        <w:t xml:space="preserve">, esta autoridad </w:t>
      </w:r>
      <w:r w:rsidR="00D91017" w:rsidRPr="002A2450">
        <w:rPr>
          <w:rFonts w:ascii="ITC Avant Garde" w:eastAsia="Times New Roman" w:hAnsi="ITC Avant Garde" w:cs="Times New Roman"/>
          <w:bCs/>
          <w:lang w:eastAsia="es-MX"/>
        </w:rPr>
        <w:t>debe atender a lo establecido en l</w:t>
      </w:r>
      <w:r w:rsidRPr="002A2450">
        <w:rPr>
          <w:rFonts w:ascii="ITC Avant Garde" w:eastAsia="Times New Roman" w:hAnsi="ITC Avant Garde" w:cs="Times New Roman"/>
          <w:bCs/>
          <w:lang w:eastAsia="es-MX"/>
        </w:rPr>
        <w:t>os</w:t>
      </w:r>
      <w:r w:rsidR="00D91017" w:rsidRPr="002A2450">
        <w:rPr>
          <w:rFonts w:ascii="ITC Avant Garde" w:eastAsia="Times New Roman" w:hAnsi="ITC Avant Garde" w:cs="Times New Roman"/>
          <w:bCs/>
          <w:lang w:eastAsia="es-MX"/>
        </w:rPr>
        <w:t xml:space="preserve"> </w:t>
      </w:r>
      <w:r w:rsidRPr="002A2450">
        <w:rPr>
          <w:rFonts w:ascii="ITC Avant Garde" w:eastAsia="Times New Roman" w:hAnsi="ITC Avant Garde" w:cs="Times New Roman"/>
          <w:bCs/>
          <w:lang w:eastAsia="es-MX"/>
        </w:rPr>
        <w:t xml:space="preserve">artículos 71, apartado B), fracción IV y 74 de la </w:t>
      </w:r>
      <w:r w:rsidRPr="002A2450">
        <w:rPr>
          <w:rFonts w:ascii="ITC Avant Garde" w:eastAsia="Times New Roman" w:hAnsi="ITC Avant Garde" w:cs="Times New Roman"/>
          <w:b/>
          <w:bCs/>
          <w:lang w:eastAsia="es-MX"/>
        </w:rPr>
        <w:t>“LFT”</w:t>
      </w:r>
      <w:r w:rsidR="00547A6E" w:rsidRPr="002A2450">
        <w:rPr>
          <w:rFonts w:ascii="ITC Avant Garde" w:eastAsia="Times New Roman" w:hAnsi="ITC Avant Garde" w:cs="Times New Roman"/>
          <w:b/>
          <w:bCs/>
          <w:lang w:eastAsia="es-MX"/>
        </w:rPr>
        <w:t xml:space="preserve">, en relación con el 73 de la </w:t>
      </w:r>
      <w:r w:rsidR="00547A6E" w:rsidRPr="002A2450">
        <w:rPr>
          <w:rFonts w:ascii="ITC Avant Garde" w:eastAsia="Times New Roman" w:hAnsi="ITC Avant Garde" w:cs="Times New Roman"/>
          <w:bCs/>
          <w:lang w:eastAsia="es-MX"/>
        </w:rPr>
        <w:t>“LFPA”</w:t>
      </w:r>
      <w:r w:rsidRPr="002A2450">
        <w:rPr>
          <w:rFonts w:ascii="ITC Avant Garde" w:eastAsia="Times New Roman" w:hAnsi="ITC Avant Garde" w:cs="Times New Roman"/>
          <w:bCs/>
          <w:lang w:eastAsia="es-MX"/>
        </w:rPr>
        <w:t>, los cuales señalan lo siguiente:</w:t>
      </w:r>
    </w:p>
    <w:p w14:paraId="61F1C3B9" w14:textId="03E2A923" w:rsidR="00F65ECB" w:rsidRPr="002A2450" w:rsidRDefault="00F65ECB" w:rsidP="00B35F13">
      <w:pPr>
        <w:pStyle w:val="Sangradetextonormal"/>
        <w:spacing w:before="240" w:after="160" w:line="360" w:lineRule="auto"/>
        <w:ind w:left="567" w:right="567"/>
        <w:jc w:val="both"/>
        <w:rPr>
          <w:rFonts w:ascii="ITC Avant Garde" w:eastAsia="Times New Roman" w:hAnsi="ITC Avant Garde" w:cs="Times New Roman"/>
          <w:bCs/>
          <w:i/>
          <w:lang w:eastAsia="es-MX"/>
        </w:rPr>
      </w:pPr>
      <w:r w:rsidRPr="002A2450">
        <w:rPr>
          <w:rFonts w:ascii="ITC Avant Garde" w:eastAsia="Times New Roman" w:hAnsi="ITC Avant Garde" w:cs="Times New Roman"/>
          <w:b/>
          <w:bCs/>
          <w:i/>
          <w:lang w:eastAsia="es-MX"/>
        </w:rPr>
        <w:t>Artículo 71.</w:t>
      </w:r>
      <w:r w:rsidR="008F718E" w:rsidRPr="002A2450">
        <w:rPr>
          <w:rFonts w:ascii="ITC Avant Garde" w:eastAsia="Times New Roman" w:hAnsi="ITC Avant Garde" w:cs="Times New Roman"/>
          <w:b/>
          <w:bCs/>
          <w:i/>
          <w:color w:val="C00000"/>
          <w:lang w:eastAsia="es-MX"/>
        </w:rPr>
        <w:t xml:space="preserve"> </w:t>
      </w:r>
      <w:r w:rsidRPr="002A2450">
        <w:rPr>
          <w:rFonts w:ascii="ITC Avant Garde" w:eastAsia="Times New Roman" w:hAnsi="ITC Avant Garde" w:cs="Times New Roman"/>
          <w:bCs/>
          <w:i/>
          <w:lang w:eastAsia="es-MX"/>
        </w:rPr>
        <w:t>Las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infracciones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lo</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dispuesto</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en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esta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Ley,</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se</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sancionarán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por</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Secretaría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de conformidad con lo siguiente:</w:t>
      </w:r>
    </w:p>
    <w:p w14:paraId="12EE7058" w14:textId="77777777" w:rsidR="00F65ECB" w:rsidRPr="002A2450" w:rsidRDefault="00F65ECB" w:rsidP="00B35F13">
      <w:pPr>
        <w:pStyle w:val="Sangradetextonormal"/>
        <w:spacing w:before="240" w:after="160" w:line="360" w:lineRule="auto"/>
        <w:ind w:left="567" w:right="567"/>
        <w:jc w:val="both"/>
        <w:rPr>
          <w:rFonts w:ascii="ITC Avant Garde" w:eastAsia="Times New Roman" w:hAnsi="ITC Avant Garde" w:cs="Times New Roman"/>
          <w:b/>
          <w:bCs/>
          <w:i/>
          <w:lang w:eastAsia="es-MX"/>
        </w:rPr>
      </w:pPr>
      <w:r w:rsidRPr="002A2450">
        <w:rPr>
          <w:rFonts w:ascii="ITC Avant Garde" w:eastAsia="Times New Roman" w:hAnsi="ITC Avant Garde" w:cs="Times New Roman"/>
          <w:b/>
          <w:bCs/>
          <w:i/>
          <w:lang w:eastAsia="es-MX"/>
        </w:rPr>
        <w:t>…</w:t>
      </w:r>
    </w:p>
    <w:p w14:paraId="6058952B" w14:textId="77777777" w:rsidR="00F65ECB" w:rsidRPr="002A2450" w:rsidRDefault="00F65ECB" w:rsidP="00B35F13">
      <w:pPr>
        <w:pStyle w:val="Sangradetextonormal"/>
        <w:spacing w:before="240" w:after="160" w:line="360" w:lineRule="auto"/>
        <w:ind w:left="567" w:right="567"/>
        <w:jc w:val="both"/>
        <w:rPr>
          <w:rFonts w:ascii="ITC Avant Garde" w:eastAsia="Times New Roman" w:hAnsi="ITC Avant Garde" w:cs="Times New Roman"/>
          <w:bCs/>
          <w:i/>
          <w:lang w:eastAsia="es-MX"/>
        </w:rPr>
      </w:pPr>
      <w:r w:rsidRPr="002A2450">
        <w:rPr>
          <w:rFonts w:ascii="ITC Avant Garde" w:eastAsia="Times New Roman" w:hAnsi="ITC Avant Garde" w:cs="Times New Roman"/>
          <w:b/>
          <w:bCs/>
          <w:i/>
          <w:lang w:eastAsia="es-MX"/>
        </w:rPr>
        <w:t>B.</w:t>
      </w:r>
      <w:r w:rsidR="008F718E" w:rsidRPr="002A2450">
        <w:rPr>
          <w:rFonts w:ascii="ITC Avant Garde" w:eastAsia="Times New Roman" w:hAnsi="ITC Avant Garde" w:cs="Times New Roman"/>
          <w:b/>
          <w:bCs/>
          <w:i/>
          <w:color w:val="C00000"/>
          <w:lang w:eastAsia="es-MX"/>
        </w:rPr>
        <w:t xml:space="preserve"> </w:t>
      </w:r>
      <w:r w:rsidRPr="002A2450">
        <w:rPr>
          <w:rFonts w:ascii="ITC Avant Garde" w:eastAsia="Times New Roman" w:hAnsi="ITC Avant Garde" w:cs="Times New Roman"/>
          <w:b/>
          <w:bCs/>
          <w:i/>
          <w:lang w:eastAsia="es-MX"/>
        </w:rPr>
        <w:t xml:space="preserve"> </w:t>
      </w:r>
      <w:r w:rsidRPr="002A2450">
        <w:rPr>
          <w:rFonts w:ascii="ITC Avant Garde" w:eastAsia="Times New Roman" w:hAnsi="ITC Avant Garde" w:cs="Times New Roman"/>
          <w:bCs/>
          <w:i/>
          <w:lang w:eastAsia="es-MX"/>
        </w:rPr>
        <w:t>Con multa de 4,000 a 40,000 salarios mínimos por:</w:t>
      </w:r>
    </w:p>
    <w:p w14:paraId="13F3215B" w14:textId="77777777" w:rsidR="00B35F13" w:rsidRDefault="00F65ECB" w:rsidP="00B35F13">
      <w:pPr>
        <w:pStyle w:val="Sangradetextonormal"/>
        <w:spacing w:before="240" w:after="160" w:line="360" w:lineRule="auto"/>
        <w:ind w:left="567" w:right="567"/>
        <w:jc w:val="both"/>
        <w:rPr>
          <w:rFonts w:ascii="ITC Avant Garde" w:eastAsia="Times New Roman" w:hAnsi="ITC Avant Garde" w:cs="Times New Roman"/>
          <w:b/>
          <w:bCs/>
          <w:i/>
          <w:lang w:eastAsia="es-MX"/>
        </w:rPr>
      </w:pPr>
      <w:r w:rsidRPr="002A2450">
        <w:rPr>
          <w:rFonts w:ascii="ITC Avant Garde" w:eastAsia="Times New Roman" w:hAnsi="ITC Avant Garde" w:cs="Times New Roman"/>
          <w:b/>
          <w:bCs/>
          <w:i/>
          <w:lang w:eastAsia="es-MX"/>
        </w:rPr>
        <w:t>…</w:t>
      </w:r>
    </w:p>
    <w:p w14:paraId="246AE3EF" w14:textId="77777777" w:rsidR="00B35F13" w:rsidRDefault="00F65ECB" w:rsidP="00B35F13">
      <w:pPr>
        <w:pStyle w:val="Sangradetextonormal"/>
        <w:spacing w:before="240" w:after="160" w:line="360" w:lineRule="auto"/>
        <w:ind w:left="567" w:right="567"/>
        <w:jc w:val="both"/>
        <w:rPr>
          <w:rFonts w:ascii="ITC Avant Garde" w:eastAsia="Times New Roman" w:hAnsi="ITC Avant Garde" w:cs="Times New Roman"/>
          <w:b/>
          <w:bCs/>
          <w:i/>
          <w:lang w:eastAsia="es-MX"/>
        </w:rPr>
      </w:pPr>
      <w:r w:rsidRPr="002A2450">
        <w:rPr>
          <w:rFonts w:ascii="ITC Avant Garde" w:eastAsia="Times New Roman" w:hAnsi="ITC Avant Garde" w:cs="Times New Roman"/>
          <w:b/>
          <w:bCs/>
          <w:i/>
          <w:lang w:eastAsia="es-MX"/>
        </w:rPr>
        <w:lastRenderedPageBreak/>
        <w:t>IV.</w:t>
      </w:r>
      <w:r w:rsidR="008F718E" w:rsidRPr="002A2450">
        <w:rPr>
          <w:rFonts w:ascii="ITC Avant Garde" w:eastAsia="Times New Roman" w:hAnsi="ITC Avant Garde" w:cs="Times New Roman"/>
          <w:b/>
          <w:bCs/>
          <w:i/>
          <w:color w:val="C00000"/>
          <w:lang w:eastAsia="es-MX"/>
        </w:rPr>
        <w:t xml:space="preserve"> </w:t>
      </w:r>
      <w:r w:rsidRPr="002A2450">
        <w:rPr>
          <w:rFonts w:ascii="ITC Avant Garde" w:eastAsia="Times New Roman" w:hAnsi="ITC Avant Garde" w:cs="Times New Roman"/>
          <w:bCs/>
          <w:i/>
          <w:lang w:eastAsia="es-MX"/>
        </w:rPr>
        <w:t>No</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cumplir</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con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las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obligaciones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o</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condiciones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establecidos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en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los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títulos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de</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concesión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o permiso</w:t>
      </w:r>
      <w:r w:rsidRPr="002A2450">
        <w:rPr>
          <w:rFonts w:ascii="ITC Avant Garde" w:eastAsia="Times New Roman" w:hAnsi="ITC Avant Garde" w:cs="Times New Roman"/>
          <w:b/>
          <w:bCs/>
          <w:i/>
          <w:lang w:eastAsia="es-MX"/>
        </w:rPr>
        <w:t>…”</w:t>
      </w:r>
    </w:p>
    <w:p w14:paraId="12F24FAD" w14:textId="77777777" w:rsidR="00B35F13" w:rsidRDefault="00D65A99" w:rsidP="00B35F13">
      <w:pPr>
        <w:pStyle w:val="Sangradetextonormal"/>
        <w:spacing w:before="240" w:after="160" w:line="360" w:lineRule="auto"/>
        <w:ind w:left="567" w:right="567"/>
        <w:jc w:val="both"/>
        <w:rPr>
          <w:rFonts w:ascii="ITC Avant Garde" w:eastAsia="Times New Roman" w:hAnsi="ITC Avant Garde" w:cs="Times New Roman"/>
          <w:bCs/>
          <w:i/>
          <w:lang w:eastAsia="es-MX"/>
        </w:rPr>
      </w:pPr>
      <w:r w:rsidRPr="002A2450">
        <w:rPr>
          <w:rFonts w:ascii="ITC Avant Garde" w:eastAsia="Times New Roman" w:hAnsi="ITC Avant Garde" w:cs="Times New Roman"/>
          <w:b/>
          <w:bCs/>
          <w:i/>
          <w:lang w:eastAsia="es-MX"/>
        </w:rPr>
        <w:t>Artículo 74.</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
          <w:bCs/>
          <w:i/>
          <w:u w:val="single"/>
          <w:lang w:eastAsia="es-MX"/>
        </w:rPr>
        <w:t>Para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declarar</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la</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revocación</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de</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las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concesiones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y</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Cs/>
          <w:i/>
          <w:lang w:eastAsia="es-MX"/>
        </w:rPr>
        <w:t>permisos;</w:t>
      </w:r>
      <w:r w:rsidR="008F718E" w:rsidRPr="002A2450">
        <w:rPr>
          <w:rFonts w:ascii="ITC Avant Garde" w:eastAsia="Times New Roman" w:hAnsi="ITC Avant Garde" w:cs="Times New Roman"/>
          <w:bCs/>
          <w:i/>
          <w:color w:val="C00000"/>
          <w:lang w:eastAsia="es-MX"/>
        </w:rPr>
        <w:t xml:space="preserve"> </w:t>
      </w:r>
      <w:r w:rsidRPr="002A2450">
        <w:rPr>
          <w:rFonts w:ascii="ITC Avant Garde" w:eastAsia="Times New Roman" w:hAnsi="ITC Avant Garde" w:cs="Times New Roman"/>
          <w:b/>
          <w:bCs/>
          <w:i/>
          <w:u w:val="single"/>
          <w:lang w:eastAsia="es-MX"/>
        </w:rPr>
        <w:t>la</w:t>
      </w:r>
      <w:r w:rsidR="008F718E" w:rsidRPr="002A2450">
        <w:rPr>
          <w:rFonts w:ascii="ITC Avant Garde" w:eastAsia="Times New Roman" w:hAnsi="ITC Avant Garde" w:cs="Times New Roman"/>
          <w:b/>
          <w:bCs/>
          <w:i/>
          <w:color w:val="C00000"/>
          <w:u w:val="single"/>
          <w:lang w:eastAsia="es-MX"/>
        </w:rPr>
        <w:t xml:space="preserve"> </w:t>
      </w:r>
      <w:r w:rsidRPr="002A2450">
        <w:rPr>
          <w:rFonts w:ascii="ITC Avant Garde" w:eastAsia="Times New Roman" w:hAnsi="ITC Avant Garde" w:cs="Times New Roman"/>
          <w:b/>
          <w:bCs/>
          <w:i/>
          <w:u w:val="single"/>
          <w:lang w:eastAsia="es-MX"/>
        </w:rPr>
        <w:t>imposición</w:t>
      </w:r>
      <w:r w:rsidR="008F718E" w:rsidRPr="002A2450">
        <w:rPr>
          <w:rFonts w:ascii="ITC Avant Garde" w:eastAsia="Times New Roman" w:hAnsi="ITC Avant Garde" w:cs="Times New Roman"/>
          <w:b/>
          <w:bCs/>
          <w:i/>
          <w:color w:val="C00000"/>
          <w:u w:val="single"/>
          <w:lang w:eastAsia="es-MX"/>
        </w:rPr>
        <w:t xml:space="preserve"> </w:t>
      </w:r>
      <w:r w:rsidRPr="002A2450">
        <w:rPr>
          <w:rFonts w:ascii="ITC Avant Garde" w:eastAsia="Times New Roman" w:hAnsi="ITC Avant Garde" w:cs="Times New Roman"/>
          <w:b/>
          <w:bCs/>
          <w:i/>
          <w:u w:val="single"/>
          <w:lang w:eastAsia="es-MX"/>
        </w:rPr>
        <w:t>de</w:t>
      </w:r>
      <w:r w:rsidR="008F718E" w:rsidRPr="002A2450">
        <w:rPr>
          <w:rFonts w:ascii="ITC Avant Garde" w:eastAsia="Times New Roman" w:hAnsi="ITC Avant Garde" w:cs="Times New Roman"/>
          <w:b/>
          <w:bCs/>
          <w:i/>
          <w:color w:val="C00000"/>
          <w:u w:val="single"/>
          <w:lang w:eastAsia="es-MX"/>
        </w:rPr>
        <w:t xml:space="preserve"> </w:t>
      </w:r>
      <w:r w:rsidRPr="002A2450">
        <w:rPr>
          <w:rFonts w:ascii="ITC Avant Garde" w:eastAsia="Times New Roman" w:hAnsi="ITC Avant Garde" w:cs="Times New Roman"/>
          <w:b/>
          <w:bCs/>
          <w:i/>
          <w:u w:val="single"/>
          <w:lang w:eastAsia="es-MX"/>
        </w:rPr>
        <w:t>las sanciones previstas en esta Ley</w:t>
      </w:r>
      <w:r w:rsidRPr="002A2450">
        <w:rPr>
          <w:rFonts w:ascii="ITC Avant Garde" w:eastAsia="Times New Roman" w:hAnsi="ITC Avant Garde" w:cs="Times New Roman"/>
          <w:bCs/>
          <w:i/>
          <w:lang w:eastAsia="es-MX"/>
        </w:rPr>
        <w:t xml:space="preserve">, así como para la interposición del recurso administrativo de revisión, </w:t>
      </w:r>
      <w:r w:rsidRPr="002A2450">
        <w:rPr>
          <w:rFonts w:ascii="ITC Avant Garde" w:eastAsia="Times New Roman" w:hAnsi="ITC Avant Garde" w:cs="Times New Roman"/>
          <w:b/>
          <w:bCs/>
          <w:i/>
          <w:u w:val="single"/>
          <w:lang w:eastAsia="es-MX"/>
        </w:rPr>
        <w:t>se estará a lo previsto por la Ley Federal de Procedimiento Administrativo</w:t>
      </w:r>
      <w:r w:rsidRPr="002A2450">
        <w:rPr>
          <w:rFonts w:ascii="ITC Avant Garde" w:eastAsia="Times New Roman" w:hAnsi="ITC Avant Garde" w:cs="Times New Roman"/>
          <w:bCs/>
          <w:i/>
          <w:lang w:eastAsia="es-MX"/>
        </w:rPr>
        <w:t>.</w:t>
      </w:r>
    </w:p>
    <w:p w14:paraId="697A2890" w14:textId="77777777" w:rsidR="00B35F13" w:rsidRDefault="00F65ECB" w:rsidP="00B35F13">
      <w:pPr>
        <w:pStyle w:val="Sangradetextonormal"/>
        <w:spacing w:before="240" w:after="160" w:line="360" w:lineRule="auto"/>
        <w:ind w:left="0"/>
        <w:jc w:val="both"/>
        <w:rPr>
          <w:rFonts w:ascii="ITC Avant Garde" w:eastAsia="Times New Roman" w:hAnsi="ITC Avant Garde" w:cs="Times New Roman"/>
          <w:b/>
          <w:bCs/>
          <w:lang w:eastAsia="es-MX"/>
        </w:rPr>
      </w:pPr>
      <w:r w:rsidRPr="002A2450">
        <w:rPr>
          <w:rFonts w:ascii="ITC Avant Garde" w:eastAsia="Times New Roman" w:hAnsi="ITC Avant Garde" w:cs="Times New Roman"/>
          <w:bCs/>
          <w:lang w:eastAsia="es-MX"/>
        </w:rPr>
        <w:t xml:space="preserve">Con base en los artículos señalados, es dable considerar tal y como se ha </w:t>
      </w:r>
      <w:r w:rsidR="00547A6E" w:rsidRPr="002A2450">
        <w:rPr>
          <w:rFonts w:ascii="ITC Avant Garde" w:eastAsia="Times New Roman" w:hAnsi="ITC Avant Garde" w:cs="Times New Roman"/>
          <w:bCs/>
          <w:lang w:eastAsia="es-MX"/>
        </w:rPr>
        <w:t xml:space="preserve">precisado con anterioridad </w:t>
      </w:r>
      <w:r w:rsidRPr="002A2450">
        <w:rPr>
          <w:rFonts w:ascii="ITC Avant Garde" w:eastAsia="Times New Roman" w:hAnsi="ITC Avant Garde" w:cs="Times New Roman"/>
          <w:bCs/>
          <w:lang w:eastAsia="es-MX"/>
        </w:rPr>
        <w:t xml:space="preserve">la ley aplicable al momento en que se consumó la conducta imputada a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es la </w:t>
      </w:r>
      <w:r w:rsidRPr="002A2450">
        <w:rPr>
          <w:rFonts w:ascii="ITC Avant Garde" w:eastAsia="Times New Roman" w:hAnsi="ITC Avant Garde" w:cs="Times New Roman"/>
          <w:b/>
          <w:bCs/>
          <w:lang w:eastAsia="es-MX"/>
        </w:rPr>
        <w:t>“LFT”</w:t>
      </w:r>
      <w:r w:rsidR="00547A6E" w:rsidRPr="002A2450">
        <w:rPr>
          <w:rFonts w:ascii="ITC Avant Garde" w:eastAsia="Times New Roman" w:hAnsi="ITC Avant Garde" w:cs="Times New Roman"/>
          <w:b/>
          <w:bCs/>
          <w:lang w:eastAsia="es-MX"/>
        </w:rPr>
        <w:t xml:space="preserve"> </w:t>
      </w:r>
      <w:r w:rsidR="00547A6E" w:rsidRPr="002A2450">
        <w:rPr>
          <w:rFonts w:ascii="ITC Avant Garde" w:eastAsia="Times New Roman" w:hAnsi="ITC Avant Garde" w:cs="Times New Roman"/>
          <w:bCs/>
          <w:lang w:eastAsia="es-MX"/>
        </w:rPr>
        <w:t>y en consecuencia</w:t>
      </w:r>
      <w:r w:rsidRPr="002A2450">
        <w:rPr>
          <w:rFonts w:ascii="ITC Avant Garde" w:eastAsia="Times New Roman" w:hAnsi="ITC Avant Garde" w:cs="Times New Roman"/>
          <w:bCs/>
          <w:lang w:eastAsia="es-MX"/>
        </w:rPr>
        <w:t>,</w:t>
      </w:r>
      <w:r w:rsidR="00AF5636" w:rsidRPr="002A2450">
        <w:rPr>
          <w:rFonts w:ascii="ITC Avant Garde" w:eastAsia="Times New Roman" w:hAnsi="ITC Avant Garde" w:cs="Times New Roman"/>
          <w:bCs/>
          <w:lang w:eastAsia="es-MX"/>
        </w:rPr>
        <w:t xml:space="preserve"> dicha normatividad establece en su artículo 74 que para la imposición de las sanciones previstas en </w:t>
      </w:r>
      <w:r w:rsidR="00547A6E" w:rsidRPr="002A2450">
        <w:rPr>
          <w:rFonts w:ascii="ITC Avant Garde" w:eastAsia="Times New Roman" w:hAnsi="ITC Avant Garde" w:cs="Times New Roman"/>
          <w:bCs/>
          <w:lang w:eastAsia="es-MX"/>
        </w:rPr>
        <w:t>dicha ley</w:t>
      </w:r>
      <w:r w:rsidR="00AF5636" w:rsidRPr="002A2450">
        <w:rPr>
          <w:rFonts w:ascii="ITC Avant Garde" w:eastAsia="Times New Roman" w:hAnsi="ITC Avant Garde" w:cs="Times New Roman"/>
          <w:bCs/>
          <w:lang w:eastAsia="es-MX"/>
        </w:rPr>
        <w:t xml:space="preserve">, se estará a lo previsto en la </w:t>
      </w:r>
      <w:r w:rsidR="00AF5636" w:rsidRPr="002A2450">
        <w:rPr>
          <w:rFonts w:ascii="ITC Avant Garde" w:eastAsia="Times New Roman" w:hAnsi="ITC Avant Garde" w:cs="Times New Roman"/>
          <w:b/>
          <w:bCs/>
          <w:lang w:eastAsia="es-MX"/>
        </w:rPr>
        <w:t>“LFPA”.</w:t>
      </w:r>
    </w:p>
    <w:p w14:paraId="6FCC54A0" w14:textId="77777777" w:rsidR="00B35F13" w:rsidRDefault="00AF5636" w:rsidP="00B35F13">
      <w:pPr>
        <w:pStyle w:val="Sangradetextonormal"/>
        <w:spacing w:before="240" w:after="160" w:line="360" w:lineRule="auto"/>
        <w:ind w:left="0"/>
        <w:jc w:val="both"/>
        <w:rPr>
          <w:rFonts w:ascii="ITC Avant Garde" w:eastAsia="Times New Roman" w:hAnsi="ITC Avant Garde" w:cs="Times New Roman"/>
          <w:b/>
          <w:bCs/>
          <w:lang w:eastAsia="es-MX"/>
        </w:rPr>
      </w:pPr>
      <w:r w:rsidRPr="002A2450">
        <w:rPr>
          <w:rFonts w:ascii="ITC Avant Garde" w:eastAsia="Times New Roman" w:hAnsi="ITC Avant Garde" w:cs="Times New Roman"/>
          <w:bCs/>
          <w:lang w:eastAsia="es-MX"/>
        </w:rPr>
        <w:t xml:space="preserve">Lo anterior, es consistente con la actual </w:t>
      </w:r>
      <w:r w:rsidRPr="002A2450">
        <w:rPr>
          <w:rFonts w:ascii="ITC Avant Garde" w:eastAsia="Times New Roman" w:hAnsi="ITC Avant Garde" w:cs="Times New Roman"/>
          <w:b/>
          <w:bCs/>
          <w:lang w:eastAsia="es-MX"/>
        </w:rPr>
        <w:t>“</w:t>
      </w:r>
      <w:proofErr w:type="spellStart"/>
      <w:r w:rsidRPr="002A2450">
        <w:rPr>
          <w:rFonts w:ascii="ITC Avant Garde" w:eastAsia="Times New Roman" w:hAnsi="ITC Avant Garde" w:cs="Times New Roman"/>
          <w:b/>
          <w:bCs/>
          <w:lang w:eastAsia="es-MX"/>
        </w:rPr>
        <w:t>LFTyR</w:t>
      </w:r>
      <w:proofErr w:type="spellEnd"/>
      <w:r w:rsidRPr="002A2450">
        <w:rPr>
          <w:rFonts w:ascii="ITC Avant Garde" w:eastAsia="Times New Roman" w:hAnsi="ITC Avant Garde" w:cs="Times New Roman"/>
          <w:b/>
          <w:bCs/>
          <w:lang w:eastAsia="es-MX"/>
        </w:rPr>
        <w:t>”</w:t>
      </w:r>
      <w:r w:rsidRPr="002A2450">
        <w:rPr>
          <w:rFonts w:ascii="ITC Avant Garde" w:eastAsia="Times New Roman" w:hAnsi="ITC Avant Garde" w:cs="Times New Roman"/>
          <w:bCs/>
          <w:lang w:eastAsia="es-MX"/>
        </w:rPr>
        <w:t xml:space="preserve"> ya que en su artículo 297, establece que las infracciones a los títulos de concesión se tramitarán en términos de la </w:t>
      </w:r>
      <w:r w:rsidRPr="002A2450">
        <w:rPr>
          <w:rFonts w:ascii="ITC Avant Garde" w:eastAsia="Times New Roman" w:hAnsi="ITC Avant Garde" w:cs="Times New Roman"/>
          <w:b/>
          <w:bCs/>
          <w:lang w:eastAsia="es-MX"/>
        </w:rPr>
        <w:t>“LFPA”</w:t>
      </w:r>
      <w:r w:rsidR="00CF73A7" w:rsidRPr="009E34A4">
        <w:rPr>
          <w:rFonts w:ascii="ITC Avant Garde" w:eastAsia="Times New Roman" w:hAnsi="ITC Avant Garde" w:cs="Times New Roman"/>
          <w:bCs/>
          <w:lang w:eastAsia="es-MX"/>
        </w:rPr>
        <w:t xml:space="preserve">, y en tal sentido, la sustanciación del procedimiento sancionador se llevó a cabo en términos de la ley vigente al momento de su inicio, esto es la </w:t>
      </w:r>
      <w:r w:rsidR="00CF73A7" w:rsidRPr="00CF73A7">
        <w:rPr>
          <w:rFonts w:ascii="ITC Avant Garde" w:eastAsia="Times New Roman" w:hAnsi="ITC Avant Garde" w:cs="Times New Roman"/>
          <w:b/>
          <w:bCs/>
          <w:lang w:eastAsia="es-MX"/>
        </w:rPr>
        <w:t>LFPA</w:t>
      </w:r>
      <w:r w:rsidR="00CF73A7">
        <w:rPr>
          <w:rFonts w:ascii="ITC Avant Garde" w:eastAsia="Times New Roman" w:hAnsi="ITC Avant Garde" w:cs="Times New Roman"/>
          <w:b/>
          <w:bCs/>
          <w:lang w:eastAsia="es-MX"/>
        </w:rPr>
        <w:t>.</w:t>
      </w:r>
    </w:p>
    <w:p w14:paraId="3EEB92BC" w14:textId="77777777" w:rsidR="00B35F13" w:rsidRDefault="00CF73A7" w:rsidP="00B35F13">
      <w:pPr>
        <w:pStyle w:val="Sangradetextonormal"/>
        <w:spacing w:before="240" w:after="160" w:line="360" w:lineRule="auto"/>
        <w:ind w:left="0"/>
        <w:jc w:val="both"/>
        <w:rPr>
          <w:rFonts w:ascii="ITC Avant Garde" w:eastAsia="Times New Roman" w:hAnsi="ITC Avant Garde" w:cs="Times New Roman"/>
          <w:bCs/>
          <w:lang w:eastAsia="es-MX"/>
        </w:rPr>
      </w:pPr>
      <w:r>
        <w:rPr>
          <w:rFonts w:ascii="ITC Avant Garde" w:eastAsia="Times New Roman" w:hAnsi="ITC Avant Garde" w:cs="Times New Roman"/>
          <w:bCs/>
          <w:lang w:eastAsia="es-MX"/>
        </w:rPr>
        <w:t xml:space="preserve">No obstante, como ha quedado precisado en párrafos precedentes,  por lo que hace a la determinación de la multa, resulta aplicable la </w:t>
      </w:r>
      <w:r w:rsidRPr="009E34A4">
        <w:rPr>
          <w:rFonts w:ascii="ITC Avant Garde" w:eastAsia="Times New Roman" w:hAnsi="ITC Avant Garde" w:cs="Times New Roman"/>
          <w:b/>
          <w:bCs/>
          <w:lang w:eastAsia="es-MX"/>
        </w:rPr>
        <w:t>LFT</w:t>
      </w:r>
      <w:r>
        <w:rPr>
          <w:rFonts w:ascii="ITC Avant Garde" w:eastAsia="Times New Roman" w:hAnsi="ITC Avant Garde" w:cs="Times New Roman"/>
          <w:b/>
          <w:bCs/>
          <w:lang w:eastAsia="es-MX"/>
        </w:rPr>
        <w:t>,</w:t>
      </w:r>
      <w:r w:rsidRPr="009E34A4">
        <w:rPr>
          <w:rFonts w:ascii="ITC Avant Garde" w:eastAsia="Times New Roman" w:hAnsi="ITC Avant Garde" w:cs="Times New Roman"/>
          <w:bCs/>
          <w:lang w:eastAsia="es-MX"/>
        </w:rPr>
        <w:t xml:space="preserve"> la cual no prev</w:t>
      </w:r>
      <w:r w:rsidRPr="00CF73A7">
        <w:rPr>
          <w:rFonts w:ascii="ITC Avant Garde" w:eastAsia="Times New Roman" w:hAnsi="ITC Avant Garde" w:cs="Times New Roman"/>
          <w:bCs/>
          <w:lang w:eastAsia="es-MX"/>
        </w:rPr>
        <w:t>i</w:t>
      </w:r>
      <w:r>
        <w:rPr>
          <w:rFonts w:ascii="ITC Avant Garde" w:eastAsia="Times New Roman" w:hAnsi="ITC Avant Garde" w:cs="Times New Roman"/>
          <w:bCs/>
          <w:lang w:eastAsia="es-MX"/>
        </w:rPr>
        <w:t xml:space="preserve">ó cuáles tenían que ser los elementos que tendría que valorar la autoridad para graduar una multa entre el mínimo y el máximo establecido en la ley y para ello previó como régimen supletorio el previsto en la citada </w:t>
      </w:r>
      <w:r w:rsidRPr="009E34A4">
        <w:rPr>
          <w:rFonts w:ascii="ITC Avant Garde" w:eastAsia="Times New Roman" w:hAnsi="ITC Avant Garde" w:cs="Times New Roman"/>
          <w:b/>
          <w:bCs/>
          <w:lang w:eastAsia="es-MX"/>
        </w:rPr>
        <w:t>LFPA</w:t>
      </w:r>
      <w:r>
        <w:rPr>
          <w:rFonts w:ascii="ITC Avant Garde" w:eastAsia="Times New Roman" w:hAnsi="ITC Avant Garde" w:cs="Times New Roman"/>
          <w:bCs/>
          <w:lang w:eastAsia="es-MX"/>
        </w:rPr>
        <w:t>.</w:t>
      </w:r>
    </w:p>
    <w:p w14:paraId="4C8663F3" w14:textId="77777777" w:rsidR="00B35F13" w:rsidRDefault="00CF73A7" w:rsidP="00B35F13">
      <w:pPr>
        <w:pStyle w:val="Sangradetextonormal"/>
        <w:spacing w:before="240" w:after="160" w:line="360" w:lineRule="auto"/>
        <w:ind w:left="0"/>
        <w:jc w:val="both"/>
        <w:rPr>
          <w:rFonts w:ascii="ITC Avant Garde" w:eastAsia="Times New Roman" w:hAnsi="ITC Avant Garde" w:cs="Times New Roman"/>
          <w:bCs/>
          <w:lang w:eastAsia="es-MX"/>
        </w:rPr>
      </w:pPr>
      <w:r>
        <w:rPr>
          <w:rFonts w:ascii="ITC Avant Garde" w:eastAsia="Times New Roman" w:hAnsi="ITC Avant Garde" w:cs="Times New Roman"/>
          <w:bCs/>
          <w:lang w:eastAsia="es-MX"/>
        </w:rPr>
        <w:t xml:space="preserve">En efecto, la LFPA prevé en su artículo 73 los elementos que tiene que considerar la autoridad para imponer una sanción, dispositivo legal que a la letra </w:t>
      </w:r>
      <w:r w:rsidR="00AF5636" w:rsidRPr="002A2450">
        <w:rPr>
          <w:rFonts w:ascii="ITC Avant Garde" w:eastAsia="Times New Roman" w:hAnsi="ITC Avant Garde" w:cs="Times New Roman"/>
          <w:bCs/>
          <w:lang w:eastAsia="es-MX"/>
        </w:rPr>
        <w:t>establece lo siguiente:</w:t>
      </w:r>
    </w:p>
    <w:p w14:paraId="78B79C64" w14:textId="77777777" w:rsidR="00B35F13" w:rsidRDefault="00D91017" w:rsidP="00B35F13">
      <w:pPr>
        <w:tabs>
          <w:tab w:val="left" w:pos="7938"/>
          <w:tab w:val="left" w:pos="8789"/>
        </w:tabs>
        <w:spacing w:before="240" w:line="360" w:lineRule="auto"/>
        <w:ind w:left="1134"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t>"Artículo 73. La autoridad administrativa fundará y motivará su resolución, considerando:</w:t>
      </w:r>
    </w:p>
    <w:p w14:paraId="252A9596" w14:textId="5AB54F7F" w:rsidR="00D91017" w:rsidRPr="002A2450" w:rsidRDefault="00D91017" w:rsidP="00B35F13">
      <w:pPr>
        <w:tabs>
          <w:tab w:val="left" w:pos="7938"/>
          <w:tab w:val="left" w:pos="8789"/>
        </w:tabs>
        <w:spacing w:before="240" w:line="360" w:lineRule="auto"/>
        <w:ind w:left="1134" w:right="567"/>
        <w:jc w:val="both"/>
        <w:rPr>
          <w:rFonts w:ascii="ITC Avant Garde" w:eastAsia="Times New Roman" w:hAnsi="ITC Avant Garde"/>
          <w:bCs/>
          <w:i/>
          <w:lang w:eastAsia="es-MX"/>
        </w:rPr>
      </w:pPr>
      <w:r w:rsidRPr="002A2450">
        <w:rPr>
          <w:rFonts w:ascii="ITC Avant Garde" w:eastAsia="Times New Roman" w:hAnsi="ITC Avant Garde"/>
          <w:bCs/>
          <w:i/>
          <w:lang w:eastAsia="es-MX"/>
        </w:rPr>
        <w:t>I. Los daños que se hubieren producido o puedan producirse;</w:t>
      </w:r>
    </w:p>
    <w:p w14:paraId="6DB970AF" w14:textId="77777777" w:rsidR="00D91017" w:rsidRPr="002A2450" w:rsidRDefault="00D91017" w:rsidP="00B35F13">
      <w:pPr>
        <w:tabs>
          <w:tab w:val="left" w:pos="7938"/>
          <w:tab w:val="left" w:pos="8789"/>
        </w:tabs>
        <w:spacing w:before="240" w:line="360" w:lineRule="auto"/>
        <w:ind w:left="1134" w:right="851"/>
        <w:jc w:val="both"/>
        <w:rPr>
          <w:rFonts w:ascii="ITC Avant Garde" w:eastAsia="Times New Roman" w:hAnsi="ITC Avant Garde"/>
          <w:bCs/>
          <w:i/>
          <w:lang w:eastAsia="es-MX"/>
        </w:rPr>
      </w:pPr>
      <w:r w:rsidRPr="002A2450">
        <w:rPr>
          <w:rFonts w:ascii="ITC Avant Garde" w:eastAsia="Times New Roman" w:hAnsi="ITC Avant Garde"/>
          <w:bCs/>
          <w:i/>
          <w:lang w:eastAsia="es-MX"/>
        </w:rPr>
        <w:lastRenderedPageBreak/>
        <w:t>II. El carácter intencional o no de la acción u omisión constitutiva de la infracción;</w:t>
      </w:r>
    </w:p>
    <w:p w14:paraId="7E24D791" w14:textId="77777777" w:rsidR="00D91017" w:rsidRPr="002A2450" w:rsidRDefault="00D91017" w:rsidP="00B35F13">
      <w:pPr>
        <w:tabs>
          <w:tab w:val="left" w:pos="7938"/>
          <w:tab w:val="left" w:pos="8789"/>
        </w:tabs>
        <w:spacing w:before="240" w:line="360" w:lineRule="auto"/>
        <w:ind w:left="1134" w:right="567"/>
        <w:jc w:val="both"/>
        <w:rPr>
          <w:rFonts w:ascii="ITC Avant Garde" w:eastAsia="Times New Roman" w:hAnsi="ITC Avant Garde"/>
          <w:bCs/>
          <w:i/>
          <w:lang w:eastAsia="es-MX"/>
        </w:rPr>
      </w:pPr>
      <w:r w:rsidRPr="002A2450">
        <w:rPr>
          <w:rFonts w:ascii="ITC Avant Garde" w:eastAsia="Times New Roman" w:hAnsi="ITC Avant Garde"/>
          <w:bCs/>
          <w:i/>
          <w:lang w:eastAsia="es-MX"/>
        </w:rPr>
        <w:t>III. La gravedad de la infracción; y</w:t>
      </w:r>
    </w:p>
    <w:p w14:paraId="54B60A6A" w14:textId="77777777" w:rsidR="00B35F13" w:rsidRDefault="00D91017" w:rsidP="00B35F13">
      <w:pPr>
        <w:tabs>
          <w:tab w:val="left" w:pos="7938"/>
          <w:tab w:val="left" w:pos="8789"/>
        </w:tabs>
        <w:spacing w:before="240" w:line="360" w:lineRule="auto"/>
        <w:ind w:left="1134" w:right="567"/>
        <w:jc w:val="both"/>
        <w:rPr>
          <w:rFonts w:ascii="ITC Avant Garde" w:eastAsia="Times New Roman" w:hAnsi="ITC Avant Garde"/>
          <w:bCs/>
          <w:i/>
          <w:lang w:eastAsia="es-MX"/>
        </w:rPr>
      </w:pPr>
      <w:r w:rsidRPr="002A2450">
        <w:rPr>
          <w:rFonts w:ascii="ITC Avant Garde" w:eastAsia="Times New Roman" w:hAnsi="ITC Avant Garde"/>
          <w:bCs/>
          <w:i/>
          <w:lang w:eastAsia="es-MX"/>
        </w:rPr>
        <w:t>IV. La reincidencia del infractor.”</w:t>
      </w:r>
    </w:p>
    <w:p w14:paraId="15DF3839" w14:textId="77777777" w:rsidR="00B35F13" w:rsidRDefault="00AF5636"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Con base en lo anterior, dado que para la imposición de una sanción en términos de la </w:t>
      </w:r>
      <w:r w:rsidRPr="002A2450">
        <w:rPr>
          <w:rFonts w:ascii="ITC Avant Garde" w:eastAsia="Times New Roman" w:hAnsi="ITC Avant Garde"/>
          <w:b/>
          <w:bCs/>
          <w:lang w:eastAsia="es-MX"/>
        </w:rPr>
        <w:t xml:space="preserve">“LFT” </w:t>
      </w:r>
      <w:r w:rsidRPr="002A2450">
        <w:rPr>
          <w:rFonts w:ascii="ITC Avant Garde" w:eastAsia="Times New Roman" w:hAnsi="ITC Avant Garde"/>
          <w:bCs/>
          <w:lang w:eastAsia="es-MX"/>
        </w:rPr>
        <w:t xml:space="preserve">se estará a lo dispuesto en la </w:t>
      </w:r>
      <w:r w:rsidRPr="002A2450">
        <w:rPr>
          <w:rFonts w:ascii="ITC Avant Garde" w:eastAsia="Times New Roman" w:hAnsi="ITC Avant Garde"/>
          <w:b/>
          <w:bCs/>
          <w:lang w:eastAsia="es-MX"/>
        </w:rPr>
        <w:t>“LFPA”</w:t>
      </w:r>
      <w:r w:rsidRPr="002A2450">
        <w:rPr>
          <w:rFonts w:ascii="ITC Avant Garde" w:eastAsia="Times New Roman" w:hAnsi="ITC Avant Garde"/>
          <w:bCs/>
          <w:lang w:eastAsia="es-MX"/>
        </w:rPr>
        <w:t xml:space="preserve"> y que para el desahogo de los procedimientos administrativos de imposición de sanción por parte de este </w:t>
      </w:r>
      <w:r w:rsidRPr="002A2450">
        <w:rPr>
          <w:rFonts w:ascii="ITC Avant Garde" w:eastAsia="Times New Roman" w:hAnsi="ITC Avant Garde"/>
          <w:b/>
          <w:bCs/>
          <w:lang w:eastAsia="es-MX"/>
        </w:rPr>
        <w:t>“IFT”</w:t>
      </w:r>
      <w:r w:rsidRPr="002A2450">
        <w:rPr>
          <w:rFonts w:ascii="ITC Avant Garde" w:eastAsia="Times New Roman" w:hAnsi="ITC Avant Garde"/>
          <w:bCs/>
          <w:lang w:eastAsia="es-MX"/>
        </w:rPr>
        <w:t xml:space="preserve"> se estará a dicha normatividad, esta autoridad deberá considerar al momento de determinar la multa respectiva, los elementos previstos en la </w:t>
      </w:r>
      <w:r w:rsidRPr="002A2450">
        <w:rPr>
          <w:rFonts w:ascii="ITC Avant Garde" w:eastAsia="Times New Roman" w:hAnsi="ITC Avant Garde"/>
          <w:b/>
          <w:bCs/>
          <w:lang w:eastAsia="es-MX"/>
        </w:rPr>
        <w:t>“LFPA”</w:t>
      </w:r>
      <w:r w:rsidRPr="002A2450">
        <w:rPr>
          <w:rFonts w:ascii="ITC Avant Garde" w:eastAsia="Times New Roman" w:hAnsi="ITC Avant Garde"/>
          <w:bCs/>
          <w:lang w:eastAsia="es-MX"/>
        </w:rPr>
        <w:t>, esto es, daño, intencionalidad, gravedad y reincidencia.</w:t>
      </w:r>
    </w:p>
    <w:p w14:paraId="5C54DB52" w14:textId="77777777" w:rsidR="00B35F13" w:rsidRDefault="00AF5636"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Sin embargo, para efectos de nuestro análisis, deben considerarse sólo los tres primeros elementos señalados en el artículo 73 de la </w:t>
      </w:r>
      <w:r w:rsidRPr="002A2450">
        <w:rPr>
          <w:rFonts w:ascii="ITC Avant Garde" w:eastAsia="Times New Roman" w:hAnsi="ITC Avant Garde"/>
          <w:b/>
          <w:bCs/>
          <w:lang w:eastAsia="es-MX"/>
        </w:rPr>
        <w:t>“LFPA”</w:t>
      </w:r>
      <w:r w:rsidRPr="002A2450">
        <w:rPr>
          <w:rFonts w:ascii="ITC Avant Garde" w:eastAsia="Times New Roman" w:hAnsi="ITC Avant Garde"/>
          <w:bCs/>
          <w:lang w:eastAsia="es-MX"/>
        </w:rPr>
        <w:t xml:space="preserve"> (daño, intencionalidad y gravedad)</w:t>
      </w:r>
      <w:r w:rsidR="003C4C67" w:rsidRPr="002A2450">
        <w:rPr>
          <w:rFonts w:ascii="ITC Avant Garde" w:eastAsia="Times New Roman" w:hAnsi="ITC Avant Garde"/>
          <w:bCs/>
          <w:lang w:eastAsia="es-MX"/>
        </w:rPr>
        <w:t xml:space="preserve"> ya que la reincidencia es un elemento que la propia </w:t>
      </w:r>
      <w:r w:rsidR="003C4C67" w:rsidRPr="002A2450">
        <w:rPr>
          <w:rFonts w:ascii="ITC Avant Garde" w:eastAsia="Times New Roman" w:hAnsi="ITC Avant Garde"/>
          <w:b/>
          <w:bCs/>
          <w:lang w:eastAsia="es-MX"/>
        </w:rPr>
        <w:t>“LFT”</w:t>
      </w:r>
      <w:r w:rsidR="003C4C67" w:rsidRPr="002A2450">
        <w:rPr>
          <w:rFonts w:ascii="ITC Avant Garde" w:eastAsia="Times New Roman" w:hAnsi="ITC Avant Garde"/>
          <w:bCs/>
          <w:lang w:eastAsia="es-MX"/>
        </w:rPr>
        <w:t xml:space="preserve"> establece como una variable que permitirá </w:t>
      </w:r>
      <w:r w:rsidR="008521D0" w:rsidRPr="002A2450">
        <w:rPr>
          <w:rFonts w:ascii="ITC Avant Garde" w:eastAsia="Times New Roman" w:hAnsi="ITC Avant Garde"/>
          <w:bCs/>
          <w:lang w:eastAsia="es-MX"/>
        </w:rPr>
        <w:t xml:space="preserve">incrementar </w:t>
      </w:r>
      <w:r w:rsidR="003C4C67" w:rsidRPr="002A2450">
        <w:rPr>
          <w:rFonts w:ascii="ITC Avant Garde" w:eastAsia="Times New Roman" w:hAnsi="ITC Avant Garde"/>
          <w:bCs/>
          <w:lang w:eastAsia="es-MX"/>
        </w:rPr>
        <w:t>el monto de la multa, en caso de que el mismo se actualice y en consecuencia no debe influir en la determinación primigenia de la multa como elemento a considerar.</w:t>
      </w:r>
    </w:p>
    <w:p w14:paraId="371E03CB"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lo anterior, esta </w:t>
      </w:r>
      <w:r w:rsidR="009E54AA" w:rsidRPr="002A2450">
        <w:rPr>
          <w:rFonts w:ascii="ITC Avant Garde" w:eastAsia="Times New Roman" w:hAnsi="ITC Avant Garde"/>
          <w:bCs/>
          <w:lang w:eastAsia="es-MX"/>
        </w:rPr>
        <w:t xml:space="preserve">autoridad </w:t>
      </w:r>
      <w:r w:rsidRPr="002A2450">
        <w:rPr>
          <w:rFonts w:ascii="ITC Avant Garde" w:eastAsia="Times New Roman" w:hAnsi="ITC Avant Garde"/>
          <w:bCs/>
          <w:lang w:eastAsia="es-MX"/>
        </w:rPr>
        <w:t>procede al análisis de dichos elementos en los siguientes términos:</w:t>
      </w:r>
    </w:p>
    <w:p w14:paraId="0E0104C9" w14:textId="77777777" w:rsidR="00B35F13" w:rsidRDefault="00D039A3" w:rsidP="007E623E">
      <w:pPr>
        <w:pStyle w:val="Listaconnmeros"/>
        <w:widowControl w:val="0"/>
        <w:numPr>
          <w:ilvl w:val="0"/>
          <w:numId w:val="50"/>
        </w:numPr>
        <w:spacing w:before="240" w:after="160" w:line="360" w:lineRule="auto"/>
        <w:ind w:left="0" w:firstLine="0"/>
        <w:jc w:val="both"/>
        <w:rPr>
          <w:rFonts w:ascii="ITC Avant Garde" w:hAnsi="ITC Avant Garde"/>
          <w:b/>
          <w:bCs/>
          <w:sz w:val="22"/>
          <w:szCs w:val="22"/>
          <w:lang w:eastAsia="es-MX"/>
        </w:rPr>
      </w:pPr>
      <w:r w:rsidRPr="002A2450">
        <w:rPr>
          <w:rFonts w:ascii="ITC Avant Garde" w:hAnsi="ITC Avant Garde"/>
          <w:b/>
          <w:bCs/>
          <w:sz w:val="22"/>
          <w:szCs w:val="22"/>
          <w:lang w:eastAsia="es-MX"/>
        </w:rPr>
        <w:t>LOS DAÑOS QUE SE HUBIEREN CAUSADO O PUEDAN PRODUCIRSE</w:t>
      </w:r>
      <w:r w:rsidR="00D91017" w:rsidRPr="002A2450">
        <w:rPr>
          <w:rFonts w:ascii="ITC Avant Garde" w:hAnsi="ITC Avant Garde"/>
          <w:b/>
          <w:bCs/>
          <w:sz w:val="22"/>
          <w:szCs w:val="22"/>
          <w:lang w:eastAsia="es-MX"/>
        </w:rPr>
        <w:t>.</w:t>
      </w:r>
    </w:p>
    <w:p w14:paraId="1A42CEAD" w14:textId="158442BD" w:rsidR="00D54BE5" w:rsidRPr="00FB799E" w:rsidRDefault="00FB799E" w:rsidP="00B35F13">
      <w:pPr>
        <w:pStyle w:val="Sangradetextonormal"/>
        <w:spacing w:before="240" w:after="160" w:line="360" w:lineRule="auto"/>
        <w:ind w:left="720"/>
        <w:jc w:val="both"/>
        <w:rPr>
          <w:rFonts w:ascii="ITC Avant Garde" w:eastAsia="Times New Roman" w:hAnsi="ITC Avant Garde" w:cs="Times New Roman"/>
          <w:bCs/>
          <w:lang w:eastAsia="es-MX"/>
        </w:rPr>
      </w:pPr>
      <w:r w:rsidRPr="00FB799E">
        <w:rPr>
          <w:rFonts w:ascii="ITC Avant Garde" w:eastAsia="Times New Roman" w:hAnsi="ITC Avant Garde" w:cs="Times New Roman"/>
          <w:bCs/>
          <w:lang w:eastAsia="es-MX"/>
        </w:rPr>
        <w:t>Si bien e</w:t>
      </w:r>
      <w:r w:rsidR="00D91017" w:rsidRPr="00FB799E">
        <w:rPr>
          <w:rFonts w:ascii="ITC Avant Garde" w:eastAsia="Times New Roman" w:hAnsi="ITC Avant Garde" w:cs="Times New Roman"/>
          <w:bCs/>
          <w:lang w:eastAsia="es-MX"/>
        </w:rPr>
        <w:t xml:space="preserve">sta autoridad estima que la conducta de </w:t>
      </w:r>
      <w:r w:rsidR="009E54AA" w:rsidRPr="00FB799E">
        <w:rPr>
          <w:rFonts w:ascii="ITC Avant Garde" w:eastAsia="Times New Roman" w:hAnsi="ITC Avant Garde" w:cs="Times New Roman"/>
          <w:b/>
          <w:bCs/>
          <w:lang w:eastAsia="es-MX"/>
        </w:rPr>
        <w:t xml:space="preserve">“TELMEX” </w:t>
      </w:r>
      <w:r w:rsidR="00F62F66" w:rsidRPr="00FB799E">
        <w:rPr>
          <w:rFonts w:ascii="ITC Avant Garde" w:eastAsia="Times New Roman" w:hAnsi="ITC Avant Garde" w:cs="Times New Roman"/>
          <w:bCs/>
          <w:lang w:eastAsia="es-MX"/>
        </w:rPr>
        <w:t xml:space="preserve">no ocasiona un daño a la Nación </w:t>
      </w:r>
      <w:r w:rsidR="003C4C67" w:rsidRPr="00FB799E">
        <w:rPr>
          <w:rFonts w:ascii="ITC Avant Garde" w:eastAsia="Times New Roman" w:hAnsi="ITC Avant Garde" w:cs="Times New Roman"/>
          <w:bCs/>
          <w:lang w:eastAsia="es-MX"/>
        </w:rPr>
        <w:t xml:space="preserve">entendido </w:t>
      </w:r>
      <w:r w:rsidR="00547A6E" w:rsidRPr="00FB799E">
        <w:rPr>
          <w:rFonts w:ascii="ITC Avant Garde" w:eastAsia="Times New Roman" w:hAnsi="ITC Avant Garde" w:cs="Times New Roman"/>
          <w:bCs/>
          <w:lang w:eastAsia="es-MX"/>
        </w:rPr>
        <w:t xml:space="preserve">éste </w:t>
      </w:r>
      <w:r w:rsidR="003C4C67" w:rsidRPr="00FB799E">
        <w:rPr>
          <w:rFonts w:ascii="ITC Avant Garde" w:eastAsia="Times New Roman" w:hAnsi="ITC Avant Garde" w:cs="Times New Roman"/>
          <w:bCs/>
          <w:lang w:eastAsia="es-MX"/>
        </w:rPr>
        <w:t>como la pérdida o menoscabo sufrido en el patrimonio como consecuencia del incumplimiento de una obligación</w:t>
      </w:r>
      <w:r w:rsidR="00D91017" w:rsidRPr="00FB799E">
        <w:rPr>
          <w:rFonts w:ascii="ITC Avant Garde" w:eastAsia="Times New Roman" w:hAnsi="ITC Avant Garde" w:cs="Times New Roman"/>
          <w:bCs/>
          <w:lang w:eastAsia="es-MX"/>
        </w:rPr>
        <w:t xml:space="preserve">, </w:t>
      </w:r>
      <w:r w:rsidR="009E54AA" w:rsidRPr="00FB799E">
        <w:rPr>
          <w:rFonts w:ascii="ITC Avant Garde" w:eastAsia="Times New Roman" w:hAnsi="ITC Avant Garde" w:cs="Times New Roman"/>
          <w:bCs/>
          <w:lang w:eastAsia="es-MX"/>
        </w:rPr>
        <w:t>toda vez que con la misma no se lesionó un derecho originalmente otorgado al Estado</w:t>
      </w:r>
      <w:r w:rsidRPr="00FB799E">
        <w:rPr>
          <w:rFonts w:ascii="ITC Avant Garde" w:eastAsia="Times New Roman" w:hAnsi="ITC Avant Garde" w:cs="Times New Roman"/>
          <w:bCs/>
          <w:lang w:eastAsia="es-MX"/>
        </w:rPr>
        <w:t xml:space="preserve">, resulta oportuno precisar que con la misma se violó una restricción impuesta en el título de concesión de </w:t>
      </w:r>
      <w:r w:rsidRPr="00FB799E">
        <w:rPr>
          <w:rFonts w:ascii="ITC Avant Garde" w:eastAsia="Times New Roman" w:hAnsi="ITC Avant Garde" w:cs="Times New Roman"/>
          <w:b/>
          <w:bCs/>
          <w:lang w:eastAsia="es-MX"/>
        </w:rPr>
        <w:t xml:space="preserve">TELMEX </w:t>
      </w:r>
      <w:r w:rsidRPr="00FB799E">
        <w:rPr>
          <w:rFonts w:ascii="ITC Avant Garde" w:eastAsia="Times New Roman" w:hAnsi="ITC Avant Garde" w:cs="Times New Roman"/>
          <w:bCs/>
          <w:lang w:eastAsia="es-MX"/>
        </w:rPr>
        <w:t xml:space="preserve">cuya intención fue proteger el proceso de competencia e impulsar el desarrollo de los servicios de </w:t>
      </w:r>
      <w:r w:rsidRPr="00FB799E">
        <w:rPr>
          <w:rFonts w:ascii="ITC Avant Garde" w:eastAsia="Times New Roman" w:hAnsi="ITC Avant Garde" w:cs="Times New Roman"/>
          <w:bCs/>
          <w:lang w:eastAsia="es-MX"/>
        </w:rPr>
        <w:lastRenderedPageBreak/>
        <w:t xml:space="preserve">telecomunicaciones. </w:t>
      </w:r>
      <w:r w:rsidRPr="00FC328B">
        <w:rPr>
          <w:rFonts w:ascii="ITC Avant Garde" w:eastAsia="Times New Roman" w:hAnsi="ITC Avant Garde" w:cs="Times New Roman"/>
          <w:bCs/>
          <w:lang w:eastAsia="es-MX"/>
        </w:rPr>
        <w:t>En</w:t>
      </w:r>
      <w:r w:rsidR="00FC328B" w:rsidRPr="00FC328B">
        <w:rPr>
          <w:rFonts w:ascii="ITC Avant Garde" w:eastAsia="Times New Roman" w:hAnsi="ITC Avant Garde" w:cs="Times New Roman"/>
          <w:bCs/>
          <w:lang w:eastAsia="es-MX"/>
        </w:rPr>
        <w:t xml:space="preserve"> </w:t>
      </w:r>
      <w:r w:rsidRPr="00FC328B">
        <w:rPr>
          <w:rFonts w:ascii="ITC Avant Garde" w:eastAsia="Times New Roman" w:hAnsi="ITC Avant Garde" w:cs="Times New Roman"/>
          <w:bCs/>
          <w:lang w:eastAsia="es-MX"/>
        </w:rPr>
        <w:t>tal sentido</w:t>
      </w:r>
      <w:r w:rsidRPr="00FB799E">
        <w:rPr>
          <w:rFonts w:ascii="ITC Avant Garde" w:eastAsia="Times New Roman" w:hAnsi="ITC Avant Garde" w:cs="Times New Roman"/>
          <w:bCs/>
          <w:lang w:eastAsia="es-MX"/>
        </w:rPr>
        <w:t xml:space="preserve">, con el incumplimiento de dicha condición </w:t>
      </w:r>
      <w:r w:rsidRPr="00FB799E">
        <w:rPr>
          <w:rFonts w:ascii="ITC Avant Garde" w:eastAsia="Times New Roman" w:hAnsi="ITC Avant Garde" w:cs="Times New Roman"/>
          <w:b/>
          <w:bCs/>
          <w:lang w:eastAsia="es-MX"/>
        </w:rPr>
        <w:t xml:space="preserve">TELMEX </w:t>
      </w:r>
      <w:r w:rsidRPr="00FB799E">
        <w:rPr>
          <w:rFonts w:ascii="ITC Avant Garde" w:eastAsia="Times New Roman" w:hAnsi="ITC Avant Garde" w:cs="Times New Roman"/>
          <w:bCs/>
          <w:lang w:eastAsia="es-MX"/>
        </w:rPr>
        <w:t xml:space="preserve">afecta la eficacia del instrumento ideado para proteger la competencia y el interés público por lo que bajo esa óptica se considera que si se produce un daño. </w:t>
      </w:r>
    </w:p>
    <w:p w14:paraId="0FE22494" w14:textId="77777777" w:rsidR="00B35F13" w:rsidRDefault="00FB799E" w:rsidP="007E623E">
      <w:pPr>
        <w:pStyle w:val="Sangradetextonormal"/>
        <w:numPr>
          <w:ilvl w:val="0"/>
          <w:numId w:val="53"/>
        </w:numPr>
        <w:spacing w:before="240" w:after="160" w:line="360" w:lineRule="auto"/>
        <w:ind w:left="567" w:hanging="567"/>
        <w:jc w:val="both"/>
        <w:rPr>
          <w:rFonts w:ascii="ITC Avant Garde" w:eastAsia="Times New Roman" w:hAnsi="ITC Avant Garde" w:cs="Times New Roman"/>
          <w:bCs/>
          <w:lang w:eastAsia="es-MX"/>
        </w:rPr>
      </w:pPr>
      <w:r>
        <w:rPr>
          <w:rFonts w:ascii="ITC Avant Garde" w:eastAsia="Times New Roman" w:hAnsi="ITC Avant Garde" w:cs="Times New Roman"/>
          <w:bCs/>
          <w:lang w:eastAsia="es-MX"/>
        </w:rPr>
        <w:t xml:space="preserve">Lo anterior se robustece </w:t>
      </w:r>
      <w:r w:rsidRPr="00FC328B">
        <w:rPr>
          <w:rFonts w:ascii="ITC Avant Garde" w:eastAsia="Times New Roman" w:hAnsi="ITC Avant Garde" w:cs="Times New Roman"/>
          <w:bCs/>
          <w:lang w:eastAsia="es-MX"/>
        </w:rPr>
        <w:t xml:space="preserve">si </w:t>
      </w:r>
      <w:r w:rsidR="00FC328B" w:rsidRPr="00FC328B">
        <w:rPr>
          <w:rFonts w:ascii="ITC Avant Garde" w:eastAsia="Times New Roman" w:hAnsi="ITC Avant Garde" w:cs="Times New Roman"/>
          <w:bCs/>
          <w:lang w:eastAsia="es-MX"/>
        </w:rPr>
        <w:t>tomamos</w:t>
      </w:r>
      <w:r w:rsidRPr="00FC328B">
        <w:rPr>
          <w:rFonts w:ascii="ITC Avant Garde" w:eastAsia="Times New Roman" w:hAnsi="ITC Avant Garde" w:cs="Times New Roman"/>
          <w:bCs/>
          <w:lang w:eastAsia="es-MX"/>
        </w:rPr>
        <w:t xml:space="preserve"> en</w:t>
      </w:r>
      <w:r>
        <w:rPr>
          <w:rFonts w:ascii="ITC Avant Garde" w:eastAsia="Times New Roman" w:hAnsi="ITC Avant Garde" w:cs="Times New Roman"/>
          <w:bCs/>
          <w:lang w:eastAsia="es-MX"/>
        </w:rPr>
        <w:t xml:space="preserve"> cuenta </w:t>
      </w:r>
      <w:r w:rsidR="009E54AA" w:rsidRPr="002A2450">
        <w:rPr>
          <w:rFonts w:ascii="ITC Avant Garde" w:eastAsia="Times New Roman" w:hAnsi="ITC Avant Garde" w:cs="Times New Roman"/>
          <w:bCs/>
          <w:lang w:eastAsia="es-MX"/>
        </w:rPr>
        <w:t xml:space="preserve"> que durante su vigencia </w:t>
      </w:r>
      <w:r>
        <w:rPr>
          <w:rFonts w:ascii="ITC Avant Garde" w:eastAsia="Times New Roman" w:hAnsi="ITC Avant Garde" w:cs="Times New Roman"/>
          <w:bCs/>
          <w:lang w:eastAsia="es-MX"/>
        </w:rPr>
        <w:t xml:space="preserve">de los contratos de opción de compra y venta y de consecuencias </w:t>
      </w:r>
      <w:r w:rsidR="009E54AA" w:rsidRPr="002A2450">
        <w:rPr>
          <w:rFonts w:ascii="ITC Avant Garde" w:eastAsia="Times New Roman" w:hAnsi="ITC Avant Garde" w:cs="Times New Roman"/>
          <w:bCs/>
          <w:lang w:eastAsia="es-MX"/>
        </w:rPr>
        <w:t>se encontraban establecidos, entre otros derechos u obligaciones</w:t>
      </w:r>
      <w:r>
        <w:rPr>
          <w:rFonts w:ascii="ITC Avant Garde" w:eastAsia="Times New Roman" w:hAnsi="ITC Avant Garde" w:cs="Times New Roman"/>
          <w:bCs/>
          <w:lang w:eastAsia="es-MX"/>
        </w:rPr>
        <w:t>,</w:t>
      </w:r>
      <w:r w:rsidR="009E54AA" w:rsidRPr="002A2450">
        <w:rPr>
          <w:rFonts w:ascii="ITC Avant Garde" w:eastAsia="Times New Roman" w:hAnsi="ITC Avant Garde" w:cs="Times New Roman"/>
          <w:bCs/>
          <w:lang w:eastAsia="es-MX"/>
        </w:rPr>
        <w:t xml:space="preserve"> las siguientes:</w:t>
      </w:r>
    </w:p>
    <w:p w14:paraId="38C231A6" w14:textId="5821485E" w:rsidR="009E54AA" w:rsidRPr="002A2450" w:rsidRDefault="009E54AA" w:rsidP="007E623E">
      <w:pPr>
        <w:pStyle w:val="Sangradetextonormal"/>
        <w:numPr>
          <w:ilvl w:val="0"/>
          <w:numId w:val="52"/>
        </w:numPr>
        <w:spacing w:before="240" w:after="160" w:line="360" w:lineRule="auto"/>
        <w:ind w:left="1418" w:hanging="709"/>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La prohibición de no competir en el servicio </w:t>
      </w:r>
      <w:r w:rsidRPr="002A2450">
        <w:rPr>
          <w:rFonts w:ascii="ITC Avant Garde" w:eastAsia="Times New Roman" w:hAnsi="ITC Avant Garde" w:cs="Times New Roman"/>
          <w:b/>
          <w:bCs/>
          <w:lang w:eastAsia="es-MX"/>
        </w:rPr>
        <w:t>“DTH”.</w:t>
      </w:r>
    </w:p>
    <w:p w14:paraId="0CF78892" w14:textId="77777777" w:rsidR="009E54AA" w:rsidRPr="002A2450" w:rsidRDefault="00F10638" w:rsidP="007E623E">
      <w:pPr>
        <w:pStyle w:val="Sangradetextonormal"/>
        <w:numPr>
          <w:ilvl w:val="0"/>
          <w:numId w:val="52"/>
        </w:numPr>
        <w:spacing w:before="240" w:after="160" w:line="360" w:lineRule="auto"/>
        <w:ind w:left="1418" w:hanging="709"/>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La obligación de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de no prestar </w:t>
      </w:r>
      <w:r w:rsidRPr="002A2450">
        <w:rPr>
          <w:rFonts w:ascii="ITC Avant Garde" w:hAnsi="ITC Avant Garde"/>
        </w:rPr>
        <w:t>directa o indirectamente servicios similares en términos más favorables a los señalados en los contratos suscritos.</w:t>
      </w:r>
    </w:p>
    <w:p w14:paraId="0F3F05A9" w14:textId="77777777" w:rsidR="00F10638" w:rsidRPr="002A2450" w:rsidRDefault="00F10638" w:rsidP="007E623E">
      <w:pPr>
        <w:pStyle w:val="Sangradetextonormal"/>
        <w:numPr>
          <w:ilvl w:val="0"/>
          <w:numId w:val="52"/>
        </w:numPr>
        <w:spacing w:before="240" w:after="160" w:line="360" w:lineRule="auto"/>
        <w:ind w:left="1418" w:hanging="709"/>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El derecho de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a recibir información</w:t>
      </w:r>
      <w:r w:rsidRPr="002A2450">
        <w:rPr>
          <w:rFonts w:ascii="ITC Avant Garde" w:hAnsi="ITC Avant Garde" w:cs="Arial"/>
        </w:rPr>
        <w:t xml:space="preserve"> relacionada con el negocio y condición financiera</w:t>
      </w:r>
      <w:r w:rsidRPr="002A2450">
        <w:rPr>
          <w:rFonts w:ascii="ITC Avant Garde" w:eastAsia="Times New Roman" w:hAnsi="ITC Avant Garde" w:cs="Times New Roman"/>
          <w:bCs/>
          <w:lang w:eastAsia="es-MX"/>
        </w:rPr>
        <w:t xml:space="preserve"> por parte de </w:t>
      </w:r>
      <w:r w:rsidRPr="002A2450">
        <w:rPr>
          <w:rFonts w:ascii="ITC Avant Garde" w:eastAsia="Times New Roman" w:hAnsi="ITC Avant Garde" w:cs="Times New Roman"/>
          <w:b/>
          <w:bCs/>
          <w:lang w:eastAsia="es-MX"/>
        </w:rPr>
        <w:t>“COFRESA”</w:t>
      </w:r>
    </w:p>
    <w:p w14:paraId="7FC8D5D8" w14:textId="77777777" w:rsidR="00F10638" w:rsidRPr="002A2450" w:rsidRDefault="00F10638" w:rsidP="007E623E">
      <w:pPr>
        <w:pStyle w:val="Sangradetextonormal"/>
        <w:numPr>
          <w:ilvl w:val="0"/>
          <w:numId w:val="52"/>
        </w:numPr>
        <w:spacing w:before="240" w:after="160" w:line="360" w:lineRule="auto"/>
        <w:ind w:left="1418" w:hanging="709"/>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El derecho de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w:t>
      </w:r>
      <w:r w:rsidR="00547A6E" w:rsidRPr="002A2450">
        <w:rPr>
          <w:rFonts w:ascii="ITC Avant Garde" w:eastAsia="Times New Roman" w:hAnsi="ITC Avant Garde" w:cs="Times New Roman"/>
          <w:bCs/>
          <w:lang w:eastAsia="es-MX"/>
        </w:rPr>
        <w:t xml:space="preserve">a </w:t>
      </w:r>
      <w:r w:rsidRPr="002A2450">
        <w:rPr>
          <w:rFonts w:ascii="ITC Avant Garde" w:hAnsi="ITC Avant Garde" w:cs="Arial"/>
        </w:rPr>
        <w:t xml:space="preserve">visitar e inspeccionar, los bienes, activos, libros corporativos y registros financieros de </w:t>
      </w:r>
      <w:r w:rsidRPr="002A2450">
        <w:rPr>
          <w:rFonts w:ascii="ITC Avant Garde" w:hAnsi="ITC Avant Garde" w:cs="Arial"/>
          <w:b/>
        </w:rPr>
        <w:t xml:space="preserve">“COFRESA” </w:t>
      </w:r>
      <w:r w:rsidRPr="002A2450">
        <w:rPr>
          <w:rFonts w:ascii="ITC Avant Garde" w:hAnsi="ITC Avant Garde" w:cs="Arial"/>
        </w:rPr>
        <w:t>o de cualquier de sus subsidiarias, así como comentar los asuntos, finanzas y cuentas, así como ser asesorados respecto de los mismos.</w:t>
      </w:r>
    </w:p>
    <w:p w14:paraId="6F07A926" w14:textId="77777777" w:rsidR="00B35F13" w:rsidRDefault="00F10638" w:rsidP="007E623E">
      <w:pPr>
        <w:pStyle w:val="Sangradetextonormal"/>
        <w:numPr>
          <w:ilvl w:val="0"/>
          <w:numId w:val="52"/>
        </w:numPr>
        <w:spacing w:before="240" w:after="160" w:line="360" w:lineRule="auto"/>
        <w:ind w:left="1418" w:hanging="709"/>
        <w:jc w:val="both"/>
        <w:rPr>
          <w:rFonts w:ascii="ITC Avant Garde" w:eastAsia="Times New Roman" w:hAnsi="ITC Avant Garde" w:cs="Times New Roman"/>
          <w:bCs/>
          <w:lang w:eastAsia="es-MX"/>
        </w:rPr>
      </w:pPr>
      <w:r w:rsidRPr="002A2450">
        <w:rPr>
          <w:rFonts w:ascii="ITC Avant Garde" w:hAnsi="ITC Avant Garde" w:cs="Arial"/>
        </w:rPr>
        <w:t xml:space="preserve">La constitución de un comité de operación para el seguimiento a los contratos celebrados. </w:t>
      </w:r>
    </w:p>
    <w:p w14:paraId="1F40E530" w14:textId="77777777" w:rsidR="00B35F13" w:rsidRDefault="00F10638" w:rsidP="00B35F13">
      <w:pPr>
        <w:pStyle w:val="Sangradetextonormal"/>
        <w:spacing w:before="240" w:after="160" w:line="360" w:lineRule="auto"/>
        <w:ind w:left="567"/>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Las cláusulas anteriores evidencian una restricción a competir en el mercado de</w:t>
      </w:r>
      <w:r w:rsidR="00FB799E">
        <w:rPr>
          <w:rFonts w:ascii="ITC Avant Garde" w:eastAsia="Times New Roman" w:hAnsi="ITC Avant Garde" w:cs="Times New Roman"/>
          <w:bCs/>
          <w:lang w:eastAsia="es-MX"/>
        </w:rPr>
        <w:t xml:space="preserve"> la televisión satelital</w:t>
      </w:r>
      <w:r w:rsidRPr="002A2450">
        <w:rPr>
          <w:rFonts w:ascii="ITC Avant Garde" w:eastAsia="Times New Roman" w:hAnsi="ITC Avant Garde" w:cs="Times New Roman"/>
          <w:bCs/>
          <w:lang w:eastAsia="es-MX"/>
        </w:rPr>
        <w:t xml:space="preserve"> </w:t>
      </w:r>
      <w:r w:rsidRPr="002A2450">
        <w:rPr>
          <w:rFonts w:ascii="ITC Avant Garde" w:eastAsia="Times New Roman" w:hAnsi="ITC Avant Garde" w:cs="Times New Roman"/>
          <w:b/>
          <w:bCs/>
          <w:lang w:eastAsia="es-MX"/>
        </w:rPr>
        <w:t>“DTH”</w:t>
      </w:r>
      <w:r w:rsidRPr="002A2450">
        <w:rPr>
          <w:rFonts w:ascii="ITC Avant Garde" w:eastAsia="Times New Roman" w:hAnsi="ITC Avant Garde" w:cs="Times New Roman"/>
          <w:bCs/>
          <w:lang w:eastAsia="es-MX"/>
        </w:rPr>
        <w:t xml:space="preserve">, la imposibilidad de que otros concesionarios pudieran acceder a los servicios que presta </w:t>
      </w:r>
      <w:r w:rsidRPr="002A2450">
        <w:rPr>
          <w:rFonts w:ascii="ITC Avant Garde" w:eastAsia="Times New Roman" w:hAnsi="ITC Avant Garde" w:cs="Times New Roman"/>
          <w:b/>
          <w:bCs/>
          <w:lang w:eastAsia="es-MX"/>
        </w:rPr>
        <w:t xml:space="preserve">“TELMEX” </w:t>
      </w:r>
      <w:r w:rsidRPr="002A2450">
        <w:rPr>
          <w:rFonts w:ascii="ITC Avant Garde" w:eastAsia="Times New Roman" w:hAnsi="ITC Avant Garde" w:cs="Times New Roman"/>
          <w:bCs/>
          <w:lang w:eastAsia="es-MX"/>
        </w:rPr>
        <w:t xml:space="preserve">en condiciones </w:t>
      </w:r>
      <w:r w:rsidR="00547A6E" w:rsidRPr="002A2450">
        <w:rPr>
          <w:rFonts w:ascii="ITC Avant Garde" w:eastAsia="Times New Roman" w:hAnsi="ITC Avant Garde" w:cs="Times New Roman"/>
          <w:bCs/>
          <w:lang w:eastAsia="es-MX"/>
        </w:rPr>
        <w:t xml:space="preserve">más favorables que las ofrecidas a </w:t>
      </w:r>
      <w:r w:rsidRPr="002A2450">
        <w:rPr>
          <w:rFonts w:ascii="ITC Avant Garde" w:eastAsia="Times New Roman" w:hAnsi="ITC Avant Garde" w:cs="Times New Roman"/>
          <w:b/>
          <w:bCs/>
          <w:lang w:eastAsia="es-MX"/>
        </w:rPr>
        <w:t>“COFRESA”</w:t>
      </w:r>
      <w:r w:rsidRPr="002A2450">
        <w:rPr>
          <w:rFonts w:ascii="ITC Avant Garde" w:eastAsia="Times New Roman" w:hAnsi="ITC Avant Garde" w:cs="Times New Roman"/>
          <w:bCs/>
          <w:lang w:eastAsia="es-MX"/>
        </w:rPr>
        <w:t>, el intercam</w:t>
      </w:r>
      <w:r w:rsidR="003C4C67" w:rsidRPr="002A2450">
        <w:rPr>
          <w:rFonts w:ascii="ITC Avant Garde" w:eastAsia="Times New Roman" w:hAnsi="ITC Avant Garde" w:cs="Times New Roman"/>
          <w:bCs/>
          <w:lang w:eastAsia="es-MX"/>
        </w:rPr>
        <w:t>bio de información confidencial</w:t>
      </w:r>
      <w:r w:rsidRPr="002A2450">
        <w:rPr>
          <w:rFonts w:ascii="ITC Avant Garde" w:eastAsia="Times New Roman" w:hAnsi="ITC Avant Garde" w:cs="Times New Roman"/>
          <w:bCs/>
          <w:lang w:eastAsia="es-MX"/>
        </w:rPr>
        <w:t xml:space="preserve"> relacionada con la operación del servicio </w:t>
      </w:r>
      <w:r w:rsidR="00B61711" w:rsidRPr="002A2450">
        <w:rPr>
          <w:rFonts w:ascii="ITC Avant Garde" w:eastAsia="Times New Roman" w:hAnsi="ITC Avant Garde" w:cs="Times New Roman"/>
          <w:b/>
          <w:bCs/>
          <w:lang w:eastAsia="es-MX"/>
        </w:rPr>
        <w:t>“DT</w:t>
      </w:r>
      <w:r w:rsidRPr="002A2450">
        <w:rPr>
          <w:rFonts w:ascii="ITC Avant Garde" w:eastAsia="Times New Roman" w:hAnsi="ITC Avant Garde" w:cs="Times New Roman"/>
          <w:b/>
          <w:bCs/>
          <w:lang w:eastAsia="es-MX"/>
        </w:rPr>
        <w:t>H”</w:t>
      </w:r>
      <w:r w:rsidR="00F750A4" w:rsidRPr="002A2450">
        <w:rPr>
          <w:rFonts w:ascii="ITC Avant Garde" w:eastAsia="Times New Roman" w:hAnsi="ITC Avant Garde" w:cs="Times New Roman"/>
          <w:b/>
          <w:bCs/>
          <w:lang w:eastAsia="es-MX"/>
        </w:rPr>
        <w:t xml:space="preserve"> </w:t>
      </w:r>
      <w:r w:rsidR="00F750A4" w:rsidRPr="002A2450">
        <w:rPr>
          <w:rFonts w:ascii="ITC Avant Garde" w:eastAsia="Times New Roman" w:hAnsi="ITC Avant Garde" w:cs="Times New Roman"/>
          <w:bCs/>
          <w:lang w:eastAsia="es-MX"/>
        </w:rPr>
        <w:t>y el seguimiento a los mismos a través de un comité.</w:t>
      </w:r>
    </w:p>
    <w:p w14:paraId="3606C3FF" w14:textId="77777777" w:rsidR="00B35F13" w:rsidRDefault="00F750A4" w:rsidP="00B35F13">
      <w:pPr>
        <w:pStyle w:val="Sangradetextonormal"/>
        <w:spacing w:before="240" w:after="160" w:line="360" w:lineRule="auto"/>
        <w:ind w:left="567"/>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lastRenderedPageBreak/>
        <w:t>En tales consideraciones esta autoridad considera que dicha conducta s</w:t>
      </w:r>
      <w:r w:rsidR="005D00BB" w:rsidRPr="002A2450">
        <w:rPr>
          <w:rFonts w:ascii="ITC Avant Garde" w:eastAsia="Times New Roman" w:hAnsi="ITC Avant Garde" w:cs="Times New Roman"/>
          <w:bCs/>
          <w:lang w:eastAsia="es-MX"/>
        </w:rPr>
        <w:t>í</w:t>
      </w:r>
      <w:r w:rsidRPr="002A2450">
        <w:rPr>
          <w:rFonts w:ascii="ITC Avant Garde" w:eastAsia="Times New Roman" w:hAnsi="ITC Avant Garde" w:cs="Times New Roman"/>
          <w:bCs/>
          <w:lang w:eastAsia="es-MX"/>
        </w:rPr>
        <w:t xml:space="preserve"> tuvo como consecuencia limitar la posibilidad de que otros concesionarios pudieran acceder a los servicios que presta </w:t>
      </w:r>
      <w:r w:rsidRPr="002A2450">
        <w:rPr>
          <w:rFonts w:ascii="ITC Avant Garde" w:eastAsia="Times New Roman" w:hAnsi="ITC Avant Garde" w:cs="Times New Roman"/>
          <w:b/>
          <w:bCs/>
          <w:lang w:eastAsia="es-MX"/>
        </w:rPr>
        <w:t>“</w:t>
      </w:r>
      <w:r w:rsidRPr="00FC328B">
        <w:rPr>
          <w:rFonts w:ascii="ITC Avant Garde" w:eastAsia="Times New Roman" w:hAnsi="ITC Avant Garde" w:cs="Times New Roman"/>
          <w:b/>
          <w:bCs/>
          <w:lang w:eastAsia="es-MX"/>
        </w:rPr>
        <w:t>TELMEX”</w:t>
      </w:r>
      <w:r w:rsidR="00F62F66" w:rsidRPr="00FC328B">
        <w:rPr>
          <w:rFonts w:ascii="ITC Avant Garde" w:eastAsia="Times New Roman" w:hAnsi="ITC Avant Garde" w:cs="Times New Roman"/>
          <w:bCs/>
          <w:lang w:eastAsia="es-MX"/>
        </w:rPr>
        <w:t>, así</w:t>
      </w:r>
      <w:r w:rsidR="00F62F66" w:rsidRPr="002A2450">
        <w:rPr>
          <w:rFonts w:ascii="ITC Avant Garde" w:eastAsia="Times New Roman" w:hAnsi="ITC Avant Garde" w:cs="Times New Roman"/>
          <w:bCs/>
          <w:lang w:eastAsia="es-MX"/>
        </w:rPr>
        <w:t xml:space="preserve"> como que con el intercambio de información se tuvo la posibilidad de tomar decisiones en el servicio de </w:t>
      </w:r>
      <w:r w:rsidR="00F62F66" w:rsidRPr="002A2450">
        <w:rPr>
          <w:rFonts w:ascii="ITC Avant Garde" w:eastAsia="Times New Roman" w:hAnsi="ITC Avant Garde" w:cs="Times New Roman"/>
          <w:b/>
          <w:bCs/>
          <w:lang w:eastAsia="es-MX"/>
        </w:rPr>
        <w:t>“DTH”</w:t>
      </w:r>
      <w:r w:rsidR="00F62F66" w:rsidRPr="002A2450">
        <w:rPr>
          <w:rFonts w:ascii="ITC Avant Garde" w:eastAsia="Times New Roman" w:hAnsi="ITC Avant Garde" w:cs="Times New Roman"/>
          <w:bCs/>
          <w:lang w:eastAsia="es-MX"/>
        </w:rPr>
        <w:t xml:space="preserve"> los cual no está autorizado a </w:t>
      </w:r>
      <w:r w:rsidR="00FC44E7">
        <w:rPr>
          <w:rFonts w:ascii="ITC Avant Garde" w:eastAsia="Times New Roman" w:hAnsi="ITC Avant Garde" w:cs="Times New Roman"/>
          <w:bCs/>
          <w:lang w:eastAsia="es-MX"/>
        </w:rPr>
        <w:t xml:space="preserve">prestar </w:t>
      </w:r>
      <w:r w:rsidR="00F62F66" w:rsidRPr="002A2450">
        <w:rPr>
          <w:rFonts w:ascii="ITC Avant Garde" w:eastAsia="Times New Roman" w:hAnsi="ITC Avant Garde" w:cs="Times New Roman"/>
          <w:bCs/>
          <w:lang w:eastAsia="es-MX"/>
        </w:rPr>
        <w:t>dicha empresa</w:t>
      </w:r>
      <w:r w:rsidR="00FC44E7">
        <w:rPr>
          <w:rFonts w:ascii="ITC Avant Garde" w:eastAsia="Times New Roman" w:hAnsi="ITC Avant Garde" w:cs="Times New Roman"/>
          <w:bCs/>
          <w:lang w:eastAsia="es-MX"/>
        </w:rPr>
        <w:t>.</w:t>
      </w:r>
    </w:p>
    <w:p w14:paraId="756C3AD8" w14:textId="77777777" w:rsidR="00B35F13" w:rsidRDefault="00D54BE5" w:rsidP="00B35F13">
      <w:pPr>
        <w:pStyle w:val="Sangradetextonormal"/>
        <w:spacing w:before="240" w:after="160" w:line="360" w:lineRule="auto"/>
        <w:ind w:left="567"/>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Lo anterior, ya que debe señalarse que el artículo 6, inciso B), fracción II de la </w:t>
      </w:r>
      <w:r w:rsidRPr="002A2450">
        <w:rPr>
          <w:rFonts w:ascii="ITC Avant Garde" w:eastAsia="Times New Roman" w:hAnsi="ITC Avant Garde" w:cs="Times New Roman"/>
          <w:b/>
          <w:bCs/>
          <w:lang w:eastAsia="es-MX"/>
        </w:rPr>
        <w:t xml:space="preserve">“CPEUM” </w:t>
      </w:r>
      <w:r w:rsidRPr="002A2450">
        <w:rPr>
          <w:rFonts w:ascii="ITC Avant Garde" w:eastAsia="Times New Roman" w:hAnsi="ITC Avant Garde" w:cs="Times New Roman"/>
          <w:bCs/>
          <w:lang w:eastAsia="es-MX"/>
        </w:rPr>
        <w:t>establece que las telecomunicaciones son servicios públicos de interés general, por lo que el Estado garantizará que</w:t>
      </w:r>
      <w:r w:rsidR="00547A6E" w:rsidRPr="002A2450">
        <w:rPr>
          <w:rFonts w:ascii="ITC Avant Garde" w:eastAsia="Times New Roman" w:hAnsi="ITC Avant Garde" w:cs="Times New Roman"/>
          <w:bCs/>
          <w:lang w:eastAsia="es-MX"/>
        </w:rPr>
        <w:t xml:space="preserve"> los mismos</w:t>
      </w:r>
      <w:r w:rsidRPr="002A2450">
        <w:rPr>
          <w:rFonts w:ascii="ITC Avant Garde" w:eastAsia="Times New Roman" w:hAnsi="ITC Avant Garde" w:cs="Times New Roman"/>
          <w:bCs/>
          <w:lang w:eastAsia="es-MX"/>
        </w:rPr>
        <w:t xml:space="preserve"> sean prestados en condiciones de competencia, calidad, pluralidad, cobertura universal, interconexión, convergencia, continuidad, acceso libre y sin injerencias arbitrarias.</w:t>
      </w:r>
    </w:p>
    <w:p w14:paraId="16331EB8" w14:textId="77777777" w:rsidR="00B35F13" w:rsidRDefault="00D54BE5" w:rsidP="00B35F13">
      <w:pPr>
        <w:pStyle w:val="Sangradetextonormal"/>
        <w:spacing w:before="240" w:after="160" w:line="360" w:lineRule="auto"/>
        <w:ind w:left="567"/>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En ese sentido, la conducta realizada por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w:t>
      </w:r>
      <w:r w:rsidR="00FC44E7">
        <w:rPr>
          <w:rFonts w:ascii="ITC Avant Garde" w:eastAsia="Times New Roman" w:hAnsi="ITC Avant Garde" w:cs="Times New Roman"/>
          <w:bCs/>
          <w:lang w:eastAsia="es-MX"/>
        </w:rPr>
        <w:t>al trasgredir una condición de carácter prohibitivo</w:t>
      </w:r>
      <w:r w:rsidRPr="002A2450">
        <w:rPr>
          <w:rFonts w:ascii="ITC Avant Garde" w:eastAsia="Times New Roman" w:hAnsi="ITC Avant Garde" w:cs="Times New Roman"/>
          <w:bCs/>
          <w:lang w:eastAsia="es-MX"/>
        </w:rPr>
        <w:t xml:space="preserve"> pone de manifiesto que el daño po</w:t>
      </w:r>
      <w:r w:rsidR="003C4C67" w:rsidRPr="002A2450">
        <w:rPr>
          <w:rFonts w:ascii="ITC Avant Garde" w:eastAsia="Times New Roman" w:hAnsi="ITC Avant Garde" w:cs="Times New Roman"/>
          <w:bCs/>
          <w:lang w:eastAsia="es-MX"/>
        </w:rPr>
        <w:t>r</w:t>
      </w:r>
      <w:r w:rsidRPr="002A2450">
        <w:rPr>
          <w:rFonts w:ascii="ITC Avant Garde" w:eastAsia="Times New Roman" w:hAnsi="ITC Avant Garde" w:cs="Times New Roman"/>
          <w:bCs/>
          <w:lang w:eastAsia="es-MX"/>
        </w:rPr>
        <w:t xml:space="preserve"> s</w:t>
      </w:r>
      <w:r w:rsidR="003C4C67" w:rsidRPr="002A2450">
        <w:rPr>
          <w:rFonts w:ascii="ITC Avant Garde" w:eastAsia="Times New Roman" w:hAnsi="ITC Avant Garde" w:cs="Times New Roman"/>
          <w:bCs/>
          <w:lang w:eastAsia="es-MX"/>
        </w:rPr>
        <w:t>í</w:t>
      </w:r>
      <w:r w:rsidRPr="002A2450">
        <w:rPr>
          <w:rFonts w:ascii="ITC Avant Garde" w:eastAsia="Times New Roman" w:hAnsi="ITC Avant Garde" w:cs="Times New Roman"/>
          <w:bCs/>
          <w:lang w:eastAsia="es-MX"/>
        </w:rPr>
        <w:t xml:space="preserve"> mismo ocurrió respecto de los demás concesionarios de telecomunicaci</w:t>
      </w:r>
      <w:r w:rsidR="003C4C67" w:rsidRPr="002A2450">
        <w:rPr>
          <w:rFonts w:ascii="ITC Avant Garde" w:eastAsia="Times New Roman" w:hAnsi="ITC Avant Garde" w:cs="Times New Roman"/>
          <w:bCs/>
          <w:lang w:eastAsia="es-MX"/>
        </w:rPr>
        <w:t>ones</w:t>
      </w:r>
      <w:r w:rsidRPr="002A2450">
        <w:rPr>
          <w:rFonts w:ascii="ITC Avant Garde" w:eastAsia="Times New Roman" w:hAnsi="ITC Avant Garde" w:cs="Times New Roman"/>
          <w:bCs/>
          <w:lang w:eastAsia="es-MX"/>
        </w:rPr>
        <w:t xml:space="preserve"> que participan en </w:t>
      </w:r>
      <w:r w:rsidR="00FC44E7">
        <w:rPr>
          <w:rFonts w:ascii="ITC Avant Garde" w:eastAsia="Times New Roman" w:hAnsi="ITC Avant Garde" w:cs="Times New Roman"/>
          <w:bCs/>
          <w:lang w:eastAsia="es-MX"/>
        </w:rPr>
        <w:t>la prestación de un servicio que tiene prohibido</w:t>
      </w:r>
      <w:r w:rsidR="00E07C3F" w:rsidRPr="002A2450">
        <w:rPr>
          <w:rFonts w:ascii="ITC Avant Garde" w:eastAsia="Times New Roman" w:hAnsi="ITC Avant Garde" w:cs="Times New Roman"/>
          <w:bCs/>
          <w:lang w:eastAsia="es-MX"/>
        </w:rPr>
        <w:t>.</w:t>
      </w:r>
    </w:p>
    <w:p w14:paraId="013EADC4" w14:textId="77777777" w:rsidR="00B35F13" w:rsidRDefault="00FC44E7" w:rsidP="007E623E">
      <w:pPr>
        <w:pStyle w:val="Sangradetextonormal"/>
        <w:numPr>
          <w:ilvl w:val="0"/>
          <w:numId w:val="53"/>
        </w:numPr>
        <w:spacing w:before="240" w:after="160" w:line="360" w:lineRule="auto"/>
        <w:ind w:left="567" w:hanging="567"/>
        <w:jc w:val="both"/>
        <w:rPr>
          <w:rFonts w:ascii="ITC Avant Garde" w:eastAsia="Times New Roman" w:hAnsi="ITC Avant Garde" w:cs="Times New Roman"/>
          <w:bCs/>
          <w:lang w:eastAsia="es-MX"/>
        </w:rPr>
      </w:pPr>
      <w:r>
        <w:rPr>
          <w:rFonts w:ascii="ITC Avant Garde" w:eastAsia="Times New Roman" w:hAnsi="ITC Avant Garde" w:cs="Times New Roman"/>
          <w:bCs/>
          <w:lang w:eastAsia="es-MX"/>
        </w:rPr>
        <w:t xml:space="preserve">Por otro lado el daño se concibe a partir del </w:t>
      </w:r>
      <w:r w:rsidR="00D91017" w:rsidRPr="002A2450">
        <w:rPr>
          <w:rFonts w:ascii="ITC Avant Garde" w:eastAsia="Times New Roman" w:hAnsi="ITC Avant Garde" w:cs="Times New Roman"/>
          <w:bCs/>
          <w:lang w:eastAsia="es-MX"/>
        </w:rPr>
        <w:t xml:space="preserve"> </w:t>
      </w:r>
      <w:r>
        <w:rPr>
          <w:rFonts w:ascii="ITC Avant Garde" w:eastAsia="Times New Roman" w:hAnsi="ITC Avant Garde" w:cs="Times New Roman"/>
          <w:bCs/>
          <w:lang w:eastAsia="es-MX"/>
        </w:rPr>
        <w:t>in</w:t>
      </w:r>
      <w:r w:rsidR="00D91017" w:rsidRPr="002A2450">
        <w:rPr>
          <w:rFonts w:ascii="ITC Avant Garde" w:eastAsia="Times New Roman" w:hAnsi="ITC Avant Garde" w:cs="Times New Roman"/>
          <w:bCs/>
          <w:lang w:eastAsia="es-MX"/>
        </w:rPr>
        <w:t xml:space="preserve">cumplimiento por parte de </w:t>
      </w:r>
      <w:r>
        <w:rPr>
          <w:rFonts w:ascii="ITC Avant Garde" w:eastAsia="Times New Roman" w:hAnsi="ITC Avant Garde" w:cs="Times New Roman"/>
          <w:bCs/>
          <w:lang w:eastAsia="es-MX"/>
        </w:rPr>
        <w:t>un</w:t>
      </w:r>
      <w:r w:rsidRPr="002A2450">
        <w:rPr>
          <w:rFonts w:ascii="ITC Avant Garde" w:eastAsia="Times New Roman" w:hAnsi="ITC Avant Garde" w:cs="Times New Roman"/>
          <w:bCs/>
          <w:lang w:eastAsia="es-MX"/>
        </w:rPr>
        <w:t xml:space="preserve"> </w:t>
      </w:r>
      <w:r w:rsidR="00D91017" w:rsidRPr="002A2450">
        <w:rPr>
          <w:rFonts w:ascii="ITC Avant Garde" w:eastAsia="Times New Roman" w:hAnsi="ITC Avant Garde" w:cs="Times New Roman"/>
          <w:bCs/>
          <w:lang w:eastAsia="es-MX"/>
        </w:rPr>
        <w:t xml:space="preserve">concesionario </w:t>
      </w:r>
      <w:r w:rsidR="00F750A4" w:rsidRPr="002A2450">
        <w:rPr>
          <w:rFonts w:ascii="ITC Avant Garde" w:eastAsia="Times New Roman" w:hAnsi="ITC Avant Garde" w:cs="Times New Roman"/>
          <w:bCs/>
          <w:lang w:eastAsia="es-MX"/>
        </w:rPr>
        <w:t xml:space="preserve">a </w:t>
      </w:r>
      <w:r w:rsidR="00D91017" w:rsidRPr="002A2450">
        <w:rPr>
          <w:rFonts w:ascii="ITC Avant Garde" w:eastAsia="Times New Roman" w:hAnsi="ITC Avant Garde" w:cs="Times New Roman"/>
          <w:bCs/>
          <w:lang w:eastAsia="es-MX"/>
        </w:rPr>
        <w:t xml:space="preserve">las condiciones establecidas en </w:t>
      </w:r>
      <w:r w:rsidR="00F750A4" w:rsidRPr="002A2450">
        <w:rPr>
          <w:rFonts w:ascii="ITC Avant Garde" w:eastAsia="Times New Roman" w:hAnsi="ITC Avant Garde" w:cs="Times New Roman"/>
          <w:bCs/>
          <w:lang w:eastAsia="es-MX"/>
        </w:rPr>
        <w:t xml:space="preserve">sus </w:t>
      </w:r>
      <w:r w:rsidR="00D91017" w:rsidRPr="002A2450">
        <w:rPr>
          <w:rFonts w:ascii="ITC Avant Garde" w:eastAsia="Times New Roman" w:hAnsi="ITC Avant Garde" w:cs="Times New Roman"/>
          <w:bCs/>
          <w:lang w:eastAsia="es-MX"/>
        </w:rPr>
        <w:t>títulos de concesión</w:t>
      </w:r>
      <w:r>
        <w:rPr>
          <w:rFonts w:ascii="ITC Avant Garde" w:eastAsia="Times New Roman" w:hAnsi="ITC Avant Garde" w:cs="Times New Roman"/>
          <w:bCs/>
          <w:lang w:eastAsia="es-MX"/>
        </w:rPr>
        <w:t>, ya que las condiciones regulatorias de una concesión se consideran disposiciones de</w:t>
      </w:r>
      <w:r w:rsidR="00D91017" w:rsidRPr="002A2450">
        <w:rPr>
          <w:rFonts w:ascii="ITC Avant Garde" w:eastAsia="Times New Roman" w:hAnsi="ITC Avant Garde" w:cs="Times New Roman"/>
          <w:bCs/>
          <w:lang w:eastAsia="es-MX"/>
        </w:rPr>
        <w:t xml:space="preserve"> orden público y en ese sentido al ser los servicios de telecomunicaciones y radiodifusión, servicios públicos de interés general, el Estado debe garantizar su eficiente prestación, a fin de que se cumplan los derechos establecidos en los artículos 6º., 7º., 27 y 28 de la Constitución Política de los Estados Mexicanos.</w:t>
      </w:r>
      <w:r w:rsidR="00E07C3F" w:rsidRPr="002A2450">
        <w:rPr>
          <w:rFonts w:ascii="ITC Avant Garde" w:eastAsia="Times New Roman" w:hAnsi="ITC Avant Garde" w:cs="Times New Roman"/>
          <w:bCs/>
          <w:lang w:eastAsia="es-MX"/>
        </w:rPr>
        <w:t xml:space="preserve"> </w:t>
      </w:r>
    </w:p>
    <w:p w14:paraId="0AA5A86A" w14:textId="77777777" w:rsidR="00B35F13" w:rsidRDefault="00D91017" w:rsidP="00B35F13">
      <w:pPr>
        <w:pStyle w:val="Sangradetextonormal"/>
        <w:spacing w:before="240" w:after="160" w:line="360" w:lineRule="auto"/>
        <w:ind w:left="567"/>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efecto, la sociedad en general se encuentra interesada en que se respeten las disposiciones contenidas en la </w:t>
      </w:r>
      <w:r w:rsidR="00F750A4" w:rsidRPr="002A2450">
        <w:rPr>
          <w:rFonts w:ascii="ITC Avant Garde" w:eastAsia="Times New Roman" w:hAnsi="ITC Avant Garde"/>
          <w:b/>
          <w:bCs/>
          <w:lang w:eastAsia="es-MX"/>
        </w:rPr>
        <w:t xml:space="preserve">“LFT” </w:t>
      </w:r>
      <w:r w:rsidR="00F750A4" w:rsidRPr="002A2450">
        <w:rPr>
          <w:rFonts w:ascii="ITC Avant Garde" w:eastAsia="Times New Roman" w:hAnsi="ITC Avant Garde"/>
          <w:bCs/>
          <w:lang w:eastAsia="es-MX"/>
        </w:rPr>
        <w:t xml:space="preserve">y cualquier otra disposición en la materia, </w:t>
      </w:r>
      <w:r w:rsidRPr="002A2450">
        <w:rPr>
          <w:rFonts w:ascii="ITC Avant Garde" w:eastAsia="Times New Roman" w:hAnsi="ITC Avant Garde"/>
          <w:bCs/>
          <w:lang w:eastAsia="es-MX"/>
        </w:rPr>
        <w:t>con el objeto de que las telecomunicaciones se presten con mejores precios, diversidad y calidad en beneficio del público usuario.</w:t>
      </w:r>
    </w:p>
    <w:p w14:paraId="34109B1E" w14:textId="77777777" w:rsidR="00B35F13" w:rsidRDefault="0020764B" w:rsidP="00B35F13">
      <w:pPr>
        <w:pStyle w:val="Sangradetextonormal"/>
        <w:spacing w:before="240" w:after="160" w:line="360" w:lineRule="auto"/>
        <w:ind w:left="567"/>
        <w:jc w:val="both"/>
        <w:rPr>
          <w:rFonts w:ascii="ITC Avant Garde" w:eastAsia="Times New Roman" w:hAnsi="ITC Avant Garde"/>
          <w:bCs/>
          <w:lang w:eastAsia="es-MX"/>
        </w:rPr>
      </w:pPr>
      <w:r w:rsidRPr="002A2450">
        <w:rPr>
          <w:rFonts w:ascii="ITC Avant Garde" w:eastAsia="Times New Roman" w:hAnsi="ITC Avant Garde"/>
          <w:bCs/>
          <w:lang w:eastAsia="es-MX"/>
        </w:rPr>
        <w:lastRenderedPageBreak/>
        <w:t xml:space="preserve">En ese sentido, </w:t>
      </w:r>
      <w:r w:rsidR="00D91017" w:rsidRPr="002A2450">
        <w:rPr>
          <w:rFonts w:ascii="ITC Avant Garde" w:eastAsia="Times New Roman" w:hAnsi="ITC Avant Garde"/>
          <w:bCs/>
          <w:lang w:eastAsia="es-MX"/>
        </w:rPr>
        <w:t xml:space="preserve">la conducta de </w:t>
      </w:r>
      <w:r w:rsidR="00F750A4" w:rsidRPr="002A2450">
        <w:rPr>
          <w:rFonts w:ascii="ITC Avant Garde" w:eastAsia="Times New Roman" w:hAnsi="ITC Avant Garde"/>
          <w:b/>
          <w:bCs/>
          <w:lang w:eastAsia="es-MX"/>
        </w:rPr>
        <w:t xml:space="preserve">“TELMEX” </w:t>
      </w:r>
      <w:r w:rsidRPr="002A2450">
        <w:rPr>
          <w:rFonts w:ascii="ITC Avant Garde" w:eastAsia="Times New Roman" w:hAnsi="ITC Avant Garde"/>
          <w:bCs/>
          <w:lang w:eastAsia="es-MX"/>
        </w:rPr>
        <w:t xml:space="preserve">tuvo por efecto que diversos concesionarios en materia de telecomunicaciones acudieran ante este </w:t>
      </w:r>
      <w:r w:rsidRPr="002A2450">
        <w:rPr>
          <w:rFonts w:ascii="ITC Avant Garde" w:eastAsia="Times New Roman" w:hAnsi="ITC Avant Garde"/>
          <w:b/>
          <w:bCs/>
          <w:lang w:eastAsia="es-MX"/>
        </w:rPr>
        <w:t>“IFT”</w:t>
      </w:r>
      <w:r w:rsidRPr="002A2450">
        <w:rPr>
          <w:rFonts w:ascii="ITC Avant Garde" w:eastAsia="Times New Roman" w:hAnsi="ITC Avant Garde"/>
          <w:bCs/>
          <w:lang w:eastAsia="es-MX"/>
        </w:rPr>
        <w:t xml:space="preserve"> a </w:t>
      </w:r>
      <w:r w:rsidR="003C4C67" w:rsidRPr="002A2450">
        <w:rPr>
          <w:rFonts w:ascii="ITC Avant Garde" w:eastAsia="Times New Roman" w:hAnsi="ITC Avant Garde"/>
          <w:bCs/>
          <w:lang w:eastAsia="es-MX"/>
        </w:rPr>
        <w:t>denunciar la conducta que ahora se sanciona, con el objeto de provocar que la misma cesara</w:t>
      </w:r>
      <w:r w:rsidRPr="002A2450">
        <w:rPr>
          <w:rFonts w:ascii="ITC Avant Garde" w:eastAsia="Times New Roman" w:hAnsi="ITC Avant Garde"/>
          <w:bCs/>
          <w:lang w:eastAsia="es-MX"/>
        </w:rPr>
        <w:t xml:space="preserve"> dado que implicaba una participación por parte de dicha concesionaria en un servicio que no tiene autorizado</w:t>
      </w:r>
      <w:r w:rsidR="00547A6E" w:rsidRPr="002A2450">
        <w:rPr>
          <w:rFonts w:ascii="ITC Avant Garde" w:eastAsia="Times New Roman" w:hAnsi="ITC Avant Garde"/>
          <w:bCs/>
          <w:lang w:eastAsia="es-MX"/>
        </w:rPr>
        <w:t xml:space="preserve"> y en consecuencia que participara en un mercado al que en principio no tendría acceso </w:t>
      </w:r>
      <w:r w:rsidR="00F62F66" w:rsidRPr="002A2450">
        <w:rPr>
          <w:rFonts w:ascii="ITC Avant Garde" w:eastAsia="Times New Roman" w:hAnsi="ITC Avant Garde"/>
          <w:bCs/>
          <w:lang w:eastAsia="es-MX"/>
        </w:rPr>
        <w:t xml:space="preserve">en detrimento </w:t>
      </w:r>
      <w:r w:rsidR="00AC4C37" w:rsidRPr="002A2450">
        <w:rPr>
          <w:rFonts w:ascii="ITC Avant Garde" w:eastAsia="Times New Roman" w:hAnsi="ITC Avant Garde"/>
          <w:bCs/>
          <w:lang w:eastAsia="es-MX"/>
        </w:rPr>
        <w:t>al interés público</w:t>
      </w:r>
      <w:r w:rsidRPr="002A2450">
        <w:rPr>
          <w:rFonts w:ascii="ITC Avant Garde" w:eastAsia="Times New Roman" w:hAnsi="ITC Avant Garde"/>
          <w:bCs/>
          <w:lang w:eastAsia="es-MX"/>
        </w:rPr>
        <w:t>.</w:t>
      </w:r>
    </w:p>
    <w:p w14:paraId="470F0B94" w14:textId="77777777" w:rsidR="00B35F13" w:rsidRDefault="00E07C3F" w:rsidP="00B35F13">
      <w:pPr>
        <w:pStyle w:val="Sangradetextonormal"/>
        <w:spacing w:before="240" w:after="160" w:line="360" w:lineRule="auto"/>
        <w:ind w:left="567"/>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Lo anterior es relevante, dado que la rectoría del Estado con relación a las concesiones no puede ser alterada de manera arbitraria por los propios concesionarios, esto es, los concesionarios no pueden llevar a cabo conductas que tengan o puedan tener como efecto </w:t>
      </w:r>
      <w:r w:rsidR="00F01606" w:rsidRPr="002A2450">
        <w:rPr>
          <w:rFonts w:ascii="ITC Avant Garde" w:eastAsia="Times New Roman" w:hAnsi="ITC Avant Garde"/>
          <w:bCs/>
          <w:lang w:eastAsia="es-MX"/>
        </w:rPr>
        <w:t>modificar las condiciones de</w:t>
      </w:r>
      <w:r w:rsidR="00C51A9A">
        <w:rPr>
          <w:rFonts w:ascii="ITC Avant Garde" w:eastAsia="Times New Roman" w:hAnsi="ITC Avant Garde"/>
          <w:bCs/>
          <w:lang w:eastAsia="es-MX"/>
        </w:rPr>
        <w:t xml:space="preserve"> sus títulos de concesión</w:t>
      </w:r>
      <w:r w:rsidR="00F01606" w:rsidRPr="002A2450">
        <w:rPr>
          <w:rFonts w:ascii="ITC Avant Garde" w:eastAsia="Times New Roman" w:hAnsi="ITC Avant Garde"/>
          <w:bCs/>
          <w:lang w:eastAsia="es-MX"/>
        </w:rPr>
        <w:t>.</w:t>
      </w:r>
    </w:p>
    <w:p w14:paraId="16838D0F" w14:textId="67D73B69" w:rsidR="00B35F13" w:rsidRDefault="00F01606"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bCs/>
          <w:lang w:eastAsia="es-MX"/>
        </w:rPr>
        <w:t xml:space="preserve">En tales consideraciones, </w:t>
      </w:r>
      <w:r w:rsidR="00BF4AD7" w:rsidRPr="002A2450">
        <w:rPr>
          <w:rFonts w:ascii="ITC Avant Garde" w:eastAsia="Times New Roman" w:hAnsi="ITC Avant Garde"/>
          <w:bCs/>
          <w:lang w:eastAsia="es-MX"/>
        </w:rPr>
        <w:t xml:space="preserve">se estima que </w:t>
      </w:r>
      <w:r w:rsidR="00D91017" w:rsidRPr="002A2450">
        <w:rPr>
          <w:rFonts w:ascii="ITC Avant Garde" w:eastAsia="Times New Roman" w:hAnsi="ITC Avant Garde"/>
          <w:bCs/>
          <w:lang w:eastAsia="es-MX"/>
        </w:rPr>
        <w:t xml:space="preserve">con la comisión de la conducta </w:t>
      </w:r>
      <w:r w:rsidR="00BF4AD7" w:rsidRPr="002A2450">
        <w:rPr>
          <w:rFonts w:ascii="ITC Avant Garde" w:eastAsia="Times New Roman" w:hAnsi="ITC Avant Garde"/>
          <w:bCs/>
          <w:lang w:eastAsia="es-MX"/>
        </w:rPr>
        <w:t xml:space="preserve">a partir </w:t>
      </w:r>
      <w:r w:rsidR="00D91017" w:rsidRPr="002A2450">
        <w:rPr>
          <w:rFonts w:ascii="ITC Avant Garde" w:eastAsia="Times New Roman" w:hAnsi="ITC Avant Garde" w:cs="Times New Roman"/>
          <w:bCs/>
          <w:lang w:eastAsia="es-MX"/>
        </w:rPr>
        <w:t xml:space="preserve">del análisis de las constancias que obran en el expediente </w:t>
      </w:r>
      <w:r w:rsidR="0020764B" w:rsidRPr="002A2450">
        <w:rPr>
          <w:rFonts w:ascii="ITC Avant Garde" w:eastAsia="Times New Roman" w:hAnsi="ITC Avant Garde" w:cs="Times New Roman"/>
          <w:bCs/>
          <w:lang w:eastAsia="es-MX"/>
        </w:rPr>
        <w:t>se puede llegar a la conclusión que s</w:t>
      </w:r>
      <w:r w:rsidR="002E6028" w:rsidRPr="002A2450">
        <w:rPr>
          <w:rFonts w:ascii="ITC Avant Garde" w:eastAsia="Times New Roman" w:hAnsi="ITC Avant Garde" w:cs="Times New Roman"/>
          <w:bCs/>
          <w:lang w:eastAsia="es-MX"/>
        </w:rPr>
        <w:t>í</w:t>
      </w:r>
      <w:r w:rsidR="0020764B" w:rsidRPr="002A2450">
        <w:rPr>
          <w:rFonts w:ascii="ITC Avant Garde" w:eastAsia="Times New Roman" w:hAnsi="ITC Avant Garde" w:cs="Times New Roman"/>
          <w:bCs/>
          <w:lang w:eastAsia="es-MX"/>
        </w:rPr>
        <w:t xml:space="preserve"> exist</w:t>
      </w:r>
      <w:r w:rsidRPr="002A2450">
        <w:rPr>
          <w:rFonts w:ascii="ITC Avant Garde" w:eastAsia="Times New Roman" w:hAnsi="ITC Avant Garde" w:cs="Times New Roman"/>
          <w:bCs/>
          <w:lang w:eastAsia="es-MX"/>
        </w:rPr>
        <w:t>ió</w:t>
      </w:r>
      <w:r w:rsidR="0020764B" w:rsidRPr="002A2450">
        <w:rPr>
          <w:rFonts w:ascii="ITC Avant Garde" w:eastAsia="Times New Roman" w:hAnsi="ITC Avant Garde" w:cs="Times New Roman"/>
          <w:bCs/>
          <w:lang w:eastAsia="es-MX"/>
        </w:rPr>
        <w:t xml:space="preserve"> un daño con m</w:t>
      </w:r>
      <w:r w:rsidR="007104B0" w:rsidRPr="002A2450">
        <w:rPr>
          <w:rFonts w:ascii="ITC Avant Garde" w:eastAsia="Times New Roman" w:hAnsi="ITC Avant Garde" w:cs="Times New Roman"/>
          <w:bCs/>
          <w:lang w:eastAsia="es-MX"/>
        </w:rPr>
        <w:t xml:space="preserve">otivo de la conducta realizada </w:t>
      </w:r>
      <w:r w:rsidR="00BF4AD7" w:rsidRPr="002A2450">
        <w:rPr>
          <w:rFonts w:ascii="ITC Avant Garde" w:eastAsia="Times New Roman" w:hAnsi="ITC Avant Garde" w:cs="Times New Roman"/>
          <w:bCs/>
          <w:lang w:eastAsia="es-MX"/>
        </w:rPr>
        <w:t xml:space="preserve">por </w:t>
      </w:r>
      <w:r w:rsidR="00BF4AD7" w:rsidRPr="002A2450">
        <w:rPr>
          <w:rFonts w:ascii="ITC Avant Garde" w:eastAsia="Times New Roman" w:hAnsi="ITC Avant Garde" w:cs="Times New Roman"/>
          <w:b/>
          <w:bCs/>
          <w:lang w:eastAsia="es-MX"/>
        </w:rPr>
        <w:t>“TELMEX”</w:t>
      </w:r>
      <w:r w:rsidR="007104B0" w:rsidRPr="002A2450">
        <w:rPr>
          <w:rFonts w:ascii="ITC Avant Garde" w:eastAsia="Times New Roman" w:hAnsi="ITC Avant Garde" w:cs="Times New Roman"/>
          <w:bCs/>
          <w:lang w:eastAsia="es-MX"/>
        </w:rPr>
        <w:t>.</w:t>
      </w:r>
    </w:p>
    <w:p w14:paraId="28FDDCFA" w14:textId="77777777" w:rsidR="00B35F13" w:rsidRDefault="007104B0" w:rsidP="007E623E">
      <w:pPr>
        <w:pStyle w:val="Listaconnmeros"/>
        <w:widowControl w:val="0"/>
        <w:numPr>
          <w:ilvl w:val="0"/>
          <w:numId w:val="50"/>
        </w:numPr>
        <w:spacing w:before="240" w:after="160" w:line="360" w:lineRule="auto"/>
        <w:jc w:val="both"/>
        <w:rPr>
          <w:rFonts w:ascii="ITC Avant Garde" w:hAnsi="ITC Avant Garde"/>
          <w:b/>
          <w:bCs/>
          <w:sz w:val="22"/>
          <w:szCs w:val="22"/>
          <w:lang w:eastAsia="es-MX"/>
        </w:rPr>
      </w:pPr>
      <w:r w:rsidRPr="002A2450">
        <w:rPr>
          <w:rFonts w:ascii="ITC Avant Garde" w:hAnsi="ITC Avant Garde"/>
          <w:b/>
          <w:bCs/>
          <w:sz w:val="22"/>
          <w:szCs w:val="22"/>
          <w:lang w:eastAsia="es-MX"/>
        </w:rPr>
        <w:t>EL CARÁCTER INTENCIONAL DE LA ACCIÓN U OMISIÓN CONSTITUTIVA DE LA INFRACCIÓN</w:t>
      </w:r>
    </w:p>
    <w:p w14:paraId="2E92E48A" w14:textId="77777777" w:rsidR="00B35F13" w:rsidRDefault="0020764B" w:rsidP="00B35F13">
      <w:pPr>
        <w:autoSpaceDE w:val="0"/>
        <w:autoSpaceDN w:val="0"/>
        <w:adjustRightInd w:val="0"/>
        <w:spacing w:before="240" w:line="360" w:lineRule="auto"/>
        <w:jc w:val="both"/>
        <w:rPr>
          <w:rFonts w:ascii="ITC Avant Garde" w:eastAsia="Times New Roman" w:hAnsi="ITC Avant Garde"/>
          <w:b/>
          <w:bCs/>
          <w:lang w:eastAsia="es-MX"/>
        </w:rPr>
      </w:pPr>
      <w:r w:rsidRPr="002A2450">
        <w:rPr>
          <w:rFonts w:ascii="ITC Avant Garde" w:eastAsia="Times New Roman" w:hAnsi="ITC Avant Garde"/>
          <w:bCs/>
          <w:lang w:eastAsia="es-MX"/>
        </w:rPr>
        <w:t>L</w:t>
      </w:r>
      <w:r w:rsidR="00D91017" w:rsidRPr="002A2450">
        <w:rPr>
          <w:rFonts w:ascii="ITC Avant Garde" w:eastAsia="Times New Roman" w:hAnsi="ITC Avant Garde"/>
          <w:bCs/>
          <w:lang w:eastAsia="es-MX"/>
        </w:rPr>
        <w:t xml:space="preserve">a prestación de los servicios de telecomunicaciones se realiza mediante concesión o permiso </w:t>
      </w:r>
      <w:r w:rsidRPr="002A2450">
        <w:rPr>
          <w:rFonts w:ascii="ITC Avant Garde" w:eastAsia="Times New Roman" w:hAnsi="ITC Avant Garde"/>
          <w:bCs/>
          <w:lang w:eastAsia="es-MX"/>
        </w:rPr>
        <w:t xml:space="preserve">la cual </w:t>
      </w:r>
      <w:r w:rsidR="00D91017" w:rsidRPr="002A2450">
        <w:rPr>
          <w:rFonts w:ascii="ITC Avant Garde" w:eastAsia="Times New Roman" w:hAnsi="ITC Avant Garde"/>
          <w:bCs/>
          <w:lang w:eastAsia="es-MX"/>
        </w:rPr>
        <w:t>está regulada por el marco constitucional, y dado que el cumplimiento de las obligaciones por parte de los concesionarios no puede quedar a su arbitrio, las concesiones se sujetan a un régimen de derecho público que obliga a los concesionarios a observar lo dispuesto en la</w:t>
      </w:r>
      <w:r w:rsidRPr="002A2450">
        <w:rPr>
          <w:rFonts w:ascii="ITC Avant Garde" w:eastAsia="Times New Roman" w:hAnsi="ITC Avant Garde"/>
          <w:bCs/>
          <w:lang w:eastAsia="es-MX"/>
        </w:rPr>
        <w:t xml:space="preserve"> </w:t>
      </w:r>
      <w:r w:rsidRPr="002A2450">
        <w:rPr>
          <w:rFonts w:ascii="ITC Avant Garde" w:eastAsia="Times New Roman" w:hAnsi="ITC Avant Garde"/>
          <w:b/>
          <w:bCs/>
          <w:lang w:eastAsia="es-MX"/>
        </w:rPr>
        <w:t>”CPEUM”</w:t>
      </w:r>
      <w:r w:rsidR="00D91017" w:rsidRPr="002A2450">
        <w:rPr>
          <w:rFonts w:ascii="ITC Avant Garde" w:eastAsia="Times New Roman" w:hAnsi="ITC Avant Garde"/>
          <w:bCs/>
          <w:lang w:eastAsia="es-MX"/>
        </w:rPr>
        <w:t xml:space="preserve">, la </w:t>
      </w:r>
      <w:r w:rsidRPr="002A2450">
        <w:rPr>
          <w:rFonts w:ascii="ITC Avant Garde" w:eastAsia="Times New Roman" w:hAnsi="ITC Avant Garde"/>
          <w:b/>
          <w:bCs/>
          <w:lang w:eastAsia="es-MX"/>
        </w:rPr>
        <w:t xml:space="preserve">“LFT” </w:t>
      </w:r>
      <w:r w:rsidR="00D91017" w:rsidRPr="002A2450">
        <w:rPr>
          <w:rFonts w:ascii="ITC Avant Garde" w:eastAsia="Times New Roman" w:hAnsi="ITC Avant Garde"/>
          <w:bCs/>
          <w:lang w:eastAsia="es-MX"/>
        </w:rPr>
        <w:t>(mientras estuvo vigente), la</w:t>
      </w:r>
      <w:r w:rsidRPr="002A2450">
        <w:rPr>
          <w:rFonts w:ascii="ITC Avant Garde" w:eastAsia="Times New Roman" w:hAnsi="ITC Avant Garde"/>
          <w:bCs/>
          <w:lang w:eastAsia="es-MX"/>
        </w:rPr>
        <w:t xml:space="preserve"> </w:t>
      </w:r>
      <w:r w:rsidRPr="002A2450">
        <w:rPr>
          <w:rFonts w:ascii="ITC Avant Garde" w:eastAsia="Times New Roman" w:hAnsi="ITC Avant Garde"/>
          <w:b/>
          <w:bCs/>
          <w:lang w:eastAsia="es-MX"/>
        </w:rPr>
        <w:t>“</w:t>
      </w:r>
      <w:proofErr w:type="spellStart"/>
      <w:r w:rsidRPr="002A2450">
        <w:rPr>
          <w:rFonts w:ascii="ITC Avant Garde" w:eastAsia="Times New Roman" w:hAnsi="ITC Avant Garde"/>
          <w:b/>
          <w:bCs/>
          <w:lang w:eastAsia="es-MX"/>
        </w:rPr>
        <w:t>LFTyR</w:t>
      </w:r>
      <w:proofErr w:type="spellEnd"/>
      <w:r w:rsidRPr="002A2450">
        <w:rPr>
          <w:rFonts w:ascii="ITC Avant Garde" w:eastAsia="Times New Roman" w:hAnsi="ITC Avant Garde"/>
          <w:b/>
          <w:bCs/>
          <w:lang w:eastAsia="es-MX"/>
        </w:rPr>
        <w:t>”</w:t>
      </w:r>
      <w:r w:rsidR="00D91017" w:rsidRPr="002A2450">
        <w:rPr>
          <w:rFonts w:ascii="ITC Avant Garde" w:eastAsia="Times New Roman" w:hAnsi="ITC Avant Garde"/>
          <w:bCs/>
          <w:lang w:eastAsia="es-MX"/>
        </w:rPr>
        <w:t xml:space="preserve">, Reglamentos, Tratados internacionales, Decretos, Normas Oficiales Mexicanas, Resoluciones, Acuerdos y demás disposiciones legales, reglamentarias y administrativas aplicables en la materia que al efecto se expidan, </w:t>
      </w:r>
      <w:r w:rsidR="00D91017" w:rsidRPr="002A2450">
        <w:rPr>
          <w:rFonts w:ascii="ITC Avant Garde" w:eastAsia="Times New Roman" w:hAnsi="ITC Avant Garde"/>
          <w:b/>
          <w:bCs/>
          <w:lang w:eastAsia="es-MX"/>
        </w:rPr>
        <w:t>así como las condiciones establecidas en su título de concesión y sus anexos.</w:t>
      </w:r>
    </w:p>
    <w:p w14:paraId="0E97C234"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lastRenderedPageBreak/>
        <w:t xml:space="preserve">En ese sentido desde el momento en que se le otorgó la concesión a </w:t>
      </w:r>
      <w:r w:rsidR="00F02656" w:rsidRPr="002A2450">
        <w:rPr>
          <w:rFonts w:ascii="ITC Avant Garde" w:eastAsia="Times New Roman" w:hAnsi="ITC Avant Garde"/>
          <w:b/>
          <w:bCs/>
          <w:lang w:eastAsia="es-MX"/>
        </w:rPr>
        <w:t>“TELMEX”</w:t>
      </w:r>
      <w:r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ésta se hizo sabedora de las condiciones establecidas en </w:t>
      </w:r>
      <w:r w:rsidR="00F02656" w:rsidRPr="002A2450">
        <w:rPr>
          <w:rFonts w:ascii="ITC Avant Garde" w:eastAsia="Times New Roman" w:hAnsi="ITC Avant Garde"/>
          <w:bCs/>
          <w:lang w:eastAsia="es-MX"/>
        </w:rPr>
        <w:t xml:space="preserve">su </w:t>
      </w:r>
      <w:r w:rsidR="00F02656" w:rsidRPr="002A2450">
        <w:rPr>
          <w:rFonts w:ascii="ITC Avant Garde" w:eastAsia="Times New Roman" w:hAnsi="ITC Avant Garde"/>
          <w:b/>
          <w:bCs/>
          <w:lang w:eastAsia="es-MX"/>
        </w:rPr>
        <w:t>“TÍTULO DE CONCESIÓN”</w:t>
      </w:r>
      <w:r w:rsidRPr="002A2450">
        <w:rPr>
          <w:rFonts w:ascii="ITC Avant Garde" w:eastAsia="Times New Roman" w:hAnsi="ITC Avant Garde"/>
          <w:bCs/>
          <w:lang w:eastAsia="es-MX"/>
        </w:rPr>
        <w:t>, así como de su obligación de cumplir con todas y cada una de ellas, en el entendido de que el incumplimiento a las mismas, conlleva una conducta susceptible de ser sancionada.</w:t>
      </w:r>
    </w:p>
    <w:p w14:paraId="3A9934B3" w14:textId="77777777" w:rsidR="00B35F13" w:rsidRDefault="00D91017"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Así, uno de los elementos subjetivos de la conducta de </w:t>
      </w:r>
      <w:r w:rsidR="00F02656" w:rsidRPr="002A2450">
        <w:rPr>
          <w:rFonts w:ascii="ITC Avant Garde" w:eastAsia="Times New Roman" w:hAnsi="ITC Avant Garde"/>
          <w:b/>
          <w:bCs/>
          <w:lang w:eastAsia="es-MX"/>
        </w:rPr>
        <w:t xml:space="preserve">“TELMEX” </w:t>
      </w:r>
      <w:r w:rsidRPr="002A2450">
        <w:rPr>
          <w:rFonts w:ascii="ITC Avant Garde" w:eastAsia="Times New Roman" w:hAnsi="ITC Avant Garde"/>
          <w:bCs/>
          <w:lang w:eastAsia="es-MX"/>
        </w:rPr>
        <w:t>consistente en la intencionalidad</w:t>
      </w:r>
      <w:r w:rsidR="004B26AC" w:rsidRPr="002A2450">
        <w:rPr>
          <w:rFonts w:ascii="ITC Avant Garde" w:eastAsia="Times New Roman" w:hAnsi="ITC Avant Garde"/>
          <w:bCs/>
          <w:lang w:eastAsia="es-MX"/>
        </w:rPr>
        <w:t>, esto es, la realización de una conducta con la intención y a sabiendas de los efectos que puede ocasion</w:t>
      </w:r>
      <w:r w:rsidR="00BF4AD7" w:rsidRPr="002A2450">
        <w:rPr>
          <w:rFonts w:ascii="ITC Avant Garde" w:eastAsia="Times New Roman" w:hAnsi="ITC Avant Garde"/>
          <w:bCs/>
          <w:lang w:eastAsia="es-MX"/>
        </w:rPr>
        <w:t>ar</w:t>
      </w:r>
      <w:r w:rsidR="004B26AC" w:rsidRPr="002A2450">
        <w:rPr>
          <w:rFonts w:ascii="ITC Avant Garde" w:eastAsia="Times New Roman" w:hAnsi="ITC Avant Garde"/>
          <w:bCs/>
          <w:lang w:eastAsia="es-MX"/>
        </w:rPr>
        <w:t xml:space="preserve">, </w:t>
      </w:r>
      <w:r w:rsidR="00B357C2" w:rsidRPr="002A2450">
        <w:rPr>
          <w:rFonts w:ascii="ITC Avant Garde" w:eastAsia="Times New Roman" w:hAnsi="ITC Avant Garde"/>
          <w:bCs/>
          <w:lang w:eastAsia="es-MX"/>
        </w:rPr>
        <w:t xml:space="preserve">estima que </w:t>
      </w:r>
      <w:r w:rsidR="00BF4AD7" w:rsidRPr="002A2450">
        <w:rPr>
          <w:rFonts w:ascii="ITC Avant Garde" w:eastAsia="Times New Roman" w:hAnsi="ITC Avant Garde"/>
          <w:bCs/>
          <w:lang w:eastAsia="es-MX"/>
        </w:rPr>
        <w:t xml:space="preserve">en el presente caso </w:t>
      </w:r>
      <w:r w:rsidR="00B357C2" w:rsidRPr="002A2450">
        <w:rPr>
          <w:rFonts w:ascii="ITC Avant Garde" w:eastAsia="Times New Roman" w:hAnsi="ITC Avant Garde"/>
          <w:bCs/>
          <w:lang w:eastAsia="es-MX"/>
        </w:rPr>
        <w:t xml:space="preserve">se acredita </w:t>
      </w:r>
      <w:r w:rsidR="00BF4AD7" w:rsidRPr="002A2450">
        <w:rPr>
          <w:rFonts w:ascii="ITC Avant Garde" w:eastAsia="Times New Roman" w:hAnsi="ITC Avant Garde"/>
          <w:bCs/>
          <w:lang w:eastAsia="es-MX"/>
        </w:rPr>
        <w:t xml:space="preserve">con </w:t>
      </w:r>
      <w:r w:rsidRPr="002A2450">
        <w:rPr>
          <w:rFonts w:ascii="ITC Avant Garde" w:eastAsia="Times New Roman" w:hAnsi="ITC Avant Garde"/>
          <w:bCs/>
          <w:lang w:eastAsia="es-MX"/>
        </w:rPr>
        <w:t xml:space="preserve">el simple hecho de </w:t>
      </w:r>
      <w:r w:rsidR="00BF4AD7" w:rsidRPr="002A2450">
        <w:rPr>
          <w:rFonts w:ascii="ITC Avant Garde" w:eastAsia="Times New Roman" w:hAnsi="ITC Avant Garde"/>
          <w:bCs/>
          <w:lang w:eastAsia="es-MX"/>
        </w:rPr>
        <w:t xml:space="preserve">crear una situación de hecho a partir de la celebración de </w:t>
      </w:r>
      <w:r w:rsidR="00F02656" w:rsidRPr="002A2450">
        <w:rPr>
          <w:rFonts w:ascii="ITC Avant Garde" w:eastAsia="Times New Roman" w:hAnsi="ITC Avant Garde"/>
          <w:bCs/>
          <w:lang w:eastAsia="es-MX"/>
        </w:rPr>
        <w:t xml:space="preserve">una serie de contratos debidamente coaligados en los que a partir del interés que guardaba sobre la suscripción de las partes sociales de </w:t>
      </w:r>
      <w:r w:rsidR="00F02656" w:rsidRPr="002A2450">
        <w:rPr>
          <w:rFonts w:ascii="ITC Avant Garde" w:eastAsia="Times New Roman" w:hAnsi="ITC Avant Garde"/>
          <w:b/>
          <w:bCs/>
          <w:lang w:eastAsia="es-MX"/>
        </w:rPr>
        <w:t>“DISH MÉXICO”</w:t>
      </w:r>
      <w:r w:rsidR="004B26AC" w:rsidRPr="002A2450">
        <w:rPr>
          <w:rFonts w:ascii="ITC Avant Garde" w:eastAsia="Times New Roman" w:hAnsi="ITC Avant Garde"/>
          <w:bCs/>
          <w:lang w:eastAsia="es-MX"/>
        </w:rPr>
        <w:t xml:space="preserve"> </w:t>
      </w:r>
      <w:r w:rsidR="00BF4AD7" w:rsidRPr="002A2450">
        <w:rPr>
          <w:rFonts w:ascii="ITC Avant Garde" w:eastAsia="Times New Roman" w:hAnsi="ITC Avant Garde"/>
          <w:bCs/>
          <w:lang w:eastAsia="es-MX"/>
        </w:rPr>
        <w:t xml:space="preserve">le permitió a </w:t>
      </w:r>
      <w:r w:rsidR="00BF4AD7" w:rsidRPr="002A2450">
        <w:rPr>
          <w:rFonts w:ascii="ITC Avant Garde" w:eastAsia="Times New Roman" w:hAnsi="ITC Avant Garde"/>
          <w:b/>
          <w:bCs/>
          <w:lang w:eastAsia="es-MX"/>
        </w:rPr>
        <w:t xml:space="preserve">“TELMEX” </w:t>
      </w:r>
      <w:r w:rsidR="00BF4AD7" w:rsidRPr="002A2450">
        <w:rPr>
          <w:rFonts w:ascii="ITC Avant Garde" w:eastAsia="Times New Roman" w:hAnsi="ITC Avant Garde"/>
          <w:bCs/>
          <w:lang w:eastAsia="es-MX"/>
        </w:rPr>
        <w:t>influir</w:t>
      </w:r>
      <w:r w:rsidR="00BF4AD7" w:rsidRPr="002A2450">
        <w:rPr>
          <w:rFonts w:ascii="ITC Avant Garde" w:eastAsia="Times New Roman" w:hAnsi="ITC Avant Garde"/>
          <w:b/>
          <w:bCs/>
          <w:lang w:eastAsia="es-MX"/>
        </w:rPr>
        <w:t xml:space="preserve"> </w:t>
      </w:r>
      <w:r w:rsidR="00BF4AD7" w:rsidRPr="002A2450">
        <w:rPr>
          <w:rFonts w:ascii="ITC Avant Garde" w:eastAsia="Times New Roman" w:hAnsi="ITC Avant Garde"/>
          <w:bCs/>
          <w:lang w:eastAsia="es-MX"/>
        </w:rPr>
        <w:t xml:space="preserve">en la prestación de un servicio que no tenía autorizado, lo cual </w:t>
      </w:r>
      <w:r w:rsidR="004B26AC" w:rsidRPr="002A2450">
        <w:rPr>
          <w:rFonts w:ascii="ITC Avant Garde" w:eastAsia="Times New Roman" w:hAnsi="ITC Avant Garde"/>
          <w:bCs/>
          <w:lang w:eastAsia="es-MX"/>
        </w:rPr>
        <w:t>tu</w:t>
      </w:r>
      <w:r w:rsidR="00BF4AD7" w:rsidRPr="002A2450">
        <w:rPr>
          <w:rFonts w:ascii="ITC Avant Garde" w:eastAsia="Times New Roman" w:hAnsi="ITC Avant Garde"/>
          <w:bCs/>
          <w:lang w:eastAsia="es-MX"/>
        </w:rPr>
        <w:t>v</w:t>
      </w:r>
      <w:r w:rsidR="004B26AC" w:rsidRPr="002A2450">
        <w:rPr>
          <w:rFonts w:ascii="ITC Avant Garde" w:eastAsia="Times New Roman" w:hAnsi="ITC Avant Garde"/>
          <w:bCs/>
          <w:lang w:eastAsia="es-MX"/>
        </w:rPr>
        <w:t>o por efecto que</w:t>
      </w:r>
      <w:r w:rsidR="00BF4AD7" w:rsidRPr="002A2450">
        <w:rPr>
          <w:rFonts w:ascii="ITC Avant Garde" w:eastAsia="Times New Roman" w:hAnsi="ITC Avant Garde"/>
          <w:bCs/>
          <w:lang w:eastAsia="es-MX"/>
        </w:rPr>
        <w:t xml:space="preserve"> dicha empresa</w:t>
      </w:r>
      <w:r w:rsidR="004B26AC" w:rsidRPr="002A2450">
        <w:rPr>
          <w:rFonts w:ascii="ITC Avant Garde" w:eastAsia="Times New Roman" w:hAnsi="ITC Avant Garde"/>
          <w:bCs/>
          <w:lang w:eastAsia="es-MX"/>
        </w:rPr>
        <w:t xml:space="preserve"> explotara de manera indirecta el título de concesión otorgado a </w:t>
      </w:r>
      <w:r w:rsidR="004B26AC" w:rsidRPr="002A2450">
        <w:rPr>
          <w:rFonts w:ascii="ITC Avant Garde" w:eastAsia="Times New Roman" w:hAnsi="ITC Avant Garde"/>
          <w:b/>
          <w:bCs/>
          <w:lang w:eastAsia="es-MX"/>
        </w:rPr>
        <w:t>“COFRESA”</w:t>
      </w:r>
      <w:r w:rsidR="004B26AC" w:rsidRPr="002A2450">
        <w:rPr>
          <w:rFonts w:ascii="ITC Avant Garde" w:eastAsia="Times New Roman" w:hAnsi="ITC Avant Garde"/>
          <w:bCs/>
          <w:lang w:eastAsia="es-MX"/>
        </w:rPr>
        <w:t xml:space="preserve"> para prestar un servicio de televisión </w:t>
      </w:r>
      <w:r w:rsidR="00BF4AD7" w:rsidRPr="002A2450">
        <w:rPr>
          <w:rFonts w:ascii="ITC Avant Garde" w:eastAsia="Times New Roman" w:hAnsi="ITC Avant Garde"/>
          <w:bCs/>
          <w:lang w:eastAsia="es-MX"/>
        </w:rPr>
        <w:t xml:space="preserve">restringida en </w:t>
      </w:r>
      <w:r w:rsidR="004B26AC" w:rsidRPr="002A2450">
        <w:rPr>
          <w:rFonts w:ascii="ITC Avant Garde" w:eastAsia="Times New Roman" w:hAnsi="ITC Avant Garde"/>
          <w:bCs/>
          <w:lang w:eastAsia="es-MX"/>
        </w:rPr>
        <w:t>el país.</w:t>
      </w:r>
    </w:p>
    <w:p w14:paraId="445D76E0" w14:textId="77777777" w:rsidR="00B35F13" w:rsidRDefault="004B26AC"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La conducta anterior, no puede ser más que reputada al amparo de que </w:t>
      </w:r>
      <w:r w:rsidRPr="002A2450">
        <w:rPr>
          <w:rFonts w:ascii="ITC Avant Garde" w:eastAsia="Times New Roman" w:hAnsi="ITC Avant Garde"/>
          <w:b/>
          <w:bCs/>
          <w:lang w:eastAsia="es-MX"/>
        </w:rPr>
        <w:t>“TELMEX”</w:t>
      </w:r>
      <w:r w:rsidR="00F02656" w:rsidRPr="002A2450">
        <w:rPr>
          <w:rFonts w:ascii="ITC Avant Garde" w:eastAsia="Times New Roman" w:hAnsi="ITC Avant Garde"/>
          <w:bCs/>
          <w:lang w:eastAsia="es-MX"/>
        </w:rPr>
        <w:t xml:space="preserve"> a sabiendas de que su </w:t>
      </w:r>
      <w:r w:rsidR="00F02656" w:rsidRPr="002A2450">
        <w:rPr>
          <w:rFonts w:ascii="ITC Avant Garde" w:eastAsia="Times New Roman" w:hAnsi="ITC Avant Garde"/>
          <w:b/>
          <w:bCs/>
          <w:lang w:eastAsia="es-MX"/>
        </w:rPr>
        <w:t xml:space="preserve">“TÍTULO DE CONCESIÓN” </w:t>
      </w:r>
      <w:r w:rsidR="00F02656" w:rsidRPr="002A2450">
        <w:rPr>
          <w:rFonts w:ascii="ITC Avant Garde" w:eastAsia="Times New Roman" w:hAnsi="ITC Avant Garde"/>
          <w:bCs/>
          <w:lang w:eastAsia="es-MX"/>
        </w:rPr>
        <w:t xml:space="preserve">le prohíbe llevar a cabo una explotación respecto del servicio de televisión </w:t>
      </w:r>
      <w:r w:rsidR="00BF4AD7" w:rsidRPr="002A2450">
        <w:rPr>
          <w:rFonts w:ascii="ITC Avant Garde" w:eastAsia="Times New Roman" w:hAnsi="ITC Avant Garde"/>
          <w:bCs/>
          <w:lang w:eastAsia="es-MX"/>
        </w:rPr>
        <w:t xml:space="preserve">al público </w:t>
      </w:r>
      <w:r w:rsidR="00F02656" w:rsidRPr="002A2450">
        <w:rPr>
          <w:rFonts w:ascii="ITC Avant Garde" w:eastAsia="Times New Roman" w:hAnsi="ITC Avant Garde"/>
          <w:bCs/>
          <w:lang w:eastAsia="es-MX"/>
        </w:rPr>
        <w:t xml:space="preserve">en el país, </w:t>
      </w:r>
      <w:r w:rsidRPr="002A2450">
        <w:rPr>
          <w:rFonts w:ascii="ITC Avant Garde" w:eastAsia="Times New Roman" w:hAnsi="ITC Avant Garde"/>
          <w:bCs/>
          <w:lang w:eastAsia="es-MX"/>
        </w:rPr>
        <w:t>consum</w:t>
      </w:r>
      <w:r w:rsidR="00B357C2" w:rsidRPr="002A2450">
        <w:rPr>
          <w:rFonts w:ascii="ITC Avant Garde" w:eastAsia="Times New Roman" w:hAnsi="ITC Avant Garde"/>
          <w:bCs/>
          <w:lang w:eastAsia="es-MX"/>
        </w:rPr>
        <w:t>ó</w:t>
      </w:r>
      <w:r w:rsidRPr="002A2450">
        <w:rPr>
          <w:rFonts w:ascii="ITC Avant Garde" w:eastAsia="Times New Roman" w:hAnsi="ITC Avant Garde"/>
          <w:bCs/>
          <w:lang w:eastAsia="es-MX"/>
        </w:rPr>
        <w:t xml:space="preserve"> la conducta</w:t>
      </w:r>
      <w:r w:rsidR="00B357C2" w:rsidRPr="002A2450">
        <w:rPr>
          <w:rFonts w:ascii="ITC Avant Garde" w:eastAsia="Times New Roman" w:hAnsi="ITC Avant Garde"/>
          <w:bCs/>
          <w:lang w:eastAsia="es-MX"/>
        </w:rPr>
        <w:t xml:space="preserve"> prohibida</w:t>
      </w:r>
      <w:r w:rsidRPr="002A2450">
        <w:rPr>
          <w:rFonts w:ascii="ITC Avant Garde" w:eastAsia="Times New Roman" w:hAnsi="ITC Avant Garde"/>
          <w:bCs/>
          <w:lang w:eastAsia="es-MX"/>
        </w:rPr>
        <w:t>, por lo que para ello</w:t>
      </w:r>
      <w:r w:rsidR="00F02656" w:rsidRPr="002A2450">
        <w:rPr>
          <w:rFonts w:ascii="ITC Avant Garde" w:eastAsia="Times New Roman" w:hAnsi="ITC Avant Garde"/>
          <w:bCs/>
          <w:lang w:eastAsia="es-MX"/>
        </w:rPr>
        <w:t xml:space="preserve">, celebró </w:t>
      </w:r>
      <w:r w:rsidRPr="002A2450">
        <w:rPr>
          <w:rFonts w:ascii="ITC Avant Garde" w:eastAsia="Times New Roman" w:hAnsi="ITC Avant Garde"/>
          <w:bCs/>
          <w:lang w:eastAsia="es-MX"/>
        </w:rPr>
        <w:t>un</w:t>
      </w:r>
      <w:r w:rsidR="008F718E" w:rsidRPr="002A2450">
        <w:rPr>
          <w:rFonts w:ascii="ITC Avant Garde" w:eastAsia="Times New Roman" w:hAnsi="ITC Avant Garde"/>
          <w:bCs/>
          <w:color w:val="C00000"/>
          <w:lang w:eastAsia="es-MX"/>
        </w:rPr>
        <w:t xml:space="preserve"> </w:t>
      </w:r>
      <w:r w:rsidRPr="002A2450">
        <w:rPr>
          <w:rFonts w:ascii="ITC Avant Garde" w:eastAsia="Times New Roman" w:hAnsi="ITC Avant Garde"/>
          <w:bCs/>
          <w:lang w:eastAsia="es-MX"/>
        </w:rPr>
        <w:t xml:space="preserve">conjunto de </w:t>
      </w:r>
      <w:r w:rsidR="00F02656" w:rsidRPr="002A2450">
        <w:rPr>
          <w:rFonts w:ascii="ITC Avant Garde" w:eastAsia="Times New Roman" w:hAnsi="ITC Avant Garde"/>
          <w:bCs/>
          <w:lang w:eastAsia="es-MX"/>
        </w:rPr>
        <w:t>contrato</w:t>
      </w:r>
      <w:r w:rsidRPr="002A2450">
        <w:rPr>
          <w:rFonts w:ascii="ITC Avant Garde" w:eastAsia="Times New Roman" w:hAnsi="ITC Avant Garde"/>
          <w:bCs/>
          <w:lang w:eastAsia="es-MX"/>
        </w:rPr>
        <w:t xml:space="preserve">s en dónde </w:t>
      </w:r>
      <w:r w:rsidR="00F02656" w:rsidRPr="002A2450">
        <w:rPr>
          <w:rFonts w:ascii="ITC Avant Garde" w:eastAsia="Times New Roman" w:hAnsi="ITC Avant Garde"/>
          <w:bCs/>
          <w:lang w:eastAsia="es-MX"/>
        </w:rPr>
        <w:t>el cumplimiento de los mismos</w:t>
      </w:r>
      <w:r w:rsidRPr="002A2450">
        <w:rPr>
          <w:rFonts w:ascii="ITC Avant Garde" w:eastAsia="Times New Roman" w:hAnsi="ITC Avant Garde"/>
          <w:bCs/>
          <w:lang w:eastAsia="es-MX"/>
        </w:rPr>
        <w:t>,</w:t>
      </w:r>
      <w:r w:rsidR="00F02656" w:rsidRPr="002A2450">
        <w:rPr>
          <w:rFonts w:ascii="ITC Avant Garde" w:eastAsia="Times New Roman" w:hAnsi="ITC Avant Garde"/>
          <w:bCs/>
          <w:lang w:eastAsia="es-MX"/>
        </w:rPr>
        <w:t xml:space="preserve"> </w:t>
      </w:r>
      <w:r w:rsidRPr="002A2450">
        <w:rPr>
          <w:rFonts w:ascii="ITC Avant Garde" w:eastAsia="Times New Roman" w:hAnsi="ITC Avant Garde"/>
          <w:bCs/>
          <w:lang w:eastAsia="es-MX"/>
        </w:rPr>
        <w:t xml:space="preserve">debía realizarse en un </w:t>
      </w:r>
      <w:r w:rsidR="00F02656" w:rsidRPr="002A2450">
        <w:rPr>
          <w:rFonts w:ascii="ITC Avant Garde" w:eastAsia="Times New Roman" w:hAnsi="ITC Avant Garde"/>
          <w:bCs/>
          <w:lang w:eastAsia="es-MX"/>
        </w:rPr>
        <w:t xml:space="preserve">plazo determinado </w:t>
      </w:r>
      <w:r w:rsidRPr="002A2450">
        <w:rPr>
          <w:rFonts w:ascii="ITC Avant Garde" w:eastAsia="Times New Roman" w:hAnsi="ITC Avant Garde"/>
          <w:bCs/>
          <w:lang w:eastAsia="es-MX"/>
        </w:rPr>
        <w:t xml:space="preserve">con el objeto o fin de que en su caso se ejerciera un derecho de opción </w:t>
      </w:r>
      <w:r w:rsidR="00BF4AD7" w:rsidRPr="002A2450">
        <w:rPr>
          <w:rFonts w:ascii="ITC Avant Garde" w:eastAsia="Times New Roman" w:hAnsi="ITC Avant Garde"/>
          <w:bCs/>
          <w:lang w:eastAsia="es-MX"/>
        </w:rPr>
        <w:t xml:space="preserve">afectando sin duda </w:t>
      </w:r>
      <w:r w:rsidR="00F02656" w:rsidRPr="002A2450">
        <w:rPr>
          <w:rFonts w:ascii="ITC Avant Garde" w:eastAsia="Times New Roman" w:hAnsi="ITC Avant Garde"/>
          <w:bCs/>
          <w:lang w:eastAsia="es-MX"/>
        </w:rPr>
        <w:t xml:space="preserve">las condiciones en el sector de las telecomunicaciones </w:t>
      </w:r>
      <w:r w:rsidR="0082129A" w:rsidRPr="002A2450">
        <w:rPr>
          <w:rFonts w:ascii="ITC Avant Garde" w:eastAsia="Times New Roman" w:hAnsi="ITC Avant Garde"/>
          <w:bCs/>
          <w:lang w:eastAsia="es-MX"/>
        </w:rPr>
        <w:t xml:space="preserve">respecto de los servicios que ofrece </w:t>
      </w:r>
      <w:r w:rsidR="0082129A" w:rsidRPr="002A2450">
        <w:rPr>
          <w:rFonts w:ascii="ITC Avant Garde" w:eastAsia="Times New Roman" w:hAnsi="ITC Avant Garde"/>
          <w:b/>
          <w:bCs/>
          <w:lang w:eastAsia="es-MX"/>
        </w:rPr>
        <w:t xml:space="preserve">“COFRESA”, </w:t>
      </w:r>
      <w:r w:rsidR="00BF4AD7" w:rsidRPr="002A2450">
        <w:rPr>
          <w:rFonts w:ascii="ITC Avant Garde" w:eastAsia="Times New Roman" w:hAnsi="ITC Avant Garde"/>
          <w:bCs/>
          <w:lang w:eastAsia="es-MX"/>
        </w:rPr>
        <w:t xml:space="preserve">influyendo en la toma de </w:t>
      </w:r>
      <w:r w:rsidR="0082129A" w:rsidRPr="002A2450">
        <w:rPr>
          <w:rFonts w:ascii="ITC Avant Garde" w:eastAsia="Times New Roman" w:hAnsi="ITC Avant Garde"/>
          <w:bCs/>
          <w:lang w:eastAsia="es-MX"/>
        </w:rPr>
        <w:t xml:space="preserve">decisiones </w:t>
      </w:r>
      <w:r w:rsidR="00BF4AD7" w:rsidRPr="002A2450">
        <w:rPr>
          <w:rFonts w:ascii="ITC Avant Garde" w:eastAsia="Times New Roman" w:hAnsi="ITC Avant Garde"/>
          <w:bCs/>
          <w:lang w:eastAsia="es-MX"/>
        </w:rPr>
        <w:t xml:space="preserve">respecto de </w:t>
      </w:r>
      <w:r w:rsidR="0082129A" w:rsidRPr="002A2450">
        <w:rPr>
          <w:rFonts w:ascii="ITC Avant Garde" w:eastAsia="Times New Roman" w:hAnsi="ITC Avant Garde"/>
          <w:bCs/>
          <w:lang w:eastAsia="es-MX"/>
        </w:rPr>
        <w:t>un servicio que no le fue otorgado e intercambian</w:t>
      </w:r>
      <w:r w:rsidR="00B357C2" w:rsidRPr="002A2450">
        <w:rPr>
          <w:rFonts w:ascii="ITC Avant Garde" w:eastAsia="Times New Roman" w:hAnsi="ITC Avant Garde"/>
          <w:bCs/>
          <w:lang w:eastAsia="es-MX"/>
        </w:rPr>
        <w:t xml:space="preserve">do </w:t>
      </w:r>
      <w:r w:rsidR="0082129A" w:rsidRPr="002A2450">
        <w:rPr>
          <w:rFonts w:ascii="ITC Avant Garde" w:eastAsia="Times New Roman" w:hAnsi="ITC Avant Garde"/>
          <w:bCs/>
          <w:lang w:eastAsia="es-MX"/>
        </w:rPr>
        <w:t xml:space="preserve">información sobre la operación del sistema </w:t>
      </w:r>
      <w:r w:rsidR="0082129A" w:rsidRPr="002A2450">
        <w:rPr>
          <w:rFonts w:ascii="ITC Avant Garde" w:eastAsia="Times New Roman" w:hAnsi="ITC Avant Garde"/>
          <w:b/>
          <w:bCs/>
          <w:lang w:eastAsia="es-MX"/>
        </w:rPr>
        <w:t xml:space="preserve">“DISH”, </w:t>
      </w:r>
      <w:r w:rsidR="00F02656" w:rsidRPr="002A2450">
        <w:rPr>
          <w:rFonts w:ascii="ITC Avant Garde" w:eastAsia="Times New Roman" w:hAnsi="ITC Avant Garde"/>
          <w:bCs/>
          <w:lang w:eastAsia="es-MX"/>
        </w:rPr>
        <w:t xml:space="preserve">para culminar finalmente con </w:t>
      </w:r>
      <w:r w:rsidR="00B357C2" w:rsidRPr="002A2450">
        <w:rPr>
          <w:rFonts w:ascii="ITC Avant Garde" w:eastAsia="Times New Roman" w:hAnsi="ITC Avant Garde"/>
          <w:bCs/>
          <w:lang w:eastAsia="es-MX"/>
        </w:rPr>
        <w:t xml:space="preserve">el ejercicio de la opción previsto en el </w:t>
      </w:r>
      <w:r w:rsidR="00F02656" w:rsidRPr="002A2450">
        <w:rPr>
          <w:rFonts w:ascii="ITC Avant Garde" w:eastAsia="Times New Roman" w:hAnsi="ITC Avant Garde"/>
          <w:bCs/>
          <w:lang w:eastAsia="es-MX"/>
        </w:rPr>
        <w:t xml:space="preserve">contrato </w:t>
      </w:r>
      <w:r w:rsidR="00B357C2" w:rsidRPr="002A2450">
        <w:rPr>
          <w:rFonts w:ascii="ITC Avant Garde" w:eastAsia="Times New Roman" w:hAnsi="ITC Avant Garde"/>
          <w:bCs/>
          <w:lang w:eastAsia="es-MX"/>
        </w:rPr>
        <w:t>de opción y el de consecuencias, para finalmente participar en un servicio que tiene restringido en su Título. Lo anterior, previendo que en el inter se obtuvieran las autorizaciones correspondientes lo cual en la especie no aconteció.</w:t>
      </w:r>
    </w:p>
    <w:p w14:paraId="14D265FC" w14:textId="77777777" w:rsidR="00B35F13" w:rsidRDefault="00F02656"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lastRenderedPageBreak/>
        <w:t xml:space="preserve">En tales consideraciones, su conducta tuvo necesariamente que haberse planificado para la elaboración de los contratos respectivos y su instrumentación, dado la complejidad de los mismos, lo que pone de manifiesto su intencionalidad de llevar a cabo </w:t>
      </w:r>
      <w:r w:rsidR="00BF4AD7" w:rsidRPr="002A2450">
        <w:rPr>
          <w:rFonts w:ascii="ITC Avant Garde" w:eastAsia="Times New Roman" w:hAnsi="ITC Avant Garde"/>
          <w:bCs/>
          <w:lang w:eastAsia="es-MX"/>
        </w:rPr>
        <w:t>la comisión de la conducta que ahora se sanciona.</w:t>
      </w:r>
    </w:p>
    <w:p w14:paraId="0502A682" w14:textId="77777777" w:rsidR="00B35F13" w:rsidRDefault="00F02656"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tanto, cuando </w:t>
      </w:r>
      <w:r w:rsidR="00D91017" w:rsidRPr="002A2450">
        <w:rPr>
          <w:rFonts w:ascii="ITC Avant Garde" w:eastAsia="Times New Roman" w:hAnsi="ITC Avant Garde"/>
          <w:bCs/>
          <w:lang w:eastAsia="es-MX"/>
        </w:rPr>
        <w:t xml:space="preserve">el autor </w:t>
      </w:r>
      <w:r w:rsidRPr="002A2450">
        <w:rPr>
          <w:rFonts w:ascii="ITC Avant Garde" w:eastAsia="Times New Roman" w:hAnsi="ITC Avant Garde"/>
          <w:bCs/>
          <w:lang w:eastAsia="es-MX"/>
        </w:rPr>
        <w:t xml:space="preserve">de una conducta ilícita </w:t>
      </w:r>
      <w:r w:rsidR="00D91017" w:rsidRPr="002A2450">
        <w:rPr>
          <w:rFonts w:ascii="ITC Avant Garde" w:eastAsia="Times New Roman" w:hAnsi="ITC Avant Garde"/>
          <w:bCs/>
          <w:lang w:eastAsia="es-MX"/>
        </w:rPr>
        <w:t xml:space="preserve">tiene conocimiento de la hipótesis sancionada por la ley, y aun con dicho conocimiento </w:t>
      </w:r>
      <w:r w:rsidRPr="002A2450">
        <w:rPr>
          <w:rFonts w:ascii="ITC Avant Garde" w:eastAsia="Times New Roman" w:hAnsi="ITC Avant Garde"/>
          <w:bCs/>
          <w:lang w:eastAsia="es-MX"/>
        </w:rPr>
        <w:t xml:space="preserve">decide llevar a cabo la conducta, a sabiendas que ello es ilícito, debe </w:t>
      </w:r>
      <w:r w:rsidR="004E26E7" w:rsidRPr="002A2450">
        <w:rPr>
          <w:rFonts w:ascii="ITC Avant Garde" w:eastAsia="Times New Roman" w:hAnsi="ITC Avant Garde"/>
          <w:bCs/>
          <w:lang w:eastAsia="es-MX"/>
        </w:rPr>
        <w:t xml:space="preserve">tenerse por identificada la intencionalidad de la comisión de la conducta realizada. </w:t>
      </w:r>
    </w:p>
    <w:p w14:paraId="79ED1B75" w14:textId="77777777" w:rsidR="00B35F13" w:rsidRDefault="00D91017" w:rsidP="00B35F13">
      <w:pPr>
        <w:pStyle w:val="Listaconnmeros"/>
        <w:spacing w:before="240" w:after="160" w:line="360" w:lineRule="auto"/>
        <w:jc w:val="both"/>
        <w:rPr>
          <w:rFonts w:ascii="ITC Avant Garde" w:hAnsi="ITC Avant Garde"/>
          <w:bCs/>
          <w:sz w:val="22"/>
          <w:szCs w:val="22"/>
          <w:lang w:eastAsia="es-MX"/>
        </w:rPr>
      </w:pPr>
      <w:r w:rsidRPr="002A2450">
        <w:rPr>
          <w:rFonts w:ascii="ITC Avant Garde" w:hAnsi="ITC Avant Garde"/>
          <w:bCs/>
          <w:sz w:val="22"/>
          <w:szCs w:val="22"/>
          <w:lang w:eastAsia="es-MX"/>
        </w:rPr>
        <w:t>Al respecto, resultan aplicable</w:t>
      </w:r>
      <w:r w:rsidR="002E6028" w:rsidRPr="002A2450">
        <w:rPr>
          <w:rFonts w:ascii="ITC Avant Garde" w:hAnsi="ITC Avant Garde"/>
          <w:bCs/>
          <w:sz w:val="22"/>
          <w:szCs w:val="22"/>
          <w:lang w:eastAsia="es-MX"/>
        </w:rPr>
        <w:t>s</w:t>
      </w:r>
      <w:r w:rsidRPr="002A2450">
        <w:rPr>
          <w:rFonts w:ascii="ITC Avant Garde" w:hAnsi="ITC Avant Garde"/>
          <w:bCs/>
          <w:sz w:val="22"/>
          <w:szCs w:val="22"/>
          <w:lang w:eastAsia="es-MX"/>
        </w:rPr>
        <w:t xml:space="preserve"> los siguientes criterios:</w:t>
      </w:r>
    </w:p>
    <w:p w14:paraId="6877A44B" w14:textId="77777777" w:rsidR="00B35F13" w:rsidRDefault="00D91017" w:rsidP="00B35F13">
      <w:pPr>
        <w:autoSpaceDE w:val="0"/>
        <w:autoSpaceDN w:val="0"/>
        <w:adjustRightInd w:val="0"/>
        <w:spacing w:before="240" w:line="360" w:lineRule="auto"/>
        <w:ind w:left="567" w:right="567"/>
        <w:jc w:val="both"/>
        <w:rPr>
          <w:rFonts w:ascii="ITC Avant Garde" w:eastAsia="Times New Roman" w:hAnsi="ITC Avant Garde"/>
          <w:b/>
          <w:bCs/>
          <w:lang w:eastAsia="es-MX"/>
        </w:rPr>
      </w:pPr>
      <w:r w:rsidRPr="002A2450">
        <w:rPr>
          <w:rFonts w:ascii="ITC Avant Garde" w:eastAsia="Times New Roman" w:hAnsi="ITC Avant Garde"/>
          <w:b/>
          <w:bCs/>
          <w:lang w:eastAsia="es-MX"/>
        </w:rPr>
        <w:t xml:space="preserve">MULTA POR EXCEDER LOS LÍMITES DE VELOCIDAD AUTORIZADOS, PREVISTA EN EL ARTÍCULO 103, FRACCIÓN IX, DEL REGLAMENTO DE TRÁNSITO DEL DISTRITO FEDERAL DEROGADO. LA INTENCIONALIDAD, COMO ELEMENTO SUBJETIVO EN LA COMISIÓN DE LA INFRACCIÓN QUE LA ORIGINA, EXISTE POR EL SIMPLE HECHO DE ADECUAR LA CONDUCTA AL SUPUESTO DE DICHA NORMA, POR LO QUE ES INNECESARIO DETERMINARLO EN EL CASO CONCRETO. </w:t>
      </w:r>
      <w:r w:rsidRPr="002A2450">
        <w:rPr>
          <w:rFonts w:ascii="ITC Avant Garde" w:eastAsia="Times New Roman" w:hAnsi="ITC Avant Garde"/>
          <w:bCs/>
          <w:lang w:eastAsia="es-MX"/>
        </w:rPr>
        <w:t xml:space="preserve">A diferencia de las infracciones en materia fiscal, que por su naturaleza y condiciones de comisión presentan un aspecto o elemento de responsabilidad subjetivo que debe determinarse en los casos concretos, en la prevista en el artículo 103, fracción IX, del Reglamento de Tránsito del Distrito Federal derogado, consistente en exceder los límites de velocidad autorizados, la </w:t>
      </w:r>
      <w:proofErr w:type="spellStart"/>
      <w:r w:rsidRPr="002A2450">
        <w:rPr>
          <w:rFonts w:ascii="ITC Avant Garde" w:eastAsia="Times New Roman" w:hAnsi="ITC Avant Garde"/>
          <w:bCs/>
          <w:lang w:eastAsia="es-MX"/>
        </w:rPr>
        <w:t>reprochabilidad</w:t>
      </w:r>
      <w:proofErr w:type="spellEnd"/>
      <w:r w:rsidRPr="002A2450">
        <w:rPr>
          <w:rFonts w:ascii="ITC Avant Garde" w:eastAsia="Times New Roman" w:hAnsi="ITC Avant Garde"/>
          <w:bCs/>
          <w:lang w:eastAsia="es-MX"/>
        </w:rPr>
        <w:t xml:space="preserve"> subjetiva es absoluta, manifiesta y total cuando </w:t>
      </w:r>
      <w:r w:rsidRPr="002A2450">
        <w:rPr>
          <w:rFonts w:ascii="ITC Avant Garde" w:eastAsia="Times New Roman" w:hAnsi="ITC Avant Garde"/>
          <w:b/>
          <w:bCs/>
          <w:u w:val="single"/>
          <w:lang w:eastAsia="es-MX"/>
        </w:rPr>
        <w:t xml:space="preserve">la persona decide </w:t>
      </w:r>
      <w:r w:rsidRPr="002A2450">
        <w:rPr>
          <w:rFonts w:ascii="ITC Avant Garde" w:eastAsia="Times New Roman" w:hAnsi="ITC Avant Garde"/>
          <w:bCs/>
          <w:u w:val="single"/>
          <w:lang w:eastAsia="es-MX"/>
        </w:rPr>
        <w:t xml:space="preserve">conducir su vehículo y </w:t>
      </w:r>
      <w:r w:rsidRPr="002A2450">
        <w:rPr>
          <w:rFonts w:ascii="ITC Avant Garde" w:eastAsia="Times New Roman" w:hAnsi="ITC Avant Garde"/>
          <w:b/>
          <w:bCs/>
          <w:u w:val="single"/>
          <w:lang w:eastAsia="es-MX"/>
        </w:rPr>
        <w:t>adecuarse al supuesto de dicha norma</w:t>
      </w:r>
      <w:r w:rsidRPr="002A2450">
        <w:rPr>
          <w:rFonts w:ascii="ITC Avant Garde" w:eastAsia="Times New Roman" w:hAnsi="ITC Avant Garde"/>
          <w:bCs/>
          <w:lang w:eastAsia="es-MX"/>
        </w:rPr>
        <w:t xml:space="preserve">, debiendo prever el grave riesgo que enfrenta la colectividad por esa irreflexión y actitud </w:t>
      </w:r>
      <w:proofErr w:type="spellStart"/>
      <w:r w:rsidRPr="002A2450">
        <w:rPr>
          <w:rFonts w:ascii="ITC Avant Garde" w:eastAsia="Times New Roman" w:hAnsi="ITC Avant Garde"/>
          <w:bCs/>
          <w:lang w:eastAsia="es-MX"/>
        </w:rPr>
        <w:t>anticívica</w:t>
      </w:r>
      <w:proofErr w:type="spellEnd"/>
      <w:r w:rsidRPr="002A2450">
        <w:rPr>
          <w:rFonts w:ascii="ITC Avant Garde" w:eastAsia="Times New Roman" w:hAnsi="ITC Avant Garde"/>
          <w:bCs/>
          <w:lang w:eastAsia="es-MX"/>
        </w:rPr>
        <w:t xml:space="preserve">, </w:t>
      </w:r>
      <w:r w:rsidRPr="002A2450">
        <w:rPr>
          <w:rFonts w:ascii="ITC Avant Garde" w:eastAsia="Times New Roman" w:hAnsi="ITC Avant Garde"/>
          <w:b/>
          <w:bCs/>
          <w:u w:val="single"/>
          <w:lang w:eastAsia="es-MX"/>
        </w:rPr>
        <w:t>lo que justifica predeterminar que el elemento subjetivo de la infracción exista por el simple hecho de incurrir en esa conducta, la cual, por ende, no amerita contener criterios para determinar el elemento subjetivo.</w:t>
      </w:r>
      <w:r w:rsidRPr="002A2450">
        <w:rPr>
          <w:rFonts w:ascii="ITC Avant Garde" w:eastAsia="Times New Roman" w:hAnsi="ITC Avant Garde"/>
          <w:bCs/>
          <w:lang w:eastAsia="es-MX"/>
        </w:rPr>
        <w:t xml:space="preserve"> Así, al encontrarse determinada y acreditada per se la intencionalidad con la realización material de la </w:t>
      </w:r>
      <w:r w:rsidRPr="002A2450">
        <w:rPr>
          <w:rFonts w:ascii="ITC Avant Garde" w:eastAsia="Times New Roman" w:hAnsi="ITC Avant Garde"/>
          <w:bCs/>
          <w:lang w:eastAsia="es-MX"/>
        </w:rPr>
        <w:lastRenderedPageBreak/>
        <w:t>conducta sancionada, resulta ocioso evaluar el elemento subjetivo y, por consiguiente, es innecesaria su determinación en el caso concreto, aunado a que la autoridad no cuenta con facultades discrecionales para la aplicación de la multa, pues una vez que cualquier persona comete la infracción debe imponerse la correspondiente sanción predeterminada.</w:t>
      </w:r>
    </w:p>
    <w:p w14:paraId="419F1EB8" w14:textId="77777777" w:rsidR="00B35F13" w:rsidRDefault="00D91017" w:rsidP="00B35F13">
      <w:pPr>
        <w:autoSpaceDE w:val="0"/>
        <w:autoSpaceDN w:val="0"/>
        <w:adjustRightInd w:val="0"/>
        <w:spacing w:before="240" w:line="360" w:lineRule="auto"/>
        <w:ind w:left="567" w:right="567"/>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Época: Novena Época, Registro: 171711, Instancia: Tribunales Colegiados de Circuito, Tipo de Tesis: Aislada, Fuente: Semanario Judicial de la Federación y su Gaceta, Tomo XXVI, Agosto de 2007, Materia(s): Administrativa, Tesis: I.4o.A.591 A, Página: 1726</w:t>
      </w:r>
      <w:r w:rsidR="008F718E" w:rsidRPr="009E34A4">
        <w:rPr>
          <w:rFonts w:ascii="ITC Avant Garde" w:eastAsia="Times New Roman" w:hAnsi="ITC Avant Garde"/>
          <w:bCs/>
          <w:color w:val="C00000"/>
          <w:sz w:val="18"/>
          <w:lang w:eastAsia="es-MX"/>
        </w:rPr>
        <w:t xml:space="preserve"> </w:t>
      </w:r>
    </w:p>
    <w:p w14:paraId="5743D427" w14:textId="77777777" w:rsidR="00B35F13" w:rsidRDefault="006F081C" w:rsidP="00B35F13">
      <w:pPr>
        <w:autoSpaceDE w:val="0"/>
        <w:autoSpaceDN w:val="0"/>
        <w:adjustRightInd w:val="0"/>
        <w:spacing w:before="240" w:line="360" w:lineRule="auto"/>
        <w:ind w:left="567" w:right="567"/>
        <w:jc w:val="both"/>
        <w:rPr>
          <w:rFonts w:ascii="ITC Avant Garde" w:eastAsia="Times New Roman" w:hAnsi="ITC Avant Garde"/>
          <w:bCs/>
          <w:lang w:eastAsia="es-MX"/>
        </w:rPr>
      </w:pPr>
      <w:r w:rsidRPr="00FC328B">
        <w:rPr>
          <w:rFonts w:ascii="ITC Avant Garde" w:eastAsia="Times New Roman" w:hAnsi="ITC Avant Garde"/>
          <w:b/>
          <w:bCs/>
          <w:lang w:eastAsia="es-MX"/>
        </w:rPr>
        <w:t>INTENCIONALIDAD, PRESUNCI</w:t>
      </w:r>
      <w:r w:rsidR="00FC328B" w:rsidRPr="00FC328B">
        <w:rPr>
          <w:rFonts w:ascii="ITC Avant Garde" w:eastAsia="Times New Roman" w:hAnsi="ITC Avant Garde"/>
          <w:b/>
          <w:bCs/>
          <w:lang w:eastAsia="es-MX"/>
        </w:rPr>
        <w:t>Ó</w:t>
      </w:r>
      <w:r w:rsidRPr="00FC328B">
        <w:rPr>
          <w:rFonts w:ascii="ITC Avant Garde" w:eastAsia="Times New Roman" w:hAnsi="ITC Avant Garde"/>
          <w:b/>
          <w:bCs/>
          <w:lang w:eastAsia="es-MX"/>
        </w:rPr>
        <w:t>N DE, EN LA COMISI</w:t>
      </w:r>
      <w:r w:rsidR="00FC328B" w:rsidRPr="00FC328B">
        <w:rPr>
          <w:rFonts w:ascii="ITC Avant Garde" w:eastAsia="Times New Roman" w:hAnsi="ITC Avant Garde"/>
          <w:b/>
          <w:bCs/>
          <w:lang w:eastAsia="es-MX"/>
        </w:rPr>
        <w:t>Ó</w:t>
      </w:r>
      <w:r w:rsidRPr="00FC328B">
        <w:rPr>
          <w:rFonts w:ascii="ITC Avant Garde" w:eastAsia="Times New Roman" w:hAnsi="ITC Avant Garde"/>
          <w:b/>
          <w:bCs/>
          <w:lang w:eastAsia="es-MX"/>
        </w:rPr>
        <w:t>N DE</w:t>
      </w:r>
      <w:r w:rsidRPr="002A2450">
        <w:rPr>
          <w:rFonts w:ascii="ITC Avant Garde" w:eastAsia="Times New Roman" w:hAnsi="ITC Avant Garde"/>
          <w:b/>
          <w:bCs/>
          <w:lang w:eastAsia="es-MX"/>
        </w:rPr>
        <w:t xml:space="preserve"> DELITOS</w:t>
      </w:r>
      <w:r w:rsidRPr="002A2450">
        <w:rPr>
          <w:rFonts w:ascii="ITC Avant Garde" w:eastAsia="Times New Roman" w:hAnsi="ITC Avant Garde"/>
          <w:bCs/>
          <w:lang w:eastAsia="es-MX"/>
        </w:rPr>
        <w:t xml:space="preserve">. </w:t>
      </w:r>
      <w:r w:rsidRPr="002A2450">
        <w:rPr>
          <w:rFonts w:ascii="ITC Avant Garde" w:eastAsia="Times New Roman" w:hAnsi="ITC Avant Garde"/>
          <w:b/>
          <w:bCs/>
          <w:u w:val="single"/>
          <w:lang w:eastAsia="es-MX"/>
        </w:rPr>
        <w:t>Se está en presencia de un delito intencional aun cuando se admita que el acusado no se propuso causar el daño que resultó, si previó o pudo prever la consecuencia, por ser efecto ordinario de la conducta y estar al alcance común de los agentes</w:t>
      </w:r>
      <w:r w:rsidRPr="002A2450">
        <w:rPr>
          <w:rFonts w:ascii="ITC Avant Garde" w:eastAsia="Times New Roman" w:hAnsi="ITC Avant Garde"/>
          <w:bCs/>
          <w:lang w:eastAsia="es-MX"/>
        </w:rPr>
        <w:t>, al haber golpeado violentamente a la mujer con la que hacía vida en común, e inclusive darle de patadas en la espalda aun cuando la ofendida estaba tirada en el piso doliéndose de los golpes recibidos.</w:t>
      </w:r>
    </w:p>
    <w:p w14:paraId="7ED7B08E" w14:textId="77777777" w:rsidR="00B35F13" w:rsidRDefault="006F081C" w:rsidP="00B35F13">
      <w:pPr>
        <w:autoSpaceDE w:val="0"/>
        <w:autoSpaceDN w:val="0"/>
        <w:adjustRightInd w:val="0"/>
        <w:spacing w:before="240" w:line="360" w:lineRule="auto"/>
        <w:ind w:left="567" w:right="567"/>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 xml:space="preserve">Época: Octava Época, Registro: 210000, Instancia: Tribunales Colegiados de Circuito, Tipo de Tesis: Aislada, Fuente: Semanario Judicial de la Federación, Tomo XIV, Noviembre de 1994, Materia(s): Penal, Tesis: VI. 2o. 239 P, Página: 460 </w:t>
      </w:r>
    </w:p>
    <w:p w14:paraId="2EFC8E61" w14:textId="77777777" w:rsidR="00B35F13" w:rsidRDefault="00D91017"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Ahora bien, del análisis de las</w:t>
      </w:r>
      <w:r w:rsidR="004E26E7" w:rsidRPr="002A2450">
        <w:rPr>
          <w:rFonts w:ascii="ITC Avant Garde" w:eastAsia="Times New Roman" w:hAnsi="ITC Avant Garde"/>
          <w:bCs/>
          <w:lang w:eastAsia="es-MX"/>
        </w:rPr>
        <w:t xml:space="preserve"> constancias que obran en el presente expediente, se puede advertir que la intencionalidad señalada no sólo queda de manifiesto con la suscripción de los contratos sino que se corroboró con su terminación.</w:t>
      </w:r>
    </w:p>
    <w:p w14:paraId="4D0A8624" w14:textId="77777777" w:rsidR="00B35F13" w:rsidRDefault="004E26E7" w:rsidP="00B35F13">
      <w:pPr>
        <w:autoSpaceDE w:val="0"/>
        <w:autoSpaceDN w:val="0"/>
        <w:adjustRightInd w:val="0"/>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tanto, no solo existe la presunción de la intencionalidad </w:t>
      </w:r>
      <w:r w:rsidR="00702143" w:rsidRPr="002A2450">
        <w:rPr>
          <w:rFonts w:ascii="ITC Avant Garde" w:eastAsia="Times New Roman" w:hAnsi="ITC Avant Garde"/>
          <w:bCs/>
          <w:lang w:eastAsia="es-MX"/>
        </w:rPr>
        <w:t>con la celebració</w:t>
      </w:r>
      <w:r w:rsidR="006F081C" w:rsidRPr="002A2450">
        <w:rPr>
          <w:rFonts w:ascii="ITC Avant Garde" w:eastAsia="Times New Roman" w:hAnsi="ITC Avant Garde"/>
          <w:bCs/>
          <w:lang w:eastAsia="es-MX"/>
        </w:rPr>
        <w:t xml:space="preserve">n de los contratos, </w:t>
      </w:r>
      <w:r w:rsidRPr="002A2450">
        <w:rPr>
          <w:rFonts w:ascii="ITC Avant Garde" w:eastAsia="Times New Roman" w:hAnsi="ITC Avant Garde"/>
          <w:bCs/>
          <w:lang w:eastAsia="es-MX"/>
        </w:rPr>
        <w:t>sino que como se advierte quedó acreditada con la terminación de los mismos</w:t>
      </w:r>
      <w:r w:rsidR="00445430" w:rsidRPr="002A2450">
        <w:rPr>
          <w:rFonts w:ascii="ITC Avant Garde" w:eastAsia="Times New Roman" w:hAnsi="ITC Avant Garde"/>
          <w:bCs/>
          <w:lang w:eastAsia="es-MX"/>
        </w:rPr>
        <w:t xml:space="preserve"> aunado a que durante su vigencia no se advierte </w:t>
      </w:r>
      <w:r w:rsidR="00D91017" w:rsidRPr="002A2450">
        <w:rPr>
          <w:rFonts w:ascii="ITC Avant Garde" w:eastAsia="Times New Roman" w:hAnsi="ITC Avant Garde"/>
          <w:bCs/>
          <w:lang w:eastAsia="es-MX"/>
        </w:rPr>
        <w:t xml:space="preserve">ninguna acción por parte de </w:t>
      </w:r>
      <w:r w:rsidR="00445430" w:rsidRPr="002A2450">
        <w:rPr>
          <w:rFonts w:ascii="ITC Avant Garde" w:eastAsia="Times New Roman" w:hAnsi="ITC Avant Garde"/>
          <w:b/>
          <w:bCs/>
          <w:lang w:eastAsia="es-MX"/>
        </w:rPr>
        <w:t xml:space="preserve">“TELMEX” </w:t>
      </w:r>
      <w:r w:rsidR="00D91017" w:rsidRPr="002A2450">
        <w:rPr>
          <w:rFonts w:ascii="ITC Avant Garde" w:eastAsia="Times New Roman" w:hAnsi="ITC Avant Garde"/>
          <w:bCs/>
          <w:lang w:eastAsia="es-MX"/>
        </w:rPr>
        <w:t xml:space="preserve">tendiente a realizar las gestiones necesarias para </w:t>
      </w:r>
      <w:r w:rsidR="00BF4AD7" w:rsidRPr="002A2450">
        <w:rPr>
          <w:rFonts w:ascii="ITC Avant Garde" w:eastAsia="Times New Roman" w:hAnsi="ITC Avant Garde"/>
          <w:bCs/>
          <w:lang w:eastAsia="es-MX"/>
        </w:rPr>
        <w:t xml:space="preserve">tratar de cesar </w:t>
      </w:r>
      <w:r w:rsidR="00BF4AD7" w:rsidRPr="002A2450">
        <w:rPr>
          <w:rFonts w:ascii="ITC Avant Garde" w:eastAsia="Times New Roman" w:hAnsi="ITC Avant Garde"/>
          <w:bCs/>
          <w:lang w:eastAsia="es-MX"/>
        </w:rPr>
        <w:lastRenderedPageBreak/>
        <w:t>la conducta contraria al</w:t>
      </w:r>
      <w:r w:rsidR="006F081C" w:rsidRPr="002A2450">
        <w:rPr>
          <w:rFonts w:ascii="ITC Avant Garde" w:eastAsia="Times New Roman" w:hAnsi="ITC Avant Garde"/>
          <w:bCs/>
          <w:lang w:eastAsia="es-MX"/>
        </w:rPr>
        <w:t xml:space="preserve"> </w:t>
      </w:r>
      <w:r w:rsidR="00065AA4" w:rsidRPr="009E34A4">
        <w:rPr>
          <w:rFonts w:ascii="ITC Avant Garde" w:eastAsia="Times New Roman" w:hAnsi="ITC Avant Garde"/>
          <w:b/>
          <w:bCs/>
          <w:lang w:eastAsia="es-MX"/>
        </w:rPr>
        <w:t>Tercer Párrafo</w:t>
      </w:r>
      <w:r w:rsidR="006F081C" w:rsidRPr="002A2450">
        <w:rPr>
          <w:rFonts w:ascii="ITC Avant Garde" w:eastAsia="Times New Roman" w:hAnsi="ITC Avant Garde"/>
          <w:bCs/>
          <w:lang w:eastAsia="es-MX"/>
        </w:rPr>
        <w:t xml:space="preserve"> de la</w:t>
      </w:r>
      <w:r w:rsidR="00BF4AD7" w:rsidRPr="002A2450">
        <w:rPr>
          <w:rFonts w:ascii="ITC Avant Garde" w:eastAsia="Times New Roman" w:hAnsi="ITC Avant Garde"/>
          <w:bCs/>
          <w:lang w:eastAsia="es-MX"/>
        </w:rPr>
        <w:t xml:space="preserve"> condición 1-9 de su </w:t>
      </w:r>
      <w:r w:rsidR="00445430" w:rsidRPr="002A2450">
        <w:rPr>
          <w:rFonts w:ascii="ITC Avant Garde" w:eastAsia="Times New Roman" w:hAnsi="ITC Avant Garde"/>
          <w:b/>
          <w:bCs/>
          <w:lang w:eastAsia="es-MX"/>
        </w:rPr>
        <w:t>“TÍTULO DE CONCESIÓN”</w:t>
      </w:r>
      <w:r w:rsidR="00D91017" w:rsidRPr="002A2450">
        <w:rPr>
          <w:rFonts w:ascii="ITC Avant Garde" w:eastAsia="Times New Roman" w:hAnsi="ITC Avant Garde"/>
          <w:bCs/>
          <w:lang w:eastAsia="es-MX"/>
        </w:rPr>
        <w:t>.</w:t>
      </w:r>
    </w:p>
    <w:p w14:paraId="60B1B680" w14:textId="77777777" w:rsidR="00B35F13" w:rsidRDefault="00D91017" w:rsidP="00B35F13">
      <w:pPr>
        <w:spacing w:before="240" w:line="360" w:lineRule="auto"/>
        <w:jc w:val="both"/>
        <w:rPr>
          <w:rFonts w:ascii="ITC Avant Garde" w:hAnsi="ITC Avant Garde" w:cs="Arial"/>
          <w:bCs/>
        </w:rPr>
      </w:pPr>
      <w:r w:rsidRPr="002A2450">
        <w:rPr>
          <w:rFonts w:ascii="ITC Avant Garde" w:eastAsia="Times New Roman" w:hAnsi="ITC Avant Garde"/>
          <w:bCs/>
          <w:lang w:eastAsia="es-MX"/>
        </w:rPr>
        <w:t xml:space="preserve">Bajo este contexto, esta autoridad considera que de las constancias que obran en el expediente </w:t>
      </w:r>
      <w:r w:rsidRPr="002A2450">
        <w:rPr>
          <w:rFonts w:ascii="ITC Avant Garde" w:eastAsia="Times New Roman" w:hAnsi="ITC Avant Garde"/>
          <w:b/>
          <w:bCs/>
          <w:u w:val="single"/>
          <w:lang w:eastAsia="es-MX"/>
        </w:rPr>
        <w:t xml:space="preserve">se acredita el carácter intencional de la conducta de </w:t>
      </w:r>
      <w:r w:rsidR="00243AE9" w:rsidRPr="002A2450">
        <w:rPr>
          <w:rFonts w:ascii="ITC Avant Garde" w:eastAsia="Times New Roman" w:hAnsi="ITC Avant Garde"/>
          <w:b/>
          <w:bCs/>
          <w:u w:val="single"/>
          <w:lang w:eastAsia="es-MX"/>
        </w:rPr>
        <w:t>“TELMEX”</w:t>
      </w:r>
      <w:r w:rsidRPr="002A2450">
        <w:rPr>
          <w:rFonts w:ascii="ITC Avant Garde" w:eastAsia="Times New Roman" w:hAnsi="ITC Avant Garde"/>
          <w:bCs/>
          <w:lang w:eastAsia="es-MX"/>
        </w:rPr>
        <w:t xml:space="preserve">, toda vez que es regla general que las infracciones se reputen intencionales, salvo prueba en contrario; y en la especie la infracción consistió en que </w:t>
      </w:r>
      <w:r w:rsidR="006F081C" w:rsidRPr="002A2450">
        <w:rPr>
          <w:rFonts w:ascii="ITC Avant Garde" w:eastAsia="Times New Roman" w:hAnsi="ITC Avant Garde"/>
          <w:b/>
          <w:bCs/>
          <w:lang w:eastAsia="es-MX"/>
        </w:rPr>
        <w:t xml:space="preserve">“TELMEX” </w:t>
      </w:r>
      <w:r w:rsidRPr="002A2450">
        <w:rPr>
          <w:rFonts w:ascii="ITC Avant Garde" w:eastAsia="Times New Roman" w:hAnsi="ITC Avant Garde"/>
          <w:bCs/>
          <w:lang w:eastAsia="es-MX"/>
        </w:rPr>
        <w:t xml:space="preserve">incumplió </w:t>
      </w:r>
      <w:r w:rsidR="00BF4AD7" w:rsidRPr="002A2450">
        <w:rPr>
          <w:rFonts w:ascii="ITC Avant Garde" w:eastAsia="Times New Roman" w:hAnsi="ITC Avant Garde"/>
          <w:bCs/>
          <w:lang w:eastAsia="es-MX"/>
        </w:rPr>
        <w:t xml:space="preserve">con el </w:t>
      </w:r>
      <w:r w:rsidR="00065AA4" w:rsidRPr="009E34A4">
        <w:rPr>
          <w:rFonts w:ascii="ITC Avant Garde" w:eastAsia="Times New Roman" w:hAnsi="ITC Avant Garde"/>
          <w:b/>
          <w:bCs/>
          <w:lang w:eastAsia="es-MX"/>
        </w:rPr>
        <w:t>Tercer Párrafo</w:t>
      </w:r>
      <w:r w:rsidR="00BF4AD7" w:rsidRPr="002A2450">
        <w:rPr>
          <w:rFonts w:ascii="ITC Avant Garde" w:eastAsia="Times New Roman" w:hAnsi="ITC Avant Garde"/>
          <w:bCs/>
          <w:lang w:eastAsia="es-MX"/>
        </w:rPr>
        <w:t xml:space="preserve"> de la </w:t>
      </w:r>
      <w:r w:rsidRPr="002A2450">
        <w:rPr>
          <w:rFonts w:ascii="ITC Avant Garde" w:hAnsi="ITC Avant Garde"/>
        </w:rPr>
        <w:t xml:space="preserve">condición </w:t>
      </w:r>
      <w:r w:rsidR="00243AE9" w:rsidRPr="002A2450">
        <w:rPr>
          <w:rFonts w:ascii="ITC Avant Garde" w:hAnsi="ITC Avant Garde"/>
        </w:rPr>
        <w:t xml:space="preserve">1-9 </w:t>
      </w:r>
      <w:r w:rsidR="00243AE9" w:rsidRPr="002A2450">
        <w:rPr>
          <w:rFonts w:ascii="ITC Avant Garde" w:eastAsia="Times New Roman" w:hAnsi="ITC Avant Garde"/>
          <w:bCs/>
          <w:lang w:eastAsia="es-MX"/>
        </w:rPr>
        <w:t xml:space="preserve">de su </w:t>
      </w:r>
      <w:r w:rsidR="00243AE9" w:rsidRPr="002A2450">
        <w:rPr>
          <w:rFonts w:ascii="ITC Avant Garde" w:eastAsia="Times New Roman" w:hAnsi="ITC Avant Garde"/>
          <w:b/>
          <w:bCs/>
          <w:lang w:eastAsia="es-MX"/>
        </w:rPr>
        <w:t>“TÍTULO DE CONCESIÓN”</w:t>
      </w:r>
      <w:r w:rsidRPr="002A2450">
        <w:rPr>
          <w:rFonts w:ascii="ITC Avant Garde" w:hAnsi="ITC Avant Garde"/>
        </w:rPr>
        <w:t xml:space="preserve"> al </w:t>
      </w:r>
      <w:r w:rsidR="00243AE9" w:rsidRPr="002A2450">
        <w:rPr>
          <w:rFonts w:ascii="ITC Avant Garde" w:hAnsi="ITC Avant Garde"/>
        </w:rPr>
        <w:t xml:space="preserve">explotar de manera indirecta una concesión para prestar el servicio de televisión </w:t>
      </w:r>
      <w:r w:rsidR="006F081C" w:rsidRPr="002A2450">
        <w:rPr>
          <w:rFonts w:ascii="ITC Avant Garde" w:hAnsi="ITC Avant Garde"/>
        </w:rPr>
        <w:t xml:space="preserve">al público </w:t>
      </w:r>
      <w:r w:rsidR="00243AE9" w:rsidRPr="002A2450">
        <w:rPr>
          <w:rFonts w:ascii="ITC Avant Garde" w:hAnsi="ITC Avant Garde"/>
        </w:rPr>
        <w:t xml:space="preserve">en el país </w:t>
      </w:r>
      <w:r w:rsidR="00243AE9" w:rsidRPr="002A2450">
        <w:rPr>
          <w:rFonts w:ascii="ITC Avant Garde" w:hAnsi="ITC Avant Garde" w:cs="Arial"/>
          <w:bCs/>
        </w:rPr>
        <w:t xml:space="preserve">sin que exista </w:t>
      </w:r>
      <w:r w:rsidRPr="002A2450">
        <w:rPr>
          <w:rFonts w:ascii="ITC Avant Garde" w:hAnsi="ITC Avant Garde" w:cs="Arial"/>
          <w:bCs/>
        </w:rPr>
        <w:t xml:space="preserve">documento o constancia que acredite </w:t>
      </w:r>
      <w:r w:rsidR="00243AE9" w:rsidRPr="002A2450">
        <w:rPr>
          <w:rFonts w:ascii="ITC Avant Garde" w:hAnsi="ITC Avant Garde" w:cs="Arial"/>
          <w:bCs/>
        </w:rPr>
        <w:t>que la conducta imputada no fue ejecutada</w:t>
      </w:r>
      <w:r w:rsidRPr="002A2450">
        <w:rPr>
          <w:rFonts w:ascii="ITC Avant Garde" w:hAnsi="ITC Avant Garde" w:cs="Arial"/>
          <w:bCs/>
        </w:rPr>
        <w:t xml:space="preserve">. </w:t>
      </w:r>
    </w:p>
    <w:p w14:paraId="22A428D2" w14:textId="00DDC61C" w:rsidR="00B35F13" w:rsidRPr="001B0FC3" w:rsidRDefault="001B0FC3" w:rsidP="007E623E">
      <w:pPr>
        <w:pStyle w:val="Prrafodelista"/>
        <w:numPr>
          <w:ilvl w:val="0"/>
          <w:numId w:val="66"/>
        </w:numPr>
        <w:spacing w:before="240" w:line="360" w:lineRule="auto"/>
        <w:jc w:val="both"/>
        <w:rPr>
          <w:rFonts w:ascii="ITC Avant Garde" w:hAnsi="ITC Avant Garde" w:cs="Arial"/>
          <w:b/>
        </w:rPr>
      </w:pPr>
      <w:r w:rsidRPr="001B0FC3">
        <w:rPr>
          <w:rFonts w:ascii="ITC Avant Garde" w:hAnsi="ITC Avant Garde" w:cs="Arial"/>
          <w:b/>
        </w:rPr>
        <w:t>GRAVEDAD DE LA INFRACCIÓN.</w:t>
      </w:r>
    </w:p>
    <w:p w14:paraId="45289632"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Antes de entrar al análisis del citado elemento, resulta oportuno destacar que los servicios de telecomunicaciones son considerados servicios públicos de interés general, tanto por la </w:t>
      </w:r>
      <w:r w:rsidRPr="002A2450">
        <w:rPr>
          <w:rFonts w:ascii="ITC Avant Garde" w:hAnsi="ITC Avant Garde"/>
          <w:b/>
        </w:rPr>
        <w:t>“CPEUM”</w:t>
      </w:r>
      <w:r w:rsidRPr="002A2450">
        <w:rPr>
          <w:rFonts w:ascii="ITC Avant Garde" w:hAnsi="ITC Avant Garde"/>
        </w:rPr>
        <w:t xml:space="preserve"> como por los criterios sostenidos por el Poder Judicial Federal.</w:t>
      </w:r>
    </w:p>
    <w:p w14:paraId="21C3F111"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En efecto, de acuerdo con el artículo 6º, apartado B, fracción II de la </w:t>
      </w:r>
      <w:r w:rsidRPr="002A2450">
        <w:rPr>
          <w:rFonts w:ascii="ITC Avant Garde" w:hAnsi="ITC Avant Garde"/>
          <w:b/>
        </w:rPr>
        <w:t>“CPEUM”,</w:t>
      </w:r>
      <w:r w:rsidRPr="002A2450">
        <w:rPr>
          <w:rFonts w:ascii="ITC Avant Garde" w:hAnsi="ITC Avant Garde"/>
        </w:rPr>
        <w:t xml:space="preserve"> las telecomunicaciones son servicios públicos de interés general y corresponde al Estado garantizar que los mismos sean prestados cumpliendo las condiciones que dicho dispositivo señala:</w:t>
      </w:r>
    </w:p>
    <w:p w14:paraId="3055B73E" w14:textId="77777777" w:rsidR="00B35F13" w:rsidRDefault="00AB7A46" w:rsidP="00B35F13">
      <w:pPr>
        <w:spacing w:before="240" w:line="360" w:lineRule="auto"/>
        <w:ind w:left="851" w:right="850"/>
        <w:jc w:val="both"/>
        <w:rPr>
          <w:rFonts w:ascii="ITC Avant Garde" w:hAnsi="ITC Avant Garde"/>
          <w:b/>
          <w:bCs/>
          <w:i/>
          <w:color w:val="000000"/>
          <w:lang w:eastAsia="es-MX"/>
        </w:rPr>
      </w:pPr>
      <w:r w:rsidRPr="002A2450">
        <w:rPr>
          <w:rFonts w:ascii="ITC Avant Garde" w:hAnsi="ITC Avant Garde"/>
          <w:bCs/>
          <w:i/>
          <w:color w:val="000000"/>
          <w:lang w:eastAsia="es-MX"/>
        </w:rPr>
        <w:t>“</w:t>
      </w:r>
      <w:r w:rsidRPr="002A2450">
        <w:rPr>
          <w:rFonts w:ascii="ITC Avant Garde" w:hAnsi="ITC Avant Garde"/>
          <w:b/>
          <w:bCs/>
          <w:i/>
          <w:color w:val="000000"/>
          <w:lang w:eastAsia="es-MX"/>
        </w:rPr>
        <w:t>Artículo 6°…</w:t>
      </w:r>
    </w:p>
    <w:p w14:paraId="46597BD3" w14:textId="7503DD82" w:rsidR="00AB7A46" w:rsidRPr="002A2450" w:rsidRDefault="00AB7A46" w:rsidP="00B35F13">
      <w:pPr>
        <w:spacing w:before="240" w:line="360" w:lineRule="auto"/>
        <w:ind w:left="851" w:right="850"/>
        <w:jc w:val="both"/>
        <w:rPr>
          <w:rFonts w:ascii="ITC Avant Garde" w:hAnsi="ITC Avant Garde"/>
          <w:bCs/>
          <w:i/>
          <w:color w:val="000000"/>
          <w:lang w:eastAsia="es-MX"/>
        </w:rPr>
      </w:pPr>
      <w:r w:rsidRPr="002A2450">
        <w:rPr>
          <w:rFonts w:ascii="ITC Avant Garde" w:hAnsi="ITC Avant Garde"/>
          <w:bCs/>
          <w:i/>
          <w:color w:val="000000"/>
          <w:lang w:eastAsia="es-MX"/>
        </w:rPr>
        <w:t>B. En materia de radiodifusión y telecomunicaciones:</w:t>
      </w:r>
    </w:p>
    <w:p w14:paraId="7EDD105A" w14:textId="77777777" w:rsidR="00B35F13" w:rsidRDefault="00AB7A46" w:rsidP="00B35F13">
      <w:pPr>
        <w:spacing w:before="240" w:line="360" w:lineRule="auto"/>
        <w:ind w:left="851" w:right="850"/>
        <w:jc w:val="both"/>
        <w:rPr>
          <w:rFonts w:ascii="ITC Avant Garde" w:hAnsi="ITC Avant Garde"/>
          <w:bCs/>
          <w:i/>
          <w:color w:val="000000"/>
          <w:lang w:eastAsia="es-MX"/>
        </w:rPr>
      </w:pPr>
      <w:r w:rsidRPr="002A2450">
        <w:rPr>
          <w:rFonts w:ascii="ITC Avant Garde" w:hAnsi="ITC Avant Garde"/>
          <w:bCs/>
          <w:i/>
          <w:color w:val="000000"/>
          <w:lang w:eastAsia="es-MX"/>
        </w:rPr>
        <w:t>…</w:t>
      </w:r>
    </w:p>
    <w:p w14:paraId="21DA2DD7" w14:textId="77777777" w:rsidR="00B35F13" w:rsidRDefault="00AB7A46" w:rsidP="00B35F13">
      <w:pPr>
        <w:spacing w:before="240" w:line="360" w:lineRule="auto"/>
        <w:ind w:left="851" w:right="850"/>
        <w:jc w:val="both"/>
        <w:rPr>
          <w:rFonts w:ascii="ITC Avant Garde" w:hAnsi="ITC Avant Garde"/>
          <w:bCs/>
          <w:i/>
          <w:color w:val="000000"/>
          <w:lang w:eastAsia="es-MX"/>
        </w:rPr>
      </w:pPr>
      <w:r w:rsidRPr="002A2450">
        <w:rPr>
          <w:rFonts w:ascii="ITC Avant Garde" w:hAnsi="ITC Avant Garde"/>
          <w:b/>
          <w:bCs/>
          <w:i/>
          <w:color w:val="000000"/>
          <w:lang w:eastAsia="es-MX"/>
        </w:rPr>
        <w:t xml:space="preserve">II. </w:t>
      </w:r>
      <w:r w:rsidRPr="002A2450">
        <w:rPr>
          <w:rFonts w:ascii="ITC Avant Garde" w:hAnsi="ITC Avant Garde" w:cs="Arial"/>
          <w:i/>
          <w:color w:val="000000"/>
          <w:shd w:val="clear" w:color="auto" w:fill="FFFFFF"/>
        </w:rPr>
        <w:t xml:space="preserve">Las telecomunicaciones son servicios públicos de interés general, por lo que el Estado garantizará que sean prestados en condiciones de competencia, calidad, pluralidad, cobertura </w:t>
      </w:r>
      <w:r w:rsidRPr="002A2450">
        <w:rPr>
          <w:rFonts w:ascii="ITC Avant Garde" w:hAnsi="ITC Avant Garde" w:cs="Arial"/>
          <w:i/>
          <w:color w:val="000000"/>
          <w:shd w:val="clear" w:color="auto" w:fill="FFFFFF"/>
        </w:rPr>
        <w:lastRenderedPageBreak/>
        <w:t>universal, interconexión, convergencia, continuidad, acceso libre y sin injerencias arbitrarias</w:t>
      </w:r>
      <w:r w:rsidRPr="002A2450">
        <w:rPr>
          <w:rFonts w:ascii="ITC Avant Garde" w:hAnsi="ITC Avant Garde"/>
          <w:bCs/>
          <w:i/>
          <w:color w:val="000000"/>
          <w:lang w:eastAsia="es-MX"/>
        </w:rPr>
        <w:t xml:space="preserve">.” </w:t>
      </w:r>
    </w:p>
    <w:p w14:paraId="615B3F9A"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La importancia de los servicios públicos radica, entre otros motivos, en que una afectación a su prestación implica necesariamente un daño a la colectividad, por lo que el poder público, dirigido a su fin de bien común, busca ante todo garantizar que la prestación de los mismos sea prestada en las mejores condiciones.</w:t>
      </w:r>
    </w:p>
    <w:p w14:paraId="1E39A1EA"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Al respecto, resulta importante tener en consideración que un servicio público es aquel destinado a satisfacer una necesidad de carácter general, cuyo cumplimiento uniforme y continuo debe ser permanentemente asegurado, regulado y controlado por el Estado.</w:t>
      </w:r>
    </w:p>
    <w:p w14:paraId="7B1AE7C8"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De lo anterior se desprende que por servicio público se puede considerar a toda aquella actividad destinada a satisfacer necesidades colectivas, por lo que se traduce en una actividad asumida directamente por el Estado, por tanto, la misma le es reservada en exclusiva y en ciertos casos puede ser prestada por particulares pero se requiere de autorización previa, expresada en un acto de autoridad bajo la figura del título habilitante que en su caso se requiera, puesto que de otra manera no podría generarse la prestación de dicho servicio.</w:t>
      </w:r>
    </w:p>
    <w:p w14:paraId="37080EE5"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En ese contexto, en el caso específico la conducta sancionable es explotar indirectamente una concesión para prestar el servicio de televisión en al país, en contravención a lo dispuesto en el </w:t>
      </w:r>
      <w:r w:rsidR="00065AA4" w:rsidRPr="009E34A4">
        <w:rPr>
          <w:rFonts w:ascii="ITC Avant Garde" w:hAnsi="ITC Avant Garde"/>
          <w:b/>
        </w:rPr>
        <w:t>Tercer Párrafo</w:t>
      </w:r>
      <w:r w:rsidRPr="002A2450">
        <w:rPr>
          <w:rFonts w:ascii="ITC Avant Garde" w:hAnsi="ITC Avant Garde"/>
        </w:rPr>
        <w:t xml:space="preserve"> de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w:t>
      </w:r>
    </w:p>
    <w:p w14:paraId="1527827C"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Lo anterior cobra relevancia si se considera que es justamente el título de concesión el que permite a un particular prestar un servicio público en beneficio de la colectividad, de lo que se sigue que en el presente asunto, </w:t>
      </w:r>
      <w:r w:rsidRPr="002A2450">
        <w:rPr>
          <w:rFonts w:ascii="ITC Avant Garde" w:hAnsi="ITC Avant Garde"/>
          <w:b/>
        </w:rPr>
        <w:t>“TELMEX”</w:t>
      </w:r>
      <w:r w:rsidRPr="002A2450">
        <w:rPr>
          <w:rFonts w:ascii="ITC Avant Garde" w:hAnsi="ITC Avant Garde"/>
        </w:rPr>
        <w:t xml:space="preserve"> participó de manera indirecta en la explotación del servicio de televisión restringida vía satelital otorgado a </w:t>
      </w:r>
      <w:r w:rsidRPr="002A2450">
        <w:rPr>
          <w:rFonts w:ascii="ITC Avant Garde" w:hAnsi="ITC Avant Garde"/>
          <w:b/>
        </w:rPr>
        <w:t>“COFRESA,</w:t>
      </w:r>
      <w:r w:rsidRPr="002A2450">
        <w:rPr>
          <w:rFonts w:ascii="ITC Avant Garde" w:hAnsi="ITC Avant Garde"/>
        </w:rPr>
        <w:t xml:space="preserve"> por lo que al haber realizado dicha conducta es innegable que vulneró el </w:t>
      </w:r>
      <w:r w:rsidR="00065AA4" w:rsidRPr="009E34A4">
        <w:rPr>
          <w:rFonts w:ascii="ITC Avant Garde" w:hAnsi="ITC Avant Garde"/>
          <w:b/>
        </w:rPr>
        <w:t>Tercer Párrafo</w:t>
      </w:r>
      <w:r w:rsidRPr="002A2450">
        <w:rPr>
          <w:rFonts w:ascii="ITC Avant Garde" w:hAnsi="ITC Avant Garde"/>
        </w:rPr>
        <w:t xml:space="preserve"> de la condición 1-9 de su </w:t>
      </w:r>
      <w:r w:rsidRPr="002A2450">
        <w:rPr>
          <w:rFonts w:ascii="ITC Avant Garde" w:hAnsi="ITC Avant Garde"/>
          <w:b/>
        </w:rPr>
        <w:t>“TÍTULO DE CONCESIÓN”</w:t>
      </w:r>
      <w:r w:rsidRPr="002A2450">
        <w:rPr>
          <w:rFonts w:ascii="ITC Avant Garde" w:hAnsi="ITC Avant Garde"/>
        </w:rPr>
        <w:t xml:space="preserve"> y </w:t>
      </w:r>
      <w:r w:rsidRPr="002A2450">
        <w:rPr>
          <w:rFonts w:ascii="ITC Avant Garde" w:hAnsi="ITC Avant Garde"/>
        </w:rPr>
        <w:lastRenderedPageBreak/>
        <w:t>al mismo tiempo, infringió el interés general que sobre los servicios de telecomunicaciones impera en el sector.</w:t>
      </w:r>
    </w:p>
    <w:p w14:paraId="636E8F56"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En ese sentido, la prestación de dichos servicios implica necesariamente que la autoridad se encuentre en posibilidad de vigilar en todo momento que los mismos sean prestados en las mejores condiciones lo cual dado la conducta que se sanciona, no fue posible en virtud del complejo contractual realizado por </w:t>
      </w:r>
      <w:r w:rsidRPr="002A2450">
        <w:rPr>
          <w:rFonts w:ascii="ITC Avant Garde" w:hAnsi="ITC Avant Garde"/>
          <w:b/>
        </w:rPr>
        <w:t>“TELMEX”</w:t>
      </w:r>
      <w:r w:rsidRPr="002A2450">
        <w:rPr>
          <w:rFonts w:ascii="ITC Avant Garde" w:hAnsi="ITC Avant Garde"/>
        </w:rPr>
        <w:t xml:space="preserve"> para influir en la prestación de un servicio de televisión restringida vía satelital en el país.</w:t>
      </w:r>
    </w:p>
    <w:p w14:paraId="0B894AC3" w14:textId="27C59EEC" w:rsidR="00AB7A46" w:rsidRPr="002A2450" w:rsidRDefault="00AB7A46" w:rsidP="00B35F13">
      <w:pPr>
        <w:spacing w:before="240" w:line="360" w:lineRule="auto"/>
        <w:ind w:right="-1"/>
        <w:jc w:val="both"/>
        <w:rPr>
          <w:rFonts w:ascii="ITC Avant Garde" w:hAnsi="ITC Avant Garde"/>
        </w:rPr>
      </w:pPr>
      <w:r w:rsidRPr="002A2450">
        <w:rPr>
          <w:rFonts w:ascii="ITC Avant Garde" w:hAnsi="ITC Avant Garde"/>
        </w:rPr>
        <w:t xml:space="preserve">Por lo anterior, el monto de la multa que se imponga debe guardar relación con la naturaleza de la infracción atendiendo al bien jurídico tutelado, que en el presente caso es la </w:t>
      </w:r>
      <w:r w:rsidR="008F718E" w:rsidRPr="009E34A4">
        <w:rPr>
          <w:rFonts w:ascii="ITC Avant Garde" w:hAnsi="ITC Avant Garde"/>
        </w:rPr>
        <w:t xml:space="preserve">explotación indirecta </w:t>
      </w:r>
      <w:r w:rsidRPr="002A2450">
        <w:rPr>
          <w:rFonts w:ascii="ITC Avant Garde" w:hAnsi="ITC Avant Garde"/>
        </w:rPr>
        <w:t>de una concesión para prestar el servicio de televisión en el país</w:t>
      </w:r>
      <w:r w:rsidR="00C51A9A">
        <w:rPr>
          <w:rFonts w:ascii="ITC Avant Garde" w:hAnsi="ITC Avant Garde"/>
        </w:rPr>
        <w:t xml:space="preserve">, violando con ello </w:t>
      </w:r>
      <w:r w:rsidRPr="002A2450">
        <w:rPr>
          <w:rFonts w:ascii="ITC Avant Garde" w:hAnsi="ITC Avant Garde"/>
        </w:rPr>
        <w:t xml:space="preserve">lo dispuesto en el </w:t>
      </w:r>
      <w:r w:rsidR="00065AA4" w:rsidRPr="009E34A4">
        <w:rPr>
          <w:rFonts w:ascii="ITC Avant Garde" w:hAnsi="ITC Avant Garde"/>
          <w:b/>
        </w:rPr>
        <w:t>Tercer Párrafo</w:t>
      </w:r>
      <w:r w:rsidRPr="002A2450">
        <w:rPr>
          <w:rFonts w:ascii="ITC Avant Garde" w:hAnsi="ITC Avant Garde"/>
        </w:rPr>
        <w:t xml:space="preserve"> de la condición 1-9 del </w:t>
      </w:r>
      <w:r w:rsidRPr="002A2450">
        <w:rPr>
          <w:rFonts w:ascii="ITC Avant Garde" w:hAnsi="ITC Avant Garde"/>
          <w:b/>
        </w:rPr>
        <w:t>“TÍTULO DE CONCESIÓN”</w:t>
      </w:r>
      <w:r w:rsidRPr="002A2450">
        <w:rPr>
          <w:rFonts w:ascii="ITC Avant Garde" w:hAnsi="ITC Avant Garde"/>
        </w:rPr>
        <w:t xml:space="preserve"> otorgado a </w:t>
      </w:r>
      <w:r w:rsidRPr="002A2450">
        <w:rPr>
          <w:rFonts w:ascii="ITC Avant Garde" w:hAnsi="ITC Avant Garde"/>
          <w:b/>
        </w:rPr>
        <w:t>“TELMEX”</w:t>
      </w:r>
      <w:r w:rsidRPr="002A2450">
        <w:rPr>
          <w:rFonts w:ascii="ITC Avant Garde" w:hAnsi="ITC Avant Garde"/>
        </w:rPr>
        <w:t>.</w:t>
      </w:r>
    </w:p>
    <w:p w14:paraId="296E3511" w14:textId="77777777" w:rsidR="00B35F13" w:rsidRDefault="00C26E8D" w:rsidP="00B35F13">
      <w:pPr>
        <w:spacing w:before="240" w:line="360" w:lineRule="auto"/>
        <w:ind w:right="-1"/>
        <w:jc w:val="both"/>
        <w:rPr>
          <w:rFonts w:ascii="ITC Avant Garde" w:hAnsi="ITC Avant Garde"/>
        </w:rPr>
      </w:pPr>
      <w:r>
        <w:rPr>
          <w:rFonts w:ascii="ITC Avant Garde" w:hAnsi="ITC Avant Garde"/>
        </w:rPr>
        <w:t>En</w:t>
      </w:r>
      <w:r w:rsidR="00C51A9A">
        <w:rPr>
          <w:rFonts w:ascii="ITC Avant Garde" w:hAnsi="ITC Avant Garde"/>
        </w:rPr>
        <w:t xml:space="preserve"> ese sentido, re</w:t>
      </w:r>
      <w:r>
        <w:rPr>
          <w:rFonts w:ascii="ITC Avant Garde" w:hAnsi="ITC Avant Garde"/>
        </w:rPr>
        <w:t>sulta oportuno precisar</w:t>
      </w:r>
      <w:r w:rsidR="00AB7A46" w:rsidRPr="002A2450">
        <w:rPr>
          <w:rFonts w:ascii="ITC Avant Garde" w:hAnsi="ITC Avant Garde"/>
        </w:rPr>
        <w:t xml:space="preserve"> que fue intención del Legislador establecer en la </w:t>
      </w:r>
      <w:r w:rsidR="00AB7A46" w:rsidRPr="002A2450">
        <w:rPr>
          <w:rFonts w:ascii="ITC Avant Garde" w:hAnsi="ITC Avant Garde"/>
          <w:b/>
        </w:rPr>
        <w:t>LFT</w:t>
      </w:r>
      <w:r w:rsidR="00AB7A46" w:rsidRPr="002A2450">
        <w:rPr>
          <w:rFonts w:ascii="ITC Avant Garde" w:hAnsi="ITC Avant Garde"/>
        </w:rPr>
        <w:t xml:space="preserve"> un sistema de graduación de las conductas </w:t>
      </w:r>
      <w:r>
        <w:rPr>
          <w:rFonts w:ascii="ITC Avant Garde" w:hAnsi="ITC Avant Garde"/>
        </w:rPr>
        <w:t xml:space="preserve">con multas de 2,000 hasta 100,000 salarios mínimos atendiendo a la levedad o gravedad de la conducta y </w:t>
      </w:r>
      <w:r w:rsidR="00AB7A46" w:rsidRPr="002A2450">
        <w:rPr>
          <w:rFonts w:ascii="ITC Avant Garde" w:hAnsi="ITC Avant Garde"/>
        </w:rPr>
        <w:t>en tal sentido resulta evidente que la multa que se pretenda imponer debe ser congruente con dicha estimación.</w:t>
      </w:r>
    </w:p>
    <w:p w14:paraId="2789409A" w14:textId="77777777" w:rsidR="00B35F13" w:rsidRDefault="00AB7A46" w:rsidP="00B35F13">
      <w:pPr>
        <w:spacing w:before="240" w:line="360" w:lineRule="auto"/>
        <w:ind w:right="-1"/>
        <w:jc w:val="both"/>
        <w:rPr>
          <w:rFonts w:ascii="ITC Avant Garde" w:hAnsi="ITC Avant Garde"/>
        </w:rPr>
      </w:pPr>
      <w:r w:rsidRPr="002A2450">
        <w:rPr>
          <w:rFonts w:ascii="ITC Avant Garde" w:hAnsi="ITC Avant Garde"/>
        </w:rPr>
        <w:t>Hechas las anteriores precisiones, esta autoridad procede a analizar la gravedad de la conducta susceptible de ser sancionada, en los siguientes términos:</w:t>
      </w:r>
    </w:p>
    <w:p w14:paraId="69A03E41"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El artículo 73 de la </w:t>
      </w:r>
      <w:r w:rsidR="00243AE9" w:rsidRPr="002A2450">
        <w:rPr>
          <w:rFonts w:ascii="ITC Avant Garde" w:eastAsia="Times New Roman" w:hAnsi="ITC Avant Garde"/>
          <w:b/>
          <w:bCs/>
          <w:lang w:eastAsia="es-MX"/>
        </w:rPr>
        <w:t xml:space="preserve">“LFPA” </w:t>
      </w:r>
      <w:r w:rsidRPr="002A2450">
        <w:rPr>
          <w:rFonts w:ascii="ITC Avant Garde" w:eastAsia="Times New Roman" w:hAnsi="ITC Avant Garde"/>
          <w:bCs/>
          <w:lang w:eastAsia="es-MX"/>
        </w:rPr>
        <w:t xml:space="preserve">no indica medio alguno para determinar la gravedad; en consecuencia queda al arbitrio de este </w:t>
      </w:r>
      <w:r w:rsidR="00243AE9" w:rsidRPr="002A2450">
        <w:rPr>
          <w:rFonts w:ascii="ITC Avant Garde" w:eastAsia="Times New Roman" w:hAnsi="ITC Avant Garde"/>
          <w:b/>
          <w:bCs/>
          <w:lang w:eastAsia="es-MX"/>
        </w:rPr>
        <w:t>“</w:t>
      </w:r>
      <w:r w:rsidRPr="002A2450">
        <w:rPr>
          <w:rFonts w:ascii="ITC Avant Garde" w:eastAsia="Times New Roman" w:hAnsi="ITC Avant Garde"/>
          <w:b/>
          <w:bCs/>
          <w:lang w:eastAsia="es-MX"/>
        </w:rPr>
        <w:t>IFT</w:t>
      </w:r>
      <w:r w:rsidR="00243AE9"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determinar cuándo una conducta es grave y en qué grado lo es. En este sentido, para determinar la gravedad de la conducta cometida se analizan los siguientes elementos:</w:t>
      </w:r>
    </w:p>
    <w:p w14:paraId="0804B718" w14:textId="578021DF" w:rsidR="00D91017" w:rsidRPr="002A2450" w:rsidRDefault="00D91017" w:rsidP="007E623E">
      <w:pPr>
        <w:pStyle w:val="Prrafodelista"/>
        <w:numPr>
          <w:ilvl w:val="0"/>
          <w:numId w:val="51"/>
        </w:numPr>
        <w:tabs>
          <w:tab w:val="left" w:pos="5827"/>
        </w:tabs>
        <w:spacing w:before="240" w:line="360" w:lineRule="auto"/>
        <w:contextualSpacing w:val="0"/>
        <w:jc w:val="both"/>
        <w:rPr>
          <w:rFonts w:ascii="ITC Avant Garde" w:eastAsia="Times New Roman" w:hAnsi="ITC Avant Garde"/>
          <w:b/>
          <w:bCs/>
          <w:lang w:eastAsia="es-MX"/>
        </w:rPr>
      </w:pPr>
      <w:r w:rsidRPr="002A2450">
        <w:rPr>
          <w:rFonts w:ascii="ITC Avant Garde" w:eastAsia="Times New Roman" w:hAnsi="ITC Avant Garde"/>
          <w:b/>
          <w:bCs/>
          <w:lang w:eastAsia="es-MX"/>
        </w:rPr>
        <w:t>Afectación en la prestación de un servicio de interés público;</w:t>
      </w:r>
    </w:p>
    <w:p w14:paraId="28C6757B" w14:textId="77777777" w:rsidR="00D91017" w:rsidRPr="002A2450" w:rsidRDefault="00D91017" w:rsidP="007E623E">
      <w:pPr>
        <w:pStyle w:val="Prrafodelista"/>
        <w:numPr>
          <w:ilvl w:val="0"/>
          <w:numId w:val="51"/>
        </w:numPr>
        <w:spacing w:before="240" w:line="360" w:lineRule="auto"/>
        <w:contextualSpacing w:val="0"/>
        <w:jc w:val="both"/>
        <w:rPr>
          <w:rFonts w:ascii="ITC Avant Garde" w:eastAsia="Times New Roman" w:hAnsi="ITC Avant Garde"/>
          <w:b/>
          <w:bCs/>
          <w:lang w:eastAsia="es-MX"/>
        </w:rPr>
      </w:pPr>
      <w:r w:rsidRPr="002A2450">
        <w:rPr>
          <w:rFonts w:ascii="ITC Avant Garde" w:eastAsia="Times New Roman" w:hAnsi="ITC Avant Garde"/>
          <w:b/>
          <w:bCs/>
          <w:lang w:eastAsia="es-MX"/>
        </w:rPr>
        <w:t>Violación a una norma de</w:t>
      </w:r>
      <w:r w:rsidR="006F081C" w:rsidRPr="002A2450">
        <w:rPr>
          <w:rFonts w:ascii="ITC Avant Garde" w:eastAsia="Times New Roman" w:hAnsi="ITC Avant Garde"/>
          <w:b/>
          <w:bCs/>
          <w:lang w:eastAsia="es-MX"/>
        </w:rPr>
        <w:t xml:space="preserve"> orden público e interés social, y</w:t>
      </w:r>
    </w:p>
    <w:p w14:paraId="4BB85849" w14:textId="77777777" w:rsidR="00B35F13" w:rsidRDefault="009D1070" w:rsidP="007E623E">
      <w:pPr>
        <w:pStyle w:val="Prrafodelista"/>
        <w:numPr>
          <w:ilvl w:val="0"/>
          <w:numId w:val="51"/>
        </w:numPr>
        <w:spacing w:before="240" w:line="360" w:lineRule="auto"/>
        <w:contextualSpacing w:val="0"/>
        <w:jc w:val="both"/>
        <w:rPr>
          <w:rFonts w:ascii="ITC Avant Garde" w:eastAsia="Times New Roman" w:hAnsi="ITC Avant Garde"/>
          <w:b/>
          <w:bCs/>
          <w:lang w:eastAsia="es-MX"/>
        </w:rPr>
      </w:pPr>
      <w:r w:rsidRPr="002A2450">
        <w:rPr>
          <w:rFonts w:ascii="ITC Avant Garde" w:eastAsia="Times New Roman" w:hAnsi="ITC Avant Garde"/>
          <w:b/>
          <w:bCs/>
          <w:lang w:eastAsia="es-MX"/>
        </w:rPr>
        <w:lastRenderedPageBreak/>
        <w:t>La duración de la conducta</w:t>
      </w:r>
    </w:p>
    <w:p w14:paraId="30C065F7" w14:textId="77777777" w:rsidR="00B35F13" w:rsidRDefault="00D91017" w:rsidP="00B35F13">
      <w:pPr>
        <w:tabs>
          <w:tab w:val="left" w:pos="5827"/>
        </w:tabs>
        <w:spacing w:before="240" w:line="360" w:lineRule="auto"/>
        <w:jc w:val="both"/>
        <w:rPr>
          <w:rFonts w:ascii="ITC Avant Garde" w:eastAsia="Times New Roman" w:hAnsi="ITC Avant Garde"/>
          <w:b/>
          <w:bCs/>
          <w:lang w:eastAsia="es-MX"/>
        </w:rPr>
      </w:pPr>
      <w:r w:rsidRPr="002A2450">
        <w:rPr>
          <w:rFonts w:ascii="ITC Avant Garde" w:eastAsia="Times New Roman" w:hAnsi="ITC Avant Garde"/>
          <w:b/>
          <w:bCs/>
          <w:lang w:eastAsia="es-MX"/>
        </w:rPr>
        <w:t>Afectación en la prestación de un servicio de interés público;</w:t>
      </w:r>
    </w:p>
    <w:p w14:paraId="0C5B6EFF"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Los servicios de telecomunicaciones son considerados servicios públicos de interés general, tanto por la </w:t>
      </w:r>
      <w:r w:rsidR="00243AE9" w:rsidRPr="002A2450">
        <w:rPr>
          <w:rFonts w:ascii="ITC Avant Garde" w:eastAsia="Times New Roman" w:hAnsi="ITC Avant Garde"/>
          <w:b/>
          <w:bCs/>
          <w:lang w:eastAsia="es-MX"/>
        </w:rPr>
        <w:t xml:space="preserve">“CPEUM” </w:t>
      </w:r>
      <w:r w:rsidRPr="002A2450">
        <w:rPr>
          <w:rFonts w:ascii="ITC Avant Garde" w:eastAsia="Times New Roman" w:hAnsi="ITC Avant Garde"/>
          <w:bCs/>
          <w:lang w:eastAsia="es-MX"/>
        </w:rPr>
        <w:t>como por el Poder Judicial Federal.</w:t>
      </w:r>
    </w:p>
    <w:p w14:paraId="500F586F"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efecto, de acuerdo con el artículo 6º, apartado B, inciso II, de la </w:t>
      </w:r>
      <w:r w:rsidR="00243AE9" w:rsidRPr="002A2450">
        <w:rPr>
          <w:rFonts w:ascii="ITC Avant Garde" w:eastAsia="Times New Roman" w:hAnsi="ITC Avant Garde"/>
          <w:b/>
          <w:bCs/>
          <w:lang w:eastAsia="es-MX"/>
        </w:rPr>
        <w:t>“</w:t>
      </w:r>
      <w:r w:rsidRPr="002A2450">
        <w:rPr>
          <w:rFonts w:ascii="ITC Avant Garde" w:eastAsia="Times New Roman" w:hAnsi="ITC Avant Garde"/>
          <w:b/>
          <w:bCs/>
          <w:lang w:eastAsia="es-MX"/>
        </w:rPr>
        <w:t>CPEUM</w:t>
      </w:r>
      <w:r w:rsidR="00243AE9" w:rsidRPr="002A2450">
        <w:rPr>
          <w:rFonts w:ascii="ITC Avant Garde" w:eastAsia="Times New Roman" w:hAnsi="ITC Avant Garde"/>
          <w:b/>
          <w:bCs/>
          <w:lang w:eastAsia="es-MX"/>
        </w:rPr>
        <w:t>”</w:t>
      </w:r>
      <w:r w:rsidRPr="002A2450">
        <w:rPr>
          <w:rFonts w:ascii="ITC Avant Garde" w:eastAsia="Times New Roman" w:hAnsi="ITC Avant Garde"/>
          <w:bCs/>
          <w:lang w:eastAsia="es-MX"/>
        </w:rPr>
        <w:t>, las telecomunicaciones son servicios públicos de interés general y corresponde al Estado garantizar que sean prestado</w:t>
      </w:r>
      <w:r w:rsidR="00243AE9" w:rsidRPr="002A2450">
        <w:rPr>
          <w:rFonts w:ascii="ITC Avant Garde" w:eastAsia="Times New Roman" w:hAnsi="ITC Avant Garde"/>
          <w:bCs/>
          <w:lang w:eastAsia="es-MX"/>
        </w:rPr>
        <w:t>s en condiciones de competencia, calidad, pluralidad, etc.</w:t>
      </w:r>
    </w:p>
    <w:p w14:paraId="2C15CDDD" w14:textId="77777777" w:rsidR="00B35F13" w:rsidRDefault="00336B64"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Al efecto, el citado principio constitucional establece lo siguiente:</w:t>
      </w:r>
    </w:p>
    <w:p w14:paraId="7484BBE2" w14:textId="77777777" w:rsidR="00B35F13" w:rsidRDefault="00D91017" w:rsidP="00B35F13">
      <w:pPr>
        <w:spacing w:before="240" w:line="360" w:lineRule="auto"/>
        <w:ind w:left="567" w:right="567"/>
        <w:jc w:val="both"/>
        <w:rPr>
          <w:rFonts w:ascii="ITC Avant Garde" w:eastAsia="Times New Roman" w:hAnsi="ITC Avant Garde"/>
          <w:bCs/>
          <w:i/>
          <w:lang w:eastAsia="es-MX"/>
        </w:rPr>
      </w:pPr>
      <w:r w:rsidRPr="002A2450">
        <w:rPr>
          <w:i/>
          <w:lang w:eastAsia="es-MX"/>
        </w:rPr>
        <w:t>“</w:t>
      </w:r>
      <w:r w:rsidRPr="002A2450">
        <w:rPr>
          <w:rFonts w:ascii="ITC Avant Garde" w:eastAsia="Times New Roman" w:hAnsi="ITC Avant Garde"/>
          <w:bCs/>
          <w:i/>
          <w:lang w:eastAsia="es-MX"/>
        </w:rPr>
        <w:t>II. 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14:paraId="6D08D5B9"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De igual forma lo definió la Suprema Corte de Justicia de la Nación en la sentencia de la acción de inconstitucionalidad 26/2006, donde consideró a las telecomunicaciones en general como un</w:t>
      </w:r>
      <w:r w:rsidR="00336B64" w:rsidRPr="002A2450">
        <w:rPr>
          <w:rFonts w:ascii="ITC Avant Garde" w:eastAsia="Times New Roman" w:hAnsi="ITC Avant Garde"/>
          <w:bCs/>
          <w:lang w:eastAsia="es-MX"/>
        </w:rPr>
        <w:t>a actividad de interés público</w:t>
      </w:r>
      <w:r w:rsidRPr="002A2450">
        <w:rPr>
          <w:rFonts w:ascii="ITC Avant Garde" w:eastAsia="Times New Roman" w:hAnsi="ITC Avant Garde"/>
          <w:bCs/>
          <w:lang w:eastAsia="es-MX"/>
        </w:rPr>
        <w:t xml:space="preserve">, tal como se observa de la siguiente transcripción: </w:t>
      </w:r>
    </w:p>
    <w:p w14:paraId="0C860E3F" w14:textId="77777777" w:rsidR="00B35F13" w:rsidRDefault="00D91017" w:rsidP="00B35F13">
      <w:pPr>
        <w:spacing w:before="240" w:line="360" w:lineRule="auto"/>
        <w:ind w:left="567" w:right="567"/>
        <w:jc w:val="both"/>
        <w:rPr>
          <w:rFonts w:ascii="ITC Avant Garde" w:eastAsia="Times New Roman" w:hAnsi="ITC Avant Garde"/>
          <w:bCs/>
          <w:i/>
          <w:lang w:eastAsia="es-MX"/>
        </w:rPr>
      </w:pPr>
      <w:r w:rsidRPr="002A2450">
        <w:rPr>
          <w:rFonts w:ascii="ITC Avant Garde" w:eastAsia="Times New Roman" w:hAnsi="ITC Avant Garde"/>
          <w:bCs/>
          <w:i/>
          <w:lang w:eastAsia="es-MX"/>
        </w:rPr>
        <w:t>“Se desprende de los artículos transcritos, que los servicios de radio y televisión se consideran como una actividad de interés público y, en general, se alude a las telecomunicaciones como un servicio de interés público</w:t>
      </w:r>
      <w:r w:rsidR="006F081C" w:rsidRPr="002A2450">
        <w:rPr>
          <w:rFonts w:ascii="ITC Avant Garde" w:eastAsia="Times New Roman" w:hAnsi="ITC Avant Garde"/>
          <w:bCs/>
          <w:i/>
          <w:lang w:eastAsia="es-MX"/>
        </w:rPr>
        <w:t>…”</w:t>
      </w:r>
    </w:p>
    <w:p w14:paraId="7E424EDB"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La importancia de los servicios públicos radica, entre otros motivos, en que una </w:t>
      </w:r>
      <w:r w:rsidR="00243AE9" w:rsidRPr="002A2450">
        <w:rPr>
          <w:rFonts w:ascii="ITC Avant Garde" w:eastAsia="Times New Roman" w:hAnsi="ITC Avant Garde"/>
          <w:bCs/>
          <w:lang w:eastAsia="es-MX"/>
        </w:rPr>
        <w:t xml:space="preserve">violación a los mismos </w:t>
      </w:r>
      <w:r w:rsidRPr="002A2450">
        <w:rPr>
          <w:rFonts w:ascii="ITC Avant Garde" w:eastAsia="Times New Roman" w:hAnsi="ITC Avant Garde"/>
          <w:bCs/>
          <w:lang w:eastAsia="es-MX"/>
        </w:rPr>
        <w:t>implica necesariamente un daño a la colectividad</w:t>
      </w:r>
      <w:r w:rsidR="00243AE9" w:rsidRPr="002A2450">
        <w:rPr>
          <w:rFonts w:ascii="ITC Avant Garde" w:eastAsia="Times New Roman" w:hAnsi="ITC Avant Garde"/>
          <w:bCs/>
          <w:lang w:eastAsia="es-MX"/>
        </w:rPr>
        <w:t xml:space="preserve"> o al sector</w:t>
      </w:r>
      <w:r w:rsidRPr="002A2450">
        <w:rPr>
          <w:rFonts w:ascii="ITC Avant Garde" w:eastAsia="Times New Roman" w:hAnsi="ITC Avant Garde"/>
          <w:bCs/>
          <w:lang w:eastAsia="es-MX"/>
        </w:rPr>
        <w:t xml:space="preserve">, por lo que el poder público, dirigido a su fin de bien común, busca ante todo garantizar la correcta prestación de tales servicios. </w:t>
      </w:r>
    </w:p>
    <w:p w14:paraId="0D1BB0CE" w14:textId="77777777" w:rsidR="00B35F13" w:rsidRDefault="00243AE9" w:rsidP="00B35F13">
      <w:pPr>
        <w:spacing w:before="240" w:line="360" w:lineRule="auto"/>
        <w:jc w:val="both"/>
        <w:rPr>
          <w:rFonts w:ascii="ITC Avant Garde" w:eastAsia="Times New Roman" w:hAnsi="ITC Avant Garde"/>
          <w:b/>
          <w:bCs/>
          <w:lang w:eastAsia="es-MX"/>
        </w:rPr>
      </w:pPr>
      <w:r w:rsidRPr="002A2450">
        <w:rPr>
          <w:rFonts w:ascii="ITC Avant Garde" w:eastAsia="Times New Roman" w:hAnsi="ITC Avant Garde"/>
          <w:bCs/>
          <w:lang w:eastAsia="es-MX"/>
        </w:rPr>
        <w:lastRenderedPageBreak/>
        <w:t xml:space="preserve">Por tanto, la violación realizada por </w:t>
      </w:r>
      <w:r w:rsidRPr="002A2450">
        <w:rPr>
          <w:rFonts w:ascii="ITC Avant Garde" w:eastAsia="Times New Roman" w:hAnsi="ITC Avant Garde"/>
          <w:b/>
          <w:bCs/>
          <w:lang w:eastAsia="es-MX"/>
        </w:rPr>
        <w:t>“TELMEX”</w:t>
      </w:r>
      <w:r w:rsidRPr="002A2450">
        <w:rPr>
          <w:rFonts w:ascii="ITC Avant Garde" w:eastAsia="Times New Roman" w:hAnsi="ITC Avant Garde"/>
          <w:bCs/>
          <w:lang w:eastAsia="es-MX"/>
        </w:rPr>
        <w:t xml:space="preserve"> implicó que un concesionario aprovechara el derecho concedido a otro para prestar el servicio de televisión restringida por vía satelital en el </w:t>
      </w:r>
      <w:r w:rsidR="006F081C" w:rsidRPr="002A2450">
        <w:rPr>
          <w:rFonts w:ascii="ITC Avant Garde" w:eastAsia="Times New Roman" w:hAnsi="ITC Avant Garde"/>
          <w:bCs/>
          <w:lang w:eastAsia="es-MX"/>
        </w:rPr>
        <w:t>país</w:t>
      </w:r>
      <w:r w:rsidRPr="002A2450">
        <w:rPr>
          <w:rFonts w:ascii="ITC Avant Garde" w:eastAsia="Times New Roman" w:hAnsi="ITC Avant Garde"/>
          <w:bCs/>
          <w:lang w:eastAsia="es-MX"/>
        </w:rPr>
        <w:t>, lo cual en términos de lo antes señalado contraviene el interés público en la prestación de los servicios</w:t>
      </w:r>
      <w:r w:rsidR="00FD21FC" w:rsidRPr="002A2450">
        <w:rPr>
          <w:rFonts w:ascii="ITC Avant Garde" w:eastAsia="Times New Roman" w:hAnsi="ITC Avant Garde"/>
          <w:b/>
          <w:bCs/>
          <w:lang w:eastAsia="es-MX"/>
        </w:rPr>
        <w:t>.</w:t>
      </w:r>
    </w:p>
    <w:p w14:paraId="4385E91D" w14:textId="77777777" w:rsidR="00B35F13" w:rsidRDefault="00336B64"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En tales consideraciones, el interés general se vio vulnerado con motivo de la conducta realizada por</w:t>
      </w:r>
      <w:r w:rsidRPr="002A2450">
        <w:rPr>
          <w:rFonts w:ascii="ITC Avant Garde" w:eastAsia="Times New Roman" w:hAnsi="ITC Avant Garde"/>
          <w:b/>
          <w:bCs/>
          <w:lang w:eastAsia="es-MX"/>
        </w:rPr>
        <w:t xml:space="preserve"> “TELMEX”</w:t>
      </w:r>
      <w:r w:rsidRPr="002A2450">
        <w:rPr>
          <w:rFonts w:ascii="ITC Avant Garde" w:eastAsia="Times New Roman" w:hAnsi="ITC Avant Garde"/>
          <w:bCs/>
          <w:lang w:eastAsia="es-MX"/>
        </w:rPr>
        <w:t xml:space="preserve"> puesto que como se ha señalado en líneas previas la prestación de un servicio público persigue un interés general, el cual no puede ser vulnerado por los concesionarios dada la rectoría estatal en la materia, en caso contrario, se estaría vulnerando el interés general dados los </w:t>
      </w:r>
      <w:r w:rsidR="00E05BD8" w:rsidRPr="002A2450">
        <w:rPr>
          <w:rFonts w:ascii="ITC Avant Garde" w:eastAsia="Times New Roman" w:hAnsi="ITC Avant Garde"/>
          <w:bCs/>
          <w:lang w:eastAsia="es-MX"/>
        </w:rPr>
        <w:t>intereses</w:t>
      </w:r>
      <w:r w:rsidRPr="002A2450">
        <w:rPr>
          <w:rFonts w:ascii="ITC Avant Garde" w:eastAsia="Times New Roman" w:hAnsi="ITC Avant Garde"/>
          <w:bCs/>
          <w:lang w:eastAsia="es-MX"/>
        </w:rPr>
        <w:t xml:space="preserve"> particulares que se persiguieron con motivo de los contratos celebrados, máxime que con los mismos, la prestación del servicio de televisión restringida vía satelital no fue realizada al amparo de una concesión otorgada por el Estado, sino mediante un mecanismo contractual que vulneró el interés que sobre los servicios guarda el Estado en franca violación al interés colectivo para prestar dichos servicios en condiciones de competencia.</w:t>
      </w:r>
    </w:p>
    <w:p w14:paraId="4FEFB338" w14:textId="273BFDD7" w:rsidR="00B35F13" w:rsidRDefault="00D91017" w:rsidP="00B35F13">
      <w:pPr>
        <w:spacing w:before="240" w:line="360" w:lineRule="auto"/>
        <w:jc w:val="both"/>
        <w:rPr>
          <w:rFonts w:ascii="ITC Avant Garde" w:eastAsia="Times New Roman" w:hAnsi="ITC Avant Garde"/>
          <w:b/>
          <w:bCs/>
          <w:lang w:eastAsia="es-MX"/>
        </w:rPr>
      </w:pPr>
      <w:r w:rsidRPr="002A2450">
        <w:rPr>
          <w:rFonts w:ascii="ITC Avant Garde" w:eastAsia="Times New Roman" w:hAnsi="ITC Avant Garde"/>
          <w:b/>
          <w:bCs/>
          <w:lang w:eastAsia="es-MX"/>
        </w:rPr>
        <w:t>Violación a una norma de orden público e interés social.</w:t>
      </w:r>
    </w:p>
    <w:p w14:paraId="6017D0B8" w14:textId="77777777" w:rsidR="00B35F13" w:rsidRDefault="00D91017"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Desde luego, el cumplimiento por parte de los concesionarios de las condiciones establecidas en los títulos de concesión es de orden público y en ese sentido al ser los servicios de telecomunicaciones y radiodifusión, servicios públicos de interés general, el Estado debe garantizar su eficiente prestación, a fin de que se cumplan los derechos establecidos en los artículos 6º</w:t>
      </w:r>
      <w:proofErr w:type="gramStart"/>
      <w:r w:rsidRPr="002A2450">
        <w:rPr>
          <w:rFonts w:ascii="ITC Avant Garde" w:eastAsia="Times New Roman" w:hAnsi="ITC Avant Garde" w:cs="Times New Roman"/>
          <w:bCs/>
          <w:lang w:eastAsia="es-MX"/>
        </w:rPr>
        <w:t>.,</w:t>
      </w:r>
      <w:proofErr w:type="gramEnd"/>
      <w:r w:rsidRPr="002A2450">
        <w:rPr>
          <w:rFonts w:ascii="ITC Avant Garde" w:eastAsia="Times New Roman" w:hAnsi="ITC Avant Garde" w:cs="Times New Roman"/>
          <w:bCs/>
          <w:lang w:eastAsia="es-MX"/>
        </w:rPr>
        <w:t xml:space="preserve"> 7º., 27 y 28 de la</w:t>
      </w:r>
      <w:r w:rsidR="00164CC6" w:rsidRPr="002A2450">
        <w:rPr>
          <w:rFonts w:ascii="ITC Avant Garde" w:eastAsia="Times New Roman" w:hAnsi="ITC Avant Garde" w:cs="Times New Roman"/>
          <w:bCs/>
          <w:lang w:eastAsia="es-MX"/>
        </w:rPr>
        <w:t xml:space="preserve"> </w:t>
      </w:r>
      <w:r w:rsidR="00164CC6" w:rsidRPr="002A2450">
        <w:rPr>
          <w:rFonts w:ascii="ITC Avant Garde" w:eastAsia="Times New Roman" w:hAnsi="ITC Avant Garde" w:cs="Times New Roman"/>
          <w:b/>
          <w:bCs/>
          <w:lang w:eastAsia="es-MX"/>
        </w:rPr>
        <w:t>”CPEUM”</w:t>
      </w:r>
      <w:r w:rsidRPr="002A2450">
        <w:rPr>
          <w:rFonts w:ascii="ITC Avant Garde" w:eastAsia="Times New Roman" w:hAnsi="ITC Avant Garde" w:cs="Times New Roman"/>
          <w:bCs/>
          <w:lang w:eastAsia="es-MX"/>
        </w:rPr>
        <w:t>.</w:t>
      </w:r>
    </w:p>
    <w:p w14:paraId="32C418DB"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efecto, la sociedad en general se encuentra interesada en que se respeten las disposiciones contenidas en la </w:t>
      </w:r>
      <w:r w:rsidR="008253D2" w:rsidRPr="002A2450">
        <w:rPr>
          <w:rFonts w:ascii="ITC Avant Garde" w:eastAsia="Times New Roman" w:hAnsi="ITC Avant Garde"/>
          <w:b/>
          <w:bCs/>
          <w:lang w:eastAsia="es-MX"/>
        </w:rPr>
        <w:t xml:space="preserve">“LFT” </w:t>
      </w:r>
      <w:r w:rsidRPr="002A2450">
        <w:rPr>
          <w:rFonts w:ascii="ITC Avant Garde" w:eastAsia="Times New Roman" w:hAnsi="ITC Avant Garde"/>
          <w:bCs/>
          <w:lang w:eastAsia="es-MX"/>
        </w:rPr>
        <w:t>con el objeto de que las telecomunicaciones, se presten con mejores precios, diversidad y calidad en beneficio del público usuario.</w:t>
      </w:r>
    </w:p>
    <w:p w14:paraId="4A4B82AB"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En ese sentido, los artículos 1, 2, 4, 5, 7 párrafos primero, segundo, fracciones I, XII y XIV, 50 y 67 de la </w:t>
      </w:r>
      <w:r w:rsidRPr="002A2450">
        <w:rPr>
          <w:rFonts w:ascii="ITC Avant Garde" w:hAnsi="ITC Avant Garde" w:cs="Arial"/>
          <w:b/>
          <w:lang w:val="es-ES_tradnl"/>
        </w:rPr>
        <w:t>“LFT”</w:t>
      </w:r>
      <w:r w:rsidRPr="002A2450">
        <w:rPr>
          <w:rFonts w:ascii="ITC Avant Garde" w:hAnsi="ITC Avant Garde" w:cs="Arial"/>
          <w:lang w:val="es-ES_tradnl"/>
        </w:rPr>
        <w:t xml:space="preserve"> establecían lo siguiente:</w:t>
      </w:r>
    </w:p>
    <w:p w14:paraId="70EB811F" w14:textId="27FA5995" w:rsidR="00164CC6" w:rsidRPr="002A2450"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lastRenderedPageBreak/>
        <w:t>“</w:t>
      </w:r>
      <w:r w:rsidRPr="002A2450">
        <w:rPr>
          <w:rFonts w:ascii="ITC Avant Garde" w:hAnsi="ITC Avant Garde"/>
          <w:b/>
          <w:i/>
          <w:color w:val="000000"/>
          <w:lang w:val="es-ES_tradnl"/>
        </w:rPr>
        <w:t>Artículo 1</w:t>
      </w:r>
      <w:r w:rsidRPr="002A2450">
        <w:rPr>
          <w:rFonts w:ascii="ITC Avant Garde" w:hAnsi="ITC Avant Garde"/>
          <w:i/>
          <w:color w:val="000000"/>
          <w:lang w:val="es-ES_tradnl"/>
        </w:rPr>
        <w:t xml:space="preserve">. </w:t>
      </w:r>
      <w:r w:rsidRPr="002A2450">
        <w:rPr>
          <w:rFonts w:ascii="ITC Avant Garde" w:hAnsi="ITC Avant Garde"/>
          <w:b/>
          <w:i/>
          <w:color w:val="000000"/>
          <w:lang w:val="es-ES_tradnl"/>
        </w:rPr>
        <w:t>La presente Ley es de orden público</w:t>
      </w:r>
      <w:r w:rsidRPr="002A2450">
        <w:rPr>
          <w:rFonts w:ascii="ITC Avant Garde" w:hAnsi="ITC Avant Garde"/>
          <w:i/>
          <w:color w:val="000000"/>
          <w:lang w:val="es-ES_tradnl"/>
        </w:rPr>
        <w:t xml:space="preserve"> y tiene por objeto regular el uso, aprovechamiento y explotación del espectro radioeléctrico, de </w:t>
      </w:r>
      <w:r w:rsidRPr="002A2450">
        <w:rPr>
          <w:rFonts w:ascii="ITC Avant Garde" w:hAnsi="ITC Avant Garde"/>
          <w:b/>
          <w:i/>
          <w:color w:val="000000"/>
          <w:lang w:val="es-ES_tradnl"/>
        </w:rPr>
        <w:t>las redes de telecomunicaciones</w:t>
      </w:r>
      <w:r w:rsidRPr="002A2450">
        <w:rPr>
          <w:rFonts w:ascii="ITC Avant Garde" w:hAnsi="ITC Avant Garde"/>
          <w:i/>
          <w:color w:val="000000"/>
          <w:lang w:val="es-ES_tradnl"/>
        </w:rPr>
        <w:t>, y de la comunicación vía satélite.”</w:t>
      </w:r>
    </w:p>
    <w:p w14:paraId="15C56386" w14:textId="77777777" w:rsidR="00164CC6" w:rsidRPr="002A2450"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 xml:space="preserve">“Artículo 2. </w:t>
      </w:r>
      <w:r w:rsidRPr="002A2450">
        <w:rPr>
          <w:rFonts w:ascii="ITC Avant Garde" w:hAnsi="ITC Avant Garde"/>
          <w:b/>
          <w:i/>
          <w:color w:val="000000"/>
          <w:lang w:val="es-ES_tradnl"/>
        </w:rPr>
        <w:t>Corresponde al Estado la rectoría en materia de telecomunicaciones, a cuyo efecto protegerá la seguridad y la soberanía de la Nación</w:t>
      </w:r>
      <w:r w:rsidRPr="002A2450">
        <w:rPr>
          <w:rFonts w:ascii="ITC Avant Garde" w:hAnsi="ITC Avant Garde"/>
          <w:i/>
          <w:color w:val="000000"/>
          <w:lang w:val="es-ES_tradnl"/>
        </w:rPr>
        <w:t>.</w:t>
      </w:r>
    </w:p>
    <w:p w14:paraId="40BDD208"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En todo momento el Estado mantendrá el dominio sobre el espectro radioeléctrico y las posiciones orbitales asignadas al país.”</w:t>
      </w:r>
    </w:p>
    <w:p w14:paraId="2A28A5B1"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r w:rsidRPr="002A2450">
        <w:rPr>
          <w:rFonts w:ascii="ITC Avant Garde" w:hAnsi="ITC Avant Garde"/>
          <w:b/>
          <w:i/>
          <w:color w:val="000000"/>
          <w:lang w:val="es-ES_tradnl"/>
        </w:rPr>
        <w:t>Artículo 4.</w:t>
      </w:r>
      <w:r w:rsidRPr="002A2450">
        <w:rPr>
          <w:rFonts w:ascii="ITC Avant Garde" w:hAnsi="ITC Avant Garde"/>
          <w:i/>
          <w:color w:val="000000"/>
          <w:lang w:val="es-ES_tradnl"/>
        </w:rPr>
        <w:t xml:space="preserve">- Para los efectos de esta Ley, </w:t>
      </w:r>
      <w:r w:rsidRPr="002A2450">
        <w:rPr>
          <w:rFonts w:ascii="ITC Avant Garde" w:hAnsi="ITC Avant Garde"/>
          <w:b/>
          <w:i/>
          <w:color w:val="000000"/>
          <w:lang w:val="es-ES_tradnl"/>
        </w:rPr>
        <w:t>son vías generales de comunicación</w:t>
      </w:r>
      <w:r w:rsidRPr="002A2450">
        <w:rPr>
          <w:rFonts w:ascii="ITC Avant Garde" w:hAnsi="ITC Avant Garde"/>
          <w:i/>
          <w:color w:val="000000"/>
          <w:lang w:val="es-ES_tradnl"/>
        </w:rPr>
        <w:t xml:space="preserve"> el espectro radioeléctrico, </w:t>
      </w:r>
      <w:r w:rsidRPr="002A2450">
        <w:rPr>
          <w:rFonts w:ascii="ITC Avant Garde" w:hAnsi="ITC Avant Garde"/>
          <w:b/>
          <w:i/>
          <w:color w:val="000000"/>
          <w:lang w:val="es-ES_tradnl"/>
        </w:rPr>
        <w:t>las redes de telecomunicaciones</w:t>
      </w:r>
      <w:r w:rsidRPr="002A2450">
        <w:rPr>
          <w:rFonts w:ascii="ITC Avant Garde" w:hAnsi="ITC Avant Garde"/>
          <w:i/>
          <w:color w:val="000000"/>
          <w:lang w:val="es-ES_tradnl"/>
        </w:rPr>
        <w:t xml:space="preserve"> y los sistemas de comunicación vía satélite.”</w:t>
      </w:r>
    </w:p>
    <w:p w14:paraId="062151DA"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r w:rsidRPr="002A2450">
        <w:rPr>
          <w:rFonts w:ascii="ITC Avant Garde" w:hAnsi="ITC Avant Garde"/>
          <w:b/>
          <w:i/>
          <w:color w:val="000000"/>
          <w:lang w:val="es-ES_tradnl"/>
        </w:rPr>
        <w:t>Artículo 5.</w:t>
      </w:r>
      <w:r w:rsidRPr="002A2450">
        <w:rPr>
          <w:rFonts w:ascii="ITC Avant Garde" w:hAnsi="ITC Avant Garde"/>
          <w:i/>
          <w:color w:val="000000"/>
          <w:lang w:val="es-ES_tradnl"/>
        </w:rPr>
        <w:t>- Las vías generales de comunicación materia de esta Ley y los servicios que en ellas se presten son de jurisdicción federal. Para los efectos de esta Ley se considera de interés público la instalación, operación, y mantenimiento de cableado subterráneo y aéreo y equipo destinado al servicio de las redes públicas de telecomunicaciones, debiéndose cumplir las disposiciones estatales y municipales en materia de desarrollo urbano y protección ecológica aplicables.”</w:t>
      </w:r>
    </w:p>
    <w:p w14:paraId="0CD0AB13"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r w:rsidRPr="002A2450">
        <w:rPr>
          <w:rFonts w:ascii="ITC Avant Garde" w:hAnsi="ITC Avant Garde"/>
          <w:b/>
          <w:i/>
          <w:color w:val="000000"/>
          <w:lang w:val="es-ES_tradnl"/>
        </w:rPr>
        <w:t>Artículo 7</w:t>
      </w:r>
      <w:r w:rsidRPr="002A2450">
        <w:rPr>
          <w:rFonts w:ascii="ITC Avant Garde" w:hAnsi="ITC Avant Garde"/>
          <w:i/>
          <w:color w:val="000000"/>
          <w:lang w:val="es-ES_tradnl"/>
        </w:rPr>
        <w:t xml:space="preserve">.- </w:t>
      </w:r>
      <w:r w:rsidRPr="002A2450">
        <w:rPr>
          <w:rFonts w:ascii="ITC Avant Garde" w:hAnsi="ITC Avant Garde"/>
          <w:b/>
          <w:i/>
          <w:color w:val="000000"/>
          <w:lang w:val="es-ES_tradnl"/>
        </w:rPr>
        <w:t>La presente Ley tiene como objetivos promover un desarrollo eficiente de las telecomunicaciones; ejercer la rectoría del estado en la materia, para garantizar la soberanía nacional</w:t>
      </w:r>
      <w:r w:rsidRPr="002A2450">
        <w:rPr>
          <w:rFonts w:ascii="ITC Avant Garde" w:hAnsi="ITC Avant Garde"/>
          <w:i/>
          <w:color w:val="000000"/>
          <w:lang w:val="es-ES_tradnl"/>
        </w:rPr>
        <w:t>; fomentar una sana competencia entre los diferentes prestadores de servicios de telecomunicaciones a fin de que éstos se presten con mejores precios, diversidad y calidad en beneficio de los usuarios, y promover una adecuada cobertura social.</w:t>
      </w:r>
    </w:p>
    <w:p w14:paraId="74AC56BB"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lastRenderedPageBreak/>
        <w:t>Para el logro de estos objetivos, corresponde a la Secretaría, sin perjuicio de las que se confieran a otras dependencias del Ejecutivo Federal, el ejercicio de las atribuciones siguientes:</w:t>
      </w:r>
    </w:p>
    <w:p w14:paraId="5C1F6C90" w14:textId="3C3FBFC2" w:rsidR="00164CC6" w:rsidRPr="002A2450"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l. Planear, formular y conducir las políticas y programas, así como regular el desarrollo de las telecomunicaciones, con base en el Plan Nacional de Desarrollo y los programas sectoriales correspondientes;</w:t>
      </w:r>
    </w:p>
    <w:p w14:paraId="0F5793BA"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p>
    <w:p w14:paraId="5E045A3F"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XII. Interpretar, esta Ley para efectos administrativos, y</w:t>
      </w:r>
    </w:p>
    <w:p w14:paraId="71D4BDD0"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XIV. Las demás que esta Ley y otros ordenamientos legales le confieran en la materia.”</w:t>
      </w:r>
    </w:p>
    <w:p w14:paraId="7A7F9C80"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r w:rsidRPr="002A2450">
        <w:rPr>
          <w:rFonts w:ascii="ITC Avant Garde" w:hAnsi="ITC Avant Garde"/>
          <w:b/>
          <w:i/>
          <w:color w:val="000000"/>
          <w:lang w:val="es-ES_tradnl"/>
        </w:rPr>
        <w:t>Artículo 50</w:t>
      </w:r>
      <w:r w:rsidRPr="002A2450">
        <w:rPr>
          <w:rFonts w:ascii="ITC Avant Garde" w:hAnsi="ITC Avant Garde"/>
          <w:i/>
          <w:color w:val="000000"/>
          <w:lang w:val="es-ES_tradnl"/>
        </w:rPr>
        <w:t xml:space="preserve">. </w:t>
      </w:r>
      <w:r w:rsidRPr="002A2450">
        <w:rPr>
          <w:rFonts w:ascii="ITC Avant Garde" w:hAnsi="ITC Avant Garde"/>
          <w:b/>
          <w:i/>
          <w:color w:val="000000"/>
          <w:lang w:val="es-ES_tradnl"/>
        </w:rPr>
        <w:t>La Secretaría procurará la adecuada provisión de servicios de telecomunicaciones en todo el territorio nacional</w:t>
      </w:r>
      <w:r w:rsidRPr="002A2450">
        <w:rPr>
          <w:rFonts w:ascii="ITC Avant Garde" w:hAnsi="ITC Avant Garde"/>
          <w:i/>
          <w:color w:val="000000"/>
          <w:lang w:val="es-ES_tradnl"/>
        </w:rPr>
        <w:t>, con el propósito de que exista acceso a las redes públicas de telecomunicaciones para la atención de servicios públicos y sociales, de las unidades de producción y de la población en general.”</w:t>
      </w:r>
    </w:p>
    <w:p w14:paraId="06EA079E"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r w:rsidRPr="002A2450">
        <w:rPr>
          <w:rFonts w:ascii="ITC Avant Garde" w:hAnsi="ITC Avant Garde"/>
          <w:b/>
          <w:i/>
          <w:color w:val="000000"/>
          <w:lang w:val="es-ES_tradnl"/>
        </w:rPr>
        <w:t>Artículo 67</w:t>
      </w:r>
      <w:r w:rsidRPr="002A2450">
        <w:rPr>
          <w:rFonts w:ascii="ITC Avant Garde" w:hAnsi="ITC Avant Garde"/>
          <w:i/>
          <w:color w:val="000000"/>
          <w:lang w:val="es-ES_tradnl"/>
        </w:rPr>
        <w:t xml:space="preserve">. </w:t>
      </w:r>
      <w:r w:rsidRPr="002A2450">
        <w:rPr>
          <w:rFonts w:ascii="ITC Avant Garde" w:hAnsi="ITC Avant Garde"/>
          <w:b/>
          <w:i/>
          <w:color w:val="000000"/>
          <w:lang w:val="es-ES_tradnl"/>
        </w:rPr>
        <w:t>La Secretaría verificará el cumplimiento de esta Ley, sus Reglamentos y demás disposiciones aplicables</w:t>
      </w:r>
      <w:r w:rsidRPr="002A2450">
        <w:rPr>
          <w:rFonts w:ascii="ITC Avant Garde" w:hAnsi="ITC Avant Garde"/>
          <w:i/>
          <w:color w:val="000000"/>
          <w:lang w:val="es-ES_tradnl"/>
        </w:rPr>
        <w:t>. Para tal efecto, los concesionarios y permisionarios estarán obligados a permitir a los verificadores de la Secretaría el acceso a sus instalaciones, así como a otorgarles todas las facilidades para que realicen la verificación en términos de la presente Ley.”</w:t>
      </w:r>
    </w:p>
    <w:p w14:paraId="4DEE46C2"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En relación con lo anterior, la actual </w:t>
      </w:r>
      <w:r w:rsidRPr="002A2450">
        <w:rPr>
          <w:rFonts w:ascii="ITC Avant Garde" w:hAnsi="ITC Avant Garde" w:cs="Arial"/>
          <w:b/>
          <w:lang w:val="es-ES_tradnl"/>
        </w:rPr>
        <w:t>“</w:t>
      </w:r>
      <w:proofErr w:type="spellStart"/>
      <w:r w:rsidRPr="002A2450">
        <w:rPr>
          <w:rFonts w:ascii="ITC Avant Garde" w:hAnsi="ITC Avant Garde" w:cs="Arial"/>
          <w:b/>
          <w:lang w:val="es-ES_tradnl"/>
        </w:rPr>
        <w:t>LFTyR</w:t>
      </w:r>
      <w:proofErr w:type="spellEnd"/>
      <w:r w:rsidRPr="002A2450">
        <w:rPr>
          <w:rFonts w:ascii="ITC Avant Garde" w:hAnsi="ITC Avant Garde" w:cs="Arial"/>
          <w:b/>
          <w:lang w:val="es-ES_tradnl"/>
        </w:rPr>
        <w:t>”</w:t>
      </w:r>
      <w:r w:rsidRPr="002A2450">
        <w:rPr>
          <w:rFonts w:ascii="ITC Avant Garde" w:hAnsi="ITC Avant Garde" w:cs="Arial"/>
          <w:lang w:val="es-ES_tradnl"/>
        </w:rPr>
        <w:t xml:space="preserve"> de manera análoga señala en sus artículos </w:t>
      </w:r>
      <w:r w:rsidR="007F436C" w:rsidRPr="002A2450">
        <w:rPr>
          <w:rFonts w:ascii="ITC Avant Garde" w:hAnsi="ITC Avant Garde" w:cs="Arial"/>
          <w:lang w:val="es-ES_tradnl"/>
        </w:rPr>
        <w:t>1, 2, 4, 5, 7 y 15, fracciones XXVII y XXX lo siguiente:</w:t>
      </w:r>
    </w:p>
    <w:p w14:paraId="07F8F1C3"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lang w:val="es-ES_tradnl"/>
        </w:rPr>
        <w:t>“Artículo 1.</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La presente Ley es de orden público y tiene por objeto regular el uso, aprovechamiento y explotación del espectro radioeléctrico, las redes públicas de telecomunicaciones</w:t>
      </w:r>
      <w:r w:rsidRPr="002A2450">
        <w:rPr>
          <w:rFonts w:ascii="ITC Avant Garde" w:hAnsi="ITC Avant Garde"/>
          <w:i/>
          <w:sz w:val="22"/>
          <w:szCs w:val="22"/>
          <w:lang w:val="es-ES_tradnl"/>
        </w:rPr>
        <w:t xml:space="preserve">, el acceso a la infraestructura </w:t>
      </w:r>
      <w:r w:rsidRPr="002A2450">
        <w:rPr>
          <w:rFonts w:ascii="ITC Avant Garde" w:hAnsi="ITC Avant Garde"/>
          <w:i/>
          <w:sz w:val="22"/>
          <w:szCs w:val="22"/>
          <w:lang w:val="es-ES_tradnl"/>
        </w:rPr>
        <w:lastRenderedPageBreak/>
        <w:t xml:space="preserve">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 </w:t>
      </w:r>
      <w:r w:rsidRPr="002A2450">
        <w:rPr>
          <w:rFonts w:ascii="ITC Avant Garde" w:hAnsi="ITC Avant Garde"/>
          <w:b/>
          <w:i/>
          <w:sz w:val="22"/>
          <w:szCs w:val="22"/>
          <w:u w:val="single"/>
          <w:lang w:val="es-ES_tradnl"/>
        </w:rPr>
        <w:t>para que contribuyan a los fines y al ejercicio de los derechos establecidos en los artículos 6o., 7o., 27 y 28 de la Constitución Política de los Estados Unidos Mexicanos</w:t>
      </w:r>
      <w:r w:rsidRPr="002A2450">
        <w:rPr>
          <w:rFonts w:ascii="ITC Avant Garde" w:hAnsi="ITC Avant Garde"/>
          <w:i/>
          <w:sz w:val="22"/>
          <w:szCs w:val="22"/>
          <w:lang w:val="es-ES_tradnl"/>
        </w:rPr>
        <w:t>.”</w:t>
      </w:r>
    </w:p>
    <w:p w14:paraId="0F41F8A4"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lang w:val="es-ES_tradnl"/>
        </w:rPr>
        <w:t>“Artículo 2.</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Las telecomunicaciones y la radiodifusión son servicios públicos de interés general</w:t>
      </w:r>
      <w:r w:rsidRPr="002A2450">
        <w:rPr>
          <w:rFonts w:ascii="ITC Avant Garde" w:hAnsi="ITC Avant Garde"/>
          <w:i/>
          <w:sz w:val="22"/>
          <w:szCs w:val="22"/>
          <w:lang w:val="es-ES_tradnl"/>
        </w:rPr>
        <w:t>.</w:t>
      </w:r>
    </w:p>
    <w:p w14:paraId="39D60D6D"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E1E5990" w14:textId="77777777" w:rsidR="00B35F13" w:rsidRDefault="007F436C" w:rsidP="00B35F13">
      <w:pPr>
        <w:pStyle w:val="Texto"/>
        <w:spacing w:before="240" w:after="160" w:line="360" w:lineRule="auto"/>
        <w:ind w:left="567" w:right="567" w:firstLine="0"/>
        <w:rPr>
          <w:rFonts w:ascii="ITC Avant Garde" w:hAnsi="ITC Avant Garde"/>
          <w:b/>
          <w:i/>
          <w:sz w:val="22"/>
          <w:szCs w:val="22"/>
          <w:u w:val="single"/>
          <w:lang w:val="es-ES_tradnl"/>
        </w:rPr>
      </w:pPr>
      <w:r w:rsidRPr="002A2450">
        <w:rPr>
          <w:rFonts w:ascii="ITC Avant Garde" w:hAnsi="ITC Avant Garde"/>
          <w:b/>
          <w:i/>
          <w:sz w:val="22"/>
          <w:szCs w:val="22"/>
          <w:u w:val="single"/>
          <w:lang w:val="es-ES_tradnl"/>
        </w:rPr>
        <w:t>El Estado, al ejercer la rectoría en la materia, protegerá la seguridad y la soberanía de la Nación y garantizará la eficiente prestación de los servicios públicos de interés general de telecomunicaciones y radiodifusión, y para tales efectos establecerá condiciones de competencia efectiva en la prestación de dichos servicios.</w:t>
      </w:r>
    </w:p>
    <w:p w14:paraId="5B5F93A6"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En todo momento el Estado mantendrá el dominio originario, inalienable e imprescriptible sobre el espectro radioeléctrico.</w:t>
      </w:r>
    </w:p>
    <w:p w14:paraId="0F3E9439"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Se podrá permitir el uso, aprovechamiento y explotación del espectro radioeléctrico y de los recursos orbitales, conforme a las modalidades y requisitos establecidos en la presente Ley y demás disposiciones aplicables.”</w:t>
      </w:r>
    </w:p>
    <w:p w14:paraId="335C749B"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lang w:val="es-ES_tradnl"/>
        </w:rPr>
        <w:lastRenderedPageBreak/>
        <w:t>“Artículo 4</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Para los efectos de la Ley, son vías generales de comunicación</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el espectro radioeléctrico, las redes públicas de telecomunicaciones, las estaciones de radiodifusión y equipos complementarios, así como los sistemas de comunicación vía satélite</w:t>
      </w:r>
      <w:r w:rsidRPr="002A2450">
        <w:rPr>
          <w:rFonts w:ascii="ITC Avant Garde" w:hAnsi="ITC Avant Garde"/>
          <w:i/>
          <w:sz w:val="22"/>
          <w:szCs w:val="22"/>
          <w:lang w:val="es-ES_tradnl"/>
        </w:rPr>
        <w:t>.”</w:t>
      </w:r>
    </w:p>
    <w:p w14:paraId="714473CA"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lang w:val="es-ES_tradnl"/>
        </w:rPr>
        <w:t>“Artículo 7</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El Instituto es un órgano público autónomo, independiente en sus decisiones y funcionamiento, con personalidad jurídica y patrimonio propios, que tiene por objeto regular y promover la competencia y el desarrollo eficiente de las telecomunicaciones y la radiodifusión en el ámbito de las atribuciones que le confieren la Constitución y en los términos que fijan esta Ley y demás disposiciones legales aplicables</w:t>
      </w:r>
      <w:r w:rsidRPr="002A2450">
        <w:rPr>
          <w:rFonts w:ascii="ITC Avant Garde" w:hAnsi="ITC Avant Garde"/>
          <w:i/>
          <w:sz w:val="22"/>
          <w:szCs w:val="22"/>
          <w:lang w:val="es-ES_tradnl"/>
        </w:rPr>
        <w:t>.</w:t>
      </w:r>
    </w:p>
    <w:p w14:paraId="2612DE0A"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u w:val="single"/>
          <w:lang w:val="es-ES_tradnl"/>
        </w:rPr>
        <w:t>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w:t>
      </w:r>
      <w:r w:rsidRPr="002A2450">
        <w:rPr>
          <w:rFonts w:ascii="ITC Avant Garde" w:hAnsi="ITC Avant Garde"/>
          <w:i/>
          <w:sz w:val="22"/>
          <w:szCs w:val="22"/>
          <w:lang w:val="es-ES_tradnl"/>
        </w:rPr>
        <w:t>, así como del acceso a la infraestructura activa y pasiva y otros insumos esenciales, sin perjuicio de las atribuciones que corresponden a otras autoridades en los términos de la legislación correspondiente.</w:t>
      </w:r>
    </w:p>
    <w:p w14:paraId="046FC013"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Asimismo, el Instituto es la autoridad en materia de competencia económica de los sectores de radiodifusión y telecomunicaciones, por lo que en éstos ejercerá en forma exclusiva las facultades que establecen el artículo 28 de la Constitución, esta Ley y la Ley Federal de Competencia Económica.</w:t>
      </w:r>
    </w:p>
    <w:p w14:paraId="255841EA" w14:textId="3CDCFA01" w:rsidR="007F436C" w:rsidRPr="002A2450"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El Instituto es la autoridad en materia de lineamientos técnicos relativos a la infraestructura y los equipos que se conecten a las redes de telecomunicaciones, así como en materia de homologación y evaluación de la conformidad de dicha infraestructura y equipos.</w:t>
      </w:r>
    </w:p>
    <w:p w14:paraId="7A0CE229"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lastRenderedPageBreak/>
        <w:t>Los funcionarios del Instituto deberán guiarse por los principios de autonomía, legalidad, objetividad, imparcialidad, certeza, eficiencia, eficacia, transparencia y rendición de cuentas. Desempeñarán su función con autonomía y probidad.</w:t>
      </w:r>
    </w:p>
    <w:p w14:paraId="39A64001"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El Instituto podrá establecer delegaciones y oficinas de representación en la República Mexicana.”</w:t>
      </w:r>
    </w:p>
    <w:p w14:paraId="2A230A02" w14:textId="5B4D258C" w:rsidR="007F436C" w:rsidRPr="002A2450"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b/>
          <w:i/>
          <w:sz w:val="22"/>
          <w:szCs w:val="22"/>
          <w:lang w:val="es-ES_tradnl"/>
        </w:rPr>
        <w:t>Artículo 15.</w:t>
      </w:r>
      <w:r w:rsidRPr="002A2450">
        <w:rPr>
          <w:rFonts w:ascii="ITC Avant Garde" w:hAnsi="ITC Avant Garde"/>
          <w:i/>
          <w:sz w:val="22"/>
          <w:szCs w:val="22"/>
          <w:lang w:val="es-ES_tradnl"/>
        </w:rPr>
        <w:t xml:space="preserve"> Para el ejercicio de sus atribuciones corresponde al Instituto:</w:t>
      </w:r>
    </w:p>
    <w:p w14:paraId="1D43B5D6" w14:textId="77777777" w:rsidR="00164CC6" w:rsidRPr="002A2450" w:rsidRDefault="007F436C" w:rsidP="00B35F13">
      <w:pPr>
        <w:spacing w:before="240" w:line="360" w:lineRule="auto"/>
        <w:ind w:left="567" w:right="567"/>
        <w:jc w:val="both"/>
        <w:rPr>
          <w:rFonts w:ascii="ITC Avant Garde" w:hAnsi="ITC Avant Garde" w:cs="Arial"/>
          <w:i/>
          <w:lang w:val="es-ES_tradnl"/>
        </w:rPr>
      </w:pPr>
      <w:r w:rsidRPr="002A2450">
        <w:rPr>
          <w:rFonts w:ascii="ITC Avant Garde" w:hAnsi="ITC Avant Garde" w:cs="Arial"/>
          <w:i/>
          <w:lang w:val="es-ES_tradnl"/>
        </w:rPr>
        <w:t>…</w:t>
      </w:r>
    </w:p>
    <w:p w14:paraId="49A3A02E" w14:textId="77777777" w:rsidR="007F436C" w:rsidRPr="002A2450"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 xml:space="preserve">XXVII. </w:t>
      </w:r>
      <w:r w:rsidRPr="002A2450">
        <w:rPr>
          <w:rFonts w:ascii="ITC Avant Garde" w:hAnsi="ITC Avant Garde"/>
          <w:b/>
          <w:i/>
          <w:sz w:val="22"/>
          <w:szCs w:val="22"/>
          <w:u w:val="single"/>
          <w:lang w:val="es-ES_tradnl"/>
        </w:rPr>
        <w:t xml:space="preserve">Vigilar el cumplimiento a lo dispuesto en los títulos de concesión otorgados en materia de telecomunicaciones </w:t>
      </w:r>
      <w:r w:rsidRPr="002A2450">
        <w:rPr>
          <w:rFonts w:ascii="ITC Avant Garde" w:hAnsi="ITC Avant Garde"/>
          <w:i/>
          <w:sz w:val="22"/>
          <w:szCs w:val="22"/>
          <w:lang w:val="es-ES_tradnl"/>
        </w:rPr>
        <w:t xml:space="preserve">y radiodifusión y </w:t>
      </w:r>
      <w:r w:rsidRPr="002A2450">
        <w:rPr>
          <w:rFonts w:ascii="ITC Avant Garde" w:hAnsi="ITC Avant Garde"/>
          <w:b/>
          <w:i/>
          <w:sz w:val="22"/>
          <w:szCs w:val="22"/>
          <w:u w:val="single"/>
          <w:lang w:val="es-ES_tradnl"/>
        </w:rPr>
        <w:t>ejercer facultades de supervisión y verificación</w:t>
      </w:r>
      <w:r w:rsidRPr="002A2450">
        <w:rPr>
          <w:rFonts w:ascii="ITC Avant Garde" w:hAnsi="ITC Avant Garde"/>
          <w:i/>
          <w:sz w:val="22"/>
          <w:szCs w:val="22"/>
          <w:lang w:val="es-ES_tradnl"/>
        </w:rPr>
        <w:t xml:space="preserve">, </w:t>
      </w:r>
      <w:r w:rsidRPr="002A2450">
        <w:rPr>
          <w:rFonts w:ascii="ITC Avant Garde" w:hAnsi="ITC Avant Garde"/>
          <w:b/>
          <w:i/>
          <w:sz w:val="22"/>
          <w:szCs w:val="22"/>
          <w:u w:val="single"/>
          <w:lang w:val="es-ES_tradnl"/>
        </w:rPr>
        <w:t>a fin de garantizar que la prestación de los servicios se realice con apego a esta Ley y a las disposiciones legales, reglamentarias y administrativas aplicables, a los títulos de concesión y a las resoluciones expedidas por el propio Instituto</w:t>
      </w:r>
      <w:r w:rsidRPr="002A2450">
        <w:rPr>
          <w:rFonts w:ascii="ITC Avant Garde" w:hAnsi="ITC Avant Garde"/>
          <w:i/>
          <w:sz w:val="22"/>
          <w:szCs w:val="22"/>
          <w:lang w:val="es-ES_tradnl"/>
        </w:rPr>
        <w:t>;</w:t>
      </w:r>
    </w:p>
    <w:p w14:paraId="2544E735" w14:textId="77777777" w:rsidR="007F436C" w:rsidRPr="002A2450"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 xml:space="preserve">… </w:t>
      </w:r>
    </w:p>
    <w:p w14:paraId="1D7BFDBB" w14:textId="77777777" w:rsidR="00B35F13" w:rsidRDefault="007F436C" w:rsidP="00B35F13">
      <w:pPr>
        <w:pStyle w:val="Texto"/>
        <w:spacing w:before="240" w:after="160" w:line="360" w:lineRule="auto"/>
        <w:ind w:left="567" w:right="567" w:firstLine="0"/>
        <w:rPr>
          <w:rFonts w:ascii="ITC Avant Garde" w:hAnsi="ITC Avant Garde"/>
          <w:i/>
          <w:sz w:val="22"/>
          <w:szCs w:val="22"/>
          <w:lang w:val="es-ES_tradnl"/>
        </w:rPr>
      </w:pPr>
      <w:r w:rsidRPr="002A2450">
        <w:rPr>
          <w:rFonts w:ascii="ITC Avant Garde" w:hAnsi="ITC Avant Garde"/>
          <w:i/>
          <w:sz w:val="22"/>
          <w:szCs w:val="22"/>
          <w:lang w:val="es-ES_tradnl"/>
        </w:rPr>
        <w:t xml:space="preserve">XXX. </w:t>
      </w:r>
      <w:r w:rsidRPr="002A2450">
        <w:rPr>
          <w:rFonts w:ascii="ITC Avant Garde" w:hAnsi="ITC Avant Garde"/>
          <w:b/>
          <w:i/>
          <w:sz w:val="22"/>
          <w:szCs w:val="22"/>
          <w:u w:val="single"/>
          <w:lang w:val="es-ES_tradnl"/>
        </w:rPr>
        <w:t>Imponer sanciones por infracciones</w:t>
      </w:r>
      <w:r w:rsidRPr="002A2450">
        <w:rPr>
          <w:rFonts w:ascii="ITC Avant Garde" w:hAnsi="ITC Avant Garde"/>
          <w:i/>
          <w:sz w:val="22"/>
          <w:szCs w:val="22"/>
          <w:lang w:val="es-ES_tradnl"/>
        </w:rPr>
        <w:t xml:space="preserve"> a las disposiciones legales, reglamentarias o administrativas; o </w:t>
      </w:r>
      <w:r w:rsidRPr="002A2450">
        <w:rPr>
          <w:rFonts w:ascii="ITC Avant Garde" w:hAnsi="ITC Avant Garde"/>
          <w:b/>
          <w:i/>
          <w:sz w:val="22"/>
          <w:szCs w:val="22"/>
          <w:u w:val="single"/>
          <w:lang w:val="es-ES_tradnl"/>
        </w:rPr>
        <w:t>por incumplimiento a lo dispuesto en los títulos de concesión</w:t>
      </w:r>
      <w:r w:rsidRPr="002A2450">
        <w:rPr>
          <w:rFonts w:ascii="ITC Avant Garde" w:hAnsi="ITC Avant Garde"/>
          <w:i/>
          <w:sz w:val="22"/>
          <w:szCs w:val="22"/>
          <w:lang w:val="es-ES_tradnl"/>
        </w:rPr>
        <w:t xml:space="preserve"> o a las resoluciones, medidas, lineamientos o disposiciones emitidas por el Instituto, dictar medidas precautorias y declarar, en su caso, la pérdida de bienes, instalaciones y equipos en beneficio de la Nación;</w:t>
      </w:r>
    </w:p>
    <w:p w14:paraId="773E4ACA"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En virtud de lo anterior, resulta evidente que los bienes jurídicos tutelados por la </w:t>
      </w:r>
      <w:r w:rsidR="007F436C" w:rsidRPr="002A2450">
        <w:rPr>
          <w:rFonts w:ascii="ITC Avant Garde" w:hAnsi="ITC Avant Garde" w:cs="Arial"/>
          <w:b/>
          <w:lang w:val="es-ES_tradnl"/>
        </w:rPr>
        <w:t>“</w:t>
      </w:r>
      <w:r w:rsidRPr="002A2450">
        <w:rPr>
          <w:rFonts w:ascii="ITC Avant Garde" w:hAnsi="ITC Avant Garde" w:cs="Arial"/>
          <w:b/>
          <w:lang w:val="es-ES_tradnl"/>
        </w:rPr>
        <w:t>LFT</w:t>
      </w:r>
      <w:r w:rsidR="007F436C" w:rsidRPr="002A2450">
        <w:rPr>
          <w:rFonts w:ascii="ITC Avant Garde" w:hAnsi="ITC Avant Garde" w:cs="Arial"/>
          <w:b/>
          <w:lang w:val="es-ES_tradnl"/>
        </w:rPr>
        <w:t>”</w:t>
      </w:r>
      <w:r w:rsidRPr="002A2450">
        <w:rPr>
          <w:rFonts w:ascii="ITC Avant Garde" w:hAnsi="ITC Avant Garde" w:cs="Arial"/>
          <w:b/>
          <w:lang w:val="es-ES_tradnl"/>
        </w:rPr>
        <w:t xml:space="preserve"> </w:t>
      </w:r>
      <w:r w:rsidR="007F436C" w:rsidRPr="002A2450">
        <w:rPr>
          <w:rFonts w:ascii="ITC Avant Garde" w:hAnsi="ITC Avant Garde" w:cs="Arial"/>
          <w:lang w:val="es-ES_tradnl"/>
        </w:rPr>
        <w:t xml:space="preserve">y la actual </w:t>
      </w:r>
      <w:r w:rsidR="007F436C" w:rsidRPr="002A2450">
        <w:rPr>
          <w:rFonts w:ascii="ITC Avant Garde" w:hAnsi="ITC Avant Garde" w:cs="Arial"/>
          <w:b/>
          <w:lang w:val="es-ES_tradnl"/>
        </w:rPr>
        <w:t>“</w:t>
      </w:r>
      <w:proofErr w:type="spellStart"/>
      <w:r w:rsidR="007F436C" w:rsidRPr="002A2450">
        <w:rPr>
          <w:rFonts w:ascii="ITC Avant Garde" w:hAnsi="ITC Avant Garde" w:cs="Arial"/>
          <w:b/>
          <w:lang w:val="es-ES_tradnl"/>
        </w:rPr>
        <w:t>LFTyR</w:t>
      </w:r>
      <w:proofErr w:type="spellEnd"/>
      <w:r w:rsidR="007F436C" w:rsidRPr="002A2450">
        <w:rPr>
          <w:rFonts w:ascii="ITC Avant Garde" w:hAnsi="ITC Avant Garde" w:cs="Arial"/>
          <w:b/>
          <w:lang w:val="es-ES_tradnl"/>
        </w:rPr>
        <w:t xml:space="preserve">” </w:t>
      </w:r>
      <w:r w:rsidRPr="002A2450">
        <w:rPr>
          <w:rFonts w:ascii="ITC Avant Garde" w:hAnsi="ITC Avant Garde" w:cs="Arial"/>
          <w:lang w:val="es-ES_tradnl"/>
        </w:rPr>
        <w:t xml:space="preserve">son la promoción de un desarrollo eficiente de las telecomunicaciones y el ejercicio de la rectoría del Estado en la materia, para garantizar la soberanía nacional, además fomentar una sana competencia entre los diferentes prestadores de servicios de telecomunicaciones a fin de que éstos se </w:t>
      </w:r>
      <w:r w:rsidRPr="002A2450">
        <w:rPr>
          <w:rFonts w:ascii="ITC Avant Garde" w:hAnsi="ITC Avant Garde" w:cs="Arial"/>
          <w:lang w:val="es-ES_tradnl"/>
        </w:rPr>
        <w:lastRenderedPageBreak/>
        <w:t>presten con mejores precios, diversidad y calidad en beneficio de los usuarios, a efecto de promover una adecuada cobertura.</w:t>
      </w:r>
    </w:p>
    <w:p w14:paraId="35873B23"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Lo anterior es así, ya que los servicios de telecomunicaciones, son básicos, es decir, indispensables para el desarrollo del país.</w:t>
      </w:r>
    </w:p>
    <w:p w14:paraId="039F3D26"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En efecto, al resolver </w:t>
      </w:r>
      <w:proofErr w:type="gramStart"/>
      <w:r w:rsidRPr="002A2450">
        <w:rPr>
          <w:rFonts w:ascii="ITC Avant Garde" w:hAnsi="ITC Avant Garde" w:cs="Arial"/>
          <w:lang w:val="es-ES_tradnl"/>
        </w:rPr>
        <w:t>el</w:t>
      </w:r>
      <w:proofErr w:type="gramEnd"/>
      <w:r w:rsidRPr="002A2450">
        <w:rPr>
          <w:rFonts w:ascii="ITC Avant Garde" w:hAnsi="ITC Avant Garde" w:cs="Arial"/>
          <w:lang w:val="es-ES_tradnl"/>
        </w:rPr>
        <w:t xml:space="preserve"> </w:t>
      </w:r>
      <w:r w:rsidR="005D1A1B" w:rsidRPr="002A2450">
        <w:rPr>
          <w:rFonts w:ascii="ITC Avant Garde" w:hAnsi="ITC Avant Garde" w:cs="Arial"/>
          <w:lang w:val="es-ES_tradnl"/>
        </w:rPr>
        <w:t>A</w:t>
      </w:r>
      <w:r w:rsidRPr="002A2450">
        <w:rPr>
          <w:rFonts w:ascii="ITC Avant Garde" w:hAnsi="ITC Avant Garde" w:cs="Arial"/>
          <w:lang w:val="es-ES_tradnl"/>
        </w:rPr>
        <w:t xml:space="preserve">mparo en revisión 1154/2002, la </w:t>
      </w:r>
      <w:r w:rsidR="005D1A1B" w:rsidRPr="002A2450">
        <w:rPr>
          <w:rFonts w:ascii="ITC Avant Garde" w:hAnsi="ITC Avant Garde" w:cs="Arial"/>
          <w:lang w:val="es-ES_tradnl"/>
        </w:rPr>
        <w:t>Suprema Corte de Jus</w:t>
      </w:r>
      <w:r w:rsidR="00702143" w:rsidRPr="002A2450">
        <w:rPr>
          <w:rFonts w:ascii="ITC Avant Garde" w:hAnsi="ITC Avant Garde" w:cs="Arial"/>
          <w:lang w:val="es-ES_tradnl"/>
        </w:rPr>
        <w:t>ti</w:t>
      </w:r>
      <w:r w:rsidR="005D1A1B" w:rsidRPr="002A2450">
        <w:rPr>
          <w:rFonts w:ascii="ITC Avant Garde" w:hAnsi="ITC Avant Garde" w:cs="Arial"/>
          <w:lang w:val="es-ES_tradnl"/>
        </w:rPr>
        <w:t xml:space="preserve">cia de la Nación </w:t>
      </w:r>
      <w:r w:rsidRPr="002A2450">
        <w:rPr>
          <w:rFonts w:ascii="ITC Avant Garde" w:hAnsi="ITC Avant Garde" w:cs="Arial"/>
          <w:lang w:val="es-ES_tradnl"/>
        </w:rPr>
        <w:t>señaló lo siguiente:</w:t>
      </w:r>
    </w:p>
    <w:p w14:paraId="174A0C87" w14:textId="77777777" w:rsidR="00B35F13"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“Al respecto, esta Segunda Sala considera que el trato diferenciado que da el legislador a los contribuyentes que están exentos de pagar el tributo en relación con otros que como la empresa quejosa se dedica al servicio de televisión por cable está justificado tanto en la exposición de motivos de la reforma como en las deliberaciones legislativas, de donde se desprende que dicha distinción obedeció a que los servicios de internet y telefonía son considerados como servicios básicos para el desarrollo del país, donde también deben incluirse los concesionarios que prestan la interconexión de tales servicios como “intermediarios” , y si bien no se refirió específicamente a porque debía gravarse el servicio de televisión restringida (televisión por cable), si se deduce lógicamente, por exclusión, que este es básicamente, un servicio de entretenimiento, mientras que el servicio de internet va más allá de un simple entretenimiento, ya que a través de la red de quienes se conectan a este servicio pueden tener a su alcance información de todos niveles, inclusive cultural y científica de cualquier parte del mundo, lo que evidentemente redundará en beneficio y progreso de la colectividad.</w:t>
      </w:r>
    </w:p>
    <w:p w14:paraId="6CC4BB39" w14:textId="0EF9915B" w:rsidR="00164CC6" w:rsidRPr="002A2450" w:rsidRDefault="00164CC6"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 xml:space="preserve">En ese mismo sentido, </w:t>
      </w:r>
      <w:r w:rsidRPr="002A2450">
        <w:rPr>
          <w:rFonts w:ascii="ITC Avant Garde" w:hAnsi="ITC Avant Garde"/>
          <w:i/>
          <w:color w:val="000000"/>
          <w:u w:val="single"/>
          <w:lang w:val="es-ES_tradnl"/>
        </w:rPr>
        <w:t>esta Segunda Sala observa que las exenciones concedidas en los rubros de telefonía y servicios de internet e interconexión de quienes lo prestan como “intermediarios”</w:t>
      </w:r>
      <w:r w:rsidRPr="002A2450">
        <w:rPr>
          <w:rFonts w:ascii="ITC Avant Garde" w:hAnsi="ITC Avant Garde"/>
          <w:i/>
          <w:color w:val="000000"/>
          <w:lang w:val="es-ES_tradnl"/>
        </w:rPr>
        <w:t xml:space="preserve"> a que se refieren las hipótesis contempladas en las fracciones del artículo 18 impugnado, </w:t>
      </w:r>
      <w:r w:rsidRPr="002A2450">
        <w:rPr>
          <w:rFonts w:ascii="ITC Avant Garde" w:hAnsi="ITC Avant Garde"/>
          <w:i/>
          <w:color w:val="000000"/>
          <w:u w:val="single"/>
          <w:lang w:val="es-ES_tradnl"/>
        </w:rPr>
        <w:t xml:space="preserve">se deben fundamentalmente a la idea que tuvo el </w:t>
      </w:r>
      <w:r w:rsidRPr="002A2450">
        <w:rPr>
          <w:rFonts w:ascii="ITC Avant Garde" w:hAnsi="ITC Avant Garde"/>
          <w:i/>
          <w:color w:val="000000"/>
          <w:u w:val="single"/>
          <w:lang w:val="es-ES_tradnl"/>
        </w:rPr>
        <w:lastRenderedPageBreak/>
        <w:t>legislador de no afectar a las familias que utilizan esos servicios, los cuales, se repite, son calificados como básicos, esto es, indispensables para procurar un mejor nivel de vida familiar, equiparándolos al servicio de agua, luz y drenaje</w:t>
      </w:r>
      <w:r w:rsidRPr="002A2450">
        <w:rPr>
          <w:rFonts w:ascii="ITC Avant Garde" w:hAnsi="ITC Avant Garde"/>
          <w:i/>
          <w:color w:val="000000"/>
          <w:lang w:val="es-ES_tradnl"/>
        </w:rPr>
        <w:t xml:space="preserve">, todo lo cual evidencia que contra lo sostenido por el quejoso, el legislador federal si justifica las exenciones que en materia de telecomunicaciones otorgó a los contribuyentes que su ubican en las hipótesis respectivas. </w:t>
      </w:r>
    </w:p>
    <w:p w14:paraId="44C61B52" w14:textId="77777777" w:rsidR="00B35F13" w:rsidRDefault="005D1A1B" w:rsidP="00B35F13">
      <w:pPr>
        <w:spacing w:before="240" w:line="360" w:lineRule="auto"/>
        <w:ind w:left="567" w:right="567"/>
        <w:jc w:val="both"/>
        <w:rPr>
          <w:rFonts w:ascii="ITC Avant Garde" w:hAnsi="ITC Avant Garde"/>
          <w:i/>
          <w:color w:val="000000"/>
          <w:lang w:val="es-ES_tradnl"/>
        </w:rPr>
      </w:pPr>
      <w:r w:rsidRPr="002A2450">
        <w:rPr>
          <w:rFonts w:ascii="ITC Avant Garde" w:hAnsi="ITC Avant Garde"/>
          <w:i/>
          <w:color w:val="000000"/>
          <w:lang w:val="es-ES_tradnl"/>
        </w:rPr>
        <w:t>(…)”</w:t>
      </w:r>
    </w:p>
    <w:p w14:paraId="143244D4"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Bajo estas consideraciones, el ejercicio de la rectoría estatal respecto a la regulación de los servicios de telecomunicaciones, implica la supervisión y verificación de las obligaciones establecidas en las leyes correspondientes y en su caso, sobre la sanción de aquellas conductas que atenten contra los objetivos de la misma, el cual es ejercido de forma exclusiva por el Estado, siendo éste el único facultado para determinar el tiempo y forma en que los particulares deben dar cumplimiento a las mismas.</w:t>
      </w:r>
    </w:p>
    <w:p w14:paraId="48D6A308"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Lo anterior se corrobora con la exposición de motivos de la </w:t>
      </w:r>
      <w:r w:rsidR="000111F8" w:rsidRPr="002A2450">
        <w:rPr>
          <w:rFonts w:ascii="ITC Avant Garde" w:hAnsi="ITC Avant Garde" w:cs="Arial"/>
          <w:b/>
          <w:lang w:val="es-ES_tradnl"/>
        </w:rPr>
        <w:t>“</w:t>
      </w:r>
      <w:r w:rsidRPr="002A2450">
        <w:rPr>
          <w:rFonts w:ascii="ITC Avant Garde" w:hAnsi="ITC Avant Garde" w:cs="Arial"/>
          <w:b/>
          <w:lang w:val="es-ES_tradnl"/>
        </w:rPr>
        <w:t>LFT</w:t>
      </w:r>
      <w:r w:rsidR="000111F8" w:rsidRPr="002A2450">
        <w:rPr>
          <w:rFonts w:ascii="ITC Avant Garde" w:hAnsi="ITC Avant Garde" w:cs="Arial"/>
          <w:b/>
          <w:lang w:val="es-ES_tradnl"/>
        </w:rPr>
        <w:t>”</w:t>
      </w:r>
      <w:r w:rsidRPr="002A2450">
        <w:rPr>
          <w:rFonts w:ascii="ITC Avant Garde" w:hAnsi="ITC Avant Garde" w:cs="Arial"/>
          <w:lang w:val="es-ES_tradnl"/>
        </w:rPr>
        <w:t>:</w:t>
      </w:r>
    </w:p>
    <w:p w14:paraId="250B421C" w14:textId="678733AF" w:rsidR="00164CC6" w:rsidRPr="002A2450" w:rsidRDefault="00164CC6" w:rsidP="00B35F13">
      <w:pPr>
        <w:spacing w:before="240" w:line="360" w:lineRule="auto"/>
        <w:ind w:left="567" w:right="567"/>
        <w:rPr>
          <w:rFonts w:ascii="ITC Avant Garde" w:hAnsi="ITC Avant Garde" w:cs="Arial"/>
          <w:i/>
          <w:color w:val="000000"/>
        </w:rPr>
      </w:pPr>
      <w:r w:rsidRPr="002A2450">
        <w:rPr>
          <w:rFonts w:ascii="ITC Avant Garde" w:hAnsi="ITC Avant Garde" w:cs="Arial"/>
          <w:i/>
          <w:color w:val="000000"/>
        </w:rPr>
        <w:t xml:space="preserve"> (…)</w:t>
      </w:r>
    </w:p>
    <w:p w14:paraId="3BF400D7" w14:textId="77777777" w:rsidR="00164CC6" w:rsidRPr="002A2450" w:rsidRDefault="00164CC6" w:rsidP="00B35F13">
      <w:pPr>
        <w:spacing w:before="240" w:line="360" w:lineRule="auto"/>
        <w:ind w:left="567" w:right="567"/>
        <w:jc w:val="both"/>
        <w:rPr>
          <w:rFonts w:ascii="ITC Avant Garde" w:hAnsi="ITC Avant Garde" w:cs="Arial"/>
          <w:i/>
          <w:color w:val="000000"/>
        </w:rPr>
      </w:pPr>
      <w:r w:rsidRPr="002A2450">
        <w:rPr>
          <w:rFonts w:ascii="ITC Avant Garde" w:hAnsi="ITC Avant Garde" w:cs="Arial"/>
          <w:i/>
          <w:color w:val="000000"/>
        </w:rPr>
        <w:t>En este ordenamiento quedan definidas con claridad las facultades de la Secretaría de Comunicaciones y Transportes en la materia, a fin de contar con los instrumentos necesarios para la ordenada evolución del sector, tales como formular y conducir las políticas y programas para regular y promover el desarrollo eficiente de las telecomunicaciones; estimular una sana competencia entre los prestadores de estos servicios; propiciar el logro de los objetivos de cobertura social; atribuir y asignar las frecuencias del espectro radioeléctrico; vigilar la eficiente interconexión de equipos y redes de telecomunicaciones, y gestionar la obtención de posiciones orbitales geoestacionarias.</w:t>
      </w:r>
    </w:p>
    <w:p w14:paraId="1AD11BB0" w14:textId="77777777" w:rsidR="00164CC6" w:rsidRPr="002A2450" w:rsidRDefault="00164CC6" w:rsidP="00B35F13">
      <w:pPr>
        <w:spacing w:before="240" w:line="360" w:lineRule="auto"/>
        <w:ind w:left="567" w:right="567"/>
        <w:jc w:val="both"/>
        <w:rPr>
          <w:rFonts w:ascii="ITC Avant Garde" w:hAnsi="ITC Avant Garde" w:cs="Arial"/>
          <w:i/>
          <w:color w:val="000000"/>
        </w:rPr>
      </w:pPr>
      <w:r w:rsidRPr="002A2450">
        <w:rPr>
          <w:rFonts w:ascii="ITC Avant Garde" w:hAnsi="ITC Avant Garde" w:cs="Arial"/>
          <w:i/>
          <w:color w:val="000000"/>
        </w:rPr>
        <w:lastRenderedPageBreak/>
        <w:t>(…)</w:t>
      </w:r>
    </w:p>
    <w:p w14:paraId="470B9D87" w14:textId="77777777" w:rsidR="00B35F13" w:rsidRDefault="00164CC6" w:rsidP="00B35F13">
      <w:pPr>
        <w:spacing w:before="240" w:line="360" w:lineRule="auto"/>
        <w:ind w:left="567" w:right="567"/>
        <w:jc w:val="both"/>
        <w:rPr>
          <w:rFonts w:ascii="ITC Avant Garde" w:hAnsi="ITC Avant Garde" w:cs="Arial"/>
          <w:i/>
          <w:lang w:val="es-ES_tradnl"/>
        </w:rPr>
      </w:pPr>
      <w:r w:rsidRPr="002A2450">
        <w:rPr>
          <w:rFonts w:ascii="ITC Avant Garde" w:hAnsi="ITC Avant Garde" w:cs="Arial"/>
          <w:i/>
          <w:color w:val="000000"/>
        </w:rPr>
        <w:t>Por otra parte, se establecen las disposiciones necesarias para garantizar a la autoridad las adecuadas atribuciones para la verificación del cumplimiento de la ley cuya iniciativa se presenta, sus reglamentos y demás disposiciones aplicables. Se incluyen también las sanciones a las que se harán acreedores quienes infrinjan lo dispuesto en la ley, que van desde la imposición de multas; la pérdida en beneficio de la Nación de los bienes, instalaciones y equipos empleados en la comisión de infracciones; y la revocación de las concesiones o permisos. Estas sanciones se aplicarán sin perjuicio de la responsabilidad civil o penal que resulte.</w:t>
      </w:r>
      <w:r w:rsidR="000111F8" w:rsidRPr="002A2450">
        <w:rPr>
          <w:rFonts w:ascii="ITC Avant Garde" w:hAnsi="ITC Avant Garde" w:cs="Arial"/>
          <w:i/>
          <w:color w:val="000000"/>
        </w:rPr>
        <w:t>”</w:t>
      </w:r>
    </w:p>
    <w:p w14:paraId="5C29C4AC" w14:textId="77777777" w:rsidR="00B35F13" w:rsidRDefault="005D1A1B"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Ahora bien, para la prestación de los servicios de telecomunicaciones, además de la ley de la materia</w:t>
      </w:r>
      <w:r w:rsidR="00164CC6" w:rsidRPr="002A2450">
        <w:rPr>
          <w:rFonts w:ascii="ITC Avant Garde" w:hAnsi="ITC Avant Garde" w:cs="Arial"/>
          <w:lang w:val="es-ES_tradnl"/>
        </w:rPr>
        <w:t>,</w:t>
      </w:r>
      <w:r w:rsidRPr="002A2450">
        <w:rPr>
          <w:rFonts w:ascii="ITC Avant Garde" w:hAnsi="ITC Avant Garde" w:cs="Arial"/>
          <w:lang w:val="es-ES_tradnl"/>
        </w:rPr>
        <w:t xml:space="preserve"> se debe cumplir con las disposiciones de </w:t>
      </w:r>
      <w:r w:rsidR="00164CC6" w:rsidRPr="002A2450">
        <w:rPr>
          <w:rFonts w:ascii="ITC Avant Garde" w:hAnsi="ITC Avant Garde" w:cs="Arial"/>
          <w:lang w:val="es-ES_tradnl"/>
        </w:rPr>
        <w:t>los títulos de concesión</w:t>
      </w:r>
      <w:r w:rsidRPr="002A2450">
        <w:rPr>
          <w:rFonts w:ascii="ITC Avant Garde" w:hAnsi="ITC Avant Garde" w:cs="Arial"/>
          <w:lang w:val="es-ES_tradnl"/>
        </w:rPr>
        <w:t xml:space="preserve">, los cuales </w:t>
      </w:r>
      <w:r w:rsidR="00164CC6" w:rsidRPr="002A2450">
        <w:rPr>
          <w:rFonts w:ascii="ITC Avant Garde" w:hAnsi="ITC Avant Garde" w:cs="Arial"/>
          <w:lang w:val="es-ES_tradnl"/>
        </w:rPr>
        <w:t xml:space="preserve">establecen un catálogo de obligaciones (así como de derechos) que deberán ser cumplidas cabalmente por los concesionarios, a efecto de salvaguardar el bien tutelado por el ordenamiento jurídico referido. </w:t>
      </w:r>
    </w:p>
    <w:p w14:paraId="21A28E5D" w14:textId="77777777" w:rsidR="00B35F13" w:rsidRDefault="005D1A1B"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Al respecto, sirve de apoyo la </w:t>
      </w:r>
      <w:r w:rsidR="000111F8" w:rsidRPr="002A2450">
        <w:rPr>
          <w:rFonts w:ascii="ITC Avant Garde" w:hAnsi="ITC Avant Garde" w:cs="Arial"/>
          <w:lang w:val="es-ES_tradnl"/>
        </w:rPr>
        <w:t>siguiente tesis:</w:t>
      </w:r>
    </w:p>
    <w:p w14:paraId="45E08BD7" w14:textId="77777777" w:rsidR="00B35F13" w:rsidRDefault="00164CC6" w:rsidP="00B35F13">
      <w:pPr>
        <w:spacing w:before="240" w:line="360" w:lineRule="auto"/>
        <w:ind w:left="567" w:right="567"/>
        <w:jc w:val="both"/>
        <w:rPr>
          <w:rFonts w:ascii="ITC Avant Garde" w:hAnsi="ITC Avant Garde"/>
          <w:u w:val="single"/>
          <w:lang w:val="es-ES_tradnl"/>
        </w:rPr>
      </w:pPr>
      <w:r w:rsidRPr="002A2450">
        <w:rPr>
          <w:rFonts w:ascii="ITC Avant Garde" w:hAnsi="ITC Avant Garde"/>
          <w:b/>
          <w:lang w:val="es-ES_tradnl"/>
        </w:rPr>
        <w:t xml:space="preserve">CONCESIÓN ADMINISTRATIVA. LAS MODIFICACIONES A SUS CLÁUSULAS REGULATORIAS EN VIRTUD DE REFORMAS A LA LEGISLACIÓN RELATIVA, AL NO AFECTAR DERECHOS ADQUIRIDOS DEL CONCESIONARIO NO VIOLAN EL PRINCIPIO DE RETROACTIVIDAD DE LEYES. </w:t>
      </w:r>
      <w:r w:rsidRPr="002A2450">
        <w:rPr>
          <w:rFonts w:ascii="ITC Avant Garde" w:hAnsi="ITC Avant Garde"/>
          <w:lang w:val="es-ES_tradnl"/>
        </w:rPr>
        <w:t xml:space="preserve">La concesión constituye un acto jurídico administrativo mixto por contener cláusulas de orden contractual y otras de naturaleza regulatoria. En las primeras se materializan las ventajas económicas a favor del Concesionario y en virtud de ello, el Estado no podrá variarlas sin concurrir la voluntad de aquél, porque podría afectar su esfera jurídica y patrimonio. </w:t>
      </w:r>
      <w:r w:rsidRPr="002A2450">
        <w:rPr>
          <w:rFonts w:ascii="ITC Avant Garde" w:hAnsi="ITC Avant Garde"/>
          <w:b/>
          <w:u w:val="single"/>
          <w:lang w:val="es-ES_tradnl"/>
        </w:rPr>
        <w:t xml:space="preserve">Por su parte, las cláusulas regulatorias consisten en las estipulaciones que determinan las condiciones de la concesión y se encuentran vinculadas al marco </w:t>
      </w:r>
      <w:r w:rsidRPr="002A2450">
        <w:rPr>
          <w:rFonts w:ascii="ITC Avant Garde" w:hAnsi="ITC Avant Garde"/>
          <w:b/>
          <w:u w:val="single"/>
          <w:lang w:val="es-ES_tradnl"/>
        </w:rPr>
        <w:lastRenderedPageBreak/>
        <w:t>legal que regula los términos generales de las concesiones a los que deberán sujetarse los Concesionarios</w:t>
      </w:r>
      <w:r w:rsidRPr="002A2450">
        <w:rPr>
          <w:rFonts w:ascii="ITC Avant Garde" w:hAnsi="ITC Avant Garde"/>
          <w:lang w:val="es-ES_tradnl"/>
        </w:rPr>
        <w:t xml:space="preserve"> y los cuales podrá modificar el Estado, atendiendo a decisiones que importen intereses de la colectividad, </w:t>
      </w:r>
      <w:r w:rsidRPr="002A2450">
        <w:rPr>
          <w:rFonts w:ascii="ITC Avant Garde" w:hAnsi="ITC Avant Garde"/>
          <w:u w:val="single"/>
          <w:lang w:val="es-ES_tradnl"/>
        </w:rPr>
        <w:t>de manera que cuando se reforma la legislación relativa, se modifican igualmente los términos de las condiciones reglamentarias del título de concesión, sin que para ello sea necesario el consentimiento del gobernado, porque sería tanto como pretender convenir con éste, reformas a la Constitución, a las leyes o a los reglamentos respectivos, lo cual es jurídicamente inadmisible</w:t>
      </w:r>
      <w:r w:rsidRPr="002A2450">
        <w:rPr>
          <w:rFonts w:ascii="ITC Avant Garde" w:hAnsi="ITC Avant Garde"/>
          <w:lang w:val="es-ES_tradnl"/>
        </w:rPr>
        <w:t xml:space="preserve">. En esa tesitura, cuando el Estado modifica condiciones generales regulatorias de los títulos de concesión, a través de reformas legislativas o reglamentarias, derivadas de decisiones que importen el interés público, no se afectan derechos adquiridos del Concesionario, por tres razones fundamentales: la primera porque éstas se encuentran vinculadas a la legislación relativa, que simplemente codifica los términos generales de las concesiones; la segunda, porque dicha normatividad se encuentra sujeta a reformas y modificaciones, según lo exija el interés público y la tercera, porque precisamente por esa dinámica legislativa y administrativa, esos derechos no pueden ni deben entrar o conformar el patrimonio del Concesionario. </w:t>
      </w:r>
      <w:r w:rsidRPr="002A2450">
        <w:rPr>
          <w:rFonts w:ascii="ITC Avant Garde" w:hAnsi="ITC Avant Garde"/>
          <w:u w:val="single"/>
          <w:lang w:val="es-ES_tradnl"/>
        </w:rPr>
        <w:t>Así, en virtud de que las cláusulas regulatorias del título de concesión no crean derechos adquiridos, las modificaciones que éstas sufran en razón de reformas constitucionales, legales o reglamentarias, no violan el principio de retroactividad a que se refiere el artículo 14 constitucional.</w:t>
      </w:r>
    </w:p>
    <w:p w14:paraId="0241F9C4" w14:textId="77777777" w:rsidR="00B35F13" w:rsidRDefault="00164CC6" w:rsidP="00B35F13">
      <w:pPr>
        <w:tabs>
          <w:tab w:val="left" w:pos="8222"/>
        </w:tabs>
        <w:spacing w:before="240" w:line="360" w:lineRule="auto"/>
        <w:ind w:left="567" w:right="567"/>
        <w:jc w:val="both"/>
        <w:rPr>
          <w:rFonts w:ascii="ITC Avant Garde" w:hAnsi="ITC Avant Garde"/>
          <w:i/>
          <w:sz w:val="18"/>
          <w:lang w:val="es-ES_tradnl"/>
        </w:rPr>
      </w:pPr>
      <w:r w:rsidRPr="002A2450">
        <w:rPr>
          <w:rFonts w:ascii="ITC Avant Garde" w:hAnsi="ITC Avant Garde"/>
          <w:sz w:val="18"/>
          <w:lang w:val="es-ES_tradnl"/>
        </w:rPr>
        <w:t>Novena Época, Instancia: Primera Sala. Fuente: Semanario Judicial de la Federación y su Gaceta. XXII, Agosto de 2005. Tesis: 1a. LXXVII/2005. Página: 297.</w:t>
      </w:r>
    </w:p>
    <w:p w14:paraId="784740B2" w14:textId="77777777" w:rsidR="00B35F13" w:rsidRDefault="00164CC6" w:rsidP="00B35F13">
      <w:pPr>
        <w:spacing w:before="240" w:line="360" w:lineRule="auto"/>
        <w:jc w:val="both"/>
        <w:rPr>
          <w:rFonts w:ascii="ITC Avant Garde" w:hAnsi="ITC Avant Garde" w:cs="Arial"/>
          <w:lang w:val="es-ES_tradnl"/>
        </w:rPr>
      </w:pPr>
      <w:r w:rsidRPr="002A2450">
        <w:rPr>
          <w:rFonts w:ascii="ITC Avant Garde" w:hAnsi="ITC Avant Garde" w:cs="Arial"/>
          <w:lang w:val="es-ES_tradnl"/>
        </w:rPr>
        <w:t xml:space="preserve">Bajo esta tesitura, en el Título de Concesión otorgado al concesionario se establecen obligaciones específicas, las cuales no pueden quedar al arbitrio de </w:t>
      </w:r>
      <w:r w:rsidRPr="002A2450">
        <w:rPr>
          <w:rFonts w:ascii="ITC Avant Garde" w:hAnsi="ITC Avant Garde" w:cs="Arial"/>
          <w:lang w:val="es-ES_tradnl"/>
        </w:rPr>
        <w:lastRenderedPageBreak/>
        <w:t>éste, sino que su cumplimiento debe ser verificado por la autoridad competente y sancio</w:t>
      </w:r>
      <w:r w:rsidR="000111F8" w:rsidRPr="002A2450">
        <w:rPr>
          <w:rFonts w:ascii="ITC Avant Garde" w:hAnsi="ITC Avant Garde" w:cs="Arial"/>
          <w:lang w:val="es-ES_tradnl"/>
        </w:rPr>
        <w:t>nado, en caso de incumplimiento.</w:t>
      </w:r>
    </w:p>
    <w:p w14:paraId="23BE9016" w14:textId="77777777" w:rsidR="00B35F13" w:rsidRDefault="00D91017" w:rsidP="00B35F13">
      <w:pPr>
        <w:spacing w:before="240" w:line="360" w:lineRule="auto"/>
        <w:jc w:val="both"/>
        <w:rPr>
          <w:rFonts w:ascii="ITC Avant Garde" w:hAnsi="ITC Avant Garde" w:cs="Arial"/>
          <w:lang w:val="es-ES_tradnl"/>
        </w:rPr>
      </w:pPr>
      <w:r w:rsidRPr="002A2450">
        <w:rPr>
          <w:rFonts w:ascii="ITC Avant Garde" w:eastAsia="Times New Roman" w:hAnsi="ITC Avant Garde"/>
          <w:bCs/>
          <w:lang w:eastAsia="es-MX"/>
        </w:rPr>
        <w:t xml:space="preserve">Con base en los elementos anteriores, se considera grave la conducta </w:t>
      </w:r>
      <w:r w:rsidR="008253D2" w:rsidRPr="002A2450">
        <w:rPr>
          <w:rFonts w:ascii="ITC Avant Garde" w:eastAsia="Times New Roman" w:hAnsi="ITC Avant Garde"/>
          <w:bCs/>
          <w:lang w:eastAsia="es-MX"/>
        </w:rPr>
        <w:t xml:space="preserve">de </w:t>
      </w:r>
      <w:r w:rsidR="008253D2" w:rsidRPr="002A2450">
        <w:rPr>
          <w:rFonts w:ascii="ITC Avant Garde" w:eastAsia="Times New Roman" w:hAnsi="ITC Avant Garde"/>
          <w:b/>
          <w:bCs/>
          <w:lang w:eastAsia="es-MX"/>
        </w:rPr>
        <w:t>“TELMEX”</w:t>
      </w:r>
      <w:r w:rsidRPr="002A2450">
        <w:rPr>
          <w:rFonts w:ascii="ITC Avant Garde" w:eastAsia="Times New Roman" w:hAnsi="ITC Avant Garde"/>
          <w:bCs/>
          <w:lang w:eastAsia="es-MX"/>
        </w:rPr>
        <w:t xml:space="preserve">, toda vez que </w:t>
      </w:r>
      <w:r w:rsidR="008253D2" w:rsidRPr="002A2450">
        <w:rPr>
          <w:rFonts w:ascii="ITC Avant Garde" w:eastAsia="Times New Roman" w:hAnsi="ITC Avant Garde"/>
          <w:bCs/>
          <w:lang w:eastAsia="es-MX"/>
        </w:rPr>
        <w:t xml:space="preserve">no obstante que tiene prohibido la </w:t>
      </w:r>
      <w:r w:rsidR="008F718E" w:rsidRPr="009E34A4">
        <w:rPr>
          <w:rFonts w:ascii="ITC Avant Garde" w:eastAsia="Times New Roman" w:hAnsi="ITC Avant Garde"/>
          <w:bCs/>
          <w:lang w:eastAsia="es-MX"/>
        </w:rPr>
        <w:t xml:space="preserve">explotación indirecta </w:t>
      </w:r>
      <w:r w:rsidR="008253D2" w:rsidRPr="002A2450">
        <w:rPr>
          <w:rFonts w:ascii="ITC Avant Garde" w:eastAsia="Times New Roman" w:hAnsi="ITC Avant Garde"/>
          <w:bCs/>
          <w:lang w:eastAsia="es-MX"/>
        </w:rPr>
        <w:t xml:space="preserve">de una concesión para prestar el servicio de televisión en el país, dicha concesionaria a sabiendas de ello elaboró un conjunto de contratos con el objeto de llevar a cabo la conducta a través de un mecanismo y/o modelo de organización contractual que le permitiera participar en dicho servicio con el objeto de que el mismo no fuera percibido por la autoridad reguladora dado el complejo diseño elaborado para tal fin. </w:t>
      </w:r>
    </w:p>
    <w:p w14:paraId="3362CCE8" w14:textId="77777777" w:rsidR="00B35F13" w:rsidRDefault="008253D2"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Así las cosas y considerando que </w:t>
      </w:r>
      <w:r w:rsidR="00D91017" w:rsidRPr="002A2450">
        <w:rPr>
          <w:rFonts w:ascii="ITC Avant Garde" w:eastAsia="Times New Roman" w:hAnsi="ITC Avant Garde"/>
          <w:bCs/>
          <w:lang w:eastAsia="es-MX"/>
        </w:rPr>
        <w:t xml:space="preserve">los servicios de telecomunicaciones, en específico el de televisión restringida vía satélite, es un servicio público de interés general y muestra de ello es el hecho de que el servicio de televisión restringida constituye el medio fundamental para llevar la señal de la televisión a poblaciones donde las condiciones de recepción son deficientes o prácticamente nulas, la conducta cometida por </w:t>
      </w:r>
      <w:r w:rsidRPr="002A2450">
        <w:rPr>
          <w:rFonts w:ascii="ITC Avant Garde" w:eastAsia="Times New Roman" w:hAnsi="ITC Avant Garde"/>
          <w:b/>
          <w:bCs/>
          <w:lang w:eastAsia="es-MX"/>
        </w:rPr>
        <w:t xml:space="preserve">“TELMEX” </w:t>
      </w:r>
      <w:r w:rsidRPr="002A2450">
        <w:rPr>
          <w:rFonts w:ascii="ITC Avant Garde" w:eastAsia="Times New Roman" w:hAnsi="ITC Avant Garde"/>
          <w:bCs/>
          <w:lang w:eastAsia="es-MX"/>
        </w:rPr>
        <w:t xml:space="preserve"> s</w:t>
      </w:r>
      <w:r w:rsidR="00E05BD8" w:rsidRPr="002A2450">
        <w:rPr>
          <w:rFonts w:ascii="ITC Avant Garde" w:eastAsia="Times New Roman" w:hAnsi="ITC Avant Garde"/>
          <w:bCs/>
          <w:lang w:eastAsia="es-MX"/>
        </w:rPr>
        <w:t>í</w:t>
      </w:r>
      <w:r w:rsidRPr="002A2450">
        <w:rPr>
          <w:rFonts w:ascii="ITC Avant Garde" w:eastAsia="Times New Roman" w:hAnsi="ITC Avant Garde"/>
          <w:bCs/>
          <w:lang w:eastAsia="es-MX"/>
        </w:rPr>
        <w:t xml:space="preserve"> tuvo por efecto </w:t>
      </w:r>
      <w:r w:rsidR="006F081C" w:rsidRPr="002A2450">
        <w:rPr>
          <w:rFonts w:ascii="ITC Avant Garde" w:eastAsia="Times New Roman" w:hAnsi="ITC Avant Garde"/>
          <w:bCs/>
          <w:lang w:eastAsia="es-MX"/>
        </w:rPr>
        <w:t xml:space="preserve">influir en la toma de </w:t>
      </w:r>
      <w:r w:rsidRPr="002A2450">
        <w:rPr>
          <w:rFonts w:ascii="ITC Avant Garde" w:eastAsia="Times New Roman" w:hAnsi="ITC Avant Garde"/>
          <w:bCs/>
          <w:lang w:eastAsia="es-MX"/>
        </w:rPr>
        <w:t>decisiones operativas en el sector respec</w:t>
      </w:r>
      <w:r w:rsidR="005112B4" w:rsidRPr="002A2450">
        <w:rPr>
          <w:rFonts w:ascii="ITC Avant Garde" w:eastAsia="Times New Roman" w:hAnsi="ITC Avant Garde"/>
          <w:bCs/>
          <w:lang w:eastAsia="es-MX"/>
        </w:rPr>
        <w:t>to de un servicio no autorizado, violando con ello disposiciones de orden público e interés general.</w:t>
      </w:r>
    </w:p>
    <w:p w14:paraId="2DAB1BB1" w14:textId="034CC65F" w:rsidR="00B35F13" w:rsidRDefault="00CE7149" w:rsidP="00B35F13">
      <w:pPr>
        <w:spacing w:before="24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Lo anterior es así considerando que </w:t>
      </w:r>
      <w:r w:rsidR="00345D32">
        <w:rPr>
          <w:rFonts w:ascii="ITC Avant Garde" w:eastAsia="Times New Roman" w:hAnsi="ITC Avant Garde"/>
          <w:bCs/>
          <w:lang w:eastAsia="es-MX"/>
        </w:rPr>
        <w:t xml:space="preserve">los títulos de concesión constituyen un instrumento a través del cual se autoriza la prestación de servicios públicos supeditados al interés general. De tal forma que los concesionarios deben sujetar su conducta a lo dispuesto en el título de concesión correspondiente y no transgredir lo ahí establecido. </w:t>
      </w:r>
    </w:p>
    <w:p w14:paraId="237CEE89" w14:textId="77777777" w:rsidR="00B35F13" w:rsidRDefault="009D1070" w:rsidP="00B35F13">
      <w:pPr>
        <w:spacing w:before="240" w:line="360" w:lineRule="auto"/>
        <w:jc w:val="both"/>
        <w:rPr>
          <w:rFonts w:ascii="ITC Avant Garde" w:eastAsia="Times New Roman" w:hAnsi="ITC Avant Garde"/>
          <w:b/>
          <w:bCs/>
          <w:lang w:eastAsia="es-MX"/>
        </w:rPr>
      </w:pPr>
      <w:r w:rsidRPr="002A2450">
        <w:rPr>
          <w:rFonts w:ascii="ITC Avant Garde" w:eastAsia="Times New Roman" w:hAnsi="ITC Avant Garde"/>
          <w:b/>
          <w:bCs/>
          <w:lang w:eastAsia="es-MX"/>
        </w:rPr>
        <w:t>La duración de la conducta</w:t>
      </w:r>
    </w:p>
    <w:p w14:paraId="1540AFCE" w14:textId="77777777" w:rsidR="00B35F13" w:rsidRDefault="009D1070" w:rsidP="00B35F13">
      <w:pPr>
        <w:spacing w:before="240" w:line="360" w:lineRule="auto"/>
        <w:jc w:val="both"/>
        <w:rPr>
          <w:rFonts w:ascii="ITC Avant Garde" w:hAnsi="ITC Avant Garde"/>
        </w:rPr>
      </w:pPr>
      <w:r w:rsidRPr="002A2450">
        <w:rPr>
          <w:rFonts w:ascii="ITC Avant Garde" w:eastAsia="Times New Roman" w:hAnsi="ITC Avant Garde"/>
          <w:bCs/>
          <w:lang w:eastAsia="es-MX"/>
        </w:rPr>
        <w:t xml:space="preserve">Dentro de las constancias que obran en los autos del expediente en que se actúa, se puede advertir que los contratos tuvieron </w:t>
      </w:r>
      <w:r w:rsidRPr="002A2450">
        <w:rPr>
          <w:rFonts w:ascii="ITC Avant Garde" w:hAnsi="ITC Avant Garde"/>
        </w:rPr>
        <w:t>una vigencia que comprendió del veinticuatro de noviembre de dos mil ocho al ocho de agosto de dos mil catorce.</w:t>
      </w:r>
    </w:p>
    <w:p w14:paraId="73C05DCB" w14:textId="77777777" w:rsidR="00B35F13" w:rsidRDefault="009D1070" w:rsidP="00B35F13">
      <w:pPr>
        <w:spacing w:before="240" w:line="360" w:lineRule="auto"/>
        <w:jc w:val="both"/>
        <w:rPr>
          <w:rFonts w:ascii="ITC Avant Garde" w:hAnsi="ITC Avant Garde"/>
        </w:rPr>
      </w:pPr>
      <w:r w:rsidRPr="002A2450">
        <w:rPr>
          <w:rFonts w:ascii="ITC Avant Garde" w:hAnsi="ITC Avant Garde"/>
        </w:rPr>
        <w:lastRenderedPageBreak/>
        <w:t xml:space="preserve">En ese sentido, </w:t>
      </w:r>
      <w:r w:rsidRPr="002A2450">
        <w:rPr>
          <w:rFonts w:ascii="ITC Avant Garde" w:hAnsi="ITC Avant Garde"/>
          <w:b/>
        </w:rPr>
        <w:t>“TELMEX”</w:t>
      </w:r>
      <w:r w:rsidRPr="002A2450">
        <w:rPr>
          <w:rFonts w:ascii="ITC Avant Garde" w:hAnsi="ITC Avant Garde"/>
        </w:rPr>
        <w:t xml:space="preserve"> llevó a cabo la comisión de la conducta imputada durante un periodo aproximadamente de seis años, dónde a través de los contratos celebrados </w:t>
      </w:r>
      <w:r w:rsidR="00807750" w:rsidRPr="002A2450">
        <w:rPr>
          <w:rFonts w:ascii="ITC Avant Garde" w:hAnsi="ITC Avant Garde"/>
        </w:rPr>
        <w:t xml:space="preserve">influyó en las decisiones de negocio y llevó a cabo una serie de actos para consolidar la prestación del servicio por parte de </w:t>
      </w:r>
      <w:r w:rsidR="00807750" w:rsidRPr="002A2450">
        <w:rPr>
          <w:rFonts w:ascii="ITC Avant Garde" w:hAnsi="ITC Avant Garde"/>
          <w:b/>
        </w:rPr>
        <w:t>“COFRESA”</w:t>
      </w:r>
      <w:r w:rsidR="00807750" w:rsidRPr="002A2450">
        <w:rPr>
          <w:rFonts w:ascii="ITC Avant Garde" w:hAnsi="ITC Avant Garde"/>
        </w:rPr>
        <w:t xml:space="preserve">, de donde se desprende una explotación </w:t>
      </w:r>
      <w:r w:rsidRPr="002A2450">
        <w:rPr>
          <w:rFonts w:ascii="ITC Avant Garde" w:hAnsi="ITC Avant Garde"/>
        </w:rPr>
        <w:t>de m</w:t>
      </w:r>
      <w:r w:rsidR="00807750" w:rsidRPr="002A2450">
        <w:rPr>
          <w:rFonts w:ascii="ITC Avant Garde" w:hAnsi="ITC Avant Garde"/>
        </w:rPr>
        <w:t xml:space="preserve">anera indirecta la </w:t>
      </w:r>
      <w:r w:rsidRPr="002A2450">
        <w:rPr>
          <w:rFonts w:ascii="ITC Avant Garde" w:hAnsi="ITC Avant Garde"/>
        </w:rPr>
        <w:t xml:space="preserve">concesión otorgada a </w:t>
      </w:r>
      <w:r w:rsidRPr="002A2450">
        <w:rPr>
          <w:rFonts w:ascii="ITC Avant Garde" w:hAnsi="ITC Avant Garde"/>
          <w:b/>
        </w:rPr>
        <w:t>“COFRESA”</w:t>
      </w:r>
      <w:r w:rsidRPr="002A2450">
        <w:rPr>
          <w:rFonts w:ascii="ITC Avant Garde" w:hAnsi="ITC Avant Garde"/>
        </w:rPr>
        <w:t xml:space="preserve"> para prestar el servicio de televisión restringida vía satelital en el país.</w:t>
      </w:r>
    </w:p>
    <w:p w14:paraId="31F90927" w14:textId="77777777" w:rsidR="00B35F13" w:rsidRDefault="008253D2"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Por tanto, se considera que su conducta es </w:t>
      </w:r>
      <w:r w:rsidRPr="002A2450">
        <w:rPr>
          <w:rFonts w:ascii="ITC Avant Garde" w:eastAsia="Times New Roman" w:hAnsi="ITC Avant Garde"/>
          <w:b/>
          <w:bCs/>
          <w:lang w:eastAsia="es-MX"/>
        </w:rPr>
        <w:t>grave</w:t>
      </w:r>
      <w:r w:rsidRPr="002A2450">
        <w:rPr>
          <w:rFonts w:ascii="ITC Avant Garde" w:eastAsia="Times New Roman" w:hAnsi="ITC Avant Garde"/>
          <w:bCs/>
          <w:lang w:eastAsia="es-MX"/>
        </w:rPr>
        <w:t xml:space="preserve"> </w:t>
      </w:r>
      <w:r w:rsidR="00807750" w:rsidRPr="002A2450">
        <w:rPr>
          <w:rFonts w:ascii="ITC Avant Garde" w:eastAsia="Times New Roman" w:hAnsi="ITC Avant Garde"/>
          <w:bCs/>
          <w:lang w:eastAsia="es-MX"/>
        </w:rPr>
        <w:t>por las razones apuntadas por la autoridad.</w:t>
      </w:r>
    </w:p>
    <w:p w14:paraId="526DF053" w14:textId="77777777" w:rsidR="00B35F13" w:rsidRPr="001B0FC3" w:rsidRDefault="00AB6284" w:rsidP="001B0FC3">
      <w:pPr>
        <w:spacing w:before="240" w:line="360" w:lineRule="auto"/>
        <w:jc w:val="both"/>
        <w:rPr>
          <w:rFonts w:ascii="ITC Avant Garde" w:hAnsi="ITC Avant Garde" w:cs="Arial"/>
          <w:b/>
        </w:rPr>
      </w:pPr>
      <w:bookmarkStart w:id="97" w:name="_Toc477170200"/>
      <w:r w:rsidRPr="001B0FC3">
        <w:rPr>
          <w:rFonts w:ascii="ITC Avant Garde" w:hAnsi="ITC Avant Garde" w:cs="Arial"/>
          <w:b/>
        </w:rPr>
        <w:t>CUANTIFICACIÓN DE LA MULTA</w:t>
      </w:r>
      <w:bookmarkEnd w:id="97"/>
    </w:p>
    <w:p w14:paraId="25698614" w14:textId="77777777" w:rsidR="00B35F13" w:rsidRDefault="00807750" w:rsidP="00B35F13">
      <w:pPr>
        <w:pStyle w:val="Sangradetextonormal"/>
        <w:spacing w:before="240" w:after="160" w:line="360" w:lineRule="auto"/>
        <w:ind w:left="0"/>
        <w:jc w:val="both"/>
        <w:rPr>
          <w:rFonts w:ascii="ITC Avant Garde" w:eastAsia="Times New Roman" w:hAnsi="ITC Avant Garde"/>
          <w:bCs/>
          <w:lang w:eastAsia="es-MX"/>
        </w:rPr>
      </w:pPr>
      <w:r w:rsidRPr="002A2450">
        <w:rPr>
          <w:rFonts w:ascii="ITC Avant Garde" w:eastAsia="Times New Roman" w:hAnsi="ITC Avant Garde" w:cs="Times New Roman"/>
          <w:bCs/>
          <w:lang w:eastAsia="es-MX"/>
        </w:rPr>
        <w:t>E</w:t>
      </w:r>
      <w:r w:rsidR="00AB6284" w:rsidRPr="002A2450">
        <w:rPr>
          <w:rFonts w:ascii="ITC Avant Garde" w:eastAsia="Times New Roman" w:hAnsi="ITC Avant Garde" w:cs="Times New Roman"/>
          <w:bCs/>
          <w:lang w:eastAsia="es-MX"/>
        </w:rPr>
        <w:t xml:space="preserve">l artículo 71, inciso B), fracción IV, establece como multa por incumplir con las obligaciones establecidas en el </w:t>
      </w:r>
      <w:r w:rsidR="00AB6284" w:rsidRPr="002A2450">
        <w:rPr>
          <w:rFonts w:ascii="ITC Avant Garde" w:eastAsia="Times New Roman" w:hAnsi="ITC Avant Garde" w:cs="Times New Roman"/>
          <w:b/>
          <w:bCs/>
          <w:lang w:eastAsia="es-MX"/>
        </w:rPr>
        <w:t>“TÍTULO DE CONCESIÓN”</w:t>
      </w:r>
      <w:r w:rsidR="00AB6284" w:rsidRPr="002A2450">
        <w:rPr>
          <w:rFonts w:ascii="ITC Avant Garde" w:eastAsia="Times New Roman" w:hAnsi="ITC Avant Garde" w:cs="Times New Roman"/>
          <w:bCs/>
          <w:lang w:eastAsia="es-MX"/>
        </w:rPr>
        <w:t xml:space="preserve"> un mínimo</w:t>
      </w:r>
      <w:r w:rsidR="00AB6284" w:rsidRPr="002A2450">
        <w:rPr>
          <w:rFonts w:ascii="ITC Avant Garde" w:eastAsia="Times New Roman" w:hAnsi="ITC Avant Garde" w:cs="Times New Roman"/>
          <w:b/>
          <w:bCs/>
          <w:lang w:eastAsia="es-MX"/>
        </w:rPr>
        <w:t xml:space="preserve"> </w:t>
      </w:r>
      <w:r w:rsidR="00AB6284" w:rsidRPr="002A2450">
        <w:rPr>
          <w:rFonts w:ascii="ITC Avant Garde" w:eastAsia="Times New Roman" w:hAnsi="ITC Avant Garde" w:cs="Times New Roman"/>
          <w:bCs/>
          <w:lang w:eastAsia="es-MX"/>
        </w:rPr>
        <w:t xml:space="preserve">de 4,000 a 40,000 </w:t>
      </w:r>
      <w:r w:rsidR="00AB6284" w:rsidRPr="002A2450">
        <w:rPr>
          <w:rFonts w:ascii="ITC Avant Garde" w:eastAsia="Times New Roman" w:hAnsi="ITC Avant Garde"/>
          <w:b/>
          <w:bCs/>
          <w:lang w:eastAsia="es-MX"/>
        </w:rPr>
        <w:t xml:space="preserve">“SMGDV” </w:t>
      </w:r>
      <w:r w:rsidR="00AB6284" w:rsidRPr="002A2450">
        <w:rPr>
          <w:rFonts w:ascii="ITC Avant Garde" w:eastAsia="Times New Roman" w:hAnsi="ITC Avant Garde"/>
          <w:bCs/>
          <w:lang w:eastAsia="es-MX"/>
        </w:rPr>
        <w:t xml:space="preserve">los cuales equivalen a razón del salario mínimos de dos mil catorce a la cantidad de </w:t>
      </w:r>
      <w:r w:rsidR="00AB6284" w:rsidRPr="002A2450">
        <w:rPr>
          <w:rFonts w:ascii="ITC Avant Garde" w:eastAsia="Times New Roman" w:hAnsi="ITC Avant Garde"/>
          <w:b/>
          <w:bCs/>
          <w:lang w:eastAsia="es-MX"/>
        </w:rPr>
        <w:t xml:space="preserve">$269,160.00 </w:t>
      </w:r>
      <w:r w:rsidR="00AB6284" w:rsidRPr="002A2450">
        <w:rPr>
          <w:rFonts w:ascii="ITC Avant Garde" w:eastAsia="Times New Roman" w:hAnsi="ITC Avant Garde"/>
          <w:bCs/>
          <w:lang w:eastAsia="es-MX"/>
        </w:rPr>
        <w:t>(Doscientos sesenta y nueve mil ciento sesenta pesos 00/100 M.N.) a $</w:t>
      </w:r>
      <w:r w:rsidR="00AB6284" w:rsidRPr="002A2450">
        <w:rPr>
          <w:rFonts w:ascii="ITC Avant Garde" w:eastAsia="Times New Roman" w:hAnsi="ITC Avant Garde"/>
          <w:b/>
          <w:bCs/>
          <w:lang w:eastAsia="es-MX"/>
        </w:rPr>
        <w:t>2</w:t>
      </w:r>
      <w:proofErr w:type="gramStart"/>
      <w:r w:rsidR="00AB6284" w:rsidRPr="002A2450">
        <w:rPr>
          <w:rFonts w:ascii="ITC Avant Garde" w:eastAsia="Times New Roman" w:hAnsi="ITC Avant Garde"/>
          <w:b/>
          <w:bCs/>
          <w:lang w:eastAsia="es-MX"/>
        </w:rPr>
        <w:t>,691,600.00</w:t>
      </w:r>
      <w:proofErr w:type="gramEnd"/>
      <w:r w:rsidR="00AB6284" w:rsidRPr="002A2450">
        <w:rPr>
          <w:rFonts w:ascii="ITC Avant Garde" w:eastAsia="Times New Roman" w:hAnsi="ITC Avant Garde"/>
          <w:b/>
          <w:bCs/>
          <w:lang w:eastAsia="es-MX"/>
        </w:rPr>
        <w:t xml:space="preserve"> </w:t>
      </w:r>
      <w:r w:rsidR="00AB6284" w:rsidRPr="002A2450">
        <w:rPr>
          <w:rFonts w:ascii="ITC Avant Garde" w:eastAsia="Times New Roman" w:hAnsi="ITC Avant Garde"/>
          <w:bCs/>
          <w:lang w:eastAsia="es-MX"/>
        </w:rPr>
        <w:t>(Dos millones seiscientos noventa y un mil seiscientos pesos 00/100 M.N.).</w:t>
      </w:r>
    </w:p>
    <w:p w14:paraId="094465D7" w14:textId="77777777" w:rsidR="00B35F13" w:rsidRDefault="00AB6284" w:rsidP="00B35F13">
      <w:pPr>
        <w:pStyle w:val="Sangradetextonormal"/>
        <w:spacing w:before="240" w:after="160" w:line="360" w:lineRule="auto"/>
        <w:ind w:left="0"/>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En ese sentido, la diferencia entre la multa </w:t>
      </w:r>
      <w:r w:rsidR="00807750" w:rsidRPr="002A2450">
        <w:rPr>
          <w:rFonts w:ascii="ITC Avant Garde" w:eastAsia="Times New Roman" w:hAnsi="ITC Avant Garde"/>
          <w:bCs/>
          <w:lang w:eastAsia="es-MX"/>
        </w:rPr>
        <w:t xml:space="preserve">mínima </w:t>
      </w:r>
      <w:r w:rsidRPr="002A2450">
        <w:rPr>
          <w:rFonts w:ascii="ITC Avant Garde" w:eastAsia="Times New Roman" w:hAnsi="ITC Avant Garde"/>
          <w:bCs/>
          <w:lang w:eastAsia="es-MX"/>
        </w:rPr>
        <w:t xml:space="preserve">y la multa </w:t>
      </w:r>
      <w:r w:rsidR="00807750" w:rsidRPr="002A2450">
        <w:rPr>
          <w:rFonts w:ascii="ITC Avant Garde" w:eastAsia="Times New Roman" w:hAnsi="ITC Avant Garde"/>
          <w:bCs/>
          <w:lang w:eastAsia="es-MX"/>
        </w:rPr>
        <w:t xml:space="preserve">máxima </w:t>
      </w:r>
      <w:r w:rsidRPr="002A2450">
        <w:rPr>
          <w:rFonts w:ascii="ITC Avant Garde" w:eastAsia="Times New Roman" w:hAnsi="ITC Avant Garde"/>
          <w:bCs/>
          <w:lang w:eastAsia="es-MX"/>
        </w:rPr>
        <w:t xml:space="preserve">es la cantidad de </w:t>
      </w:r>
      <w:r w:rsidRPr="002A2450">
        <w:rPr>
          <w:rFonts w:ascii="ITC Avant Garde" w:eastAsia="Times New Roman" w:hAnsi="ITC Avant Garde"/>
          <w:b/>
          <w:bCs/>
          <w:lang w:eastAsia="es-MX"/>
        </w:rPr>
        <w:t>$2</w:t>
      </w:r>
      <w:proofErr w:type="gramStart"/>
      <w:r w:rsidRPr="002A2450">
        <w:rPr>
          <w:rFonts w:ascii="ITC Avant Garde" w:eastAsia="Times New Roman" w:hAnsi="ITC Avant Garde"/>
          <w:b/>
          <w:bCs/>
          <w:lang w:eastAsia="es-MX"/>
        </w:rPr>
        <w:t>,422,440.00</w:t>
      </w:r>
      <w:proofErr w:type="gramEnd"/>
      <w:r w:rsidRPr="002A2450">
        <w:rPr>
          <w:rFonts w:ascii="ITC Avant Garde" w:eastAsia="Times New Roman" w:hAnsi="ITC Avant Garde"/>
          <w:bCs/>
          <w:lang w:eastAsia="es-MX"/>
        </w:rPr>
        <w:t xml:space="preserve"> (Dos millones cuatrocientos veintidós mil cuatrocientos cuarenta),</w:t>
      </w:r>
      <w:r w:rsidRPr="002A2450">
        <w:rPr>
          <w:rStyle w:val="Refdenotaalpie"/>
          <w:rFonts w:ascii="ITC Avant Garde" w:eastAsia="Times New Roman" w:hAnsi="ITC Avant Garde"/>
          <w:bCs/>
          <w:lang w:eastAsia="es-MX"/>
        </w:rPr>
        <w:footnoteReference w:id="47"/>
      </w:r>
      <w:r w:rsidRPr="002A2450">
        <w:rPr>
          <w:rFonts w:ascii="ITC Avant Garde" w:eastAsia="Times New Roman" w:hAnsi="ITC Avant Garde"/>
          <w:bCs/>
          <w:lang w:eastAsia="es-MX"/>
        </w:rPr>
        <w:t xml:space="preserve"> los cuales divididos entre los </w:t>
      </w:r>
      <w:r w:rsidR="00807750" w:rsidRPr="002A2450">
        <w:rPr>
          <w:rFonts w:ascii="ITC Avant Garde" w:eastAsia="Times New Roman" w:hAnsi="ITC Avant Garde"/>
          <w:bCs/>
          <w:lang w:eastAsia="es-MX"/>
        </w:rPr>
        <w:t xml:space="preserve">tres </w:t>
      </w:r>
      <w:r w:rsidRPr="002A2450">
        <w:rPr>
          <w:rFonts w:ascii="ITC Avant Garde" w:eastAsia="Times New Roman" w:hAnsi="ITC Avant Garde"/>
          <w:bCs/>
          <w:lang w:eastAsia="es-MX"/>
        </w:rPr>
        <w:t xml:space="preserve">factores que se toman en cuenta conforme al artículo 73 de la </w:t>
      </w:r>
      <w:r w:rsidRPr="002A2450">
        <w:rPr>
          <w:rFonts w:ascii="ITC Avant Garde" w:eastAsia="Times New Roman" w:hAnsi="ITC Avant Garde"/>
          <w:b/>
          <w:bCs/>
          <w:lang w:eastAsia="es-MX"/>
        </w:rPr>
        <w:t>“LFPA”</w:t>
      </w:r>
      <w:r w:rsidRPr="002A2450">
        <w:rPr>
          <w:rFonts w:ascii="ITC Avant Garde" w:eastAsia="Times New Roman" w:hAnsi="ITC Avant Garde"/>
          <w:bCs/>
          <w:lang w:eastAsia="es-MX"/>
        </w:rPr>
        <w:t xml:space="preserve">, cada factor equivaldría a </w:t>
      </w:r>
      <w:r w:rsidRPr="002A2450">
        <w:rPr>
          <w:rFonts w:ascii="ITC Avant Garde" w:eastAsia="Times New Roman" w:hAnsi="ITC Avant Garde"/>
          <w:b/>
          <w:bCs/>
          <w:lang w:eastAsia="es-MX"/>
        </w:rPr>
        <w:t>$807,480.00</w:t>
      </w:r>
      <w:r w:rsidRPr="002A2450">
        <w:rPr>
          <w:rFonts w:ascii="ITC Avant Garde" w:eastAsia="Times New Roman" w:hAnsi="ITC Avant Garde"/>
          <w:bCs/>
          <w:lang w:eastAsia="es-MX"/>
        </w:rPr>
        <w:t xml:space="preserve"> (Ochocientos siete mil cuatrocientos ochenta pesos 00/100 M.N.).</w:t>
      </w:r>
    </w:p>
    <w:p w14:paraId="47BFD919" w14:textId="77777777" w:rsidR="00B35F13" w:rsidRDefault="00AB628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Así las cosas, para la imposición de la sanción debe atender a los siguientes elementos: daño (Ad), intencionalidad (</w:t>
      </w:r>
      <w:proofErr w:type="spellStart"/>
      <w:r w:rsidRPr="002A2450">
        <w:rPr>
          <w:rFonts w:ascii="ITC Avant Garde" w:eastAsia="Times New Roman" w:hAnsi="ITC Avant Garde" w:cs="Times New Roman"/>
          <w:bCs/>
          <w:lang w:eastAsia="es-MX"/>
        </w:rPr>
        <w:t>Ai</w:t>
      </w:r>
      <w:proofErr w:type="spellEnd"/>
      <w:r w:rsidRPr="002A2450">
        <w:rPr>
          <w:rFonts w:ascii="ITC Avant Garde" w:eastAsia="Times New Roman" w:hAnsi="ITC Avant Garde" w:cs="Times New Roman"/>
          <w:bCs/>
          <w:lang w:eastAsia="es-MX"/>
        </w:rPr>
        <w:t>) y gravedad (Ag) conforme a lo siguiente:</w:t>
      </w:r>
    </w:p>
    <w:p w14:paraId="4952893D" w14:textId="77777777" w:rsidR="00B35F13" w:rsidRDefault="00AB6284" w:rsidP="00B35F13">
      <w:pPr>
        <w:pStyle w:val="Sangradetextonormal"/>
        <w:spacing w:before="240" w:after="160" w:line="360" w:lineRule="auto"/>
        <w:ind w:left="0"/>
        <w:jc w:val="center"/>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lastRenderedPageBreak/>
        <w:t xml:space="preserve">Multa calculada = (Multa </w:t>
      </w:r>
      <w:proofErr w:type="spellStart"/>
      <w:r w:rsidRPr="002A2450">
        <w:rPr>
          <w:rFonts w:ascii="ITC Avant Garde" w:eastAsia="Times New Roman" w:hAnsi="ITC Avant Garde" w:cs="Times New Roman"/>
          <w:bCs/>
          <w:lang w:eastAsia="es-MX"/>
        </w:rPr>
        <w:t>mínima+Ad+Ai+Ag</w:t>
      </w:r>
      <w:proofErr w:type="spellEnd"/>
      <w:r w:rsidRPr="002A2450">
        <w:rPr>
          <w:rFonts w:ascii="ITC Avant Garde" w:eastAsia="Times New Roman" w:hAnsi="ITC Avant Garde" w:cs="Times New Roman"/>
          <w:bCs/>
          <w:lang w:eastAsia="es-MX"/>
        </w:rPr>
        <w:t>)</w:t>
      </w:r>
    </w:p>
    <w:p w14:paraId="6E434213" w14:textId="77777777" w:rsidR="00B35F13" w:rsidRDefault="00AB628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En ese sentido, corresponde a esta autoridad, por las razones señaladas en cada uno de los elementos desarrollados a que se refiere el artículo 73 de la </w:t>
      </w:r>
      <w:r w:rsidRPr="002A2450">
        <w:rPr>
          <w:rFonts w:ascii="ITC Avant Garde" w:eastAsia="Times New Roman" w:hAnsi="ITC Avant Garde" w:cs="Times New Roman"/>
          <w:b/>
          <w:bCs/>
          <w:lang w:eastAsia="es-MX"/>
        </w:rPr>
        <w:t xml:space="preserve">“LFPA” </w:t>
      </w:r>
      <w:r w:rsidRPr="002A2450">
        <w:rPr>
          <w:rFonts w:ascii="ITC Avant Garde" w:eastAsia="Times New Roman" w:hAnsi="ITC Avant Garde" w:cs="Times New Roman"/>
          <w:bCs/>
          <w:lang w:eastAsia="es-MX"/>
        </w:rPr>
        <w:t>determinar el grado de ponderación, por cada uno de los elementos acreditados en el presente expediente, quedado de la siguiente manera:</w:t>
      </w:r>
    </w:p>
    <w:tbl>
      <w:tblPr>
        <w:tblStyle w:val="Tablaconcuadrcula1"/>
        <w:tblW w:w="5025" w:type="pct"/>
        <w:tblLook w:val="04A0" w:firstRow="1" w:lastRow="0" w:firstColumn="1" w:lastColumn="0" w:noHBand="0" w:noVBand="1"/>
        <w:tblCaption w:val="Factores aplicables a la multa"/>
        <w:tblDescription w:val="En una tabla de 4 columnas y 6 filas, se proporcionan los valores de fator aplicables a la multa."/>
      </w:tblPr>
      <w:tblGrid>
        <w:gridCol w:w="2678"/>
        <w:gridCol w:w="1045"/>
        <w:gridCol w:w="2399"/>
        <w:gridCol w:w="2750"/>
      </w:tblGrid>
      <w:tr w:rsidR="00AB6284" w:rsidRPr="0055552D" w14:paraId="3263D1F7" w14:textId="77777777" w:rsidTr="005B0590">
        <w:trPr>
          <w:trHeight w:val="487"/>
          <w:tblHeader/>
        </w:trPr>
        <w:tc>
          <w:tcPr>
            <w:tcW w:w="1509" w:type="pct"/>
            <w:shd w:val="clear" w:color="auto" w:fill="A6A6A6" w:themeFill="background1" w:themeFillShade="A6"/>
            <w:hideMark/>
          </w:tcPr>
          <w:p w14:paraId="29E247B7" w14:textId="77777777" w:rsidR="00AB6284" w:rsidRPr="009E34A4" w:rsidRDefault="00AB6284" w:rsidP="005B0590">
            <w:pPr>
              <w:spacing w:line="360" w:lineRule="auto"/>
              <w:jc w:val="center"/>
              <w:rPr>
                <w:rFonts w:ascii="ITC Avant Garde" w:hAnsi="ITC Avant Garde" w:cs="Times New Roman"/>
                <w:b/>
                <w:bCs/>
                <w:sz w:val="20"/>
                <w:szCs w:val="14"/>
              </w:rPr>
            </w:pPr>
          </w:p>
        </w:tc>
        <w:tc>
          <w:tcPr>
            <w:tcW w:w="589" w:type="pct"/>
            <w:shd w:val="clear" w:color="auto" w:fill="A6A6A6" w:themeFill="background1" w:themeFillShade="A6"/>
            <w:hideMark/>
          </w:tcPr>
          <w:p w14:paraId="68E60567"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SI/NO</w:t>
            </w:r>
          </w:p>
        </w:tc>
        <w:tc>
          <w:tcPr>
            <w:tcW w:w="1352" w:type="pct"/>
            <w:shd w:val="clear" w:color="auto" w:fill="A6A6A6" w:themeFill="background1" w:themeFillShade="A6"/>
          </w:tcPr>
          <w:p w14:paraId="5B6A3D06"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VALOR DE FACTOR</w:t>
            </w:r>
          </w:p>
        </w:tc>
        <w:tc>
          <w:tcPr>
            <w:tcW w:w="1550" w:type="pct"/>
            <w:shd w:val="clear" w:color="auto" w:fill="A6A6A6" w:themeFill="background1" w:themeFillShade="A6"/>
            <w:hideMark/>
          </w:tcPr>
          <w:p w14:paraId="15B3EBA5"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MONTO APLICABLE</w:t>
            </w:r>
          </w:p>
        </w:tc>
      </w:tr>
      <w:tr w:rsidR="00AB6284" w:rsidRPr="0055552D" w14:paraId="57281F24" w14:textId="77777777" w:rsidTr="005B0590">
        <w:trPr>
          <w:trHeight w:val="508"/>
          <w:tblHeader/>
        </w:trPr>
        <w:tc>
          <w:tcPr>
            <w:tcW w:w="1509" w:type="pct"/>
            <w:hideMark/>
          </w:tcPr>
          <w:p w14:paraId="3A7AACF9" w14:textId="77777777" w:rsidR="00AB6284" w:rsidRPr="009E34A4" w:rsidRDefault="00AB6284" w:rsidP="005B0590">
            <w:pPr>
              <w:spacing w:line="360" w:lineRule="auto"/>
              <w:rPr>
                <w:rFonts w:ascii="ITC Avant Garde" w:hAnsi="ITC Avant Garde" w:cs="Times New Roman"/>
                <w:b/>
                <w:bCs/>
                <w:sz w:val="20"/>
                <w:szCs w:val="14"/>
              </w:rPr>
            </w:pPr>
            <w:r w:rsidRPr="009E34A4">
              <w:rPr>
                <w:rFonts w:ascii="ITC Avant Garde" w:hAnsi="ITC Avant Garde" w:cs="Times New Roman"/>
                <w:b/>
                <w:bCs/>
                <w:sz w:val="20"/>
                <w:szCs w:val="14"/>
              </w:rPr>
              <w:t>Multa mínima</w:t>
            </w:r>
          </w:p>
        </w:tc>
        <w:tc>
          <w:tcPr>
            <w:tcW w:w="589" w:type="pct"/>
            <w:hideMark/>
          </w:tcPr>
          <w:p w14:paraId="0F4AA7CC"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Si</w:t>
            </w:r>
          </w:p>
        </w:tc>
        <w:tc>
          <w:tcPr>
            <w:tcW w:w="1352" w:type="pct"/>
          </w:tcPr>
          <w:p w14:paraId="3E1400B2"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$ 269,160.00</w:t>
            </w:r>
          </w:p>
        </w:tc>
        <w:tc>
          <w:tcPr>
            <w:tcW w:w="1550" w:type="pct"/>
            <w:hideMark/>
          </w:tcPr>
          <w:p w14:paraId="206B805C"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$ 269,160.00</w:t>
            </w:r>
          </w:p>
        </w:tc>
      </w:tr>
      <w:tr w:rsidR="00AB6284" w:rsidRPr="0055552D" w14:paraId="73FB6E2D" w14:textId="77777777" w:rsidTr="005B0590">
        <w:trPr>
          <w:trHeight w:val="487"/>
          <w:tblHeader/>
        </w:trPr>
        <w:tc>
          <w:tcPr>
            <w:tcW w:w="1509" w:type="pct"/>
            <w:hideMark/>
          </w:tcPr>
          <w:p w14:paraId="393F7A20" w14:textId="77777777" w:rsidR="00AB6284" w:rsidRPr="009E34A4" w:rsidRDefault="00AB6284" w:rsidP="005B0590">
            <w:pPr>
              <w:spacing w:line="360" w:lineRule="auto"/>
              <w:rPr>
                <w:rFonts w:ascii="ITC Avant Garde" w:hAnsi="ITC Avant Garde" w:cs="Times New Roman"/>
                <w:b/>
                <w:bCs/>
                <w:sz w:val="20"/>
                <w:szCs w:val="14"/>
              </w:rPr>
            </w:pPr>
            <w:r w:rsidRPr="009E34A4">
              <w:rPr>
                <w:rFonts w:ascii="ITC Avant Garde" w:hAnsi="ITC Avant Garde" w:cs="Times New Roman"/>
                <w:b/>
                <w:bCs/>
                <w:sz w:val="20"/>
                <w:szCs w:val="14"/>
              </w:rPr>
              <w:t>Daño (Ad)</w:t>
            </w:r>
          </w:p>
        </w:tc>
        <w:tc>
          <w:tcPr>
            <w:tcW w:w="589" w:type="pct"/>
          </w:tcPr>
          <w:p w14:paraId="533CF37E"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Si</w:t>
            </w:r>
          </w:p>
        </w:tc>
        <w:tc>
          <w:tcPr>
            <w:tcW w:w="1352" w:type="pct"/>
          </w:tcPr>
          <w:p w14:paraId="645608C1"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$807,480.00</w:t>
            </w:r>
          </w:p>
        </w:tc>
        <w:tc>
          <w:tcPr>
            <w:tcW w:w="1550" w:type="pct"/>
            <w:hideMark/>
          </w:tcPr>
          <w:p w14:paraId="539AC81A"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$807,480.00</w:t>
            </w:r>
          </w:p>
        </w:tc>
      </w:tr>
      <w:tr w:rsidR="00AB6284" w:rsidRPr="0055552D" w14:paraId="24EADB63" w14:textId="77777777" w:rsidTr="005B0590">
        <w:trPr>
          <w:trHeight w:val="508"/>
          <w:tblHeader/>
        </w:trPr>
        <w:tc>
          <w:tcPr>
            <w:tcW w:w="1509" w:type="pct"/>
            <w:hideMark/>
          </w:tcPr>
          <w:p w14:paraId="0FBEA14C" w14:textId="77777777" w:rsidR="00AB6284" w:rsidRPr="009E34A4" w:rsidRDefault="00AB6284" w:rsidP="005B0590">
            <w:pPr>
              <w:spacing w:line="360" w:lineRule="auto"/>
              <w:rPr>
                <w:rFonts w:ascii="ITC Avant Garde" w:hAnsi="ITC Avant Garde" w:cs="Times New Roman"/>
                <w:b/>
                <w:bCs/>
                <w:sz w:val="20"/>
                <w:szCs w:val="14"/>
              </w:rPr>
            </w:pPr>
            <w:r w:rsidRPr="009E34A4">
              <w:rPr>
                <w:rFonts w:ascii="ITC Avant Garde" w:hAnsi="ITC Avant Garde" w:cs="Times New Roman"/>
                <w:b/>
                <w:bCs/>
                <w:sz w:val="20"/>
                <w:szCs w:val="14"/>
              </w:rPr>
              <w:t>Intencionalidad (</w:t>
            </w:r>
            <w:proofErr w:type="spellStart"/>
            <w:r w:rsidRPr="009E34A4">
              <w:rPr>
                <w:rFonts w:ascii="ITC Avant Garde" w:hAnsi="ITC Avant Garde" w:cs="Times New Roman"/>
                <w:b/>
                <w:bCs/>
                <w:sz w:val="20"/>
                <w:szCs w:val="14"/>
              </w:rPr>
              <w:t>Ai</w:t>
            </w:r>
            <w:proofErr w:type="spellEnd"/>
            <w:r w:rsidRPr="009E34A4">
              <w:rPr>
                <w:rFonts w:ascii="ITC Avant Garde" w:hAnsi="ITC Avant Garde" w:cs="Times New Roman"/>
                <w:b/>
                <w:bCs/>
                <w:sz w:val="20"/>
                <w:szCs w:val="14"/>
              </w:rPr>
              <w:t>)</w:t>
            </w:r>
          </w:p>
        </w:tc>
        <w:tc>
          <w:tcPr>
            <w:tcW w:w="589" w:type="pct"/>
          </w:tcPr>
          <w:p w14:paraId="1F3E9849"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Si</w:t>
            </w:r>
          </w:p>
        </w:tc>
        <w:tc>
          <w:tcPr>
            <w:tcW w:w="1352" w:type="pct"/>
          </w:tcPr>
          <w:p w14:paraId="3F64DA6C"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$807,480.00</w:t>
            </w:r>
          </w:p>
        </w:tc>
        <w:tc>
          <w:tcPr>
            <w:tcW w:w="1550" w:type="pct"/>
            <w:hideMark/>
          </w:tcPr>
          <w:p w14:paraId="1B1C3A07"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$807,480.00</w:t>
            </w:r>
          </w:p>
        </w:tc>
      </w:tr>
      <w:tr w:rsidR="00AB6284" w:rsidRPr="0055552D" w14:paraId="5B50BAF0" w14:textId="77777777" w:rsidTr="005B0590">
        <w:trPr>
          <w:trHeight w:val="487"/>
          <w:tblHeader/>
        </w:trPr>
        <w:tc>
          <w:tcPr>
            <w:tcW w:w="1509" w:type="pct"/>
            <w:hideMark/>
          </w:tcPr>
          <w:p w14:paraId="60EF2B52" w14:textId="77777777" w:rsidR="00AB6284" w:rsidRPr="009E34A4" w:rsidRDefault="00AB6284" w:rsidP="005B0590">
            <w:pPr>
              <w:spacing w:line="360" w:lineRule="auto"/>
              <w:rPr>
                <w:rFonts w:ascii="ITC Avant Garde" w:hAnsi="ITC Avant Garde" w:cs="Times New Roman"/>
                <w:b/>
                <w:bCs/>
                <w:sz w:val="20"/>
                <w:szCs w:val="14"/>
              </w:rPr>
            </w:pPr>
            <w:r w:rsidRPr="009E34A4">
              <w:rPr>
                <w:rFonts w:ascii="ITC Avant Garde" w:hAnsi="ITC Avant Garde" w:cs="Times New Roman"/>
                <w:b/>
                <w:bCs/>
                <w:sz w:val="20"/>
                <w:szCs w:val="14"/>
              </w:rPr>
              <w:t>Gravedad (Ag)</w:t>
            </w:r>
          </w:p>
        </w:tc>
        <w:tc>
          <w:tcPr>
            <w:tcW w:w="589" w:type="pct"/>
          </w:tcPr>
          <w:p w14:paraId="525DD822"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Si</w:t>
            </w:r>
          </w:p>
        </w:tc>
        <w:tc>
          <w:tcPr>
            <w:tcW w:w="1352" w:type="pct"/>
          </w:tcPr>
          <w:p w14:paraId="7539670A" w14:textId="77777777" w:rsidR="00AB6284" w:rsidRPr="009E34A4" w:rsidRDefault="00AB6284"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$807,480.00</w:t>
            </w:r>
          </w:p>
        </w:tc>
        <w:tc>
          <w:tcPr>
            <w:tcW w:w="1550" w:type="pct"/>
            <w:hideMark/>
          </w:tcPr>
          <w:p w14:paraId="3632F0E8" w14:textId="77777777" w:rsidR="00AB6284" w:rsidRPr="009E34A4" w:rsidRDefault="00AB6284" w:rsidP="005B0590">
            <w:pPr>
              <w:spacing w:line="360" w:lineRule="auto"/>
              <w:jc w:val="center"/>
              <w:rPr>
                <w:sz w:val="20"/>
              </w:rPr>
            </w:pPr>
            <w:r w:rsidRPr="009E34A4">
              <w:rPr>
                <w:rFonts w:ascii="ITC Avant Garde" w:hAnsi="ITC Avant Garde" w:cs="Times New Roman"/>
                <w:b/>
                <w:bCs/>
                <w:sz w:val="20"/>
                <w:szCs w:val="14"/>
              </w:rPr>
              <w:t>$807,480.00</w:t>
            </w:r>
          </w:p>
        </w:tc>
      </w:tr>
      <w:tr w:rsidR="0041026A" w:rsidRPr="0055552D" w14:paraId="4B06464C" w14:textId="77777777" w:rsidTr="005B0590">
        <w:trPr>
          <w:trHeight w:val="487"/>
          <w:tblHeader/>
        </w:trPr>
        <w:tc>
          <w:tcPr>
            <w:tcW w:w="1509" w:type="pct"/>
            <w:hideMark/>
          </w:tcPr>
          <w:p w14:paraId="43206E0B" w14:textId="333DA657" w:rsidR="0041026A" w:rsidRPr="009E34A4" w:rsidRDefault="0041026A" w:rsidP="005B0590">
            <w:pPr>
              <w:spacing w:line="360" w:lineRule="auto"/>
              <w:jc w:val="center"/>
              <w:rPr>
                <w:rFonts w:ascii="ITC Avant Garde" w:hAnsi="ITC Avant Garde" w:cs="Times New Roman"/>
                <w:b/>
                <w:bCs/>
                <w:sz w:val="20"/>
                <w:szCs w:val="14"/>
              </w:rPr>
            </w:pPr>
          </w:p>
        </w:tc>
        <w:tc>
          <w:tcPr>
            <w:tcW w:w="589" w:type="pct"/>
          </w:tcPr>
          <w:p w14:paraId="611C0D60" w14:textId="77777777" w:rsidR="0041026A" w:rsidRPr="009E34A4" w:rsidRDefault="0041026A" w:rsidP="005B0590">
            <w:pPr>
              <w:spacing w:line="360" w:lineRule="auto"/>
              <w:jc w:val="center"/>
              <w:rPr>
                <w:rFonts w:ascii="ITC Avant Garde" w:hAnsi="ITC Avant Garde" w:cs="Times New Roman"/>
                <w:b/>
                <w:bCs/>
                <w:sz w:val="20"/>
                <w:szCs w:val="14"/>
              </w:rPr>
            </w:pPr>
          </w:p>
        </w:tc>
        <w:tc>
          <w:tcPr>
            <w:tcW w:w="1352" w:type="pct"/>
          </w:tcPr>
          <w:p w14:paraId="33EC6A18" w14:textId="5F232C0C" w:rsidR="0041026A" w:rsidRPr="009E34A4" w:rsidRDefault="0041026A"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Resultado</w:t>
            </w:r>
          </w:p>
        </w:tc>
        <w:tc>
          <w:tcPr>
            <w:tcW w:w="1550" w:type="pct"/>
            <w:hideMark/>
          </w:tcPr>
          <w:p w14:paraId="4E2A6234" w14:textId="0F225A3C" w:rsidR="0041026A" w:rsidRPr="009E34A4" w:rsidRDefault="0041026A" w:rsidP="005B0590">
            <w:pPr>
              <w:spacing w:line="360" w:lineRule="auto"/>
              <w:jc w:val="center"/>
              <w:rPr>
                <w:rFonts w:ascii="ITC Avant Garde" w:hAnsi="ITC Avant Garde" w:cs="Times New Roman"/>
                <w:b/>
                <w:bCs/>
                <w:sz w:val="20"/>
                <w:szCs w:val="14"/>
              </w:rPr>
            </w:pPr>
            <w:r w:rsidRPr="009E34A4">
              <w:rPr>
                <w:rFonts w:ascii="ITC Avant Garde" w:hAnsi="ITC Avant Garde" w:cs="Times New Roman"/>
                <w:b/>
                <w:bCs/>
                <w:sz w:val="20"/>
                <w:szCs w:val="14"/>
              </w:rPr>
              <w:t>$2,691,600.00</w:t>
            </w:r>
          </w:p>
        </w:tc>
      </w:tr>
    </w:tbl>
    <w:p w14:paraId="32D3B347" w14:textId="77777777" w:rsidR="00B35F13" w:rsidRDefault="00AB628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Así, a la cantidad de </w:t>
      </w:r>
      <w:r w:rsidR="00C0482A" w:rsidRPr="002A2450">
        <w:rPr>
          <w:rFonts w:ascii="ITC Avant Garde" w:eastAsia="Times New Roman" w:hAnsi="ITC Avant Garde" w:cs="Times New Roman"/>
          <w:bCs/>
          <w:lang w:eastAsia="es-MX"/>
        </w:rPr>
        <w:t>$</w:t>
      </w:r>
      <w:r w:rsidRPr="002A2450">
        <w:rPr>
          <w:rFonts w:ascii="ITC Avant Garde" w:eastAsia="Times New Roman" w:hAnsi="ITC Avant Garde" w:cs="Times New Roman"/>
          <w:bCs/>
          <w:lang w:eastAsia="es-MX"/>
        </w:rPr>
        <w:t xml:space="preserve">269,160.00 (Doscientos sesenta y nueve mil ciento sesenta pesos 00/100 M.N.) </w:t>
      </w:r>
      <w:r w:rsidR="00807750" w:rsidRPr="002A2450">
        <w:rPr>
          <w:rFonts w:ascii="ITC Avant Garde" w:eastAsia="Times New Roman" w:hAnsi="ITC Avant Garde" w:cs="Times New Roman"/>
          <w:bCs/>
          <w:lang w:eastAsia="es-MX"/>
        </w:rPr>
        <w:t xml:space="preserve">establecida como multa mínima </w:t>
      </w:r>
      <w:r w:rsidRPr="002A2450">
        <w:rPr>
          <w:rFonts w:ascii="ITC Avant Garde" w:eastAsia="Times New Roman" w:hAnsi="ITC Avant Garde" w:cs="Times New Roman"/>
          <w:bCs/>
          <w:lang w:eastAsia="es-MX"/>
        </w:rPr>
        <w:t>se le adicionó el respectivo monto correspondiente a los porcentajes de los factores Daño (Ad), Intencionalidad (</w:t>
      </w:r>
      <w:proofErr w:type="spellStart"/>
      <w:r w:rsidRPr="002A2450">
        <w:rPr>
          <w:rFonts w:ascii="ITC Avant Garde" w:eastAsia="Times New Roman" w:hAnsi="ITC Avant Garde" w:cs="Times New Roman"/>
          <w:bCs/>
          <w:lang w:eastAsia="es-MX"/>
        </w:rPr>
        <w:t>Ai</w:t>
      </w:r>
      <w:proofErr w:type="spellEnd"/>
      <w:r w:rsidRPr="002A2450">
        <w:rPr>
          <w:rFonts w:ascii="ITC Avant Garde" w:eastAsia="Times New Roman" w:hAnsi="ITC Avant Garde" w:cs="Times New Roman"/>
          <w:bCs/>
          <w:lang w:eastAsia="es-MX"/>
        </w:rPr>
        <w:t xml:space="preserve">) y Gravedad (Ag) lo que arrojó como resultado la cantidad de </w:t>
      </w:r>
      <w:r w:rsidRPr="002A2450">
        <w:rPr>
          <w:rFonts w:ascii="ITC Avant Garde" w:eastAsia="Times New Roman" w:hAnsi="ITC Avant Garde" w:cs="Times New Roman"/>
          <w:b/>
          <w:bCs/>
          <w:lang w:eastAsia="es-MX"/>
        </w:rPr>
        <w:t xml:space="preserve">$2,691,600.00 </w:t>
      </w:r>
      <w:r w:rsidRPr="002A2450">
        <w:rPr>
          <w:rFonts w:ascii="ITC Avant Garde" w:eastAsia="Times New Roman" w:hAnsi="ITC Avant Garde" w:cs="Times New Roman"/>
          <w:bCs/>
          <w:lang w:eastAsia="es-MX"/>
        </w:rPr>
        <w:t>(Dos millones seiscientos noventa y un mil seiscientos pesos 00/100 M.N.)</w:t>
      </w:r>
      <w:r w:rsidR="00D768E4" w:rsidRPr="002A2450">
        <w:rPr>
          <w:rFonts w:ascii="ITC Avant Garde" w:eastAsia="Times New Roman" w:hAnsi="ITC Avant Garde" w:cs="Times New Roman"/>
          <w:bCs/>
          <w:lang w:eastAsia="es-MX"/>
        </w:rPr>
        <w:t xml:space="preserve"> como multa primigenia, lo cual traducido a salarios mínimos (2014) equivale a 40,000 </w:t>
      </w:r>
      <w:r w:rsidR="00D768E4" w:rsidRPr="002A2450">
        <w:rPr>
          <w:rFonts w:ascii="ITC Avant Garde" w:eastAsia="Times New Roman" w:hAnsi="ITC Avant Garde" w:cs="Times New Roman"/>
          <w:b/>
          <w:bCs/>
          <w:lang w:eastAsia="es-MX"/>
        </w:rPr>
        <w:t>“SMGDV”,</w:t>
      </w:r>
      <w:r w:rsidRPr="002A2450">
        <w:rPr>
          <w:rFonts w:ascii="ITC Avant Garde" w:eastAsia="Times New Roman" w:hAnsi="ITC Avant Garde" w:cs="Times New Roman"/>
          <w:bCs/>
          <w:lang w:eastAsia="es-MX"/>
        </w:rPr>
        <w:t xml:space="preserve"> por violar lo establecido en </w:t>
      </w:r>
      <w:r w:rsidR="00807750" w:rsidRPr="002A2450">
        <w:rPr>
          <w:rFonts w:ascii="ITC Avant Garde" w:eastAsia="Times New Roman" w:hAnsi="ITC Avant Garde" w:cs="Times New Roman"/>
          <w:bCs/>
          <w:lang w:eastAsia="es-MX"/>
        </w:rPr>
        <w:t xml:space="preserve">el </w:t>
      </w:r>
      <w:r w:rsidR="00065AA4" w:rsidRPr="009E34A4">
        <w:rPr>
          <w:rFonts w:ascii="ITC Avant Garde" w:eastAsia="Times New Roman" w:hAnsi="ITC Avant Garde" w:cs="Times New Roman"/>
          <w:b/>
          <w:bCs/>
          <w:lang w:eastAsia="es-MX"/>
        </w:rPr>
        <w:t>Tercer Párrafo</w:t>
      </w:r>
      <w:r w:rsidR="00807750" w:rsidRPr="002A2450">
        <w:rPr>
          <w:rFonts w:ascii="ITC Avant Garde" w:eastAsia="Times New Roman" w:hAnsi="ITC Avant Garde" w:cs="Times New Roman"/>
          <w:bCs/>
          <w:lang w:eastAsia="es-MX"/>
        </w:rPr>
        <w:t xml:space="preserve"> de </w:t>
      </w:r>
      <w:r w:rsidRPr="002A2450">
        <w:rPr>
          <w:rFonts w:ascii="ITC Avant Garde" w:eastAsia="Times New Roman" w:hAnsi="ITC Avant Garde" w:cs="Times New Roman"/>
          <w:bCs/>
          <w:lang w:eastAsia="es-MX"/>
        </w:rPr>
        <w:t xml:space="preserve">la condición 1-9 de su </w:t>
      </w:r>
      <w:r w:rsidRPr="002A2450">
        <w:rPr>
          <w:rFonts w:ascii="ITC Avant Garde" w:eastAsia="Times New Roman" w:hAnsi="ITC Avant Garde" w:cs="Times New Roman"/>
          <w:b/>
          <w:bCs/>
          <w:lang w:eastAsia="es-MX"/>
        </w:rPr>
        <w:t>“TÍTULO DE CONCESIÓN”</w:t>
      </w:r>
      <w:r w:rsidRPr="002A2450">
        <w:rPr>
          <w:rFonts w:ascii="ITC Avant Garde" w:eastAsia="Times New Roman" w:hAnsi="ITC Avant Garde" w:cs="Times New Roman"/>
          <w:bCs/>
          <w:lang w:eastAsia="es-MX"/>
        </w:rPr>
        <w:t>.</w:t>
      </w:r>
    </w:p>
    <w:p w14:paraId="035694AD" w14:textId="77777777" w:rsidR="00923376" w:rsidRDefault="00D768E4" w:rsidP="00B35F13">
      <w:pPr>
        <w:pStyle w:val="Sangradetextonormal"/>
        <w:spacing w:before="240" w:after="160" w:line="360" w:lineRule="auto"/>
        <w:ind w:left="0"/>
        <w:jc w:val="both"/>
        <w:rPr>
          <w:rFonts w:ascii="ITC Avant Garde" w:eastAsia="Times New Roman" w:hAnsi="ITC Avant Garde" w:cs="Times New Roman"/>
          <w:bCs/>
          <w:lang w:eastAsia="es-MX"/>
        </w:rPr>
        <w:sectPr w:rsidR="00923376" w:rsidSect="009F3771">
          <w:headerReference w:type="default" r:id="rId78"/>
          <w:pgSz w:w="12240" w:h="15840"/>
          <w:pgMar w:top="1985" w:right="1701" w:bottom="1418" w:left="1701" w:header="709" w:footer="709" w:gutter="0"/>
          <w:cols w:space="708"/>
          <w:docGrid w:linePitch="360"/>
        </w:sectPr>
      </w:pPr>
      <w:r w:rsidRPr="002A2450">
        <w:rPr>
          <w:rFonts w:ascii="ITC Avant Garde" w:eastAsia="Times New Roman" w:hAnsi="ITC Avant Garde" w:cs="Times New Roman"/>
          <w:bCs/>
          <w:lang w:eastAsia="es-MX"/>
        </w:rPr>
        <w:t xml:space="preserve">Para la imposición de la multa anterior, esta autoridad tomó en cuenta los elementos anteriores, en relación con la conducta realizada por la infractora, atendiendo a los motivos y fundamentos que han quedado expuestos a lo largo de la presente resolución y considerando que el monto de la multa debe ser suficiente para corregir su comisión y para inhibirla en lo futuro </w:t>
      </w:r>
      <w:r w:rsidR="00807750" w:rsidRPr="002A2450">
        <w:rPr>
          <w:rFonts w:ascii="ITC Avant Garde" w:eastAsia="Times New Roman" w:hAnsi="ITC Avant Garde" w:cs="Times New Roman"/>
          <w:bCs/>
          <w:lang w:eastAsia="es-MX"/>
        </w:rPr>
        <w:t xml:space="preserve">por lo que en tal sentido resulta procedente </w:t>
      </w:r>
      <w:r w:rsidRPr="002A2450">
        <w:rPr>
          <w:rFonts w:ascii="ITC Avant Garde" w:eastAsia="Times New Roman" w:hAnsi="ITC Avant Garde" w:cs="Times New Roman"/>
          <w:bCs/>
          <w:lang w:eastAsia="es-MX"/>
        </w:rPr>
        <w:t>a imponer a</w:t>
      </w:r>
      <w:r w:rsidRPr="002A2450">
        <w:rPr>
          <w:rFonts w:ascii="ITC Avant Garde" w:eastAsia="Times New Roman" w:hAnsi="ITC Avant Garde"/>
          <w:b/>
          <w:bCs/>
          <w:lang w:eastAsia="es-MX"/>
        </w:rPr>
        <w:t xml:space="preserve"> “TELMEX”</w:t>
      </w:r>
      <w:r w:rsidRPr="002A2450">
        <w:rPr>
          <w:rFonts w:ascii="ITC Avant Garde" w:eastAsia="Times New Roman" w:hAnsi="ITC Avant Garde"/>
          <w:lang w:eastAsia="es-MX"/>
        </w:rPr>
        <w:t>,</w:t>
      </w:r>
      <w:r w:rsidRPr="002A2450">
        <w:rPr>
          <w:rFonts w:ascii="ITC Avant Garde" w:eastAsia="Times New Roman" w:hAnsi="ITC Avant Garde" w:cs="Times New Roman"/>
          <w:bCs/>
          <w:lang w:eastAsia="es-MX"/>
        </w:rPr>
        <w:t xml:space="preserve"> una multa por </w:t>
      </w:r>
      <w:r w:rsidR="00807750" w:rsidRPr="002A2450">
        <w:rPr>
          <w:rFonts w:ascii="ITC Avant Garde" w:eastAsia="Times New Roman" w:hAnsi="ITC Avant Garde" w:cs="Times New Roman"/>
          <w:bCs/>
          <w:lang w:eastAsia="es-MX"/>
        </w:rPr>
        <w:t xml:space="preserve">40,000 </w:t>
      </w:r>
      <w:r w:rsidR="00807750" w:rsidRPr="002A2450">
        <w:rPr>
          <w:rFonts w:ascii="ITC Avant Garde" w:eastAsia="Times New Roman" w:hAnsi="ITC Avant Garde" w:cs="Times New Roman"/>
          <w:b/>
          <w:bCs/>
          <w:lang w:eastAsia="es-MX"/>
        </w:rPr>
        <w:t xml:space="preserve">“SMGDV” </w:t>
      </w:r>
      <w:r w:rsidR="00807750" w:rsidRPr="002A2450">
        <w:rPr>
          <w:rFonts w:ascii="ITC Avant Garde" w:eastAsia="Times New Roman" w:hAnsi="ITC Avant Garde" w:cs="Times New Roman"/>
          <w:bCs/>
          <w:lang w:eastAsia="es-MX"/>
        </w:rPr>
        <w:t xml:space="preserve">en dos mil catorce, los cuales equivalen a la </w:t>
      </w:r>
      <w:r w:rsidRPr="002A2450">
        <w:rPr>
          <w:rFonts w:ascii="ITC Avant Garde" w:eastAsia="Times New Roman" w:hAnsi="ITC Avant Garde" w:cs="Times New Roman"/>
          <w:bCs/>
          <w:lang w:eastAsia="es-MX"/>
        </w:rPr>
        <w:t xml:space="preserve">cantidad de </w:t>
      </w:r>
      <w:r w:rsidRPr="002A2450">
        <w:rPr>
          <w:rFonts w:ascii="ITC Avant Garde" w:eastAsia="Times New Roman" w:hAnsi="ITC Avant Garde" w:cs="Times New Roman"/>
          <w:b/>
          <w:bCs/>
          <w:lang w:eastAsia="es-MX"/>
        </w:rPr>
        <w:t xml:space="preserve">$2,691,600.00 </w:t>
      </w:r>
      <w:r w:rsidRPr="002A2450">
        <w:rPr>
          <w:rFonts w:ascii="ITC Avant Garde" w:eastAsia="Times New Roman" w:hAnsi="ITC Avant Garde" w:cs="Times New Roman"/>
          <w:bCs/>
          <w:lang w:eastAsia="es-MX"/>
        </w:rPr>
        <w:t xml:space="preserve">(Dos millones seiscientos noventa y un mil seiscientos pesos 00/100 M.N.) como multa </w:t>
      </w:r>
    </w:p>
    <w:p w14:paraId="307482B2" w14:textId="07848E5F" w:rsidR="00B35F13" w:rsidRDefault="00D768E4" w:rsidP="00B35F13">
      <w:pPr>
        <w:pStyle w:val="Sangradetextonormal"/>
        <w:spacing w:before="240" w:after="160" w:line="360" w:lineRule="auto"/>
        <w:ind w:left="0"/>
        <w:jc w:val="both"/>
        <w:rPr>
          <w:rFonts w:ascii="ITC Avant Garde" w:eastAsia="Times New Roman" w:hAnsi="ITC Avant Garde" w:cs="Times New Roman"/>
          <w:bCs/>
          <w:lang w:eastAsia="es-MX"/>
        </w:rPr>
      </w:pPr>
      <w:proofErr w:type="gramStart"/>
      <w:r w:rsidRPr="002A2450">
        <w:rPr>
          <w:rFonts w:ascii="ITC Avant Garde" w:eastAsia="Times New Roman" w:hAnsi="ITC Avant Garde" w:cs="Times New Roman"/>
          <w:bCs/>
          <w:lang w:eastAsia="es-MX"/>
        </w:rPr>
        <w:lastRenderedPageBreak/>
        <w:t>primigenia</w:t>
      </w:r>
      <w:proofErr w:type="gramEnd"/>
      <w:r w:rsidRPr="002A2450">
        <w:rPr>
          <w:rFonts w:ascii="ITC Avant Garde" w:eastAsia="Times New Roman" w:hAnsi="ITC Avant Garde" w:cs="Times New Roman"/>
          <w:bCs/>
          <w:lang w:eastAsia="es-MX"/>
        </w:rPr>
        <w:t xml:space="preserve">, lo cual traducido a salarios mínimos (2014) equivale a 40,000 </w:t>
      </w:r>
      <w:r w:rsidRPr="002A2450">
        <w:rPr>
          <w:rFonts w:ascii="ITC Avant Garde" w:eastAsia="Times New Roman" w:hAnsi="ITC Avant Garde" w:cs="Times New Roman"/>
          <w:b/>
          <w:bCs/>
          <w:lang w:eastAsia="es-MX"/>
        </w:rPr>
        <w:t>“SMGDV”,</w:t>
      </w:r>
      <w:r w:rsidRPr="002A2450">
        <w:rPr>
          <w:rFonts w:ascii="ITC Avant Garde" w:eastAsia="Times New Roman" w:hAnsi="ITC Avant Garde" w:cs="Times New Roman"/>
          <w:bCs/>
          <w:lang w:eastAsia="es-MX"/>
        </w:rPr>
        <w:t xml:space="preserve"> por violar lo establecido en el </w:t>
      </w:r>
      <w:r w:rsidR="00065AA4" w:rsidRPr="009E34A4">
        <w:rPr>
          <w:rFonts w:ascii="ITC Avant Garde" w:eastAsia="Times New Roman" w:hAnsi="ITC Avant Garde" w:cs="Times New Roman"/>
          <w:b/>
          <w:bCs/>
          <w:lang w:eastAsia="es-MX"/>
        </w:rPr>
        <w:t>Tercer Párrafo</w:t>
      </w:r>
      <w:r w:rsidRPr="002A2450">
        <w:rPr>
          <w:rFonts w:ascii="ITC Avant Garde" w:eastAsia="Times New Roman" w:hAnsi="ITC Avant Garde" w:cs="Times New Roman"/>
          <w:bCs/>
          <w:lang w:eastAsia="es-MX"/>
        </w:rPr>
        <w:t xml:space="preserve"> de la condición 1-9 de su </w:t>
      </w:r>
      <w:r w:rsidRPr="002A2450">
        <w:rPr>
          <w:rFonts w:ascii="ITC Avant Garde" w:eastAsia="Times New Roman" w:hAnsi="ITC Avant Garde" w:cs="Times New Roman"/>
          <w:b/>
          <w:bCs/>
          <w:lang w:eastAsia="es-MX"/>
        </w:rPr>
        <w:t>“TÍTULO DE CONCESIÓN”</w:t>
      </w:r>
      <w:r w:rsidRPr="002A2450">
        <w:rPr>
          <w:rFonts w:ascii="ITC Avant Garde" w:eastAsia="Times New Roman" w:hAnsi="ITC Avant Garde" w:cs="Times New Roman"/>
          <w:bCs/>
          <w:lang w:eastAsia="es-MX"/>
        </w:rPr>
        <w:t>.</w:t>
      </w:r>
    </w:p>
    <w:p w14:paraId="62D6F1EA" w14:textId="77777777" w:rsidR="00B35F13" w:rsidRDefault="00FC5359" w:rsidP="007E623E">
      <w:pPr>
        <w:pStyle w:val="Listaconnmeros"/>
        <w:widowControl w:val="0"/>
        <w:numPr>
          <w:ilvl w:val="0"/>
          <w:numId w:val="50"/>
        </w:numPr>
        <w:spacing w:before="240" w:after="160" w:line="360" w:lineRule="auto"/>
        <w:ind w:left="0" w:firstLine="0"/>
        <w:jc w:val="both"/>
        <w:rPr>
          <w:rFonts w:ascii="ITC Avant Garde" w:hAnsi="ITC Avant Garde"/>
          <w:b/>
          <w:bCs/>
          <w:sz w:val="22"/>
          <w:szCs w:val="22"/>
          <w:lang w:eastAsia="es-MX"/>
        </w:rPr>
      </w:pPr>
      <w:r w:rsidRPr="002A2450">
        <w:rPr>
          <w:rFonts w:ascii="ITC Avant Garde" w:hAnsi="ITC Avant Garde"/>
          <w:b/>
          <w:bCs/>
          <w:sz w:val="22"/>
          <w:szCs w:val="22"/>
          <w:lang w:eastAsia="es-MX"/>
        </w:rPr>
        <w:t>REINCIDENCIA DEL INFRACTOR</w:t>
      </w:r>
    </w:p>
    <w:p w14:paraId="348B3FBE" w14:textId="77777777" w:rsidR="00B35F13" w:rsidRDefault="00FC5359" w:rsidP="00B35F13">
      <w:pPr>
        <w:spacing w:before="240" w:line="360" w:lineRule="auto"/>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De los registros que obran en el </w:t>
      </w:r>
      <w:r w:rsidRPr="002A2450">
        <w:rPr>
          <w:rFonts w:ascii="ITC Avant Garde" w:eastAsia="Times New Roman" w:hAnsi="ITC Avant Garde" w:cs="Times New Roman"/>
          <w:b/>
          <w:bCs/>
          <w:lang w:eastAsia="es-MX"/>
        </w:rPr>
        <w:t>“Instituto”</w:t>
      </w:r>
      <w:r w:rsidR="00893CEC" w:rsidRPr="002A2450">
        <w:rPr>
          <w:rFonts w:ascii="ITC Avant Garde" w:eastAsia="Times New Roman" w:hAnsi="ITC Avant Garde" w:cs="Times New Roman"/>
          <w:bCs/>
          <w:lang w:eastAsia="es-MX"/>
        </w:rPr>
        <w:t xml:space="preserve">, se advierte que </w:t>
      </w:r>
      <w:r w:rsidR="00893CEC" w:rsidRPr="002A2450">
        <w:rPr>
          <w:rFonts w:ascii="ITC Avant Garde" w:eastAsia="Times New Roman" w:hAnsi="ITC Avant Garde" w:cs="Times New Roman"/>
          <w:b/>
          <w:bCs/>
          <w:lang w:eastAsia="es-MX"/>
        </w:rPr>
        <w:t>“TELMEX”</w:t>
      </w:r>
      <w:r w:rsidR="002620DA" w:rsidRPr="002A2450">
        <w:rPr>
          <w:rFonts w:ascii="ITC Avant Garde" w:eastAsia="Times New Roman" w:hAnsi="ITC Avant Garde" w:cs="Times New Roman"/>
          <w:b/>
          <w:bCs/>
          <w:lang w:eastAsia="es-MX"/>
        </w:rPr>
        <w:t xml:space="preserve"> </w:t>
      </w:r>
      <w:r w:rsidR="00C42C8F" w:rsidRPr="002A2450">
        <w:rPr>
          <w:rFonts w:ascii="ITC Avant Garde" w:eastAsia="Times New Roman" w:hAnsi="ITC Avant Garde" w:cs="Times New Roman"/>
          <w:bCs/>
          <w:lang w:eastAsia="es-MX"/>
        </w:rPr>
        <w:t xml:space="preserve">ha incurrido en la infracción de las siguientes conductas, </w:t>
      </w:r>
      <w:r w:rsidR="00D768E4" w:rsidRPr="002A2450">
        <w:rPr>
          <w:rFonts w:ascii="ITC Avant Garde" w:eastAsia="Times New Roman" w:hAnsi="ITC Avant Garde" w:cs="Times New Roman"/>
          <w:bCs/>
          <w:lang w:eastAsia="es-MX"/>
        </w:rPr>
        <w:t xml:space="preserve">las cuales han sido sancionadas por la autoridad competente en su momento </w:t>
      </w:r>
      <w:r w:rsidR="009C480B" w:rsidRPr="002A2450">
        <w:rPr>
          <w:rFonts w:ascii="ITC Avant Garde" w:eastAsia="Times New Roman" w:hAnsi="ITC Avant Garde" w:cs="Times New Roman"/>
          <w:bCs/>
          <w:lang w:eastAsia="es-MX"/>
        </w:rPr>
        <w:t xml:space="preserve">e incluso </w:t>
      </w:r>
      <w:r w:rsidR="00CE7149">
        <w:rPr>
          <w:rFonts w:ascii="ITC Avant Garde" w:eastAsia="Times New Roman" w:hAnsi="ITC Avant Garde" w:cs="Times New Roman"/>
          <w:bCs/>
          <w:lang w:eastAsia="es-MX"/>
        </w:rPr>
        <w:t xml:space="preserve">por este Instituto, las cuales se </w:t>
      </w:r>
      <w:r w:rsidR="009C480B" w:rsidRPr="002A2450">
        <w:rPr>
          <w:rFonts w:ascii="ITC Avant Garde" w:eastAsia="Times New Roman" w:hAnsi="ITC Avant Garde" w:cs="Times New Roman"/>
          <w:bCs/>
          <w:lang w:eastAsia="es-MX"/>
        </w:rPr>
        <w:t>encuentran firmes y son cosa juzgada.</w:t>
      </w:r>
    </w:p>
    <w:p w14:paraId="285A11CF" w14:textId="77777777" w:rsidR="00B35F13" w:rsidRDefault="00D768E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Dichas sanciones </w:t>
      </w:r>
      <w:r w:rsidR="00C42C8F" w:rsidRPr="002A2450">
        <w:rPr>
          <w:rFonts w:ascii="ITC Avant Garde" w:eastAsia="Times New Roman" w:hAnsi="ITC Avant Garde" w:cs="Times New Roman"/>
          <w:bCs/>
          <w:lang w:eastAsia="es-MX"/>
        </w:rPr>
        <w:t>se desglosan de la siguiente manera:</w:t>
      </w:r>
    </w:p>
    <w:tbl>
      <w:tblPr>
        <w:tblStyle w:val="Tablaconcuadrcula1"/>
        <w:tblpPr w:leftFromText="141" w:rightFromText="141" w:vertAnchor="text" w:tblpY="1"/>
        <w:tblOverlap w:val="never"/>
        <w:tblW w:w="5000" w:type="pct"/>
        <w:tblLook w:val="04A0" w:firstRow="1" w:lastRow="0" w:firstColumn="1" w:lastColumn="0" w:noHBand="0" w:noVBand="1"/>
        <w:tblCaption w:val="Desglose de sanciones"/>
        <w:tblDescription w:val="Se refiere a una tala que contiene información Confidencial por Ley, así como información del tipo de conducta, los montos de sanción y la fecha de notificación."/>
      </w:tblPr>
      <w:tblGrid>
        <w:gridCol w:w="954"/>
        <w:gridCol w:w="1797"/>
        <w:gridCol w:w="3091"/>
        <w:gridCol w:w="1465"/>
        <w:gridCol w:w="1521"/>
      </w:tblGrid>
      <w:tr w:rsidR="00807750" w:rsidRPr="002A2450" w14:paraId="5F7F384E" w14:textId="77777777" w:rsidTr="00A80E02">
        <w:trPr>
          <w:trHeight w:val="510"/>
          <w:tblHeader/>
        </w:trPr>
        <w:tc>
          <w:tcPr>
            <w:tcW w:w="540" w:type="pct"/>
            <w:shd w:val="clear" w:color="auto" w:fill="C5E0B3" w:themeFill="accent6" w:themeFillTint="66"/>
            <w:vAlign w:val="center"/>
          </w:tcPr>
          <w:p w14:paraId="46B61540" w14:textId="77777777" w:rsidR="00807750" w:rsidRPr="002A2450" w:rsidRDefault="00807750" w:rsidP="0004375E">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AUTORIDAD</w:t>
            </w:r>
          </w:p>
        </w:tc>
        <w:tc>
          <w:tcPr>
            <w:tcW w:w="969" w:type="pct"/>
            <w:shd w:val="clear" w:color="auto" w:fill="C5E0B3" w:themeFill="accent6" w:themeFillTint="66"/>
            <w:vAlign w:val="center"/>
            <w:hideMark/>
          </w:tcPr>
          <w:p w14:paraId="525A1755" w14:textId="77777777" w:rsidR="00807750" w:rsidRPr="002A2450" w:rsidRDefault="00807750" w:rsidP="0004375E">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EXPEDIENTE</w:t>
            </w:r>
          </w:p>
        </w:tc>
        <w:tc>
          <w:tcPr>
            <w:tcW w:w="1799" w:type="pct"/>
            <w:shd w:val="clear" w:color="auto" w:fill="C5E0B3" w:themeFill="accent6" w:themeFillTint="66"/>
            <w:vAlign w:val="center"/>
            <w:hideMark/>
          </w:tcPr>
          <w:p w14:paraId="653E04F9" w14:textId="77777777" w:rsidR="00807750" w:rsidRPr="002A2450" w:rsidRDefault="00807750" w:rsidP="0004375E">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TIPO DE CONDUCTA</w:t>
            </w:r>
          </w:p>
        </w:tc>
        <w:tc>
          <w:tcPr>
            <w:tcW w:w="830" w:type="pct"/>
            <w:shd w:val="clear" w:color="auto" w:fill="C5E0B3" w:themeFill="accent6" w:themeFillTint="66"/>
            <w:vAlign w:val="center"/>
            <w:hideMark/>
          </w:tcPr>
          <w:p w14:paraId="1751B048" w14:textId="77777777" w:rsidR="00807750" w:rsidRPr="002A2450" w:rsidRDefault="00807750" w:rsidP="0004375E">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SANCIÓN PECUNIARIA</w:t>
            </w:r>
          </w:p>
        </w:tc>
        <w:tc>
          <w:tcPr>
            <w:tcW w:w="861" w:type="pct"/>
            <w:shd w:val="clear" w:color="auto" w:fill="C5E0B3" w:themeFill="accent6" w:themeFillTint="66"/>
            <w:vAlign w:val="center"/>
            <w:hideMark/>
          </w:tcPr>
          <w:p w14:paraId="33E47C3E" w14:textId="77777777" w:rsidR="00807750" w:rsidRPr="002A2450" w:rsidRDefault="00807750" w:rsidP="0004375E">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NOTIFICACIÓN RESOLUCIÓN</w:t>
            </w:r>
          </w:p>
        </w:tc>
      </w:tr>
      <w:tr w:rsidR="00807750" w:rsidRPr="002A2450" w14:paraId="0972E1B4" w14:textId="77777777" w:rsidTr="00A80E02">
        <w:trPr>
          <w:trHeight w:val="510"/>
        </w:trPr>
        <w:tc>
          <w:tcPr>
            <w:tcW w:w="540" w:type="pct"/>
          </w:tcPr>
          <w:p w14:paraId="2E9FE3C0" w14:textId="77777777" w:rsidR="00807750" w:rsidRPr="002A2450" w:rsidRDefault="00807750" w:rsidP="003E62B6">
            <w:pPr>
              <w:spacing w:line="360" w:lineRule="auto"/>
              <w:jc w:val="center"/>
              <w:rPr>
                <w:rFonts w:ascii="ITC Avant Garde" w:eastAsia="Times New Roman" w:hAnsi="ITC Avant Garde" w:cs="Times New Roman"/>
                <w:b/>
                <w:sz w:val="14"/>
                <w:szCs w:val="14"/>
                <w:lang w:eastAsia="es-MX"/>
              </w:rPr>
            </w:pPr>
            <w:r w:rsidRPr="002A2450">
              <w:rPr>
                <w:rFonts w:ascii="ITC Avant Garde" w:eastAsia="Times New Roman" w:hAnsi="ITC Avant Garde" w:cs="Times New Roman"/>
                <w:b/>
                <w:sz w:val="14"/>
                <w:szCs w:val="14"/>
                <w:lang w:eastAsia="es-MX"/>
              </w:rPr>
              <w:t>SCT</w:t>
            </w:r>
          </w:p>
        </w:tc>
        <w:tc>
          <w:tcPr>
            <w:tcW w:w="969" w:type="pct"/>
            <w:vAlign w:val="center"/>
          </w:tcPr>
          <w:p w14:paraId="46F1074E" w14:textId="5D6E8BE6" w:rsidR="00807750" w:rsidRPr="0004375E" w:rsidRDefault="00365C30" w:rsidP="0004375E">
            <w:pPr>
              <w:spacing w:line="360" w:lineRule="auto"/>
              <w:ind w:left="0" w:firstLine="0"/>
              <w:jc w:val="center"/>
              <w:rPr>
                <w:rFonts w:ascii="ITC Avant Garde" w:eastAsia="Times New Roman" w:hAnsi="ITC Avant Garde" w:cs="Times New Roman"/>
                <w:b/>
                <w:bCs/>
                <w:sz w:val="20"/>
                <w:szCs w:val="20"/>
                <w:lang w:eastAsia="es-MX"/>
              </w:rPr>
            </w:pPr>
            <w:r w:rsidRPr="0004375E">
              <w:rPr>
                <w:rFonts w:ascii="ITC Avant Garde" w:eastAsiaTheme="majorEastAsia" w:hAnsi="ITC Avant Garde" w:cstheme="majorBidi"/>
                <w:b/>
                <w:color w:val="0000FF"/>
                <w:sz w:val="20"/>
                <w:szCs w:val="20"/>
              </w:rPr>
              <w:t>“CONFIDENCIAL POR LEY”</w:t>
            </w:r>
          </w:p>
        </w:tc>
        <w:tc>
          <w:tcPr>
            <w:tcW w:w="1799" w:type="pct"/>
          </w:tcPr>
          <w:p w14:paraId="27B20AE9" w14:textId="77777777" w:rsidR="00807750" w:rsidRPr="0004375E" w:rsidRDefault="00807750" w:rsidP="0004375E">
            <w:pPr>
              <w:spacing w:line="360" w:lineRule="auto"/>
              <w:ind w:left="113" w:firstLine="0"/>
              <w:rPr>
                <w:rFonts w:ascii="ITC Avant Garde" w:eastAsia="Times New Roman" w:hAnsi="ITC Avant Garde"/>
                <w:color w:val="000000"/>
                <w:sz w:val="14"/>
                <w:szCs w:val="14"/>
                <w:lang w:eastAsia="es-MX"/>
              </w:rPr>
            </w:pPr>
            <w:r w:rsidRPr="002A2450">
              <w:rPr>
                <w:rFonts w:ascii="ITC Avant Garde" w:eastAsia="Times New Roman" w:hAnsi="ITC Avant Garde"/>
                <w:color w:val="000000"/>
                <w:sz w:val="14"/>
                <w:szCs w:val="14"/>
                <w:lang w:eastAsia="es-MX"/>
              </w:rPr>
              <w:t xml:space="preserve">Incumplimiento a los dispuesto en la condición 5-3 de su Título de concesión así como a lo establecido en el Resolutivo TERCERO de la Resolución P/250209/18 </w:t>
            </w:r>
            <w:r w:rsidRPr="0004375E">
              <w:rPr>
                <w:rFonts w:ascii="ITC Avant Garde" w:eastAsia="Times New Roman" w:hAnsi="ITC Avant Garde"/>
                <w:color w:val="000000"/>
                <w:sz w:val="14"/>
                <w:szCs w:val="14"/>
                <w:lang w:eastAsia="es-MX"/>
              </w:rPr>
              <w:t>"Resolución que pone fin al procedimiento iniciado por Axtel, S.A.B. de C.V. para la interconexión de su red pública de telecomunicaciones con la red pública de Teléfonos de México, S.A.B. de C.V. y ordena la interconexión de las respectivas redes públicas de telecomunicaciones"</w:t>
            </w:r>
          </w:p>
        </w:tc>
        <w:tc>
          <w:tcPr>
            <w:tcW w:w="830" w:type="pct"/>
          </w:tcPr>
          <w:p w14:paraId="745962BC"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$ 7,339,870.00</w:t>
            </w:r>
          </w:p>
        </w:tc>
        <w:tc>
          <w:tcPr>
            <w:tcW w:w="861" w:type="pct"/>
          </w:tcPr>
          <w:p w14:paraId="242DBB30"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19/04/2011</w:t>
            </w:r>
          </w:p>
        </w:tc>
      </w:tr>
      <w:tr w:rsidR="00807750" w:rsidRPr="002A2450" w14:paraId="6BB3F684" w14:textId="77777777" w:rsidTr="00A80E02">
        <w:trPr>
          <w:trHeight w:val="510"/>
        </w:trPr>
        <w:tc>
          <w:tcPr>
            <w:tcW w:w="540" w:type="pct"/>
          </w:tcPr>
          <w:p w14:paraId="174971E3" w14:textId="77777777" w:rsidR="00807750" w:rsidRPr="002A2450" w:rsidRDefault="00807750" w:rsidP="003E62B6">
            <w:pPr>
              <w:spacing w:line="360" w:lineRule="auto"/>
              <w:jc w:val="center"/>
              <w:rPr>
                <w:rFonts w:ascii="ITC Avant Garde" w:eastAsia="Times New Roman" w:hAnsi="ITC Avant Garde"/>
                <w:b/>
                <w:color w:val="000000"/>
                <w:sz w:val="14"/>
                <w:szCs w:val="14"/>
                <w:lang w:eastAsia="es-MX"/>
              </w:rPr>
            </w:pPr>
            <w:r w:rsidRPr="002A2450">
              <w:rPr>
                <w:rFonts w:ascii="ITC Avant Garde" w:eastAsia="Times New Roman" w:hAnsi="ITC Avant Garde"/>
                <w:b/>
                <w:color w:val="000000"/>
                <w:sz w:val="14"/>
                <w:szCs w:val="14"/>
                <w:lang w:eastAsia="es-MX"/>
              </w:rPr>
              <w:t>SCT</w:t>
            </w:r>
          </w:p>
        </w:tc>
        <w:tc>
          <w:tcPr>
            <w:tcW w:w="969" w:type="pct"/>
            <w:vAlign w:val="center"/>
          </w:tcPr>
          <w:p w14:paraId="77A2CD7B" w14:textId="5A4A4886" w:rsidR="00807750" w:rsidRPr="0004375E" w:rsidRDefault="00365C30" w:rsidP="0004375E">
            <w:pPr>
              <w:spacing w:line="360" w:lineRule="auto"/>
              <w:ind w:left="0" w:firstLine="0"/>
              <w:jc w:val="center"/>
              <w:rPr>
                <w:rFonts w:ascii="ITC Avant Garde" w:eastAsiaTheme="majorEastAsia" w:hAnsi="ITC Avant Garde" w:cstheme="majorBidi"/>
                <w:b/>
                <w:color w:val="0000FF"/>
                <w:sz w:val="20"/>
                <w:szCs w:val="20"/>
              </w:rPr>
            </w:pPr>
            <w:r w:rsidRPr="0004375E">
              <w:rPr>
                <w:rFonts w:ascii="ITC Avant Garde" w:eastAsiaTheme="majorEastAsia" w:hAnsi="ITC Avant Garde" w:cstheme="majorBidi"/>
                <w:b/>
                <w:color w:val="0000FF"/>
                <w:sz w:val="20"/>
                <w:szCs w:val="20"/>
              </w:rPr>
              <w:t>“CONFIDENCIAL POR LEY”</w:t>
            </w:r>
          </w:p>
        </w:tc>
        <w:tc>
          <w:tcPr>
            <w:tcW w:w="1799" w:type="pct"/>
          </w:tcPr>
          <w:p w14:paraId="3BB1D47B" w14:textId="77777777" w:rsidR="00807750" w:rsidRPr="0004375E" w:rsidRDefault="00807750" w:rsidP="0004375E">
            <w:pPr>
              <w:spacing w:line="360" w:lineRule="auto"/>
              <w:ind w:left="113" w:firstLine="0"/>
              <w:rPr>
                <w:rFonts w:ascii="ITC Avant Garde" w:eastAsia="Times New Roman" w:hAnsi="ITC Avant Garde"/>
                <w:color w:val="000000"/>
                <w:sz w:val="14"/>
                <w:szCs w:val="14"/>
                <w:lang w:eastAsia="es-MX"/>
              </w:rPr>
            </w:pPr>
            <w:r w:rsidRPr="0004375E">
              <w:rPr>
                <w:rFonts w:ascii="ITC Avant Garde" w:eastAsia="Times New Roman" w:hAnsi="ITC Avant Garde"/>
                <w:color w:val="000000"/>
                <w:sz w:val="14"/>
                <w:szCs w:val="14"/>
                <w:lang w:eastAsia="es-MX"/>
              </w:rPr>
              <w:t xml:space="preserve">Incumplimiento a los dispuesto en la condición 5-3 de su Título de concesión; así como a lo establecido en el Resolutivo TERCERO de la Resolución P/EXT/030209/12 "Resolución por la que el PLENO de la COFETEL determina las condiciones de interconexión no convenidas entre Teléfonos de México, S.A.B. de C.V., Teléfonos del Noroeste, S.A. de C.V. y </w:t>
            </w:r>
            <w:proofErr w:type="spellStart"/>
            <w:r w:rsidRPr="0004375E">
              <w:rPr>
                <w:rFonts w:ascii="ITC Avant Garde" w:eastAsia="Times New Roman" w:hAnsi="ITC Avant Garde"/>
                <w:color w:val="000000"/>
                <w:sz w:val="14"/>
                <w:szCs w:val="14"/>
                <w:lang w:eastAsia="es-MX"/>
              </w:rPr>
              <w:t>Alestra</w:t>
            </w:r>
            <w:proofErr w:type="spellEnd"/>
            <w:r w:rsidRPr="0004375E">
              <w:rPr>
                <w:rFonts w:ascii="ITC Avant Garde" w:eastAsia="Times New Roman" w:hAnsi="ITC Avant Garde"/>
                <w:color w:val="000000"/>
                <w:sz w:val="14"/>
                <w:szCs w:val="14"/>
                <w:lang w:eastAsia="es-MX"/>
              </w:rPr>
              <w:t>, S. de R.L. de C.V. y ordena la interconexión de sus redes públicas de telecomunicaciones"</w:t>
            </w:r>
          </w:p>
        </w:tc>
        <w:tc>
          <w:tcPr>
            <w:tcW w:w="830" w:type="pct"/>
          </w:tcPr>
          <w:p w14:paraId="303142A2"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b/>
                <w:color w:val="000000"/>
                <w:sz w:val="14"/>
                <w:szCs w:val="14"/>
                <w:lang w:eastAsia="es-MX"/>
              </w:rPr>
              <w:t>$ 7,339,870.00</w:t>
            </w:r>
          </w:p>
        </w:tc>
        <w:tc>
          <w:tcPr>
            <w:tcW w:w="861" w:type="pct"/>
          </w:tcPr>
          <w:p w14:paraId="6CD6136C"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19/04/2011</w:t>
            </w:r>
          </w:p>
        </w:tc>
      </w:tr>
      <w:tr w:rsidR="00807750" w:rsidRPr="002A2450" w14:paraId="6C9FE1EF" w14:textId="77777777" w:rsidTr="00A80E02">
        <w:trPr>
          <w:trHeight w:val="510"/>
        </w:trPr>
        <w:tc>
          <w:tcPr>
            <w:tcW w:w="540" w:type="pct"/>
          </w:tcPr>
          <w:p w14:paraId="72050F86" w14:textId="77777777" w:rsidR="00807750" w:rsidRPr="002A2450" w:rsidRDefault="00807750" w:rsidP="003E62B6">
            <w:pPr>
              <w:spacing w:line="360" w:lineRule="auto"/>
              <w:jc w:val="center"/>
              <w:rPr>
                <w:rFonts w:ascii="ITC Avant Garde" w:eastAsia="Times New Roman" w:hAnsi="ITC Avant Garde"/>
                <w:b/>
                <w:color w:val="000000"/>
                <w:sz w:val="14"/>
                <w:szCs w:val="14"/>
                <w:lang w:eastAsia="es-MX"/>
              </w:rPr>
            </w:pPr>
          </w:p>
        </w:tc>
        <w:tc>
          <w:tcPr>
            <w:tcW w:w="969" w:type="pct"/>
          </w:tcPr>
          <w:p w14:paraId="47318556" w14:textId="03E063A0" w:rsidR="00807750" w:rsidRPr="0004375E" w:rsidRDefault="00365C30" w:rsidP="0004375E">
            <w:pPr>
              <w:spacing w:line="360" w:lineRule="auto"/>
              <w:ind w:left="0" w:firstLine="0"/>
              <w:jc w:val="center"/>
              <w:rPr>
                <w:rFonts w:ascii="ITC Avant Garde" w:eastAsiaTheme="majorEastAsia" w:hAnsi="ITC Avant Garde" w:cstheme="majorBidi"/>
                <w:b/>
                <w:color w:val="0000FF"/>
                <w:sz w:val="20"/>
                <w:szCs w:val="20"/>
              </w:rPr>
            </w:pPr>
            <w:r w:rsidRPr="0004375E">
              <w:rPr>
                <w:rFonts w:ascii="ITC Avant Garde" w:eastAsiaTheme="majorEastAsia" w:hAnsi="ITC Avant Garde" w:cstheme="majorBidi"/>
                <w:b/>
                <w:color w:val="0000FF"/>
                <w:sz w:val="20"/>
                <w:szCs w:val="20"/>
              </w:rPr>
              <w:t>“CONFIDENCIAL POR LEY”</w:t>
            </w:r>
          </w:p>
        </w:tc>
        <w:tc>
          <w:tcPr>
            <w:tcW w:w="1799" w:type="pct"/>
          </w:tcPr>
          <w:p w14:paraId="51D4FF3F" w14:textId="77777777" w:rsidR="00807750" w:rsidRPr="002A2450" w:rsidRDefault="00807750" w:rsidP="0004375E">
            <w:pPr>
              <w:spacing w:line="360" w:lineRule="auto"/>
              <w:ind w:left="113" w:firstLine="0"/>
              <w:rPr>
                <w:rFonts w:ascii="ITC Avant Garde" w:eastAsia="Times New Roman" w:hAnsi="ITC Avant Garde"/>
                <w:color w:val="000000"/>
                <w:sz w:val="14"/>
                <w:szCs w:val="14"/>
                <w:lang w:eastAsia="es-MX"/>
              </w:rPr>
            </w:pPr>
            <w:r w:rsidRPr="002A2450">
              <w:rPr>
                <w:rFonts w:ascii="ITC Avant Garde" w:eastAsia="Times New Roman" w:hAnsi="ITC Avant Garde"/>
                <w:color w:val="000000"/>
                <w:sz w:val="14"/>
                <w:szCs w:val="14"/>
                <w:lang w:eastAsia="es-MX"/>
              </w:rPr>
              <w:t>Incumplimiento a los Resolutivos TERCERO y CUARTO de la Resolución P/140410/236 "</w:t>
            </w:r>
            <w:r w:rsidRPr="0004375E">
              <w:rPr>
                <w:rFonts w:ascii="ITC Avant Garde" w:eastAsia="Times New Roman" w:hAnsi="ITC Avant Garde"/>
                <w:color w:val="000000"/>
                <w:sz w:val="14"/>
                <w:szCs w:val="14"/>
                <w:lang w:eastAsia="es-MX"/>
              </w:rPr>
              <w:t xml:space="preserve">Resolución por la que el Pleno de la Comisión Federal de Telecomunicaciones determina las condiciones de interconexión no convenidas entre Teléfonos de México S.A.B. de C.V. y </w:t>
            </w:r>
            <w:proofErr w:type="spellStart"/>
            <w:r w:rsidRPr="0004375E">
              <w:rPr>
                <w:rFonts w:ascii="ITC Avant Garde" w:eastAsia="Times New Roman" w:hAnsi="ITC Avant Garde"/>
                <w:color w:val="000000"/>
                <w:sz w:val="14"/>
                <w:szCs w:val="14"/>
                <w:lang w:eastAsia="es-MX"/>
              </w:rPr>
              <w:t>Marcatel</w:t>
            </w:r>
            <w:proofErr w:type="spellEnd"/>
            <w:r w:rsidRPr="0004375E">
              <w:rPr>
                <w:rFonts w:ascii="ITC Avant Garde" w:eastAsia="Times New Roman" w:hAnsi="ITC Avant Garde"/>
                <w:color w:val="000000"/>
                <w:sz w:val="14"/>
                <w:szCs w:val="14"/>
                <w:lang w:eastAsia="es-MX"/>
              </w:rPr>
              <w:t xml:space="preserve"> </w:t>
            </w:r>
            <w:proofErr w:type="spellStart"/>
            <w:r w:rsidRPr="0004375E">
              <w:rPr>
                <w:rFonts w:ascii="ITC Avant Garde" w:eastAsia="Times New Roman" w:hAnsi="ITC Avant Garde"/>
                <w:color w:val="000000"/>
                <w:sz w:val="14"/>
                <w:szCs w:val="14"/>
                <w:lang w:eastAsia="es-MX"/>
              </w:rPr>
              <w:t>Com</w:t>
            </w:r>
            <w:proofErr w:type="spellEnd"/>
            <w:r w:rsidRPr="0004375E">
              <w:rPr>
                <w:rFonts w:ascii="ITC Avant Garde" w:eastAsia="Times New Roman" w:hAnsi="ITC Avant Garde"/>
                <w:color w:val="000000"/>
                <w:sz w:val="14"/>
                <w:szCs w:val="14"/>
                <w:lang w:eastAsia="es-MX"/>
              </w:rPr>
              <w:t xml:space="preserve">, S.A. de C.V. " </w:t>
            </w:r>
            <w:r w:rsidRPr="002A2450">
              <w:rPr>
                <w:rFonts w:ascii="ITC Avant Garde" w:eastAsia="Times New Roman" w:hAnsi="ITC Avant Garde"/>
                <w:color w:val="000000"/>
                <w:sz w:val="14"/>
                <w:szCs w:val="14"/>
                <w:lang w:eastAsia="es-MX"/>
              </w:rPr>
              <w:t>así como las condiciones 5.2, numeral 2; 5.3 segundo párrafo y 7.4 de su Título de Concesión y los artículos 43 fracciones I y V y 68 de la LFT; así como el artículo 155 segundo y tercer párrafos del Reglamento de Telecomunicaciones.</w:t>
            </w:r>
          </w:p>
        </w:tc>
        <w:tc>
          <w:tcPr>
            <w:tcW w:w="830" w:type="pct"/>
          </w:tcPr>
          <w:p w14:paraId="7350E6E8"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b/>
                <w:color w:val="000000"/>
                <w:sz w:val="14"/>
                <w:szCs w:val="14"/>
                <w:lang w:eastAsia="es-MX"/>
              </w:rPr>
              <w:t>$ 7,339,870.00</w:t>
            </w:r>
          </w:p>
        </w:tc>
        <w:tc>
          <w:tcPr>
            <w:tcW w:w="861" w:type="pct"/>
          </w:tcPr>
          <w:p w14:paraId="01B73604"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04/07/2010</w:t>
            </w:r>
          </w:p>
        </w:tc>
      </w:tr>
      <w:tr w:rsidR="00807750" w:rsidRPr="002A2450" w14:paraId="7DFC9D98" w14:textId="77777777" w:rsidTr="00A80E02">
        <w:trPr>
          <w:trHeight w:val="510"/>
        </w:trPr>
        <w:tc>
          <w:tcPr>
            <w:tcW w:w="540" w:type="pct"/>
          </w:tcPr>
          <w:p w14:paraId="260E7702" w14:textId="77777777" w:rsidR="00807750" w:rsidRPr="002A2450" w:rsidRDefault="00807750" w:rsidP="003E62B6">
            <w:pPr>
              <w:spacing w:line="360" w:lineRule="auto"/>
              <w:jc w:val="center"/>
            </w:pPr>
            <w:r w:rsidRPr="002A2450">
              <w:rPr>
                <w:rFonts w:ascii="ITC Avant Garde" w:eastAsia="Times New Roman" w:hAnsi="ITC Avant Garde" w:cs="Times New Roman"/>
                <w:b/>
                <w:sz w:val="14"/>
                <w:szCs w:val="14"/>
                <w:lang w:eastAsia="es-MX"/>
              </w:rPr>
              <w:t>IFT</w:t>
            </w:r>
          </w:p>
        </w:tc>
        <w:tc>
          <w:tcPr>
            <w:tcW w:w="969" w:type="pct"/>
          </w:tcPr>
          <w:p w14:paraId="13F85342" w14:textId="1AF7EF74" w:rsidR="00807750" w:rsidRPr="0004375E" w:rsidRDefault="00365C30" w:rsidP="0004375E">
            <w:pPr>
              <w:spacing w:line="360" w:lineRule="auto"/>
              <w:ind w:left="0" w:firstLine="0"/>
              <w:jc w:val="center"/>
              <w:rPr>
                <w:rFonts w:ascii="ITC Avant Garde" w:eastAsiaTheme="majorEastAsia" w:hAnsi="ITC Avant Garde" w:cstheme="majorBidi"/>
                <w:b/>
                <w:color w:val="0000FF"/>
                <w:sz w:val="20"/>
                <w:szCs w:val="20"/>
              </w:rPr>
            </w:pPr>
            <w:r w:rsidRPr="0004375E">
              <w:rPr>
                <w:rFonts w:ascii="ITC Avant Garde" w:eastAsiaTheme="majorEastAsia" w:hAnsi="ITC Avant Garde" w:cstheme="majorBidi"/>
                <w:b/>
                <w:color w:val="0000FF"/>
                <w:sz w:val="20"/>
                <w:szCs w:val="20"/>
              </w:rPr>
              <w:t>“CONFIDENCIAL POR LEY”</w:t>
            </w:r>
          </w:p>
        </w:tc>
        <w:tc>
          <w:tcPr>
            <w:tcW w:w="1799" w:type="pct"/>
          </w:tcPr>
          <w:p w14:paraId="389EC20D" w14:textId="77777777" w:rsidR="00807750" w:rsidRPr="0004375E" w:rsidRDefault="00807750" w:rsidP="0004375E">
            <w:pPr>
              <w:spacing w:line="360" w:lineRule="auto"/>
              <w:ind w:left="113" w:firstLine="0"/>
              <w:rPr>
                <w:rFonts w:ascii="ITC Avant Garde" w:eastAsia="Times New Roman" w:hAnsi="ITC Avant Garde"/>
                <w:color w:val="000000"/>
                <w:sz w:val="14"/>
                <w:szCs w:val="14"/>
                <w:lang w:eastAsia="es-MX"/>
              </w:rPr>
            </w:pPr>
            <w:r w:rsidRPr="0004375E">
              <w:rPr>
                <w:rFonts w:ascii="ITC Avant Garde" w:eastAsia="Times New Roman" w:hAnsi="ITC Avant Garde"/>
                <w:color w:val="000000"/>
                <w:sz w:val="14"/>
                <w:szCs w:val="14"/>
                <w:lang w:eastAsia="es-MX"/>
              </w:rPr>
              <w:t>Omisión de entrega de información Art. 68 LFT</w:t>
            </w:r>
          </w:p>
        </w:tc>
        <w:tc>
          <w:tcPr>
            <w:tcW w:w="830" w:type="pct"/>
          </w:tcPr>
          <w:p w14:paraId="3D87339B" w14:textId="77777777" w:rsidR="00807750" w:rsidRPr="002A2450" w:rsidRDefault="00807750" w:rsidP="003E62B6">
            <w:pPr>
              <w:spacing w:line="360" w:lineRule="auto"/>
              <w:jc w:val="center"/>
              <w:rPr>
                <w:rFonts w:ascii="ITC Avant Garde" w:eastAsia="Times New Roman" w:hAnsi="ITC Avant Garde" w:cs="Times New Roman"/>
                <w:b/>
                <w:bCs/>
                <w:sz w:val="14"/>
                <w:szCs w:val="14"/>
                <w:lang w:eastAsia="es-MX"/>
              </w:rPr>
            </w:pPr>
            <w:r w:rsidRPr="002A2450">
              <w:rPr>
                <w:rFonts w:ascii="ITC Avant Garde" w:eastAsia="Times New Roman" w:hAnsi="ITC Avant Garde" w:cs="Times New Roman"/>
                <w:b/>
                <w:bCs/>
                <w:sz w:val="14"/>
                <w:szCs w:val="14"/>
                <w:lang w:eastAsia="es-MX"/>
              </w:rPr>
              <w:t>$129,520.00</w:t>
            </w:r>
          </w:p>
        </w:tc>
        <w:tc>
          <w:tcPr>
            <w:tcW w:w="861" w:type="pct"/>
          </w:tcPr>
          <w:p w14:paraId="06D394B5" w14:textId="2EF2850D" w:rsidR="00807750" w:rsidRPr="002A2450" w:rsidRDefault="00807750" w:rsidP="003E62B6">
            <w:pPr>
              <w:spacing w:line="360" w:lineRule="auto"/>
              <w:jc w:val="center"/>
              <w:rPr>
                <w:rFonts w:ascii="ITC Avant Garde" w:eastAsia="Times New Roman" w:hAnsi="ITC Avant Garde" w:cs="Times New Roman"/>
                <w:b/>
                <w:sz w:val="14"/>
                <w:szCs w:val="14"/>
                <w:lang w:eastAsia="es-MX"/>
              </w:rPr>
            </w:pPr>
            <w:r w:rsidRPr="002A2450">
              <w:rPr>
                <w:rFonts w:ascii="ITC Avant Garde" w:eastAsia="Times New Roman" w:hAnsi="ITC Avant Garde" w:cs="Times New Roman"/>
                <w:b/>
                <w:sz w:val="14"/>
                <w:szCs w:val="14"/>
                <w:lang w:eastAsia="es-MX"/>
              </w:rPr>
              <w:t>1</w:t>
            </w:r>
            <w:r w:rsidR="00BB0DE0" w:rsidRPr="002A2450">
              <w:rPr>
                <w:rFonts w:ascii="ITC Avant Garde" w:eastAsia="Times New Roman" w:hAnsi="ITC Avant Garde" w:cs="Times New Roman"/>
                <w:b/>
                <w:sz w:val="14"/>
                <w:szCs w:val="14"/>
                <w:lang w:eastAsia="es-MX"/>
              </w:rPr>
              <w:t>3</w:t>
            </w:r>
            <w:r w:rsidRPr="002A2450">
              <w:rPr>
                <w:rFonts w:ascii="ITC Avant Garde" w:eastAsia="Times New Roman" w:hAnsi="ITC Avant Garde" w:cs="Times New Roman"/>
                <w:b/>
                <w:sz w:val="14"/>
                <w:szCs w:val="14"/>
                <w:lang w:eastAsia="es-MX"/>
              </w:rPr>
              <w:t>/</w:t>
            </w:r>
            <w:r w:rsidR="00BB0DE0" w:rsidRPr="002A2450">
              <w:rPr>
                <w:rFonts w:ascii="ITC Avant Garde" w:eastAsia="Times New Roman" w:hAnsi="ITC Avant Garde" w:cs="Times New Roman"/>
                <w:b/>
                <w:sz w:val="14"/>
                <w:szCs w:val="14"/>
                <w:lang w:eastAsia="es-MX"/>
              </w:rPr>
              <w:t>03</w:t>
            </w:r>
            <w:r w:rsidRPr="002A2450">
              <w:rPr>
                <w:rFonts w:ascii="ITC Avant Garde" w:eastAsia="Times New Roman" w:hAnsi="ITC Avant Garde" w:cs="Times New Roman"/>
                <w:b/>
                <w:sz w:val="14"/>
                <w:szCs w:val="14"/>
                <w:lang w:eastAsia="es-MX"/>
              </w:rPr>
              <w:t>/201</w:t>
            </w:r>
            <w:r w:rsidR="00BB0DE0" w:rsidRPr="002A2450">
              <w:rPr>
                <w:rFonts w:ascii="ITC Avant Garde" w:eastAsia="Times New Roman" w:hAnsi="ITC Avant Garde" w:cs="Times New Roman"/>
                <w:b/>
                <w:sz w:val="14"/>
                <w:szCs w:val="14"/>
                <w:lang w:eastAsia="es-MX"/>
              </w:rPr>
              <w:t>7</w:t>
            </w:r>
          </w:p>
        </w:tc>
      </w:tr>
    </w:tbl>
    <w:p w14:paraId="552F5D6A" w14:textId="3C1FAD6D" w:rsidR="00B35F13" w:rsidRDefault="00CA6C19"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Ahora bien, siguiendo los principios del derecho penal, debe señalarse que los antecedentes son aquellos registros que efectúa la autoridad administrativa con el propósito de llevar un control de los procesos que se instruyen contra las personas, o bien, de las sanciones a los infractores; la reincidencia, en cambio, es una figura que originalmente corresponde al derecho sustantivo penal, que permite agravar la sanción a imponer al sentenciado, por lo que extrapolando dicha figura </w:t>
      </w:r>
      <w:r w:rsidR="00807750" w:rsidRPr="002A2450">
        <w:rPr>
          <w:rFonts w:ascii="ITC Avant Garde" w:eastAsia="Times New Roman" w:hAnsi="ITC Avant Garde" w:cs="Times New Roman"/>
          <w:bCs/>
          <w:lang w:eastAsia="es-MX"/>
        </w:rPr>
        <w:t xml:space="preserve">a </w:t>
      </w:r>
      <w:r w:rsidRPr="002A2450">
        <w:rPr>
          <w:rFonts w:ascii="ITC Avant Garde" w:eastAsia="Times New Roman" w:hAnsi="ITC Avant Garde" w:cs="Times New Roman"/>
          <w:bCs/>
          <w:lang w:eastAsia="es-MX"/>
        </w:rPr>
        <w:t>la materia administrativa, la misma debe ser considerada al momento de imponer una sanción.</w:t>
      </w:r>
    </w:p>
    <w:p w14:paraId="7500BC5D" w14:textId="77777777" w:rsidR="00B35F13" w:rsidRDefault="00CA6C19"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Sirve de apoyo a lo anterior, la siguiente jurisprudencia y tesis que señalan:</w:t>
      </w:r>
    </w:p>
    <w:p w14:paraId="5CDD7033" w14:textId="77777777" w:rsidR="00923376" w:rsidRDefault="00CA6C19" w:rsidP="00B35F13">
      <w:pPr>
        <w:pStyle w:val="Sangradetextonormal"/>
        <w:spacing w:before="240" w:after="160" w:line="360" w:lineRule="auto"/>
        <w:ind w:left="567" w:right="567"/>
        <w:jc w:val="both"/>
        <w:rPr>
          <w:rFonts w:ascii="ITC Avant Garde" w:eastAsia="Times New Roman" w:hAnsi="ITC Avant Garde" w:cs="Times New Roman"/>
          <w:bCs/>
          <w:lang w:eastAsia="es-MX"/>
        </w:rPr>
        <w:sectPr w:rsidR="00923376" w:rsidSect="009F3771">
          <w:headerReference w:type="default" r:id="rId79"/>
          <w:pgSz w:w="12240" w:h="15840"/>
          <w:pgMar w:top="1985" w:right="1701" w:bottom="1418" w:left="1701" w:header="709" w:footer="709" w:gutter="0"/>
          <w:cols w:space="708"/>
          <w:docGrid w:linePitch="360"/>
        </w:sectPr>
      </w:pPr>
      <w:r w:rsidRPr="002A2450">
        <w:rPr>
          <w:rFonts w:ascii="ITC Avant Garde" w:eastAsia="Times New Roman" w:hAnsi="ITC Avant Garde" w:cs="Times New Roman"/>
          <w:b/>
          <w:bCs/>
          <w:lang w:eastAsia="es-MX"/>
        </w:rPr>
        <w:t>INDIVIDUALIZACIÓN DE LA PENA. LOS ANTECEDENTES PENALES DEL SENTENCIADO QUE LLEVEN A CONSIDERARLO COMO REINCIDENTE, DEBEN TOMARSE EN CUENTA PARA FIJAR LA PUNIBILIDAD.</w:t>
      </w:r>
      <w:r w:rsidRPr="002A2450">
        <w:rPr>
          <w:rFonts w:ascii="ITC Avant Garde" w:eastAsia="Times New Roman" w:hAnsi="ITC Avant Garde" w:cs="Times New Roman"/>
          <w:bCs/>
          <w:lang w:eastAsia="es-MX"/>
        </w:rPr>
        <w:t xml:space="preserve"> Los </w:t>
      </w:r>
    </w:p>
    <w:p w14:paraId="1E933925" w14:textId="2AE98D46" w:rsidR="00B35F13" w:rsidRDefault="00CA6C19" w:rsidP="00B35F13">
      <w:pPr>
        <w:pStyle w:val="Sangradetextonormal"/>
        <w:spacing w:before="240" w:after="160" w:line="360" w:lineRule="auto"/>
        <w:ind w:left="567" w:right="567"/>
        <w:jc w:val="both"/>
        <w:rPr>
          <w:rFonts w:ascii="ITC Avant Garde" w:eastAsia="Times New Roman" w:hAnsi="ITC Avant Garde" w:cs="Times New Roman"/>
          <w:bCs/>
          <w:lang w:eastAsia="es-MX"/>
        </w:rPr>
      </w:pPr>
      <w:proofErr w:type="gramStart"/>
      <w:r w:rsidRPr="002A2450">
        <w:rPr>
          <w:rFonts w:ascii="ITC Avant Garde" w:eastAsia="Times New Roman" w:hAnsi="ITC Avant Garde" w:cs="Times New Roman"/>
          <w:bCs/>
          <w:lang w:eastAsia="es-MX"/>
        </w:rPr>
        <w:lastRenderedPageBreak/>
        <w:t>antecedentes</w:t>
      </w:r>
      <w:proofErr w:type="gramEnd"/>
      <w:r w:rsidRPr="002A2450">
        <w:rPr>
          <w:rFonts w:ascii="ITC Avant Garde" w:eastAsia="Times New Roman" w:hAnsi="ITC Avant Garde" w:cs="Times New Roman"/>
          <w:bCs/>
          <w:lang w:eastAsia="es-MX"/>
        </w:rPr>
        <w:t xml:space="preserve"> penales son aquellos registros que efectúa la autoridad administrativa con el propósito de llevar un control de los procesos que se instruyen contra las personas, o bien, de las condenas recaídas a los sentenciados; la reincidencia, en cambio, es una figura del derecho sustantivo penal, regulada en los artículos 20 y 65 del Código Penal Federal, que permite agravar la sanción a imponer al sentenciado. Como se advierte, son dos conceptos diferentes pero relacionados entre sí, dado que los antecedentes penales caracterizan a la reincidencia, sin que ello signifique que sus efectos deban equipararse. Lo anterior, porque el concepto de antecedentes penales se incluye en el más amplio aspecto de "la vida del reo", esto es, su pasado penal, lo que puede hacer, o lo que podría esperarse de él, y ello, como ya lo estableció la Primera Sala de la Suprema Corte de Justicia de la Nación en la jurisprudencia 1a./J. 110/2011 (9a.), publicada en el Semanario Judicial de la Federación y su Gaceta, Décima Época, Libro V, Tomo 1, febrero de 2012, página 643, de rubro: "CULPABILIDAD. PARA DETERMINAR SU GRADO NO DEBEN TOMARSE EN CUENTA LOS ANTECEDENTES PENALES DEL PROCESADO.", no puede servir como parámetro para fijar el grado de culpabilidad del sujeto activo; en esa tesitura, si bien es cierto que la reincidencia deriva del antecedente penal en sentido genérico, también lo es que los efectos de la agravación de la pena se apoyan en razones de otra índole, es decir, de política criminal, determinadas por el deber que el Estado tiene al ejecutar su función de tutela jurídica, de procurar el orden que queda perturbado por la actividad delictiva del reincidente; así, la reincidencia implica que el juzgador tome en cuenta, al individualizar la pena, que al sentenciado se le condenó con anterioridad por la comisión de un delito, pero no como un antecedente penal que revele una característica propia del sujeto activo a modo de constituir un factor para determinar su grado de culpabilidad, pues tal revelación de la </w:t>
      </w:r>
      <w:r w:rsidRPr="002A2450">
        <w:rPr>
          <w:rFonts w:ascii="ITC Avant Garde" w:eastAsia="Times New Roman" w:hAnsi="ITC Avant Garde" w:cs="Times New Roman"/>
          <w:bCs/>
          <w:lang w:eastAsia="es-MX"/>
        </w:rPr>
        <w:lastRenderedPageBreak/>
        <w:t>personalidad únicamente puede considerarse en relación con el hecho cometido, sino más bien, como la figura que le permite agravar la punibilidad, en términos de la ley, por el nuevo delito perpetrado, a pesar de existir una sentencia de condena intermedia y de que fue prevenido con imponérsele una sanción mayor en caso de reincidir, pues conoce con exactitud la antijuridicidad de su propio hacer y, por tanto, es mayor la reprobación que el hecho merece en relación con la conducta desplegada.</w:t>
      </w:r>
    </w:p>
    <w:p w14:paraId="60D962B8" w14:textId="77777777" w:rsidR="00B35F13" w:rsidRDefault="00CA6C19" w:rsidP="00B35F13">
      <w:pPr>
        <w:pStyle w:val="Sangradetextonormal"/>
        <w:spacing w:before="240" w:after="160" w:line="360" w:lineRule="auto"/>
        <w:ind w:left="567" w:right="567"/>
        <w:jc w:val="both"/>
        <w:rPr>
          <w:rFonts w:ascii="ITC Avant Garde" w:eastAsia="Times New Roman" w:hAnsi="ITC Avant Garde" w:cs="Times New Roman"/>
          <w:bCs/>
          <w:sz w:val="18"/>
          <w:lang w:eastAsia="es-MX"/>
        </w:rPr>
      </w:pPr>
      <w:r w:rsidRPr="002A2450">
        <w:rPr>
          <w:rFonts w:ascii="ITC Avant Garde" w:eastAsia="Times New Roman" w:hAnsi="ITC Avant Garde" w:cs="Times New Roman"/>
          <w:bCs/>
          <w:sz w:val="18"/>
          <w:lang w:eastAsia="es-MX"/>
        </w:rPr>
        <w:t>Época: Décima Época, Registro: 2005042, Instancia: Primera Sala, Tipo de Tesis: Jurisprudencia, Fuente: Gaceta del Semanario Judicial de la Federación, Libro 1, Diciembre de 2013, Tomo I, Materia(s): Penal, Tesis: 1a</w:t>
      </w:r>
      <w:r w:rsidR="00702143" w:rsidRPr="002A2450">
        <w:rPr>
          <w:rFonts w:ascii="ITC Avant Garde" w:eastAsia="Times New Roman" w:hAnsi="ITC Avant Garde" w:cs="Times New Roman"/>
          <w:bCs/>
          <w:sz w:val="18"/>
          <w:lang w:eastAsia="es-MX"/>
        </w:rPr>
        <w:t>. /</w:t>
      </w:r>
      <w:r w:rsidRPr="002A2450">
        <w:rPr>
          <w:rFonts w:ascii="ITC Avant Garde" w:eastAsia="Times New Roman" w:hAnsi="ITC Avant Garde" w:cs="Times New Roman"/>
          <w:bCs/>
          <w:sz w:val="18"/>
          <w:lang w:eastAsia="es-MX"/>
        </w:rPr>
        <w:t xml:space="preserve">J. 80/2013 (10a.), Página: 353 </w:t>
      </w:r>
    </w:p>
    <w:p w14:paraId="2435DC14" w14:textId="77777777" w:rsidR="00B35F13" w:rsidRDefault="00CA6C19" w:rsidP="00B35F13">
      <w:pPr>
        <w:pStyle w:val="Sangradetextonormal"/>
        <w:spacing w:before="240" w:after="160" w:line="360" w:lineRule="auto"/>
        <w:ind w:left="567" w:right="567"/>
        <w:jc w:val="both"/>
        <w:rPr>
          <w:rFonts w:ascii="ITC Avant Garde" w:eastAsia="Times New Roman" w:hAnsi="ITC Avant Garde" w:cs="Times New Roman"/>
          <w:bCs/>
          <w:lang w:eastAsia="es-MX"/>
        </w:rPr>
      </w:pPr>
      <w:r w:rsidRPr="002A2450">
        <w:rPr>
          <w:rFonts w:ascii="ITC Avant Garde" w:eastAsia="Times New Roman" w:hAnsi="ITC Avant Garde" w:cs="Times New Roman"/>
          <w:b/>
          <w:bCs/>
          <w:lang w:eastAsia="es-MX"/>
        </w:rPr>
        <w:t>RESPONSABILIDADES ADMINISTRATIVAS DE LOS SERVIDORES PÚBLICOS DEL ESTADO DE MICHOACÁN. PARA FIJAR LA SANCIÓN EN EL PROCEDIMIENTO RELATIVO, SON APLICABLES LOS CONCEPTOS DE "ANTECEDENTES" Y "REINCIDENCIA", CONCERNIENTES A LA MATERIA PENAL (LEGISLACIÓN ABROGADA).</w:t>
      </w:r>
      <w:r w:rsidRPr="002A2450">
        <w:rPr>
          <w:rFonts w:ascii="ITC Avant Garde" w:eastAsia="Times New Roman" w:hAnsi="ITC Avant Garde" w:cs="Times New Roman"/>
          <w:bCs/>
          <w:lang w:eastAsia="es-MX"/>
        </w:rPr>
        <w:t xml:space="preserve"> En el procedimiento de responsabilidades administrativas de los servidores públicos del Estado de Michoacán, previsto en la abrogada Ley de Responsabilidades de los Servidores Públicos de la entidad, se señala que una vez establecido el incumplimiento de la norma -por acción u omisión-, la autoridad debe fijar la sanción concreta que ha de imponerse y, para ello, debe atender a los criterios de "dosimetría punitiva" que contiene el artículo 49 del ordenamiento referido, entre los cuales se advierte como parámetro para que la autoridad imponga una sanción, que valore tanto los antecedentes del infractor -fracción II-, como la reincidencia en el incumplimiento de sus obligaciones -fracción VI-. No obstante, esa ley es oscura en establecer qué debe entenderse por ambos conceptos jurídicos. Por tanto, ante ese vacío legal, son de aplicarse los de "antecedentes" y "reincidencia", concernientes a la materia penal, pues está permitido acudir a los principios penales sustantivos para la </w:t>
      </w:r>
      <w:r w:rsidRPr="002A2450">
        <w:rPr>
          <w:rFonts w:ascii="ITC Avant Garde" w:eastAsia="Times New Roman" w:hAnsi="ITC Avant Garde" w:cs="Times New Roman"/>
          <w:bCs/>
          <w:lang w:eastAsia="es-MX"/>
        </w:rPr>
        <w:lastRenderedPageBreak/>
        <w:t>construcción de los propios del derecho administrativo sancionador, máxime que, en el caso concreto, resultan compatibles con su naturaleza, que es la imposición de la sanción.</w:t>
      </w:r>
    </w:p>
    <w:p w14:paraId="1B0444EE" w14:textId="77777777" w:rsidR="00B35F13" w:rsidRDefault="00CA6C19" w:rsidP="00B35F13">
      <w:pPr>
        <w:pStyle w:val="Sangradetextonormal"/>
        <w:spacing w:before="240" w:after="160" w:line="360" w:lineRule="auto"/>
        <w:ind w:left="567" w:right="567"/>
        <w:jc w:val="both"/>
        <w:rPr>
          <w:rFonts w:ascii="ITC Avant Garde" w:eastAsia="Times New Roman" w:hAnsi="ITC Avant Garde" w:cs="Times New Roman"/>
          <w:bCs/>
          <w:sz w:val="18"/>
          <w:lang w:eastAsia="es-MX"/>
        </w:rPr>
      </w:pPr>
      <w:r w:rsidRPr="002A2450">
        <w:rPr>
          <w:rFonts w:ascii="ITC Avant Garde" w:eastAsia="Times New Roman" w:hAnsi="ITC Avant Garde" w:cs="Times New Roman"/>
          <w:bCs/>
          <w:sz w:val="18"/>
          <w:lang w:eastAsia="es-MX"/>
        </w:rPr>
        <w:t xml:space="preserve">Época: Décima Época, Registro: 2010202, Instancia: Tribunales Colegiados de Circuito, Tipo de Tesis: Aislada, Fuente: Gaceta del Semanario Judicial de la Federación, Libro 23, Octubre de 2015, Tomo IV, Materia(s): Administrativa, Tesis: XI.1o.A.T.61 A (10a.), Página: 4088 </w:t>
      </w:r>
    </w:p>
    <w:p w14:paraId="435747C3" w14:textId="77777777" w:rsidR="00B35F13" w:rsidRDefault="00D768E4" w:rsidP="00B35F13">
      <w:pPr>
        <w:pStyle w:val="Sangradetextonormal"/>
        <w:spacing w:before="240" w:after="160" w:line="360" w:lineRule="auto"/>
        <w:ind w:left="0"/>
        <w:jc w:val="both"/>
        <w:rPr>
          <w:rFonts w:ascii="ITC Avant Garde" w:eastAsia="Times New Roman" w:hAnsi="ITC Avant Garde" w:cs="Times New Roman"/>
          <w:b/>
          <w:bCs/>
          <w:lang w:eastAsia="es-MX"/>
        </w:rPr>
      </w:pPr>
      <w:r w:rsidRPr="002A2450">
        <w:rPr>
          <w:rFonts w:ascii="ITC Avant Garde" w:eastAsia="Times New Roman" w:hAnsi="ITC Avant Garde" w:cs="Times New Roman"/>
          <w:bCs/>
          <w:lang w:eastAsia="es-MX"/>
        </w:rPr>
        <w:t xml:space="preserve">Ahora bien, toda vez que se ha determinado el </w:t>
      </w:r>
      <w:r w:rsidRPr="002A2450">
        <w:rPr>
          <w:rFonts w:ascii="ITC Avant Garde" w:eastAsia="Times New Roman" w:hAnsi="ITC Avant Garde" w:cs="Times New Roman"/>
          <w:bCs/>
          <w:i/>
          <w:lang w:eastAsia="es-MX"/>
        </w:rPr>
        <w:t>quantum</w:t>
      </w:r>
      <w:r w:rsidRPr="002A2450">
        <w:rPr>
          <w:rFonts w:ascii="ITC Avant Garde" w:eastAsia="Times New Roman" w:hAnsi="ITC Avant Garde" w:cs="Times New Roman"/>
          <w:bCs/>
          <w:lang w:eastAsia="es-MX"/>
        </w:rPr>
        <w:t xml:space="preserve"> de la multa derivado de los elementos de daño, gravedad e intencionalidad señalados en el artículo 73 de la </w:t>
      </w:r>
      <w:r w:rsidRPr="002A2450">
        <w:rPr>
          <w:rFonts w:ascii="ITC Avant Garde" w:eastAsia="Times New Roman" w:hAnsi="ITC Avant Garde" w:cs="Times New Roman"/>
          <w:b/>
          <w:bCs/>
          <w:lang w:eastAsia="es-MX"/>
        </w:rPr>
        <w:t>“LFPA”</w:t>
      </w:r>
      <w:r w:rsidRPr="002A2450">
        <w:rPr>
          <w:rFonts w:ascii="ITC Avant Garde" w:eastAsia="Times New Roman" w:hAnsi="ITC Avant Garde" w:cs="Times New Roman"/>
          <w:bCs/>
          <w:lang w:eastAsia="es-MX"/>
        </w:rPr>
        <w:t xml:space="preserve"> corresponde a esta autoridad analizar el último elemento de dicho artículo, esto es, la reincidencia, la cual está prevista </w:t>
      </w:r>
      <w:r w:rsidR="003F1339" w:rsidRPr="002A2450">
        <w:rPr>
          <w:rFonts w:ascii="ITC Avant Garde" w:eastAsia="Times New Roman" w:hAnsi="ITC Avant Garde" w:cs="Times New Roman"/>
          <w:bCs/>
          <w:lang w:eastAsia="es-MX"/>
        </w:rPr>
        <w:t xml:space="preserve">en la fracción IV, del </w:t>
      </w:r>
      <w:r w:rsidRPr="002A2450">
        <w:rPr>
          <w:rFonts w:ascii="ITC Avant Garde" w:eastAsia="Times New Roman" w:hAnsi="ITC Avant Garde" w:cs="Times New Roman"/>
          <w:bCs/>
          <w:lang w:eastAsia="es-MX"/>
        </w:rPr>
        <w:t>citado</w:t>
      </w:r>
      <w:r w:rsidR="003F1339" w:rsidRPr="002A2450">
        <w:rPr>
          <w:rFonts w:ascii="ITC Avant Garde" w:eastAsia="Times New Roman" w:hAnsi="ITC Avant Garde" w:cs="Times New Roman"/>
          <w:bCs/>
          <w:lang w:eastAsia="es-MX"/>
        </w:rPr>
        <w:t xml:space="preserve">, de la </w:t>
      </w:r>
      <w:r w:rsidR="003F1339" w:rsidRPr="002A2450">
        <w:rPr>
          <w:rFonts w:ascii="ITC Avant Garde" w:eastAsia="Times New Roman" w:hAnsi="ITC Avant Garde" w:cs="Times New Roman"/>
          <w:b/>
          <w:bCs/>
          <w:lang w:eastAsia="es-MX"/>
        </w:rPr>
        <w:t xml:space="preserve">“LFPA”, </w:t>
      </w:r>
      <w:r w:rsidR="003F1339" w:rsidRPr="002A2450">
        <w:rPr>
          <w:rFonts w:ascii="ITC Avant Garde" w:eastAsia="Times New Roman" w:hAnsi="ITC Avant Garde" w:cs="Times New Roman"/>
          <w:bCs/>
          <w:lang w:eastAsia="es-MX"/>
        </w:rPr>
        <w:t xml:space="preserve">en relación con los artículos 71 de la </w:t>
      </w:r>
      <w:r w:rsidR="003F1339" w:rsidRPr="002A2450">
        <w:rPr>
          <w:rFonts w:ascii="ITC Avant Garde" w:eastAsia="Times New Roman" w:hAnsi="ITC Avant Garde" w:cs="Times New Roman"/>
          <w:b/>
          <w:bCs/>
          <w:lang w:eastAsia="es-MX"/>
        </w:rPr>
        <w:t>“LFPA”</w:t>
      </w:r>
      <w:r w:rsidR="003F1339" w:rsidRPr="002A2450">
        <w:rPr>
          <w:rFonts w:ascii="ITC Avant Garde" w:eastAsia="Times New Roman" w:hAnsi="ITC Avant Garde" w:cs="Times New Roman"/>
          <w:bCs/>
          <w:lang w:eastAsia="es-MX"/>
        </w:rPr>
        <w:t xml:space="preserve"> y 71, antepenúltimo párrafo de la </w:t>
      </w:r>
      <w:r w:rsidR="003F1339" w:rsidRPr="002A2450">
        <w:rPr>
          <w:rFonts w:ascii="ITC Avant Garde" w:eastAsia="Times New Roman" w:hAnsi="ITC Avant Garde" w:cs="Times New Roman"/>
          <w:b/>
          <w:bCs/>
          <w:lang w:eastAsia="es-MX"/>
        </w:rPr>
        <w:t>“LFT”</w:t>
      </w:r>
      <w:r w:rsidRPr="002A2450">
        <w:rPr>
          <w:rFonts w:ascii="ITC Avant Garde" w:eastAsia="Times New Roman" w:hAnsi="ITC Avant Garde" w:cs="Times New Roman"/>
          <w:b/>
          <w:bCs/>
          <w:lang w:eastAsia="es-MX"/>
        </w:rPr>
        <w:t>.</w:t>
      </w:r>
    </w:p>
    <w:p w14:paraId="01A83B65" w14:textId="77777777" w:rsidR="00B35F13" w:rsidRDefault="0063563E"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En ese sentido, de acuerdo a lo previsto </w:t>
      </w:r>
      <w:r w:rsidR="008850B1" w:rsidRPr="002A2450">
        <w:rPr>
          <w:rFonts w:ascii="ITC Avant Garde" w:eastAsia="Times New Roman" w:hAnsi="ITC Avant Garde" w:cs="Times New Roman"/>
          <w:bCs/>
          <w:lang w:eastAsia="es-MX"/>
        </w:rPr>
        <w:t xml:space="preserve">por el artículo 71 del </w:t>
      </w:r>
      <w:r w:rsidR="008850B1" w:rsidRPr="002A2450">
        <w:rPr>
          <w:rFonts w:ascii="ITC Avant Garde" w:eastAsia="Times New Roman" w:hAnsi="ITC Avant Garde" w:cs="Times New Roman"/>
          <w:b/>
          <w:bCs/>
          <w:lang w:eastAsia="es-MX"/>
        </w:rPr>
        <w:t>“LFPA”</w:t>
      </w:r>
      <w:r w:rsidR="008850B1" w:rsidRPr="002A2450">
        <w:rPr>
          <w:rFonts w:ascii="ITC Avant Garde" w:eastAsia="Times New Roman" w:hAnsi="ITC Avant Garde" w:cs="Times New Roman"/>
          <w:bCs/>
          <w:lang w:eastAsia="es-MX"/>
        </w:rPr>
        <w:t>, en caso de reincidencia se duplicará la multa impuesta por la infracción anterior, sin que su monto exceda del doble del máximo.</w:t>
      </w:r>
    </w:p>
    <w:p w14:paraId="19744CFF" w14:textId="77777777" w:rsidR="00B35F13" w:rsidRDefault="008850B1"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Ahora bien, en términos del antepenúltimo párrafo del artículo 71 de la </w:t>
      </w:r>
      <w:r w:rsidRPr="002A2450">
        <w:rPr>
          <w:rFonts w:ascii="ITC Avant Garde" w:eastAsia="Times New Roman" w:hAnsi="ITC Avant Garde" w:cs="Times New Roman"/>
          <w:b/>
          <w:bCs/>
          <w:lang w:eastAsia="es-MX"/>
        </w:rPr>
        <w:t xml:space="preserve">“LFT” </w:t>
      </w:r>
      <w:r w:rsidRPr="002A2450">
        <w:rPr>
          <w:rFonts w:ascii="ITC Avant Garde" w:eastAsia="Times New Roman" w:hAnsi="ITC Avant Garde" w:cs="Times New Roman"/>
          <w:bCs/>
          <w:lang w:eastAsia="es-MX"/>
        </w:rPr>
        <w:t>en  caso  de  reincidencia,  se podrá imponer  una  multa  equivalente  hasta  el  doble  de  las cuantías previamente señaladas.</w:t>
      </w:r>
    </w:p>
    <w:p w14:paraId="1C5992DD" w14:textId="77777777" w:rsidR="00B35F13" w:rsidRDefault="008850B1"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En tales consideraciones, los artículos en comento no establecen los elementos que deben considerarse en los casos de reincidencia, sin embargo, a la luz de lo señalado puede advertirse, siguiendo los principios del derecho penal, </w:t>
      </w:r>
      <w:r w:rsidR="0022531B" w:rsidRPr="002A2450">
        <w:rPr>
          <w:rFonts w:ascii="ITC Avant Garde" w:eastAsia="Times New Roman" w:hAnsi="ITC Avant Garde" w:cs="Times New Roman"/>
          <w:bCs/>
          <w:lang w:eastAsia="es-MX"/>
        </w:rPr>
        <w:t xml:space="preserve">para que una </w:t>
      </w:r>
      <w:r w:rsidR="00BB0DE0" w:rsidRPr="002A2450">
        <w:rPr>
          <w:rFonts w:ascii="ITC Avant Garde" w:eastAsia="Times New Roman" w:hAnsi="ITC Avant Garde" w:cs="Times New Roman"/>
          <w:bCs/>
          <w:lang w:eastAsia="es-MX"/>
        </w:rPr>
        <w:t>infractora</w:t>
      </w:r>
      <w:r w:rsidR="0022531B" w:rsidRPr="002A2450">
        <w:rPr>
          <w:rFonts w:ascii="ITC Avant Garde" w:eastAsia="Times New Roman" w:hAnsi="ITC Avant Garde" w:cs="Times New Roman"/>
          <w:bCs/>
          <w:lang w:eastAsia="es-MX"/>
        </w:rPr>
        <w:t xml:space="preserve"> pueda incurrir en la reincidencia debe existir una resolución previa y en su caso la multa a imponer no puede pretender ir más allá del doble de la multa que en su caso corresponda.</w:t>
      </w:r>
    </w:p>
    <w:p w14:paraId="19F6BDCF" w14:textId="77777777" w:rsidR="00B35F13" w:rsidRDefault="0022531B"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Atendiendo a lo anterior, es necesario establecer que el derecho penal también </w:t>
      </w:r>
      <w:r w:rsidR="00BB0DE0" w:rsidRPr="002A2450">
        <w:rPr>
          <w:rFonts w:ascii="ITC Avant Garde" w:eastAsia="Times New Roman" w:hAnsi="ITC Avant Garde" w:cs="Times New Roman"/>
          <w:bCs/>
          <w:lang w:eastAsia="es-MX"/>
        </w:rPr>
        <w:t>h</w:t>
      </w:r>
      <w:r w:rsidRPr="002A2450">
        <w:rPr>
          <w:rFonts w:ascii="ITC Avant Garde" w:eastAsia="Times New Roman" w:hAnsi="ITC Avant Garde" w:cs="Times New Roman"/>
          <w:bCs/>
          <w:lang w:eastAsia="es-MX"/>
        </w:rPr>
        <w:t xml:space="preserve">a señalado que </w:t>
      </w:r>
      <w:r w:rsidR="002564D4" w:rsidRPr="002A2450">
        <w:rPr>
          <w:rFonts w:ascii="ITC Avant Garde" w:eastAsia="Times New Roman" w:hAnsi="ITC Avant Garde" w:cs="Times New Roman"/>
          <w:bCs/>
          <w:lang w:eastAsia="es-MX"/>
        </w:rPr>
        <w:t xml:space="preserve">debe sancionarse con mayor severidad aquellas conductas </w:t>
      </w:r>
      <w:r w:rsidR="002564D4" w:rsidRPr="002A2450">
        <w:rPr>
          <w:rFonts w:ascii="ITC Avant Garde" w:eastAsia="Times New Roman" w:hAnsi="ITC Avant Garde" w:cs="Times New Roman"/>
          <w:bCs/>
          <w:lang w:eastAsia="es-MX"/>
        </w:rPr>
        <w:lastRenderedPageBreak/>
        <w:t>específicas, esto es, aquellas conductas que son de la misma especie a diferencia de aquellas que son de distinta naturaleza.</w:t>
      </w:r>
    </w:p>
    <w:p w14:paraId="0B0438C3" w14:textId="77777777" w:rsidR="00B35F13" w:rsidRDefault="002564D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Sirve de apoyo la siguiente tesis:</w:t>
      </w:r>
    </w:p>
    <w:p w14:paraId="3FE24391" w14:textId="77777777" w:rsidR="00B35F13" w:rsidRDefault="002564D4" w:rsidP="00B35F13">
      <w:pPr>
        <w:spacing w:before="240" w:line="360" w:lineRule="auto"/>
        <w:ind w:left="567" w:right="567"/>
        <w:jc w:val="both"/>
        <w:rPr>
          <w:rFonts w:ascii="ITC Avant Garde" w:eastAsia="Times New Roman" w:hAnsi="ITC Avant Garde" w:cs="Times New Roman"/>
          <w:bCs/>
          <w:lang w:eastAsia="es-MX"/>
        </w:rPr>
      </w:pPr>
      <w:r w:rsidRPr="002A2450">
        <w:rPr>
          <w:rFonts w:ascii="ITC Avant Garde" w:eastAsia="Times New Roman" w:hAnsi="ITC Avant Garde" w:cs="Times New Roman"/>
          <w:b/>
          <w:bCs/>
          <w:lang w:eastAsia="es-MX"/>
        </w:rPr>
        <w:t xml:space="preserve">REINCIDENCIA ESPECÍFICA </w:t>
      </w:r>
      <w:r w:rsidRPr="00FC328B">
        <w:rPr>
          <w:rFonts w:ascii="ITC Avant Garde" w:eastAsia="Times New Roman" w:hAnsi="ITC Avant Garde" w:cs="Times New Roman"/>
          <w:b/>
          <w:bCs/>
          <w:lang w:eastAsia="es-MX"/>
        </w:rPr>
        <w:t>Y GEN</w:t>
      </w:r>
      <w:r w:rsidR="00FC328B" w:rsidRPr="00FC328B">
        <w:rPr>
          <w:rFonts w:ascii="ITC Avant Garde" w:eastAsia="Times New Roman" w:hAnsi="ITC Avant Garde" w:cs="Times New Roman"/>
          <w:b/>
          <w:bCs/>
          <w:lang w:eastAsia="es-MX"/>
        </w:rPr>
        <w:t>É</w:t>
      </w:r>
      <w:r w:rsidRPr="00FC328B">
        <w:rPr>
          <w:rFonts w:ascii="ITC Avant Garde" w:eastAsia="Times New Roman" w:hAnsi="ITC Avant Garde" w:cs="Times New Roman"/>
          <w:b/>
          <w:bCs/>
          <w:lang w:eastAsia="es-MX"/>
        </w:rPr>
        <w:t>RICA (LEGISLACI</w:t>
      </w:r>
      <w:r w:rsidR="00FC328B" w:rsidRPr="00FC328B">
        <w:rPr>
          <w:rFonts w:ascii="ITC Avant Garde" w:eastAsia="Times New Roman" w:hAnsi="ITC Avant Garde" w:cs="Times New Roman"/>
          <w:b/>
          <w:bCs/>
          <w:lang w:eastAsia="es-MX"/>
        </w:rPr>
        <w:t>Ó</w:t>
      </w:r>
      <w:r w:rsidRPr="00FC328B">
        <w:rPr>
          <w:rFonts w:ascii="ITC Avant Garde" w:eastAsia="Times New Roman" w:hAnsi="ITC Avant Garde" w:cs="Times New Roman"/>
          <w:b/>
          <w:bCs/>
          <w:lang w:eastAsia="es-MX"/>
        </w:rPr>
        <w:t>N DEL DISTRITO</w:t>
      </w:r>
      <w:r w:rsidRPr="002A2450">
        <w:rPr>
          <w:rFonts w:ascii="ITC Avant Garde" w:eastAsia="Times New Roman" w:hAnsi="ITC Avant Garde" w:cs="Times New Roman"/>
          <w:b/>
          <w:bCs/>
          <w:lang w:eastAsia="es-MX"/>
        </w:rPr>
        <w:t xml:space="preserve"> FEDERAL).</w:t>
      </w:r>
      <w:r w:rsidRPr="002A2450">
        <w:rPr>
          <w:rFonts w:ascii="ITC Avant Garde" w:eastAsia="Times New Roman" w:hAnsi="ITC Avant Garde" w:cs="Times New Roman"/>
          <w:bCs/>
          <w:lang w:eastAsia="es-MX"/>
        </w:rPr>
        <w:t xml:space="preserve"> Aun cuando la diferenciación entre reincidencia específica y genérica no es expresa en el Código Penal para el Distrito y Territorios Federales, del texto de su artículo 65 se desprende que el legislador quiso establecer dos conceptos de reincidencia para punir con menor sanción la que se produzca en delitos de cualquier clase (genérica) y con mayor cuando sea en delitos de la misma especie (específica).</w:t>
      </w:r>
    </w:p>
    <w:p w14:paraId="477E72E1" w14:textId="77777777" w:rsidR="00B35F13" w:rsidRDefault="002564D4" w:rsidP="00B35F13">
      <w:pPr>
        <w:spacing w:before="240" w:line="360" w:lineRule="auto"/>
        <w:ind w:left="567" w:right="567"/>
        <w:jc w:val="both"/>
        <w:rPr>
          <w:rFonts w:ascii="ITC Avant Garde" w:eastAsia="Times New Roman" w:hAnsi="ITC Avant Garde" w:cs="Times New Roman"/>
          <w:bCs/>
          <w:sz w:val="18"/>
          <w:lang w:eastAsia="es-MX"/>
        </w:rPr>
      </w:pPr>
      <w:r w:rsidRPr="009E34A4">
        <w:rPr>
          <w:rFonts w:ascii="ITC Avant Garde" w:eastAsia="Times New Roman" w:hAnsi="ITC Avant Garde" w:cs="Times New Roman"/>
          <w:bCs/>
          <w:sz w:val="18"/>
          <w:lang w:eastAsia="es-MX"/>
        </w:rPr>
        <w:t xml:space="preserve">Época: Séptima Época, Registro: 246341, Instancia: Sala Auxiliar, Tipo de Tesis: Aislada, Fuente: Semanario Judicial de la Federación, Volumen 17, Séptima Parte, Materia(s): Penal, Tesis: Página: 33 </w:t>
      </w:r>
    </w:p>
    <w:p w14:paraId="6DD75C04" w14:textId="77777777" w:rsidR="00B35F13" w:rsidRDefault="002564D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Ahora bien, en el presente asunto se consideró que </w:t>
      </w:r>
      <w:r w:rsidRPr="002A2450">
        <w:rPr>
          <w:rFonts w:ascii="ITC Avant Garde" w:eastAsia="Times New Roman" w:hAnsi="ITC Avant Garde" w:cs="Times New Roman"/>
          <w:b/>
          <w:bCs/>
          <w:lang w:eastAsia="es-MX"/>
        </w:rPr>
        <w:t>“TELMEX”</w:t>
      </w:r>
      <w:r w:rsidRPr="002A2450">
        <w:rPr>
          <w:rFonts w:ascii="ITC Avant Garde" w:eastAsia="Times New Roman" w:hAnsi="ITC Avant Garde" w:cs="Times New Roman"/>
          <w:bCs/>
          <w:lang w:eastAsia="es-MX"/>
        </w:rPr>
        <w:t xml:space="preserve"> dado los antecedentes que obran en los archivos de esta autoridad, se puede apreciar que ha sido sancionado entre otras por violaciones a las condiciones de su </w:t>
      </w:r>
      <w:r w:rsidRPr="002A2450">
        <w:rPr>
          <w:rFonts w:ascii="ITC Avant Garde" w:eastAsia="Times New Roman" w:hAnsi="ITC Avant Garde" w:cs="Times New Roman"/>
          <w:b/>
          <w:bCs/>
          <w:lang w:eastAsia="es-MX"/>
        </w:rPr>
        <w:t xml:space="preserve">“TÍTULO DE CONCESIÓN”, </w:t>
      </w:r>
      <w:r w:rsidRPr="002A2450">
        <w:rPr>
          <w:rFonts w:ascii="ITC Avant Garde" w:eastAsia="Times New Roman" w:hAnsi="ITC Avant Garde" w:cs="Times New Roman"/>
          <w:bCs/>
          <w:lang w:eastAsia="es-MX"/>
        </w:rPr>
        <w:t>lo cual lo ubica dentro del supuesto de las reincidencias específicas.</w:t>
      </w:r>
    </w:p>
    <w:p w14:paraId="01B512AF" w14:textId="5909F3B5" w:rsidR="00D768E4" w:rsidRPr="002A2450" w:rsidRDefault="002564D4" w:rsidP="00B35F13">
      <w:pPr>
        <w:pStyle w:val="Sangradetextonormal"/>
        <w:spacing w:before="240" w:after="160" w:line="360" w:lineRule="auto"/>
        <w:ind w:left="0"/>
        <w:jc w:val="both"/>
        <w:rPr>
          <w:rFonts w:ascii="ITC Avant Garde" w:eastAsia="Times New Roman" w:hAnsi="ITC Avant Garde" w:cs="Times New Roman"/>
          <w:bCs/>
          <w:lang w:eastAsia="es-MX"/>
        </w:rPr>
      </w:pPr>
      <w:r w:rsidRPr="002A2450">
        <w:rPr>
          <w:rFonts w:ascii="ITC Avant Garde" w:eastAsia="Times New Roman" w:hAnsi="ITC Avant Garde" w:cs="Times New Roman"/>
          <w:bCs/>
          <w:lang w:eastAsia="es-MX"/>
        </w:rPr>
        <w:t xml:space="preserve">En ese sentido, los elementos para gravar la multa deben ser proporcional a la conducta realizada, cuyos elementos han sido desarrollados </w:t>
      </w:r>
      <w:r w:rsidR="00DE2F11" w:rsidRPr="002A2450">
        <w:rPr>
          <w:rFonts w:ascii="ITC Avant Garde" w:eastAsia="Times New Roman" w:hAnsi="ITC Avant Garde" w:cs="Times New Roman"/>
          <w:bCs/>
          <w:lang w:eastAsia="es-MX"/>
        </w:rPr>
        <w:t xml:space="preserve">previamente de los cuales es posible observar que la conducta realizada es grave, dónde existió intencionalidad en la conducta y el daño ocasionado al sector, no obstante que al haber sido sancionado previamente </w:t>
      </w:r>
      <w:r w:rsidR="00DE2F11" w:rsidRPr="002A2450">
        <w:rPr>
          <w:rFonts w:ascii="ITC Avant Garde" w:eastAsia="Times New Roman" w:hAnsi="ITC Avant Garde" w:cs="Times New Roman"/>
          <w:b/>
          <w:bCs/>
          <w:lang w:eastAsia="es-MX"/>
        </w:rPr>
        <w:t>“TELMEX”</w:t>
      </w:r>
      <w:r w:rsidR="00DE2F11" w:rsidRPr="002A2450">
        <w:rPr>
          <w:rFonts w:ascii="ITC Avant Garde" w:eastAsia="Times New Roman" w:hAnsi="ITC Avant Garde" w:cs="Times New Roman"/>
          <w:bCs/>
          <w:lang w:eastAsia="es-MX"/>
        </w:rPr>
        <w:t xml:space="preserve"> por el incumplimiento a las condiciones de su </w:t>
      </w:r>
      <w:r w:rsidR="00DE2F11" w:rsidRPr="002A2450">
        <w:rPr>
          <w:rFonts w:ascii="ITC Avant Garde" w:eastAsia="Times New Roman" w:hAnsi="ITC Avant Garde" w:cs="Times New Roman"/>
          <w:b/>
          <w:bCs/>
          <w:lang w:eastAsia="es-MX"/>
        </w:rPr>
        <w:t xml:space="preserve">“TÍTULO DE CONCESIÓN” </w:t>
      </w:r>
      <w:r w:rsidR="00DE2F11" w:rsidRPr="002A2450">
        <w:rPr>
          <w:rFonts w:ascii="ITC Avant Garde" w:eastAsia="Times New Roman" w:hAnsi="ITC Avant Garde" w:cs="Times New Roman"/>
          <w:bCs/>
          <w:lang w:eastAsia="es-MX"/>
        </w:rPr>
        <w:t>sabía de antemano las consecuencias de sus acciones y no obstante ello, llevó a cabo la conducta realizada.</w:t>
      </w:r>
    </w:p>
    <w:p w14:paraId="1F4B45AA" w14:textId="77777777" w:rsidR="00A80E02" w:rsidRDefault="0055552D" w:rsidP="00B35F13">
      <w:pPr>
        <w:pStyle w:val="Sangradetextonormal"/>
        <w:spacing w:before="240" w:after="160" w:line="360" w:lineRule="auto"/>
        <w:ind w:left="0"/>
        <w:jc w:val="both"/>
        <w:rPr>
          <w:rFonts w:ascii="ITC Avant Garde" w:eastAsia="Times New Roman" w:hAnsi="ITC Avant Garde" w:cs="Times New Roman"/>
          <w:bCs/>
          <w:lang w:eastAsia="es-MX"/>
        </w:rPr>
        <w:sectPr w:rsidR="00A80E02" w:rsidSect="009F3771">
          <w:headerReference w:type="default" r:id="rId80"/>
          <w:pgSz w:w="12240" w:h="15840"/>
          <w:pgMar w:top="1985" w:right="1701" w:bottom="1418" w:left="1701" w:header="709" w:footer="709" w:gutter="0"/>
          <w:cols w:space="708"/>
          <w:docGrid w:linePitch="360"/>
        </w:sectPr>
      </w:pPr>
      <w:r>
        <w:rPr>
          <w:rFonts w:ascii="ITC Avant Garde" w:eastAsia="Times New Roman" w:hAnsi="ITC Avant Garde" w:cs="Times New Roman"/>
          <w:bCs/>
          <w:lang w:eastAsia="es-MX"/>
        </w:rPr>
        <w:t xml:space="preserve">Ahora bien, </w:t>
      </w:r>
      <w:r w:rsidR="002338CB">
        <w:rPr>
          <w:rFonts w:ascii="ITC Avant Garde" w:eastAsia="Times New Roman" w:hAnsi="ITC Avant Garde" w:cs="Times New Roman"/>
          <w:bCs/>
          <w:lang w:eastAsia="es-MX"/>
        </w:rPr>
        <w:t xml:space="preserve">es un hecho notorio para este Pleno que mediante oficio 2.1.-687/2010 de veinticuatro de noviembre de dos mil dieciséis, la Dirección General de Política de Telecomunicaciones y Radiodifusión, remitió el diverso 1.287 de veinticuatro de </w:t>
      </w:r>
    </w:p>
    <w:p w14:paraId="25C7979E" w14:textId="115C42B9" w:rsidR="0055552D" w:rsidRPr="002338CB" w:rsidRDefault="002338CB" w:rsidP="00B35F13">
      <w:pPr>
        <w:pStyle w:val="Sangradetextonormal"/>
        <w:spacing w:before="240" w:after="160" w:line="360" w:lineRule="auto"/>
        <w:ind w:left="0"/>
        <w:jc w:val="both"/>
        <w:rPr>
          <w:rFonts w:ascii="ITC Avant Garde" w:eastAsia="Times New Roman" w:hAnsi="ITC Avant Garde" w:cs="Times New Roman"/>
          <w:bCs/>
          <w:lang w:eastAsia="es-MX"/>
        </w:rPr>
      </w:pPr>
      <w:proofErr w:type="gramStart"/>
      <w:r>
        <w:rPr>
          <w:rFonts w:ascii="ITC Avant Garde" w:eastAsia="Times New Roman" w:hAnsi="ITC Avant Garde" w:cs="Times New Roman"/>
          <w:bCs/>
          <w:lang w:eastAsia="es-MX"/>
        </w:rPr>
        <w:lastRenderedPageBreak/>
        <w:t>noviembre</w:t>
      </w:r>
      <w:proofErr w:type="gramEnd"/>
      <w:r>
        <w:rPr>
          <w:rFonts w:ascii="ITC Avant Garde" w:eastAsia="Times New Roman" w:hAnsi="ITC Avant Garde" w:cs="Times New Roman"/>
          <w:bCs/>
          <w:lang w:eastAsia="es-MX"/>
        </w:rPr>
        <w:t xml:space="preserve"> de dos mil dieciséis por el que la Subsecretaría de Comunicaciones, de la Secretaría de Comunicaciones y Transportes informó a la Unidad de Concesiones y Servicios de este </w:t>
      </w:r>
      <w:r>
        <w:rPr>
          <w:rFonts w:ascii="ITC Avant Garde" w:eastAsia="Times New Roman" w:hAnsi="ITC Avant Garde" w:cs="Times New Roman"/>
          <w:b/>
          <w:bCs/>
          <w:lang w:eastAsia="es-MX"/>
        </w:rPr>
        <w:t>“IFT”</w:t>
      </w:r>
      <w:r>
        <w:rPr>
          <w:rFonts w:ascii="ITC Avant Garde" w:eastAsia="Times New Roman" w:hAnsi="ITC Avant Garde" w:cs="Times New Roman"/>
          <w:bCs/>
          <w:lang w:eastAsia="es-MX"/>
        </w:rPr>
        <w:t xml:space="preserve"> que respecto de las solicitudes de prórroga al </w:t>
      </w:r>
      <w:r>
        <w:rPr>
          <w:rFonts w:ascii="ITC Avant Garde" w:eastAsia="Times New Roman" w:hAnsi="ITC Avant Garde" w:cs="Times New Roman"/>
          <w:b/>
          <w:bCs/>
          <w:lang w:eastAsia="es-MX"/>
        </w:rPr>
        <w:t>“TÍTULO DE CONCESIÓN”</w:t>
      </w:r>
      <w:r>
        <w:rPr>
          <w:rFonts w:ascii="ITC Avant Garde" w:eastAsia="Times New Roman" w:hAnsi="ITC Avant Garde" w:cs="Times New Roman"/>
          <w:bCs/>
          <w:lang w:eastAsia="es-MX"/>
        </w:rPr>
        <w:t xml:space="preserve"> otorgado a </w:t>
      </w:r>
      <w:r>
        <w:rPr>
          <w:rFonts w:ascii="ITC Avant Garde" w:eastAsia="Times New Roman" w:hAnsi="ITC Avant Garde" w:cs="Times New Roman"/>
          <w:b/>
          <w:bCs/>
          <w:lang w:eastAsia="es-MX"/>
        </w:rPr>
        <w:t>“TELMEX”</w:t>
      </w:r>
      <w:r w:rsidR="00F16B49">
        <w:rPr>
          <w:rFonts w:ascii="ITC Avant Garde" w:eastAsia="Times New Roman" w:hAnsi="ITC Avant Garde" w:cs="Times New Roman"/>
          <w:b/>
          <w:bCs/>
          <w:lang w:eastAsia="es-MX"/>
        </w:rPr>
        <w:t>,</w:t>
      </w:r>
      <w:r>
        <w:rPr>
          <w:rFonts w:ascii="ITC Avant Garde" w:eastAsia="Times New Roman" w:hAnsi="ITC Avant Garde" w:cs="Times New Roman"/>
          <w:bCs/>
          <w:lang w:eastAsia="es-MX"/>
        </w:rPr>
        <w:t xml:space="preserve"> se encontr</w:t>
      </w:r>
      <w:r w:rsidR="00F16B49">
        <w:rPr>
          <w:rFonts w:ascii="ITC Avant Garde" w:eastAsia="Times New Roman" w:hAnsi="ITC Avant Garde" w:cs="Times New Roman"/>
          <w:bCs/>
          <w:lang w:eastAsia="es-MX"/>
        </w:rPr>
        <w:t xml:space="preserve">aron en los archivos de esa Secretaría, los siguientes antecedentes </w:t>
      </w:r>
      <w:r w:rsidR="00073D64">
        <w:rPr>
          <w:rFonts w:ascii="ITC Avant Garde" w:eastAsia="Times New Roman" w:hAnsi="ITC Avant Garde" w:cs="Times New Roman"/>
          <w:bCs/>
          <w:lang w:eastAsia="es-MX"/>
        </w:rPr>
        <w:t>respecto de los cuáles existe cosa juzgada:</w:t>
      </w:r>
    </w:p>
    <w:p w14:paraId="56F5BCD8" w14:textId="77777777" w:rsidR="00E5393E" w:rsidRDefault="003E62B6" w:rsidP="003E62B6">
      <w:pPr>
        <w:spacing w:before="240" w:line="360" w:lineRule="auto"/>
        <w:jc w:val="center"/>
        <w:rPr>
          <w:rFonts w:ascii="ITC Avant Garde" w:hAnsi="ITC Avant Garde"/>
          <w:b/>
          <w:color w:val="A6A6A6" w:themeColor="background1" w:themeShade="A6"/>
          <w:sz w:val="28"/>
          <w:szCs w:val="28"/>
        </w:rPr>
        <w:sectPr w:rsidR="00E5393E" w:rsidSect="009F3771">
          <w:headerReference w:type="default" r:id="rId81"/>
          <w:pgSz w:w="12240" w:h="15840"/>
          <w:pgMar w:top="1985" w:right="1701" w:bottom="1418" w:left="1701" w:header="709" w:footer="709" w:gutter="0"/>
          <w:cols w:space="708"/>
          <w:docGrid w:linePitch="360"/>
        </w:sectPr>
      </w:pPr>
      <w:r w:rsidRPr="003E62B6">
        <w:rPr>
          <w:rFonts w:ascii="ITC Avant Garde" w:hAnsi="ITC Avant Garde"/>
          <w:b/>
          <w:color w:val="A6A6A6" w:themeColor="background1" w:themeShade="A6"/>
          <w:sz w:val="28"/>
          <w:szCs w:val="28"/>
        </w:rPr>
        <w:t>SIN TEXTO</w:t>
      </w:r>
    </w:p>
    <w:p w14:paraId="6D66AB20" w14:textId="226070EA" w:rsidR="00E5393E" w:rsidRDefault="003E62B6" w:rsidP="00E5393E">
      <w:pPr>
        <w:tabs>
          <w:tab w:val="left" w:pos="5352"/>
        </w:tabs>
        <w:spacing w:before="240" w:line="360" w:lineRule="auto"/>
        <w:rPr>
          <w:rFonts w:ascii="ITC Avant Garde" w:eastAsia="Times New Roman" w:hAnsi="ITC Avant Garde" w:cs="Times New Roman"/>
          <w:bCs/>
          <w:lang w:eastAsia="es-MX"/>
        </w:rPr>
      </w:pPr>
      <w:r>
        <w:rPr>
          <w:noProof/>
          <w:lang w:eastAsia="es-MX"/>
        </w:rPr>
        <w:lastRenderedPageBreak/>
        <w:drawing>
          <wp:inline distT="0" distB="0" distL="0" distR="0" wp14:anchorId="3B707D44" wp14:editId="53FAE1F2">
            <wp:extent cx="5612130" cy="4575467"/>
            <wp:effectExtent l="0" t="0" r="7620" b="0"/>
            <wp:docPr id="1" name="Imagen 1" descr="La imagen se refiere a Antecedentes del Juicio, pero contiene información Confidencial por Ley. " title="Anteced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4852" t="46601" r="33689" b="7797"/>
                    <a:stretch/>
                  </pic:blipFill>
                  <pic:spPr bwMode="auto">
                    <a:xfrm>
                      <a:off x="0" y="0"/>
                      <a:ext cx="5612130" cy="4575467"/>
                    </a:xfrm>
                    <a:prstGeom prst="rect">
                      <a:avLst/>
                    </a:prstGeom>
                    <a:ln>
                      <a:noFill/>
                    </a:ln>
                    <a:extLst>
                      <a:ext uri="{53640926-AAD7-44D8-BBD7-CCE9431645EC}">
                        <a14:shadowObscured xmlns:a14="http://schemas.microsoft.com/office/drawing/2010/main"/>
                      </a:ext>
                    </a:extLst>
                  </pic:spPr>
                </pic:pic>
              </a:graphicData>
            </a:graphic>
          </wp:inline>
        </w:drawing>
      </w:r>
      <w:r w:rsidR="00E5393E">
        <w:rPr>
          <w:noProof/>
          <w:lang w:eastAsia="es-MX"/>
        </w:rPr>
        <w:lastRenderedPageBreak/>
        <w:drawing>
          <wp:inline distT="0" distB="0" distL="0" distR="0" wp14:anchorId="445195B5" wp14:editId="48ED51B7">
            <wp:extent cx="5612130" cy="5183505"/>
            <wp:effectExtent l="0" t="0" r="7620" b="0"/>
            <wp:docPr id="2" name="Imagen 2" descr="La imagen se refiere a la continuación de los Antecedentes del Juicio, pero contiene información Confidencial por Ley. " title="Antecedent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5709" t="28716" r="34682" b="22661"/>
                    <a:stretch/>
                  </pic:blipFill>
                  <pic:spPr bwMode="auto">
                    <a:xfrm>
                      <a:off x="0" y="0"/>
                      <a:ext cx="5612130" cy="5183505"/>
                    </a:xfrm>
                    <a:prstGeom prst="rect">
                      <a:avLst/>
                    </a:prstGeom>
                    <a:ln>
                      <a:noFill/>
                    </a:ln>
                    <a:extLst>
                      <a:ext uri="{53640926-AAD7-44D8-BBD7-CCE9431645EC}">
                        <a14:shadowObscured xmlns:a14="http://schemas.microsoft.com/office/drawing/2010/main"/>
                      </a:ext>
                    </a:extLst>
                  </pic:spPr>
                </pic:pic>
              </a:graphicData>
            </a:graphic>
          </wp:inline>
        </w:drawing>
      </w:r>
    </w:p>
    <w:p w14:paraId="61F99DF2" w14:textId="77777777" w:rsidR="00E5393E" w:rsidRDefault="00E5393E" w:rsidP="00B35F13">
      <w:pPr>
        <w:spacing w:before="240" w:line="360" w:lineRule="auto"/>
        <w:jc w:val="both"/>
        <w:rPr>
          <w:rFonts w:ascii="ITC Avant Garde" w:eastAsia="Times New Roman" w:hAnsi="ITC Avant Garde" w:cs="Times New Roman"/>
          <w:bCs/>
          <w:lang w:eastAsia="es-MX"/>
        </w:rPr>
        <w:sectPr w:rsidR="00E5393E" w:rsidSect="009F3771">
          <w:headerReference w:type="default" r:id="rId84"/>
          <w:pgSz w:w="12240" w:h="15840"/>
          <w:pgMar w:top="1985" w:right="1701" w:bottom="1418" w:left="1701" w:header="709" w:footer="709" w:gutter="0"/>
          <w:cols w:space="708"/>
          <w:docGrid w:linePitch="360"/>
        </w:sectPr>
      </w:pPr>
      <w:r>
        <w:rPr>
          <w:rFonts w:ascii="ITC Avant Garde" w:eastAsia="Times New Roman" w:hAnsi="ITC Avant Garde" w:cs="Times New Roman"/>
          <w:bCs/>
          <w:lang w:eastAsia="es-MX"/>
        </w:rPr>
        <w:t>Asimismo, obra en los archivos de la Unidad de Cumplimiento el oficio IFT/</w:t>
      </w:r>
      <w:r w:rsidRPr="00FC328B">
        <w:rPr>
          <w:rFonts w:ascii="ITC Avant Garde" w:eastAsia="Times New Roman" w:hAnsi="ITC Avant Garde" w:cs="Times New Roman"/>
          <w:bCs/>
          <w:lang w:eastAsia="es-MX"/>
        </w:rPr>
        <w:t>227//UAJ-</w:t>
      </w:r>
      <w:r>
        <w:rPr>
          <w:rFonts w:ascii="ITC Avant Garde" w:eastAsia="Times New Roman" w:hAnsi="ITC Avant Garde" w:cs="Times New Roman"/>
          <w:bCs/>
          <w:lang w:eastAsia="es-MX"/>
        </w:rPr>
        <w:t xml:space="preserve">DG-DEJU/0609/2017 de trece de marzo de dos mil diecisiete, mediante el cual la Dirección General de Defensa Jurídica de la Unidad de Asuntos Jurídicos de este </w:t>
      </w:r>
      <w:r>
        <w:rPr>
          <w:rFonts w:ascii="ITC Avant Garde" w:eastAsia="Times New Roman" w:hAnsi="ITC Avant Garde" w:cs="Times New Roman"/>
          <w:b/>
          <w:bCs/>
          <w:lang w:eastAsia="es-MX"/>
        </w:rPr>
        <w:t>“IFT”</w:t>
      </w:r>
      <w:r>
        <w:rPr>
          <w:rFonts w:ascii="ITC Avant Garde" w:eastAsia="Times New Roman" w:hAnsi="ITC Avant Garde" w:cs="Times New Roman"/>
          <w:bCs/>
          <w:lang w:eastAsia="es-MX"/>
        </w:rPr>
        <w:t xml:space="preserve"> </w:t>
      </w:r>
      <w:r w:rsidR="00073D64">
        <w:rPr>
          <w:rFonts w:ascii="ITC Avant Garde" w:eastAsia="Times New Roman" w:hAnsi="ITC Avant Garde" w:cs="Times New Roman"/>
          <w:bCs/>
          <w:lang w:eastAsia="es-MX"/>
        </w:rPr>
        <w:t>informa de lo resuelto por el Primer Tribunal Colegiado de Circuito en Materia Administrativa Especializado en Competencia Económica, Radiodifusión y Telecomunicaciones, en el amparo en revisión 76/2016 que en su parte medular señala lo siguiente:</w:t>
      </w:r>
    </w:p>
    <w:p w14:paraId="28AD818E" w14:textId="77777777" w:rsidR="00B35F13" w:rsidRDefault="00923197" w:rsidP="00B35F13">
      <w:pPr>
        <w:spacing w:before="240" w:line="360" w:lineRule="auto"/>
        <w:jc w:val="center"/>
        <w:rPr>
          <w:noProof/>
          <w:lang w:eastAsia="es-MX"/>
        </w:rPr>
      </w:pPr>
      <w:r>
        <w:rPr>
          <w:noProof/>
          <w:lang w:eastAsia="es-MX"/>
        </w:rPr>
        <w:lastRenderedPageBreak/>
        <w:drawing>
          <wp:inline distT="0" distB="0" distL="0" distR="0" wp14:anchorId="588C1E1C" wp14:editId="16836BDC">
            <wp:extent cx="5170414" cy="2085975"/>
            <wp:effectExtent l="0" t="0" r="0" b="0"/>
            <wp:docPr id="11" name="Imagen 11" descr="La imagen se refiere a un extracto de texto del amparo en revisión 76/2016." title="Amparo en r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2845" t="53115" r="33300" b="22601"/>
                    <a:stretch/>
                  </pic:blipFill>
                  <pic:spPr bwMode="auto">
                    <a:xfrm>
                      <a:off x="0" y="0"/>
                      <a:ext cx="5199119" cy="2097556"/>
                    </a:xfrm>
                    <a:prstGeom prst="rect">
                      <a:avLst/>
                    </a:prstGeom>
                    <a:ln>
                      <a:noFill/>
                    </a:ln>
                    <a:extLst>
                      <a:ext uri="{53640926-AAD7-44D8-BBD7-CCE9431645EC}">
                        <a14:shadowObscured xmlns:a14="http://schemas.microsoft.com/office/drawing/2010/main"/>
                      </a:ext>
                    </a:extLst>
                  </pic:spPr>
                </pic:pic>
              </a:graphicData>
            </a:graphic>
          </wp:inline>
        </w:drawing>
      </w:r>
    </w:p>
    <w:p w14:paraId="0DAB0313" w14:textId="7B8B439B" w:rsidR="00B35F13" w:rsidRDefault="00D768E4" w:rsidP="00B35F13">
      <w:pPr>
        <w:pStyle w:val="Sangradetextonormal"/>
        <w:spacing w:before="240" w:after="160" w:line="360" w:lineRule="auto"/>
        <w:ind w:left="0"/>
        <w:jc w:val="both"/>
        <w:rPr>
          <w:rFonts w:ascii="ITC Avant Garde" w:eastAsia="Times New Roman" w:hAnsi="ITC Avant Garde"/>
          <w:bCs/>
          <w:lang w:eastAsia="es-MX"/>
        </w:rPr>
      </w:pPr>
      <w:r w:rsidRPr="002A2450">
        <w:rPr>
          <w:rFonts w:ascii="ITC Avant Garde" w:eastAsia="Times New Roman" w:hAnsi="ITC Avant Garde" w:cs="Times New Roman"/>
          <w:bCs/>
          <w:lang w:eastAsia="es-MX"/>
        </w:rPr>
        <w:t xml:space="preserve">En tales consideraciones, a la cantidad de </w:t>
      </w:r>
      <w:r w:rsidRPr="002A2450">
        <w:rPr>
          <w:rFonts w:ascii="ITC Avant Garde" w:eastAsia="Times New Roman" w:hAnsi="ITC Avant Garde" w:cs="Times New Roman"/>
          <w:b/>
          <w:bCs/>
          <w:lang w:eastAsia="es-MX"/>
        </w:rPr>
        <w:t xml:space="preserve">$2,691,600.00 </w:t>
      </w:r>
      <w:r w:rsidRPr="002A2450">
        <w:rPr>
          <w:rFonts w:ascii="ITC Avant Garde" w:eastAsia="Times New Roman" w:hAnsi="ITC Avant Garde" w:cs="Times New Roman"/>
          <w:bCs/>
          <w:lang w:eastAsia="es-MX"/>
        </w:rPr>
        <w:t xml:space="preserve">(Dos millones seiscientos noventa y un mil seiscientos pesos 00/100 M.N.) </w:t>
      </w:r>
      <w:r w:rsidR="00AD6110" w:rsidRPr="002A2450">
        <w:rPr>
          <w:rFonts w:ascii="ITC Avant Garde" w:eastAsia="Times New Roman" w:hAnsi="ITC Avant Garde" w:cs="Times New Roman"/>
          <w:bCs/>
          <w:lang w:eastAsia="es-MX"/>
        </w:rPr>
        <w:t xml:space="preserve">establecida </w:t>
      </w:r>
      <w:r w:rsidRPr="002A2450">
        <w:rPr>
          <w:rFonts w:ascii="ITC Avant Garde" w:eastAsia="Times New Roman" w:hAnsi="ITC Avant Garde" w:cs="Times New Roman"/>
          <w:bCs/>
          <w:lang w:eastAsia="es-MX"/>
        </w:rPr>
        <w:t xml:space="preserve">como multa primigenia, por violar lo establecido en el </w:t>
      </w:r>
      <w:r w:rsidR="00065AA4" w:rsidRPr="009E34A4">
        <w:rPr>
          <w:rFonts w:ascii="ITC Avant Garde" w:eastAsia="Times New Roman" w:hAnsi="ITC Avant Garde" w:cs="Times New Roman"/>
          <w:b/>
          <w:bCs/>
          <w:lang w:eastAsia="es-MX"/>
        </w:rPr>
        <w:t>Tercer Párrafo</w:t>
      </w:r>
      <w:r w:rsidRPr="002A2450">
        <w:rPr>
          <w:rFonts w:ascii="ITC Avant Garde" w:eastAsia="Times New Roman" w:hAnsi="ITC Avant Garde" w:cs="Times New Roman"/>
          <w:bCs/>
          <w:lang w:eastAsia="es-MX"/>
        </w:rPr>
        <w:t xml:space="preserve"> de la condición 1-9 de su </w:t>
      </w:r>
      <w:r w:rsidRPr="002A2450">
        <w:rPr>
          <w:rFonts w:ascii="ITC Avant Garde" w:eastAsia="Times New Roman" w:hAnsi="ITC Avant Garde" w:cs="Times New Roman"/>
          <w:b/>
          <w:bCs/>
          <w:lang w:eastAsia="es-MX"/>
        </w:rPr>
        <w:t xml:space="preserve">“TÍTULO DE CONCESIÓN” </w:t>
      </w:r>
      <w:r w:rsidRPr="002A2450">
        <w:rPr>
          <w:rFonts w:ascii="ITC Avant Garde" w:eastAsia="Times New Roman" w:hAnsi="ITC Avant Garde" w:cs="Times New Roman"/>
          <w:bCs/>
          <w:lang w:eastAsia="es-MX"/>
        </w:rPr>
        <w:t xml:space="preserve">debe </w:t>
      </w:r>
      <w:r w:rsidR="000923FB" w:rsidRPr="002A2450">
        <w:rPr>
          <w:rFonts w:ascii="ITC Avant Garde" w:eastAsia="Times New Roman" w:hAnsi="ITC Avant Garde" w:cs="Times New Roman"/>
          <w:bCs/>
          <w:lang w:eastAsia="es-MX"/>
        </w:rPr>
        <w:t xml:space="preserve">considerarse que al existir resoluciones emitidas en contra de </w:t>
      </w:r>
      <w:r w:rsidR="000923FB" w:rsidRPr="002A2450">
        <w:rPr>
          <w:rFonts w:ascii="ITC Avant Garde" w:eastAsia="Times New Roman" w:hAnsi="ITC Avant Garde" w:cs="Times New Roman"/>
          <w:b/>
          <w:bCs/>
          <w:lang w:eastAsia="es-MX"/>
        </w:rPr>
        <w:t>“TELMEX”</w:t>
      </w:r>
      <w:r w:rsidR="000923FB" w:rsidRPr="002A2450">
        <w:rPr>
          <w:rFonts w:ascii="ITC Avant Garde" w:eastAsia="Times New Roman" w:hAnsi="ITC Avant Garde" w:cs="Times New Roman"/>
          <w:bCs/>
          <w:lang w:eastAsia="es-MX"/>
        </w:rPr>
        <w:t xml:space="preserve">, lo procedente es en términos de los artículos 71 de la </w:t>
      </w:r>
      <w:r w:rsidR="000923FB" w:rsidRPr="002A2450">
        <w:rPr>
          <w:rFonts w:ascii="ITC Avant Garde" w:eastAsia="Times New Roman" w:hAnsi="ITC Avant Garde" w:cs="Times New Roman"/>
          <w:b/>
          <w:bCs/>
          <w:lang w:eastAsia="es-MX"/>
        </w:rPr>
        <w:t>“LFPA”</w:t>
      </w:r>
      <w:r w:rsidR="000923FB" w:rsidRPr="002A2450">
        <w:rPr>
          <w:rFonts w:ascii="ITC Avant Garde" w:eastAsia="Times New Roman" w:hAnsi="ITC Avant Garde" w:cs="Times New Roman"/>
          <w:bCs/>
          <w:lang w:eastAsia="es-MX"/>
        </w:rPr>
        <w:t xml:space="preserve"> y 71, antepenúltimo párrafo de la </w:t>
      </w:r>
      <w:r w:rsidR="000923FB" w:rsidRPr="002A2450">
        <w:rPr>
          <w:rFonts w:ascii="ITC Avant Garde" w:eastAsia="Times New Roman" w:hAnsi="ITC Avant Garde" w:cs="Times New Roman"/>
          <w:b/>
          <w:bCs/>
          <w:lang w:eastAsia="es-MX"/>
        </w:rPr>
        <w:t xml:space="preserve">“LFT”, </w:t>
      </w:r>
      <w:r w:rsidR="000923FB" w:rsidRPr="002A2450">
        <w:rPr>
          <w:rFonts w:ascii="ITC Avant Garde" w:eastAsia="Times New Roman" w:hAnsi="ITC Avant Garde" w:cs="Times New Roman"/>
          <w:bCs/>
          <w:lang w:eastAsia="es-MX"/>
        </w:rPr>
        <w:t xml:space="preserve">imponer una multa por el doble de la sanción primigenia, esto es, se impone en su carácter de reincidente a </w:t>
      </w:r>
      <w:r w:rsidR="000923FB" w:rsidRPr="002A2450">
        <w:rPr>
          <w:rFonts w:ascii="ITC Avant Garde" w:eastAsia="Times New Roman" w:hAnsi="ITC Avant Garde" w:cs="Times New Roman"/>
          <w:b/>
          <w:bCs/>
          <w:lang w:eastAsia="es-MX"/>
        </w:rPr>
        <w:t>“TELMEX”</w:t>
      </w:r>
      <w:r w:rsidR="000923FB" w:rsidRPr="002A2450">
        <w:rPr>
          <w:rFonts w:ascii="ITC Avant Garde" w:eastAsia="Times New Roman" w:hAnsi="ITC Avant Garde" w:cs="Times New Roman"/>
          <w:bCs/>
          <w:lang w:eastAsia="es-MX"/>
        </w:rPr>
        <w:t xml:space="preserve"> una multa por </w:t>
      </w:r>
      <w:r w:rsidR="00CE7149">
        <w:rPr>
          <w:rFonts w:ascii="ITC Avant Garde" w:eastAsia="Times New Roman" w:hAnsi="ITC Avant Garde" w:cs="Times New Roman"/>
          <w:bCs/>
          <w:lang w:eastAsia="es-MX"/>
        </w:rPr>
        <w:t xml:space="preserve">el equivalente a 80,000 días de salario mínimo en el año 2014, que equivale a </w:t>
      </w:r>
      <w:r w:rsidR="000923FB" w:rsidRPr="002A2450">
        <w:rPr>
          <w:rFonts w:ascii="ITC Avant Garde" w:eastAsia="Times New Roman" w:hAnsi="ITC Avant Garde" w:cs="Times New Roman"/>
          <w:bCs/>
          <w:lang w:eastAsia="es-MX"/>
        </w:rPr>
        <w:t xml:space="preserve">la cantidad de </w:t>
      </w:r>
      <w:r w:rsidR="000923FB" w:rsidRPr="002A2450">
        <w:rPr>
          <w:rFonts w:ascii="ITC Avant Garde" w:eastAsia="Times New Roman" w:hAnsi="ITC Avant Garde" w:cs="Times New Roman"/>
          <w:b/>
          <w:bCs/>
          <w:lang w:eastAsia="es-MX"/>
        </w:rPr>
        <w:t>$5,383,200.00</w:t>
      </w:r>
      <w:r w:rsidR="000923FB" w:rsidRPr="002A2450">
        <w:rPr>
          <w:rFonts w:ascii="ITC Avant Garde" w:eastAsia="Times New Roman" w:hAnsi="ITC Avant Garde" w:cs="Times New Roman"/>
          <w:bCs/>
          <w:lang w:eastAsia="es-MX"/>
        </w:rPr>
        <w:t xml:space="preserve"> (cinco millones trescientos ochenta y tres mil doscientos pesos 00/100 M.N.).</w:t>
      </w:r>
      <w:r w:rsidR="00E678CE">
        <w:rPr>
          <w:rFonts w:ascii="ITC Avant Garde" w:eastAsia="Times New Roman" w:hAnsi="ITC Avant Garde" w:cs="Times New Roman"/>
          <w:bCs/>
          <w:lang w:eastAsia="es-MX"/>
        </w:rPr>
        <w:t xml:space="preserve"> </w:t>
      </w:r>
    </w:p>
    <w:p w14:paraId="7A8F34AE" w14:textId="77777777" w:rsidR="00B35F13" w:rsidRDefault="00D91017" w:rsidP="00B35F13">
      <w:pPr>
        <w:pStyle w:val="Sangradetextonormal"/>
        <w:tabs>
          <w:tab w:val="right" w:pos="8280"/>
        </w:tabs>
        <w:spacing w:before="240" w:after="160" w:line="360" w:lineRule="auto"/>
        <w:ind w:left="0"/>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Es de resaltar que el </w:t>
      </w:r>
      <w:r w:rsidR="00D41560" w:rsidRPr="002A2450">
        <w:rPr>
          <w:rFonts w:ascii="ITC Avant Garde" w:eastAsia="Times New Roman" w:hAnsi="ITC Avant Garde"/>
          <w:b/>
          <w:bCs/>
          <w:lang w:eastAsia="es-MX"/>
        </w:rPr>
        <w:t>“</w:t>
      </w:r>
      <w:r w:rsidRPr="002A2450">
        <w:rPr>
          <w:rFonts w:ascii="ITC Avant Garde" w:eastAsia="Times New Roman" w:hAnsi="ITC Avant Garde"/>
          <w:b/>
          <w:bCs/>
          <w:lang w:eastAsia="es-MX"/>
        </w:rPr>
        <w:t>IFT</w:t>
      </w:r>
      <w:r w:rsidR="00D41560" w:rsidRPr="002A2450">
        <w:rPr>
          <w:rFonts w:ascii="ITC Avant Garde" w:eastAsia="Times New Roman" w:hAnsi="ITC Avant Garde"/>
          <w:b/>
          <w:bCs/>
          <w:lang w:eastAsia="es-MX"/>
        </w:rPr>
        <w:t>”</w:t>
      </w:r>
      <w:r w:rsidRPr="002A2450">
        <w:rPr>
          <w:rFonts w:ascii="ITC Avant Garde" w:eastAsia="Times New Roman" w:hAnsi="ITC Avant Garde"/>
          <w:bCs/>
          <w:lang w:eastAsia="es-MX"/>
        </w:rPr>
        <w:t xml:space="preserve"> goza de arbitrio para fijar el monto de la multa, atendiendo a lo establecido en el artículo 73 de la LFPA.</w:t>
      </w:r>
    </w:p>
    <w:p w14:paraId="001AF095" w14:textId="74A1B44F" w:rsidR="00D91017" w:rsidRPr="002A2450" w:rsidRDefault="00D91017" w:rsidP="00B35F13">
      <w:pPr>
        <w:pStyle w:val="Sangradetextonormal"/>
        <w:tabs>
          <w:tab w:val="right" w:pos="8280"/>
        </w:tabs>
        <w:spacing w:before="240" w:after="160" w:line="360" w:lineRule="auto"/>
        <w:ind w:left="0"/>
        <w:jc w:val="both"/>
        <w:rPr>
          <w:rFonts w:ascii="ITC Avant Garde" w:eastAsia="Times New Roman" w:hAnsi="ITC Avant Garde"/>
          <w:bCs/>
          <w:lang w:eastAsia="es-MX"/>
        </w:rPr>
      </w:pPr>
      <w:r w:rsidRPr="002A2450">
        <w:rPr>
          <w:rFonts w:ascii="ITC Avant Garde" w:eastAsia="Times New Roman" w:hAnsi="ITC Avant Garde"/>
          <w:bCs/>
          <w:lang w:eastAsia="es-MX"/>
        </w:rPr>
        <w:t xml:space="preserve">Al respecto, resulta aplicable la tesis de jurisprudencia emitida por el Poder Judicial de la Federación de rubro y texto siguientes: </w:t>
      </w:r>
    </w:p>
    <w:p w14:paraId="034B0266" w14:textId="77777777" w:rsidR="00B35F13" w:rsidRDefault="00D91017" w:rsidP="00B35F13">
      <w:pPr>
        <w:spacing w:before="240" w:line="360" w:lineRule="auto"/>
        <w:ind w:left="851" w:right="851"/>
        <w:jc w:val="both"/>
        <w:rPr>
          <w:rFonts w:ascii="ITC Avant Garde" w:eastAsia="Times New Roman" w:hAnsi="ITC Avant Garde"/>
          <w:bCs/>
          <w:lang w:eastAsia="es-MX"/>
        </w:rPr>
      </w:pPr>
      <w:r w:rsidRPr="002A2450">
        <w:rPr>
          <w:rFonts w:ascii="ITC Avant Garde" w:eastAsia="Times New Roman" w:hAnsi="ITC Avant Garde"/>
          <w:b/>
          <w:bCs/>
          <w:lang w:eastAsia="es-MX"/>
        </w:rPr>
        <w:t>MULTAS. INDIVIDUALIZACIÓN DE SU MONTO.</w:t>
      </w:r>
      <w:r w:rsidRPr="002A2450">
        <w:rPr>
          <w:rFonts w:ascii="ITC Avant Garde" w:eastAsia="Times New Roman" w:hAnsi="ITC Avant Garde"/>
          <w:bCs/>
          <w:lang w:eastAsia="es-MX"/>
        </w:rPr>
        <w:t xml:space="preserve"> Basta que el precepto legal en que se establezca una multa señale un mínimo y un máximo de la sanción, para que dentro de esos parámetros el aplicador la gradúe atendiendo a la gravedad de la infracción, la capacidad económica del infractor, la reincidencia o cualquier </w:t>
      </w:r>
      <w:r w:rsidRPr="002A2450">
        <w:rPr>
          <w:rFonts w:ascii="ITC Avant Garde" w:eastAsia="Times New Roman" w:hAnsi="ITC Avant Garde"/>
          <w:bCs/>
          <w:lang w:eastAsia="es-MX"/>
        </w:rPr>
        <w:lastRenderedPageBreak/>
        <w:t>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14:paraId="1076EC8F" w14:textId="77777777" w:rsidR="00B35F13" w:rsidRDefault="00D91017" w:rsidP="00B35F13">
      <w:pPr>
        <w:spacing w:before="240" w:line="360" w:lineRule="auto"/>
        <w:ind w:left="851" w:right="851"/>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Época: Novena Época, Registro: 186216, Instancia: Tribunales Colegiados de Circuito, Tipo de Tesis: Jurisprudencia, Fuente: Semanario Judicial de la Federación y su Gaceta, Tomo XVI, Agosto de 2002, Materia(s): Común, Tes</w:t>
      </w:r>
      <w:r w:rsidR="00D41560" w:rsidRPr="002A2450">
        <w:rPr>
          <w:rFonts w:ascii="ITC Avant Garde" w:eastAsia="Times New Roman" w:hAnsi="ITC Avant Garde"/>
          <w:bCs/>
          <w:sz w:val="18"/>
          <w:lang w:eastAsia="es-MX"/>
        </w:rPr>
        <w:t>is: VI.3o.A. J/20, Página: 1172</w:t>
      </w:r>
    </w:p>
    <w:p w14:paraId="54077BA6"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Ahora bien, la Suprema Corte de Justicia de la Nación ha adoptado la teoría que consiste en dejar al criterio prudencial del juzgador, en cada caso particular, la calificación de si una multa es excesiva o no, debido a que este criterio es el más jurídico y justo, dado que no es posible establecer una norma general, que atienda a las condiciones económicas de cada infractor, que, en definitiva, es la única circunstancia que puede tenerse en cuenta para valorar con equidad el carácter de la multa aplicada; en correspondencia con la gravedad de la infracción.</w:t>
      </w:r>
    </w:p>
    <w:p w14:paraId="00B789D3" w14:textId="3D5DD6D5" w:rsidR="00D91017" w:rsidRPr="002A2450"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En este sentido, con el objeto de que la multa a imponer no resulte excesiva esta autoridad debe tener presente dos elementos fundamentales: que exista correspondencia entre la cuantía de la multa y la fortuna y condiciones económicas del infractor, y que la sanción pecuniaria esté en proporción con el valor del negocio en que se cometió la infracción que se castiga.</w:t>
      </w:r>
    </w:p>
    <w:p w14:paraId="589B24E2" w14:textId="77777777" w:rsidR="00B35F13" w:rsidRDefault="00D91017" w:rsidP="00B35F13">
      <w:pPr>
        <w:spacing w:before="24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Al respecto, resulta aplicable la siguiente Jurisprudencia emitida por el Pleno de la SCJN.</w:t>
      </w:r>
    </w:p>
    <w:p w14:paraId="399CB5B1" w14:textId="77777777" w:rsidR="00E5393E" w:rsidRDefault="00D91017" w:rsidP="00B35F13">
      <w:pPr>
        <w:spacing w:before="240" w:line="360" w:lineRule="auto"/>
        <w:ind w:left="851" w:right="851"/>
        <w:jc w:val="both"/>
        <w:rPr>
          <w:rFonts w:ascii="ITC Avant Garde" w:eastAsia="Times New Roman" w:hAnsi="ITC Avant Garde"/>
          <w:bCs/>
          <w:lang w:eastAsia="es-MX"/>
        </w:rPr>
        <w:sectPr w:rsidR="00E5393E" w:rsidSect="009F3771">
          <w:headerReference w:type="default" r:id="rId86"/>
          <w:pgSz w:w="12240" w:h="15840"/>
          <w:pgMar w:top="1985" w:right="1701" w:bottom="1418" w:left="1701" w:header="709" w:footer="709" w:gutter="0"/>
          <w:cols w:space="708"/>
          <w:docGrid w:linePitch="360"/>
        </w:sectPr>
      </w:pPr>
      <w:r w:rsidRPr="002A2450">
        <w:rPr>
          <w:rFonts w:ascii="ITC Avant Garde" w:eastAsia="Times New Roman" w:hAnsi="ITC Avant Garde"/>
          <w:b/>
          <w:bCs/>
          <w:lang w:eastAsia="es-MX"/>
        </w:rPr>
        <w:t>“MULTA EXCESIVA. CONCEPTO DE</w:t>
      </w:r>
      <w:r w:rsidRPr="002A2450">
        <w:rPr>
          <w:rFonts w:ascii="ITC Avant Garde" w:eastAsia="Times New Roman" w:hAnsi="ITC Avant Garde"/>
          <w:bCs/>
          <w:lang w:eastAsia="es-MX"/>
        </w:rPr>
        <w:t xml:space="preserve">. De la acepción gramatical del vocablo "excesivo", así como de las interpretaciones dadas por la doctrina y por la Suprema Corte de Justicia de la Nación, para </w:t>
      </w:r>
    </w:p>
    <w:p w14:paraId="65CCFF25" w14:textId="37725E69" w:rsidR="00B35F13" w:rsidRDefault="00D91017" w:rsidP="00B35F13">
      <w:pPr>
        <w:spacing w:before="240" w:line="360" w:lineRule="auto"/>
        <w:ind w:left="851" w:right="851"/>
        <w:jc w:val="both"/>
        <w:rPr>
          <w:rFonts w:ascii="ITC Avant Garde" w:eastAsia="Times New Roman" w:hAnsi="ITC Avant Garde"/>
          <w:bCs/>
          <w:lang w:eastAsia="es-MX"/>
        </w:rPr>
      </w:pPr>
      <w:proofErr w:type="gramStart"/>
      <w:r w:rsidRPr="002A2450">
        <w:rPr>
          <w:rFonts w:ascii="ITC Avant Garde" w:eastAsia="Times New Roman" w:hAnsi="ITC Avant Garde"/>
          <w:bCs/>
          <w:lang w:eastAsia="es-MX"/>
        </w:rPr>
        <w:lastRenderedPageBreak/>
        <w:t>definir</w:t>
      </w:r>
      <w:proofErr w:type="gramEnd"/>
      <w:r w:rsidRPr="002A2450">
        <w:rPr>
          <w:rFonts w:ascii="ITC Avant Garde" w:eastAsia="Times New Roman" w:hAnsi="ITC Avant Garde"/>
          <w:bCs/>
          <w:lang w:eastAsia="es-MX"/>
        </w:rPr>
        <w:t xml:space="preserve"> el concepto de multa excesiva, contenido en el artículo 22 constitucional, se pueden obtener los siguientes elementos: a) Una multa es excesiva cuando es desproporcionada a las posibilidades económicas del infractor en relación a la gravedad del ilícito; b) Cuando se propasa, va más adelante de lo lícito y lo razonable; y c) Una multa puede ser excesiva para unos, moderada para otros y leve para muchos. Por lo tanto, para que una multa no sea contraria al texto constitucional, debe establecerse en la ley que la autoridad facultada para imponerla, tenga posibilidad, en cada caso, de determinar su monto o cuantía, tomando en cuenta la gravedad de la infracción, la capacidad económica del infractor, la reincidencia, en su caso, de éste en la comisión del hecho que la motiva, o cualquier otro elemento del que pueda inferirse la gravedad o levedad del hecho infractor, para así determinar </w:t>
      </w:r>
      <w:proofErr w:type="spellStart"/>
      <w:r w:rsidRPr="002A2450">
        <w:rPr>
          <w:rFonts w:ascii="ITC Avant Garde" w:eastAsia="Times New Roman" w:hAnsi="ITC Avant Garde"/>
          <w:bCs/>
          <w:lang w:eastAsia="es-MX"/>
        </w:rPr>
        <w:t>individualizadamente</w:t>
      </w:r>
      <w:proofErr w:type="spellEnd"/>
      <w:r w:rsidRPr="002A2450">
        <w:rPr>
          <w:rFonts w:ascii="ITC Avant Garde" w:eastAsia="Times New Roman" w:hAnsi="ITC Avant Garde"/>
          <w:bCs/>
          <w:lang w:eastAsia="es-MX"/>
        </w:rPr>
        <w:t xml:space="preserve"> la multa que corresponda.</w:t>
      </w:r>
    </w:p>
    <w:p w14:paraId="3814891D" w14:textId="77777777" w:rsidR="00B35F13" w:rsidRDefault="00D91017" w:rsidP="00B35F13">
      <w:pPr>
        <w:spacing w:before="240" w:line="360" w:lineRule="auto"/>
        <w:ind w:left="851" w:right="851"/>
        <w:jc w:val="both"/>
        <w:rPr>
          <w:rFonts w:ascii="ITC Avant Garde" w:eastAsia="Times New Roman" w:hAnsi="ITC Avant Garde"/>
          <w:bCs/>
          <w:sz w:val="18"/>
          <w:lang w:eastAsia="es-MX"/>
        </w:rPr>
      </w:pPr>
      <w:r w:rsidRPr="002A2450">
        <w:rPr>
          <w:rFonts w:ascii="ITC Avant Garde" w:eastAsia="Times New Roman" w:hAnsi="ITC Avant Garde"/>
          <w:bCs/>
          <w:sz w:val="18"/>
          <w:lang w:eastAsia="es-MX"/>
        </w:rPr>
        <w:t>Novena Época, Registro: 200347, Instancia: Pleno, Jurisprudencia, Fuente: Semanario Judicial de la Federación y su Gaceta II, Julio de 1995, Materia(s): Constitucional, Tesis</w:t>
      </w:r>
      <w:r w:rsidR="000D2038" w:rsidRPr="002A2450">
        <w:rPr>
          <w:rFonts w:ascii="ITC Avant Garde" w:eastAsia="Times New Roman" w:hAnsi="ITC Avant Garde"/>
          <w:bCs/>
          <w:sz w:val="18"/>
          <w:lang w:eastAsia="es-MX"/>
        </w:rPr>
        <w:t>:</w:t>
      </w:r>
      <w:r w:rsidRPr="002A2450">
        <w:rPr>
          <w:rFonts w:ascii="ITC Avant Garde" w:eastAsia="Times New Roman" w:hAnsi="ITC Avant Garde"/>
          <w:bCs/>
          <w:sz w:val="18"/>
          <w:lang w:eastAsia="es-MX"/>
        </w:rPr>
        <w:t xml:space="preserve"> </w:t>
      </w:r>
      <w:r w:rsidR="00D41560" w:rsidRPr="002A2450">
        <w:rPr>
          <w:rFonts w:ascii="ITC Avant Garde" w:eastAsia="Times New Roman" w:hAnsi="ITC Avant Garde"/>
          <w:bCs/>
          <w:sz w:val="18"/>
          <w:lang w:eastAsia="es-MX"/>
        </w:rPr>
        <w:t>P</w:t>
      </w:r>
      <w:r w:rsidR="000D2038" w:rsidRPr="002A2450">
        <w:rPr>
          <w:rFonts w:ascii="ITC Avant Garde" w:eastAsia="Times New Roman" w:hAnsi="ITC Avant Garde"/>
          <w:bCs/>
          <w:sz w:val="18"/>
          <w:lang w:eastAsia="es-MX"/>
        </w:rPr>
        <w:t>. /</w:t>
      </w:r>
      <w:r w:rsidR="00D41560" w:rsidRPr="002A2450">
        <w:rPr>
          <w:rFonts w:ascii="ITC Avant Garde" w:eastAsia="Times New Roman" w:hAnsi="ITC Avant Garde"/>
          <w:bCs/>
          <w:sz w:val="18"/>
          <w:lang w:eastAsia="es-MX"/>
        </w:rPr>
        <w:t>J. 9/95, Página: 5</w:t>
      </w:r>
    </w:p>
    <w:p w14:paraId="674CE10F" w14:textId="77777777" w:rsidR="00B35F13" w:rsidRDefault="00D91017" w:rsidP="00B35F13">
      <w:pPr>
        <w:pStyle w:val="Listaconnmeros"/>
        <w:spacing w:before="240" w:after="160" w:line="360" w:lineRule="auto"/>
        <w:jc w:val="both"/>
        <w:rPr>
          <w:rFonts w:ascii="ITC Avant Garde" w:hAnsi="ITC Avant Garde" w:cstheme="minorBidi"/>
          <w:bCs/>
          <w:sz w:val="22"/>
          <w:szCs w:val="22"/>
          <w:lang w:eastAsia="es-MX"/>
        </w:rPr>
      </w:pPr>
      <w:r w:rsidRPr="002A2450">
        <w:rPr>
          <w:rFonts w:ascii="ITC Avant Garde" w:hAnsi="ITC Avant Garde" w:cstheme="minorBidi"/>
          <w:bCs/>
          <w:sz w:val="22"/>
          <w:szCs w:val="22"/>
          <w:lang w:eastAsia="es-MX"/>
        </w:rPr>
        <w:t xml:space="preserve">En este sentido, </w:t>
      </w:r>
      <w:r w:rsidR="00D41560" w:rsidRPr="002A2450">
        <w:rPr>
          <w:rFonts w:ascii="ITC Avant Garde" w:hAnsi="ITC Avant Garde" w:cstheme="minorBidi"/>
          <w:b/>
          <w:bCs/>
          <w:sz w:val="22"/>
          <w:szCs w:val="22"/>
          <w:lang w:eastAsia="es-MX"/>
        </w:rPr>
        <w:t xml:space="preserve">“TELMEX” </w:t>
      </w:r>
      <w:r w:rsidRPr="002A2450">
        <w:rPr>
          <w:rFonts w:ascii="ITC Avant Garde" w:hAnsi="ITC Avant Garde" w:cstheme="minorBidi"/>
          <w:bCs/>
          <w:sz w:val="22"/>
          <w:szCs w:val="22"/>
          <w:lang w:eastAsia="es-MX"/>
        </w:rPr>
        <w:t xml:space="preserve">es una persona moral, debidamente constituida conforme a las leyes mexicanas, en su modalidad de sociedad </w:t>
      </w:r>
      <w:r w:rsidR="00D41560" w:rsidRPr="002A2450">
        <w:rPr>
          <w:rFonts w:ascii="ITC Avant Garde" w:hAnsi="ITC Avant Garde" w:cstheme="minorBidi"/>
          <w:bCs/>
          <w:sz w:val="22"/>
          <w:szCs w:val="22"/>
          <w:lang w:eastAsia="es-MX"/>
        </w:rPr>
        <w:t xml:space="preserve">anónima bursátil </w:t>
      </w:r>
      <w:r w:rsidRPr="002A2450">
        <w:rPr>
          <w:rFonts w:ascii="ITC Avant Garde" w:hAnsi="ITC Avant Garde" w:cstheme="minorBidi"/>
          <w:bCs/>
          <w:sz w:val="22"/>
          <w:szCs w:val="22"/>
          <w:lang w:eastAsia="es-MX"/>
        </w:rPr>
        <w:t xml:space="preserve">de </w:t>
      </w:r>
      <w:r w:rsidR="00D41560" w:rsidRPr="002A2450">
        <w:rPr>
          <w:rFonts w:ascii="ITC Avant Garde" w:hAnsi="ITC Avant Garde" w:cstheme="minorBidi"/>
          <w:bCs/>
          <w:sz w:val="22"/>
          <w:szCs w:val="22"/>
          <w:lang w:eastAsia="es-MX"/>
        </w:rPr>
        <w:t>capital variable</w:t>
      </w:r>
      <w:r w:rsidRPr="002A2450">
        <w:rPr>
          <w:rFonts w:ascii="ITC Avant Garde" w:hAnsi="ITC Avant Garde" w:cstheme="minorBidi"/>
          <w:bCs/>
          <w:sz w:val="22"/>
          <w:szCs w:val="22"/>
          <w:lang w:eastAsia="es-MX"/>
        </w:rPr>
        <w:t>, que le permite percibir utilidades suficientes para cubrir la multa que se le impone.</w:t>
      </w:r>
    </w:p>
    <w:p w14:paraId="6F44272F" w14:textId="76DA8021" w:rsidR="00B35F13" w:rsidRDefault="00D91017" w:rsidP="00B35F13">
      <w:pPr>
        <w:pStyle w:val="Listaconnmeros"/>
        <w:spacing w:before="240" w:after="160" w:line="360" w:lineRule="auto"/>
        <w:jc w:val="both"/>
        <w:rPr>
          <w:rFonts w:ascii="ITC Avant Garde" w:hAnsi="ITC Avant Garde" w:cstheme="minorBidi"/>
          <w:bCs/>
          <w:sz w:val="22"/>
          <w:szCs w:val="22"/>
          <w:lang w:eastAsia="es-MX"/>
        </w:rPr>
      </w:pPr>
      <w:r w:rsidRPr="002A2450">
        <w:rPr>
          <w:rFonts w:ascii="ITC Avant Garde" w:hAnsi="ITC Avant Garde" w:cstheme="minorBidi"/>
          <w:bCs/>
          <w:sz w:val="22"/>
          <w:szCs w:val="22"/>
          <w:lang w:eastAsia="es-MX"/>
        </w:rPr>
        <w:t xml:space="preserve">Desde luego, del escrito </w:t>
      </w:r>
      <w:r w:rsidR="00E32BAF" w:rsidRPr="002A2450">
        <w:rPr>
          <w:rFonts w:ascii="ITC Avant Garde" w:hAnsi="ITC Avant Garde" w:cstheme="minorBidi"/>
          <w:bCs/>
          <w:sz w:val="22"/>
          <w:szCs w:val="22"/>
          <w:lang w:eastAsia="es-MX"/>
        </w:rPr>
        <w:t xml:space="preserve">presentado el </w:t>
      </w:r>
      <w:r w:rsidR="00D41560" w:rsidRPr="002A2450">
        <w:rPr>
          <w:rFonts w:ascii="ITC Avant Garde" w:hAnsi="ITC Avant Garde" w:cstheme="minorBidi"/>
          <w:bCs/>
          <w:sz w:val="22"/>
          <w:szCs w:val="22"/>
          <w:lang w:eastAsia="es-MX"/>
        </w:rPr>
        <w:t xml:space="preserve">veintiocho </w:t>
      </w:r>
      <w:r w:rsidRPr="002A2450">
        <w:rPr>
          <w:rFonts w:ascii="ITC Avant Garde" w:hAnsi="ITC Avant Garde" w:cstheme="minorBidi"/>
          <w:bCs/>
          <w:sz w:val="22"/>
          <w:szCs w:val="22"/>
          <w:lang w:eastAsia="es-MX"/>
        </w:rPr>
        <w:t xml:space="preserve">de </w:t>
      </w:r>
      <w:r w:rsidR="00D41560" w:rsidRPr="002A2450">
        <w:rPr>
          <w:rFonts w:ascii="ITC Avant Garde" w:hAnsi="ITC Avant Garde" w:cstheme="minorBidi"/>
          <w:bCs/>
          <w:sz w:val="22"/>
          <w:szCs w:val="22"/>
          <w:lang w:eastAsia="es-MX"/>
        </w:rPr>
        <w:t xml:space="preserve">septiembre </w:t>
      </w:r>
      <w:r w:rsidRPr="002A2450">
        <w:rPr>
          <w:rFonts w:ascii="ITC Avant Garde" w:hAnsi="ITC Avant Garde" w:cstheme="minorBidi"/>
          <w:bCs/>
          <w:sz w:val="22"/>
          <w:szCs w:val="22"/>
          <w:lang w:eastAsia="es-MX"/>
        </w:rPr>
        <w:t xml:space="preserve">de dos </w:t>
      </w:r>
      <w:r w:rsidR="000D2038" w:rsidRPr="002A2450">
        <w:rPr>
          <w:rFonts w:ascii="ITC Avant Garde" w:hAnsi="ITC Avant Garde" w:cstheme="minorBidi"/>
          <w:bCs/>
          <w:sz w:val="22"/>
          <w:szCs w:val="22"/>
          <w:lang w:eastAsia="es-MX"/>
        </w:rPr>
        <w:t>mil quince</w:t>
      </w:r>
      <w:r w:rsidRPr="002A2450">
        <w:rPr>
          <w:rFonts w:ascii="ITC Avant Garde" w:hAnsi="ITC Avant Garde" w:cstheme="minorBidi"/>
          <w:bCs/>
          <w:sz w:val="22"/>
          <w:szCs w:val="22"/>
          <w:lang w:eastAsia="es-MX"/>
        </w:rPr>
        <w:t xml:space="preserve">, </w:t>
      </w:r>
      <w:r w:rsidR="00D41560" w:rsidRPr="002A2450">
        <w:rPr>
          <w:rFonts w:ascii="ITC Avant Garde" w:hAnsi="ITC Avant Garde" w:cstheme="minorBidi"/>
          <w:bCs/>
          <w:sz w:val="22"/>
          <w:szCs w:val="22"/>
          <w:lang w:eastAsia="es-MX"/>
        </w:rPr>
        <w:t xml:space="preserve">ante este </w:t>
      </w:r>
      <w:r w:rsidR="00D41560" w:rsidRPr="002A2450">
        <w:rPr>
          <w:rFonts w:ascii="ITC Avant Garde" w:hAnsi="ITC Avant Garde" w:cstheme="minorBidi"/>
          <w:b/>
          <w:bCs/>
          <w:sz w:val="22"/>
          <w:szCs w:val="22"/>
          <w:lang w:eastAsia="es-MX"/>
        </w:rPr>
        <w:t>“IFT”, “TELMEX”</w:t>
      </w:r>
      <w:r w:rsidR="00E32BAF" w:rsidRPr="002A2450">
        <w:rPr>
          <w:rFonts w:ascii="ITC Avant Garde" w:hAnsi="ITC Avant Garde" w:cstheme="minorBidi"/>
          <w:bCs/>
          <w:sz w:val="22"/>
          <w:szCs w:val="22"/>
          <w:lang w:eastAsia="es-MX"/>
        </w:rPr>
        <w:t xml:space="preserve"> acompañó una impresión de la declaración anual correspondiente al ejercicio dos mil catorce</w:t>
      </w:r>
      <w:r w:rsidR="00AD6110" w:rsidRPr="002A2450">
        <w:rPr>
          <w:rFonts w:ascii="ITC Avant Garde" w:hAnsi="ITC Avant Garde" w:cstheme="minorBidi"/>
          <w:bCs/>
          <w:sz w:val="22"/>
          <w:szCs w:val="22"/>
          <w:lang w:eastAsia="es-MX"/>
        </w:rPr>
        <w:t>,</w:t>
      </w:r>
      <w:r w:rsidR="00E32BAF" w:rsidRPr="002A2450">
        <w:rPr>
          <w:rFonts w:ascii="ITC Avant Garde" w:hAnsi="ITC Avant Garde" w:cstheme="minorBidi"/>
          <w:bCs/>
          <w:sz w:val="22"/>
          <w:szCs w:val="22"/>
          <w:lang w:eastAsia="es-MX"/>
        </w:rPr>
        <w:t xml:space="preserve"> de dónde </w:t>
      </w:r>
      <w:r w:rsidRPr="002A2450">
        <w:rPr>
          <w:rFonts w:ascii="ITC Avant Garde" w:hAnsi="ITC Avant Garde" w:cstheme="minorBidi"/>
          <w:bCs/>
          <w:sz w:val="22"/>
          <w:szCs w:val="22"/>
          <w:lang w:eastAsia="es-MX"/>
        </w:rPr>
        <w:t xml:space="preserve">se desprende que dicha concesionaria percibió durante </w:t>
      </w:r>
      <w:r w:rsidR="00E32BAF" w:rsidRPr="002A2450">
        <w:rPr>
          <w:rFonts w:ascii="ITC Avant Garde" w:hAnsi="ITC Avant Garde" w:cstheme="minorBidi"/>
          <w:bCs/>
          <w:sz w:val="22"/>
          <w:szCs w:val="22"/>
          <w:lang w:eastAsia="es-MX"/>
        </w:rPr>
        <w:t xml:space="preserve">ese </w:t>
      </w:r>
      <w:r w:rsidRPr="002A2450">
        <w:rPr>
          <w:rFonts w:ascii="ITC Avant Garde" w:hAnsi="ITC Avant Garde" w:cstheme="minorBidi"/>
          <w:bCs/>
          <w:sz w:val="22"/>
          <w:szCs w:val="22"/>
          <w:lang w:eastAsia="es-MX"/>
        </w:rPr>
        <w:t xml:space="preserve">ejercicio fiscal ingresos acumulables por </w:t>
      </w:r>
      <w:r w:rsidR="00E32BAF" w:rsidRPr="002A2450">
        <w:rPr>
          <w:rFonts w:ascii="ITC Avant Garde" w:hAnsi="ITC Avant Garde" w:cstheme="minorBidi"/>
          <w:bCs/>
          <w:sz w:val="22"/>
          <w:szCs w:val="22"/>
          <w:lang w:eastAsia="es-MX"/>
        </w:rPr>
        <w:t xml:space="preserve">la cantidad de </w:t>
      </w:r>
      <w:r w:rsidR="000140A4" w:rsidRPr="0004375E">
        <w:rPr>
          <w:rFonts w:ascii="ITC Avant Garde" w:eastAsiaTheme="majorEastAsia" w:hAnsi="ITC Avant Garde" w:cstheme="majorBidi"/>
          <w:b/>
          <w:color w:val="0000FF"/>
          <w:szCs w:val="32"/>
        </w:rPr>
        <w:t>“CONFIDENCIAL POR LEY”</w:t>
      </w:r>
      <w:r w:rsidR="00E32BAF" w:rsidRPr="002A2450">
        <w:rPr>
          <w:rFonts w:ascii="ITC Avant Garde" w:hAnsi="ITC Avant Garde" w:cstheme="minorBidi"/>
          <w:bCs/>
          <w:sz w:val="22"/>
          <w:szCs w:val="22"/>
          <w:lang w:eastAsia="es-MX"/>
        </w:rPr>
        <w:t xml:space="preserve"> así como una utilidad fiscal de </w:t>
      </w:r>
      <w:r w:rsidR="000140A4" w:rsidRPr="0004375E">
        <w:rPr>
          <w:rFonts w:ascii="ITC Avant Garde" w:eastAsiaTheme="majorEastAsia" w:hAnsi="ITC Avant Garde" w:cstheme="majorBidi"/>
          <w:b/>
          <w:color w:val="0000FF"/>
          <w:szCs w:val="32"/>
        </w:rPr>
        <w:lastRenderedPageBreak/>
        <w:t>“CONFIDENCIAL POR LEY”</w:t>
      </w:r>
      <w:r w:rsidR="000140A4">
        <w:rPr>
          <w:rFonts w:ascii="ITC Avant Garde" w:eastAsiaTheme="majorEastAsia" w:hAnsi="ITC Avant Garde" w:cstheme="majorBidi"/>
          <w:color w:val="0000FF"/>
          <w:szCs w:val="32"/>
        </w:rPr>
        <w:t xml:space="preserve"> </w:t>
      </w:r>
      <w:r w:rsidR="00E32BAF" w:rsidRPr="002A2450">
        <w:rPr>
          <w:rFonts w:ascii="ITC Avant Garde" w:hAnsi="ITC Avant Garde" w:cstheme="minorBidi"/>
          <w:bCs/>
          <w:sz w:val="22"/>
          <w:szCs w:val="22"/>
          <w:lang w:eastAsia="es-MX"/>
        </w:rPr>
        <w:t xml:space="preserve">de lo que se sigue que la multa impuesta corresponde a dichos factores a un porcentaje equivalente al </w:t>
      </w:r>
      <w:r w:rsidR="000140A4" w:rsidRPr="0004375E">
        <w:rPr>
          <w:rFonts w:ascii="ITC Avant Garde" w:eastAsiaTheme="majorEastAsia" w:hAnsi="ITC Avant Garde" w:cstheme="majorBidi"/>
          <w:b/>
          <w:color w:val="0000FF"/>
          <w:szCs w:val="32"/>
        </w:rPr>
        <w:t>“CONFIDENCIAL POR LEY”</w:t>
      </w:r>
      <w:r w:rsidR="00E32BAF" w:rsidRPr="002A2450">
        <w:rPr>
          <w:rFonts w:ascii="ITC Avant Garde" w:hAnsi="ITC Avant Garde" w:cstheme="minorBidi"/>
          <w:bCs/>
          <w:sz w:val="22"/>
          <w:szCs w:val="22"/>
          <w:lang w:eastAsia="es-MX"/>
        </w:rPr>
        <w:t xml:space="preserve"> de sus ingresos acumulables y </w:t>
      </w:r>
      <w:r w:rsidR="000140A4" w:rsidRPr="0004375E">
        <w:rPr>
          <w:rFonts w:ascii="ITC Avant Garde" w:eastAsiaTheme="majorEastAsia" w:hAnsi="ITC Avant Garde" w:cstheme="majorBidi"/>
          <w:b/>
          <w:color w:val="0000FF"/>
          <w:szCs w:val="32"/>
        </w:rPr>
        <w:t>“CONFIDENCIAL POR LEY”</w:t>
      </w:r>
      <w:r w:rsidR="00E32BAF" w:rsidRPr="002A2450">
        <w:rPr>
          <w:rFonts w:ascii="ITC Avant Garde" w:hAnsi="ITC Avant Garde" w:cstheme="minorBidi"/>
          <w:bCs/>
          <w:sz w:val="22"/>
          <w:szCs w:val="22"/>
          <w:lang w:eastAsia="es-MX"/>
        </w:rPr>
        <w:t xml:space="preserve"> de su utilidad fiscal, correspondiente al ejercicio fiscal </w:t>
      </w:r>
      <w:r w:rsidR="00AD6110" w:rsidRPr="002A2450">
        <w:rPr>
          <w:rFonts w:ascii="ITC Avant Garde" w:hAnsi="ITC Avant Garde" w:cstheme="minorBidi"/>
          <w:bCs/>
          <w:sz w:val="22"/>
          <w:szCs w:val="22"/>
          <w:lang w:eastAsia="es-MX"/>
        </w:rPr>
        <w:t xml:space="preserve">de </w:t>
      </w:r>
      <w:r w:rsidR="00E1769F" w:rsidRPr="002A2450">
        <w:rPr>
          <w:rFonts w:ascii="ITC Avant Garde" w:hAnsi="ITC Avant Garde" w:cstheme="minorBidi"/>
          <w:bCs/>
          <w:sz w:val="22"/>
          <w:szCs w:val="22"/>
          <w:lang w:eastAsia="es-MX"/>
        </w:rPr>
        <w:t>dos mil catorce.</w:t>
      </w:r>
    </w:p>
    <w:p w14:paraId="2D94BE7A" w14:textId="77777777" w:rsidR="00B35F13" w:rsidRDefault="00D91017" w:rsidP="00B35F13">
      <w:pPr>
        <w:pStyle w:val="Listaconnmeros"/>
        <w:spacing w:before="240" w:after="160" w:line="360" w:lineRule="auto"/>
        <w:jc w:val="both"/>
        <w:rPr>
          <w:rFonts w:ascii="ITC Avant Garde" w:hAnsi="ITC Avant Garde" w:cstheme="minorBidi"/>
          <w:bCs/>
          <w:sz w:val="22"/>
          <w:szCs w:val="22"/>
          <w:lang w:eastAsia="es-MX"/>
        </w:rPr>
      </w:pPr>
      <w:r w:rsidRPr="002A2450">
        <w:rPr>
          <w:rFonts w:ascii="ITC Avant Garde" w:hAnsi="ITC Avant Garde" w:cstheme="minorBidi"/>
          <w:bCs/>
          <w:sz w:val="22"/>
          <w:szCs w:val="22"/>
          <w:lang w:eastAsia="es-MX"/>
        </w:rPr>
        <w:t xml:space="preserve">De lo anterior, se desprende que la multa determinada en la presente resolución por la cantidad </w:t>
      </w:r>
      <w:r w:rsidR="000923FB" w:rsidRPr="002A2450">
        <w:rPr>
          <w:rFonts w:ascii="ITC Avant Garde" w:hAnsi="ITC Avant Garde"/>
          <w:b/>
          <w:bCs/>
          <w:sz w:val="22"/>
          <w:szCs w:val="22"/>
          <w:lang w:eastAsia="es-MX"/>
        </w:rPr>
        <w:t>$5</w:t>
      </w:r>
      <w:proofErr w:type="gramStart"/>
      <w:r w:rsidR="000923FB" w:rsidRPr="002A2450">
        <w:rPr>
          <w:rFonts w:ascii="ITC Avant Garde" w:hAnsi="ITC Avant Garde"/>
          <w:b/>
          <w:bCs/>
          <w:sz w:val="22"/>
          <w:szCs w:val="22"/>
          <w:lang w:eastAsia="es-MX"/>
        </w:rPr>
        <w:t>,383,200.00</w:t>
      </w:r>
      <w:proofErr w:type="gramEnd"/>
      <w:r w:rsidR="000923FB" w:rsidRPr="002A2450">
        <w:rPr>
          <w:rFonts w:ascii="ITC Avant Garde" w:hAnsi="ITC Avant Garde"/>
          <w:bCs/>
          <w:sz w:val="22"/>
          <w:szCs w:val="22"/>
          <w:lang w:eastAsia="es-MX"/>
        </w:rPr>
        <w:t xml:space="preserve"> (cinco millones trescientos ochenta y tres mil doscientos pesos 00/100 M.N.)</w:t>
      </w:r>
      <w:r w:rsidRPr="002A2450">
        <w:rPr>
          <w:rFonts w:ascii="ITC Avant Garde" w:hAnsi="ITC Avant Garde" w:cstheme="minorBidi"/>
          <w:bCs/>
          <w:sz w:val="22"/>
          <w:szCs w:val="22"/>
          <w:lang w:eastAsia="es-MX"/>
        </w:rPr>
        <w:t xml:space="preserve"> no </w:t>
      </w:r>
      <w:r w:rsidR="00EB0A72" w:rsidRPr="002A2450">
        <w:rPr>
          <w:rFonts w:ascii="ITC Avant Garde" w:hAnsi="ITC Avant Garde" w:cstheme="minorBidi"/>
          <w:bCs/>
          <w:sz w:val="22"/>
          <w:szCs w:val="22"/>
          <w:lang w:eastAsia="es-MX"/>
        </w:rPr>
        <w:t xml:space="preserve">resulta excesiva en relación con sus </w:t>
      </w:r>
      <w:r w:rsidRPr="002A2450">
        <w:rPr>
          <w:rFonts w:ascii="ITC Avant Garde" w:hAnsi="ITC Avant Garde" w:cstheme="minorBidi"/>
          <w:bCs/>
          <w:sz w:val="22"/>
          <w:szCs w:val="22"/>
          <w:lang w:eastAsia="es-MX"/>
        </w:rPr>
        <w:t xml:space="preserve">ingresos acumulables </w:t>
      </w:r>
      <w:r w:rsidR="00EB0A72" w:rsidRPr="002A2450">
        <w:rPr>
          <w:rFonts w:ascii="ITC Avant Garde" w:hAnsi="ITC Avant Garde" w:cstheme="minorBidi"/>
          <w:bCs/>
          <w:sz w:val="22"/>
          <w:szCs w:val="22"/>
          <w:lang w:eastAsia="es-MX"/>
        </w:rPr>
        <w:t xml:space="preserve">y su utilidad fiscal </w:t>
      </w:r>
      <w:r w:rsidRPr="002A2450">
        <w:rPr>
          <w:rFonts w:ascii="ITC Avant Garde" w:hAnsi="ITC Avant Garde" w:cstheme="minorBidi"/>
          <w:bCs/>
          <w:sz w:val="22"/>
          <w:szCs w:val="22"/>
          <w:lang w:eastAsia="es-MX"/>
        </w:rPr>
        <w:t>obtenidos en el ejercicio dos mil</w:t>
      </w:r>
      <w:r w:rsidR="00EB0A72" w:rsidRPr="002A2450">
        <w:rPr>
          <w:rFonts w:ascii="ITC Avant Garde" w:hAnsi="ITC Avant Garde" w:cstheme="minorBidi"/>
          <w:bCs/>
          <w:sz w:val="22"/>
          <w:szCs w:val="22"/>
          <w:lang w:eastAsia="es-MX"/>
        </w:rPr>
        <w:t xml:space="preserve"> catorce </w:t>
      </w:r>
      <w:r w:rsidR="00AD6110" w:rsidRPr="002A2450">
        <w:rPr>
          <w:rFonts w:ascii="ITC Avant Garde" w:hAnsi="ITC Avant Garde" w:cstheme="minorBidi"/>
          <w:bCs/>
          <w:sz w:val="22"/>
          <w:szCs w:val="22"/>
          <w:lang w:eastAsia="es-MX"/>
        </w:rPr>
        <w:t xml:space="preserve">y en tal sentido se </w:t>
      </w:r>
      <w:r w:rsidR="00EB0A72" w:rsidRPr="002A2450">
        <w:rPr>
          <w:rFonts w:ascii="ITC Avant Garde" w:hAnsi="ITC Avant Garde" w:cstheme="minorBidi"/>
          <w:bCs/>
          <w:sz w:val="22"/>
          <w:szCs w:val="22"/>
          <w:lang w:eastAsia="es-MX"/>
        </w:rPr>
        <w:t>considerar</w:t>
      </w:r>
      <w:r w:rsidR="00AD6110" w:rsidRPr="002A2450">
        <w:rPr>
          <w:rFonts w:ascii="ITC Avant Garde" w:hAnsi="ITC Avant Garde" w:cstheme="minorBidi"/>
          <w:bCs/>
          <w:sz w:val="22"/>
          <w:szCs w:val="22"/>
          <w:lang w:eastAsia="es-MX"/>
        </w:rPr>
        <w:t>a</w:t>
      </w:r>
      <w:r w:rsidR="00EB0A72" w:rsidRPr="002A2450">
        <w:rPr>
          <w:rFonts w:ascii="ITC Avant Garde" w:hAnsi="ITC Avant Garde" w:cstheme="minorBidi"/>
          <w:bCs/>
          <w:sz w:val="22"/>
          <w:szCs w:val="22"/>
          <w:lang w:eastAsia="es-MX"/>
        </w:rPr>
        <w:t xml:space="preserve"> que </w:t>
      </w:r>
      <w:r w:rsidR="00AD6110" w:rsidRPr="002A2450">
        <w:rPr>
          <w:rFonts w:ascii="ITC Avant Garde" w:hAnsi="ITC Avant Garde" w:cstheme="minorBidi"/>
          <w:bCs/>
          <w:sz w:val="22"/>
          <w:szCs w:val="22"/>
          <w:lang w:eastAsia="es-MX"/>
        </w:rPr>
        <w:t xml:space="preserve">dicha empresa </w:t>
      </w:r>
      <w:r w:rsidR="00EB0A72" w:rsidRPr="002A2450">
        <w:rPr>
          <w:rFonts w:ascii="ITC Avant Garde" w:hAnsi="ITC Avant Garde" w:cstheme="minorBidi"/>
          <w:bCs/>
          <w:sz w:val="22"/>
          <w:szCs w:val="22"/>
          <w:lang w:eastAsia="es-MX"/>
        </w:rPr>
        <w:t>cuenta con la capacidad suficiente para soportar la carga de la multa impuesta</w:t>
      </w:r>
      <w:r w:rsidRPr="002A2450">
        <w:rPr>
          <w:rFonts w:ascii="ITC Avant Garde" w:hAnsi="ITC Avant Garde" w:cstheme="minorBidi"/>
          <w:bCs/>
          <w:sz w:val="22"/>
          <w:szCs w:val="22"/>
          <w:lang w:eastAsia="es-MX"/>
        </w:rPr>
        <w:t>.</w:t>
      </w:r>
    </w:p>
    <w:p w14:paraId="6F89298E" w14:textId="77777777" w:rsidR="00B35F13" w:rsidRDefault="00EB0A72" w:rsidP="00B35F13">
      <w:pPr>
        <w:pStyle w:val="Textoindependiente"/>
        <w:tabs>
          <w:tab w:val="left" w:pos="993"/>
        </w:tabs>
        <w:spacing w:before="240" w:after="160" w:line="360" w:lineRule="auto"/>
        <w:jc w:val="both"/>
        <w:rPr>
          <w:rFonts w:ascii="ITC Avant Garde" w:eastAsia="Times New Roman" w:hAnsi="ITC Avant Garde"/>
          <w:bCs/>
          <w:lang w:eastAsia="es-MX"/>
        </w:rPr>
      </w:pPr>
      <w:r w:rsidRPr="002A2450">
        <w:rPr>
          <w:rFonts w:ascii="ITC Avant Garde" w:hAnsi="ITC Avant Garde"/>
          <w:shd w:val="clear" w:color="auto" w:fill="FFFFFF"/>
        </w:rPr>
        <w:t xml:space="preserve">Finalmente, resulta importante señalar que con la imposición de la sanción a que se contrae el presente expediente, se busca inhibir las conductas contrarias a las leyes y disposiciones administrativas y reglamentarias que regulan la materia, con el fin de garantizar la eficiente prestación de los servicios públicos de interés general de telecomunicaciones y radiodifusión, atendiendo a los objetivos establecidos en </w:t>
      </w:r>
      <w:r w:rsidR="00AD6110" w:rsidRPr="002A2450">
        <w:rPr>
          <w:rFonts w:ascii="ITC Avant Garde" w:hAnsi="ITC Avant Garde"/>
          <w:shd w:val="clear" w:color="auto" w:fill="FFFFFF"/>
        </w:rPr>
        <w:t>la normatividad de la materia</w:t>
      </w:r>
      <w:r w:rsidRPr="002A2450">
        <w:rPr>
          <w:rFonts w:ascii="ITC Avant Garde" w:hAnsi="ITC Avant Garde"/>
          <w:shd w:val="clear" w:color="auto" w:fill="FFFFFF"/>
        </w:rPr>
        <w:t xml:space="preserve">. </w:t>
      </w:r>
      <w:r w:rsidR="00E13F4F" w:rsidRPr="002A2450">
        <w:rPr>
          <w:rFonts w:ascii="ITC Avant Garde" w:hAnsi="ITC Avant Garde"/>
          <w:shd w:val="clear" w:color="auto" w:fill="FFFFFF"/>
        </w:rPr>
        <w:t xml:space="preserve">Por ello se exhorta a la empresa </w:t>
      </w:r>
      <w:r w:rsidR="00E13F4F" w:rsidRPr="002A2450">
        <w:rPr>
          <w:rFonts w:ascii="ITC Avant Garde" w:eastAsia="Times New Roman" w:hAnsi="ITC Avant Garde"/>
          <w:b/>
          <w:bCs/>
          <w:color w:val="000000"/>
          <w:lang w:eastAsia="es-MX"/>
        </w:rPr>
        <w:t>“TELMEX”</w:t>
      </w:r>
      <w:r w:rsidR="00E13F4F" w:rsidRPr="002A2450">
        <w:rPr>
          <w:rFonts w:ascii="ITC Avant Garde" w:hAnsi="ITC Avant Garde"/>
          <w:shd w:val="clear" w:color="auto" w:fill="FFFFFF"/>
        </w:rPr>
        <w:t>, para que en lo futuro cumpla debidamente con las obligaciones</w:t>
      </w:r>
      <w:r w:rsidRPr="002A2450">
        <w:rPr>
          <w:rFonts w:ascii="ITC Avant Garde" w:hAnsi="ITC Avant Garde"/>
          <w:shd w:val="clear" w:color="auto" w:fill="FFFFFF"/>
        </w:rPr>
        <w:t xml:space="preserve"> a que se encuentra sujeta en términos de su </w:t>
      </w:r>
      <w:r w:rsidRPr="002A2450">
        <w:rPr>
          <w:rFonts w:ascii="ITC Avant Garde" w:hAnsi="ITC Avant Garde"/>
          <w:b/>
          <w:shd w:val="clear" w:color="auto" w:fill="FFFFFF"/>
        </w:rPr>
        <w:t xml:space="preserve">“TÍTULO DE CONCESIÓN” </w:t>
      </w:r>
      <w:r w:rsidRPr="002A2450">
        <w:rPr>
          <w:rFonts w:ascii="ITC Avant Garde" w:hAnsi="ITC Avant Garde"/>
          <w:shd w:val="clear" w:color="auto" w:fill="FFFFFF"/>
        </w:rPr>
        <w:t>y en la</w:t>
      </w:r>
      <w:r w:rsidRPr="002A2450">
        <w:rPr>
          <w:rFonts w:ascii="ITC Avant Garde" w:hAnsi="ITC Avant Garde"/>
          <w:b/>
          <w:shd w:val="clear" w:color="auto" w:fill="FFFFFF"/>
        </w:rPr>
        <w:t xml:space="preserve"> </w:t>
      </w:r>
      <w:r w:rsidR="00AD6110" w:rsidRPr="002A2450">
        <w:rPr>
          <w:rFonts w:ascii="ITC Avant Garde" w:hAnsi="ITC Avant Garde"/>
          <w:shd w:val="clear" w:color="auto" w:fill="FFFFFF"/>
        </w:rPr>
        <w:t>legislación aplicable</w:t>
      </w:r>
      <w:r w:rsidRPr="002A2450">
        <w:rPr>
          <w:rFonts w:ascii="ITC Avant Garde" w:hAnsi="ITC Avant Garde"/>
          <w:shd w:val="clear" w:color="auto" w:fill="FFFFFF"/>
        </w:rPr>
        <w:t>.</w:t>
      </w:r>
    </w:p>
    <w:p w14:paraId="49B628C2" w14:textId="77777777" w:rsidR="00B35F13" w:rsidRDefault="00EB0A72" w:rsidP="00B35F13">
      <w:pPr>
        <w:pStyle w:val="Textoindependiente"/>
        <w:tabs>
          <w:tab w:val="left" w:pos="993"/>
        </w:tabs>
        <w:spacing w:before="240" w:after="160" w:line="360" w:lineRule="auto"/>
        <w:jc w:val="both"/>
        <w:rPr>
          <w:rFonts w:ascii="ITC Avant Garde" w:eastAsia="Times New Roman" w:hAnsi="ITC Avant Garde"/>
          <w:lang w:eastAsia="es-MX"/>
        </w:rPr>
      </w:pPr>
      <w:r w:rsidRPr="002A2450">
        <w:rPr>
          <w:rFonts w:ascii="ITC Avant Garde" w:eastAsia="Times New Roman" w:hAnsi="ITC Avant Garde"/>
          <w:bCs/>
          <w:color w:val="000000"/>
          <w:lang w:eastAsia="es-MX"/>
        </w:rPr>
        <w:t>En consecuencia, con base en los resultandos y considerandos anteriores</w:t>
      </w:r>
      <w:r w:rsidRPr="002A2450">
        <w:rPr>
          <w:rFonts w:ascii="ITC Avant Garde" w:eastAsia="Times New Roman" w:hAnsi="ITC Avant Garde"/>
          <w:lang w:eastAsia="es-MX"/>
        </w:rPr>
        <w:t>, el Pleno del Instituto Federal de Telecomunicaciones:</w:t>
      </w:r>
    </w:p>
    <w:p w14:paraId="48539858" w14:textId="77777777" w:rsidR="00B35F13" w:rsidRPr="00B35F13" w:rsidRDefault="00EB0A72" w:rsidP="00B35F13">
      <w:pPr>
        <w:pStyle w:val="Ttulo2"/>
        <w:keepNext/>
        <w:keepLines/>
        <w:spacing w:before="240" w:after="240"/>
        <w:contextualSpacing/>
        <w:jc w:val="center"/>
        <w:rPr>
          <w:rFonts w:eastAsia="Arial" w:cs="Arial"/>
          <w:bCs w:val="0"/>
          <w:smallCaps w:val="0"/>
          <w:sz w:val="21"/>
          <w:szCs w:val="21"/>
        </w:rPr>
      </w:pPr>
      <w:bookmarkStart w:id="98" w:name="_Toc477170201"/>
      <w:r w:rsidRPr="00B35F13">
        <w:rPr>
          <w:rFonts w:eastAsia="Arial" w:cs="Arial"/>
          <w:bCs w:val="0"/>
          <w:smallCaps w:val="0"/>
          <w:sz w:val="21"/>
          <w:szCs w:val="21"/>
        </w:rPr>
        <w:t>RESUELVE</w:t>
      </w:r>
      <w:bookmarkEnd w:id="98"/>
    </w:p>
    <w:p w14:paraId="7911B8EB" w14:textId="77777777" w:rsidR="00E5393E" w:rsidRDefault="00EB0A72" w:rsidP="00B35F13">
      <w:pPr>
        <w:spacing w:before="240" w:line="360" w:lineRule="auto"/>
        <w:jc w:val="both"/>
        <w:rPr>
          <w:rFonts w:ascii="ITC Avant Garde" w:eastAsia="Times New Roman" w:hAnsi="ITC Avant Garde"/>
          <w:bCs/>
          <w:color w:val="000000"/>
          <w:lang w:eastAsia="es-MX"/>
        </w:rPr>
        <w:sectPr w:rsidR="00E5393E" w:rsidSect="009F3771">
          <w:headerReference w:type="default" r:id="rId87"/>
          <w:pgSz w:w="12240" w:h="15840"/>
          <w:pgMar w:top="1985" w:right="1701" w:bottom="1418" w:left="1701" w:header="709" w:footer="709" w:gutter="0"/>
          <w:cols w:space="708"/>
          <w:docGrid w:linePitch="360"/>
        </w:sectPr>
      </w:pPr>
      <w:bookmarkStart w:id="99" w:name="_Toc477170202"/>
      <w:r w:rsidRPr="002A2450">
        <w:rPr>
          <w:rStyle w:val="Ttulo3Car"/>
          <w:rFonts w:eastAsiaTheme="minorHAnsi"/>
        </w:rPr>
        <w:t>PRIMERO</w:t>
      </w:r>
      <w:bookmarkEnd w:id="99"/>
      <w:r w:rsidRPr="002A2450">
        <w:rPr>
          <w:rFonts w:ascii="ITC Avant Garde" w:eastAsia="Times New Roman" w:hAnsi="ITC Avant Garde"/>
          <w:b/>
          <w:bCs/>
          <w:color w:val="000000"/>
          <w:lang w:eastAsia="es-MX"/>
        </w:rPr>
        <w:t>.</w:t>
      </w:r>
      <w:r w:rsidRPr="002A2450">
        <w:rPr>
          <w:rFonts w:ascii="ITC Avant Garde" w:eastAsia="Times New Roman" w:hAnsi="ITC Avant Garde"/>
          <w:bCs/>
          <w:color w:val="000000"/>
          <w:lang w:eastAsia="es-MX"/>
        </w:rPr>
        <w:t xml:space="preserve"> Conforme a lo expuesto en la </w:t>
      </w:r>
      <w:r w:rsidR="00CE7149">
        <w:rPr>
          <w:rFonts w:ascii="ITC Avant Garde" w:eastAsia="Times New Roman" w:hAnsi="ITC Avant Garde"/>
          <w:bCs/>
          <w:color w:val="000000"/>
          <w:lang w:eastAsia="es-MX"/>
        </w:rPr>
        <w:t xml:space="preserve">parte considerativa de la </w:t>
      </w:r>
      <w:r w:rsidRPr="002A2450">
        <w:rPr>
          <w:rFonts w:ascii="ITC Avant Garde" w:eastAsia="Times New Roman" w:hAnsi="ITC Avant Garde"/>
          <w:bCs/>
          <w:color w:val="000000"/>
          <w:lang w:eastAsia="es-MX"/>
        </w:rPr>
        <w:t xml:space="preserve">presente resolución, </w:t>
      </w:r>
      <w:r w:rsidRPr="002A2450">
        <w:rPr>
          <w:rFonts w:ascii="ITC Avant Garde" w:eastAsia="Times New Roman" w:hAnsi="ITC Avant Garde"/>
          <w:color w:val="000000"/>
          <w:lang w:eastAsia="es-MX"/>
        </w:rPr>
        <w:t xml:space="preserve">se acredita que </w:t>
      </w:r>
      <w:r w:rsidRPr="002A2450">
        <w:rPr>
          <w:rFonts w:ascii="ITC Avant Garde" w:eastAsia="Times New Roman" w:hAnsi="ITC Avant Garde"/>
          <w:b/>
          <w:bCs/>
          <w:color w:val="000000"/>
          <w:lang w:eastAsia="es-MX"/>
        </w:rPr>
        <w:t>TEL</w:t>
      </w:r>
      <w:r w:rsidR="00CE7149">
        <w:rPr>
          <w:rFonts w:ascii="ITC Avant Garde" w:eastAsia="Times New Roman" w:hAnsi="ITC Avant Garde"/>
          <w:b/>
          <w:bCs/>
          <w:color w:val="000000"/>
          <w:lang w:eastAsia="es-MX"/>
        </w:rPr>
        <w:t>É</w:t>
      </w:r>
      <w:r w:rsidRPr="002A2450">
        <w:rPr>
          <w:rFonts w:ascii="ITC Avant Garde" w:eastAsia="Times New Roman" w:hAnsi="ITC Avant Garde"/>
          <w:b/>
          <w:bCs/>
          <w:color w:val="000000"/>
          <w:lang w:eastAsia="es-MX"/>
        </w:rPr>
        <w:t>FONOS DE MÉXICO, S.A.B. DE C.V.</w:t>
      </w:r>
      <w:r w:rsidRPr="002A2450">
        <w:rPr>
          <w:rFonts w:ascii="ITC Avant Garde" w:hAnsi="ITC Avant Garde"/>
          <w:b/>
          <w:color w:val="000000"/>
        </w:rPr>
        <w:t xml:space="preserve">, </w:t>
      </w:r>
      <w:r w:rsidRPr="002A2450">
        <w:rPr>
          <w:rFonts w:ascii="ITC Avant Garde" w:eastAsia="Times New Roman" w:hAnsi="ITC Avant Garde"/>
          <w:bCs/>
          <w:color w:val="000000"/>
          <w:lang w:eastAsia="es-MX"/>
        </w:rPr>
        <w:t xml:space="preserve">incumplió lo establecido en </w:t>
      </w:r>
      <w:r w:rsidR="000923FB" w:rsidRPr="002A2450">
        <w:rPr>
          <w:rFonts w:ascii="ITC Avant Garde" w:eastAsia="Times New Roman" w:hAnsi="ITC Avant Garde"/>
          <w:bCs/>
          <w:color w:val="000000"/>
          <w:lang w:eastAsia="es-MX"/>
        </w:rPr>
        <w:t xml:space="preserve">el </w:t>
      </w:r>
      <w:r w:rsidR="00065AA4" w:rsidRPr="009E34A4">
        <w:rPr>
          <w:rFonts w:ascii="ITC Avant Garde" w:eastAsia="Times New Roman" w:hAnsi="ITC Avant Garde"/>
          <w:b/>
          <w:bCs/>
          <w:color w:val="000000"/>
          <w:lang w:eastAsia="es-MX"/>
        </w:rPr>
        <w:t>Tercer Párrafo</w:t>
      </w:r>
      <w:r w:rsidR="000923FB" w:rsidRPr="002A2450">
        <w:rPr>
          <w:rFonts w:ascii="ITC Avant Garde" w:eastAsia="Times New Roman" w:hAnsi="ITC Avant Garde"/>
          <w:bCs/>
          <w:color w:val="000000"/>
          <w:lang w:eastAsia="es-MX"/>
        </w:rPr>
        <w:t xml:space="preserve"> </w:t>
      </w:r>
      <w:r w:rsidRPr="002A2450">
        <w:rPr>
          <w:rFonts w:ascii="ITC Avant Garde" w:eastAsia="Times New Roman" w:hAnsi="ITC Avant Garde"/>
          <w:bCs/>
          <w:color w:val="000000"/>
          <w:lang w:eastAsia="es-MX"/>
        </w:rPr>
        <w:t xml:space="preserve">la condición 1-9 de </w:t>
      </w:r>
      <w:r w:rsidRPr="002A2450">
        <w:rPr>
          <w:rFonts w:ascii="ITC Avant Garde" w:hAnsi="ITC Avant Garde"/>
        </w:rPr>
        <w:t xml:space="preserve">su </w:t>
      </w:r>
      <w:r w:rsidRPr="002A2450">
        <w:rPr>
          <w:rFonts w:ascii="ITC Avant Garde" w:hAnsi="ITC Avant Garde"/>
          <w:b/>
        </w:rPr>
        <w:t>“TÍTULO DE CONCESIÓN”</w:t>
      </w:r>
      <w:r w:rsidRPr="002A2450">
        <w:rPr>
          <w:rFonts w:ascii="ITC Avant Garde" w:eastAsia="Times New Roman" w:hAnsi="ITC Avant Garde"/>
          <w:bCs/>
          <w:color w:val="000000"/>
          <w:lang w:eastAsia="es-MX"/>
        </w:rPr>
        <w:t xml:space="preserve">, al haber </w:t>
      </w:r>
      <w:r w:rsidR="000923FB" w:rsidRPr="002A2450">
        <w:rPr>
          <w:rFonts w:ascii="ITC Avant Garde" w:eastAsia="Times New Roman" w:hAnsi="ITC Avant Garde"/>
          <w:bCs/>
          <w:color w:val="000000"/>
          <w:lang w:eastAsia="es-MX"/>
        </w:rPr>
        <w:t xml:space="preserve">encontrado elementos suficientes y determinantes para concluir que dicha empresa </w:t>
      </w:r>
      <w:r w:rsidR="00CE7149">
        <w:rPr>
          <w:rFonts w:ascii="ITC Avant Garde" w:eastAsia="Times New Roman" w:hAnsi="ITC Avant Garde"/>
          <w:bCs/>
          <w:color w:val="000000"/>
          <w:lang w:eastAsia="es-MX"/>
        </w:rPr>
        <w:t>explotó de</w:t>
      </w:r>
      <w:r w:rsidRPr="002A2450">
        <w:rPr>
          <w:rFonts w:ascii="ITC Avant Garde" w:eastAsia="Times New Roman" w:hAnsi="ITC Avant Garde"/>
          <w:bCs/>
          <w:color w:val="000000"/>
          <w:lang w:eastAsia="es-MX"/>
        </w:rPr>
        <w:t xml:space="preserve"> manera indirecta una concesión para prestar servicio</w:t>
      </w:r>
      <w:r w:rsidR="00CE7149">
        <w:rPr>
          <w:rFonts w:ascii="ITC Avant Garde" w:eastAsia="Times New Roman" w:hAnsi="ITC Avant Garde"/>
          <w:bCs/>
          <w:color w:val="000000"/>
          <w:lang w:eastAsia="es-MX"/>
        </w:rPr>
        <w:t>s</w:t>
      </w:r>
      <w:r w:rsidRPr="002A2450">
        <w:rPr>
          <w:rFonts w:ascii="ITC Avant Garde" w:eastAsia="Times New Roman" w:hAnsi="ITC Avant Garde"/>
          <w:bCs/>
          <w:color w:val="000000"/>
          <w:lang w:eastAsia="es-MX"/>
        </w:rPr>
        <w:t xml:space="preserve"> de </w:t>
      </w:r>
    </w:p>
    <w:p w14:paraId="74881945" w14:textId="54667134" w:rsidR="00B35F13" w:rsidRDefault="00EB0A72" w:rsidP="00B35F13">
      <w:pPr>
        <w:spacing w:before="240" w:line="360" w:lineRule="auto"/>
        <w:jc w:val="both"/>
        <w:rPr>
          <w:rFonts w:ascii="ITC Avant Garde" w:hAnsi="ITC Avant Garde"/>
          <w:color w:val="000000"/>
        </w:rPr>
      </w:pPr>
      <w:proofErr w:type="gramStart"/>
      <w:r w:rsidRPr="002A2450">
        <w:rPr>
          <w:rFonts w:ascii="ITC Avant Garde" w:eastAsia="Times New Roman" w:hAnsi="ITC Avant Garde"/>
          <w:bCs/>
          <w:color w:val="000000"/>
          <w:lang w:eastAsia="es-MX"/>
        </w:rPr>
        <w:lastRenderedPageBreak/>
        <w:t>televisión</w:t>
      </w:r>
      <w:proofErr w:type="gramEnd"/>
      <w:r w:rsidRPr="002A2450">
        <w:rPr>
          <w:rFonts w:ascii="ITC Avant Garde" w:eastAsia="Times New Roman" w:hAnsi="ITC Avant Garde"/>
          <w:bCs/>
          <w:color w:val="000000"/>
          <w:lang w:eastAsia="es-MX"/>
        </w:rPr>
        <w:t xml:space="preserve"> </w:t>
      </w:r>
      <w:r w:rsidR="00CE7149">
        <w:rPr>
          <w:rFonts w:ascii="ITC Avant Garde" w:eastAsia="Times New Roman" w:hAnsi="ITC Avant Garde"/>
          <w:bCs/>
          <w:color w:val="000000"/>
          <w:lang w:eastAsia="es-MX"/>
        </w:rPr>
        <w:t xml:space="preserve">al público </w:t>
      </w:r>
      <w:r w:rsidRPr="002A2450">
        <w:rPr>
          <w:rFonts w:ascii="ITC Avant Garde" w:eastAsia="Times New Roman" w:hAnsi="ITC Avant Garde"/>
          <w:bCs/>
          <w:color w:val="000000"/>
          <w:lang w:eastAsia="es-MX"/>
        </w:rPr>
        <w:t>en el país</w:t>
      </w:r>
      <w:r w:rsidR="00CE7149">
        <w:rPr>
          <w:rFonts w:ascii="ITC Avant Garde" w:eastAsia="Times New Roman" w:hAnsi="ITC Avant Garde"/>
          <w:bCs/>
          <w:color w:val="000000"/>
          <w:lang w:eastAsia="es-MX"/>
        </w:rPr>
        <w:t xml:space="preserve">, en los términos que han quedado </w:t>
      </w:r>
      <w:r w:rsidR="0061222D">
        <w:rPr>
          <w:rFonts w:ascii="ITC Avant Garde" w:eastAsia="Times New Roman" w:hAnsi="ITC Avant Garde"/>
          <w:bCs/>
          <w:color w:val="000000"/>
          <w:lang w:eastAsia="es-MX"/>
        </w:rPr>
        <w:t>precisados a lo largo de la presente resolución</w:t>
      </w:r>
      <w:r w:rsidRPr="002A2450">
        <w:rPr>
          <w:rFonts w:ascii="ITC Avant Garde" w:eastAsia="Times New Roman" w:hAnsi="ITC Avant Garde"/>
          <w:bCs/>
          <w:color w:val="000000"/>
          <w:lang w:eastAsia="es-MX"/>
        </w:rPr>
        <w:t>.</w:t>
      </w:r>
    </w:p>
    <w:p w14:paraId="16125258" w14:textId="1ACAE38B" w:rsidR="00B35F13" w:rsidRDefault="00EB0A72" w:rsidP="00B35F13">
      <w:pPr>
        <w:spacing w:before="240" w:line="360" w:lineRule="auto"/>
        <w:jc w:val="both"/>
        <w:rPr>
          <w:rFonts w:ascii="ITC Avant Garde" w:eastAsia="Times New Roman" w:hAnsi="ITC Avant Garde"/>
          <w:color w:val="000000"/>
          <w:lang w:eastAsia="es-MX"/>
        </w:rPr>
      </w:pPr>
      <w:bookmarkStart w:id="100" w:name="_Toc477170203"/>
      <w:r w:rsidRPr="002A2450">
        <w:rPr>
          <w:rStyle w:val="Ttulo3Car"/>
          <w:rFonts w:eastAsiaTheme="minorHAnsi"/>
        </w:rPr>
        <w:t>SEGUNDO</w:t>
      </w:r>
      <w:bookmarkEnd w:id="100"/>
      <w:r w:rsidRPr="002A2450">
        <w:rPr>
          <w:rFonts w:ascii="ITC Avant Garde" w:eastAsia="Times New Roman" w:hAnsi="ITC Avant Garde"/>
          <w:b/>
          <w:color w:val="000000"/>
          <w:lang w:eastAsia="es-MX"/>
        </w:rPr>
        <w:t>.</w:t>
      </w:r>
      <w:r w:rsidRPr="002A2450">
        <w:rPr>
          <w:rFonts w:ascii="ITC Avant Garde" w:eastAsia="Times New Roman" w:hAnsi="ITC Avant Garde"/>
          <w:color w:val="000000"/>
          <w:lang w:eastAsia="es-MX"/>
        </w:rPr>
        <w:t xml:space="preserve"> De conformidad con lo señalado en los Considerandos </w:t>
      </w:r>
      <w:r w:rsidRPr="002A2450">
        <w:rPr>
          <w:rFonts w:ascii="ITC Avant Garde" w:eastAsia="Times New Roman" w:hAnsi="ITC Avant Garde"/>
          <w:b/>
          <w:color w:val="000000"/>
          <w:lang w:eastAsia="es-MX"/>
        </w:rPr>
        <w:t>CUARTO, QUINTO, SEXTO, SÉPTIMO</w:t>
      </w:r>
      <w:r w:rsidR="000923FB" w:rsidRPr="002A2450">
        <w:rPr>
          <w:rFonts w:ascii="ITC Avant Garde" w:eastAsia="Times New Roman" w:hAnsi="ITC Avant Garde"/>
          <w:b/>
          <w:color w:val="000000"/>
          <w:lang w:eastAsia="es-MX"/>
        </w:rPr>
        <w:t xml:space="preserve"> y</w:t>
      </w:r>
      <w:r w:rsidRPr="002A2450">
        <w:rPr>
          <w:rFonts w:ascii="ITC Avant Garde" w:eastAsia="Times New Roman" w:hAnsi="ITC Avant Garde"/>
          <w:b/>
          <w:color w:val="000000"/>
          <w:lang w:eastAsia="es-MX"/>
        </w:rPr>
        <w:t xml:space="preserve"> OCTAVO </w:t>
      </w:r>
      <w:r w:rsidRPr="002A2450">
        <w:rPr>
          <w:rFonts w:ascii="ITC Avant Garde" w:eastAsia="Times New Roman" w:hAnsi="ITC Avant Garde"/>
          <w:color w:val="000000"/>
          <w:lang w:eastAsia="es-MX"/>
        </w:rPr>
        <w:t>de la presente Resolución y con fundamento en el artículo 71, inciso B), fracción IV</w:t>
      </w:r>
      <w:r w:rsidR="000923FB" w:rsidRPr="002A2450">
        <w:rPr>
          <w:rFonts w:ascii="ITC Avant Garde" w:eastAsia="Times New Roman" w:hAnsi="ITC Avant Garde"/>
          <w:color w:val="000000"/>
          <w:lang w:eastAsia="es-MX"/>
        </w:rPr>
        <w:t xml:space="preserve"> </w:t>
      </w:r>
      <w:r w:rsidRPr="002A2450">
        <w:rPr>
          <w:rFonts w:ascii="ITC Avant Garde" w:eastAsia="Times New Roman" w:hAnsi="ITC Avant Garde"/>
          <w:color w:val="000000"/>
          <w:lang w:eastAsia="es-MX"/>
        </w:rPr>
        <w:t xml:space="preserve">de la Ley Federal de Telecomunicaciones, en relación con </w:t>
      </w:r>
      <w:r w:rsidR="000923FB" w:rsidRPr="002A2450">
        <w:rPr>
          <w:rFonts w:ascii="ITC Avant Garde" w:eastAsia="Times New Roman" w:hAnsi="ITC Avant Garde"/>
          <w:color w:val="000000"/>
          <w:lang w:eastAsia="es-MX"/>
        </w:rPr>
        <w:t xml:space="preserve">el </w:t>
      </w:r>
      <w:r w:rsidRPr="002A2450">
        <w:rPr>
          <w:rFonts w:ascii="ITC Avant Garde" w:eastAsia="Times New Roman" w:hAnsi="ITC Avant Garde"/>
          <w:color w:val="000000"/>
          <w:lang w:eastAsia="es-MX"/>
        </w:rPr>
        <w:t xml:space="preserve">diverso 71 </w:t>
      </w:r>
      <w:r w:rsidR="00AD6110" w:rsidRPr="002A2450">
        <w:rPr>
          <w:rFonts w:ascii="ITC Avant Garde" w:eastAsia="Times New Roman" w:hAnsi="ITC Avant Garde"/>
          <w:color w:val="000000"/>
          <w:lang w:eastAsia="es-MX"/>
        </w:rPr>
        <w:t xml:space="preserve">y 73 </w:t>
      </w:r>
      <w:r w:rsidRPr="002A2450">
        <w:rPr>
          <w:rFonts w:ascii="ITC Avant Garde" w:eastAsia="Times New Roman" w:hAnsi="ITC Avant Garde"/>
          <w:color w:val="000000"/>
          <w:lang w:eastAsia="es-MX"/>
        </w:rPr>
        <w:t xml:space="preserve">de la Ley Federal de Procedimiento Administrativo, se </w:t>
      </w:r>
      <w:r w:rsidRPr="00FC328B">
        <w:rPr>
          <w:rFonts w:ascii="ITC Avant Garde" w:eastAsia="Times New Roman" w:hAnsi="ITC Avant Garde"/>
          <w:color w:val="000000"/>
          <w:lang w:eastAsia="es-MX"/>
        </w:rPr>
        <w:t>impone a</w:t>
      </w:r>
      <w:r w:rsidRPr="00FC328B">
        <w:rPr>
          <w:rFonts w:ascii="ITC Avant Garde" w:eastAsia="Times New Roman" w:hAnsi="ITC Avant Garde"/>
          <w:b/>
          <w:bCs/>
          <w:color w:val="000000"/>
          <w:lang w:eastAsia="es-MX"/>
        </w:rPr>
        <w:t xml:space="preserve"> </w:t>
      </w:r>
      <w:r w:rsidR="007E1B73" w:rsidRPr="00FC328B">
        <w:rPr>
          <w:rFonts w:ascii="ITC Avant Garde" w:eastAsia="Times New Roman" w:hAnsi="ITC Avant Garde"/>
          <w:b/>
          <w:bCs/>
          <w:color w:val="000000"/>
          <w:lang w:eastAsia="es-MX"/>
        </w:rPr>
        <w:t>TEL</w:t>
      </w:r>
      <w:r w:rsidR="00FC328B" w:rsidRPr="00FC328B">
        <w:rPr>
          <w:rFonts w:ascii="ITC Avant Garde" w:eastAsia="Times New Roman" w:hAnsi="ITC Avant Garde"/>
          <w:b/>
          <w:bCs/>
          <w:color w:val="000000"/>
          <w:lang w:eastAsia="es-MX"/>
        </w:rPr>
        <w:t>É</w:t>
      </w:r>
      <w:r w:rsidR="007E1B73" w:rsidRPr="00FC328B">
        <w:rPr>
          <w:rFonts w:ascii="ITC Avant Garde" w:eastAsia="Times New Roman" w:hAnsi="ITC Avant Garde"/>
          <w:b/>
          <w:bCs/>
          <w:color w:val="000000"/>
          <w:lang w:eastAsia="es-MX"/>
        </w:rPr>
        <w:t>FONOS DE MÉXICO</w:t>
      </w:r>
      <w:r w:rsidR="007E1B73" w:rsidRPr="002A2450">
        <w:rPr>
          <w:rFonts w:ascii="ITC Avant Garde" w:eastAsia="Times New Roman" w:hAnsi="ITC Avant Garde"/>
          <w:b/>
          <w:bCs/>
          <w:color w:val="000000"/>
          <w:lang w:eastAsia="es-MX"/>
        </w:rPr>
        <w:t>, S.A.B. DE C.V.</w:t>
      </w:r>
      <w:r w:rsidRPr="002A2450">
        <w:rPr>
          <w:rFonts w:ascii="ITC Avant Garde" w:hAnsi="ITC Avant Garde"/>
          <w:b/>
          <w:color w:val="000000"/>
        </w:rPr>
        <w:t xml:space="preserve">, </w:t>
      </w:r>
      <w:r w:rsidRPr="002A2450">
        <w:rPr>
          <w:rFonts w:ascii="ITC Avant Garde" w:hAnsi="ITC Avant Garde"/>
          <w:color w:val="000000"/>
        </w:rPr>
        <w:t xml:space="preserve">una multa </w:t>
      </w:r>
      <w:r w:rsidR="00C464A8" w:rsidRPr="009E34A4">
        <w:rPr>
          <w:rFonts w:ascii="ITC Avant Garde" w:eastAsia="Times New Roman" w:hAnsi="ITC Avant Garde"/>
          <w:color w:val="000000"/>
          <w:lang w:eastAsia="es-MX"/>
        </w:rPr>
        <w:t xml:space="preserve">por 40,000 </w:t>
      </w:r>
      <w:r w:rsidR="0061222D">
        <w:rPr>
          <w:rFonts w:ascii="ITC Avant Garde" w:eastAsia="Times New Roman" w:hAnsi="ITC Avant Garde"/>
          <w:color w:val="000000"/>
          <w:lang w:eastAsia="es-MX"/>
        </w:rPr>
        <w:t xml:space="preserve">días de salario mínimo vigente </w:t>
      </w:r>
      <w:r w:rsidR="00C464A8" w:rsidRPr="009E34A4">
        <w:rPr>
          <w:rFonts w:ascii="ITC Avant Garde" w:eastAsia="Times New Roman" w:hAnsi="ITC Avant Garde"/>
          <w:color w:val="000000"/>
          <w:lang w:eastAsia="es-MX"/>
        </w:rPr>
        <w:t xml:space="preserve"> en dos mil catorce, lo cual equivale a la cantidad de $2,691,600.00 (Dos millones seiscientos noventa y un mil seiscientos pesos 00/100 M.N.) como multa primigenia</w:t>
      </w:r>
      <w:r w:rsidR="0061222D">
        <w:rPr>
          <w:rFonts w:ascii="ITC Avant Garde" w:eastAsia="Times New Roman" w:hAnsi="ITC Avant Garde"/>
          <w:color w:val="000000"/>
          <w:lang w:eastAsia="es-MX"/>
        </w:rPr>
        <w:t>.</w:t>
      </w:r>
    </w:p>
    <w:p w14:paraId="579BF820" w14:textId="77777777" w:rsidR="00B35F13" w:rsidRDefault="0061222D" w:rsidP="00B35F13">
      <w:pPr>
        <w:spacing w:before="240" w:line="360" w:lineRule="auto"/>
        <w:jc w:val="both"/>
        <w:rPr>
          <w:rFonts w:ascii="ITC Avant Garde" w:eastAsia="Times New Roman" w:hAnsi="ITC Avant Garde"/>
          <w:color w:val="000000"/>
          <w:lang w:eastAsia="es-MX"/>
        </w:rPr>
      </w:pPr>
      <w:r>
        <w:rPr>
          <w:rFonts w:ascii="ITC Avant Garde" w:eastAsia="Times New Roman" w:hAnsi="ITC Avant Garde"/>
          <w:color w:val="000000"/>
          <w:lang w:eastAsia="es-MX"/>
        </w:rPr>
        <w:t xml:space="preserve">No obstante lo anterior, atendiendo a que en el presente asunto se actualizó el supuesto de reincidencia a que se refiere el </w:t>
      </w:r>
      <w:r w:rsidRPr="002A2450">
        <w:rPr>
          <w:rFonts w:ascii="ITC Avant Garde" w:eastAsia="Times New Roman" w:hAnsi="ITC Avant Garde"/>
          <w:color w:val="000000"/>
          <w:lang w:eastAsia="es-MX"/>
        </w:rPr>
        <w:t>antepenúltimo párrafo</w:t>
      </w:r>
      <w:r>
        <w:rPr>
          <w:rFonts w:ascii="ITC Avant Garde" w:eastAsia="Times New Roman" w:hAnsi="ITC Avant Garde"/>
          <w:color w:val="000000"/>
          <w:lang w:eastAsia="es-MX"/>
        </w:rPr>
        <w:t xml:space="preserve"> del artículo 71 de la citada </w:t>
      </w:r>
      <w:r w:rsidRPr="002A2450">
        <w:rPr>
          <w:rFonts w:ascii="ITC Avant Garde" w:eastAsia="Times New Roman" w:hAnsi="ITC Avant Garde"/>
          <w:color w:val="000000"/>
          <w:lang w:eastAsia="es-MX"/>
        </w:rPr>
        <w:t>de la Ley Federal de Telecomunicaciones</w:t>
      </w:r>
      <w:r>
        <w:rPr>
          <w:rFonts w:ascii="ITC Avant Garde" w:eastAsia="Times New Roman" w:hAnsi="ITC Avant Garde"/>
          <w:color w:val="000000"/>
          <w:lang w:eastAsia="es-MX"/>
        </w:rPr>
        <w:t xml:space="preserve">, procede imponer una multa por el doble de la multa primigenia y en consecuencia dicha multa corresponde a 80,000 salarios mínimos de la misma anualidad,  lo cual equivale a </w:t>
      </w:r>
      <w:r w:rsidR="00C464A8" w:rsidRPr="009E34A4">
        <w:rPr>
          <w:rFonts w:ascii="ITC Avant Garde" w:eastAsia="Times New Roman" w:hAnsi="ITC Avant Garde"/>
          <w:color w:val="000000"/>
          <w:lang w:eastAsia="es-MX"/>
        </w:rPr>
        <w:t>la cantidad total  de $5,383,200.00</w:t>
      </w:r>
      <w:r>
        <w:rPr>
          <w:rFonts w:ascii="ITC Avant Garde" w:eastAsia="Times New Roman" w:hAnsi="ITC Avant Garde"/>
          <w:color w:val="000000"/>
          <w:lang w:eastAsia="es-MX"/>
        </w:rPr>
        <w:t xml:space="preserve"> (cinco millones trescientos ochenta y tres mil doscientos pesos 00/100 M.N.)</w:t>
      </w:r>
      <w:r w:rsidR="00C464A8" w:rsidRPr="00836CC0">
        <w:rPr>
          <w:rFonts w:ascii="ITC Avant Garde" w:eastAsia="Times New Roman" w:hAnsi="ITC Avant Garde"/>
          <w:color w:val="000000"/>
          <w:lang w:eastAsia="es-MX"/>
        </w:rPr>
        <w:t>.</w:t>
      </w:r>
    </w:p>
    <w:p w14:paraId="527D9D64" w14:textId="77777777" w:rsidR="00B35F13" w:rsidRDefault="00EB0A72" w:rsidP="00B35F13">
      <w:pPr>
        <w:tabs>
          <w:tab w:val="left" w:pos="993"/>
        </w:tabs>
        <w:spacing w:before="240" w:line="360" w:lineRule="auto"/>
        <w:jc w:val="both"/>
        <w:rPr>
          <w:rFonts w:ascii="ITC Avant Garde" w:eastAsia="Times New Roman" w:hAnsi="ITC Avant Garde"/>
          <w:color w:val="000000"/>
          <w:lang w:eastAsia="es-MX"/>
        </w:rPr>
      </w:pPr>
      <w:r w:rsidRPr="002A2450">
        <w:rPr>
          <w:rFonts w:ascii="ITC Avant Garde" w:eastAsia="Times New Roman" w:hAnsi="ITC Avant Garde"/>
          <w:b/>
          <w:color w:val="000000"/>
          <w:lang w:eastAsia="es-MX"/>
        </w:rPr>
        <w:t>TERCERO.</w:t>
      </w:r>
      <w:r w:rsidRPr="002A2450">
        <w:rPr>
          <w:rFonts w:ascii="ITC Avant Garde" w:eastAsia="Times New Roman" w:hAnsi="ITC Avant Garde"/>
          <w:b/>
          <w:bCs/>
          <w:color w:val="000000"/>
          <w:lang w:eastAsia="es-MX"/>
        </w:rPr>
        <w:t xml:space="preserve"> </w:t>
      </w:r>
      <w:r w:rsidR="007E1B73" w:rsidRPr="002A2450">
        <w:rPr>
          <w:rFonts w:ascii="ITC Avant Garde" w:eastAsia="Times New Roman" w:hAnsi="ITC Avant Garde"/>
          <w:b/>
          <w:bCs/>
          <w:color w:val="000000"/>
          <w:lang w:eastAsia="es-MX"/>
        </w:rPr>
        <w:t>TEL</w:t>
      </w:r>
      <w:r w:rsidR="0061222D">
        <w:rPr>
          <w:rFonts w:ascii="ITC Avant Garde" w:eastAsia="Times New Roman" w:hAnsi="ITC Avant Garde"/>
          <w:b/>
          <w:bCs/>
          <w:color w:val="000000"/>
          <w:lang w:eastAsia="es-MX"/>
        </w:rPr>
        <w:t>É</w:t>
      </w:r>
      <w:r w:rsidR="007E1B73" w:rsidRPr="002A2450">
        <w:rPr>
          <w:rFonts w:ascii="ITC Avant Garde" w:eastAsia="Times New Roman" w:hAnsi="ITC Avant Garde"/>
          <w:b/>
          <w:bCs/>
          <w:color w:val="000000"/>
          <w:lang w:eastAsia="es-MX"/>
        </w:rPr>
        <w:t>FONOS DE MÉXICO, S.A.B. DE C.V.</w:t>
      </w:r>
      <w:r w:rsidRPr="002A2450">
        <w:rPr>
          <w:rFonts w:ascii="ITC Avant Garde" w:hAnsi="ITC Avant Garde"/>
          <w:b/>
          <w:color w:val="000000"/>
        </w:rPr>
        <w:t>,</w:t>
      </w:r>
      <w:r w:rsidRPr="002A2450">
        <w:rPr>
          <w:rFonts w:ascii="ITC Avant Garde" w:hAnsi="ITC Avant Garde"/>
          <w:color w:val="000000"/>
        </w:rPr>
        <w:t xml:space="preserve"> </w:t>
      </w:r>
      <w:r w:rsidRPr="002A2450">
        <w:rPr>
          <w:rFonts w:ascii="ITC Avant Garde" w:eastAsia="Times New Roman" w:hAnsi="ITC Avant Garde"/>
          <w:color w:val="000000"/>
          <w:lang w:eastAsia="es-MX"/>
        </w:rPr>
        <w:t xml:space="preserve">deberá cubrir ante la Oficina del Servicio de Administración Tributaria que por razón de su domicilio fiscal le corresponda, el importe de la multa impuesta dentro del plazo de 30 días siguientes a aquél en que haya surtido efectos la notificación de la presente Resolución, en términos del artículo 65 del </w:t>
      </w:r>
      <w:r w:rsidRPr="002A2450">
        <w:rPr>
          <w:rFonts w:ascii="ITC Avant Garde" w:eastAsia="Times New Roman" w:hAnsi="ITC Avant Garde"/>
          <w:b/>
          <w:color w:val="000000"/>
          <w:lang w:eastAsia="es-MX"/>
        </w:rPr>
        <w:t>Código Fiscal de la Federación</w:t>
      </w:r>
      <w:r w:rsidRPr="002A2450">
        <w:rPr>
          <w:rFonts w:ascii="ITC Avant Garde" w:eastAsia="Times New Roman" w:hAnsi="ITC Avant Garde"/>
          <w:color w:val="000000"/>
          <w:lang w:eastAsia="es-MX"/>
        </w:rPr>
        <w:t>.</w:t>
      </w:r>
    </w:p>
    <w:p w14:paraId="38F0AF25" w14:textId="77777777" w:rsidR="00B35F13" w:rsidRDefault="00EB0A72" w:rsidP="00B35F13">
      <w:pPr>
        <w:tabs>
          <w:tab w:val="left" w:pos="993"/>
        </w:tabs>
        <w:spacing w:before="240" w:line="360" w:lineRule="auto"/>
        <w:jc w:val="both"/>
        <w:rPr>
          <w:rFonts w:ascii="ITC Avant Garde" w:eastAsia="Times New Roman" w:hAnsi="ITC Avant Garde"/>
          <w:color w:val="000000"/>
          <w:lang w:eastAsia="es-MX"/>
        </w:rPr>
      </w:pPr>
      <w:r w:rsidRPr="002A2450">
        <w:rPr>
          <w:rFonts w:ascii="ITC Avant Garde" w:eastAsia="Times New Roman" w:hAnsi="ITC Avant Garde"/>
          <w:b/>
          <w:color w:val="000000"/>
          <w:lang w:eastAsia="es-MX"/>
        </w:rPr>
        <w:t>CUARTO.</w:t>
      </w:r>
      <w:r w:rsidRPr="002A2450">
        <w:rPr>
          <w:rFonts w:ascii="ITC Avant Garde" w:hAnsi="ITC Avant Garde"/>
          <w:b/>
          <w:color w:val="000000"/>
        </w:rPr>
        <w:t xml:space="preserve"> </w:t>
      </w:r>
      <w:r w:rsidRPr="002A2450">
        <w:rPr>
          <w:rFonts w:ascii="ITC Avant Garde" w:eastAsia="Times New Roman" w:hAnsi="ITC Avant Garde"/>
          <w:color w:val="000000"/>
          <w:lang w:eastAsia="es-MX"/>
        </w:rPr>
        <w:t xml:space="preserve">Gírese oficio a la autoridad exactora, a fin de que si la multa no es cubierta dentro del término de ley, con fundamento en el artículo 145 del </w:t>
      </w:r>
      <w:r w:rsidRPr="002A2450">
        <w:rPr>
          <w:rFonts w:ascii="ITC Avant Garde" w:eastAsia="Times New Roman" w:hAnsi="ITC Avant Garde"/>
          <w:b/>
          <w:color w:val="000000"/>
          <w:lang w:eastAsia="es-MX"/>
        </w:rPr>
        <w:t>Código Fiscal de la Federación</w:t>
      </w:r>
      <w:r w:rsidRPr="002A2450">
        <w:rPr>
          <w:rFonts w:ascii="ITC Avant Garde" w:eastAsia="Times New Roman" w:hAnsi="ITC Avant Garde"/>
          <w:color w:val="000000"/>
          <w:lang w:eastAsia="es-MX"/>
        </w:rPr>
        <w:t>, proceda a hacer efectivo el cobro de la misma.</w:t>
      </w:r>
    </w:p>
    <w:p w14:paraId="2080EFE5" w14:textId="77777777" w:rsidR="00B35F13" w:rsidRDefault="00EB0A72" w:rsidP="00B35F13">
      <w:pPr>
        <w:tabs>
          <w:tab w:val="left" w:pos="993"/>
        </w:tabs>
        <w:spacing w:before="240" w:line="360" w:lineRule="auto"/>
        <w:jc w:val="both"/>
        <w:rPr>
          <w:rFonts w:ascii="ITC Avant Garde" w:eastAsia="Times New Roman" w:hAnsi="ITC Avant Garde"/>
          <w:b/>
          <w:color w:val="000000"/>
          <w:lang w:eastAsia="es-MX"/>
        </w:rPr>
      </w:pPr>
      <w:r w:rsidRPr="002A2450">
        <w:rPr>
          <w:rFonts w:ascii="ITC Avant Garde" w:eastAsia="Times New Roman" w:hAnsi="ITC Avant Garde"/>
          <w:b/>
          <w:color w:val="000000"/>
          <w:lang w:eastAsia="es-MX"/>
        </w:rPr>
        <w:t>QUINTO.</w:t>
      </w:r>
      <w:r w:rsidRPr="002A2450">
        <w:rPr>
          <w:rFonts w:ascii="ITC Avant Garde" w:hAnsi="ITC Avant Garde"/>
          <w:b/>
          <w:color w:val="000000"/>
        </w:rPr>
        <w:t xml:space="preserve"> </w:t>
      </w:r>
      <w:r w:rsidRPr="002A2450">
        <w:rPr>
          <w:rFonts w:ascii="ITC Avant Garde" w:eastAsia="Times New Roman" w:hAnsi="ITC Avant Garde"/>
          <w:color w:val="000000"/>
          <w:lang w:eastAsia="es-MX"/>
        </w:rPr>
        <w:t xml:space="preserve">Con fundamento en el artículo 35, fracción I de la </w:t>
      </w:r>
      <w:r w:rsidRPr="002A2450">
        <w:rPr>
          <w:rFonts w:ascii="ITC Avant Garde" w:eastAsia="Times New Roman" w:hAnsi="ITC Avant Garde"/>
          <w:b/>
          <w:color w:val="000000"/>
          <w:lang w:eastAsia="es-MX"/>
        </w:rPr>
        <w:t>Ley Federal de Procedimiento Administrativo</w:t>
      </w:r>
      <w:r w:rsidRPr="002A2450">
        <w:rPr>
          <w:rFonts w:ascii="ITC Avant Garde" w:eastAsia="Times New Roman" w:hAnsi="ITC Avant Garde"/>
          <w:color w:val="000000"/>
          <w:lang w:eastAsia="es-MX"/>
        </w:rPr>
        <w:t xml:space="preserve">, se ordena que la presente Resolución se notifique </w:t>
      </w:r>
      <w:r w:rsidRPr="002A2450">
        <w:rPr>
          <w:rFonts w:ascii="ITC Avant Garde" w:eastAsia="Times New Roman" w:hAnsi="ITC Avant Garde"/>
          <w:color w:val="000000"/>
          <w:lang w:eastAsia="es-MX"/>
        </w:rPr>
        <w:lastRenderedPageBreak/>
        <w:t>personalmente a</w:t>
      </w:r>
      <w:r w:rsidRPr="002A2450">
        <w:rPr>
          <w:rFonts w:ascii="ITC Avant Garde" w:eastAsia="Times New Roman" w:hAnsi="ITC Avant Garde"/>
          <w:b/>
          <w:bCs/>
          <w:color w:val="000000"/>
          <w:lang w:eastAsia="es-MX"/>
        </w:rPr>
        <w:t xml:space="preserve"> </w:t>
      </w:r>
      <w:r w:rsidR="007E1B73" w:rsidRPr="002A2450">
        <w:rPr>
          <w:rFonts w:ascii="ITC Avant Garde" w:eastAsia="Times New Roman" w:hAnsi="ITC Avant Garde"/>
          <w:b/>
          <w:bCs/>
          <w:color w:val="000000"/>
          <w:lang w:eastAsia="es-MX"/>
        </w:rPr>
        <w:t>TEL</w:t>
      </w:r>
      <w:r w:rsidR="0061222D">
        <w:rPr>
          <w:rFonts w:ascii="ITC Avant Garde" w:eastAsia="Times New Roman" w:hAnsi="ITC Avant Garde"/>
          <w:b/>
          <w:bCs/>
          <w:color w:val="000000"/>
          <w:lang w:eastAsia="es-MX"/>
        </w:rPr>
        <w:t>É</w:t>
      </w:r>
      <w:r w:rsidR="007E1B73" w:rsidRPr="002A2450">
        <w:rPr>
          <w:rFonts w:ascii="ITC Avant Garde" w:eastAsia="Times New Roman" w:hAnsi="ITC Avant Garde"/>
          <w:b/>
          <w:bCs/>
          <w:color w:val="000000"/>
          <w:lang w:eastAsia="es-MX"/>
        </w:rPr>
        <w:t>FONOS DE MÉXICO, S.A.B. DE C.V.</w:t>
      </w:r>
      <w:r w:rsidRPr="002A2450">
        <w:rPr>
          <w:rFonts w:ascii="ITC Avant Garde" w:hAnsi="ITC Avant Garde"/>
          <w:b/>
          <w:color w:val="000000"/>
        </w:rPr>
        <w:t xml:space="preserve">, </w:t>
      </w:r>
      <w:r w:rsidRPr="002A2450">
        <w:rPr>
          <w:rFonts w:ascii="ITC Avant Garde" w:eastAsia="Times New Roman" w:hAnsi="ITC Avant Garde"/>
          <w:color w:val="000000"/>
          <w:lang w:eastAsia="es-MX"/>
        </w:rPr>
        <w:t>en el domicilio precisado en el proemio de la presente Resolución.</w:t>
      </w:r>
    </w:p>
    <w:p w14:paraId="7E395901" w14:textId="77777777" w:rsidR="00B35F13" w:rsidRDefault="00EB0A72" w:rsidP="00B35F13">
      <w:pPr>
        <w:tabs>
          <w:tab w:val="left" w:pos="993"/>
        </w:tabs>
        <w:spacing w:before="240" w:line="360" w:lineRule="auto"/>
        <w:jc w:val="both"/>
        <w:rPr>
          <w:rFonts w:ascii="ITC Avant Garde" w:eastAsia="Times New Roman" w:hAnsi="ITC Avant Garde"/>
          <w:color w:val="000000"/>
          <w:lang w:eastAsia="es-MX"/>
        </w:rPr>
      </w:pPr>
      <w:r w:rsidRPr="002A2450">
        <w:rPr>
          <w:rFonts w:ascii="ITC Avant Garde" w:eastAsia="Times New Roman" w:hAnsi="ITC Avant Garde"/>
          <w:b/>
          <w:color w:val="000000"/>
          <w:lang w:eastAsia="es-MX"/>
        </w:rPr>
        <w:t>SEXTO</w:t>
      </w:r>
      <w:r w:rsidRPr="002A2450">
        <w:rPr>
          <w:rFonts w:ascii="ITC Avant Garde" w:eastAsia="Times New Roman" w:hAnsi="ITC Avant Garde"/>
          <w:color w:val="000000"/>
          <w:lang w:eastAsia="es-MX"/>
        </w:rPr>
        <w:t xml:space="preserve">. En términos del artículo 3, fracción XIV, de la </w:t>
      </w:r>
      <w:r w:rsidRPr="002A2450">
        <w:rPr>
          <w:rFonts w:ascii="ITC Avant Garde" w:eastAsia="Times New Roman" w:hAnsi="ITC Avant Garde"/>
          <w:b/>
          <w:color w:val="000000"/>
          <w:lang w:eastAsia="es-MX"/>
        </w:rPr>
        <w:t>Ley Federal del Procedimiento Administrativo</w:t>
      </w:r>
      <w:r w:rsidRPr="002A2450">
        <w:rPr>
          <w:rFonts w:ascii="ITC Avant Garde" w:eastAsia="Times New Roman" w:hAnsi="ITC Avant Garde"/>
          <w:color w:val="000000"/>
          <w:lang w:eastAsia="es-MX"/>
        </w:rPr>
        <w:t>, se informa a</w:t>
      </w:r>
      <w:r w:rsidRPr="002A2450">
        <w:rPr>
          <w:rFonts w:ascii="ITC Avant Garde" w:eastAsia="Times New Roman" w:hAnsi="ITC Avant Garde"/>
          <w:b/>
          <w:bCs/>
          <w:color w:val="000000"/>
          <w:lang w:eastAsia="es-MX"/>
        </w:rPr>
        <w:t xml:space="preserve"> </w:t>
      </w:r>
      <w:r w:rsidR="007E1B73" w:rsidRPr="002A2450">
        <w:rPr>
          <w:rFonts w:ascii="ITC Avant Garde" w:eastAsia="Times New Roman" w:hAnsi="ITC Avant Garde"/>
          <w:b/>
          <w:bCs/>
          <w:color w:val="000000"/>
          <w:lang w:eastAsia="es-MX"/>
        </w:rPr>
        <w:t>TEL</w:t>
      </w:r>
      <w:r w:rsidR="0061222D">
        <w:rPr>
          <w:rFonts w:ascii="ITC Avant Garde" w:eastAsia="Times New Roman" w:hAnsi="ITC Avant Garde"/>
          <w:b/>
          <w:bCs/>
          <w:color w:val="000000"/>
          <w:lang w:eastAsia="es-MX"/>
        </w:rPr>
        <w:t>É</w:t>
      </w:r>
      <w:r w:rsidR="007E1B73" w:rsidRPr="002A2450">
        <w:rPr>
          <w:rFonts w:ascii="ITC Avant Garde" w:eastAsia="Times New Roman" w:hAnsi="ITC Avant Garde"/>
          <w:b/>
          <w:bCs/>
          <w:color w:val="000000"/>
          <w:lang w:eastAsia="es-MX"/>
        </w:rPr>
        <w:t>FONOS DE MÉXICO, S.A.B. DE C.V.</w:t>
      </w:r>
      <w:r w:rsidRPr="002A2450">
        <w:rPr>
          <w:rFonts w:ascii="ITC Avant Garde" w:hAnsi="ITC Avant Garde"/>
          <w:b/>
          <w:color w:val="000000"/>
        </w:rPr>
        <w:t xml:space="preserve">, </w:t>
      </w:r>
      <w:r w:rsidRPr="002A2450">
        <w:rPr>
          <w:rFonts w:ascii="ITC Avant Garde" w:eastAsia="Times New Roman" w:hAnsi="ITC Avant Garde"/>
          <w:bCs/>
          <w:color w:val="000000"/>
          <w:lang w:eastAsia="es-MX"/>
        </w:rPr>
        <w:t>que podrá consultar el expediente en que se actúa en las oficinas de la Unidad de Cumplimiento</w:t>
      </w:r>
      <w:r w:rsidRPr="002A2450">
        <w:rPr>
          <w:rFonts w:ascii="ITC Avant Garde" w:eastAsia="Times New Roman" w:hAnsi="ITC Avant Garde"/>
          <w:color w:val="000000"/>
          <w:lang w:eastAsia="es-MX"/>
        </w:rPr>
        <w:t xml:space="preserve"> de este Instituto Federal de Telecomunicaciones, con domicilio en Avenida Insurgentes Sur número 838, Cuarto Piso, Colonia Del Valle, Delegación Benito Juárez, Código Postal 03100, Ciudad de México (edificio alterno a la sede de este Instituto), dentro del siguiente horario: de lunes a jueves de las 9:00 a las 18:30 horas</w:t>
      </w:r>
      <w:r w:rsidRPr="002A2450">
        <w:rPr>
          <w:rFonts w:ascii="ITC Avant Garde" w:hAnsi="ITC Avant Garde"/>
          <w:color w:val="000000"/>
        </w:rPr>
        <w:t xml:space="preserve"> y los viernes de 9:00 a 15:00 horas.</w:t>
      </w:r>
    </w:p>
    <w:p w14:paraId="1A91A204" w14:textId="0D7FE322" w:rsidR="00B35F13" w:rsidRDefault="00EB0A72" w:rsidP="00B35F13">
      <w:pPr>
        <w:tabs>
          <w:tab w:val="left" w:pos="993"/>
        </w:tabs>
        <w:spacing w:before="240" w:line="360" w:lineRule="auto"/>
        <w:jc w:val="both"/>
        <w:rPr>
          <w:rFonts w:ascii="ITC Avant Garde" w:eastAsia="Times New Roman" w:hAnsi="ITC Avant Garde"/>
          <w:color w:val="000000"/>
          <w:lang w:eastAsia="es-MX"/>
        </w:rPr>
      </w:pPr>
      <w:r w:rsidRPr="002A2450">
        <w:rPr>
          <w:rFonts w:ascii="ITC Avant Garde" w:eastAsia="Times New Roman" w:hAnsi="ITC Avant Garde"/>
          <w:b/>
          <w:color w:val="000000"/>
          <w:lang w:eastAsia="es-MX"/>
        </w:rPr>
        <w:t>SÉPTIMO.</w:t>
      </w:r>
      <w:r w:rsidRPr="002A2450">
        <w:rPr>
          <w:rFonts w:ascii="ITC Avant Garde" w:hAnsi="ITC Avant Garde"/>
          <w:b/>
          <w:color w:val="000000"/>
        </w:rPr>
        <w:t xml:space="preserve"> </w:t>
      </w:r>
      <w:r w:rsidRPr="002A2450">
        <w:rPr>
          <w:rFonts w:ascii="ITC Avant Garde" w:eastAsia="Times New Roman" w:hAnsi="ITC Avant Garde"/>
          <w:bCs/>
          <w:color w:val="000000"/>
          <w:lang w:eastAsia="es-MX"/>
        </w:rPr>
        <w:t>En cumplimiento a lo dispuesto en los artículos 3, fracción</w:t>
      </w:r>
      <w:r w:rsidR="008F718E" w:rsidRPr="002A2450">
        <w:rPr>
          <w:rFonts w:ascii="ITC Avant Garde" w:eastAsia="Times New Roman" w:hAnsi="ITC Avant Garde"/>
          <w:bCs/>
          <w:color w:val="C00000"/>
          <w:lang w:eastAsia="es-MX"/>
        </w:rPr>
        <w:t xml:space="preserve"> </w:t>
      </w:r>
      <w:r w:rsidRPr="002A2450">
        <w:rPr>
          <w:rFonts w:ascii="ITC Avant Garde" w:eastAsia="Times New Roman" w:hAnsi="ITC Avant Garde"/>
          <w:bCs/>
          <w:color w:val="000000"/>
          <w:lang w:eastAsia="es-MX"/>
        </w:rPr>
        <w:t xml:space="preserve">XV y 39 de la </w:t>
      </w:r>
      <w:r w:rsidRPr="002A2450">
        <w:rPr>
          <w:rFonts w:ascii="ITC Avant Garde" w:eastAsia="Times New Roman" w:hAnsi="ITC Avant Garde"/>
          <w:b/>
          <w:bCs/>
          <w:color w:val="000000"/>
          <w:lang w:eastAsia="es-MX"/>
        </w:rPr>
        <w:t>Ley Federal de Procedimiento Administrativo</w:t>
      </w:r>
      <w:r w:rsidRPr="002A2450">
        <w:rPr>
          <w:rFonts w:ascii="ITC Avant Garde" w:eastAsia="Times New Roman" w:hAnsi="ITC Avant Garde"/>
          <w:bCs/>
          <w:color w:val="000000"/>
          <w:lang w:eastAsia="es-MX"/>
        </w:rPr>
        <w:t>, se hace del conocimiento de</w:t>
      </w:r>
      <w:r w:rsidRPr="002A2450">
        <w:rPr>
          <w:rFonts w:ascii="ITC Avant Garde" w:eastAsia="Times New Roman" w:hAnsi="ITC Avant Garde"/>
          <w:b/>
          <w:bCs/>
          <w:color w:val="000000"/>
          <w:lang w:eastAsia="es-MX"/>
        </w:rPr>
        <w:t xml:space="preserve"> </w:t>
      </w:r>
      <w:r w:rsidR="007E1B73" w:rsidRPr="002A2450">
        <w:rPr>
          <w:rFonts w:ascii="ITC Avant Garde" w:eastAsia="Times New Roman" w:hAnsi="ITC Avant Garde"/>
          <w:b/>
          <w:bCs/>
          <w:color w:val="000000"/>
          <w:lang w:eastAsia="es-MX"/>
        </w:rPr>
        <w:t>TEL</w:t>
      </w:r>
      <w:r w:rsidR="0061222D">
        <w:rPr>
          <w:rFonts w:ascii="ITC Avant Garde" w:eastAsia="Times New Roman" w:hAnsi="ITC Avant Garde"/>
          <w:b/>
          <w:bCs/>
          <w:color w:val="000000"/>
          <w:lang w:eastAsia="es-MX"/>
        </w:rPr>
        <w:t>É</w:t>
      </w:r>
      <w:r w:rsidR="007E1B73" w:rsidRPr="002A2450">
        <w:rPr>
          <w:rFonts w:ascii="ITC Avant Garde" w:eastAsia="Times New Roman" w:hAnsi="ITC Avant Garde"/>
          <w:b/>
          <w:bCs/>
          <w:color w:val="000000"/>
          <w:lang w:eastAsia="es-MX"/>
        </w:rPr>
        <w:t>FONOS DE MÉXICO, S.A.B. DE C.V.</w:t>
      </w:r>
      <w:r w:rsidRPr="002A2450">
        <w:rPr>
          <w:rFonts w:ascii="ITC Avant Garde" w:hAnsi="ITC Avant Garde"/>
          <w:b/>
          <w:color w:val="000000"/>
        </w:rPr>
        <w:t xml:space="preserve">, </w:t>
      </w:r>
      <w:r w:rsidRPr="002A2450">
        <w:rPr>
          <w:rFonts w:ascii="ITC Avant Garde" w:eastAsia="Times New Roman" w:hAnsi="ITC Avant Garde"/>
          <w:bCs/>
          <w:color w:val="000000"/>
          <w:lang w:eastAsia="es-MX"/>
        </w:rPr>
        <w:t xml:space="preserve">que la presente Resolución constituye un acto administrativo definitivo y por lo tanto, de conformidad con lo dispuesto en el artículo 28 de la </w:t>
      </w:r>
      <w:r w:rsidRPr="002A2450">
        <w:rPr>
          <w:rFonts w:ascii="ITC Avant Garde" w:eastAsia="Times New Roman" w:hAnsi="ITC Avant Garde"/>
          <w:b/>
          <w:bCs/>
          <w:color w:val="000000"/>
          <w:lang w:eastAsia="es-MX"/>
        </w:rPr>
        <w:t>Constitución Política de los Estados Unidos Mexicanos</w:t>
      </w:r>
      <w:r w:rsidRPr="002A2450">
        <w:rPr>
          <w:rFonts w:ascii="ITC Avant Garde" w:eastAsia="Times New Roman" w:hAnsi="ITC Avant Garde"/>
          <w:bCs/>
          <w:color w:val="000000"/>
          <w:lang w:eastAsia="es-MX"/>
        </w:rPr>
        <w:t xml:space="preserve">,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 de la Ley de Amparo, Reglamentaria de los artículos 103 y 107 de la </w:t>
      </w:r>
      <w:r w:rsidRPr="002A2450">
        <w:rPr>
          <w:rFonts w:ascii="ITC Avant Garde" w:eastAsia="Times New Roman" w:hAnsi="ITC Avant Garde"/>
          <w:b/>
          <w:bCs/>
          <w:color w:val="000000"/>
          <w:lang w:eastAsia="es-MX"/>
        </w:rPr>
        <w:t>Constitución Política de los Estados Unidos Mexicanos</w:t>
      </w:r>
      <w:r w:rsidRPr="002A2450">
        <w:rPr>
          <w:rFonts w:ascii="ITC Avant Garde" w:eastAsia="Times New Roman" w:hAnsi="ITC Avant Garde"/>
          <w:bCs/>
          <w:color w:val="000000"/>
          <w:lang w:eastAsia="es-MX"/>
        </w:rPr>
        <w:t>.</w:t>
      </w:r>
    </w:p>
    <w:p w14:paraId="292AD405" w14:textId="77777777" w:rsidR="00B35F13" w:rsidRDefault="00EB0A72" w:rsidP="00B35F13">
      <w:pPr>
        <w:tabs>
          <w:tab w:val="left" w:pos="993"/>
        </w:tabs>
        <w:spacing w:before="240" w:line="360" w:lineRule="auto"/>
        <w:jc w:val="both"/>
        <w:rPr>
          <w:rFonts w:ascii="ITC Avant Garde" w:eastAsia="Times New Roman" w:hAnsi="ITC Avant Garde"/>
          <w:color w:val="000000"/>
          <w:lang w:eastAsia="es-MX"/>
        </w:rPr>
      </w:pPr>
      <w:r w:rsidRPr="002A2450">
        <w:rPr>
          <w:rFonts w:ascii="ITC Avant Garde" w:eastAsia="Times New Roman" w:hAnsi="ITC Avant Garde"/>
          <w:b/>
          <w:color w:val="000000"/>
          <w:lang w:eastAsia="es-MX"/>
        </w:rPr>
        <w:t>OCTAVO</w:t>
      </w:r>
      <w:r w:rsidRPr="002A2450">
        <w:rPr>
          <w:rFonts w:ascii="ITC Avant Garde" w:hAnsi="ITC Avant Garde"/>
          <w:b/>
          <w:color w:val="000000"/>
        </w:rPr>
        <w:t>.</w:t>
      </w:r>
      <w:r w:rsidRPr="002A2450">
        <w:rPr>
          <w:rFonts w:ascii="ITC Avant Garde" w:eastAsia="Times New Roman" w:hAnsi="ITC Avant Garde"/>
          <w:color w:val="000000"/>
          <w:lang w:eastAsia="es-MX"/>
        </w:rPr>
        <w:t xml:space="preserve"> 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14:paraId="0EC080ED" w14:textId="77777777" w:rsidR="00B35F13" w:rsidRDefault="00EB0A72" w:rsidP="00B35F13">
      <w:pPr>
        <w:tabs>
          <w:tab w:val="left" w:pos="993"/>
        </w:tabs>
        <w:spacing w:before="240" w:line="360" w:lineRule="auto"/>
        <w:jc w:val="both"/>
        <w:rPr>
          <w:rFonts w:ascii="ITC Avant Garde" w:eastAsia="Times New Roman" w:hAnsi="ITC Avant Garde"/>
          <w:bCs/>
          <w:color w:val="000000"/>
          <w:lang w:eastAsia="es-MX"/>
        </w:rPr>
      </w:pPr>
      <w:r w:rsidRPr="002A2450">
        <w:rPr>
          <w:rFonts w:ascii="ITC Avant Garde" w:eastAsia="Times New Roman" w:hAnsi="ITC Avant Garde"/>
          <w:b/>
          <w:color w:val="000000"/>
          <w:lang w:eastAsia="es-MX"/>
        </w:rPr>
        <w:lastRenderedPageBreak/>
        <w:t>NOVENO.</w:t>
      </w:r>
      <w:r w:rsidRPr="002A2450">
        <w:rPr>
          <w:rFonts w:ascii="ITC Avant Garde" w:eastAsia="Times New Roman" w:hAnsi="ITC Avant Garde"/>
          <w:color w:val="000000"/>
          <w:lang w:eastAsia="es-MX"/>
        </w:rPr>
        <w:t xml:space="preserve"> </w:t>
      </w:r>
      <w:r w:rsidRPr="002A2450">
        <w:rPr>
          <w:rFonts w:ascii="ITC Avant Garde" w:eastAsia="Times New Roman" w:hAnsi="ITC Avant Garde"/>
          <w:bCs/>
          <w:color w:val="000000"/>
          <w:lang w:eastAsia="es-MX"/>
        </w:rPr>
        <w:t>En su oportunidad archívese el expediente como asunto total y definitivamente concluido.</w:t>
      </w:r>
    </w:p>
    <w:p w14:paraId="2918732E" w14:textId="5D5BCFD8" w:rsidR="00160AA2" w:rsidRPr="00E5393E" w:rsidRDefault="007E1B73" w:rsidP="00B35F13">
      <w:pPr>
        <w:pStyle w:val="Textoindependiente"/>
        <w:tabs>
          <w:tab w:val="left" w:pos="993"/>
        </w:tabs>
        <w:spacing w:before="240" w:after="160" w:line="360" w:lineRule="auto"/>
        <w:jc w:val="both"/>
        <w:rPr>
          <w:rFonts w:ascii="ITC Avant Garde" w:eastAsia="Times New Roman" w:hAnsi="ITC Avant Garde"/>
          <w:bCs/>
          <w:lang w:eastAsia="es-MX"/>
        </w:rPr>
      </w:pPr>
      <w:r w:rsidRPr="002A2450">
        <w:rPr>
          <w:rFonts w:ascii="ITC Avant Garde" w:eastAsia="Times New Roman" w:hAnsi="ITC Avant Garde"/>
          <w:bCs/>
          <w:lang w:eastAsia="es-MX"/>
        </w:rPr>
        <w:t>Así lo resolvió el Pleno del Instituto Federal de Telecomunicaciones, con fundamento en los artículos señalados en la presente Resolución.</w:t>
      </w:r>
    </w:p>
    <w:p w14:paraId="2ADF595F" w14:textId="77777777" w:rsidR="00160AA2" w:rsidRDefault="003F1087" w:rsidP="00E5393E">
      <w:pPr>
        <w:pStyle w:val="Textoindependiente"/>
        <w:tabs>
          <w:tab w:val="left" w:pos="993"/>
        </w:tabs>
        <w:spacing w:line="360" w:lineRule="auto"/>
        <w:jc w:val="both"/>
        <w:rPr>
          <w:rFonts w:ascii="ITC Avant Garde" w:hAnsi="ITC Avant Garde"/>
          <w:color w:val="000000"/>
          <w:sz w:val="13"/>
          <w:szCs w:val="13"/>
          <w:lang w:val="es-ES"/>
        </w:rPr>
      </w:pPr>
      <w:r w:rsidRPr="00F27FB2">
        <w:rPr>
          <w:rFonts w:ascii="ITC Avant Garde" w:hAnsi="ITC Avant Garde"/>
          <w:color w:val="000000"/>
          <w:sz w:val="13"/>
          <w:szCs w:val="13"/>
          <w:lang w:val="es-ES"/>
        </w:rPr>
        <w:t xml:space="preserve">La presente Resolución fue aprobada por el Pleno del Instituto Federal de Telecomunicaciones en su XIII Sesión Ordinaria celebrada el 29 de marzo de 2017, </w:t>
      </w:r>
      <w:r w:rsidRPr="00B35F13">
        <w:rPr>
          <w:rFonts w:ascii="ITC Avant Garde" w:hAnsi="ITC Avant Garde"/>
          <w:color w:val="000000"/>
          <w:sz w:val="13"/>
          <w:szCs w:val="13"/>
          <w:lang w:val="es-ES"/>
        </w:rPr>
        <w:t>en lo general por mayoría</w:t>
      </w:r>
      <w:r w:rsidRPr="00F27FB2">
        <w:rPr>
          <w:rFonts w:ascii="ITC Avant Garde" w:hAnsi="ITC Avant Garde"/>
          <w:color w:val="000000"/>
          <w:sz w:val="13"/>
          <w:szCs w:val="13"/>
          <w:lang w:val="es-ES"/>
        </w:rPr>
        <w:t xml:space="preserve"> de votos de los Comisionados Gabriel Oswaldo Contreras Saldívar, Adriana Sofía </w:t>
      </w:r>
      <w:proofErr w:type="spellStart"/>
      <w:r w:rsidRPr="00F27FB2">
        <w:rPr>
          <w:rFonts w:ascii="ITC Avant Garde" w:hAnsi="ITC Avant Garde"/>
          <w:color w:val="000000"/>
          <w:sz w:val="13"/>
          <w:szCs w:val="13"/>
          <w:lang w:val="es-ES"/>
        </w:rPr>
        <w:t>Labardini</w:t>
      </w:r>
      <w:proofErr w:type="spellEnd"/>
      <w:r w:rsidRPr="00F27FB2">
        <w:rPr>
          <w:rFonts w:ascii="ITC Avant Garde" w:hAnsi="ITC Avant Garde"/>
          <w:color w:val="000000"/>
          <w:sz w:val="13"/>
          <w:szCs w:val="13"/>
          <w:lang w:val="es-ES"/>
        </w:rPr>
        <w:t xml:space="preserve"> </w:t>
      </w:r>
      <w:proofErr w:type="spellStart"/>
      <w:r w:rsidRPr="00F27FB2">
        <w:rPr>
          <w:rFonts w:ascii="ITC Avant Garde" w:hAnsi="ITC Avant Garde"/>
          <w:color w:val="000000"/>
          <w:sz w:val="13"/>
          <w:szCs w:val="13"/>
          <w:lang w:val="es-ES"/>
        </w:rPr>
        <w:t>Inzunza</w:t>
      </w:r>
      <w:proofErr w:type="spellEnd"/>
      <w:r w:rsidRPr="00F27FB2">
        <w:rPr>
          <w:rFonts w:ascii="ITC Avant Garde" w:hAnsi="ITC Avant Garde"/>
          <w:color w:val="000000"/>
          <w:sz w:val="13"/>
          <w:szCs w:val="13"/>
          <w:lang w:val="es-ES"/>
        </w:rPr>
        <w:t xml:space="preserve">, María Elena </w:t>
      </w:r>
      <w:proofErr w:type="spellStart"/>
      <w:r w:rsidRPr="00F27FB2">
        <w:rPr>
          <w:rFonts w:ascii="ITC Avant Garde" w:hAnsi="ITC Avant Garde"/>
          <w:color w:val="000000"/>
          <w:sz w:val="13"/>
          <w:szCs w:val="13"/>
          <w:lang w:val="es-ES"/>
        </w:rPr>
        <w:t>Estavillo</w:t>
      </w:r>
      <w:proofErr w:type="spellEnd"/>
      <w:r w:rsidRPr="00F27FB2">
        <w:rPr>
          <w:rFonts w:ascii="ITC Avant Garde" w:hAnsi="ITC Avant Garde"/>
          <w:color w:val="000000"/>
          <w:sz w:val="13"/>
          <w:szCs w:val="13"/>
          <w:lang w:val="es-ES"/>
        </w:rPr>
        <w:t xml:space="preserve"> Flores, Mario Germán </w:t>
      </w:r>
      <w:proofErr w:type="spellStart"/>
      <w:r w:rsidRPr="00F27FB2">
        <w:rPr>
          <w:rFonts w:ascii="ITC Avant Garde" w:hAnsi="ITC Avant Garde"/>
          <w:color w:val="000000"/>
          <w:sz w:val="13"/>
          <w:szCs w:val="13"/>
          <w:lang w:val="es-ES"/>
        </w:rPr>
        <w:t>Fromow</w:t>
      </w:r>
      <w:proofErr w:type="spellEnd"/>
      <w:r w:rsidRPr="00F27FB2">
        <w:rPr>
          <w:rFonts w:ascii="ITC Avant Garde" w:hAnsi="ITC Avant Garde"/>
          <w:color w:val="000000"/>
          <w:sz w:val="13"/>
          <w:szCs w:val="13"/>
          <w:lang w:val="es-ES"/>
        </w:rPr>
        <w:t xml:space="preserve"> Rangel y Javier Juárez Mojica; y con el voto en contra del Comisionado Adolfo Cuevas Teja, quien presentará un voto por escrito.</w:t>
      </w:r>
    </w:p>
    <w:p w14:paraId="2CF506C3" w14:textId="557E3A1C" w:rsidR="003F1087" w:rsidRPr="00B35F13" w:rsidRDefault="003F1087" w:rsidP="00E5393E">
      <w:pPr>
        <w:pStyle w:val="Textoindependiente"/>
        <w:tabs>
          <w:tab w:val="left" w:pos="993"/>
        </w:tabs>
        <w:spacing w:line="360" w:lineRule="auto"/>
        <w:jc w:val="both"/>
        <w:rPr>
          <w:rFonts w:ascii="ITC Avant Garde" w:hAnsi="ITC Avant Garde"/>
          <w:color w:val="000000"/>
          <w:sz w:val="13"/>
          <w:szCs w:val="13"/>
          <w:lang w:val="es-ES"/>
        </w:rPr>
      </w:pPr>
      <w:r w:rsidRPr="00F27FB2">
        <w:rPr>
          <w:rFonts w:ascii="ITC Avant Garde" w:hAnsi="ITC Avant Garde"/>
          <w:color w:val="000000"/>
          <w:sz w:val="13"/>
          <w:szCs w:val="13"/>
          <w:lang w:val="es-ES"/>
        </w:rPr>
        <w:t xml:space="preserve">En lo particular, la Comisionada María Elena </w:t>
      </w:r>
      <w:proofErr w:type="spellStart"/>
      <w:r w:rsidRPr="00F27FB2">
        <w:rPr>
          <w:rFonts w:ascii="ITC Avant Garde" w:hAnsi="ITC Avant Garde"/>
          <w:color w:val="000000"/>
          <w:sz w:val="13"/>
          <w:szCs w:val="13"/>
          <w:lang w:val="es-ES"/>
        </w:rPr>
        <w:t>Estavillo</w:t>
      </w:r>
      <w:proofErr w:type="spellEnd"/>
      <w:r w:rsidRPr="00F27FB2">
        <w:rPr>
          <w:rFonts w:ascii="ITC Avant Garde" w:hAnsi="ITC Avant Garde"/>
          <w:color w:val="000000"/>
          <w:sz w:val="13"/>
          <w:szCs w:val="13"/>
          <w:lang w:val="es-ES"/>
        </w:rPr>
        <w:t xml:space="preserve"> Flores manifestó que se aparta de aquellas porciones que, en la parte considerativa de la Resolución, señalan que Teléfonos de México, S.A.B. de C.V. no obtuvo un beneficio económico.</w:t>
      </w:r>
    </w:p>
    <w:p w14:paraId="4F114446" w14:textId="77777777" w:rsidR="003F1087" w:rsidRPr="00B35F13" w:rsidRDefault="003F1087" w:rsidP="00E5393E">
      <w:pPr>
        <w:pStyle w:val="Textoindependiente"/>
        <w:tabs>
          <w:tab w:val="left" w:pos="993"/>
        </w:tabs>
        <w:spacing w:line="360" w:lineRule="auto"/>
        <w:jc w:val="both"/>
        <w:rPr>
          <w:rFonts w:ascii="ITC Avant Garde" w:hAnsi="ITC Avant Garde"/>
          <w:color w:val="000000"/>
          <w:sz w:val="13"/>
          <w:szCs w:val="13"/>
          <w:lang w:val="es-ES"/>
        </w:rPr>
      </w:pPr>
      <w:r w:rsidRPr="00B35F13">
        <w:rPr>
          <w:rFonts w:ascii="ITC Avant Garde" w:hAnsi="ITC Avant Garde"/>
          <w:color w:val="000000"/>
          <w:sz w:val="13"/>
          <w:szCs w:val="13"/>
          <w:lang w:val="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P/IFT/290317/164.</w:t>
      </w:r>
    </w:p>
    <w:p w14:paraId="107E7507" w14:textId="5F870407" w:rsidR="003F1087" w:rsidRPr="00B35F13" w:rsidRDefault="003F1087" w:rsidP="00E5393E">
      <w:pPr>
        <w:pStyle w:val="Textoindependiente"/>
        <w:tabs>
          <w:tab w:val="left" w:pos="993"/>
        </w:tabs>
        <w:spacing w:line="360" w:lineRule="auto"/>
        <w:jc w:val="both"/>
        <w:rPr>
          <w:rFonts w:ascii="ITC Avant Garde" w:hAnsi="ITC Avant Garde"/>
          <w:color w:val="000000"/>
          <w:sz w:val="13"/>
          <w:szCs w:val="13"/>
          <w:lang w:val="es-ES"/>
        </w:rPr>
      </w:pPr>
      <w:r w:rsidRPr="00B35F13">
        <w:rPr>
          <w:rFonts w:ascii="ITC Avant Garde" w:hAnsi="ITC Avant Garde"/>
          <w:color w:val="000000"/>
          <w:sz w:val="13"/>
          <w:szCs w:val="13"/>
          <w:lang w:val="es-ES"/>
        </w:rPr>
        <w:t xml:space="preserve">La Comisionada Adriana Sofía </w:t>
      </w:r>
      <w:proofErr w:type="spellStart"/>
      <w:r w:rsidRPr="00B35F13">
        <w:rPr>
          <w:rFonts w:ascii="ITC Avant Garde" w:hAnsi="ITC Avant Garde"/>
          <w:color w:val="000000"/>
          <w:sz w:val="13"/>
          <w:szCs w:val="13"/>
          <w:lang w:val="es-ES"/>
        </w:rPr>
        <w:t>Labardini</w:t>
      </w:r>
      <w:proofErr w:type="spellEnd"/>
      <w:r w:rsidRPr="00B35F13">
        <w:rPr>
          <w:rFonts w:ascii="ITC Avant Garde" w:hAnsi="ITC Avant Garde"/>
          <w:color w:val="000000"/>
          <w:sz w:val="13"/>
          <w:szCs w:val="13"/>
          <w:lang w:val="es-ES"/>
        </w:rPr>
        <w:t xml:space="preserve"> </w:t>
      </w:r>
      <w:proofErr w:type="spellStart"/>
      <w:r w:rsidRPr="00B35F13">
        <w:rPr>
          <w:rFonts w:ascii="ITC Avant Garde" w:hAnsi="ITC Avant Garde"/>
          <w:color w:val="000000"/>
          <w:sz w:val="13"/>
          <w:szCs w:val="13"/>
          <w:lang w:val="es-ES"/>
        </w:rPr>
        <w:t>Inzunza</w:t>
      </w:r>
      <w:proofErr w:type="spellEnd"/>
      <w:r w:rsidRPr="00B35F13">
        <w:rPr>
          <w:rFonts w:ascii="ITC Avant Garde" w:hAnsi="ITC Avant Garde"/>
          <w:color w:val="000000"/>
          <w:sz w:val="13"/>
          <w:szCs w:val="13"/>
          <w:lang w:val="es-ES"/>
        </w:rPr>
        <w:t xml:space="preserve">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3F1087" w:rsidRPr="00B35F13" w:rsidSect="009F3771">
      <w:headerReference w:type="default" r:id="rId88"/>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67D38" w14:textId="77777777" w:rsidR="00D86A40" w:rsidRDefault="00D86A40" w:rsidP="003841C1">
      <w:pPr>
        <w:spacing w:after="0" w:line="240" w:lineRule="auto"/>
      </w:pPr>
      <w:r>
        <w:separator/>
      </w:r>
    </w:p>
    <w:p w14:paraId="27FE8DA2" w14:textId="77777777" w:rsidR="00D86A40" w:rsidRDefault="00D86A40"/>
  </w:endnote>
  <w:endnote w:type="continuationSeparator" w:id="0">
    <w:p w14:paraId="01797710" w14:textId="77777777" w:rsidR="00D86A40" w:rsidRDefault="00D86A40" w:rsidP="003841C1">
      <w:pPr>
        <w:spacing w:after="0" w:line="240" w:lineRule="auto"/>
      </w:pPr>
      <w:r>
        <w:continuationSeparator/>
      </w:r>
    </w:p>
    <w:p w14:paraId="2BD96260" w14:textId="77777777" w:rsidR="00D86A40" w:rsidRDefault="00D86A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altName w:val="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Arial-BoldMT">
    <w:altName w:val="Times New Roman"/>
    <w:panose1 w:val="00000000000000000000"/>
    <w:charset w:val="B2"/>
    <w:family w:val="auto"/>
    <w:notTrueType/>
    <w:pitch w:val="default"/>
    <w:sig w:usb0="00002001" w:usb1="00000000" w:usb2="00000000" w:usb3="00000000" w:csb0="00000040"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792"/>
      <w:docPartObj>
        <w:docPartGallery w:val="Page Numbers (Bottom of Page)"/>
        <w:docPartUnique/>
      </w:docPartObj>
    </w:sdtPr>
    <w:sdtContent>
      <w:sdt>
        <w:sdtPr>
          <w:id w:val="-2098939145"/>
          <w:docPartObj>
            <w:docPartGallery w:val="Page Numbers (Top of Page)"/>
            <w:docPartUnique/>
          </w:docPartObj>
        </w:sdtPr>
        <w:sdtContent>
          <w:p w14:paraId="33DF5DE6" w14:textId="77777777" w:rsidR="006C67B3" w:rsidRDefault="006C67B3" w:rsidP="002F63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393E">
              <w:rPr>
                <w:b/>
                <w:bCs/>
                <w:noProof/>
              </w:rPr>
              <w:t>544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393E">
              <w:rPr>
                <w:b/>
                <w:bCs/>
                <w:noProof/>
              </w:rPr>
              <w:t>544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E2A00" w14:textId="77777777" w:rsidR="00D86A40" w:rsidRDefault="00D86A40" w:rsidP="003841C1">
      <w:pPr>
        <w:spacing w:after="0" w:line="240" w:lineRule="auto"/>
      </w:pPr>
      <w:r>
        <w:separator/>
      </w:r>
    </w:p>
    <w:p w14:paraId="7A5E2E58" w14:textId="77777777" w:rsidR="00D86A40" w:rsidRDefault="00D86A40"/>
  </w:footnote>
  <w:footnote w:type="continuationSeparator" w:id="0">
    <w:p w14:paraId="429F4EC0" w14:textId="77777777" w:rsidR="00D86A40" w:rsidRDefault="00D86A40" w:rsidP="003841C1">
      <w:pPr>
        <w:spacing w:after="0" w:line="240" w:lineRule="auto"/>
      </w:pPr>
      <w:r>
        <w:continuationSeparator/>
      </w:r>
    </w:p>
    <w:p w14:paraId="749D00C0" w14:textId="77777777" w:rsidR="00D86A40" w:rsidRDefault="00D86A40"/>
  </w:footnote>
  <w:footnote w:id="1">
    <w:p w14:paraId="352CEC31" w14:textId="004F0EEE" w:rsidR="006C67B3" w:rsidRPr="008776C0" w:rsidRDefault="006C67B3" w:rsidP="004A1FEF">
      <w:pPr>
        <w:pStyle w:val="Textonotapie"/>
        <w:jc w:val="both"/>
        <w:rPr>
          <w:szCs w:val="18"/>
        </w:rPr>
      </w:pPr>
      <w:r w:rsidRPr="008776C0">
        <w:rPr>
          <w:rStyle w:val="Refdenotaalpie"/>
          <w:szCs w:val="18"/>
        </w:rPr>
        <w:footnoteRef/>
      </w:r>
      <w:r w:rsidRPr="008776C0">
        <w:rPr>
          <w:szCs w:val="18"/>
        </w:rPr>
        <w:t xml:space="preserve"> En los autos del expediente E-IFT/UC/DGIPM/PMR/003/2013 a fojas 4779 y 7204, hecho notorio para este Instituto, se encuentra información que muestra que </w:t>
      </w:r>
      <w:r w:rsidRPr="009E34A4">
        <w:rPr>
          <w:szCs w:val="18"/>
        </w:rPr>
        <w:t>“TENINVER”</w:t>
      </w:r>
      <w:r w:rsidRPr="008776C0">
        <w:rPr>
          <w:szCs w:val="18"/>
        </w:rPr>
        <w:t xml:space="preserve"> es subsidiaria de la empresa Integración de Servicios TMX, S.A. de C.V., la cual a su vez es subsidiaria de </w:t>
      </w:r>
      <w:r w:rsidRPr="009E34A4">
        <w:rPr>
          <w:szCs w:val="18"/>
        </w:rPr>
        <w:t xml:space="preserve">“TELMEX”. </w:t>
      </w:r>
      <w:r w:rsidRPr="008776C0">
        <w:rPr>
          <w:szCs w:val="18"/>
        </w:rPr>
        <w:t xml:space="preserve">Lo anterior, también puede constatarse en el Reporte anual de </w:t>
      </w:r>
      <w:r w:rsidRPr="009E34A4">
        <w:rPr>
          <w:szCs w:val="18"/>
        </w:rPr>
        <w:t>“TELMEX”</w:t>
      </w:r>
      <w:r w:rsidRPr="008776C0">
        <w:rPr>
          <w:szCs w:val="18"/>
        </w:rPr>
        <w:t xml:space="preserve"> en la Bolsa Mexicana de Valores para el año dos mil quince, información pública que se encuentra disponible para su consulta en la siguiente dirección </w:t>
      </w:r>
      <w:r w:rsidRPr="00E678CE">
        <w:rPr>
          <w:szCs w:val="18"/>
        </w:rPr>
        <w:t>https://www.bmv.com.mx/es/emisoras/informacionfinanciera/TELMEX-5716-CGEN_DEUD</w:t>
      </w:r>
      <w:r w:rsidRPr="008776C0">
        <w:rPr>
          <w:szCs w:val="18"/>
        </w:rPr>
        <w:t xml:space="preserve"> </w:t>
      </w:r>
    </w:p>
  </w:footnote>
  <w:footnote w:id="2">
    <w:p w14:paraId="20CCE776" w14:textId="51675E62" w:rsidR="006C67B3" w:rsidRPr="008776C0" w:rsidRDefault="006C67B3">
      <w:pPr>
        <w:pStyle w:val="Textonotapie"/>
        <w:jc w:val="both"/>
        <w:rPr>
          <w:rFonts w:eastAsia="Times New Roman"/>
          <w:bCs/>
          <w:color w:val="000000"/>
          <w:szCs w:val="18"/>
          <w:lang w:eastAsia="es-MX"/>
        </w:rPr>
      </w:pPr>
      <w:r w:rsidRPr="008776C0">
        <w:rPr>
          <w:rStyle w:val="Refdenotaalpie"/>
          <w:szCs w:val="18"/>
        </w:rPr>
        <w:footnoteRef/>
      </w:r>
      <w:r w:rsidRPr="008776C0">
        <w:rPr>
          <w:szCs w:val="18"/>
        </w:rPr>
        <w:t xml:space="preserve"> En términos del </w:t>
      </w:r>
      <w:r w:rsidRPr="008776C0">
        <w:rPr>
          <w:i/>
          <w:szCs w:val="18"/>
        </w:rPr>
        <w:t>“</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2015 y principios de 2016.”</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 xml:space="preserve">“DOF” </w:t>
      </w:r>
      <w:r w:rsidRPr="008776C0">
        <w:rPr>
          <w:rFonts w:eastAsia="Times New Roman"/>
          <w:bCs/>
          <w:color w:val="000000"/>
          <w:szCs w:val="18"/>
          <w:lang w:eastAsia="es-MX"/>
        </w:rPr>
        <w:t>el veinticuatro de diciembre de dos mil catorce.</w:t>
      </w:r>
    </w:p>
  </w:footnote>
  <w:footnote w:id="3">
    <w:p w14:paraId="6FD84E77" w14:textId="03A9B86E" w:rsidR="006C67B3" w:rsidRPr="008776C0" w:rsidRDefault="006C67B3">
      <w:pPr>
        <w:pStyle w:val="Textonotapie"/>
        <w:jc w:val="both"/>
        <w:rPr>
          <w:szCs w:val="18"/>
        </w:rPr>
      </w:pPr>
      <w:r w:rsidRPr="008776C0">
        <w:rPr>
          <w:rStyle w:val="Refdenotaalpie"/>
          <w:szCs w:val="18"/>
        </w:rPr>
        <w:footnoteRef/>
      </w:r>
      <w:r w:rsidRPr="008776C0">
        <w:rPr>
          <w:szCs w:val="18"/>
        </w:rPr>
        <w:t xml:space="preserve"> En términos del </w:t>
      </w:r>
      <w:r w:rsidRPr="008776C0">
        <w:rPr>
          <w:i/>
          <w:szCs w:val="18"/>
        </w:rPr>
        <w:t>“</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2015 y principios de 2016.”</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 xml:space="preserve">“DOF” </w:t>
      </w:r>
      <w:r w:rsidRPr="008776C0">
        <w:rPr>
          <w:rFonts w:eastAsia="Times New Roman"/>
          <w:bCs/>
          <w:color w:val="000000"/>
          <w:szCs w:val="18"/>
          <w:lang w:eastAsia="es-MX"/>
        </w:rPr>
        <w:t>el veinticuatro de diciembre de dos mil catorce.</w:t>
      </w:r>
    </w:p>
  </w:footnote>
  <w:footnote w:id="4">
    <w:p w14:paraId="584718B3" w14:textId="43A4F0E8" w:rsidR="006C67B3" w:rsidRPr="008776C0" w:rsidRDefault="006C67B3">
      <w:pPr>
        <w:pStyle w:val="Textonotapie"/>
        <w:jc w:val="both"/>
        <w:rPr>
          <w:szCs w:val="18"/>
        </w:rPr>
      </w:pPr>
      <w:r w:rsidRPr="008776C0">
        <w:rPr>
          <w:rStyle w:val="Refdenotaalpie"/>
          <w:szCs w:val="18"/>
        </w:rPr>
        <w:footnoteRef/>
      </w:r>
      <w:r w:rsidRPr="008776C0">
        <w:rPr>
          <w:szCs w:val="18"/>
        </w:rPr>
        <w:t xml:space="preserve"> En términos del </w:t>
      </w:r>
      <w:r w:rsidRPr="008776C0">
        <w:rPr>
          <w:i/>
          <w:szCs w:val="18"/>
        </w:rPr>
        <w:t>“</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2015 y principios de 2016.”</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 xml:space="preserve">“DOF” </w:t>
      </w:r>
      <w:r w:rsidRPr="008776C0">
        <w:rPr>
          <w:rFonts w:eastAsia="Times New Roman"/>
          <w:bCs/>
          <w:color w:val="000000"/>
          <w:szCs w:val="18"/>
          <w:lang w:eastAsia="es-MX"/>
        </w:rPr>
        <w:t>el veinticuatro de diciembre de dos mil catorce.</w:t>
      </w:r>
      <w:r w:rsidRPr="008776C0">
        <w:rPr>
          <w:szCs w:val="18"/>
        </w:rPr>
        <w:t xml:space="preserve"> </w:t>
      </w:r>
    </w:p>
  </w:footnote>
  <w:footnote w:id="5">
    <w:p w14:paraId="3A8B7367" w14:textId="4B4C40A3" w:rsidR="006C67B3" w:rsidRPr="008776C0" w:rsidRDefault="006C67B3">
      <w:pPr>
        <w:pStyle w:val="Textonotapie"/>
        <w:jc w:val="both"/>
        <w:rPr>
          <w:rFonts w:eastAsia="Times New Roman"/>
          <w:bCs/>
          <w:color w:val="000000"/>
          <w:szCs w:val="18"/>
          <w:lang w:eastAsia="es-MX"/>
        </w:rPr>
      </w:pPr>
      <w:r w:rsidRPr="008776C0">
        <w:rPr>
          <w:rStyle w:val="Refdenotaalpie"/>
          <w:szCs w:val="18"/>
        </w:rPr>
        <w:footnoteRef/>
      </w:r>
      <w:r w:rsidRPr="008776C0">
        <w:rPr>
          <w:szCs w:val="18"/>
        </w:rPr>
        <w:t xml:space="preserve"> En términos del </w:t>
      </w:r>
      <w:r w:rsidRPr="008776C0">
        <w:rPr>
          <w:i/>
          <w:szCs w:val="18"/>
        </w:rPr>
        <w:t>“</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2015 y principios de 2016.”</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 xml:space="preserve">“DOF” </w:t>
      </w:r>
      <w:r w:rsidRPr="008776C0">
        <w:rPr>
          <w:rFonts w:eastAsia="Times New Roman"/>
          <w:bCs/>
          <w:color w:val="000000"/>
          <w:szCs w:val="18"/>
          <w:lang w:eastAsia="es-MX"/>
        </w:rPr>
        <w:t xml:space="preserve">el veinticuatro de diciembre de dos mil catorce, y el </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2016 y principios de 2017.”</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“DOF”</w:t>
      </w:r>
      <w:r w:rsidRPr="008776C0">
        <w:rPr>
          <w:rFonts w:eastAsia="Times New Roman"/>
          <w:bCs/>
          <w:color w:val="000000"/>
          <w:szCs w:val="18"/>
          <w:lang w:eastAsia="es-MX"/>
        </w:rPr>
        <w:t xml:space="preserve"> el veinticuatro de diciembre de dos mil quince.</w:t>
      </w:r>
    </w:p>
  </w:footnote>
  <w:footnote w:id="6">
    <w:p w14:paraId="12D7113C"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w:t>
      </w:r>
      <w:r w:rsidRPr="008776C0">
        <w:rPr>
          <w:rFonts w:eastAsia="Times New Roman"/>
          <w:bCs/>
          <w:color w:val="000000"/>
          <w:szCs w:val="18"/>
          <w:lang w:eastAsia="es-MX"/>
        </w:rPr>
        <w:t>En términos del “</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2016 y principios de 2017.”</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“DOF”</w:t>
      </w:r>
      <w:r w:rsidRPr="008776C0">
        <w:rPr>
          <w:rFonts w:eastAsia="Times New Roman"/>
          <w:bCs/>
          <w:color w:val="000000"/>
          <w:szCs w:val="18"/>
          <w:lang w:eastAsia="es-MX"/>
        </w:rPr>
        <w:t xml:space="preserve"> el veinticuatro de diciembre de dos mil quince.</w:t>
      </w:r>
    </w:p>
  </w:footnote>
  <w:footnote w:id="7">
    <w:p w14:paraId="5FBCE3F7"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w:t>
      </w:r>
      <w:r w:rsidRPr="008776C0">
        <w:rPr>
          <w:rFonts w:eastAsia="Times New Roman"/>
          <w:bCs/>
          <w:color w:val="000000"/>
          <w:szCs w:val="18"/>
          <w:lang w:eastAsia="es-MX"/>
        </w:rPr>
        <w:t>En términos del “</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2016 y principios de 2017.”</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“DOF”</w:t>
      </w:r>
      <w:r w:rsidRPr="008776C0">
        <w:rPr>
          <w:rFonts w:eastAsia="Times New Roman"/>
          <w:bCs/>
          <w:color w:val="000000"/>
          <w:szCs w:val="18"/>
          <w:lang w:eastAsia="es-MX"/>
        </w:rPr>
        <w:t xml:space="preserve"> el veinticuatro de diciembre de dos mil quince.</w:t>
      </w:r>
    </w:p>
  </w:footnote>
  <w:footnote w:id="8">
    <w:p w14:paraId="6C826B45" w14:textId="77777777" w:rsidR="006C67B3" w:rsidRPr="008776C0" w:rsidRDefault="006C67B3">
      <w:pPr>
        <w:pStyle w:val="Estilo"/>
        <w:rPr>
          <w:rFonts w:ascii="ITC Avant Garde" w:hAnsi="ITC Avant Garde"/>
          <w:sz w:val="18"/>
          <w:szCs w:val="18"/>
          <w:lang w:val="es-MX"/>
        </w:rPr>
      </w:pPr>
      <w:r w:rsidRPr="008776C0">
        <w:rPr>
          <w:rStyle w:val="Refdenotaalpie"/>
          <w:rFonts w:ascii="ITC Avant Garde" w:hAnsi="ITC Avant Garde"/>
          <w:sz w:val="18"/>
          <w:szCs w:val="18"/>
        </w:rPr>
        <w:footnoteRef/>
      </w:r>
      <w:r w:rsidRPr="008776C0">
        <w:rPr>
          <w:rFonts w:ascii="ITC Avant Garde" w:hAnsi="ITC Avant Garde"/>
          <w:sz w:val="18"/>
          <w:szCs w:val="18"/>
        </w:rPr>
        <w:t xml:space="preserve"> </w:t>
      </w:r>
      <w:r w:rsidRPr="008776C0">
        <w:rPr>
          <w:rFonts w:ascii="ITC Avant Garde" w:eastAsia="Times New Roman" w:hAnsi="ITC Avant Garde"/>
          <w:bCs/>
          <w:color w:val="000000"/>
          <w:sz w:val="18"/>
          <w:szCs w:val="18"/>
          <w:lang w:eastAsia="es-MX"/>
        </w:rPr>
        <w:t xml:space="preserve">En términos del </w:t>
      </w:r>
      <w:r w:rsidRPr="008776C0">
        <w:rPr>
          <w:rFonts w:ascii="ITC Avant Garde" w:eastAsia="Times New Roman" w:hAnsi="ITC Avant Garde"/>
          <w:bCs/>
          <w:i/>
          <w:color w:val="000000"/>
          <w:sz w:val="18"/>
          <w:szCs w:val="18"/>
          <w:lang w:val="es-MX" w:eastAsia="es-MX"/>
        </w:rPr>
        <w:t>“</w:t>
      </w:r>
      <w:r w:rsidRPr="008776C0">
        <w:rPr>
          <w:rFonts w:ascii="ITC Avant Garde" w:hAnsi="ITC Avant Garde"/>
          <w:i/>
          <w:sz w:val="18"/>
          <w:szCs w:val="18"/>
        </w:rPr>
        <w:t>ACUERDO</w:t>
      </w:r>
      <w:r w:rsidRPr="008776C0">
        <w:rPr>
          <w:rStyle w:val="apple-converted-space"/>
          <w:rFonts w:ascii="ITC Avant Garde" w:hAnsi="ITC Avant Garde" w:cs="Times"/>
          <w:i/>
          <w:color w:val="2F2F2F"/>
          <w:sz w:val="18"/>
          <w:szCs w:val="18"/>
        </w:rPr>
        <w:t> </w:t>
      </w:r>
      <w:r w:rsidRPr="008776C0">
        <w:rPr>
          <w:rFonts w:ascii="ITC Avant Garde" w:hAnsi="ITC Avant Garde"/>
          <w:i/>
          <w:sz w:val="18"/>
          <w:szCs w:val="18"/>
        </w:rPr>
        <w:t>mediante el cual el Pleno del Instituto Federal de Telecomunicaciones aprueba su calendario anual de</w:t>
      </w:r>
      <w:r w:rsidRPr="008776C0">
        <w:rPr>
          <w:rStyle w:val="apple-converted-space"/>
          <w:rFonts w:ascii="ITC Avant Garde" w:hAnsi="ITC Avant Garde" w:cs="Times"/>
          <w:i/>
          <w:color w:val="2F2F2F"/>
          <w:sz w:val="18"/>
          <w:szCs w:val="18"/>
        </w:rPr>
        <w:t> </w:t>
      </w:r>
      <w:r w:rsidRPr="008776C0">
        <w:rPr>
          <w:rFonts w:ascii="ITC Avant Garde" w:hAnsi="ITC Avant Garde"/>
          <w:i/>
          <w:sz w:val="18"/>
          <w:szCs w:val="18"/>
        </w:rPr>
        <w:t>sesiones ordinarias y el calendario anual de labores para el año 2017 y principios de 2018</w:t>
      </w:r>
      <w:r w:rsidRPr="008776C0">
        <w:rPr>
          <w:rFonts w:ascii="ITC Avant Garde" w:hAnsi="ITC Avant Garde"/>
          <w:i/>
          <w:sz w:val="18"/>
          <w:szCs w:val="18"/>
          <w:lang w:val="es-MX"/>
        </w:rPr>
        <w:t>”</w:t>
      </w:r>
      <w:r w:rsidRPr="008776C0">
        <w:rPr>
          <w:rFonts w:ascii="ITC Avant Garde" w:eastAsia="Times New Roman" w:hAnsi="ITC Avant Garde"/>
          <w:bCs/>
          <w:color w:val="000000"/>
          <w:sz w:val="18"/>
          <w:szCs w:val="18"/>
          <w:lang w:eastAsia="es-MX"/>
        </w:rPr>
        <w:t xml:space="preserve"> publicado en el </w:t>
      </w:r>
      <w:r w:rsidRPr="009E34A4">
        <w:rPr>
          <w:rFonts w:ascii="ITC Avant Garde" w:eastAsia="Times New Roman" w:hAnsi="ITC Avant Garde"/>
          <w:bCs/>
          <w:color w:val="000000"/>
          <w:sz w:val="18"/>
          <w:szCs w:val="18"/>
          <w:lang w:eastAsia="es-MX"/>
        </w:rPr>
        <w:t>“DOF”</w:t>
      </w:r>
      <w:r w:rsidRPr="008776C0">
        <w:rPr>
          <w:rFonts w:ascii="ITC Avant Garde" w:eastAsia="Times New Roman" w:hAnsi="ITC Avant Garde"/>
          <w:bCs/>
          <w:color w:val="000000"/>
          <w:sz w:val="18"/>
          <w:szCs w:val="18"/>
          <w:lang w:eastAsia="es-MX"/>
        </w:rPr>
        <w:t xml:space="preserve"> el </w:t>
      </w:r>
      <w:r w:rsidRPr="008776C0">
        <w:rPr>
          <w:rFonts w:ascii="ITC Avant Garde" w:eastAsia="Times New Roman" w:hAnsi="ITC Avant Garde"/>
          <w:bCs/>
          <w:color w:val="000000"/>
          <w:sz w:val="18"/>
          <w:szCs w:val="18"/>
          <w:lang w:val="es-MX" w:eastAsia="es-MX"/>
        </w:rPr>
        <w:t xml:space="preserve">veintiuno </w:t>
      </w:r>
      <w:r w:rsidRPr="008776C0">
        <w:rPr>
          <w:rFonts w:ascii="ITC Avant Garde" w:eastAsia="Times New Roman" w:hAnsi="ITC Avant Garde"/>
          <w:bCs/>
          <w:color w:val="000000"/>
          <w:sz w:val="18"/>
          <w:szCs w:val="18"/>
          <w:lang w:eastAsia="es-MX"/>
        </w:rPr>
        <w:t xml:space="preserve">de </w:t>
      </w:r>
      <w:r w:rsidRPr="008776C0">
        <w:rPr>
          <w:rFonts w:ascii="ITC Avant Garde" w:eastAsia="Times New Roman" w:hAnsi="ITC Avant Garde"/>
          <w:bCs/>
          <w:color w:val="000000"/>
          <w:sz w:val="18"/>
          <w:szCs w:val="18"/>
          <w:lang w:val="es-MX" w:eastAsia="es-MX"/>
        </w:rPr>
        <w:t xml:space="preserve">diciembre </w:t>
      </w:r>
      <w:r w:rsidRPr="008776C0">
        <w:rPr>
          <w:rFonts w:ascii="ITC Avant Garde" w:eastAsia="Times New Roman" w:hAnsi="ITC Avant Garde"/>
          <w:bCs/>
          <w:color w:val="000000"/>
          <w:sz w:val="18"/>
          <w:szCs w:val="18"/>
          <w:lang w:eastAsia="es-MX"/>
        </w:rPr>
        <w:t>de dos mil</w:t>
      </w:r>
      <w:r w:rsidRPr="008776C0">
        <w:rPr>
          <w:rFonts w:ascii="ITC Avant Garde" w:eastAsia="Times New Roman" w:hAnsi="ITC Avant Garde"/>
          <w:bCs/>
          <w:color w:val="000000"/>
          <w:sz w:val="18"/>
          <w:szCs w:val="18"/>
          <w:lang w:val="es-MX" w:eastAsia="es-MX"/>
        </w:rPr>
        <w:t xml:space="preserve"> dieciséis</w:t>
      </w:r>
      <w:r w:rsidRPr="008776C0">
        <w:rPr>
          <w:rFonts w:ascii="ITC Avant Garde" w:eastAsia="Times New Roman" w:hAnsi="ITC Avant Garde"/>
          <w:bCs/>
          <w:color w:val="000000"/>
          <w:sz w:val="18"/>
          <w:szCs w:val="18"/>
          <w:lang w:eastAsia="es-MX"/>
        </w:rPr>
        <w:t>.</w:t>
      </w:r>
    </w:p>
  </w:footnote>
  <w:footnote w:id="9">
    <w:p w14:paraId="3A697726" w14:textId="77777777"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Foja 7204 </w:t>
      </w:r>
      <w:proofErr w:type="gramStart"/>
      <w:r w:rsidRPr="008776C0">
        <w:rPr>
          <w:szCs w:val="18"/>
        </w:rPr>
        <w:t xml:space="preserve">del expediente </w:t>
      </w:r>
      <w:r w:rsidRPr="008776C0">
        <w:rPr>
          <w:rFonts w:eastAsia="Times New Roman" w:cs="Times New Roman"/>
          <w:szCs w:val="18"/>
          <w:lang w:eastAsia="es-ES"/>
        </w:rPr>
        <w:t>E-IFT/UC/DGIP/PMR/0003/2013 y acumulados</w:t>
      </w:r>
      <w:proofErr w:type="gramEnd"/>
      <w:r w:rsidRPr="008776C0">
        <w:rPr>
          <w:szCs w:val="18"/>
        </w:rPr>
        <w:t>. Esta información constituye un hecho notorio para el Instituto.</w:t>
      </w:r>
    </w:p>
  </w:footnote>
  <w:footnote w:id="10">
    <w:p w14:paraId="7B0CC6F1" w14:textId="77777777"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Foja 4779 </w:t>
      </w:r>
      <w:proofErr w:type="gramStart"/>
      <w:r w:rsidRPr="008776C0">
        <w:rPr>
          <w:szCs w:val="18"/>
        </w:rPr>
        <w:t xml:space="preserve">del expediente </w:t>
      </w:r>
      <w:r w:rsidRPr="008776C0">
        <w:rPr>
          <w:rFonts w:eastAsia="Times New Roman" w:cs="Times New Roman"/>
          <w:szCs w:val="18"/>
          <w:lang w:eastAsia="es-ES"/>
        </w:rPr>
        <w:t>E-IFT/UC/DGIP/PMR/0003/2013 y acumulados</w:t>
      </w:r>
      <w:proofErr w:type="gramEnd"/>
      <w:r w:rsidRPr="008776C0">
        <w:rPr>
          <w:szCs w:val="18"/>
        </w:rPr>
        <w:t>.</w:t>
      </w:r>
    </w:p>
  </w:footnote>
  <w:footnote w:id="11">
    <w:p w14:paraId="3A76BFC3" w14:textId="77777777" w:rsidR="006C67B3" w:rsidRPr="008776C0" w:rsidRDefault="006C67B3">
      <w:pPr>
        <w:pStyle w:val="Textonotapie"/>
        <w:ind w:right="-850"/>
        <w:jc w:val="both"/>
        <w:rPr>
          <w:szCs w:val="18"/>
        </w:rPr>
      </w:pPr>
      <w:r w:rsidRPr="008776C0">
        <w:rPr>
          <w:rStyle w:val="Refdenotaalpie"/>
          <w:szCs w:val="18"/>
        </w:rPr>
        <w:footnoteRef/>
      </w:r>
      <w:r w:rsidRPr="008776C0">
        <w:rPr>
          <w:szCs w:val="18"/>
        </w:rPr>
        <w:t xml:space="preserve"> Dichos principios tienen su fundamento en los artículos 14 y 16 de la Constitución Política de los Estados Unidos Mexicanos, los cuales establecen la garantía de debido proceso.</w:t>
      </w:r>
    </w:p>
  </w:footnote>
  <w:footnote w:id="12">
    <w:p w14:paraId="78A76A96" w14:textId="3440EF29" w:rsidR="006C67B3" w:rsidRPr="008776C0" w:rsidRDefault="006C67B3">
      <w:pPr>
        <w:autoSpaceDE w:val="0"/>
        <w:autoSpaceDN w:val="0"/>
        <w:adjustRightInd w:val="0"/>
        <w:spacing w:after="0" w:line="240" w:lineRule="auto"/>
        <w:jc w:val="both"/>
        <w:rPr>
          <w:rFonts w:ascii="ITC Avant Garde" w:hAnsi="ITC Avant Garde" w:cs="Arial"/>
          <w:color w:val="231F20"/>
          <w:sz w:val="18"/>
          <w:szCs w:val="18"/>
        </w:rPr>
      </w:pPr>
      <w:r w:rsidRPr="008776C0">
        <w:rPr>
          <w:rStyle w:val="Refdenotaalpie"/>
          <w:rFonts w:ascii="ITC Avant Garde" w:hAnsi="ITC Avant Garde"/>
          <w:sz w:val="18"/>
          <w:szCs w:val="18"/>
        </w:rPr>
        <w:footnoteRef/>
      </w:r>
      <w:r w:rsidRPr="008776C0">
        <w:rPr>
          <w:rFonts w:ascii="ITC Avant Garde" w:hAnsi="ITC Avant Garde"/>
          <w:sz w:val="18"/>
          <w:szCs w:val="18"/>
        </w:rPr>
        <w:t xml:space="preserve"> </w:t>
      </w:r>
      <w:r w:rsidRPr="008776C0">
        <w:rPr>
          <w:rFonts w:ascii="ITC Avant Garde" w:hAnsi="ITC Avant Garde" w:cs="Arial"/>
          <w:color w:val="231F20"/>
          <w:sz w:val="18"/>
          <w:szCs w:val="18"/>
        </w:rPr>
        <w:t xml:space="preserve">Diccionario de la Lengua Española. Real Academia Española, vigésimo segunda edición, versión electrónica, término “explotar”. Disponible en: </w:t>
      </w:r>
      <w:r w:rsidRPr="00E678CE">
        <w:rPr>
          <w:rFonts w:ascii="ITC Avant Garde" w:hAnsi="ITC Avant Garde" w:cs="Arial"/>
          <w:sz w:val="18"/>
          <w:szCs w:val="18"/>
        </w:rPr>
        <w:t>http://lema.rae.es/drae/?val=explotar</w:t>
      </w:r>
      <w:r w:rsidRPr="008776C0">
        <w:rPr>
          <w:rFonts w:ascii="ITC Avant Garde" w:hAnsi="ITC Avant Garde" w:cs="Arial"/>
          <w:color w:val="231F20"/>
          <w:sz w:val="18"/>
          <w:szCs w:val="18"/>
        </w:rPr>
        <w:t xml:space="preserve"> </w:t>
      </w:r>
    </w:p>
  </w:footnote>
  <w:footnote w:id="13">
    <w:p w14:paraId="5DD3AFD1" w14:textId="07831564" w:rsidR="006C67B3" w:rsidRDefault="006C67B3" w:rsidP="00653BBA">
      <w:pPr>
        <w:pStyle w:val="Textonotapie"/>
        <w:jc w:val="both"/>
        <w:rPr>
          <w:szCs w:val="18"/>
        </w:rPr>
      </w:pPr>
      <w:r>
        <w:rPr>
          <w:rStyle w:val="Refdenotaalpie"/>
        </w:rPr>
        <w:t>[1]</w:t>
      </w:r>
      <w:r>
        <w:t xml:space="preserve"> </w:t>
      </w:r>
      <w:r>
        <w:rPr>
          <w:color w:val="231F20"/>
        </w:rPr>
        <w:t xml:space="preserve">Diccionario de la Lengua Española. Real Academia Española, vigésimo segunda edición, versión electrónica, término “utilidad”. Disponible en: </w:t>
      </w:r>
      <w:r w:rsidRPr="00E678CE">
        <w:t>http://lema.rae.es/drae/?val=utilidad</w:t>
      </w:r>
      <w:r>
        <w:rPr>
          <w:color w:val="C00000"/>
          <w:highlight w:val="yellow"/>
        </w:rPr>
        <w:t xml:space="preserve"> </w:t>
      </w:r>
    </w:p>
  </w:footnote>
  <w:footnote w:id="14">
    <w:p w14:paraId="1D0CDB2A" w14:textId="68E871C3" w:rsidR="006C67B3" w:rsidRDefault="006C67B3" w:rsidP="00653BBA">
      <w:pPr>
        <w:pStyle w:val="Textonotapie"/>
        <w:jc w:val="both"/>
        <w:rPr>
          <w:rFonts w:eastAsia="Times New Roman"/>
          <w:sz w:val="20"/>
          <w:lang w:eastAsia="es-MX"/>
        </w:rPr>
      </w:pPr>
      <w:r>
        <w:rPr>
          <w:rStyle w:val="Refdenotaalpie"/>
        </w:rPr>
        <w:t>[2]</w:t>
      </w:r>
      <w:r>
        <w:t xml:space="preserve"> </w:t>
      </w:r>
      <w:r>
        <w:rPr>
          <w:color w:val="231F20"/>
        </w:rPr>
        <w:t xml:space="preserve">Diccionario de la Lengua Española. Real Academia Española, vigésimo segunda edición, versión electrónica, término “provecho”. Disponible en: </w:t>
      </w:r>
      <w:r w:rsidRPr="00E678CE">
        <w:t>http://lema.rae.es/drae/?val=provecho</w:t>
      </w:r>
      <w:r>
        <w:rPr>
          <w:color w:val="231F20"/>
        </w:rPr>
        <w:t xml:space="preserve"> </w:t>
      </w:r>
    </w:p>
  </w:footnote>
  <w:footnote w:id="15">
    <w:p w14:paraId="43B3D9BB"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En dicho amparo directo fungieron como autoridades responsables el Pleno de la Sala Superior del Tribunal Federal de Justicia Fiscal y Administrativa quien resolvió el contenido de la resolución emitida por el Administrador Central de Fiscalización a Empresas que Consolidan Fiscalmente y firmada por el Administrador de Fiscalización a Empresas que Consolidan Fiscalmente “3”, por medio de la cual se determinó un crédito fiscal en cantidad total de $29´481,237.19 (veintinueve millones cuatrocientos ochenta y un mil doscientos treinta y siete pesos con diecinueve centavos moneda nacional) por concepto de aprovechamientos por la explotación de la red telefónica y recargos correspondientes al primer y segundo semestre del dos mil cuatro, actualizados a octubre de dos mil diez.</w:t>
      </w:r>
    </w:p>
  </w:footnote>
  <w:footnote w:id="16">
    <w:p w14:paraId="65B4B4EC" w14:textId="77777777" w:rsidR="006C67B3" w:rsidRPr="008776C0" w:rsidRDefault="006C67B3">
      <w:pPr>
        <w:spacing w:after="0" w:line="240" w:lineRule="auto"/>
        <w:ind w:right="49"/>
        <w:jc w:val="both"/>
        <w:rPr>
          <w:rFonts w:ascii="ITC Avant Garde" w:hAnsi="ITC Avant Garde" w:cs="Arial"/>
          <w:sz w:val="18"/>
          <w:szCs w:val="18"/>
        </w:rPr>
      </w:pPr>
      <w:r w:rsidRPr="008776C0">
        <w:rPr>
          <w:rStyle w:val="Refdenotaalpie"/>
          <w:rFonts w:ascii="ITC Avant Garde" w:hAnsi="ITC Avant Garde"/>
          <w:sz w:val="18"/>
          <w:szCs w:val="18"/>
        </w:rPr>
        <w:footnoteRef/>
      </w:r>
      <w:r w:rsidRPr="008776C0">
        <w:rPr>
          <w:rFonts w:ascii="ITC Avant Garde" w:hAnsi="ITC Avant Garde"/>
          <w:sz w:val="18"/>
          <w:szCs w:val="18"/>
        </w:rPr>
        <w:t xml:space="preserve"> </w:t>
      </w:r>
      <w:r w:rsidRPr="008776C0">
        <w:rPr>
          <w:rFonts w:ascii="ITC Avant Garde" w:hAnsi="ITC Avant Garde" w:cs="Arial"/>
          <w:sz w:val="18"/>
          <w:szCs w:val="18"/>
        </w:rPr>
        <w:t>De dicha ejecutoria derivó la Tesis número</w:t>
      </w:r>
      <w:r w:rsidRPr="009E34A4">
        <w:rPr>
          <w:rFonts w:ascii="ITC Avant Garde" w:hAnsi="ITC Avant Garde" w:cs="Arial"/>
          <w:sz w:val="18"/>
          <w:szCs w:val="18"/>
        </w:rPr>
        <w:t xml:space="preserve"> I.1o.A.E.33 A (10a.), </w:t>
      </w:r>
      <w:r w:rsidRPr="008776C0">
        <w:rPr>
          <w:rFonts w:ascii="ITC Avant Garde" w:hAnsi="ITC Avant Garde" w:cs="Arial"/>
          <w:sz w:val="18"/>
          <w:szCs w:val="18"/>
        </w:rPr>
        <w:t xml:space="preserve">de la Décima Época, con número de registro 2008779, localizada en el Semanario Judicial de la Federación, publicada el viernes 27 de marzo de 2015 09:30 h, cuyo rubro señala: </w:t>
      </w:r>
      <w:r w:rsidRPr="008776C0">
        <w:rPr>
          <w:rFonts w:ascii="ITC Avant Garde" w:hAnsi="ITC Avant Garde" w:cs="Arial"/>
          <w:i/>
          <w:sz w:val="18"/>
          <w:szCs w:val="18"/>
        </w:rPr>
        <w:t>“</w:t>
      </w:r>
      <w:r w:rsidRPr="009E34A4">
        <w:rPr>
          <w:rFonts w:ascii="ITC Avant Garde" w:hAnsi="ITC Avant Garde" w:cs="Arial"/>
          <w:i/>
          <w:sz w:val="18"/>
          <w:szCs w:val="18"/>
        </w:rPr>
        <w:t>PRINCIPIO DE RAZONABILIDAD. LO SATISFACE LA RESTRICCIÓN CONTENIDA EN EL INCISO C) DEL RESOLUTIVO SEXTO DE LA RESOLUCIÓN POR LA QUE EL PLENO DE LA COMISIÓN FEDERAL DE TELECOMUNICACIONES EXPIDE EL MANUAL QUE PROVEE LOS CRITERIOS Y METODOLOGÍA DE SEPARACIÓN CONTABLE POR SERVICIO, APLICABLE A LOS CONCESIONARIOS DE REDES PÚBLICAS DE TELECOMUNICACIONES, PUBLICADA EN EL DIARIO OFICIAL DE LA FEDERACIÓN EL 22 DE MARZO DE 2013, RESPECTO DE LAS SUBSIDIARIAS O FILIALES DE UNA SOCIEDAD ANÓNIMA BURSÁTIL.”</w:t>
      </w:r>
    </w:p>
  </w:footnote>
  <w:footnote w:id="17">
    <w:p w14:paraId="608DA157"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https://downloads.telmex.com/pdf/reporte_anual2011.pdf</w:t>
      </w:r>
    </w:p>
  </w:footnote>
  <w:footnote w:id="18">
    <w:p w14:paraId="34737E1E" w14:textId="129D7042" w:rsidR="006C67B3" w:rsidRPr="006F3516" w:rsidRDefault="006C67B3" w:rsidP="009E34A4">
      <w:pPr>
        <w:pStyle w:val="Textonotapie"/>
        <w:jc w:val="both"/>
        <w:rPr>
          <w:b/>
          <w:szCs w:val="18"/>
        </w:rPr>
      </w:pPr>
      <w:r w:rsidRPr="006F3516">
        <w:rPr>
          <w:rFonts w:eastAsiaTheme="majorEastAsia" w:cstheme="majorBidi"/>
          <w:b/>
          <w:color w:val="0000FF"/>
          <w:szCs w:val="32"/>
        </w:rPr>
        <w:t>“CONFIDENCIAL POR LEY”</w:t>
      </w:r>
    </w:p>
  </w:footnote>
  <w:footnote w:id="19">
    <w:p w14:paraId="11C871F5" w14:textId="218A33AD" w:rsidR="006C67B3" w:rsidRPr="008776C0" w:rsidRDefault="006C67B3" w:rsidP="009E34A4">
      <w:pPr>
        <w:pStyle w:val="Textonotapie"/>
        <w:jc w:val="both"/>
      </w:pPr>
      <w:r w:rsidRPr="008776C0">
        <w:rPr>
          <w:rStyle w:val="Refdenotaalpie"/>
        </w:rPr>
        <w:footnoteRef/>
      </w:r>
      <w:r w:rsidRPr="008776C0">
        <w:t xml:space="preserve"> Visible en http://www.cofece.mx:8080/cfcresoluciones/docs/Concentraciones/V269/492/1065174.PDF</w:t>
      </w:r>
    </w:p>
  </w:footnote>
  <w:footnote w:id="20">
    <w:p w14:paraId="4DBA13DF" w14:textId="77777777" w:rsidR="006C67B3" w:rsidRPr="008776C0" w:rsidRDefault="006C67B3">
      <w:pPr>
        <w:pStyle w:val="Textonotapie"/>
        <w:jc w:val="both"/>
        <w:rPr>
          <w:rFonts w:eastAsia="Calibri"/>
          <w:szCs w:val="18"/>
        </w:rPr>
      </w:pPr>
      <w:r w:rsidRPr="009E34A4">
        <w:rPr>
          <w:rStyle w:val="Refdenotaalpie"/>
          <w:szCs w:val="18"/>
        </w:rPr>
        <w:footnoteRef/>
      </w:r>
      <w:r w:rsidRPr="009E34A4">
        <w:rPr>
          <w:szCs w:val="18"/>
        </w:rPr>
        <w:t xml:space="preserve"> </w:t>
      </w:r>
      <w:r w:rsidRPr="008776C0">
        <w:rPr>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21">
    <w:p w14:paraId="7730A65A" w14:textId="16639D64"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Dicha información se encuentra visible en la siguiente dirección electrónica:</w:t>
      </w:r>
      <w:r w:rsidRPr="008776C0">
        <w:rPr>
          <w:szCs w:val="18"/>
        </w:rPr>
        <w:br/>
        <w:t xml:space="preserve"> </w:t>
      </w:r>
      <w:r w:rsidRPr="008776C0">
        <w:rPr>
          <w:rFonts w:eastAsia="Times New Roman" w:cs="Calibri"/>
          <w:color w:val="000000"/>
          <w:szCs w:val="18"/>
          <w:lang w:val="es-ES" w:eastAsia="es-ES"/>
        </w:rPr>
        <w:t>http://www.cofece.mx:8080/cfcresoluciones/docs/Concentraciones/V269/492/1065174.PDF</w:t>
      </w:r>
    </w:p>
  </w:footnote>
  <w:footnote w:id="22">
    <w:p w14:paraId="28613C92" w14:textId="374A8065" w:rsidR="006C67B3" w:rsidRPr="006F3516" w:rsidRDefault="006C67B3">
      <w:pPr>
        <w:pStyle w:val="Textonotapie"/>
        <w:jc w:val="both"/>
        <w:rPr>
          <w:b/>
          <w:szCs w:val="18"/>
        </w:rPr>
      </w:pPr>
      <w:r w:rsidRPr="006F3516">
        <w:rPr>
          <w:rFonts w:eastAsiaTheme="majorEastAsia" w:cstheme="majorBidi"/>
          <w:b/>
          <w:color w:val="0000FF"/>
          <w:szCs w:val="32"/>
        </w:rPr>
        <w:t>“CONFIDENCIAL POR LEY”</w:t>
      </w:r>
    </w:p>
  </w:footnote>
  <w:footnote w:id="23">
    <w:p w14:paraId="5C4F0279" w14:textId="23EA3C4F" w:rsidR="006C67B3" w:rsidRPr="000216DE" w:rsidRDefault="006C67B3">
      <w:pPr>
        <w:pStyle w:val="Textonotapie"/>
        <w:jc w:val="both"/>
        <w:rPr>
          <w:i/>
          <w:szCs w:val="18"/>
        </w:rPr>
      </w:pPr>
      <w:r w:rsidRPr="008776C0">
        <w:rPr>
          <w:rStyle w:val="Refdenotaalpie"/>
          <w:szCs w:val="18"/>
        </w:rPr>
        <w:footnoteRef/>
      </w:r>
      <w:r w:rsidRPr="008776C0">
        <w:rPr>
          <w:szCs w:val="18"/>
        </w:rPr>
        <w:t xml:space="preserve"> </w:t>
      </w:r>
      <w:r w:rsidRPr="006F3516">
        <w:rPr>
          <w:rFonts w:eastAsiaTheme="majorEastAsia" w:cstheme="majorBidi"/>
          <w:b/>
          <w:color w:val="0000FF"/>
          <w:szCs w:val="32"/>
        </w:rPr>
        <w:t>“CONFIDENCIAL POR LEY”</w:t>
      </w:r>
    </w:p>
  </w:footnote>
  <w:footnote w:id="24">
    <w:p w14:paraId="185BCD84" w14:textId="153A6987" w:rsidR="006C67B3" w:rsidRPr="008776C0" w:rsidRDefault="006C67B3">
      <w:pPr>
        <w:pStyle w:val="Textonotapie"/>
        <w:jc w:val="both"/>
        <w:rPr>
          <w:szCs w:val="18"/>
        </w:rPr>
      </w:pPr>
      <w:r w:rsidRPr="008776C0">
        <w:rPr>
          <w:rStyle w:val="Refdenotaalpie"/>
          <w:szCs w:val="18"/>
        </w:rPr>
        <w:footnoteRef/>
      </w:r>
      <w:r w:rsidRPr="006F3516">
        <w:rPr>
          <w:b/>
          <w:szCs w:val="18"/>
        </w:rPr>
        <w:t>“</w:t>
      </w:r>
      <w:r w:rsidRPr="006F3516">
        <w:rPr>
          <w:rFonts w:eastAsiaTheme="majorEastAsia" w:cstheme="majorBidi"/>
          <w:b/>
          <w:color w:val="0000FF"/>
          <w:szCs w:val="32"/>
        </w:rPr>
        <w:t>CONFIDENCIAL POR LEY”</w:t>
      </w:r>
    </w:p>
  </w:footnote>
  <w:footnote w:id="25">
    <w:p w14:paraId="6D57BD78" w14:textId="7BED2649" w:rsidR="006C67B3" w:rsidRPr="008776C0" w:rsidRDefault="006C67B3" w:rsidP="00A4738B">
      <w:pPr>
        <w:pStyle w:val="Textonotapie"/>
        <w:jc w:val="both"/>
        <w:rPr>
          <w:szCs w:val="18"/>
        </w:rPr>
      </w:pPr>
      <w:r w:rsidRPr="008776C0">
        <w:rPr>
          <w:rStyle w:val="Refdenotaalpie"/>
          <w:szCs w:val="18"/>
        </w:rPr>
        <w:footnoteRef/>
      </w:r>
      <w:r w:rsidRPr="008776C0">
        <w:rPr>
          <w:szCs w:val="18"/>
        </w:rPr>
        <w:t xml:space="preserve"> </w:t>
      </w:r>
      <w:r w:rsidRPr="006F3516">
        <w:rPr>
          <w:rFonts w:eastAsiaTheme="majorEastAsia" w:cstheme="majorBidi"/>
          <w:b/>
          <w:color w:val="0000FF"/>
          <w:szCs w:val="32"/>
        </w:rPr>
        <w:t>“CONFIDENCIAL POR LEY”</w:t>
      </w:r>
    </w:p>
  </w:footnote>
  <w:footnote w:id="26">
    <w:p w14:paraId="5A0C8540" w14:textId="372D41E0"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w:t>
      </w:r>
      <w:r w:rsidRPr="006F3516">
        <w:rPr>
          <w:rFonts w:eastAsiaTheme="majorEastAsia" w:cstheme="majorBidi"/>
          <w:b/>
          <w:color w:val="0000FF"/>
          <w:szCs w:val="32"/>
        </w:rPr>
        <w:t>“CONFIDENCIAL POR LEY”</w:t>
      </w:r>
      <w:r w:rsidRPr="006F3516">
        <w:rPr>
          <w:b/>
          <w:szCs w:val="18"/>
        </w:rPr>
        <w:t>.</w:t>
      </w:r>
    </w:p>
  </w:footnote>
  <w:footnote w:id="27">
    <w:p w14:paraId="2D60CE61" w14:textId="683F7ED2"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w:t>
      </w:r>
      <w:r w:rsidRPr="00CE1EA8">
        <w:rPr>
          <w:rFonts w:eastAsiaTheme="majorEastAsia" w:cstheme="majorBidi"/>
          <w:b/>
          <w:color w:val="0000FF"/>
          <w:szCs w:val="32"/>
        </w:rPr>
        <w:t>“CONFIDENCIAL POR LEY”</w:t>
      </w:r>
    </w:p>
  </w:footnote>
  <w:footnote w:id="28">
    <w:p w14:paraId="76993D15" w14:textId="77777777" w:rsidR="006C67B3" w:rsidRPr="008776C0" w:rsidRDefault="006C67B3">
      <w:pPr>
        <w:pStyle w:val="Textonotapie"/>
        <w:jc w:val="both"/>
        <w:rPr>
          <w:szCs w:val="18"/>
        </w:rPr>
      </w:pPr>
      <w:r w:rsidRPr="009E34A4">
        <w:rPr>
          <w:rStyle w:val="Refdenotaalpie"/>
          <w:szCs w:val="18"/>
        </w:rPr>
        <w:footnoteRef/>
      </w:r>
      <w:r w:rsidRPr="009E34A4">
        <w:rPr>
          <w:szCs w:val="18"/>
        </w:rPr>
        <w:t xml:space="preserve"> </w:t>
      </w:r>
      <w:r w:rsidRPr="008776C0">
        <w:rPr>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29">
    <w:p w14:paraId="25E6C26F" w14:textId="054D76BE"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w:t>
      </w:r>
      <w:r w:rsidRPr="008776C0">
        <w:rPr>
          <w:rFonts w:eastAsia="Times New Roman" w:cs="Times New Roman"/>
          <w:bCs/>
          <w:color w:val="000000"/>
          <w:szCs w:val="18"/>
          <w:lang w:eastAsia="es-MX"/>
        </w:rPr>
        <w:t>Lo anterior, puede robustecerse en el Reporte anual de “TELMEX” en la Bolsa Mexicana de Valores para el año dos mil quince en la siguiente dirección https://www.bmv.com.mx/es/emisoras/informacionfinanciera/TELMEX-5716-CGEN_DEUD</w:t>
      </w:r>
    </w:p>
  </w:footnote>
  <w:footnote w:id="30">
    <w:p w14:paraId="6FC93E1F"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a Acedo Quezada, Octavio R., </w:t>
      </w:r>
      <w:r w:rsidRPr="008776C0">
        <w:rPr>
          <w:i/>
          <w:szCs w:val="18"/>
        </w:rPr>
        <w:t>“Contratos coaligados (Notas para una futura construcción dogmática)”</w:t>
      </w:r>
      <w:r w:rsidRPr="008776C0">
        <w:rPr>
          <w:szCs w:val="18"/>
        </w:rPr>
        <w:t xml:space="preserve">, Biblioteca Jurídica Virtual, Instituto de Investigaciones Jurídicas de la UNAM, 2011, visible en: </w:t>
      </w:r>
      <w:hyperlink r:id="rId1" w:anchor="N*" w:history="1">
        <w:r w:rsidRPr="008776C0">
          <w:rPr>
            <w:rStyle w:val="Hipervnculo"/>
            <w:szCs w:val="18"/>
          </w:rPr>
          <w:t>http://www.juridicas.unam.mx/publica/rev/derpriv/cont/3/dtr/dtr1.htm#N*</w:t>
        </w:r>
      </w:hyperlink>
      <w:r w:rsidRPr="008776C0">
        <w:rPr>
          <w:szCs w:val="18"/>
        </w:rPr>
        <w:t>, consultado el uno de agosto de dos mil dieciséis.</w:t>
      </w:r>
    </w:p>
  </w:footnote>
  <w:footnote w:id="31">
    <w:p w14:paraId="16610FE5" w14:textId="485EFB9A" w:rsidR="006C67B3" w:rsidRPr="008776C0" w:rsidRDefault="006C67B3">
      <w:pPr>
        <w:pStyle w:val="Textonotapie"/>
        <w:jc w:val="both"/>
        <w:rPr>
          <w:szCs w:val="18"/>
        </w:rPr>
      </w:pPr>
      <w:r w:rsidRPr="008776C0">
        <w:rPr>
          <w:rStyle w:val="Refdenotaalpie"/>
          <w:szCs w:val="18"/>
        </w:rPr>
        <w:footnoteRef/>
      </w:r>
      <w:r w:rsidRPr="008776C0">
        <w:rPr>
          <w:szCs w:val="18"/>
          <w:lang w:val="en-US"/>
        </w:rPr>
        <w:t xml:space="preserve"> </w:t>
      </w:r>
      <w:proofErr w:type="spellStart"/>
      <w:r w:rsidRPr="008776C0">
        <w:rPr>
          <w:szCs w:val="18"/>
          <w:lang w:val="en-US"/>
        </w:rPr>
        <w:t>Macneil</w:t>
      </w:r>
      <w:proofErr w:type="spellEnd"/>
      <w:r w:rsidRPr="008776C0">
        <w:rPr>
          <w:szCs w:val="18"/>
          <w:lang w:val="en-US"/>
        </w:rPr>
        <w:t xml:space="preserve">, Ian, </w:t>
      </w:r>
      <w:r w:rsidRPr="008776C0">
        <w:rPr>
          <w:i/>
          <w:szCs w:val="18"/>
          <w:lang w:val="en-US"/>
        </w:rPr>
        <w:t xml:space="preserve">“The new social contract. An </w:t>
      </w:r>
      <w:proofErr w:type="spellStart"/>
      <w:r w:rsidRPr="008776C0">
        <w:rPr>
          <w:i/>
          <w:szCs w:val="18"/>
          <w:lang w:val="en-US"/>
        </w:rPr>
        <w:t>inquiri</w:t>
      </w:r>
      <w:proofErr w:type="spellEnd"/>
      <w:r w:rsidRPr="008776C0">
        <w:rPr>
          <w:i/>
          <w:szCs w:val="18"/>
          <w:lang w:val="en-US"/>
        </w:rPr>
        <w:t xml:space="preserve"> into modern contractual relations”</w:t>
      </w:r>
      <w:r w:rsidRPr="008776C0">
        <w:rPr>
          <w:szCs w:val="18"/>
          <w:lang w:val="en-US"/>
        </w:rPr>
        <w:t xml:space="preserve">, New Haven, Yale University, 1980. </w:t>
      </w:r>
      <w:r w:rsidRPr="008776C0">
        <w:rPr>
          <w:szCs w:val="18"/>
        </w:rPr>
        <w:t xml:space="preserve">Citado en </w:t>
      </w:r>
      <w:proofErr w:type="spellStart"/>
      <w:r w:rsidRPr="008776C0">
        <w:rPr>
          <w:szCs w:val="18"/>
        </w:rPr>
        <w:t>Lorenzetti</w:t>
      </w:r>
      <w:proofErr w:type="spellEnd"/>
      <w:r w:rsidRPr="008776C0">
        <w:rPr>
          <w:szCs w:val="18"/>
        </w:rPr>
        <w:t xml:space="preserve">, Ricardo Luis, </w:t>
      </w:r>
      <w:r w:rsidRPr="008776C0">
        <w:rPr>
          <w:i/>
          <w:szCs w:val="18"/>
        </w:rPr>
        <w:t>“Redes contractuales y contratos conexos”</w:t>
      </w:r>
      <w:r w:rsidRPr="008776C0">
        <w:rPr>
          <w:rFonts w:cs="Arial"/>
          <w:color w:val="545454"/>
          <w:szCs w:val="18"/>
          <w:shd w:val="clear" w:color="auto" w:fill="FFFFFF"/>
        </w:rPr>
        <w:t xml:space="preserve"> </w:t>
      </w:r>
      <w:r w:rsidRPr="008776C0">
        <w:rPr>
          <w:szCs w:val="18"/>
        </w:rPr>
        <w:t xml:space="preserve">Revista de Derecho Privado y Comunitario nº 17, Editorial </w:t>
      </w:r>
      <w:proofErr w:type="spellStart"/>
      <w:r w:rsidRPr="008776C0">
        <w:rPr>
          <w:szCs w:val="18"/>
        </w:rPr>
        <w:t>Rubinzal</w:t>
      </w:r>
      <w:proofErr w:type="spellEnd"/>
      <w:r w:rsidRPr="008776C0">
        <w:rPr>
          <w:szCs w:val="18"/>
        </w:rPr>
        <w:t xml:space="preserve"> </w:t>
      </w:r>
      <w:proofErr w:type="spellStart"/>
      <w:r w:rsidRPr="008776C0">
        <w:rPr>
          <w:szCs w:val="18"/>
        </w:rPr>
        <w:t>Culzoni</w:t>
      </w:r>
      <w:proofErr w:type="spellEnd"/>
      <w:r w:rsidRPr="008776C0">
        <w:rPr>
          <w:szCs w:val="18"/>
        </w:rPr>
        <w:t>, pág. 207.</w:t>
      </w:r>
    </w:p>
  </w:footnote>
  <w:footnote w:id="32">
    <w:p w14:paraId="24AB7592" w14:textId="7A83D70C" w:rsidR="006C67B3" w:rsidRPr="008776C0" w:rsidRDefault="006C67B3">
      <w:pPr>
        <w:pStyle w:val="Textonotapie"/>
        <w:jc w:val="both"/>
        <w:rPr>
          <w:szCs w:val="18"/>
        </w:rPr>
      </w:pPr>
      <w:r w:rsidRPr="008776C0">
        <w:rPr>
          <w:rStyle w:val="Refdenotaalpie"/>
          <w:szCs w:val="18"/>
        </w:rPr>
        <w:footnoteRef/>
      </w:r>
      <w:r w:rsidRPr="008776C0">
        <w:rPr>
          <w:szCs w:val="18"/>
        </w:rPr>
        <w:t xml:space="preserve"> </w:t>
      </w:r>
      <w:r w:rsidRPr="008776C0">
        <w:rPr>
          <w:i/>
          <w:szCs w:val="18"/>
        </w:rPr>
        <w:t>“La conexión es un elemento similar al éter; es una sustancia inasible, invisible, pero que aunque no la veamos, “debería” existir, porque de lo contrario no se explican los movimientos coordinados</w:t>
      </w:r>
      <w:r w:rsidRPr="008776C0">
        <w:rPr>
          <w:szCs w:val="18"/>
        </w:rPr>
        <w:t>.</w:t>
      </w:r>
      <w:r w:rsidRPr="008776C0">
        <w:rPr>
          <w:i/>
          <w:szCs w:val="18"/>
        </w:rPr>
        <w:t>”</w:t>
      </w:r>
      <w:r w:rsidRPr="008776C0">
        <w:rPr>
          <w:szCs w:val="18"/>
        </w:rPr>
        <w:t xml:space="preserve">, véase </w:t>
      </w:r>
      <w:proofErr w:type="spellStart"/>
      <w:r w:rsidRPr="008776C0">
        <w:rPr>
          <w:szCs w:val="18"/>
        </w:rPr>
        <w:t>Lorenzetti</w:t>
      </w:r>
      <w:proofErr w:type="spellEnd"/>
      <w:r w:rsidRPr="008776C0">
        <w:rPr>
          <w:szCs w:val="18"/>
        </w:rPr>
        <w:t xml:space="preserve">, Ricardo Luis, </w:t>
      </w:r>
      <w:r w:rsidRPr="008776C0">
        <w:rPr>
          <w:i/>
          <w:szCs w:val="18"/>
        </w:rPr>
        <w:t>“Redes contractuales y contratos conexos”</w:t>
      </w:r>
      <w:r w:rsidRPr="008776C0">
        <w:rPr>
          <w:rFonts w:cs="Arial"/>
          <w:color w:val="545454"/>
          <w:szCs w:val="18"/>
          <w:shd w:val="clear" w:color="auto" w:fill="FFFFFF"/>
        </w:rPr>
        <w:t xml:space="preserve"> </w:t>
      </w:r>
      <w:r w:rsidRPr="008776C0">
        <w:rPr>
          <w:szCs w:val="18"/>
        </w:rPr>
        <w:t xml:space="preserve">Revista de Derecho Privado y Comunitario nº 17, Editorial </w:t>
      </w:r>
      <w:proofErr w:type="spellStart"/>
      <w:r w:rsidRPr="008776C0">
        <w:rPr>
          <w:szCs w:val="18"/>
        </w:rPr>
        <w:t>Rubinzal</w:t>
      </w:r>
      <w:proofErr w:type="spellEnd"/>
      <w:r w:rsidRPr="008776C0">
        <w:rPr>
          <w:szCs w:val="18"/>
        </w:rPr>
        <w:t xml:space="preserve"> </w:t>
      </w:r>
      <w:proofErr w:type="spellStart"/>
      <w:r w:rsidRPr="008776C0">
        <w:rPr>
          <w:szCs w:val="18"/>
        </w:rPr>
        <w:t>Culzoni</w:t>
      </w:r>
      <w:proofErr w:type="spellEnd"/>
      <w:r w:rsidRPr="008776C0">
        <w:rPr>
          <w:szCs w:val="18"/>
        </w:rPr>
        <w:t xml:space="preserve">, pág. 207, visible en: </w:t>
      </w:r>
      <w:r w:rsidRPr="00E678CE">
        <w:rPr>
          <w:szCs w:val="18"/>
        </w:rPr>
        <w:t>http://sb6d5424793066ad6.jimcontent.com/download/version/1355182359/module/5483466469/name/Contratos%20Conexos.doc</w:t>
      </w:r>
      <w:r w:rsidRPr="008776C0">
        <w:rPr>
          <w:szCs w:val="18"/>
        </w:rPr>
        <w:t xml:space="preserve">.; consultada el uno de agosto de dos mil dieciséis. </w:t>
      </w:r>
    </w:p>
  </w:footnote>
  <w:footnote w:id="33">
    <w:p w14:paraId="60CA306A"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Bustillos Tejedor, Luis L., </w:t>
      </w:r>
      <w:r w:rsidRPr="008776C0">
        <w:rPr>
          <w:i/>
          <w:szCs w:val="18"/>
        </w:rPr>
        <w:t>“Los grupos de sociedades”</w:t>
      </w:r>
      <w:r w:rsidRPr="008776C0">
        <w:rPr>
          <w:szCs w:val="18"/>
        </w:rPr>
        <w:t>, Cuadernos de Derecho y Comercio, No. 62, 2015</w:t>
      </w:r>
    </w:p>
  </w:footnote>
  <w:footnote w:id="34">
    <w:p w14:paraId="47B02C32"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Sánchez Pachón, Luis Ángel, </w:t>
      </w:r>
      <w:r w:rsidRPr="008776C0">
        <w:rPr>
          <w:i/>
          <w:szCs w:val="18"/>
        </w:rPr>
        <w:t xml:space="preserve">“Los acuerdos </w:t>
      </w:r>
      <w:proofErr w:type="spellStart"/>
      <w:r w:rsidRPr="008776C0">
        <w:rPr>
          <w:i/>
          <w:szCs w:val="18"/>
        </w:rPr>
        <w:t>intercooperativos</w:t>
      </w:r>
      <w:proofErr w:type="spellEnd"/>
      <w:r w:rsidRPr="008776C0">
        <w:rPr>
          <w:i/>
          <w:szCs w:val="18"/>
        </w:rPr>
        <w:t>. Un instrumento jurídico para la colaboración en momentos de crisis”</w:t>
      </w:r>
      <w:r w:rsidRPr="008776C0">
        <w:rPr>
          <w:szCs w:val="18"/>
        </w:rPr>
        <w:t>, Revista Jurídica CIRIEC No. 22, España, 2011.</w:t>
      </w:r>
    </w:p>
  </w:footnote>
  <w:footnote w:id="35">
    <w:p w14:paraId="4C9C6443"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w:t>
      </w:r>
      <w:proofErr w:type="spellStart"/>
      <w:r w:rsidRPr="008776C0">
        <w:rPr>
          <w:szCs w:val="18"/>
        </w:rPr>
        <w:t>Monteiro</w:t>
      </w:r>
      <w:proofErr w:type="spellEnd"/>
      <w:r w:rsidRPr="008776C0">
        <w:rPr>
          <w:szCs w:val="18"/>
        </w:rPr>
        <w:t xml:space="preserve"> Pessoa, Rodrigo, </w:t>
      </w:r>
      <w:r w:rsidRPr="008776C0">
        <w:rPr>
          <w:i/>
          <w:szCs w:val="18"/>
        </w:rPr>
        <w:t>“El interés económico de las partes y el incumplimiento contractual”</w:t>
      </w:r>
      <w:r w:rsidRPr="008776C0">
        <w:rPr>
          <w:szCs w:val="18"/>
        </w:rPr>
        <w:t>, Revista de Derechos Fundamentales, Universidad Viña del Mar, No. 10, Chile, 2013.</w:t>
      </w:r>
    </w:p>
  </w:footnote>
  <w:footnote w:id="36">
    <w:p w14:paraId="26BF3FF9"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Montiel Fuentes, Carlos Mario, </w:t>
      </w:r>
      <w:r w:rsidRPr="008776C0">
        <w:rPr>
          <w:i/>
          <w:szCs w:val="18"/>
        </w:rPr>
        <w:t>“Acercamiento al concepto de grupos empresariales: Concurrencia de elementos para su existencia”</w:t>
      </w:r>
      <w:r w:rsidRPr="008776C0">
        <w:rPr>
          <w:szCs w:val="18"/>
        </w:rPr>
        <w:t xml:space="preserve">, REVIST@ </w:t>
      </w:r>
      <w:r w:rsidRPr="008776C0">
        <w:rPr>
          <w:i/>
          <w:szCs w:val="18"/>
        </w:rPr>
        <w:t xml:space="preserve">e – </w:t>
      </w:r>
      <w:r w:rsidRPr="008776C0">
        <w:rPr>
          <w:szCs w:val="18"/>
        </w:rPr>
        <w:t>Mercadotecnia, Volumen 8, Número 1, 2009, visible en: http://revistas.uexternado.edu.co/index.php/emerca/article/view/2038, consultada el uno de agosto de dos mil dieciséis.</w:t>
      </w:r>
    </w:p>
  </w:footnote>
  <w:footnote w:id="37">
    <w:p w14:paraId="120600F0" w14:textId="77777777"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Al respecto, véase: Marón Lerma, Esther, “</w:t>
      </w:r>
      <w:r w:rsidRPr="008776C0">
        <w:rPr>
          <w:i/>
          <w:szCs w:val="18"/>
        </w:rPr>
        <w:t>La tutela penal del secreto de empresa, desde una teoría general del bien jurídico</w:t>
      </w:r>
      <w:r w:rsidRPr="008776C0">
        <w:rPr>
          <w:szCs w:val="18"/>
        </w:rPr>
        <w:t xml:space="preserve">” Universidad Autónoma de Barcelona, Departamento de Ciencias Políticas y Derecho Público, Tesis Doctoral, 2001, visible en: http://hdl.handle.net/10803/5066, consultado el uno de agosto de dos mil dieciséis. </w:t>
      </w:r>
    </w:p>
  </w:footnote>
  <w:footnote w:id="38">
    <w:p w14:paraId="0B5EA3A0"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En referencia a Von </w:t>
      </w:r>
      <w:proofErr w:type="spellStart"/>
      <w:r w:rsidRPr="008776C0">
        <w:rPr>
          <w:szCs w:val="18"/>
        </w:rPr>
        <w:t>Hayek</w:t>
      </w:r>
      <w:proofErr w:type="spellEnd"/>
      <w:r w:rsidRPr="008776C0">
        <w:rPr>
          <w:szCs w:val="18"/>
        </w:rPr>
        <w:t xml:space="preserve">, Friedrich A. en su trabajo </w:t>
      </w:r>
      <w:r w:rsidRPr="008776C0">
        <w:rPr>
          <w:i/>
          <w:szCs w:val="18"/>
        </w:rPr>
        <w:t>“Libertad bajo la ley”</w:t>
      </w:r>
      <w:r w:rsidRPr="008776C0">
        <w:rPr>
          <w:szCs w:val="18"/>
        </w:rPr>
        <w:t>.</w:t>
      </w:r>
    </w:p>
  </w:footnote>
  <w:footnote w:id="39">
    <w:p w14:paraId="48B7D996"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w:t>
      </w:r>
      <w:proofErr w:type="spellStart"/>
      <w:r w:rsidRPr="008776C0">
        <w:rPr>
          <w:szCs w:val="18"/>
        </w:rPr>
        <w:t>Agullo</w:t>
      </w:r>
      <w:proofErr w:type="spellEnd"/>
      <w:r w:rsidRPr="008776C0">
        <w:rPr>
          <w:szCs w:val="18"/>
        </w:rPr>
        <w:t xml:space="preserve">, Fernando, </w:t>
      </w:r>
      <w:r w:rsidRPr="008776C0">
        <w:rPr>
          <w:i/>
          <w:szCs w:val="18"/>
        </w:rPr>
        <w:t>“Las alianzas estratégicas, una respuesta a la demanda global”</w:t>
      </w:r>
      <w:r w:rsidRPr="008776C0">
        <w:rPr>
          <w:szCs w:val="18"/>
        </w:rPr>
        <w:t>, Revista Economía Industrial, No. 331, 2000.</w:t>
      </w:r>
    </w:p>
  </w:footnote>
  <w:footnote w:id="40">
    <w:p w14:paraId="50232CA1" w14:textId="0139915A" w:rsidR="006C67B3" w:rsidRPr="008776C0" w:rsidRDefault="006C67B3">
      <w:pPr>
        <w:pStyle w:val="Textonotapie"/>
        <w:jc w:val="both"/>
        <w:rPr>
          <w:szCs w:val="18"/>
        </w:rPr>
      </w:pPr>
      <w:r w:rsidRPr="008776C0">
        <w:rPr>
          <w:rStyle w:val="Refdenotaalpie"/>
          <w:szCs w:val="18"/>
        </w:rPr>
        <w:footnoteRef/>
      </w:r>
      <w:r w:rsidRPr="008776C0">
        <w:rPr>
          <w:szCs w:val="18"/>
        </w:rPr>
        <w:t xml:space="preserve"> Al respecto, véase: </w:t>
      </w:r>
      <w:proofErr w:type="spellStart"/>
      <w:r w:rsidRPr="008776C0">
        <w:rPr>
          <w:szCs w:val="18"/>
        </w:rPr>
        <w:t>Kale</w:t>
      </w:r>
      <w:proofErr w:type="spellEnd"/>
      <w:r w:rsidRPr="008776C0">
        <w:rPr>
          <w:szCs w:val="18"/>
        </w:rPr>
        <w:t xml:space="preserve">, </w:t>
      </w:r>
      <w:proofErr w:type="spellStart"/>
      <w:r w:rsidRPr="008776C0">
        <w:rPr>
          <w:szCs w:val="18"/>
        </w:rPr>
        <w:t>Prashant</w:t>
      </w:r>
      <w:proofErr w:type="spellEnd"/>
      <w:r w:rsidRPr="008776C0">
        <w:rPr>
          <w:szCs w:val="18"/>
        </w:rPr>
        <w:t>,</w:t>
      </w:r>
      <w:r w:rsidRPr="008776C0">
        <w:rPr>
          <w:i/>
          <w:szCs w:val="18"/>
        </w:rPr>
        <w:t>”No integre adquisiciones: asóciese con ellas”</w:t>
      </w:r>
      <w:r w:rsidRPr="008776C0">
        <w:rPr>
          <w:szCs w:val="18"/>
        </w:rPr>
        <w:t xml:space="preserve">, Periódico El Comercio, miércoles cuatro de agosto de dos mil diez, Perú, visible en: </w:t>
      </w:r>
      <w:r w:rsidRPr="00E678CE">
        <w:rPr>
          <w:szCs w:val="18"/>
        </w:rPr>
        <w:t>http</w:t>
      </w:r>
      <w:proofErr w:type="gramStart"/>
      <w:r w:rsidRPr="00E678CE">
        <w:rPr>
          <w:szCs w:val="18"/>
        </w:rPr>
        <w:t>:/</w:t>
      </w:r>
      <w:proofErr w:type="gramEnd"/>
      <w:r w:rsidRPr="00E678CE">
        <w:rPr>
          <w:szCs w:val="18"/>
        </w:rPr>
        <w:t>/e.elcomercio.pe/66/impresa/pdf/2010/08/04/ECEQ040810b12.pdf</w:t>
      </w:r>
      <w:r w:rsidRPr="008776C0">
        <w:rPr>
          <w:szCs w:val="18"/>
        </w:rPr>
        <w:t>, consultado el uno de agosto de dos mil dieciséis.</w:t>
      </w:r>
    </w:p>
  </w:footnote>
  <w:footnote w:id="41">
    <w:p w14:paraId="7073EDDC"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Al respecto, véase: </w:t>
      </w:r>
      <w:proofErr w:type="spellStart"/>
      <w:r w:rsidRPr="008776C0">
        <w:rPr>
          <w:szCs w:val="18"/>
        </w:rPr>
        <w:t>Vicens</w:t>
      </w:r>
      <w:proofErr w:type="spellEnd"/>
      <w:r w:rsidRPr="008776C0">
        <w:rPr>
          <w:szCs w:val="18"/>
        </w:rPr>
        <w:t xml:space="preserve">, Josep, </w:t>
      </w:r>
      <w:r w:rsidRPr="008776C0">
        <w:rPr>
          <w:i/>
          <w:szCs w:val="18"/>
        </w:rPr>
        <w:t>“Alianza entre empresas: ¿Socio estratégico o financiero?”</w:t>
      </w:r>
      <w:r w:rsidRPr="008776C0">
        <w:rPr>
          <w:szCs w:val="18"/>
        </w:rPr>
        <w:t>, Revista Estrategia Financiera, No. 209, España, 2004.</w:t>
      </w:r>
    </w:p>
  </w:footnote>
  <w:footnote w:id="42">
    <w:p w14:paraId="2A78F4CE" w14:textId="77777777"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w:t>
      </w:r>
      <w:proofErr w:type="spellStart"/>
      <w:r w:rsidRPr="008776C0">
        <w:rPr>
          <w:szCs w:val="18"/>
        </w:rPr>
        <w:t>Op</w:t>
      </w:r>
      <w:proofErr w:type="spellEnd"/>
      <w:r w:rsidRPr="008776C0">
        <w:rPr>
          <w:szCs w:val="18"/>
        </w:rPr>
        <w:t>. Cit. Acedo Quezada.</w:t>
      </w:r>
    </w:p>
    <w:p w14:paraId="7D543B41" w14:textId="77777777" w:rsidR="006C67B3" w:rsidRPr="008776C0" w:rsidRDefault="006C67B3">
      <w:pPr>
        <w:pStyle w:val="Textonotapie"/>
        <w:ind w:left="142"/>
        <w:jc w:val="both"/>
        <w:rPr>
          <w:szCs w:val="18"/>
        </w:rPr>
      </w:pPr>
      <w:r w:rsidRPr="008776C0">
        <w:rPr>
          <w:szCs w:val="18"/>
        </w:rPr>
        <w:t xml:space="preserve">Asimismo, con relación al tema, puede verse Casa Jiménez, Carlos Miguel, </w:t>
      </w:r>
      <w:r w:rsidRPr="008776C0">
        <w:rPr>
          <w:i/>
          <w:szCs w:val="18"/>
        </w:rPr>
        <w:t xml:space="preserve">“Integración Empresarial”, </w:t>
      </w:r>
      <w:r w:rsidRPr="008776C0">
        <w:rPr>
          <w:szCs w:val="18"/>
        </w:rPr>
        <w:t xml:space="preserve">Revista Expansión en Internet, Diccionario Económico, visible en: http: //www.expansion.com/diccionario-economico/integracion-empresarial.html, consultada el uno de agosto de dos mil dieciséis. </w:t>
      </w:r>
    </w:p>
  </w:footnote>
  <w:footnote w:id="43">
    <w:p w14:paraId="6CE38E78" w14:textId="1099619E"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Al respecto, véase el los reportes el reporte trimestral de la Bolsa de Nueva York correspondiente al treinta de septiembre de dos mil dieciséis en la página </w:t>
      </w:r>
      <w:r w:rsidRPr="00E678CE">
        <w:rPr>
          <w:szCs w:val="18"/>
        </w:rPr>
        <w:t>http://globaldocuments.morningstar.com/documentlibrary/Document/46daa2eaccff536937b2c680b806b6f1.msdoc/original</w:t>
      </w:r>
      <w:r w:rsidRPr="008776C0">
        <w:rPr>
          <w:szCs w:val="18"/>
        </w:rPr>
        <w:t xml:space="preserve"> </w:t>
      </w:r>
    </w:p>
  </w:footnote>
  <w:footnote w:id="44">
    <w:p w14:paraId="70DD788B" w14:textId="5499961E" w:rsidR="006C67B3" w:rsidRPr="008776C0" w:rsidRDefault="006C67B3">
      <w:pPr>
        <w:pStyle w:val="Textonotapie"/>
        <w:jc w:val="both"/>
        <w:rPr>
          <w:rFonts w:eastAsia="Times New Roman"/>
          <w:bCs/>
          <w:color w:val="000000"/>
          <w:szCs w:val="18"/>
          <w:lang w:eastAsia="es-MX"/>
        </w:rPr>
      </w:pPr>
      <w:r w:rsidRPr="008776C0">
        <w:rPr>
          <w:rStyle w:val="Refdenotaalpie"/>
          <w:szCs w:val="18"/>
        </w:rPr>
        <w:footnoteRef/>
      </w:r>
      <w:r w:rsidRPr="008776C0">
        <w:rPr>
          <w:szCs w:val="18"/>
        </w:rPr>
        <w:t xml:space="preserve"> En términos del </w:t>
      </w:r>
      <w:r w:rsidRPr="008776C0">
        <w:rPr>
          <w:i/>
          <w:szCs w:val="18"/>
        </w:rPr>
        <w:t>“</w:t>
      </w:r>
      <w:r w:rsidRPr="008776C0">
        <w:rPr>
          <w:rFonts w:eastAsia="Times New Roman"/>
          <w:bCs/>
          <w:i/>
          <w:color w:val="000000"/>
          <w:szCs w:val="18"/>
          <w:lang w:eastAsia="es-MX"/>
        </w:rPr>
        <w:t>ACUERDO mediante el cual el Pleno del Instituto Federal de Telecomunicaciones aprueba su calendario anual de sesiones ordinarias y el calendario anual de labores para el año 2015 y principios de 2016.”</w:t>
      </w:r>
      <w:r w:rsidRPr="008776C0">
        <w:rPr>
          <w:rFonts w:eastAsia="Times New Roman"/>
          <w:bCs/>
          <w:color w:val="000000"/>
          <w:szCs w:val="18"/>
          <w:lang w:eastAsia="es-MX"/>
        </w:rPr>
        <w:t xml:space="preserve">, publicado en el </w:t>
      </w:r>
      <w:r w:rsidRPr="009E34A4">
        <w:rPr>
          <w:rFonts w:eastAsia="Times New Roman"/>
          <w:bCs/>
          <w:color w:val="000000"/>
          <w:szCs w:val="18"/>
          <w:lang w:eastAsia="es-MX"/>
        </w:rPr>
        <w:t xml:space="preserve">“DOF” </w:t>
      </w:r>
      <w:r w:rsidRPr="008776C0">
        <w:rPr>
          <w:rFonts w:eastAsia="Times New Roman"/>
          <w:bCs/>
          <w:color w:val="000000"/>
          <w:szCs w:val="18"/>
          <w:lang w:eastAsia="es-MX"/>
        </w:rPr>
        <w:t>el veinticuatro de diciembre de dos mil catorce.</w:t>
      </w:r>
    </w:p>
  </w:footnote>
  <w:footnote w:id="45">
    <w:p w14:paraId="7B665C83" w14:textId="77777777" w:rsidR="006C67B3" w:rsidRPr="008776C0" w:rsidRDefault="006C67B3" w:rsidP="009E34A4">
      <w:pPr>
        <w:pStyle w:val="Textonotapie"/>
        <w:jc w:val="both"/>
        <w:rPr>
          <w:szCs w:val="18"/>
        </w:rPr>
      </w:pPr>
      <w:r w:rsidRPr="008776C0">
        <w:rPr>
          <w:rStyle w:val="Refdenotaalpie"/>
          <w:szCs w:val="18"/>
        </w:rPr>
        <w:footnoteRef/>
      </w:r>
      <w:r w:rsidRPr="008776C0">
        <w:rPr>
          <w:szCs w:val="18"/>
        </w:rPr>
        <w:t xml:space="preserve"> Véase la sentencia de la SCJN señalada en el inciso A) del Considerando Tercero. </w:t>
      </w:r>
    </w:p>
  </w:footnote>
  <w:footnote w:id="46">
    <w:p w14:paraId="20F7FCB6" w14:textId="7E3878A9" w:rsidR="006C67B3" w:rsidRPr="008776C0" w:rsidRDefault="006C67B3" w:rsidP="009E34A4">
      <w:pPr>
        <w:pStyle w:val="Textonotapie"/>
        <w:jc w:val="both"/>
        <w:rPr>
          <w:szCs w:val="18"/>
          <w:lang w:val="es-ES"/>
        </w:rPr>
      </w:pPr>
      <w:r w:rsidRPr="008776C0">
        <w:rPr>
          <w:rStyle w:val="Refdenotaalpie"/>
          <w:szCs w:val="18"/>
        </w:rPr>
        <w:footnoteRef/>
      </w:r>
      <w:r w:rsidRPr="008776C0">
        <w:rPr>
          <w:szCs w:val="18"/>
        </w:rPr>
        <w:t xml:space="preserve"> Estos contratos </w:t>
      </w:r>
      <w:r w:rsidRPr="008776C0">
        <w:rPr>
          <w:rFonts w:eastAsia="Times New Roman" w:cs="Calibri"/>
          <w:color w:val="000000"/>
          <w:szCs w:val="18"/>
          <w:lang w:val="es-ES" w:eastAsia="es-ES"/>
        </w:rPr>
        <w:t xml:space="preserve">fueron analizados y autorizados por la extinta Comisión Federal de Competencia en el Expediente CNT-116- 2008. La versión pública de la resolución se encuentra disponible en: </w:t>
      </w:r>
      <w:r w:rsidRPr="00E678CE">
        <w:rPr>
          <w:rFonts w:eastAsia="Times New Roman" w:cs="Calibri"/>
          <w:szCs w:val="18"/>
          <w:lang w:val="es-ES" w:eastAsia="es-ES"/>
        </w:rPr>
        <w:t>http://www.cofece.mx:8080/cfcresoluciones/docs/Concentraciones/V269/492/1065174.PDF</w:t>
      </w:r>
      <w:r w:rsidRPr="008776C0">
        <w:rPr>
          <w:szCs w:val="18"/>
          <w:lang w:val="es-ES"/>
        </w:rPr>
        <w:t xml:space="preserve">. </w:t>
      </w:r>
    </w:p>
  </w:footnote>
  <w:footnote w:id="47">
    <w:p w14:paraId="1B50BE81" w14:textId="77777777" w:rsidR="006C67B3" w:rsidRPr="008776C0" w:rsidRDefault="006C67B3">
      <w:pPr>
        <w:pStyle w:val="Textonotapie"/>
        <w:jc w:val="both"/>
        <w:rPr>
          <w:szCs w:val="18"/>
        </w:rPr>
      </w:pPr>
      <w:r w:rsidRPr="008776C0">
        <w:rPr>
          <w:rStyle w:val="Refdenotaalpie"/>
          <w:szCs w:val="18"/>
        </w:rPr>
        <w:footnoteRef/>
      </w:r>
      <w:r w:rsidRPr="008776C0">
        <w:rPr>
          <w:szCs w:val="18"/>
        </w:rPr>
        <w:t xml:space="preserve"> Lo anterior, siguiendo lo señalado en la ejecutoria el cuatro de junio de dos mil quince, dictada por el Segundo</w:t>
      </w:r>
      <w:r w:rsidRPr="008776C0">
        <w:rPr>
          <w:color w:val="C00000"/>
          <w:szCs w:val="18"/>
        </w:rPr>
        <w:t xml:space="preserve"> </w:t>
      </w:r>
      <w:r w:rsidRPr="008776C0">
        <w:rPr>
          <w:szCs w:val="18"/>
        </w:rPr>
        <w:t>Tribunal Colegiado</w:t>
      </w:r>
      <w:r w:rsidRPr="008776C0">
        <w:rPr>
          <w:color w:val="C00000"/>
          <w:szCs w:val="18"/>
        </w:rPr>
        <w:t xml:space="preserve"> </w:t>
      </w:r>
      <w:r w:rsidRPr="008776C0">
        <w:rPr>
          <w:szCs w:val="18"/>
        </w:rPr>
        <w:t>de</w:t>
      </w:r>
      <w:r w:rsidRPr="008776C0">
        <w:rPr>
          <w:color w:val="C00000"/>
          <w:szCs w:val="18"/>
        </w:rPr>
        <w:t xml:space="preserve"> </w:t>
      </w:r>
      <w:r w:rsidRPr="008776C0">
        <w:rPr>
          <w:szCs w:val="18"/>
        </w:rPr>
        <w:t>Circuito</w:t>
      </w:r>
      <w:r w:rsidRPr="008776C0">
        <w:rPr>
          <w:color w:val="C00000"/>
          <w:szCs w:val="18"/>
        </w:rPr>
        <w:t xml:space="preserve"> </w:t>
      </w:r>
      <w:r w:rsidRPr="008776C0">
        <w:rPr>
          <w:szCs w:val="18"/>
        </w:rPr>
        <w:t>en</w:t>
      </w:r>
      <w:r w:rsidRPr="008776C0">
        <w:rPr>
          <w:color w:val="C00000"/>
          <w:szCs w:val="18"/>
        </w:rPr>
        <w:t xml:space="preserve"> </w:t>
      </w:r>
      <w:r w:rsidRPr="008776C0">
        <w:rPr>
          <w:szCs w:val="18"/>
        </w:rPr>
        <w:t>Materia</w:t>
      </w:r>
      <w:r w:rsidRPr="008776C0">
        <w:rPr>
          <w:color w:val="C00000"/>
          <w:szCs w:val="18"/>
        </w:rPr>
        <w:t xml:space="preserve"> </w:t>
      </w:r>
      <w:r w:rsidRPr="008776C0">
        <w:rPr>
          <w:szCs w:val="18"/>
        </w:rPr>
        <w:t>Administrativa</w:t>
      </w:r>
      <w:r w:rsidRPr="008776C0">
        <w:rPr>
          <w:color w:val="C00000"/>
          <w:szCs w:val="18"/>
        </w:rPr>
        <w:t xml:space="preserve"> </w:t>
      </w:r>
      <w:r w:rsidRPr="008776C0">
        <w:rPr>
          <w:szCs w:val="18"/>
        </w:rPr>
        <w:t>Especializado</w:t>
      </w:r>
      <w:r w:rsidRPr="008776C0">
        <w:rPr>
          <w:color w:val="C00000"/>
          <w:szCs w:val="18"/>
        </w:rPr>
        <w:t xml:space="preserve"> </w:t>
      </w:r>
      <w:r w:rsidRPr="008776C0">
        <w:rPr>
          <w:szCs w:val="18"/>
        </w:rPr>
        <w:t>en Competencia</w:t>
      </w:r>
      <w:r w:rsidRPr="008776C0">
        <w:rPr>
          <w:color w:val="C00000"/>
          <w:szCs w:val="18"/>
        </w:rPr>
        <w:t xml:space="preserve"> </w:t>
      </w:r>
      <w:r w:rsidRPr="008776C0">
        <w:rPr>
          <w:szCs w:val="18"/>
        </w:rPr>
        <w:t>Económica,</w:t>
      </w:r>
      <w:r w:rsidRPr="008776C0">
        <w:rPr>
          <w:color w:val="C00000"/>
          <w:szCs w:val="18"/>
        </w:rPr>
        <w:t xml:space="preserve"> </w:t>
      </w:r>
      <w:r w:rsidRPr="008776C0">
        <w:rPr>
          <w:szCs w:val="18"/>
        </w:rPr>
        <w:t>Radiodifusión</w:t>
      </w:r>
      <w:r w:rsidRPr="008776C0">
        <w:rPr>
          <w:color w:val="C00000"/>
          <w:szCs w:val="18"/>
        </w:rPr>
        <w:t xml:space="preserve"> </w:t>
      </w:r>
      <w:r w:rsidRPr="008776C0">
        <w:rPr>
          <w:szCs w:val="18"/>
        </w:rPr>
        <w:t>y</w:t>
      </w:r>
      <w:r w:rsidRPr="008776C0">
        <w:rPr>
          <w:color w:val="C00000"/>
          <w:szCs w:val="18"/>
        </w:rPr>
        <w:t xml:space="preserve"> </w:t>
      </w:r>
      <w:r w:rsidRPr="008776C0">
        <w:rPr>
          <w:szCs w:val="18"/>
        </w:rPr>
        <w:t>Telecomunicaciones, en el amparo en revisión 51/2015.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9E016" w14:textId="4E8F57AA" w:rsidR="006C67B3" w:rsidRPr="0004375E" w:rsidRDefault="006C67B3" w:rsidP="0004375E">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DB2F" w14:textId="7BBE0704"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B90B0" w14:textId="32FA6DAE" w:rsidR="006C67B3" w:rsidRPr="006C67B3" w:rsidRDefault="006C67B3" w:rsidP="006C67B3">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E806" w14:textId="43120257"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EF5F" w14:textId="4DBEF7BD" w:rsidR="006C67B3" w:rsidRPr="006C67B3" w:rsidRDefault="006C67B3" w:rsidP="006C67B3">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A96BB" w14:textId="59EAE0ED"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9AF06" w14:textId="231C72B7" w:rsidR="006C67B3" w:rsidRPr="006C67B3" w:rsidRDefault="006C67B3" w:rsidP="006C67B3">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A04AD" w14:textId="0AC0DF08"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1A00C" w14:textId="4C944870" w:rsidR="006C67B3" w:rsidRPr="006C67B3" w:rsidRDefault="006C67B3" w:rsidP="006C67B3">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980B3" w14:textId="354EC793"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ED7B4" w14:textId="3EE5C6BE" w:rsidR="006C67B3" w:rsidRPr="006C67B3" w:rsidRDefault="006C67B3" w:rsidP="006C67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42AE" w14:textId="485F0052" w:rsidR="006C67B3" w:rsidRPr="0004375E" w:rsidRDefault="006C67B3" w:rsidP="0004375E">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425BC" w14:textId="25584C6C"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51B2A" w14:textId="3E1FCCE9" w:rsidR="006C67B3" w:rsidRPr="006C67B3" w:rsidRDefault="006C67B3" w:rsidP="006C67B3">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CD99A" w14:textId="28D7ED48"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43025" w14:textId="5937BCA1" w:rsidR="006C67B3" w:rsidRPr="006C67B3" w:rsidRDefault="006C67B3" w:rsidP="006C67B3">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85DD8" w14:textId="711F10D4" w:rsidR="00032A33" w:rsidRPr="00032A33" w:rsidRDefault="00032A3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E1CDC" w14:textId="65A5F9CA" w:rsidR="00032A33" w:rsidRPr="00032A33" w:rsidRDefault="00032A33" w:rsidP="00032A33">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6ECB4" w14:textId="30E0F1E3" w:rsidR="00032A33" w:rsidRPr="00032A33" w:rsidRDefault="00032A3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3959" w14:textId="057BD344" w:rsidR="00032A33" w:rsidRPr="00032A33" w:rsidRDefault="00032A33" w:rsidP="00032A33">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136E4" w14:textId="1165728B" w:rsidR="00032A33" w:rsidRPr="00032A33" w:rsidRDefault="00032A3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66010" w14:textId="2FD45CC0" w:rsidR="006C67B3" w:rsidRPr="00032A33" w:rsidRDefault="006C67B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 su caso información reservad</w:t>
    </w:r>
    <w:r w:rsidR="00032A33">
      <w:rPr>
        <w:rFonts w:ascii="ITC Avant Garde" w:hAnsi="ITC Avant Garde" w:cs="ITC Avant Garde"/>
        <w:b/>
        <w:color w:val="0000FF"/>
        <w:sz w:val="16"/>
        <w:szCs w:val="16"/>
        <w:lang w:eastAsia="es-MX"/>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807D3" w14:textId="6640E0FC" w:rsidR="006C67B3" w:rsidRPr="0004375E" w:rsidRDefault="006C67B3" w:rsidP="0004375E">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DB015" w14:textId="77777777" w:rsidR="006C67B3" w:rsidRDefault="006C67B3">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E61A5" w14:textId="5B128ABB" w:rsidR="00032A33" w:rsidRPr="00032A33" w:rsidRDefault="00032A3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24F6" w14:textId="40D5C523" w:rsidR="00032A33" w:rsidRPr="00032A33" w:rsidRDefault="00032A33" w:rsidP="00032A33">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08E25" w14:textId="02C7C078" w:rsidR="00032A33" w:rsidRPr="00032A33" w:rsidRDefault="00032A33" w:rsidP="00032A33">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BE63" w14:textId="68EAC72F" w:rsidR="00032A33" w:rsidRPr="00032A33" w:rsidRDefault="00032A33" w:rsidP="00032A33">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482CE" w14:textId="0528E073"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5875B" w14:textId="48F6552C" w:rsidR="00A80E02" w:rsidRPr="00A80E02" w:rsidRDefault="00A80E02" w:rsidP="00A80E02">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5F40B" w14:textId="4AAC0C64"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6805" w14:textId="555D87CB" w:rsidR="00A80E02" w:rsidRPr="00A80E02" w:rsidRDefault="00A80E02" w:rsidP="00A80E02">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322E" w14:textId="56038BA6"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E3992" w14:textId="1C837C9E" w:rsidR="006C67B3" w:rsidRPr="0004375E" w:rsidRDefault="006C67B3" w:rsidP="0004375E">
    <w:pPr>
      <w:pStyle w:val="Encabezad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CCE3" w14:textId="28B9F06A" w:rsidR="00A80E02" w:rsidRPr="00A80E02" w:rsidRDefault="00A80E02" w:rsidP="00A80E02">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0325" w14:textId="1AB97A40"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31F09" w14:textId="637A5344" w:rsidR="00A80E02" w:rsidRPr="00A80E02" w:rsidRDefault="00A80E02" w:rsidP="00A80E02">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43B31" w14:textId="07ADDB21"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6BDD6" w14:textId="68DD9DA5" w:rsidR="00A80E02" w:rsidRPr="00A80E02" w:rsidRDefault="00A80E02" w:rsidP="00A80E02">
    <w:pPr>
      <w:pStyle w:val="Encabezad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77C6C" w14:textId="0AA85F7D"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AA563" w14:textId="0357A035" w:rsidR="00A80E02" w:rsidRPr="00A80E02" w:rsidRDefault="00A80E02" w:rsidP="00A80E02">
    <w:pPr>
      <w:pStyle w:val="Encabezad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08AEB" w14:textId="0B0D3229"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6FA4E" w14:textId="09B7BD34" w:rsidR="00A80E02" w:rsidRPr="00A80E02" w:rsidRDefault="00A80E02" w:rsidP="00A80E02">
    <w:pPr>
      <w:pStyle w:val="Encabezad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740B7" w14:textId="70B6B9C5"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2445" w14:textId="42C08E5A" w:rsidR="006C67B3" w:rsidRPr="0004375E" w:rsidRDefault="006C67B3" w:rsidP="0004375E">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09576" w14:textId="3DE28571" w:rsidR="00A80E02" w:rsidRPr="00A80E02" w:rsidRDefault="00A80E02" w:rsidP="00A80E02">
    <w:pPr>
      <w:pStyle w:val="Encabezad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33623" w14:textId="0B1BA987"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A669C" w14:textId="61EF66A1" w:rsidR="00A80E02" w:rsidRPr="00A80E02" w:rsidRDefault="00A80E02" w:rsidP="00A80E02">
    <w:pPr>
      <w:pStyle w:val="Encabezad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97FD" w14:textId="79ED7695"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0F64E" w14:textId="51660B3E" w:rsidR="00A80E02" w:rsidRPr="00A80E02" w:rsidRDefault="00A80E02" w:rsidP="00A80E02">
    <w:pPr>
      <w:pStyle w:val="Encabezad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F35B9" w14:textId="14A5A3FE"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C07F5" w14:textId="3DEA1FAA" w:rsidR="00A80E02" w:rsidRPr="00A80E02" w:rsidRDefault="00A80E02" w:rsidP="00A80E02">
    <w:pPr>
      <w:pStyle w:val="Encabezado"/>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51ECB" w14:textId="1D7A8EDC"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2A3A" w14:textId="014ACF76" w:rsidR="00A80E02" w:rsidRPr="00A80E02" w:rsidRDefault="00A80E02" w:rsidP="00A80E02">
    <w:pPr>
      <w:pStyle w:val="Encabezado"/>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3CE0" w14:textId="1EDC419A"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8073F" w14:textId="2CAAC205" w:rsidR="006C67B3" w:rsidRPr="0004375E" w:rsidRDefault="006C67B3" w:rsidP="0004375E">
    <w:pPr>
      <w:pStyle w:val="Encabezad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A07CA" w14:textId="1EF98210" w:rsidR="00A80E02" w:rsidRPr="00A80E02" w:rsidRDefault="00A80E02" w:rsidP="00A80E02">
    <w:pPr>
      <w:pStyle w:val="Encabezad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B36B8" w14:textId="10DEB04C"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B7770" w14:textId="6051DD60" w:rsidR="00A80E02" w:rsidRPr="00A80E02" w:rsidRDefault="00A80E02" w:rsidP="00A80E02">
    <w:pPr>
      <w:pStyle w:val="Encabezado"/>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B530E" w14:textId="5C615613"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1A63A" w14:textId="5E52DAB5" w:rsidR="00A80E02" w:rsidRPr="00A80E02" w:rsidRDefault="00A80E02" w:rsidP="00A80E02">
    <w:pPr>
      <w:pStyle w:val="Encabezado"/>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D63A1" w14:textId="6D946738"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8F00" w14:textId="35C9BE01" w:rsidR="00A80E02" w:rsidRPr="00A80E02" w:rsidRDefault="00A80E02" w:rsidP="00A80E02">
    <w:pPr>
      <w:pStyle w:val="Encabezado"/>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769F" w14:textId="339F446F" w:rsidR="00A80E02"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B2EC3" w14:textId="510DB3B3" w:rsidR="00A80E02" w:rsidRPr="00A80E02" w:rsidRDefault="00A80E02" w:rsidP="00A80E02">
    <w:pPr>
      <w:pStyle w:val="Encabezado"/>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D5D1F" w14:textId="1738EFC0" w:rsidR="006C67B3" w:rsidRPr="00A80E02" w:rsidRDefault="00A80E02" w:rsidP="00A80E02">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50D0B" w14:textId="42812B11"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EC446" w14:textId="77777777" w:rsidR="006C67B3" w:rsidRDefault="006C67B3">
    <w:pPr>
      <w:pStyle w:val="Encabezado"/>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57DC5" w14:textId="4DC48968" w:rsidR="00A80E02" w:rsidRPr="00E5393E" w:rsidRDefault="00A80E02" w:rsidP="00E5393E">
    <w:pPr>
      <w:pStyle w:val="Encabezado"/>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F5229" w14:textId="752414C8" w:rsidR="00E5393E" w:rsidRPr="00E5393E" w:rsidRDefault="00E5393E" w:rsidP="00E5393E">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41874" w14:textId="6FBB1326" w:rsidR="00E5393E" w:rsidRPr="00E5393E" w:rsidRDefault="00E5393E" w:rsidP="00E5393E">
    <w:pPr>
      <w:pStyle w:val="Encabezado"/>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22E9A" w14:textId="6F922370" w:rsidR="00E5393E" w:rsidRPr="00E5393E" w:rsidRDefault="00E5393E" w:rsidP="00E5393E">
    <w:pPr>
      <w:spacing w:before="240" w:line="240" w:lineRule="auto"/>
      <w:ind w:right="-425"/>
      <w:jc w:val="both"/>
      <w:rPr>
        <w:rFonts w:ascii="ITC Avant Garde" w:hAnsi="ITC Avant Garde" w:cs="ITC Avant Garde"/>
        <w:b/>
        <w:color w:val="0000FF"/>
        <w:sz w:val="16"/>
        <w:szCs w:val="16"/>
        <w:lang w:eastAsia="es-MX"/>
      </w:rPr>
    </w:pPr>
    <w:r w:rsidRPr="00C9499F">
      <w:rPr>
        <w:rFonts w:ascii="ITC Avant Garde" w:hAnsi="ITC Avant Garde" w:cs="ITC Avant Garde"/>
        <w:b/>
        <w:color w:val="0000FF"/>
        <w:sz w:val="16"/>
        <w:szCs w:val="16"/>
        <w:lang w:eastAsia="es-MX"/>
      </w:rPr>
      <w:t>De conformidad con los artículos 23 y 116, de la  Ley General  de Transparencia y Acceso a la Información Pública; 113, fracción 1, de la Ley Federal de Transparencia y Acceso a la  Información Pública; 2 fracción V, 6, 31, 116, 113  fracción I,  de la Ley General de Protección de Datos Personales en Posesión de Sujetos Obligados y el artículo 47, primer párrafo, de la  Ley Federal de Telecomunicaciones y Radiodifusión,  y  Lineamiento  Trigésimo Octavo, fracciones l, II y II y Sexagésimo Primero de los  lineamientos Generales en materia de Clasificación  y  Desclasificación  de  la Información,  así como para la  elaboración  de  Versiones  Públicas,  se suprime el contenido de lo testado en  virtud  de contener datos personales confidenciales, información confidencial y/o en</w:t>
    </w:r>
    <w:r>
      <w:rPr>
        <w:rFonts w:ascii="ITC Avant Garde" w:hAnsi="ITC Avant Garde" w:cs="ITC Avant Garde"/>
        <w:b/>
        <w:color w:val="0000FF"/>
        <w:sz w:val="16"/>
        <w:szCs w:val="16"/>
        <w:lang w:eastAsia="es-MX"/>
      </w:rPr>
      <w:t xml:space="preserve"> su caso información reservada.</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8F1E8" w14:textId="23354C04" w:rsidR="00E5393E" w:rsidRPr="00E5393E" w:rsidRDefault="00E5393E" w:rsidP="00E5393E">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47FF" w14:textId="77777777" w:rsidR="006C67B3" w:rsidRPr="006C67B3" w:rsidRDefault="006C67B3" w:rsidP="006C67B3">
    <w:pPr>
      <w:spacing w:before="240" w:line="240" w:lineRule="auto"/>
      <w:ind w:right="-425"/>
      <w:jc w:val="both"/>
      <w:rPr>
        <w:rFonts w:ascii="ITC Avant Garde" w:eastAsia="Times New Roman" w:hAnsi="ITC Avant Garde"/>
        <w:b/>
        <w:bCs/>
        <w:color w:val="0000FF"/>
        <w:lang w:eastAsia="es-MX"/>
      </w:rPr>
    </w:pPr>
    <w:r w:rsidRPr="00B35F13">
      <w:rPr>
        <w:rFonts w:ascii="ITC Avant Garde" w:hAnsi="ITC Avant Garde" w:cs="ITC Avant Garde"/>
        <w:b/>
        <w:color w:val="0000FF"/>
        <w:sz w:val="16"/>
        <w:szCs w:val="16"/>
        <w:lang w:eastAsia="es-MX"/>
      </w:rPr>
      <w:ptab w:relativeTo="margin" w:alignment="left" w:leader="none"/>
    </w:r>
    <w:r w:rsidRPr="00B35F13">
      <w:rPr>
        <w:rFonts w:ascii="ITC Avant Garde" w:hAnsi="ITC Avant Garde" w:cs="ITC Avant Garde"/>
        <w:b/>
        <w:color w:val="0000FF"/>
        <w:sz w:val="16"/>
        <w:szCs w:val="16"/>
        <w:lang w:eastAsia="es-MX"/>
      </w:rPr>
      <w:ptab w:relativeTo="margin" w:alignment="left" w:leader="dot"/>
    </w:r>
    <w:r w:rsidRPr="00B35F13">
      <w:rPr>
        <w:rFonts w:ascii="ITC Avant Garde" w:hAnsi="ITC Avant Garde" w:cs="ITC Avant Garde"/>
        <w:b/>
        <w:color w:val="0000FF"/>
        <w:sz w:val="16"/>
        <w:szCs w:val="16"/>
        <w:lang w:eastAsia="es-MX"/>
      </w:rPr>
      <w:t xml:space="preserve">De conformidad con los artículos 23 y 116, de la  Ley General  de Transparencia y Acceso a la Información Pública; 113, fracción 1, de la Ley Federal de Transparencia y Acceso a la  Información Pública; 2 fracción </w:t>
    </w:r>
    <w:r>
      <w:rPr>
        <w:rFonts w:ascii="ITC Avant Garde" w:hAnsi="ITC Avant Garde" w:cs="ITC Avant Garde"/>
        <w:b/>
        <w:color w:val="0000FF"/>
        <w:sz w:val="16"/>
        <w:szCs w:val="16"/>
        <w:lang w:eastAsia="es-MX"/>
      </w:rPr>
      <w:t>V, 6, 31, 116, 113  fracción I,</w:t>
    </w:r>
    <w:r w:rsidRPr="00B35F13">
      <w:rPr>
        <w:rFonts w:ascii="ITC Avant Garde" w:hAnsi="ITC Avant Garde" w:cs="ITC Avant Garde"/>
        <w:b/>
        <w:color w:val="0000FF"/>
        <w:sz w:val="16"/>
        <w:szCs w:val="16"/>
        <w:lang w:eastAsia="es-MX"/>
      </w:rPr>
      <w:t xml:space="preserve"> de la Ley General de Protección de Datos Personales en Posesión de Sujetos Obligados y el artículo 47, primer párrafo, de la  Ley Federal de Telec</w:t>
    </w:r>
    <w:r>
      <w:rPr>
        <w:rFonts w:ascii="ITC Avant Garde" w:hAnsi="ITC Avant Garde" w:cs="ITC Avant Garde"/>
        <w:b/>
        <w:color w:val="0000FF"/>
        <w:sz w:val="16"/>
        <w:szCs w:val="16"/>
        <w:lang w:eastAsia="es-MX"/>
      </w:rPr>
      <w:t>omunicaciones y Radiodifusión, y Lineamiento</w:t>
    </w:r>
    <w:r w:rsidRPr="00B35F13">
      <w:rPr>
        <w:rFonts w:ascii="ITC Avant Garde" w:hAnsi="ITC Avant Garde" w:cs="ITC Avant Garde"/>
        <w:b/>
        <w:color w:val="0000FF"/>
        <w:sz w:val="16"/>
        <w:szCs w:val="16"/>
        <w:lang w:eastAsia="es-MX"/>
      </w:rPr>
      <w:t xml:space="preserve"> Trigésimo Octavo, fracciones l, II y II y Sexagésimo Primero de los  lineamientos Generales </w:t>
    </w:r>
    <w:r>
      <w:rPr>
        <w:rFonts w:ascii="ITC Avant Garde" w:hAnsi="ITC Avant Garde" w:cs="ITC Avant Garde"/>
        <w:b/>
        <w:color w:val="0000FF"/>
        <w:sz w:val="16"/>
        <w:szCs w:val="16"/>
        <w:lang w:eastAsia="es-MX"/>
      </w:rPr>
      <w:t xml:space="preserve">en materia de Clasificación y </w:t>
    </w:r>
    <w:r w:rsidRPr="00B35F13">
      <w:rPr>
        <w:rFonts w:ascii="ITC Avant Garde" w:hAnsi="ITC Avant Garde" w:cs="ITC Avant Garde"/>
        <w:b/>
        <w:color w:val="0000FF"/>
        <w:sz w:val="16"/>
        <w:szCs w:val="16"/>
        <w:lang w:eastAsia="es-MX"/>
      </w:rPr>
      <w:t>Desclas</w:t>
    </w:r>
    <w:r>
      <w:rPr>
        <w:rFonts w:ascii="ITC Avant Garde" w:hAnsi="ITC Avant Garde" w:cs="ITC Avant Garde"/>
        <w:b/>
        <w:color w:val="0000FF"/>
        <w:sz w:val="16"/>
        <w:szCs w:val="16"/>
        <w:lang w:eastAsia="es-MX"/>
      </w:rPr>
      <w:t xml:space="preserve">ificación de  la Información, así como para la </w:t>
    </w:r>
    <w:r w:rsidRPr="00B35F13">
      <w:rPr>
        <w:rFonts w:ascii="ITC Avant Garde" w:hAnsi="ITC Avant Garde" w:cs="ITC Avant Garde"/>
        <w:b/>
        <w:color w:val="0000FF"/>
        <w:sz w:val="16"/>
        <w:szCs w:val="16"/>
        <w:lang w:eastAsia="es-MX"/>
      </w:rPr>
      <w:t>elaboració</w:t>
    </w:r>
    <w:r>
      <w:rPr>
        <w:rFonts w:ascii="ITC Avant Garde" w:hAnsi="ITC Avant Garde" w:cs="ITC Avant Garde"/>
        <w:b/>
        <w:color w:val="0000FF"/>
        <w:sz w:val="16"/>
        <w:szCs w:val="16"/>
        <w:lang w:eastAsia="es-MX"/>
      </w:rPr>
      <w:t xml:space="preserve">n de Versiones Públicas, </w:t>
    </w:r>
    <w:r w:rsidRPr="00B35F13">
      <w:rPr>
        <w:rFonts w:ascii="ITC Avant Garde" w:hAnsi="ITC Avant Garde" w:cs="ITC Avant Garde"/>
        <w:b/>
        <w:color w:val="0000FF"/>
        <w:sz w:val="16"/>
        <w:szCs w:val="16"/>
        <w:lang w:eastAsia="es-MX"/>
      </w:rPr>
      <w:t>se suprime</w:t>
    </w:r>
    <w:r>
      <w:rPr>
        <w:rFonts w:ascii="ITC Avant Garde" w:hAnsi="ITC Avant Garde" w:cs="ITC Avant Garde"/>
        <w:b/>
        <w:color w:val="0000FF"/>
        <w:sz w:val="16"/>
        <w:szCs w:val="16"/>
        <w:lang w:eastAsia="es-MX"/>
      </w:rPr>
      <w:t xml:space="preserve"> el contenido de lo testado en </w:t>
    </w:r>
    <w:r w:rsidRPr="00B35F13">
      <w:rPr>
        <w:rFonts w:ascii="ITC Avant Garde" w:hAnsi="ITC Avant Garde" w:cs="ITC Avant Garde"/>
        <w:b/>
        <w:color w:val="0000FF"/>
        <w:sz w:val="16"/>
        <w:szCs w:val="16"/>
        <w:lang w:eastAsia="es-MX"/>
      </w:rPr>
      <w:t>virtud  de contener datos personales confidenciales, información confidencial y/o en su caso información reservada.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11DEB" w14:textId="02208B09" w:rsidR="006C67B3" w:rsidRPr="006C67B3" w:rsidRDefault="006C67B3" w:rsidP="006C67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7BF9"/>
    <w:multiLevelType w:val="hybridMultilevel"/>
    <w:tmpl w:val="97BC6E9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4334F"/>
    <w:multiLevelType w:val="hybridMultilevel"/>
    <w:tmpl w:val="F7A63A24"/>
    <w:lvl w:ilvl="0" w:tplc="C4A22B10">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AF7451"/>
    <w:multiLevelType w:val="hybridMultilevel"/>
    <w:tmpl w:val="A776D73C"/>
    <w:lvl w:ilvl="0" w:tplc="B3D0E21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4281585"/>
    <w:multiLevelType w:val="hybridMultilevel"/>
    <w:tmpl w:val="03C626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2E0801"/>
    <w:multiLevelType w:val="hybridMultilevel"/>
    <w:tmpl w:val="E1484034"/>
    <w:lvl w:ilvl="0" w:tplc="3CA4C778">
      <w:start w:val="3"/>
      <w:numFmt w:val="upperRoman"/>
      <w:lvlText w:val="%1."/>
      <w:lvlJc w:val="left"/>
      <w:pPr>
        <w:ind w:left="1287" w:hanging="720"/>
      </w:pPr>
      <w:rPr>
        <w:rFonts w:hint="default"/>
        <w:b/>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6627D04"/>
    <w:multiLevelType w:val="hybridMultilevel"/>
    <w:tmpl w:val="EA0A2396"/>
    <w:lvl w:ilvl="0" w:tplc="3B7A21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8A7C88"/>
    <w:multiLevelType w:val="hybridMultilevel"/>
    <w:tmpl w:val="7E8EA46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099A775A"/>
    <w:multiLevelType w:val="hybridMultilevel"/>
    <w:tmpl w:val="F1C49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1275B4"/>
    <w:multiLevelType w:val="hybridMultilevel"/>
    <w:tmpl w:val="76204E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C65619"/>
    <w:multiLevelType w:val="hybridMultilevel"/>
    <w:tmpl w:val="797271FC"/>
    <w:lvl w:ilvl="0" w:tplc="468CB8B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08235B"/>
    <w:multiLevelType w:val="hybridMultilevel"/>
    <w:tmpl w:val="4EC8B966"/>
    <w:lvl w:ilvl="0" w:tplc="74D8157C">
      <w:start w:val="1"/>
      <w:numFmt w:val="upperRoman"/>
      <w:lvlText w:val="%1."/>
      <w:lvlJc w:val="left"/>
      <w:pPr>
        <w:ind w:left="2136" w:hanging="720"/>
      </w:pPr>
      <w:rPr>
        <w:rFonts w:hint="default"/>
        <w:b/>
      </w:rPr>
    </w:lvl>
    <w:lvl w:ilvl="1" w:tplc="2E9A2052">
      <w:start w:val="1"/>
      <w:numFmt w:val="lowerRoman"/>
      <w:lvlText w:val="(%2)"/>
      <w:lvlJc w:val="left"/>
      <w:pPr>
        <w:ind w:left="2496" w:hanging="360"/>
      </w:pPr>
      <w:rPr>
        <w:rFonts w:hint="default"/>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126272B3"/>
    <w:multiLevelType w:val="hybridMultilevel"/>
    <w:tmpl w:val="E670F0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AB24A1"/>
    <w:multiLevelType w:val="hybridMultilevel"/>
    <w:tmpl w:val="BE08F322"/>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518004E"/>
    <w:multiLevelType w:val="hybridMultilevel"/>
    <w:tmpl w:val="CBA03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1B0946"/>
    <w:multiLevelType w:val="hybridMultilevel"/>
    <w:tmpl w:val="DE46E66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1941197B"/>
    <w:multiLevelType w:val="hybridMultilevel"/>
    <w:tmpl w:val="92B25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504F06"/>
    <w:multiLevelType w:val="hybridMultilevel"/>
    <w:tmpl w:val="53707AF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076790"/>
    <w:multiLevelType w:val="hybridMultilevel"/>
    <w:tmpl w:val="984A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4B72CEC"/>
    <w:multiLevelType w:val="hybridMultilevel"/>
    <w:tmpl w:val="C40C86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8D0723"/>
    <w:multiLevelType w:val="hybridMultilevel"/>
    <w:tmpl w:val="97BC6E9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771755"/>
    <w:multiLevelType w:val="hybridMultilevel"/>
    <w:tmpl w:val="84ECC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343C68"/>
    <w:multiLevelType w:val="hybridMultilevel"/>
    <w:tmpl w:val="64D4B5B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2CD76720"/>
    <w:multiLevelType w:val="hybridMultilevel"/>
    <w:tmpl w:val="545839FC"/>
    <w:lvl w:ilvl="0" w:tplc="7526ADB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2B0697"/>
    <w:multiLevelType w:val="hybridMultilevel"/>
    <w:tmpl w:val="22BCE2BE"/>
    <w:lvl w:ilvl="0" w:tplc="8E10834C">
      <w:start w:val="2"/>
      <w:numFmt w:val="upperLetter"/>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887DDD"/>
    <w:multiLevelType w:val="hybridMultilevel"/>
    <w:tmpl w:val="329C0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872364"/>
    <w:multiLevelType w:val="hybridMultilevel"/>
    <w:tmpl w:val="BF72F0C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34962E6A"/>
    <w:multiLevelType w:val="hybridMultilevel"/>
    <w:tmpl w:val="114E31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67900B7"/>
    <w:multiLevelType w:val="hybridMultilevel"/>
    <w:tmpl w:val="2FBE0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6F80995"/>
    <w:multiLevelType w:val="hybridMultilevel"/>
    <w:tmpl w:val="98C09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6FF085D"/>
    <w:multiLevelType w:val="hybridMultilevel"/>
    <w:tmpl w:val="F304A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73C436F"/>
    <w:multiLevelType w:val="hybridMultilevel"/>
    <w:tmpl w:val="815C49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AC435C1"/>
    <w:multiLevelType w:val="hybridMultilevel"/>
    <w:tmpl w:val="C3784AE8"/>
    <w:lvl w:ilvl="0" w:tplc="1BAC09D6">
      <w:start w:val="1"/>
      <w:numFmt w:val="bullet"/>
      <w:lvlText w:val="-"/>
      <w:lvlJc w:val="left"/>
      <w:pPr>
        <w:ind w:left="2160" w:hanging="360"/>
      </w:pPr>
      <w:rPr>
        <w:rFonts w:ascii="ITC Avant Garde" w:eastAsia="Calibri" w:hAnsi="ITC Avant Garde"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2" w15:restartNumberingAfterBreak="0">
    <w:nsid w:val="41587D01"/>
    <w:multiLevelType w:val="hybridMultilevel"/>
    <w:tmpl w:val="0052C066"/>
    <w:lvl w:ilvl="0" w:tplc="AF54D112">
      <w:start w:val="1"/>
      <w:numFmt w:val="upperLetter"/>
      <w:pStyle w:val="Ttulo6"/>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24336B8"/>
    <w:multiLevelType w:val="hybridMultilevel"/>
    <w:tmpl w:val="68B09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50C1E8C"/>
    <w:multiLevelType w:val="hybridMultilevel"/>
    <w:tmpl w:val="439E753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477E6D7F"/>
    <w:multiLevelType w:val="hybridMultilevel"/>
    <w:tmpl w:val="85ACA654"/>
    <w:lvl w:ilvl="0" w:tplc="CDBA017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413566"/>
    <w:multiLevelType w:val="hybridMultilevel"/>
    <w:tmpl w:val="81F40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BE023FA"/>
    <w:multiLevelType w:val="hybridMultilevel"/>
    <w:tmpl w:val="AEA21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CDB40B2"/>
    <w:multiLevelType w:val="hybridMultilevel"/>
    <w:tmpl w:val="556C6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CE409F3"/>
    <w:multiLevelType w:val="hybridMultilevel"/>
    <w:tmpl w:val="713C9E7C"/>
    <w:lvl w:ilvl="0" w:tplc="9D347242">
      <w:start w:val="1"/>
      <w:numFmt w:val="bullet"/>
      <w:pStyle w:val="Ttulo5"/>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4451C58"/>
    <w:multiLevelType w:val="hybridMultilevel"/>
    <w:tmpl w:val="9B082BE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452359"/>
    <w:multiLevelType w:val="hybridMultilevel"/>
    <w:tmpl w:val="A8241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64B4C68"/>
    <w:multiLevelType w:val="hybridMultilevel"/>
    <w:tmpl w:val="29888EF6"/>
    <w:lvl w:ilvl="0" w:tplc="EA0A492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7B76055"/>
    <w:multiLevelType w:val="hybridMultilevel"/>
    <w:tmpl w:val="DA4AC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9B37BF7"/>
    <w:multiLevelType w:val="hybridMultilevel"/>
    <w:tmpl w:val="0338B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A7B766B"/>
    <w:multiLevelType w:val="hybridMultilevel"/>
    <w:tmpl w:val="68DC5C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C335EF9"/>
    <w:multiLevelType w:val="hybridMultilevel"/>
    <w:tmpl w:val="48288D32"/>
    <w:lvl w:ilvl="0" w:tplc="55BEBBD0">
      <w:start w:val="2"/>
      <w:numFmt w:val="bullet"/>
      <w:lvlText w:val="-"/>
      <w:lvlJc w:val="left"/>
      <w:pPr>
        <w:ind w:left="1068" w:hanging="360"/>
      </w:pPr>
      <w:rPr>
        <w:rFonts w:ascii="Calibri" w:eastAsia="Calibri" w:hAnsi="Calibri" w:cs="Times New Roman"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15:restartNumberingAfterBreak="0">
    <w:nsid w:val="5C4D363D"/>
    <w:multiLevelType w:val="hybridMultilevel"/>
    <w:tmpl w:val="39108934"/>
    <w:lvl w:ilvl="0" w:tplc="FAFA0DCA">
      <w:start w:val="1"/>
      <w:numFmt w:val="lowerRoman"/>
      <w:lvlText w:val="%1)"/>
      <w:lvlJc w:val="left"/>
      <w:pPr>
        <w:ind w:left="1080" w:hanging="72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22E3C6B"/>
    <w:multiLevelType w:val="hybridMultilevel"/>
    <w:tmpl w:val="180E4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29C3E37"/>
    <w:multiLevelType w:val="hybridMultilevel"/>
    <w:tmpl w:val="60F02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2AB7A59"/>
    <w:multiLevelType w:val="hybridMultilevel"/>
    <w:tmpl w:val="0C2EB54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15:restartNumberingAfterBreak="0">
    <w:nsid w:val="63772634"/>
    <w:multiLevelType w:val="hybridMultilevel"/>
    <w:tmpl w:val="A3B4D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E1D287E"/>
    <w:multiLevelType w:val="hybridMultilevel"/>
    <w:tmpl w:val="CEFAD61E"/>
    <w:lvl w:ilvl="0" w:tplc="5A06126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6E6C6A25"/>
    <w:multiLevelType w:val="hybridMultilevel"/>
    <w:tmpl w:val="BFAA4DB8"/>
    <w:lvl w:ilvl="0" w:tplc="B81C868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EDD6645"/>
    <w:multiLevelType w:val="hybridMultilevel"/>
    <w:tmpl w:val="1D489F4E"/>
    <w:lvl w:ilvl="0" w:tplc="01768242">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6F490078"/>
    <w:multiLevelType w:val="hybridMultilevel"/>
    <w:tmpl w:val="6E4AA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F8E66EE"/>
    <w:multiLevelType w:val="hybridMultilevel"/>
    <w:tmpl w:val="2F9A76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2417208"/>
    <w:multiLevelType w:val="hybridMultilevel"/>
    <w:tmpl w:val="C5BC379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72B72629"/>
    <w:multiLevelType w:val="hybridMultilevel"/>
    <w:tmpl w:val="570A9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3166F81"/>
    <w:multiLevelType w:val="hybridMultilevel"/>
    <w:tmpl w:val="EDC0784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0" w15:restartNumberingAfterBreak="0">
    <w:nsid w:val="74EC40FA"/>
    <w:multiLevelType w:val="hybridMultilevel"/>
    <w:tmpl w:val="B7EA435C"/>
    <w:lvl w:ilvl="0" w:tplc="D8E429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1" w15:restartNumberingAfterBreak="0">
    <w:nsid w:val="755C1614"/>
    <w:multiLevelType w:val="hybridMultilevel"/>
    <w:tmpl w:val="B17A1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65D15A8"/>
    <w:multiLevelType w:val="hybridMultilevel"/>
    <w:tmpl w:val="169EF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AF37DA0"/>
    <w:multiLevelType w:val="hybridMultilevel"/>
    <w:tmpl w:val="66568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CD3700F"/>
    <w:multiLevelType w:val="hybridMultilevel"/>
    <w:tmpl w:val="DA826A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E1F31AA"/>
    <w:multiLevelType w:val="hybridMultilevel"/>
    <w:tmpl w:val="0F9068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E804A78"/>
    <w:multiLevelType w:val="hybridMultilevel"/>
    <w:tmpl w:val="6DF85AE4"/>
    <w:lvl w:ilvl="0" w:tplc="1BAC09D6">
      <w:start w:val="1"/>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FAF3040"/>
    <w:multiLevelType w:val="hybridMultilevel"/>
    <w:tmpl w:val="7A28C08C"/>
    <w:lvl w:ilvl="0" w:tplc="83B8B1CA">
      <w:start w:val="2"/>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59"/>
  </w:num>
  <w:num w:numId="3">
    <w:abstractNumId w:val="14"/>
  </w:num>
  <w:num w:numId="4">
    <w:abstractNumId w:val="57"/>
  </w:num>
  <w:num w:numId="5">
    <w:abstractNumId w:val="50"/>
  </w:num>
  <w:num w:numId="6">
    <w:abstractNumId w:val="21"/>
  </w:num>
  <w:num w:numId="7">
    <w:abstractNumId w:val="11"/>
  </w:num>
  <w:num w:numId="8">
    <w:abstractNumId w:val="66"/>
  </w:num>
  <w:num w:numId="9">
    <w:abstractNumId w:val="29"/>
  </w:num>
  <w:num w:numId="10">
    <w:abstractNumId w:val="24"/>
  </w:num>
  <w:num w:numId="11">
    <w:abstractNumId w:val="32"/>
  </w:num>
  <w:num w:numId="12">
    <w:abstractNumId w:val="22"/>
  </w:num>
  <w:num w:numId="13">
    <w:abstractNumId w:val="62"/>
  </w:num>
  <w:num w:numId="14">
    <w:abstractNumId w:val="49"/>
  </w:num>
  <w:num w:numId="15">
    <w:abstractNumId w:val="7"/>
  </w:num>
  <w:num w:numId="16">
    <w:abstractNumId w:val="41"/>
  </w:num>
  <w:num w:numId="17">
    <w:abstractNumId w:val="25"/>
  </w:num>
  <w:num w:numId="18">
    <w:abstractNumId w:val="61"/>
  </w:num>
  <w:num w:numId="19">
    <w:abstractNumId w:val="39"/>
  </w:num>
  <w:num w:numId="20">
    <w:abstractNumId w:val="51"/>
  </w:num>
  <w:num w:numId="21">
    <w:abstractNumId w:val="42"/>
  </w:num>
  <w:num w:numId="22">
    <w:abstractNumId w:val="40"/>
  </w:num>
  <w:num w:numId="23">
    <w:abstractNumId w:val="10"/>
  </w:num>
  <w:num w:numId="24">
    <w:abstractNumId w:val="55"/>
  </w:num>
  <w:num w:numId="25">
    <w:abstractNumId w:val="5"/>
  </w:num>
  <w:num w:numId="26">
    <w:abstractNumId w:val="56"/>
  </w:num>
  <w:num w:numId="27">
    <w:abstractNumId w:val="38"/>
  </w:num>
  <w:num w:numId="28">
    <w:abstractNumId w:val="58"/>
  </w:num>
  <w:num w:numId="29">
    <w:abstractNumId w:val="44"/>
  </w:num>
  <w:num w:numId="30">
    <w:abstractNumId w:val="15"/>
  </w:num>
  <w:num w:numId="31">
    <w:abstractNumId w:val="47"/>
  </w:num>
  <w:num w:numId="32">
    <w:abstractNumId w:val="2"/>
  </w:num>
  <w:num w:numId="33">
    <w:abstractNumId w:val="60"/>
  </w:num>
  <w:num w:numId="34">
    <w:abstractNumId w:val="37"/>
  </w:num>
  <w:num w:numId="35">
    <w:abstractNumId w:val="17"/>
  </w:num>
  <w:num w:numId="36">
    <w:abstractNumId w:val="27"/>
  </w:num>
  <w:num w:numId="37">
    <w:abstractNumId w:val="28"/>
  </w:num>
  <w:num w:numId="38">
    <w:abstractNumId w:val="64"/>
  </w:num>
  <w:num w:numId="39">
    <w:abstractNumId w:val="13"/>
  </w:num>
  <w:num w:numId="40">
    <w:abstractNumId w:val="3"/>
  </w:num>
  <w:num w:numId="41">
    <w:abstractNumId w:val="43"/>
  </w:num>
  <w:num w:numId="42">
    <w:abstractNumId w:val="63"/>
  </w:num>
  <w:num w:numId="43">
    <w:abstractNumId w:val="33"/>
  </w:num>
  <w:num w:numId="44">
    <w:abstractNumId w:val="45"/>
  </w:num>
  <w:num w:numId="45">
    <w:abstractNumId w:val="35"/>
  </w:num>
  <w:num w:numId="46">
    <w:abstractNumId w:val="30"/>
  </w:num>
  <w:num w:numId="47">
    <w:abstractNumId w:val="31"/>
  </w:num>
  <w:num w:numId="48">
    <w:abstractNumId w:val="23"/>
  </w:num>
  <w:num w:numId="49">
    <w:abstractNumId w:val="4"/>
  </w:num>
  <w:num w:numId="50">
    <w:abstractNumId w:val="53"/>
  </w:num>
  <w:num w:numId="51">
    <w:abstractNumId w:val="54"/>
  </w:num>
  <w:num w:numId="52">
    <w:abstractNumId w:val="48"/>
  </w:num>
  <w:num w:numId="53">
    <w:abstractNumId w:val="36"/>
  </w:num>
  <w:num w:numId="54">
    <w:abstractNumId w:val="12"/>
  </w:num>
  <w:num w:numId="55">
    <w:abstractNumId w:val="26"/>
  </w:num>
  <w:num w:numId="56">
    <w:abstractNumId w:val="19"/>
  </w:num>
  <w:num w:numId="57">
    <w:abstractNumId w:val="0"/>
  </w:num>
  <w:num w:numId="58">
    <w:abstractNumId w:val="34"/>
  </w:num>
  <w:num w:numId="59">
    <w:abstractNumId w:val="20"/>
  </w:num>
  <w:num w:numId="60">
    <w:abstractNumId w:val="46"/>
  </w:num>
  <w:num w:numId="61">
    <w:abstractNumId w:val="1"/>
  </w:num>
  <w:num w:numId="62">
    <w:abstractNumId w:val="6"/>
  </w:num>
  <w:num w:numId="63">
    <w:abstractNumId w:val="67"/>
  </w:num>
  <w:num w:numId="64">
    <w:abstractNumId w:val="8"/>
  </w:num>
  <w:num w:numId="65">
    <w:abstractNumId w:val="9"/>
  </w:num>
  <w:num w:numId="66">
    <w:abstractNumId w:val="65"/>
  </w:num>
  <w:num w:numId="67">
    <w:abstractNumId w:val="16"/>
  </w:num>
  <w:num w:numId="68">
    <w:abstractNumId w:val="5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E67"/>
    <w:rsid w:val="000052DE"/>
    <w:rsid w:val="000059CE"/>
    <w:rsid w:val="00006210"/>
    <w:rsid w:val="00006ACC"/>
    <w:rsid w:val="00007B25"/>
    <w:rsid w:val="000111F8"/>
    <w:rsid w:val="000135AC"/>
    <w:rsid w:val="000140A4"/>
    <w:rsid w:val="00015A21"/>
    <w:rsid w:val="00016AC1"/>
    <w:rsid w:val="00016B39"/>
    <w:rsid w:val="000216DE"/>
    <w:rsid w:val="00021A68"/>
    <w:rsid w:val="00022192"/>
    <w:rsid w:val="000222C5"/>
    <w:rsid w:val="000236C9"/>
    <w:rsid w:val="00025385"/>
    <w:rsid w:val="000276CC"/>
    <w:rsid w:val="000302BB"/>
    <w:rsid w:val="00030B0F"/>
    <w:rsid w:val="00031366"/>
    <w:rsid w:val="00031765"/>
    <w:rsid w:val="00032A33"/>
    <w:rsid w:val="00034D6A"/>
    <w:rsid w:val="00036D89"/>
    <w:rsid w:val="00037CA3"/>
    <w:rsid w:val="00040B96"/>
    <w:rsid w:val="0004271E"/>
    <w:rsid w:val="00043540"/>
    <w:rsid w:val="0004375E"/>
    <w:rsid w:val="00043B4F"/>
    <w:rsid w:val="000446D0"/>
    <w:rsid w:val="0004697A"/>
    <w:rsid w:val="00047ED8"/>
    <w:rsid w:val="00051B85"/>
    <w:rsid w:val="00053719"/>
    <w:rsid w:val="000544C9"/>
    <w:rsid w:val="00055FD5"/>
    <w:rsid w:val="0006217B"/>
    <w:rsid w:val="00062DFA"/>
    <w:rsid w:val="0006428E"/>
    <w:rsid w:val="00065AA4"/>
    <w:rsid w:val="00067443"/>
    <w:rsid w:val="000702D5"/>
    <w:rsid w:val="00070DF6"/>
    <w:rsid w:val="00071855"/>
    <w:rsid w:val="0007213F"/>
    <w:rsid w:val="000725FF"/>
    <w:rsid w:val="00073D64"/>
    <w:rsid w:val="00074C39"/>
    <w:rsid w:val="000824C4"/>
    <w:rsid w:val="00083A9A"/>
    <w:rsid w:val="00083F58"/>
    <w:rsid w:val="000849A5"/>
    <w:rsid w:val="00090BBE"/>
    <w:rsid w:val="00090F7D"/>
    <w:rsid w:val="00092045"/>
    <w:rsid w:val="000923FB"/>
    <w:rsid w:val="00092E3B"/>
    <w:rsid w:val="00094267"/>
    <w:rsid w:val="0009431F"/>
    <w:rsid w:val="0009503C"/>
    <w:rsid w:val="000961AF"/>
    <w:rsid w:val="000968D2"/>
    <w:rsid w:val="000974E9"/>
    <w:rsid w:val="000A0ECB"/>
    <w:rsid w:val="000A3344"/>
    <w:rsid w:val="000A33EF"/>
    <w:rsid w:val="000A5015"/>
    <w:rsid w:val="000A5AFA"/>
    <w:rsid w:val="000A68C4"/>
    <w:rsid w:val="000A749A"/>
    <w:rsid w:val="000A74D3"/>
    <w:rsid w:val="000A7FEF"/>
    <w:rsid w:val="000B6913"/>
    <w:rsid w:val="000C0868"/>
    <w:rsid w:val="000C6315"/>
    <w:rsid w:val="000C6EF6"/>
    <w:rsid w:val="000D2038"/>
    <w:rsid w:val="000D2C77"/>
    <w:rsid w:val="000D4A7B"/>
    <w:rsid w:val="000D5A61"/>
    <w:rsid w:val="000D6F22"/>
    <w:rsid w:val="000E3F2C"/>
    <w:rsid w:val="000E4E7E"/>
    <w:rsid w:val="000E645E"/>
    <w:rsid w:val="000E7329"/>
    <w:rsid w:val="000F3A3E"/>
    <w:rsid w:val="000F4394"/>
    <w:rsid w:val="000F572C"/>
    <w:rsid w:val="000F7C0B"/>
    <w:rsid w:val="00104711"/>
    <w:rsid w:val="00105D28"/>
    <w:rsid w:val="001060EF"/>
    <w:rsid w:val="00107B43"/>
    <w:rsid w:val="001104D1"/>
    <w:rsid w:val="00112214"/>
    <w:rsid w:val="00113C8F"/>
    <w:rsid w:val="00113DA2"/>
    <w:rsid w:val="001153FA"/>
    <w:rsid w:val="001157B6"/>
    <w:rsid w:val="001158B8"/>
    <w:rsid w:val="00116D7A"/>
    <w:rsid w:val="00117ABE"/>
    <w:rsid w:val="00117F0A"/>
    <w:rsid w:val="0012012F"/>
    <w:rsid w:val="00120AE8"/>
    <w:rsid w:val="00120F33"/>
    <w:rsid w:val="00130DE1"/>
    <w:rsid w:val="00131710"/>
    <w:rsid w:val="00133C36"/>
    <w:rsid w:val="00134EE1"/>
    <w:rsid w:val="00136D28"/>
    <w:rsid w:val="00136DD8"/>
    <w:rsid w:val="0013756D"/>
    <w:rsid w:val="001377C4"/>
    <w:rsid w:val="00143966"/>
    <w:rsid w:val="001460B3"/>
    <w:rsid w:val="00152756"/>
    <w:rsid w:val="00153FA6"/>
    <w:rsid w:val="00154576"/>
    <w:rsid w:val="00154A5D"/>
    <w:rsid w:val="00156F60"/>
    <w:rsid w:val="0016061B"/>
    <w:rsid w:val="001606C5"/>
    <w:rsid w:val="00160AA2"/>
    <w:rsid w:val="0016342B"/>
    <w:rsid w:val="00164362"/>
    <w:rsid w:val="00164CC6"/>
    <w:rsid w:val="00167346"/>
    <w:rsid w:val="00170634"/>
    <w:rsid w:val="00170F14"/>
    <w:rsid w:val="00170FB0"/>
    <w:rsid w:val="001715DA"/>
    <w:rsid w:val="0017353B"/>
    <w:rsid w:val="00174775"/>
    <w:rsid w:val="0017636B"/>
    <w:rsid w:val="001770C5"/>
    <w:rsid w:val="0018054D"/>
    <w:rsid w:val="001816A9"/>
    <w:rsid w:val="001819F4"/>
    <w:rsid w:val="00182CE5"/>
    <w:rsid w:val="00182EFE"/>
    <w:rsid w:val="001853E6"/>
    <w:rsid w:val="00185759"/>
    <w:rsid w:val="001871E1"/>
    <w:rsid w:val="0019279C"/>
    <w:rsid w:val="00194CBB"/>
    <w:rsid w:val="00195974"/>
    <w:rsid w:val="00196E87"/>
    <w:rsid w:val="001A38CD"/>
    <w:rsid w:val="001A4A85"/>
    <w:rsid w:val="001A6FBC"/>
    <w:rsid w:val="001B0FC3"/>
    <w:rsid w:val="001B19F4"/>
    <w:rsid w:val="001B1FD0"/>
    <w:rsid w:val="001B25A5"/>
    <w:rsid w:val="001B410F"/>
    <w:rsid w:val="001B4971"/>
    <w:rsid w:val="001B5599"/>
    <w:rsid w:val="001C1B1D"/>
    <w:rsid w:val="001C1DBD"/>
    <w:rsid w:val="001C3131"/>
    <w:rsid w:val="001C3707"/>
    <w:rsid w:val="001C3E67"/>
    <w:rsid w:val="001C3FB1"/>
    <w:rsid w:val="001C4218"/>
    <w:rsid w:val="001C4A20"/>
    <w:rsid w:val="001C62B3"/>
    <w:rsid w:val="001C70EE"/>
    <w:rsid w:val="001D093A"/>
    <w:rsid w:val="001D3635"/>
    <w:rsid w:val="001D3C12"/>
    <w:rsid w:val="001D4D07"/>
    <w:rsid w:val="001D7295"/>
    <w:rsid w:val="001E07FE"/>
    <w:rsid w:val="001E0913"/>
    <w:rsid w:val="001E1346"/>
    <w:rsid w:val="001E13CC"/>
    <w:rsid w:val="001E180E"/>
    <w:rsid w:val="001E1C51"/>
    <w:rsid w:val="001E3204"/>
    <w:rsid w:val="001E3A61"/>
    <w:rsid w:val="001E4C85"/>
    <w:rsid w:val="001E579E"/>
    <w:rsid w:val="001E6607"/>
    <w:rsid w:val="001F1676"/>
    <w:rsid w:val="001F1E7D"/>
    <w:rsid w:val="001F51FC"/>
    <w:rsid w:val="001F736F"/>
    <w:rsid w:val="00204179"/>
    <w:rsid w:val="00204993"/>
    <w:rsid w:val="0020764B"/>
    <w:rsid w:val="002079AB"/>
    <w:rsid w:val="00207A8B"/>
    <w:rsid w:val="00207F40"/>
    <w:rsid w:val="0021434D"/>
    <w:rsid w:val="00214890"/>
    <w:rsid w:val="00217A9B"/>
    <w:rsid w:val="002237B1"/>
    <w:rsid w:val="0022399D"/>
    <w:rsid w:val="0022531B"/>
    <w:rsid w:val="00225FE3"/>
    <w:rsid w:val="00226086"/>
    <w:rsid w:val="0022695F"/>
    <w:rsid w:val="00231BD6"/>
    <w:rsid w:val="002332F5"/>
    <w:rsid w:val="002338CB"/>
    <w:rsid w:val="00233A5A"/>
    <w:rsid w:val="002362B4"/>
    <w:rsid w:val="00236727"/>
    <w:rsid w:val="002379A4"/>
    <w:rsid w:val="00240678"/>
    <w:rsid w:val="002424A8"/>
    <w:rsid w:val="00242C73"/>
    <w:rsid w:val="00243AE9"/>
    <w:rsid w:val="00245E49"/>
    <w:rsid w:val="00246787"/>
    <w:rsid w:val="00250163"/>
    <w:rsid w:val="0025146A"/>
    <w:rsid w:val="00252D57"/>
    <w:rsid w:val="00252DAA"/>
    <w:rsid w:val="00254267"/>
    <w:rsid w:val="0025617C"/>
    <w:rsid w:val="002564D4"/>
    <w:rsid w:val="00257D8C"/>
    <w:rsid w:val="002601A5"/>
    <w:rsid w:val="002620DA"/>
    <w:rsid w:val="002626D5"/>
    <w:rsid w:val="002627DC"/>
    <w:rsid w:val="00262B95"/>
    <w:rsid w:val="00263C23"/>
    <w:rsid w:val="002644B1"/>
    <w:rsid w:val="0026517E"/>
    <w:rsid w:val="0026538B"/>
    <w:rsid w:val="00265791"/>
    <w:rsid w:val="00271FF5"/>
    <w:rsid w:val="00274272"/>
    <w:rsid w:val="002749C5"/>
    <w:rsid w:val="00274C37"/>
    <w:rsid w:val="0027574F"/>
    <w:rsid w:val="00280C17"/>
    <w:rsid w:val="0028130C"/>
    <w:rsid w:val="002816E6"/>
    <w:rsid w:val="00282470"/>
    <w:rsid w:val="0028312D"/>
    <w:rsid w:val="00283F31"/>
    <w:rsid w:val="0028536F"/>
    <w:rsid w:val="0028691A"/>
    <w:rsid w:val="00295B9E"/>
    <w:rsid w:val="00296479"/>
    <w:rsid w:val="0029711A"/>
    <w:rsid w:val="00297A78"/>
    <w:rsid w:val="002A0181"/>
    <w:rsid w:val="002A1A72"/>
    <w:rsid w:val="002A1B30"/>
    <w:rsid w:val="002A22D3"/>
    <w:rsid w:val="002A2450"/>
    <w:rsid w:val="002A2FCD"/>
    <w:rsid w:val="002A3570"/>
    <w:rsid w:val="002A41FB"/>
    <w:rsid w:val="002A4BCF"/>
    <w:rsid w:val="002B09D2"/>
    <w:rsid w:val="002B27ED"/>
    <w:rsid w:val="002B5127"/>
    <w:rsid w:val="002B650B"/>
    <w:rsid w:val="002B794C"/>
    <w:rsid w:val="002C014D"/>
    <w:rsid w:val="002C0AC2"/>
    <w:rsid w:val="002C0C3C"/>
    <w:rsid w:val="002C0C56"/>
    <w:rsid w:val="002C45F4"/>
    <w:rsid w:val="002C6A21"/>
    <w:rsid w:val="002D1219"/>
    <w:rsid w:val="002D1B5D"/>
    <w:rsid w:val="002D2DC3"/>
    <w:rsid w:val="002D305F"/>
    <w:rsid w:val="002D3C25"/>
    <w:rsid w:val="002D3F6F"/>
    <w:rsid w:val="002D440E"/>
    <w:rsid w:val="002D5554"/>
    <w:rsid w:val="002D697F"/>
    <w:rsid w:val="002D6E92"/>
    <w:rsid w:val="002E2FAB"/>
    <w:rsid w:val="002E5355"/>
    <w:rsid w:val="002E5976"/>
    <w:rsid w:val="002E5FE8"/>
    <w:rsid w:val="002E6028"/>
    <w:rsid w:val="002E689D"/>
    <w:rsid w:val="002F0A15"/>
    <w:rsid w:val="002F2026"/>
    <w:rsid w:val="002F2331"/>
    <w:rsid w:val="002F2F1B"/>
    <w:rsid w:val="002F4529"/>
    <w:rsid w:val="002F5C77"/>
    <w:rsid w:val="002F6358"/>
    <w:rsid w:val="002F6AE3"/>
    <w:rsid w:val="002F6E1B"/>
    <w:rsid w:val="002F7237"/>
    <w:rsid w:val="002F7A4F"/>
    <w:rsid w:val="002F7B95"/>
    <w:rsid w:val="00300F65"/>
    <w:rsid w:val="00301FF6"/>
    <w:rsid w:val="0030505D"/>
    <w:rsid w:val="00307FB2"/>
    <w:rsid w:val="00310661"/>
    <w:rsid w:val="00311126"/>
    <w:rsid w:val="003117D7"/>
    <w:rsid w:val="00313048"/>
    <w:rsid w:val="00313B85"/>
    <w:rsid w:val="00315B19"/>
    <w:rsid w:val="003176FB"/>
    <w:rsid w:val="00317755"/>
    <w:rsid w:val="00320AD8"/>
    <w:rsid w:val="003247F1"/>
    <w:rsid w:val="00325114"/>
    <w:rsid w:val="00325E59"/>
    <w:rsid w:val="00327FF9"/>
    <w:rsid w:val="00330030"/>
    <w:rsid w:val="003315CF"/>
    <w:rsid w:val="003315DA"/>
    <w:rsid w:val="00331A08"/>
    <w:rsid w:val="00333B3F"/>
    <w:rsid w:val="00336B64"/>
    <w:rsid w:val="003410C4"/>
    <w:rsid w:val="00341F12"/>
    <w:rsid w:val="00342FFF"/>
    <w:rsid w:val="00343035"/>
    <w:rsid w:val="00344E6D"/>
    <w:rsid w:val="00345D32"/>
    <w:rsid w:val="00346005"/>
    <w:rsid w:val="00346892"/>
    <w:rsid w:val="003470AD"/>
    <w:rsid w:val="003472AC"/>
    <w:rsid w:val="003473FE"/>
    <w:rsid w:val="00350141"/>
    <w:rsid w:val="00351132"/>
    <w:rsid w:val="003521D5"/>
    <w:rsid w:val="00352220"/>
    <w:rsid w:val="0035443B"/>
    <w:rsid w:val="0035450C"/>
    <w:rsid w:val="0035631C"/>
    <w:rsid w:val="0035680F"/>
    <w:rsid w:val="00357AD7"/>
    <w:rsid w:val="00357EBE"/>
    <w:rsid w:val="00360832"/>
    <w:rsid w:val="00361493"/>
    <w:rsid w:val="003652E8"/>
    <w:rsid w:val="00365765"/>
    <w:rsid w:val="003659A8"/>
    <w:rsid w:val="00365BE1"/>
    <w:rsid w:val="00365C30"/>
    <w:rsid w:val="003660B0"/>
    <w:rsid w:val="00367E7B"/>
    <w:rsid w:val="00367EF5"/>
    <w:rsid w:val="00370611"/>
    <w:rsid w:val="00372557"/>
    <w:rsid w:val="0037479E"/>
    <w:rsid w:val="003765EC"/>
    <w:rsid w:val="00376EAA"/>
    <w:rsid w:val="003770A3"/>
    <w:rsid w:val="00380E06"/>
    <w:rsid w:val="0038396A"/>
    <w:rsid w:val="003841C1"/>
    <w:rsid w:val="003862B9"/>
    <w:rsid w:val="00387FD7"/>
    <w:rsid w:val="0039033A"/>
    <w:rsid w:val="00391C4A"/>
    <w:rsid w:val="0039471F"/>
    <w:rsid w:val="00395153"/>
    <w:rsid w:val="00395CF6"/>
    <w:rsid w:val="00397E9F"/>
    <w:rsid w:val="003A1CC5"/>
    <w:rsid w:val="003A28DF"/>
    <w:rsid w:val="003A57BC"/>
    <w:rsid w:val="003A65B2"/>
    <w:rsid w:val="003A682F"/>
    <w:rsid w:val="003B064D"/>
    <w:rsid w:val="003B0C75"/>
    <w:rsid w:val="003B3DE7"/>
    <w:rsid w:val="003B4FDA"/>
    <w:rsid w:val="003B561E"/>
    <w:rsid w:val="003B6CC3"/>
    <w:rsid w:val="003B7329"/>
    <w:rsid w:val="003C0814"/>
    <w:rsid w:val="003C3E14"/>
    <w:rsid w:val="003C4C67"/>
    <w:rsid w:val="003C537A"/>
    <w:rsid w:val="003C5B15"/>
    <w:rsid w:val="003C6395"/>
    <w:rsid w:val="003D089D"/>
    <w:rsid w:val="003D11A4"/>
    <w:rsid w:val="003D1950"/>
    <w:rsid w:val="003D2613"/>
    <w:rsid w:val="003D39C9"/>
    <w:rsid w:val="003D4F72"/>
    <w:rsid w:val="003D5E65"/>
    <w:rsid w:val="003D60D6"/>
    <w:rsid w:val="003D66DF"/>
    <w:rsid w:val="003D68DC"/>
    <w:rsid w:val="003D7330"/>
    <w:rsid w:val="003D7F3F"/>
    <w:rsid w:val="003E3286"/>
    <w:rsid w:val="003E3A53"/>
    <w:rsid w:val="003E4343"/>
    <w:rsid w:val="003E4463"/>
    <w:rsid w:val="003E62B6"/>
    <w:rsid w:val="003E64B2"/>
    <w:rsid w:val="003E773D"/>
    <w:rsid w:val="003F1087"/>
    <w:rsid w:val="003F1339"/>
    <w:rsid w:val="003F1482"/>
    <w:rsid w:val="003F1599"/>
    <w:rsid w:val="003F1EB5"/>
    <w:rsid w:val="003F37EE"/>
    <w:rsid w:val="00400B37"/>
    <w:rsid w:val="00405AC0"/>
    <w:rsid w:val="004072AD"/>
    <w:rsid w:val="0041026A"/>
    <w:rsid w:val="004102D5"/>
    <w:rsid w:val="00410634"/>
    <w:rsid w:val="004133FE"/>
    <w:rsid w:val="00415041"/>
    <w:rsid w:val="004170E4"/>
    <w:rsid w:val="0041715D"/>
    <w:rsid w:val="00421519"/>
    <w:rsid w:val="004243DF"/>
    <w:rsid w:val="0042487D"/>
    <w:rsid w:val="00425402"/>
    <w:rsid w:val="00426144"/>
    <w:rsid w:val="00430978"/>
    <w:rsid w:val="00432E0D"/>
    <w:rsid w:val="00433894"/>
    <w:rsid w:val="004351BC"/>
    <w:rsid w:val="004352C8"/>
    <w:rsid w:val="004366C5"/>
    <w:rsid w:val="00436A76"/>
    <w:rsid w:val="004405CE"/>
    <w:rsid w:val="00441A0A"/>
    <w:rsid w:val="00441DC2"/>
    <w:rsid w:val="0044389D"/>
    <w:rsid w:val="00444314"/>
    <w:rsid w:val="00444C3B"/>
    <w:rsid w:val="00445430"/>
    <w:rsid w:val="00445898"/>
    <w:rsid w:val="00446341"/>
    <w:rsid w:val="00446A62"/>
    <w:rsid w:val="004471E3"/>
    <w:rsid w:val="00447A96"/>
    <w:rsid w:val="00450E9C"/>
    <w:rsid w:val="00452EE5"/>
    <w:rsid w:val="00453142"/>
    <w:rsid w:val="00453431"/>
    <w:rsid w:val="004556C8"/>
    <w:rsid w:val="00457FBA"/>
    <w:rsid w:val="00462172"/>
    <w:rsid w:val="004624B7"/>
    <w:rsid w:val="00462923"/>
    <w:rsid w:val="00462F4C"/>
    <w:rsid w:val="004638D2"/>
    <w:rsid w:val="00465023"/>
    <w:rsid w:val="004663F1"/>
    <w:rsid w:val="004673DF"/>
    <w:rsid w:val="00467772"/>
    <w:rsid w:val="00470BF1"/>
    <w:rsid w:val="0047206A"/>
    <w:rsid w:val="0047339C"/>
    <w:rsid w:val="00473EA6"/>
    <w:rsid w:val="004740ED"/>
    <w:rsid w:val="00474BE5"/>
    <w:rsid w:val="00475756"/>
    <w:rsid w:val="00475E63"/>
    <w:rsid w:val="00475FA9"/>
    <w:rsid w:val="004770FF"/>
    <w:rsid w:val="00482492"/>
    <w:rsid w:val="00484D5A"/>
    <w:rsid w:val="00490045"/>
    <w:rsid w:val="0049026E"/>
    <w:rsid w:val="004927AE"/>
    <w:rsid w:val="004928BB"/>
    <w:rsid w:val="00492CFB"/>
    <w:rsid w:val="00494A87"/>
    <w:rsid w:val="00497C25"/>
    <w:rsid w:val="004A1FEF"/>
    <w:rsid w:val="004A26CC"/>
    <w:rsid w:val="004A30C7"/>
    <w:rsid w:val="004A3A23"/>
    <w:rsid w:val="004A407D"/>
    <w:rsid w:val="004A428F"/>
    <w:rsid w:val="004A4492"/>
    <w:rsid w:val="004B141B"/>
    <w:rsid w:val="004B26AC"/>
    <w:rsid w:val="004B3FD2"/>
    <w:rsid w:val="004B628C"/>
    <w:rsid w:val="004B64EC"/>
    <w:rsid w:val="004B6E69"/>
    <w:rsid w:val="004B737B"/>
    <w:rsid w:val="004B7DF1"/>
    <w:rsid w:val="004C00BE"/>
    <w:rsid w:val="004C6E6E"/>
    <w:rsid w:val="004D377C"/>
    <w:rsid w:val="004D4BBB"/>
    <w:rsid w:val="004E0FC3"/>
    <w:rsid w:val="004E12EB"/>
    <w:rsid w:val="004E164F"/>
    <w:rsid w:val="004E1760"/>
    <w:rsid w:val="004E26E7"/>
    <w:rsid w:val="004E29B4"/>
    <w:rsid w:val="004E36B3"/>
    <w:rsid w:val="004E4D17"/>
    <w:rsid w:val="004E5815"/>
    <w:rsid w:val="004E5BC7"/>
    <w:rsid w:val="004E70DB"/>
    <w:rsid w:val="004E7234"/>
    <w:rsid w:val="004F1DF9"/>
    <w:rsid w:val="004F2EE9"/>
    <w:rsid w:val="004F44F5"/>
    <w:rsid w:val="004F4897"/>
    <w:rsid w:val="004F4AD0"/>
    <w:rsid w:val="004F6EA6"/>
    <w:rsid w:val="004F725D"/>
    <w:rsid w:val="0050053A"/>
    <w:rsid w:val="00500717"/>
    <w:rsid w:val="00502F0D"/>
    <w:rsid w:val="00506E03"/>
    <w:rsid w:val="00507B68"/>
    <w:rsid w:val="00510484"/>
    <w:rsid w:val="005112B4"/>
    <w:rsid w:val="00511CC0"/>
    <w:rsid w:val="00512574"/>
    <w:rsid w:val="00512738"/>
    <w:rsid w:val="005129DE"/>
    <w:rsid w:val="00512D65"/>
    <w:rsid w:val="00513326"/>
    <w:rsid w:val="0051443B"/>
    <w:rsid w:val="005149A2"/>
    <w:rsid w:val="00514A2F"/>
    <w:rsid w:val="00516ADB"/>
    <w:rsid w:val="00517133"/>
    <w:rsid w:val="0052078B"/>
    <w:rsid w:val="00523C1C"/>
    <w:rsid w:val="00524715"/>
    <w:rsid w:val="005261E6"/>
    <w:rsid w:val="005277E5"/>
    <w:rsid w:val="005304B5"/>
    <w:rsid w:val="00531125"/>
    <w:rsid w:val="00531973"/>
    <w:rsid w:val="0053279C"/>
    <w:rsid w:val="00533B47"/>
    <w:rsid w:val="00535BA5"/>
    <w:rsid w:val="00541DA2"/>
    <w:rsid w:val="0054244B"/>
    <w:rsid w:val="005425E9"/>
    <w:rsid w:val="00544C25"/>
    <w:rsid w:val="00547A6E"/>
    <w:rsid w:val="00547F09"/>
    <w:rsid w:val="0055006A"/>
    <w:rsid w:val="00551BA2"/>
    <w:rsid w:val="00552F2A"/>
    <w:rsid w:val="0055347B"/>
    <w:rsid w:val="0055440B"/>
    <w:rsid w:val="0055552D"/>
    <w:rsid w:val="005563D2"/>
    <w:rsid w:val="0055664C"/>
    <w:rsid w:val="0055696E"/>
    <w:rsid w:val="00556C33"/>
    <w:rsid w:val="005570CF"/>
    <w:rsid w:val="00561170"/>
    <w:rsid w:val="00561921"/>
    <w:rsid w:val="00566413"/>
    <w:rsid w:val="00567816"/>
    <w:rsid w:val="00567FCE"/>
    <w:rsid w:val="00570626"/>
    <w:rsid w:val="005710AC"/>
    <w:rsid w:val="0057350F"/>
    <w:rsid w:val="00573ED5"/>
    <w:rsid w:val="0057405A"/>
    <w:rsid w:val="00575281"/>
    <w:rsid w:val="00575883"/>
    <w:rsid w:val="00577AC2"/>
    <w:rsid w:val="0058197D"/>
    <w:rsid w:val="005853C5"/>
    <w:rsid w:val="005853F9"/>
    <w:rsid w:val="00591B32"/>
    <w:rsid w:val="00592FBF"/>
    <w:rsid w:val="00593854"/>
    <w:rsid w:val="005959AC"/>
    <w:rsid w:val="00595C37"/>
    <w:rsid w:val="00595FA0"/>
    <w:rsid w:val="005A17B3"/>
    <w:rsid w:val="005A20A2"/>
    <w:rsid w:val="005A2E09"/>
    <w:rsid w:val="005A3CF7"/>
    <w:rsid w:val="005B0590"/>
    <w:rsid w:val="005B094E"/>
    <w:rsid w:val="005B4643"/>
    <w:rsid w:val="005B5EDC"/>
    <w:rsid w:val="005B601B"/>
    <w:rsid w:val="005B62AB"/>
    <w:rsid w:val="005B655C"/>
    <w:rsid w:val="005B72AB"/>
    <w:rsid w:val="005B797E"/>
    <w:rsid w:val="005C2120"/>
    <w:rsid w:val="005C2400"/>
    <w:rsid w:val="005C628A"/>
    <w:rsid w:val="005C7D47"/>
    <w:rsid w:val="005D002C"/>
    <w:rsid w:val="005D00BB"/>
    <w:rsid w:val="005D0CB1"/>
    <w:rsid w:val="005D1A1B"/>
    <w:rsid w:val="005D3803"/>
    <w:rsid w:val="005D3E9A"/>
    <w:rsid w:val="005D3F91"/>
    <w:rsid w:val="005D52D7"/>
    <w:rsid w:val="005D68BB"/>
    <w:rsid w:val="005D693E"/>
    <w:rsid w:val="005D7672"/>
    <w:rsid w:val="005E1F62"/>
    <w:rsid w:val="005E506F"/>
    <w:rsid w:val="005E54FD"/>
    <w:rsid w:val="005E5574"/>
    <w:rsid w:val="005E71C3"/>
    <w:rsid w:val="005E73DD"/>
    <w:rsid w:val="005F026E"/>
    <w:rsid w:val="005F031A"/>
    <w:rsid w:val="005F053A"/>
    <w:rsid w:val="005F1145"/>
    <w:rsid w:val="005F151D"/>
    <w:rsid w:val="005F1A23"/>
    <w:rsid w:val="005F2438"/>
    <w:rsid w:val="005F47A9"/>
    <w:rsid w:val="005F6095"/>
    <w:rsid w:val="005F69F7"/>
    <w:rsid w:val="00603365"/>
    <w:rsid w:val="0060351D"/>
    <w:rsid w:val="00604188"/>
    <w:rsid w:val="00604D23"/>
    <w:rsid w:val="00607CA6"/>
    <w:rsid w:val="0061074D"/>
    <w:rsid w:val="00610F91"/>
    <w:rsid w:val="006112F7"/>
    <w:rsid w:val="0061222D"/>
    <w:rsid w:val="00612537"/>
    <w:rsid w:val="006141CD"/>
    <w:rsid w:val="00615428"/>
    <w:rsid w:val="0061604B"/>
    <w:rsid w:val="00617E45"/>
    <w:rsid w:val="00621212"/>
    <w:rsid w:val="00621F4C"/>
    <w:rsid w:val="00622846"/>
    <w:rsid w:val="006235CB"/>
    <w:rsid w:val="00624569"/>
    <w:rsid w:val="00624AB9"/>
    <w:rsid w:val="006259B0"/>
    <w:rsid w:val="00630850"/>
    <w:rsid w:val="00630CDD"/>
    <w:rsid w:val="0063182E"/>
    <w:rsid w:val="00633558"/>
    <w:rsid w:val="00633811"/>
    <w:rsid w:val="0063563E"/>
    <w:rsid w:val="006359A8"/>
    <w:rsid w:val="006375AA"/>
    <w:rsid w:val="006401B2"/>
    <w:rsid w:val="00640A47"/>
    <w:rsid w:val="00640CF1"/>
    <w:rsid w:val="006432D1"/>
    <w:rsid w:val="00644DD1"/>
    <w:rsid w:val="00644F95"/>
    <w:rsid w:val="00645C79"/>
    <w:rsid w:val="00646A14"/>
    <w:rsid w:val="00647D98"/>
    <w:rsid w:val="00653BBA"/>
    <w:rsid w:val="0065456B"/>
    <w:rsid w:val="00660840"/>
    <w:rsid w:val="006611A1"/>
    <w:rsid w:val="00662649"/>
    <w:rsid w:val="006643EF"/>
    <w:rsid w:val="00664BC8"/>
    <w:rsid w:val="0066610A"/>
    <w:rsid w:val="0066612A"/>
    <w:rsid w:val="00671902"/>
    <w:rsid w:val="00671C23"/>
    <w:rsid w:val="0067274B"/>
    <w:rsid w:val="00674652"/>
    <w:rsid w:val="00675045"/>
    <w:rsid w:val="00676AE8"/>
    <w:rsid w:val="00676CC2"/>
    <w:rsid w:val="00681643"/>
    <w:rsid w:val="00681BF9"/>
    <w:rsid w:val="006821B3"/>
    <w:rsid w:val="0068263D"/>
    <w:rsid w:val="00682932"/>
    <w:rsid w:val="00683DF9"/>
    <w:rsid w:val="00683F5B"/>
    <w:rsid w:val="00686462"/>
    <w:rsid w:val="00686DC1"/>
    <w:rsid w:val="00686F96"/>
    <w:rsid w:val="006872F5"/>
    <w:rsid w:val="006902E8"/>
    <w:rsid w:val="00691AE9"/>
    <w:rsid w:val="006928D2"/>
    <w:rsid w:val="00693D67"/>
    <w:rsid w:val="00694005"/>
    <w:rsid w:val="006950B5"/>
    <w:rsid w:val="00697114"/>
    <w:rsid w:val="006A1ABF"/>
    <w:rsid w:val="006A31F8"/>
    <w:rsid w:val="006A36BA"/>
    <w:rsid w:val="006B24DA"/>
    <w:rsid w:val="006B2897"/>
    <w:rsid w:val="006B2FB1"/>
    <w:rsid w:val="006B332F"/>
    <w:rsid w:val="006B3336"/>
    <w:rsid w:val="006B782E"/>
    <w:rsid w:val="006C1299"/>
    <w:rsid w:val="006C3DAE"/>
    <w:rsid w:val="006C4AA9"/>
    <w:rsid w:val="006C5A3F"/>
    <w:rsid w:val="006C67B3"/>
    <w:rsid w:val="006C75E2"/>
    <w:rsid w:val="006D0165"/>
    <w:rsid w:val="006D342B"/>
    <w:rsid w:val="006D3C7E"/>
    <w:rsid w:val="006D7344"/>
    <w:rsid w:val="006E0D3D"/>
    <w:rsid w:val="006E31FE"/>
    <w:rsid w:val="006E5F18"/>
    <w:rsid w:val="006E7D32"/>
    <w:rsid w:val="006F081C"/>
    <w:rsid w:val="006F3294"/>
    <w:rsid w:val="006F3516"/>
    <w:rsid w:val="006F396C"/>
    <w:rsid w:val="006F4416"/>
    <w:rsid w:val="00702143"/>
    <w:rsid w:val="00702329"/>
    <w:rsid w:val="00705AA7"/>
    <w:rsid w:val="00707359"/>
    <w:rsid w:val="007104B0"/>
    <w:rsid w:val="00713854"/>
    <w:rsid w:val="00713DC2"/>
    <w:rsid w:val="007148FB"/>
    <w:rsid w:val="00714975"/>
    <w:rsid w:val="00715B04"/>
    <w:rsid w:val="00717028"/>
    <w:rsid w:val="00721535"/>
    <w:rsid w:val="00721BB9"/>
    <w:rsid w:val="00721F0D"/>
    <w:rsid w:val="00726267"/>
    <w:rsid w:val="00733A1A"/>
    <w:rsid w:val="00733EE1"/>
    <w:rsid w:val="00734338"/>
    <w:rsid w:val="007355C6"/>
    <w:rsid w:val="00736246"/>
    <w:rsid w:val="007409D6"/>
    <w:rsid w:val="0074191F"/>
    <w:rsid w:val="00741D16"/>
    <w:rsid w:val="00741DC0"/>
    <w:rsid w:val="007424D4"/>
    <w:rsid w:val="0074386A"/>
    <w:rsid w:val="00745A66"/>
    <w:rsid w:val="00746D90"/>
    <w:rsid w:val="00750567"/>
    <w:rsid w:val="0075108A"/>
    <w:rsid w:val="007519A0"/>
    <w:rsid w:val="00751D22"/>
    <w:rsid w:val="00751E40"/>
    <w:rsid w:val="00752B0F"/>
    <w:rsid w:val="00752BAC"/>
    <w:rsid w:val="007544B5"/>
    <w:rsid w:val="007545FF"/>
    <w:rsid w:val="00757E40"/>
    <w:rsid w:val="00762CCD"/>
    <w:rsid w:val="00764D7B"/>
    <w:rsid w:val="00764EBE"/>
    <w:rsid w:val="00770124"/>
    <w:rsid w:val="00770AD8"/>
    <w:rsid w:val="00771B28"/>
    <w:rsid w:val="00771BC4"/>
    <w:rsid w:val="00773895"/>
    <w:rsid w:val="007740CE"/>
    <w:rsid w:val="00776552"/>
    <w:rsid w:val="0078076B"/>
    <w:rsid w:val="00780F36"/>
    <w:rsid w:val="00783491"/>
    <w:rsid w:val="00784D6E"/>
    <w:rsid w:val="00785099"/>
    <w:rsid w:val="00786196"/>
    <w:rsid w:val="00790A59"/>
    <w:rsid w:val="00791724"/>
    <w:rsid w:val="00793F3C"/>
    <w:rsid w:val="00795D72"/>
    <w:rsid w:val="00795EFC"/>
    <w:rsid w:val="007A0D2F"/>
    <w:rsid w:val="007A2C7A"/>
    <w:rsid w:val="007A656D"/>
    <w:rsid w:val="007B1C24"/>
    <w:rsid w:val="007B2503"/>
    <w:rsid w:val="007B315F"/>
    <w:rsid w:val="007B3E01"/>
    <w:rsid w:val="007B737E"/>
    <w:rsid w:val="007B7A1B"/>
    <w:rsid w:val="007C1D43"/>
    <w:rsid w:val="007C22D7"/>
    <w:rsid w:val="007C38D8"/>
    <w:rsid w:val="007C6233"/>
    <w:rsid w:val="007C6D9F"/>
    <w:rsid w:val="007C700B"/>
    <w:rsid w:val="007C7D65"/>
    <w:rsid w:val="007D16A9"/>
    <w:rsid w:val="007D1D32"/>
    <w:rsid w:val="007D2113"/>
    <w:rsid w:val="007D2149"/>
    <w:rsid w:val="007D219D"/>
    <w:rsid w:val="007D2FBC"/>
    <w:rsid w:val="007D613C"/>
    <w:rsid w:val="007D7572"/>
    <w:rsid w:val="007E1B73"/>
    <w:rsid w:val="007E53D6"/>
    <w:rsid w:val="007E58CA"/>
    <w:rsid w:val="007E623E"/>
    <w:rsid w:val="007E7371"/>
    <w:rsid w:val="007F1E0E"/>
    <w:rsid w:val="007F28AD"/>
    <w:rsid w:val="007F436C"/>
    <w:rsid w:val="007F442D"/>
    <w:rsid w:val="007F4A9D"/>
    <w:rsid w:val="007F5A7B"/>
    <w:rsid w:val="007F6723"/>
    <w:rsid w:val="008002C5"/>
    <w:rsid w:val="00800A58"/>
    <w:rsid w:val="00801494"/>
    <w:rsid w:val="00805536"/>
    <w:rsid w:val="00805ACA"/>
    <w:rsid w:val="008062B9"/>
    <w:rsid w:val="00807750"/>
    <w:rsid w:val="00807F12"/>
    <w:rsid w:val="008113A7"/>
    <w:rsid w:val="00811484"/>
    <w:rsid w:val="00812AEF"/>
    <w:rsid w:val="0081426C"/>
    <w:rsid w:val="00815B0C"/>
    <w:rsid w:val="0081713B"/>
    <w:rsid w:val="00821272"/>
    <w:rsid w:val="0082129A"/>
    <w:rsid w:val="008221F0"/>
    <w:rsid w:val="008252CD"/>
    <w:rsid w:val="008253D2"/>
    <w:rsid w:val="00825B1E"/>
    <w:rsid w:val="00830F6B"/>
    <w:rsid w:val="00831D47"/>
    <w:rsid w:val="00834D4F"/>
    <w:rsid w:val="008351ED"/>
    <w:rsid w:val="00836B20"/>
    <w:rsid w:val="00836CC0"/>
    <w:rsid w:val="008404DF"/>
    <w:rsid w:val="00841FB0"/>
    <w:rsid w:val="00842B3E"/>
    <w:rsid w:val="0084572E"/>
    <w:rsid w:val="00847563"/>
    <w:rsid w:val="008521D0"/>
    <w:rsid w:val="0085241E"/>
    <w:rsid w:val="008525DA"/>
    <w:rsid w:val="00852D2D"/>
    <w:rsid w:val="00853E86"/>
    <w:rsid w:val="00856120"/>
    <w:rsid w:val="00856E3D"/>
    <w:rsid w:val="00860BDE"/>
    <w:rsid w:val="008635EC"/>
    <w:rsid w:val="008644FC"/>
    <w:rsid w:val="00864AB4"/>
    <w:rsid w:val="00864E59"/>
    <w:rsid w:val="00867A53"/>
    <w:rsid w:val="008716F2"/>
    <w:rsid w:val="008729BA"/>
    <w:rsid w:val="00873AC4"/>
    <w:rsid w:val="00873E12"/>
    <w:rsid w:val="008743D8"/>
    <w:rsid w:val="0087738E"/>
    <w:rsid w:val="008776C0"/>
    <w:rsid w:val="008807FE"/>
    <w:rsid w:val="008825C1"/>
    <w:rsid w:val="008839B4"/>
    <w:rsid w:val="00884423"/>
    <w:rsid w:val="008850B1"/>
    <w:rsid w:val="00886D43"/>
    <w:rsid w:val="0088749A"/>
    <w:rsid w:val="00890200"/>
    <w:rsid w:val="008907E6"/>
    <w:rsid w:val="0089101C"/>
    <w:rsid w:val="00891F81"/>
    <w:rsid w:val="00892BDF"/>
    <w:rsid w:val="00893CEC"/>
    <w:rsid w:val="00894255"/>
    <w:rsid w:val="008942E6"/>
    <w:rsid w:val="008949A8"/>
    <w:rsid w:val="008953A6"/>
    <w:rsid w:val="00895C68"/>
    <w:rsid w:val="008A0116"/>
    <w:rsid w:val="008A2413"/>
    <w:rsid w:val="008A32E4"/>
    <w:rsid w:val="008A42CA"/>
    <w:rsid w:val="008A5059"/>
    <w:rsid w:val="008A56BB"/>
    <w:rsid w:val="008A77A6"/>
    <w:rsid w:val="008A7C50"/>
    <w:rsid w:val="008B079D"/>
    <w:rsid w:val="008B0FCC"/>
    <w:rsid w:val="008B1D1B"/>
    <w:rsid w:val="008B2110"/>
    <w:rsid w:val="008B323D"/>
    <w:rsid w:val="008B4C23"/>
    <w:rsid w:val="008B5430"/>
    <w:rsid w:val="008B5963"/>
    <w:rsid w:val="008C0653"/>
    <w:rsid w:val="008C068B"/>
    <w:rsid w:val="008C06C1"/>
    <w:rsid w:val="008C1016"/>
    <w:rsid w:val="008C4379"/>
    <w:rsid w:val="008C4AFF"/>
    <w:rsid w:val="008C70C9"/>
    <w:rsid w:val="008D23E4"/>
    <w:rsid w:val="008D3653"/>
    <w:rsid w:val="008D3719"/>
    <w:rsid w:val="008D5983"/>
    <w:rsid w:val="008E0A45"/>
    <w:rsid w:val="008E1696"/>
    <w:rsid w:val="008E1AD9"/>
    <w:rsid w:val="008E30A7"/>
    <w:rsid w:val="008E684F"/>
    <w:rsid w:val="008E6EC8"/>
    <w:rsid w:val="008F05B0"/>
    <w:rsid w:val="008F0EE4"/>
    <w:rsid w:val="008F1F6E"/>
    <w:rsid w:val="008F2223"/>
    <w:rsid w:val="008F28C2"/>
    <w:rsid w:val="008F532A"/>
    <w:rsid w:val="008F718E"/>
    <w:rsid w:val="00900DCC"/>
    <w:rsid w:val="00904040"/>
    <w:rsid w:val="0090416F"/>
    <w:rsid w:val="009069C0"/>
    <w:rsid w:val="00911148"/>
    <w:rsid w:val="009112DC"/>
    <w:rsid w:val="009114B8"/>
    <w:rsid w:val="0091340C"/>
    <w:rsid w:val="00915775"/>
    <w:rsid w:val="00915D36"/>
    <w:rsid w:val="00916F98"/>
    <w:rsid w:val="00920047"/>
    <w:rsid w:val="00922499"/>
    <w:rsid w:val="00923197"/>
    <w:rsid w:val="00923376"/>
    <w:rsid w:val="00924064"/>
    <w:rsid w:val="009244EF"/>
    <w:rsid w:val="009252A2"/>
    <w:rsid w:val="0092530A"/>
    <w:rsid w:val="009259F3"/>
    <w:rsid w:val="009275CF"/>
    <w:rsid w:val="00930643"/>
    <w:rsid w:val="0093093E"/>
    <w:rsid w:val="0093108B"/>
    <w:rsid w:val="009310E9"/>
    <w:rsid w:val="00931636"/>
    <w:rsid w:val="0093215A"/>
    <w:rsid w:val="00934098"/>
    <w:rsid w:val="00934444"/>
    <w:rsid w:val="009349A8"/>
    <w:rsid w:val="009360C2"/>
    <w:rsid w:val="00937784"/>
    <w:rsid w:val="00941453"/>
    <w:rsid w:val="00943E78"/>
    <w:rsid w:val="009445AC"/>
    <w:rsid w:val="009472E3"/>
    <w:rsid w:val="00947DF1"/>
    <w:rsid w:val="00951458"/>
    <w:rsid w:val="00954F9F"/>
    <w:rsid w:val="00957551"/>
    <w:rsid w:val="0096035B"/>
    <w:rsid w:val="00961265"/>
    <w:rsid w:val="00961380"/>
    <w:rsid w:val="00961B52"/>
    <w:rsid w:val="00963BF6"/>
    <w:rsid w:val="0096496D"/>
    <w:rsid w:val="00970949"/>
    <w:rsid w:val="00972302"/>
    <w:rsid w:val="00973E83"/>
    <w:rsid w:val="00974113"/>
    <w:rsid w:val="0097544C"/>
    <w:rsid w:val="00975C7C"/>
    <w:rsid w:val="00975E8E"/>
    <w:rsid w:val="00976B0A"/>
    <w:rsid w:val="0098278A"/>
    <w:rsid w:val="00984D69"/>
    <w:rsid w:val="009872BA"/>
    <w:rsid w:val="00987D8E"/>
    <w:rsid w:val="009910C8"/>
    <w:rsid w:val="00991B05"/>
    <w:rsid w:val="00994ADA"/>
    <w:rsid w:val="009951F9"/>
    <w:rsid w:val="00995245"/>
    <w:rsid w:val="00995844"/>
    <w:rsid w:val="00997A7E"/>
    <w:rsid w:val="009A0472"/>
    <w:rsid w:val="009A0800"/>
    <w:rsid w:val="009A0A1D"/>
    <w:rsid w:val="009A0F3A"/>
    <w:rsid w:val="009A285D"/>
    <w:rsid w:val="009A3ED0"/>
    <w:rsid w:val="009A5625"/>
    <w:rsid w:val="009A614D"/>
    <w:rsid w:val="009B0D34"/>
    <w:rsid w:val="009B2F1D"/>
    <w:rsid w:val="009B3D9E"/>
    <w:rsid w:val="009C1E85"/>
    <w:rsid w:val="009C2D93"/>
    <w:rsid w:val="009C44E2"/>
    <w:rsid w:val="009C480B"/>
    <w:rsid w:val="009C4815"/>
    <w:rsid w:val="009D1070"/>
    <w:rsid w:val="009D5F7D"/>
    <w:rsid w:val="009E0BA0"/>
    <w:rsid w:val="009E100C"/>
    <w:rsid w:val="009E20A0"/>
    <w:rsid w:val="009E2EA4"/>
    <w:rsid w:val="009E34A4"/>
    <w:rsid w:val="009E3A00"/>
    <w:rsid w:val="009E54AA"/>
    <w:rsid w:val="009E54DA"/>
    <w:rsid w:val="009E556E"/>
    <w:rsid w:val="009E5A53"/>
    <w:rsid w:val="009E65C4"/>
    <w:rsid w:val="009E68A7"/>
    <w:rsid w:val="009F0901"/>
    <w:rsid w:val="009F2B3F"/>
    <w:rsid w:val="009F3771"/>
    <w:rsid w:val="009F38A8"/>
    <w:rsid w:val="009F4460"/>
    <w:rsid w:val="009F4A41"/>
    <w:rsid w:val="009F4F57"/>
    <w:rsid w:val="009F5C3D"/>
    <w:rsid w:val="00A00667"/>
    <w:rsid w:val="00A02A08"/>
    <w:rsid w:val="00A07FAD"/>
    <w:rsid w:val="00A116A3"/>
    <w:rsid w:val="00A12A36"/>
    <w:rsid w:val="00A140BB"/>
    <w:rsid w:val="00A14DE1"/>
    <w:rsid w:val="00A1703B"/>
    <w:rsid w:val="00A217DB"/>
    <w:rsid w:val="00A23125"/>
    <w:rsid w:val="00A23E46"/>
    <w:rsid w:val="00A30D68"/>
    <w:rsid w:val="00A30E00"/>
    <w:rsid w:val="00A31E0B"/>
    <w:rsid w:val="00A32694"/>
    <w:rsid w:val="00A32AA8"/>
    <w:rsid w:val="00A333B2"/>
    <w:rsid w:val="00A3393B"/>
    <w:rsid w:val="00A357B4"/>
    <w:rsid w:val="00A366B5"/>
    <w:rsid w:val="00A401E4"/>
    <w:rsid w:val="00A403F4"/>
    <w:rsid w:val="00A4443C"/>
    <w:rsid w:val="00A45CA9"/>
    <w:rsid w:val="00A4738B"/>
    <w:rsid w:val="00A476F3"/>
    <w:rsid w:val="00A5387E"/>
    <w:rsid w:val="00A54314"/>
    <w:rsid w:val="00A55721"/>
    <w:rsid w:val="00A56AB4"/>
    <w:rsid w:val="00A601EB"/>
    <w:rsid w:val="00A631E8"/>
    <w:rsid w:val="00A64066"/>
    <w:rsid w:val="00A65971"/>
    <w:rsid w:val="00A7564D"/>
    <w:rsid w:val="00A758B9"/>
    <w:rsid w:val="00A7666A"/>
    <w:rsid w:val="00A771EC"/>
    <w:rsid w:val="00A80E02"/>
    <w:rsid w:val="00A81069"/>
    <w:rsid w:val="00A8206C"/>
    <w:rsid w:val="00A830C7"/>
    <w:rsid w:val="00A848A5"/>
    <w:rsid w:val="00A85435"/>
    <w:rsid w:val="00A878B8"/>
    <w:rsid w:val="00A90AC5"/>
    <w:rsid w:val="00A91574"/>
    <w:rsid w:val="00A92F86"/>
    <w:rsid w:val="00A932BC"/>
    <w:rsid w:val="00A94C33"/>
    <w:rsid w:val="00A96CC2"/>
    <w:rsid w:val="00A9715C"/>
    <w:rsid w:val="00A9769E"/>
    <w:rsid w:val="00AA0622"/>
    <w:rsid w:val="00AA09CB"/>
    <w:rsid w:val="00AA1120"/>
    <w:rsid w:val="00AA1226"/>
    <w:rsid w:val="00AA18AE"/>
    <w:rsid w:val="00AA1CF6"/>
    <w:rsid w:val="00AA2AA9"/>
    <w:rsid w:val="00AA2DAC"/>
    <w:rsid w:val="00AA671F"/>
    <w:rsid w:val="00AA67ED"/>
    <w:rsid w:val="00AA68DF"/>
    <w:rsid w:val="00AA6E17"/>
    <w:rsid w:val="00AA7E5D"/>
    <w:rsid w:val="00AB05D0"/>
    <w:rsid w:val="00AB2DDA"/>
    <w:rsid w:val="00AB3348"/>
    <w:rsid w:val="00AB352E"/>
    <w:rsid w:val="00AB48AD"/>
    <w:rsid w:val="00AB4E32"/>
    <w:rsid w:val="00AB58C5"/>
    <w:rsid w:val="00AB618D"/>
    <w:rsid w:val="00AB6284"/>
    <w:rsid w:val="00AB7A46"/>
    <w:rsid w:val="00AC054C"/>
    <w:rsid w:val="00AC45B7"/>
    <w:rsid w:val="00AC4C37"/>
    <w:rsid w:val="00AC5C19"/>
    <w:rsid w:val="00AD226F"/>
    <w:rsid w:val="00AD561C"/>
    <w:rsid w:val="00AD5C0E"/>
    <w:rsid w:val="00AD6110"/>
    <w:rsid w:val="00AE00A5"/>
    <w:rsid w:val="00AE016F"/>
    <w:rsid w:val="00AE173F"/>
    <w:rsid w:val="00AE1F65"/>
    <w:rsid w:val="00AE224D"/>
    <w:rsid w:val="00AE31F3"/>
    <w:rsid w:val="00AE5C59"/>
    <w:rsid w:val="00AF228E"/>
    <w:rsid w:val="00AF4A79"/>
    <w:rsid w:val="00AF5021"/>
    <w:rsid w:val="00AF5054"/>
    <w:rsid w:val="00AF5636"/>
    <w:rsid w:val="00AF5EAB"/>
    <w:rsid w:val="00AF7DC3"/>
    <w:rsid w:val="00B02119"/>
    <w:rsid w:val="00B02FF0"/>
    <w:rsid w:val="00B03AD2"/>
    <w:rsid w:val="00B04EDE"/>
    <w:rsid w:val="00B052C3"/>
    <w:rsid w:val="00B12DDC"/>
    <w:rsid w:val="00B137BE"/>
    <w:rsid w:val="00B139F9"/>
    <w:rsid w:val="00B155B6"/>
    <w:rsid w:val="00B15C84"/>
    <w:rsid w:val="00B15DD8"/>
    <w:rsid w:val="00B16758"/>
    <w:rsid w:val="00B1790F"/>
    <w:rsid w:val="00B20711"/>
    <w:rsid w:val="00B2086A"/>
    <w:rsid w:val="00B24935"/>
    <w:rsid w:val="00B303B6"/>
    <w:rsid w:val="00B31CB9"/>
    <w:rsid w:val="00B327B6"/>
    <w:rsid w:val="00B334CA"/>
    <w:rsid w:val="00B357C2"/>
    <w:rsid w:val="00B35F13"/>
    <w:rsid w:val="00B36601"/>
    <w:rsid w:val="00B433CF"/>
    <w:rsid w:val="00B440B5"/>
    <w:rsid w:val="00B45D26"/>
    <w:rsid w:val="00B45E0D"/>
    <w:rsid w:val="00B478F5"/>
    <w:rsid w:val="00B50E11"/>
    <w:rsid w:val="00B539F5"/>
    <w:rsid w:val="00B53BBE"/>
    <w:rsid w:val="00B54174"/>
    <w:rsid w:val="00B5536A"/>
    <w:rsid w:val="00B555A4"/>
    <w:rsid w:val="00B55B18"/>
    <w:rsid w:val="00B562C5"/>
    <w:rsid w:val="00B57213"/>
    <w:rsid w:val="00B579DC"/>
    <w:rsid w:val="00B60973"/>
    <w:rsid w:val="00B60B37"/>
    <w:rsid w:val="00B60DD2"/>
    <w:rsid w:val="00B6142D"/>
    <w:rsid w:val="00B61711"/>
    <w:rsid w:val="00B621F8"/>
    <w:rsid w:val="00B63A27"/>
    <w:rsid w:val="00B64206"/>
    <w:rsid w:val="00B64B1C"/>
    <w:rsid w:val="00B64D2E"/>
    <w:rsid w:val="00B655A8"/>
    <w:rsid w:val="00B658FB"/>
    <w:rsid w:val="00B70B2D"/>
    <w:rsid w:val="00B72599"/>
    <w:rsid w:val="00B73AA8"/>
    <w:rsid w:val="00B73B52"/>
    <w:rsid w:val="00B83CD1"/>
    <w:rsid w:val="00B84646"/>
    <w:rsid w:val="00B8552D"/>
    <w:rsid w:val="00B865BC"/>
    <w:rsid w:val="00B90866"/>
    <w:rsid w:val="00BA0386"/>
    <w:rsid w:val="00BA0B0A"/>
    <w:rsid w:val="00BA1261"/>
    <w:rsid w:val="00BA352E"/>
    <w:rsid w:val="00BA365F"/>
    <w:rsid w:val="00BA3BD6"/>
    <w:rsid w:val="00BA52D8"/>
    <w:rsid w:val="00BA6AD8"/>
    <w:rsid w:val="00BA6E9C"/>
    <w:rsid w:val="00BB0DE0"/>
    <w:rsid w:val="00BB1557"/>
    <w:rsid w:val="00BB258A"/>
    <w:rsid w:val="00BB2AD1"/>
    <w:rsid w:val="00BB58EA"/>
    <w:rsid w:val="00BB5A9E"/>
    <w:rsid w:val="00BC2265"/>
    <w:rsid w:val="00BC2996"/>
    <w:rsid w:val="00BC41A9"/>
    <w:rsid w:val="00BC4A4F"/>
    <w:rsid w:val="00BC4CFC"/>
    <w:rsid w:val="00BC6CBC"/>
    <w:rsid w:val="00BC79BA"/>
    <w:rsid w:val="00BD113E"/>
    <w:rsid w:val="00BD1967"/>
    <w:rsid w:val="00BD1D1D"/>
    <w:rsid w:val="00BD29D4"/>
    <w:rsid w:val="00BD2DBC"/>
    <w:rsid w:val="00BD4FC7"/>
    <w:rsid w:val="00BD5F6D"/>
    <w:rsid w:val="00BD7EDE"/>
    <w:rsid w:val="00BE0F4A"/>
    <w:rsid w:val="00BF05FA"/>
    <w:rsid w:val="00BF0E01"/>
    <w:rsid w:val="00BF1D00"/>
    <w:rsid w:val="00BF28E9"/>
    <w:rsid w:val="00BF3598"/>
    <w:rsid w:val="00BF4AD7"/>
    <w:rsid w:val="00BF4DD4"/>
    <w:rsid w:val="00BF4F18"/>
    <w:rsid w:val="00BF5591"/>
    <w:rsid w:val="00BF6681"/>
    <w:rsid w:val="00BF6BAC"/>
    <w:rsid w:val="00BF7459"/>
    <w:rsid w:val="00C0025C"/>
    <w:rsid w:val="00C00854"/>
    <w:rsid w:val="00C01E5B"/>
    <w:rsid w:val="00C0482A"/>
    <w:rsid w:val="00C0687E"/>
    <w:rsid w:val="00C06F8D"/>
    <w:rsid w:val="00C070EE"/>
    <w:rsid w:val="00C07B57"/>
    <w:rsid w:val="00C104F4"/>
    <w:rsid w:val="00C10614"/>
    <w:rsid w:val="00C1126E"/>
    <w:rsid w:val="00C11724"/>
    <w:rsid w:val="00C11918"/>
    <w:rsid w:val="00C11FC1"/>
    <w:rsid w:val="00C1336F"/>
    <w:rsid w:val="00C13C7E"/>
    <w:rsid w:val="00C13D83"/>
    <w:rsid w:val="00C15F58"/>
    <w:rsid w:val="00C1688D"/>
    <w:rsid w:val="00C218F2"/>
    <w:rsid w:val="00C22062"/>
    <w:rsid w:val="00C23776"/>
    <w:rsid w:val="00C24B2B"/>
    <w:rsid w:val="00C26E8D"/>
    <w:rsid w:val="00C30718"/>
    <w:rsid w:val="00C31C96"/>
    <w:rsid w:val="00C33AF5"/>
    <w:rsid w:val="00C3432C"/>
    <w:rsid w:val="00C346AC"/>
    <w:rsid w:val="00C35B39"/>
    <w:rsid w:val="00C423CF"/>
    <w:rsid w:val="00C425B4"/>
    <w:rsid w:val="00C42C8F"/>
    <w:rsid w:val="00C44551"/>
    <w:rsid w:val="00C4558C"/>
    <w:rsid w:val="00C464A8"/>
    <w:rsid w:val="00C46D4A"/>
    <w:rsid w:val="00C47569"/>
    <w:rsid w:val="00C50FB3"/>
    <w:rsid w:val="00C51A9A"/>
    <w:rsid w:val="00C524D1"/>
    <w:rsid w:val="00C531B9"/>
    <w:rsid w:val="00C55809"/>
    <w:rsid w:val="00C606A7"/>
    <w:rsid w:val="00C60C2E"/>
    <w:rsid w:val="00C6333F"/>
    <w:rsid w:val="00C639C0"/>
    <w:rsid w:val="00C6657F"/>
    <w:rsid w:val="00C6713B"/>
    <w:rsid w:val="00C67C1D"/>
    <w:rsid w:val="00C7398E"/>
    <w:rsid w:val="00C75A68"/>
    <w:rsid w:val="00C76295"/>
    <w:rsid w:val="00C7635A"/>
    <w:rsid w:val="00C76A63"/>
    <w:rsid w:val="00C76FDF"/>
    <w:rsid w:val="00C771D0"/>
    <w:rsid w:val="00C77D4E"/>
    <w:rsid w:val="00C8156F"/>
    <w:rsid w:val="00C81675"/>
    <w:rsid w:val="00C81C02"/>
    <w:rsid w:val="00C82307"/>
    <w:rsid w:val="00C82DA6"/>
    <w:rsid w:val="00C833BE"/>
    <w:rsid w:val="00C8412F"/>
    <w:rsid w:val="00C84D51"/>
    <w:rsid w:val="00C9117E"/>
    <w:rsid w:val="00C91ABF"/>
    <w:rsid w:val="00C9339C"/>
    <w:rsid w:val="00C93A9C"/>
    <w:rsid w:val="00C9499F"/>
    <w:rsid w:val="00C94C1A"/>
    <w:rsid w:val="00C97912"/>
    <w:rsid w:val="00C979EC"/>
    <w:rsid w:val="00CA2EBF"/>
    <w:rsid w:val="00CA34BA"/>
    <w:rsid w:val="00CA471D"/>
    <w:rsid w:val="00CA47A5"/>
    <w:rsid w:val="00CA4CA9"/>
    <w:rsid w:val="00CA540B"/>
    <w:rsid w:val="00CA6C19"/>
    <w:rsid w:val="00CB1995"/>
    <w:rsid w:val="00CB38AD"/>
    <w:rsid w:val="00CB5842"/>
    <w:rsid w:val="00CB5A23"/>
    <w:rsid w:val="00CC0933"/>
    <w:rsid w:val="00CC2F3E"/>
    <w:rsid w:val="00CC3CFF"/>
    <w:rsid w:val="00CC49D8"/>
    <w:rsid w:val="00CC4F7C"/>
    <w:rsid w:val="00CC79D2"/>
    <w:rsid w:val="00CD0184"/>
    <w:rsid w:val="00CD1BE6"/>
    <w:rsid w:val="00CD273C"/>
    <w:rsid w:val="00CD4F1B"/>
    <w:rsid w:val="00CE1EA8"/>
    <w:rsid w:val="00CE2323"/>
    <w:rsid w:val="00CE2420"/>
    <w:rsid w:val="00CE699E"/>
    <w:rsid w:val="00CE7149"/>
    <w:rsid w:val="00CE7257"/>
    <w:rsid w:val="00CF06C6"/>
    <w:rsid w:val="00CF170C"/>
    <w:rsid w:val="00CF17B2"/>
    <w:rsid w:val="00CF3EC2"/>
    <w:rsid w:val="00CF4F48"/>
    <w:rsid w:val="00CF73A7"/>
    <w:rsid w:val="00CF7F8D"/>
    <w:rsid w:val="00D02963"/>
    <w:rsid w:val="00D039A3"/>
    <w:rsid w:val="00D055B9"/>
    <w:rsid w:val="00D112AB"/>
    <w:rsid w:val="00D12662"/>
    <w:rsid w:val="00D139E4"/>
    <w:rsid w:val="00D13F10"/>
    <w:rsid w:val="00D16D52"/>
    <w:rsid w:val="00D179CB"/>
    <w:rsid w:val="00D17DD4"/>
    <w:rsid w:val="00D20094"/>
    <w:rsid w:val="00D2065E"/>
    <w:rsid w:val="00D208B9"/>
    <w:rsid w:val="00D21468"/>
    <w:rsid w:val="00D23845"/>
    <w:rsid w:val="00D24095"/>
    <w:rsid w:val="00D323AC"/>
    <w:rsid w:val="00D32C49"/>
    <w:rsid w:val="00D33255"/>
    <w:rsid w:val="00D33BF5"/>
    <w:rsid w:val="00D347A7"/>
    <w:rsid w:val="00D34AF6"/>
    <w:rsid w:val="00D35435"/>
    <w:rsid w:val="00D374EF"/>
    <w:rsid w:val="00D37AB4"/>
    <w:rsid w:val="00D37B66"/>
    <w:rsid w:val="00D37D8C"/>
    <w:rsid w:val="00D413BC"/>
    <w:rsid w:val="00D41560"/>
    <w:rsid w:val="00D4174A"/>
    <w:rsid w:val="00D41E5F"/>
    <w:rsid w:val="00D42713"/>
    <w:rsid w:val="00D42999"/>
    <w:rsid w:val="00D43990"/>
    <w:rsid w:val="00D44DC3"/>
    <w:rsid w:val="00D4572C"/>
    <w:rsid w:val="00D45D80"/>
    <w:rsid w:val="00D505DA"/>
    <w:rsid w:val="00D52BF9"/>
    <w:rsid w:val="00D5399B"/>
    <w:rsid w:val="00D54876"/>
    <w:rsid w:val="00D54BE5"/>
    <w:rsid w:val="00D55A19"/>
    <w:rsid w:val="00D578DF"/>
    <w:rsid w:val="00D61286"/>
    <w:rsid w:val="00D649E4"/>
    <w:rsid w:val="00D65A99"/>
    <w:rsid w:val="00D66B4B"/>
    <w:rsid w:val="00D67105"/>
    <w:rsid w:val="00D67960"/>
    <w:rsid w:val="00D67F20"/>
    <w:rsid w:val="00D7040B"/>
    <w:rsid w:val="00D709AB"/>
    <w:rsid w:val="00D7502A"/>
    <w:rsid w:val="00D75071"/>
    <w:rsid w:val="00D75297"/>
    <w:rsid w:val="00D75CD0"/>
    <w:rsid w:val="00D768E4"/>
    <w:rsid w:val="00D76D43"/>
    <w:rsid w:val="00D80E99"/>
    <w:rsid w:val="00D83948"/>
    <w:rsid w:val="00D85854"/>
    <w:rsid w:val="00D8643B"/>
    <w:rsid w:val="00D86A40"/>
    <w:rsid w:val="00D873A1"/>
    <w:rsid w:val="00D91017"/>
    <w:rsid w:val="00D939AB"/>
    <w:rsid w:val="00D9432E"/>
    <w:rsid w:val="00DA1110"/>
    <w:rsid w:val="00DA2C4B"/>
    <w:rsid w:val="00DA3032"/>
    <w:rsid w:val="00DA4014"/>
    <w:rsid w:val="00DA7645"/>
    <w:rsid w:val="00DA7F39"/>
    <w:rsid w:val="00DB12E0"/>
    <w:rsid w:val="00DB2ABE"/>
    <w:rsid w:val="00DB2E21"/>
    <w:rsid w:val="00DB48C0"/>
    <w:rsid w:val="00DB4B5F"/>
    <w:rsid w:val="00DC1438"/>
    <w:rsid w:val="00DC1559"/>
    <w:rsid w:val="00DC15E5"/>
    <w:rsid w:val="00DC172D"/>
    <w:rsid w:val="00DC315C"/>
    <w:rsid w:val="00DC3FA8"/>
    <w:rsid w:val="00DC55B7"/>
    <w:rsid w:val="00DC63D2"/>
    <w:rsid w:val="00DD034A"/>
    <w:rsid w:val="00DD10D3"/>
    <w:rsid w:val="00DD1EEC"/>
    <w:rsid w:val="00DD270E"/>
    <w:rsid w:val="00DE1F52"/>
    <w:rsid w:val="00DE2F11"/>
    <w:rsid w:val="00DF1453"/>
    <w:rsid w:val="00DF2E3B"/>
    <w:rsid w:val="00DF3016"/>
    <w:rsid w:val="00DF5080"/>
    <w:rsid w:val="00DF5BED"/>
    <w:rsid w:val="00DF6D54"/>
    <w:rsid w:val="00E01A1B"/>
    <w:rsid w:val="00E02F4D"/>
    <w:rsid w:val="00E03298"/>
    <w:rsid w:val="00E05525"/>
    <w:rsid w:val="00E05BD8"/>
    <w:rsid w:val="00E07343"/>
    <w:rsid w:val="00E07831"/>
    <w:rsid w:val="00E07B7B"/>
    <w:rsid w:val="00E07C3F"/>
    <w:rsid w:val="00E111A8"/>
    <w:rsid w:val="00E11336"/>
    <w:rsid w:val="00E11C4B"/>
    <w:rsid w:val="00E12A74"/>
    <w:rsid w:val="00E13F4F"/>
    <w:rsid w:val="00E157DC"/>
    <w:rsid w:val="00E15BEA"/>
    <w:rsid w:val="00E1615F"/>
    <w:rsid w:val="00E1668E"/>
    <w:rsid w:val="00E17237"/>
    <w:rsid w:val="00E1769F"/>
    <w:rsid w:val="00E22BB8"/>
    <w:rsid w:val="00E23A45"/>
    <w:rsid w:val="00E23C40"/>
    <w:rsid w:val="00E257BA"/>
    <w:rsid w:val="00E30841"/>
    <w:rsid w:val="00E310F0"/>
    <w:rsid w:val="00E32BAF"/>
    <w:rsid w:val="00E33ADB"/>
    <w:rsid w:val="00E33FEC"/>
    <w:rsid w:val="00E34891"/>
    <w:rsid w:val="00E352D9"/>
    <w:rsid w:val="00E35541"/>
    <w:rsid w:val="00E370E4"/>
    <w:rsid w:val="00E37167"/>
    <w:rsid w:val="00E408D7"/>
    <w:rsid w:val="00E40EA2"/>
    <w:rsid w:val="00E414C0"/>
    <w:rsid w:val="00E42B7A"/>
    <w:rsid w:val="00E43E13"/>
    <w:rsid w:val="00E45249"/>
    <w:rsid w:val="00E45BD3"/>
    <w:rsid w:val="00E504A7"/>
    <w:rsid w:val="00E52393"/>
    <w:rsid w:val="00E5393E"/>
    <w:rsid w:val="00E54463"/>
    <w:rsid w:val="00E54B7C"/>
    <w:rsid w:val="00E57F17"/>
    <w:rsid w:val="00E606D6"/>
    <w:rsid w:val="00E63AC2"/>
    <w:rsid w:val="00E64B69"/>
    <w:rsid w:val="00E6535E"/>
    <w:rsid w:val="00E66997"/>
    <w:rsid w:val="00E66C77"/>
    <w:rsid w:val="00E678CE"/>
    <w:rsid w:val="00E70143"/>
    <w:rsid w:val="00E70814"/>
    <w:rsid w:val="00E71650"/>
    <w:rsid w:val="00E74D4B"/>
    <w:rsid w:val="00E75616"/>
    <w:rsid w:val="00E7664A"/>
    <w:rsid w:val="00E8017B"/>
    <w:rsid w:val="00E81FC3"/>
    <w:rsid w:val="00E82DAE"/>
    <w:rsid w:val="00E83570"/>
    <w:rsid w:val="00E84A1E"/>
    <w:rsid w:val="00E84C59"/>
    <w:rsid w:val="00E85C5F"/>
    <w:rsid w:val="00E9189A"/>
    <w:rsid w:val="00E93CC5"/>
    <w:rsid w:val="00E9457E"/>
    <w:rsid w:val="00E94C2F"/>
    <w:rsid w:val="00E9648E"/>
    <w:rsid w:val="00E970BD"/>
    <w:rsid w:val="00E972D1"/>
    <w:rsid w:val="00EA3234"/>
    <w:rsid w:val="00EA4331"/>
    <w:rsid w:val="00EA56EB"/>
    <w:rsid w:val="00EA6866"/>
    <w:rsid w:val="00EB0A72"/>
    <w:rsid w:val="00EB0D05"/>
    <w:rsid w:val="00EB1E45"/>
    <w:rsid w:val="00EB2012"/>
    <w:rsid w:val="00EB2DD2"/>
    <w:rsid w:val="00EB361E"/>
    <w:rsid w:val="00EB375C"/>
    <w:rsid w:val="00EB4818"/>
    <w:rsid w:val="00EB5AF7"/>
    <w:rsid w:val="00EB5D53"/>
    <w:rsid w:val="00EB68BA"/>
    <w:rsid w:val="00EB6911"/>
    <w:rsid w:val="00EB6A31"/>
    <w:rsid w:val="00EC0AF8"/>
    <w:rsid w:val="00EC0EB0"/>
    <w:rsid w:val="00EC1EDE"/>
    <w:rsid w:val="00EC275C"/>
    <w:rsid w:val="00EC3E40"/>
    <w:rsid w:val="00EC4505"/>
    <w:rsid w:val="00EC5D42"/>
    <w:rsid w:val="00ED0D4D"/>
    <w:rsid w:val="00ED0F5F"/>
    <w:rsid w:val="00ED4087"/>
    <w:rsid w:val="00ED447A"/>
    <w:rsid w:val="00ED7A78"/>
    <w:rsid w:val="00EE0936"/>
    <w:rsid w:val="00EE34A0"/>
    <w:rsid w:val="00EE6EEA"/>
    <w:rsid w:val="00EF0BB1"/>
    <w:rsid w:val="00EF3894"/>
    <w:rsid w:val="00EF419B"/>
    <w:rsid w:val="00EF6F3B"/>
    <w:rsid w:val="00EF79CB"/>
    <w:rsid w:val="00F005AB"/>
    <w:rsid w:val="00F01606"/>
    <w:rsid w:val="00F0220A"/>
    <w:rsid w:val="00F024C5"/>
    <w:rsid w:val="00F02656"/>
    <w:rsid w:val="00F03B5F"/>
    <w:rsid w:val="00F03C81"/>
    <w:rsid w:val="00F03E5B"/>
    <w:rsid w:val="00F059B7"/>
    <w:rsid w:val="00F10638"/>
    <w:rsid w:val="00F10FBC"/>
    <w:rsid w:val="00F12306"/>
    <w:rsid w:val="00F12DD1"/>
    <w:rsid w:val="00F13CC5"/>
    <w:rsid w:val="00F13EE0"/>
    <w:rsid w:val="00F16B49"/>
    <w:rsid w:val="00F173C1"/>
    <w:rsid w:val="00F213A5"/>
    <w:rsid w:val="00F217B0"/>
    <w:rsid w:val="00F23249"/>
    <w:rsid w:val="00F2341E"/>
    <w:rsid w:val="00F25988"/>
    <w:rsid w:val="00F269B4"/>
    <w:rsid w:val="00F27E26"/>
    <w:rsid w:val="00F27FB2"/>
    <w:rsid w:val="00F301AD"/>
    <w:rsid w:val="00F31D64"/>
    <w:rsid w:val="00F329A7"/>
    <w:rsid w:val="00F33C9E"/>
    <w:rsid w:val="00F33E18"/>
    <w:rsid w:val="00F35D5B"/>
    <w:rsid w:val="00F40FD8"/>
    <w:rsid w:val="00F423B0"/>
    <w:rsid w:val="00F42EE9"/>
    <w:rsid w:val="00F441E2"/>
    <w:rsid w:val="00F44310"/>
    <w:rsid w:val="00F458C9"/>
    <w:rsid w:val="00F46AC4"/>
    <w:rsid w:val="00F46F2A"/>
    <w:rsid w:val="00F514BE"/>
    <w:rsid w:val="00F51C0F"/>
    <w:rsid w:val="00F531F2"/>
    <w:rsid w:val="00F569C7"/>
    <w:rsid w:val="00F57067"/>
    <w:rsid w:val="00F57182"/>
    <w:rsid w:val="00F57E17"/>
    <w:rsid w:val="00F604BE"/>
    <w:rsid w:val="00F62F66"/>
    <w:rsid w:val="00F637FB"/>
    <w:rsid w:val="00F63C9C"/>
    <w:rsid w:val="00F643C2"/>
    <w:rsid w:val="00F64B46"/>
    <w:rsid w:val="00F64C12"/>
    <w:rsid w:val="00F65ECB"/>
    <w:rsid w:val="00F705FB"/>
    <w:rsid w:val="00F71B89"/>
    <w:rsid w:val="00F7348A"/>
    <w:rsid w:val="00F73BDF"/>
    <w:rsid w:val="00F74251"/>
    <w:rsid w:val="00F750A4"/>
    <w:rsid w:val="00F757B1"/>
    <w:rsid w:val="00F81350"/>
    <w:rsid w:val="00F8304F"/>
    <w:rsid w:val="00F83E53"/>
    <w:rsid w:val="00F84806"/>
    <w:rsid w:val="00F85C5E"/>
    <w:rsid w:val="00F9067C"/>
    <w:rsid w:val="00F90FA9"/>
    <w:rsid w:val="00F91B93"/>
    <w:rsid w:val="00F9257F"/>
    <w:rsid w:val="00F9419F"/>
    <w:rsid w:val="00F95003"/>
    <w:rsid w:val="00F9725F"/>
    <w:rsid w:val="00F973DB"/>
    <w:rsid w:val="00FA02A6"/>
    <w:rsid w:val="00FA1314"/>
    <w:rsid w:val="00FA2BBE"/>
    <w:rsid w:val="00FA5DC0"/>
    <w:rsid w:val="00FA6415"/>
    <w:rsid w:val="00FB1522"/>
    <w:rsid w:val="00FB691D"/>
    <w:rsid w:val="00FB799E"/>
    <w:rsid w:val="00FB7F95"/>
    <w:rsid w:val="00FC1943"/>
    <w:rsid w:val="00FC328B"/>
    <w:rsid w:val="00FC44E7"/>
    <w:rsid w:val="00FC5359"/>
    <w:rsid w:val="00FC7742"/>
    <w:rsid w:val="00FC7E87"/>
    <w:rsid w:val="00FD191C"/>
    <w:rsid w:val="00FD21FC"/>
    <w:rsid w:val="00FD298A"/>
    <w:rsid w:val="00FD3D53"/>
    <w:rsid w:val="00FD3D85"/>
    <w:rsid w:val="00FD6820"/>
    <w:rsid w:val="00FD7A39"/>
    <w:rsid w:val="00FE277C"/>
    <w:rsid w:val="00FE46C6"/>
    <w:rsid w:val="00FF6670"/>
    <w:rsid w:val="00FF7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B1BF"/>
  <w15:chartTrackingRefBased/>
  <w15:docId w15:val="{44270B4A-8CF3-4081-AF10-D4DE045C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567"/>
  </w:style>
  <w:style w:type="paragraph" w:styleId="Ttulo1">
    <w:name w:val="heading 1"/>
    <w:basedOn w:val="Normal"/>
    <w:link w:val="Ttulo1Car"/>
    <w:uiPriority w:val="9"/>
    <w:qFormat/>
    <w:rsid w:val="00B658FB"/>
    <w:pPr>
      <w:spacing w:after="0" w:line="360" w:lineRule="auto"/>
      <w:jc w:val="center"/>
      <w:outlineLvl w:val="0"/>
    </w:pPr>
    <w:rPr>
      <w:rFonts w:ascii="ITC Avant Garde" w:hAnsi="ITC Avant Garde"/>
      <w:b/>
    </w:rPr>
  </w:style>
  <w:style w:type="paragraph" w:styleId="Ttulo2">
    <w:name w:val="heading 2"/>
    <w:basedOn w:val="Normal"/>
    <w:next w:val="Normal"/>
    <w:link w:val="Ttulo2Car"/>
    <w:unhideWhenUsed/>
    <w:qFormat/>
    <w:rsid w:val="00D35435"/>
    <w:pPr>
      <w:spacing w:after="0" w:line="360" w:lineRule="auto"/>
      <w:jc w:val="both"/>
      <w:outlineLvl w:val="1"/>
    </w:pPr>
    <w:rPr>
      <w:rFonts w:ascii="ITC Avant Garde" w:eastAsia="Times New Roman" w:hAnsi="ITC Avant Garde"/>
      <w:b/>
      <w:bCs/>
      <w:smallCaps/>
      <w:color w:val="000000"/>
      <w:lang w:eastAsia="es-MX"/>
    </w:rPr>
  </w:style>
  <w:style w:type="paragraph" w:styleId="Ttulo3">
    <w:name w:val="heading 3"/>
    <w:basedOn w:val="Normal"/>
    <w:next w:val="Normal"/>
    <w:link w:val="Ttulo3Car"/>
    <w:autoRedefine/>
    <w:qFormat/>
    <w:rsid w:val="001B0FC3"/>
    <w:pPr>
      <w:tabs>
        <w:tab w:val="left" w:pos="851"/>
      </w:tabs>
      <w:spacing w:before="240" w:line="360" w:lineRule="auto"/>
      <w:jc w:val="both"/>
      <w:outlineLvl w:val="2"/>
    </w:pPr>
    <w:rPr>
      <w:rFonts w:ascii="ITC Avant Garde" w:eastAsia="Times New Roman" w:hAnsi="ITC Avant Garde"/>
      <w:b/>
      <w:bCs/>
      <w:smallCaps/>
      <w:color w:val="000000"/>
      <w:lang w:val="x-none" w:eastAsia="es-MX"/>
    </w:rPr>
  </w:style>
  <w:style w:type="paragraph" w:styleId="Ttulo4">
    <w:name w:val="heading 4"/>
    <w:basedOn w:val="Normal"/>
    <w:next w:val="Normal"/>
    <w:link w:val="Ttulo4Car"/>
    <w:uiPriority w:val="9"/>
    <w:unhideWhenUsed/>
    <w:qFormat/>
    <w:rsid w:val="00484D5A"/>
    <w:pPr>
      <w:spacing w:after="0" w:line="360" w:lineRule="auto"/>
      <w:jc w:val="both"/>
      <w:outlineLvl w:val="3"/>
    </w:pPr>
    <w:rPr>
      <w:rFonts w:ascii="ITC Avant Garde" w:hAnsi="ITC Avant Garde"/>
    </w:rPr>
  </w:style>
  <w:style w:type="paragraph" w:styleId="Ttulo5">
    <w:name w:val="heading 5"/>
    <w:basedOn w:val="Prrafodelista"/>
    <w:next w:val="Normal"/>
    <w:link w:val="Ttulo5Car"/>
    <w:uiPriority w:val="9"/>
    <w:unhideWhenUsed/>
    <w:qFormat/>
    <w:rsid w:val="00F57067"/>
    <w:pPr>
      <w:numPr>
        <w:numId w:val="19"/>
      </w:numPr>
      <w:spacing w:after="0" w:line="360" w:lineRule="auto"/>
      <w:jc w:val="both"/>
      <w:outlineLvl w:val="4"/>
    </w:pPr>
    <w:rPr>
      <w:rFonts w:ascii="ITC Avant Garde" w:hAnsi="ITC Avant Garde"/>
      <w:b/>
    </w:rPr>
  </w:style>
  <w:style w:type="paragraph" w:styleId="Ttulo6">
    <w:name w:val="heading 6"/>
    <w:basedOn w:val="Normal"/>
    <w:next w:val="Normal"/>
    <w:link w:val="Ttulo6Car"/>
    <w:uiPriority w:val="9"/>
    <w:unhideWhenUsed/>
    <w:qFormat/>
    <w:rsid w:val="00271FF5"/>
    <w:pPr>
      <w:numPr>
        <w:numId w:val="11"/>
      </w:numPr>
      <w:spacing w:before="240" w:after="120" w:line="360" w:lineRule="auto"/>
      <w:contextualSpacing/>
      <w:jc w:val="both"/>
      <w:outlineLvl w:val="5"/>
    </w:pPr>
    <w:rPr>
      <w:rFonts w:ascii="ITC Avant Garde" w:hAnsi="ITC Avant Garde"/>
      <w:b/>
    </w:rPr>
  </w:style>
  <w:style w:type="paragraph" w:styleId="Ttulo7">
    <w:name w:val="heading 7"/>
    <w:basedOn w:val="Normal"/>
    <w:next w:val="Normal"/>
    <w:link w:val="Ttulo7Car"/>
    <w:uiPriority w:val="9"/>
    <w:unhideWhenUsed/>
    <w:qFormat/>
    <w:rsid w:val="00301FF6"/>
    <w:pPr>
      <w:spacing w:after="0" w:line="360" w:lineRule="auto"/>
      <w:jc w:val="both"/>
      <w:outlineLvl w:val="6"/>
    </w:pPr>
    <w:rPr>
      <w:rFonts w:ascii="ITC Avant Garde" w:hAnsi="ITC Avant Garde"/>
      <w:b/>
      <w:u w:val="single"/>
    </w:rPr>
  </w:style>
  <w:style w:type="paragraph" w:styleId="Ttulo8">
    <w:name w:val="heading 8"/>
    <w:basedOn w:val="Listavistosa-nfasis11"/>
    <w:next w:val="Normal"/>
    <w:link w:val="Ttulo8Car"/>
    <w:uiPriority w:val="9"/>
    <w:unhideWhenUsed/>
    <w:qFormat/>
    <w:rsid w:val="00301FF6"/>
    <w:pPr>
      <w:spacing w:after="0" w:line="360" w:lineRule="auto"/>
      <w:ind w:left="0"/>
      <w:jc w:val="both"/>
      <w:outlineLvl w:val="7"/>
    </w:pPr>
    <w:rPr>
      <w:rFonts w:ascii="ITC Avant Garde" w:hAnsi="ITC Avant Garde"/>
      <w:b/>
    </w:rPr>
  </w:style>
  <w:style w:type="paragraph" w:styleId="Ttulo9">
    <w:name w:val="heading 9"/>
    <w:basedOn w:val="Listavistosa-nfasis11"/>
    <w:next w:val="Normal"/>
    <w:link w:val="Ttulo9Car"/>
    <w:uiPriority w:val="9"/>
    <w:unhideWhenUsed/>
    <w:qFormat/>
    <w:rsid w:val="00301FF6"/>
    <w:pPr>
      <w:spacing w:after="0" w:line="360" w:lineRule="auto"/>
      <w:ind w:left="567" w:hanging="567"/>
      <w:jc w:val="both"/>
      <w:outlineLvl w:val="8"/>
    </w:pPr>
    <w:rPr>
      <w:rFonts w:ascii="ITC Avant Garde" w:hAnsi="ITC Avant Garde"/>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58FB"/>
    <w:rPr>
      <w:rFonts w:ascii="ITC Avant Garde" w:hAnsi="ITC Avant Garde"/>
      <w:b/>
    </w:rPr>
  </w:style>
  <w:style w:type="character" w:customStyle="1" w:styleId="Ttulo2Car">
    <w:name w:val="Título 2 Car"/>
    <w:basedOn w:val="Fuentedeprrafopredeter"/>
    <w:link w:val="Ttulo2"/>
    <w:rsid w:val="00D35435"/>
    <w:rPr>
      <w:rFonts w:ascii="ITC Avant Garde" w:eastAsia="Times New Roman" w:hAnsi="ITC Avant Garde"/>
      <w:b/>
      <w:bCs/>
      <w:smallCaps/>
      <w:color w:val="000000"/>
      <w:lang w:eastAsia="es-MX"/>
    </w:rPr>
  </w:style>
  <w:style w:type="character" w:customStyle="1" w:styleId="Ttulo3Car">
    <w:name w:val="Título 3 Car"/>
    <w:basedOn w:val="Fuentedeprrafopredeter"/>
    <w:link w:val="Ttulo3"/>
    <w:rsid w:val="001B0FC3"/>
    <w:rPr>
      <w:rFonts w:ascii="ITC Avant Garde" w:eastAsia="Times New Roman" w:hAnsi="ITC Avant Garde"/>
      <w:b/>
      <w:bCs/>
      <w:smallCaps/>
      <w:color w:val="000000"/>
      <w:lang w:val="x-none" w:eastAsia="es-MX"/>
    </w:rPr>
  </w:style>
  <w:style w:type="character" w:customStyle="1" w:styleId="Ttulo4Car">
    <w:name w:val="Título 4 Car"/>
    <w:basedOn w:val="Fuentedeprrafopredeter"/>
    <w:link w:val="Ttulo4"/>
    <w:uiPriority w:val="9"/>
    <w:rsid w:val="00484D5A"/>
    <w:rPr>
      <w:rFonts w:ascii="ITC Avant Garde" w:hAnsi="ITC Avant Garde"/>
    </w:rPr>
  </w:style>
  <w:style w:type="paragraph" w:styleId="Prrafodelista">
    <w:name w:val="List Paragraph"/>
    <w:basedOn w:val="Normal"/>
    <w:link w:val="PrrafodelistaCar"/>
    <w:uiPriority w:val="34"/>
    <w:qFormat/>
    <w:rsid w:val="001C3E67"/>
    <w:pPr>
      <w:ind w:left="720"/>
      <w:contextualSpacing/>
    </w:pPr>
  </w:style>
  <w:style w:type="character" w:customStyle="1" w:styleId="PrrafodelistaCar">
    <w:name w:val="Párrafo de lista Car"/>
    <w:link w:val="Prrafodelista"/>
    <w:uiPriority w:val="34"/>
    <w:rsid w:val="00561921"/>
  </w:style>
  <w:style w:type="character" w:customStyle="1" w:styleId="Ttulo5Car">
    <w:name w:val="Título 5 Car"/>
    <w:basedOn w:val="Fuentedeprrafopredeter"/>
    <w:link w:val="Ttulo5"/>
    <w:uiPriority w:val="9"/>
    <w:rsid w:val="00F57067"/>
    <w:rPr>
      <w:rFonts w:ascii="ITC Avant Garde" w:hAnsi="ITC Avant Garde"/>
      <w:b/>
    </w:rPr>
  </w:style>
  <w:style w:type="character" w:customStyle="1" w:styleId="Ttulo6Car">
    <w:name w:val="Título 6 Car"/>
    <w:basedOn w:val="Fuentedeprrafopredeter"/>
    <w:link w:val="Ttulo6"/>
    <w:uiPriority w:val="9"/>
    <w:rsid w:val="00271FF5"/>
    <w:rPr>
      <w:rFonts w:ascii="ITC Avant Garde" w:hAnsi="ITC Avant Garde"/>
      <w:b/>
    </w:rPr>
  </w:style>
  <w:style w:type="character" w:customStyle="1" w:styleId="Ttulo7Car">
    <w:name w:val="Título 7 Car"/>
    <w:basedOn w:val="Fuentedeprrafopredeter"/>
    <w:link w:val="Ttulo7"/>
    <w:uiPriority w:val="9"/>
    <w:rsid w:val="00301FF6"/>
    <w:rPr>
      <w:rFonts w:ascii="ITC Avant Garde" w:hAnsi="ITC Avant Garde"/>
      <w:b/>
      <w:u w:val="single"/>
    </w:rPr>
  </w:style>
  <w:style w:type="paragraph" w:customStyle="1" w:styleId="Listavistosa-nfasis11">
    <w:name w:val="Lista vistosa - Énfasis 11"/>
    <w:basedOn w:val="Normal"/>
    <w:uiPriority w:val="34"/>
    <w:qFormat/>
    <w:rsid w:val="00262B95"/>
    <w:pPr>
      <w:spacing w:after="200" w:line="276" w:lineRule="auto"/>
      <w:ind w:left="720"/>
      <w:contextualSpacing/>
    </w:pPr>
    <w:rPr>
      <w:rFonts w:ascii="Calibri" w:eastAsia="Calibri" w:hAnsi="Calibri" w:cs="Times New Roman"/>
    </w:rPr>
  </w:style>
  <w:style w:type="character" w:customStyle="1" w:styleId="Ttulo8Car">
    <w:name w:val="Título 8 Car"/>
    <w:basedOn w:val="Fuentedeprrafopredeter"/>
    <w:link w:val="Ttulo8"/>
    <w:uiPriority w:val="9"/>
    <w:rsid w:val="00301FF6"/>
    <w:rPr>
      <w:rFonts w:ascii="ITC Avant Garde" w:eastAsia="Calibri" w:hAnsi="ITC Avant Garde" w:cs="Times New Roman"/>
      <w:b/>
    </w:rPr>
  </w:style>
  <w:style w:type="character" w:customStyle="1" w:styleId="Ttulo9Car">
    <w:name w:val="Título 9 Car"/>
    <w:basedOn w:val="Fuentedeprrafopredeter"/>
    <w:link w:val="Ttulo9"/>
    <w:uiPriority w:val="9"/>
    <w:rsid w:val="00301FF6"/>
    <w:rPr>
      <w:rFonts w:ascii="ITC Avant Garde" w:eastAsia="Calibri" w:hAnsi="ITC Avant Garde" w:cs="Times New Roman"/>
      <w:b/>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D323AC"/>
    <w:pPr>
      <w:spacing w:after="0" w:line="240" w:lineRule="auto"/>
    </w:pPr>
    <w:rPr>
      <w:rFonts w:ascii="ITC Avant Garde" w:hAnsi="ITC Avant Garde"/>
      <w:sz w:val="18"/>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D323AC"/>
    <w:rPr>
      <w:rFonts w:ascii="ITC Avant Garde" w:hAnsi="ITC Avant Garde"/>
      <w:sz w:val="18"/>
      <w:szCs w:val="20"/>
    </w:rPr>
  </w:style>
  <w:style w:type="character" w:styleId="Refdenotaalpie">
    <w:name w:val="footnote reference"/>
    <w:aliases w:val="Ref,de nota al pie"/>
    <w:basedOn w:val="Fuentedeprrafopredeter"/>
    <w:uiPriority w:val="99"/>
    <w:unhideWhenUsed/>
    <w:qFormat/>
    <w:rsid w:val="003841C1"/>
    <w:rPr>
      <w:vertAlign w:val="superscript"/>
    </w:rPr>
  </w:style>
  <w:style w:type="character" w:customStyle="1" w:styleId="apple-converted-space">
    <w:name w:val="apple-converted-space"/>
    <w:basedOn w:val="Fuentedeprrafopredeter"/>
    <w:rsid w:val="003841C1"/>
  </w:style>
  <w:style w:type="paragraph" w:styleId="Textoindependiente">
    <w:name w:val="Body Text"/>
    <w:basedOn w:val="Normal"/>
    <w:link w:val="TextoindependienteCar"/>
    <w:rsid w:val="00EB6A3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rsid w:val="00EB6A31"/>
    <w:rPr>
      <w:rFonts w:ascii="Calibri" w:eastAsia="Calibri" w:hAnsi="Calibri" w:cs="Times New Roman"/>
    </w:rPr>
  </w:style>
  <w:style w:type="paragraph" w:customStyle="1" w:styleId="Texto">
    <w:name w:val="Texto"/>
    <w:basedOn w:val="Normal"/>
    <w:link w:val="TextoCar"/>
    <w:rsid w:val="00EB6A31"/>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EB6A31"/>
    <w:rPr>
      <w:rFonts w:ascii="Arial" w:eastAsia="Times New Roman" w:hAnsi="Arial" w:cs="Times New Roman"/>
      <w:sz w:val="18"/>
      <w:szCs w:val="20"/>
      <w:lang w:val="es-ES" w:eastAsia="es-ES"/>
    </w:rPr>
  </w:style>
  <w:style w:type="paragraph" w:styleId="Encabezado">
    <w:name w:val="header"/>
    <w:basedOn w:val="Normal"/>
    <w:link w:val="EncabezadoCar"/>
    <w:uiPriority w:val="99"/>
    <w:unhideWhenUsed/>
    <w:rsid w:val="00262B95"/>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262B95"/>
    <w:rPr>
      <w:rFonts w:ascii="Calibri" w:eastAsia="Calibri" w:hAnsi="Calibri" w:cs="Times New Roman"/>
    </w:rPr>
  </w:style>
  <w:style w:type="paragraph" w:styleId="Piedepgina">
    <w:name w:val="footer"/>
    <w:basedOn w:val="Normal"/>
    <w:link w:val="PiedepginaCar"/>
    <w:uiPriority w:val="99"/>
    <w:unhideWhenUsed/>
    <w:rsid w:val="00262B95"/>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262B95"/>
    <w:rPr>
      <w:rFonts w:ascii="Calibri" w:eastAsia="Calibri" w:hAnsi="Calibri" w:cs="Times New Roman"/>
    </w:rPr>
  </w:style>
  <w:style w:type="paragraph" w:customStyle="1" w:styleId="estilo30">
    <w:name w:val="estilo30"/>
    <w:basedOn w:val="Normal"/>
    <w:rsid w:val="00262B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262B9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2B95"/>
    <w:pPr>
      <w:autoSpaceDE w:val="0"/>
      <w:autoSpaceDN w:val="0"/>
      <w:adjustRightInd w:val="0"/>
      <w:spacing w:after="0" w:line="240" w:lineRule="auto"/>
    </w:pPr>
    <w:rPr>
      <w:rFonts w:ascii="Tahoma" w:eastAsia="Calibri" w:hAnsi="Tahoma" w:cs="Tahoma"/>
      <w:color w:val="000000"/>
      <w:sz w:val="24"/>
      <w:szCs w:val="24"/>
      <w:lang w:eastAsia="es-MX"/>
    </w:rPr>
  </w:style>
  <w:style w:type="character" w:customStyle="1" w:styleId="TextodegloboCar">
    <w:name w:val="Texto de globo Car"/>
    <w:basedOn w:val="Fuentedeprrafopredeter"/>
    <w:link w:val="Textodeglobo"/>
    <w:uiPriority w:val="99"/>
    <w:semiHidden/>
    <w:rsid w:val="00262B95"/>
    <w:rPr>
      <w:rFonts w:ascii="Tahoma" w:eastAsia="Calibri" w:hAnsi="Tahoma" w:cs="Times New Roman"/>
      <w:sz w:val="16"/>
      <w:szCs w:val="16"/>
      <w:lang w:val="x-none"/>
    </w:rPr>
  </w:style>
  <w:style w:type="paragraph" w:styleId="Textodeglobo">
    <w:name w:val="Balloon Text"/>
    <w:basedOn w:val="Normal"/>
    <w:link w:val="TextodegloboCar"/>
    <w:uiPriority w:val="99"/>
    <w:semiHidden/>
    <w:unhideWhenUsed/>
    <w:rsid w:val="00262B95"/>
    <w:pPr>
      <w:spacing w:after="0" w:line="240" w:lineRule="auto"/>
    </w:pPr>
    <w:rPr>
      <w:rFonts w:ascii="Tahoma" w:eastAsia="Calibri" w:hAnsi="Tahoma" w:cs="Times New Roman"/>
      <w:sz w:val="16"/>
      <w:szCs w:val="16"/>
      <w:lang w:val="x-none"/>
    </w:rPr>
  </w:style>
  <w:style w:type="character" w:customStyle="1" w:styleId="red">
    <w:name w:val="red"/>
    <w:basedOn w:val="Fuentedeprrafopredeter"/>
    <w:rsid w:val="00262B95"/>
  </w:style>
  <w:style w:type="character" w:customStyle="1" w:styleId="TextocomentarioCar">
    <w:name w:val="Texto comentario Car"/>
    <w:basedOn w:val="Fuentedeprrafopredeter"/>
    <w:link w:val="Textocomentario"/>
    <w:uiPriority w:val="99"/>
    <w:rsid w:val="00262B95"/>
    <w:rPr>
      <w:rFonts w:ascii="Calibri" w:eastAsia="Calibri" w:hAnsi="Calibri" w:cs="Times New Roman"/>
      <w:sz w:val="20"/>
      <w:szCs w:val="20"/>
      <w:lang w:val="x-none"/>
    </w:rPr>
  </w:style>
  <w:style w:type="paragraph" w:styleId="Textocomentario">
    <w:name w:val="annotation text"/>
    <w:basedOn w:val="Normal"/>
    <w:link w:val="TextocomentarioCar"/>
    <w:uiPriority w:val="99"/>
    <w:unhideWhenUsed/>
    <w:rsid w:val="00262B95"/>
    <w:pPr>
      <w:spacing w:after="200" w:line="240" w:lineRule="auto"/>
    </w:pPr>
    <w:rPr>
      <w:rFonts w:ascii="Calibri" w:eastAsia="Calibri" w:hAnsi="Calibri" w:cs="Times New Roman"/>
      <w:sz w:val="20"/>
      <w:szCs w:val="20"/>
      <w:lang w:val="x-none"/>
    </w:rPr>
  </w:style>
  <w:style w:type="character" w:customStyle="1" w:styleId="AsuntodelcomentarioCar">
    <w:name w:val="Asunto del comentario Car"/>
    <w:basedOn w:val="TextocomentarioCar"/>
    <w:link w:val="Asuntodelcomentario"/>
    <w:uiPriority w:val="99"/>
    <w:semiHidden/>
    <w:rsid w:val="00262B95"/>
    <w:rPr>
      <w:rFonts w:ascii="Calibri" w:eastAsia="Calibri" w:hAnsi="Calibri" w:cs="Times New Roman"/>
      <w:b/>
      <w:bCs/>
      <w:sz w:val="20"/>
      <w:szCs w:val="20"/>
      <w:lang w:val="x-none"/>
    </w:rPr>
  </w:style>
  <w:style w:type="paragraph" w:styleId="Asuntodelcomentario">
    <w:name w:val="annotation subject"/>
    <w:basedOn w:val="Textocomentario"/>
    <w:next w:val="Textocomentario"/>
    <w:link w:val="AsuntodelcomentarioCar"/>
    <w:uiPriority w:val="99"/>
    <w:semiHidden/>
    <w:unhideWhenUsed/>
    <w:rsid w:val="00262B95"/>
    <w:rPr>
      <w:b/>
      <w:bCs/>
    </w:rPr>
  </w:style>
  <w:style w:type="character" w:styleId="Textoennegrita">
    <w:name w:val="Strong"/>
    <w:uiPriority w:val="22"/>
    <w:qFormat/>
    <w:rsid w:val="00262B95"/>
    <w:rPr>
      <w:b/>
      <w:bCs/>
    </w:rPr>
  </w:style>
  <w:style w:type="character" w:styleId="Hipervnculo">
    <w:name w:val="Hyperlink"/>
    <w:uiPriority w:val="99"/>
    <w:unhideWhenUsed/>
    <w:rsid w:val="00262B95"/>
    <w:rPr>
      <w:color w:val="0000FF"/>
      <w:u w:val="single"/>
    </w:rPr>
  </w:style>
  <w:style w:type="character" w:styleId="nfasis">
    <w:name w:val="Emphasis"/>
    <w:uiPriority w:val="20"/>
    <w:qFormat/>
    <w:rsid w:val="00262B95"/>
    <w:rPr>
      <w:i/>
      <w:iCs/>
    </w:rPr>
  </w:style>
  <w:style w:type="paragraph" w:customStyle="1" w:styleId="Estilo">
    <w:name w:val="Estilo"/>
    <w:basedOn w:val="Cuadrculamedia21"/>
    <w:link w:val="EstiloCar"/>
    <w:qFormat/>
    <w:rsid w:val="00262B95"/>
    <w:pPr>
      <w:jc w:val="both"/>
    </w:pPr>
    <w:rPr>
      <w:rFonts w:ascii="Arial" w:hAnsi="Arial"/>
      <w:sz w:val="24"/>
      <w:lang w:val="x-none"/>
    </w:rPr>
  </w:style>
  <w:style w:type="paragraph" w:customStyle="1" w:styleId="Cuadrculamedia21">
    <w:name w:val="Cuadrícula media 21"/>
    <w:uiPriority w:val="1"/>
    <w:qFormat/>
    <w:rsid w:val="00262B95"/>
    <w:pPr>
      <w:spacing w:after="0" w:line="240" w:lineRule="auto"/>
    </w:pPr>
    <w:rPr>
      <w:rFonts w:ascii="Calibri" w:eastAsia="Calibri" w:hAnsi="Calibri" w:cs="Times New Roman"/>
    </w:rPr>
  </w:style>
  <w:style w:type="character" w:customStyle="1" w:styleId="EstiloCar">
    <w:name w:val="Estilo Car"/>
    <w:link w:val="Estilo"/>
    <w:rsid w:val="00262B95"/>
    <w:rPr>
      <w:rFonts w:ascii="Arial" w:eastAsia="Calibri" w:hAnsi="Arial" w:cs="Times New Roman"/>
      <w:sz w:val="24"/>
      <w:lang w:val="x-none"/>
    </w:rPr>
  </w:style>
  <w:style w:type="paragraph" w:customStyle="1" w:styleId="Cuadrculaclara-nfasis31">
    <w:name w:val="Cuadrícula clara - Énfasis 31"/>
    <w:basedOn w:val="Normal"/>
    <w:uiPriority w:val="34"/>
    <w:qFormat/>
    <w:rsid w:val="00262B95"/>
    <w:pPr>
      <w:spacing w:after="200" w:line="276" w:lineRule="auto"/>
      <w:ind w:left="708"/>
    </w:pPr>
    <w:rPr>
      <w:rFonts w:ascii="Calibri" w:eastAsia="Calibri" w:hAnsi="Calibri" w:cs="Times New Roman"/>
    </w:rPr>
  </w:style>
  <w:style w:type="table" w:styleId="Tablaconcuadrcula">
    <w:name w:val="Table Grid"/>
    <w:basedOn w:val="Tablanormal"/>
    <w:rsid w:val="00E3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E355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0">
    <w:name w:val="texto"/>
    <w:basedOn w:val="Normal"/>
    <w:rsid w:val="00D91017"/>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D91017"/>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styleId="Sangradetextonormal">
    <w:name w:val="Body Text Indent"/>
    <w:basedOn w:val="Normal"/>
    <w:link w:val="SangradetextonormalCar"/>
    <w:uiPriority w:val="99"/>
    <w:unhideWhenUsed/>
    <w:rsid w:val="00D91017"/>
    <w:pPr>
      <w:spacing w:after="120" w:line="276" w:lineRule="auto"/>
      <w:ind w:left="283"/>
    </w:pPr>
  </w:style>
  <w:style w:type="character" w:customStyle="1" w:styleId="SangradetextonormalCar">
    <w:name w:val="Sangría de texto normal Car"/>
    <w:basedOn w:val="Fuentedeprrafopredeter"/>
    <w:link w:val="Sangradetextonormal"/>
    <w:uiPriority w:val="99"/>
    <w:rsid w:val="00D91017"/>
  </w:style>
  <w:style w:type="paragraph" w:styleId="Listaconnmeros">
    <w:name w:val="List Number"/>
    <w:basedOn w:val="Normal"/>
    <w:uiPriority w:val="99"/>
    <w:rsid w:val="00D91017"/>
    <w:pPr>
      <w:spacing w:after="0" w:line="240" w:lineRule="auto"/>
    </w:pPr>
    <w:rPr>
      <w:rFonts w:ascii="Arial" w:eastAsia="Times New Roman" w:hAnsi="Arial" w:cs="Times New Roman"/>
      <w:sz w:val="24"/>
      <w:szCs w:val="24"/>
      <w:lang w:eastAsia="es-ES"/>
    </w:rPr>
  </w:style>
  <w:style w:type="character" w:customStyle="1" w:styleId="TextoCarCar">
    <w:name w:val="Texto Car Car"/>
    <w:basedOn w:val="Fuentedeprrafopredeter"/>
    <w:rsid w:val="00D91017"/>
    <w:rPr>
      <w:rFonts w:ascii="Arial" w:eastAsia="Times New Roman" w:hAnsi="Arial" w:cs="Arial"/>
      <w:sz w:val="18"/>
    </w:rPr>
  </w:style>
  <w:style w:type="table" w:styleId="Tabladecuadrcula4-nfasis6">
    <w:name w:val="Grid Table 4 Accent 6"/>
    <w:basedOn w:val="Tablanormal"/>
    <w:uiPriority w:val="49"/>
    <w:rsid w:val="004B7DF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3">
    <w:name w:val="Body Text 3"/>
    <w:basedOn w:val="Normal"/>
    <w:link w:val="Textoindependiente3Car"/>
    <w:rsid w:val="00523C1C"/>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523C1C"/>
    <w:rPr>
      <w:rFonts w:ascii="Calibri" w:eastAsia="Calibri" w:hAnsi="Calibri" w:cs="Times New Roman"/>
      <w:sz w:val="16"/>
      <w:szCs w:val="16"/>
    </w:rPr>
  </w:style>
  <w:style w:type="character" w:styleId="Refdecomentario">
    <w:name w:val="annotation reference"/>
    <w:basedOn w:val="Fuentedeprrafopredeter"/>
    <w:uiPriority w:val="99"/>
    <w:semiHidden/>
    <w:unhideWhenUsed/>
    <w:rsid w:val="005B797E"/>
    <w:rPr>
      <w:sz w:val="16"/>
      <w:szCs w:val="16"/>
    </w:rPr>
  </w:style>
  <w:style w:type="paragraph" w:styleId="TtulodeTDC">
    <w:name w:val="TOC Heading"/>
    <w:basedOn w:val="Ttulo1"/>
    <w:next w:val="Normal"/>
    <w:uiPriority w:val="39"/>
    <w:unhideWhenUsed/>
    <w:qFormat/>
    <w:rsid w:val="00450E9C"/>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paragraph" w:styleId="TDC1">
    <w:name w:val="toc 1"/>
    <w:basedOn w:val="Normal"/>
    <w:next w:val="Normal"/>
    <w:autoRedefine/>
    <w:uiPriority w:val="39"/>
    <w:unhideWhenUsed/>
    <w:rsid w:val="00450E9C"/>
    <w:pPr>
      <w:spacing w:after="100"/>
    </w:pPr>
  </w:style>
  <w:style w:type="paragraph" w:styleId="TDC2">
    <w:name w:val="toc 2"/>
    <w:basedOn w:val="Normal"/>
    <w:next w:val="Normal"/>
    <w:autoRedefine/>
    <w:uiPriority w:val="39"/>
    <w:unhideWhenUsed/>
    <w:rsid w:val="00450E9C"/>
    <w:pPr>
      <w:spacing w:after="100"/>
      <w:ind w:left="220"/>
    </w:pPr>
  </w:style>
  <w:style w:type="paragraph" w:styleId="ndice1">
    <w:name w:val="index 1"/>
    <w:basedOn w:val="Normal"/>
    <w:next w:val="Normal"/>
    <w:autoRedefine/>
    <w:uiPriority w:val="99"/>
    <w:semiHidden/>
    <w:unhideWhenUsed/>
    <w:rsid w:val="000D5A61"/>
    <w:pPr>
      <w:spacing w:after="0" w:line="240" w:lineRule="auto"/>
      <w:ind w:left="220" w:hanging="220"/>
    </w:pPr>
  </w:style>
  <w:style w:type="paragraph" w:styleId="TDC3">
    <w:name w:val="toc 3"/>
    <w:basedOn w:val="Normal"/>
    <w:next w:val="Normal"/>
    <w:autoRedefine/>
    <w:uiPriority w:val="39"/>
    <w:unhideWhenUsed/>
    <w:rsid w:val="000D5A61"/>
    <w:pPr>
      <w:spacing w:after="100"/>
      <w:ind w:left="440"/>
    </w:pPr>
    <w:rPr>
      <w:rFonts w:eastAsiaTheme="minorEastAsia" w:cs="Times New Roman"/>
      <w:lang w:eastAsia="es-MX"/>
    </w:rPr>
  </w:style>
  <w:style w:type="paragraph" w:customStyle="1" w:styleId="Ttulo10">
    <w:name w:val="Título 10"/>
    <w:basedOn w:val="Normal"/>
    <w:link w:val="Ttulo10Car"/>
    <w:qFormat/>
    <w:rsid w:val="00BD1D1D"/>
    <w:pPr>
      <w:spacing w:after="0" w:line="360" w:lineRule="auto"/>
      <w:jc w:val="both"/>
    </w:pPr>
    <w:rPr>
      <w:rFonts w:ascii="ITC Avant Garde" w:hAnsi="ITC Avant Garde"/>
      <w:b/>
      <w:noProof/>
      <w:sz w:val="20"/>
      <w:lang w:eastAsia="es-MX"/>
    </w:rPr>
  </w:style>
  <w:style w:type="character" w:customStyle="1" w:styleId="Ttulo10Car">
    <w:name w:val="Título 10 Car"/>
    <w:basedOn w:val="Fuentedeprrafopredeter"/>
    <w:link w:val="Ttulo10"/>
    <w:rsid w:val="00BD1D1D"/>
    <w:rPr>
      <w:rFonts w:ascii="ITC Avant Garde" w:hAnsi="ITC Avant Garde"/>
      <w:b/>
      <w:noProof/>
      <w:sz w:val="20"/>
      <w:lang w:eastAsia="es-MX"/>
    </w:rPr>
  </w:style>
  <w:style w:type="paragraph" w:customStyle="1" w:styleId="Titulo11">
    <w:name w:val="Titulo 11"/>
    <w:basedOn w:val="Ttulo5"/>
    <w:link w:val="Titulo11Car"/>
    <w:qFormat/>
    <w:rsid w:val="00E40EA2"/>
  </w:style>
  <w:style w:type="character" w:customStyle="1" w:styleId="Titulo11Car">
    <w:name w:val="Titulo 11 Car"/>
    <w:basedOn w:val="Ttulo5Car"/>
    <w:link w:val="Titulo11"/>
    <w:rsid w:val="00E40EA2"/>
    <w:rPr>
      <w:rFonts w:ascii="ITC Avant Garde" w:hAnsi="ITC Avant Garde"/>
      <w:b/>
    </w:rPr>
  </w:style>
  <w:style w:type="paragraph" w:customStyle="1" w:styleId="Resaltar1">
    <w:name w:val="Resaltar1"/>
    <w:basedOn w:val="Normal"/>
    <w:link w:val="Resaltar1Car"/>
    <w:qFormat/>
    <w:rsid w:val="008F718E"/>
    <w:pPr>
      <w:shd w:val="clear" w:color="auto" w:fill="FFFF00"/>
      <w:spacing w:after="0" w:line="360" w:lineRule="auto"/>
      <w:jc w:val="both"/>
    </w:pPr>
    <w:rPr>
      <w:rFonts w:ascii="ITC Avant Garde" w:hAnsi="ITC Avant Garde"/>
      <w:color w:val="006600"/>
    </w:rPr>
  </w:style>
  <w:style w:type="character" w:customStyle="1" w:styleId="Resaltar1Car">
    <w:name w:val="Resaltar1 Car"/>
    <w:basedOn w:val="Fuentedeprrafopredeter"/>
    <w:link w:val="Resaltar1"/>
    <w:rsid w:val="008F718E"/>
    <w:rPr>
      <w:rFonts w:ascii="ITC Avant Garde" w:hAnsi="ITC Avant Garde"/>
      <w:color w:val="006600"/>
      <w:shd w:val="clear" w:color="auto" w:fill="FFFF00"/>
    </w:rPr>
  </w:style>
  <w:style w:type="paragraph" w:customStyle="1" w:styleId="Resaltar2">
    <w:name w:val="Resaltar2"/>
    <w:basedOn w:val="Normal"/>
    <w:link w:val="Resaltar2Car"/>
    <w:qFormat/>
    <w:rsid w:val="008F718E"/>
    <w:pPr>
      <w:shd w:val="clear" w:color="auto" w:fill="FFFF00"/>
      <w:spacing w:after="0" w:line="360" w:lineRule="auto"/>
      <w:jc w:val="both"/>
    </w:pPr>
    <w:rPr>
      <w:rFonts w:ascii="ITC Avant Garde" w:hAnsi="ITC Avant Garde"/>
      <w:color w:val="C00000"/>
    </w:rPr>
  </w:style>
  <w:style w:type="character" w:customStyle="1" w:styleId="Resaltar2Car">
    <w:name w:val="Resaltar2 Car"/>
    <w:basedOn w:val="Fuentedeprrafopredeter"/>
    <w:link w:val="Resaltar2"/>
    <w:rsid w:val="008F718E"/>
    <w:rPr>
      <w:rFonts w:ascii="ITC Avant Garde" w:hAnsi="ITC Avant Garde"/>
      <w:color w:val="C00000"/>
      <w:shd w:val="clear" w:color="auto" w:fill="FFFF00"/>
    </w:rPr>
  </w:style>
  <w:style w:type="table" w:customStyle="1" w:styleId="Tablaconcuadrcula1">
    <w:name w:val="Tabla con cuadrícula1"/>
    <w:basedOn w:val="Tablanormal"/>
    <w:next w:val="Tablaconcuadrcula"/>
    <w:uiPriority w:val="59"/>
    <w:rsid w:val="005B601B"/>
    <w:pPr>
      <w:spacing w:after="0" w:line="240" w:lineRule="auto"/>
      <w:ind w:left="425" w:hanging="493"/>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sid w:val="0081426C"/>
    <w:rPr>
      <w:color w:val="954F72" w:themeColor="followedHyperlink"/>
      <w:u w:val="single"/>
    </w:rPr>
  </w:style>
  <w:style w:type="character" w:customStyle="1" w:styleId="N1IFTCar">
    <w:name w:val="N1 IFT Car"/>
    <w:basedOn w:val="Fuentedeprrafopredeter"/>
    <w:link w:val="N1IFT"/>
    <w:locked/>
    <w:rsid w:val="003F1087"/>
    <w:rPr>
      <w:rFonts w:ascii="ITC Avant Garde" w:hAnsi="ITC Avant Garde"/>
      <w:b/>
      <w:bCs/>
      <w:color w:val="000000"/>
      <w:lang w:eastAsia="es-ES"/>
    </w:rPr>
  </w:style>
  <w:style w:type="paragraph" w:customStyle="1" w:styleId="N1IFT">
    <w:name w:val="N1 IFT"/>
    <w:basedOn w:val="Normal"/>
    <w:link w:val="N1IFTCar"/>
    <w:rsid w:val="003F1087"/>
    <w:pPr>
      <w:spacing w:after="200" w:line="276" w:lineRule="auto"/>
      <w:jc w:val="both"/>
    </w:pPr>
    <w:rPr>
      <w:rFonts w:ascii="ITC Avant Garde" w:hAnsi="ITC Avant Garde"/>
      <w:b/>
      <w:bCs/>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6990">
      <w:bodyDiv w:val="1"/>
      <w:marLeft w:val="0"/>
      <w:marRight w:val="0"/>
      <w:marTop w:val="0"/>
      <w:marBottom w:val="0"/>
      <w:divBdr>
        <w:top w:val="none" w:sz="0" w:space="0" w:color="auto"/>
        <w:left w:val="none" w:sz="0" w:space="0" w:color="auto"/>
        <w:bottom w:val="none" w:sz="0" w:space="0" w:color="auto"/>
        <w:right w:val="none" w:sz="0" w:space="0" w:color="auto"/>
      </w:divBdr>
    </w:div>
    <w:div w:id="203443529">
      <w:bodyDiv w:val="1"/>
      <w:marLeft w:val="0"/>
      <w:marRight w:val="0"/>
      <w:marTop w:val="0"/>
      <w:marBottom w:val="0"/>
      <w:divBdr>
        <w:top w:val="none" w:sz="0" w:space="0" w:color="auto"/>
        <w:left w:val="none" w:sz="0" w:space="0" w:color="auto"/>
        <w:bottom w:val="none" w:sz="0" w:space="0" w:color="auto"/>
        <w:right w:val="none" w:sz="0" w:space="0" w:color="auto"/>
      </w:divBdr>
    </w:div>
    <w:div w:id="278804274">
      <w:bodyDiv w:val="1"/>
      <w:marLeft w:val="0"/>
      <w:marRight w:val="0"/>
      <w:marTop w:val="0"/>
      <w:marBottom w:val="0"/>
      <w:divBdr>
        <w:top w:val="none" w:sz="0" w:space="0" w:color="auto"/>
        <w:left w:val="none" w:sz="0" w:space="0" w:color="auto"/>
        <w:bottom w:val="none" w:sz="0" w:space="0" w:color="auto"/>
        <w:right w:val="none" w:sz="0" w:space="0" w:color="auto"/>
      </w:divBdr>
    </w:div>
    <w:div w:id="335770873">
      <w:bodyDiv w:val="1"/>
      <w:marLeft w:val="0"/>
      <w:marRight w:val="0"/>
      <w:marTop w:val="0"/>
      <w:marBottom w:val="0"/>
      <w:divBdr>
        <w:top w:val="none" w:sz="0" w:space="0" w:color="auto"/>
        <w:left w:val="none" w:sz="0" w:space="0" w:color="auto"/>
        <w:bottom w:val="none" w:sz="0" w:space="0" w:color="auto"/>
        <w:right w:val="none" w:sz="0" w:space="0" w:color="auto"/>
      </w:divBdr>
      <w:divsChild>
        <w:div w:id="16515517">
          <w:marLeft w:val="0"/>
          <w:marRight w:val="0"/>
          <w:marTop w:val="0"/>
          <w:marBottom w:val="101"/>
          <w:divBdr>
            <w:top w:val="none" w:sz="0" w:space="0" w:color="auto"/>
            <w:left w:val="none" w:sz="0" w:space="0" w:color="auto"/>
            <w:bottom w:val="none" w:sz="0" w:space="0" w:color="auto"/>
            <w:right w:val="none" w:sz="0" w:space="0" w:color="auto"/>
          </w:divBdr>
        </w:div>
        <w:div w:id="92091833">
          <w:marLeft w:val="0"/>
          <w:marRight w:val="0"/>
          <w:marTop w:val="0"/>
          <w:marBottom w:val="101"/>
          <w:divBdr>
            <w:top w:val="none" w:sz="0" w:space="0" w:color="auto"/>
            <w:left w:val="none" w:sz="0" w:space="0" w:color="auto"/>
            <w:bottom w:val="none" w:sz="0" w:space="0" w:color="auto"/>
            <w:right w:val="none" w:sz="0" w:space="0" w:color="auto"/>
          </w:divBdr>
        </w:div>
        <w:div w:id="978342468">
          <w:marLeft w:val="0"/>
          <w:marRight w:val="0"/>
          <w:marTop w:val="0"/>
          <w:marBottom w:val="101"/>
          <w:divBdr>
            <w:top w:val="none" w:sz="0" w:space="0" w:color="auto"/>
            <w:left w:val="none" w:sz="0" w:space="0" w:color="auto"/>
            <w:bottom w:val="none" w:sz="0" w:space="0" w:color="auto"/>
            <w:right w:val="none" w:sz="0" w:space="0" w:color="auto"/>
          </w:divBdr>
        </w:div>
      </w:divsChild>
    </w:div>
    <w:div w:id="560793398">
      <w:bodyDiv w:val="1"/>
      <w:marLeft w:val="0"/>
      <w:marRight w:val="0"/>
      <w:marTop w:val="0"/>
      <w:marBottom w:val="0"/>
      <w:divBdr>
        <w:top w:val="none" w:sz="0" w:space="0" w:color="auto"/>
        <w:left w:val="none" w:sz="0" w:space="0" w:color="auto"/>
        <w:bottom w:val="none" w:sz="0" w:space="0" w:color="auto"/>
        <w:right w:val="none" w:sz="0" w:space="0" w:color="auto"/>
      </w:divBdr>
    </w:div>
    <w:div w:id="570431707">
      <w:bodyDiv w:val="1"/>
      <w:marLeft w:val="0"/>
      <w:marRight w:val="0"/>
      <w:marTop w:val="0"/>
      <w:marBottom w:val="0"/>
      <w:divBdr>
        <w:top w:val="none" w:sz="0" w:space="0" w:color="auto"/>
        <w:left w:val="none" w:sz="0" w:space="0" w:color="auto"/>
        <w:bottom w:val="none" w:sz="0" w:space="0" w:color="auto"/>
        <w:right w:val="none" w:sz="0" w:space="0" w:color="auto"/>
      </w:divBdr>
    </w:div>
    <w:div w:id="603919334">
      <w:bodyDiv w:val="1"/>
      <w:marLeft w:val="0"/>
      <w:marRight w:val="0"/>
      <w:marTop w:val="0"/>
      <w:marBottom w:val="0"/>
      <w:divBdr>
        <w:top w:val="none" w:sz="0" w:space="0" w:color="auto"/>
        <w:left w:val="none" w:sz="0" w:space="0" w:color="auto"/>
        <w:bottom w:val="none" w:sz="0" w:space="0" w:color="auto"/>
        <w:right w:val="none" w:sz="0" w:space="0" w:color="auto"/>
      </w:divBdr>
    </w:div>
    <w:div w:id="642931243">
      <w:bodyDiv w:val="1"/>
      <w:marLeft w:val="0"/>
      <w:marRight w:val="0"/>
      <w:marTop w:val="0"/>
      <w:marBottom w:val="0"/>
      <w:divBdr>
        <w:top w:val="none" w:sz="0" w:space="0" w:color="auto"/>
        <w:left w:val="none" w:sz="0" w:space="0" w:color="auto"/>
        <w:bottom w:val="none" w:sz="0" w:space="0" w:color="auto"/>
        <w:right w:val="none" w:sz="0" w:space="0" w:color="auto"/>
      </w:divBdr>
    </w:div>
    <w:div w:id="665940933">
      <w:bodyDiv w:val="1"/>
      <w:marLeft w:val="0"/>
      <w:marRight w:val="0"/>
      <w:marTop w:val="0"/>
      <w:marBottom w:val="0"/>
      <w:divBdr>
        <w:top w:val="none" w:sz="0" w:space="0" w:color="auto"/>
        <w:left w:val="none" w:sz="0" w:space="0" w:color="auto"/>
        <w:bottom w:val="none" w:sz="0" w:space="0" w:color="auto"/>
        <w:right w:val="none" w:sz="0" w:space="0" w:color="auto"/>
      </w:divBdr>
    </w:div>
    <w:div w:id="670915985">
      <w:bodyDiv w:val="1"/>
      <w:marLeft w:val="0"/>
      <w:marRight w:val="0"/>
      <w:marTop w:val="0"/>
      <w:marBottom w:val="0"/>
      <w:divBdr>
        <w:top w:val="none" w:sz="0" w:space="0" w:color="auto"/>
        <w:left w:val="none" w:sz="0" w:space="0" w:color="auto"/>
        <w:bottom w:val="none" w:sz="0" w:space="0" w:color="auto"/>
        <w:right w:val="none" w:sz="0" w:space="0" w:color="auto"/>
      </w:divBdr>
      <w:divsChild>
        <w:div w:id="923033405">
          <w:marLeft w:val="0"/>
          <w:marRight w:val="0"/>
          <w:marTop w:val="0"/>
          <w:marBottom w:val="0"/>
          <w:divBdr>
            <w:top w:val="none" w:sz="0" w:space="0" w:color="auto"/>
            <w:left w:val="none" w:sz="0" w:space="0" w:color="auto"/>
            <w:bottom w:val="none" w:sz="0" w:space="0" w:color="auto"/>
            <w:right w:val="none" w:sz="0" w:space="0" w:color="auto"/>
          </w:divBdr>
        </w:div>
      </w:divsChild>
    </w:div>
    <w:div w:id="689377735">
      <w:bodyDiv w:val="1"/>
      <w:marLeft w:val="0"/>
      <w:marRight w:val="0"/>
      <w:marTop w:val="0"/>
      <w:marBottom w:val="0"/>
      <w:divBdr>
        <w:top w:val="none" w:sz="0" w:space="0" w:color="auto"/>
        <w:left w:val="none" w:sz="0" w:space="0" w:color="auto"/>
        <w:bottom w:val="none" w:sz="0" w:space="0" w:color="auto"/>
        <w:right w:val="none" w:sz="0" w:space="0" w:color="auto"/>
      </w:divBdr>
    </w:div>
    <w:div w:id="939334669">
      <w:bodyDiv w:val="1"/>
      <w:marLeft w:val="0"/>
      <w:marRight w:val="0"/>
      <w:marTop w:val="0"/>
      <w:marBottom w:val="0"/>
      <w:divBdr>
        <w:top w:val="none" w:sz="0" w:space="0" w:color="auto"/>
        <w:left w:val="none" w:sz="0" w:space="0" w:color="auto"/>
        <w:bottom w:val="none" w:sz="0" w:space="0" w:color="auto"/>
        <w:right w:val="none" w:sz="0" w:space="0" w:color="auto"/>
      </w:divBdr>
    </w:div>
    <w:div w:id="962154014">
      <w:bodyDiv w:val="1"/>
      <w:marLeft w:val="0"/>
      <w:marRight w:val="0"/>
      <w:marTop w:val="0"/>
      <w:marBottom w:val="0"/>
      <w:divBdr>
        <w:top w:val="none" w:sz="0" w:space="0" w:color="auto"/>
        <w:left w:val="none" w:sz="0" w:space="0" w:color="auto"/>
        <w:bottom w:val="none" w:sz="0" w:space="0" w:color="auto"/>
        <w:right w:val="none" w:sz="0" w:space="0" w:color="auto"/>
      </w:divBdr>
    </w:div>
    <w:div w:id="964047575">
      <w:bodyDiv w:val="1"/>
      <w:marLeft w:val="0"/>
      <w:marRight w:val="0"/>
      <w:marTop w:val="0"/>
      <w:marBottom w:val="0"/>
      <w:divBdr>
        <w:top w:val="none" w:sz="0" w:space="0" w:color="auto"/>
        <w:left w:val="none" w:sz="0" w:space="0" w:color="auto"/>
        <w:bottom w:val="none" w:sz="0" w:space="0" w:color="auto"/>
        <w:right w:val="none" w:sz="0" w:space="0" w:color="auto"/>
      </w:divBdr>
    </w:div>
    <w:div w:id="978607049">
      <w:bodyDiv w:val="1"/>
      <w:marLeft w:val="0"/>
      <w:marRight w:val="0"/>
      <w:marTop w:val="0"/>
      <w:marBottom w:val="0"/>
      <w:divBdr>
        <w:top w:val="none" w:sz="0" w:space="0" w:color="auto"/>
        <w:left w:val="none" w:sz="0" w:space="0" w:color="auto"/>
        <w:bottom w:val="none" w:sz="0" w:space="0" w:color="auto"/>
        <w:right w:val="none" w:sz="0" w:space="0" w:color="auto"/>
      </w:divBdr>
    </w:div>
    <w:div w:id="1097797863">
      <w:bodyDiv w:val="1"/>
      <w:marLeft w:val="0"/>
      <w:marRight w:val="0"/>
      <w:marTop w:val="0"/>
      <w:marBottom w:val="0"/>
      <w:divBdr>
        <w:top w:val="none" w:sz="0" w:space="0" w:color="auto"/>
        <w:left w:val="none" w:sz="0" w:space="0" w:color="auto"/>
        <w:bottom w:val="none" w:sz="0" w:space="0" w:color="auto"/>
        <w:right w:val="none" w:sz="0" w:space="0" w:color="auto"/>
      </w:divBdr>
    </w:div>
    <w:div w:id="1262497167">
      <w:bodyDiv w:val="1"/>
      <w:marLeft w:val="0"/>
      <w:marRight w:val="0"/>
      <w:marTop w:val="0"/>
      <w:marBottom w:val="0"/>
      <w:divBdr>
        <w:top w:val="none" w:sz="0" w:space="0" w:color="auto"/>
        <w:left w:val="none" w:sz="0" w:space="0" w:color="auto"/>
        <w:bottom w:val="none" w:sz="0" w:space="0" w:color="auto"/>
        <w:right w:val="none" w:sz="0" w:space="0" w:color="auto"/>
      </w:divBdr>
    </w:div>
    <w:div w:id="1397514522">
      <w:bodyDiv w:val="1"/>
      <w:marLeft w:val="0"/>
      <w:marRight w:val="0"/>
      <w:marTop w:val="0"/>
      <w:marBottom w:val="0"/>
      <w:divBdr>
        <w:top w:val="none" w:sz="0" w:space="0" w:color="auto"/>
        <w:left w:val="none" w:sz="0" w:space="0" w:color="auto"/>
        <w:bottom w:val="none" w:sz="0" w:space="0" w:color="auto"/>
        <w:right w:val="none" w:sz="0" w:space="0" w:color="auto"/>
      </w:divBdr>
    </w:div>
    <w:div w:id="1587112336">
      <w:bodyDiv w:val="1"/>
      <w:marLeft w:val="0"/>
      <w:marRight w:val="0"/>
      <w:marTop w:val="0"/>
      <w:marBottom w:val="0"/>
      <w:divBdr>
        <w:top w:val="none" w:sz="0" w:space="0" w:color="auto"/>
        <w:left w:val="none" w:sz="0" w:space="0" w:color="auto"/>
        <w:bottom w:val="none" w:sz="0" w:space="0" w:color="auto"/>
        <w:right w:val="none" w:sz="0" w:space="0" w:color="auto"/>
      </w:divBdr>
    </w:div>
    <w:div w:id="1600455481">
      <w:bodyDiv w:val="1"/>
      <w:marLeft w:val="0"/>
      <w:marRight w:val="0"/>
      <w:marTop w:val="0"/>
      <w:marBottom w:val="0"/>
      <w:divBdr>
        <w:top w:val="none" w:sz="0" w:space="0" w:color="auto"/>
        <w:left w:val="none" w:sz="0" w:space="0" w:color="auto"/>
        <w:bottom w:val="none" w:sz="0" w:space="0" w:color="auto"/>
        <w:right w:val="none" w:sz="0" w:space="0" w:color="auto"/>
      </w:divBdr>
    </w:div>
    <w:div w:id="1679775029">
      <w:bodyDiv w:val="1"/>
      <w:marLeft w:val="0"/>
      <w:marRight w:val="0"/>
      <w:marTop w:val="0"/>
      <w:marBottom w:val="0"/>
      <w:divBdr>
        <w:top w:val="none" w:sz="0" w:space="0" w:color="auto"/>
        <w:left w:val="none" w:sz="0" w:space="0" w:color="auto"/>
        <w:bottom w:val="none" w:sz="0" w:space="0" w:color="auto"/>
        <w:right w:val="none" w:sz="0" w:space="0" w:color="auto"/>
      </w:divBdr>
    </w:div>
    <w:div w:id="1703742777">
      <w:bodyDiv w:val="1"/>
      <w:marLeft w:val="0"/>
      <w:marRight w:val="0"/>
      <w:marTop w:val="0"/>
      <w:marBottom w:val="0"/>
      <w:divBdr>
        <w:top w:val="none" w:sz="0" w:space="0" w:color="auto"/>
        <w:left w:val="none" w:sz="0" w:space="0" w:color="auto"/>
        <w:bottom w:val="none" w:sz="0" w:space="0" w:color="auto"/>
        <w:right w:val="none" w:sz="0" w:space="0" w:color="auto"/>
      </w:divBdr>
    </w:div>
    <w:div w:id="1704013298">
      <w:bodyDiv w:val="1"/>
      <w:marLeft w:val="0"/>
      <w:marRight w:val="0"/>
      <w:marTop w:val="0"/>
      <w:marBottom w:val="0"/>
      <w:divBdr>
        <w:top w:val="none" w:sz="0" w:space="0" w:color="auto"/>
        <w:left w:val="none" w:sz="0" w:space="0" w:color="auto"/>
        <w:bottom w:val="none" w:sz="0" w:space="0" w:color="auto"/>
        <w:right w:val="none" w:sz="0" w:space="0" w:color="auto"/>
      </w:divBdr>
    </w:div>
    <w:div w:id="1704087835">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0"/>
          <w:divBdr>
            <w:top w:val="none" w:sz="0" w:space="0" w:color="auto"/>
            <w:left w:val="none" w:sz="0" w:space="0" w:color="auto"/>
            <w:bottom w:val="none" w:sz="0" w:space="0" w:color="auto"/>
            <w:right w:val="none" w:sz="0" w:space="0" w:color="auto"/>
          </w:divBdr>
        </w:div>
      </w:divsChild>
    </w:div>
    <w:div w:id="1790198776">
      <w:bodyDiv w:val="1"/>
      <w:marLeft w:val="0"/>
      <w:marRight w:val="0"/>
      <w:marTop w:val="0"/>
      <w:marBottom w:val="0"/>
      <w:divBdr>
        <w:top w:val="none" w:sz="0" w:space="0" w:color="auto"/>
        <w:left w:val="none" w:sz="0" w:space="0" w:color="auto"/>
        <w:bottom w:val="none" w:sz="0" w:space="0" w:color="auto"/>
        <w:right w:val="none" w:sz="0" w:space="0" w:color="auto"/>
      </w:divBdr>
      <w:divsChild>
        <w:div w:id="18629336">
          <w:marLeft w:val="0"/>
          <w:marRight w:val="0"/>
          <w:marTop w:val="0"/>
          <w:marBottom w:val="0"/>
          <w:divBdr>
            <w:top w:val="none" w:sz="0" w:space="0" w:color="auto"/>
            <w:left w:val="none" w:sz="0" w:space="0" w:color="auto"/>
            <w:bottom w:val="none" w:sz="0" w:space="0" w:color="auto"/>
            <w:right w:val="none" w:sz="0" w:space="0" w:color="auto"/>
          </w:divBdr>
        </w:div>
        <w:div w:id="283847800">
          <w:marLeft w:val="0"/>
          <w:marRight w:val="0"/>
          <w:marTop w:val="0"/>
          <w:marBottom w:val="0"/>
          <w:divBdr>
            <w:top w:val="none" w:sz="0" w:space="0" w:color="auto"/>
            <w:left w:val="none" w:sz="0" w:space="0" w:color="auto"/>
            <w:bottom w:val="none" w:sz="0" w:space="0" w:color="auto"/>
            <w:right w:val="none" w:sz="0" w:space="0" w:color="auto"/>
          </w:divBdr>
        </w:div>
        <w:div w:id="362361640">
          <w:marLeft w:val="0"/>
          <w:marRight w:val="0"/>
          <w:marTop w:val="0"/>
          <w:marBottom w:val="0"/>
          <w:divBdr>
            <w:top w:val="none" w:sz="0" w:space="0" w:color="auto"/>
            <w:left w:val="none" w:sz="0" w:space="0" w:color="auto"/>
            <w:bottom w:val="none" w:sz="0" w:space="0" w:color="auto"/>
            <w:right w:val="none" w:sz="0" w:space="0" w:color="auto"/>
          </w:divBdr>
        </w:div>
        <w:div w:id="363988251">
          <w:marLeft w:val="0"/>
          <w:marRight w:val="0"/>
          <w:marTop w:val="0"/>
          <w:marBottom w:val="0"/>
          <w:divBdr>
            <w:top w:val="none" w:sz="0" w:space="0" w:color="auto"/>
            <w:left w:val="none" w:sz="0" w:space="0" w:color="auto"/>
            <w:bottom w:val="none" w:sz="0" w:space="0" w:color="auto"/>
            <w:right w:val="none" w:sz="0" w:space="0" w:color="auto"/>
          </w:divBdr>
        </w:div>
        <w:div w:id="633103321">
          <w:marLeft w:val="0"/>
          <w:marRight w:val="0"/>
          <w:marTop w:val="0"/>
          <w:marBottom w:val="0"/>
          <w:divBdr>
            <w:top w:val="none" w:sz="0" w:space="0" w:color="auto"/>
            <w:left w:val="none" w:sz="0" w:space="0" w:color="auto"/>
            <w:bottom w:val="none" w:sz="0" w:space="0" w:color="auto"/>
            <w:right w:val="none" w:sz="0" w:space="0" w:color="auto"/>
          </w:divBdr>
        </w:div>
        <w:div w:id="778836636">
          <w:marLeft w:val="0"/>
          <w:marRight w:val="0"/>
          <w:marTop w:val="0"/>
          <w:marBottom w:val="0"/>
          <w:divBdr>
            <w:top w:val="none" w:sz="0" w:space="0" w:color="auto"/>
            <w:left w:val="none" w:sz="0" w:space="0" w:color="auto"/>
            <w:bottom w:val="none" w:sz="0" w:space="0" w:color="auto"/>
            <w:right w:val="none" w:sz="0" w:space="0" w:color="auto"/>
          </w:divBdr>
        </w:div>
        <w:div w:id="846401961">
          <w:marLeft w:val="0"/>
          <w:marRight w:val="0"/>
          <w:marTop w:val="0"/>
          <w:marBottom w:val="0"/>
          <w:divBdr>
            <w:top w:val="none" w:sz="0" w:space="0" w:color="auto"/>
            <w:left w:val="none" w:sz="0" w:space="0" w:color="auto"/>
            <w:bottom w:val="none" w:sz="0" w:space="0" w:color="auto"/>
            <w:right w:val="none" w:sz="0" w:space="0" w:color="auto"/>
          </w:divBdr>
        </w:div>
        <w:div w:id="855466320">
          <w:marLeft w:val="0"/>
          <w:marRight w:val="0"/>
          <w:marTop w:val="0"/>
          <w:marBottom w:val="0"/>
          <w:divBdr>
            <w:top w:val="none" w:sz="0" w:space="0" w:color="auto"/>
            <w:left w:val="none" w:sz="0" w:space="0" w:color="auto"/>
            <w:bottom w:val="none" w:sz="0" w:space="0" w:color="auto"/>
            <w:right w:val="none" w:sz="0" w:space="0" w:color="auto"/>
          </w:divBdr>
        </w:div>
        <w:div w:id="906455219">
          <w:marLeft w:val="0"/>
          <w:marRight w:val="0"/>
          <w:marTop w:val="0"/>
          <w:marBottom w:val="0"/>
          <w:divBdr>
            <w:top w:val="none" w:sz="0" w:space="0" w:color="auto"/>
            <w:left w:val="none" w:sz="0" w:space="0" w:color="auto"/>
            <w:bottom w:val="none" w:sz="0" w:space="0" w:color="auto"/>
            <w:right w:val="none" w:sz="0" w:space="0" w:color="auto"/>
          </w:divBdr>
        </w:div>
        <w:div w:id="1555506123">
          <w:marLeft w:val="0"/>
          <w:marRight w:val="0"/>
          <w:marTop w:val="0"/>
          <w:marBottom w:val="0"/>
          <w:divBdr>
            <w:top w:val="none" w:sz="0" w:space="0" w:color="auto"/>
            <w:left w:val="none" w:sz="0" w:space="0" w:color="auto"/>
            <w:bottom w:val="none" w:sz="0" w:space="0" w:color="auto"/>
            <w:right w:val="none" w:sz="0" w:space="0" w:color="auto"/>
          </w:divBdr>
        </w:div>
        <w:div w:id="1695500167">
          <w:marLeft w:val="0"/>
          <w:marRight w:val="0"/>
          <w:marTop w:val="0"/>
          <w:marBottom w:val="0"/>
          <w:divBdr>
            <w:top w:val="none" w:sz="0" w:space="0" w:color="auto"/>
            <w:left w:val="none" w:sz="0" w:space="0" w:color="auto"/>
            <w:bottom w:val="none" w:sz="0" w:space="0" w:color="auto"/>
            <w:right w:val="none" w:sz="0" w:space="0" w:color="auto"/>
          </w:divBdr>
        </w:div>
        <w:div w:id="1904025676">
          <w:marLeft w:val="0"/>
          <w:marRight w:val="0"/>
          <w:marTop w:val="0"/>
          <w:marBottom w:val="0"/>
          <w:divBdr>
            <w:top w:val="none" w:sz="0" w:space="0" w:color="auto"/>
            <w:left w:val="none" w:sz="0" w:space="0" w:color="auto"/>
            <w:bottom w:val="none" w:sz="0" w:space="0" w:color="auto"/>
            <w:right w:val="none" w:sz="0" w:space="0" w:color="auto"/>
          </w:divBdr>
        </w:div>
        <w:div w:id="2007511453">
          <w:marLeft w:val="0"/>
          <w:marRight w:val="0"/>
          <w:marTop w:val="0"/>
          <w:marBottom w:val="0"/>
          <w:divBdr>
            <w:top w:val="none" w:sz="0" w:space="0" w:color="auto"/>
            <w:left w:val="none" w:sz="0" w:space="0" w:color="auto"/>
            <w:bottom w:val="none" w:sz="0" w:space="0" w:color="auto"/>
            <w:right w:val="none" w:sz="0" w:space="0" w:color="auto"/>
          </w:divBdr>
        </w:div>
        <w:div w:id="2039231245">
          <w:marLeft w:val="0"/>
          <w:marRight w:val="0"/>
          <w:marTop w:val="0"/>
          <w:marBottom w:val="0"/>
          <w:divBdr>
            <w:top w:val="none" w:sz="0" w:space="0" w:color="auto"/>
            <w:left w:val="none" w:sz="0" w:space="0" w:color="auto"/>
            <w:bottom w:val="none" w:sz="0" w:space="0" w:color="auto"/>
            <w:right w:val="none" w:sz="0" w:space="0" w:color="auto"/>
          </w:divBdr>
        </w:div>
      </w:divsChild>
    </w:div>
    <w:div w:id="1830828467">
      <w:bodyDiv w:val="1"/>
      <w:marLeft w:val="0"/>
      <w:marRight w:val="0"/>
      <w:marTop w:val="0"/>
      <w:marBottom w:val="0"/>
      <w:divBdr>
        <w:top w:val="none" w:sz="0" w:space="0" w:color="auto"/>
        <w:left w:val="none" w:sz="0" w:space="0" w:color="auto"/>
        <w:bottom w:val="none" w:sz="0" w:space="0" w:color="auto"/>
        <w:right w:val="none" w:sz="0" w:space="0" w:color="auto"/>
      </w:divBdr>
    </w:div>
    <w:div w:id="1866164171">
      <w:bodyDiv w:val="1"/>
      <w:marLeft w:val="0"/>
      <w:marRight w:val="0"/>
      <w:marTop w:val="0"/>
      <w:marBottom w:val="0"/>
      <w:divBdr>
        <w:top w:val="none" w:sz="0" w:space="0" w:color="auto"/>
        <w:left w:val="none" w:sz="0" w:space="0" w:color="auto"/>
        <w:bottom w:val="none" w:sz="0" w:space="0" w:color="auto"/>
        <w:right w:val="none" w:sz="0" w:space="0" w:color="auto"/>
      </w:divBdr>
    </w:div>
    <w:div w:id="1887182577">
      <w:bodyDiv w:val="1"/>
      <w:marLeft w:val="0"/>
      <w:marRight w:val="0"/>
      <w:marTop w:val="0"/>
      <w:marBottom w:val="0"/>
      <w:divBdr>
        <w:top w:val="none" w:sz="0" w:space="0" w:color="auto"/>
        <w:left w:val="none" w:sz="0" w:space="0" w:color="auto"/>
        <w:bottom w:val="none" w:sz="0" w:space="0" w:color="auto"/>
        <w:right w:val="none" w:sz="0" w:space="0" w:color="auto"/>
      </w:divBdr>
    </w:div>
    <w:div w:id="2003118637">
      <w:bodyDiv w:val="1"/>
      <w:marLeft w:val="0"/>
      <w:marRight w:val="0"/>
      <w:marTop w:val="0"/>
      <w:marBottom w:val="0"/>
      <w:divBdr>
        <w:top w:val="none" w:sz="0" w:space="0" w:color="auto"/>
        <w:left w:val="none" w:sz="0" w:space="0" w:color="auto"/>
        <w:bottom w:val="none" w:sz="0" w:space="0" w:color="auto"/>
        <w:right w:val="none" w:sz="0" w:space="0" w:color="auto"/>
      </w:divBdr>
    </w:div>
    <w:div w:id="20566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29.xml"/><Relationship Id="rId21" Type="http://schemas.openxmlformats.org/officeDocument/2006/relationships/header" Target="header13.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5.xml"/><Relationship Id="rId63" Type="http://schemas.openxmlformats.org/officeDocument/2006/relationships/header" Target="header53.xml"/><Relationship Id="rId68" Type="http://schemas.openxmlformats.org/officeDocument/2006/relationships/header" Target="header58.xml"/><Relationship Id="rId76" Type="http://schemas.openxmlformats.org/officeDocument/2006/relationships/header" Target="header66.xml"/><Relationship Id="rId84" Type="http://schemas.openxmlformats.org/officeDocument/2006/relationships/header" Target="header7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1.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74" Type="http://schemas.openxmlformats.org/officeDocument/2006/relationships/header" Target="header64.xml"/><Relationship Id="rId79" Type="http://schemas.openxmlformats.org/officeDocument/2006/relationships/header" Target="header69.xml"/><Relationship Id="rId87" Type="http://schemas.openxmlformats.org/officeDocument/2006/relationships/header" Target="header74.xml"/><Relationship Id="rId5" Type="http://schemas.openxmlformats.org/officeDocument/2006/relationships/webSettings" Target="webSettings.xml"/><Relationship Id="rId61" Type="http://schemas.openxmlformats.org/officeDocument/2006/relationships/header" Target="header51.xml"/><Relationship Id="rId82" Type="http://schemas.openxmlformats.org/officeDocument/2006/relationships/image" Target="media/image3.png"/><Relationship Id="rId90" Type="http://schemas.openxmlformats.org/officeDocument/2006/relationships/theme" Target="theme/theme1.xml"/><Relationship Id="rId1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image" Target="media/image2.png"/><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header" Target="header67.xml"/><Relationship Id="rId8" Type="http://schemas.openxmlformats.org/officeDocument/2006/relationships/footer" Target="footer1.xml"/><Relationship Id="rId51" Type="http://schemas.openxmlformats.org/officeDocument/2006/relationships/header" Target="header41.xml"/><Relationship Id="rId72" Type="http://schemas.openxmlformats.org/officeDocument/2006/relationships/header" Target="header62.xml"/><Relationship Id="rId80" Type="http://schemas.openxmlformats.org/officeDocument/2006/relationships/header" Target="header70.xml"/><Relationship Id="rId85"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2.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83" Type="http://schemas.openxmlformats.org/officeDocument/2006/relationships/image" Target="media/image4.png"/><Relationship Id="rId88"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header" Target="head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3.xml"/></Relationships>
</file>

<file path=word/_rels/footnotes.xml.rels><?xml version="1.0" encoding="UTF-8" standalone="yes"?>
<Relationships xmlns="http://schemas.openxmlformats.org/package/2006/relationships"><Relationship Id="rId1" Type="http://schemas.openxmlformats.org/officeDocument/2006/relationships/hyperlink" Target="http://www.juridicas.unam.mx/publica/rev/derpriv/cont/3/dtr/dtr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F222-55DC-4CA0-A114-FB7ACAD6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147697</Words>
  <Characters>812339</Characters>
  <Application>Microsoft Office Word</Application>
  <DocSecurity>0</DocSecurity>
  <Lines>6769</Lines>
  <Paragraphs>1916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Serrano Lopez</dc:creator>
  <cp:keywords/>
  <dc:description/>
  <cp:lastModifiedBy>Maria del Consuelo Gonzalez Moreno</cp:lastModifiedBy>
  <cp:revision>24</cp:revision>
  <cp:lastPrinted>2017-03-10T17:25:00Z</cp:lastPrinted>
  <dcterms:created xsi:type="dcterms:W3CDTF">2017-04-20T16:23:00Z</dcterms:created>
  <dcterms:modified xsi:type="dcterms:W3CDTF">2017-05-17T18:17:00Z</dcterms:modified>
</cp:coreProperties>
</file>