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A4D" w:rsidRPr="00181B85" w:rsidRDefault="00F23F04" w:rsidP="009D6A4D">
      <w:pPr>
        <w:tabs>
          <w:tab w:val="right" w:pos="8789"/>
        </w:tabs>
        <w:spacing w:before="240" w:after="120"/>
        <w:jc w:val="both"/>
        <w:rPr>
          <w:rFonts w:ascii="ITC Avant Garde" w:hAnsi="ITC Avant Garde"/>
        </w:rPr>
      </w:pPr>
      <w:r w:rsidRPr="00181B85">
        <w:rPr>
          <w:rFonts w:ascii="ITC Avant Garde" w:hAnsi="ITC Avant Garde"/>
        </w:rPr>
        <w:t xml:space="preserve">Ciudad de México, a </w:t>
      </w:r>
      <w:r w:rsidR="00A22CC4" w:rsidRPr="00181B85">
        <w:rPr>
          <w:rFonts w:ascii="ITC Avant Garde" w:hAnsi="ITC Avant Garde"/>
        </w:rPr>
        <w:t xml:space="preserve">veintidós </w:t>
      </w:r>
      <w:r w:rsidRPr="00181B85">
        <w:rPr>
          <w:rFonts w:ascii="ITC Avant Garde" w:hAnsi="ITC Avant Garde"/>
        </w:rPr>
        <w:t xml:space="preserve">de </w:t>
      </w:r>
      <w:r w:rsidR="00A74FA9" w:rsidRPr="00181B85">
        <w:rPr>
          <w:rFonts w:ascii="ITC Avant Garde" w:hAnsi="ITC Avant Garde"/>
        </w:rPr>
        <w:t>marzo</w:t>
      </w:r>
      <w:r w:rsidRPr="00181B85">
        <w:rPr>
          <w:rFonts w:ascii="ITC Avant Garde" w:hAnsi="ITC Avant Garde"/>
        </w:rPr>
        <w:t xml:space="preserve"> de dos mil diecisiete.- Vistos:</w:t>
      </w:r>
    </w:p>
    <w:p w:rsidR="009D6A4D" w:rsidRPr="00181B85" w:rsidRDefault="005A7955" w:rsidP="009D6A4D">
      <w:pPr>
        <w:tabs>
          <w:tab w:val="right" w:pos="8789"/>
        </w:tabs>
        <w:spacing w:before="240" w:after="120"/>
        <w:jc w:val="both"/>
        <w:rPr>
          <w:rFonts w:ascii="ITC Avant Garde" w:hAnsi="ITC Avant Garde"/>
        </w:rPr>
      </w:pPr>
      <w:r w:rsidRPr="00181B85">
        <w:rPr>
          <w:rFonts w:ascii="ITC Avant Garde" w:hAnsi="ITC Avant Garde"/>
          <w:b/>
        </w:rPr>
        <w:t xml:space="preserve">I. </w:t>
      </w:r>
      <w:r w:rsidR="00BB0CFC" w:rsidRPr="00181B85">
        <w:rPr>
          <w:rFonts w:ascii="ITC Avant Garde" w:hAnsi="ITC Avant Garde"/>
        </w:rPr>
        <w:t>La resolución de fecha veintisiete de octubre de dos mil once</w:t>
      </w:r>
      <w:r w:rsidR="00DE7FD2" w:rsidRPr="00181B85">
        <w:rPr>
          <w:rFonts w:ascii="ITC Avant Garde" w:hAnsi="ITC Avant Garde"/>
        </w:rPr>
        <w:t>,</w:t>
      </w:r>
      <w:r w:rsidR="00BB0CFC" w:rsidRPr="00181B85">
        <w:rPr>
          <w:rFonts w:ascii="ITC Avant Garde" w:hAnsi="ITC Avant Garde"/>
        </w:rPr>
        <w:t xml:space="preserve"> emitida por el Pleno de la e</w:t>
      </w:r>
      <w:r w:rsidR="00667B9A" w:rsidRPr="00181B85">
        <w:rPr>
          <w:rFonts w:ascii="ITC Avant Garde" w:hAnsi="ITC Avant Garde"/>
        </w:rPr>
        <w:t>xtinta</w:t>
      </w:r>
      <w:r w:rsidR="00BB0CFC" w:rsidRPr="00181B85">
        <w:rPr>
          <w:rFonts w:ascii="ITC Avant Garde" w:hAnsi="ITC Avant Garde"/>
        </w:rPr>
        <w:t xml:space="preserve"> Comisión Federal de Competencia (</w:t>
      </w:r>
      <w:r w:rsidR="00CB7375" w:rsidRPr="00181B85">
        <w:rPr>
          <w:rFonts w:ascii="ITC Avant Garde" w:hAnsi="ITC Avant Garde"/>
        </w:rPr>
        <w:t>CFC</w:t>
      </w:r>
      <w:r w:rsidR="00BB0CFC" w:rsidRPr="00181B85">
        <w:rPr>
          <w:rFonts w:ascii="ITC Avant Garde" w:hAnsi="ITC Avant Garde"/>
        </w:rPr>
        <w:t>)</w:t>
      </w:r>
      <w:r w:rsidRPr="00181B85">
        <w:rPr>
          <w:rFonts w:ascii="ITC Avant Garde" w:hAnsi="ITC Avant Garde"/>
        </w:rPr>
        <w:t>, dentro del expediente DC-07-2007</w:t>
      </w:r>
      <w:r w:rsidR="00DE7FD2" w:rsidRPr="00181B85">
        <w:rPr>
          <w:rFonts w:ascii="ITC Avant Garde" w:hAnsi="ITC Avant Garde"/>
        </w:rPr>
        <w:t>,</w:t>
      </w:r>
      <w:r w:rsidR="00CA381F" w:rsidRPr="00181B85">
        <w:rPr>
          <w:rStyle w:val="Refdenotaalpie"/>
          <w:rFonts w:ascii="ITC Avant Garde" w:hAnsi="ITC Avant Garde"/>
        </w:rPr>
        <w:footnoteReference w:id="2"/>
      </w:r>
      <w:r w:rsidR="00DE7FD2" w:rsidRPr="00181B85">
        <w:rPr>
          <w:rFonts w:ascii="ITC Avant Garde" w:hAnsi="ITC Avant Garde"/>
        </w:rPr>
        <w:t xml:space="preserve"> a través de la cual</w:t>
      </w:r>
      <w:r w:rsidR="0056687B" w:rsidRPr="00181B85">
        <w:rPr>
          <w:rFonts w:ascii="ITC Avant Garde" w:hAnsi="ITC Avant Garde"/>
        </w:rPr>
        <w:t>,</w:t>
      </w:r>
      <w:r w:rsidR="00DE7FD2" w:rsidRPr="00181B85">
        <w:rPr>
          <w:rFonts w:ascii="ITC Avant Garde" w:hAnsi="ITC Avant Garde"/>
        </w:rPr>
        <w:t xml:space="preserve"> entre otras cosas</w:t>
      </w:r>
      <w:r w:rsidR="0056687B" w:rsidRPr="00181B85">
        <w:rPr>
          <w:rFonts w:ascii="ITC Avant Garde" w:hAnsi="ITC Avant Garde"/>
        </w:rPr>
        <w:t>,</w:t>
      </w:r>
      <w:r w:rsidR="00DE7FD2" w:rsidRPr="00181B85">
        <w:rPr>
          <w:rFonts w:ascii="ITC Avant Garde" w:hAnsi="ITC Avant Garde"/>
        </w:rPr>
        <w:t xml:space="preserve"> se resolvió que </w:t>
      </w:r>
      <w:proofErr w:type="spellStart"/>
      <w:r w:rsidR="00DE7FD2" w:rsidRPr="00181B85">
        <w:rPr>
          <w:rFonts w:ascii="ITC Avant Garde" w:hAnsi="ITC Avant Garde"/>
        </w:rPr>
        <w:t>Radiomóvil</w:t>
      </w:r>
      <w:proofErr w:type="spellEnd"/>
      <w:r w:rsidR="00DE7FD2" w:rsidRPr="00181B85">
        <w:rPr>
          <w:rFonts w:ascii="ITC Avant Garde" w:hAnsi="ITC Avant Garde"/>
        </w:rPr>
        <w:t xml:space="preserve"> </w:t>
      </w:r>
      <w:proofErr w:type="spellStart"/>
      <w:r w:rsidR="00DE7FD2" w:rsidRPr="00181B85">
        <w:rPr>
          <w:rFonts w:ascii="ITC Avant Garde" w:hAnsi="ITC Avant Garde"/>
        </w:rPr>
        <w:t>Dipsa</w:t>
      </w:r>
      <w:proofErr w:type="spellEnd"/>
      <w:r w:rsidR="00DE7FD2" w:rsidRPr="00181B85">
        <w:rPr>
          <w:rFonts w:ascii="ITC Avant Garde" w:hAnsi="ITC Avant Garde"/>
        </w:rPr>
        <w:t>, S.A. de C.V. (Telcel) tiene poder sustancial en el mercado relevante de servicios de terminación conmutada prestados en sus redes móviles a los demás concesionarios de servicios locales y a los concesionarios del servicio de larga distancia</w:t>
      </w:r>
      <w:r w:rsidRPr="00181B85">
        <w:rPr>
          <w:rFonts w:ascii="ITC Avant Garde" w:hAnsi="ITC Avant Garde"/>
        </w:rPr>
        <w:t>.</w:t>
      </w:r>
    </w:p>
    <w:p w:rsidR="009D6A4D" w:rsidRPr="00181B85" w:rsidRDefault="00F23F04" w:rsidP="009D6A4D">
      <w:pPr>
        <w:tabs>
          <w:tab w:val="right" w:pos="8789"/>
        </w:tabs>
        <w:spacing w:before="240" w:after="120"/>
        <w:jc w:val="both"/>
        <w:rPr>
          <w:rFonts w:ascii="ITC Avant Garde" w:hAnsi="ITC Avant Garde"/>
        </w:rPr>
      </w:pPr>
      <w:r w:rsidRPr="00181B85">
        <w:rPr>
          <w:rFonts w:ascii="ITC Avant Garde" w:hAnsi="ITC Avant Garde"/>
          <w:b/>
        </w:rPr>
        <w:t>I</w:t>
      </w:r>
      <w:r w:rsidR="00BB0CFC" w:rsidRPr="00181B85">
        <w:rPr>
          <w:rFonts w:ascii="ITC Avant Garde" w:hAnsi="ITC Avant Garde"/>
          <w:b/>
        </w:rPr>
        <w:t>I</w:t>
      </w:r>
      <w:r w:rsidRPr="00181B85">
        <w:rPr>
          <w:rFonts w:ascii="ITC Avant Garde" w:hAnsi="ITC Avant Garde"/>
          <w:b/>
        </w:rPr>
        <w:t>.</w:t>
      </w:r>
      <w:r w:rsidRPr="00181B85">
        <w:rPr>
          <w:rFonts w:ascii="ITC Avant Garde" w:hAnsi="ITC Avant Garde"/>
        </w:rPr>
        <w:t xml:space="preserve"> La resolución </w:t>
      </w:r>
      <w:r w:rsidR="00F53605" w:rsidRPr="00181B85">
        <w:rPr>
          <w:rFonts w:ascii="ITC Avant Garde" w:hAnsi="ITC Avant Garde"/>
        </w:rPr>
        <w:t>de fecha catorce de marzo de dos mil doce</w:t>
      </w:r>
      <w:r w:rsidR="002D5BAE" w:rsidRPr="00181B85">
        <w:rPr>
          <w:rFonts w:ascii="ITC Avant Garde" w:hAnsi="ITC Avant Garde"/>
        </w:rPr>
        <w:t>,</w:t>
      </w:r>
      <w:r w:rsidR="00F53605" w:rsidRPr="00181B85">
        <w:rPr>
          <w:rFonts w:ascii="ITC Avant Garde" w:hAnsi="ITC Avant Garde"/>
        </w:rPr>
        <w:t xml:space="preserve"> </w:t>
      </w:r>
      <w:r w:rsidR="00A109AC" w:rsidRPr="00181B85">
        <w:rPr>
          <w:rFonts w:ascii="ITC Avant Garde" w:hAnsi="ITC Avant Garde"/>
        </w:rPr>
        <w:t>emiti</w:t>
      </w:r>
      <w:r w:rsidRPr="00181B85">
        <w:rPr>
          <w:rFonts w:ascii="ITC Avant Garde" w:hAnsi="ITC Avant Garde"/>
        </w:rPr>
        <w:t xml:space="preserve">da </w:t>
      </w:r>
      <w:r w:rsidR="00F53605" w:rsidRPr="00181B85">
        <w:rPr>
          <w:rFonts w:ascii="ITC Avant Garde" w:hAnsi="ITC Avant Garde"/>
        </w:rPr>
        <w:t xml:space="preserve">por el Pleno de la </w:t>
      </w:r>
      <w:r w:rsidR="00CB7375" w:rsidRPr="00181B85">
        <w:rPr>
          <w:rFonts w:ascii="ITC Avant Garde" w:hAnsi="ITC Avant Garde"/>
        </w:rPr>
        <w:t>CFC</w:t>
      </w:r>
      <w:r w:rsidR="00F53605" w:rsidRPr="00181B85">
        <w:rPr>
          <w:rFonts w:ascii="ITC Avant Garde" w:hAnsi="ITC Avant Garde"/>
        </w:rPr>
        <w:t xml:space="preserve">, dentro del </w:t>
      </w:r>
      <w:r w:rsidR="00DE7FD2" w:rsidRPr="00181B85">
        <w:rPr>
          <w:rFonts w:ascii="ITC Avant Garde" w:hAnsi="ITC Avant Garde"/>
        </w:rPr>
        <w:t xml:space="preserve">recurso de reconsideración con número de </w:t>
      </w:r>
      <w:r w:rsidR="00F53605" w:rsidRPr="00181B85">
        <w:rPr>
          <w:rFonts w:ascii="ITC Avant Garde" w:hAnsi="ITC Avant Garde"/>
        </w:rPr>
        <w:t>e</w:t>
      </w:r>
      <w:r w:rsidRPr="00181B85">
        <w:rPr>
          <w:rFonts w:ascii="ITC Avant Garde" w:hAnsi="ITC Avant Garde"/>
        </w:rPr>
        <w:t xml:space="preserve">xpediente </w:t>
      </w:r>
      <w:r w:rsidR="00F53605" w:rsidRPr="00181B85">
        <w:rPr>
          <w:rFonts w:ascii="ITC Avant Garde" w:hAnsi="ITC Avant Garde"/>
        </w:rPr>
        <w:t>RA-029-2011 y acumulados</w:t>
      </w:r>
      <w:r w:rsidR="004A4291" w:rsidRPr="00181B85">
        <w:rPr>
          <w:rFonts w:ascii="ITC Avant Garde" w:hAnsi="ITC Avant Garde"/>
        </w:rPr>
        <w:t xml:space="preserve"> (Expediente)</w:t>
      </w:r>
      <w:r w:rsidR="00DE7FD2" w:rsidRPr="00181B85">
        <w:rPr>
          <w:rFonts w:ascii="ITC Avant Garde" w:hAnsi="ITC Avant Garde"/>
        </w:rPr>
        <w:t>,</w:t>
      </w:r>
      <w:r w:rsidR="004A4291" w:rsidRPr="00181B85">
        <w:rPr>
          <w:rStyle w:val="Refdenotaalpie"/>
          <w:rFonts w:ascii="ITC Avant Garde" w:hAnsi="ITC Avant Garde"/>
        </w:rPr>
        <w:footnoteReference w:id="3"/>
      </w:r>
      <w:r w:rsidR="00DE7FD2" w:rsidRPr="00181B85">
        <w:rPr>
          <w:rFonts w:ascii="ITC Avant Garde" w:hAnsi="ITC Avant Garde"/>
        </w:rPr>
        <w:t xml:space="preserve"> mediante la cual</w:t>
      </w:r>
      <w:r w:rsidR="0056687B" w:rsidRPr="00181B85">
        <w:rPr>
          <w:rFonts w:ascii="ITC Avant Garde" w:hAnsi="ITC Avant Garde"/>
        </w:rPr>
        <w:t>,</w:t>
      </w:r>
      <w:r w:rsidR="00DE7FD2" w:rsidRPr="00181B85">
        <w:rPr>
          <w:rFonts w:ascii="ITC Avant Garde" w:hAnsi="ITC Avant Garde"/>
        </w:rPr>
        <w:t xml:space="preserve"> entre otras cosas</w:t>
      </w:r>
      <w:r w:rsidR="0056687B" w:rsidRPr="00181B85">
        <w:rPr>
          <w:rFonts w:ascii="ITC Avant Garde" w:hAnsi="ITC Avant Garde"/>
        </w:rPr>
        <w:t>,</w:t>
      </w:r>
      <w:r w:rsidR="00DE7FD2" w:rsidRPr="00181B85">
        <w:rPr>
          <w:rFonts w:ascii="ITC Avant Garde" w:hAnsi="ITC Avant Garde"/>
        </w:rPr>
        <w:t xml:space="preserve"> </w:t>
      </w:r>
      <w:r w:rsidR="002D5BAE" w:rsidRPr="00181B85">
        <w:rPr>
          <w:rFonts w:ascii="ITC Avant Garde" w:hAnsi="ITC Avant Garde"/>
        </w:rPr>
        <w:t xml:space="preserve">confirmó que Telcel tiene poder sustancial en el mercado relevante de servicios de terminación conmutada prestados en sus redes móviles a los demás concesionarios de servicios locales y a los concesionarios del servicio de larga distancia </w:t>
      </w:r>
      <w:r w:rsidR="00DC0123" w:rsidRPr="00181B85">
        <w:rPr>
          <w:rFonts w:ascii="ITC Avant Garde" w:hAnsi="ITC Avant Garde"/>
        </w:rPr>
        <w:t>(Resolución)</w:t>
      </w:r>
      <w:r w:rsidRPr="00181B85">
        <w:rPr>
          <w:rFonts w:ascii="ITC Avant Garde" w:hAnsi="ITC Avant Garde"/>
        </w:rPr>
        <w:t>.</w:t>
      </w:r>
    </w:p>
    <w:p w:rsidR="009D6A4D" w:rsidRPr="00181B85" w:rsidRDefault="00F23F04" w:rsidP="009D6A4D">
      <w:pPr>
        <w:spacing w:before="240" w:after="120"/>
        <w:jc w:val="both"/>
        <w:rPr>
          <w:rFonts w:ascii="ITC Avant Garde" w:hAnsi="ITC Avant Garde"/>
        </w:rPr>
      </w:pPr>
      <w:r w:rsidRPr="00181B85">
        <w:rPr>
          <w:rFonts w:ascii="ITC Avant Garde" w:hAnsi="ITC Avant Garde"/>
          <w:b/>
        </w:rPr>
        <w:t>II</w:t>
      </w:r>
      <w:r w:rsidR="00BB0CFC" w:rsidRPr="00181B85">
        <w:rPr>
          <w:rFonts w:ascii="ITC Avant Garde" w:hAnsi="ITC Avant Garde"/>
          <w:b/>
        </w:rPr>
        <w:t>I</w:t>
      </w:r>
      <w:r w:rsidRPr="00181B85">
        <w:rPr>
          <w:rFonts w:ascii="ITC Avant Garde" w:hAnsi="ITC Avant Garde"/>
          <w:b/>
        </w:rPr>
        <w:t>.</w:t>
      </w:r>
      <w:r w:rsidRPr="00181B85">
        <w:rPr>
          <w:rFonts w:ascii="ITC Avant Garde" w:hAnsi="ITC Avant Garde"/>
        </w:rPr>
        <w:t xml:space="preserve"> La sentencia de </w:t>
      </w:r>
      <w:r w:rsidR="00976BFA" w:rsidRPr="00181B85">
        <w:rPr>
          <w:rFonts w:ascii="ITC Avant Garde" w:hAnsi="ITC Avant Garde"/>
        </w:rPr>
        <w:t xml:space="preserve">fecha </w:t>
      </w:r>
      <w:r w:rsidR="00807D6E" w:rsidRPr="00181B85">
        <w:rPr>
          <w:rFonts w:ascii="ITC Avant Garde" w:hAnsi="ITC Avant Garde"/>
        </w:rPr>
        <w:t>cinco de julio de dos mil trece</w:t>
      </w:r>
      <w:r w:rsidR="00C147A7" w:rsidRPr="00181B85">
        <w:rPr>
          <w:rFonts w:ascii="ITC Avant Garde" w:hAnsi="ITC Avant Garde"/>
        </w:rPr>
        <w:t>,</w:t>
      </w:r>
      <w:r w:rsidR="00976BFA" w:rsidRPr="00181B85">
        <w:rPr>
          <w:rFonts w:ascii="ITC Avant Garde" w:hAnsi="ITC Avant Garde"/>
        </w:rPr>
        <w:t xml:space="preserve"> emitida por el Juz</w:t>
      </w:r>
      <w:r w:rsidR="00DC0123" w:rsidRPr="00181B85">
        <w:rPr>
          <w:rFonts w:ascii="ITC Avant Garde" w:hAnsi="ITC Avant Garde"/>
        </w:rPr>
        <w:t xml:space="preserve">gado Tercero de Distrito en Materia Administrativa </w:t>
      </w:r>
      <w:r w:rsidR="009A604E" w:rsidRPr="00181B85">
        <w:rPr>
          <w:rFonts w:ascii="ITC Avant Garde" w:hAnsi="ITC Avant Garde"/>
        </w:rPr>
        <w:t>del entonces Distrito Federal, hoy Ciud</w:t>
      </w:r>
      <w:r w:rsidR="00DC0123" w:rsidRPr="00181B85">
        <w:rPr>
          <w:rFonts w:ascii="ITC Avant Garde" w:hAnsi="ITC Avant Garde"/>
        </w:rPr>
        <w:t>ad de México</w:t>
      </w:r>
      <w:r w:rsidR="002D5BAE" w:rsidRPr="00181B85">
        <w:rPr>
          <w:rFonts w:ascii="ITC Avant Garde" w:hAnsi="ITC Avant Garde"/>
        </w:rPr>
        <w:t xml:space="preserve"> (Juzgado)</w:t>
      </w:r>
      <w:r w:rsidR="00DC0123" w:rsidRPr="00181B85">
        <w:rPr>
          <w:rFonts w:ascii="ITC Avant Garde" w:hAnsi="ITC Avant Garde"/>
        </w:rPr>
        <w:t>, dentro</w:t>
      </w:r>
      <w:r w:rsidRPr="00181B85">
        <w:rPr>
          <w:rFonts w:ascii="ITC Avant Garde" w:hAnsi="ITC Avant Garde"/>
        </w:rPr>
        <w:t xml:space="preserve"> </w:t>
      </w:r>
      <w:r w:rsidR="00DC0123" w:rsidRPr="00181B85">
        <w:rPr>
          <w:rFonts w:ascii="ITC Avant Garde" w:hAnsi="ITC Avant Garde"/>
        </w:rPr>
        <w:t>d</w:t>
      </w:r>
      <w:r w:rsidRPr="00181B85">
        <w:rPr>
          <w:rFonts w:ascii="ITC Avant Garde" w:hAnsi="ITC Avant Garde"/>
        </w:rPr>
        <w:t xml:space="preserve">el expediente del juicio de amparo </w:t>
      </w:r>
      <w:r w:rsidR="00976BFA" w:rsidRPr="00181B85">
        <w:rPr>
          <w:rFonts w:ascii="ITC Avant Garde" w:hAnsi="ITC Avant Garde"/>
        </w:rPr>
        <w:t>575/2012</w:t>
      </w:r>
      <w:r w:rsidR="00DA296D" w:rsidRPr="00181B85">
        <w:rPr>
          <w:rFonts w:ascii="ITC Avant Garde" w:hAnsi="ITC Avant Garde"/>
        </w:rPr>
        <w:t>,</w:t>
      </w:r>
      <w:r w:rsidRPr="00181B85">
        <w:rPr>
          <w:rFonts w:ascii="ITC Avant Garde" w:hAnsi="ITC Avant Garde"/>
        </w:rPr>
        <w:t xml:space="preserve"> a través de la cual</w:t>
      </w:r>
      <w:r w:rsidR="0056687B" w:rsidRPr="00181B85">
        <w:rPr>
          <w:rFonts w:ascii="ITC Avant Garde" w:hAnsi="ITC Avant Garde"/>
        </w:rPr>
        <w:t>,</w:t>
      </w:r>
      <w:r w:rsidRPr="00181B85">
        <w:rPr>
          <w:rFonts w:ascii="ITC Avant Garde" w:hAnsi="ITC Avant Garde"/>
        </w:rPr>
        <w:t xml:space="preserve"> </w:t>
      </w:r>
      <w:r w:rsidR="00DC0123" w:rsidRPr="00181B85">
        <w:rPr>
          <w:rFonts w:ascii="ITC Avant Garde" w:hAnsi="ITC Avant Garde"/>
        </w:rPr>
        <w:t>entre otras cosas</w:t>
      </w:r>
      <w:r w:rsidR="0056687B" w:rsidRPr="00181B85">
        <w:rPr>
          <w:rFonts w:ascii="ITC Avant Garde" w:hAnsi="ITC Avant Garde"/>
        </w:rPr>
        <w:t>,</w:t>
      </w:r>
      <w:r w:rsidR="00DC0123" w:rsidRPr="00181B85">
        <w:rPr>
          <w:rFonts w:ascii="ITC Avant Garde" w:hAnsi="ITC Avant Garde"/>
        </w:rPr>
        <w:t xml:space="preserve"> </w:t>
      </w:r>
      <w:r w:rsidRPr="00181B85">
        <w:rPr>
          <w:rFonts w:ascii="ITC Avant Garde" w:hAnsi="ITC Avant Garde"/>
        </w:rPr>
        <w:t>res</w:t>
      </w:r>
      <w:r w:rsidR="001D2E71" w:rsidRPr="00181B85">
        <w:rPr>
          <w:rFonts w:ascii="ITC Avant Garde" w:hAnsi="ITC Avant Garde"/>
        </w:rPr>
        <w:t>o</w:t>
      </w:r>
      <w:r w:rsidRPr="00181B85">
        <w:rPr>
          <w:rFonts w:ascii="ITC Avant Garde" w:hAnsi="ITC Avant Garde"/>
        </w:rPr>
        <w:t>lv</w:t>
      </w:r>
      <w:r w:rsidR="001D2E71" w:rsidRPr="00181B85">
        <w:rPr>
          <w:rFonts w:ascii="ITC Avant Garde" w:hAnsi="ITC Avant Garde"/>
        </w:rPr>
        <w:t>ió</w:t>
      </w:r>
      <w:r w:rsidR="008C4CE1" w:rsidRPr="00181B85">
        <w:rPr>
          <w:rFonts w:ascii="ITC Avant Garde" w:hAnsi="ITC Avant Garde"/>
        </w:rPr>
        <w:t xml:space="preserve"> que</w:t>
      </w:r>
      <w:r w:rsidR="00B7136E" w:rsidRPr="00181B85">
        <w:rPr>
          <w:rFonts w:ascii="ITC Avant Garde" w:hAnsi="ITC Avant Garde"/>
        </w:rPr>
        <w:t>”</w:t>
      </w:r>
      <w:r w:rsidR="004C1E12" w:rsidRPr="00181B85">
        <w:rPr>
          <w:rFonts w:ascii="ITC Avant Garde" w:hAnsi="ITC Avant Garde"/>
        </w:rPr>
        <w:t>[</w:t>
      </w:r>
      <w:r w:rsidR="00B7136E" w:rsidRPr="00181B85">
        <w:rPr>
          <w:rFonts w:ascii="ITC Avant Garde" w:hAnsi="ITC Avant Garde"/>
        </w:rPr>
        <w:t>…</w:t>
      </w:r>
      <w:r w:rsidR="004C1E12" w:rsidRPr="00181B85">
        <w:rPr>
          <w:rFonts w:ascii="ITC Avant Garde" w:hAnsi="ITC Avant Garde"/>
        </w:rPr>
        <w:t>]</w:t>
      </w:r>
      <w:r w:rsidR="00B7136E" w:rsidRPr="00181B85">
        <w:rPr>
          <w:rFonts w:ascii="ITC Avant Garde" w:hAnsi="ITC Avant Garde"/>
        </w:rPr>
        <w:t xml:space="preserve"> </w:t>
      </w:r>
      <w:r w:rsidR="00623835" w:rsidRPr="00181B85">
        <w:rPr>
          <w:rFonts w:ascii="ITC Avant Garde" w:hAnsi="ITC Avant Garde"/>
          <w:sz w:val="20"/>
          <w:szCs w:val="20"/>
        </w:rPr>
        <w:t xml:space="preserve">La Justicia de la Unión </w:t>
      </w:r>
      <w:r w:rsidR="00623835" w:rsidRPr="00181B85">
        <w:rPr>
          <w:rFonts w:ascii="ITC Avant Garde" w:hAnsi="ITC Avant Garde"/>
          <w:b/>
          <w:sz w:val="20"/>
          <w:szCs w:val="20"/>
        </w:rPr>
        <w:t xml:space="preserve">AMPARA Y PROTEGE a </w:t>
      </w:r>
      <w:r w:rsidR="00623835" w:rsidRPr="00181B85">
        <w:rPr>
          <w:rFonts w:ascii="ITC Avant Garde" w:hAnsi="ITC Avant Garde"/>
          <w:b/>
          <w:szCs w:val="20"/>
        </w:rPr>
        <w:t>[</w:t>
      </w:r>
      <w:r w:rsidR="00120AE7" w:rsidRPr="00181B85">
        <w:rPr>
          <w:rFonts w:ascii="ITC Avant Garde" w:hAnsi="ITC Avant Garde"/>
          <w:b/>
          <w:szCs w:val="20"/>
        </w:rPr>
        <w:t>Telcel</w:t>
      </w:r>
      <w:r w:rsidR="00623835" w:rsidRPr="00181B85">
        <w:rPr>
          <w:rFonts w:ascii="ITC Avant Garde" w:hAnsi="ITC Avant Garde"/>
          <w:b/>
          <w:szCs w:val="20"/>
        </w:rPr>
        <w:t>]</w:t>
      </w:r>
      <w:r w:rsidR="00623835" w:rsidRPr="00181B85">
        <w:rPr>
          <w:rFonts w:ascii="ITC Avant Garde" w:hAnsi="ITC Avant Garde"/>
          <w:szCs w:val="20"/>
        </w:rPr>
        <w:t>,</w:t>
      </w:r>
      <w:r w:rsidR="00B7136E" w:rsidRPr="00181B85">
        <w:rPr>
          <w:rFonts w:ascii="ITC Avant Garde" w:hAnsi="ITC Avant Garde"/>
          <w:sz w:val="20"/>
          <w:szCs w:val="20"/>
        </w:rPr>
        <w:t xml:space="preserve"> </w:t>
      </w:r>
      <w:r w:rsidR="00623835" w:rsidRPr="00181B85">
        <w:rPr>
          <w:rFonts w:ascii="ITC Avant Garde" w:hAnsi="ITC Avant Garde"/>
          <w:sz w:val="20"/>
          <w:szCs w:val="20"/>
        </w:rPr>
        <w:t xml:space="preserve">contra la resolución de catorce de marzo de dos mil doce, dictada en el expediente </w:t>
      </w:r>
      <w:r w:rsidR="00623835" w:rsidRPr="00181B85">
        <w:rPr>
          <w:rFonts w:ascii="ITC Avant Garde" w:hAnsi="ITC Avant Garde"/>
          <w:b/>
          <w:sz w:val="20"/>
          <w:szCs w:val="20"/>
        </w:rPr>
        <w:t>RA-029-2011 y acumulados</w:t>
      </w:r>
      <w:r w:rsidR="00623835" w:rsidRPr="00181B85">
        <w:rPr>
          <w:rFonts w:ascii="ITC Avant Garde" w:hAnsi="ITC Avant Garde"/>
          <w:sz w:val="20"/>
          <w:szCs w:val="20"/>
        </w:rPr>
        <w:t>; atento a los razonamientos y para los efectos que han quedado precisados en el último considerando de este fallo.</w:t>
      </w:r>
      <w:r w:rsidR="004C1E12" w:rsidRPr="00181B85">
        <w:rPr>
          <w:rFonts w:ascii="ITC Avant Garde" w:hAnsi="ITC Avant Garde"/>
        </w:rPr>
        <w:t>”</w:t>
      </w:r>
      <w:r w:rsidR="00887042" w:rsidRPr="00181B85">
        <w:rPr>
          <w:rFonts w:ascii="ITC Avant Garde" w:hAnsi="ITC Avant Garde"/>
        </w:rPr>
        <w:t>(Sentencia)</w:t>
      </w:r>
      <w:r w:rsidR="0056687B" w:rsidRPr="00181B85">
        <w:rPr>
          <w:rFonts w:ascii="ITC Avant Garde" w:hAnsi="ITC Avant Garde"/>
        </w:rPr>
        <w:t>.</w:t>
      </w:r>
    </w:p>
    <w:p w:rsidR="009D6A4D" w:rsidRPr="00181B85" w:rsidRDefault="00887042" w:rsidP="009D6A4D">
      <w:pPr>
        <w:spacing w:before="240" w:after="120"/>
        <w:jc w:val="both"/>
        <w:rPr>
          <w:rFonts w:ascii="ITC Avant Garde" w:hAnsi="ITC Avant Garde"/>
        </w:rPr>
      </w:pPr>
      <w:r w:rsidRPr="00181B85">
        <w:rPr>
          <w:rFonts w:ascii="ITC Avant Garde" w:hAnsi="ITC Avant Garde"/>
        </w:rPr>
        <w:t xml:space="preserve">En este sentido, los razonamientos y efectos precisados en el último considerando de la Sentencia, </w:t>
      </w:r>
      <w:r w:rsidR="00B3130E" w:rsidRPr="00181B85">
        <w:rPr>
          <w:rFonts w:ascii="ITC Avant Garde" w:hAnsi="ITC Avant Garde"/>
        </w:rPr>
        <w:t>son l</w:t>
      </w:r>
      <w:r w:rsidR="009F154A" w:rsidRPr="00181B85">
        <w:rPr>
          <w:rFonts w:ascii="ITC Avant Garde" w:hAnsi="ITC Avant Garde"/>
        </w:rPr>
        <w:t>os</w:t>
      </w:r>
      <w:r w:rsidR="00B3130E" w:rsidRPr="00181B85">
        <w:rPr>
          <w:rFonts w:ascii="ITC Avant Garde" w:hAnsi="ITC Avant Garde"/>
        </w:rPr>
        <w:t xml:space="preserve"> siguiente</w:t>
      </w:r>
      <w:r w:rsidR="009F154A" w:rsidRPr="00181B85">
        <w:rPr>
          <w:rFonts w:ascii="ITC Avant Garde" w:hAnsi="ITC Avant Garde"/>
        </w:rPr>
        <w:t>s</w:t>
      </w:r>
      <w:r w:rsidR="00667B9A" w:rsidRPr="00181B85">
        <w:rPr>
          <w:rFonts w:ascii="ITC Avant Garde" w:hAnsi="ITC Avant Garde"/>
        </w:rPr>
        <w:t>:</w:t>
      </w:r>
      <w:r w:rsidR="00667B9A" w:rsidRPr="00181B85">
        <w:rPr>
          <w:rStyle w:val="Refdenotaalpie"/>
          <w:rFonts w:ascii="ITC Avant Garde" w:hAnsi="ITC Avant Garde"/>
        </w:rPr>
        <w:footnoteReference w:id="4"/>
      </w:r>
    </w:p>
    <w:p w:rsidR="00120AE7" w:rsidRPr="00181B85" w:rsidRDefault="00120AE7" w:rsidP="009D6A4D">
      <w:pPr>
        <w:autoSpaceDE w:val="0"/>
        <w:autoSpaceDN w:val="0"/>
        <w:adjustRightInd w:val="0"/>
        <w:spacing w:before="240" w:after="120"/>
        <w:ind w:left="567" w:right="567"/>
        <w:jc w:val="both"/>
        <w:rPr>
          <w:rFonts w:ascii="ITC Avant Garde" w:hAnsi="ITC Avant Garde" w:cs="Helvetica"/>
        </w:rPr>
      </w:pPr>
      <w:r w:rsidRPr="00181B85">
        <w:rPr>
          <w:rFonts w:ascii="ITC Avant Garde" w:hAnsi="ITC Avant Garde" w:cs="Helvetica"/>
        </w:rPr>
        <w:t>“[…]</w:t>
      </w:r>
    </w:p>
    <w:p w:rsidR="00120AE7" w:rsidRPr="00181B85" w:rsidRDefault="00120AE7" w:rsidP="009D6A4D">
      <w:pPr>
        <w:autoSpaceDE w:val="0"/>
        <w:autoSpaceDN w:val="0"/>
        <w:adjustRightInd w:val="0"/>
        <w:spacing w:before="240" w:after="120"/>
        <w:ind w:left="567" w:right="567"/>
        <w:jc w:val="both"/>
        <w:rPr>
          <w:rFonts w:ascii="ITC Avant Garde" w:hAnsi="ITC Avant Garde" w:cs="Helvetica"/>
          <w:sz w:val="20"/>
        </w:rPr>
      </w:pPr>
      <w:r w:rsidRPr="00181B85">
        <w:rPr>
          <w:rFonts w:ascii="ITC Avant Garde" w:hAnsi="ITC Avant Garde" w:cs="Helvetica"/>
          <w:sz w:val="20"/>
        </w:rPr>
        <w:t>Ahora, del análisis de las constancias de</w:t>
      </w:r>
      <w:r w:rsidRPr="00181B85">
        <w:rPr>
          <w:rFonts w:ascii="ITC Avant Garde" w:hAnsi="ITC Avant Garde" w:cs="Helvetica"/>
          <w:iCs/>
          <w:sz w:val="20"/>
          <w:szCs w:val="21"/>
        </w:rPr>
        <w:t xml:space="preserve"> </w:t>
      </w:r>
      <w:r w:rsidRPr="00181B85">
        <w:rPr>
          <w:rFonts w:ascii="ITC Avant Garde" w:hAnsi="ITC Avant Garde" w:cs="Helvetica"/>
          <w:sz w:val="20"/>
        </w:rPr>
        <w:t>autos y, particularmente, de la resolución reclamada, queda de manifiesto que la autoridad responsable procedió a resolver los argumentos expuestos por la recurrente; advirtiéndose que para ello procedió a exponer las razones particulares por las cuales concluyó que eran inoperantes -por reiterativos, por abundar en las manifestaciones al Dictamen Preliminar, por manifestaciones genéricas o por incluir aspectos novedosos-, infundados o fundados pero insuficientes.</w:t>
      </w:r>
    </w:p>
    <w:p w:rsidR="00120AE7" w:rsidRPr="00181B85" w:rsidRDefault="00120AE7" w:rsidP="009D6A4D">
      <w:pPr>
        <w:autoSpaceDE w:val="0"/>
        <w:autoSpaceDN w:val="0"/>
        <w:adjustRightInd w:val="0"/>
        <w:spacing w:before="240" w:after="120"/>
        <w:ind w:left="567" w:right="567"/>
        <w:jc w:val="both"/>
        <w:rPr>
          <w:rFonts w:ascii="ITC Avant Garde" w:hAnsi="ITC Avant Garde" w:cs="Helvetica"/>
        </w:rPr>
      </w:pPr>
      <w:r w:rsidRPr="00181B85">
        <w:rPr>
          <w:rFonts w:ascii="ITC Avant Garde" w:hAnsi="ITC Avant Garde" w:cs="Helvetica"/>
          <w:sz w:val="20"/>
        </w:rPr>
        <w:lastRenderedPageBreak/>
        <w:t>En cada una de sus consideraciones precisó, en primer término, y de manera genérica, porqué calificó los agravios con tales sentidos; en sí, determinó que son inoperantes por reiterativos aquellos argumentos que ya habían sido contestados y analizados por esa Comisión, ocupándose de transcribir la parte considerativa de la resolución recurrida en que, aseveró, habían sido contestadas puntualmente las manifestaciones de la quejosa, haciendo hincapié en que tales agravios no podrían producir, por esa razón, la modificación o revocación de lo ahí resuelto</w:t>
      </w:r>
      <w:r w:rsidRPr="00181B85">
        <w:rPr>
          <w:rFonts w:ascii="ITC Avant Garde" w:hAnsi="ITC Avant Garde" w:cs="Helvetica"/>
        </w:rPr>
        <w:t>.</w:t>
      </w:r>
    </w:p>
    <w:p w:rsidR="00120AE7" w:rsidRPr="00181B85" w:rsidRDefault="00120AE7" w:rsidP="009D6A4D">
      <w:pPr>
        <w:autoSpaceDE w:val="0"/>
        <w:autoSpaceDN w:val="0"/>
        <w:adjustRightInd w:val="0"/>
        <w:spacing w:before="240" w:after="120"/>
        <w:ind w:left="567" w:right="567"/>
        <w:jc w:val="both"/>
        <w:rPr>
          <w:rFonts w:ascii="ITC Avant Garde" w:hAnsi="ITC Avant Garde" w:cs="Helvetica"/>
          <w:sz w:val="20"/>
        </w:rPr>
      </w:pPr>
      <w:r w:rsidRPr="00181B85">
        <w:rPr>
          <w:rFonts w:ascii="ITC Avant Garde" w:hAnsi="ITC Avant Garde" w:cs="Helvetica"/>
          <w:sz w:val="20"/>
        </w:rPr>
        <w:t xml:space="preserve">Calificó de inoperantes por manifestaciones genéricas aquellos argumentos en los que la recurrente no precisó o indicó el por qué consideraba actualizado el perjuicio respectivo; así como aquellos que se limitaron a abundar en las manifestaciones al Dictamen Preliminar, exponiendo los motivos por los cuales arribó a tal determinación, particularmente, destacó la autoridad que esos argumentos fueron alegados en su escrito de manifestaciones y que, mediante el recurso de que se trata, pretendía mejorarlos y abundar en los mismos, aun cuando había </w:t>
      </w:r>
      <w:proofErr w:type="spellStart"/>
      <w:r w:rsidRPr="00181B85">
        <w:rPr>
          <w:rFonts w:ascii="ITC Avant Garde" w:hAnsi="ITC Avant Garde" w:cs="Helvetica"/>
          <w:sz w:val="20"/>
        </w:rPr>
        <w:t>precluído</w:t>
      </w:r>
      <w:proofErr w:type="spellEnd"/>
      <w:r w:rsidRPr="00181B85">
        <w:rPr>
          <w:rFonts w:ascii="ITC Avant Garde" w:hAnsi="ITC Avant Garde" w:cs="Helvetica"/>
          <w:sz w:val="20"/>
        </w:rPr>
        <w:t xml:space="preserve"> su derecho para hacerlo, pero que, no obstante ello, ya habían sido abordados en los apartados de la resolución recurrida.</w:t>
      </w:r>
    </w:p>
    <w:p w:rsidR="00120AE7" w:rsidRPr="00181B85" w:rsidRDefault="00120AE7" w:rsidP="009D6A4D">
      <w:pPr>
        <w:autoSpaceDE w:val="0"/>
        <w:autoSpaceDN w:val="0"/>
        <w:adjustRightInd w:val="0"/>
        <w:spacing w:before="240" w:after="120"/>
        <w:ind w:left="567" w:right="567"/>
        <w:jc w:val="both"/>
        <w:rPr>
          <w:rFonts w:ascii="ITC Avant Garde" w:hAnsi="ITC Avant Garde" w:cs="Helvetica"/>
          <w:sz w:val="20"/>
        </w:rPr>
      </w:pPr>
      <w:r w:rsidRPr="00181B85">
        <w:rPr>
          <w:rFonts w:ascii="ITC Avant Garde" w:hAnsi="ITC Avant Garde" w:cs="Helvetica"/>
          <w:sz w:val="20"/>
        </w:rPr>
        <w:t>Destacando también que la responsable advirtió diversos aspectos que calificó de novedosos y que identificó con aquellos argumentos que, por las razones que expuso en la propia resolución reclamada, hacía valer la recurrente pretendiendo mejorar sus manifestaciones respecto del Dictamen Preliminar y demás actos procesales, sin combatir por tanto la resolución recurrida.</w:t>
      </w:r>
    </w:p>
    <w:p w:rsidR="00120AE7" w:rsidRPr="00181B85" w:rsidRDefault="00120AE7" w:rsidP="009D6A4D">
      <w:pPr>
        <w:autoSpaceDE w:val="0"/>
        <w:autoSpaceDN w:val="0"/>
        <w:adjustRightInd w:val="0"/>
        <w:spacing w:before="240" w:after="120"/>
        <w:ind w:left="567" w:right="567"/>
        <w:jc w:val="both"/>
        <w:rPr>
          <w:rFonts w:ascii="ITC Avant Garde" w:hAnsi="ITC Avant Garde" w:cs="Helvetica"/>
          <w:sz w:val="20"/>
        </w:rPr>
      </w:pPr>
      <w:r w:rsidRPr="00181B85">
        <w:rPr>
          <w:rFonts w:ascii="ITC Avant Garde" w:hAnsi="ITC Avant Garde" w:cs="Helvetica"/>
          <w:sz w:val="20"/>
        </w:rPr>
        <w:t>Ocupándose la responsable de analizar diversas cuestiones de fondo vinculada con distintos argumentos que declaró infundados y fundado pero insuficiente.</w:t>
      </w:r>
    </w:p>
    <w:p w:rsidR="00120AE7" w:rsidRPr="00181B85" w:rsidRDefault="00120AE7" w:rsidP="009D6A4D">
      <w:pPr>
        <w:autoSpaceDE w:val="0"/>
        <w:autoSpaceDN w:val="0"/>
        <w:adjustRightInd w:val="0"/>
        <w:spacing w:before="240" w:after="120"/>
        <w:ind w:left="567" w:right="567"/>
        <w:jc w:val="both"/>
        <w:rPr>
          <w:rFonts w:ascii="ITC Avant Garde" w:hAnsi="ITC Avant Garde" w:cs="Helvetica"/>
        </w:rPr>
      </w:pPr>
      <w:r w:rsidRPr="00181B85">
        <w:rPr>
          <w:rFonts w:ascii="ITC Avant Garde" w:hAnsi="ITC Avant Garde" w:cs="Helvetica"/>
        </w:rPr>
        <w:t>[…]</w:t>
      </w:r>
    </w:p>
    <w:p w:rsidR="00120AE7" w:rsidRPr="00181B85" w:rsidRDefault="00120AE7" w:rsidP="009D6A4D">
      <w:pPr>
        <w:spacing w:before="240" w:after="120"/>
        <w:ind w:left="567" w:right="567"/>
        <w:jc w:val="both"/>
        <w:rPr>
          <w:rFonts w:ascii="ITC Avant Garde" w:hAnsi="ITC Avant Garde"/>
          <w:sz w:val="20"/>
        </w:rPr>
      </w:pPr>
      <w:r w:rsidRPr="00181B85">
        <w:rPr>
          <w:rFonts w:ascii="ITC Avant Garde" w:hAnsi="ITC Avant Garde"/>
          <w:sz w:val="20"/>
        </w:rPr>
        <w:t>La valoración de los agravios reseñada es ilegal, coartando la responsable el derecho de defensa de la quejosa, al considerar, de manera substancial, que:</w:t>
      </w:r>
    </w:p>
    <w:p w:rsidR="00120AE7" w:rsidRPr="00181B85" w:rsidRDefault="00120AE7" w:rsidP="009D6A4D">
      <w:pPr>
        <w:spacing w:before="240" w:after="120"/>
        <w:ind w:left="567" w:right="567"/>
        <w:jc w:val="both"/>
        <w:rPr>
          <w:rFonts w:ascii="ITC Avant Garde" w:hAnsi="ITC Avant Garde"/>
          <w:sz w:val="20"/>
        </w:rPr>
      </w:pPr>
      <w:r w:rsidRPr="00181B85">
        <w:rPr>
          <w:rFonts w:ascii="ITC Avant Garde" w:hAnsi="ITC Avant Garde"/>
          <w:sz w:val="20"/>
        </w:rPr>
        <w:t xml:space="preserve">- </w:t>
      </w:r>
      <w:proofErr w:type="spellStart"/>
      <w:r w:rsidRPr="00181B85">
        <w:rPr>
          <w:rFonts w:ascii="ITC Avant Garde" w:hAnsi="ITC Avant Garde"/>
          <w:sz w:val="20"/>
        </w:rPr>
        <w:t>Precluyó</w:t>
      </w:r>
      <w:proofErr w:type="spellEnd"/>
      <w:r w:rsidRPr="00181B85">
        <w:rPr>
          <w:rFonts w:ascii="ITC Avant Garde" w:hAnsi="ITC Avant Garde"/>
          <w:sz w:val="20"/>
        </w:rPr>
        <w:t xml:space="preserve"> su derecho para proponer alegatos novedosos en relación con los actos previos a la emisión de la resolución definitiva de veintisiete de octubre del dos mil once, objeto del recurso de reconsideración.</w:t>
      </w:r>
    </w:p>
    <w:p w:rsidR="00120AE7" w:rsidRPr="00181B85" w:rsidRDefault="00120AE7" w:rsidP="009D6A4D">
      <w:pPr>
        <w:spacing w:before="240" w:after="120"/>
        <w:ind w:left="567" w:right="567"/>
        <w:jc w:val="both"/>
        <w:rPr>
          <w:rFonts w:ascii="ITC Avant Garde" w:hAnsi="ITC Avant Garde"/>
          <w:sz w:val="20"/>
        </w:rPr>
      </w:pPr>
      <w:r w:rsidRPr="00181B85">
        <w:rPr>
          <w:rFonts w:ascii="ITC Avant Garde" w:hAnsi="ITC Avant Garde"/>
          <w:sz w:val="20"/>
        </w:rPr>
        <w:t>- Y que propuso argumentos que fueron alegados en su escrito de manifestaciones al dictamen preliminar, pretendiendo mejorarlos y abundar en los mismos.</w:t>
      </w:r>
    </w:p>
    <w:p w:rsidR="00120AE7" w:rsidRPr="00181B85" w:rsidRDefault="00120AE7" w:rsidP="009D6A4D">
      <w:pPr>
        <w:spacing w:before="240" w:after="120"/>
        <w:ind w:left="567" w:right="567"/>
        <w:jc w:val="both"/>
        <w:rPr>
          <w:rFonts w:ascii="ITC Avant Garde" w:hAnsi="ITC Avant Garde"/>
          <w:sz w:val="20"/>
        </w:rPr>
      </w:pPr>
      <w:r w:rsidRPr="00181B85">
        <w:rPr>
          <w:rFonts w:ascii="ITC Avant Garde" w:hAnsi="ITC Avant Garde"/>
          <w:sz w:val="20"/>
        </w:rPr>
        <w:t xml:space="preserve">Cuando, como se ha explicado, no existe precepto legal alguno que prevea la preclusión de ese derecho; por el contrario, se reconoce que los agentes económicos afectados o interesados, hayan o no acudido ante la Comisión Federal de Competencia a efectuar manifestaciones sobre el dictamen preliminar u ofreciendo pruebas, están </w:t>
      </w:r>
      <w:r w:rsidRPr="00181B85">
        <w:rPr>
          <w:rFonts w:ascii="ITC Avant Garde" w:hAnsi="ITC Avant Garde"/>
        </w:rPr>
        <w:t xml:space="preserve">[sic] </w:t>
      </w:r>
      <w:r w:rsidRPr="00181B85">
        <w:rPr>
          <w:rFonts w:ascii="ITC Avant Garde" w:hAnsi="ITC Avant Garde"/>
          <w:sz w:val="20"/>
        </w:rPr>
        <w:t xml:space="preserve">posibilidad de interponer el recurso de reconsideración contra la </w:t>
      </w:r>
      <w:r w:rsidRPr="00181B85">
        <w:rPr>
          <w:rFonts w:ascii="ITC Avant Garde" w:hAnsi="ITC Avant Garde"/>
          <w:sz w:val="20"/>
        </w:rPr>
        <w:lastRenderedPageBreak/>
        <w:t xml:space="preserve">declaratoria de poder sustancial en </w:t>
      </w:r>
      <w:r w:rsidR="00F53E2A" w:rsidRPr="00181B85">
        <w:rPr>
          <w:rFonts w:ascii="ITC Avant Garde" w:hAnsi="ITC Avant Garde"/>
        </w:rPr>
        <w:t xml:space="preserve">[sic] </w:t>
      </w:r>
      <w:r w:rsidRPr="00181B85">
        <w:rPr>
          <w:rFonts w:ascii="ITC Avant Garde" w:hAnsi="ITC Avant Garde"/>
          <w:sz w:val="20"/>
        </w:rPr>
        <w:t>mercado relevante y, por ende, de proponer los agravios que consideren necesarios, vinculados incluso con la investigación que sustenta esa declaratoria y los actos procedimentales que, a su parecer, hayan trascendido al resultado de la resolución respectiva.</w:t>
      </w:r>
    </w:p>
    <w:p w:rsidR="00120AE7" w:rsidRPr="00181B85" w:rsidRDefault="00120AE7" w:rsidP="009D6A4D">
      <w:pPr>
        <w:spacing w:before="240" w:after="120"/>
        <w:ind w:left="567" w:right="567"/>
        <w:jc w:val="both"/>
        <w:rPr>
          <w:rFonts w:ascii="ITC Avant Garde" w:hAnsi="ITC Avant Garde"/>
          <w:sz w:val="20"/>
        </w:rPr>
      </w:pPr>
      <w:r w:rsidRPr="00181B85">
        <w:rPr>
          <w:rFonts w:ascii="ITC Avant Garde" w:hAnsi="ITC Avant Garde"/>
          <w:sz w:val="20"/>
        </w:rPr>
        <w:t>Del mismo modo, la responsable sostuvo en los apartados que han quedado relacionados, que los argumentos de la quejosa eran inoperantes por reiterativos, ya que habían sido objeto de estudio por esa Comisión en la resolución recurrida, sin que sus consideraciones hayan sido combatidas; lo cual no es congruente con las constancias de autos, al advertirse que, si bien es cierto que la recurrente insistió en sus reclamos, reiterando parte de las manifestaciones propuestas ante dicha autoridad en relación con el dictamen preliminar, igualmente lo es que en parte de sus agravios destacó el hecho de que en la resolución recurrida no se habían atendido y resuelto en forma congruente ni legal sus alegatos o manifestaciones.</w:t>
      </w:r>
    </w:p>
    <w:p w:rsidR="00120AE7" w:rsidRPr="00181B85" w:rsidRDefault="00120AE7" w:rsidP="009D6A4D">
      <w:pPr>
        <w:spacing w:before="240" w:after="120"/>
        <w:ind w:left="567" w:right="567"/>
        <w:jc w:val="both"/>
        <w:rPr>
          <w:rFonts w:ascii="ITC Avant Garde" w:hAnsi="ITC Avant Garde"/>
          <w:sz w:val="20"/>
        </w:rPr>
      </w:pPr>
      <w:r w:rsidRPr="00181B85">
        <w:rPr>
          <w:rFonts w:ascii="ITC Avant Garde" w:hAnsi="ITC Avant Garde"/>
          <w:sz w:val="20"/>
        </w:rPr>
        <w:t>Por lo que, en todo caso, la Comisión responsable estaba obligada a explicar de manera fundada y motivada si se habían atendido en sus términos las manifestaciones propuestas, o bien, determinar si, como lo refiere la quejosa, la resolución recurrida resultaba incongruente; en lugar de limitarse a calificar tales argumentos como reiterativos.</w:t>
      </w:r>
    </w:p>
    <w:p w:rsidR="00120AE7" w:rsidRPr="00181B85" w:rsidRDefault="00120AE7" w:rsidP="009D6A4D">
      <w:pPr>
        <w:spacing w:before="240" w:after="120"/>
        <w:ind w:left="567" w:right="567"/>
        <w:jc w:val="both"/>
        <w:rPr>
          <w:rFonts w:ascii="ITC Avant Garde" w:hAnsi="ITC Avant Garde"/>
          <w:sz w:val="20"/>
        </w:rPr>
      </w:pPr>
      <w:r w:rsidRPr="00181B85">
        <w:rPr>
          <w:rFonts w:ascii="ITC Avant Garde" w:hAnsi="ITC Avant Garde"/>
          <w:sz w:val="20"/>
        </w:rPr>
        <w:t xml:space="preserve">En consecuencia, al resultar </w:t>
      </w:r>
      <w:r w:rsidRPr="00181B85">
        <w:rPr>
          <w:rFonts w:ascii="ITC Avant Garde" w:hAnsi="ITC Avant Garde"/>
          <w:b/>
          <w:sz w:val="20"/>
        </w:rPr>
        <w:t>fundado</w:t>
      </w:r>
      <w:r w:rsidRPr="00181B85">
        <w:rPr>
          <w:rFonts w:ascii="ITC Avant Garde" w:hAnsi="ITC Avant Garde"/>
          <w:sz w:val="20"/>
        </w:rPr>
        <w:t xml:space="preserve"> el concepto de violación cuyo análisis antecede, lo procedente es otorgar el amparo y protección federal solicitados, para el efecto de que las autoridades responsables de la </w:t>
      </w:r>
      <w:r w:rsidRPr="00181B85">
        <w:rPr>
          <w:rFonts w:ascii="ITC Avant Garde" w:hAnsi="ITC Avant Garde"/>
          <w:b/>
          <w:sz w:val="20"/>
        </w:rPr>
        <w:t>Comisión Federal de Competencia Económica</w:t>
      </w:r>
      <w:r w:rsidRPr="00181B85">
        <w:rPr>
          <w:rFonts w:ascii="ITC Avant Garde" w:hAnsi="ITC Avant Garde"/>
          <w:sz w:val="20"/>
        </w:rPr>
        <w:t>, dejen insubsistente la resolución reclamada, procediendo a emitir una nueva determinación que se incluya el estudio de fondo de los argumentos que han quedado relacionados en los párrafos que anteceden; lo anterior, sin perjuicio de que resuelva en igual o ulterior sentido.</w:t>
      </w:r>
    </w:p>
    <w:p w:rsidR="009D6A4D" w:rsidRPr="00181B85" w:rsidRDefault="00120AE7" w:rsidP="009D6A4D">
      <w:pPr>
        <w:spacing w:before="240" w:after="120"/>
        <w:ind w:left="567" w:right="567"/>
        <w:jc w:val="both"/>
        <w:rPr>
          <w:rFonts w:ascii="ITC Avant Garde" w:hAnsi="ITC Avant Garde"/>
        </w:rPr>
      </w:pPr>
      <w:r w:rsidRPr="00181B85">
        <w:rPr>
          <w:rFonts w:ascii="ITC Avant Garde" w:hAnsi="ITC Avant Garde"/>
          <w:sz w:val="20"/>
        </w:rPr>
        <w:t xml:space="preserve">Dado el sentido y los efectos para los que se concede el amparo, es innecesario el estudio de los restantes argumentos y conceptos de violación hechos valer por la parte quejosa, considerando que los mismos se encuentran dirigidos a controvertir la resolución en cuestiones que involucran el fondo del asunto, que habrán de quedar sub júdice a la nueva determinación que adopte la autoridad competente al ocuparse de los diversos argumentos vinculados al recurso de reconsideración, en los términos decretados en la presente sentencia. </w:t>
      </w:r>
      <w:r w:rsidRPr="00181B85">
        <w:rPr>
          <w:rFonts w:ascii="ITC Avant Garde" w:hAnsi="ITC Avant Garde"/>
        </w:rPr>
        <w:t>[…]”</w:t>
      </w:r>
    </w:p>
    <w:p w:rsidR="009D6A4D" w:rsidRPr="00181B85" w:rsidRDefault="00BB0CFC" w:rsidP="009D6A4D">
      <w:pPr>
        <w:spacing w:before="240" w:after="120"/>
        <w:jc w:val="both"/>
        <w:rPr>
          <w:rFonts w:ascii="ITC Avant Garde" w:hAnsi="ITC Avant Garde"/>
        </w:rPr>
      </w:pPr>
      <w:r w:rsidRPr="00181B85">
        <w:rPr>
          <w:rFonts w:ascii="ITC Avant Garde" w:hAnsi="ITC Avant Garde"/>
          <w:b/>
        </w:rPr>
        <w:t>IV</w:t>
      </w:r>
      <w:r w:rsidR="00F23F04" w:rsidRPr="00181B85">
        <w:rPr>
          <w:rFonts w:ascii="ITC Avant Garde" w:hAnsi="ITC Avant Garde"/>
          <w:b/>
        </w:rPr>
        <w:t>.</w:t>
      </w:r>
      <w:r w:rsidR="00F23F04" w:rsidRPr="00181B85">
        <w:rPr>
          <w:rFonts w:ascii="ITC Avant Garde" w:hAnsi="ITC Avant Garde"/>
        </w:rPr>
        <w:t xml:space="preserve"> </w:t>
      </w:r>
      <w:r w:rsidR="00A22CC4" w:rsidRPr="00181B85">
        <w:rPr>
          <w:rFonts w:ascii="ITC Avant Garde" w:hAnsi="ITC Avant Garde"/>
        </w:rPr>
        <w:t>La resolución emitida el diecinueve de enero de dos mil diecisiete, en los autos del toca de amparo en revisión R.A.82/2016 de</w:t>
      </w:r>
      <w:r w:rsidR="0056687B" w:rsidRPr="00181B85">
        <w:rPr>
          <w:rFonts w:ascii="ITC Avant Garde" w:hAnsi="ITC Avant Garde"/>
        </w:rPr>
        <w:t>l</w:t>
      </w:r>
      <w:r w:rsidR="00A22CC4" w:rsidRPr="00181B85">
        <w:rPr>
          <w:rFonts w:ascii="ITC Avant Garde" w:hAnsi="ITC Avant Garde"/>
        </w:rPr>
        <w:t xml:space="preserve"> índice </w:t>
      </w:r>
      <w:r w:rsidR="0056687B" w:rsidRPr="00181B85">
        <w:rPr>
          <w:rFonts w:ascii="ITC Avant Garde" w:hAnsi="ITC Avant Garde"/>
        </w:rPr>
        <w:t>d</w:t>
      </w:r>
      <w:r w:rsidR="00A22CC4" w:rsidRPr="00181B85">
        <w:rPr>
          <w:rFonts w:ascii="ITC Avant Garde" w:hAnsi="ITC Avant Garde"/>
        </w:rPr>
        <w:t>el Primer Tribunal Colegiado de Circuito en Materia Administrativa Especializado en Competencia Económica, Radiodifusión y Telecomunicaciones, con residencia en la Ciudad de México y jurisdicción en toda la República</w:t>
      </w:r>
      <w:r w:rsidR="00753D6C" w:rsidRPr="00181B85">
        <w:rPr>
          <w:rFonts w:ascii="ITC Avant Garde" w:hAnsi="ITC Avant Garde"/>
        </w:rPr>
        <w:t xml:space="preserve"> (Ejecutoria)</w:t>
      </w:r>
      <w:r w:rsidR="00A22CC4" w:rsidRPr="00181B85">
        <w:rPr>
          <w:rFonts w:ascii="ITC Avant Garde" w:hAnsi="ITC Avant Garde"/>
        </w:rPr>
        <w:t xml:space="preserve">, </w:t>
      </w:r>
      <w:r w:rsidR="00B36DC7" w:rsidRPr="00181B85">
        <w:rPr>
          <w:rFonts w:ascii="ITC Avant Garde" w:hAnsi="ITC Avant Garde"/>
        </w:rPr>
        <w:t>a través de la cual se resolvió</w:t>
      </w:r>
      <w:r w:rsidR="00753D6C" w:rsidRPr="00181B85">
        <w:rPr>
          <w:rFonts w:ascii="ITC Avant Garde" w:hAnsi="ITC Avant Garde"/>
        </w:rPr>
        <w:t>:</w:t>
      </w:r>
    </w:p>
    <w:p w:rsidR="00B3130E" w:rsidRPr="00181B85" w:rsidRDefault="00B3130E" w:rsidP="009D6A4D">
      <w:pPr>
        <w:spacing w:before="240" w:after="120"/>
        <w:ind w:left="567" w:right="567"/>
        <w:jc w:val="both"/>
        <w:rPr>
          <w:rFonts w:ascii="ITC Avant Garde" w:hAnsi="ITC Avant Garde"/>
          <w:sz w:val="20"/>
          <w:szCs w:val="20"/>
        </w:rPr>
      </w:pPr>
      <w:r w:rsidRPr="00181B85">
        <w:rPr>
          <w:rFonts w:ascii="ITC Avant Garde" w:hAnsi="ITC Avant Garde"/>
          <w:sz w:val="20"/>
          <w:szCs w:val="20"/>
        </w:rPr>
        <w:lastRenderedPageBreak/>
        <w:t xml:space="preserve">“Como se puede advertir, el amparo se concedió a fin de que </w:t>
      </w:r>
      <w:r w:rsidRPr="00181B85">
        <w:rPr>
          <w:rFonts w:ascii="ITC Avant Garde" w:hAnsi="ITC Avant Garde"/>
          <w:b/>
          <w:sz w:val="20"/>
          <w:szCs w:val="20"/>
          <w:u w:val="single"/>
        </w:rPr>
        <w:t>se deje sin efectos la resolución reclamada y, en su lugar, se emita otra en la que se analicen los argumentos propuestos</w:t>
      </w:r>
      <w:r w:rsidRPr="00181B85">
        <w:rPr>
          <w:rFonts w:ascii="ITC Avant Garde" w:hAnsi="ITC Avant Garde"/>
          <w:sz w:val="20"/>
          <w:szCs w:val="20"/>
        </w:rPr>
        <w:t xml:space="preserve"> por la quejosa en el recursos de reconsideración, referidos en la propia sentencia, lo que implica que, aunque se debe dejar sin efectos dicha resolución, aunque se debe dejar sin efectos dicha resolución, lo determinado por la responsable en relación con el recurso de reconsideración interpuesto por las ahora terceras perjudicadas debe subsistir al no haber sido motivo del amparo y, por tanto, se debe reiterar en la nueva resolución, sin que fuera indispensable que el juez hubiese hecho la distinción que alega la inconforme, precisamente, porque no abordó lo relativo a lo considerado y resuelto sobre su recurso.</w:t>
      </w:r>
    </w:p>
    <w:p w:rsidR="00B3130E" w:rsidRPr="00181B85" w:rsidRDefault="00F53E2A" w:rsidP="009D6A4D">
      <w:pPr>
        <w:spacing w:before="240" w:after="120"/>
        <w:ind w:left="567" w:right="567"/>
        <w:jc w:val="both"/>
        <w:rPr>
          <w:rFonts w:ascii="ITC Avant Garde" w:hAnsi="ITC Avant Garde"/>
          <w:szCs w:val="20"/>
        </w:rPr>
      </w:pPr>
      <w:r w:rsidRPr="00181B85">
        <w:rPr>
          <w:rFonts w:ascii="ITC Avant Garde" w:hAnsi="ITC Avant Garde"/>
          <w:szCs w:val="20"/>
        </w:rPr>
        <w:t>[…]</w:t>
      </w:r>
    </w:p>
    <w:p w:rsidR="00A22CC4" w:rsidRPr="00181B85" w:rsidRDefault="00A22CC4" w:rsidP="009D6A4D">
      <w:pPr>
        <w:spacing w:before="240" w:after="120"/>
        <w:ind w:left="567" w:right="567"/>
        <w:jc w:val="both"/>
        <w:rPr>
          <w:rFonts w:ascii="ITC Avant Garde" w:hAnsi="ITC Avant Garde"/>
          <w:sz w:val="20"/>
          <w:szCs w:val="20"/>
        </w:rPr>
      </w:pPr>
      <w:r w:rsidRPr="00181B85">
        <w:rPr>
          <w:rFonts w:ascii="ITC Avant Garde" w:hAnsi="ITC Avant Garde"/>
          <w:b/>
          <w:sz w:val="20"/>
          <w:szCs w:val="20"/>
        </w:rPr>
        <w:t>PRIMERO</w:t>
      </w:r>
      <w:r w:rsidRPr="00181B85">
        <w:rPr>
          <w:rFonts w:ascii="ITC Avant Garde" w:hAnsi="ITC Avant Garde"/>
          <w:sz w:val="20"/>
          <w:szCs w:val="20"/>
        </w:rPr>
        <w:t xml:space="preserve">. En la materia de legalidad reservada a este tribunal colegiado, se </w:t>
      </w:r>
      <w:r w:rsidRPr="00181B85">
        <w:rPr>
          <w:rFonts w:ascii="ITC Avant Garde" w:hAnsi="ITC Avant Garde"/>
          <w:b/>
          <w:sz w:val="20"/>
          <w:szCs w:val="20"/>
        </w:rPr>
        <w:t xml:space="preserve">CONFIRMA </w:t>
      </w:r>
      <w:r w:rsidRPr="00181B85">
        <w:rPr>
          <w:rFonts w:ascii="ITC Avant Garde" w:hAnsi="ITC Avant Garde"/>
          <w:sz w:val="20"/>
          <w:szCs w:val="20"/>
        </w:rPr>
        <w:t xml:space="preserve">la sentencia recurrida, dictada el cinco de julio de dos mil trece por el titular del Juzgado Tercero de Distrito en Materia Administrativa en el Distrito Federal hoy Ciudad de México, en el juicio de amparo 575/2012, promovido por </w:t>
      </w:r>
      <w:r w:rsidRPr="00181B85">
        <w:rPr>
          <w:rFonts w:ascii="ITC Avant Garde" w:hAnsi="ITC Avant Garde"/>
          <w:szCs w:val="20"/>
        </w:rPr>
        <w:t>[Telcel]</w:t>
      </w:r>
      <w:r w:rsidRPr="00181B85">
        <w:rPr>
          <w:rFonts w:ascii="ITC Avant Garde" w:hAnsi="ITC Avant Garde"/>
          <w:sz w:val="20"/>
          <w:szCs w:val="20"/>
        </w:rPr>
        <w:t>.</w:t>
      </w:r>
    </w:p>
    <w:p w:rsidR="00A22CC4" w:rsidRPr="00181B85" w:rsidRDefault="00A22CC4" w:rsidP="009D6A4D">
      <w:pPr>
        <w:spacing w:before="240" w:after="120"/>
        <w:ind w:left="567" w:right="567"/>
        <w:jc w:val="both"/>
        <w:rPr>
          <w:rFonts w:ascii="ITC Avant Garde" w:hAnsi="ITC Avant Garde"/>
          <w:sz w:val="20"/>
          <w:szCs w:val="20"/>
        </w:rPr>
      </w:pPr>
      <w:r w:rsidRPr="00181B85">
        <w:rPr>
          <w:rFonts w:ascii="ITC Avant Garde" w:hAnsi="ITC Avant Garde"/>
          <w:b/>
          <w:sz w:val="20"/>
          <w:szCs w:val="20"/>
        </w:rPr>
        <w:t>SEGUNDO.</w:t>
      </w:r>
      <w:r w:rsidRPr="00181B85">
        <w:rPr>
          <w:rFonts w:ascii="ITC Avant Garde" w:hAnsi="ITC Avant Garde"/>
          <w:sz w:val="20"/>
          <w:szCs w:val="20"/>
        </w:rPr>
        <w:t xml:space="preserve"> La justicia de la Unión </w:t>
      </w:r>
      <w:r w:rsidRPr="00181B85">
        <w:rPr>
          <w:rFonts w:ascii="ITC Avant Garde" w:hAnsi="ITC Avant Garde"/>
          <w:b/>
          <w:sz w:val="20"/>
          <w:szCs w:val="20"/>
        </w:rPr>
        <w:t xml:space="preserve">AMPARA Y PROTEGE </w:t>
      </w:r>
      <w:r w:rsidRPr="00181B85">
        <w:rPr>
          <w:rFonts w:ascii="ITC Avant Garde" w:hAnsi="ITC Avant Garde"/>
          <w:sz w:val="20"/>
          <w:szCs w:val="20"/>
        </w:rPr>
        <w:t xml:space="preserve">a </w:t>
      </w:r>
      <w:r w:rsidRPr="00181B85">
        <w:rPr>
          <w:rFonts w:ascii="ITC Avant Garde" w:hAnsi="ITC Avant Garde"/>
          <w:szCs w:val="20"/>
        </w:rPr>
        <w:t>[Telcel]</w:t>
      </w:r>
      <w:r w:rsidRPr="00181B85">
        <w:rPr>
          <w:rFonts w:ascii="ITC Avant Garde" w:hAnsi="ITC Avant Garde"/>
          <w:sz w:val="20"/>
          <w:szCs w:val="20"/>
        </w:rPr>
        <w:t xml:space="preserve">, en contra de la </w:t>
      </w:r>
      <w:r w:rsidRPr="00181B85">
        <w:rPr>
          <w:rFonts w:ascii="ITC Avant Garde" w:hAnsi="ITC Avant Garde"/>
        </w:rPr>
        <w:t>[Resolución]</w:t>
      </w:r>
      <w:r w:rsidRPr="00181B85">
        <w:rPr>
          <w:rFonts w:ascii="ITC Avant Garde" w:hAnsi="ITC Avant Garde"/>
          <w:sz w:val="20"/>
          <w:szCs w:val="20"/>
        </w:rPr>
        <w:t xml:space="preserve">, identificada en el resultando primero de este fallo. </w:t>
      </w:r>
    </w:p>
    <w:p w:rsidR="00A22CC4" w:rsidRPr="00181B85" w:rsidRDefault="00A22CC4" w:rsidP="009D6A4D">
      <w:pPr>
        <w:spacing w:before="240" w:after="120"/>
        <w:ind w:left="567" w:right="567"/>
        <w:jc w:val="both"/>
        <w:rPr>
          <w:rFonts w:ascii="ITC Avant Garde" w:hAnsi="ITC Avant Garde"/>
          <w:sz w:val="20"/>
          <w:szCs w:val="20"/>
        </w:rPr>
      </w:pPr>
      <w:r w:rsidRPr="00181B85">
        <w:rPr>
          <w:rFonts w:ascii="ITC Avant Garde" w:hAnsi="ITC Avant Garde"/>
          <w:b/>
          <w:sz w:val="20"/>
          <w:szCs w:val="20"/>
        </w:rPr>
        <w:t>TERCERO</w:t>
      </w:r>
      <w:r w:rsidRPr="00181B85">
        <w:rPr>
          <w:rFonts w:ascii="ITC Avant Garde" w:hAnsi="ITC Avant Garde"/>
          <w:sz w:val="20"/>
          <w:szCs w:val="20"/>
        </w:rPr>
        <w:t xml:space="preserve">. Se declara </w:t>
      </w:r>
      <w:r w:rsidRPr="00181B85">
        <w:rPr>
          <w:rFonts w:ascii="ITC Avant Garde" w:hAnsi="ITC Avant Garde"/>
          <w:b/>
          <w:sz w:val="20"/>
          <w:szCs w:val="20"/>
        </w:rPr>
        <w:t xml:space="preserve">SIN MATERIA </w:t>
      </w:r>
      <w:r w:rsidRPr="00181B85">
        <w:rPr>
          <w:rFonts w:ascii="ITC Avant Garde" w:hAnsi="ITC Avant Garde"/>
          <w:sz w:val="20"/>
          <w:szCs w:val="20"/>
        </w:rPr>
        <w:t>la revisión adhesiva.</w:t>
      </w:r>
    </w:p>
    <w:p w:rsidR="009D6A4D" w:rsidRPr="00181B85" w:rsidRDefault="00A22CC4" w:rsidP="009D6A4D">
      <w:pPr>
        <w:spacing w:before="240" w:after="120"/>
        <w:ind w:left="567" w:right="567"/>
        <w:jc w:val="both"/>
        <w:rPr>
          <w:rFonts w:ascii="ITC Avant Garde" w:hAnsi="ITC Avant Garde"/>
          <w:sz w:val="20"/>
          <w:szCs w:val="20"/>
        </w:rPr>
      </w:pPr>
      <w:r w:rsidRPr="00181B85">
        <w:rPr>
          <w:rFonts w:ascii="ITC Avant Garde" w:hAnsi="ITC Avant Garde"/>
          <w:b/>
          <w:sz w:val="20"/>
          <w:szCs w:val="20"/>
        </w:rPr>
        <w:t>Notifíquese</w:t>
      </w:r>
      <w:r w:rsidRPr="00181B85">
        <w:rPr>
          <w:rFonts w:ascii="ITC Avant Garde" w:hAnsi="ITC Avant Garde"/>
          <w:sz w:val="20"/>
          <w:szCs w:val="20"/>
        </w:rPr>
        <w:t>; con testimonio de esta resolución, devuélvase el expediente al juzgado del conocimiento y, en su oportunidad, archívese el toca.”</w:t>
      </w:r>
    </w:p>
    <w:p w:rsidR="004B5D06" w:rsidRPr="00181B85" w:rsidRDefault="00FA4088" w:rsidP="009D6A4D">
      <w:pPr>
        <w:spacing w:before="240" w:after="120"/>
        <w:jc w:val="both"/>
        <w:rPr>
          <w:rFonts w:ascii="ITC Avant Garde" w:eastAsia="Calibri" w:hAnsi="ITC Avant Garde" w:cs="Times New Roman"/>
        </w:rPr>
      </w:pPr>
      <w:r w:rsidRPr="00181B85">
        <w:rPr>
          <w:rFonts w:ascii="ITC Avant Garde" w:hAnsi="ITC Avant Garde"/>
          <w:b/>
        </w:rPr>
        <w:t>V</w:t>
      </w:r>
      <w:r w:rsidR="00F23F04" w:rsidRPr="00181B85">
        <w:rPr>
          <w:rFonts w:ascii="ITC Avant Garde" w:hAnsi="ITC Avant Garde"/>
          <w:b/>
        </w:rPr>
        <w:t>.</w:t>
      </w:r>
      <w:r w:rsidR="00F23F04" w:rsidRPr="00181B85">
        <w:rPr>
          <w:rFonts w:ascii="ITC Avant Garde" w:hAnsi="ITC Avant Garde"/>
        </w:rPr>
        <w:t xml:space="preserve"> </w:t>
      </w:r>
      <w:r w:rsidR="00CE3437" w:rsidRPr="00181B85">
        <w:rPr>
          <w:rFonts w:ascii="ITC Avant Garde" w:hAnsi="ITC Avant Garde"/>
        </w:rPr>
        <w:t xml:space="preserve">El </w:t>
      </w:r>
      <w:r w:rsidR="0025345B" w:rsidRPr="00181B85">
        <w:rPr>
          <w:rFonts w:ascii="ITC Avant Garde" w:hAnsi="ITC Avant Garde"/>
        </w:rPr>
        <w:t xml:space="preserve">acuerdo de fecha veintisiete de febrero de dos mil diecisiete, emitido por el Juzgado </w:t>
      </w:r>
      <w:r w:rsidR="004B5D06" w:rsidRPr="00181B85">
        <w:rPr>
          <w:rFonts w:ascii="ITC Avant Garde" w:hAnsi="ITC Avant Garde"/>
        </w:rPr>
        <w:t xml:space="preserve">en el expediente del juicio de amparo </w:t>
      </w:r>
      <w:r w:rsidR="00D40856" w:rsidRPr="00181B85">
        <w:rPr>
          <w:rFonts w:ascii="ITC Avant Garde" w:hAnsi="ITC Avant Garde"/>
        </w:rPr>
        <w:t xml:space="preserve">número </w:t>
      </w:r>
      <w:r w:rsidR="002D5BAE" w:rsidRPr="00181B85">
        <w:rPr>
          <w:rFonts w:ascii="ITC Avant Garde" w:hAnsi="ITC Avant Garde"/>
        </w:rPr>
        <w:t>575/2012</w:t>
      </w:r>
      <w:r w:rsidR="007F3FEE" w:rsidRPr="00181B85">
        <w:rPr>
          <w:rFonts w:ascii="ITC Avant Garde" w:hAnsi="ITC Avant Garde"/>
        </w:rPr>
        <w:t>,</w:t>
      </w:r>
      <w:r w:rsidR="00120AE7" w:rsidRPr="00181B85">
        <w:rPr>
          <w:rFonts w:ascii="ITC Avant Garde" w:hAnsi="ITC Avant Garde"/>
        </w:rPr>
        <w:t xml:space="preserve"> y</w:t>
      </w:r>
      <w:r w:rsidR="007F3FEE" w:rsidRPr="00181B85">
        <w:rPr>
          <w:rFonts w:ascii="ITC Avant Garde" w:hAnsi="ITC Avant Garde"/>
        </w:rPr>
        <w:t xml:space="preserve"> </w:t>
      </w:r>
      <w:r w:rsidR="00120AE7" w:rsidRPr="00181B85">
        <w:rPr>
          <w:rFonts w:ascii="ITC Avant Garde" w:hAnsi="ITC Avant Garde"/>
        </w:rPr>
        <w:t xml:space="preserve">recibido en la oficialía de partes de este Instituto el día </w:t>
      </w:r>
      <w:r w:rsidR="0056687B" w:rsidRPr="00181B85">
        <w:rPr>
          <w:rFonts w:ascii="ITC Avant Garde" w:hAnsi="ITC Avant Garde"/>
        </w:rPr>
        <w:t>veintiocho de febrero siguiente</w:t>
      </w:r>
      <w:r w:rsidR="00120AE7" w:rsidRPr="00181B85">
        <w:rPr>
          <w:rFonts w:ascii="ITC Avant Garde" w:hAnsi="ITC Avant Garde"/>
        </w:rPr>
        <w:t xml:space="preserve">, </w:t>
      </w:r>
      <w:r w:rsidR="00807D6E" w:rsidRPr="00181B85">
        <w:rPr>
          <w:rFonts w:ascii="ITC Avant Garde" w:eastAsia="Calibri" w:hAnsi="ITC Avant Garde" w:cs="Times New Roman"/>
        </w:rPr>
        <w:t xml:space="preserve">mediante </w:t>
      </w:r>
      <w:r w:rsidR="0025345B" w:rsidRPr="00181B85">
        <w:rPr>
          <w:rFonts w:ascii="ITC Avant Garde" w:eastAsia="Calibri" w:hAnsi="ITC Avant Garde" w:cs="Times New Roman"/>
        </w:rPr>
        <w:t xml:space="preserve">el cual </w:t>
      </w:r>
      <w:r w:rsidR="00120AE7" w:rsidRPr="00181B85">
        <w:rPr>
          <w:rFonts w:ascii="ITC Avant Garde" w:eastAsia="Calibri" w:hAnsi="ITC Avant Garde" w:cs="Times New Roman"/>
        </w:rPr>
        <w:t xml:space="preserve">se </w:t>
      </w:r>
      <w:r w:rsidR="0025345B" w:rsidRPr="00181B85">
        <w:rPr>
          <w:rFonts w:ascii="ITC Avant Garde" w:eastAsia="Calibri" w:hAnsi="ITC Avant Garde" w:cs="Times New Roman"/>
        </w:rPr>
        <w:t xml:space="preserve">requiere </w:t>
      </w:r>
      <w:r w:rsidR="00120AE7" w:rsidRPr="00181B85">
        <w:rPr>
          <w:rFonts w:ascii="ITC Avant Garde" w:eastAsia="Calibri" w:hAnsi="ITC Avant Garde" w:cs="Times New Roman"/>
        </w:rPr>
        <w:t xml:space="preserve">a esta autoridad </w:t>
      </w:r>
      <w:r w:rsidR="0025345B" w:rsidRPr="00181B85">
        <w:rPr>
          <w:rFonts w:ascii="ITC Avant Garde" w:eastAsia="Calibri" w:hAnsi="ITC Avant Garde" w:cs="Times New Roman"/>
        </w:rPr>
        <w:t xml:space="preserve">el cumplimiento de la </w:t>
      </w:r>
      <w:r w:rsidR="007F3FEE" w:rsidRPr="00181B85">
        <w:rPr>
          <w:rFonts w:ascii="ITC Avant Garde" w:eastAsia="Calibri" w:hAnsi="ITC Avant Garde" w:cs="Times New Roman"/>
        </w:rPr>
        <w:t>Ejecutoria</w:t>
      </w:r>
      <w:r w:rsidR="0025345B" w:rsidRPr="00181B85">
        <w:rPr>
          <w:rFonts w:ascii="ITC Avant Garde" w:eastAsia="Calibri" w:hAnsi="ITC Avant Garde" w:cs="Times New Roman"/>
        </w:rPr>
        <w:t xml:space="preserve"> </w:t>
      </w:r>
      <w:r w:rsidR="0058204B" w:rsidRPr="00181B85">
        <w:rPr>
          <w:rFonts w:ascii="ITC Avant Garde" w:eastAsia="Calibri" w:hAnsi="ITC Avant Garde" w:cs="Times New Roman"/>
        </w:rPr>
        <w:t>en los siguientes términos</w:t>
      </w:r>
      <w:r w:rsidR="00BF3E2F" w:rsidRPr="00181B85">
        <w:rPr>
          <w:rFonts w:ascii="ITC Avant Garde" w:eastAsia="Calibri" w:hAnsi="ITC Avant Garde" w:cs="Times New Roman"/>
        </w:rPr>
        <w:t xml:space="preserve"> (Acuerdo del Juzgado)</w:t>
      </w:r>
      <w:r w:rsidR="005E0C99" w:rsidRPr="00181B85">
        <w:rPr>
          <w:rFonts w:ascii="ITC Avant Garde" w:eastAsia="Calibri" w:hAnsi="ITC Avant Garde" w:cs="Times New Roman"/>
        </w:rPr>
        <w:t>:</w:t>
      </w:r>
    </w:p>
    <w:p w:rsidR="009D6A4D" w:rsidRPr="00181B85" w:rsidRDefault="00807D6E" w:rsidP="009D6A4D">
      <w:pPr>
        <w:spacing w:before="240" w:after="120"/>
        <w:ind w:left="567" w:right="567"/>
        <w:jc w:val="both"/>
        <w:rPr>
          <w:rFonts w:ascii="ITC Avant Garde" w:eastAsia="Calibri" w:hAnsi="ITC Avant Garde" w:cs="Times New Roman"/>
          <w:sz w:val="20"/>
          <w:szCs w:val="20"/>
        </w:rPr>
      </w:pPr>
      <w:r w:rsidRPr="00181B85">
        <w:rPr>
          <w:rFonts w:ascii="ITC Avant Garde" w:eastAsia="Calibri" w:hAnsi="ITC Avant Garde" w:cs="Times New Roman"/>
          <w:szCs w:val="20"/>
        </w:rPr>
        <w:t>“</w:t>
      </w:r>
      <w:r w:rsidR="005E0C99" w:rsidRPr="00181B85">
        <w:rPr>
          <w:rFonts w:ascii="ITC Avant Garde" w:eastAsia="Calibri" w:hAnsi="ITC Avant Garde" w:cs="Times New Roman"/>
          <w:szCs w:val="20"/>
        </w:rPr>
        <w:t xml:space="preserve"> - </w:t>
      </w:r>
      <w:r w:rsidR="005E0C99" w:rsidRPr="00181B85">
        <w:rPr>
          <w:rFonts w:ascii="ITC Avant Garde" w:eastAsia="Calibri" w:hAnsi="ITC Avant Garde" w:cs="Times New Roman"/>
          <w:sz w:val="20"/>
          <w:szCs w:val="20"/>
        </w:rPr>
        <w:t xml:space="preserve">Que </w:t>
      </w:r>
      <w:r w:rsidR="005E0C99" w:rsidRPr="00181B85">
        <w:rPr>
          <w:rFonts w:ascii="ITC Avant Garde" w:eastAsia="Calibri" w:hAnsi="ITC Avant Garde" w:cs="Times New Roman"/>
          <w:b/>
          <w:sz w:val="20"/>
          <w:szCs w:val="20"/>
        </w:rPr>
        <w:t xml:space="preserve">se deje insubsistente </w:t>
      </w:r>
      <w:r w:rsidR="005E0C99" w:rsidRPr="00181B85">
        <w:rPr>
          <w:rFonts w:ascii="ITC Avant Garde" w:eastAsia="Calibri" w:hAnsi="ITC Avant Garde" w:cs="Times New Roman"/>
          <w:sz w:val="20"/>
          <w:szCs w:val="20"/>
        </w:rPr>
        <w:t>la resolución reclamada; esto es, la dictada en el expediente RA-029-2011 y acumulados, en sesión de catorce de marzo de dos mil doce, por la extinta Comisión Federal de Competencia; y,</w:t>
      </w:r>
    </w:p>
    <w:p w:rsidR="005E0C99" w:rsidRPr="00181B85" w:rsidRDefault="005E0C99" w:rsidP="009D6A4D">
      <w:pPr>
        <w:spacing w:before="240" w:after="120"/>
        <w:ind w:left="567" w:right="567"/>
        <w:jc w:val="both"/>
        <w:rPr>
          <w:rFonts w:ascii="ITC Avant Garde" w:eastAsia="Calibri" w:hAnsi="ITC Avant Garde" w:cs="Times New Roman"/>
          <w:sz w:val="20"/>
          <w:szCs w:val="20"/>
        </w:rPr>
      </w:pPr>
      <w:r w:rsidRPr="00181B85">
        <w:rPr>
          <w:rFonts w:ascii="ITC Avant Garde" w:eastAsia="Calibri" w:hAnsi="ITC Avant Garde" w:cs="Times New Roman"/>
          <w:sz w:val="20"/>
          <w:szCs w:val="20"/>
        </w:rPr>
        <w:t xml:space="preserve">- </w:t>
      </w:r>
      <w:r w:rsidRPr="00181B85">
        <w:rPr>
          <w:rFonts w:ascii="ITC Avant Garde" w:eastAsia="Calibri" w:hAnsi="ITC Avant Garde" w:cs="Times New Roman"/>
          <w:b/>
          <w:sz w:val="20"/>
          <w:szCs w:val="20"/>
          <w:u w:val="single"/>
        </w:rPr>
        <w:t>Se emita una nueva determinación en la que sin perjuicio de que resuelva en igual o distinto sentido, se estudien de fondo todos y cada uno de los argumentos hechos valer por la quejosa en el recurso de reconsideración</w:t>
      </w:r>
      <w:r w:rsidRPr="00181B85">
        <w:rPr>
          <w:rFonts w:ascii="ITC Avant Garde" w:eastAsia="Calibri" w:hAnsi="ITC Avant Garde" w:cs="Times New Roman"/>
          <w:b/>
          <w:sz w:val="20"/>
          <w:szCs w:val="20"/>
        </w:rPr>
        <w:t xml:space="preserve">, </w:t>
      </w:r>
      <w:r w:rsidRPr="00181B85">
        <w:rPr>
          <w:rFonts w:ascii="ITC Avant Garde" w:eastAsia="Calibri" w:hAnsi="ITC Avant Garde" w:cs="Times New Roman"/>
          <w:sz w:val="20"/>
          <w:szCs w:val="20"/>
        </w:rPr>
        <w:t>en cuanto a los puntos siguientes:</w:t>
      </w:r>
    </w:p>
    <w:p w:rsidR="005E0C99" w:rsidRPr="00181B85" w:rsidRDefault="005E0C99" w:rsidP="009D6A4D">
      <w:pPr>
        <w:pStyle w:val="Prrafodelista"/>
        <w:numPr>
          <w:ilvl w:val="0"/>
          <w:numId w:val="4"/>
        </w:numPr>
        <w:spacing w:before="240" w:after="120"/>
        <w:ind w:left="851" w:right="567" w:firstLine="0"/>
        <w:contextualSpacing w:val="0"/>
        <w:jc w:val="both"/>
        <w:rPr>
          <w:rFonts w:ascii="ITC Avant Garde" w:eastAsia="Calibri" w:hAnsi="ITC Avant Garde" w:cs="Times New Roman"/>
          <w:sz w:val="20"/>
          <w:szCs w:val="20"/>
        </w:rPr>
      </w:pPr>
      <w:r w:rsidRPr="00181B85">
        <w:rPr>
          <w:rFonts w:ascii="ITC Avant Garde" w:eastAsia="Calibri" w:hAnsi="ITC Avant Garde" w:cs="Times New Roman"/>
          <w:sz w:val="20"/>
          <w:szCs w:val="20"/>
        </w:rPr>
        <w:t xml:space="preserve">3.2.1. Incompetencia e </w:t>
      </w:r>
      <w:r w:rsidR="00D40856" w:rsidRPr="00181B85">
        <w:rPr>
          <w:rFonts w:ascii="ITC Avant Garde" w:eastAsia="Calibri" w:hAnsi="ITC Avant Garde" w:cs="Times New Roman"/>
          <w:sz w:val="20"/>
          <w:szCs w:val="20"/>
        </w:rPr>
        <w:t xml:space="preserve">Inmunidad </w:t>
      </w:r>
      <w:r w:rsidRPr="00181B85">
        <w:rPr>
          <w:rFonts w:ascii="ITC Avant Garde" w:eastAsia="Calibri" w:hAnsi="ITC Avant Garde" w:cs="Times New Roman"/>
          <w:sz w:val="20"/>
          <w:szCs w:val="20"/>
        </w:rPr>
        <w:t>Ad hoc, inciso A);</w:t>
      </w:r>
    </w:p>
    <w:p w:rsidR="005E0C99" w:rsidRPr="00181B85" w:rsidRDefault="005E0C99" w:rsidP="009D6A4D">
      <w:pPr>
        <w:pStyle w:val="Prrafodelista"/>
        <w:numPr>
          <w:ilvl w:val="0"/>
          <w:numId w:val="4"/>
        </w:numPr>
        <w:spacing w:before="240" w:after="120"/>
        <w:ind w:left="851" w:right="567" w:firstLine="0"/>
        <w:contextualSpacing w:val="0"/>
        <w:jc w:val="both"/>
        <w:rPr>
          <w:rFonts w:ascii="ITC Avant Garde" w:eastAsia="Calibri" w:hAnsi="ITC Avant Garde" w:cs="Times New Roman"/>
          <w:sz w:val="20"/>
          <w:szCs w:val="20"/>
        </w:rPr>
      </w:pPr>
      <w:r w:rsidRPr="00181B85">
        <w:rPr>
          <w:rFonts w:ascii="ITC Avant Garde" w:eastAsia="Calibri" w:hAnsi="ITC Avant Garde" w:cs="Times New Roman"/>
          <w:sz w:val="20"/>
          <w:szCs w:val="20"/>
        </w:rPr>
        <w:t>3.2.2 Falta de Causa Eficiente, incisos A), B) y C);</w:t>
      </w:r>
    </w:p>
    <w:p w:rsidR="005E0C99" w:rsidRPr="00181B85" w:rsidRDefault="005E0C99" w:rsidP="009D6A4D">
      <w:pPr>
        <w:pStyle w:val="Prrafodelista"/>
        <w:numPr>
          <w:ilvl w:val="0"/>
          <w:numId w:val="4"/>
        </w:numPr>
        <w:spacing w:before="240" w:after="120"/>
        <w:ind w:left="851" w:right="567" w:firstLine="0"/>
        <w:contextualSpacing w:val="0"/>
        <w:jc w:val="both"/>
        <w:rPr>
          <w:rFonts w:ascii="ITC Avant Garde" w:eastAsia="Calibri" w:hAnsi="ITC Avant Garde" w:cs="Times New Roman"/>
          <w:sz w:val="20"/>
          <w:szCs w:val="20"/>
        </w:rPr>
      </w:pPr>
      <w:r w:rsidRPr="00181B85">
        <w:rPr>
          <w:rFonts w:ascii="ITC Avant Garde" w:eastAsia="Calibri" w:hAnsi="ITC Avant Garde" w:cs="Times New Roman"/>
          <w:sz w:val="20"/>
          <w:szCs w:val="20"/>
        </w:rPr>
        <w:lastRenderedPageBreak/>
        <w:t>3.3 Requerimiento de Información y Apercibimientos;</w:t>
      </w:r>
    </w:p>
    <w:p w:rsidR="005E0C99" w:rsidRPr="00181B85" w:rsidRDefault="005E0C99" w:rsidP="009D6A4D">
      <w:pPr>
        <w:pStyle w:val="Prrafodelista"/>
        <w:numPr>
          <w:ilvl w:val="0"/>
          <w:numId w:val="4"/>
        </w:numPr>
        <w:spacing w:before="240" w:after="120"/>
        <w:ind w:left="851" w:right="567" w:firstLine="0"/>
        <w:contextualSpacing w:val="0"/>
        <w:jc w:val="both"/>
        <w:rPr>
          <w:rFonts w:ascii="ITC Avant Garde" w:eastAsia="Calibri" w:hAnsi="ITC Avant Garde" w:cs="Times New Roman"/>
          <w:sz w:val="20"/>
          <w:szCs w:val="20"/>
        </w:rPr>
      </w:pPr>
      <w:r w:rsidRPr="00181B85">
        <w:rPr>
          <w:rFonts w:ascii="ITC Avant Garde" w:eastAsia="Calibri" w:hAnsi="ITC Avant Garde" w:cs="Times New Roman"/>
          <w:sz w:val="20"/>
          <w:szCs w:val="20"/>
        </w:rPr>
        <w:t>3.5 Cierre de la investigación;</w:t>
      </w:r>
    </w:p>
    <w:p w:rsidR="005E0C99" w:rsidRPr="00181B85" w:rsidRDefault="005E0C99" w:rsidP="009D6A4D">
      <w:pPr>
        <w:pStyle w:val="Prrafodelista"/>
        <w:numPr>
          <w:ilvl w:val="0"/>
          <w:numId w:val="4"/>
        </w:numPr>
        <w:spacing w:before="240" w:after="120"/>
        <w:ind w:left="851" w:right="567" w:firstLine="0"/>
        <w:contextualSpacing w:val="0"/>
        <w:jc w:val="both"/>
        <w:rPr>
          <w:rFonts w:ascii="ITC Avant Garde" w:eastAsia="Calibri" w:hAnsi="ITC Avant Garde" w:cs="Times New Roman"/>
          <w:sz w:val="20"/>
          <w:szCs w:val="20"/>
        </w:rPr>
      </w:pPr>
      <w:r w:rsidRPr="00181B85">
        <w:rPr>
          <w:rFonts w:ascii="ITC Avant Garde" w:eastAsia="Calibri" w:hAnsi="ITC Avant Garde" w:cs="Times New Roman"/>
          <w:sz w:val="20"/>
          <w:szCs w:val="20"/>
        </w:rPr>
        <w:t xml:space="preserve">3.7 </w:t>
      </w:r>
      <w:r w:rsidR="0015733C" w:rsidRPr="00181B85">
        <w:rPr>
          <w:rFonts w:ascii="ITC Avant Garde" w:eastAsia="Calibri" w:hAnsi="ITC Avant Garde" w:cs="Times New Roman"/>
          <w:szCs w:val="20"/>
        </w:rPr>
        <w:t>[sic]</w:t>
      </w:r>
      <w:r w:rsidRPr="00181B85">
        <w:rPr>
          <w:rFonts w:ascii="ITC Avant Garde" w:eastAsia="Calibri" w:hAnsi="ITC Avant Garde" w:cs="Times New Roman"/>
          <w:sz w:val="20"/>
          <w:szCs w:val="20"/>
        </w:rPr>
        <w:t>Clasificación de Confidencialidad;</w:t>
      </w:r>
    </w:p>
    <w:p w:rsidR="005E0C99" w:rsidRPr="00181B85" w:rsidRDefault="005E0C99" w:rsidP="009D6A4D">
      <w:pPr>
        <w:pStyle w:val="Prrafodelista"/>
        <w:numPr>
          <w:ilvl w:val="0"/>
          <w:numId w:val="4"/>
        </w:numPr>
        <w:spacing w:before="240" w:after="120"/>
        <w:ind w:left="851" w:right="567" w:firstLine="0"/>
        <w:contextualSpacing w:val="0"/>
        <w:jc w:val="both"/>
        <w:rPr>
          <w:rFonts w:ascii="ITC Avant Garde" w:eastAsia="Calibri" w:hAnsi="ITC Avant Garde" w:cs="Times New Roman"/>
          <w:sz w:val="20"/>
          <w:szCs w:val="20"/>
        </w:rPr>
      </w:pPr>
      <w:r w:rsidRPr="00181B85">
        <w:rPr>
          <w:rFonts w:ascii="ITC Avant Garde" w:eastAsia="Calibri" w:hAnsi="ITC Avant Garde" w:cs="Times New Roman"/>
          <w:sz w:val="20"/>
          <w:szCs w:val="20"/>
        </w:rPr>
        <w:t>3.7.3. Publicación del DP en el DOF;</w:t>
      </w:r>
    </w:p>
    <w:p w:rsidR="005E0C99" w:rsidRPr="00181B85" w:rsidRDefault="000C3814" w:rsidP="009D6A4D">
      <w:pPr>
        <w:pStyle w:val="Prrafodelista"/>
        <w:numPr>
          <w:ilvl w:val="0"/>
          <w:numId w:val="4"/>
        </w:numPr>
        <w:spacing w:before="240" w:after="120"/>
        <w:ind w:left="851" w:right="567" w:firstLine="0"/>
        <w:contextualSpacing w:val="0"/>
        <w:jc w:val="both"/>
        <w:rPr>
          <w:rFonts w:ascii="ITC Avant Garde" w:eastAsia="Calibri" w:hAnsi="ITC Avant Garde" w:cs="Times New Roman"/>
          <w:sz w:val="20"/>
          <w:szCs w:val="20"/>
        </w:rPr>
      </w:pPr>
      <w:r w:rsidRPr="00181B85">
        <w:rPr>
          <w:rFonts w:ascii="ITC Avant Garde" w:eastAsia="Calibri" w:hAnsi="ITC Avant Garde" w:cs="Times New Roman"/>
          <w:sz w:val="20"/>
          <w:szCs w:val="20"/>
        </w:rPr>
        <w:t>3.12.4.1 Congruencia, inciso B);</w:t>
      </w:r>
    </w:p>
    <w:p w:rsidR="000C3814" w:rsidRPr="00181B85" w:rsidRDefault="000C3814" w:rsidP="009D6A4D">
      <w:pPr>
        <w:pStyle w:val="Prrafodelista"/>
        <w:numPr>
          <w:ilvl w:val="0"/>
          <w:numId w:val="4"/>
        </w:numPr>
        <w:spacing w:before="240" w:after="120"/>
        <w:ind w:left="851" w:right="567" w:firstLine="0"/>
        <w:contextualSpacing w:val="0"/>
        <w:jc w:val="both"/>
        <w:rPr>
          <w:rFonts w:ascii="ITC Avant Garde" w:eastAsia="Calibri" w:hAnsi="ITC Avant Garde" w:cs="Times New Roman"/>
          <w:sz w:val="20"/>
          <w:szCs w:val="20"/>
        </w:rPr>
      </w:pPr>
      <w:r w:rsidRPr="00181B85">
        <w:rPr>
          <w:rFonts w:ascii="ITC Avant Garde" w:eastAsia="Calibri" w:hAnsi="ITC Avant Garde" w:cs="Times New Roman"/>
          <w:sz w:val="20"/>
          <w:szCs w:val="20"/>
        </w:rPr>
        <w:t>3.13.3.1 Falta de Sustento Fáctico y Probatorio, penúltimo párrafo;</w:t>
      </w:r>
    </w:p>
    <w:p w:rsidR="000C3814" w:rsidRPr="00181B85" w:rsidRDefault="000C3814" w:rsidP="009D6A4D">
      <w:pPr>
        <w:pStyle w:val="Prrafodelista"/>
        <w:numPr>
          <w:ilvl w:val="0"/>
          <w:numId w:val="4"/>
        </w:numPr>
        <w:spacing w:before="240" w:after="120"/>
        <w:ind w:left="851" w:right="567" w:firstLine="0"/>
        <w:contextualSpacing w:val="0"/>
        <w:jc w:val="both"/>
        <w:rPr>
          <w:rFonts w:ascii="ITC Avant Garde" w:eastAsia="Calibri" w:hAnsi="ITC Avant Garde" w:cs="Times New Roman"/>
          <w:sz w:val="20"/>
          <w:szCs w:val="20"/>
        </w:rPr>
      </w:pPr>
      <w:r w:rsidRPr="00181B85">
        <w:rPr>
          <w:rFonts w:ascii="ITC Avant Garde" w:eastAsia="Calibri" w:hAnsi="ITC Avant Garde" w:cs="Times New Roman"/>
          <w:sz w:val="20"/>
          <w:szCs w:val="20"/>
        </w:rPr>
        <w:t>3.7.1 Naturaleza y Justificación del DP y la Resolución Recurrida;</w:t>
      </w:r>
    </w:p>
    <w:p w:rsidR="00955C6F" w:rsidRPr="00181B85" w:rsidRDefault="000C3814" w:rsidP="009D6A4D">
      <w:pPr>
        <w:pStyle w:val="Prrafodelista"/>
        <w:numPr>
          <w:ilvl w:val="0"/>
          <w:numId w:val="4"/>
        </w:numPr>
        <w:spacing w:before="240" w:after="0"/>
        <w:ind w:left="851" w:right="567" w:firstLine="0"/>
        <w:contextualSpacing w:val="0"/>
        <w:jc w:val="both"/>
        <w:rPr>
          <w:rFonts w:ascii="ITC Avant Garde" w:eastAsia="Calibri" w:hAnsi="ITC Avant Garde" w:cs="Times New Roman"/>
          <w:sz w:val="20"/>
          <w:szCs w:val="20"/>
        </w:rPr>
      </w:pPr>
      <w:r w:rsidRPr="00181B85">
        <w:rPr>
          <w:rFonts w:ascii="ITC Avant Garde" w:eastAsia="Calibri" w:hAnsi="ITC Avant Garde" w:cs="Times New Roman"/>
          <w:sz w:val="20"/>
          <w:szCs w:val="20"/>
        </w:rPr>
        <w:t xml:space="preserve">3.13.3.2 Falta de Fundamentación, Motivación, de Congruencia, Certeza y </w:t>
      </w:r>
    </w:p>
    <w:p w:rsidR="000C3814" w:rsidRPr="00181B85" w:rsidRDefault="00955C6F" w:rsidP="009D6A4D">
      <w:pPr>
        <w:pStyle w:val="Prrafodelista"/>
        <w:spacing w:before="240" w:after="0"/>
        <w:ind w:left="851" w:right="567"/>
        <w:contextualSpacing w:val="0"/>
        <w:jc w:val="both"/>
        <w:rPr>
          <w:rFonts w:ascii="ITC Avant Garde" w:eastAsia="Calibri" w:hAnsi="ITC Avant Garde" w:cs="Times New Roman"/>
          <w:sz w:val="20"/>
          <w:szCs w:val="20"/>
        </w:rPr>
      </w:pPr>
      <w:r w:rsidRPr="00181B85">
        <w:rPr>
          <w:rFonts w:ascii="ITC Avant Garde" w:eastAsia="Calibri" w:hAnsi="ITC Avant Garde" w:cs="Times New Roman"/>
          <w:sz w:val="20"/>
          <w:szCs w:val="20"/>
        </w:rPr>
        <w:tab/>
        <w:t>S</w:t>
      </w:r>
      <w:r w:rsidR="000C3814" w:rsidRPr="00181B85">
        <w:rPr>
          <w:rFonts w:ascii="ITC Avant Garde" w:eastAsia="Calibri" w:hAnsi="ITC Avant Garde" w:cs="Times New Roman"/>
          <w:sz w:val="20"/>
          <w:szCs w:val="20"/>
        </w:rPr>
        <w:t>eguridad Jurídica, inciso G);</w:t>
      </w:r>
    </w:p>
    <w:p w:rsidR="000C3814" w:rsidRPr="00181B85" w:rsidRDefault="000C3814" w:rsidP="009D6A4D">
      <w:pPr>
        <w:pStyle w:val="Prrafodelista"/>
        <w:numPr>
          <w:ilvl w:val="0"/>
          <w:numId w:val="4"/>
        </w:numPr>
        <w:spacing w:before="240" w:after="120"/>
        <w:ind w:left="851" w:right="567" w:firstLine="0"/>
        <w:contextualSpacing w:val="0"/>
        <w:jc w:val="both"/>
        <w:rPr>
          <w:rFonts w:ascii="ITC Avant Garde" w:eastAsia="Calibri" w:hAnsi="ITC Avant Garde" w:cs="Times New Roman"/>
          <w:sz w:val="20"/>
          <w:szCs w:val="20"/>
        </w:rPr>
      </w:pPr>
      <w:r w:rsidRPr="00181B85">
        <w:rPr>
          <w:rFonts w:ascii="ITC Avant Garde" w:eastAsia="Calibri" w:hAnsi="ITC Avant Garde" w:cs="Times New Roman"/>
          <w:sz w:val="20"/>
          <w:szCs w:val="20"/>
        </w:rPr>
        <w:t>5.5.1 Análisis Inadecuado de Fijación de Precios; y,</w:t>
      </w:r>
    </w:p>
    <w:p w:rsidR="000C3814" w:rsidRPr="00181B85" w:rsidRDefault="000C3814" w:rsidP="009D6A4D">
      <w:pPr>
        <w:pStyle w:val="Prrafodelista"/>
        <w:numPr>
          <w:ilvl w:val="0"/>
          <w:numId w:val="4"/>
        </w:numPr>
        <w:spacing w:before="240" w:after="120"/>
        <w:ind w:left="851" w:right="567" w:firstLine="0"/>
        <w:contextualSpacing w:val="0"/>
        <w:jc w:val="both"/>
        <w:rPr>
          <w:rFonts w:ascii="ITC Avant Garde" w:eastAsia="Calibri" w:hAnsi="ITC Avant Garde" w:cs="Times New Roman"/>
          <w:sz w:val="20"/>
          <w:szCs w:val="20"/>
        </w:rPr>
      </w:pPr>
      <w:r w:rsidRPr="00181B85">
        <w:rPr>
          <w:rFonts w:ascii="ITC Avant Garde" w:eastAsia="Calibri" w:hAnsi="ITC Avant Garde" w:cs="Times New Roman"/>
          <w:sz w:val="20"/>
          <w:szCs w:val="20"/>
        </w:rPr>
        <w:t>3.7.4.4.1. Fundamentación y Motivación.</w:t>
      </w:r>
    </w:p>
    <w:p w:rsidR="000C3814" w:rsidRPr="00181B85" w:rsidRDefault="000C3814" w:rsidP="009D6A4D">
      <w:pPr>
        <w:spacing w:before="240" w:after="120"/>
        <w:ind w:left="567" w:right="567"/>
        <w:jc w:val="both"/>
        <w:rPr>
          <w:rFonts w:ascii="ITC Avant Garde" w:eastAsia="Calibri" w:hAnsi="ITC Avant Garde" w:cs="Times New Roman"/>
          <w:szCs w:val="20"/>
        </w:rPr>
      </w:pPr>
      <w:r w:rsidRPr="00181B85">
        <w:rPr>
          <w:rFonts w:ascii="ITC Avant Garde" w:eastAsia="Calibri" w:hAnsi="ITC Avant Garde" w:cs="Times New Roman"/>
          <w:sz w:val="20"/>
          <w:szCs w:val="20"/>
        </w:rPr>
        <w:t xml:space="preserve">En el entendido que, aunque se debe dejar sin efecto la citada resolución, </w:t>
      </w:r>
      <w:r w:rsidRPr="00181B85">
        <w:rPr>
          <w:rFonts w:ascii="ITC Avant Garde" w:eastAsia="Calibri" w:hAnsi="ITC Avant Garde" w:cs="Times New Roman"/>
          <w:b/>
          <w:sz w:val="20"/>
          <w:szCs w:val="20"/>
          <w:u w:val="single"/>
        </w:rPr>
        <w:t>lo determinado por la extinta autoridad responsable en relación con el recurso de reconsideración</w:t>
      </w:r>
      <w:r w:rsidRPr="00181B85">
        <w:rPr>
          <w:rFonts w:ascii="ITC Avant Garde" w:eastAsia="Calibri" w:hAnsi="ITC Avant Garde" w:cs="Times New Roman"/>
          <w:sz w:val="20"/>
          <w:szCs w:val="20"/>
        </w:rPr>
        <w:t xml:space="preserve"> </w:t>
      </w:r>
      <w:r w:rsidRPr="00181B85">
        <w:rPr>
          <w:rFonts w:ascii="ITC Avant Garde" w:eastAsia="Calibri" w:hAnsi="ITC Avant Garde" w:cs="Times New Roman"/>
          <w:b/>
          <w:sz w:val="20"/>
          <w:szCs w:val="20"/>
          <w:u w:val="single"/>
        </w:rPr>
        <w:t xml:space="preserve">interpuesto por las aquí tercero interesadas debe subsistir al no haber sido motivo del amparo y, por ende, se tendrá que reiterar en la nueva </w:t>
      </w:r>
      <w:r w:rsidR="0042481A" w:rsidRPr="00181B85">
        <w:rPr>
          <w:rFonts w:ascii="ITC Avant Garde" w:eastAsia="Calibri" w:hAnsi="ITC Avant Garde" w:cs="Times New Roman"/>
          <w:b/>
          <w:sz w:val="20"/>
          <w:szCs w:val="20"/>
          <w:u w:val="single"/>
        </w:rPr>
        <w:t>resolución</w:t>
      </w:r>
      <w:r w:rsidRPr="00181B85">
        <w:rPr>
          <w:rFonts w:ascii="ITC Avant Garde" w:eastAsia="Calibri" w:hAnsi="ITC Avant Garde" w:cs="Times New Roman"/>
          <w:sz w:val="20"/>
          <w:szCs w:val="20"/>
        </w:rPr>
        <w:t xml:space="preserve">. </w:t>
      </w:r>
      <w:r w:rsidRPr="00181B85">
        <w:rPr>
          <w:rFonts w:ascii="ITC Avant Garde" w:eastAsia="Calibri" w:hAnsi="ITC Avant Garde" w:cs="Times New Roman"/>
          <w:szCs w:val="20"/>
        </w:rPr>
        <w:t>[…]”</w:t>
      </w:r>
    </w:p>
    <w:p w:rsidR="009D6A4D" w:rsidRPr="00181B85" w:rsidRDefault="001C16AE" w:rsidP="009D6A4D">
      <w:pPr>
        <w:spacing w:before="240" w:after="120"/>
        <w:ind w:left="567" w:right="567"/>
        <w:jc w:val="both"/>
        <w:rPr>
          <w:rFonts w:ascii="ITC Avant Garde" w:eastAsia="Calibri" w:hAnsi="ITC Avant Garde" w:cs="Times New Roman"/>
          <w:sz w:val="20"/>
          <w:szCs w:val="20"/>
        </w:rPr>
      </w:pPr>
      <w:r w:rsidRPr="00181B85">
        <w:rPr>
          <w:rFonts w:ascii="ITC Avant Garde" w:eastAsia="Calibri" w:hAnsi="ITC Avant Garde" w:cs="Times New Roman"/>
          <w:sz w:val="20"/>
          <w:szCs w:val="20"/>
        </w:rPr>
        <w:t>[Énfasis añadido]</w:t>
      </w:r>
    </w:p>
    <w:p w:rsidR="009D6A4D" w:rsidRPr="00181B85" w:rsidRDefault="0096715E" w:rsidP="009D6A4D">
      <w:pPr>
        <w:spacing w:before="240" w:after="120"/>
        <w:jc w:val="both"/>
        <w:rPr>
          <w:rFonts w:ascii="ITC Avant Garde" w:hAnsi="ITC Avant Garde"/>
        </w:rPr>
      </w:pPr>
      <w:r w:rsidRPr="00181B85">
        <w:rPr>
          <w:rFonts w:ascii="ITC Avant Garde" w:hAnsi="ITC Avant Garde"/>
          <w:b/>
        </w:rPr>
        <w:t xml:space="preserve">VI. </w:t>
      </w:r>
      <w:r w:rsidRPr="00181B85">
        <w:rPr>
          <w:rFonts w:ascii="ITC Avant Garde" w:hAnsi="ITC Avant Garde"/>
        </w:rPr>
        <w:t xml:space="preserve">Mediante acuerdo de fecha </w:t>
      </w:r>
      <w:r w:rsidR="00120AE7" w:rsidRPr="00181B85">
        <w:rPr>
          <w:rFonts w:ascii="ITC Avant Garde" w:hAnsi="ITC Avant Garde"/>
        </w:rPr>
        <w:t>diez</w:t>
      </w:r>
      <w:r w:rsidRPr="00181B85">
        <w:rPr>
          <w:rFonts w:ascii="ITC Avant Garde" w:hAnsi="ITC Avant Garde"/>
        </w:rPr>
        <w:t xml:space="preserve"> de marzo de dos mil diecisiete,</w:t>
      </w:r>
      <w:r w:rsidRPr="00181B85">
        <w:rPr>
          <w:rFonts w:ascii="ITC Avant Garde" w:hAnsi="ITC Avant Garde"/>
          <w:b/>
        </w:rPr>
        <w:t xml:space="preserve"> </w:t>
      </w:r>
      <w:r w:rsidRPr="00181B85">
        <w:rPr>
          <w:rFonts w:ascii="ITC Avant Garde" w:hAnsi="ITC Avant Garde"/>
        </w:rPr>
        <w:t xml:space="preserve">este Instituto se declaró competente para conocer y tramitar lo relacionado con el </w:t>
      </w:r>
      <w:r w:rsidR="00BF3E2F" w:rsidRPr="00181B85">
        <w:rPr>
          <w:rFonts w:ascii="ITC Avant Garde" w:hAnsi="ITC Avant Garde"/>
        </w:rPr>
        <w:t>e</w:t>
      </w:r>
      <w:r w:rsidRPr="00181B85">
        <w:rPr>
          <w:rFonts w:ascii="ITC Avant Garde" w:hAnsi="ITC Avant Garde"/>
        </w:rPr>
        <w:t>xpediente</w:t>
      </w:r>
      <w:r w:rsidR="00BF3E2F" w:rsidRPr="00181B85">
        <w:rPr>
          <w:rFonts w:ascii="ITC Avant Garde" w:hAnsi="ITC Avant Garde"/>
        </w:rPr>
        <w:t xml:space="preserve"> en que se actúa</w:t>
      </w:r>
      <w:r w:rsidRPr="00181B85">
        <w:rPr>
          <w:rFonts w:ascii="ITC Avant Garde" w:hAnsi="ITC Avant Garde"/>
        </w:rPr>
        <w:t xml:space="preserve">; se tuvieron por recibidas las constancias del expediente administrativo RA-029-2011 así como sus acumulados, del índice de la extinta CFC, en consecuencia, se registró el expediente en el libro de gobierno de la Unidad de Competencia Económica del Instituto bajo el número </w:t>
      </w:r>
      <w:r w:rsidRPr="00181B85">
        <w:rPr>
          <w:rFonts w:ascii="ITC Avant Garde" w:hAnsi="ITC Avant Garde"/>
          <w:b/>
          <w:bCs/>
        </w:rPr>
        <w:t>E-IFT/UCE/RR-0001-2017</w:t>
      </w:r>
      <w:r w:rsidRPr="00181B85">
        <w:rPr>
          <w:rFonts w:ascii="ITC Avant Garde" w:hAnsi="ITC Avant Garde"/>
        </w:rPr>
        <w:t>, para los efectos legales a que haya lugar.</w:t>
      </w:r>
      <w:r w:rsidR="007840EA" w:rsidRPr="00181B85">
        <w:rPr>
          <w:rStyle w:val="Refdenotaalpie"/>
          <w:rFonts w:ascii="ITC Avant Garde" w:hAnsi="ITC Avant Garde"/>
        </w:rPr>
        <w:footnoteReference w:id="5"/>
      </w:r>
    </w:p>
    <w:p w:rsidR="009D6A4D" w:rsidRPr="00181B85" w:rsidRDefault="006F6582" w:rsidP="009D6A4D">
      <w:pPr>
        <w:spacing w:before="240" w:after="120"/>
        <w:jc w:val="both"/>
        <w:rPr>
          <w:rFonts w:ascii="ITC Avant Garde" w:hAnsi="ITC Avant Garde"/>
          <w:color w:val="000000" w:themeColor="text1"/>
        </w:rPr>
      </w:pPr>
      <w:r w:rsidRPr="00181B85">
        <w:rPr>
          <w:rFonts w:ascii="ITC Avant Garde" w:hAnsi="ITC Avant Garde"/>
          <w:bCs/>
          <w:color w:val="000000"/>
        </w:rPr>
        <w:lastRenderedPageBreak/>
        <w:t>En virtud de lo anterior,</w:t>
      </w:r>
      <w:r w:rsidR="00120AE7" w:rsidRPr="00181B85">
        <w:rPr>
          <w:rFonts w:ascii="ITC Avant Garde" w:hAnsi="ITC Avant Garde"/>
          <w:bCs/>
          <w:color w:val="000000"/>
        </w:rPr>
        <w:t xml:space="preserve"> el Pleno de este Instituto Federal de Telecomunicaciones </w:t>
      </w:r>
      <w:r w:rsidR="00120AE7" w:rsidRPr="00181B85">
        <w:rPr>
          <w:rFonts w:ascii="ITC Avant Garde" w:eastAsia="Times New Roman" w:hAnsi="ITC Avant Garde" w:cs="Courier New"/>
          <w:color w:val="000000" w:themeColor="text1"/>
          <w:lang w:eastAsia="es-MX"/>
        </w:rPr>
        <w:t>de conformidad con los artículos</w:t>
      </w:r>
      <w:r w:rsidR="00497AF4" w:rsidRPr="00181B85">
        <w:rPr>
          <w:rFonts w:ascii="ITC Avant Garde" w:eastAsia="Times New Roman" w:hAnsi="ITC Avant Garde" w:cs="Courier New"/>
          <w:color w:val="000000" w:themeColor="text1"/>
          <w:lang w:eastAsia="es-MX"/>
        </w:rPr>
        <w:t xml:space="preserve"> </w:t>
      </w:r>
      <w:r w:rsidR="0072475F" w:rsidRPr="00181B85">
        <w:rPr>
          <w:rFonts w:ascii="ITC Avant Garde" w:eastAsia="Times New Roman" w:hAnsi="ITC Avant Garde" w:cs="Courier New"/>
          <w:color w:val="000000" w:themeColor="text1"/>
          <w:lang w:eastAsia="es-MX"/>
        </w:rPr>
        <w:t xml:space="preserve">28, párrafos décimo cuarto, décimo quinto y décimo sexto, de la Constitución Política de los Estados Unidos Mexicanos; </w:t>
      </w:r>
      <w:r w:rsidR="00497AF4" w:rsidRPr="00181B85">
        <w:rPr>
          <w:rFonts w:ascii="ITC Avant Garde" w:eastAsia="Times New Roman" w:hAnsi="ITC Avant Garde" w:cs="Courier New"/>
          <w:color w:val="000000" w:themeColor="text1"/>
          <w:lang w:eastAsia="es-MX"/>
        </w:rPr>
        <w:t>24, fracción IV, de la Ley Federal de Competencia Económica</w:t>
      </w:r>
      <w:r w:rsidR="00497AF4" w:rsidRPr="00181B85">
        <w:rPr>
          <w:rStyle w:val="Refdenotaalpie"/>
          <w:rFonts w:ascii="ITC Avant Garde" w:eastAsia="Times New Roman" w:hAnsi="ITC Avant Garde" w:cs="Courier New"/>
          <w:color w:val="000000" w:themeColor="text1"/>
          <w:lang w:eastAsia="es-MX"/>
        </w:rPr>
        <w:footnoteReference w:id="6"/>
      </w:r>
      <w:r w:rsidR="00120AE7" w:rsidRPr="00181B85">
        <w:rPr>
          <w:rFonts w:ascii="ITC Avant Garde" w:eastAsia="Times New Roman" w:hAnsi="ITC Avant Garde" w:cs="Courier New"/>
          <w:color w:val="000000" w:themeColor="text1"/>
          <w:lang w:eastAsia="es-MX"/>
        </w:rPr>
        <w:t xml:space="preserve"> 65, </w:t>
      </w:r>
      <w:r w:rsidR="008F18EB" w:rsidRPr="00181B85">
        <w:rPr>
          <w:rFonts w:ascii="ITC Avant Garde" w:eastAsia="Times New Roman" w:hAnsi="ITC Avant Garde" w:cs="Courier New"/>
          <w:color w:val="000000" w:themeColor="text1"/>
          <w:lang w:eastAsia="es-MX"/>
        </w:rPr>
        <w:t>fraccio</w:t>
      </w:r>
      <w:r w:rsidR="00120AE7" w:rsidRPr="00181B85">
        <w:rPr>
          <w:rFonts w:ascii="ITC Avant Garde" w:eastAsia="Times New Roman" w:hAnsi="ITC Avant Garde" w:cs="Courier New"/>
          <w:color w:val="000000" w:themeColor="text1"/>
          <w:lang w:eastAsia="es-MX"/>
        </w:rPr>
        <w:t>n</w:t>
      </w:r>
      <w:r w:rsidR="008F18EB" w:rsidRPr="00181B85">
        <w:rPr>
          <w:rFonts w:ascii="ITC Avant Garde" w:eastAsia="Times New Roman" w:hAnsi="ITC Avant Garde" w:cs="Courier New"/>
          <w:color w:val="000000" w:themeColor="text1"/>
          <w:lang w:eastAsia="es-MX"/>
        </w:rPr>
        <w:t>es</w:t>
      </w:r>
      <w:r w:rsidR="00120AE7" w:rsidRPr="00181B85">
        <w:rPr>
          <w:rFonts w:ascii="ITC Avant Garde" w:eastAsia="Times New Roman" w:hAnsi="ITC Avant Garde" w:cs="Courier New"/>
          <w:color w:val="000000" w:themeColor="text1"/>
          <w:lang w:eastAsia="es-MX"/>
        </w:rPr>
        <w:t xml:space="preserve"> I</w:t>
      </w:r>
      <w:r w:rsidR="008F18EB" w:rsidRPr="00181B85">
        <w:rPr>
          <w:rFonts w:ascii="ITC Avant Garde" w:eastAsia="Times New Roman" w:hAnsi="ITC Avant Garde" w:cs="Courier New"/>
          <w:color w:val="000000" w:themeColor="text1"/>
          <w:lang w:eastAsia="es-MX"/>
        </w:rPr>
        <w:t xml:space="preserve"> y II</w:t>
      </w:r>
      <w:r w:rsidR="00120AE7" w:rsidRPr="00181B85">
        <w:rPr>
          <w:rFonts w:ascii="ITC Avant Garde" w:eastAsia="Times New Roman" w:hAnsi="ITC Avant Garde" w:cs="Courier New"/>
          <w:color w:val="000000" w:themeColor="text1"/>
          <w:lang w:eastAsia="es-MX"/>
        </w:rPr>
        <w:t>, 66, fracción VIII, del Reglamento de la Ley Federal de Competencia Económica;</w:t>
      </w:r>
      <w:r w:rsidR="00120AE7" w:rsidRPr="00181B85">
        <w:rPr>
          <w:rStyle w:val="Refdenotaalpie"/>
          <w:rFonts w:ascii="ITC Avant Garde" w:eastAsia="Times New Roman" w:hAnsi="ITC Avant Garde" w:cs="Courier New"/>
          <w:color w:val="000000" w:themeColor="text1"/>
          <w:lang w:eastAsia="es-MX"/>
        </w:rPr>
        <w:footnoteReference w:id="7"/>
      </w:r>
      <w:r w:rsidR="00120AE7" w:rsidRPr="00181B85">
        <w:rPr>
          <w:rFonts w:ascii="ITC Avant Garde" w:eastAsia="Times New Roman" w:hAnsi="ITC Avant Garde" w:cs="Courier New"/>
          <w:color w:val="000000" w:themeColor="text1"/>
          <w:lang w:eastAsia="es-MX"/>
        </w:rPr>
        <w:t xml:space="preserve"> Sexto Transitorio, del “</w:t>
      </w:r>
      <w:r w:rsidR="00120AE7" w:rsidRPr="00181B85">
        <w:rPr>
          <w:rFonts w:ascii="ITC Avant Garde" w:eastAsia="Times New Roman" w:hAnsi="ITC Avant Garde" w:cs="Courier New"/>
          <w:color w:val="000000" w:themeColor="text1"/>
          <w:sz w:val="20"/>
          <w:lang w:eastAsia="es-MX"/>
        </w:rPr>
        <w:t>Decreto por el que se reforman, adicionan y derogan diversas disposiciones de la Ley Federal de Competencia Económica, de la Ley de la Comisión Nacional de los Derechos Humanos, de la Ley Federal de Telecomunicaciones y Radiodifusión, de la Ley del Sistema Nacional de Información Estadística y Geográfica, de la Ley General de Instituciones y Procedimientos Electorales, de la Ley del Instituto Nacional para la Evaluación de la Educación, de la Ley Federal de Transparencia y Acceso a la Información Pública, y de la Ley Orgánica del Congreso General de los Estados Unidos Mexicanos</w:t>
      </w:r>
      <w:r w:rsidR="00120AE7" w:rsidRPr="00181B85">
        <w:rPr>
          <w:rFonts w:ascii="ITC Avant Garde" w:eastAsia="Times New Roman" w:hAnsi="ITC Avant Garde" w:cs="Courier New"/>
          <w:color w:val="000000" w:themeColor="text1"/>
          <w:lang w:eastAsia="es-MX"/>
        </w:rPr>
        <w:t>”</w:t>
      </w:r>
      <w:r w:rsidR="00667B9A" w:rsidRPr="00181B85">
        <w:rPr>
          <w:rFonts w:ascii="ITC Avant Garde" w:eastAsia="Times New Roman" w:hAnsi="ITC Avant Garde" w:cs="Courier New"/>
          <w:color w:val="000000" w:themeColor="text1"/>
          <w:lang w:eastAsia="es-MX"/>
        </w:rPr>
        <w:t>;</w:t>
      </w:r>
      <w:r w:rsidR="00120AE7" w:rsidRPr="00181B85">
        <w:rPr>
          <w:rStyle w:val="Refdenotaalpie"/>
          <w:rFonts w:ascii="ITC Avant Garde" w:eastAsia="Times New Roman" w:hAnsi="ITC Avant Garde" w:cs="Courier New"/>
          <w:color w:val="000000" w:themeColor="text1"/>
          <w:lang w:eastAsia="es-MX"/>
        </w:rPr>
        <w:footnoteReference w:id="8"/>
      </w:r>
      <w:r w:rsidR="00120AE7" w:rsidRPr="00181B85">
        <w:rPr>
          <w:rFonts w:ascii="ITC Avant Garde" w:eastAsia="Times New Roman" w:hAnsi="ITC Avant Garde" w:cs="Courier New"/>
          <w:color w:val="000000" w:themeColor="text1"/>
          <w:lang w:eastAsia="es-MX"/>
        </w:rPr>
        <w:t xml:space="preserve"> Tercero Transitorio del “</w:t>
      </w:r>
      <w:r w:rsidR="00120AE7" w:rsidRPr="00181B85">
        <w:rPr>
          <w:rFonts w:ascii="ITC Avant Garde" w:eastAsia="Times New Roman" w:hAnsi="ITC Avant Garde" w:cs="Courier New"/>
          <w:color w:val="000000" w:themeColor="text1"/>
          <w:sz w:val="20"/>
          <w:lang w:eastAsia="es-MX"/>
        </w:rPr>
        <w:t>Acuerdo mediante el cual el Pleno del Instituto Federal de Telecomunicaciones expide las Disposiciones Regulatorias de</w:t>
      </w:r>
      <w:r w:rsidR="00667B9A" w:rsidRPr="00181B85">
        <w:rPr>
          <w:rFonts w:ascii="ITC Avant Garde" w:eastAsia="Times New Roman" w:hAnsi="ITC Avant Garde" w:cs="Courier New"/>
          <w:color w:val="000000" w:themeColor="text1"/>
          <w:sz w:val="20"/>
          <w:lang w:eastAsia="es-MX"/>
        </w:rPr>
        <w:t xml:space="preserve"> </w:t>
      </w:r>
      <w:r w:rsidR="00120AE7" w:rsidRPr="00181B85">
        <w:rPr>
          <w:rFonts w:ascii="ITC Avant Garde" w:eastAsia="Times New Roman" w:hAnsi="ITC Avant Garde" w:cs="Courier New"/>
          <w:color w:val="000000" w:themeColor="text1"/>
          <w:sz w:val="20"/>
          <w:lang w:eastAsia="es-MX"/>
        </w:rPr>
        <w:t>la Ley Federal de Competencia Económica para los sectores de telecomunicaciones y radiodifusión</w:t>
      </w:r>
      <w:r w:rsidR="00120AE7" w:rsidRPr="00181B85">
        <w:rPr>
          <w:rFonts w:ascii="ITC Avant Garde" w:eastAsia="Times New Roman" w:hAnsi="ITC Avant Garde" w:cs="Courier New"/>
          <w:color w:val="000000" w:themeColor="text1"/>
          <w:lang w:eastAsia="es-MX"/>
        </w:rPr>
        <w:t>”,</w:t>
      </w:r>
      <w:r w:rsidR="00667B9A" w:rsidRPr="00181B85">
        <w:rPr>
          <w:rStyle w:val="Refdenotaalpie"/>
          <w:rFonts w:ascii="ITC Avant Garde" w:eastAsia="Times New Roman" w:hAnsi="ITC Avant Garde" w:cs="Courier New"/>
          <w:color w:val="000000" w:themeColor="text1"/>
          <w:lang w:eastAsia="es-MX"/>
        </w:rPr>
        <w:footnoteReference w:id="9"/>
      </w:r>
      <w:r w:rsidR="00120AE7" w:rsidRPr="00181B85">
        <w:rPr>
          <w:rFonts w:ascii="ITC Avant Garde" w:eastAsia="Times New Roman" w:hAnsi="ITC Avant Garde" w:cs="Courier New"/>
          <w:color w:val="000000" w:themeColor="text1"/>
          <w:lang w:eastAsia="es-MX"/>
        </w:rPr>
        <w:t xml:space="preserve"> </w:t>
      </w:r>
      <w:r w:rsidR="00120AE7" w:rsidRPr="00181B85">
        <w:rPr>
          <w:rFonts w:ascii="ITC Avant Garde" w:hAnsi="ITC Avant Garde"/>
          <w:color w:val="000000" w:themeColor="text1"/>
        </w:rPr>
        <w:t xml:space="preserve">y </w:t>
      </w:r>
      <w:r w:rsidR="0072475F" w:rsidRPr="00181B85">
        <w:rPr>
          <w:rFonts w:ascii="ITC Avant Garde" w:hAnsi="ITC Avant Garde"/>
          <w:color w:val="000000" w:themeColor="text1"/>
        </w:rPr>
        <w:t xml:space="preserve">1, </w:t>
      </w:r>
      <w:r w:rsidR="00120AE7" w:rsidRPr="00181B85">
        <w:rPr>
          <w:rFonts w:ascii="ITC Avant Garde" w:hAnsi="ITC Avant Garde"/>
          <w:color w:val="000000" w:themeColor="text1"/>
        </w:rPr>
        <w:t>4, fracción I, del Estatuto Orgánico del Instituto Federal de Telecomunicaciones</w:t>
      </w:r>
      <w:r w:rsidR="00667B9A" w:rsidRPr="00181B85">
        <w:rPr>
          <w:rFonts w:ascii="ITC Avant Garde" w:hAnsi="ITC Avant Garde"/>
          <w:color w:val="000000" w:themeColor="text1"/>
        </w:rPr>
        <w:t>,</w:t>
      </w:r>
      <w:r w:rsidR="00120AE7" w:rsidRPr="00181B85">
        <w:rPr>
          <w:rStyle w:val="Refdenotaalpie"/>
          <w:rFonts w:ascii="ITC Avant Garde" w:hAnsi="ITC Avant Garde"/>
          <w:color w:val="000000" w:themeColor="text1"/>
        </w:rPr>
        <w:footnoteReference w:id="10"/>
      </w:r>
    </w:p>
    <w:p w:rsidR="009D6A4D" w:rsidRPr="00181B85" w:rsidRDefault="00F23F04" w:rsidP="009D6A4D">
      <w:pPr>
        <w:pStyle w:val="Ttulo2"/>
        <w:spacing w:after="240"/>
        <w:jc w:val="center"/>
        <w:rPr>
          <w:rFonts w:ascii="ITC Avant Garde" w:hAnsi="ITC Avant Garde"/>
          <w:b/>
          <w:color w:val="000000" w:themeColor="text1"/>
          <w:sz w:val="22"/>
          <w:szCs w:val="22"/>
        </w:rPr>
      </w:pPr>
      <w:r w:rsidRPr="00181B85">
        <w:rPr>
          <w:rFonts w:ascii="ITC Avant Garde" w:hAnsi="ITC Avant Garde"/>
          <w:b/>
          <w:color w:val="000000" w:themeColor="text1"/>
          <w:sz w:val="22"/>
          <w:szCs w:val="22"/>
        </w:rPr>
        <w:t>ACUERDA:</w:t>
      </w:r>
    </w:p>
    <w:p w:rsidR="009D6A4D" w:rsidRPr="00181B85" w:rsidRDefault="00F23F04" w:rsidP="009D6A4D">
      <w:pPr>
        <w:tabs>
          <w:tab w:val="left" w:pos="284"/>
        </w:tabs>
        <w:suppressAutoHyphens/>
        <w:overflowPunct w:val="0"/>
        <w:autoSpaceDE w:val="0"/>
        <w:autoSpaceDN w:val="0"/>
        <w:adjustRightInd w:val="0"/>
        <w:spacing w:before="240" w:after="120"/>
        <w:jc w:val="both"/>
        <w:textAlignment w:val="baseline"/>
        <w:rPr>
          <w:rFonts w:ascii="ITC Avant Garde" w:hAnsi="ITC Avant Garde"/>
          <w:bCs/>
          <w:color w:val="000000"/>
        </w:rPr>
      </w:pPr>
      <w:r w:rsidRPr="00181B85">
        <w:rPr>
          <w:rFonts w:ascii="ITC Avant Garde" w:hAnsi="ITC Avant Garde"/>
          <w:b/>
          <w:bCs/>
          <w:color w:val="000000"/>
        </w:rPr>
        <w:t xml:space="preserve">Primero.- </w:t>
      </w:r>
      <w:r w:rsidR="0037170A" w:rsidRPr="00181B85">
        <w:rPr>
          <w:rFonts w:ascii="ITC Avant Garde" w:hAnsi="ITC Avant Garde"/>
          <w:bCs/>
          <w:color w:val="000000"/>
        </w:rPr>
        <w:t>En cumplimiento a lo ordenado en la E</w:t>
      </w:r>
      <w:r w:rsidR="007B7932" w:rsidRPr="00181B85">
        <w:rPr>
          <w:rFonts w:ascii="ITC Avant Garde" w:hAnsi="ITC Avant Garde"/>
          <w:bCs/>
          <w:color w:val="000000"/>
        </w:rPr>
        <w:t xml:space="preserve">jecutoria emitida el </w:t>
      </w:r>
      <w:r w:rsidR="007B7932" w:rsidRPr="00181B85">
        <w:rPr>
          <w:rFonts w:ascii="ITC Avant Garde" w:hAnsi="ITC Avant Garde"/>
        </w:rPr>
        <w:t>diecinueve de enero de dos mil diecisiete,</w:t>
      </w:r>
      <w:r w:rsidR="007B7932" w:rsidRPr="00181B85">
        <w:rPr>
          <w:rFonts w:ascii="ITC Avant Garde" w:hAnsi="ITC Avant Garde"/>
          <w:bCs/>
          <w:color w:val="000000"/>
        </w:rPr>
        <w:t xml:space="preserve"> por el </w:t>
      </w:r>
      <w:r w:rsidR="007B7932" w:rsidRPr="00181B85">
        <w:rPr>
          <w:rFonts w:ascii="ITC Avant Garde" w:hAnsi="ITC Avant Garde"/>
        </w:rPr>
        <w:t xml:space="preserve">Primer Tribunal Colegiado de Circuito en Materia Administrativa Especializado en Competencia Económica, Radiodifusión y Telecomunicaciones, con residencia en la Ciudad de México y jurisdicción en toda la República en los autos del toca de amparo en revisión </w:t>
      </w:r>
      <w:r w:rsidR="00C95AD7" w:rsidRPr="00181B85">
        <w:rPr>
          <w:rFonts w:ascii="ITC Avant Garde" w:hAnsi="ITC Avant Garde"/>
        </w:rPr>
        <w:t xml:space="preserve">R.A. </w:t>
      </w:r>
      <w:r w:rsidR="00850F55" w:rsidRPr="00181B85">
        <w:rPr>
          <w:rFonts w:ascii="ITC Avant Garde" w:hAnsi="ITC Avant Garde"/>
        </w:rPr>
        <w:t xml:space="preserve">82/2016 de su índice; </w:t>
      </w:r>
      <w:r w:rsidR="0037170A" w:rsidRPr="00181B85">
        <w:rPr>
          <w:rFonts w:ascii="ITC Avant Garde" w:hAnsi="ITC Avant Garde"/>
        </w:rPr>
        <w:t>se toma conocimiento de la misma y en consecuencia</w:t>
      </w:r>
      <w:r w:rsidR="007B7932" w:rsidRPr="00181B85">
        <w:rPr>
          <w:rFonts w:ascii="ITC Avant Garde" w:hAnsi="ITC Avant Garde"/>
        </w:rPr>
        <w:t xml:space="preserve"> </w:t>
      </w:r>
      <w:r w:rsidR="00851950" w:rsidRPr="00181B85">
        <w:rPr>
          <w:rFonts w:ascii="ITC Avant Garde" w:hAnsi="ITC Avant Garde"/>
          <w:b/>
          <w:bCs/>
          <w:color w:val="000000"/>
          <w:u w:val="single"/>
        </w:rPr>
        <w:t xml:space="preserve">se deja </w:t>
      </w:r>
      <w:r w:rsidR="008F78BD" w:rsidRPr="00181B85">
        <w:rPr>
          <w:rFonts w:ascii="ITC Avant Garde" w:hAnsi="ITC Avant Garde"/>
          <w:b/>
          <w:bCs/>
          <w:color w:val="000000"/>
          <w:u w:val="single"/>
        </w:rPr>
        <w:t>insubsistente</w:t>
      </w:r>
      <w:r w:rsidR="00851950" w:rsidRPr="00181B85">
        <w:rPr>
          <w:rFonts w:ascii="ITC Avant Garde" w:hAnsi="ITC Avant Garde"/>
          <w:bCs/>
          <w:color w:val="000000"/>
        </w:rPr>
        <w:t xml:space="preserve"> la </w:t>
      </w:r>
      <w:r w:rsidR="00851950" w:rsidRPr="00181B85">
        <w:rPr>
          <w:rFonts w:ascii="ITC Avant Garde" w:hAnsi="ITC Avant Garde"/>
        </w:rPr>
        <w:t xml:space="preserve">resolución de fecha catorce de marzo de dos mil doce, emitida por el Pleno de la </w:t>
      </w:r>
      <w:r w:rsidR="00643996" w:rsidRPr="00181B85">
        <w:rPr>
          <w:rFonts w:ascii="ITC Avant Garde" w:hAnsi="ITC Avant Garde"/>
        </w:rPr>
        <w:t xml:space="preserve">extinta </w:t>
      </w:r>
      <w:r w:rsidR="00851950" w:rsidRPr="00181B85">
        <w:rPr>
          <w:rFonts w:ascii="ITC Avant Garde" w:hAnsi="ITC Avant Garde"/>
        </w:rPr>
        <w:t>Comisión Federal</w:t>
      </w:r>
      <w:r w:rsidR="00256D75" w:rsidRPr="00181B85">
        <w:rPr>
          <w:rFonts w:ascii="ITC Avant Garde" w:hAnsi="ITC Avant Garde"/>
        </w:rPr>
        <w:t xml:space="preserve"> </w:t>
      </w:r>
      <w:r w:rsidR="00851950" w:rsidRPr="00181B85">
        <w:rPr>
          <w:rFonts w:ascii="ITC Avant Garde" w:hAnsi="ITC Avant Garde"/>
        </w:rPr>
        <w:t>de Competencia, dentro del recurso de reconsideración con número de expediente RA-029-2011 y acumulados</w:t>
      </w:r>
      <w:r w:rsidR="00643996" w:rsidRPr="00181B85">
        <w:rPr>
          <w:rFonts w:ascii="ITC Avant Garde" w:hAnsi="ITC Avant Garde"/>
        </w:rPr>
        <w:t xml:space="preserve"> de su índice</w:t>
      </w:r>
      <w:r w:rsidR="00BF3E2F" w:rsidRPr="00181B85">
        <w:rPr>
          <w:rFonts w:ascii="ITC Avant Garde" w:hAnsi="ITC Avant Garde"/>
        </w:rPr>
        <w:t>, actualmente</w:t>
      </w:r>
      <w:r w:rsidR="00D22457" w:rsidRPr="00181B85">
        <w:rPr>
          <w:rFonts w:ascii="ITC Avant Garde" w:hAnsi="ITC Avant Garde"/>
        </w:rPr>
        <w:t xml:space="preserve"> E-IFT/UCE/RR-0001-2017 del índice de este Instituto</w:t>
      </w:r>
      <w:r w:rsidR="00851950" w:rsidRPr="00181B85">
        <w:rPr>
          <w:rFonts w:ascii="ITC Avant Garde" w:hAnsi="ITC Avant Garde"/>
          <w:bCs/>
          <w:color w:val="000000"/>
        </w:rPr>
        <w:t>.</w:t>
      </w:r>
    </w:p>
    <w:p w:rsidR="009D6A4D" w:rsidRPr="00181B85" w:rsidRDefault="00850F55" w:rsidP="009D6A4D">
      <w:pPr>
        <w:spacing w:before="240" w:after="0"/>
        <w:jc w:val="both"/>
        <w:rPr>
          <w:rFonts w:ascii="ITC Avant Garde" w:eastAsia="Calibri" w:hAnsi="ITC Avant Garde" w:cs="Times New Roman"/>
        </w:rPr>
      </w:pPr>
      <w:r w:rsidRPr="00181B85">
        <w:rPr>
          <w:rFonts w:ascii="ITC Avant Garde" w:hAnsi="ITC Avant Garde"/>
          <w:b/>
          <w:bCs/>
          <w:color w:val="000000"/>
        </w:rPr>
        <w:t>Segundo</w:t>
      </w:r>
      <w:r w:rsidR="00F23F04" w:rsidRPr="00181B85">
        <w:rPr>
          <w:rFonts w:ascii="ITC Avant Garde" w:hAnsi="ITC Avant Garde"/>
          <w:b/>
          <w:bCs/>
          <w:color w:val="000000"/>
        </w:rPr>
        <w:t xml:space="preserve">.- </w:t>
      </w:r>
      <w:r w:rsidR="00326769" w:rsidRPr="00181B85">
        <w:rPr>
          <w:rFonts w:ascii="ITC Avant Garde" w:hAnsi="ITC Avant Garde"/>
        </w:rPr>
        <w:t xml:space="preserve">Instruir a la Unidad de Competencia Económica de este Instituto a efecto de que </w:t>
      </w:r>
      <w:r w:rsidR="009C3157" w:rsidRPr="00181B85">
        <w:rPr>
          <w:rFonts w:ascii="ITC Avant Garde" w:hAnsi="ITC Avant Garde"/>
        </w:rPr>
        <w:t xml:space="preserve">realice las </w:t>
      </w:r>
      <w:r w:rsidR="0072475F" w:rsidRPr="00181B85">
        <w:rPr>
          <w:rFonts w:ascii="ITC Avant Garde" w:hAnsi="ITC Avant Garde"/>
        </w:rPr>
        <w:t xml:space="preserve">gestiones </w:t>
      </w:r>
      <w:r w:rsidR="00B43A23" w:rsidRPr="00181B85">
        <w:rPr>
          <w:rFonts w:ascii="ITC Avant Garde" w:hAnsi="ITC Avant Garde"/>
        </w:rPr>
        <w:t xml:space="preserve">necesarias </w:t>
      </w:r>
      <w:r w:rsidR="00445CDA" w:rsidRPr="00181B85">
        <w:rPr>
          <w:rFonts w:ascii="ITC Avant Garde" w:hAnsi="ITC Avant Garde"/>
        </w:rPr>
        <w:t xml:space="preserve">para continuar con el cumplimiento de la Ejecutoria </w:t>
      </w:r>
      <w:r w:rsidR="00BF3E2F" w:rsidRPr="00181B85">
        <w:rPr>
          <w:rFonts w:ascii="ITC Avant Garde" w:hAnsi="ITC Avant Garde"/>
        </w:rPr>
        <w:t>y presente</w:t>
      </w:r>
      <w:r w:rsidR="00445CDA" w:rsidRPr="00181B85">
        <w:rPr>
          <w:rFonts w:ascii="ITC Avant Garde" w:hAnsi="ITC Avant Garde"/>
        </w:rPr>
        <w:t xml:space="preserve"> a este Pleno, </w:t>
      </w:r>
      <w:r w:rsidR="00B43A23" w:rsidRPr="00181B85">
        <w:rPr>
          <w:rFonts w:ascii="ITC Avant Garde" w:hAnsi="ITC Avant Garde"/>
        </w:rPr>
        <w:t>u</w:t>
      </w:r>
      <w:r w:rsidR="00BF3E2F" w:rsidRPr="00181B85">
        <w:rPr>
          <w:rFonts w:ascii="ITC Avant Garde" w:hAnsi="ITC Avant Garde"/>
        </w:rPr>
        <w:t xml:space="preserve">n proyecto </w:t>
      </w:r>
      <w:r w:rsidR="00B73521" w:rsidRPr="00181B85">
        <w:rPr>
          <w:rFonts w:ascii="ITC Avant Garde" w:hAnsi="ITC Avant Garde"/>
        </w:rPr>
        <w:t xml:space="preserve">de resolución en donde se </w:t>
      </w:r>
      <w:r w:rsidR="00BF3E2F" w:rsidRPr="00181B85">
        <w:rPr>
          <w:rFonts w:ascii="ITC Avant Garde" w:hAnsi="ITC Avant Garde"/>
        </w:rPr>
        <w:t xml:space="preserve">atiendan cabalmente </w:t>
      </w:r>
      <w:r w:rsidR="00BF3E2F" w:rsidRPr="00181B85">
        <w:rPr>
          <w:rFonts w:ascii="ITC Avant Garde" w:eastAsia="Calibri" w:hAnsi="ITC Avant Garde" w:cs="Times New Roman"/>
        </w:rPr>
        <w:t xml:space="preserve">todos y cada uno de los puntos indicados </w:t>
      </w:r>
      <w:r w:rsidR="00AB2B6A" w:rsidRPr="00181B85">
        <w:rPr>
          <w:rFonts w:ascii="ITC Avant Garde" w:eastAsia="Calibri" w:hAnsi="ITC Avant Garde" w:cs="Times New Roman"/>
        </w:rPr>
        <w:t xml:space="preserve">en el numeral V del proemio del presente acuerdo. </w:t>
      </w:r>
    </w:p>
    <w:p w:rsidR="009D6A4D" w:rsidRPr="00181B85" w:rsidRDefault="00850F55" w:rsidP="009D6A4D">
      <w:pPr>
        <w:tabs>
          <w:tab w:val="left" w:pos="284"/>
        </w:tabs>
        <w:suppressAutoHyphens/>
        <w:overflowPunct w:val="0"/>
        <w:autoSpaceDE w:val="0"/>
        <w:autoSpaceDN w:val="0"/>
        <w:adjustRightInd w:val="0"/>
        <w:spacing w:before="240" w:after="0"/>
        <w:jc w:val="both"/>
        <w:textAlignment w:val="baseline"/>
        <w:rPr>
          <w:rFonts w:ascii="ITC Avant Garde" w:hAnsi="ITC Avant Garde"/>
        </w:rPr>
      </w:pPr>
      <w:r w:rsidRPr="00181B85">
        <w:rPr>
          <w:rFonts w:ascii="ITC Avant Garde" w:hAnsi="ITC Avant Garde"/>
          <w:b/>
          <w:color w:val="000000" w:themeColor="text1"/>
        </w:rPr>
        <w:lastRenderedPageBreak/>
        <w:t>Tercero</w:t>
      </w:r>
      <w:r w:rsidR="00643996" w:rsidRPr="00181B85">
        <w:rPr>
          <w:rFonts w:ascii="ITC Avant Garde" w:hAnsi="ITC Avant Garde"/>
          <w:b/>
          <w:color w:val="000000" w:themeColor="text1"/>
        </w:rPr>
        <w:t xml:space="preserve">.- </w:t>
      </w:r>
      <w:r w:rsidR="00EB56A3" w:rsidRPr="00181B85">
        <w:rPr>
          <w:rFonts w:ascii="ITC Avant Garde" w:hAnsi="ITC Avant Garde"/>
          <w:bCs/>
          <w:color w:val="000000"/>
        </w:rPr>
        <w:t>Instruir a la Unidad de Asuntos Jurídicos de este Instituto a efecto de que exhiba este Acuerdo al Juzgado</w:t>
      </w:r>
      <w:r w:rsidR="0037170A" w:rsidRPr="00181B85">
        <w:rPr>
          <w:rFonts w:ascii="ITC Avant Garde" w:hAnsi="ITC Avant Garde"/>
          <w:bCs/>
          <w:color w:val="000000"/>
        </w:rPr>
        <w:t xml:space="preserve"> Tercero de Distrito en Materia Administrativa de la Ciudad de México</w:t>
      </w:r>
      <w:r w:rsidR="00EB56A3" w:rsidRPr="00181B85">
        <w:rPr>
          <w:rFonts w:ascii="ITC Avant Garde" w:hAnsi="ITC Avant Garde"/>
          <w:bCs/>
          <w:color w:val="000000"/>
        </w:rPr>
        <w:t xml:space="preserve"> y gestione una prórroga para dar cumplimiento a lo ordenado en el resolutivo primero de la Ejecutoria</w:t>
      </w:r>
      <w:r w:rsidR="0037170A" w:rsidRPr="00181B85">
        <w:rPr>
          <w:rFonts w:ascii="ITC Avant Garde" w:hAnsi="ITC Avant Garde"/>
          <w:bCs/>
          <w:color w:val="000000"/>
        </w:rPr>
        <w:t xml:space="preserve"> emitida por el </w:t>
      </w:r>
      <w:r w:rsidR="0037170A" w:rsidRPr="00181B85">
        <w:rPr>
          <w:rFonts w:ascii="ITC Avant Garde" w:hAnsi="ITC Avant Garde"/>
        </w:rPr>
        <w:t>Primer Tribunal Colegiado de Circuito en Materia Administrativa Especializado en Competencia Económica, Radiodifusión y Telecomunicaciones, con residencia en la Ciudad de México y jurisdicción en toda la República.</w:t>
      </w:r>
    </w:p>
    <w:p w:rsidR="009D6A4D" w:rsidRPr="00181B85" w:rsidRDefault="00850F55" w:rsidP="009D6A4D">
      <w:pPr>
        <w:spacing w:before="240" w:after="120"/>
        <w:jc w:val="both"/>
        <w:rPr>
          <w:rFonts w:ascii="ITC Avant Garde" w:hAnsi="ITC Avant Garde"/>
          <w:b/>
          <w:color w:val="000000" w:themeColor="text1"/>
        </w:rPr>
      </w:pPr>
      <w:r w:rsidRPr="00181B85">
        <w:rPr>
          <w:rFonts w:ascii="ITC Avant Garde" w:hAnsi="ITC Avant Garde"/>
          <w:b/>
          <w:color w:val="000000" w:themeColor="text1"/>
        </w:rPr>
        <w:t>Cuarto</w:t>
      </w:r>
      <w:r w:rsidR="00643996" w:rsidRPr="00181B85">
        <w:rPr>
          <w:rFonts w:ascii="ITC Avant Garde" w:hAnsi="ITC Avant Garde"/>
          <w:b/>
          <w:color w:val="000000" w:themeColor="text1"/>
        </w:rPr>
        <w:t xml:space="preserve">.- </w:t>
      </w:r>
      <w:r w:rsidR="00643996" w:rsidRPr="00181B85">
        <w:rPr>
          <w:rFonts w:ascii="ITC Avant Garde" w:hAnsi="ITC Avant Garde"/>
          <w:color w:val="000000" w:themeColor="text1"/>
        </w:rPr>
        <w:t>Notifíquese</w:t>
      </w:r>
      <w:r w:rsidR="00643996" w:rsidRPr="00181B85">
        <w:rPr>
          <w:rFonts w:ascii="ITC Avant Garde" w:hAnsi="ITC Avant Garde"/>
          <w:b/>
          <w:color w:val="000000" w:themeColor="text1"/>
        </w:rPr>
        <w:t>.</w:t>
      </w:r>
      <w:bookmarkStart w:id="0" w:name="_GoBack"/>
      <w:bookmarkEnd w:id="0"/>
    </w:p>
    <w:p w:rsidR="00F12AA5" w:rsidRPr="00181B85" w:rsidRDefault="00F12AA5" w:rsidP="009D6A4D">
      <w:pPr>
        <w:pStyle w:val="Prrafodelista"/>
        <w:spacing w:before="240" w:after="0" w:line="240" w:lineRule="auto"/>
        <w:ind w:left="0"/>
        <w:jc w:val="both"/>
        <w:rPr>
          <w:sz w:val="11"/>
          <w:szCs w:val="11"/>
          <w:lang w:val="es-ES_tradnl"/>
        </w:rPr>
      </w:pPr>
      <w:r w:rsidRPr="00181B85">
        <w:rPr>
          <w:rFonts w:ascii="ITC Avant Garde" w:hAnsi="ITC Avant Garde"/>
          <w:sz w:val="11"/>
          <w:szCs w:val="11"/>
          <w:lang w:val="es-ES_tradnl"/>
        </w:rPr>
        <w:t xml:space="preserve">El presente Acuerdo fue aprobado por el Pleno del Instituto Federal de Telecomunicaciones en su XII Sesión Ordinaria celebrada el 22 de marzo de 2017, </w:t>
      </w:r>
      <w:r w:rsidRPr="00181B85">
        <w:rPr>
          <w:rFonts w:ascii="ITC Avant Garde" w:hAnsi="ITC Avant Garde"/>
          <w:bCs/>
          <w:sz w:val="11"/>
          <w:szCs w:val="11"/>
          <w:lang w:val="es-ES_tradnl"/>
        </w:rPr>
        <w:t>por unanimidad</w:t>
      </w:r>
      <w:r w:rsidRPr="00181B85">
        <w:rPr>
          <w:rFonts w:ascii="ITC Avant Garde" w:hAnsi="ITC Avant Garde"/>
          <w:sz w:val="11"/>
          <w:szCs w:val="11"/>
          <w:lang w:val="es-ES_tradnl"/>
        </w:rPr>
        <w:t xml:space="preserve"> de votos de los Comisionados Gabriel Oswaldo Contreras Saldívar, Adriana Sofía Labardini Inzunza, Mario Germán Fromow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5 y 18 de la Ley Federal de Competencia Económica; así como en los artículos 1, 7, 8 y 12 del Estatuto Orgánico del Instituto Federal de Telecomunicaciones, mediante Acuerdo P/IFT/220317/144.</w:t>
      </w:r>
    </w:p>
    <w:p w:rsidR="00F12AA5" w:rsidRPr="00181B85" w:rsidRDefault="00F12AA5" w:rsidP="009D6A4D">
      <w:pPr>
        <w:pStyle w:val="N1IFT"/>
        <w:spacing w:before="240" w:after="0" w:line="240" w:lineRule="auto"/>
        <w:rPr>
          <w:b w:val="0"/>
          <w:sz w:val="11"/>
          <w:szCs w:val="11"/>
          <w:lang w:val="es-ES_tradnl"/>
        </w:rPr>
      </w:pPr>
      <w:r w:rsidRPr="00181B85">
        <w:rPr>
          <w:b w:val="0"/>
          <w:bCs w:val="0"/>
          <w:sz w:val="11"/>
          <w:szCs w:val="11"/>
          <w:lang w:val="es-ES"/>
        </w:rPr>
        <w:t>La Comisionada Adriana Sofía Labardini Inzunza asistió, participó y emitió su voto razonado en la Sesión, mediante comunicación electrónica a distancia, en términos de los artículos 45 cuarto párrafo de la Ley Federal de Telecomunicaciones y Radiodifusión, y 8 tercer párrafo del Estatuto Orgánico del Instituto Federal de Telecomunicaciones.</w:t>
      </w:r>
    </w:p>
    <w:p w:rsidR="00F12AA5" w:rsidRPr="00181B85" w:rsidRDefault="00F12AA5" w:rsidP="009D6A4D">
      <w:pPr>
        <w:pStyle w:val="Prrafodelista"/>
        <w:spacing w:before="240" w:after="0" w:line="240" w:lineRule="auto"/>
        <w:ind w:left="0"/>
        <w:jc w:val="both"/>
        <w:rPr>
          <w:b/>
        </w:rPr>
      </w:pPr>
      <w:r w:rsidRPr="00181B85">
        <w:rPr>
          <w:rFonts w:ascii="ITC Avant Garde" w:hAnsi="ITC Avant Garde"/>
          <w:sz w:val="11"/>
          <w:szCs w:val="11"/>
          <w:lang w:val="es-ES_tradnl"/>
        </w:rPr>
        <w:t xml:space="preserve">La Comisionada María Elena Estavillo Flores manifestó su Impedimento legal para conocer del presente asunto y el Pleno calificó su excusa como procedente, conforme a lo establecido en los artículos 24 fracción IV de la Ley Federal de Competencia Económica, y 6 </w:t>
      </w:r>
      <w:proofErr w:type="gramStart"/>
      <w:r w:rsidRPr="00181B85">
        <w:rPr>
          <w:rFonts w:ascii="ITC Avant Garde" w:hAnsi="ITC Avant Garde"/>
          <w:sz w:val="11"/>
          <w:szCs w:val="11"/>
          <w:lang w:val="es-ES_tradnl"/>
        </w:rPr>
        <w:t>fracción</w:t>
      </w:r>
      <w:proofErr w:type="gramEnd"/>
      <w:r w:rsidRPr="00181B85">
        <w:rPr>
          <w:rFonts w:ascii="ITC Avant Garde" w:hAnsi="ITC Avant Garde"/>
          <w:sz w:val="11"/>
          <w:szCs w:val="11"/>
          <w:lang w:val="es-ES_tradnl"/>
        </w:rPr>
        <w:t xml:space="preserve"> XXIII del Estatuto Orgánico del Instituto Federal de Telecomunicaciones.</w:t>
      </w:r>
    </w:p>
    <w:sectPr w:rsidR="00F12AA5" w:rsidRPr="00181B85" w:rsidSect="009E7B9B">
      <w:headerReference w:type="even" r:id="rId11"/>
      <w:headerReference w:type="default" r:id="rId12"/>
      <w:footerReference w:type="default" r:id="rId13"/>
      <w:headerReference w:type="first" r:id="rId14"/>
      <w:pgSz w:w="12240" w:h="15840"/>
      <w:pgMar w:top="1985" w:right="1418" w:bottom="1418" w:left="1418" w:header="170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77B" w:rsidRDefault="000E777B" w:rsidP="00406DF7">
      <w:pPr>
        <w:spacing w:after="0" w:line="240" w:lineRule="auto"/>
      </w:pPr>
      <w:r>
        <w:separator/>
      </w:r>
    </w:p>
  </w:endnote>
  <w:endnote w:type="continuationSeparator" w:id="0">
    <w:p w:rsidR="000E777B" w:rsidRDefault="000E777B" w:rsidP="00406DF7">
      <w:pPr>
        <w:spacing w:after="0" w:line="240" w:lineRule="auto"/>
      </w:pPr>
      <w:r>
        <w:continuationSeparator/>
      </w:r>
    </w:p>
  </w:endnote>
  <w:endnote w:type="continuationNotice" w:id="1">
    <w:p w:rsidR="000E777B" w:rsidRDefault="000E77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ITC Avant Garde">
    <w:altName w:val="Century Gothic"/>
    <w:panose1 w:val="020B0402020203020304"/>
    <w:charset w:val="00"/>
    <w:family w:val="swiss"/>
    <w:pitch w:val="variable"/>
    <w:sig w:usb0="00000007" w:usb1="00000000" w:usb2="00000000" w:usb3="00000000" w:csb0="00000093" w:csb1="00000000"/>
  </w:font>
  <w:font w:name="Helvetica">
    <w:panose1 w:val="020B05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ITC Avant Garde" w:hAnsi="ITC Avant Garde"/>
        <w:sz w:val="20"/>
      </w:rPr>
      <w:id w:val="-2051525118"/>
      <w:docPartObj>
        <w:docPartGallery w:val="Page Numbers (Bottom of Page)"/>
        <w:docPartUnique/>
      </w:docPartObj>
    </w:sdtPr>
    <w:sdtEndPr/>
    <w:sdtContent>
      <w:p w:rsidR="009D6A4D" w:rsidRDefault="00E274AE">
        <w:pPr>
          <w:pStyle w:val="Piedepgina"/>
          <w:jc w:val="right"/>
          <w:rPr>
            <w:rFonts w:ascii="ITC Avant Garde" w:hAnsi="ITC Avant Garde"/>
            <w:sz w:val="20"/>
          </w:rPr>
        </w:pPr>
        <w:r w:rsidRPr="00F53605">
          <w:rPr>
            <w:rFonts w:ascii="ITC Avant Garde" w:hAnsi="ITC Avant Garde"/>
            <w:sz w:val="20"/>
          </w:rPr>
          <w:fldChar w:fldCharType="begin"/>
        </w:r>
        <w:r w:rsidRPr="00F53605">
          <w:rPr>
            <w:rFonts w:ascii="ITC Avant Garde" w:hAnsi="ITC Avant Garde"/>
            <w:sz w:val="20"/>
          </w:rPr>
          <w:instrText>PAGE   \* MERGEFORMAT</w:instrText>
        </w:r>
        <w:r w:rsidRPr="00F53605">
          <w:rPr>
            <w:rFonts w:ascii="ITC Avant Garde" w:hAnsi="ITC Avant Garde"/>
            <w:sz w:val="20"/>
          </w:rPr>
          <w:fldChar w:fldCharType="separate"/>
        </w:r>
        <w:r w:rsidR="00181B85" w:rsidRPr="00181B85">
          <w:rPr>
            <w:rFonts w:ascii="ITC Avant Garde" w:hAnsi="ITC Avant Garde"/>
            <w:noProof/>
            <w:sz w:val="20"/>
            <w:lang w:val="es-ES"/>
          </w:rPr>
          <w:t>6</w:t>
        </w:r>
        <w:r w:rsidRPr="00F53605">
          <w:rPr>
            <w:rFonts w:ascii="ITC Avant Garde" w:hAnsi="ITC Avant Garde"/>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77B" w:rsidRDefault="000E777B" w:rsidP="00406DF7">
      <w:pPr>
        <w:spacing w:after="0" w:line="240" w:lineRule="auto"/>
      </w:pPr>
      <w:r>
        <w:separator/>
      </w:r>
    </w:p>
  </w:footnote>
  <w:footnote w:type="continuationSeparator" w:id="0">
    <w:p w:rsidR="000E777B" w:rsidRDefault="000E777B" w:rsidP="00406DF7">
      <w:pPr>
        <w:spacing w:after="0" w:line="240" w:lineRule="auto"/>
      </w:pPr>
      <w:r>
        <w:continuationSeparator/>
      </w:r>
    </w:p>
  </w:footnote>
  <w:footnote w:type="continuationNotice" w:id="1">
    <w:p w:rsidR="000E777B" w:rsidRDefault="000E777B">
      <w:pPr>
        <w:spacing w:after="0" w:line="240" w:lineRule="auto"/>
      </w:pPr>
    </w:p>
  </w:footnote>
  <w:footnote w:id="2">
    <w:p w:rsidR="00E274AE" w:rsidRPr="004A4291" w:rsidRDefault="00E274AE">
      <w:pPr>
        <w:pStyle w:val="Textonotapie"/>
        <w:rPr>
          <w:rFonts w:ascii="ITC Avant Garde" w:hAnsi="ITC Avant Garde"/>
          <w:sz w:val="18"/>
          <w:szCs w:val="18"/>
        </w:rPr>
      </w:pPr>
      <w:r w:rsidRPr="004A4291">
        <w:rPr>
          <w:rStyle w:val="Refdenotaalpie"/>
          <w:rFonts w:ascii="ITC Avant Garde" w:hAnsi="ITC Avant Garde"/>
          <w:sz w:val="18"/>
          <w:szCs w:val="18"/>
        </w:rPr>
        <w:footnoteRef/>
      </w:r>
      <w:r w:rsidRPr="004A4291">
        <w:rPr>
          <w:rFonts w:ascii="ITC Avant Garde" w:hAnsi="ITC Avant Garde"/>
          <w:sz w:val="18"/>
          <w:szCs w:val="18"/>
        </w:rPr>
        <w:t xml:space="preserve"> Actualmente E-IFT/UCE/DC-0001-2017 del índice de este Instituto Federal de Telecomunicaciones (Instituto).</w:t>
      </w:r>
    </w:p>
  </w:footnote>
  <w:footnote w:id="3">
    <w:p w:rsidR="00E274AE" w:rsidRPr="004A4291" w:rsidRDefault="00E274AE">
      <w:pPr>
        <w:pStyle w:val="Textonotapie"/>
        <w:rPr>
          <w:rFonts w:ascii="ITC Avant Garde" w:hAnsi="ITC Avant Garde"/>
          <w:sz w:val="18"/>
          <w:szCs w:val="18"/>
        </w:rPr>
      </w:pPr>
      <w:r w:rsidRPr="004A4291">
        <w:rPr>
          <w:rStyle w:val="Refdenotaalpie"/>
          <w:rFonts w:ascii="ITC Avant Garde" w:hAnsi="ITC Avant Garde"/>
          <w:sz w:val="18"/>
          <w:szCs w:val="18"/>
        </w:rPr>
        <w:footnoteRef/>
      </w:r>
      <w:r w:rsidRPr="004A4291">
        <w:rPr>
          <w:rFonts w:ascii="ITC Avant Garde" w:hAnsi="ITC Avant Garde"/>
          <w:sz w:val="18"/>
          <w:szCs w:val="18"/>
        </w:rPr>
        <w:t xml:space="preserve"> Expediente en que se actúa, actualmente</w:t>
      </w:r>
      <w:r>
        <w:rPr>
          <w:rFonts w:ascii="ITC Avant Garde" w:hAnsi="ITC Avant Garde"/>
          <w:sz w:val="18"/>
          <w:szCs w:val="18"/>
        </w:rPr>
        <w:t xml:space="preserve"> registrado bajo el número</w:t>
      </w:r>
      <w:r w:rsidRPr="004A4291">
        <w:rPr>
          <w:rFonts w:ascii="ITC Avant Garde" w:hAnsi="ITC Avant Garde"/>
          <w:sz w:val="18"/>
          <w:szCs w:val="18"/>
        </w:rPr>
        <w:t xml:space="preserve"> E-IFT/UCE/RR-0001-2017 del índice de este </w:t>
      </w:r>
      <w:r>
        <w:rPr>
          <w:rFonts w:ascii="ITC Avant Garde" w:hAnsi="ITC Avant Garde"/>
          <w:sz w:val="18"/>
          <w:szCs w:val="18"/>
        </w:rPr>
        <w:t>Instituto.</w:t>
      </w:r>
    </w:p>
  </w:footnote>
  <w:footnote w:id="4">
    <w:p w:rsidR="00E274AE" w:rsidRPr="00CA381F" w:rsidRDefault="00E274AE">
      <w:pPr>
        <w:pStyle w:val="Textonotapie"/>
        <w:rPr>
          <w:rFonts w:ascii="ITC Avant Garde" w:hAnsi="ITC Avant Garde"/>
          <w:sz w:val="18"/>
          <w:szCs w:val="18"/>
        </w:rPr>
      </w:pPr>
      <w:r w:rsidRPr="004A4291">
        <w:rPr>
          <w:rStyle w:val="Refdenotaalpie"/>
          <w:rFonts w:ascii="ITC Avant Garde" w:hAnsi="ITC Avant Garde"/>
          <w:sz w:val="18"/>
          <w:szCs w:val="18"/>
        </w:rPr>
        <w:footnoteRef/>
      </w:r>
      <w:r w:rsidRPr="004A4291">
        <w:rPr>
          <w:rFonts w:ascii="ITC Avant Garde" w:hAnsi="ITC Avant Garde"/>
          <w:sz w:val="18"/>
          <w:szCs w:val="18"/>
        </w:rPr>
        <w:t xml:space="preserve"> Páginas 51 a 53 de la Sentencia.</w:t>
      </w:r>
    </w:p>
  </w:footnote>
  <w:footnote w:id="5">
    <w:p w:rsidR="007840EA" w:rsidRPr="007840EA" w:rsidRDefault="007840EA">
      <w:pPr>
        <w:pStyle w:val="Textonotapie"/>
        <w:rPr>
          <w:rFonts w:ascii="ITC Avant Garde" w:hAnsi="ITC Avant Garde"/>
        </w:rPr>
      </w:pPr>
      <w:r w:rsidRPr="007840EA">
        <w:rPr>
          <w:rStyle w:val="Refdenotaalpie"/>
          <w:rFonts w:ascii="ITC Avant Garde" w:hAnsi="ITC Avant Garde"/>
          <w:sz w:val="18"/>
        </w:rPr>
        <w:footnoteRef/>
      </w:r>
      <w:r w:rsidRPr="007840EA">
        <w:rPr>
          <w:rFonts w:ascii="ITC Avant Garde" w:hAnsi="ITC Avant Garde"/>
          <w:sz w:val="18"/>
        </w:rPr>
        <w:t xml:space="preserve"> </w:t>
      </w:r>
      <w:r w:rsidR="00236514">
        <w:rPr>
          <w:rFonts w:ascii="ITC Avant Garde" w:hAnsi="ITC Avant Garde"/>
          <w:sz w:val="18"/>
        </w:rPr>
        <w:t>En cumplimiento al Acuerdo de Juzgado, el pasado diecisiete de marzo de dos mil diecisiete, la Dirección General de Defensa Jurídica de la Unidad de Asuntos Jurídicos de este Instituto, remitió entre otras cosas, copia certificada del escrito presentado por Telcel el dieciséis de diciembre de dos mil once, dentro del expediente RA-029-2011 y acumulados, y copia certificada de dicho acuerdo.</w:t>
      </w:r>
    </w:p>
  </w:footnote>
  <w:footnote w:id="6">
    <w:p w:rsidR="00E274AE" w:rsidRPr="00497AF4" w:rsidRDefault="00E274AE">
      <w:pPr>
        <w:pStyle w:val="Textonotapie"/>
        <w:rPr>
          <w:rFonts w:ascii="ITC Avant Garde" w:hAnsi="ITC Avant Garde"/>
          <w:sz w:val="18"/>
          <w:szCs w:val="18"/>
        </w:rPr>
      </w:pPr>
      <w:r w:rsidRPr="00497AF4">
        <w:rPr>
          <w:rStyle w:val="Refdenotaalpie"/>
          <w:rFonts w:ascii="ITC Avant Garde" w:hAnsi="ITC Avant Garde"/>
          <w:sz w:val="18"/>
          <w:szCs w:val="18"/>
        </w:rPr>
        <w:footnoteRef/>
      </w:r>
      <w:r w:rsidRPr="00497AF4">
        <w:rPr>
          <w:rFonts w:ascii="ITC Avant Garde" w:hAnsi="ITC Avant Garde"/>
          <w:sz w:val="18"/>
          <w:szCs w:val="18"/>
        </w:rPr>
        <w:t xml:space="preserve"> Publicada en el Diario Oficial de la Federación (DOF) el veinticuatro de diciembre de mil novecientos noventa y dos y reformada mediante decreto publicado en el DOF veintiocho de junio de dos mil seis. </w:t>
      </w:r>
    </w:p>
  </w:footnote>
  <w:footnote w:id="7">
    <w:p w:rsidR="00E274AE" w:rsidRPr="00CA381F" w:rsidRDefault="00E274AE" w:rsidP="00120AE7">
      <w:pPr>
        <w:pStyle w:val="Textonotapie"/>
        <w:rPr>
          <w:rFonts w:ascii="ITC Avant Garde" w:hAnsi="ITC Avant Garde"/>
          <w:sz w:val="18"/>
          <w:szCs w:val="18"/>
        </w:rPr>
      </w:pPr>
      <w:r w:rsidRPr="00CA381F">
        <w:rPr>
          <w:rStyle w:val="Refdenotaalpie"/>
          <w:rFonts w:ascii="ITC Avant Garde" w:hAnsi="ITC Avant Garde"/>
          <w:sz w:val="18"/>
          <w:szCs w:val="18"/>
        </w:rPr>
        <w:footnoteRef/>
      </w:r>
      <w:r w:rsidRPr="00CA381F">
        <w:rPr>
          <w:rFonts w:ascii="ITC Avant Garde" w:hAnsi="ITC Avant Garde"/>
          <w:sz w:val="18"/>
          <w:szCs w:val="18"/>
        </w:rPr>
        <w:t xml:space="preserve"> Publicado en el </w:t>
      </w:r>
      <w:r>
        <w:rPr>
          <w:rFonts w:ascii="ITC Avant Garde" w:hAnsi="ITC Avant Garde"/>
          <w:sz w:val="18"/>
          <w:szCs w:val="18"/>
        </w:rPr>
        <w:t>DOF</w:t>
      </w:r>
      <w:r w:rsidRPr="00CA381F">
        <w:rPr>
          <w:rFonts w:ascii="ITC Avant Garde" w:hAnsi="ITC Avant Garde"/>
          <w:sz w:val="18"/>
          <w:szCs w:val="18"/>
        </w:rPr>
        <w:t xml:space="preserve"> el doce de octubre de dos mil siete.</w:t>
      </w:r>
    </w:p>
  </w:footnote>
  <w:footnote w:id="8">
    <w:p w:rsidR="00E274AE" w:rsidRPr="00CA381F" w:rsidRDefault="00E274AE">
      <w:pPr>
        <w:pStyle w:val="Textonotapie"/>
        <w:rPr>
          <w:rFonts w:ascii="ITC Avant Garde" w:hAnsi="ITC Avant Garde"/>
          <w:sz w:val="18"/>
          <w:szCs w:val="18"/>
        </w:rPr>
      </w:pPr>
      <w:r w:rsidRPr="00CA381F">
        <w:rPr>
          <w:rFonts w:ascii="ITC Avant Garde" w:hAnsi="ITC Avant Garde"/>
          <w:sz w:val="18"/>
          <w:szCs w:val="18"/>
          <w:vertAlign w:val="superscript"/>
        </w:rPr>
        <w:footnoteRef/>
      </w:r>
      <w:r w:rsidRPr="00CA381F">
        <w:rPr>
          <w:rFonts w:ascii="ITC Avant Garde" w:hAnsi="ITC Avant Garde"/>
          <w:sz w:val="18"/>
          <w:szCs w:val="18"/>
          <w:vertAlign w:val="superscript"/>
        </w:rPr>
        <w:t xml:space="preserve"> </w:t>
      </w:r>
      <w:r w:rsidRPr="00CA381F">
        <w:rPr>
          <w:rFonts w:ascii="ITC Avant Garde" w:hAnsi="ITC Avant Garde"/>
          <w:sz w:val="18"/>
          <w:szCs w:val="18"/>
        </w:rPr>
        <w:t>Publicado en el DOF el veintisiete de enero de dos mil diecisiete.</w:t>
      </w:r>
    </w:p>
  </w:footnote>
  <w:footnote w:id="9">
    <w:p w:rsidR="00E274AE" w:rsidRPr="00CA381F" w:rsidRDefault="00E274AE">
      <w:pPr>
        <w:pStyle w:val="Textonotapie"/>
        <w:rPr>
          <w:rFonts w:ascii="ITC Avant Garde" w:hAnsi="ITC Avant Garde"/>
          <w:sz w:val="18"/>
          <w:szCs w:val="18"/>
        </w:rPr>
      </w:pPr>
      <w:r w:rsidRPr="00CA381F">
        <w:rPr>
          <w:rFonts w:ascii="ITC Avant Garde" w:hAnsi="ITC Avant Garde"/>
          <w:sz w:val="18"/>
          <w:szCs w:val="18"/>
          <w:vertAlign w:val="superscript"/>
        </w:rPr>
        <w:footnoteRef/>
      </w:r>
      <w:r w:rsidRPr="00CA381F">
        <w:rPr>
          <w:rFonts w:ascii="ITC Avant Garde" w:hAnsi="ITC Avant Garde"/>
          <w:sz w:val="18"/>
          <w:szCs w:val="18"/>
        </w:rPr>
        <w:t xml:space="preserve"> Publicado en el DOF el doce de enero de dos mil quince.</w:t>
      </w:r>
    </w:p>
  </w:footnote>
  <w:footnote w:id="10">
    <w:p w:rsidR="00E274AE" w:rsidRPr="00CA381F" w:rsidRDefault="00E274AE" w:rsidP="00120AE7">
      <w:pPr>
        <w:pStyle w:val="Textonotapie"/>
        <w:rPr>
          <w:rFonts w:ascii="ITC Avant Garde" w:hAnsi="ITC Avant Garde" w:cs="Arial"/>
          <w:sz w:val="18"/>
          <w:szCs w:val="18"/>
        </w:rPr>
      </w:pPr>
      <w:r w:rsidRPr="00CA381F">
        <w:rPr>
          <w:rStyle w:val="Refdenotaalpie"/>
          <w:rFonts w:ascii="ITC Avant Garde" w:hAnsi="ITC Avant Garde" w:cs="Arial"/>
          <w:sz w:val="18"/>
          <w:szCs w:val="18"/>
        </w:rPr>
        <w:footnoteRef/>
      </w:r>
      <w:r w:rsidRPr="00CA381F">
        <w:rPr>
          <w:rFonts w:ascii="ITC Avant Garde" w:hAnsi="ITC Avant Garde" w:cs="Arial"/>
          <w:sz w:val="18"/>
          <w:szCs w:val="18"/>
        </w:rPr>
        <w:t xml:space="preserve"> Publicado en el DOF el cuatro de septiembre de dos mil catorce y modificado mediante Acuerdo publicado en el DOF el diecisiete de octubre del mismo año.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4AE" w:rsidRDefault="000E777B">
    <w:pPr>
      <w:pStyle w:val="Encabezado"/>
    </w:pPr>
    <w:r>
      <w:rPr>
        <w:noProof/>
        <w:lang w:eastAsia="es-MX"/>
      </w:rPr>
      <w:pict w14:anchorId="0C02B7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2887907" o:spid="_x0000_s2071" type="#_x0000_t75" style="position:absolute;margin-left:0;margin-top:0;width:612pt;height:11in;z-index:-251658239;mso-position-horizontal:center;mso-position-horizontal-relative:margin;mso-position-vertical:center;mso-position-vertical-relative:margin" o:allowincell="f">
          <v:imagedata r:id="rId1" o:title="Constitución2_bost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4AE" w:rsidRDefault="00E274AE" w:rsidP="00253A54">
    <w:pPr>
      <w:pStyle w:val="Encabezad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4AE" w:rsidRDefault="000E777B">
    <w:pPr>
      <w:pStyle w:val="Encabezado"/>
    </w:pPr>
    <w:r>
      <w:rPr>
        <w:noProof/>
        <w:lang w:eastAsia="es-MX"/>
      </w:rPr>
      <w:pict w14:anchorId="5F34D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2887906" o:spid="_x0000_s2070" type="#_x0000_t75" style="position:absolute;margin-left:0;margin-top:0;width:612pt;height:11in;z-index:-251658240;mso-position-horizontal:center;mso-position-horizontal-relative:margin;mso-position-vertical:center;mso-position-vertical-relative:margin" o:allowincell="f">
          <v:imagedata r:id="rId1" o:title="Constitución2_bost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44DD4"/>
    <w:multiLevelType w:val="hybridMultilevel"/>
    <w:tmpl w:val="FA983A94"/>
    <w:lvl w:ilvl="0" w:tplc="080A0001">
      <w:start w:val="1"/>
      <w:numFmt w:val="bullet"/>
      <w:lvlText w:val=""/>
      <w:lvlJc w:val="left"/>
      <w:pPr>
        <w:ind w:left="1004" w:hanging="360"/>
      </w:pPr>
      <w:rPr>
        <w:rFonts w:ascii="Symbol" w:hAnsi="Symbol" w:hint="default"/>
      </w:rPr>
    </w:lvl>
    <w:lvl w:ilvl="1" w:tplc="080A0003">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22AA0BE7"/>
    <w:multiLevelType w:val="hybridMultilevel"/>
    <w:tmpl w:val="66ECE2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A356F04"/>
    <w:multiLevelType w:val="hybridMultilevel"/>
    <w:tmpl w:val="F7C4B81E"/>
    <w:lvl w:ilvl="0" w:tplc="EF16B11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24220D7"/>
    <w:multiLevelType w:val="hybridMultilevel"/>
    <w:tmpl w:val="060674F8"/>
    <w:lvl w:ilvl="0" w:tplc="DC40FFD0">
      <w:start w:val="1"/>
      <w:numFmt w:val="upperRoman"/>
      <w:lvlText w:val="%1."/>
      <w:lvlJc w:val="left"/>
      <w:pPr>
        <w:ind w:left="862" w:hanging="72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mirrorMargins/>
  <w:proofState w:spelling="clean" w:grammar="clean"/>
  <w:defaultTabStop w:val="708"/>
  <w:hyphenationZone w:val="425"/>
  <w:characterSpacingControl w:val="doNotCompress"/>
  <w:hdrShapeDefaults>
    <o:shapedefaults v:ext="edit" spidmax="207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DF7"/>
    <w:rsid w:val="000045CB"/>
    <w:rsid w:val="00005D06"/>
    <w:rsid w:val="00006FC4"/>
    <w:rsid w:val="000470CA"/>
    <w:rsid w:val="000561F5"/>
    <w:rsid w:val="000564F2"/>
    <w:rsid w:val="0006419F"/>
    <w:rsid w:val="00065380"/>
    <w:rsid w:val="000843EA"/>
    <w:rsid w:val="0009651B"/>
    <w:rsid w:val="000A3C7A"/>
    <w:rsid w:val="000C2AF9"/>
    <w:rsid w:val="000C3814"/>
    <w:rsid w:val="000C54B1"/>
    <w:rsid w:val="000D2A59"/>
    <w:rsid w:val="000D4BCA"/>
    <w:rsid w:val="000E777B"/>
    <w:rsid w:val="00120AE7"/>
    <w:rsid w:val="00127BC9"/>
    <w:rsid w:val="0014328C"/>
    <w:rsid w:val="0015733C"/>
    <w:rsid w:val="001606E9"/>
    <w:rsid w:val="00181B85"/>
    <w:rsid w:val="00190D44"/>
    <w:rsid w:val="00195491"/>
    <w:rsid w:val="00197D24"/>
    <w:rsid w:val="001B1993"/>
    <w:rsid w:val="001C16AE"/>
    <w:rsid w:val="001C1C34"/>
    <w:rsid w:val="001D2E71"/>
    <w:rsid w:val="001D65E5"/>
    <w:rsid w:val="001F4F9A"/>
    <w:rsid w:val="00201A55"/>
    <w:rsid w:val="00204CC4"/>
    <w:rsid w:val="00205E17"/>
    <w:rsid w:val="002102E8"/>
    <w:rsid w:val="002346A1"/>
    <w:rsid w:val="00236514"/>
    <w:rsid w:val="0025345B"/>
    <w:rsid w:val="00253A54"/>
    <w:rsid w:val="00256D75"/>
    <w:rsid w:val="002A30FD"/>
    <w:rsid w:val="002B4256"/>
    <w:rsid w:val="002D5BAE"/>
    <w:rsid w:val="002E692B"/>
    <w:rsid w:val="002E6ED4"/>
    <w:rsid w:val="002F432B"/>
    <w:rsid w:val="00316297"/>
    <w:rsid w:val="0032063C"/>
    <w:rsid w:val="00326769"/>
    <w:rsid w:val="0034470D"/>
    <w:rsid w:val="00363BD6"/>
    <w:rsid w:val="0037170A"/>
    <w:rsid w:val="00384D43"/>
    <w:rsid w:val="00390010"/>
    <w:rsid w:val="003C3BEE"/>
    <w:rsid w:val="003D724F"/>
    <w:rsid w:val="003F00C9"/>
    <w:rsid w:val="00406DF7"/>
    <w:rsid w:val="00416733"/>
    <w:rsid w:val="0042017A"/>
    <w:rsid w:val="0042481A"/>
    <w:rsid w:val="004258A0"/>
    <w:rsid w:val="004307A6"/>
    <w:rsid w:val="00445CDA"/>
    <w:rsid w:val="00445F56"/>
    <w:rsid w:val="00450253"/>
    <w:rsid w:val="00485204"/>
    <w:rsid w:val="00486E4E"/>
    <w:rsid w:val="00497AF4"/>
    <w:rsid w:val="004A4026"/>
    <w:rsid w:val="004A4291"/>
    <w:rsid w:val="004A6778"/>
    <w:rsid w:val="004B5D06"/>
    <w:rsid w:val="004C1E12"/>
    <w:rsid w:val="004F74AD"/>
    <w:rsid w:val="00521984"/>
    <w:rsid w:val="0056687B"/>
    <w:rsid w:val="0058204B"/>
    <w:rsid w:val="0058491A"/>
    <w:rsid w:val="00587F9C"/>
    <w:rsid w:val="005A7955"/>
    <w:rsid w:val="005B5683"/>
    <w:rsid w:val="005C2109"/>
    <w:rsid w:val="005E0C99"/>
    <w:rsid w:val="005E4F59"/>
    <w:rsid w:val="005F622A"/>
    <w:rsid w:val="00617ED7"/>
    <w:rsid w:val="00623835"/>
    <w:rsid w:val="00635EC5"/>
    <w:rsid w:val="00643996"/>
    <w:rsid w:val="00663676"/>
    <w:rsid w:val="00667B9A"/>
    <w:rsid w:val="00675DD6"/>
    <w:rsid w:val="00693296"/>
    <w:rsid w:val="006C6221"/>
    <w:rsid w:val="006E3542"/>
    <w:rsid w:val="006E5100"/>
    <w:rsid w:val="006F6582"/>
    <w:rsid w:val="00716BAC"/>
    <w:rsid w:val="0072475F"/>
    <w:rsid w:val="007463DA"/>
    <w:rsid w:val="00746824"/>
    <w:rsid w:val="007522D6"/>
    <w:rsid w:val="00753D6C"/>
    <w:rsid w:val="007613CD"/>
    <w:rsid w:val="00767824"/>
    <w:rsid w:val="007840EA"/>
    <w:rsid w:val="007963D2"/>
    <w:rsid w:val="007A1CDE"/>
    <w:rsid w:val="007B23D2"/>
    <w:rsid w:val="007B7932"/>
    <w:rsid w:val="007C0692"/>
    <w:rsid w:val="007D113F"/>
    <w:rsid w:val="007D121E"/>
    <w:rsid w:val="007F3FEE"/>
    <w:rsid w:val="00807D6E"/>
    <w:rsid w:val="00833F41"/>
    <w:rsid w:val="00845E2A"/>
    <w:rsid w:val="00850F55"/>
    <w:rsid w:val="00851950"/>
    <w:rsid w:val="008616E4"/>
    <w:rsid w:val="00865E5E"/>
    <w:rsid w:val="00887042"/>
    <w:rsid w:val="00893ACE"/>
    <w:rsid w:val="008B5316"/>
    <w:rsid w:val="008B7C21"/>
    <w:rsid w:val="008C4CE1"/>
    <w:rsid w:val="008F18EB"/>
    <w:rsid w:val="008F30CF"/>
    <w:rsid w:val="008F4A84"/>
    <w:rsid w:val="008F78BD"/>
    <w:rsid w:val="00904F88"/>
    <w:rsid w:val="00933F4A"/>
    <w:rsid w:val="00937067"/>
    <w:rsid w:val="00955C6F"/>
    <w:rsid w:val="00961FCB"/>
    <w:rsid w:val="0096222C"/>
    <w:rsid w:val="0096262E"/>
    <w:rsid w:val="0096715E"/>
    <w:rsid w:val="0096729B"/>
    <w:rsid w:val="00976BFA"/>
    <w:rsid w:val="009929EB"/>
    <w:rsid w:val="009A012D"/>
    <w:rsid w:val="009A4EB7"/>
    <w:rsid w:val="009A604E"/>
    <w:rsid w:val="009B5B19"/>
    <w:rsid w:val="009B6070"/>
    <w:rsid w:val="009B78BB"/>
    <w:rsid w:val="009C2EBB"/>
    <w:rsid w:val="009C3157"/>
    <w:rsid w:val="009D0055"/>
    <w:rsid w:val="009D6A4D"/>
    <w:rsid w:val="009E464E"/>
    <w:rsid w:val="009E7B9B"/>
    <w:rsid w:val="009F1490"/>
    <w:rsid w:val="009F154A"/>
    <w:rsid w:val="009F4F3D"/>
    <w:rsid w:val="009F7E94"/>
    <w:rsid w:val="00A02D10"/>
    <w:rsid w:val="00A109AC"/>
    <w:rsid w:val="00A14B60"/>
    <w:rsid w:val="00A22CC4"/>
    <w:rsid w:val="00A35BD8"/>
    <w:rsid w:val="00A60CA0"/>
    <w:rsid w:val="00A72149"/>
    <w:rsid w:val="00A74FA9"/>
    <w:rsid w:val="00A759C0"/>
    <w:rsid w:val="00A76B75"/>
    <w:rsid w:val="00A80E5D"/>
    <w:rsid w:val="00A87EC7"/>
    <w:rsid w:val="00A958A9"/>
    <w:rsid w:val="00AB2B6A"/>
    <w:rsid w:val="00AC5A48"/>
    <w:rsid w:val="00AF7F51"/>
    <w:rsid w:val="00B3130E"/>
    <w:rsid w:val="00B346B2"/>
    <w:rsid w:val="00B34F97"/>
    <w:rsid w:val="00B36DC7"/>
    <w:rsid w:val="00B43A23"/>
    <w:rsid w:val="00B44888"/>
    <w:rsid w:val="00B7136E"/>
    <w:rsid w:val="00B73521"/>
    <w:rsid w:val="00B934EC"/>
    <w:rsid w:val="00B97008"/>
    <w:rsid w:val="00BA4E96"/>
    <w:rsid w:val="00BB0CFC"/>
    <w:rsid w:val="00BB22C6"/>
    <w:rsid w:val="00BF191A"/>
    <w:rsid w:val="00BF3E2F"/>
    <w:rsid w:val="00BF63DD"/>
    <w:rsid w:val="00C02C0B"/>
    <w:rsid w:val="00C10674"/>
    <w:rsid w:val="00C147A7"/>
    <w:rsid w:val="00C21514"/>
    <w:rsid w:val="00C615D4"/>
    <w:rsid w:val="00C71DA4"/>
    <w:rsid w:val="00C72437"/>
    <w:rsid w:val="00C72AAC"/>
    <w:rsid w:val="00C73439"/>
    <w:rsid w:val="00C76598"/>
    <w:rsid w:val="00C810F9"/>
    <w:rsid w:val="00C95AD7"/>
    <w:rsid w:val="00CA1888"/>
    <w:rsid w:val="00CA381F"/>
    <w:rsid w:val="00CA51BA"/>
    <w:rsid w:val="00CB5FE9"/>
    <w:rsid w:val="00CB7375"/>
    <w:rsid w:val="00CC18FC"/>
    <w:rsid w:val="00CC7F8E"/>
    <w:rsid w:val="00CE3437"/>
    <w:rsid w:val="00CF0E2B"/>
    <w:rsid w:val="00D22457"/>
    <w:rsid w:val="00D24ACD"/>
    <w:rsid w:val="00D26CE6"/>
    <w:rsid w:val="00D347EC"/>
    <w:rsid w:val="00D40856"/>
    <w:rsid w:val="00D40EC5"/>
    <w:rsid w:val="00D465E9"/>
    <w:rsid w:val="00D64B40"/>
    <w:rsid w:val="00D66C31"/>
    <w:rsid w:val="00D8088F"/>
    <w:rsid w:val="00D90A76"/>
    <w:rsid w:val="00D969DF"/>
    <w:rsid w:val="00D976F5"/>
    <w:rsid w:val="00DA0283"/>
    <w:rsid w:val="00DA296D"/>
    <w:rsid w:val="00DA2EB9"/>
    <w:rsid w:val="00DB23CE"/>
    <w:rsid w:val="00DB30F0"/>
    <w:rsid w:val="00DC0123"/>
    <w:rsid w:val="00DC1D50"/>
    <w:rsid w:val="00DD5098"/>
    <w:rsid w:val="00DE09C3"/>
    <w:rsid w:val="00DE6896"/>
    <w:rsid w:val="00DE720B"/>
    <w:rsid w:val="00DE7D4B"/>
    <w:rsid w:val="00DE7E40"/>
    <w:rsid w:val="00DE7FD2"/>
    <w:rsid w:val="00DF2A42"/>
    <w:rsid w:val="00E02CC7"/>
    <w:rsid w:val="00E274AE"/>
    <w:rsid w:val="00E37047"/>
    <w:rsid w:val="00E96FD1"/>
    <w:rsid w:val="00EB56A3"/>
    <w:rsid w:val="00EB58E3"/>
    <w:rsid w:val="00EC0F4D"/>
    <w:rsid w:val="00EC44FD"/>
    <w:rsid w:val="00ED6D4C"/>
    <w:rsid w:val="00EE7C64"/>
    <w:rsid w:val="00F00FFC"/>
    <w:rsid w:val="00F0538D"/>
    <w:rsid w:val="00F063EE"/>
    <w:rsid w:val="00F12AA5"/>
    <w:rsid w:val="00F23F04"/>
    <w:rsid w:val="00F53605"/>
    <w:rsid w:val="00F53E2A"/>
    <w:rsid w:val="00F60F42"/>
    <w:rsid w:val="00F62E84"/>
    <w:rsid w:val="00F830A0"/>
    <w:rsid w:val="00F84A33"/>
    <w:rsid w:val="00F90B65"/>
    <w:rsid w:val="00F9522D"/>
    <w:rsid w:val="00FA18C3"/>
    <w:rsid w:val="00FA4088"/>
    <w:rsid w:val="00FA4937"/>
    <w:rsid w:val="00FC1F0A"/>
    <w:rsid w:val="00FD31D8"/>
    <w:rsid w:val="00FE0AAF"/>
    <w:rsid w:val="00FE4103"/>
    <w:rsid w:val="00FF2B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72"/>
    <o:shapelayout v:ext="edit">
      <o:idmap v:ext="edit" data="1"/>
    </o:shapelayout>
  </w:shapeDefaults>
  <w:decimalSymbol w:val="."/>
  <w:listSeparator w:val=","/>
  <w15:docId w15:val="{F3A09F68-B314-426D-A493-B1CC724A6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9D6A4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6D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6DF7"/>
  </w:style>
  <w:style w:type="paragraph" w:styleId="Piedepgina">
    <w:name w:val="footer"/>
    <w:basedOn w:val="Normal"/>
    <w:link w:val="PiedepginaCar"/>
    <w:uiPriority w:val="99"/>
    <w:unhideWhenUsed/>
    <w:rsid w:val="00406D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6DF7"/>
  </w:style>
  <w:style w:type="table" w:customStyle="1" w:styleId="Tablaconcuadrcula1">
    <w:name w:val="Tabla con cuadrícula1"/>
    <w:basedOn w:val="Tablanormal"/>
    <w:next w:val="Tablaconcuadrcula"/>
    <w:uiPriority w:val="39"/>
    <w:rsid w:val="00F23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F23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unhideWhenUsed/>
    <w:qFormat/>
    <w:rsid w:val="00A109AC"/>
    <w:pPr>
      <w:spacing w:after="0" w:line="240" w:lineRule="auto"/>
      <w:jc w:val="both"/>
    </w:pPr>
    <w:rPr>
      <w:rFonts w:ascii="Times New Roman" w:eastAsia="Calibri" w:hAnsi="Times New Roman" w:cs="Times New Roman"/>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A109AC"/>
    <w:rPr>
      <w:rFonts w:ascii="Times New Roman" w:eastAsia="Calibri" w:hAnsi="Times New Roman" w:cs="Times New Roman"/>
      <w:sz w:val="20"/>
      <w:szCs w:val="20"/>
    </w:rPr>
  </w:style>
  <w:style w:type="character" w:styleId="Refdenotaalpie">
    <w:name w:val="footnote reference"/>
    <w:aliases w:val="Ref,de nota al pie"/>
    <w:uiPriority w:val="99"/>
    <w:unhideWhenUsed/>
    <w:qFormat/>
    <w:rsid w:val="00A109AC"/>
    <w:rPr>
      <w:vertAlign w:val="superscript"/>
    </w:rPr>
  </w:style>
  <w:style w:type="character" w:styleId="Refdecomentario">
    <w:name w:val="annotation reference"/>
    <w:basedOn w:val="Fuentedeprrafopredeter"/>
    <w:uiPriority w:val="99"/>
    <w:semiHidden/>
    <w:unhideWhenUsed/>
    <w:rsid w:val="00253A54"/>
    <w:rPr>
      <w:sz w:val="16"/>
      <w:szCs w:val="16"/>
    </w:rPr>
  </w:style>
  <w:style w:type="paragraph" w:styleId="Textocomentario">
    <w:name w:val="annotation text"/>
    <w:basedOn w:val="Normal"/>
    <w:link w:val="TextocomentarioCar"/>
    <w:uiPriority w:val="99"/>
    <w:semiHidden/>
    <w:unhideWhenUsed/>
    <w:rsid w:val="00253A5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53A54"/>
    <w:rPr>
      <w:sz w:val="20"/>
      <w:szCs w:val="20"/>
    </w:rPr>
  </w:style>
  <w:style w:type="paragraph" w:styleId="Asuntodelcomentario">
    <w:name w:val="annotation subject"/>
    <w:basedOn w:val="Textocomentario"/>
    <w:next w:val="Textocomentario"/>
    <w:link w:val="AsuntodelcomentarioCar"/>
    <w:uiPriority w:val="99"/>
    <w:semiHidden/>
    <w:unhideWhenUsed/>
    <w:rsid w:val="00253A54"/>
    <w:rPr>
      <w:b/>
      <w:bCs/>
    </w:rPr>
  </w:style>
  <w:style w:type="character" w:customStyle="1" w:styleId="AsuntodelcomentarioCar">
    <w:name w:val="Asunto del comentario Car"/>
    <w:basedOn w:val="TextocomentarioCar"/>
    <w:link w:val="Asuntodelcomentario"/>
    <w:uiPriority w:val="99"/>
    <w:semiHidden/>
    <w:rsid w:val="00253A54"/>
    <w:rPr>
      <w:b/>
      <w:bCs/>
      <w:sz w:val="20"/>
      <w:szCs w:val="20"/>
    </w:rPr>
  </w:style>
  <w:style w:type="paragraph" w:styleId="Textodeglobo">
    <w:name w:val="Balloon Text"/>
    <w:basedOn w:val="Normal"/>
    <w:link w:val="TextodegloboCar"/>
    <w:uiPriority w:val="99"/>
    <w:semiHidden/>
    <w:unhideWhenUsed/>
    <w:rsid w:val="00253A5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3A54"/>
    <w:rPr>
      <w:rFonts w:ascii="Segoe UI" w:hAnsi="Segoe UI" w:cs="Segoe UI"/>
      <w:sz w:val="18"/>
      <w:szCs w:val="18"/>
    </w:rPr>
  </w:style>
  <w:style w:type="paragraph" w:styleId="Prrafodelista">
    <w:name w:val="List Paragraph"/>
    <w:basedOn w:val="Normal"/>
    <w:link w:val="PrrafodelistaCar"/>
    <w:uiPriority w:val="34"/>
    <w:qFormat/>
    <w:rsid w:val="00BB0CFC"/>
    <w:pPr>
      <w:ind w:left="720"/>
      <w:contextualSpacing/>
    </w:pPr>
  </w:style>
  <w:style w:type="character" w:customStyle="1" w:styleId="PrrafodelistaCar">
    <w:name w:val="Párrafo de lista Car"/>
    <w:basedOn w:val="Fuentedeprrafopredeter"/>
    <w:link w:val="Prrafodelista"/>
    <w:uiPriority w:val="34"/>
    <w:locked/>
    <w:rsid w:val="00F12AA5"/>
  </w:style>
  <w:style w:type="character" w:customStyle="1" w:styleId="N1IFTCar">
    <w:name w:val="N1 IFT Car"/>
    <w:basedOn w:val="Fuentedeprrafopredeter"/>
    <w:link w:val="N1IFT"/>
    <w:locked/>
    <w:rsid w:val="00F12AA5"/>
    <w:rPr>
      <w:rFonts w:ascii="ITC Avant Garde" w:hAnsi="ITC Avant Garde"/>
      <w:b/>
      <w:bCs/>
      <w:color w:val="000000"/>
      <w:lang w:eastAsia="es-ES"/>
    </w:rPr>
  </w:style>
  <w:style w:type="paragraph" w:customStyle="1" w:styleId="N1IFT">
    <w:name w:val="N1 IFT"/>
    <w:basedOn w:val="Normal"/>
    <w:link w:val="N1IFTCar"/>
    <w:rsid w:val="00F12AA5"/>
    <w:pPr>
      <w:jc w:val="both"/>
    </w:pPr>
    <w:rPr>
      <w:rFonts w:ascii="ITC Avant Garde" w:hAnsi="ITC Avant Garde"/>
      <w:b/>
      <w:bCs/>
      <w:color w:val="000000"/>
      <w:lang w:eastAsia="es-ES"/>
    </w:rPr>
  </w:style>
  <w:style w:type="character" w:customStyle="1" w:styleId="Ttulo2Car">
    <w:name w:val="Título 2 Car"/>
    <w:basedOn w:val="Fuentedeprrafopredeter"/>
    <w:link w:val="Ttulo2"/>
    <w:uiPriority w:val="9"/>
    <w:rsid w:val="009D6A4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43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B2354397B809F4CBF4334E6EFDD8AC5" ma:contentTypeVersion="0" ma:contentTypeDescription="Crear nuevo documento." ma:contentTypeScope="" ma:versionID="280c27167b6e5b8b3f494022934d7b6c">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22EDC-EDA6-4FA9-A954-96C778C959D9}">
  <ds:schemaRefs>
    <ds:schemaRef ds:uri="http://schemas.microsoft.com/sharepoint/v3/contenttype/forms"/>
  </ds:schemaRefs>
</ds:datastoreItem>
</file>

<file path=customXml/itemProps2.xml><?xml version="1.0" encoding="utf-8"?>
<ds:datastoreItem xmlns:ds="http://schemas.openxmlformats.org/officeDocument/2006/customXml" ds:itemID="{36BBC38B-0739-43EE-A800-DA53D5BE5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90C5540-FD5A-46B9-943C-B478F57DC5B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D739D8-2932-46F1-B817-9772AE8CC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2477</Words>
  <Characters>13626</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BMC</dc:creator>
  <cp:lastModifiedBy>Maria del Consuelo Gonzalez Moreno</cp:lastModifiedBy>
  <cp:revision>8</cp:revision>
  <cp:lastPrinted>2017-03-06T21:48:00Z</cp:lastPrinted>
  <dcterms:created xsi:type="dcterms:W3CDTF">2017-03-22T19:48:00Z</dcterms:created>
  <dcterms:modified xsi:type="dcterms:W3CDTF">2017-07-20T22:07:00Z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0x0101008B2354397B809F4CBF4334E6EFDD8AC5</vt:lpwstr>
  </property>
</Properties>
</file>