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24F11" w14:textId="75AFC0A3" w:rsidR="00B7256C" w:rsidRPr="001F3D65" w:rsidRDefault="00B7256C" w:rsidP="001F3D65">
      <w:pPr>
        <w:pStyle w:val="Ttulo1"/>
        <w:jc w:val="both"/>
        <w:rPr>
          <w:rFonts w:ascii="ITC Avant Garde" w:hAnsi="ITC Avant Garde"/>
          <w:b/>
          <w:color w:val="auto"/>
          <w:sz w:val="22"/>
          <w:szCs w:val="22"/>
          <w:lang w:eastAsia="es-MX"/>
        </w:rPr>
      </w:pPr>
      <w:r w:rsidRPr="001F3D65">
        <w:rPr>
          <w:rFonts w:ascii="ITC Avant Garde" w:hAnsi="ITC Avant Garde"/>
          <w:b/>
          <w:color w:val="auto"/>
          <w:sz w:val="22"/>
          <w:szCs w:val="22"/>
          <w:lang w:eastAsia="es-MX"/>
        </w:rPr>
        <w:t xml:space="preserve">RESOLUCIÓN MEDIANTE LA CUAL EL PLENO DEL INSTITUTO FEDERAL DE TELECOMUNICACIONES PRORROGA LA VIGENCIA DE LA CONCESIÓN DE </w:t>
      </w:r>
      <w:r w:rsidR="004117C8" w:rsidRPr="001F3D65">
        <w:rPr>
          <w:rFonts w:ascii="ITC Avant Garde" w:hAnsi="ITC Avant Garde"/>
          <w:b/>
          <w:color w:val="auto"/>
          <w:sz w:val="22"/>
          <w:szCs w:val="22"/>
          <w:lang w:eastAsia="es-MX"/>
        </w:rPr>
        <w:t>GLOBALSTAR DE MÉXICO, S. DE R.L. DE C.V.</w:t>
      </w:r>
      <w:r w:rsidRPr="001F3D65">
        <w:rPr>
          <w:rFonts w:ascii="ITC Avant Garde" w:hAnsi="ITC Avant Garde"/>
          <w:b/>
          <w:color w:val="auto"/>
          <w:sz w:val="22"/>
          <w:szCs w:val="22"/>
          <w:lang w:eastAsia="es-MX"/>
        </w:rPr>
        <w:t>, Y OTORGA UN TÍTULO DE CONCESIÓN ÚNICA PARA USO COMERCIAL.</w:t>
      </w:r>
    </w:p>
    <w:p w14:paraId="707C81DD" w14:textId="77777777" w:rsidR="008A6863" w:rsidRPr="003E516F" w:rsidRDefault="008A6863" w:rsidP="00B7256C">
      <w:pPr>
        <w:spacing w:after="0" w:line="240" w:lineRule="auto"/>
        <w:jc w:val="both"/>
        <w:rPr>
          <w:rFonts w:ascii="ITC Avant Garde" w:hAnsi="ITC Avant Garde"/>
          <w:b/>
          <w:bCs/>
          <w:color w:val="000000"/>
          <w:lang w:eastAsia="es-MX"/>
        </w:rPr>
      </w:pPr>
    </w:p>
    <w:p w14:paraId="6E1A71F5" w14:textId="77777777" w:rsidR="00B7256C" w:rsidRPr="001F3D65" w:rsidRDefault="00B7256C" w:rsidP="001F3D65">
      <w:pPr>
        <w:pStyle w:val="Ttulo2"/>
        <w:jc w:val="center"/>
        <w:rPr>
          <w:rFonts w:ascii="ITC Avant Garde" w:hAnsi="ITC Avant Garde"/>
          <w:b/>
          <w:bCs/>
          <w:color w:val="000000"/>
          <w:sz w:val="22"/>
          <w:szCs w:val="22"/>
          <w:lang w:eastAsia="es-MX"/>
        </w:rPr>
      </w:pPr>
      <w:r w:rsidRPr="001F3D65">
        <w:rPr>
          <w:rFonts w:ascii="ITC Avant Garde" w:hAnsi="ITC Avant Garde"/>
          <w:b/>
          <w:bCs/>
          <w:color w:val="000000"/>
          <w:sz w:val="22"/>
          <w:szCs w:val="22"/>
          <w:lang w:eastAsia="es-MX"/>
        </w:rPr>
        <w:t>ANTECEDENTES</w:t>
      </w:r>
    </w:p>
    <w:p w14:paraId="0792C03D" w14:textId="77777777" w:rsidR="00B7256C" w:rsidRDefault="00B7256C" w:rsidP="00B7256C">
      <w:pPr>
        <w:spacing w:after="0" w:line="240" w:lineRule="auto"/>
        <w:jc w:val="center"/>
        <w:rPr>
          <w:rFonts w:ascii="ITC Avant Garde" w:hAnsi="ITC Avant Garde"/>
          <w:b/>
          <w:bCs/>
          <w:color w:val="000000"/>
          <w:lang w:eastAsia="es-MX"/>
        </w:rPr>
      </w:pPr>
    </w:p>
    <w:p w14:paraId="541154D7" w14:textId="77777777" w:rsidR="003035CF" w:rsidRDefault="00B7256C" w:rsidP="001F3D65">
      <w:pPr>
        <w:numPr>
          <w:ilvl w:val="0"/>
          <w:numId w:val="1"/>
        </w:numPr>
        <w:spacing w:before="240" w:after="0" w:line="240" w:lineRule="auto"/>
        <w:jc w:val="both"/>
        <w:rPr>
          <w:rFonts w:ascii="ITC Avant Garde" w:hAnsi="ITC Avant Garde"/>
          <w:bCs/>
          <w:color w:val="000000"/>
          <w:lang w:eastAsia="es-MX"/>
        </w:rPr>
      </w:pPr>
      <w:r w:rsidRPr="002E72AA">
        <w:rPr>
          <w:rFonts w:ascii="ITC Avant Garde" w:hAnsi="ITC Avant Garde"/>
          <w:b/>
          <w:bCs/>
          <w:color w:val="000000"/>
          <w:lang w:eastAsia="es-MX"/>
        </w:rPr>
        <w:t>Otorgamiento de la Concesión.</w:t>
      </w:r>
      <w:r w:rsidR="004117C8">
        <w:rPr>
          <w:rFonts w:ascii="ITC Avant Garde" w:hAnsi="ITC Avant Garde"/>
          <w:bCs/>
          <w:color w:val="000000"/>
          <w:lang w:eastAsia="es-MX"/>
        </w:rPr>
        <w:t xml:space="preserve"> El 17</w:t>
      </w:r>
      <w:r w:rsidRPr="002E72AA">
        <w:rPr>
          <w:rFonts w:ascii="ITC Avant Garde" w:hAnsi="ITC Avant Garde"/>
          <w:bCs/>
          <w:color w:val="000000"/>
          <w:lang w:eastAsia="es-MX"/>
        </w:rPr>
        <w:t xml:space="preserve"> de </w:t>
      </w:r>
      <w:r w:rsidR="004117C8">
        <w:rPr>
          <w:rFonts w:ascii="ITC Avant Garde" w:hAnsi="ITC Avant Garde"/>
          <w:bCs/>
          <w:color w:val="000000"/>
          <w:lang w:eastAsia="es-MX"/>
        </w:rPr>
        <w:t xml:space="preserve">noviembre </w:t>
      </w:r>
      <w:r w:rsidRPr="002E72AA">
        <w:rPr>
          <w:rFonts w:ascii="ITC Avant Garde" w:hAnsi="ITC Avant Garde"/>
          <w:bCs/>
          <w:color w:val="000000"/>
          <w:lang w:eastAsia="es-MX"/>
        </w:rPr>
        <w:t xml:space="preserve">de </w:t>
      </w:r>
      <w:r w:rsidR="004117C8">
        <w:rPr>
          <w:rFonts w:ascii="ITC Avant Garde" w:hAnsi="ITC Avant Garde"/>
          <w:bCs/>
          <w:color w:val="000000"/>
          <w:lang w:eastAsia="es-MX"/>
        </w:rPr>
        <w:t>1999</w:t>
      </w:r>
      <w:r w:rsidRPr="002E72AA">
        <w:rPr>
          <w:rFonts w:ascii="ITC Avant Garde" w:hAnsi="ITC Avant Garde"/>
          <w:bCs/>
          <w:color w:val="000000"/>
          <w:lang w:eastAsia="es-MX"/>
        </w:rPr>
        <w:t>, la Secretaría de Comunicaciones y Transportes (la “Secretaría”) otorgó en favor de la empresa denominada</w:t>
      </w:r>
      <w:r w:rsidR="004117C8">
        <w:rPr>
          <w:rFonts w:ascii="ITC Avant Garde" w:hAnsi="ITC Avant Garde"/>
          <w:bCs/>
          <w:color w:val="000000"/>
          <w:lang w:eastAsia="es-MX"/>
        </w:rPr>
        <w:t xml:space="preserve"> Globalstar de México, S. de R.L. de C.V.</w:t>
      </w:r>
      <w:r w:rsidRPr="002E72AA">
        <w:rPr>
          <w:rFonts w:ascii="ITC Avant Garde" w:hAnsi="ITC Avant Garde"/>
          <w:bCs/>
          <w:color w:val="000000"/>
          <w:lang w:eastAsia="es-MX"/>
        </w:rPr>
        <w:t xml:space="preserve">, un título de concesión para instalar, operar y explotar una red pública de telecomunicaciones </w:t>
      </w:r>
      <w:r w:rsidR="003035CF">
        <w:rPr>
          <w:rFonts w:ascii="ITC Avant Garde" w:hAnsi="ITC Avant Garde"/>
          <w:bCs/>
          <w:color w:val="000000"/>
          <w:lang w:eastAsia="es-MX"/>
        </w:rPr>
        <w:t>a nivel</w:t>
      </w:r>
      <w:r w:rsidRPr="002E72AA">
        <w:rPr>
          <w:rFonts w:ascii="ITC Avant Garde" w:hAnsi="ITC Avant Garde"/>
          <w:bCs/>
          <w:color w:val="000000"/>
          <w:lang w:eastAsia="es-MX"/>
        </w:rPr>
        <w:t xml:space="preserve"> nacional, (la “Concesión”) con una vigencia de </w:t>
      </w:r>
      <w:r w:rsidR="004117C8">
        <w:rPr>
          <w:rFonts w:ascii="ITC Avant Garde" w:hAnsi="ITC Avant Garde"/>
          <w:bCs/>
          <w:color w:val="000000"/>
          <w:lang w:eastAsia="es-MX"/>
        </w:rPr>
        <w:t>20</w:t>
      </w:r>
      <w:r w:rsidR="004117C8" w:rsidRPr="002E72AA">
        <w:rPr>
          <w:rFonts w:ascii="ITC Avant Garde" w:hAnsi="ITC Avant Garde"/>
          <w:bCs/>
          <w:color w:val="000000"/>
          <w:lang w:eastAsia="es-MX"/>
        </w:rPr>
        <w:t xml:space="preserve"> </w:t>
      </w:r>
      <w:r w:rsidRPr="002E72AA">
        <w:rPr>
          <w:rFonts w:ascii="ITC Avant Garde" w:hAnsi="ITC Avant Garde"/>
          <w:bCs/>
          <w:color w:val="000000"/>
          <w:lang w:eastAsia="es-MX"/>
        </w:rPr>
        <w:t>(</w:t>
      </w:r>
      <w:r w:rsidR="004117C8">
        <w:rPr>
          <w:rFonts w:ascii="ITC Avant Garde" w:hAnsi="ITC Avant Garde"/>
          <w:bCs/>
          <w:color w:val="000000"/>
          <w:lang w:eastAsia="es-MX"/>
        </w:rPr>
        <w:t>veinte</w:t>
      </w:r>
      <w:r w:rsidRPr="002E72AA">
        <w:rPr>
          <w:rFonts w:ascii="ITC Avant Garde" w:hAnsi="ITC Avant Garde"/>
          <w:bCs/>
          <w:color w:val="000000"/>
          <w:lang w:eastAsia="es-MX"/>
        </w:rPr>
        <w:t>) años contados a partir</w:t>
      </w:r>
      <w:r w:rsidR="003035CF">
        <w:rPr>
          <w:rFonts w:ascii="ITC Avant Garde" w:hAnsi="ITC Avant Garde"/>
          <w:bCs/>
          <w:color w:val="000000"/>
          <w:lang w:eastAsia="es-MX"/>
        </w:rPr>
        <w:t xml:space="preserve"> de la fecha de su otorgamiento. </w:t>
      </w:r>
    </w:p>
    <w:p w14:paraId="3335A852" w14:textId="695C0289" w:rsidR="00B7256C" w:rsidRDefault="003035CF" w:rsidP="001F3D65">
      <w:pPr>
        <w:spacing w:before="240" w:after="0" w:line="240" w:lineRule="auto"/>
        <w:ind w:left="720"/>
        <w:jc w:val="both"/>
        <w:rPr>
          <w:rFonts w:ascii="ITC Avant Garde" w:hAnsi="ITC Avant Garde"/>
          <w:bCs/>
          <w:color w:val="000000"/>
          <w:lang w:eastAsia="es-MX"/>
        </w:rPr>
      </w:pPr>
      <w:r w:rsidRPr="003035CF">
        <w:rPr>
          <w:rFonts w:ascii="ITC Avant Garde" w:hAnsi="ITC Avant Garde"/>
          <w:bCs/>
          <w:color w:val="000000"/>
          <w:lang w:eastAsia="es-MX"/>
        </w:rPr>
        <w:t>Dicha Concesión</w:t>
      </w:r>
      <w:r w:rsidR="00B7256C" w:rsidRPr="002E72AA">
        <w:rPr>
          <w:rFonts w:ascii="ITC Avant Garde" w:hAnsi="ITC Avant Garde"/>
          <w:bCs/>
          <w:color w:val="000000"/>
          <w:lang w:eastAsia="es-MX"/>
        </w:rPr>
        <w:t xml:space="preserve"> en </w:t>
      </w:r>
      <w:r>
        <w:rPr>
          <w:rFonts w:ascii="ITC Avant Garde" w:hAnsi="ITC Avant Garde"/>
          <w:bCs/>
          <w:color w:val="000000"/>
          <w:lang w:eastAsia="es-MX"/>
        </w:rPr>
        <w:t xml:space="preserve">la Condición A 2 de </w:t>
      </w:r>
      <w:r w:rsidR="00F43153">
        <w:rPr>
          <w:rFonts w:ascii="ITC Avant Garde" w:hAnsi="ITC Avant Garde"/>
          <w:bCs/>
          <w:color w:val="000000"/>
          <w:lang w:eastAsia="es-MX"/>
        </w:rPr>
        <w:t>su</w:t>
      </w:r>
      <w:r w:rsidR="00B7256C" w:rsidRPr="002E72AA">
        <w:rPr>
          <w:rFonts w:ascii="ITC Avant Garde" w:hAnsi="ITC Avant Garde"/>
          <w:bCs/>
          <w:color w:val="000000"/>
          <w:lang w:eastAsia="es-MX"/>
        </w:rPr>
        <w:t xml:space="preserve"> </w:t>
      </w:r>
      <w:r w:rsidR="00F43153">
        <w:rPr>
          <w:rFonts w:ascii="ITC Avant Garde" w:hAnsi="ITC Avant Garde"/>
          <w:bCs/>
          <w:color w:val="000000"/>
          <w:lang w:eastAsia="es-MX"/>
        </w:rPr>
        <w:t>Anexo</w:t>
      </w:r>
      <w:r w:rsidR="00F43153" w:rsidRPr="002E72AA">
        <w:rPr>
          <w:rFonts w:ascii="ITC Avant Garde" w:hAnsi="ITC Avant Garde"/>
          <w:bCs/>
          <w:color w:val="000000"/>
          <w:lang w:eastAsia="es-MX"/>
        </w:rPr>
        <w:t xml:space="preserve"> </w:t>
      </w:r>
      <w:r w:rsidR="00B7256C" w:rsidRPr="002E72AA">
        <w:rPr>
          <w:rFonts w:ascii="ITC Avant Garde" w:hAnsi="ITC Avant Garde"/>
          <w:bCs/>
          <w:color w:val="000000"/>
          <w:lang w:eastAsia="es-MX"/>
        </w:rPr>
        <w:t>A</w:t>
      </w:r>
      <w:r w:rsidR="00F43153">
        <w:rPr>
          <w:rFonts w:ascii="ITC Avant Garde" w:hAnsi="ITC Avant Garde"/>
          <w:bCs/>
          <w:color w:val="000000"/>
          <w:lang w:eastAsia="es-MX"/>
        </w:rPr>
        <w:t xml:space="preserve"> </w:t>
      </w:r>
      <w:r w:rsidR="00B7256C" w:rsidRPr="002E72AA">
        <w:rPr>
          <w:rFonts w:ascii="ITC Avant Garde" w:hAnsi="ITC Avant Garde"/>
          <w:bCs/>
          <w:color w:val="000000"/>
          <w:lang w:eastAsia="es-MX"/>
        </w:rPr>
        <w:t xml:space="preserve">autorizó </w:t>
      </w:r>
      <w:r>
        <w:rPr>
          <w:rFonts w:ascii="ITC Avant Garde" w:hAnsi="ITC Avant Garde"/>
          <w:bCs/>
          <w:color w:val="000000"/>
          <w:lang w:eastAsia="es-MX"/>
        </w:rPr>
        <w:t xml:space="preserve">a Globalstar de México, S. de R.L. de C.V. </w:t>
      </w:r>
      <w:r w:rsidR="00B7256C" w:rsidRPr="002E72AA">
        <w:rPr>
          <w:rFonts w:ascii="ITC Avant Garde" w:hAnsi="ITC Avant Garde"/>
          <w:bCs/>
          <w:color w:val="000000"/>
          <w:lang w:eastAsia="es-MX"/>
        </w:rPr>
        <w:t xml:space="preserve">la prestación de servicios </w:t>
      </w:r>
      <w:r w:rsidR="00F43153">
        <w:rPr>
          <w:rFonts w:ascii="ITC Avant Garde" w:hAnsi="ITC Avant Garde"/>
          <w:bCs/>
          <w:color w:val="000000"/>
          <w:lang w:eastAsia="es-MX"/>
        </w:rPr>
        <w:t>móviles de comunicación de voz, transmisión de datos y fax</w:t>
      </w:r>
      <w:r>
        <w:rPr>
          <w:rFonts w:ascii="ITC Avant Garde" w:hAnsi="ITC Avant Garde"/>
          <w:bCs/>
          <w:color w:val="000000"/>
          <w:lang w:eastAsia="es-MX"/>
        </w:rPr>
        <w:t>,</w:t>
      </w:r>
      <w:r w:rsidR="00F43153">
        <w:rPr>
          <w:rFonts w:ascii="ITC Avant Garde" w:hAnsi="ITC Avant Garde"/>
          <w:bCs/>
          <w:color w:val="000000"/>
          <w:lang w:eastAsia="es-MX"/>
        </w:rPr>
        <w:t xml:space="preserve"> geopo</w:t>
      </w:r>
      <w:r>
        <w:rPr>
          <w:rFonts w:ascii="ITC Avant Garde" w:hAnsi="ITC Avant Garde"/>
          <w:bCs/>
          <w:color w:val="000000"/>
          <w:lang w:eastAsia="es-MX"/>
        </w:rPr>
        <w:t xml:space="preserve">sicionamiento y mensajes cortos, con las características técnicas especificadas en el </w:t>
      </w:r>
      <w:r w:rsidR="00F43153">
        <w:rPr>
          <w:rFonts w:ascii="ITC Avant Garde" w:hAnsi="ITC Avant Garde"/>
          <w:bCs/>
          <w:color w:val="000000"/>
          <w:lang w:eastAsia="es-MX"/>
        </w:rPr>
        <w:t xml:space="preserve">Anexo B </w:t>
      </w:r>
      <w:r>
        <w:rPr>
          <w:rFonts w:ascii="ITC Avant Garde" w:hAnsi="ITC Avant Garde"/>
          <w:bCs/>
          <w:color w:val="000000"/>
          <w:lang w:eastAsia="es-MX"/>
        </w:rPr>
        <w:t>de la Concesión</w:t>
      </w:r>
      <w:r w:rsidR="00F43153">
        <w:rPr>
          <w:rFonts w:ascii="ITC Avant Garde" w:hAnsi="ITC Avant Garde"/>
          <w:bCs/>
          <w:color w:val="000000"/>
          <w:lang w:eastAsia="es-MX"/>
        </w:rPr>
        <w:t>.</w:t>
      </w:r>
    </w:p>
    <w:p w14:paraId="53B8ADD4" w14:textId="5A9D60D4" w:rsidR="00A82E16" w:rsidRPr="00A82E16" w:rsidRDefault="00A82E16" w:rsidP="001F3D65">
      <w:pPr>
        <w:pStyle w:val="Prrafodelista"/>
        <w:numPr>
          <w:ilvl w:val="0"/>
          <w:numId w:val="1"/>
        </w:numPr>
        <w:spacing w:before="240"/>
        <w:jc w:val="both"/>
        <w:rPr>
          <w:rFonts w:ascii="ITC Avant Garde" w:hAnsi="ITC Avant Garde"/>
          <w:b/>
          <w:bCs/>
          <w:color w:val="000000"/>
          <w:sz w:val="22"/>
          <w:szCs w:val="22"/>
          <w:lang w:eastAsia="es-MX"/>
        </w:rPr>
      </w:pPr>
      <w:r w:rsidRPr="00A82E16">
        <w:rPr>
          <w:rFonts w:ascii="ITC Avant Garde" w:hAnsi="ITC Avant Garde"/>
          <w:b/>
          <w:bCs/>
          <w:color w:val="000000"/>
          <w:sz w:val="22"/>
          <w:szCs w:val="22"/>
          <w:lang w:eastAsia="es-MX"/>
        </w:rPr>
        <w:t xml:space="preserve">Prórroga de la Concesión de Emisión y Recepción de Señales. </w:t>
      </w:r>
      <w:r w:rsidRPr="00A82E16">
        <w:rPr>
          <w:rFonts w:ascii="ITC Avant Garde" w:hAnsi="ITC Avant Garde"/>
          <w:bCs/>
          <w:color w:val="000000"/>
          <w:sz w:val="22"/>
          <w:szCs w:val="22"/>
          <w:lang w:eastAsia="es-MX"/>
        </w:rPr>
        <w:t>El 15 de octubre de 2009 la Secretaría otorgó a Globalstar de México, S. de R.L. de C.V.</w:t>
      </w:r>
      <w:r>
        <w:rPr>
          <w:rFonts w:ascii="ITC Avant Garde" w:hAnsi="ITC Avant Garde"/>
          <w:bCs/>
          <w:color w:val="000000"/>
          <w:sz w:val="22"/>
          <w:szCs w:val="22"/>
          <w:lang w:eastAsia="es-MX"/>
        </w:rPr>
        <w:t xml:space="preserve"> la prórroga de la concesión para explotar los derechos de emisión y recepción de señales de bandas de frecuencias asociadas al sistema satelital extranjero Globalstar</w:t>
      </w:r>
      <w:r w:rsidR="00C53FB6">
        <w:rPr>
          <w:rFonts w:ascii="ITC Avant Garde" w:hAnsi="ITC Avant Garde"/>
          <w:bCs/>
          <w:color w:val="000000"/>
          <w:sz w:val="22"/>
          <w:szCs w:val="22"/>
          <w:lang w:eastAsia="es-MX"/>
        </w:rPr>
        <w:t>, con una vigencia de 10 años contados a partir del 27 de noviembre de 2008 (la “Concesión de Emisión y Recepción de Señales”), misma que tiene por objeto la explotación de los derechos de emisión objeto de dicha prórroga para la prestación de los servicios móviles por satélite autorizados en la Concesión.</w:t>
      </w:r>
    </w:p>
    <w:p w14:paraId="4562A9B4" w14:textId="1B9E2FCE" w:rsidR="00B7256C" w:rsidRDefault="00B7256C" w:rsidP="001F3D65">
      <w:pPr>
        <w:numPr>
          <w:ilvl w:val="0"/>
          <w:numId w:val="1"/>
        </w:numPr>
        <w:spacing w:before="240" w:after="0" w:line="240" w:lineRule="auto"/>
        <w:jc w:val="both"/>
        <w:rPr>
          <w:rFonts w:ascii="ITC Avant Garde" w:hAnsi="ITC Avant Garde"/>
          <w:bCs/>
          <w:color w:val="000000"/>
          <w:lang w:eastAsia="es-MX"/>
        </w:rPr>
      </w:pPr>
      <w:r w:rsidRPr="003E516F">
        <w:rPr>
          <w:rFonts w:ascii="ITC Avant Garde" w:hAnsi="ITC Avant Garde"/>
          <w:b/>
          <w:bCs/>
          <w:color w:val="000000"/>
          <w:lang w:eastAsia="es-MX"/>
        </w:rPr>
        <w:t xml:space="preserve">Decreto de Reforma Constitucional. </w:t>
      </w:r>
      <w:r w:rsidRPr="000369C1">
        <w:rPr>
          <w:rFonts w:ascii="ITC Avant Garde" w:hAnsi="ITC Avant Garde"/>
          <w:bCs/>
          <w:color w:val="000000"/>
          <w:lang w:eastAsia="es-MX"/>
        </w:rPr>
        <w:t>Con fecha 11 de junio de 2013, se publicó en el Diario Oficial de la Federación el “</w:t>
      </w:r>
      <w:r w:rsidRPr="000369C1">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0369C1">
        <w:rPr>
          <w:rFonts w:ascii="ITC Avant Garde" w:hAnsi="ITC Avant Garde"/>
          <w:bCs/>
          <w:color w:val="000000"/>
          <w:lang w:eastAsia="es-MX"/>
        </w:rPr>
        <w:t>” (el “Decreto de Reforma Constitucional”), mediante el cual se creó el Instituto Federal de Telecomunicaciones (el “Instituto”)</w:t>
      </w:r>
      <w:r w:rsidRPr="003E516F">
        <w:rPr>
          <w:rFonts w:ascii="ITC Avant Garde" w:hAnsi="ITC Avant Garde"/>
          <w:bCs/>
          <w:color w:val="000000"/>
          <w:lang w:eastAsia="es-MX"/>
        </w:rPr>
        <w:t>.</w:t>
      </w:r>
    </w:p>
    <w:p w14:paraId="75152F29" w14:textId="77777777" w:rsidR="00B7256C" w:rsidRPr="00F45A3D" w:rsidRDefault="00B7256C" w:rsidP="001F3D65">
      <w:pPr>
        <w:numPr>
          <w:ilvl w:val="0"/>
          <w:numId w:val="1"/>
        </w:numPr>
        <w:spacing w:before="240" w:after="0" w:line="240" w:lineRule="auto"/>
        <w:jc w:val="both"/>
        <w:rPr>
          <w:rFonts w:ascii="ITC Avant Garde" w:hAnsi="ITC Avant Garde"/>
          <w:bCs/>
          <w:color w:val="000000"/>
          <w:lang w:eastAsia="es-MX"/>
        </w:rPr>
      </w:pPr>
      <w:r w:rsidRPr="003E516F">
        <w:rPr>
          <w:rFonts w:ascii="ITC Avant Garde" w:hAnsi="ITC Avant Garde"/>
          <w:b/>
          <w:bCs/>
          <w:color w:val="000000" w:themeColor="text1"/>
          <w:lang w:eastAsia="es-MX"/>
        </w:rPr>
        <w:t xml:space="preserve">Decreto de Ley. </w:t>
      </w:r>
      <w:r w:rsidRPr="003E516F">
        <w:rPr>
          <w:rFonts w:ascii="ITC Avant Garde" w:hAnsi="ITC Avant Garde"/>
          <w:bCs/>
          <w:color w:val="000000" w:themeColor="text1"/>
          <w:lang w:eastAsia="es-MX"/>
        </w:rPr>
        <w:t>El 14 de julio de 2014, se publicó en el Diario Oficial de la Federación el “</w:t>
      </w:r>
      <w:r w:rsidRPr="003E516F">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3E516F">
        <w:rPr>
          <w:rFonts w:ascii="ITC Avant Garde" w:hAnsi="ITC Avant Garde"/>
          <w:bCs/>
          <w:color w:val="000000" w:themeColor="text1"/>
          <w:lang w:eastAsia="es-MX"/>
        </w:rPr>
        <w:t>” (el “Decreto de Ley”), mismo que entró en vigor el 13 de agosto de 2014.</w:t>
      </w:r>
    </w:p>
    <w:p w14:paraId="3967921C" w14:textId="2B067C5A" w:rsidR="00B7256C" w:rsidRPr="006B55C3" w:rsidRDefault="00B7256C" w:rsidP="001F3D65">
      <w:pPr>
        <w:numPr>
          <w:ilvl w:val="0"/>
          <w:numId w:val="1"/>
        </w:numPr>
        <w:spacing w:before="240" w:after="0" w:line="240" w:lineRule="auto"/>
        <w:jc w:val="both"/>
        <w:rPr>
          <w:rFonts w:ascii="ITC Avant Garde" w:hAnsi="ITC Avant Garde"/>
          <w:bCs/>
          <w:color w:val="000000"/>
          <w:lang w:eastAsia="es-MX"/>
        </w:rPr>
      </w:pPr>
      <w:r w:rsidRPr="003E516F">
        <w:rPr>
          <w:rFonts w:ascii="ITC Avant Garde" w:hAnsi="ITC Avant Garde" w:cs="Arial"/>
          <w:b/>
          <w:bCs/>
          <w:color w:val="000000"/>
          <w:shd w:val="clear" w:color="auto" w:fill="FFFFFF"/>
        </w:rPr>
        <w:t>Estatuto Orgánico.</w:t>
      </w:r>
      <w:r w:rsidRPr="003E516F">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xml:space="preserve">” (el </w:t>
      </w:r>
      <w:r w:rsidRPr="00D26331">
        <w:rPr>
          <w:rFonts w:ascii="ITC Avant Garde" w:hAnsi="ITC Avant Garde"/>
          <w:color w:val="000000"/>
          <w:shd w:val="clear" w:color="auto" w:fill="FFFFFF"/>
        </w:rPr>
        <w:lastRenderedPageBreak/>
        <w:t>“Estatuto Orgánico”), mismo que entró en vigor el 26 de septiembre de 2014</w:t>
      </w:r>
      <w:r>
        <w:rPr>
          <w:rFonts w:ascii="ITC Avant Garde" w:hAnsi="ITC Avant Garde"/>
          <w:color w:val="000000"/>
          <w:shd w:val="clear" w:color="auto" w:fill="FFFFFF"/>
        </w:rPr>
        <w:t>, y fue modificado el 17 de octubre del mismo año.</w:t>
      </w:r>
    </w:p>
    <w:p w14:paraId="5F858674" w14:textId="02D3D76D" w:rsidR="00B7256C" w:rsidRPr="006B55C3" w:rsidRDefault="00B7256C" w:rsidP="001F3D65">
      <w:pPr>
        <w:numPr>
          <w:ilvl w:val="0"/>
          <w:numId w:val="1"/>
        </w:numPr>
        <w:spacing w:before="240" w:after="0" w:line="240" w:lineRule="auto"/>
        <w:jc w:val="both"/>
        <w:rPr>
          <w:rFonts w:ascii="ITC Avant Garde" w:hAnsi="ITC Avant Garde"/>
          <w:bCs/>
          <w:color w:val="000000"/>
          <w:lang w:eastAsia="es-MX"/>
        </w:rPr>
      </w:pPr>
      <w:r w:rsidRPr="00B4207E">
        <w:rPr>
          <w:rFonts w:ascii="ITC Avant Garde" w:hAnsi="ITC Avant Garde"/>
          <w:b/>
          <w:bCs/>
          <w:color w:val="000000"/>
          <w:lang w:eastAsia="es-MX"/>
        </w:rPr>
        <w:t>Solicitud de Prórroga de Vigencia.</w:t>
      </w:r>
      <w:r w:rsidRPr="00B4207E">
        <w:rPr>
          <w:rFonts w:ascii="ITC Avant Garde" w:hAnsi="ITC Avant Garde"/>
          <w:bCs/>
          <w:color w:val="000000" w:themeColor="text1"/>
          <w:lang w:eastAsia="es-MX"/>
        </w:rPr>
        <w:t xml:space="preserve"> </w:t>
      </w:r>
      <w:r w:rsidRPr="00B4207E">
        <w:rPr>
          <w:rFonts w:ascii="ITC Avant Garde" w:hAnsi="ITC Avant Garde"/>
          <w:bCs/>
          <w:color w:val="000000"/>
          <w:lang w:eastAsia="es-MX"/>
        </w:rPr>
        <w:t xml:space="preserve">El </w:t>
      </w:r>
      <w:r w:rsidR="00470615">
        <w:rPr>
          <w:rFonts w:ascii="ITC Avant Garde" w:hAnsi="ITC Avant Garde"/>
          <w:bCs/>
          <w:color w:val="000000"/>
          <w:lang w:eastAsia="es-MX"/>
        </w:rPr>
        <w:t>1</w:t>
      </w:r>
      <w:r w:rsidR="005D0BEC" w:rsidRPr="00B4207E">
        <w:rPr>
          <w:rFonts w:ascii="ITC Avant Garde" w:hAnsi="ITC Avant Garde"/>
          <w:bCs/>
          <w:color w:val="000000"/>
          <w:lang w:eastAsia="es-MX"/>
        </w:rPr>
        <w:t xml:space="preserve"> </w:t>
      </w:r>
      <w:r w:rsidRPr="00B4207E">
        <w:rPr>
          <w:rFonts w:ascii="ITC Avant Garde" w:hAnsi="ITC Avant Garde"/>
          <w:bCs/>
          <w:color w:val="000000"/>
          <w:lang w:eastAsia="es-MX"/>
        </w:rPr>
        <w:t xml:space="preserve">de </w:t>
      </w:r>
      <w:r w:rsidR="005D0BEC">
        <w:rPr>
          <w:rFonts w:ascii="ITC Avant Garde" w:hAnsi="ITC Avant Garde"/>
          <w:bCs/>
          <w:color w:val="000000"/>
          <w:lang w:eastAsia="es-MX"/>
        </w:rPr>
        <w:t>septiembre</w:t>
      </w:r>
      <w:r w:rsidRPr="00B4207E">
        <w:rPr>
          <w:rFonts w:ascii="ITC Avant Garde" w:hAnsi="ITC Avant Garde"/>
          <w:bCs/>
          <w:color w:val="000000"/>
          <w:lang w:eastAsia="es-MX"/>
        </w:rPr>
        <w:t xml:space="preserve"> de 201</w:t>
      </w:r>
      <w:r>
        <w:rPr>
          <w:rFonts w:ascii="ITC Avant Garde" w:hAnsi="ITC Avant Garde"/>
          <w:bCs/>
          <w:color w:val="000000"/>
          <w:lang w:eastAsia="es-MX"/>
        </w:rPr>
        <w:t>5</w:t>
      </w:r>
      <w:r w:rsidRPr="00B4207E">
        <w:rPr>
          <w:rFonts w:ascii="ITC Avant Garde" w:hAnsi="ITC Avant Garde"/>
          <w:bCs/>
          <w:color w:val="000000"/>
          <w:lang w:eastAsia="es-MX"/>
        </w:rPr>
        <w:t xml:space="preserve">, </w:t>
      </w:r>
      <w:r w:rsidR="005D0BEC">
        <w:rPr>
          <w:rFonts w:ascii="ITC Avant Garde" w:hAnsi="ITC Avant Garde"/>
          <w:bCs/>
          <w:color w:val="000000"/>
          <w:lang w:eastAsia="es-MX"/>
        </w:rPr>
        <w:t>la</w:t>
      </w:r>
      <w:r w:rsidRPr="00B4207E">
        <w:rPr>
          <w:rFonts w:ascii="ITC Avant Garde" w:hAnsi="ITC Avant Garde"/>
          <w:bCs/>
          <w:color w:val="000000"/>
          <w:lang w:eastAsia="es-MX"/>
        </w:rPr>
        <w:t xml:space="preserve"> representante legal de</w:t>
      </w:r>
      <w:r>
        <w:rPr>
          <w:rFonts w:ascii="ITC Avant Garde" w:hAnsi="ITC Avant Garde"/>
          <w:bCs/>
          <w:color w:val="000000"/>
          <w:lang w:eastAsia="es-MX"/>
        </w:rPr>
        <w:t xml:space="preserve"> la empresa </w:t>
      </w:r>
      <w:r w:rsidR="005D0BEC">
        <w:rPr>
          <w:rFonts w:ascii="ITC Avant Garde" w:hAnsi="ITC Avant Garde"/>
          <w:bCs/>
          <w:color w:val="000000"/>
          <w:lang w:eastAsia="es-MX"/>
        </w:rPr>
        <w:t>Globalstar de México, S. de R.L. de C.V.</w:t>
      </w:r>
      <w:r>
        <w:rPr>
          <w:rFonts w:ascii="ITC Avant Garde" w:hAnsi="ITC Avant Garde"/>
          <w:bCs/>
          <w:color w:val="000000"/>
          <w:lang w:eastAsia="es-MX"/>
        </w:rPr>
        <w:t>,</w:t>
      </w:r>
      <w:r w:rsidRPr="00B4207E">
        <w:rPr>
          <w:rFonts w:ascii="ITC Avant Garde" w:hAnsi="ITC Avant Garde"/>
          <w:bCs/>
          <w:color w:val="000000"/>
          <w:lang w:eastAsia="es-MX"/>
        </w:rPr>
        <w:t xml:space="preserve"> present</w:t>
      </w:r>
      <w:r w:rsidR="005D0BEC">
        <w:rPr>
          <w:rFonts w:ascii="ITC Avant Garde" w:hAnsi="ITC Avant Garde"/>
          <w:bCs/>
          <w:color w:val="000000"/>
          <w:lang w:eastAsia="es-MX"/>
        </w:rPr>
        <w:t>ó</w:t>
      </w:r>
      <w:r w:rsidRPr="00B4207E">
        <w:rPr>
          <w:rFonts w:ascii="ITC Avant Garde" w:hAnsi="ITC Avant Garde"/>
          <w:bCs/>
          <w:color w:val="000000"/>
          <w:lang w:eastAsia="es-MX"/>
        </w:rPr>
        <w:t xml:space="preserve"> ante </w:t>
      </w:r>
      <w:r>
        <w:rPr>
          <w:rFonts w:ascii="ITC Avant Garde" w:hAnsi="ITC Avant Garde"/>
          <w:bCs/>
          <w:color w:val="000000"/>
          <w:lang w:eastAsia="es-MX"/>
        </w:rPr>
        <w:t>el Instituto</w:t>
      </w:r>
      <w:r w:rsidRPr="00B4207E">
        <w:rPr>
          <w:rFonts w:ascii="ITC Avant Garde" w:hAnsi="ITC Avant Garde"/>
          <w:bCs/>
          <w:color w:val="000000"/>
          <w:lang w:eastAsia="es-MX"/>
        </w:rPr>
        <w:t>, solicitud de prórroga de vigencia de la Concesión (la “Solicitud de Prórroga”)</w:t>
      </w:r>
      <w:r>
        <w:rPr>
          <w:rFonts w:ascii="ITC Avant Garde" w:hAnsi="ITC Avant Garde"/>
          <w:bCs/>
          <w:color w:val="000000"/>
          <w:lang w:eastAsia="es-MX"/>
        </w:rPr>
        <w:t>.</w:t>
      </w:r>
    </w:p>
    <w:p w14:paraId="6129A7A9" w14:textId="66878E7E" w:rsidR="0029632C" w:rsidRDefault="00B7256C" w:rsidP="001F3D65">
      <w:pPr>
        <w:numPr>
          <w:ilvl w:val="0"/>
          <w:numId w:val="1"/>
        </w:numPr>
        <w:spacing w:before="240" w:after="0" w:line="240" w:lineRule="auto"/>
        <w:jc w:val="both"/>
        <w:rPr>
          <w:rFonts w:ascii="ITC Avant Garde" w:hAnsi="ITC Avant Garde"/>
          <w:bCs/>
          <w:color w:val="000000"/>
          <w:lang w:eastAsia="es-MX"/>
        </w:rPr>
      </w:pPr>
      <w:r w:rsidRPr="00F45A3D">
        <w:rPr>
          <w:rFonts w:ascii="ITC Avant Garde" w:hAnsi="ITC Avant Garde"/>
          <w:b/>
          <w:bCs/>
          <w:color w:val="000000"/>
          <w:lang w:eastAsia="es-MX"/>
        </w:rPr>
        <w:t>Solicitud de Opinión Técnica.</w:t>
      </w:r>
      <w:r w:rsidRPr="00337E4D">
        <w:rPr>
          <w:rFonts w:ascii="ITC Avant Garde" w:hAnsi="ITC Avant Garde"/>
          <w:bCs/>
          <w:color w:val="000000"/>
          <w:lang w:eastAsia="es-MX"/>
        </w:rPr>
        <w:t xml:space="preserve"> </w:t>
      </w:r>
      <w:r w:rsidR="005B4D8B">
        <w:rPr>
          <w:rFonts w:ascii="ITC Avant Garde" w:hAnsi="ITC Avant Garde"/>
          <w:bCs/>
          <w:color w:val="000000"/>
          <w:lang w:eastAsia="es-MX"/>
        </w:rPr>
        <w:t>M</w:t>
      </w:r>
      <w:r w:rsidRPr="00337E4D">
        <w:rPr>
          <w:rFonts w:ascii="ITC Avant Garde" w:hAnsi="ITC Avant Garde"/>
          <w:bCs/>
          <w:color w:val="000000"/>
          <w:lang w:eastAsia="es-MX"/>
        </w:rPr>
        <w:t>ediante oficio IFT/223/UCS/</w:t>
      </w:r>
      <w:r w:rsidR="005B4D8B">
        <w:rPr>
          <w:rFonts w:ascii="ITC Avant Garde" w:hAnsi="ITC Avant Garde"/>
          <w:bCs/>
          <w:color w:val="000000"/>
          <w:lang w:eastAsia="es-MX"/>
        </w:rPr>
        <w:t>2005</w:t>
      </w:r>
      <w:r w:rsidRPr="00337E4D">
        <w:rPr>
          <w:rFonts w:ascii="ITC Avant Garde" w:hAnsi="ITC Avant Garde"/>
          <w:bCs/>
          <w:color w:val="000000"/>
          <w:lang w:eastAsia="es-MX"/>
        </w:rPr>
        <w:t xml:space="preserve">/2015, notificado el </w:t>
      </w:r>
      <w:r>
        <w:rPr>
          <w:rFonts w:ascii="ITC Avant Garde" w:hAnsi="ITC Avant Garde"/>
          <w:bCs/>
          <w:color w:val="000000"/>
          <w:lang w:eastAsia="es-MX"/>
        </w:rPr>
        <w:t>1</w:t>
      </w:r>
      <w:r w:rsidR="005B4D8B">
        <w:rPr>
          <w:rFonts w:ascii="ITC Avant Garde" w:hAnsi="ITC Avant Garde"/>
          <w:bCs/>
          <w:color w:val="000000"/>
          <w:lang w:eastAsia="es-MX"/>
        </w:rPr>
        <w:t>8</w:t>
      </w:r>
      <w:r w:rsidRPr="00337E4D">
        <w:rPr>
          <w:rFonts w:ascii="ITC Avant Garde" w:hAnsi="ITC Avant Garde"/>
          <w:bCs/>
          <w:color w:val="000000"/>
          <w:lang w:eastAsia="es-MX"/>
        </w:rPr>
        <w:t xml:space="preserve"> de </w:t>
      </w:r>
      <w:r w:rsidR="005B4D8B">
        <w:rPr>
          <w:rFonts w:ascii="ITC Avant Garde" w:hAnsi="ITC Avant Garde"/>
          <w:bCs/>
          <w:color w:val="000000"/>
          <w:lang w:eastAsia="es-MX"/>
        </w:rPr>
        <w:t xml:space="preserve">septiembre </w:t>
      </w:r>
      <w:r w:rsidRPr="00337E4D">
        <w:rPr>
          <w:rFonts w:ascii="ITC Avant Garde" w:hAnsi="ITC Avant Garde"/>
          <w:bCs/>
          <w:color w:val="000000"/>
          <w:lang w:eastAsia="es-MX"/>
        </w:rPr>
        <w:t>de 2015, la Unidad de Concesiones y Servicios</w:t>
      </w:r>
      <w:r w:rsidR="005B4D8B">
        <w:rPr>
          <w:rFonts w:ascii="ITC Avant Garde" w:hAnsi="ITC Avant Garde"/>
          <w:bCs/>
          <w:color w:val="000000"/>
          <w:lang w:eastAsia="es-MX"/>
        </w:rPr>
        <w:t xml:space="preserve"> del Instituto</w:t>
      </w:r>
      <w:r w:rsidRPr="00337E4D">
        <w:rPr>
          <w:rFonts w:ascii="ITC Avant Garde" w:hAnsi="ITC Avant Garde"/>
          <w:bCs/>
          <w:color w:val="000000"/>
          <w:lang w:eastAsia="es-MX"/>
        </w:rPr>
        <w:t xml:space="preserve">, solicitó a la Secretaría la opinión técnica correspondiente a la Solicitud de Prórroga, </w:t>
      </w:r>
      <w:r w:rsidR="005B4D8B">
        <w:rPr>
          <w:rFonts w:ascii="ITC Avant Garde" w:hAnsi="ITC Avant Garde"/>
          <w:bCs/>
          <w:color w:val="000000"/>
          <w:lang w:eastAsia="es-MX"/>
        </w:rPr>
        <w:t xml:space="preserve">de conformidad con lo </w:t>
      </w:r>
      <w:r w:rsidRPr="00337E4D">
        <w:rPr>
          <w:rFonts w:ascii="ITC Avant Garde" w:hAnsi="ITC Avant Garde"/>
          <w:bCs/>
          <w:color w:val="000000"/>
          <w:lang w:eastAsia="es-MX"/>
        </w:rPr>
        <w:t>establecido por el artículo 28 párrafo décimo séptimo de la Constitución Política de los Estados Unidos Mexicanos (la “Constitución”).</w:t>
      </w:r>
    </w:p>
    <w:p w14:paraId="5289F1E1" w14:textId="6E913A4D" w:rsidR="00B7256C" w:rsidRDefault="00B7256C" w:rsidP="001F3D65">
      <w:pPr>
        <w:numPr>
          <w:ilvl w:val="0"/>
          <w:numId w:val="1"/>
        </w:numPr>
        <w:spacing w:before="240" w:after="0" w:line="240" w:lineRule="auto"/>
        <w:jc w:val="both"/>
        <w:rPr>
          <w:rFonts w:ascii="ITC Avant Garde" w:hAnsi="ITC Avant Garde"/>
          <w:bCs/>
          <w:color w:val="000000"/>
          <w:lang w:eastAsia="es-MX"/>
        </w:rPr>
      </w:pPr>
      <w:r w:rsidRPr="00F45A3D">
        <w:rPr>
          <w:rFonts w:ascii="ITC Avant Garde" w:hAnsi="ITC Avant Garde"/>
          <w:b/>
          <w:bCs/>
          <w:color w:val="000000"/>
          <w:lang w:eastAsia="es-MX"/>
        </w:rPr>
        <w:t xml:space="preserve">Opinión Técnica de la Secretaría. </w:t>
      </w:r>
      <w:r w:rsidRPr="004E603B">
        <w:rPr>
          <w:rFonts w:ascii="ITC Avant Garde" w:hAnsi="ITC Avant Garde"/>
          <w:bCs/>
          <w:color w:val="000000"/>
          <w:lang w:eastAsia="es-MX"/>
        </w:rPr>
        <w:t>Mediante oficio 2.1.</w:t>
      </w:r>
      <w:r w:rsidR="005B4D8B">
        <w:rPr>
          <w:rFonts w:ascii="ITC Avant Garde" w:hAnsi="ITC Avant Garde"/>
          <w:bCs/>
          <w:color w:val="000000"/>
          <w:lang w:eastAsia="es-MX"/>
        </w:rPr>
        <w:t>203.-1417</w:t>
      </w:r>
      <w:r w:rsidRPr="004E603B">
        <w:rPr>
          <w:rFonts w:ascii="ITC Avant Garde" w:hAnsi="ITC Avant Garde"/>
          <w:bCs/>
          <w:color w:val="000000"/>
          <w:lang w:eastAsia="es-MX"/>
        </w:rPr>
        <w:t xml:space="preserve"> de fecha </w:t>
      </w:r>
      <w:r>
        <w:rPr>
          <w:rFonts w:ascii="ITC Avant Garde" w:hAnsi="ITC Avant Garde"/>
          <w:bCs/>
          <w:color w:val="000000"/>
          <w:lang w:eastAsia="es-MX"/>
        </w:rPr>
        <w:t>1</w:t>
      </w:r>
      <w:r w:rsidR="005B4D8B">
        <w:rPr>
          <w:rFonts w:ascii="ITC Avant Garde" w:hAnsi="ITC Avant Garde"/>
          <w:bCs/>
          <w:color w:val="000000"/>
          <w:lang w:eastAsia="es-MX"/>
        </w:rPr>
        <w:t>1</w:t>
      </w:r>
      <w:r w:rsidRPr="004E603B">
        <w:rPr>
          <w:rFonts w:ascii="ITC Avant Garde" w:hAnsi="ITC Avant Garde"/>
          <w:bCs/>
          <w:color w:val="000000"/>
          <w:lang w:eastAsia="es-MX"/>
        </w:rPr>
        <w:t xml:space="preserve"> de </w:t>
      </w:r>
      <w:r w:rsidR="005B4D8B">
        <w:rPr>
          <w:rFonts w:ascii="ITC Avant Garde" w:hAnsi="ITC Avant Garde"/>
          <w:bCs/>
          <w:color w:val="000000"/>
          <w:lang w:eastAsia="es-MX"/>
        </w:rPr>
        <w:t>noviembre</w:t>
      </w:r>
      <w:r w:rsidRPr="004E603B">
        <w:rPr>
          <w:rFonts w:ascii="ITC Avant Garde" w:hAnsi="ITC Avant Garde"/>
          <w:bCs/>
          <w:color w:val="000000"/>
          <w:lang w:eastAsia="es-MX"/>
        </w:rPr>
        <w:t xml:space="preserve"> de 2015, la Dirección General de Política de Telecomunicaciones y de Radiodifusión de la Secretaría, remitió el oficio 1.-</w:t>
      </w:r>
      <w:r w:rsidR="005B4D8B">
        <w:rPr>
          <w:rFonts w:ascii="ITC Avant Garde" w:hAnsi="ITC Avant Garde"/>
          <w:bCs/>
          <w:color w:val="000000"/>
          <w:lang w:eastAsia="es-MX"/>
        </w:rPr>
        <w:t>349</w:t>
      </w:r>
      <w:r w:rsidRPr="004E603B">
        <w:rPr>
          <w:rFonts w:ascii="ITC Avant Garde" w:hAnsi="ITC Avant Garde"/>
          <w:bCs/>
          <w:color w:val="000000"/>
          <w:lang w:eastAsia="es-MX"/>
        </w:rPr>
        <w:t xml:space="preserve"> de </w:t>
      </w:r>
      <w:r w:rsidR="005B4D8B">
        <w:rPr>
          <w:rFonts w:ascii="ITC Avant Garde" w:hAnsi="ITC Avant Garde"/>
          <w:bCs/>
          <w:color w:val="000000"/>
          <w:lang w:eastAsia="es-MX"/>
        </w:rPr>
        <w:t xml:space="preserve">la misma </w:t>
      </w:r>
      <w:r w:rsidRPr="004E603B">
        <w:rPr>
          <w:rFonts w:ascii="ITC Avant Garde" w:hAnsi="ITC Avant Garde"/>
          <w:bCs/>
          <w:color w:val="000000"/>
          <w:lang w:eastAsia="es-MX"/>
        </w:rPr>
        <w:t xml:space="preserve">fecha, con la opinión técnica en sentido favorable respecto </w:t>
      </w:r>
      <w:r w:rsidR="003035CF">
        <w:rPr>
          <w:rFonts w:ascii="ITC Avant Garde" w:hAnsi="ITC Avant Garde"/>
          <w:bCs/>
          <w:color w:val="000000"/>
          <w:lang w:eastAsia="es-MX"/>
        </w:rPr>
        <w:t>a</w:t>
      </w:r>
      <w:r w:rsidRPr="004E603B">
        <w:rPr>
          <w:rFonts w:ascii="ITC Avant Garde" w:hAnsi="ITC Avant Garde"/>
          <w:bCs/>
          <w:color w:val="000000"/>
          <w:lang w:eastAsia="es-MX"/>
        </w:rPr>
        <w:t xml:space="preserve"> la Solicitud de Prórroga planteada por </w:t>
      </w:r>
      <w:r w:rsidR="005B4D8B">
        <w:rPr>
          <w:rFonts w:ascii="ITC Avant Garde" w:hAnsi="ITC Avant Garde"/>
          <w:bCs/>
          <w:color w:val="000000"/>
          <w:lang w:eastAsia="es-MX"/>
        </w:rPr>
        <w:t>Globalstar de México, S. de R.L. de C.V</w:t>
      </w:r>
      <w:r>
        <w:rPr>
          <w:rFonts w:ascii="ITC Avant Garde" w:hAnsi="ITC Avant Garde"/>
          <w:bCs/>
          <w:color w:val="000000"/>
          <w:lang w:eastAsia="es-MX"/>
        </w:rPr>
        <w:t>.</w:t>
      </w:r>
    </w:p>
    <w:p w14:paraId="17560E97" w14:textId="0ACFA67B" w:rsidR="00B7256C" w:rsidRPr="001E080A" w:rsidRDefault="00D04BA3" w:rsidP="001F3D65">
      <w:pPr>
        <w:numPr>
          <w:ilvl w:val="0"/>
          <w:numId w:val="1"/>
        </w:numPr>
        <w:spacing w:before="240" w:after="0" w:line="240" w:lineRule="auto"/>
        <w:jc w:val="both"/>
        <w:rPr>
          <w:rFonts w:ascii="ITC Avant Garde" w:hAnsi="ITC Avant Garde"/>
          <w:bCs/>
          <w:color w:val="000000"/>
          <w:lang w:eastAsia="es-MX"/>
        </w:rPr>
      </w:pPr>
      <w:r>
        <w:rPr>
          <w:rFonts w:ascii="ITC Avant Garde" w:hAnsi="ITC Avant Garde"/>
          <w:b/>
          <w:bCs/>
          <w:lang w:eastAsia="es-MX"/>
        </w:rPr>
        <w:t>Dictamen</w:t>
      </w:r>
      <w:r w:rsidRPr="00A642FC">
        <w:rPr>
          <w:rFonts w:ascii="ITC Avant Garde" w:hAnsi="ITC Avant Garde"/>
          <w:b/>
          <w:bCs/>
          <w:lang w:eastAsia="es-MX"/>
        </w:rPr>
        <w:t xml:space="preserve"> </w:t>
      </w:r>
      <w:r w:rsidR="00B7256C" w:rsidRPr="00A642FC">
        <w:rPr>
          <w:rFonts w:ascii="ITC Avant Garde" w:hAnsi="ITC Avant Garde"/>
          <w:b/>
          <w:bCs/>
          <w:lang w:eastAsia="es-MX"/>
        </w:rPr>
        <w:t>en Materia de Cumplimiento de Obligaciones.</w:t>
      </w:r>
      <w:r w:rsidR="00B7256C" w:rsidRPr="00A642FC">
        <w:rPr>
          <w:rFonts w:ascii="ITC Avant Garde" w:hAnsi="ITC Avant Garde"/>
          <w:bCs/>
          <w:lang w:eastAsia="es-MX"/>
        </w:rPr>
        <w:t xml:space="preserve"> Con oficio </w:t>
      </w:r>
      <w:r w:rsidR="00A642FC" w:rsidRPr="00A642FC">
        <w:rPr>
          <w:rFonts w:ascii="ITC Avant Garde" w:hAnsi="ITC Avant Garde"/>
          <w:bCs/>
          <w:lang w:eastAsia="es-MX"/>
        </w:rPr>
        <w:t>IFT/225/UC/DG-SUV/</w:t>
      </w:r>
      <w:r w:rsidR="009612A2">
        <w:rPr>
          <w:rFonts w:ascii="ITC Avant Garde" w:hAnsi="ITC Avant Garde"/>
          <w:bCs/>
          <w:lang w:eastAsia="es-MX"/>
        </w:rPr>
        <w:t>2810</w:t>
      </w:r>
      <w:r w:rsidR="00A642FC" w:rsidRPr="00A642FC">
        <w:rPr>
          <w:rFonts w:ascii="ITC Avant Garde" w:hAnsi="ITC Avant Garde"/>
          <w:bCs/>
          <w:lang w:eastAsia="es-MX"/>
        </w:rPr>
        <w:t>/201</w:t>
      </w:r>
      <w:r w:rsidR="009612A2">
        <w:rPr>
          <w:rFonts w:ascii="ITC Avant Garde" w:hAnsi="ITC Avant Garde"/>
          <w:bCs/>
          <w:lang w:eastAsia="es-MX"/>
        </w:rPr>
        <w:t>6</w:t>
      </w:r>
      <w:r w:rsidR="00A642FC" w:rsidRPr="00A642FC">
        <w:rPr>
          <w:rFonts w:ascii="ITC Avant Garde" w:hAnsi="ITC Avant Garde"/>
          <w:bCs/>
          <w:lang w:eastAsia="es-MX"/>
        </w:rPr>
        <w:t xml:space="preserve"> </w:t>
      </w:r>
      <w:r w:rsidR="00B7256C" w:rsidRPr="00A642FC">
        <w:rPr>
          <w:rFonts w:ascii="ITC Avant Garde" w:hAnsi="ITC Avant Garde"/>
          <w:bCs/>
          <w:lang w:eastAsia="es-MX"/>
        </w:rPr>
        <w:t xml:space="preserve">de fecha </w:t>
      </w:r>
      <w:r w:rsidR="009612A2">
        <w:rPr>
          <w:rFonts w:ascii="ITC Avant Garde" w:hAnsi="ITC Avant Garde"/>
          <w:bCs/>
          <w:lang w:eastAsia="es-MX"/>
        </w:rPr>
        <w:t>3</w:t>
      </w:r>
      <w:r w:rsidR="009612A2" w:rsidRPr="00A642FC">
        <w:rPr>
          <w:rFonts w:ascii="ITC Avant Garde" w:hAnsi="ITC Avant Garde"/>
          <w:bCs/>
          <w:lang w:eastAsia="es-MX"/>
        </w:rPr>
        <w:t xml:space="preserve"> </w:t>
      </w:r>
      <w:r w:rsidR="00A642FC" w:rsidRPr="00A642FC">
        <w:rPr>
          <w:rFonts w:ascii="ITC Avant Garde" w:hAnsi="ITC Avant Garde"/>
          <w:bCs/>
          <w:lang w:eastAsia="es-MX"/>
        </w:rPr>
        <w:t xml:space="preserve">de </w:t>
      </w:r>
      <w:r w:rsidR="009612A2">
        <w:rPr>
          <w:rFonts w:ascii="ITC Avant Garde" w:hAnsi="ITC Avant Garde"/>
          <w:bCs/>
          <w:lang w:eastAsia="es-MX"/>
        </w:rPr>
        <w:t>mayo</w:t>
      </w:r>
      <w:r w:rsidR="009612A2" w:rsidRPr="00A642FC">
        <w:rPr>
          <w:rFonts w:ascii="ITC Avant Garde" w:hAnsi="ITC Avant Garde"/>
          <w:bCs/>
          <w:lang w:eastAsia="es-MX"/>
        </w:rPr>
        <w:t xml:space="preserve"> </w:t>
      </w:r>
      <w:r w:rsidR="00A642FC" w:rsidRPr="00A642FC">
        <w:rPr>
          <w:rFonts w:ascii="ITC Avant Garde" w:hAnsi="ITC Avant Garde"/>
          <w:bCs/>
          <w:lang w:eastAsia="es-MX"/>
        </w:rPr>
        <w:t>de 2016</w:t>
      </w:r>
      <w:r w:rsidR="00B7256C" w:rsidRPr="00A642FC">
        <w:rPr>
          <w:rFonts w:ascii="ITC Avant Garde" w:hAnsi="ITC Avant Garde"/>
          <w:bCs/>
          <w:lang w:eastAsia="es-MX"/>
        </w:rPr>
        <w:t>, la Unidad de Cumplimiento</w:t>
      </w:r>
      <w:r w:rsidR="00A642FC" w:rsidRPr="00A642FC">
        <w:rPr>
          <w:rFonts w:ascii="ITC Avant Garde" w:hAnsi="ITC Avant Garde"/>
          <w:bCs/>
          <w:lang w:eastAsia="es-MX"/>
        </w:rPr>
        <w:t>, a través de la Dirección General de Supervisión,</w:t>
      </w:r>
      <w:r w:rsidR="00B7256C" w:rsidRPr="00A642FC">
        <w:rPr>
          <w:rFonts w:ascii="ITC Avant Garde" w:hAnsi="ITC Avant Garde"/>
          <w:bCs/>
          <w:lang w:eastAsia="es-MX"/>
        </w:rPr>
        <w:t xml:space="preserve"> emitió </w:t>
      </w:r>
      <w:r>
        <w:rPr>
          <w:rFonts w:ascii="ITC Avant Garde" w:hAnsi="ITC Avant Garde"/>
          <w:bCs/>
          <w:lang w:eastAsia="es-MX"/>
        </w:rPr>
        <w:t>el dictamen</w:t>
      </w:r>
      <w:r w:rsidR="00B7256C" w:rsidRPr="00A642FC">
        <w:rPr>
          <w:rFonts w:ascii="ITC Avant Garde" w:hAnsi="ITC Avant Garde"/>
          <w:bCs/>
          <w:lang w:eastAsia="es-MX"/>
        </w:rPr>
        <w:t xml:space="preserve"> en materia de cumplimento de obligaciones con respecto </w:t>
      </w:r>
      <w:r w:rsidR="003035CF">
        <w:rPr>
          <w:rFonts w:ascii="ITC Avant Garde" w:hAnsi="ITC Avant Garde"/>
          <w:bCs/>
          <w:lang w:eastAsia="es-MX"/>
        </w:rPr>
        <w:t>a</w:t>
      </w:r>
      <w:r w:rsidR="00B7256C" w:rsidRPr="00A642FC">
        <w:rPr>
          <w:rFonts w:ascii="ITC Avant Garde" w:hAnsi="ITC Avant Garde"/>
          <w:bCs/>
          <w:lang w:eastAsia="es-MX"/>
        </w:rPr>
        <w:t xml:space="preserve"> la Solicitud de Prórroga</w:t>
      </w:r>
      <w:r w:rsidR="008B2C53" w:rsidRPr="00A642FC">
        <w:rPr>
          <w:rFonts w:ascii="ITC Avant Garde" w:hAnsi="ITC Avant Garde"/>
          <w:bCs/>
          <w:lang w:eastAsia="es-MX"/>
        </w:rPr>
        <w:t>.</w:t>
      </w:r>
    </w:p>
    <w:p w14:paraId="2543E4C7" w14:textId="56CFF159" w:rsidR="00142670" w:rsidRPr="004220D3" w:rsidRDefault="00142670" w:rsidP="001F3D65">
      <w:pPr>
        <w:numPr>
          <w:ilvl w:val="0"/>
          <w:numId w:val="1"/>
        </w:numPr>
        <w:spacing w:before="240" w:after="0" w:line="240" w:lineRule="auto"/>
        <w:jc w:val="both"/>
        <w:rPr>
          <w:rFonts w:ascii="ITC Avant Garde" w:hAnsi="ITC Avant Garde"/>
          <w:b/>
          <w:bCs/>
          <w:color w:val="000000"/>
          <w:lang w:eastAsia="es-MX"/>
        </w:rPr>
      </w:pPr>
      <w:r w:rsidRPr="003E516F">
        <w:rPr>
          <w:rFonts w:ascii="ITC Avant Garde" w:hAnsi="ITC Avant Garde"/>
          <w:b/>
          <w:bCs/>
          <w:color w:val="000000"/>
          <w:lang w:eastAsia="es-MX"/>
        </w:rPr>
        <w:t xml:space="preserve">Opinión en Materia de Competencia Económica. </w:t>
      </w:r>
      <w:r>
        <w:rPr>
          <w:rFonts w:ascii="ITC Avant Garde" w:hAnsi="ITC Avant Garde"/>
          <w:bCs/>
          <w:color w:val="000000"/>
          <w:lang w:eastAsia="es-MX"/>
        </w:rPr>
        <w:t xml:space="preserve">Mediante </w:t>
      </w:r>
      <w:r w:rsidRPr="003E516F">
        <w:rPr>
          <w:rFonts w:ascii="ITC Avant Garde" w:hAnsi="ITC Avant Garde"/>
          <w:bCs/>
          <w:color w:val="000000"/>
          <w:lang w:eastAsia="es-MX"/>
        </w:rPr>
        <w:t xml:space="preserve">oficio </w:t>
      </w:r>
      <w:r>
        <w:rPr>
          <w:rFonts w:ascii="ITC Avant Garde" w:hAnsi="ITC Avant Garde"/>
          <w:bCs/>
          <w:color w:val="000000"/>
          <w:lang w:eastAsia="es-MX"/>
        </w:rPr>
        <w:t>IFT/226/UCE/DG-</w:t>
      </w:r>
      <w:r w:rsidRPr="00442D05">
        <w:rPr>
          <w:rFonts w:ascii="ITC Avant Garde" w:hAnsi="ITC Avant Garde"/>
          <w:bCs/>
          <w:color w:val="000000"/>
          <w:lang w:eastAsia="es-MX"/>
        </w:rPr>
        <w:t>CCON/</w:t>
      </w:r>
      <w:r w:rsidR="00442D05" w:rsidRPr="00442D05">
        <w:rPr>
          <w:rFonts w:ascii="ITC Avant Garde" w:hAnsi="ITC Avant Garde"/>
          <w:bCs/>
          <w:color w:val="000000"/>
          <w:lang w:eastAsia="es-MX"/>
        </w:rPr>
        <w:t>239</w:t>
      </w:r>
      <w:r w:rsidRPr="00442D05">
        <w:rPr>
          <w:rFonts w:ascii="ITC Avant Garde" w:hAnsi="ITC Avant Garde"/>
          <w:bCs/>
          <w:color w:val="000000"/>
          <w:lang w:eastAsia="es-MX"/>
        </w:rPr>
        <w:t xml:space="preserve">/2016 de fecha </w:t>
      </w:r>
      <w:r w:rsidR="00442D05" w:rsidRPr="00442D05">
        <w:rPr>
          <w:rFonts w:ascii="ITC Avant Garde" w:hAnsi="ITC Avant Garde"/>
          <w:bCs/>
          <w:color w:val="000000"/>
          <w:lang w:eastAsia="es-MX"/>
        </w:rPr>
        <w:t xml:space="preserve">19 </w:t>
      </w:r>
      <w:r w:rsidRPr="00442D05">
        <w:rPr>
          <w:rFonts w:ascii="ITC Avant Garde" w:hAnsi="ITC Avant Garde"/>
          <w:bCs/>
          <w:color w:val="000000"/>
          <w:lang w:eastAsia="es-MX"/>
        </w:rPr>
        <w:t xml:space="preserve">de mayo de 2016, la Unidad de Competencia Económica, emitió </w:t>
      </w:r>
      <w:r w:rsidRPr="00D04BA3">
        <w:rPr>
          <w:rFonts w:ascii="ITC Avant Garde" w:hAnsi="ITC Avant Garde"/>
          <w:bCs/>
          <w:color w:val="000000"/>
          <w:lang w:eastAsia="es-MX"/>
        </w:rPr>
        <w:t>la opinión en materia</w:t>
      </w:r>
      <w:r w:rsidRPr="00442D05">
        <w:rPr>
          <w:rFonts w:ascii="ITC Avant Garde" w:hAnsi="ITC Avant Garde"/>
          <w:bCs/>
          <w:color w:val="000000"/>
          <w:lang w:eastAsia="es-MX"/>
        </w:rPr>
        <w:t xml:space="preserve"> de competencia económica con respecto a la Solicitud de Prórroga.</w:t>
      </w:r>
    </w:p>
    <w:p w14:paraId="5C71B6D1" w14:textId="77777777" w:rsidR="00B7256C" w:rsidRDefault="00B7256C" w:rsidP="001F3D65">
      <w:pPr>
        <w:spacing w:before="240" w:after="0" w:line="240" w:lineRule="auto"/>
        <w:jc w:val="both"/>
        <w:rPr>
          <w:rFonts w:ascii="ITC Avant Garde" w:hAnsi="ITC Avant Garde"/>
          <w:bCs/>
          <w:color w:val="000000"/>
          <w:lang w:eastAsia="es-MX"/>
        </w:rPr>
      </w:pPr>
      <w:r w:rsidRPr="003E516F">
        <w:rPr>
          <w:rFonts w:ascii="ITC Avant Garde" w:hAnsi="ITC Avant Garde"/>
          <w:bCs/>
          <w:color w:val="000000"/>
          <w:lang w:eastAsia="es-MX"/>
        </w:rPr>
        <w:t>En virtud de los Antecedentes referidos y,</w:t>
      </w:r>
    </w:p>
    <w:p w14:paraId="4B580341" w14:textId="77777777" w:rsidR="000F6F91" w:rsidRPr="003E516F" w:rsidRDefault="000F6F91" w:rsidP="00B7256C">
      <w:pPr>
        <w:spacing w:after="0" w:line="240" w:lineRule="auto"/>
        <w:jc w:val="both"/>
        <w:rPr>
          <w:rFonts w:ascii="ITC Avant Garde" w:hAnsi="ITC Avant Garde"/>
          <w:bCs/>
          <w:color w:val="000000"/>
          <w:lang w:eastAsia="es-MX"/>
        </w:rPr>
      </w:pPr>
    </w:p>
    <w:p w14:paraId="4F2B2409" w14:textId="77777777" w:rsidR="00B7256C" w:rsidRPr="001F3D65" w:rsidRDefault="00B7256C" w:rsidP="001F3D65">
      <w:pPr>
        <w:pStyle w:val="Ttulo2"/>
        <w:jc w:val="center"/>
        <w:rPr>
          <w:rFonts w:ascii="ITC Avant Garde" w:hAnsi="ITC Avant Garde"/>
          <w:b/>
          <w:bCs/>
          <w:color w:val="auto"/>
          <w:sz w:val="22"/>
          <w:szCs w:val="22"/>
        </w:rPr>
      </w:pPr>
      <w:r w:rsidRPr="001F3D65">
        <w:rPr>
          <w:rFonts w:ascii="ITC Avant Garde" w:hAnsi="ITC Avant Garde"/>
          <w:b/>
          <w:bCs/>
          <w:color w:val="auto"/>
          <w:sz w:val="22"/>
          <w:szCs w:val="22"/>
        </w:rPr>
        <w:t>CONSIDERANDO</w:t>
      </w:r>
    </w:p>
    <w:p w14:paraId="680E1C8D" w14:textId="77777777" w:rsidR="00B7256C" w:rsidRDefault="00B7256C" w:rsidP="00B7256C">
      <w:pPr>
        <w:autoSpaceDE w:val="0"/>
        <w:autoSpaceDN w:val="0"/>
        <w:adjustRightInd w:val="0"/>
        <w:spacing w:after="0" w:line="240" w:lineRule="auto"/>
        <w:jc w:val="both"/>
        <w:rPr>
          <w:rFonts w:ascii="ITC Avant Garde" w:hAnsi="ITC Avant Garde"/>
          <w:b/>
          <w:bCs/>
        </w:rPr>
      </w:pPr>
    </w:p>
    <w:p w14:paraId="006A3574" w14:textId="4AABE698" w:rsidR="00B7256C" w:rsidRPr="00111069" w:rsidRDefault="002E6D9B" w:rsidP="00B7256C">
      <w:pPr>
        <w:autoSpaceDE w:val="0"/>
        <w:autoSpaceDN w:val="0"/>
        <w:adjustRightInd w:val="0"/>
        <w:spacing w:line="240" w:lineRule="auto"/>
        <w:jc w:val="both"/>
        <w:rPr>
          <w:rFonts w:ascii="ITC Avant Garde" w:hAnsi="ITC Avant Garde"/>
          <w:bCs/>
        </w:rPr>
      </w:pPr>
      <w:r>
        <w:rPr>
          <w:rFonts w:ascii="ITC Avant Garde" w:hAnsi="ITC Avant Garde"/>
          <w:b/>
          <w:bCs/>
        </w:rPr>
        <w:t>Primero.</w:t>
      </w:r>
      <w:r w:rsidR="00EB35C9">
        <w:rPr>
          <w:rFonts w:ascii="ITC Avant Garde" w:hAnsi="ITC Avant Garde"/>
          <w:b/>
          <w:bCs/>
        </w:rPr>
        <w:t>-</w:t>
      </w:r>
      <w:r>
        <w:rPr>
          <w:rFonts w:ascii="ITC Avant Garde" w:hAnsi="ITC Avant Garde"/>
          <w:b/>
          <w:bCs/>
        </w:rPr>
        <w:t xml:space="preserve"> </w:t>
      </w:r>
      <w:r w:rsidR="00B7256C" w:rsidRPr="00111069">
        <w:rPr>
          <w:rFonts w:ascii="ITC Avant Garde" w:hAnsi="ITC Avant Garde"/>
          <w:b/>
          <w:bCs/>
        </w:rPr>
        <w:t>Competencia.</w:t>
      </w:r>
      <w:r w:rsidR="00B7256C" w:rsidRPr="00E57237">
        <w:rPr>
          <w:rFonts w:ascii="ITC Avant Garde" w:hAnsi="ITC Avant Garde"/>
          <w:bCs/>
        </w:rPr>
        <w:t xml:space="preserve"> </w:t>
      </w:r>
      <w:r w:rsidR="00B7256C" w:rsidRPr="00111069">
        <w:rPr>
          <w:rFonts w:ascii="ITC Avant Garde" w:hAnsi="ITC Avant Garde"/>
          <w:bCs/>
        </w:rPr>
        <w:t>Conforme lo dispone el artículo 28 párrafos décimo quinto, décimo sexto y décimo séptimo de la Constitución</w:t>
      </w:r>
      <w:r w:rsidR="00B7256C">
        <w:rPr>
          <w:rFonts w:ascii="ITC Avant Garde" w:hAnsi="ITC Avant Garde"/>
          <w:bCs/>
        </w:rPr>
        <w:t xml:space="preserve"> Política de los Estados Unidos Mexicanos (la “Constitución”)</w:t>
      </w:r>
      <w:r w:rsidR="00B7256C" w:rsidRPr="00111069">
        <w:rPr>
          <w:rFonts w:ascii="ITC Avant Garde" w:hAnsi="ITC Avant Garde"/>
          <w:bCs/>
        </w:rPr>
        <w:t xml:space="preserve">,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w:t>
      </w:r>
      <w:r w:rsidR="00B7256C" w:rsidRPr="00111069">
        <w:rPr>
          <w:rFonts w:ascii="ITC Avant Garde" w:hAnsi="ITC Avant Garde"/>
          <w:bCs/>
        </w:rPr>
        <w:lastRenderedPageBreak/>
        <w:t>insumos esenciales</w:t>
      </w:r>
      <w:r w:rsidR="00B7256C">
        <w:rPr>
          <w:rFonts w:ascii="ITC Avant Garde" w:hAnsi="ITC Avant Garde"/>
          <w:bCs/>
        </w:rPr>
        <w:t>, garantizando lo establecido por</w:t>
      </w:r>
      <w:r w:rsidR="00B7256C" w:rsidRPr="00111069">
        <w:rPr>
          <w:rFonts w:ascii="ITC Avant Garde" w:hAnsi="ITC Avant Garde"/>
          <w:bCs/>
        </w:rPr>
        <w:t xml:space="preserve"> los artículos 6o. y 7o. de la Constitución.</w:t>
      </w:r>
    </w:p>
    <w:p w14:paraId="059149A8" w14:textId="77777777" w:rsidR="00B7256C" w:rsidRPr="00111069" w:rsidRDefault="00B7256C" w:rsidP="00B7256C">
      <w:pPr>
        <w:autoSpaceDE w:val="0"/>
        <w:autoSpaceDN w:val="0"/>
        <w:adjustRightInd w:val="0"/>
        <w:spacing w:line="240" w:lineRule="auto"/>
        <w:jc w:val="both"/>
        <w:rPr>
          <w:rFonts w:ascii="ITC Avant Garde" w:hAnsi="ITC Avant Garde"/>
          <w:bCs/>
        </w:rPr>
      </w:pPr>
      <w:r w:rsidRPr="00111069">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w:t>
      </w:r>
      <w:r>
        <w:rPr>
          <w:rFonts w:ascii="ITC Avant Garde" w:hAnsi="ITC Avant Garde"/>
          <w:bCs/>
        </w:rPr>
        <w:t>ca, garantizando lo dispuesto por</w:t>
      </w:r>
      <w:r w:rsidRPr="00111069">
        <w:rPr>
          <w:rFonts w:ascii="ITC Avant Garde" w:hAnsi="ITC Avant Garde"/>
          <w:bCs/>
        </w:rPr>
        <w:t xml:space="preserve"> los artículos 6o. y 7o. de la Constitución.</w:t>
      </w:r>
    </w:p>
    <w:p w14:paraId="31C37372" w14:textId="77777777" w:rsidR="00B7256C" w:rsidRDefault="00B7256C" w:rsidP="00B7256C">
      <w:pPr>
        <w:autoSpaceDE w:val="0"/>
        <w:autoSpaceDN w:val="0"/>
        <w:adjustRightInd w:val="0"/>
        <w:spacing w:line="240" w:lineRule="auto"/>
        <w:jc w:val="both"/>
        <w:rPr>
          <w:rFonts w:ascii="ITC Avant Garde" w:hAnsi="ITC Avant Garde"/>
          <w:bCs/>
        </w:rPr>
      </w:pPr>
      <w:r w:rsidRPr="000369C1">
        <w:rPr>
          <w:rFonts w:ascii="ITC Avant Garde" w:hAnsi="ITC Avant Garde"/>
          <w:bCs/>
        </w:rPr>
        <w:t>De igual forma</w:t>
      </w:r>
      <w:r w:rsidRPr="00111069">
        <w:rPr>
          <w:rFonts w:ascii="ITC Avant Garde" w:hAnsi="ITC Avant Garde"/>
          <w:bCs/>
        </w:rPr>
        <w:t xml:space="preserve">, corresponde al Instituto, el otorgamiento de concesiones en materia de radiodifusión y telecomunicaciones. En este sentido, el Pleno del Instituto está facultado, conforme a lo establecido por los artículos 15 fracción IV y 17 fracción I de la </w:t>
      </w:r>
      <w:r w:rsidRPr="00260B44">
        <w:rPr>
          <w:rFonts w:ascii="ITC Avant Garde" w:hAnsi="ITC Avant Garde"/>
          <w:bCs/>
        </w:rPr>
        <w:t xml:space="preserve">Ley Federal de Telecomunicaciones y </w:t>
      </w:r>
      <w:r w:rsidRPr="000D3947">
        <w:rPr>
          <w:rFonts w:ascii="ITC Avant Garde" w:hAnsi="ITC Avant Garde"/>
          <w:bCs/>
        </w:rPr>
        <w:t>Radiodifusión (la “Ley”),</w:t>
      </w:r>
      <w:r w:rsidRPr="00111069">
        <w:rPr>
          <w:rFonts w:ascii="ITC Avant Garde" w:hAnsi="ITC Avant Garde"/>
          <w:bCs/>
        </w:rPr>
        <w:t xml:space="preserve"> para resolver sobre el otorgamiento de las concesiones señaladas, </w:t>
      </w:r>
      <w:r w:rsidRPr="00FA03EA">
        <w:rPr>
          <w:rFonts w:ascii="ITC Avant Garde" w:hAnsi="ITC Avant Garde"/>
          <w:bCs/>
        </w:rPr>
        <w:t xml:space="preserve">resolver respecto de las prórrogas, modificación o terminación de las mismas, así como interpretar la </w:t>
      </w:r>
      <w:r>
        <w:rPr>
          <w:rFonts w:ascii="ITC Avant Garde" w:hAnsi="ITC Avant Garde"/>
          <w:bCs/>
        </w:rPr>
        <w:t xml:space="preserve">Ley </w:t>
      </w:r>
      <w:r w:rsidRPr="00FA03EA">
        <w:rPr>
          <w:rFonts w:ascii="ITC Avant Garde" w:hAnsi="ITC Avant Garde"/>
          <w:bCs/>
        </w:rPr>
        <w:t>y demás disposiciones administrativas en materia de telecomunicaciones y radiodifusión, en el ámbito de sus atribuciones.</w:t>
      </w:r>
    </w:p>
    <w:p w14:paraId="3230B157" w14:textId="77777777" w:rsidR="00B7256C" w:rsidRDefault="00B7256C" w:rsidP="00B7256C">
      <w:pPr>
        <w:autoSpaceDE w:val="0"/>
        <w:autoSpaceDN w:val="0"/>
        <w:adjustRightInd w:val="0"/>
        <w:spacing w:line="240" w:lineRule="auto"/>
        <w:jc w:val="both"/>
        <w:rPr>
          <w:rFonts w:ascii="ITC Avant Garde" w:hAnsi="ITC Avant Garde"/>
          <w:bCs/>
        </w:rPr>
      </w:pPr>
      <w:r w:rsidRPr="00C64476">
        <w:rPr>
          <w:rFonts w:ascii="ITC Avant Garde" w:hAnsi="ITC Avant Garde"/>
          <w:bCs/>
        </w:rPr>
        <w:t xml:space="preserve">Por su parte, el artículo 6 </w:t>
      </w:r>
      <w:r w:rsidRPr="00A55F65">
        <w:rPr>
          <w:rFonts w:ascii="ITC Avant Garde" w:hAnsi="ITC Avant Garde"/>
          <w:bCs/>
        </w:rPr>
        <w:t>fracciones I y XVIII del</w:t>
      </w:r>
      <w:r w:rsidRPr="00C64476">
        <w:rPr>
          <w:rFonts w:ascii="ITC Avant Garde" w:hAnsi="ITC Avant Garde"/>
          <w:bCs/>
        </w:rPr>
        <w:t xml:space="preserve"> Estatuto Orgánico, establece que corresponde al Pleno</w:t>
      </w:r>
      <w:r>
        <w:rPr>
          <w:rFonts w:ascii="ITC Avant Garde" w:hAnsi="ITC Avant Garde"/>
          <w:bCs/>
        </w:rPr>
        <w:t xml:space="preserve"> del Instituto, entre otras,</w:t>
      </w:r>
      <w:r w:rsidRPr="00C64476">
        <w:rPr>
          <w:rFonts w:ascii="ITC Avant Garde" w:hAnsi="ITC Avant Garde"/>
          <w:bCs/>
        </w:rPr>
        <w:t xml:space="preserve"> la atribución de regular, promover y supervisar el uso, aprovechamiento y explotación eficiente del espectro radioeléctrico, los recursos orbitales, </w:t>
      </w:r>
      <w:r w:rsidRPr="001176C0">
        <w:rPr>
          <w:rFonts w:ascii="ITC Avant Garde" w:hAnsi="ITC Avant Garde"/>
          <w:bCs/>
        </w:rPr>
        <w:t>los servicios satelitales, las redes de telecomunicaciones y la prestación de los servicios de radiodifusión y telecomunicaciones, así como interpretar, en su caso la Ley, y las disposiciones administrativas en materia de telecomunicaciones y radiodifusión, en el ámbito de sus atribuciones.</w:t>
      </w:r>
    </w:p>
    <w:p w14:paraId="111037C1" w14:textId="77777777" w:rsidR="00B7256C" w:rsidRPr="00111069" w:rsidRDefault="00B7256C" w:rsidP="00B7256C">
      <w:pPr>
        <w:autoSpaceDE w:val="0"/>
        <w:autoSpaceDN w:val="0"/>
        <w:adjustRightInd w:val="0"/>
        <w:spacing w:line="240" w:lineRule="auto"/>
        <w:jc w:val="both"/>
        <w:rPr>
          <w:rFonts w:ascii="ITC Avant Garde" w:hAnsi="ITC Avant Garde"/>
          <w:bCs/>
        </w:rPr>
      </w:pPr>
      <w:r w:rsidRPr="00111069">
        <w:rPr>
          <w:rFonts w:ascii="ITC Avant Garde" w:hAnsi="ITC Avant Garde"/>
          <w:bCs/>
        </w:rPr>
        <w:t>Asimismo, conforme a</w:t>
      </w:r>
      <w:r>
        <w:rPr>
          <w:rFonts w:ascii="ITC Avant Garde" w:hAnsi="ITC Avant Garde"/>
          <w:bCs/>
        </w:rPr>
        <w:t xml:space="preserve"> </w:t>
      </w:r>
      <w:r w:rsidRPr="00111069">
        <w:rPr>
          <w:rFonts w:ascii="ITC Avant Garde" w:hAnsi="ITC Avant Garde"/>
          <w:bCs/>
        </w:rPr>
        <w:t>l</w:t>
      </w:r>
      <w:r>
        <w:rPr>
          <w:rFonts w:ascii="ITC Avant Garde" w:hAnsi="ITC Avant Garde"/>
          <w:bCs/>
        </w:rPr>
        <w:t>os</w:t>
      </w:r>
      <w:r w:rsidRPr="00111069">
        <w:rPr>
          <w:rFonts w:ascii="ITC Avant Garde" w:hAnsi="ITC Avant Garde"/>
          <w:bCs/>
        </w:rPr>
        <w:t xml:space="preserve"> artículo</w:t>
      </w:r>
      <w:r>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14:paraId="18DDC9A3" w14:textId="7E3F72B1" w:rsidR="00B7256C" w:rsidRDefault="00B7256C" w:rsidP="001F3D65">
      <w:pPr>
        <w:autoSpaceDE w:val="0"/>
        <w:autoSpaceDN w:val="0"/>
        <w:adjustRightInd w:val="0"/>
        <w:spacing w:before="240" w:after="0" w:line="240" w:lineRule="auto"/>
        <w:jc w:val="both"/>
        <w:rPr>
          <w:rFonts w:ascii="ITC Avant Garde" w:hAnsi="ITC Avant Garde"/>
          <w:bCs/>
        </w:rPr>
      </w:pPr>
      <w:r w:rsidRPr="00DA1A99">
        <w:rPr>
          <w:rFonts w:ascii="ITC Avant Garde" w:hAnsi="ITC Avant Garde"/>
          <w:bCs/>
        </w:rPr>
        <w:t xml:space="preserve">En consecuencia, el Instituto está facultado para otorgar concesiones en materia de telecomunicaciones, así como resolver respecto de </w:t>
      </w:r>
      <w:r>
        <w:rPr>
          <w:rFonts w:ascii="ITC Avant Garde" w:hAnsi="ITC Avant Garde"/>
          <w:bCs/>
        </w:rPr>
        <w:t>las</w:t>
      </w:r>
      <w:r w:rsidRPr="00DA1A99">
        <w:rPr>
          <w:rFonts w:ascii="ITC Avant Garde" w:hAnsi="ITC Avant Garde"/>
          <w:bCs/>
        </w:rPr>
        <w:t xml:space="preserve"> prórrogas, modificaci</w:t>
      </w:r>
      <w:r>
        <w:rPr>
          <w:rFonts w:ascii="ITC Avant Garde" w:hAnsi="ITC Avant Garde"/>
          <w:bCs/>
        </w:rPr>
        <w:t>ones</w:t>
      </w:r>
      <w:r w:rsidRPr="00DA1A99">
        <w:rPr>
          <w:rFonts w:ascii="ITC Avant Garde" w:hAnsi="ITC Avant Garde"/>
          <w:bCs/>
        </w:rPr>
        <w:t xml:space="preserve">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14:paraId="0F8D302F" w14:textId="3FBA1F53" w:rsidR="00B7256C" w:rsidRDefault="002E6D9B" w:rsidP="001F3D65">
      <w:pPr>
        <w:autoSpaceDE w:val="0"/>
        <w:autoSpaceDN w:val="0"/>
        <w:adjustRightInd w:val="0"/>
        <w:spacing w:before="240" w:line="240" w:lineRule="auto"/>
        <w:jc w:val="both"/>
        <w:rPr>
          <w:rFonts w:ascii="ITC Avant Garde" w:hAnsi="ITC Avant Garde"/>
          <w:bCs/>
        </w:rPr>
      </w:pPr>
      <w:r>
        <w:rPr>
          <w:rFonts w:ascii="ITC Avant Garde" w:hAnsi="ITC Avant Garde"/>
          <w:b/>
          <w:bCs/>
        </w:rPr>
        <w:lastRenderedPageBreak/>
        <w:t>Segundo.</w:t>
      </w:r>
      <w:r w:rsidR="00EB35C9">
        <w:rPr>
          <w:rFonts w:ascii="ITC Avant Garde" w:hAnsi="ITC Avant Garde"/>
          <w:b/>
          <w:bCs/>
        </w:rPr>
        <w:t>-</w:t>
      </w:r>
      <w:r>
        <w:rPr>
          <w:rFonts w:ascii="ITC Avant Garde" w:hAnsi="ITC Avant Garde"/>
          <w:b/>
          <w:bCs/>
        </w:rPr>
        <w:t xml:space="preserve"> </w:t>
      </w:r>
      <w:r w:rsidR="00B7256C" w:rsidRPr="003E516F">
        <w:rPr>
          <w:rFonts w:ascii="ITC Avant Garde" w:hAnsi="ITC Avant Garde"/>
          <w:b/>
          <w:bCs/>
        </w:rPr>
        <w:t>Marco normativo general aplicable a prórrogas de vigencia de concesiones en materia de telecomunicaciones.</w:t>
      </w:r>
      <w:r w:rsidR="00B7256C" w:rsidRPr="003E516F">
        <w:rPr>
          <w:rFonts w:ascii="ITC Avant Garde" w:hAnsi="ITC Avant Garde"/>
          <w:bCs/>
        </w:rPr>
        <w:t xml:space="preserve"> </w:t>
      </w:r>
      <w:r w:rsidR="00B7256C" w:rsidRPr="009F1FA6">
        <w:rPr>
          <w:rFonts w:ascii="ITC Avant Garde" w:hAnsi="ITC Avant Garde"/>
          <w:bCs/>
        </w:rPr>
        <w:t xml:space="preserve">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w:t>
      </w:r>
    </w:p>
    <w:p w14:paraId="367E36DE" w14:textId="5506440D" w:rsidR="00B7256C" w:rsidRDefault="00B7256C" w:rsidP="00B7256C">
      <w:pPr>
        <w:autoSpaceDE w:val="0"/>
        <w:autoSpaceDN w:val="0"/>
        <w:adjustRightInd w:val="0"/>
        <w:spacing w:line="240" w:lineRule="auto"/>
        <w:jc w:val="both"/>
        <w:rPr>
          <w:rFonts w:ascii="ITC Avant Garde" w:hAnsi="ITC Avant Garde"/>
          <w:bCs/>
        </w:rPr>
      </w:pPr>
      <w:r w:rsidRPr="00183149">
        <w:rPr>
          <w:rFonts w:ascii="ITC Avant Garde" w:hAnsi="ITC Avant Garde"/>
          <w:bCs/>
        </w:rPr>
        <w:t>En ese sentido resulta conveniente señalar que la Concesión establece en su condición 1</w:t>
      </w:r>
      <w:r w:rsidR="000D3947">
        <w:rPr>
          <w:rFonts w:ascii="ITC Avant Garde" w:hAnsi="ITC Avant Garde"/>
          <w:bCs/>
        </w:rPr>
        <w:t xml:space="preserve"> 4</w:t>
      </w:r>
      <w:r w:rsidRPr="00183149">
        <w:rPr>
          <w:rFonts w:ascii="ITC Avant Garde" w:hAnsi="ITC Avant Garde"/>
          <w:bCs/>
        </w:rPr>
        <w:t xml:space="preserve"> que la vigencia de la misma será de </w:t>
      </w:r>
      <w:r w:rsidR="000D3947">
        <w:rPr>
          <w:rFonts w:ascii="ITC Avant Garde" w:hAnsi="ITC Avant Garde"/>
          <w:bCs/>
        </w:rPr>
        <w:t>20</w:t>
      </w:r>
      <w:r w:rsidRPr="00183149">
        <w:rPr>
          <w:rFonts w:ascii="ITC Avant Garde" w:hAnsi="ITC Avant Garde"/>
          <w:bCs/>
        </w:rPr>
        <w:t xml:space="preserve"> (</w:t>
      </w:r>
      <w:r w:rsidR="000D3947">
        <w:rPr>
          <w:rFonts w:ascii="ITC Avant Garde" w:hAnsi="ITC Avant Garde"/>
          <w:bCs/>
        </w:rPr>
        <w:t>veinte</w:t>
      </w:r>
      <w:r w:rsidRPr="00183149">
        <w:rPr>
          <w:rFonts w:ascii="ITC Avant Garde" w:hAnsi="ITC Avant Garde"/>
          <w:bCs/>
        </w:rPr>
        <w:t xml:space="preserve">) años contados a partir de su otorgamiento y podrá ser prorrogada de acuerdo con </w:t>
      </w:r>
      <w:r w:rsidR="000D3947">
        <w:rPr>
          <w:rFonts w:ascii="ITC Avant Garde" w:hAnsi="ITC Avant Garde"/>
          <w:bCs/>
        </w:rPr>
        <w:t>lo señalado por los</w:t>
      </w:r>
      <w:r w:rsidRPr="00183149">
        <w:rPr>
          <w:rFonts w:ascii="ITC Avant Garde" w:hAnsi="ITC Avant Garde"/>
          <w:bCs/>
        </w:rPr>
        <w:t xml:space="preserve"> artículo</w:t>
      </w:r>
      <w:r w:rsidR="000D3947">
        <w:rPr>
          <w:rFonts w:ascii="ITC Avant Garde" w:hAnsi="ITC Avant Garde"/>
          <w:bCs/>
        </w:rPr>
        <w:t>s</w:t>
      </w:r>
      <w:r w:rsidRPr="00183149">
        <w:rPr>
          <w:rFonts w:ascii="ITC Avant Garde" w:hAnsi="ITC Avant Garde"/>
          <w:bCs/>
        </w:rPr>
        <w:t xml:space="preserve"> 27 de la abrogada Ley Federal de Telecomunicaciones (la “LFT”)</w:t>
      </w:r>
      <w:r w:rsidR="000D3947">
        <w:rPr>
          <w:rFonts w:ascii="ITC Avant Garde" w:hAnsi="ITC Avant Garde"/>
          <w:bCs/>
        </w:rPr>
        <w:t xml:space="preserve"> y 12 del Reglamento de Comunicación Vía Satélite</w:t>
      </w:r>
      <w:r w:rsidR="001176C0">
        <w:rPr>
          <w:rFonts w:ascii="ITC Avant Garde" w:hAnsi="ITC Avant Garde"/>
          <w:bCs/>
        </w:rPr>
        <w:t>,</w:t>
      </w:r>
      <w:r w:rsidR="000D3947">
        <w:rPr>
          <w:rFonts w:ascii="ITC Avant Garde" w:hAnsi="ITC Avant Garde"/>
          <w:bCs/>
        </w:rPr>
        <w:t xml:space="preserve"> publicado en el Diario Oficial de la Federación el 1 de agosto de 1997</w:t>
      </w:r>
      <w:r w:rsidR="00337672">
        <w:rPr>
          <w:rFonts w:ascii="ITC Avant Garde" w:hAnsi="ITC Avant Garde"/>
          <w:bCs/>
        </w:rPr>
        <w:t xml:space="preserve">. </w:t>
      </w:r>
      <w:r w:rsidRPr="00311C26">
        <w:rPr>
          <w:rFonts w:ascii="ITC Avant Garde" w:hAnsi="ITC Avant Garde"/>
          <w:bCs/>
        </w:rPr>
        <w:t>Por su parte, el úl</w:t>
      </w:r>
      <w:r>
        <w:rPr>
          <w:rFonts w:ascii="ITC Avant Garde" w:hAnsi="ITC Avant Garde"/>
          <w:bCs/>
        </w:rPr>
        <w:t>timo párrafo de la condición 1</w:t>
      </w:r>
      <w:r w:rsidR="000D3947">
        <w:rPr>
          <w:rFonts w:ascii="ITC Avant Garde" w:hAnsi="ITC Avant Garde"/>
          <w:bCs/>
        </w:rPr>
        <w:t xml:space="preserve"> </w:t>
      </w:r>
      <w:r w:rsidR="00337672">
        <w:rPr>
          <w:rFonts w:ascii="ITC Avant Garde" w:hAnsi="ITC Avant Garde"/>
          <w:bCs/>
        </w:rPr>
        <w:t>5</w:t>
      </w:r>
      <w:r w:rsidRPr="00311C26">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 partir de su entrada en vigor.</w:t>
      </w:r>
    </w:p>
    <w:p w14:paraId="230BBA8B" w14:textId="63D46DB1" w:rsidR="00B7256C" w:rsidRDefault="00B7256C" w:rsidP="00B7256C">
      <w:pPr>
        <w:autoSpaceDE w:val="0"/>
        <w:autoSpaceDN w:val="0"/>
        <w:adjustRightInd w:val="0"/>
        <w:spacing w:line="240" w:lineRule="auto"/>
        <w:jc w:val="both"/>
        <w:rPr>
          <w:rFonts w:ascii="ITC Avant Garde" w:hAnsi="ITC Avant Garde"/>
          <w:bCs/>
        </w:rPr>
      </w:pPr>
      <w:r w:rsidRPr="00311C26">
        <w:rPr>
          <w:rFonts w:ascii="ITC Avant Garde" w:hAnsi="ITC Avant Garde"/>
          <w:bCs/>
        </w:rPr>
        <w:t>Considerando que para el caso en particular la L</w:t>
      </w:r>
      <w:r>
        <w:rPr>
          <w:rFonts w:ascii="ITC Avant Garde" w:hAnsi="ITC Avant Garde"/>
          <w:bCs/>
        </w:rPr>
        <w:t>FT</w:t>
      </w:r>
      <w:r w:rsidRPr="00311C26">
        <w:rPr>
          <w:rFonts w:ascii="ITC Avant Garde" w:hAnsi="ITC Avant Garde"/>
          <w:bCs/>
        </w:rPr>
        <w:t xml:space="preserve"> resulta inaplicable</w:t>
      </w:r>
      <w:r w:rsidR="00A66BCD">
        <w:rPr>
          <w:rFonts w:ascii="ITC Avant Garde" w:hAnsi="ITC Avant Garde"/>
          <w:bCs/>
        </w:rPr>
        <w:t>,</w:t>
      </w:r>
      <w:r w:rsidRPr="00311C26">
        <w:rPr>
          <w:rFonts w:ascii="ITC Avant Garde" w:hAnsi="ITC Avant Garde"/>
          <w:bCs/>
        </w:rPr>
        <w:t xml:space="preserve"> </w:t>
      </w:r>
      <w:r w:rsidR="00F94F6F">
        <w:rPr>
          <w:rFonts w:ascii="ITC Avant Garde" w:hAnsi="ITC Avant Garde"/>
          <w:bCs/>
        </w:rPr>
        <w:t xml:space="preserve">pues la solicitud de prórroga fue interpuesta por el solicitante el 1 de septiembre de 2015, fecha en la cual se encontraba ya en vigor la LFTR, por lo que </w:t>
      </w:r>
      <w:r w:rsidRPr="00311C26">
        <w:rPr>
          <w:rFonts w:ascii="ITC Avant Garde" w:hAnsi="ITC Avant Garde"/>
          <w:bCs/>
        </w:rPr>
        <w:t xml:space="preserve">a efecto de brindar plena certeza jurídica a los particulares con respecto </w:t>
      </w:r>
      <w:r w:rsidR="00F94F6F">
        <w:rPr>
          <w:rFonts w:ascii="ITC Avant Garde" w:hAnsi="ITC Avant Garde"/>
          <w:bCs/>
        </w:rPr>
        <w:t>al</w:t>
      </w:r>
      <w:r w:rsidRPr="00311C26">
        <w:rPr>
          <w:rFonts w:ascii="ITC Avant Garde" w:hAnsi="ITC Avant Garde"/>
          <w:bCs/>
        </w:rPr>
        <w:t xml:space="preserve"> trámite de prórroga que nos ocupa, la solicitud de mérito debe analizarse con base en lo establecido por el artículo 113 de la Ley, mismo que dispone lo siguiente:</w:t>
      </w:r>
    </w:p>
    <w:p w14:paraId="14001C73" w14:textId="77777777" w:rsidR="00B7256C" w:rsidRPr="00F45A3D" w:rsidRDefault="00B7256C" w:rsidP="00B7256C">
      <w:pPr>
        <w:autoSpaceDE w:val="0"/>
        <w:autoSpaceDN w:val="0"/>
        <w:adjustRightInd w:val="0"/>
        <w:spacing w:line="240" w:lineRule="auto"/>
        <w:ind w:left="1418" w:right="615"/>
        <w:jc w:val="both"/>
        <w:rPr>
          <w:rFonts w:ascii="ITC Avant Garde" w:hAnsi="ITC Avant Garde"/>
          <w:bCs/>
          <w:i/>
          <w:sz w:val="18"/>
          <w:szCs w:val="18"/>
        </w:rPr>
      </w:pPr>
      <w:r w:rsidRPr="00F45A3D">
        <w:rPr>
          <w:rFonts w:ascii="ITC Avant Garde" w:hAnsi="ITC Avant Garde"/>
          <w:bCs/>
          <w:i/>
          <w:sz w:val="18"/>
          <w:szCs w:val="18"/>
        </w:rPr>
        <w:t>“Artículo 113. La concesión única podrá prorrogarse por el Instituto, siempre 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ciento ochenta días hábiles siguientes a la presentación de la solicitud.</w:t>
      </w:r>
    </w:p>
    <w:p w14:paraId="635012DC" w14:textId="77777777" w:rsidR="00B7256C" w:rsidRPr="00F45A3D" w:rsidRDefault="00B7256C" w:rsidP="00B7256C">
      <w:pPr>
        <w:autoSpaceDE w:val="0"/>
        <w:autoSpaceDN w:val="0"/>
        <w:adjustRightInd w:val="0"/>
        <w:spacing w:line="240" w:lineRule="auto"/>
        <w:ind w:left="1418" w:right="615"/>
        <w:jc w:val="both"/>
        <w:rPr>
          <w:rFonts w:ascii="ITC Avant Garde" w:hAnsi="ITC Avant Garde"/>
          <w:bCs/>
          <w:i/>
          <w:sz w:val="18"/>
          <w:szCs w:val="18"/>
        </w:rPr>
      </w:pPr>
      <w:r w:rsidRPr="00F45A3D">
        <w:rPr>
          <w:rFonts w:ascii="ITC Avant Garde" w:hAnsi="ITC Avant Garde"/>
          <w:bCs/>
          <w:i/>
          <w:sz w:val="18"/>
          <w:szCs w:val="18"/>
        </w:rPr>
        <w:t>En caso de que el Instituto no resuelva en el plazo señalado en el párrafo anterior, se entenderá prorrogada la concesión única.”</w:t>
      </w:r>
    </w:p>
    <w:p w14:paraId="11F06CC6" w14:textId="77777777" w:rsidR="00B7256C" w:rsidRDefault="00B7256C" w:rsidP="00B7256C">
      <w:pPr>
        <w:autoSpaceDE w:val="0"/>
        <w:autoSpaceDN w:val="0"/>
        <w:adjustRightInd w:val="0"/>
        <w:spacing w:line="240" w:lineRule="auto"/>
        <w:jc w:val="both"/>
        <w:rPr>
          <w:rFonts w:ascii="ITC Avant Garde" w:hAnsi="ITC Avant Garde"/>
          <w:bCs/>
        </w:rPr>
      </w:pPr>
      <w:r w:rsidRPr="00311C26">
        <w:rPr>
          <w:rFonts w:ascii="ITC Avant Garde" w:hAnsi="ITC Avant Garde"/>
          <w:bCs/>
        </w:rPr>
        <w:t>Si bien es cierto que el citado artículo únicamente señala a las concesiones únicas como susceptibles de prórroga de su vigencia, esto no debe entenderse en el sentido de que las concesiones de redes de públicas de telecomunicaciones escapan del alcance del supuesto normativo contenido en dicho precepto legal. Considerar que el marco jurídico actual no contempla a los concesionarios de redes públicas de telecomunicaciones, conllevaría a la interpretación de que los mismos no se encuentran regulados por el actual marco normativo.</w:t>
      </w:r>
    </w:p>
    <w:p w14:paraId="4F899C27" w14:textId="77777777" w:rsidR="00B7256C" w:rsidRDefault="00B7256C" w:rsidP="00B7256C">
      <w:pPr>
        <w:autoSpaceDE w:val="0"/>
        <w:autoSpaceDN w:val="0"/>
        <w:adjustRightInd w:val="0"/>
        <w:spacing w:line="240" w:lineRule="auto"/>
        <w:jc w:val="both"/>
        <w:rPr>
          <w:rFonts w:ascii="ITC Avant Garde" w:hAnsi="ITC Avant Garde"/>
          <w:bCs/>
        </w:rPr>
      </w:pPr>
      <w:r w:rsidRPr="00311C26">
        <w:rPr>
          <w:rFonts w:ascii="ITC Avant Garde" w:hAnsi="ITC Avant Garde"/>
          <w:bCs/>
        </w:rPr>
        <w:t xml:space="preserve">En efecto, la abrogada </w:t>
      </w:r>
      <w:r>
        <w:rPr>
          <w:rFonts w:ascii="ITC Avant Garde" w:hAnsi="ITC Avant Garde"/>
          <w:bCs/>
        </w:rPr>
        <w:t>LFT</w:t>
      </w:r>
      <w:r w:rsidRPr="00311C26">
        <w:rPr>
          <w:rFonts w:ascii="ITC Avant Garde" w:hAnsi="ITC Avant Garde"/>
          <w:bCs/>
        </w:rPr>
        <w:t xml:space="preserve"> en su artículo 3 fracción X, establecía que las redes públicas de telecomunicaciones eran aquellas a través de las cuales se explotaban comercialmente servicios de telecomunicaciones, en tanto que el artículo 3 fracción LVIII de la Ley define a la red pública de telecomunicaciones como aquella a través de la </w:t>
      </w:r>
      <w:r w:rsidRPr="00311C26">
        <w:rPr>
          <w:rFonts w:ascii="ITC Avant Garde" w:hAnsi="ITC Avant Garde"/>
          <w:bCs/>
        </w:rPr>
        <w:lastRenderedPageBreak/>
        <w:t xml:space="preserve">cual se explotan comercialmente servicios de telecomunicaciones, definición que es exactamente idéntica a la establecida por la </w:t>
      </w:r>
      <w:r>
        <w:rPr>
          <w:rFonts w:ascii="ITC Avant Garde" w:hAnsi="ITC Avant Garde"/>
          <w:bCs/>
        </w:rPr>
        <w:t>LFT</w:t>
      </w:r>
      <w:r w:rsidRPr="00311C26">
        <w:rPr>
          <w:rFonts w:ascii="ITC Avant Garde" w:hAnsi="ITC Avant Garde"/>
          <w:bCs/>
        </w:rPr>
        <w:t xml:space="preserve">. </w:t>
      </w:r>
    </w:p>
    <w:p w14:paraId="6D387528" w14:textId="77777777" w:rsidR="00B7256C" w:rsidRDefault="00B7256C" w:rsidP="00B7256C">
      <w:pPr>
        <w:autoSpaceDE w:val="0"/>
        <w:autoSpaceDN w:val="0"/>
        <w:adjustRightInd w:val="0"/>
        <w:spacing w:line="240" w:lineRule="auto"/>
        <w:jc w:val="both"/>
        <w:rPr>
          <w:rFonts w:ascii="ITC Avant Garde" w:hAnsi="ITC Avant Garde"/>
          <w:bCs/>
        </w:rPr>
      </w:pPr>
      <w:r w:rsidRPr="00E62368">
        <w:rPr>
          <w:rFonts w:ascii="ITC Avant Garde" w:hAnsi="ITC Avant Garde"/>
          <w:bCs/>
        </w:rPr>
        <w:t>Asimismo, cabe señalar, que los servicios de telecomunicaciones que se prestan al amparo de la Concesión, son servicios públicos de interés general en virtud de lo señalado en el artículo 6o. Apartado B fracción II de la Constitución, por lo que el Estado debe garantizar que los mismos sean prestados, entre otras, en condiciones de competencia y continuidad.</w:t>
      </w:r>
    </w:p>
    <w:p w14:paraId="29F37C70" w14:textId="77777777" w:rsidR="00B7256C" w:rsidRDefault="00B7256C" w:rsidP="00B7256C">
      <w:pPr>
        <w:autoSpaceDE w:val="0"/>
        <w:autoSpaceDN w:val="0"/>
        <w:adjustRightInd w:val="0"/>
        <w:spacing w:line="240" w:lineRule="auto"/>
        <w:jc w:val="both"/>
        <w:rPr>
          <w:rFonts w:ascii="ITC Avant Garde" w:hAnsi="ITC Avant Garde"/>
          <w:bCs/>
        </w:rPr>
      </w:pPr>
      <w:r w:rsidRPr="00D043B2">
        <w:rPr>
          <w:rFonts w:ascii="ITC Avant Garde" w:hAnsi="ITC Avant Garde"/>
          <w:bCs/>
        </w:rPr>
        <w:t xml:space="preserve">En ese sentido, la Ley, al definir a la concesión única, señala que es el acto administrativo mediante el cual el Instituto confiere el derecho para prestar de manera convergente todo tipo de servicios públicos de telecomunicaciones o radiodifusión. </w:t>
      </w:r>
    </w:p>
    <w:p w14:paraId="7CF9A6BB" w14:textId="77777777" w:rsidR="00B7256C" w:rsidRDefault="00B7256C" w:rsidP="00B7256C">
      <w:pPr>
        <w:autoSpaceDE w:val="0"/>
        <w:autoSpaceDN w:val="0"/>
        <w:adjustRightInd w:val="0"/>
        <w:spacing w:line="240" w:lineRule="auto"/>
        <w:jc w:val="both"/>
        <w:rPr>
          <w:rFonts w:ascii="ITC Avant Garde" w:hAnsi="ITC Avant Garde"/>
          <w:bCs/>
        </w:rPr>
      </w:pPr>
      <w:r w:rsidRPr="00D043B2">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14:paraId="107E502B" w14:textId="77777777" w:rsidR="00B7256C" w:rsidRPr="00E57237" w:rsidRDefault="00B7256C" w:rsidP="00B7256C">
      <w:pPr>
        <w:autoSpaceDE w:val="0"/>
        <w:autoSpaceDN w:val="0"/>
        <w:adjustRightInd w:val="0"/>
        <w:spacing w:line="240" w:lineRule="auto"/>
        <w:jc w:val="both"/>
        <w:rPr>
          <w:rFonts w:ascii="ITC Avant Garde" w:hAnsi="ITC Avant Garde"/>
          <w:bCs/>
        </w:rPr>
      </w:pPr>
      <w:r w:rsidRPr="00D043B2">
        <w:rPr>
          <w:rFonts w:ascii="ITC Avant Garde" w:hAnsi="ITC Avant Garde"/>
          <w:bCs/>
        </w:rPr>
        <w:t>Es por ello, que de resolverse de manera favorable la Solicitud de Prórroga, debe observarse el actual régimen de concesionamiento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telecomunicaciones y de radiodifusión con fines de lucro utilizando una red pública de telecomunicaciones, como es el caso que nos ocupa.</w:t>
      </w:r>
    </w:p>
    <w:p w14:paraId="58D63B64" w14:textId="77777777" w:rsidR="00B7256C" w:rsidRDefault="00B7256C" w:rsidP="00B7256C">
      <w:pPr>
        <w:autoSpaceDE w:val="0"/>
        <w:autoSpaceDN w:val="0"/>
        <w:adjustRightInd w:val="0"/>
        <w:spacing w:line="240" w:lineRule="auto"/>
        <w:jc w:val="both"/>
        <w:rPr>
          <w:rFonts w:ascii="ITC Avant Garde" w:hAnsi="ITC Avant Garde"/>
          <w:bCs/>
        </w:rPr>
      </w:pPr>
      <w:r w:rsidRPr="00E62368">
        <w:rPr>
          <w:rFonts w:ascii="ITC Avant Garde" w:hAnsi="ITC Avant Garde"/>
          <w:bCs/>
        </w:rPr>
        <w:t>Derivado de lo anterior, se concluye que las concesiones de redes públicas de telecomunicaciones son susceptibles de ser prorrogadas, siempre que se actualicen las hipótesis normativas previstas en el artículo 113 de la Ley.</w:t>
      </w:r>
    </w:p>
    <w:p w14:paraId="2DB146E4" w14:textId="77777777" w:rsidR="00B7256C" w:rsidRPr="006F76D6" w:rsidRDefault="00B7256C" w:rsidP="00B7256C">
      <w:pPr>
        <w:autoSpaceDE w:val="0"/>
        <w:autoSpaceDN w:val="0"/>
        <w:adjustRightInd w:val="0"/>
        <w:spacing w:line="240" w:lineRule="auto"/>
        <w:jc w:val="both"/>
        <w:rPr>
          <w:rFonts w:ascii="ITC Avant Garde" w:hAnsi="ITC Avant Garde"/>
          <w:bCs/>
        </w:rPr>
      </w:pPr>
      <w:r w:rsidRPr="00434D84">
        <w:rPr>
          <w:rFonts w:ascii="ITC Avant Garde" w:hAnsi="ITC Avant Garde"/>
          <w:bCs/>
        </w:rPr>
        <w:t>En suma, el citado artículo 113 de la Ley prevé que para el otorgamiento de prórrogas de concesiones en materia de telecomunicaciones es necesario que el concesionario: (i) lo hubiere solicitado dentro del año previo al inicio de la última quinta parte del plazo de vigencia de la concesión; (ii) se encuentre al corriente en el cumplimiento de las obligaciones establecidas en la Ley y demás disposiciones aplicables; así como en su título de concesión, y (iii) acepte previamente las nuevas condiciones que, en su caso, se establezcan.</w:t>
      </w:r>
    </w:p>
    <w:p w14:paraId="04F97153" w14:textId="09511A1E" w:rsidR="00B7256C" w:rsidRDefault="00B7256C" w:rsidP="00B7256C">
      <w:pPr>
        <w:autoSpaceDE w:val="0"/>
        <w:autoSpaceDN w:val="0"/>
        <w:adjustRightInd w:val="0"/>
        <w:spacing w:line="240" w:lineRule="auto"/>
        <w:jc w:val="both"/>
        <w:rPr>
          <w:rFonts w:ascii="ITC Avant Garde" w:hAnsi="ITC Avant Garde"/>
          <w:bCs/>
        </w:rPr>
      </w:pPr>
      <w:r>
        <w:rPr>
          <w:rFonts w:ascii="ITC Avant Garde" w:hAnsi="ITC Avant Garde"/>
          <w:bCs/>
        </w:rPr>
        <w:t>Finalmente</w:t>
      </w:r>
      <w:r w:rsidRPr="00E57237">
        <w:rPr>
          <w:rFonts w:ascii="ITC Avant Garde" w:hAnsi="ITC Avant Garde"/>
          <w:bCs/>
        </w:rPr>
        <w:t>, cabe destacar que pa</w:t>
      </w:r>
      <w:r w:rsidR="00362811">
        <w:rPr>
          <w:rFonts w:ascii="ITC Avant Garde" w:hAnsi="ITC Avant Garde"/>
          <w:bCs/>
        </w:rPr>
        <w:t>ra este tipo de solicitudes debía</w:t>
      </w:r>
      <w:r w:rsidRPr="00E57237">
        <w:rPr>
          <w:rFonts w:ascii="ITC Avant Garde" w:hAnsi="ITC Avant Garde"/>
          <w:bCs/>
        </w:rPr>
        <w:t xml:space="preserve"> acatarse el requisito de procedencia establec</w:t>
      </w:r>
      <w:r>
        <w:rPr>
          <w:rFonts w:ascii="ITC Avant Garde" w:hAnsi="ITC Avant Garde"/>
          <w:bCs/>
        </w:rPr>
        <w:t xml:space="preserve">ido en el artículo </w:t>
      </w:r>
      <w:r w:rsidRPr="00364F61">
        <w:rPr>
          <w:rFonts w:ascii="ITC Avant Garde" w:hAnsi="ITC Avant Garde"/>
          <w:bCs/>
        </w:rPr>
        <w:t xml:space="preserve">94 fracción III de la Ley Federal de Derechos, </w:t>
      </w:r>
      <w:r w:rsidR="00FA2734" w:rsidRPr="00364F61">
        <w:rPr>
          <w:rFonts w:ascii="ITC Avant Garde" w:hAnsi="ITC Avant Garde"/>
          <w:bCs/>
        </w:rPr>
        <w:t>vigente al momento de la fe</w:t>
      </w:r>
      <w:r w:rsidR="00312DED" w:rsidRPr="00364F61">
        <w:rPr>
          <w:rFonts w:ascii="ITC Avant Garde" w:hAnsi="ITC Avant Garde"/>
          <w:bCs/>
        </w:rPr>
        <w:t xml:space="preserve">cha </w:t>
      </w:r>
      <w:r w:rsidR="00FA2734" w:rsidRPr="00364F61">
        <w:rPr>
          <w:rFonts w:ascii="ITC Avant Garde" w:hAnsi="ITC Avant Garde"/>
          <w:bCs/>
        </w:rPr>
        <w:t>de</w:t>
      </w:r>
      <w:r w:rsidR="00312DED" w:rsidRPr="00364F61">
        <w:rPr>
          <w:rFonts w:ascii="ITC Avant Garde" w:hAnsi="ITC Avant Garde"/>
          <w:bCs/>
        </w:rPr>
        <w:t xml:space="preserve"> presentación de la Solicitud de Prórroga, el cual </w:t>
      </w:r>
      <w:r w:rsidRPr="00364F61">
        <w:rPr>
          <w:rFonts w:ascii="ITC Avant Garde" w:hAnsi="ITC Avant Garde"/>
          <w:bCs/>
        </w:rPr>
        <w:t>establec</w:t>
      </w:r>
      <w:r w:rsidR="00362811" w:rsidRPr="00364F61">
        <w:rPr>
          <w:rFonts w:ascii="ITC Avant Garde" w:hAnsi="ITC Avant Garde"/>
          <w:bCs/>
        </w:rPr>
        <w:t>ía</w:t>
      </w:r>
      <w:r w:rsidRPr="00364F61">
        <w:rPr>
          <w:rFonts w:ascii="ITC Avant Garde" w:hAnsi="ITC Avant Garde"/>
          <w:bCs/>
        </w:rPr>
        <w:t xml:space="preserve"> la obligación a cargo del solicitante de </w:t>
      </w:r>
      <w:r w:rsidRPr="00E57237">
        <w:rPr>
          <w:rFonts w:ascii="ITC Avant Garde" w:hAnsi="ITC Avant Garde"/>
          <w:bCs/>
        </w:rPr>
        <w:t xml:space="preserve">la prórroga de vigencia de la concesión en materia de telecomunicaciones, de pagar los derechos por el trámite relativo al estudio de la </w:t>
      </w:r>
      <w:r>
        <w:rPr>
          <w:rFonts w:ascii="ITC Avant Garde" w:hAnsi="ITC Avant Garde"/>
          <w:bCs/>
        </w:rPr>
        <w:t>solicitud de prórroga.</w:t>
      </w:r>
    </w:p>
    <w:p w14:paraId="3C62A30E" w14:textId="2F161C11" w:rsidR="006B55C3" w:rsidRPr="006442ED" w:rsidRDefault="00B7256C" w:rsidP="006B55C3">
      <w:pPr>
        <w:autoSpaceDE w:val="0"/>
        <w:autoSpaceDN w:val="0"/>
        <w:adjustRightInd w:val="0"/>
        <w:spacing w:line="240" w:lineRule="auto"/>
        <w:jc w:val="both"/>
        <w:rPr>
          <w:rFonts w:ascii="ITC Avant Garde" w:hAnsi="ITC Avant Garde"/>
        </w:rPr>
      </w:pPr>
      <w:r w:rsidRPr="001A104F">
        <w:rPr>
          <w:rFonts w:ascii="ITC Avant Garde" w:hAnsi="ITC Avant Garde"/>
          <w:bCs/>
        </w:rPr>
        <w:t xml:space="preserve">En seguimiento a lo anterior, y tomando en cuenta que el análisis que debe realizar el Instituto respecto de la Solicitud de Prórroga debe llevarse a cabo en estricto apego a </w:t>
      </w:r>
      <w:r w:rsidRPr="001A104F">
        <w:rPr>
          <w:rFonts w:ascii="ITC Avant Garde" w:hAnsi="ITC Avant Garde"/>
          <w:bCs/>
        </w:rPr>
        <w:lastRenderedPageBreak/>
        <w:t xml:space="preserve">los términos y requisitos previstos en la </w:t>
      </w:r>
      <w:r>
        <w:rPr>
          <w:rFonts w:ascii="ITC Avant Garde" w:hAnsi="ITC Avant Garde"/>
          <w:bCs/>
        </w:rPr>
        <w:t>Ley</w:t>
      </w:r>
      <w:r w:rsidRPr="001A104F">
        <w:rPr>
          <w:rFonts w:ascii="ITC Avant Garde" w:hAnsi="ITC Avant Garde"/>
          <w:bCs/>
        </w:rPr>
        <w:t>, así como lo establecido en los propios títulos de concesión,</w:t>
      </w:r>
      <w:r>
        <w:rPr>
          <w:rFonts w:ascii="ITC Avant Garde" w:hAnsi="ITC Avant Garde"/>
          <w:bCs/>
        </w:rPr>
        <w:t xml:space="preserve"> </w:t>
      </w:r>
      <w:r w:rsidRPr="001A104F">
        <w:rPr>
          <w:rFonts w:ascii="ITC Avant Garde" w:hAnsi="ITC Avant Garde"/>
          <w:bCs/>
        </w:rPr>
        <w:t>al resolver en definitiva dicho trámite</w:t>
      </w:r>
      <w:r>
        <w:rPr>
          <w:rFonts w:ascii="ITC Avant Garde" w:hAnsi="ITC Avant Garde"/>
          <w:bCs/>
        </w:rPr>
        <w:t xml:space="preserve">, y de considerar procedente la prórroga, </w:t>
      </w:r>
      <w:r w:rsidRPr="001A104F">
        <w:rPr>
          <w:rFonts w:ascii="ITC Avant Garde" w:hAnsi="ITC Avant Garde"/>
          <w:bCs/>
        </w:rPr>
        <w:t xml:space="preserve">deberá otorgarse una </w:t>
      </w:r>
      <w:r w:rsidRPr="00111069">
        <w:rPr>
          <w:rFonts w:ascii="ITC Avant Garde" w:hAnsi="ITC Avant Garde"/>
          <w:bCs/>
        </w:rPr>
        <w:t>concesión única para uso comercial</w:t>
      </w:r>
      <w:r>
        <w:rPr>
          <w:rFonts w:ascii="ITC Avant Garde" w:hAnsi="ITC Avant Garde"/>
          <w:bCs/>
        </w:rPr>
        <w:t>, en apego a lo dispuesto por el nuevo régimen de concesionamiento previsto en la Ley.</w:t>
      </w:r>
    </w:p>
    <w:p w14:paraId="5AD066E3" w14:textId="7BCA9472" w:rsidR="00B7256C" w:rsidRPr="005B6096" w:rsidRDefault="002E6D9B" w:rsidP="00B7256C">
      <w:pPr>
        <w:autoSpaceDE w:val="0"/>
        <w:autoSpaceDN w:val="0"/>
        <w:adjustRightInd w:val="0"/>
        <w:spacing w:after="0" w:line="240" w:lineRule="auto"/>
        <w:jc w:val="both"/>
        <w:rPr>
          <w:rFonts w:ascii="ITC Avant Garde" w:hAnsi="ITC Avant Garde"/>
          <w:bCs/>
        </w:rPr>
      </w:pPr>
      <w:r>
        <w:rPr>
          <w:rFonts w:ascii="ITC Avant Garde" w:hAnsi="ITC Avant Garde"/>
          <w:b/>
          <w:bCs/>
        </w:rPr>
        <w:t>Tercero.</w:t>
      </w:r>
      <w:r w:rsidR="00EB35C9">
        <w:rPr>
          <w:rFonts w:ascii="ITC Avant Garde" w:hAnsi="ITC Avant Garde"/>
          <w:b/>
          <w:bCs/>
        </w:rPr>
        <w:t>-</w:t>
      </w:r>
      <w:r>
        <w:rPr>
          <w:rFonts w:ascii="ITC Avant Garde" w:hAnsi="ITC Avant Garde"/>
          <w:b/>
          <w:bCs/>
        </w:rPr>
        <w:t xml:space="preserve"> </w:t>
      </w:r>
      <w:r w:rsidR="00B7256C" w:rsidRPr="003E516F">
        <w:rPr>
          <w:rFonts w:ascii="ITC Avant Garde" w:hAnsi="ITC Avant Garde"/>
          <w:b/>
          <w:bCs/>
        </w:rPr>
        <w:t>Análisis de la Solicitud de Prórroga.</w:t>
      </w:r>
      <w:r w:rsidR="00B7256C" w:rsidRPr="003E516F">
        <w:rPr>
          <w:rFonts w:ascii="ITC Avant Garde" w:hAnsi="ITC Avant Garde"/>
          <w:bCs/>
        </w:rPr>
        <w:t xml:space="preserve"> </w:t>
      </w:r>
      <w:r w:rsidR="00B7256C" w:rsidRPr="00434D84">
        <w:rPr>
          <w:rFonts w:ascii="ITC Avant Garde" w:hAnsi="ITC Avant Garde"/>
          <w:bCs/>
        </w:rPr>
        <w:t>Por lo que hace al primer requisito señalado en el artículo 113 de la Ley, relativo a que</w:t>
      </w:r>
      <w:r w:rsidR="002375B1">
        <w:rPr>
          <w:rFonts w:ascii="ITC Avant Garde" w:hAnsi="ITC Avant Garde"/>
          <w:bCs/>
        </w:rPr>
        <w:t xml:space="preserve"> Globalstar de México, S. de R.L. de C.V.</w:t>
      </w:r>
      <w:r w:rsidR="00734382">
        <w:rPr>
          <w:rFonts w:ascii="ITC Avant Garde" w:hAnsi="ITC Avant Garde"/>
          <w:bCs/>
        </w:rPr>
        <w:t>,</w:t>
      </w:r>
      <w:r w:rsidR="00B7256C">
        <w:rPr>
          <w:rFonts w:ascii="ITC Avant Garde" w:hAnsi="ITC Avant Garde"/>
          <w:bCs/>
        </w:rPr>
        <w:t xml:space="preserve"> </w:t>
      </w:r>
      <w:r w:rsidR="00B7256C" w:rsidRPr="00434D84">
        <w:rPr>
          <w:rFonts w:ascii="ITC Avant Garde" w:hAnsi="ITC Avant Garde"/>
          <w:bCs/>
        </w:rPr>
        <w:t xml:space="preserve">hubiere solicitado la prórroga dentro del año previo al inicio de la última quinta parte del plazo de vigencia de la Concesión, este Instituto considera que el mismo se encuentra cumplido, en virtud de que la Concesión fue otorgada el </w:t>
      </w:r>
      <w:r w:rsidR="00734382">
        <w:rPr>
          <w:rFonts w:ascii="ITC Avant Garde" w:hAnsi="ITC Avant Garde"/>
          <w:bCs/>
        </w:rPr>
        <w:t>17</w:t>
      </w:r>
      <w:r w:rsidR="00B7256C" w:rsidRPr="00434D84">
        <w:rPr>
          <w:rFonts w:ascii="ITC Avant Garde" w:hAnsi="ITC Avant Garde"/>
          <w:bCs/>
        </w:rPr>
        <w:t xml:space="preserve"> de </w:t>
      </w:r>
      <w:r w:rsidR="00734382">
        <w:rPr>
          <w:rFonts w:ascii="ITC Avant Garde" w:hAnsi="ITC Avant Garde"/>
          <w:bCs/>
        </w:rPr>
        <w:t>noviembre</w:t>
      </w:r>
      <w:r w:rsidR="00B7256C" w:rsidRPr="00434D84">
        <w:rPr>
          <w:rFonts w:ascii="ITC Avant Garde" w:hAnsi="ITC Avant Garde"/>
          <w:bCs/>
        </w:rPr>
        <w:t xml:space="preserve"> de </w:t>
      </w:r>
      <w:r w:rsidR="00734382">
        <w:rPr>
          <w:rFonts w:ascii="ITC Avant Garde" w:hAnsi="ITC Avant Garde"/>
          <w:bCs/>
        </w:rPr>
        <w:t>1999</w:t>
      </w:r>
      <w:r w:rsidR="00B7256C">
        <w:rPr>
          <w:rFonts w:ascii="ITC Avant Garde" w:hAnsi="ITC Avant Garde"/>
          <w:bCs/>
        </w:rPr>
        <w:t xml:space="preserve"> con una vigencia de </w:t>
      </w:r>
      <w:r w:rsidR="00734382">
        <w:rPr>
          <w:rFonts w:ascii="ITC Avant Garde" w:hAnsi="ITC Avant Garde"/>
          <w:bCs/>
        </w:rPr>
        <w:t>20</w:t>
      </w:r>
      <w:r w:rsidR="00B7256C">
        <w:rPr>
          <w:rFonts w:ascii="ITC Avant Garde" w:hAnsi="ITC Avant Garde"/>
          <w:bCs/>
        </w:rPr>
        <w:t xml:space="preserve"> (</w:t>
      </w:r>
      <w:r w:rsidR="00734382">
        <w:rPr>
          <w:rFonts w:ascii="ITC Avant Garde" w:hAnsi="ITC Avant Garde"/>
          <w:bCs/>
        </w:rPr>
        <w:t>veinte</w:t>
      </w:r>
      <w:r w:rsidR="00B7256C">
        <w:rPr>
          <w:rFonts w:ascii="ITC Avant Garde" w:hAnsi="ITC Avant Garde"/>
          <w:bCs/>
        </w:rPr>
        <w:t>)</w:t>
      </w:r>
      <w:r w:rsidR="00B7256C" w:rsidRPr="00434D84">
        <w:rPr>
          <w:rFonts w:ascii="ITC Avant Garde" w:hAnsi="ITC Avant Garde"/>
          <w:bCs/>
        </w:rPr>
        <w:t xml:space="preserve"> años </w:t>
      </w:r>
      <w:r w:rsidR="00B61A74">
        <w:rPr>
          <w:rFonts w:ascii="ITC Avant Garde" w:hAnsi="ITC Avant Garde"/>
          <w:bCs/>
        </w:rPr>
        <w:t xml:space="preserve">contados </w:t>
      </w:r>
      <w:r w:rsidR="00B7256C" w:rsidRPr="00434D84">
        <w:rPr>
          <w:rFonts w:ascii="ITC Avant Garde" w:hAnsi="ITC Avant Garde"/>
          <w:bCs/>
        </w:rPr>
        <w:t xml:space="preserve">a partir de ese momento, y la Solicitud de Prórroga fue presentada el </w:t>
      </w:r>
      <w:r w:rsidR="00B7256C">
        <w:rPr>
          <w:rFonts w:ascii="ITC Avant Garde" w:hAnsi="ITC Avant Garde"/>
          <w:bCs/>
        </w:rPr>
        <w:t>1</w:t>
      </w:r>
      <w:r w:rsidR="00B7256C" w:rsidRPr="00434D84">
        <w:rPr>
          <w:rFonts w:ascii="ITC Avant Garde" w:hAnsi="ITC Avant Garde"/>
          <w:bCs/>
        </w:rPr>
        <w:t xml:space="preserve"> de </w:t>
      </w:r>
      <w:r w:rsidR="00734382">
        <w:rPr>
          <w:rFonts w:ascii="ITC Avant Garde" w:hAnsi="ITC Avant Garde"/>
          <w:bCs/>
        </w:rPr>
        <w:t>septi</w:t>
      </w:r>
      <w:r w:rsidR="00324648">
        <w:rPr>
          <w:rFonts w:ascii="ITC Avant Garde" w:hAnsi="ITC Avant Garde"/>
          <w:bCs/>
        </w:rPr>
        <w:t>e</w:t>
      </w:r>
      <w:r w:rsidR="00734382">
        <w:rPr>
          <w:rFonts w:ascii="ITC Avant Garde" w:hAnsi="ITC Avant Garde"/>
          <w:bCs/>
        </w:rPr>
        <w:t>mbre</w:t>
      </w:r>
      <w:r w:rsidR="00B7256C" w:rsidRPr="00434D84">
        <w:rPr>
          <w:rFonts w:ascii="ITC Avant Garde" w:hAnsi="ITC Avant Garde"/>
          <w:bCs/>
        </w:rPr>
        <w:t xml:space="preserve"> de 201</w:t>
      </w:r>
      <w:r w:rsidR="00734382">
        <w:rPr>
          <w:rFonts w:ascii="ITC Avant Garde" w:hAnsi="ITC Avant Garde"/>
          <w:bCs/>
        </w:rPr>
        <w:t>5</w:t>
      </w:r>
      <w:r w:rsidR="00B7256C" w:rsidRPr="00434D84">
        <w:rPr>
          <w:rFonts w:ascii="ITC Avant Garde" w:hAnsi="ITC Avant Garde"/>
          <w:bCs/>
        </w:rPr>
        <w:t>, es decir, dentro del año previo al inicio de la última quinta parte de la</w:t>
      </w:r>
      <w:r w:rsidR="00240780">
        <w:rPr>
          <w:rFonts w:ascii="ITC Avant Garde" w:hAnsi="ITC Avant Garde"/>
          <w:bCs/>
        </w:rPr>
        <w:t xml:space="preserve"> vigencia de la</w:t>
      </w:r>
      <w:r w:rsidR="00B7256C" w:rsidRPr="00434D84">
        <w:rPr>
          <w:rFonts w:ascii="ITC Avant Garde" w:hAnsi="ITC Avant Garde"/>
          <w:bCs/>
        </w:rPr>
        <w:t xml:space="preserve"> Concesión.</w:t>
      </w:r>
    </w:p>
    <w:p w14:paraId="1E54F830" w14:textId="5A8E3FB7" w:rsidR="006B55C3" w:rsidRDefault="00B7256C" w:rsidP="00B7256C">
      <w:pPr>
        <w:autoSpaceDE w:val="0"/>
        <w:autoSpaceDN w:val="0"/>
        <w:adjustRightInd w:val="0"/>
        <w:spacing w:after="0" w:line="240" w:lineRule="auto"/>
        <w:jc w:val="both"/>
        <w:rPr>
          <w:rFonts w:ascii="ITC Avant Garde" w:hAnsi="ITC Avant Garde"/>
          <w:bCs/>
        </w:rPr>
      </w:pPr>
      <w:r w:rsidRPr="00F45A3D">
        <w:rPr>
          <w:rFonts w:ascii="ITC Avant Garde" w:hAnsi="ITC Avant Garde"/>
          <w:bCs/>
        </w:rPr>
        <w:t>Por lo que hace al segundo requisito de procedencia establecido en el artículo 113 de la Ley que señala que el concesionario debe encontrarse al corriente en el cumplimiento de las obligaciones establecidas en la Ley y demás disposiciones aplicables, así como del título de concesión que se pretende prorrogar, la Unidad de Concesiones y Servicios</w:t>
      </w:r>
      <w:r>
        <w:rPr>
          <w:rFonts w:ascii="ITC Avant Garde" w:hAnsi="ITC Avant Garde"/>
          <w:bCs/>
        </w:rPr>
        <w:t>,</w:t>
      </w:r>
      <w:r w:rsidRPr="00F45A3D">
        <w:rPr>
          <w:rFonts w:ascii="ITC Avant Garde" w:hAnsi="ITC Avant Garde"/>
          <w:bCs/>
        </w:rPr>
        <w:t xml:space="preserve"> a través de la Dirección General de Concesiones de Telecomunicaciones, mediante </w:t>
      </w:r>
      <w:r w:rsidRPr="00825BCE">
        <w:rPr>
          <w:rFonts w:ascii="ITC Avant Garde" w:hAnsi="ITC Avant Garde"/>
          <w:bCs/>
        </w:rPr>
        <w:t>oficio</w:t>
      </w:r>
      <w:r w:rsidRPr="00F45A3D">
        <w:rPr>
          <w:rFonts w:ascii="ITC Avant Garde" w:hAnsi="ITC Avant Garde"/>
          <w:bCs/>
        </w:rPr>
        <w:t xml:space="preserve"> IFT/223/UCS/DG-CTEL/</w:t>
      </w:r>
      <w:r w:rsidR="00734382">
        <w:rPr>
          <w:rFonts w:ascii="ITC Avant Garde" w:hAnsi="ITC Avant Garde"/>
          <w:bCs/>
        </w:rPr>
        <w:t>2477</w:t>
      </w:r>
      <w:r w:rsidRPr="00825BCE">
        <w:rPr>
          <w:rFonts w:ascii="ITC Avant Garde" w:hAnsi="ITC Avant Garde"/>
          <w:bCs/>
        </w:rPr>
        <w:t xml:space="preserve">/2015 de fecha </w:t>
      </w:r>
      <w:r w:rsidR="00734382">
        <w:rPr>
          <w:rFonts w:ascii="ITC Avant Garde" w:hAnsi="ITC Avant Garde"/>
          <w:bCs/>
        </w:rPr>
        <w:t>15</w:t>
      </w:r>
      <w:r w:rsidRPr="00F45A3D">
        <w:rPr>
          <w:rFonts w:ascii="ITC Avant Garde" w:hAnsi="ITC Avant Garde"/>
          <w:bCs/>
        </w:rPr>
        <w:t xml:space="preserve"> de </w:t>
      </w:r>
      <w:r w:rsidR="00734382">
        <w:rPr>
          <w:rFonts w:ascii="ITC Avant Garde" w:hAnsi="ITC Avant Garde"/>
          <w:bCs/>
        </w:rPr>
        <w:t>octubre</w:t>
      </w:r>
      <w:r w:rsidRPr="00F45A3D">
        <w:rPr>
          <w:rFonts w:ascii="ITC Avant Garde" w:hAnsi="ITC Avant Garde"/>
          <w:bCs/>
        </w:rPr>
        <w:t xml:space="preserve"> de 2015, solicitó a la Unidad Cumplimiento, </w:t>
      </w:r>
      <w:r w:rsidR="00734382">
        <w:rPr>
          <w:rFonts w:ascii="ITC Avant Garde" w:hAnsi="ITC Avant Garde"/>
          <w:bCs/>
        </w:rPr>
        <w:t>emitiera el dictamen respecto del cumplimiento de las obligaciones establecidas en la Concesión</w:t>
      </w:r>
      <w:r w:rsidRPr="00D943F9">
        <w:rPr>
          <w:rFonts w:ascii="ITC Avant Garde" w:hAnsi="ITC Avant Garde"/>
          <w:bCs/>
        </w:rPr>
        <w:t xml:space="preserve">. En respuesta a dicha petición, la </w:t>
      </w:r>
      <w:r w:rsidR="00D943F9" w:rsidRPr="00D943F9">
        <w:rPr>
          <w:rFonts w:ascii="ITC Avant Garde" w:hAnsi="ITC Avant Garde"/>
          <w:bCs/>
        </w:rPr>
        <w:t xml:space="preserve">Unidad de Cumplimiento a través de la </w:t>
      </w:r>
      <w:r w:rsidRPr="00D943F9">
        <w:rPr>
          <w:rFonts w:ascii="ITC Avant Garde" w:hAnsi="ITC Avant Garde"/>
          <w:bCs/>
        </w:rPr>
        <w:t xml:space="preserve">Dirección General de Supervisión, </w:t>
      </w:r>
      <w:r w:rsidR="00240780">
        <w:rPr>
          <w:rFonts w:ascii="ITC Avant Garde" w:hAnsi="ITC Avant Garde"/>
          <w:bCs/>
        </w:rPr>
        <w:t>mediante</w:t>
      </w:r>
      <w:r w:rsidRPr="00D943F9">
        <w:rPr>
          <w:rFonts w:ascii="ITC Avant Garde" w:hAnsi="ITC Avant Garde"/>
          <w:bCs/>
        </w:rPr>
        <w:t xml:space="preserve"> oficio IFT/225/UC/DG-SUV/</w:t>
      </w:r>
      <w:r w:rsidR="00324648">
        <w:rPr>
          <w:rFonts w:ascii="ITC Avant Garde" w:hAnsi="ITC Avant Garde"/>
          <w:bCs/>
        </w:rPr>
        <w:t>2810</w:t>
      </w:r>
      <w:r w:rsidRPr="00D943F9">
        <w:rPr>
          <w:rFonts w:ascii="ITC Avant Garde" w:hAnsi="ITC Avant Garde"/>
          <w:bCs/>
        </w:rPr>
        <w:t>/201</w:t>
      </w:r>
      <w:r w:rsidR="00324648">
        <w:rPr>
          <w:rFonts w:ascii="ITC Avant Garde" w:hAnsi="ITC Avant Garde"/>
          <w:bCs/>
        </w:rPr>
        <w:t>6</w:t>
      </w:r>
      <w:r w:rsidR="00D943F9" w:rsidRPr="00D943F9">
        <w:rPr>
          <w:rFonts w:ascii="ITC Avant Garde" w:hAnsi="ITC Avant Garde"/>
          <w:bCs/>
        </w:rPr>
        <w:t xml:space="preserve"> </w:t>
      </w:r>
      <w:r w:rsidRPr="00D943F9">
        <w:rPr>
          <w:rFonts w:ascii="ITC Avant Garde" w:hAnsi="ITC Avant Garde"/>
          <w:bCs/>
        </w:rPr>
        <w:t xml:space="preserve">de fecha </w:t>
      </w:r>
      <w:r w:rsidR="00324648">
        <w:rPr>
          <w:rFonts w:ascii="ITC Avant Garde" w:hAnsi="ITC Avant Garde"/>
          <w:bCs/>
        </w:rPr>
        <w:t xml:space="preserve">3 </w:t>
      </w:r>
      <w:r w:rsidRPr="00D943F9">
        <w:rPr>
          <w:rFonts w:ascii="ITC Avant Garde" w:hAnsi="ITC Avant Garde"/>
          <w:bCs/>
        </w:rPr>
        <w:t xml:space="preserve">de </w:t>
      </w:r>
      <w:r w:rsidR="00324648">
        <w:rPr>
          <w:rFonts w:ascii="ITC Avant Garde" w:hAnsi="ITC Avant Garde"/>
          <w:bCs/>
        </w:rPr>
        <w:t>mayo</w:t>
      </w:r>
      <w:r w:rsidRPr="00D943F9">
        <w:rPr>
          <w:rFonts w:ascii="ITC Avant Garde" w:hAnsi="ITC Avant Garde"/>
          <w:bCs/>
        </w:rPr>
        <w:t xml:space="preserve"> de 2016, informó lo siguiente:</w:t>
      </w:r>
    </w:p>
    <w:p w14:paraId="667ABCCB" w14:textId="5A8EB8FC" w:rsidR="005C0EFA" w:rsidRPr="005C0EFA" w:rsidRDefault="00B7256C" w:rsidP="001F3D65">
      <w:pPr>
        <w:autoSpaceDE w:val="0"/>
        <w:autoSpaceDN w:val="0"/>
        <w:adjustRightInd w:val="0"/>
        <w:spacing w:after="0" w:line="240" w:lineRule="auto"/>
        <w:ind w:right="615"/>
        <w:jc w:val="both"/>
        <w:rPr>
          <w:rFonts w:ascii="ITC Avant Garde" w:hAnsi="ITC Avant Garde"/>
          <w:b/>
          <w:bCs/>
          <w:i/>
          <w:sz w:val="18"/>
          <w:szCs w:val="18"/>
        </w:rPr>
      </w:pPr>
      <w:r w:rsidRPr="005C0EFA">
        <w:rPr>
          <w:rFonts w:ascii="ITC Avant Garde" w:hAnsi="ITC Avant Garde"/>
          <w:bCs/>
          <w:i/>
          <w:sz w:val="18"/>
          <w:szCs w:val="18"/>
        </w:rPr>
        <w:t>“</w:t>
      </w:r>
      <w:r w:rsidR="005C0EFA" w:rsidRPr="005C0EFA">
        <w:rPr>
          <w:rFonts w:ascii="ITC Avant Garde" w:hAnsi="ITC Avant Garde"/>
          <w:b/>
          <w:bCs/>
          <w:i/>
          <w:sz w:val="18"/>
          <w:szCs w:val="18"/>
        </w:rPr>
        <w:t>4. Dictamen</w:t>
      </w:r>
    </w:p>
    <w:p w14:paraId="3C871B0B" w14:textId="0DA9A957" w:rsidR="005C0EFA" w:rsidRPr="005C0EFA" w:rsidRDefault="005C0EFA" w:rsidP="00B7256C">
      <w:pPr>
        <w:autoSpaceDE w:val="0"/>
        <w:autoSpaceDN w:val="0"/>
        <w:adjustRightInd w:val="0"/>
        <w:spacing w:after="0" w:line="240" w:lineRule="auto"/>
        <w:ind w:left="1418" w:right="615"/>
        <w:jc w:val="both"/>
        <w:rPr>
          <w:rFonts w:ascii="ITC Avant Garde" w:hAnsi="ITC Avant Garde"/>
          <w:bCs/>
          <w:i/>
          <w:sz w:val="18"/>
          <w:szCs w:val="18"/>
        </w:rPr>
      </w:pPr>
      <w:r w:rsidRPr="005C0EFA">
        <w:rPr>
          <w:rFonts w:ascii="ITC Avant Garde" w:hAnsi="ITC Avant Garde"/>
          <w:bCs/>
          <w:i/>
          <w:sz w:val="18"/>
          <w:szCs w:val="18"/>
        </w:rPr>
        <w:t>[…]</w:t>
      </w:r>
    </w:p>
    <w:p w14:paraId="37B27DDC" w14:textId="6DFDF2FE" w:rsidR="005C0EFA" w:rsidRPr="005C0EFA" w:rsidRDefault="005C0EFA" w:rsidP="001824E7">
      <w:pPr>
        <w:autoSpaceDE w:val="0"/>
        <w:autoSpaceDN w:val="0"/>
        <w:adjustRightInd w:val="0"/>
        <w:spacing w:after="0" w:line="240" w:lineRule="auto"/>
        <w:ind w:left="1418" w:right="615"/>
        <w:jc w:val="both"/>
        <w:rPr>
          <w:rFonts w:ascii="ITC Avant Garde" w:hAnsi="ITC Avant Garde"/>
          <w:bCs/>
          <w:i/>
          <w:sz w:val="18"/>
          <w:szCs w:val="18"/>
        </w:rPr>
      </w:pPr>
      <w:r w:rsidRPr="005C0EFA">
        <w:rPr>
          <w:rFonts w:ascii="ITC Avant Garde" w:hAnsi="ITC Avant Garde"/>
          <w:bCs/>
          <w:i/>
          <w:sz w:val="18"/>
          <w:szCs w:val="18"/>
        </w:rPr>
        <w:t xml:space="preserve">De la revisión documental del expediente </w:t>
      </w:r>
      <w:r w:rsidRPr="005C0EFA">
        <w:rPr>
          <w:rFonts w:ascii="ITC Avant Garde" w:hAnsi="ITC Avant Garde"/>
          <w:b/>
          <w:bCs/>
          <w:i/>
          <w:sz w:val="18"/>
          <w:szCs w:val="18"/>
        </w:rPr>
        <w:t>31</w:t>
      </w:r>
      <w:r w:rsidR="00324648">
        <w:rPr>
          <w:rFonts w:ascii="ITC Avant Garde" w:hAnsi="ITC Avant Garde"/>
          <w:b/>
          <w:bCs/>
          <w:i/>
          <w:sz w:val="18"/>
          <w:szCs w:val="18"/>
        </w:rPr>
        <w:t>0</w:t>
      </w:r>
      <w:r w:rsidRPr="005C0EFA">
        <w:rPr>
          <w:rFonts w:ascii="ITC Avant Garde" w:hAnsi="ITC Avant Garde"/>
          <w:b/>
          <w:bCs/>
          <w:i/>
          <w:sz w:val="18"/>
          <w:szCs w:val="18"/>
        </w:rPr>
        <w:t>.</w:t>
      </w:r>
      <w:r w:rsidR="00324648">
        <w:rPr>
          <w:rFonts w:ascii="ITC Avant Garde" w:hAnsi="ITC Avant Garde"/>
          <w:b/>
          <w:bCs/>
          <w:i/>
          <w:sz w:val="18"/>
          <w:szCs w:val="18"/>
        </w:rPr>
        <w:t>6</w:t>
      </w:r>
      <w:r w:rsidRPr="005C0EFA">
        <w:rPr>
          <w:rFonts w:ascii="ITC Avant Garde" w:hAnsi="ITC Avant Garde"/>
          <w:b/>
          <w:bCs/>
          <w:i/>
          <w:sz w:val="18"/>
          <w:szCs w:val="18"/>
        </w:rPr>
        <w:t>/</w:t>
      </w:r>
      <w:r w:rsidR="00324648">
        <w:rPr>
          <w:rFonts w:ascii="ITC Avant Garde" w:hAnsi="ITC Avant Garde"/>
          <w:b/>
          <w:bCs/>
          <w:i/>
          <w:sz w:val="18"/>
          <w:szCs w:val="18"/>
        </w:rPr>
        <w:t>0</w:t>
      </w:r>
      <w:r w:rsidRPr="005C0EFA">
        <w:rPr>
          <w:rFonts w:ascii="ITC Avant Garde" w:hAnsi="ITC Avant Garde"/>
          <w:b/>
          <w:bCs/>
          <w:i/>
          <w:sz w:val="18"/>
          <w:szCs w:val="18"/>
        </w:rPr>
        <w:t>00</w:t>
      </w:r>
      <w:r w:rsidR="00324648">
        <w:rPr>
          <w:rFonts w:ascii="ITC Avant Garde" w:hAnsi="ITC Avant Garde"/>
          <w:b/>
          <w:bCs/>
          <w:i/>
          <w:sz w:val="18"/>
          <w:szCs w:val="18"/>
        </w:rPr>
        <w:t>2</w:t>
      </w:r>
      <w:r w:rsidRPr="005C0EFA">
        <w:rPr>
          <w:rFonts w:ascii="ITC Avant Garde" w:hAnsi="ITC Avant Garde"/>
          <w:bCs/>
          <w:i/>
          <w:sz w:val="18"/>
          <w:szCs w:val="18"/>
        </w:rPr>
        <w:t xml:space="preserve"> integrado por la Dirección </w:t>
      </w:r>
      <w:r w:rsidR="00324648">
        <w:rPr>
          <w:rFonts w:ascii="ITC Avant Garde" w:hAnsi="ITC Avant Garde"/>
          <w:bCs/>
          <w:i/>
          <w:sz w:val="18"/>
          <w:szCs w:val="18"/>
        </w:rPr>
        <w:t>G</w:t>
      </w:r>
      <w:r w:rsidRPr="005C0EFA">
        <w:rPr>
          <w:rFonts w:ascii="ITC Avant Garde" w:hAnsi="ITC Avant Garde"/>
          <w:bCs/>
          <w:i/>
          <w:sz w:val="18"/>
          <w:szCs w:val="18"/>
        </w:rPr>
        <w:t xml:space="preserve">eneral de </w:t>
      </w:r>
      <w:r w:rsidR="00324648">
        <w:rPr>
          <w:rFonts w:ascii="ITC Avant Garde" w:hAnsi="ITC Avant Garde"/>
          <w:bCs/>
          <w:i/>
          <w:sz w:val="18"/>
          <w:szCs w:val="18"/>
        </w:rPr>
        <w:t xml:space="preserve">Adquisiciones, Recursos Materiales y Servicios Generales de este Instituto a nombre de </w:t>
      </w:r>
      <w:r w:rsidR="00324648" w:rsidRPr="001E080A">
        <w:rPr>
          <w:rFonts w:ascii="ITC Avant Garde" w:hAnsi="ITC Avant Garde"/>
          <w:b/>
          <w:bCs/>
          <w:i/>
          <w:sz w:val="18"/>
          <w:szCs w:val="18"/>
        </w:rPr>
        <w:t>Globalstar de México, S. de R.L. de C.V.,</w:t>
      </w:r>
      <w:r w:rsidR="00324648">
        <w:rPr>
          <w:rFonts w:ascii="ITC Avant Garde" w:hAnsi="ITC Avant Garde"/>
          <w:b/>
          <w:bCs/>
          <w:i/>
          <w:sz w:val="18"/>
          <w:szCs w:val="18"/>
        </w:rPr>
        <w:t xml:space="preserve"> </w:t>
      </w:r>
      <w:r w:rsidR="00324648">
        <w:rPr>
          <w:rFonts w:ascii="ITC Avant Garde" w:hAnsi="ITC Avant Garde"/>
          <w:bCs/>
          <w:i/>
          <w:sz w:val="18"/>
          <w:szCs w:val="18"/>
        </w:rPr>
        <w:t xml:space="preserve">se desprende que al 20 de abril de 2016, </w:t>
      </w:r>
      <w:r w:rsidR="00324648">
        <w:rPr>
          <w:rFonts w:ascii="ITC Avant Garde" w:hAnsi="ITC Avant Garde"/>
          <w:b/>
          <w:bCs/>
          <w:i/>
          <w:sz w:val="18"/>
          <w:szCs w:val="18"/>
          <w:u w:val="single"/>
        </w:rPr>
        <w:t>la concesionaria se encontró al corriente en la presentación de las documentales derivadas de las obligaciones que tiene a su cargo</w:t>
      </w:r>
      <w:r w:rsidR="001824E7">
        <w:rPr>
          <w:rFonts w:ascii="ITC Avant Garde" w:hAnsi="ITC Avant Garde"/>
          <w:b/>
          <w:bCs/>
          <w:i/>
          <w:sz w:val="18"/>
          <w:szCs w:val="18"/>
          <w:u w:val="single"/>
        </w:rPr>
        <w:t xml:space="preserve"> </w:t>
      </w:r>
      <w:r w:rsidR="001824E7">
        <w:rPr>
          <w:rFonts w:ascii="ITC Avant Garde" w:hAnsi="ITC Avant Garde"/>
          <w:bCs/>
          <w:i/>
          <w:sz w:val="18"/>
          <w:szCs w:val="18"/>
        </w:rPr>
        <w:t>y que le son aplicables conforme a su título de concesión para instalar, operar y explotar una red pública de telecomunicaciones, y demás disposiciones legales, reglamentarias y administrativas aplicables.</w:t>
      </w:r>
    </w:p>
    <w:p w14:paraId="118F1528" w14:textId="4EB1701B" w:rsidR="00B7256C" w:rsidRPr="00F45A3D" w:rsidRDefault="005C0EFA" w:rsidP="00B7256C">
      <w:pPr>
        <w:autoSpaceDE w:val="0"/>
        <w:autoSpaceDN w:val="0"/>
        <w:adjustRightInd w:val="0"/>
        <w:spacing w:after="0" w:line="240" w:lineRule="auto"/>
        <w:ind w:left="1418" w:right="615"/>
        <w:jc w:val="both"/>
        <w:rPr>
          <w:rFonts w:ascii="ITC Avant Garde" w:hAnsi="ITC Avant Garde"/>
          <w:bCs/>
          <w:i/>
          <w:sz w:val="18"/>
          <w:szCs w:val="18"/>
        </w:rPr>
      </w:pPr>
      <w:r w:rsidRPr="005C0EFA">
        <w:rPr>
          <w:rFonts w:ascii="ITC Avant Garde" w:hAnsi="ITC Avant Garde"/>
          <w:bCs/>
          <w:i/>
          <w:sz w:val="18"/>
          <w:szCs w:val="18"/>
        </w:rPr>
        <w:t>[</w:t>
      </w:r>
      <w:r w:rsidR="00B7256C" w:rsidRPr="005C0EFA">
        <w:rPr>
          <w:rFonts w:ascii="ITC Avant Garde" w:hAnsi="ITC Avant Garde"/>
          <w:bCs/>
          <w:i/>
          <w:sz w:val="18"/>
          <w:szCs w:val="18"/>
        </w:rPr>
        <w:t>…</w:t>
      </w:r>
      <w:r w:rsidRPr="005C0EFA">
        <w:rPr>
          <w:rFonts w:ascii="ITC Avant Garde" w:hAnsi="ITC Avant Garde"/>
          <w:bCs/>
          <w:i/>
          <w:sz w:val="18"/>
          <w:szCs w:val="18"/>
        </w:rPr>
        <w:t>]</w:t>
      </w:r>
      <w:r w:rsidR="00B7256C" w:rsidRPr="005C0EFA">
        <w:rPr>
          <w:rFonts w:ascii="ITC Avant Garde" w:hAnsi="ITC Avant Garde"/>
          <w:bCs/>
          <w:i/>
          <w:sz w:val="18"/>
          <w:szCs w:val="18"/>
        </w:rPr>
        <w:t>”.</w:t>
      </w:r>
    </w:p>
    <w:p w14:paraId="15F2B6EF" w14:textId="6780FC82" w:rsidR="00B7256C" w:rsidRDefault="00B7256C" w:rsidP="001F3D65">
      <w:pPr>
        <w:autoSpaceDE w:val="0"/>
        <w:autoSpaceDN w:val="0"/>
        <w:adjustRightInd w:val="0"/>
        <w:spacing w:before="240" w:after="0" w:line="240" w:lineRule="auto"/>
        <w:jc w:val="both"/>
        <w:rPr>
          <w:rFonts w:ascii="ITC Avant Garde" w:hAnsi="ITC Avant Garde"/>
          <w:bCs/>
        </w:rPr>
      </w:pPr>
      <w:r w:rsidRPr="00BF560A">
        <w:rPr>
          <w:rFonts w:ascii="ITC Avant Garde" w:hAnsi="ITC Avant Garde"/>
          <w:bCs/>
        </w:rPr>
        <w:t xml:space="preserve">Por lo que hace al tercer requisito de procedencia establecido por el artículo 113 de la Ley, el cual establece que el concesionario deberá aceptar las nuevas condiciones que establezca el Instituto, se considera que tendrá que recabarse de </w:t>
      </w:r>
      <w:r w:rsidR="00193600">
        <w:rPr>
          <w:rFonts w:ascii="ITC Avant Garde" w:hAnsi="ITC Avant Garde"/>
          <w:bCs/>
        </w:rPr>
        <w:t>Globalstar de México, S. de R.L. de C.V.</w:t>
      </w:r>
      <w:r w:rsidRPr="00BF560A">
        <w:rPr>
          <w:rFonts w:ascii="ITC Avant Garde" w:hAnsi="ITC Avant Garde"/>
          <w:bCs/>
        </w:rPr>
        <w:t>, su conformidad y total aceptación respecto de las nuevas condiciones que se establecerán en el título de concesión única que en su caso se otorgue, previ</w:t>
      </w:r>
      <w:r w:rsidR="006F56AA">
        <w:rPr>
          <w:rFonts w:ascii="ITC Avant Garde" w:hAnsi="ITC Avant Garde"/>
          <w:bCs/>
        </w:rPr>
        <w:t>amente</w:t>
      </w:r>
      <w:r w:rsidRPr="00BF560A">
        <w:rPr>
          <w:rFonts w:ascii="ITC Avant Garde" w:hAnsi="ITC Avant Garde"/>
          <w:bCs/>
        </w:rPr>
        <w:t xml:space="preserve"> a la entrega de dicho instrumento.</w:t>
      </w:r>
    </w:p>
    <w:p w14:paraId="64CC3AD1" w14:textId="425FF5D5" w:rsidR="00B7256C" w:rsidRDefault="00B7256C" w:rsidP="001F3D65">
      <w:pPr>
        <w:autoSpaceDE w:val="0"/>
        <w:autoSpaceDN w:val="0"/>
        <w:adjustRightInd w:val="0"/>
        <w:spacing w:before="240" w:after="0" w:line="240" w:lineRule="auto"/>
        <w:jc w:val="both"/>
        <w:rPr>
          <w:rFonts w:ascii="ITC Avant Garde" w:hAnsi="ITC Avant Garde"/>
        </w:rPr>
      </w:pPr>
      <w:r w:rsidRPr="00BF560A">
        <w:rPr>
          <w:rFonts w:ascii="ITC Avant Garde" w:hAnsi="ITC Avant Garde"/>
        </w:rPr>
        <w:t xml:space="preserve">En este sentido, se estima conveniente que en el supuesto de que en la presente Resolución se autorice la prórroga de la Concesión, ésta deberá estar sujeta a la condición suspensiva relativa a que </w:t>
      </w:r>
      <w:r w:rsidR="00193600">
        <w:rPr>
          <w:rFonts w:ascii="ITC Avant Garde" w:hAnsi="ITC Avant Garde"/>
          <w:bCs/>
        </w:rPr>
        <w:t>Globalstar de México, S. de R.L. de C.V.</w:t>
      </w:r>
      <w:r w:rsidRPr="00BF560A">
        <w:rPr>
          <w:rFonts w:ascii="ITC Avant Garde" w:hAnsi="ITC Avant Garde"/>
        </w:rPr>
        <w:t>, acepte las nuevas condiciones del título de concesión única. Para tal efecto, la Unidad de Concesiones y Servicios deberá someter a consideración de la solicitante el proyecto de título de concesión única, con la finalidad de recabar su aceptación.</w:t>
      </w:r>
    </w:p>
    <w:p w14:paraId="3B6706FE" w14:textId="510FAECE" w:rsidR="00B7256C" w:rsidRDefault="00B7256C" w:rsidP="001F3D65">
      <w:pPr>
        <w:autoSpaceDE w:val="0"/>
        <w:autoSpaceDN w:val="0"/>
        <w:adjustRightInd w:val="0"/>
        <w:spacing w:before="240" w:after="0" w:line="240" w:lineRule="auto"/>
        <w:jc w:val="both"/>
        <w:rPr>
          <w:rFonts w:ascii="ITC Avant Garde" w:hAnsi="ITC Avant Garde"/>
        </w:rPr>
      </w:pPr>
      <w:r w:rsidRPr="00303E45">
        <w:rPr>
          <w:rFonts w:ascii="ITC Avant Garde" w:hAnsi="ITC Avant Garde"/>
        </w:rPr>
        <w:lastRenderedPageBreak/>
        <w:t xml:space="preserve">Lo anterior, en el entendido que de no recibirse la aceptación lisa y llana correspondiente por parte de </w:t>
      </w:r>
      <w:r w:rsidR="00193600" w:rsidRPr="00193600">
        <w:rPr>
          <w:rFonts w:ascii="ITC Avant Garde" w:hAnsi="ITC Avant Garde"/>
        </w:rPr>
        <w:t>Globalstar de México, S. de R.L. de C.V.</w:t>
      </w:r>
      <w:r w:rsidRPr="00303E45">
        <w:rPr>
          <w:rFonts w:ascii="ITC Avant Garde" w:hAnsi="ITC Avant Garde"/>
        </w:rPr>
        <w:t>, la prórroga que en su caso se emita en la presente Resolución no surtirá efectos.</w:t>
      </w:r>
    </w:p>
    <w:p w14:paraId="3A5E4E08" w14:textId="394E0000" w:rsidR="00B7256C" w:rsidRDefault="00B7256C" w:rsidP="001F3D65">
      <w:pPr>
        <w:autoSpaceDE w:val="0"/>
        <w:autoSpaceDN w:val="0"/>
        <w:adjustRightInd w:val="0"/>
        <w:spacing w:before="240" w:after="0" w:line="240" w:lineRule="auto"/>
        <w:jc w:val="both"/>
        <w:rPr>
          <w:rFonts w:ascii="ITC Avant Garde" w:hAnsi="ITC Avant Garde"/>
        </w:rPr>
      </w:pPr>
      <w:r w:rsidRPr="00303E45">
        <w:rPr>
          <w:rFonts w:ascii="ITC Avant Garde" w:hAnsi="ITC Avant Garde"/>
        </w:rPr>
        <w:t>Por otra parte, la Unidad de Concesiones y Servicios a través de la Dirección General de Concesiones de Telecomunicaciones, mediante oficio IFT/223/UCS/DG-CTEL/</w:t>
      </w:r>
      <w:r w:rsidR="00193600">
        <w:rPr>
          <w:rFonts w:ascii="ITC Avant Garde" w:hAnsi="ITC Avant Garde"/>
        </w:rPr>
        <w:t>2476</w:t>
      </w:r>
      <w:r w:rsidRPr="00303E45">
        <w:rPr>
          <w:rFonts w:ascii="ITC Avant Garde" w:hAnsi="ITC Avant Garde"/>
        </w:rPr>
        <w:t xml:space="preserve">/2015 de fecha </w:t>
      </w:r>
      <w:r w:rsidR="00193600">
        <w:rPr>
          <w:rFonts w:ascii="ITC Avant Garde" w:hAnsi="ITC Avant Garde"/>
        </w:rPr>
        <w:t>14</w:t>
      </w:r>
      <w:r>
        <w:rPr>
          <w:rFonts w:ascii="ITC Avant Garde" w:hAnsi="ITC Avant Garde"/>
        </w:rPr>
        <w:t xml:space="preserve"> </w:t>
      </w:r>
      <w:r w:rsidRPr="00303E45">
        <w:rPr>
          <w:rFonts w:ascii="ITC Avant Garde" w:hAnsi="ITC Avant Garde"/>
        </w:rPr>
        <w:t xml:space="preserve">de </w:t>
      </w:r>
      <w:r w:rsidR="00193600">
        <w:rPr>
          <w:rFonts w:ascii="ITC Avant Garde" w:hAnsi="ITC Avant Garde"/>
        </w:rPr>
        <w:t>septiembre</w:t>
      </w:r>
      <w:r w:rsidRPr="00303E45">
        <w:rPr>
          <w:rFonts w:ascii="ITC Avant Garde" w:hAnsi="ITC Avant Garde"/>
        </w:rPr>
        <w:t xml:space="preserve"> de 2015, solicitó a la Dirección General de Concentraciones y Concesiones de la Unidad de Competencia Económica, opinión respecto de la Solicitud de Prórroga</w:t>
      </w:r>
      <w:r w:rsidRPr="000A5383">
        <w:rPr>
          <w:rFonts w:ascii="ITC Avant Garde" w:hAnsi="ITC Avant Garde"/>
        </w:rPr>
        <w:t>. En respuesta a lo anterior, mediante oficio IFT/226/UCE/DG-CCON/</w:t>
      </w:r>
      <w:r w:rsidR="000A5383" w:rsidRPr="000A5383">
        <w:rPr>
          <w:rFonts w:ascii="ITC Avant Garde" w:hAnsi="ITC Avant Garde"/>
        </w:rPr>
        <w:t>239</w:t>
      </w:r>
      <w:r w:rsidRPr="000A5383">
        <w:rPr>
          <w:rFonts w:ascii="ITC Avant Garde" w:hAnsi="ITC Avant Garde"/>
        </w:rPr>
        <w:t>/201</w:t>
      </w:r>
      <w:r w:rsidR="00193600" w:rsidRPr="000A5383">
        <w:rPr>
          <w:rFonts w:ascii="ITC Avant Garde" w:hAnsi="ITC Avant Garde"/>
        </w:rPr>
        <w:t>6</w:t>
      </w:r>
      <w:r w:rsidRPr="000A5383">
        <w:rPr>
          <w:rFonts w:ascii="ITC Avant Garde" w:hAnsi="ITC Avant Garde"/>
        </w:rPr>
        <w:t xml:space="preserve"> de fecha </w:t>
      </w:r>
      <w:r w:rsidR="000A5383" w:rsidRPr="000A5383">
        <w:rPr>
          <w:rFonts w:ascii="ITC Avant Garde" w:hAnsi="ITC Avant Garde"/>
        </w:rPr>
        <w:t>19</w:t>
      </w:r>
      <w:r w:rsidRPr="000A5383">
        <w:rPr>
          <w:rFonts w:ascii="ITC Avant Garde" w:hAnsi="ITC Avant Garde"/>
        </w:rPr>
        <w:t xml:space="preserve"> de </w:t>
      </w:r>
      <w:r w:rsidR="00193600" w:rsidRPr="000A5383">
        <w:rPr>
          <w:rFonts w:ascii="ITC Avant Garde" w:hAnsi="ITC Avant Garde"/>
        </w:rPr>
        <w:t>mayo</w:t>
      </w:r>
      <w:r w:rsidRPr="000A5383">
        <w:rPr>
          <w:rFonts w:ascii="ITC Avant Garde" w:hAnsi="ITC Avant Garde"/>
        </w:rPr>
        <w:t xml:space="preserve"> de 201</w:t>
      </w:r>
      <w:r w:rsidR="00193600" w:rsidRPr="000A5383">
        <w:rPr>
          <w:rFonts w:ascii="ITC Avant Garde" w:hAnsi="ITC Avant Garde"/>
        </w:rPr>
        <w:t>6</w:t>
      </w:r>
      <w:r w:rsidRPr="000A5383">
        <w:rPr>
          <w:rFonts w:ascii="ITC Avant Garde" w:hAnsi="ITC Avant Garde"/>
        </w:rPr>
        <w:t xml:space="preserve">, la Dirección General de Concentraciones y Concesiones emitió opinión respecto de </w:t>
      </w:r>
      <w:r w:rsidR="00D712C4" w:rsidRPr="000A5383">
        <w:rPr>
          <w:rFonts w:ascii="ITC Avant Garde" w:hAnsi="ITC Avant Garde"/>
        </w:rPr>
        <w:t>la S</w:t>
      </w:r>
      <w:r w:rsidRPr="000A5383">
        <w:rPr>
          <w:rFonts w:ascii="ITC Avant Garde" w:hAnsi="ITC Avant Garde"/>
        </w:rPr>
        <w:t xml:space="preserve">olicitud de </w:t>
      </w:r>
      <w:r w:rsidR="00D712C4" w:rsidRPr="000A5383">
        <w:rPr>
          <w:rFonts w:ascii="ITC Avant Garde" w:hAnsi="ITC Avant Garde"/>
        </w:rPr>
        <w:t>P</w:t>
      </w:r>
      <w:r w:rsidRPr="000A5383">
        <w:rPr>
          <w:rFonts w:ascii="ITC Avant Garde" w:hAnsi="ITC Avant Garde"/>
        </w:rPr>
        <w:t>rórroga, manifestado lo siguiente:</w:t>
      </w:r>
    </w:p>
    <w:p w14:paraId="2C05FB8A" w14:textId="77777777" w:rsidR="00B7256C" w:rsidRPr="000A5383" w:rsidRDefault="00B7256C" w:rsidP="001F3D65">
      <w:pPr>
        <w:spacing w:before="240" w:after="0" w:line="240" w:lineRule="auto"/>
        <w:ind w:left="1418" w:right="615"/>
        <w:jc w:val="both"/>
        <w:rPr>
          <w:rFonts w:ascii="ITC Avant Garde" w:hAnsi="ITC Avant Garde"/>
          <w:i/>
          <w:sz w:val="18"/>
          <w:szCs w:val="18"/>
        </w:rPr>
      </w:pPr>
      <w:r w:rsidRPr="000A5383">
        <w:rPr>
          <w:rFonts w:ascii="ITC Avant Garde" w:hAnsi="ITC Avant Garde"/>
          <w:i/>
          <w:sz w:val="18"/>
          <w:szCs w:val="18"/>
        </w:rPr>
        <w:t>“[…]</w:t>
      </w:r>
    </w:p>
    <w:p w14:paraId="46E501C7" w14:textId="77777777" w:rsidR="000A5383" w:rsidRPr="001E1983" w:rsidRDefault="000A5383" w:rsidP="001F3D65">
      <w:pPr>
        <w:pStyle w:val="Prrafodelista"/>
        <w:spacing w:before="240"/>
        <w:ind w:left="1701" w:right="615"/>
        <w:jc w:val="both"/>
        <w:rPr>
          <w:rFonts w:ascii="ITC Avant Garde" w:eastAsia="Calibri" w:hAnsi="ITC Avant Garde"/>
          <w:b/>
          <w:i/>
          <w:sz w:val="18"/>
          <w:szCs w:val="18"/>
        </w:rPr>
      </w:pPr>
      <w:r w:rsidRPr="001E1983">
        <w:rPr>
          <w:rFonts w:ascii="ITC Avant Garde" w:eastAsia="Calibri" w:hAnsi="ITC Avant Garde"/>
          <w:b/>
          <w:i/>
          <w:sz w:val="18"/>
          <w:szCs w:val="18"/>
        </w:rPr>
        <w:t>Análisis en materia de competencia económica</w:t>
      </w:r>
    </w:p>
    <w:p w14:paraId="5A82078F" w14:textId="77777777" w:rsidR="000A5383" w:rsidRPr="001E1983" w:rsidRDefault="000A5383" w:rsidP="001F3D65">
      <w:pPr>
        <w:pStyle w:val="Prrafodelista"/>
        <w:spacing w:before="240"/>
        <w:ind w:left="1701" w:right="615"/>
        <w:jc w:val="both"/>
        <w:rPr>
          <w:rFonts w:ascii="ITC Avant Garde" w:eastAsia="Calibri" w:hAnsi="ITC Avant Garde"/>
          <w:i/>
          <w:sz w:val="18"/>
          <w:szCs w:val="18"/>
        </w:rPr>
      </w:pPr>
      <w:r w:rsidRPr="001E1983">
        <w:rPr>
          <w:rFonts w:ascii="ITC Avant Garde" w:eastAsia="Calibri" w:hAnsi="ITC Avant Garde"/>
          <w:i/>
          <w:sz w:val="18"/>
          <w:szCs w:val="18"/>
        </w:rPr>
        <w:t>Según lo antes expuesto, se tienen los siguientes elementos:</w:t>
      </w:r>
    </w:p>
    <w:p w14:paraId="4968D1BD" w14:textId="77777777" w:rsidR="000A5383" w:rsidRPr="001E1983" w:rsidRDefault="000A5383" w:rsidP="001F3D65">
      <w:pPr>
        <w:pStyle w:val="Prrafodelista"/>
        <w:numPr>
          <w:ilvl w:val="0"/>
          <w:numId w:val="6"/>
        </w:numPr>
        <w:spacing w:before="240"/>
        <w:ind w:right="615"/>
        <w:jc w:val="both"/>
        <w:rPr>
          <w:rFonts w:ascii="ITC Avant Garde" w:hAnsi="ITC Avant Garde"/>
          <w:i/>
          <w:sz w:val="18"/>
          <w:szCs w:val="18"/>
        </w:rPr>
      </w:pPr>
      <w:r w:rsidRPr="000A5383">
        <w:rPr>
          <w:rFonts w:ascii="ITC Avant Garde" w:eastAsia="Calibri" w:hAnsi="ITC Avant Garde"/>
          <w:i/>
          <w:sz w:val="18"/>
          <w:szCs w:val="18"/>
        </w:rPr>
        <w:t xml:space="preserve">La Solicitud de prórroga presentada por </w:t>
      </w:r>
      <w:r w:rsidRPr="000A5383">
        <w:rPr>
          <w:rFonts w:ascii="ITC Avant Garde" w:hAnsi="ITC Avant Garde"/>
          <w:i/>
          <w:sz w:val="18"/>
          <w:szCs w:val="18"/>
        </w:rPr>
        <w:t>Global México</w:t>
      </w:r>
      <w:r w:rsidRPr="000A5383">
        <w:rPr>
          <w:rFonts w:ascii="ITC Avant Garde" w:eastAsia="Calibri" w:hAnsi="ITC Avant Garde"/>
          <w:i/>
          <w:sz w:val="18"/>
          <w:szCs w:val="18"/>
        </w:rPr>
        <w:t xml:space="preserve"> se refiere a una concesión para instalar y operar una red pública de telecomunicaciones que autoriza la prestación de servicios móviles satelitales de voz, datos, </w:t>
      </w:r>
      <w:r w:rsidRPr="001E1983">
        <w:rPr>
          <w:rFonts w:ascii="ITC Avant Garde" w:eastAsia="Calibri" w:hAnsi="ITC Avant Garde"/>
          <w:i/>
          <w:sz w:val="18"/>
          <w:szCs w:val="18"/>
        </w:rPr>
        <w:t>mensajes y geolocalización, a nivel nacional;</w:t>
      </w:r>
    </w:p>
    <w:p w14:paraId="554322DD" w14:textId="77777777" w:rsidR="000A5383" w:rsidRPr="001E1983" w:rsidRDefault="000A5383" w:rsidP="001F3D65">
      <w:pPr>
        <w:pStyle w:val="Prrafodelista"/>
        <w:numPr>
          <w:ilvl w:val="0"/>
          <w:numId w:val="6"/>
        </w:numPr>
        <w:spacing w:before="240"/>
        <w:ind w:right="615"/>
        <w:jc w:val="both"/>
        <w:rPr>
          <w:rFonts w:ascii="ITC Avant Garde" w:hAnsi="ITC Avant Garde"/>
          <w:i/>
          <w:sz w:val="18"/>
          <w:szCs w:val="18"/>
        </w:rPr>
      </w:pPr>
      <w:r w:rsidRPr="001E1983">
        <w:rPr>
          <w:rFonts w:ascii="ITC Avant Garde" w:eastAsia="Calibri" w:hAnsi="ITC Avant Garde"/>
          <w:i/>
          <w:sz w:val="18"/>
          <w:szCs w:val="18"/>
        </w:rPr>
        <w:t>Para prestar sus servicios, Global México utiliza como insumo la capacidad de satélites extranjeros con cobertura en el territorio nacional y que son operados por Globalstar Inc.</w:t>
      </w:r>
    </w:p>
    <w:p w14:paraId="0B9D6502" w14:textId="77777777" w:rsidR="000A5383" w:rsidRPr="000A5383" w:rsidRDefault="000A5383" w:rsidP="001F3D65">
      <w:pPr>
        <w:pStyle w:val="Prrafodelista"/>
        <w:numPr>
          <w:ilvl w:val="0"/>
          <w:numId w:val="6"/>
        </w:numPr>
        <w:spacing w:before="240"/>
        <w:ind w:right="615"/>
        <w:jc w:val="both"/>
        <w:rPr>
          <w:rFonts w:ascii="ITC Avant Garde" w:hAnsi="ITC Avant Garde"/>
          <w:i/>
          <w:sz w:val="18"/>
          <w:szCs w:val="18"/>
        </w:rPr>
      </w:pPr>
      <w:r w:rsidRPr="000A5383">
        <w:rPr>
          <w:rFonts w:ascii="ITC Avant Garde" w:eastAsia="Calibri" w:hAnsi="ITC Avant Garde"/>
          <w:i/>
          <w:sz w:val="18"/>
          <w:szCs w:val="18"/>
        </w:rPr>
        <w:t>Existen al menos cuatro proveedores de servicios móviles satelitales en el territorio nacional, incluyendo al Solicitante. No se identificó que el Solicitante esté vinculado con otros proveedores de servicios móviles satelitales;</w:t>
      </w:r>
    </w:p>
    <w:p w14:paraId="3038C6B5" w14:textId="77777777" w:rsidR="000A5383" w:rsidRPr="000A5383" w:rsidRDefault="000A5383" w:rsidP="001F3D65">
      <w:pPr>
        <w:pStyle w:val="Prrafodelista"/>
        <w:numPr>
          <w:ilvl w:val="0"/>
          <w:numId w:val="6"/>
        </w:numPr>
        <w:spacing w:before="240"/>
        <w:ind w:right="615"/>
        <w:jc w:val="both"/>
        <w:rPr>
          <w:rFonts w:ascii="ITC Avant Garde" w:hAnsi="ITC Avant Garde"/>
          <w:i/>
          <w:sz w:val="18"/>
          <w:szCs w:val="18"/>
        </w:rPr>
      </w:pPr>
      <w:r w:rsidRPr="000A5383">
        <w:rPr>
          <w:rFonts w:ascii="ITC Avant Garde" w:hAnsi="ITC Avant Garde"/>
          <w:i/>
          <w:sz w:val="18"/>
          <w:szCs w:val="18"/>
        </w:rPr>
        <w:t>La existencia de un mayor número de competidores en los servicios móviles satelitales tiene efectos favorables sobre el proceso de competencia. De otorgarse la prórroga solicitada, Global México continuaría participando como competidor en la provisión de servicios móviles satelitales.</w:t>
      </w:r>
    </w:p>
    <w:p w14:paraId="0D2BE473" w14:textId="77777777" w:rsidR="000A5383" w:rsidRPr="000A5383" w:rsidRDefault="000A5383" w:rsidP="001F3D65">
      <w:pPr>
        <w:spacing w:before="240" w:after="0" w:line="240" w:lineRule="auto"/>
        <w:ind w:left="1418" w:right="615"/>
        <w:jc w:val="both"/>
        <w:rPr>
          <w:rFonts w:ascii="ITC Avant Garde" w:hAnsi="ITC Avant Garde"/>
          <w:i/>
          <w:sz w:val="18"/>
          <w:szCs w:val="18"/>
        </w:rPr>
      </w:pPr>
      <w:r w:rsidRPr="000A5383">
        <w:rPr>
          <w:rFonts w:ascii="ITC Avant Garde" w:hAnsi="ITC Avant Garde"/>
          <w:i/>
          <w:sz w:val="18"/>
          <w:szCs w:val="18"/>
        </w:rPr>
        <w:t xml:space="preserve">Así, con base en la información disponible, no se identifican elementos que permitan concluir que la autorización de la prórroga solicitada por Global México pudiese tener efectos contrarios en el proceso de competencia y libre concurrencia. </w:t>
      </w:r>
    </w:p>
    <w:p w14:paraId="0C87B0CA" w14:textId="6175BBA1" w:rsidR="00B7256C" w:rsidRPr="00F45A3D" w:rsidRDefault="000A5383" w:rsidP="001F3D65">
      <w:pPr>
        <w:spacing w:before="240" w:after="0" w:line="240" w:lineRule="auto"/>
        <w:ind w:left="1418" w:right="615"/>
        <w:jc w:val="both"/>
        <w:rPr>
          <w:rFonts w:ascii="ITC Avant Garde" w:hAnsi="ITC Avant Garde"/>
          <w:i/>
          <w:sz w:val="18"/>
          <w:szCs w:val="18"/>
        </w:rPr>
      </w:pPr>
      <w:r w:rsidRPr="000A5383">
        <w:rPr>
          <w:rFonts w:ascii="ITC Avant Garde" w:hAnsi="ITC Avant Garde"/>
          <w:i/>
          <w:sz w:val="18"/>
          <w:szCs w:val="18"/>
        </w:rPr>
        <w:t>El análisis y la opinión que se emiten en este documento se circunscriben a la evaluación en materia de competencia económica de la Solicitud, sin prejuzgar respecto de otras autorizaciones, requisitos u obligaciones que, en su caso, Global México deba obtener de este Instituto u otra autoridad competente. Tampoco se prejuzga sobre violaciones a la Ley Federal de Competencia Económica, la LFTR u otros ordenamientos, en que haya incurrido o pueda incurrir Global México.</w:t>
      </w:r>
      <w:r w:rsidR="00B7256C" w:rsidRPr="000A5383">
        <w:rPr>
          <w:rFonts w:ascii="ITC Avant Garde" w:hAnsi="ITC Avant Garde"/>
          <w:i/>
          <w:sz w:val="18"/>
          <w:szCs w:val="18"/>
        </w:rPr>
        <w:t>”</w:t>
      </w:r>
    </w:p>
    <w:p w14:paraId="2C752438" w14:textId="7E643E56" w:rsidR="00B7256C" w:rsidRDefault="00B7256C" w:rsidP="001F3D65">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Por otro lado, </w:t>
      </w:r>
      <w:r w:rsidRPr="0091001A">
        <w:rPr>
          <w:rFonts w:ascii="ITC Avant Garde" w:hAnsi="ITC Avant Garde"/>
          <w:bCs/>
        </w:rPr>
        <w:t>en relación con lo señalado en el párrafo cuarto del artículo 114 de la Ley, a</w:t>
      </w:r>
      <w:r>
        <w:rPr>
          <w:rFonts w:ascii="ITC Avant Garde" w:hAnsi="ITC Avant Garde"/>
          <w:bCs/>
        </w:rPr>
        <w:t xml:space="preserve"> través del</w:t>
      </w:r>
      <w:r w:rsidRPr="0091001A">
        <w:rPr>
          <w:rFonts w:ascii="ITC Avant Garde" w:hAnsi="ITC Avant Garde"/>
          <w:bCs/>
        </w:rPr>
        <w:t xml:space="preserve"> oficio </w:t>
      </w:r>
      <w:r w:rsidRPr="00C47409">
        <w:rPr>
          <w:rFonts w:ascii="ITC Avant Garde" w:hAnsi="ITC Avant Garde"/>
          <w:bCs/>
        </w:rPr>
        <w:t>IFT/223/UCS/</w:t>
      </w:r>
      <w:r w:rsidR="00193600">
        <w:rPr>
          <w:rFonts w:ascii="ITC Avant Garde" w:hAnsi="ITC Avant Garde"/>
          <w:bCs/>
        </w:rPr>
        <w:t>2005</w:t>
      </w:r>
      <w:r w:rsidRPr="00C47409">
        <w:rPr>
          <w:rFonts w:ascii="ITC Avant Garde" w:hAnsi="ITC Avant Garde"/>
          <w:bCs/>
        </w:rPr>
        <w:t xml:space="preserve">/2015 notificado el </w:t>
      </w:r>
      <w:r>
        <w:rPr>
          <w:rFonts w:ascii="ITC Avant Garde" w:hAnsi="ITC Avant Garde"/>
          <w:bCs/>
        </w:rPr>
        <w:t>1</w:t>
      </w:r>
      <w:r w:rsidR="00193600">
        <w:rPr>
          <w:rFonts w:ascii="ITC Avant Garde" w:hAnsi="ITC Avant Garde"/>
          <w:bCs/>
        </w:rPr>
        <w:t>8</w:t>
      </w:r>
      <w:r w:rsidRPr="00C47409">
        <w:rPr>
          <w:rFonts w:ascii="ITC Avant Garde" w:hAnsi="ITC Avant Garde"/>
          <w:bCs/>
        </w:rPr>
        <w:t xml:space="preserve"> de </w:t>
      </w:r>
      <w:r w:rsidR="00193600">
        <w:rPr>
          <w:rFonts w:ascii="ITC Avant Garde" w:hAnsi="ITC Avant Garde"/>
          <w:bCs/>
        </w:rPr>
        <w:t>septiembre</w:t>
      </w:r>
      <w:r w:rsidR="00193C4F">
        <w:rPr>
          <w:rFonts w:ascii="ITC Avant Garde" w:hAnsi="ITC Avant Garde"/>
          <w:bCs/>
        </w:rPr>
        <w:t xml:space="preserve"> </w:t>
      </w:r>
      <w:r w:rsidRPr="00C47409">
        <w:rPr>
          <w:rFonts w:ascii="ITC Avant Garde" w:hAnsi="ITC Avant Garde"/>
          <w:bCs/>
        </w:rPr>
        <w:t>de 2015</w:t>
      </w:r>
      <w:r w:rsidRPr="0091001A">
        <w:rPr>
          <w:rFonts w:ascii="ITC Avant Garde" w:hAnsi="ITC Avant Garde"/>
          <w:bCs/>
        </w:rPr>
        <w:t>, el Instituto solicitó a la Secretaría opinión técnica correspondiente a la Solicitud de P</w:t>
      </w:r>
      <w:r>
        <w:rPr>
          <w:rFonts w:ascii="ITC Avant Garde" w:hAnsi="ITC Avant Garde"/>
          <w:bCs/>
        </w:rPr>
        <w:t>rórroga. A</w:t>
      </w:r>
      <w:r w:rsidRPr="0091001A">
        <w:rPr>
          <w:rFonts w:ascii="ITC Avant Garde" w:hAnsi="ITC Avant Garde"/>
          <w:bCs/>
        </w:rPr>
        <w:t>l respecto mediante oficio</w:t>
      </w:r>
      <w:r>
        <w:rPr>
          <w:rFonts w:ascii="ITC Avant Garde" w:hAnsi="ITC Avant Garde"/>
          <w:bCs/>
        </w:rPr>
        <w:t xml:space="preserve"> 2.1.</w:t>
      </w:r>
      <w:r w:rsidR="00193C4F">
        <w:rPr>
          <w:rFonts w:ascii="ITC Avant Garde" w:hAnsi="ITC Avant Garde"/>
          <w:bCs/>
        </w:rPr>
        <w:t>203.</w:t>
      </w:r>
      <w:r>
        <w:rPr>
          <w:rFonts w:ascii="ITC Avant Garde" w:hAnsi="ITC Avant Garde"/>
          <w:bCs/>
        </w:rPr>
        <w:t>-</w:t>
      </w:r>
      <w:r w:rsidR="00193C4F">
        <w:rPr>
          <w:rFonts w:ascii="ITC Avant Garde" w:hAnsi="ITC Avant Garde"/>
          <w:bCs/>
        </w:rPr>
        <w:t>1417</w:t>
      </w:r>
      <w:r>
        <w:rPr>
          <w:rFonts w:ascii="ITC Avant Garde" w:hAnsi="ITC Avant Garde"/>
          <w:bCs/>
        </w:rPr>
        <w:t xml:space="preserve"> emitido por la Dirección General de </w:t>
      </w:r>
      <w:r>
        <w:rPr>
          <w:rFonts w:ascii="ITC Avant Garde" w:hAnsi="ITC Avant Garde"/>
          <w:bCs/>
        </w:rPr>
        <w:lastRenderedPageBreak/>
        <w:t>Política de Telecomunicaciones y de Radiodifusión</w:t>
      </w:r>
      <w:r w:rsidR="00050C4F">
        <w:rPr>
          <w:rFonts w:ascii="ITC Avant Garde" w:hAnsi="ITC Avant Garde"/>
          <w:bCs/>
        </w:rPr>
        <w:t>,</w:t>
      </w:r>
      <w:r>
        <w:rPr>
          <w:rFonts w:ascii="ITC Avant Garde" w:hAnsi="ITC Avant Garde"/>
          <w:bCs/>
        </w:rPr>
        <w:t xml:space="preserve"> adscrita a la Secretaría</w:t>
      </w:r>
      <w:r w:rsidR="00050C4F">
        <w:rPr>
          <w:rFonts w:ascii="ITC Avant Garde" w:hAnsi="ITC Avant Garde"/>
          <w:bCs/>
        </w:rPr>
        <w:t>,</w:t>
      </w:r>
      <w:r w:rsidRPr="007D3DF2">
        <w:rPr>
          <w:rFonts w:ascii="ITC Avant Garde" w:hAnsi="ITC Avant Garde"/>
          <w:bCs/>
        </w:rPr>
        <w:t xml:space="preserve"> </w:t>
      </w:r>
      <w:r>
        <w:rPr>
          <w:rFonts w:ascii="ITC Avant Garde" w:hAnsi="ITC Avant Garde"/>
          <w:bCs/>
        </w:rPr>
        <w:t xml:space="preserve">y </w:t>
      </w:r>
      <w:r w:rsidRPr="0091001A">
        <w:rPr>
          <w:rFonts w:ascii="ITC Avant Garde" w:hAnsi="ITC Avant Garde"/>
          <w:bCs/>
        </w:rPr>
        <w:t xml:space="preserve">recibido en este Instituto el </w:t>
      </w:r>
      <w:r w:rsidR="00193C4F">
        <w:rPr>
          <w:rFonts w:ascii="ITC Avant Garde" w:hAnsi="ITC Avant Garde"/>
          <w:bCs/>
        </w:rPr>
        <w:t>11</w:t>
      </w:r>
      <w:r>
        <w:rPr>
          <w:rFonts w:ascii="ITC Avant Garde" w:hAnsi="ITC Avant Garde"/>
          <w:bCs/>
        </w:rPr>
        <w:t xml:space="preserve"> de </w:t>
      </w:r>
      <w:r w:rsidR="00193C4F">
        <w:rPr>
          <w:rFonts w:ascii="ITC Avant Garde" w:hAnsi="ITC Avant Garde"/>
          <w:bCs/>
        </w:rPr>
        <w:t>noviembre</w:t>
      </w:r>
      <w:r>
        <w:rPr>
          <w:rFonts w:ascii="ITC Avant Garde" w:hAnsi="ITC Avant Garde"/>
          <w:bCs/>
        </w:rPr>
        <w:t xml:space="preserve"> de 2015, notificó el oficio</w:t>
      </w:r>
      <w:r w:rsidRPr="0091001A">
        <w:rPr>
          <w:rFonts w:ascii="ITC Avant Garde" w:hAnsi="ITC Avant Garde"/>
          <w:bCs/>
        </w:rPr>
        <w:t xml:space="preserve"> 1.-</w:t>
      </w:r>
      <w:r w:rsidR="00193C4F">
        <w:rPr>
          <w:rFonts w:ascii="ITC Avant Garde" w:hAnsi="ITC Avant Garde"/>
          <w:bCs/>
        </w:rPr>
        <w:t>349</w:t>
      </w:r>
      <w:r>
        <w:rPr>
          <w:rFonts w:ascii="ITC Avant Garde" w:hAnsi="ITC Avant Garde"/>
          <w:bCs/>
        </w:rPr>
        <w:t xml:space="preserve"> mediante el cual</w:t>
      </w:r>
      <w:r w:rsidRPr="0091001A">
        <w:rPr>
          <w:rFonts w:ascii="ITC Avant Garde" w:hAnsi="ITC Avant Garde"/>
          <w:bCs/>
        </w:rPr>
        <w:t xml:space="preserve"> la Secretaría emitió la opinión técnica en sentido favorable</w:t>
      </w:r>
      <w:r>
        <w:rPr>
          <w:rFonts w:ascii="ITC Avant Garde" w:hAnsi="ITC Avant Garde"/>
          <w:bCs/>
        </w:rPr>
        <w:t>.</w:t>
      </w:r>
    </w:p>
    <w:p w14:paraId="556D8AB3" w14:textId="2C14C9E1" w:rsidR="00B7256C" w:rsidRDefault="00B7256C" w:rsidP="001F3D65">
      <w:pPr>
        <w:autoSpaceDE w:val="0"/>
        <w:autoSpaceDN w:val="0"/>
        <w:adjustRightInd w:val="0"/>
        <w:spacing w:before="240" w:after="0" w:line="240" w:lineRule="auto"/>
        <w:jc w:val="both"/>
        <w:rPr>
          <w:rFonts w:ascii="ITC Avant Garde" w:hAnsi="ITC Avant Garde"/>
        </w:rPr>
      </w:pPr>
      <w:r w:rsidRPr="00BF560A">
        <w:rPr>
          <w:rFonts w:ascii="ITC Avant Garde" w:hAnsi="ITC Avant Garde"/>
        </w:rPr>
        <w:t xml:space="preserve">Finalmente, </w:t>
      </w:r>
      <w:r w:rsidR="00193C4F" w:rsidRPr="00193600">
        <w:rPr>
          <w:rFonts w:ascii="ITC Avant Garde" w:hAnsi="ITC Avant Garde"/>
        </w:rPr>
        <w:t>Globalstar de México, S. de R.L. de C.V</w:t>
      </w:r>
      <w:r w:rsidR="00193C4F">
        <w:rPr>
          <w:rFonts w:ascii="ITC Avant Garde" w:hAnsi="ITC Avant Garde"/>
        </w:rPr>
        <w:t>.</w:t>
      </w:r>
      <w:r w:rsidRPr="00BF560A">
        <w:rPr>
          <w:rFonts w:ascii="ITC Avant Garde" w:hAnsi="ITC Avant Garde"/>
        </w:rPr>
        <w:t xml:space="preserve"> presentó el comprobante de pago de derechos por el estudio de la solicitud de prórroga del título de concesión, conforme a la fracción III del artículo 94 de la Ley Federal de Derechos</w:t>
      </w:r>
      <w:r w:rsidR="00485FDC">
        <w:rPr>
          <w:rFonts w:ascii="ITC Avant Garde" w:hAnsi="ITC Avant Garde"/>
        </w:rPr>
        <w:t xml:space="preserve"> vigente al momento de la presentación de la Solicitud de Prórroga</w:t>
      </w:r>
      <w:r w:rsidRPr="00BF560A">
        <w:rPr>
          <w:rFonts w:ascii="ITC Avant Garde" w:hAnsi="ITC Avant Garde"/>
        </w:rPr>
        <w:t>.</w:t>
      </w:r>
    </w:p>
    <w:p w14:paraId="17564999" w14:textId="5835924D" w:rsidR="00280355" w:rsidRDefault="00280355" w:rsidP="001F3D65">
      <w:pPr>
        <w:spacing w:before="240" w:line="240" w:lineRule="auto"/>
        <w:jc w:val="both"/>
        <w:rPr>
          <w:rFonts w:ascii="ITC Avant Garde" w:eastAsiaTheme="minorHAnsi" w:hAnsi="ITC Avant Garde"/>
          <w:color w:val="000000"/>
          <w:lang w:eastAsia="es-MX"/>
        </w:rPr>
      </w:pPr>
      <w:r>
        <w:rPr>
          <w:rFonts w:ascii="ITC Avant Garde" w:hAnsi="ITC Avant Garde"/>
          <w:b/>
          <w:bCs/>
          <w:color w:val="000000"/>
          <w:lang w:eastAsia="es-MX"/>
        </w:rPr>
        <w:t xml:space="preserve">Cuarto.- Cobro sobre el pago de derechos por diversos trámites ante la entrada en vigor de la Ley Federal de Derechos vigente para 2016. </w:t>
      </w:r>
      <w:r>
        <w:rPr>
          <w:rFonts w:ascii="ITC Avant Garde" w:hAnsi="ITC Avant Garde"/>
          <w:color w:val="000000"/>
          <w:lang w:eastAsia="es-MX"/>
        </w:rPr>
        <w:t>El pasado 18 de noviembre de 2015 se publicó en el Diario Oficial de la Federación el “</w:t>
      </w:r>
      <w:r>
        <w:rPr>
          <w:rFonts w:ascii="ITC Avant Garde" w:hAnsi="ITC Avant Garde"/>
          <w:i/>
          <w:iCs/>
          <w:color w:val="000000"/>
          <w:lang w:eastAsia="es-MX"/>
        </w:rPr>
        <w:t>Decreto por el que se reforman, adicionan y derogan diversas disposiciones de la Ley Federal de Derechos</w:t>
      </w:r>
      <w:r>
        <w:rPr>
          <w:rFonts w:ascii="ITC Avant Garde"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64522528" w14:textId="77777777" w:rsidR="00280355" w:rsidRDefault="00280355" w:rsidP="00280355">
      <w:pPr>
        <w:spacing w:line="240" w:lineRule="auto"/>
        <w:jc w:val="both"/>
        <w:rPr>
          <w:rFonts w:ascii="ITC Avant Garde" w:hAnsi="ITC Avant Garde"/>
          <w:color w:val="000000"/>
          <w:lang w:eastAsia="es-MX"/>
        </w:rPr>
      </w:pPr>
      <w:r>
        <w:rPr>
          <w:rFonts w:ascii="ITC Avant Garde"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el artículo 94 de la Ley Federal de Derechos, al haber sido derogado, no puede ser aplicado a los trámites de prórrogas de títulos de concesiones para la instalación, operación o explotación de redes públicas de telecomunicaciones.</w:t>
      </w:r>
    </w:p>
    <w:p w14:paraId="3E6860AC" w14:textId="77777777" w:rsidR="00280355" w:rsidRDefault="00280355" w:rsidP="00280355">
      <w:pPr>
        <w:spacing w:line="240" w:lineRule="auto"/>
        <w:jc w:val="both"/>
        <w:rPr>
          <w:rFonts w:ascii="ITC Avant Garde" w:hAnsi="ITC Avant Garde"/>
          <w:color w:val="000000"/>
          <w:lang w:eastAsia="es-MX"/>
        </w:rPr>
      </w:pPr>
      <w:r>
        <w:rPr>
          <w:rFonts w:ascii="ITC Avant Garde" w:hAnsi="ITC Avant Garde"/>
          <w:color w:val="000000"/>
          <w:lang w:eastAsia="es-MX"/>
        </w:rPr>
        <w:t xml:space="preserve">En este sentido, la Ley Federal de Derechos vigente a partir del 1º de enero de 2016 estableció en su artículo 174-B un nuevo sistema de cobro de derechos para los trámites relativos al estudio de la solicitud y, en su caso, expedición del título o prórroga de concesión única para prestar todo tipo de servicios de telecomunicaciones y radiodifusión, señalando que en un único cobro va integrado el estudio, y en su caso la expedición de la misma, situación distinta a la prevista en la Ley Federal de Derechos vigente hasta 2015, que establecía de manera diferenciada los cobros para el estudio y, en su caso, autorización de las solicitudes de prórroga de redes públicas de telecomunicaciones. </w:t>
      </w:r>
    </w:p>
    <w:p w14:paraId="644CEF75" w14:textId="738F00BB" w:rsidR="00280355" w:rsidRDefault="00280355" w:rsidP="001F3D65">
      <w:pPr>
        <w:spacing w:before="240" w:after="0" w:line="240" w:lineRule="auto"/>
        <w:jc w:val="both"/>
        <w:rPr>
          <w:rFonts w:ascii="ITC Avant Garde" w:hAnsi="ITC Avant Garde"/>
          <w:color w:val="000000"/>
          <w:lang w:eastAsia="es-MX"/>
        </w:rPr>
      </w:pPr>
      <w:r>
        <w:rPr>
          <w:rFonts w:ascii="ITC Avant Garde" w:hAnsi="ITC Avant Garde"/>
          <w:color w:val="000000"/>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expedición respectiva. Aunado a lo anterior, tanto el artículo 94 como el artículo 174-B</w:t>
      </w:r>
      <w:r w:rsidR="006F56AA">
        <w:rPr>
          <w:rFonts w:ascii="ITC Avant Garde" w:hAnsi="ITC Avant Garde"/>
          <w:color w:val="000000"/>
          <w:lang w:eastAsia="es-MX"/>
        </w:rPr>
        <w:t xml:space="preserve"> de la Ley Federal de Derechos </w:t>
      </w:r>
      <w:r>
        <w:rPr>
          <w:rFonts w:ascii="ITC Avant Garde" w:hAnsi="ITC Avant Garde"/>
          <w:color w:val="000000"/>
          <w:lang w:eastAsia="es-MX"/>
        </w:rPr>
        <w:t xml:space="preserve">prevén figuras </w:t>
      </w:r>
      <w:r>
        <w:rPr>
          <w:rFonts w:ascii="ITC Avant Garde" w:hAnsi="ITC Avant Garde"/>
          <w:color w:val="000000"/>
          <w:lang w:eastAsia="es-MX"/>
        </w:rPr>
        <w:lastRenderedPageBreak/>
        <w:t>de concesionamiento diferentes</w:t>
      </w:r>
      <w:r w:rsidR="009178E9">
        <w:rPr>
          <w:rFonts w:ascii="ITC Avant Garde" w:hAnsi="ITC Avant Garde"/>
          <w:color w:val="000000"/>
          <w:lang w:eastAsia="es-MX"/>
        </w:rPr>
        <w:t xml:space="preserve"> y</w:t>
      </w:r>
      <w:r>
        <w:rPr>
          <w:rFonts w:ascii="ITC Avant Garde" w:hAnsi="ITC Avant Garde"/>
          <w:color w:val="000000"/>
          <w:lang w:eastAsia="es-MX"/>
        </w:rPr>
        <w:t xml:space="preserve"> tratándose de disposiciones de carácter fiscal, se debe atender al principio de exacta aplicación de las mismas, por lo que no procede aplicar el cobro por la autorización de la prórroga que nos ocupa, toda vez que no puede ser diferenciado ni tampoco corresponden a la misma figura de concesionamiento.</w:t>
      </w:r>
    </w:p>
    <w:p w14:paraId="66A6D78D" w14:textId="5CC2F630" w:rsidR="00A82E16" w:rsidRDefault="00A82E16" w:rsidP="001F3D65">
      <w:pPr>
        <w:spacing w:before="240" w:line="240" w:lineRule="auto"/>
        <w:jc w:val="both"/>
        <w:rPr>
          <w:rFonts w:ascii="ITC Avant Garde" w:hAnsi="ITC Avant Garde"/>
          <w:bCs/>
          <w:color w:val="000000"/>
          <w:lang w:eastAsia="es-MX"/>
        </w:rPr>
      </w:pPr>
      <w:r>
        <w:rPr>
          <w:rFonts w:ascii="ITC Avant Garde" w:hAnsi="ITC Avant Garde"/>
          <w:b/>
          <w:bCs/>
          <w:color w:val="000000"/>
          <w:lang w:eastAsia="es-MX"/>
        </w:rPr>
        <w:t xml:space="preserve">Quinto.- Condición 4 </w:t>
      </w:r>
      <w:r w:rsidR="003E37F7">
        <w:rPr>
          <w:rFonts w:ascii="ITC Avant Garde" w:hAnsi="ITC Avant Garde"/>
          <w:b/>
          <w:bCs/>
          <w:color w:val="000000"/>
          <w:lang w:eastAsia="es-MX"/>
        </w:rPr>
        <w:t xml:space="preserve">del Capítulo Cuarto </w:t>
      </w:r>
      <w:r>
        <w:rPr>
          <w:rFonts w:ascii="ITC Avant Garde" w:hAnsi="ITC Avant Garde"/>
          <w:b/>
          <w:bCs/>
          <w:color w:val="000000"/>
          <w:lang w:eastAsia="es-MX"/>
        </w:rPr>
        <w:t>“Cobertura Social y Contraprestaciones” de la Concesión.</w:t>
      </w:r>
      <w:r w:rsidR="003E37F7">
        <w:rPr>
          <w:rFonts w:ascii="ITC Avant Garde" w:hAnsi="ITC Avant Garde"/>
          <w:b/>
          <w:bCs/>
          <w:color w:val="000000"/>
          <w:lang w:eastAsia="es-MX"/>
        </w:rPr>
        <w:t xml:space="preserve"> </w:t>
      </w:r>
      <w:r w:rsidR="003E37F7">
        <w:rPr>
          <w:rFonts w:ascii="ITC Avant Garde" w:hAnsi="ITC Avant Garde"/>
          <w:bCs/>
          <w:color w:val="000000"/>
          <w:lang w:eastAsia="es-MX"/>
        </w:rPr>
        <w:t>La Condición 4 del Capítulo Cuarto “Cobertura Social y Contraprestaciones” de la Concesión señala lo siguiente:</w:t>
      </w:r>
    </w:p>
    <w:p w14:paraId="15A96B1D" w14:textId="2393A5CB" w:rsidR="003E37F7" w:rsidRPr="00CC0496" w:rsidRDefault="003E37F7" w:rsidP="00F8158D">
      <w:pPr>
        <w:spacing w:line="240" w:lineRule="auto"/>
        <w:ind w:left="1418" w:right="332"/>
        <w:jc w:val="both"/>
        <w:rPr>
          <w:rFonts w:ascii="ITC Avant Garde" w:hAnsi="ITC Avant Garde"/>
          <w:bCs/>
          <w:i/>
          <w:color w:val="000000"/>
          <w:sz w:val="18"/>
          <w:szCs w:val="18"/>
          <w:lang w:eastAsia="es-MX"/>
        </w:rPr>
      </w:pPr>
      <w:r w:rsidRPr="00CC0496">
        <w:rPr>
          <w:rFonts w:ascii="ITC Avant Garde" w:hAnsi="ITC Avant Garde"/>
          <w:bCs/>
          <w:i/>
          <w:color w:val="000000"/>
          <w:sz w:val="18"/>
          <w:szCs w:val="18"/>
          <w:lang w:eastAsia="es-MX"/>
        </w:rPr>
        <w:t>“[…]</w:t>
      </w:r>
    </w:p>
    <w:p w14:paraId="3E6B6827" w14:textId="5E572BE1" w:rsidR="003E37F7" w:rsidRPr="00CC0496" w:rsidRDefault="003E37F7" w:rsidP="00F8158D">
      <w:pPr>
        <w:spacing w:line="240" w:lineRule="auto"/>
        <w:ind w:left="1418" w:right="332"/>
        <w:jc w:val="both"/>
        <w:rPr>
          <w:rFonts w:ascii="ITC Avant Garde" w:hAnsi="ITC Avant Garde"/>
          <w:bCs/>
          <w:i/>
          <w:color w:val="000000"/>
          <w:sz w:val="18"/>
          <w:szCs w:val="18"/>
          <w:lang w:eastAsia="es-MX"/>
        </w:rPr>
      </w:pPr>
      <w:r w:rsidRPr="00CC0496">
        <w:rPr>
          <w:rFonts w:ascii="ITC Avant Garde" w:hAnsi="ITC Avant Garde"/>
          <w:bCs/>
          <w:i/>
          <w:color w:val="000000"/>
          <w:sz w:val="18"/>
          <w:szCs w:val="18"/>
          <w:lang w:eastAsia="es-MX"/>
        </w:rPr>
        <w:t>El Concesionario enterará al Gobierno Federal para fines de cobertura social y servicios en situaciones de emergencia durante la vigencia de la Concesión el 5% (cinco por ciento) de los ingresos brutos por la prestación de los servicios comprendidos en el Anexo A de la Concesión.</w:t>
      </w:r>
    </w:p>
    <w:p w14:paraId="513B4BC7" w14:textId="3F7D82B2" w:rsidR="003E37F7" w:rsidRPr="00CC0496" w:rsidRDefault="003E37F7" w:rsidP="00F8158D">
      <w:pPr>
        <w:spacing w:line="240" w:lineRule="auto"/>
        <w:ind w:left="1418" w:right="332"/>
        <w:jc w:val="both"/>
        <w:rPr>
          <w:rFonts w:ascii="ITC Avant Garde" w:hAnsi="ITC Avant Garde"/>
          <w:bCs/>
          <w:i/>
          <w:color w:val="000000"/>
          <w:sz w:val="18"/>
          <w:szCs w:val="18"/>
          <w:lang w:eastAsia="es-MX"/>
        </w:rPr>
      </w:pPr>
      <w:r w:rsidRPr="00CC0496">
        <w:rPr>
          <w:rFonts w:ascii="ITC Avant Garde" w:hAnsi="ITC Avant Garde"/>
          <w:bCs/>
          <w:i/>
          <w:color w:val="000000"/>
          <w:sz w:val="18"/>
          <w:szCs w:val="18"/>
          <w:lang w:eastAsia="es-MX"/>
        </w:rPr>
        <w:t>El Concesionario deberá cubrir la aportación en moneda nacional semestralmente en la Tesorería de la Federación o en la Oficina Federal de Hacienda de la localidad dentro de los siguientes 10 (diez)</w:t>
      </w:r>
      <w:r w:rsidR="00F8158D" w:rsidRPr="00CC0496">
        <w:rPr>
          <w:rFonts w:ascii="ITC Avant Garde" w:hAnsi="ITC Avant Garde"/>
          <w:bCs/>
          <w:i/>
          <w:color w:val="000000"/>
          <w:sz w:val="18"/>
          <w:szCs w:val="18"/>
          <w:lang w:eastAsia="es-MX"/>
        </w:rPr>
        <w:t xml:space="preserve"> días naturales al cierre del semestre al que correspondan los ingresos brutos debiendo remitir a la Secretaría y a la Comisión copia del comprobante respectivo acompañada del desglose de los ingresos percibidos por tipo de servicio.</w:t>
      </w:r>
    </w:p>
    <w:p w14:paraId="4D0BC5BF" w14:textId="4F3CD92D" w:rsidR="00F8158D" w:rsidRDefault="00F8158D" w:rsidP="00F8158D">
      <w:pPr>
        <w:spacing w:line="240" w:lineRule="auto"/>
        <w:ind w:left="1418" w:right="332"/>
        <w:jc w:val="both"/>
        <w:rPr>
          <w:rFonts w:ascii="ITC Avant Garde" w:hAnsi="ITC Avant Garde"/>
          <w:bCs/>
          <w:color w:val="000000"/>
          <w:sz w:val="18"/>
          <w:szCs w:val="18"/>
          <w:lang w:eastAsia="es-MX"/>
        </w:rPr>
      </w:pPr>
      <w:r w:rsidRPr="00CC0496">
        <w:rPr>
          <w:rFonts w:ascii="ITC Avant Garde" w:hAnsi="ITC Avant Garde"/>
          <w:bCs/>
          <w:i/>
          <w:color w:val="000000"/>
          <w:sz w:val="18"/>
          <w:szCs w:val="18"/>
          <w:lang w:eastAsia="es-MX"/>
        </w:rPr>
        <w:t>[…].”</w:t>
      </w:r>
      <w:r w:rsidR="00CC0496">
        <w:rPr>
          <w:rFonts w:ascii="ITC Avant Garde" w:hAnsi="ITC Avant Garde"/>
          <w:bCs/>
          <w:i/>
          <w:color w:val="000000"/>
          <w:sz w:val="18"/>
          <w:szCs w:val="18"/>
          <w:lang w:eastAsia="es-MX"/>
        </w:rPr>
        <w:t xml:space="preserve"> </w:t>
      </w:r>
      <w:r w:rsidR="00CC0496">
        <w:rPr>
          <w:rFonts w:ascii="ITC Avant Garde" w:hAnsi="ITC Avant Garde"/>
          <w:bCs/>
          <w:color w:val="000000"/>
          <w:sz w:val="18"/>
          <w:szCs w:val="18"/>
          <w:lang w:eastAsia="es-MX"/>
        </w:rPr>
        <w:t>[S</w:t>
      </w:r>
      <w:r w:rsidR="00CC0496" w:rsidRPr="00CC0496">
        <w:rPr>
          <w:rFonts w:ascii="ITC Avant Garde" w:hAnsi="ITC Avant Garde"/>
          <w:bCs/>
          <w:color w:val="000000"/>
          <w:sz w:val="18"/>
          <w:szCs w:val="18"/>
          <w:lang w:eastAsia="es-MX"/>
        </w:rPr>
        <w:t>ic]</w:t>
      </w:r>
    </w:p>
    <w:p w14:paraId="6C64611F" w14:textId="5D450EBF" w:rsidR="00CC0496" w:rsidRDefault="00CC0496" w:rsidP="00CC0496">
      <w:pPr>
        <w:spacing w:line="240" w:lineRule="auto"/>
        <w:ind w:right="48"/>
        <w:jc w:val="both"/>
        <w:rPr>
          <w:rFonts w:ascii="ITC Avant Garde" w:hAnsi="ITC Avant Garde"/>
          <w:bCs/>
          <w:color w:val="000000"/>
          <w:lang w:eastAsia="es-MX"/>
        </w:rPr>
      </w:pPr>
      <w:r w:rsidRPr="00CC0496">
        <w:rPr>
          <w:rFonts w:ascii="ITC Avant Garde" w:hAnsi="ITC Avant Garde"/>
          <w:bCs/>
          <w:color w:val="000000"/>
          <w:lang w:eastAsia="es-MX"/>
        </w:rPr>
        <w:t>Por su parte, las Condiciones 1.1.2. y 1.2. de la Concesión de Emisión y Recepción de Señales</w:t>
      </w:r>
      <w:r>
        <w:rPr>
          <w:rFonts w:ascii="ITC Avant Garde" w:hAnsi="ITC Avant Garde"/>
          <w:bCs/>
          <w:color w:val="000000"/>
          <w:lang w:eastAsia="es-MX"/>
        </w:rPr>
        <w:t xml:space="preserve"> señalan lo siguiente:</w:t>
      </w:r>
    </w:p>
    <w:p w14:paraId="64990441" w14:textId="1FBE29C5" w:rsidR="00CC0496" w:rsidRPr="00CC0496" w:rsidRDefault="00CC0496" w:rsidP="00CC0496">
      <w:pPr>
        <w:spacing w:line="240" w:lineRule="auto"/>
        <w:ind w:left="1418" w:right="332"/>
        <w:jc w:val="both"/>
        <w:rPr>
          <w:rFonts w:ascii="ITC Avant Garde" w:hAnsi="ITC Avant Garde"/>
          <w:bCs/>
          <w:i/>
          <w:color w:val="000000"/>
          <w:sz w:val="18"/>
          <w:szCs w:val="18"/>
          <w:lang w:eastAsia="es-MX"/>
        </w:rPr>
      </w:pPr>
      <w:r w:rsidRPr="00CC0496">
        <w:rPr>
          <w:rFonts w:ascii="ITC Avant Garde" w:hAnsi="ITC Avant Garde"/>
          <w:bCs/>
          <w:i/>
          <w:color w:val="000000"/>
          <w:sz w:val="18"/>
          <w:szCs w:val="18"/>
          <w:lang w:eastAsia="es-MX"/>
        </w:rPr>
        <w:t>“</w:t>
      </w:r>
      <w:r w:rsidRPr="00CC0496">
        <w:rPr>
          <w:rFonts w:ascii="ITC Avant Garde" w:hAnsi="ITC Avant Garde"/>
          <w:b/>
          <w:bCs/>
          <w:i/>
          <w:color w:val="000000"/>
          <w:sz w:val="18"/>
          <w:szCs w:val="18"/>
          <w:lang w:eastAsia="es-MX"/>
        </w:rPr>
        <w:t>1.1.2</w:t>
      </w:r>
      <w:r w:rsidR="00A346FA">
        <w:rPr>
          <w:rFonts w:ascii="ITC Avant Garde" w:hAnsi="ITC Avant Garde"/>
          <w:b/>
          <w:bCs/>
          <w:i/>
          <w:color w:val="000000"/>
          <w:sz w:val="18"/>
          <w:szCs w:val="18"/>
          <w:lang w:eastAsia="es-MX"/>
        </w:rPr>
        <w:t>.</w:t>
      </w:r>
      <w:r w:rsidRPr="00CC0496">
        <w:rPr>
          <w:rFonts w:ascii="ITC Avant Garde" w:hAnsi="ITC Avant Garde"/>
          <w:b/>
          <w:bCs/>
          <w:i/>
          <w:color w:val="000000"/>
          <w:sz w:val="18"/>
          <w:szCs w:val="18"/>
          <w:lang w:eastAsia="es-MX"/>
        </w:rPr>
        <w:t xml:space="preserve"> Concesión de Red</w:t>
      </w:r>
      <w:r w:rsidRPr="00CC0496">
        <w:rPr>
          <w:rFonts w:ascii="ITC Avant Garde" w:hAnsi="ITC Avant Garde"/>
          <w:bCs/>
          <w:i/>
          <w:color w:val="000000"/>
          <w:sz w:val="18"/>
          <w:szCs w:val="18"/>
          <w:lang w:eastAsia="es-MX"/>
        </w:rPr>
        <w:t>: Concesión para instalar, operar y explotar una red pública de telecomunicaciones, para prestar los servicios móviles de comunicación de voz, transmisión de datos, facsímil, geoposicionamiento y mensajes cortos, que otorgó el Gobierno Federal por conducto de la Secretaría de Comunicaciones y Transportes, en favor de Globalstar de México S. de R.L. de C.V. el 17 de noviembre de 1999, con una vigencia de 20 (veinte) años, contados a partir de su fecha de otorgamiento.”</w:t>
      </w:r>
    </w:p>
    <w:p w14:paraId="3CE4565C" w14:textId="39AC7E66" w:rsidR="00CC0496" w:rsidRPr="00CC0496" w:rsidRDefault="00CC0496" w:rsidP="00CC0496">
      <w:pPr>
        <w:spacing w:line="240" w:lineRule="auto"/>
        <w:ind w:left="1418" w:right="332"/>
        <w:jc w:val="both"/>
        <w:rPr>
          <w:rFonts w:ascii="ITC Avant Garde" w:hAnsi="ITC Avant Garde"/>
          <w:bCs/>
          <w:i/>
          <w:color w:val="000000"/>
          <w:sz w:val="18"/>
          <w:szCs w:val="18"/>
          <w:lang w:eastAsia="es-MX"/>
        </w:rPr>
      </w:pPr>
      <w:r w:rsidRPr="00CC0496">
        <w:rPr>
          <w:rFonts w:ascii="ITC Avant Garde" w:hAnsi="ITC Avant Garde"/>
          <w:bCs/>
          <w:i/>
          <w:color w:val="000000"/>
          <w:sz w:val="18"/>
          <w:szCs w:val="18"/>
          <w:lang w:eastAsia="es-MX"/>
        </w:rPr>
        <w:t>“</w:t>
      </w:r>
      <w:r w:rsidRPr="00CC0496">
        <w:rPr>
          <w:rFonts w:ascii="ITC Avant Garde" w:hAnsi="ITC Avant Garde"/>
          <w:b/>
          <w:bCs/>
          <w:i/>
          <w:color w:val="000000"/>
          <w:sz w:val="18"/>
          <w:szCs w:val="18"/>
          <w:lang w:eastAsia="es-MX"/>
        </w:rPr>
        <w:t>1.2. Objeto de la Prórroga de la Concesión.</w:t>
      </w:r>
      <w:r w:rsidRPr="00CC0496">
        <w:rPr>
          <w:rFonts w:ascii="ITC Avant Garde" w:hAnsi="ITC Avant Garde"/>
          <w:bCs/>
          <w:i/>
          <w:color w:val="000000"/>
          <w:sz w:val="18"/>
          <w:szCs w:val="18"/>
          <w:lang w:eastAsia="es-MX"/>
        </w:rPr>
        <w:t xml:space="preserve"> La explotación de los derechos de emisión y recepción de las señales de bandas de frecuencias asociadas al Sistema Satelital Globalstar.</w:t>
      </w:r>
    </w:p>
    <w:p w14:paraId="4607F0C5" w14:textId="1F907BFC" w:rsidR="00CC0496" w:rsidRPr="00CC0496" w:rsidRDefault="00CC0496" w:rsidP="00CC0496">
      <w:pPr>
        <w:spacing w:line="240" w:lineRule="auto"/>
        <w:ind w:left="1418" w:right="332"/>
        <w:jc w:val="both"/>
        <w:rPr>
          <w:rFonts w:ascii="ITC Avant Garde" w:hAnsi="ITC Avant Garde"/>
          <w:bCs/>
          <w:i/>
          <w:color w:val="000000"/>
          <w:sz w:val="18"/>
          <w:szCs w:val="18"/>
          <w:lang w:eastAsia="es-MX"/>
        </w:rPr>
      </w:pPr>
      <w:r w:rsidRPr="00CC0496">
        <w:rPr>
          <w:rFonts w:ascii="ITC Avant Garde" w:hAnsi="ITC Avant Garde"/>
          <w:bCs/>
          <w:i/>
          <w:color w:val="000000"/>
          <w:sz w:val="18"/>
          <w:szCs w:val="18"/>
          <w:lang w:eastAsia="es-MX"/>
        </w:rPr>
        <w:t>[…]</w:t>
      </w:r>
    </w:p>
    <w:p w14:paraId="1CE530DE" w14:textId="6312B338" w:rsidR="00CC0496" w:rsidRPr="00CC0496" w:rsidRDefault="00CC0496" w:rsidP="00CC0496">
      <w:pPr>
        <w:spacing w:line="240" w:lineRule="auto"/>
        <w:ind w:left="1418" w:right="332"/>
        <w:jc w:val="both"/>
        <w:rPr>
          <w:rFonts w:ascii="ITC Avant Garde" w:hAnsi="ITC Avant Garde"/>
          <w:bCs/>
          <w:i/>
          <w:color w:val="000000"/>
          <w:sz w:val="18"/>
          <w:szCs w:val="18"/>
          <w:lang w:eastAsia="es-MX"/>
        </w:rPr>
      </w:pPr>
      <w:r w:rsidRPr="00CC0496">
        <w:rPr>
          <w:rFonts w:ascii="ITC Avant Garde" w:hAnsi="ITC Avant Garde"/>
          <w:bCs/>
          <w:i/>
          <w:color w:val="000000"/>
          <w:sz w:val="18"/>
          <w:szCs w:val="18"/>
          <w:lang w:eastAsia="es-MX"/>
        </w:rPr>
        <w:t>El Concesionario sólo podrá explotar los derechos de emisión objeto de esta Prórroga de Concesión, para prestar los servicios móviles por satélite que están autorizados en la Concesión de Red y de acuerdo con las especificaciones técnicas contenidas en los Anexos de dicha Concesión, de conformidad con el artículo 9 del Reglamento.”</w:t>
      </w:r>
    </w:p>
    <w:p w14:paraId="7646DB41" w14:textId="3BADE3E2" w:rsidR="00280355" w:rsidRPr="00A346FA" w:rsidRDefault="00A346FA" w:rsidP="001F3D65">
      <w:pPr>
        <w:autoSpaceDE w:val="0"/>
        <w:autoSpaceDN w:val="0"/>
        <w:adjustRightInd w:val="0"/>
        <w:spacing w:before="240" w:after="0" w:line="240" w:lineRule="auto"/>
        <w:jc w:val="both"/>
        <w:rPr>
          <w:rFonts w:ascii="ITC Avant Garde" w:hAnsi="ITC Avant Garde"/>
          <w:bCs/>
        </w:rPr>
      </w:pPr>
      <w:r>
        <w:rPr>
          <w:rFonts w:ascii="ITC Avant Garde" w:hAnsi="ITC Avant Garde"/>
          <w:bCs/>
        </w:rPr>
        <w:t>Al respecto, cabe señalar que, como ya se mencionó anteriormente, de resultar procedente la Solicitud de Prórroga,</w:t>
      </w:r>
      <w:r w:rsidRPr="00A346FA">
        <w:rPr>
          <w:rFonts w:ascii="ITC Avant Garde" w:hAnsi="ITC Avant Garde"/>
          <w:bCs/>
        </w:rPr>
        <w:t xml:space="preserve"> </w:t>
      </w:r>
      <w:r w:rsidRPr="00D043B2">
        <w:rPr>
          <w:rFonts w:ascii="ITC Avant Garde" w:hAnsi="ITC Avant Garde"/>
          <w:bCs/>
        </w:rPr>
        <w:t xml:space="preserve">debe observarse el actual régimen de concesionamiento </w:t>
      </w:r>
      <w:r>
        <w:rPr>
          <w:rFonts w:ascii="ITC Avant Garde" w:hAnsi="ITC Avant Garde"/>
          <w:bCs/>
        </w:rPr>
        <w:t xml:space="preserve">que implica el otorgamiento a Globalstar de México, S. de R.L. de C.V. de una </w:t>
      </w:r>
      <w:r w:rsidRPr="00D043B2">
        <w:rPr>
          <w:rFonts w:ascii="ITC Avant Garde" w:hAnsi="ITC Avant Garde"/>
          <w:bCs/>
        </w:rPr>
        <w:t xml:space="preserve">concesión única para </w:t>
      </w:r>
      <w:r>
        <w:rPr>
          <w:rFonts w:ascii="ITC Avant Garde" w:hAnsi="ITC Avant Garde"/>
          <w:bCs/>
        </w:rPr>
        <w:t xml:space="preserve">uso comercial. En ese sentido, la Condición </w:t>
      </w:r>
      <w:r>
        <w:rPr>
          <w:rFonts w:ascii="ITC Avant Garde" w:hAnsi="ITC Avant Garde"/>
          <w:bCs/>
          <w:color w:val="000000"/>
          <w:lang w:eastAsia="es-MX"/>
        </w:rPr>
        <w:t xml:space="preserve">4 del Capítulo Cuarto de la Concesión dejaría de surtir efectos a partir </w:t>
      </w:r>
      <w:r w:rsidR="00366428">
        <w:rPr>
          <w:rFonts w:ascii="ITC Avant Garde" w:hAnsi="ITC Avant Garde"/>
          <w:bCs/>
          <w:color w:val="000000"/>
          <w:lang w:eastAsia="es-MX"/>
        </w:rPr>
        <w:t>del 18 de noviembre de 2019</w:t>
      </w:r>
      <w:r>
        <w:rPr>
          <w:rFonts w:ascii="ITC Avant Garde" w:hAnsi="ITC Avant Garde"/>
          <w:bCs/>
        </w:rPr>
        <w:t>, ya que dicha condición no se encuentra contemplada dentro del proyecto de título de concesión única que se otorgaría</w:t>
      </w:r>
      <w:r w:rsidRPr="00A346FA">
        <w:rPr>
          <w:rFonts w:ascii="ITC Avant Garde" w:hAnsi="ITC Avant Garde"/>
          <w:bCs/>
        </w:rPr>
        <w:t xml:space="preserve">. </w:t>
      </w:r>
    </w:p>
    <w:p w14:paraId="6C7F43B8" w14:textId="44CEB6C3" w:rsidR="00A346FA" w:rsidRDefault="00A346FA" w:rsidP="001F3D65">
      <w:pPr>
        <w:autoSpaceDE w:val="0"/>
        <w:autoSpaceDN w:val="0"/>
        <w:adjustRightInd w:val="0"/>
        <w:spacing w:before="240" w:after="0" w:line="240" w:lineRule="auto"/>
        <w:jc w:val="both"/>
        <w:rPr>
          <w:rFonts w:ascii="ITC Avant Garde" w:hAnsi="ITC Avant Garde"/>
          <w:bCs/>
        </w:rPr>
      </w:pPr>
      <w:r w:rsidRPr="00A346FA">
        <w:rPr>
          <w:rFonts w:ascii="ITC Avant Garde" w:hAnsi="ITC Avant Garde"/>
          <w:bCs/>
        </w:rPr>
        <w:lastRenderedPageBreak/>
        <w:t xml:space="preserve">No obstante lo anterior, </w:t>
      </w:r>
      <w:r w:rsidR="00AB60DF">
        <w:rPr>
          <w:rFonts w:ascii="ITC Avant Garde" w:hAnsi="ITC Avant Garde"/>
          <w:bCs/>
        </w:rPr>
        <w:t xml:space="preserve">tal como se señala en las condiciones 1.1.2. y 1.2. de la Concesión de Emisión y Recepción de Señales, </w:t>
      </w:r>
      <w:r w:rsidRPr="00A346FA">
        <w:rPr>
          <w:rFonts w:ascii="ITC Avant Garde" w:hAnsi="ITC Avant Garde"/>
          <w:bCs/>
        </w:rPr>
        <w:t>la prestación de los servicios a través de la Concesión se encuentra directamente vinculada a la explotación de los derechos de emisión y recepción de las señales de bandas de frecuencias asociadas al Sistema Satelital Global</w:t>
      </w:r>
      <w:r>
        <w:rPr>
          <w:rFonts w:ascii="ITC Avant Garde" w:hAnsi="ITC Avant Garde"/>
          <w:bCs/>
        </w:rPr>
        <w:t xml:space="preserve">star, </w:t>
      </w:r>
      <w:r w:rsidR="00AB60DF">
        <w:rPr>
          <w:rFonts w:ascii="ITC Avant Garde" w:hAnsi="ITC Avant Garde"/>
          <w:bCs/>
        </w:rPr>
        <w:t>por lo que al analizarse la solicitud de prórroga de vigencia que en su momento presente Globalstar de México, S. de R.L. de C.V.</w:t>
      </w:r>
      <w:r w:rsidR="00D970A9">
        <w:rPr>
          <w:rFonts w:ascii="ITC Avant Garde" w:hAnsi="ITC Avant Garde"/>
          <w:bCs/>
        </w:rPr>
        <w:t>,</w:t>
      </w:r>
      <w:r w:rsidR="00AB60DF">
        <w:rPr>
          <w:rFonts w:ascii="ITC Avant Garde" w:hAnsi="ITC Avant Garde"/>
          <w:bCs/>
        </w:rPr>
        <w:t xml:space="preserve"> con respecto a la Concesión de Emisión y Recepción de Señales, el Instituto</w:t>
      </w:r>
      <w:r w:rsidR="00366428">
        <w:rPr>
          <w:rFonts w:ascii="ITC Avant Garde" w:hAnsi="ITC Avant Garde"/>
          <w:bCs/>
        </w:rPr>
        <w:t xml:space="preserve"> y la Secretaría </w:t>
      </w:r>
      <w:r w:rsidR="00AB60DF">
        <w:rPr>
          <w:rFonts w:ascii="ITC Avant Garde" w:hAnsi="ITC Avant Garde"/>
          <w:bCs/>
        </w:rPr>
        <w:t xml:space="preserve"> </w:t>
      </w:r>
      <w:r w:rsidR="00366428">
        <w:rPr>
          <w:rFonts w:ascii="ITC Avant Garde" w:hAnsi="ITC Avant Garde"/>
          <w:bCs/>
        </w:rPr>
        <w:t>ejercerán las atribuciones que establece</w:t>
      </w:r>
      <w:r w:rsidR="00D970A9">
        <w:rPr>
          <w:rFonts w:ascii="ITC Avant Garde" w:hAnsi="ITC Avant Garde"/>
          <w:bCs/>
        </w:rPr>
        <w:t xml:space="preserve"> el artículo 150 de la </w:t>
      </w:r>
      <w:r w:rsidR="00EF2C5E">
        <w:rPr>
          <w:rFonts w:ascii="ITC Avant Garde" w:hAnsi="ITC Avant Garde"/>
          <w:bCs/>
        </w:rPr>
        <w:t>LFTR</w:t>
      </w:r>
      <w:r w:rsidR="00366428">
        <w:rPr>
          <w:rFonts w:ascii="ITC Avant Garde" w:hAnsi="ITC Avant Garde"/>
          <w:bCs/>
        </w:rPr>
        <w:t xml:space="preserve"> y las demás disposiciones administrativas aplicables</w:t>
      </w:r>
      <w:r w:rsidR="00D970A9">
        <w:rPr>
          <w:rFonts w:ascii="ITC Avant Garde" w:hAnsi="ITC Avant Garde"/>
          <w:bCs/>
        </w:rPr>
        <w:t>.</w:t>
      </w:r>
    </w:p>
    <w:p w14:paraId="6373A8C3" w14:textId="4028A8F7" w:rsidR="006B55C3" w:rsidRDefault="00B7256C" w:rsidP="001F3D65">
      <w:pPr>
        <w:autoSpaceDE w:val="0"/>
        <w:autoSpaceDN w:val="0"/>
        <w:adjustRightInd w:val="0"/>
        <w:spacing w:before="240" w:line="240" w:lineRule="auto"/>
        <w:jc w:val="both"/>
        <w:rPr>
          <w:rFonts w:ascii="ITC Avant Garde" w:hAnsi="ITC Avant Garde"/>
          <w:bCs/>
        </w:rPr>
      </w:pPr>
      <w:r w:rsidRPr="00BF560A">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fracciones IV y LVII, 16, 17 fracción I, 66, 67 fracción I, 68, 72, 113 y 114 de la Ley Federal de Telecomunicaciones y Radiodifusión; Séptimo Transitorio de</w:t>
      </w:r>
      <w:r w:rsidR="00050C4F">
        <w:rPr>
          <w:rFonts w:ascii="ITC Avant Garde" w:hAnsi="ITC Avant Garde"/>
          <w:bCs/>
        </w:rPr>
        <w:t>l</w:t>
      </w:r>
      <w:r w:rsidRPr="00BF560A">
        <w:rPr>
          <w:rFonts w:ascii="ITC Avant Garde" w:hAnsi="ITC Avant Garde"/>
          <w:bCs/>
        </w:rPr>
        <w:t xml:space="preserve"> “</w:t>
      </w:r>
      <w:r w:rsidRPr="007D2914">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BF560A">
        <w:rPr>
          <w:rFonts w:ascii="ITC Avant Garde" w:hAnsi="ITC Avant Garde"/>
          <w:bCs/>
        </w:rPr>
        <w:t xml:space="preserve">”, publicado en el Diario Oficial de la Federación el 14 de julio de 2014; 35 fracción I, 36, 38, 39 y 57 fracción I de la Ley Federal de Procedimiento Administrativo; </w:t>
      </w:r>
      <w:r w:rsidR="00364F61" w:rsidRPr="00364F61">
        <w:rPr>
          <w:rFonts w:ascii="ITC Avant Garde" w:hAnsi="ITC Avant Garde"/>
          <w:bCs/>
        </w:rPr>
        <w:t>94 d</w:t>
      </w:r>
      <w:r w:rsidR="000266A5" w:rsidRPr="00364F61">
        <w:rPr>
          <w:rFonts w:ascii="ITC Avant Garde" w:hAnsi="ITC Avant Garde"/>
          <w:bCs/>
        </w:rPr>
        <w:t>e la Ley Federal de Derechos</w:t>
      </w:r>
      <w:r w:rsidR="00364F61" w:rsidRPr="00364F61">
        <w:rPr>
          <w:rFonts w:ascii="ITC Avant Garde" w:hAnsi="ITC Avant Garde"/>
          <w:bCs/>
        </w:rPr>
        <w:t xml:space="preserve"> vigente en el año 2015</w:t>
      </w:r>
      <w:r w:rsidR="000266A5">
        <w:rPr>
          <w:rFonts w:ascii="ITC Avant Garde" w:hAnsi="ITC Avant Garde"/>
          <w:bCs/>
        </w:rPr>
        <w:t xml:space="preserve">, </w:t>
      </w:r>
      <w:r w:rsidRPr="00BF560A">
        <w:rPr>
          <w:rFonts w:ascii="ITC Avant Garde" w:hAnsi="ITC Avant Garde"/>
          <w:bCs/>
        </w:rPr>
        <w:t>y 1, 6 fracciones I y XVIII, 32 y 33 fracción II, 41, 42 fracciones I, II y XV y 50 fracción XII del Estatuto Orgánico del Instituto Federal de Telecomunicaciones; este órgano autónomo emite los siguientes:</w:t>
      </w:r>
    </w:p>
    <w:p w14:paraId="0C64BAA5" w14:textId="77777777" w:rsidR="00B7256C" w:rsidRPr="001F3D65" w:rsidRDefault="00B7256C" w:rsidP="001F3D65">
      <w:pPr>
        <w:pStyle w:val="Ttulo2"/>
        <w:jc w:val="center"/>
        <w:rPr>
          <w:rFonts w:ascii="ITC Avant Garde" w:hAnsi="ITC Avant Garde"/>
          <w:b/>
          <w:bCs/>
          <w:color w:val="000000"/>
          <w:sz w:val="22"/>
          <w:szCs w:val="22"/>
          <w:lang w:eastAsia="es-MX"/>
        </w:rPr>
      </w:pPr>
      <w:r w:rsidRPr="001F3D65">
        <w:rPr>
          <w:rFonts w:ascii="ITC Avant Garde" w:hAnsi="ITC Avant Garde"/>
          <w:b/>
          <w:bCs/>
          <w:color w:val="000000"/>
          <w:sz w:val="22"/>
          <w:szCs w:val="22"/>
          <w:lang w:eastAsia="es-MX"/>
        </w:rPr>
        <w:t>RESOLUTIVOS</w:t>
      </w:r>
    </w:p>
    <w:p w14:paraId="3C5E5179" w14:textId="77777777" w:rsidR="009F26EC" w:rsidRDefault="009F26EC" w:rsidP="00B7256C">
      <w:pPr>
        <w:spacing w:after="0" w:line="240" w:lineRule="auto"/>
        <w:jc w:val="center"/>
        <w:rPr>
          <w:rFonts w:ascii="ITC Avant Garde" w:hAnsi="ITC Avant Garde"/>
          <w:b/>
          <w:bCs/>
          <w:color w:val="000000"/>
          <w:lang w:eastAsia="es-MX"/>
        </w:rPr>
      </w:pPr>
    </w:p>
    <w:p w14:paraId="4CAA8D8C" w14:textId="659A379A" w:rsidR="00B7256C" w:rsidRDefault="00B7256C" w:rsidP="001F3D65">
      <w:pPr>
        <w:autoSpaceDE w:val="0"/>
        <w:autoSpaceDN w:val="0"/>
        <w:adjustRightInd w:val="0"/>
        <w:spacing w:before="240" w:after="0" w:line="240" w:lineRule="auto"/>
        <w:jc w:val="both"/>
        <w:rPr>
          <w:rFonts w:ascii="ITC Avant Garde" w:hAnsi="ITC Avant Garde"/>
          <w:bCs/>
          <w:lang w:val="es-ES_tradnl"/>
        </w:rPr>
      </w:pPr>
      <w:r w:rsidRPr="003E516F">
        <w:rPr>
          <w:rFonts w:ascii="ITC Avant Garde" w:hAnsi="ITC Avant Garde"/>
          <w:b/>
          <w:bCs/>
        </w:rPr>
        <w:t>PRIMERO.-</w:t>
      </w:r>
      <w:r w:rsidRPr="003E516F">
        <w:rPr>
          <w:rFonts w:ascii="ITC Avant Garde" w:hAnsi="ITC Avant Garde"/>
          <w:bCs/>
        </w:rPr>
        <w:t xml:space="preserve"> </w:t>
      </w:r>
      <w:r w:rsidRPr="000369C1">
        <w:rPr>
          <w:rFonts w:ascii="ITC Avant Garde" w:hAnsi="ITC Avant Garde"/>
          <w:bCs/>
          <w:lang w:val="es-ES_tradnl"/>
        </w:rPr>
        <w:t>Se autoriza la prórroga de vigencia de</w:t>
      </w:r>
      <w:r w:rsidR="003D3F1A">
        <w:rPr>
          <w:rFonts w:ascii="ITC Avant Garde" w:hAnsi="ITC Avant Garde"/>
          <w:bCs/>
          <w:lang w:val="es-ES_tradnl"/>
        </w:rPr>
        <w:t xml:space="preserve"> </w:t>
      </w:r>
      <w:r w:rsidRPr="000369C1">
        <w:rPr>
          <w:rFonts w:ascii="ITC Avant Garde" w:hAnsi="ITC Avant Garde"/>
          <w:bCs/>
          <w:lang w:val="es-ES_tradnl"/>
        </w:rPr>
        <w:t>l</w:t>
      </w:r>
      <w:r w:rsidR="003D3F1A">
        <w:rPr>
          <w:rFonts w:ascii="ITC Avant Garde" w:hAnsi="ITC Avant Garde"/>
          <w:bCs/>
          <w:lang w:val="es-ES_tradnl"/>
        </w:rPr>
        <w:t>a</w:t>
      </w:r>
      <w:r w:rsidRPr="000369C1">
        <w:rPr>
          <w:rFonts w:ascii="ITC Avant Garde" w:hAnsi="ITC Avant Garde"/>
          <w:bCs/>
          <w:lang w:val="es-ES_tradnl"/>
        </w:rPr>
        <w:t xml:space="preserve"> concesión otorgad</w:t>
      </w:r>
      <w:r w:rsidR="003D3F1A">
        <w:rPr>
          <w:rFonts w:ascii="ITC Avant Garde" w:hAnsi="ITC Avant Garde"/>
          <w:bCs/>
          <w:lang w:val="es-ES_tradnl"/>
        </w:rPr>
        <w:t>a</w:t>
      </w:r>
      <w:r w:rsidRPr="000369C1">
        <w:rPr>
          <w:rFonts w:ascii="ITC Avant Garde" w:hAnsi="ITC Avant Garde"/>
          <w:bCs/>
          <w:lang w:val="es-ES_tradnl"/>
        </w:rPr>
        <w:t xml:space="preserve"> </w:t>
      </w:r>
      <w:r>
        <w:rPr>
          <w:rFonts w:ascii="ITC Avant Garde" w:hAnsi="ITC Avant Garde"/>
          <w:bCs/>
          <w:lang w:val="es-ES_tradnl"/>
        </w:rPr>
        <w:t xml:space="preserve">a </w:t>
      </w:r>
      <w:r w:rsidR="00250A65" w:rsidRPr="00193600">
        <w:rPr>
          <w:rFonts w:ascii="ITC Avant Garde" w:hAnsi="ITC Avant Garde"/>
        </w:rPr>
        <w:t>Globalstar de México, S. de R.L. de C.V</w:t>
      </w:r>
      <w:r w:rsidR="00250A65">
        <w:rPr>
          <w:rFonts w:ascii="ITC Avant Garde" w:hAnsi="ITC Avant Garde"/>
        </w:rPr>
        <w:t>.</w:t>
      </w:r>
      <w:r w:rsidRPr="004220D3">
        <w:rPr>
          <w:rFonts w:ascii="ITC Avant Garde" w:hAnsi="ITC Avant Garde"/>
          <w:bCs/>
          <w:lang w:val="es-ES_tradnl"/>
        </w:rPr>
        <w:t xml:space="preserve"> </w:t>
      </w:r>
      <w:r w:rsidRPr="00794C9B">
        <w:rPr>
          <w:rFonts w:ascii="ITC Avant Garde" w:hAnsi="ITC Avant Garde"/>
          <w:bCs/>
          <w:lang w:val="es-ES_tradnl"/>
        </w:rPr>
        <w:t xml:space="preserve">el </w:t>
      </w:r>
      <w:r w:rsidR="00250A65">
        <w:rPr>
          <w:rFonts w:ascii="ITC Avant Garde" w:hAnsi="ITC Avant Garde"/>
          <w:bCs/>
          <w:lang w:val="es-ES_tradnl"/>
        </w:rPr>
        <w:t>17 de noviembre de 1999</w:t>
      </w:r>
      <w:r>
        <w:rPr>
          <w:rFonts w:ascii="ITC Avant Garde" w:hAnsi="ITC Avant Garde"/>
          <w:bCs/>
          <w:lang w:val="es-ES_tradnl"/>
        </w:rPr>
        <w:t>.</w:t>
      </w:r>
    </w:p>
    <w:p w14:paraId="4A478512" w14:textId="153464C6" w:rsidR="00B7256C" w:rsidRDefault="00B7256C" w:rsidP="001F3D65">
      <w:pPr>
        <w:autoSpaceDE w:val="0"/>
        <w:autoSpaceDN w:val="0"/>
        <w:adjustRightInd w:val="0"/>
        <w:spacing w:before="240" w:after="0" w:line="240" w:lineRule="auto"/>
        <w:jc w:val="both"/>
        <w:rPr>
          <w:rFonts w:ascii="ITC Avant Garde" w:hAnsi="ITC Avant Garde"/>
          <w:bCs/>
          <w:lang w:val="es-ES_tradnl"/>
        </w:rPr>
      </w:pPr>
      <w:r w:rsidRPr="00364F61">
        <w:rPr>
          <w:rFonts w:ascii="ITC Avant Garde" w:hAnsi="ITC Avant Garde"/>
          <w:bCs/>
          <w:lang w:val="es-ES_tradnl"/>
        </w:rPr>
        <w:t xml:space="preserve">Para tal efecto, el Instituto Federal de Telecomunicaciones otorgará </w:t>
      </w:r>
      <w:r w:rsidRPr="00364F61">
        <w:rPr>
          <w:rFonts w:ascii="ITC Avant Garde" w:hAnsi="ITC Avant Garde"/>
          <w:bCs/>
        </w:rPr>
        <w:t xml:space="preserve">un título de concesión </w:t>
      </w:r>
      <w:r w:rsidRPr="00364F61">
        <w:rPr>
          <w:rFonts w:ascii="ITC Avant Garde" w:hAnsi="ITC Avant Garde"/>
          <w:bCs/>
          <w:lang w:val="es-ES_tradnl"/>
        </w:rPr>
        <w:t xml:space="preserve">única para uso comercial, en favor de </w:t>
      </w:r>
      <w:r w:rsidR="008A3386" w:rsidRPr="008A3386">
        <w:rPr>
          <w:rFonts w:ascii="ITC Avant Garde" w:hAnsi="ITC Avant Garde"/>
          <w:bCs/>
          <w:lang w:val="es-ES_tradnl"/>
        </w:rPr>
        <w:t>Globalstar de México, S. de R.L. de C.V</w:t>
      </w:r>
      <w:r w:rsidR="008A3386">
        <w:rPr>
          <w:rFonts w:ascii="ITC Avant Garde" w:hAnsi="ITC Avant Garde"/>
          <w:bCs/>
          <w:lang w:val="es-ES_tradnl"/>
        </w:rPr>
        <w:t>.</w:t>
      </w:r>
      <w:r w:rsidRPr="00364F61">
        <w:rPr>
          <w:rFonts w:ascii="ITC Avant Garde" w:hAnsi="ITC Avant Garde"/>
          <w:bCs/>
        </w:rPr>
        <w:t xml:space="preserve"> </w:t>
      </w:r>
      <w:r w:rsidRPr="00364F61">
        <w:rPr>
          <w:rFonts w:ascii="ITC Avant Garde" w:hAnsi="ITC Avant Garde"/>
          <w:bCs/>
          <w:lang w:val="es-ES_tradnl"/>
        </w:rPr>
        <w:t xml:space="preserve">con una vigencia de </w:t>
      </w:r>
      <w:r w:rsidR="00D109FB">
        <w:rPr>
          <w:rFonts w:ascii="ITC Avant Garde" w:hAnsi="ITC Avant Garde"/>
          <w:bCs/>
          <w:lang w:val="es-ES_tradnl"/>
        </w:rPr>
        <w:t>30</w:t>
      </w:r>
      <w:r w:rsidR="008A3386" w:rsidRPr="00364F61">
        <w:rPr>
          <w:rFonts w:ascii="ITC Avant Garde" w:hAnsi="ITC Avant Garde"/>
          <w:bCs/>
          <w:lang w:val="es-ES_tradnl"/>
        </w:rPr>
        <w:t xml:space="preserve"> </w:t>
      </w:r>
      <w:r w:rsidRPr="00364F61">
        <w:rPr>
          <w:rFonts w:ascii="ITC Avant Garde" w:hAnsi="ITC Avant Garde"/>
          <w:bCs/>
          <w:lang w:val="es-ES_tradnl"/>
        </w:rPr>
        <w:t>(</w:t>
      </w:r>
      <w:r w:rsidR="00D109FB">
        <w:rPr>
          <w:rFonts w:ascii="ITC Avant Garde" w:hAnsi="ITC Avant Garde"/>
          <w:bCs/>
          <w:lang w:val="es-ES_tradnl"/>
        </w:rPr>
        <w:t>treinta</w:t>
      </w:r>
      <w:r w:rsidRPr="00364F61">
        <w:rPr>
          <w:rFonts w:ascii="ITC Avant Garde" w:hAnsi="ITC Avant Garde"/>
          <w:bCs/>
          <w:lang w:val="es-ES_tradnl"/>
        </w:rPr>
        <w:t xml:space="preserve">) años contados a partir del </w:t>
      </w:r>
      <w:r w:rsidR="008A3386">
        <w:rPr>
          <w:rFonts w:ascii="ITC Avant Garde" w:hAnsi="ITC Avant Garde"/>
          <w:bCs/>
          <w:lang w:val="es-ES_tradnl"/>
        </w:rPr>
        <w:t>1</w:t>
      </w:r>
      <w:r w:rsidR="00865F5D">
        <w:rPr>
          <w:rFonts w:ascii="ITC Avant Garde" w:hAnsi="ITC Avant Garde"/>
          <w:bCs/>
          <w:lang w:val="es-ES_tradnl"/>
        </w:rPr>
        <w:t>8</w:t>
      </w:r>
      <w:r w:rsidR="008A3386" w:rsidRPr="00364F61">
        <w:rPr>
          <w:rFonts w:ascii="ITC Avant Garde" w:hAnsi="ITC Avant Garde"/>
          <w:bCs/>
          <w:lang w:val="es-ES_tradnl"/>
        </w:rPr>
        <w:t xml:space="preserve"> </w:t>
      </w:r>
      <w:r w:rsidRPr="00364F61">
        <w:rPr>
          <w:rFonts w:ascii="ITC Avant Garde" w:hAnsi="ITC Avant Garde"/>
          <w:bCs/>
          <w:lang w:val="es-ES_tradnl"/>
        </w:rPr>
        <w:t xml:space="preserve">de </w:t>
      </w:r>
      <w:r w:rsidR="008A3386">
        <w:rPr>
          <w:rFonts w:ascii="ITC Avant Garde" w:hAnsi="ITC Avant Garde"/>
          <w:bCs/>
          <w:lang w:val="es-ES_tradnl"/>
        </w:rPr>
        <w:t>noviembre</w:t>
      </w:r>
      <w:r w:rsidR="008A3386" w:rsidRPr="00364F61">
        <w:rPr>
          <w:rFonts w:ascii="ITC Avant Garde" w:hAnsi="ITC Avant Garde"/>
          <w:bCs/>
          <w:lang w:val="es-ES_tradnl"/>
        </w:rPr>
        <w:t xml:space="preserve"> </w:t>
      </w:r>
      <w:r w:rsidRPr="00364F61">
        <w:rPr>
          <w:rFonts w:ascii="ITC Avant Garde" w:hAnsi="ITC Avant Garde"/>
          <w:bCs/>
          <w:lang w:val="es-ES_tradnl"/>
        </w:rPr>
        <w:t>de 201</w:t>
      </w:r>
      <w:r w:rsidR="008A3386">
        <w:rPr>
          <w:rFonts w:ascii="ITC Avant Garde" w:hAnsi="ITC Avant Garde"/>
          <w:bCs/>
          <w:lang w:val="es-ES_tradnl"/>
        </w:rPr>
        <w:t>9</w:t>
      </w:r>
      <w:r w:rsidRPr="00364F61">
        <w:rPr>
          <w:rFonts w:ascii="ITC Avant Garde" w:hAnsi="ITC Avant Garde"/>
          <w:bCs/>
          <w:lang w:val="es-ES_tradnl"/>
        </w:rPr>
        <w:t>, con cobertura nacional y con el que podrá prestar cualquier servicio de telecomunicaciones y de radiodifusión que sea técnicamente factible.</w:t>
      </w:r>
    </w:p>
    <w:p w14:paraId="19857C8B" w14:textId="7734CDF3" w:rsidR="00B7256C" w:rsidRDefault="00B7256C" w:rsidP="001F3D65">
      <w:pPr>
        <w:autoSpaceDE w:val="0"/>
        <w:autoSpaceDN w:val="0"/>
        <w:adjustRightInd w:val="0"/>
        <w:spacing w:before="240" w:after="0" w:line="240" w:lineRule="auto"/>
        <w:jc w:val="both"/>
        <w:rPr>
          <w:rFonts w:ascii="ITC Avant Garde" w:hAnsi="ITC Avant Garde"/>
          <w:bCs/>
          <w:color w:val="000000"/>
          <w:lang w:eastAsia="es-MX"/>
        </w:rPr>
      </w:pPr>
      <w:r w:rsidRPr="007E07AB">
        <w:rPr>
          <w:rFonts w:ascii="ITC Avant Garde" w:hAnsi="ITC Avant Garde"/>
          <w:bCs/>
          <w:color w:val="000000"/>
          <w:lang w:eastAsia="es-MX"/>
        </w:rPr>
        <w:t xml:space="preserve">Lo anterior, sin perjuicio de las autorizaciones que deba obtener </w:t>
      </w:r>
      <w:r w:rsidR="008A3386" w:rsidRPr="008A3386">
        <w:rPr>
          <w:rFonts w:ascii="ITC Avant Garde" w:hAnsi="ITC Avant Garde"/>
          <w:bCs/>
          <w:lang w:val="es-ES_tradnl"/>
        </w:rPr>
        <w:t>Globalstar de México, S. de R.L. de C.V</w:t>
      </w:r>
      <w:r w:rsidR="008A3386">
        <w:rPr>
          <w:rFonts w:ascii="ITC Avant Garde" w:hAnsi="ITC Avant Garde"/>
          <w:bCs/>
          <w:lang w:val="es-ES_tradnl"/>
        </w:rPr>
        <w:t>.</w:t>
      </w:r>
      <w:r w:rsidRPr="007E07AB">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r>
        <w:rPr>
          <w:rFonts w:ascii="ITC Avant Garde" w:hAnsi="ITC Avant Garde"/>
          <w:bCs/>
          <w:color w:val="000000"/>
          <w:lang w:eastAsia="es-MX"/>
        </w:rPr>
        <w:t xml:space="preserve"> </w:t>
      </w:r>
    </w:p>
    <w:p w14:paraId="77D305EB" w14:textId="792FD3D0" w:rsidR="00B7256C" w:rsidRDefault="00B7256C" w:rsidP="001F3D65">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r w:rsidR="008A3386" w:rsidRPr="001E080A">
        <w:rPr>
          <w:rFonts w:ascii="ITC Avant Garde" w:hAnsi="ITC Avant Garde"/>
          <w:bCs/>
          <w:lang w:val="es-ES_tradnl"/>
        </w:rPr>
        <w:t>Globalstar de México, S. de R.L. de C.V.</w:t>
      </w:r>
      <w:r>
        <w:rPr>
          <w:rFonts w:ascii="ITC Avant Garde" w:hAnsi="ITC Avant Garde"/>
          <w:bCs/>
          <w:lang w:val="es-ES_tradnl"/>
        </w:rPr>
        <w:t xml:space="preserve"> deberá aceptar expresamente y de manera previa, las nuevas condiciones que al efecto se le establezcan, de conformidad con lo dispuesto por el Resolutivo Segundo de la presente Resolución.</w:t>
      </w:r>
    </w:p>
    <w:p w14:paraId="3E533F99" w14:textId="5999AC0C" w:rsidR="00B7256C" w:rsidRPr="003F3844" w:rsidRDefault="00B7256C" w:rsidP="001F3D65">
      <w:pPr>
        <w:autoSpaceDE w:val="0"/>
        <w:autoSpaceDN w:val="0"/>
        <w:adjustRightInd w:val="0"/>
        <w:spacing w:before="240" w:line="240" w:lineRule="auto"/>
        <w:jc w:val="both"/>
        <w:rPr>
          <w:rFonts w:ascii="ITC Avant Garde" w:hAnsi="ITC Avant Garde"/>
          <w:bCs/>
          <w:lang w:val="es-ES_tradnl"/>
        </w:rPr>
      </w:pPr>
      <w:r w:rsidRPr="003E516F">
        <w:rPr>
          <w:rFonts w:ascii="ITC Avant Garde" w:hAnsi="ITC Avant Garde"/>
          <w:b/>
          <w:bCs/>
          <w:lang w:val="es-ES_tradnl"/>
        </w:rPr>
        <w:lastRenderedPageBreak/>
        <w:t>SEGUNDO.-</w:t>
      </w:r>
      <w:r w:rsidRPr="003E516F">
        <w:rPr>
          <w:rFonts w:ascii="ITC Avant Garde" w:hAnsi="ITC Avant Garde"/>
          <w:bCs/>
          <w:lang w:val="es-ES_tradnl"/>
        </w:rPr>
        <w:t xml:space="preserve"> </w:t>
      </w:r>
      <w:r>
        <w:rPr>
          <w:rFonts w:ascii="ITC Avant Garde" w:hAnsi="ITC Avant Garde"/>
          <w:bCs/>
          <w:lang w:val="es-ES_tradnl"/>
        </w:rPr>
        <w:t>S</w:t>
      </w:r>
      <w:r w:rsidRPr="003F3844">
        <w:rPr>
          <w:rFonts w:ascii="ITC Avant Garde" w:hAnsi="ITC Avant Garde"/>
          <w:bCs/>
          <w:lang w:val="es-ES_tradnl"/>
        </w:rPr>
        <w:t>e instruye a la Unidad de Concesiones y Servicios a hacer del conocimiento de</w:t>
      </w:r>
      <w:r>
        <w:rPr>
          <w:rFonts w:ascii="ITC Avant Garde" w:hAnsi="ITC Avant Garde"/>
          <w:bCs/>
          <w:lang w:val="es-ES_tradnl"/>
        </w:rPr>
        <w:t xml:space="preserve">l </w:t>
      </w:r>
      <w:r w:rsidRPr="003F3844">
        <w:rPr>
          <w:rFonts w:ascii="ITC Avant Garde" w:hAnsi="ITC Avant Garde"/>
          <w:bCs/>
          <w:lang w:val="es-ES_tradnl"/>
        </w:rPr>
        <w:t xml:space="preserve">solicitante el </w:t>
      </w:r>
      <w:r>
        <w:rPr>
          <w:rFonts w:ascii="ITC Avant Garde" w:hAnsi="ITC Avant Garde"/>
          <w:bCs/>
          <w:lang w:val="es-ES_tradnl"/>
        </w:rPr>
        <w:t xml:space="preserve">contenido de la presente Resolución, así como las nuevas condiciones establecidas, mismas que se encuentran contenidas en el </w:t>
      </w:r>
      <w:r w:rsidRPr="003F3844">
        <w:rPr>
          <w:rFonts w:ascii="ITC Avant Garde" w:hAnsi="ITC Avant Garde"/>
          <w:bCs/>
          <w:lang w:val="es-ES_tradnl"/>
        </w:rPr>
        <w:t>proyecto de título de concesión única</w:t>
      </w:r>
      <w:r w:rsidR="005B68F5">
        <w:rPr>
          <w:rFonts w:ascii="ITC Avant Garde" w:hAnsi="ITC Avant Garde"/>
          <w:bCs/>
          <w:lang w:val="es-ES_tradnl"/>
        </w:rPr>
        <w:t xml:space="preserve">, </w:t>
      </w:r>
      <w:r w:rsidR="000804B2">
        <w:rPr>
          <w:rFonts w:ascii="ITC Avant Garde" w:hAnsi="ITC Avant Garde"/>
          <w:bCs/>
          <w:lang w:val="es-ES_tradnl"/>
        </w:rPr>
        <w:t>el cual</w:t>
      </w:r>
      <w:r>
        <w:rPr>
          <w:rFonts w:ascii="ITC Avant Garde" w:hAnsi="ITC Avant Garde"/>
          <w:bCs/>
          <w:lang w:val="es-ES_tradnl"/>
        </w:rPr>
        <w:t xml:space="preserve"> forma parte integral de la presente Resolución, a efecto de recabar de éste</w:t>
      </w:r>
      <w:r w:rsidRPr="003F3844">
        <w:rPr>
          <w:rFonts w:ascii="ITC Avant Garde" w:hAnsi="ITC Avant Garde"/>
          <w:bCs/>
          <w:lang w:val="es-ES_tradnl"/>
        </w:rPr>
        <w:t xml:space="preserve">, en un plazo no mayor a 15 (quince) días </w:t>
      </w:r>
      <w:r>
        <w:rPr>
          <w:rFonts w:ascii="ITC Avant Garde" w:hAnsi="ITC Avant Garde"/>
          <w:bCs/>
          <w:lang w:val="es-ES_tradnl"/>
        </w:rPr>
        <w:t>hábiles</w:t>
      </w:r>
      <w:r w:rsidRPr="003F3844">
        <w:rPr>
          <w:rFonts w:ascii="ITC Avant Garde" w:hAnsi="ITC Avant Garde"/>
          <w:bCs/>
          <w:lang w:val="es-ES_tradnl"/>
        </w:rPr>
        <w:t xml:space="preserve"> contados a partir de</w:t>
      </w:r>
      <w:r>
        <w:rPr>
          <w:rFonts w:ascii="ITC Avant Garde" w:hAnsi="ITC Avant Garde"/>
          <w:bCs/>
          <w:lang w:val="es-ES_tradnl"/>
        </w:rPr>
        <w:t>l día siguiente a aquel en que surta efectos</w:t>
      </w:r>
      <w:r w:rsidRPr="003F3844">
        <w:rPr>
          <w:rFonts w:ascii="ITC Avant Garde" w:hAnsi="ITC Avant Garde"/>
          <w:bCs/>
          <w:lang w:val="es-ES_tradnl"/>
        </w:rPr>
        <w:t xml:space="preserve"> la notificación respectiva, su </w:t>
      </w:r>
      <w:r>
        <w:rPr>
          <w:rFonts w:ascii="ITC Avant Garde" w:hAnsi="ITC Avant Garde"/>
          <w:bCs/>
          <w:lang w:val="es-ES_tradnl"/>
        </w:rPr>
        <w:t>aceptación expresa e indubitable de las nuevas condiciones.</w:t>
      </w:r>
    </w:p>
    <w:p w14:paraId="2BD94AAB" w14:textId="3ADDCA13" w:rsidR="00B7256C" w:rsidRDefault="00B7256C" w:rsidP="001F3D65">
      <w:pPr>
        <w:autoSpaceDE w:val="0"/>
        <w:autoSpaceDN w:val="0"/>
        <w:adjustRightInd w:val="0"/>
        <w:spacing w:before="240"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Pr>
          <w:rFonts w:ascii="ITC Avant Garde" w:hAnsi="ITC Avant Garde"/>
          <w:bCs/>
          <w:lang w:val="es-ES_tradnl"/>
        </w:rPr>
        <w:t xml:space="preserve"> </w:t>
      </w:r>
      <w:r w:rsidR="008A3386" w:rsidRPr="001E080A">
        <w:rPr>
          <w:rFonts w:ascii="ITC Avant Garde" w:hAnsi="ITC Avant Garde"/>
          <w:bCs/>
          <w:lang w:val="es-ES_tradnl"/>
        </w:rPr>
        <w:t>Globalstar de México, S. de R.L. de C.V.</w:t>
      </w:r>
      <w:r>
        <w:rPr>
          <w:rFonts w:ascii="ITC Avant Garde" w:hAnsi="ITC Avant Garde"/>
          <w:bCs/>
          <w:lang w:val="es-ES_tradnl"/>
        </w:rPr>
        <w:t xml:space="preserve"> </w:t>
      </w:r>
      <w:r w:rsidRPr="003F3844">
        <w:rPr>
          <w:rFonts w:ascii="ITC Avant Garde" w:hAnsi="ITC Avant Garde"/>
          <w:bCs/>
          <w:lang w:val="es-ES_tradnl"/>
        </w:rPr>
        <w:t xml:space="preserve">la aceptación </w:t>
      </w:r>
      <w:r>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Pr>
          <w:rFonts w:ascii="ITC Avant Garde" w:hAnsi="ITC Avant Garde"/>
          <w:bCs/>
          <w:lang w:val="es-ES_tradnl"/>
        </w:rPr>
        <w:t>presente Resolución quedará sin efectos y, en consecuencia, se tendrá por negada la prórroga de vigencia solicitada.</w:t>
      </w:r>
    </w:p>
    <w:p w14:paraId="0AE96ABC" w14:textId="699E09F3" w:rsidR="00B7256C" w:rsidRDefault="00B7256C" w:rsidP="001F3D65">
      <w:pPr>
        <w:spacing w:before="240" w:after="0" w:line="240" w:lineRule="auto"/>
        <w:jc w:val="both"/>
        <w:rPr>
          <w:rFonts w:ascii="ITC Avant Garde" w:hAnsi="ITC Avant Garde"/>
          <w:bCs/>
          <w:lang w:val="es-ES_tradnl"/>
        </w:rPr>
      </w:pPr>
      <w:r w:rsidRPr="003E516F">
        <w:rPr>
          <w:rFonts w:ascii="ITC Avant Garde" w:hAnsi="ITC Avant Garde"/>
          <w:b/>
          <w:bCs/>
          <w:lang w:val="es-ES_tradnl"/>
        </w:rPr>
        <w:t>TERCERO.-</w:t>
      </w:r>
      <w:r w:rsidRPr="003E516F">
        <w:rPr>
          <w:rFonts w:ascii="ITC Avant Garde" w:hAnsi="ITC Avant Garde"/>
          <w:bCs/>
          <w:lang w:val="es-ES_tradnl"/>
        </w:rPr>
        <w:t xml:space="preserve"> </w:t>
      </w:r>
      <w:r w:rsidRPr="003F3844">
        <w:rPr>
          <w:rFonts w:ascii="ITC Avant Garde" w:hAnsi="ITC Avant Garde"/>
          <w:bCs/>
          <w:lang w:val="es-ES_tradnl"/>
        </w:rPr>
        <w:t xml:space="preserve">Una vez satisfecho lo establecido </w:t>
      </w:r>
      <w:r>
        <w:rPr>
          <w:rFonts w:ascii="ITC Avant Garde" w:hAnsi="ITC Avant Garde"/>
          <w:bCs/>
          <w:lang w:val="es-ES_tradnl"/>
        </w:rPr>
        <w:t>por</w:t>
      </w:r>
      <w:r w:rsidRPr="003F3844">
        <w:rPr>
          <w:rFonts w:ascii="ITC Avant Garde" w:hAnsi="ITC Avant Garde"/>
          <w:bCs/>
          <w:lang w:val="es-ES_tradnl"/>
        </w:rPr>
        <w:t xml:space="preserve"> </w:t>
      </w:r>
      <w:r>
        <w:rPr>
          <w:rFonts w:ascii="ITC Avant Garde" w:hAnsi="ITC Avant Garde"/>
          <w:bCs/>
          <w:lang w:val="es-ES_tradnl"/>
        </w:rPr>
        <w:t>los</w:t>
      </w:r>
      <w:r w:rsidRPr="003F3844">
        <w:rPr>
          <w:rFonts w:ascii="ITC Avant Garde" w:hAnsi="ITC Avant Garde"/>
          <w:bCs/>
          <w:lang w:val="es-ES_tradnl"/>
        </w:rPr>
        <w:t xml:space="preserve"> Resolutivo</w:t>
      </w:r>
      <w:r>
        <w:rPr>
          <w:rFonts w:ascii="ITC Avant Garde" w:hAnsi="ITC Avant Garde"/>
          <w:bCs/>
          <w:lang w:val="es-ES_tradnl"/>
        </w:rPr>
        <w:t>s</w:t>
      </w:r>
      <w:r w:rsidRPr="003F3844">
        <w:rPr>
          <w:rFonts w:ascii="ITC Avant Garde" w:hAnsi="ITC Avant Garde"/>
          <w:bCs/>
          <w:lang w:val="es-ES_tradnl"/>
        </w:rPr>
        <w:t xml:space="preserve"> </w:t>
      </w:r>
      <w:r>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14:paraId="03DD6387" w14:textId="5D9A7B40" w:rsidR="00B7256C" w:rsidRDefault="00B7256C" w:rsidP="001F3D65">
      <w:pPr>
        <w:autoSpaceDE w:val="0"/>
        <w:autoSpaceDN w:val="0"/>
        <w:adjustRightInd w:val="0"/>
        <w:spacing w:before="240" w:after="0" w:line="240" w:lineRule="auto"/>
        <w:jc w:val="both"/>
        <w:rPr>
          <w:rFonts w:ascii="ITC Avant Garde" w:hAnsi="ITC Avant Garde"/>
          <w:bCs/>
          <w:lang w:val="es-ES_tradnl"/>
        </w:rPr>
      </w:pPr>
      <w:r w:rsidRPr="003E516F">
        <w:rPr>
          <w:rFonts w:ascii="ITC Avant Garde" w:hAnsi="ITC Avant Garde"/>
          <w:b/>
          <w:bCs/>
          <w:lang w:val="es-ES_tradnl"/>
        </w:rPr>
        <w:t>CUARTO.-</w:t>
      </w:r>
      <w:r w:rsidRPr="003E516F">
        <w:rPr>
          <w:rFonts w:ascii="ITC Avant Garde" w:hAnsi="ITC Avant Garde"/>
          <w:bCs/>
          <w:lang w:val="es-ES_tradnl"/>
        </w:rPr>
        <w:t xml:space="preserve"> </w:t>
      </w:r>
      <w:r w:rsidR="005B68F5">
        <w:rPr>
          <w:rFonts w:ascii="ITC Avant Garde" w:hAnsi="ITC Avant Garde"/>
          <w:bCs/>
          <w:lang w:val="es-ES_tradnl"/>
        </w:rPr>
        <w:t>Como consecuencia de lo señalado en el Resolutivo que antecede, s</w:t>
      </w:r>
      <w:r w:rsidRPr="003F3844">
        <w:rPr>
          <w:rFonts w:ascii="ITC Avant Garde" w:hAnsi="ITC Avant Garde"/>
          <w:bCs/>
          <w:lang w:val="es-ES_tradnl"/>
        </w:rPr>
        <w:t>e instruye a la Unidad de Concesiones y Servicios a notificar a</w:t>
      </w:r>
      <w:r>
        <w:rPr>
          <w:rFonts w:ascii="ITC Avant Garde" w:hAnsi="ITC Avant Garde"/>
          <w:bCs/>
          <w:lang w:val="es-ES_tradnl"/>
        </w:rPr>
        <w:t xml:space="preserve"> </w:t>
      </w:r>
      <w:r w:rsidR="00D01EF8" w:rsidRPr="001E080A">
        <w:rPr>
          <w:rFonts w:ascii="ITC Avant Garde" w:hAnsi="ITC Avant Garde"/>
          <w:bCs/>
          <w:lang w:val="es-ES_tradnl"/>
        </w:rPr>
        <w:t>Globalstar de México, S. de R.L. de C.V.</w:t>
      </w:r>
      <w:r w:rsidR="00D01EF8">
        <w:rPr>
          <w:rFonts w:ascii="ITC Avant Garde" w:hAnsi="ITC Avant Garde"/>
          <w:bCs/>
          <w:lang w:val="es-ES_tradnl"/>
        </w:rPr>
        <w:t xml:space="preserve"> </w:t>
      </w:r>
      <w:r w:rsidRPr="003F3844">
        <w:rPr>
          <w:rFonts w:ascii="ITC Avant Garde" w:hAnsi="ITC Avant Garde"/>
          <w:bCs/>
          <w:lang w:val="es-ES_tradnl"/>
        </w:rPr>
        <w:t>el título de concesión única a que se refiere la presente Resolución.</w:t>
      </w:r>
    </w:p>
    <w:p w14:paraId="7110BEE2" w14:textId="023EF1AE" w:rsidR="00B7256C" w:rsidRDefault="00B7256C" w:rsidP="001F3D65">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
          <w:bCs/>
          <w:lang w:val="es-ES_tradnl"/>
        </w:rPr>
        <w:t>QUINTO</w:t>
      </w:r>
      <w:r w:rsidR="009F26EC">
        <w:rPr>
          <w:rFonts w:ascii="ITC Avant Garde" w:hAnsi="ITC Avant Garde"/>
          <w:b/>
          <w:bCs/>
          <w:lang w:val="es-ES_tradnl"/>
        </w:rPr>
        <w:t>.</w:t>
      </w:r>
      <w:r w:rsidRPr="000369C1">
        <w:rPr>
          <w:rFonts w:ascii="ITC Avant Garde" w:hAnsi="ITC Avant Garde"/>
          <w:b/>
          <w:bCs/>
          <w:lang w:val="es-ES_tradnl"/>
        </w:rPr>
        <w:t>-</w:t>
      </w:r>
      <w:r w:rsidRPr="000369C1">
        <w:rPr>
          <w:rFonts w:ascii="ITC Avant Garde" w:hAnsi="ITC Avant Garde"/>
          <w:bCs/>
          <w:lang w:val="es-ES_tradnl"/>
        </w:rPr>
        <w:t xml:space="preserve"> </w:t>
      </w:r>
      <w:r w:rsidRPr="003F3844">
        <w:rPr>
          <w:rFonts w:ascii="ITC Avant Garde" w:hAnsi="ITC Avant Garde"/>
          <w:bCs/>
          <w:lang w:val="es-ES_tradnl"/>
        </w:rPr>
        <w:t>Inscríbase en el Registro Pú</w:t>
      </w:r>
      <w:r>
        <w:rPr>
          <w:rFonts w:ascii="ITC Avant Garde" w:hAnsi="ITC Avant Garde"/>
          <w:bCs/>
          <w:lang w:val="es-ES_tradnl"/>
        </w:rPr>
        <w:t>blico de Concesiones el título d</w:t>
      </w:r>
      <w:r w:rsidRPr="003F3844">
        <w:rPr>
          <w:rFonts w:ascii="ITC Avant Garde" w:hAnsi="ITC Avant Garde"/>
          <w:bCs/>
          <w:lang w:val="es-ES_tradnl"/>
        </w:rPr>
        <w:t xml:space="preserve">e concesión única </w:t>
      </w:r>
      <w:r>
        <w:rPr>
          <w:rFonts w:ascii="ITC Avant Garde" w:hAnsi="ITC Avant Garde"/>
          <w:bCs/>
          <w:lang w:val="es-ES_tradnl"/>
        </w:rPr>
        <w:t>que en su caso se otorgue</w:t>
      </w:r>
      <w:r w:rsidRPr="003F3844">
        <w:rPr>
          <w:rFonts w:ascii="ITC Avant Garde" w:hAnsi="ITC Avant Garde"/>
          <w:bCs/>
          <w:lang w:val="es-ES_tradnl"/>
        </w:rPr>
        <w:t>, una vez que sea debi</w:t>
      </w:r>
      <w:r>
        <w:rPr>
          <w:rFonts w:ascii="ITC Avant Garde" w:hAnsi="ITC Avant Garde"/>
          <w:bCs/>
          <w:lang w:val="es-ES_tradnl"/>
        </w:rPr>
        <w:t>damente entregado</w:t>
      </w:r>
      <w:r w:rsidR="005B68F5">
        <w:rPr>
          <w:rFonts w:ascii="ITC Avant Garde" w:hAnsi="ITC Avant Garde"/>
          <w:bCs/>
          <w:lang w:val="es-ES_tradnl"/>
        </w:rPr>
        <w:t>, en su caso,</w:t>
      </w:r>
      <w:r>
        <w:rPr>
          <w:rFonts w:ascii="ITC Avant Garde" w:hAnsi="ITC Avant Garde"/>
          <w:bCs/>
          <w:lang w:val="es-ES_tradnl"/>
        </w:rPr>
        <w:t xml:space="preserve"> al interesado.</w:t>
      </w:r>
    </w:p>
    <w:p w14:paraId="375D90D3" w14:textId="2E69F5AA" w:rsidR="00B7256C" w:rsidRDefault="00B7256C" w:rsidP="001F3D65">
      <w:pPr>
        <w:autoSpaceDE w:val="0"/>
        <w:autoSpaceDN w:val="0"/>
        <w:adjustRightInd w:val="0"/>
        <w:spacing w:before="240" w:after="0" w:line="240" w:lineRule="auto"/>
        <w:jc w:val="both"/>
        <w:rPr>
          <w:rFonts w:ascii="ITC Avant Garde" w:hAnsi="ITC Avant Garde"/>
          <w:bCs/>
          <w:lang w:val="es-ES_tradnl"/>
        </w:rPr>
      </w:pPr>
      <w:r w:rsidRPr="00F45A3D">
        <w:rPr>
          <w:rFonts w:ascii="ITC Avant Garde" w:hAnsi="ITC Avant Garde"/>
          <w:b/>
          <w:bCs/>
          <w:lang w:val="es-ES_tradnl"/>
        </w:rPr>
        <w:t>SEXTO.-</w:t>
      </w:r>
      <w:r w:rsidRPr="005A66C4">
        <w:rPr>
          <w:rFonts w:ascii="ITC Avant Garde" w:hAnsi="ITC Avant Garde"/>
          <w:bCs/>
          <w:lang w:val="es-ES_tradnl"/>
        </w:rPr>
        <w:t xml:space="preserve"> </w:t>
      </w:r>
      <w:r w:rsidR="001C2730" w:rsidRPr="007E7D6E">
        <w:rPr>
          <w:rFonts w:ascii="ITC Avant Garde" w:hAnsi="ITC Avant Garde"/>
          <w:bCs/>
          <w:lang w:val="es-ES_tradnl"/>
        </w:rPr>
        <w:t>Globalstar de México, S. de R.L. de C.V.</w:t>
      </w:r>
      <w:r w:rsidRPr="007E7D6E">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14:paraId="25982D1E" w14:textId="16673169" w:rsidR="001F3D65" w:rsidRPr="00AC5E4C" w:rsidRDefault="009F26EC" w:rsidP="00AC5E4C">
      <w:pPr>
        <w:pStyle w:val="Sinespaciado"/>
        <w:spacing w:before="240"/>
        <w:jc w:val="both"/>
        <w:rPr>
          <w:rFonts w:ascii="ITC Avant Garde" w:eastAsia="Times New Roman" w:hAnsi="ITC Avant Garde"/>
          <w:sz w:val="14"/>
          <w:szCs w:val="21"/>
        </w:rPr>
      </w:pPr>
      <w:r w:rsidRPr="00366770">
        <w:rPr>
          <w:rFonts w:ascii="ITC Avant Garde" w:hAnsi="ITC Avant Garde"/>
          <w:sz w:val="14"/>
          <w:szCs w:val="21"/>
        </w:rPr>
        <w:t>La presente Resolución fue aprobada por el Pleno del Instituto Federal de Telecomunicaciones en su VIII Sesión Extraordinaria celebrada el 25 de mayo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w:t>
      </w:r>
      <w:r>
        <w:rPr>
          <w:rFonts w:ascii="ITC Avant Garde" w:hAnsi="ITC Avant Garde"/>
          <w:sz w:val="14"/>
          <w:szCs w:val="21"/>
        </w:rPr>
        <w:t>nte Acuerdo P/IFT/EXT/250516/15.</w:t>
      </w:r>
      <w:bookmarkStart w:id="0" w:name="_GoBack"/>
      <w:bookmarkEnd w:id="0"/>
    </w:p>
    <w:sectPr w:rsidR="001F3D65" w:rsidRPr="00AC5E4C" w:rsidSect="006B55C3">
      <w:headerReference w:type="even" r:id="rId8"/>
      <w:footerReference w:type="default" r:id="rId9"/>
      <w:headerReference w:type="first" r:id="rId10"/>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AB81B" w14:textId="77777777" w:rsidR="00B63CC6" w:rsidRDefault="00B63CC6">
      <w:pPr>
        <w:spacing w:after="0" w:line="240" w:lineRule="auto"/>
      </w:pPr>
      <w:r>
        <w:separator/>
      </w:r>
    </w:p>
  </w:endnote>
  <w:endnote w:type="continuationSeparator" w:id="0">
    <w:p w14:paraId="13C06A80" w14:textId="77777777" w:rsidR="00B63CC6" w:rsidRDefault="00B6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C4525" w14:textId="77777777" w:rsidR="00B048BA" w:rsidRPr="004C7979" w:rsidRDefault="001F673D" w:rsidP="00B048BA">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AC5E4C">
      <w:rPr>
        <w:rFonts w:ascii="ITC Avant Garde" w:hAnsi="ITC Avant Garde" w:cs="Calibri"/>
        <w:noProof/>
        <w:sz w:val="18"/>
        <w:szCs w:val="18"/>
      </w:rPr>
      <w:t>10</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AC5E4C">
      <w:rPr>
        <w:rFonts w:ascii="ITC Avant Garde" w:hAnsi="ITC Avant Garde" w:cs="Calibri"/>
        <w:noProof/>
        <w:sz w:val="18"/>
        <w:szCs w:val="18"/>
      </w:rPr>
      <w:t>11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D00B7" w14:textId="77777777" w:rsidR="00B63CC6" w:rsidRDefault="00B63CC6">
      <w:pPr>
        <w:spacing w:after="0" w:line="240" w:lineRule="auto"/>
      </w:pPr>
      <w:r>
        <w:separator/>
      </w:r>
    </w:p>
  </w:footnote>
  <w:footnote w:type="continuationSeparator" w:id="0">
    <w:p w14:paraId="0D9F2A0E" w14:textId="77777777" w:rsidR="00B63CC6" w:rsidRDefault="00B63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3364D" w14:textId="77777777" w:rsidR="00072BC8" w:rsidRDefault="00B63CC6">
    <w:pPr>
      <w:pStyle w:val="Encabezado"/>
    </w:pPr>
    <w:r>
      <w:rPr>
        <w:noProof/>
        <w:lang w:eastAsia="es-MX"/>
      </w:rPr>
      <w:pict w14:anchorId="504C3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CCC5" w14:textId="77777777" w:rsidR="00072BC8" w:rsidRPr="000F5E4B" w:rsidRDefault="00B63CC6">
    <w:pPr>
      <w:pStyle w:val="Encabezado"/>
      <w:rPr>
        <w:b/>
      </w:rPr>
    </w:pPr>
    <w:r>
      <w:rPr>
        <w:b/>
        <w:noProof/>
        <w:lang w:eastAsia="es-MX"/>
      </w:rPr>
      <w:pict w14:anchorId="5B5EB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6EAE"/>
    <w:multiLevelType w:val="hybridMultilevel"/>
    <w:tmpl w:val="C466FF5A"/>
    <w:lvl w:ilvl="0" w:tplc="080A0001">
      <w:start w:val="1"/>
      <w:numFmt w:val="bullet"/>
      <w:lvlText w:val=""/>
      <w:lvlJc w:val="left"/>
      <w:pPr>
        <w:ind w:left="1350" w:hanging="360"/>
      </w:pPr>
      <w:rPr>
        <w:rFonts w:ascii="Symbol" w:hAnsi="Symbol" w:hint="default"/>
      </w:rPr>
    </w:lvl>
    <w:lvl w:ilvl="1" w:tplc="080A0003" w:tentative="1">
      <w:start w:val="1"/>
      <w:numFmt w:val="bullet"/>
      <w:lvlText w:val="o"/>
      <w:lvlJc w:val="left"/>
      <w:pPr>
        <w:ind w:left="2070" w:hanging="360"/>
      </w:pPr>
      <w:rPr>
        <w:rFonts w:ascii="Courier New" w:hAnsi="Courier New" w:cs="Courier New" w:hint="default"/>
      </w:rPr>
    </w:lvl>
    <w:lvl w:ilvl="2" w:tplc="080A0005" w:tentative="1">
      <w:start w:val="1"/>
      <w:numFmt w:val="bullet"/>
      <w:lvlText w:val=""/>
      <w:lvlJc w:val="left"/>
      <w:pPr>
        <w:ind w:left="2790" w:hanging="360"/>
      </w:pPr>
      <w:rPr>
        <w:rFonts w:ascii="Wingdings" w:hAnsi="Wingdings" w:hint="default"/>
      </w:rPr>
    </w:lvl>
    <w:lvl w:ilvl="3" w:tplc="080A0001" w:tentative="1">
      <w:start w:val="1"/>
      <w:numFmt w:val="bullet"/>
      <w:lvlText w:val=""/>
      <w:lvlJc w:val="left"/>
      <w:pPr>
        <w:ind w:left="3510" w:hanging="360"/>
      </w:pPr>
      <w:rPr>
        <w:rFonts w:ascii="Symbol" w:hAnsi="Symbol" w:hint="default"/>
      </w:rPr>
    </w:lvl>
    <w:lvl w:ilvl="4" w:tplc="080A0003" w:tentative="1">
      <w:start w:val="1"/>
      <w:numFmt w:val="bullet"/>
      <w:lvlText w:val="o"/>
      <w:lvlJc w:val="left"/>
      <w:pPr>
        <w:ind w:left="4230" w:hanging="360"/>
      </w:pPr>
      <w:rPr>
        <w:rFonts w:ascii="Courier New" w:hAnsi="Courier New" w:cs="Courier New" w:hint="default"/>
      </w:rPr>
    </w:lvl>
    <w:lvl w:ilvl="5" w:tplc="080A0005" w:tentative="1">
      <w:start w:val="1"/>
      <w:numFmt w:val="bullet"/>
      <w:lvlText w:val=""/>
      <w:lvlJc w:val="left"/>
      <w:pPr>
        <w:ind w:left="4950" w:hanging="360"/>
      </w:pPr>
      <w:rPr>
        <w:rFonts w:ascii="Wingdings" w:hAnsi="Wingdings" w:hint="default"/>
      </w:rPr>
    </w:lvl>
    <w:lvl w:ilvl="6" w:tplc="080A0001" w:tentative="1">
      <w:start w:val="1"/>
      <w:numFmt w:val="bullet"/>
      <w:lvlText w:val=""/>
      <w:lvlJc w:val="left"/>
      <w:pPr>
        <w:ind w:left="5670" w:hanging="360"/>
      </w:pPr>
      <w:rPr>
        <w:rFonts w:ascii="Symbol" w:hAnsi="Symbol" w:hint="default"/>
      </w:rPr>
    </w:lvl>
    <w:lvl w:ilvl="7" w:tplc="080A0003" w:tentative="1">
      <w:start w:val="1"/>
      <w:numFmt w:val="bullet"/>
      <w:lvlText w:val="o"/>
      <w:lvlJc w:val="left"/>
      <w:pPr>
        <w:ind w:left="6390" w:hanging="360"/>
      </w:pPr>
      <w:rPr>
        <w:rFonts w:ascii="Courier New" w:hAnsi="Courier New" w:cs="Courier New" w:hint="default"/>
      </w:rPr>
    </w:lvl>
    <w:lvl w:ilvl="8" w:tplc="080A0005" w:tentative="1">
      <w:start w:val="1"/>
      <w:numFmt w:val="bullet"/>
      <w:lvlText w:val=""/>
      <w:lvlJc w:val="left"/>
      <w:pPr>
        <w:ind w:left="7110" w:hanging="360"/>
      </w:pPr>
      <w:rPr>
        <w:rFonts w:ascii="Wingdings" w:hAnsi="Wingdings" w:hint="default"/>
      </w:rPr>
    </w:lvl>
  </w:abstractNum>
  <w:abstractNum w:abstractNumId="1" w15:restartNumberingAfterBreak="0">
    <w:nsid w:val="18517E1B"/>
    <w:multiLevelType w:val="hybridMultilevel"/>
    <w:tmpl w:val="63CE46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7CF2F99"/>
    <w:multiLevelType w:val="hybridMultilevel"/>
    <w:tmpl w:val="DEF88DE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 w15:restartNumberingAfterBreak="0">
    <w:nsid w:val="403560D5"/>
    <w:multiLevelType w:val="hybridMultilevel"/>
    <w:tmpl w:val="C94624A2"/>
    <w:lvl w:ilvl="0" w:tplc="E0F2674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D308A3"/>
    <w:multiLevelType w:val="hybridMultilevel"/>
    <w:tmpl w:val="EBC696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8C22816"/>
    <w:multiLevelType w:val="hybridMultilevel"/>
    <w:tmpl w:val="15107BB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6C"/>
    <w:rsid w:val="0000086A"/>
    <w:rsid w:val="00005046"/>
    <w:rsid w:val="00014410"/>
    <w:rsid w:val="000266A5"/>
    <w:rsid w:val="00050C4F"/>
    <w:rsid w:val="000518A0"/>
    <w:rsid w:val="000804B2"/>
    <w:rsid w:val="000A5383"/>
    <w:rsid w:val="000D3947"/>
    <w:rsid w:val="000F6F91"/>
    <w:rsid w:val="00106EFB"/>
    <w:rsid w:val="001176C0"/>
    <w:rsid w:val="00121C6D"/>
    <w:rsid w:val="0013206C"/>
    <w:rsid w:val="00142670"/>
    <w:rsid w:val="00153C02"/>
    <w:rsid w:val="001824E7"/>
    <w:rsid w:val="00193600"/>
    <w:rsid w:val="00193C4F"/>
    <w:rsid w:val="001C2730"/>
    <w:rsid w:val="001C6FC7"/>
    <w:rsid w:val="001C6FCF"/>
    <w:rsid w:val="001E080A"/>
    <w:rsid w:val="001E1983"/>
    <w:rsid w:val="001F3D65"/>
    <w:rsid w:val="001F673D"/>
    <w:rsid w:val="001F7C7F"/>
    <w:rsid w:val="002107F3"/>
    <w:rsid w:val="00232B04"/>
    <w:rsid w:val="002375B1"/>
    <w:rsid w:val="00240780"/>
    <w:rsid w:val="00245055"/>
    <w:rsid w:val="00250A65"/>
    <w:rsid w:val="00263593"/>
    <w:rsid w:val="002741C6"/>
    <w:rsid w:val="00280355"/>
    <w:rsid w:val="0029632C"/>
    <w:rsid w:val="002A5431"/>
    <w:rsid w:val="002D67CC"/>
    <w:rsid w:val="002E6D9B"/>
    <w:rsid w:val="002E72AA"/>
    <w:rsid w:val="003035CF"/>
    <w:rsid w:val="00312DED"/>
    <w:rsid w:val="00316A92"/>
    <w:rsid w:val="00324648"/>
    <w:rsid w:val="00337672"/>
    <w:rsid w:val="00362811"/>
    <w:rsid w:val="00364F61"/>
    <w:rsid w:val="00366428"/>
    <w:rsid w:val="003D3F1A"/>
    <w:rsid w:val="003E0F65"/>
    <w:rsid w:val="003E2B97"/>
    <w:rsid w:val="003E37F7"/>
    <w:rsid w:val="004117C8"/>
    <w:rsid w:val="00442D05"/>
    <w:rsid w:val="00470615"/>
    <w:rsid w:val="00485FDC"/>
    <w:rsid w:val="00520D35"/>
    <w:rsid w:val="005720C0"/>
    <w:rsid w:val="00586D97"/>
    <w:rsid w:val="00597757"/>
    <w:rsid w:val="005B4D8B"/>
    <w:rsid w:val="005B68F5"/>
    <w:rsid w:val="005C0C9A"/>
    <w:rsid w:val="005C0EFA"/>
    <w:rsid w:val="005D0BEC"/>
    <w:rsid w:val="005E155E"/>
    <w:rsid w:val="005E74C3"/>
    <w:rsid w:val="005F0776"/>
    <w:rsid w:val="005F4FBD"/>
    <w:rsid w:val="00621939"/>
    <w:rsid w:val="00670BD2"/>
    <w:rsid w:val="00674776"/>
    <w:rsid w:val="00676469"/>
    <w:rsid w:val="006A232E"/>
    <w:rsid w:val="006B55C3"/>
    <w:rsid w:val="006B6409"/>
    <w:rsid w:val="006F56AA"/>
    <w:rsid w:val="00734382"/>
    <w:rsid w:val="0077231A"/>
    <w:rsid w:val="00792494"/>
    <w:rsid w:val="007D2914"/>
    <w:rsid w:val="007E7D6E"/>
    <w:rsid w:val="0080170E"/>
    <w:rsid w:val="00851E4E"/>
    <w:rsid w:val="008526DC"/>
    <w:rsid w:val="00855F8D"/>
    <w:rsid w:val="00865F5D"/>
    <w:rsid w:val="00893E9F"/>
    <w:rsid w:val="008A3386"/>
    <w:rsid w:val="008A6863"/>
    <w:rsid w:val="008B2C53"/>
    <w:rsid w:val="008F3D4A"/>
    <w:rsid w:val="00917851"/>
    <w:rsid w:val="009178E9"/>
    <w:rsid w:val="009541C8"/>
    <w:rsid w:val="009612A2"/>
    <w:rsid w:val="009D4FA8"/>
    <w:rsid w:val="009E3ECC"/>
    <w:rsid w:val="009F26EC"/>
    <w:rsid w:val="00A14539"/>
    <w:rsid w:val="00A346FA"/>
    <w:rsid w:val="00A55F65"/>
    <w:rsid w:val="00A642FC"/>
    <w:rsid w:val="00A66BCD"/>
    <w:rsid w:val="00A82E16"/>
    <w:rsid w:val="00A93770"/>
    <w:rsid w:val="00AB60DF"/>
    <w:rsid w:val="00AC5E4C"/>
    <w:rsid w:val="00AE181E"/>
    <w:rsid w:val="00B12E56"/>
    <w:rsid w:val="00B16C4C"/>
    <w:rsid w:val="00B17561"/>
    <w:rsid w:val="00B31AD5"/>
    <w:rsid w:val="00B37BFC"/>
    <w:rsid w:val="00B52FE3"/>
    <w:rsid w:val="00B61A74"/>
    <w:rsid w:val="00B63CC6"/>
    <w:rsid w:val="00B7256C"/>
    <w:rsid w:val="00B8221F"/>
    <w:rsid w:val="00BA6A24"/>
    <w:rsid w:val="00BF122E"/>
    <w:rsid w:val="00C21DDE"/>
    <w:rsid w:val="00C23FE1"/>
    <w:rsid w:val="00C43D74"/>
    <w:rsid w:val="00C53FB6"/>
    <w:rsid w:val="00C66D93"/>
    <w:rsid w:val="00CC0496"/>
    <w:rsid w:val="00CF2E24"/>
    <w:rsid w:val="00D01EF8"/>
    <w:rsid w:val="00D04BA3"/>
    <w:rsid w:val="00D109FB"/>
    <w:rsid w:val="00D25D53"/>
    <w:rsid w:val="00D2778B"/>
    <w:rsid w:val="00D332E6"/>
    <w:rsid w:val="00D712C4"/>
    <w:rsid w:val="00D769C0"/>
    <w:rsid w:val="00D80E91"/>
    <w:rsid w:val="00D943F9"/>
    <w:rsid w:val="00D970A9"/>
    <w:rsid w:val="00DD7E37"/>
    <w:rsid w:val="00E15752"/>
    <w:rsid w:val="00E35012"/>
    <w:rsid w:val="00E42201"/>
    <w:rsid w:val="00E73209"/>
    <w:rsid w:val="00EB35C9"/>
    <w:rsid w:val="00EF2C5E"/>
    <w:rsid w:val="00F43153"/>
    <w:rsid w:val="00F744F1"/>
    <w:rsid w:val="00F8158D"/>
    <w:rsid w:val="00F94F6F"/>
    <w:rsid w:val="00FA2734"/>
    <w:rsid w:val="00FB0074"/>
    <w:rsid w:val="00FB7DE7"/>
    <w:rsid w:val="00FC152A"/>
    <w:rsid w:val="00FE48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3DC9C4"/>
  <w15:chartTrackingRefBased/>
  <w15:docId w15:val="{5D838834-D6D4-44FE-9F13-DEA474A1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56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F3D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F3D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25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256C"/>
    <w:rPr>
      <w:rFonts w:ascii="Calibri" w:eastAsia="Calibri" w:hAnsi="Calibri" w:cs="Times New Roman"/>
    </w:rPr>
  </w:style>
  <w:style w:type="paragraph" w:styleId="Prrafodelista">
    <w:name w:val="List Paragraph"/>
    <w:basedOn w:val="Normal"/>
    <w:link w:val="PrrafodelistaCar"/>
    <w:uiPriority w:val="34"/>
    <w:qFormat/>
    <w:rsid w:val="00B7256C"/>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B7256C"/>
  </w:style>
  <w:style w:type="character" w:styleId="Refdecomentario">
    <w:name w:val="annotation reference"/>
    <w:basedOn w:val="Fuentedeprrafopredeter"/>
    <w:uiPriority w:val="99"/>
    <w:semiHidden/>
    <w:unhideWhenUsed/>
    <w:rsid w:val="00B7256C"/>
    <w:rPr>
      <w:sz w:val="16"/>
      <w:szCs w:val="16"/>
    </w:rPr>
  </w:style>
  <w:style w:type="paragraph" w:styleId="Textocomentario">
    <w:name w:val="annotation text"/>
    <w:basedOn w:val="Normal"/>
    <w:link w:val="TextocomentarioCar"/>
    <w:uiPriority w:val="99"/>
    <w:semiHidden/>
    <w:unhideWhenUsed/>
    <w:rsid w:val="00B725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256C"/>
    <w:rPr>
      <w:rFonts w:ascii="Calibri" w:eastAsia="Calibri" w:hAnsi="Calibri" w:cs="Times New Roman"/>
      <w:sz w:val="20"/>
      <w:szCs w:val="20"/>
    </w:rPr>
  </w:style>
  <w:style w:type="character" w:customStyle="1" w:styleId="PrrafodelistaCar">
    <w:name w:val="Párrafo de lista Car"/>
    <w:link w:val="Prrafodelista"/>
    <w:uiPriority w:val="34"/>
    <w:rsid w:val="00B7256C"/>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B725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56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C6FC7"/>
    <w:rPr>
      <w:b/>
      <w:bCs/>
    </w:rPr>
  </w:style>
  <w:style w:type="character" w:customStyle="1" w:styleId="AsuntodelcomentarioCar">
    <w:name w:val="Asunto del comentario Car"/>
    <w:basedOn w:val="TextocomentarioCar"/>
    <w:link w:val="Asuntodelcomentario"/>
    <w:uiPriority w:val="99"/>
    <w:semiHidden/>
    <w:rsid w:val="001C6FC7"/>
    <w:rPr>
      <w:rFonts w:ascii="Calibri" w:eastAsia="Calibri" w:hAnsi="Calibri" w:cs="Times New Roman"/>
      <w:b/>
      <w:bCs/>
      <w:sz w:val="20"/>
      <w:szCs w:val="20"/>
    </w:rPr>
  </w:style>
  <w:style w:type="table" w:styleId="Tablaconcuadrcula">
    <w:name w:val="Table Grid"/>
    <w:basedOn w:val="Tablanormal"/>
    <w:uiPriority w:val="39"/>
    <w:rsid w:val="005E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21DDE"/>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6B5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5C3"/>
    <w:rPr>
      <w:rFonts w:ascii="Calibri" w:eastAsia="Calibri" w:hAnsi="Calibri" w:cs="Times New Roman"/>
    </w:rPr>
  </w:style>
  <w:style w:type="paragraph" w:styleId="NormalWeb">
    <w:name w:val="Normal (Web)"/>
    <w:basedOn w:val="Normal"/>
    <w:uiPriority w:val="99"/>
    <w:unhideWhenUsed/>
    <w:rsid w:val="009F26EC"/>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9F26EC"/>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9F26EC"/>
    <w:rPr>
      <w:rFonts w:ascii="Calibri" w:eastAsia="Calibri" w:hAnsi="Calibri" w:cs="Times New Roman"/>
    </w:rPr>
  </w:style>
  <w:style w:type="character" w:customStyle="1" w:styleId="Ttulo1Car">
    <w:name w:val="Título 1 Car"/>
    <w:basedOn w:val="Fuentedeprrafopredeter"/>
    <w:link w:val="Ttulo1"/>
    <w:uiPriority w:val="9"/>
    <w:rsid w:val="001F3D6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F3D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2385">
      <w:bodyDiv w:val="1"/>
      <w:marLeft w:val="0"/>
      <w:marRight w:val="0"/>
      <w:marTop w:val="0"/>
      <w:marBottom w:val="0"/>
      <w:divBdr>
        <w:top w:val="none" w:sz="0" w:space="0" w:color="auto"/>
        <w:left w:val="none" w:sz="0" w:space="0" w:color="auto"/>
        <w:bottom w:val="none" w:sz="0" w:space="0" w:color="auto"/>
        <w:right w:val="none" w:sz="0" w:space="0" w:color="auto"/>
      </w:divBdr>
    </w:div>
    <w:div w:id="97734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320F-C984-4ABD-84E2-98C84CC7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5125</Words>
  <Characters>28190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Lizbeth Daniela Ubaldo Ortega</dc:creator>
  <cp:keywords/>
  <dc:description/>
  <cp:lastModifiedBy>Maria del Consuelo Gonzalez Moreno</cp:lastModifiedBy>
  <cp:revision>11</cp:revision>
  <dcterms:created xsi:type="dcterms:W3CDTF">2016-05-25T22:21:00Z</dcterms:created>
  <dcterms:modified xsi:type="dcterms:W3CDTF">2016-06-06T21:20:00Z</dcterms:modified>
</cp:coreProperties>
</file>