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BC" w:rsidRPr="00030ADE" w:rsidRDefault="00770DB2" w:rsidP="00030ADE">
      <w:pPr>
        <w:pStyle w:val="Ttulo1"/>
        <w:jc w:val="both"/>
        <w:rPr>
          <w:rFonts w:ascii="ITC Avant Garde" w:hAnsi="ITC Avant Garde"/>
          <w:b/>
          <w:color w:val="auto"/>
          <w:sz w:val="22"/>
          <w:szCs w:val="22"/>
        </w:rPr>
      </w:pPr>
      <w:r w:rsidRPr="00030ADE">
        <w:rPr>
          <w:rFonts w:ascii="ITC Avant Garde" w:hAnsi="ITC Avant Garde"/>
          <w:b/>
          <w:bCs/>
          <w:color w:val="auto"/>
          <w:sz w:val="22"/>
          <w:szCs w:val="22"/>
          <w:lang w:eastAsia="es-MX"/>
        </w:rPr>
        <w:t>RESOLUCIÓN</w:t>
      </w:r>
      <w:r w:rsidR="00C96CE9" w:rsidRPr="00030ADE">
        <w:rPr>
          <w:rFonts w:ascii="ITC Avant Garde" w:hAnsi="ITC Avant Garde"/>
          <w:b/>
          <w:bCs/>
          <w:color w:val="auto"/>
          <w:sz w:val="22"/>
          <w:szCs w:val="22"/>
          <w:lang w:eastAsia="es-MX"/>
        </w:rPr>
        <w:t xml:space="preserve"> MEDIANTE </w:t>
      </w:r>
      <w:r w:rsidRPr="00030ADE">
        <w:rPr>
          <w:rFonts w:ascii="ITC Avant Garde" w:hAnsi="ITC Avant Garde"/>
          <w:b/>
          <w:bCs/>
          <w:color w:val="auto"/>
          <w:sz w:val="22"/>
          <w:szCs w:val="22"/>
          <w:lang w:eastAsia="es-MX"/>
        </w:rPr>
        <w:t>LA</w:t>
      </w:r>
      <w:r w:rsidR="00C96CE9" w:rsidRPr="00030ADE">
        <w:rPr>
          <w:rFonts w:ascii="ITC Avant Garde" w:hAnsi="ITC Avant Garde"/>
          <w:b/>
          <w:bCs/>
          <w:color w:val="auto"/>
          <w:sz w:val="22"/>
          <w:szCs w:val="22"/>
          <w:lang w:eastAsia="es-MX"/>
        </w:rPr>
        <w:t xml:space="preserve"> CUAL EL PLENO DEL INSTITUTO FEDERAL DE TELECOMUNICACIONES OTORGA </w:t>
      </w:r>
      <w:r w:rsidRPr="00030ADE">
        <w:rPr>
          <w:rFonts w:ascii="ITC Avant Garde" w:hAnsi="ITC Avant Garde"/>
          <w:b/>
          <w:bCs/>
          <w:color w:val="auto"/>
          <w:sz w:val="22"/>
          <w:szCs w:val="22"/>
          <w:lang w:eastAsia="es-MX"/>
        </w:rPr>
        <w:t>A RADIOMÓVIL DIPSA, S.A. DE C.V., UN</w:t>
      </w:r>
      <w:r w:rsidR="00C96CE9" w:rsidRPr="00030ADE">
        <w:rPr>
          <w:rFonts w:ascii="ITC Avant Garde" w:hAnsi="ITC Avant Garde"/>
          <w:b/>
          <w:bCs/>
          <w:color w:val="auto"/>
          <w:sz w:val="22"/>
          <w:szCs w:val="22"/>
          <w:lang w:eastAsia="es-MX"/>
        </w:rPr>
        <w:t xml:space="preserve"> </w:t>
      </w:r>
      <w:r w:rsidR="00AF2FBC" w:rsidRPr="00030ADE">
        <w:rPr>
          <w:rFonts w:ascii="ITC Avant Garde" w:hAnsi="ITC Avant Garde"/>
          <w:b/>
          <w:color w:val="auto"/>
          <w:sz w:val="22"/>
          <w:szCs w:val="22"/>
        </w:rPr>
        <w:t xml:space="preserve">TÍTULO DE CONCESIÓN PARA USAR, APROVECHAR Y EXPLOTAR BANDAS DE FRECUENCIAS DEL ESPECTRO RADIOELÉCTRICO PARA USO COMERCIAL, </w:t>
      </w:r>
      <w:r w:rsidRPr="00030ADE">
        <w:rPr>
          <w:rFonts w:ascii="ITC Avant Garde" w:hAnsi="ITC Avant Garde"/>
          <w:b/>
          <w:color w:val="auto"/>
          <w:sz w:val="22"/>
          <w:szCs w:val="22"/>
        </w:rPr>
        <w:t xml:space="preserve">COMO RESULTADO DEL PROCEDIMIENTO </w:t>
      </w:r>
      <w:r w:rsidR="00EE7925" w:rsidRPr="00030ADE">
        <w:rPr>
          <w:rFonts w:ascii="ITC Avant Garde" w:hAnsi="ITC Avant Garde"/>
          <w:b/>
          <w:color w:val="auto"/>
          <w:sz w:val="22"/>
          <w:szCs w:val="22"/>
        </w:rPr>
        <w:t>DE LICITACIÓN PÚBLICA PARA CONCESIONAR EL USO, APROVECHAMIENTO Y EXPLOTACIÓN COMERCIAL DE 80 MHz DE ESPECTRO RADIOELÉCTRICO DISPONIBLES EN LA BANDA DE FRECUENCIAS 1710-1780 MHz/2110-2180 MHz (LICITACIÓN No. IFT-3).</w:t>
      </w:r>
    </w:p>
    <w:p w:rsidR="00C96CE9" w:rsidRDefault="00C96CE9" w:rsidP="00C96CE9">
      <w:pPr>
        <w:spacing w:after="0" w:line="240" w:lineRule="auto"/>
        <w:jc w:val="both"/>
        <w:rPr>
          <w:rFonts w:ascii="ITC Avant Garde" w:hAnsi="ITC Avant Garde"/>
          <w:b/>
          <w:bCs/>
          <w:color w:val="000000"/>
          <w:lang w:eastAsia="es-MX"/>
        </w:rPr>
      </w:pPr>
    </w:p>
    <w:p w:rsidR="00C96CE9" w:rsidRPr="00030ADE" w:rsidRDefault="00C96CE9" w:rsidP="00030ADE">
      <w:pPr>
        <w:pStyle w:val="Ttulo2"/>
        <w:jc w:val="center"/>
        <w:rPr>
          <w:rFonts w:ascii="ITC Avant Garde" w:hAnsi="ITC Avant Garde"/>
          <w:b/>
          <w:bCs/>
          <w:color w:val="000000"/>
          <w:sz w:val="22"/>
          <w:szCs w:val="22"/>
          <w:lang w:eastAsia="es-MX"/>
        </w:rPr>
      </w:pPr>
      <w:r w:rsidRPr="00030ADE">
        <w:rPr>
          <w:rFonts w:ascii="ITC Avant Garde" w:hAnsi="ITC Avant Garde"/>
          <w:b/>
          <w:bCs/>
          <w:color w:val="000000"/>
          <w:sz w:val="22"/>
          <w:szCs w:val="22"/>
          <w:lang w:eastAsia="es-MX"/>
        </w:rPr>
        <w:t>ANTECEDENTES</w:t>
      </w:r>
    </w:p>
    <w:p w:rsidR="00C96CE9" w:rsidRPr="00216619" w:rsidRDefault="00C96CE9" w:rsidP="00985E5C">
      <w:pPr>
        <w:spacing w:before="240" w:after="0" w:line="240" w:lineRule="auto"/>
        <w:jc w:val="both"/>
        <w:rPr>
          <w:rFonts w:ascii="ITC Avant Garde" w:hAnsi="ITC Avant Garde"/>
          <w:b/>
          <w:bCs/>
          <w:color w:val="000000"/>
          <w:lang w:eastAsia="es-MX"/>
        </w:rPr>
      </w:pPr>
    </w:p>
    <w:p w:rsidR="00C96CE9" w:rsidRPr="001B413F" w:rsidRDefault="00C96CE9" w:rsidP="00985E5C">
      <w:pPr>
        <w:numPr>
          <w:ilvl w:val="0"/>
          <w:numId w:val="1"/>
        </w:numPr>
        <w:spacing w:before="240" w:after="0" w:line="240" w:lineRule="auto"/>
        <w:ind w:left="567" w:hanging="567"/>
        <w:jc w:val="both"/>
        <w:rPr>
          <w:rFonts w:ascii="ITC Avant Garde" w:hAnsi="ITC Avant Garde"/>
          <w:bCs/>
          <w:color w:val="000000"/>
          <w:lang w:eastAsia="es-MX"/>
        </w:rPr>
      </w:pPr>
      <w:r w:rsidRPr="007A1F0F">
        <w:rPr>
          <w:rFonts w:ascii="ITC Avant Garde" w:hAnsi="ITC Avant Garde"/>
          <w:b/>
          <w:bCs/>
          <w:color w:val="000000"/>
          <w:lang w:eastAsia="es-MX"/>
        </w:rPr>
        <w:t xml:space="preserve">Decreto de Reforma Constitucional. </w:t>
      </w:r>
      <w:r w:rsidRPr="007A1F0F">
        <w:rPr>
          <w:rFonts w:ascii="ITC Avant Garde" w:hAnsi="ITC Avant Garde"/>
          <w:bCs/>
          <w:color w:val="000000"/>
          <w:lang w:eastAsia="es-MX"/>
        </w:rPr>
        <w:t>Con fecha 11 de junio de 2013, se publicó en el Diario Oficial de la Federación el “</w:t>
      </w:r>
      <w:r w:rsidRPr="008663B6">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bCs/>
          <w:color w:val="000000"/>
          <w:lang w:eastAsia="es-MX"/>
        </w:rPr>
        <w:t>”</w:t>
      </w:r>
      <w:r w:rsidRPr="007A1F0F">
        <w:rPr>
          <w:rFonts w:ascii="ITC Avant Garde" w:hAnsi="ITC Avant Garde"/>
          <w:bCs/>
          <w:color w:val="000000"/>
          <w:lang w:eastAsia="es-MX"/>
        </w:rPr>
        <w:t>, mediante el cual se creó el Instituto Federal de Telecomunicaciones (el “Instituto”), como un órgano autónomo que tiene por objeto el desarrollo eficiente de la radiodifusión y las telecomunicaciones.</w:t>
      </w:r>
    </w:p>
    <w:p w:rsidR="00C96CE9" w:rsidRPr="00216619" w:rsidRDefault="00C96CE9" w:rsidP="00985E5C">
      <w:pPr>
        <w:numPr>
          <w:ilvl w:val="0"/>
          <w:numId w:val="1"/>
        </w:numPr>
        <w:spacing w:before="240" w:after="0" w:line="240" w:lineRule="auto"/>
        <w:ind w:left="567"/>
        <w:jc w:val="both"/>
        <w:rPr>
          <w:rFonts w:ascii="ITC Avant Garde" w:hAnsi="ITC Avant Garde"/>
          <w:bCs/>
          <w:color w:val="000000"/>
          <w:lang w:eastAsia="es-MX"/>
        </w:rPr>
      </w:pPr>
      <w:r w:rsidRPr="00216619">
        <w:rPr>
          <w:rFonts w:ascii="ITC Avant Garde" w:hAnsi="ITC Avant Garde"/>
          <w:b/>
          <w:bCs/>
          <w:color w:val="000000" w:themeColor="text1"/>
          <w:lang w:eastAsia="es-MX"/>
        </w:rPr>
        <w:t xml:space="preserve">Decreto de Ley. </w:t>
      </w:r>
      <w:r w:rsidRPr="00216619">
        <w:rPr>
          <w:rFonts w:ascii="ITC Avant Garde" w:hAnsi="ITC Avant Garde"/>
          <w:bCs/>
          <w:color w:val="000000" w:themeColor="text1"/>
          <w:lang w:eastAsia="es-MX"/>
        </w:rPr>
        <w:t>El 14 de julio de 2014, se publicó en el Diario Oficial de la Federación el “</w:t>
      </w:r>
      <w:r w:rsidRPr="00216619">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color w:val="000000" w:themeColor="text1"/>
          <w:lang w:eastAsia="es-MX"/>
        </w:rPr>
        <w:t>”</w:t>
      </w:r>
      <w:r w:rsidRPr="00216619">
        <w:rPr>
          <w:rFonts w:ascii="ITC Avant Garde" w:hAnsi="ITC Avant Garde"/>
          <w:bCs/>
          <w:color w:val="000000" w:themeColor="text1"/>
          <w:lang w:eastAsia="es-MX"/>
        </w:rPr>
        <w:t>, mismo que entró en vigor el 13 de agosto de 2014.</w:t>
      </w:r>
    </w:p>
    <w:p w:rsidR="00C96CE9" w:rsidRDefault="00C96CE9" w:rsidP="00985E5C">
      <w:pPr>
        <w:numPr>
          <w:ilvl w:val="0"/>
          <w:numId w:val="1"/>
        </w:numPr>
        <w:spacing w:before="240" w:after="0" w:line="240" w:lineRule="auto"/>
        <w:ind w:left="567"/>
        <w:jc w:val="both"/>
        <w:rPr>
          <w:rFonts w:ascii="ITC Avant Garde" w:hAnsi="ITC Avant Garde"/>
          <w:bCs/>
          <w:color w:val="000000"/>
          <w:lang w:eastAsia="es-MX"/>
        </w:rPr>
      </w:pPr>
      <w:r w:rsidRPr="00216619">
        <w:rPr>
          <w:rFonts w:ascii="ITC Avant Garde" w:hAnsi="ITC Avant Garde" w:cs="Arial"/>
          <w:b/>
          <w:bCs/>
          <w:color w:val="000000"/>
          <w:shd w:val="clear" w:color="auto" w:fill="FFFFFF"/>
        </w:rPr>
        <w:t>Estatuto Orgánico.</w:t>
      </w:r>
      <w:r w:rsidRPr="00216619">
        <w:rPr>
          <w:rStyle w:val="apple-converted-space"/>
          <w:rFonts w:ascii="ITC Avant Garde" w:hAnsi="ITC Avant Garde" w:cs="Arial"/>
          <w:b/>
          <w:bCs/>
          <w:color w:val="000000"/>
          <w:shd w:val="clear" w:color="auto" w:fill="FFFFFF"/>
        </w:rPr>
        <w:t xml:space="preserve"> </w:t>
      </w:r>
      <w:r w:rsidRPr="00216619">
        <w:rPr>
          <w:rFonts w:ascii="ITC Avant Garde" w:hAnsi="ITC Avant Garde"/>
          <w:color w:val="000000"/>
          <w:shd w:val="clear" w:color="auto" w:fill="FFFFFF"/>
        </w:rPr>
        <w:t>El 4 de septiembre de 2014, se publicó en el Diario Oficial de la Federación el “</w:t>
      </w:r>
      <w:r w:rsidRPr="00216619">
        <w:rPr>
          <w:rFonts w:ascii="ITC Avant Garde" w:hAnsi="ITC Avant Garde"/>
          <w:i/>
          <w:color w:val="000000"/>
          <w:shd w:val="clear" w:color="auto" w:fill="FFFFFF"/>
        </w:rPr>
        <w:t>Estatuto Orgánico del Instituto Federal de Telecomunicaciones</w:t>
      </w:r>
      <w:r w:rsidRPr="00216619">
        <w:rPr>
          <w:rFonts w:ascii="ITC Avant Garde" w:hAnsi="ITC Avant Garde"/>
          <w:color w:val="000000"/>
          <w:shd w:val="clear" w:color="auto" w:fill="FFFFFF"/>
        </w:rPr>
        <w:t>” (el “Estatuto Orgánico”), mismo que entró en vigor el 26 de septiembre de 2014, y fue modificado el 17 de octubre del mismo año.</w:t>
      </w:r>
    </w:p>
    <w:p w:rsidR="00AE71D4" w:rsidRPr="001B413F" w:rsidRDefault="00FB6145" w:rsidP="00985E5C">
      <w:pPr>
        <w:numPr>
          <w:ilvl w:val="0"/>
          <w:numId w:val="1"/>
        </w:numPr>
        <w:spacing w:before="240" w:after="0" w:line="240" w:lineRule="auto"/>
        <w:ind w:left="567"/>
        <w:jc w:val="both"/>
        <w:rPr>
          <w:rFonts w:ascii="ITC Avant Garde" w:hAnsi="ITC Avant Garde"/>
          <w:bCs/>
          <w:color w:val="000000"/>
          <w:lang w:eastAsia="es-MX"/>
        </w:rPr>
      </w:pPr>
      <w:r w:rsidRPr="00FB6145">
        <w:rPr>
          <w:rFonts w:ascii="ITC Avant Garde" w:hAnsi="ITC Avant Garde"/>
          <w:b/>
          <w:bCs/>
          <w:color w:val="000000"/>
          <w:lang w:eastAsia="es-MX"/>
        </w:rPr>
        <w:t>Convocatoria a</w:t>
      </w:r>
      <w:r w:rsidR="00AE71D4" w:rsidRPr="00FB6145">
        <w:rPr>
          <w:rFonts w:ascii="ITC Avant Garde" w:hAnsi="ITC Avant Garde"/>
          <w:b/>
          <w:bCs/>
          <w:color w:val="000000"/>
          <w:lang w:eastAsia="es-MX"/>
        </w:rPr>
        <w:t xml:space="preserve"> la Licitación No. IFT-3. </w:t>
      </w:r>
      <w:r w:rsidRPr="00FB6145">
        <w:rPr>
          <w:rFonts w:ascii="ITC Avant Garde" w:hAnsi="ITC Avant Garde"/>
        </w:rPr>
        <w:t xml:space="preserve">El 11 de noviembre de 2015, mediante Acuerdo P/IFT/111115/531 el Pleno del Instituto aprobó la </w:t>
      </w:r>
      <w:r w:rsidR="00AE71D4" w:rsidRPr="00FB6145">
        <w:rPr>
          <w:rFonts w:ascii="ITC Avant Garde" w:hAnsi="ITC Avant Garde"/>
        </w:rPr>
        <w:t>“</w:t>
      </w:r>
      <w:r w:rsidRPr="00FB6145">
        <w:rPr>
          <w:rFonts w:ascii="ITC Avant Garde" w:hAnsi="ITC Avant Garde"/>
          <w:i/>
        </w:rPr>
        <w:t xml:space="preserve">Convocatoria a la </w:t>
      </w:r>
      <w:r w:rsidRPr="00FB6145">
        <w:rPr>
          <w:rFonts w:ascii="ITC Avant Garde" w:hAnsi="ITC Avant Garde" w:cs="Tahoma"/>
          <w:bCs/>
          <w:i/>
          <w:lang w:eastAsia="es-MX"/>
        </w:rPr>
        <w:t>licitación P</w:t>
      </w:r>
      <w:r w:rsidR="00AE71D4" w:rsidRPr="00FB6145">
        <w:rPr>
          <w:rFonts w:ascii="ITC Avant Garde" w:hAnsi="ITC Avant Garde" w:cs="Tahoma"/>
          <w:bCs/>
          <w:i/>
          <w:lang w:eastAsia="es-MX"/>
        </w:rPr>
        <w:t>ública para concesionar el uso, aprovechamiento y explotación comercial de 80 MHz de espectro radioeléctrico disponibles en la banda de frecuencias 1710-1780 MHz/2110-2180 MHz (Licitación No. IFT-3)</w:t>
      </w:r>
      <w:r w:rsidRPr="00FB6145">
        <w:rPr>
          <w:rFonts w:ascii="ITC Avant Garde" w:hAnsi="ITC Avant Garde" w:cs="Tahoma"/>
          <w:bCs/>
          <w:lang w:eastAsia="es-MX"/>
        </w:rPr>
        <w:t>”, misma que fue publicada en el Diario Oficial de la Federación el 20 de noviembre de 2015</w:t>
      </w:r>
      <w:r w:rsidR="00AE71D4" w:rsidRPr="00FB6145">
        <w:rPr>
          <w:rFonts w:ascii="ITC Avant Garde" w:hAnsi="ITC Avant Garde" w:cs="Tahoma"/>
          <w:bCs/>
          <w:lang w:eastAsia="es-MX"/>
        </w:rPr>
        <w:t xml:space="preserve">. </w:t>
      </w:r>
    </w:p>
    <w:p w:rsidR="00EE7925" w:rsidRPr="00EE7925" w:rsidRDefault="00C96CE9" w:rsidP="00985E5C">
      <w:pPr>
        <w:numPr>
          <w:ilvl w:val="0"/>
          <w:numId w:val="1"/>
        </w:numPr>
        <w:spacing w:before="240" w:after="0" w:line="240" w:lineRule="auto"/>
        <w:ind w:left="567"/>
        <w:jc w:val="both"/>
        <w:rPr>
          <w:rFonts w:ascii="ITC Avant Garde" w:hAnsi="ITC Avant Garde"/>
          <w:bCs/>
          <w:color w:val="000000"/>
          <w:lang w:eastAsia="es-MX"/>
        </w:rPr>
      </w:pPr>
      <w:r w:rsidRPr="00EE7925">
        <w:rPr>
          <w:rFonts w:ascii="ITC Avant Garde" w:hAnsi="ITC Avant Garde"/>
          <w:b/>
          <w:bCs/>
          <w:color w:val="000000"/>
          <w:lang w:eastAsia="es-MX"/>
        </w:rPr>
        <w:t xml:space="preserve">Bases de </w:t>
      </w:r>
      <w:r w:rsidR="00EE7925">
        <w:rPr>
          <w:rFonts w:ascii="ITC Avant Garde" w:hAnsi="ITC Avant Garde"/>
          <w:b/>
          <w:bCs/>
          <w:color w:val="000000"/>
          <w:lang w:eastAsia="es-MX"/>
        </w:rPr>
        <w:t xml:space="preserve">la </w:t>
      </w:r>
      <w:r w:rsidRPr="00EE7925">
        <w:rPr>
          <w:rFonts w:ascii="ITC Avant Garde" w:hAnsi="ITC Avant Garde"/>
          <w:b/>
          <w:bCs/>
          <w:color w:val="000000"/>
          <w:lang w:eastAsia="es-MX"/>
        </w:rPr>
        <w:t>Licitación</w:t>
      </w:r>
      <w:r w:rsidR="00EE7925">
        <w:rPr>
          <w:rFonts w:ascii="ITC Avant Garde" w:hAnsi="ITC Avant Garde"/>
          <w:b/>
          <w:bCs/>
          <w:color w:val="000000"/>
          <w:lang w:eastAsia="es-MX"/>
        </w:rPr>
        <w:t xml:space="preserve"> No. IFT-3</w:t>
      </w:r>
      <w:r w:rsidRPr="00EE7925">
        <w:rPr>
          <w:rFonts w:ascii="ITC Avant Garde" w:hAnsi="ITC Avant Garde"/>
          <w:b/>
          <w:bCs/>
          <w:color w:val="000000"/>
          <w:lang w:eastAsia="es-MX"/>
        </w:rPr>
        <w:t xml:space="preserve">. </w:t>
      </w:r>
      <w:r w:rsidRPr="00EE7925">
        <w:rPr>
          <w:rFonts w:ascii="ITC Avant Garde" w:hAnsi="ITC Avant Garde"/>
        </w:rPr>
        <w:t>Con fecha 20 de noviembre de 2015 y en ejercicio de las atribuciones estab</w:t>
      </w:r>
      <w:r w:rsidR="00770DB2">
        <w:rPr>
          <w:rFonts w:ascii="ITC Avant Garde" w:hAnsi="ITC Avant Garde"/>
        </w:rPr>
        <w:t>lecidas en el artículo 15 fracción</w:t>
      </w:r>
      <w:r w:rsidRPr="00EE7925">
        <w:rPr>
          <w:rFonts w:ascii="ITC Avant Garde" w:hAnsi="ITC Avant Garde"/>
        </w:rPr>
        <w:t xml:space="preserve"> VII de la Ley Federal de Telecomunicaciones y Radiodifusión (la “Ley”), el Instituto publicó en su portal de Internet las “</w:t>
      </w:r>
      <w:r w:rsidRPr="00EE7925">
        <w:rPr>
          <w:rFonts w:ascii="ITC Avant Garde" w:hAnsi="ITC Avant Garde" w:cs="Tahoma"/>
          <w:bCs/>
          <w:i/>
          <w:lang w:eastAsia="es-MX"/>
        </w:rPr>
        <w:t xml:space="preserve">Bases de licitación pública para concesionar el uso, aprovechamiento </w:t>
      </w:r>
      <w:r w:rsidRPr="00EE7925">
        <w:rPr>
          <w:rFonts w:ascii="ITC Avant Garde" w:hAnsi="ITC Avant Garde" w:cs="Tahoma"/>
          <w:bCs/>
          <w:i/>
          <w:lang w:eastAsia="es-MX"/>
        </w:rPr>
        <w:lastRenderedPageBreak/>
        <w:t>y explotación comercial de 80 MHz de espectro radioeléctrico disponibles en la banda de frecuencias 1710-1780 MHz/2110-2180 MHz (Licitación No. IFT-3)</w:t>
      </w:r>
      <w:r w:rsidRPr="00EE7925">
        <w:rPr>
          <w:rFonts w:ascii="ITC Avant Garde" w:hAnsi="ITC Avant Garde" w:cs="Tahoma"/>
          <w:bCs/>
          <w:lang w:eastAsia="es-MX"/>
        </w:rPr>
        <w:t>” (las “Bases</w:t>
      </w:r>
      <w:r w:rsidR="00D6216A">
        <w:rPr>
          <w:rFonts w:ascii="ITC Avant Garde" w:hAnsi="ITC Avant Garde" w:cs="Tahoma"/>
          <w:bCs/>
          <w:lang w:eastAsia="es-MX"/>
        </w:rPr>
        <w:t xml:space="preserve"> de Licitación</w:t>
      </w:r>
      <w:r w:rsidRPr="00EE7925">
        <w:rPr>
          <w:rFonts w:ascii="ITC Avant Garde" w:hAnsi="ITC Avant Garde" w:cs="Tahoma"/>
          <w:bCs/>
          <w:lang w:eastAsia="es-MX"/>
        </w:rPr>
        <w:t>”).</w:t>
      </w:r>
      <w:r w:rsidR="00EE7925" w:rsidRPr="00EE7925">
        <w:rPr>
          <w:rFonts w:ascii="ITC Avant Garde" w:hAnsi="ITC Avant Garde" w:cs="Tahoma"/>
          <w:bCs/>
          <w:lang w:eastAsia="es-MX"/>
        </w:rPr>
        <w:t xml:space="preserve"> </w:t>
      </w:r>
    </w:p>
    <w:p w:rsidR="00C96CE9" w:rsidRPr="00E75D15" w:rsidRDefault="00C96CE9" w:rsidP="00985E5C">
      <w:pPr>
        <w:numPr>
          <w:ilvl w:val="0"/>
          <w:numId w:val="1"/>
        </w:numPr>
        <w:spacing w:before="240" w:after="0" w:line="240" w:lineRule="auto"/>
        <w:ind w:left="567"/>
        <w:jc w:val="both"/>
        <w:rPr>
          <w:rFonts w:ascii="ITC Avant Garde" w:hAnsi="ITC Avant Garde"/>
          <w:bCs/>
          <w:color w:val="000000"/>
          <w:lang w:eastAsia="es-MX"/>
        </w:rPr>
      </w:pPr>
      <w:r w:rsidRPr="00EE7925">
        <w:rPr>
          <w:rFonts w:ascii="ITC Avant Garde" w:hAnsi="ITC Avant Garde"/>
          <w:b/>
        </w:rPr>
        <w:t>Acta de Fallo</w:t>
      </w:r>
      <w:r w:rsidR="00820D8B">
        <w:rPr>
          <w:rFonts w:ascii="ITC Avant Garde" w:hAnsi="ITC Avant Garde"/>
          <w:b/>
        </w:rPr>
        <w:t xml:space="preserve"> de la Licitación No. IFT-3</w:t>
      </w:r>
      <w:r w:rsidRPr="00EE7925">
        <w:rPr>
          <w:rFonts w:ascii="ITC Avant Garde" w:hAnsi="ITC Avant Garde"/>
          <w:b/>
        </w:rPr>
        <w:t>.</w:t>
      </w:r>
      <w:r w:rsidRPr="00EE7925">
        <w:rPr>
          <w:rFonts w:ascii="ITC Avant Garde" w:hAnsi="ITC Avant Garde"/>
        </w:rPr>
        <w:t xml:space="preserve"> Derivado del proceso de la Licitación No. IFT-3, el Pleno del Instituto mediante Acuerdo P/IFT/290216/65 de fecha 29 de febrero de 2016, emitió el fallo correspondiente </w:t>
      </w:r>
      <w:r w:rsidR="00820D8B">
        <w:rPr>
          <w:rFonts w:ascii="ITC Avant Garde" w:hAnsi="ITC Avant Garde"/>
        </w:rPr>
        <w:t>en el que declaró como participante</w:t>
      </w:r>
      <w:r w:rsidR="006B0F3E">
        <w:rPr>
          <w:rFonts w:ascii="ITC Avant Garde" w:hAnsi="ITC Avant Garde"/>
        </w:rPr>
        <w:t>s</w:t>
      </w:r>
      <w:r w:rsidR="00820D8B">
        <w:rPr>
          <w:rFonts w:ascii="ITC Avant Garde" w:hAnsi="ITC Avant Garde"/>
        </w:rPr>
        <w:t xml:space="preserve"> ganador</w:t>
      </w:r>
      <w:r w:rsidR="006B0F3E">
        <w:rPr>
          <w:rFonts w:ascii="ITC Avant Garde" w:hAnsi="ITC Avant Garde"/>
        </w:rPr>
        <w:t>es</w:t>
      </w:r>
      <w:r w:rsidR="00820D8B">
        <w:rPr>
          <w:rFonts w:ascii="ITC Avant Garde" w:hAnsi="ITC Avant Garde"/>
        </w:rPr>
        <w:t xml:space="preserve"> de la Licitación No. IFT-3 </w:t>
      </w:r>
      <w:r w:rsidR="006B0F3E">
        <w:rPr>
          <w:rFonts w:ascii="ITC Avant Garde" w:hAnsi="ITC Avant Garde"/>
        </w:rPr>
        <w:t>a</w:t>
      </w:r>
      <w:r w:rsidR="00820D8B">
        <w:rPr>
          <w:rFonts w:ascii="ITC Avant Garde" w:hAnsi="ITC Avant Garde"/>
        </w:rPr>
        <w:t xml:space="preserve"> </w:t>
      </w:r>
      <w:r w:rsidR="007D0140">
        <w:rPr>
          <w:rFonts w:ascii="ITC Avant Garde" w:hAnsi="ITC Avant Garde"/>
        </w:rPr>
        <w:t>Radiomóvil Dipsa, S.A. de C.V. y</w:t>
      </w:r>
      <w:r w:rsidR="00820D8B">
        <w:rPr>
          <w:rFonts w:ascii="ITC Avant Garde" w:hAnsi="ITC Avant Garde"/>
        </w:rPr>
        <w:t xml:space="preserve"> </w:t>
      </w:r>
      <w:r w:rsidR="00770DB2">
        <w:rPr>
          <w:rFonts w:ascii="ITC Avant Garde" w:hAnsi="ITC Avant Garde"/>
        </w:rPr>
        <w:t xml:space="preserve">a </w:t>
      </w:r>
      <w:r w:rsidR="00820D8B">
        <w:rPr>
          <w:rFonts w:ascii="ITC Avant Garde" w:hAnsi="ITC Avant Garde"/>
        </w:rPr>
        <w:t>AT&amp;T Comunicaciones Digitales, S. de R.L. de C.V</w:t>
      </w:r>
      <w:r w:rsidRPr="00EE7925">
        <w:rPr>
          <w:rFonts w:ascii="ITC Avant Garde" w:hAnsi="ITC Avant Garde"/>
        </w:rPr>
        <w:t>.</w:t>
      </w:r>
      <w:r w:rsidR="00C5765B">
        <w:rPr>
          <w:rFonts w:ascii="ITC Avant Garde" w:hAnsi="ITC Avant Garde"/>
        </w:rPr>
        <w:t xml:space="preserve"> (el “Acta de Fallo”)</w:t>
      </w:r>
      <w:r w:rsidR="00E75D15">
        <w:rPr>
          <w:rFonts w:ascii="ITC Avant Garde" w:hAnsi="ITC Avant Garde"/>
        </w:rPr>
        <w:t>.</w:t>
      </w:r>
    </w:p>
    <w:p w:rsidR="00E75D15" w:rsidRDefault="007D0140" w:rsidP="00985E5C">
      <w:pPr>
        <w:numPr>
          <w:ilvl w:val="0"/>
          <w:numId w:val="1"/>
        </w:numPr>
        <w:spacing w:before="240" w:after="0" w:line="240" w:lineRule="auto"/>
        <w:ind w:left="567"/>
        <w:jc w:val="both"/>
        <w:rPr>
          <w:rFonts w:ascii="ITC Avant Garde" w:hAnsi="ITC Avant Garde"/>
          <w:bCs/>
          <w:color w:val="000000"/>
          <w:lang w:eastAsia="es-MX"/>
        </w:rPr>
      </w:pPr>
      <w:r w:rsidRPr="00404B7A">
        <w:rPr>
          <w:rFonts w:ascii="ITC Avant Garde" w:hAnsi="ITC Avant Garde"/>
          <w:b/>
        </w:rPr>
        <w:t>Acreditación de P</w:t>
      </w:r>
      <w:r w:rsidR="00E75D15" w:rsidRPr="00404B7A">
        <w:rPr>
          <w:rFonts w:ascii="ITC Avant Garde" w:hAnsi="ITC Avant Garde"/>
          <w:b/>
        </w:rPr>
        <w:t>agos.</w:t>
      </w:r>
      <w:r w:rsidR="00E75D15" w:rsidRPr="00404B7A">
        <w:rPr>
          <w:rFonts w:ascii="ITC Avant Garde" w:hAnsi="ITC Avant Garde"/>
          <w:bCs/>
          <w:color w:val="000000"/>
          <w:lang w:eastAsia="es-MX"/>
        </w:rPr>
        <w:t xml:space="preserve"> Mediante escrito</w:t>
      </w:r>
      <w:r w:rsidR="001E27EC" w:rsidRPr="00404B7A">
        <w:rPr>
          <w:rFonts w:ascii="ITC Avant Garde" w:hAnsi="ITC Avant Garde"/>
          <w:bCs/>
          <w:color w:val="000000"/>
          <w:lang w:eastAsia="es-MX"/>
        </w:rPr>
        <w:t>s</w:t>
      </w:r>
      <w:r w:rsidR="00E75D15" w:rsidRPr="00404B7A">
        <w:rPr>
          <w:rFonts w:ascii="ITC Avant Garde" w:hAnsi="ITC Avant Garde"/>
          <w:bCs/>
          <w:color w:val="000000"/>
          <w:lang w:eastAsia="es-MX"/>
        </w:rPr>
        <w:t xml:space="preserve"> presentado</w:t>
      </w:r>
      <w:r w:rsidR="001E27EC" w:rsidRPr="00404B7A">
        <w:rPr>
          <w:rFonts w:ascii="ITC Avant Garde" w:hAnsi="ITC Avant Garde"/>
          <w:bCs/>
          <w:color w:val="000000"/>
          <w:lang w:eastAsia="es-MX"/>
        </w:rPr>
        <w:t>s</w:t>
      </w:r>
      <w:r w:rsidR="00E75D15" w:rsidRPr="00404B7A">
        <w:rPr>
          <w:rFonts w:ascii="ITC Avant Garde" w:hAnsi="ITC Avant Garde"/>
          <w:bCs/>
          <w:color w:val="000000"/>
          <w:lang w:eastAsia="es-MX"/>
        </w:rPr>
        <w:t xml:space="preserve"> ante el Instituto </w:t>
      </w:r>
      <w:r w:rsidR="00770DB2">
        <w:rPr>
          <w:rFonts w:ascii="ITC Avant Garde" w:hAnsi="ITC Avant Garde"/>
          <w:bCs/>
          <w:color w:val="000000"/>
          <w:lang w:eastAsia="es-MX"/>
        </w:rPr>
        <w:t>los días</w:t>
      </w:r>
      <w:r w:rsidR="00E75D15" w:rsidRPr="00404B7A">
        <w:rPr>
          <w:rFonts w:ascii="ITC Avant Garde" w:hAnsi="ITC Avant Garde"/>
          <w:bCs/>
          <w:color w:val="000000"/>
          <w:lang w:eastAsia="es-MX"/>
        </w:rPr>
        <w:t xml:space="preserve"> </w:t>
      </w:r>
      <w:r w:rsidR="001E27EC" w:rsidRPr="00404B7A">
        <w:rPr>
          <w:rFonts w:ascii="ITC Avant Garde" w:hAnsi="ITC Avant Garde"/>
          <w:bCs/>
          <w:color w:val="000000"/>
          <w:lang w:eastAsia="es-MX"/>
        </w:rPr>
        <w:t>11 y 1</w:t>
      </w:r>
      <w:r w:rsidR="00404B7A" w:rsidRPr="00404B7A">
        <w:rPr>
          <w:rFonts w:ascii="ITC Avant Garde" w:hAnsi="ITC Avant Garde"/>
          <w:bCs/>
          <w:color w:val="000000"/>
          <w:lang w:eastAsia="es-MX"/>
        </w:rPr>
        <w:t>8</w:t>
      </w:r>
      <w:r w:rsidR="00E75D15" w:rsidRPr="00404B7A">
        <w:rPr>
          <w:rFonts w:ascii="ITC Avant Garde" w:hAnsi="ITC Avant Garde"/>
          <w:bCs/>
          <w:color w:val="000000"/>
          <w:lang w:eastAsia="es-MX"/>
        </w:rPr>
        <w:t xml:space="preserve"> </w:t>
      </w:r>
      <w:r w:rsidR="001E27EC" w:rsidRPr="00404B7A">
        <w:rPr>
          <w:rFonts w:ascii="ITC Avant Garde" w:hAnsi="ITC Avant Garde"/>
          <w:bCs/>
          <w:color w:val="000000"/>
          <w:lang w:eastAsia="es-MX"/>
        </w:rPr>
        <w:t xml:space="preserve">de marzo </w:t>
      </w:r>
      <w:r w:rsidR="00E75D15" w:rsidRPr="00404B7A">
        <w:rPr>
          <w:rFonts w:ascii="ITC Avant Garde" w:hAnsi="ITC Avant Garde"/>
          <w:bCs/>
          <w:color w:val="000000"/>
          <w:lang w:eastAsia="es-MX"/>
        </w:rPr>
        <w:t>de 2016,</w:t>
      </w:r>
      <w:r w:rsidR="00E75D15">
        <w:rPr>
          <w:rFonts w:ascii="ITC Avant Garde" w:hAnsi="ITC Avant Garde"/>
          <w:bCs/>
          <w:color w:val="000000"/>
          <w:lang w:eastAsia="es-MX"/>
        </w:rPr>
        <w:t xml:space="preserve"> el representante legal de </w:t>
      </w:r>
      <w:r w:rsidR="001E27EC">
        <w:rPr>
          <w:rFonts w:ascii="ITC Avant Garde" w:hAnsi="ITC Avant Garde"/>
          <w:bCs/>
          <w:color w:val="000000"/>
          <w:lang w:eastAsia="es-MX"/>
        </w:rPr>
        <w:t xml:space="preserve">Radiomóvil Dipsa, S.A. </w:t>
      </w:r>
      <w:r w:rsidR="00E75D15">
        <w:rPr>
          <w:rFonts w:ascii="ITC Avant Garde" w:hAnsi="ITC Avant Garde"/>
          <w:bCs/>
          <w:color w:val="000000"/>
          <w:lang w:eastAsia="es-MX"/>
        </w:rPr>
        <w:t>de C.V. (“</w:t>
      </w:r>
      <w:r w:rsidR="001E27EC">
        <w:rPr>
          <w:rFonts w:ascii="ITC Avant Garde" w:hAnsi="ITC Avant Garde"/>
          <w:bCs/>
          <w:color w:val="000000"/>
          <w:lang w:eastAsia="es-MX"/>
        </w:rPr>
        <w:t>Telcel</w:t>
      </w:r>
      <w:r w:rsidR="00E75D15">
        <w:rPr>
          <w:rFonts w:ascii="ITC Avant Garde" w:hAnsi="ITC Avant Garde"/>
          <w:bCs/>
          <w:color w:val="000000"/>
          <w:lang w:eastAsia="es-MX"/>
        </w:rPr>
        <w:t xml:space="preserve">”) presentó los comprobantes de </w:t>
      </w:r>
      <w:r w:rsidR="00B0179A">
        <w:rPr>
          <w:rFonts w:ascii="ITC Avant Garde" w:hAnsi="ITC Avant Garde"/>
          <w:bCs/>
          <w:color w:val="000000"/>
          <w:lang w:eastAsia="es-MX"/>
        </w:rPr>
        <w:t xml:space="preserve">pago con números de folio </w:t>
      </w:r>
      <w:r w:rsidR="001E27EC">
        <w:rPr>
          <w:rFonts w:ascii="ITC Avant Garde" w:hAnsi="ITC Avant Garde"/>
          <w:bCs/>
          <w:color w:val="000000"/>
          <w:lang w:eastAsia="es-MX"/>
        </w:rPr>
        <w:t>665160002306</w:t>
      </w:r>
      <w:r w:rsidR="00B0179A">
        <w:rPr>
          <w:rFonts w:ascii="ITC Avant Garde" w:hAnsi="ITC Avant Garde"/>
          <w:bCs/>
          <w:color w:val="000000"/>
          <w:lang w:eastAsia="es-MX"/>
        </w:rPr>
        <w:t xml:space="preserve"> y </w:t>
      </w:r>
      <w:r w:rsidR="001E27EC">
        <w:rPr>
          <w:rFonts w:ascii="ITC Avant Garde" w:hAnsi="ITC Avant Garde"/>
          <w:bCs/>
          <w:color w:val="000000"/>
          <w:lang w:eastAsia="es-MX"/>
        </w:rPr>
        <w:t>665160002588</w:t>
      </w:r>
      <w:r w:rsidR="00B0179A">
        <w:rPr>
          <w:rFonts w:ascii="ITC Avant Garde" w:hAnsi="ITC Avant Garde"/>
          <w:bCs/>
          <w:color w:val="000000"/>
          <w:lang w:eastAsia="es-MX"/>
        </w:rPr>
        <w:t xml:space="preserve"> por conceptos de la expedición del título de concesión</w:t>
      </w:r>
      <w:r w:rsidR="001E27EC">
        <w:rPr>
          <w:rFonts w:ascii="ITC Avant Garde" w:hAnsi="ITC Avant Garde"/>
          <w:bCs/>
          <w:color w:val="000000"/>
          <w:lang w:eastAsia="es-MX"/>
        </w:rPr>
        <w:t xml:space="preserve"> y</w:t>
      </w:r>
      <w:r w:rsidR="001E27EC" w:rsidRPr="001E27EC">
        <w:rPr>
          <w:rFonts w:ascii="ITC Avant Garde" w:hAnsi="ITC Avant Garde"/>
          <w:bCs/>
          <w:color w:val="000000"/>
          <w:lang w:eastAsia="es-MX"/>
        </w:rPr>
        <w:t xml:space="preserve"> </w:t>
      </w:r>
      <w:r w:rsidR="001E27EC">
        <w:rPr>
          <w:rFonts w:ascii="ITC Avant Garde" w:hAnsi="ITC Avant Garde"/>
          <w:bCs/>
          <w:color w:val="000000"/>
          <w:lang w:eastAsia="es-MX"/>
        </w:rPr>
        <w:t>contraprestación por el espectro asignado</w:t>
      </w:r>
      <w:r w:rsidR="00B0179A">
        <w:rPr>
          <w:rFonts w:ascii="ITC Avant Garde" w:hAnsi="ITC Avant Garde"/>
          <w:bCs/>
          <w:color w:val="000000"/>
          <w:lang w:eastAsia="es-MX"/>
        </w:rPr>
        <w:t>, respectivamente</w:t>
      </w:r>
      <w:r w:rsidR="00770DB2">
        <w:rPr>
          <w:rFonts w:ascii="ITC Avant Garde" w:hAnsi="ITC Avant Garde"/>
          <w:bCs/>
          <w:color w:val="000000"/>
          <w:lang w:eastAsia="es-MX"/>
        </w:rPr>
        <w:t>, mismos que quedaron establecidos en el Acta de Fallo</w:t>
      </w:r>
      <w:r w:rsidR="00B0179A">
        <w:rPr>
          <w:rFonts w:ascii="ITC Avant Garde" w:hAnsi="ITC Avant Garde"/>
          <w:bCs/>
          <w:color w:val="000000"/>
          <w:lang w:eastAsia="es-MX"/>
        </w:rPr>
        <w:t>.</w:t>
      </w:r>
    </w:p>
    <w:p w:rsidR="007D0140" w:rsidRDefault="007D0140" w:rsidP="00985E5C">
      <w:pPr>
        <w:numPr>
          <w:ilvl w:val="0"/>
          <w:numId w:val="1"/>
        </w:numPr>
        <w:spacing w:before="240" w:after="0" w:line="240" w:lineRule="auto"/>
        <w:ind w:left="567"/>
        <w:jc w:val="both"/>
        <w:rPr>
          <w:rFonts w:ascii="ITC Avant Garde" w:hAnsi="ITC Avant Garde"/>
          <w:bCs/>
          <w:color w:val="000000"/>
          <w:lang w:eastAsia="es-MX"/>
        </w:rPr>
      </w:pPr>
      <w:r>
        <w:rPr>
          <w:rFonts w:ascii="ITC Avant Garde" w:hAnsi="ITC Avant Garde"/>
          <w:b/>
        </w:rPr>
        <w:t>Cambio de Bandas de Frecuencias.</w:t>
      </w:r>
      <w:r>
        <w:rPr>
          <w:rFonts w:ascii="ITC Avant Garde" w:hAnsi="ITC Avant Garde"/>
          <w:bCs/>
          <w:color w:val="000000"/>
          <w:lang w:eastAsia="es-MX"/>
        </w:rPr>
        <w:t xml:space="preserve"> Mediante Acuerdo P/IFT/270416/166 de fecha 27 de abril de 2016, el Pleno del Instituto autorizó a </w:t>
      </w:r>
      <w:r w:rsidR="001E27EC">
        <w:rPr>
          <w:rFonts w:ascii="ITC Avant Garde" w:hAnsi="ITC Avant Garde"/>
          <w:bCs/>
          <w:color w:val="000000"/>
          <w:lang w:eastAsia="es-MX"/>
        </w:rPr>
        <w:t>Telcel</w:t>
      </w:r>
      <w:r>
        <w:rPr>
          <w:rFonts w:ascii="ITC Avant Garde" w:hAnsi="ITC Avant Garde"/>
          <w:bCs/>
          <w:color w:val="000000"/>
          <w:lang w:eastAsia="es-MX"/>
        </w:rPr>
        <w:t xml:space="preserve"> a llevar a cabo el cambio de bandas de frecuencias que tenía concesionadas dentro de la banda 1710-1755/2110-2155 MHz, en términos de lo previsto </w:t>
      </w:r>
      <w:r w:rsidR="00770DB2">
        <w:rPr>
          <w:rFonts w:ascii="ITC Avant Garde" w:hAnsi="ITC Avant Garde"/>
          <w:bCs/>
          <w:color w:val="000000"/>
          <w:lang w:eastAsia="es-MX"/>
        </w:rPr>
        <w:t>por</w:t>
      </w:r>
      <w:r>
        <w:rPr>
          <w:rFonts w:ascii="ITC Avant Garde" w:hAnsi="ITC Avant Garde"/>
          <w:bCs/>
          <w:color w:val="000000"/>
          <w:lang w:eastAsia="es-MX"/>
        </w:rPr>
        <w:t xml:space="preserve"> el numeral 2.2 de las Bases de Licitación y</w:t>
      </w:r>
      <w:r w:rsidR="00D66D43">
        <w:rPr>
          <w:rFonts w:ascii="ITC Avant Garde" w:hAnsi="ITC Avant Garde"/>
          <w:bCs/>
          <w:color w:val="000000"/>
          <w:lang w:eastAsia="es-MX"/>
        </w:rPr>
        <w:t xml:space="preserve"> </w:t>
      </w:r>
      <w:r w:rsidR="00770DB2">
        <w:rPr>
          <w:rFonts w:ascii="ITC Avant Garde" w:hAnsi="ITC Avant Garde"/>
          <w:bCs/>
          <w:color w:val="000000"/>
          <w:lang w:eastAsia="es-MX"/>
        </w:rPr>
        <w:t>por</w:t>
      </w:r>
      <w:r>
        <w:rPr>
          <w:rFonts w:ascii="ITC Avant Garde" w:hAnsi="ITC Avant Garde"/>
          <w:bCs/>
          <w:color w:val="000000"/>
          <w:lang w:eastAsia="es-MX"/>
        </w:rPr>
        <w:t xml:space="preserve"> el Considerando Quinto del Acta de Fallo</w:t>
      </w:r>
      <w:r w:rsidR="00D66D43">
        <w:rPr>
          <w:rFonts w:ascii="ITC Avant Garde" w:hAnsi="ITC Avant Garde"/>
          <w:bCs/>
          <w:color w:val="000000"/>
          <w:lang w:eastAsia="es-MX"/>
        </w:rPr>
        <w:t xml:space="preserve"> (el “Cambio de Bandas de Frecuencias”)</w:t>
      </w:r>
      <w:r>
        <w:rPr>
          <w:rFonts w:ascii="ITC Avant Garde" w:hAnsi="ITC Avant Garde"/>
          <w:bCs/>
          <w:color w:val="000000"/>
          <w:lang w:eastAsia="es-MX"/>
        </w:rPr>
        <w:t>.</w:t>
      </w:r>
    </w:p>
    <w:p w:rsidR="00D66D43" w:rsidRDefault="00770DB2" w:rsidP="00985E5C">
      <w:pPr>
        <w:spacing w:before="240" w:after="0" w:line="240" w:lineRule="auto"/>
        <w:ind w:left="567"/>
        <w:jc w:val="both"/>
        <w:rPr>
          <w:rFonts w:ascii="ITC Avant Garde" w:hAnsi="ITC Avant Garde"/>
          <w:bCs/>
          <w:color w:val="000000"/>
          <w:lang w:eastAsia="es-MX"/>
        </w:rPr>
      </w:pPr>
      <w:r w:rsidRPr="00770DB2">
        <w:rPr>
          <w:rFonts w:ascii="ITC Avant Garde" w:hAnsi="ITC Avant Garde"/>
        </w:rPr>
        <w:t>Asimismo,</w:t>
      </w:r>
      <w:r>
        <w:rPr>
          <w:rFonts w:ascii="ITC Avant Garde" w:hAnsi="ITC Avant Garde"/>
        </w:rPr>
        <w:t xml:space="preserve"> estableció en los Resolutivos Cuarto y Quinto, que una vez </w:t>
      </w:r>
      <w:r w:rsidR="006C5048">
        <w:rPr>
          <w:rFonts w:ascii="ITC Avant Garde" w:hAnsi="ITC Avant Garde"/>
        </w:rPr>
        <w:t xml:space="preserve">que </w:t>
      </w:r>
      <w:r w:rsidR="00A24E92">
        <w:rPr>
          <w:rFonts w:ascii="ITC Avant Garde" w:hAnsi="ITC Avant Garde"/>
        </w:rPr>
        <w:t>Telcel</w:t>
      </w:r>
      <w:r w:rsidR="006C5048">
        <w:rPr>
          <w:rFonts w:ascii="ITC Avant Garde" w:hAnsi="ITC Avant Garde"/>
        </w:rPr>
        <w:t xml:space="preserve"> </w:t>
      </w:r>
      <w:r>
        <w:rPr>
          <w:rFonts w:ascii="ITC Avant Garde" w:hAnsi="ITC Avant Garde"/>
        </w:rPr>
        <w:t>notifica</w:t>
      </w:r>
      <w:r w:rsidR="006C5048">
        <w:rPr>
          <w:rFonts w:ascii="ITC Avant Garde" w:hAnsi="ITC Avant Garde"/>
        </w:rPr>
        <w:t>r</w:t>
      </w:r>
      <w:r>
        <w:rPr>
          <w:rFonts w:ascii="ITC Avant Garde" w:hAnsi="ITC Avant Garde"/>
        </w:rPr>
        <w:t>a al Instituto la conclusión del Cambio de Bandas de Frecuencias la Unidad de Concesiones y Servicios en coordinación con la Unidad de Espectro Radioeléctrico, sometería a consideración del Pleno del Instituto el otorgamiento de los títulos de concesión correspondientes a los participantes ganadores de la Licitación No. IFT-3.</w:t>
      </w:r>
    </w:p>
    <w:p w:rsidR="007D0140" w:rsidRPr="00EE7925" w:rsidRDefault="00D66D43" w:rsidP="00985E5C">
      <w:pPr>
        <w:numPr>
          <w:ilvl w:val="0"/>
          <w:numId w:val="1"/>
        </w:numPr>
        <w:spacing w:before="240" w:after="0" w:line="240" w:lineRule="auto"/>
        <w:ind w:left="567"/>
        <w:jc w:val="both"/>
        <w:rPr>
          <w:rFonts w:ascii="ITC Avant Garde" w:hAnsi="ITC Avant Garde"/>
          <w:bCs/>
          <w:color w:val="000000"/>
          <w:lang w:eastAsia="es-MX"/>
        </w:rPr>
      </w:pPr>
      <w:r w:rsidRPr="00D66D43">
        <w:rPr>
          <w:rFonts w:ascii="ITC Avant Garde" w:hAnsi="ITC Avant Garde"/>
          <w:b/>
          <w:bCs/>
          <w:color w:val="000000"/>
          <w:lang w:eastAsia="es-MX"/>
        </w:rPr>
        <w:t>Conclusión del Cambio de Bandas de Frecuencias.</w:t>
      </w:r>
      <w:r>
        <w:rPr>
          <w:rFonts w:ascii="ITC Avant Garde" w:hAnsi="ITC Avant Garde"/>
          <w:bCs/>
          <w:color w:val="000000"/>
          <w:lang w:eastAsia="es-MX"/>
        </w:rPr>
        <w:t xml:space="preserve"> Mediante escrito presentado ante el Instituto el 17 de mayo de 2016, </w:t>
      </w:r>
      <w:r w:rsidR="001E27EC">
        <w:rPr>
          <w:rFonts w:ascii="ITC Avant Garde" w:hAnsi="ITC Avant Garde"/>
          <w:bCs/>
          <w:color w:val="000000"/>
          <w:lang w:eastAsia="es-MX"/>
        </w:rPr>
        <w:t>Telcel</w:t>
      </w:r>
      <w:r>
        <w:rPr>
          <w:rFonts w:ascii="ITC Avant Garde" w:hAnsi="ITC Avant Garde"/>
          <w:bCs/>
          <w:color w:val="000000"/>
          <w:lang w:eastAsia="es-MX"/>
        </w:rPr>
        <w:t xml:space="preserve"> notificó al Instituto la conclusión de los trabajos relativos al Cambio de Bandas de Frecuencias.</w:t>
      </w:r>
    </w:p>
    <w:p w:rsidR="00C96CE9" w:rsidRPr="00216619" w:rsidRDefault="00C96CE9" w:rsidP="00985E5C">
      <w:pPr>
        <w:spacing w:before="240" w:after="0" w:line="240" w:lineRule="auto"/>
        <w:jc w:val="both"/>
        <w:rPr>
          <w:rFonts w:ascii="ITC Avant Garde" w:hAnsi="ITC Avant Garde"/>
          <w:bCs/>
          <w:color w:val="000000"/>
          <w:lang w:eastAsia="es-MX"/>
        </w:rPr>
      </w:pPr>
      <w:r w:rsidRPr="00216619">
        <w:rPr>
          <w:rFonts w:ascii="ITC Avant Garde" w:hAnsi="ITC Avant Garde"/>
          <w:bCs/>
          <w:color w:val="000000"/>
          <w:lang w:eastAsia="es-MX"/>
        </w:rPr>
        <w:t>En virtud de los Antecedentes referidos y,</w:t>
      </w:r>
    </w:p>
    <w:p w:rsidR="00C96CE9" w:rsidRPr="00216619" w:rsidRDefault="00C96CE9" w:rsidP="001B413F">
      <w:pPr>
        <w:spacing w:after="0" w:line="240" w:lineRule="auto"/>
        <w:rPr>
          <w:rFonts w:ascii="ITC Avant Garde" w:hAnsi="ITC Avant Garde"/>
          <w:b/>
          <w:bCs/>
          <w:color w:val="000000"/>
          <w:lang w:eastAsia="es-MX"/>
        </w:rPr>
      </w:pPr>
    </w:p>
    <w:p w:rsidR="00C96CE9" w:rsidRPr="00030ADE" w:rsidRDefault="00C96CE9" w:rsidP="00030ADE">
      <w:pPr>
        <w:pStyle w:val="Ttulo2"/>
        <w:jc w:val="center"/>
        <w:rPr>
          <w:rFonts w:ascii="ITC Avant Garde" w:hAnsi="ITC Avant Garde"/>
          <w:b/>
          <w:bCs/>
          <w:color w:val="auto"/>
          <w:sz w:val="22"/>
          <w:szCs w:val="22"/>
        </w:rPr>
      </w:pPr>
      <w:r w:rsidRPr="00030ADE">
        <w:rPr>
          <w:rFonts w:ascii="ITC Avant Garde" w:hAnsi="ITC Avant Garde"/>
          <w:b/>
          <w:bCs/>
          <w:color w:val="auto"/>
          <w:sz w:val="22"/>
          <w:szCs w:val="22"/>
        </w:rPr>
        <w:t>CONSIDERANDO</w:t>
      </w:r>
    </w:p>
    <w:p w:rsidR="00C96CE9" w:rsidRPr="00216619" w:rsidRDefault="00C96CE9" w:rsidP="00C96CE9">
      <w:pPr>
        <w:autoSpaceDE w:val="0"/>
        <w:autoSpaceDN w:val="0"/>
        <w:adjustRightInd w:val="0"/>
        <w:spacing w:after="0" w:line="240" w:lineRule="auto"/>
        <w:jc w:val="center"/>
        <w:rPr>
          <w:rFonts w:ascii="ITC Avant Garde" w:hAnsi="ITC Avant Garde"/>
          <w:b/>
          <w:bCs/>
        </w:rPr>
      </w:pPr>
    </w:p>
    <w:p w:rsidR="00C96CE9" w:rsidRPr="00216619" w:rsidRDefault="00C96CE9" w:rsidP="00985E5C">
      <w:pPr>
        <w:autoSpaceDE w:val="0"/>
        <w:autoSpaceDN w:val="0"/>
        <w:adjustRightInd w:val="0"/>
        <w:spacing w:before="240" w:after="0" w:line="240" w:lineRule="auto"/>
        <w:jc w:val="both"/>
        <w:rPr>
          <w:rFonts w:ascii="ITC Avant Garde" w:hAnsi="ITC Avant Garde"/>
          <w:bCs/>
          <w:color w:val="000000"/>
          <w:lang w:eastAsia="es-MX"/>
        </w:rPr>
      </w:pPr>
      <w:r w:rsidRPr="00216619">
        <w:rPr>
          <w:rFonts w:ascii="ITC Avant Garde" w:hAnsi="ITC Avant Garde"/>
          <w:b/>
          <w:bCs/>
        </w:rPr>
        <w:t>Primero.-</w:t>
      </w:r>
      <w:r w:rsidRPr="00216619">
        <w:rPr>
          <w:rFonts w:ascii="ITC Avant Garde" w:hAnsi="ITC Avant Garde"/>
          <w:bCs/>
        </w:rPr>
        <w:t xml:space="preserve"> </w:t>
      </w:r>
      <w:r w:rsidRPr="00216619">
        <w:rPr>
          <w:rFonts w:ascii="ITC Avant Garde" w:hAnsi="ITC Avant Garde"/>
          <w:b/>
          <w:bCs/>
        </w:rPr>
        <w:t>Competencia.</w:t>
      </w:r>
      <w:r w:rsidRPr="00216619">
        <w:rPr>
          <w:rFonts w:ascii="ITC Avant Garde" w:hAnsi="ITC Avant Garde"/>
          <w:bCs/>
        </w:rPr>
        <w:t xml:space="preserve"> </w:t>
      </w:r>
      <w:r w:rsidRPr="00216619">
        <w:rPr>
          <w:rFonts w:ascii="ITC Avant Garde" w:hAnsi="ITC Avant Garde"/>
          <w:bCs/>
          <w:color w:val="000000"/>
          <w:lang w:eastAsia="es-MX"/>
        </w:rPr>
        <w:t>Conforme lo dispone el artículo 28 párrafos décimo quinto</w:t>
      </w:r>
      <w:r w:rsidR="00474BC3">
        <w:rPr>
          <w:rFonts w:ascii="ITC Avant Garde" w:hAnsi="ITC Avant Garde"/>
          <w:bCs/>
          <w:color w:val="000000"/>
          <w:lang w:eastAsia="es-MX"/>
        </w:rPr>
        <w:t>,</w:t>
      </w:r>
      <w:r>
        <w:rPr>
          <w:rFonts w:ascii="ITC Avant Garde" w:hAnsi="ITC Avant Garde"/>
          <w:bCs/>
          <w:color w:val="000000"/>
          <w:lang w:eastAsia="es-MX"/>
        </w:rPr>
        <w:t xml:space="preserve"> décimo sexto</w:t>
      </w:r>
      <w:r w:rsidR="00474BC3">
        <w:rPr>
          <w:rFonts w:ascii="ITC Avant Garde" w:hAnsi="ITC Avant Garde"/>
          <w:bCs/>
          <w:color w:val="000000"/>
          <w:lang w:eastAsia="es-MX"/>
        </w:rPr>
        <w:t xml:space="preserve"> y décimo séptimo</w:t>
      </w:r>
      <w:r>
        <w:rPr>
          <w:rFonts w:ascii="ITC Avant Garde" w:hAnsi="ITC Avant Garde"/>
          <w:bCs/>
          <w:color w:val="000000"/>
          <w:lang w:eastAsia="es-MX"/>
        </w:rPr>
        <w:t xml:space="preserve"> </w:t>
      </w:r>
      <w:r w:rsidRPr="00216619">
        <w:rPr>
          <w:rFonts w:ascii="ITC Avant Garde" w:hAnsi="ITC Avant Garde"/>
          <w:bCs/>
          <w:color w:val="000000"/>
          <w:lang w:eastAsia="es-MX"/>
        </w:rPr>
        <w:t xml:space="preserve">de la Constitución Política de los Estados Unidos Mexicanos (la “Constitución”), el Instituto es un órgano autónomo con personalidad jurídica y patrimonio propios,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w:t>
      </w:r>
      <w:r w:rsidRPr="00216619">
        <w:rPr>
          <w:rFonts w:ascii="ITC Avant Garde" w:hAnsi="ITC Avant Garde"/>
          <w:bCs/>
          <w:color w:val="000000"/>
          <w:lang w:eastAsia="es-MX"/>
        </w:rPr>
        <w:lastRenderedPageBreak/>
        <w:t>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96CE9" w:rsidRPr="00822F0C" w:rsidRDefault="00C96CE9" w:rsidP="00985E5C">
      <w:pPr>
        <w:autoSpaceDE w:val="0"/>
        <w:autoSpaceDN w:val="0"/>
        <w:adjustRightInd w:val="0"/>
        <w:spacing w:before="240" w:after="0" w:line="240" w:lineRule="auto"/>
        <w:jc w:val="both"/>
        <w:rPr>
          <w:rFonts w:ascii="ITC Avant Garde" w:hAnsi="ITC Avant Garde"/>
          <w:bCs/>
          <w:color w:val="000000"/>
          <w:lang w:eastAsia="es-MX"/>
        </w:rPr>
      </w:pPr>
      <w:r w:rsidRPr="00822F0C">
        <w:rPr>
          <w:rFonts w:ascii="ITC Avant Garde" w:hAnsi="ITC Avant Garde"/>
          <w:bCs/>
          <w:color w:val="000000"/>
          <w:lang w:eastAsia="es-MX"/>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F474AF" w:rsidRPr="00AF6EF0" w:rsidRDefault="00474BC3" w:rsidP="00985E5C">
      <w:pPr>
        <w:autoSpaceDE w:val="0"/>
        <w:autoSpaceDN w:val="0"/>
        <w:adjustRightInd w:val="0"/>
        <w:spacing w:before="240" w:after="0" w:line="240" w:lineRule="auto"/>
        <w:ind w:right="48"/>
        <w:jc w:val="both"/>
        <w:rPr>
          <w:rFonts w:ascii="ITC Avant Garde" w:hAnsi="ITC Avant Garde"/>
          <w:bCs/>
        </w:rPr>
      </w:pPr>
      <w:r>
        <w:rPr>
          <w:rFonts w:ascii="ITC Avant Garde" w:hAnsi="ITC Avant Garde"/>
          <w:bCs/>
        </w:rPr>
        <w:t>Finalmente</w:t>
      </w:r>
      <w:r w:rsidR="00F474AF" w:rsidRPr="00AF6EF0">
        <w:rPr>
          <w:rFonts w:ascii="ITC Avant Garde" w:hAnsi="ITC Avant Garde"/>
          <w:bCs/>
        </w:rPr>
        <w:t>, c</w:t>
      </w:r>
      <w:r>
        <w:rPr>
          <w:rFonts w:ascii="ITC Avant Garde" w:hAnsi="ITC Avant Garde"/>
          <w:bCs/>
        </w:rPr>
        <w:t>onforme al mismo artículo constitucional, corresponde</w:t>
      </w:r>
      <w:r w:rsidR="00F474AF" w:rsidRPr="00AF6EF0">
        <w:rPr>
          <w:rFonts w:ascii="ITC Avant Garde" w:hAnsi="ITC Avant Garde"/>
          <w:bCs/>
        </w:rPr>
        <w:t xml:space="preserve"> al Instituto,</w:t>
      </w:r>
      <w:r w:rsidR="00F474AF">
        <w:rPr>
          <w:rFonts w:ascii="ITC Avant Garde" w:hAnsi="ITC Avant Garde"/>
          <w:bCs/>
        </w:rPr>
        <w:t xml:space="preserve"> </w:t>
      </w:r>
      <w:r w:rsidR="00F474AF" w:rsidRPr="00AF6EF0">
        <w:rPr>
          <w:rFonts w:ascii="ITC Avant Garde" w:hAnsi="ITC Avant Garde"/>
          <w:bCs/>
        </w:rPr>
        <w:t xml:space="preserve">el otorgamiento de concesiones en materia de telecomunicaciones </w:t>
      </w:r>
      <w:r w:rsidR="00F474AF">
        <w:rPr>
          <w:rFonts w:ascii="ITC Avant Garde" w:hAnsi="ITC Avant Garde"/>
          <w:bCs/>
        </w:rPr>
        <w:t xml:space="preserve">y </w:t>
      </w:r>
      <w:r w:rsidR="00F474AF" w:rsidRPr="00AF6EF0">
        <w:rPr>
          <w:rFonts w:ascii="ITC Avant Garde" w:hAnsi="ITC Avant Garde"/>
          <w:bCs/>
        </w:rPr>
        <w:t>radiodifusión</w:t>
      </w:r>
      <w:r w:rsidR="00F474AF">
        <w:rPr>
          <w:rFonts w:ascii="ITC Avant Garde" w:hAnsi="ITC Avant Garde"/>
          <w:bCs/>
        </w:rPr>
        <w:t>, así como resolver respecto de la prórroga, modificación o terminación de las mismas.</w:t>
      </w:r>
    </w:p>
    <w:p w:rsidR="00F474AF" w:rsidRPr="00AF6EF0" w:rsidRDefault="00353CF2" w:rsidP="00985E5C">
      <w:pPr>
        <w:autoSpaceDE w:val="0"/>
        <w:autoSpaceDN w:val="0"/>
        <w:adjustRightInd w:val="0"/>
        <w:spacing w:before="240" w:after="0" w:line="240" w:lineRule="auto"/>
        <w:jc w:val="both"/>
        <w:rPr>
          <w:rFonts w:ascii="ITC Avant Garde" w:hAnsi="ITC Avant Garde"/>
          <w:bCs/>
        </w:rPr>
      </w:pPr>
      <w:r>
        <w:rPr>
          <w:rFonts w:ascii="ITC Avant Garde" w:hAnsi="ITC Avant Garde"/>
          <w:bCs/>
        </w:rPr>
        <w:t>En ese sentido</w:t>
      </w:r>
      <w:r w:rsidR="00F474AF" w:rsidRPr="00AF6EF0">
        <w:rPr>
          <w:rFonts w:ascii="ITC Avant Garde" w:hAnsi="ITC Avant Garde"/>
          <w:bCs/>
        </w:rPr>
        <w:t xml:space="preserve">, corresponde al Pleno del Instituto conforme a lo establecido </w:t>
      </w:r>
      <w:r w:rsidR="00375B60">
        <w:rPr>
          <w:rFonts w:ascii="ITC Avant Garde" w:hAnsi="ITC Avant Garde"/>
          <w:bCs/>
        </w:rPr>
        <w:t>por</w:t>
      </w:r>
      <w:r w:rsidR="00F474AF" w:rsidRPr="00AF6EF0">
        <w:rPr>
          <w:rFonts w:ascii="ITC Avant Garde" w:hAnsi="ITC Avant Garde"/>
          <w:bCs/>
        </w:rPr>
        <w:t xml:space="preserve"> los artículos 15 fracción IV y 17 </w:t>
      </w:r>
      <w:proofErr w:type="gramStart"/>
      <w:r w:rsidR="00F474AF" w:rsidRPr="00AF6EF0">
        <w:rPr>
          <w:rFonts w:ascii="ITC Avant Garde" w:hAnsi="ITC Avant Garde"/>
          <w:bCs/>
        </w:rPr>
        <w:t>fracción</w:t>
      </w:r>
      <w:proofErr w:type="gramEnd"/>
      <w:r w:rsidR="00F474AF" w:rsidRPr="00AF6EF0">
        <w:rPr>
          <w:rFonts w:ascii="ITC Avant Garde" w:hAnsi="ITC Avant Garde"/>
          <w:bCs/>
        </w:rPr>
        <w:t xml:space="preserve"> I de la Ley</w:t>
      </w:r>
      <w:r w:rsidR="000D19AE">
        <w:rPr>
          <w:rFonts w:ascii="ITC Avant Garde" w:hAnsi="ITC Avant Garde"/>
          <w:bCs/>
        </w:rPr>
        <w:t>,</w:t>
      </w:r>
      <w:r w:rsidR="00F474AF" w:rsidRPr="00AF6EF0">
        <w:rPr>
          <w:rFonts w:ascii="ITC Avant Garde" w:hAnsi="ITC Avant Garde"/>
          <w:bCs/>
        </w:rPr>
        <w:t xml:space="preserve"> el otorgamiento de concesiones, así como resolver respecto de las prórrogas, modificación o terminación de las mismas.</w:t>
      </w:r>
    </w:p>
    <w:p w:rsidR="00F474AF" w:rsidRPr="00AF6EF0" w:rsidRDefault="00F474AF" w:rsidP="00985E5C">
      <w:pPr>
        <w:autoSpaceDE w:val="0"/>
        <w:autoSpaceDN w:val="0"/>
        <w:adjustRightInd w:val="0"/>
        <w:spacing w:before="240" w:after="0" w:line="240" w:lineRule="auto"/>
        <w:jc w:val="both"/>
        <w:rPr>
          <w:rFonts w:ascii="ITC Avant Garde" w:hAnsi="ITC Avant Garde"/>
          <w:bCs/>
        </w:rPr>
      </w:pPr>
      <w:r w:rsidRPr="00AF6EF0">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F474AF" w:rsidRDefault="00322F46" w:rsidP="00985E5C">
      <w:pPr>
        <w:autoSpaceDE w:val="0"/>
        <w:autoSpaceDN w:val="0"/>
        <w:adjustRightInd w:val="0"/>
        <w:spacing w:before="240" w:after="0" w:line="240" w:lineRule="auto"/>
        <w:ind w:right="48"/>
        <w:jc w:val="both"/>
        <w:rPr>
          <w:rFonts w:ascii="ITC Avant Garde" w:hAnsi="ITC Avant Garde"/>
          <w:lang w:val="es-ES_tradnl"/>
        </w:rPr>
      </w:pPr>
      <w:r>
        <w:rPr>
          <w:rFonts w:ascii="ITC Avant Garde" w:hAnsi="ITC Avant Garde"/>
          <w:bCs/>
        </w:rPr>
        <w:t xml:space="preserve">En los puntos </w:t>
      </w:r>
      <w:r w:rsidR="00DF420B" w:rsidRPr="00DF420B">
        <w:rPr>
          <w:rFonts w:ascii="ITC Avant Garde" w:hAnsi="ITC Avant Garde" w:cs="Tahoma"/>
          <w:bCs/>
          <w:lang w:eastAsia="es-MX"/>
        </w:rPr>
        <w:t>Cuart</w:t>
      </w:r>
      <w:r>
        <w:rPr>
          <w:rFonts w:ascii="ITC Avant Garde" w:hAnsi="ITC Avant Garde" w:cs="Tahoma"/>
          <w:bCs/>
          <w:lang w:eastAsia="es-MX"/>
        </w:rPr>
        <w:t>o y Quinto</w:t>
      </w:r>
      <w:r w:rsidR="00DF420B" w:rsidRPr="00DF420B">
        <w:rPr>
          <w:rFonts w:ascii="ITC Avant Garde" w:hAnsi="ITC Avant Garde" w:cs="Tahoma"/>
          <w:bCs/>
          <w:lang w:eastAsia="es-MX"/>
        </w:rPr>
        <w:t xml:space="preserve"> del Acta de Fallo</w:t>
      </w:r>
      <w:r w:rsidR="00D6216A">
        <w:rPr>
          <w:rFonts w:ascii="ITC Avant Garde" w:hAnsi="ITC Avant Garde" w:cs="Tahoma"/>
          <w:bCs/>
          <w:lang w:eastAsia="es-MX"/>
        </w:rPr>
        <w:t>,</w:t>
      </w:r>
      <w:r w:rsidR="00DF420B" w:rsidRPr="00DF420B">
        <w:rPr>
          <w:rFonts w:ascii="ITC Avant Garde" w:hAnsi="ITC Avant Garde" w:cs="Tahoma"/>
          <w:bCs/>
          <w:lang w:eastAsia="es-MX"/>
        </w:rPr>
        <w:t xml:space="preserve"> el Pleno del Instituto </w:t>
      </w:r>
      <w:r>
        <w:rPr>
          <w:rFonts w:ascii="ITC Avant Garde" w:hAnsi="ITC Avant Garde" w:cs="Tahoma"/>
          <w:bCs/>
          <w:lang w:eastAsia="es-MX"/>
        </w:rPr>
        <w:t>determinó que una vez que se llevara a cabo el Cambio de Bandas de Frecuencias y que los participantes ganadores hubieran acreditado los pagos relativos a las contraprestaciones por la asignación del espectro y la expedición de los títulos de concesión correspondientes, la Unidad de Concesiones y Servicios, en coordinación con la Unidad de Espectro Radioeléctrico, sometería a consideración del Pleno del Instituto, el otorgamiento de los títulos de concesión a cada uno de los participantes ganadores de la Licita</w:t>
      </w:r>
      <w:r w:rsidR="00DF420B" w:rsidRPr="00DF420B">
        <w:rPr>
          <w:rFonts w:ascii="ITC Avant Garde" w:hAnsi="ITC Avant Garde" w:cs="Tahoma"/>
          <w:bCs/>
          <w:lang w:eastAsia="es-MX"/>
        </w:rPr>
        <w:t>ción IFT-3</w:t>
      </w:r>
      <w:r w:rsidR="00F474AF" w:rsidRPr="00DF420B">
        <w:rPr>
          <w:rFonts w:ascii="ITC Avant Garde" w:hAnsi="ITC Avant Garde"/>
          <w:lang w:val="es-ES_tradnl"/>
        </w:rPr>
        <w:t>.</w:t>
      </w:r>
    </w:p>
    <w:p w:rsidR="00D319B8" w:rsidRDefault="00F474AF" w:rsidP="00985E5C">
      <w:pPr>
        <w:autoSpaceDE w:val="0"/>
        <w:autoSpaceDN w:val="0"/>
        <w:adjustRightInd w:val="0"/>
        <w:spacing w:before="240" w:after="0" w:line="240" w:lineRule="auto"/>
        <w:ind w:right="48"/>
        <w:jc w:val="both"/>
        <w:rPr>
          <w:rFonts w:ascii="ITC Avant Garde" w:hAnsi="ITC Avant Garde"/>
          <w:lang w:val="es-ES_tradnl"/>
        </w:rPr>
      </w:pPr>
      <w:r w:rsidRPr="00BD7E50">
        <w:rPr>
          <w:rFonts w:ascii="ITC Avant Garde" w:hAnsi="ITC Avant Garde"/>
          <w:bCs/>
        </w:rPr>
        <w:t xml:space="preserve">En este orden de ideas, y considerando que el Instituto tiene a su cargo la regulación, promoción y supervisión de las telecomunicaciones, así como la facultad de </w:t>
      </w:r>
      <w:r w:rsidRPr="00517C6A">
        <w:rPr>
          <w:rFonts w:ascii="ITC Avant Garde" w:hAnsi="ITC Avant Garde"/>
          <w:bCs/>
        </w:rPr>
        <w:t>otorgar concesiones en materia de telecomunicaciones y radiodifusión,</w:t>
      </w:r>
      <w:r w:rsidRPr="00BD7E50">
        <w:rPr>
          <w:rFonts w:ascii="ITC Avant Garde" w:hAnsi="ITC Avant Garde"/>
          <w:bCs/>
        </w:rPr>
        <w:t xml:space="preserve"> el Pleno, como órgano máximo de gobierno y decisión del Instituto, se encuentra plenamente facultado para </w:t>
      </w:r>
      <w:r w:rsidR="00D319B8">
        <w:rPr>
          <w:rFonts w:ascii="ITC Avant Garde" w:hAnsi="ITC Avant Garde"/>
          <w:bCs/>
        </w:rPr>
        <w:t xml:space="preserve">otorgar los títulos de concesión </w:t>
      </w:r>
      <w:r w:rsidR="00322F46">
        <w:rPr>
          <w:rFonts w:ascii="ITC Avant Garde" w:hAnsi="ITC Avant Garde"/>
          <w:bCs/>
        </w:rPr>
        <w:t>correspondiente</w:t>
      </w:r>
      <w:r w:rsidR="00D319B8" w:rsidRPr="00DF420B">
        <w:rPr>
          <w:rFonts w:ascii="ITC Avant Garde" w:hAnsi="ITC Avant Garde" w:cs="Tahoma"/>
          <w:bCs/>
          <w:lang w:eastAsia="es-MX"/>
        </w:rPr>
        <w:t xml:space="preserve">s a </w:t>
      </w:r>
      <w:r w:rsidR="00322F46">
        <w:rPr>
          <w:rFonts w:ascii="ITC Avant Garde" w:hAnsi="ITC Avant Garde" w:cs="Tahoma"/>
          <w:bCs/>
          <w:lang w:eastAsia="es-MX"/>
        </w:rPr>
        <w:t xml:space="preserve">cada uno de </w:t>
      </w:r>
      <w:r w:rsidR="00D319B8" w:rsidRPr="00DF420B">
        <w:rPr>
          <w:rFonts w:ascii="ITC Avant Garde" w:hAnsi="ITC Avant Garde" w:cs="Tahoma"/>
          <w:bCs/>
          <w:lang w:eastAsia="es-MX"/>
        </w:rPr>
        <w:t>los participantes ganadores de la Licitación IFT-3</w:t>
      </w:r>
      <w:r w:rsidR="00D319B8" w:rsidRPr="00DF420B">
        <w:rPr>
          <w:rFonts w:ascii="ITC Avant Garde" w:hAnsi="ITC Avant Garde"/>
          <w:lang w:val="es-ES_tradnl"/>
        </w:rPr>
        <w:t>.</w:t>
      </w:r>
    </w:p>
    <w:p w:rsidR="00C96CE9" w:rsidRPr="00216619" w:rsidRDefault="00C96CE9" w:rsidP="00C96CE9">
      <w:pPr>
        <w:autoSpaceDE w:val="0"/>
        <w:autoSpaceDN w:val="0"/>
        <w:adjustRightInd w:val="0"/>
        <w:spacing w:after="0" w:line="240" w:lineRule="auto"/>
        <w:jc w:val="both"/>
        <w:rPr>
          <w:rFonts w:ascii="ITC Avant Garde" w:hAnsi="ITC Avant Garde"/>
          <w:b/>
          <w:bCs/>
        </w:rPr>
      </w:pPr>
    </w:p>
    <w:p w:rsidR="00EF47A2" w:rsidRPr="006C422B" w:rsidRDefault="00C96CE9" w:rsidP="00985E5C">
      <w:pPr>
        <w:autoSpaceDE w:val="0"/>
        <w:autoSpaceDN w:val="0"/>
        <w:adjustRightInd w:val="0"/>
        <w:spacing w:before="240" w:after="0" w:line="240" w:lineRule="auto"/>
        <w:jc w:val="both"/>
        <w:rPr>
          <w:rFonts w:ascii="ITC Avant Garde" w:hAnsi="ITC Avant Garde"/>
          <w:b/>
          <w:bCs/>
        </w:rPr>
      </w:pPr>
      <w:r w:rsidRPr="00216619">
        <w:rPr>
          <w:rFonts w:ascii="ITC Avant Garde" w:hAnsi="ITC Avant Garde"/>
          <w:b/>
          <w:bCs/>
        </w:rPr>
        <w:t>Segundo.-</w:t>
      </w:r>
      <w:r w:rsidRPr="00216619">
        <w:rPr>
          <w:rFonts w:ascii="ITC Avant Garde" w:hAnsi="ITC Avant Garde"/>
        </w:rPr>
        <w:t xml:space="preserve"> </w:t>
      </w:r>
      <w:r w:rsidR="00EF47A2">
        <w:rPr>
          <w:rFonts w:ascii="ITC Avant Garde" w:hAnsi="ITC Avant Garde"/>
          <w:b/>
          <w:bCs/>
        </w:rPr>
        <w:t>T</w:t>
      </w:r>
      <w:r w:rsidR="006C422B">
        <w:rPr>
          <w:rFonts w:ascii="ITC Avant Garde" w:hAnsi="ITC Avant Garde"/>
          <w:b/>
          <w:bCs/>
        </w:rPr>
        <w:t>ítulo de c</w:t>
      </w:r>
      <w:r w:rsidR="00EF47A2">
        <w:rPr>
          <w:rFonts w:ascii="ITC Avant Garde" w:hAnsi="ITC Avant Garde"/>
          <w:b/>
          <w:bCs/>
        </w:rPr>
        <w:t xml:space="preserve">oncesión </w:t>
      </w:r>
      <w:r w:rsidR="006C422B">
        <w:rPr>
          <w:rFonts w:ascii="ITC Avant Garde" w:hAnsi="ITC Avant Garde"/>
          <w:b/>
          <w:bCs/>
        </w:rPr>
        <w:t xml:space="preserve">habilitante vinculado a la concesión para usar, aprovechar y explotar bandas de frecuencias del espectro radioeléctrico otorgado con </w:t>
      </w:r>
      <w:r w:rsidR="006C422B">
        <w:rPr>
          <w:rFonts w:ascii="ITC Avant Garde" w:hAnsi="ITC Avant Garde"/>
          <w:b/>
          <w:bCs/>
        </w:rPr>
        <w:lastRenderedPageBreak/>
        <w:t>motivo de la Licitación No. IFT-3</w:t>
      </w:r>
      <w:r w:rsidR="00EF47A2">
        <w:rPr>
          <w:rFonts w:ascii="ITC Avant Garde" w:hAnsi="ITC Avant Garde"/>
          <w:bCs/>
        </w:rPr>
        <w:t xml:space="preserve">. El </w:t>
      </w:r>
      <w:r w:rsidR="0009394C">
        <w:rPr>
          <w:rFonts w:ascii="ITC Avant Garde" w:hAnsi="ITC Avant Garde"/>
          <w:bCs/>
        </w:rPr>
        <w:t>numeral</w:t>
      </w:r>
      <w:r w:rsidR="00443C12">
        <w:rPr>
          <w:rFonts w:ascii="ITC Avant Garde" w:hAnsi="ITC Avant Garde"/>
          <w:bCs/>
        </w:rPr>
        <w:t xml:space="preserve"> 5.4.3.</w:t>
      </w:r>
      <w:r w:rsidR="0009394C">
        <w:rPr>
          <w:rFonts w:ascii="ITC Avant Garde" w:hAnsi="ITC Avant Garde"/>
          <w:bCs/>
        </w:rPr>
        <w:t xml:space="preserve"> de las Bases de Licitación</w:t>
      </w:r>
      <w:r w:rsidR="00EF47A2">
        <w:rPr>
          <w:rFonts w:ascii="ITC Avant Garde" w:hAnsi="ITC Avant Garde"/>
          <w:bCs/>
        </w:rPr>
        <w:t xml:space="preserve"> señaló</w:t>
      </w:r>
      <w:r w:rsidR="00D048E8">
        <w:rPr>
          <w:rFonts w:ascii="ITC Avant Garde" w:hAnsi="ITC Avant Garde"/>
          <w:bCs/>
        </w:rPr>
        <w:t>,</w:t>
      </w:r>
      <w:r w:rsidR="00443C12">
        <w:rPr>
          <w:rFonts w:ascii="ITC Avant Garde" w:hAnsi="ITC Avant Garde"/>
          <w:bCs/>
        </w:rPr>
        <w:t xml:space="preserve"> entre otras cosas</w:t>
      </w:r>
      <w:r w:rsidR="00D048E8">
        <w:rPr>
          <w:rFonts w:ascii="ITC Avant Garde" w:hAnsi="ITC Avant Garde"/>
          <w:bCs/>
        </w:rPr>
        <w:t>,</w:t>
      </w:r>
      <w:r w:rsidR="00EF47A2">
        <w:rPr>
          <w:rFonts w:ascii="ITC Avant Garde" w:hAnsi="ITC Avant Garde"/>
          <w:bCs/>
        </w:rPr>
        <w:t xml:space="preserve"> lo siguiente:</w:t>
      </w:r>
    </w:p>
    <w:p w:rsidR="00EF47A2" w:rsidRPr="00D048E8" w:rsidRDefault="00EF47A2"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D048E8">
        <w:rPr>
          <w:rFonts w:ascii="ITC Avant Garde" w:hAnsi="ITC Avant Garde"/>
          <w:bCs/>
          <w:i/>
          <w:color w:val="000000"/>
          <w:sz w:val="18"/>
          <w:szCs w:val="14"/>
          <w:lang w:eastAsia="es-MX"/>
        </w:rPr>
        <w:t>“[…]</w:t>
      </w:r>
    </w:p>
    <w:p w:rsidR="00443C12" w:rsidRPr="00D048E8" w:rsidRDefault="00443C12"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B27756">
        <w:rPr>
          <w:rFonts w:ascii="ITC Avant Garde" w:hAnsi="ITC Avant Garde"/>
          <w:bCs/>
          <w:i/>
          <w:color w:val="000000"/>
          <w:sz w:val="18"/>
          <w:szCs w:val="14"/>
          <w:u w:val="single"/>
          <w:lang w:eastAsia="es-MX"/>
        </w:rPr>
        <w:t>El(los) Participante(s) Ganador(es) que cuente(n) con Título de Concesión Única para Uso Comercial, no requerirá (n) un nuevo título de Concesión Única</w:t>
      </w:r>
      <w:r w:rsidRPr="000A0EAF">
        <w:rPr>
          <w:rFonts w:ascii="ITC Avant Garde" w:hAnsi="ITC Avant Garde"/>
          <w:bCs/>
          <w:i/>
          <w:color w:val="000000"/>
          <w:sz w:val="18"/>
          <w:szCs w:val="14"/>
          <w:lang w:eastAsia="es-MX"/>
        </w:rPr>
        <w:t xml:space="preserve">; </w:t>
      </w:r>
      <w:r w:rsidRPr="00D048E8">
        <w:rPr>
          <w:rFonts w:ascii="ITC Avant Garde" w:hAnsi="ITC Avant Garde"/>
          <w:bCs/>
          <w:i/>
          <w:color w:val="000000"/>
          <w:sz w:val="18"/>
          <w:szCs w:val="14"/>
          <w:lang w:eastAsia="es-MX"/>
        </w:rPr>
        <w:t>asimismo, en caso que el(los) Participante(s) Ganador(es) tenga(n) el carácter de agente(s) económico(s) preponderante(s) o cuyos títulos de concesión contengan alguna prohibición o restricción expresa para prestar servicios determinados, el Instituto en el Act</w:t>
      </w:r>
      <w:r w:rsidR="00D048E8">
        <w:rPr>
          <w:rFonts w:ascii="ITC Avant Garde" w:hAnsi="ITC Avant Garde"/>
          <w:bCs/>
          <w:i/>
          <w:color w:val="000000"/>
          <w:sz w:val="18"/>
          <w:szCs w:val="14"/>
          <w:lang w:eastAsia="es-MX"/>
        </w:rPr>
        <w:t>a</w:t>
      </w:r>
      <w:r w:rsidRPr="00D048E8">
        <w:rPr>
          <w:rFonts w:ascii="ITC Avant Garde" w:hAnsi="ITC Avant Garde"/>
          <w:bCs/>
          <w:i/>
          <w:color w:val="000000"/>
          <w:sz w:val="18"/>
          <w:szCs w:val="14"/>
          <w:lang w:eastAsia="es-MX"/>
        </w:rPr>
        <w:t xml:space="preserve"> de Fallo hará constar t</w:t>
      </w:r>
      <w:r w:rsidR="00D048E8">
        <w:rPr>
          <w:rFonts w:ascii="ITC Avant Garde" w:hAnsi="ITC Avant Garde"/>
          <w:bCs/>
          <w:i/>
          <w:color w:val="000000"/>
          <w:sz w:val="18"/>
          <w:szCs w:val="14"/>
          <w:lang w:eastAsia="es-MX"/>
        </w:rPr>
        <w:t>a</w:t>
      </w:r>
      <w:r w:rsidRPr="00D048E8">
        <w:rPr>
          <w:rFonts w:ascii="ITC Avant Garde" w:hAnsi="ITC Avant Garde"/>
          <w:bCs/>
          <w:i/>
          <w:color w:val="000000"/>
          <w:sz w:val="18"/>
          <w:szCs w:val="14"/>
          <w:lang w:eastAsia="es-MX"/>
        </w:rPr>
        <w:t>l circunstancia, y en la resolució</w:t>
      </w:r>
      <w:r w:rsidR="00D048E8">
        <w:rPr>
          <w:rFonts w:ascii="ITC Avant Garde" w:hAnsi="ITC Avant Garde"/>
          <w:bCs/>
          <w:i/>
          <w:color w:val="000000"/>
          <w:sz w:val="18"/>
          <w:szCs w:val="14"/>
          <w:lang w:eastAsia="es-MX"/>
        </w:rPr>
        <w:t>n que emita</w:t>
      </w:r>
      <w:r w:rsidRPr="00D048E8">
        <w:rPr>
          <w:rFonts w:ascii="ITC Avant Garde" w:hAnsi="ITC Avant Garde"/>
          <w:bCs/>
          <w:i/>
          <w:color w:val="000000"/>
          <w:sz w:val="18"/>
          <w:szCs w:val="14"/>
          <w:lang w:eastAsia="es-MX"/>
        </w:rPr>
        <w:t xml:space="preserve"> resolverá sobre el otorgamiento</w:t>
      </w:r>
      <w:r w:rsidR="00D048E8">
        <w:rPr>
          <w:rFonts w:ascii="ITC Avant Garde" w:hAnsi="ITC Avant Garde"/>
          <w:bCs/>
          <w:i/>
          <w:color w:val="000000"/>
          <w:sz w:val="18"/>
          <w:szCs w:val="14"/>
          <w:lang w:eastAsia="es-MX"/>
        </w:rPr>
        <w:t xml:space="preserve"> de lo concesió</w:t>
      </w:r>
      <w:r w:rsidRPr="00D048E8">
        <w:rPr>
          <w:rFonts w:ascii="ITC Avant Garde" w:hAnsi="ITC Avant Garde"/>
          <w:bCs/>
          <w:i/>
          <w:color w:val="000000"/>
          <w:sz w:val="18"/>
          <w:szCs w:val="14"/>
          <w:lang w:eastAsia="es-MX"/>
        </w:rPr>
        <w:t>n que correspond</w:t>
      </w:r>
      <w:r w:rsidR="00D048E8">
        <w:rPr>
          <w:rFonts w:ascii="ITC Avant Garde" w:hAnsi="ITC Avant Garde"/>
          <w:bCs/>
          <w:i/>
          <w:color w:val="000000"/>
          <w:sz w:val="18"/>
          <w:szCs w:val="14"/>
          <w:lang w:eastAsia="es-MX"/>
        </w:rPr>
        <w:t>a</w:t>
      </w:r>
      <w:r w:rsidRPr="00D048E8">
        <w:rPr>
          <w:rFonts w:ascii="ITC Avant Garde" w:hAnsi="ITC Avant Garde"/>
          <w:bCs/>
          <w:i/>
          <w:color w:val="000000"/>
          <w:sz w:val="18"/>
          <w:szCs w:val="14"/>
          <w:lang w:eastAsia="es-MX"/>
        </w:rPr>
        <w:t>.</w:t>
      </w:r>
    </w:p>
    <w:p w:rsidR="00EF47A2" w:rsidRPr="00D048E8" w:rsidRDefault="00443C12"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D048E8">
        <w:rPr>
          <w:rFonts w:ascii="ITC Avant Garde" w:hAnsi="ITC Avant Garde"/>
          <w:bCs/>
          <w:i/>
          <w:color w:val="000000"/>
          <w:sz w:val="18"/>
          <w:szCs w:val="14"/>
          <w:lang w:eastAsia="es-MX"/>
        </w:rPr>
        <w:t>5.4.3.8. Una vez acreditadas los condiciones señaladas con anterioridad, el Instituto, dentro del plazo establecido en el Calendario de Actividades, otorgará el correspondiente título de Concesión de Espectro Radioeléctrico p</w:t>
      </w:r>
      <w:r w:rsidR="00D048E8">
        <w:rPr>
          <w:rFonts w:ascii="ITC Avant Garde" w:hAnsi="ITC Avant Garde"/>
          <w:bCs/>
          <w:i/>
          <w:color w:val="000000"/>
          <w:sz w:val="18"/>
          <w:szCs w:val="14"/>
          <w:lang w:eastAsia="es-MX"/>
        </w:rPr>
        <w:t>ara</w:t>
      </w:r>
      <w:r w:rsidRPr="00D048E8">
        <w:rPr>
          <w:rFonts w:ascii="ITC Avant Garde" w:hAnsi="ITC Avant Garde"/>
          <w:bCs/>
          <w:i/>
          <w:color w:val="000000"/>
          <w:sz w:val="18"/>
          <w:szCs w:val="14"/>
          <w:lang w:eastAsia="es-MX"/>
        </w:rPr>
        <w:t xml:space="preserve"> Uso Comercial al(los) Participante(s) Ganador(es), considerando el modelo del Apéndice C de las Bases. En caso de que sea necesario el otorgamiento de título(s) de Concesión Única para Uso Comercial para el(los) Participante(s) Ganador(es), en el mismo acto el Instituto le(s) otorgará el título de Concesión Única para Uso Comercial considerando el modelo del Apéndice D de las Bases.</w:t>
      </w:r>
    </w:p>
    <w:p w:rsidR="00D048E8" w:rsidRPr="00D048E8" w:rsidRDefault="00D048E8" w:rsidP="00985E5C">
      <w:pPr>
        <w:autoSpaceDE w:val="0"/>
        <w:autoSpaceDN w:val="0"/>
        <w:adjustRightInd w:val="0"/>
        <w:spacing w:before="240" w:after="0" w:line="240" w:lineRule="auto"/>
        <w:ind w:left="708" w:right="615"/>
        <w:jc w:val="both"/>
        <w:rPr>
          <w:rFonts w:ascii="ITC Avant Garde" w:hAnsi="ITC Avant Garde"/>
          <w:bCs/>
          <w:color w:val="000000"/>
          <w:sz w:val="18"/>
          <w:szCs w:val="14"/>
          <w:lang w:eastAsia="es-MX"/>
        </w:rPr>
      </w:pPr>
      <w:r w:rsidRPr="00D048E8">
        <w:rPr>
          <w:rFonts w:ascii="ITC Avant Garde" w:hAnsi="ITC Avant Garde"/>
          <w:bCs/>
          <w:i/>
          <w:color w:val="000000"/>
          <w:sz w:val="18"/>
          <w:szCs w:val="14"/>
          <w:lang w:eastAsia="es-MX"/>
        </w:rPr>
        <w:t>[…]</w:t>
      </w:r>
      <w:r w:rsidR="00A8018B">
        <w:rPr>
          <w:rFonts w:ascii="ITC Avant Garde" w:hAnsi="ITC Avant Garde"/>
          <w:bCs/>
          <w:i/>
          <w:color w:val="000000"/>
          <w:sz w:val="18"/>
          <w:szCs w:val="14"/>
          <w:lang w:eastAsia="es-MX"/>
        </w:rPr>
        <w:t>.</w:t>
      </w:r>
      <w:r w:rsidRPr="00D048E8">
        <w:rPr>
          <w:rFonts w:ascii="ITC Avant Garde" w:hAnsi="ITC Avant Garde"/>
          <w:bCs/>
          <w:i/>
          <w:color w:val="000000"/>
          <w:sz w:val="18"/>
          <w:szCs w:val="14"/>
          <w:lang w:eastAsia="es-MX"/>
        </w:rPr>
        <w:t>”</w:t>
      </w:r>
      <w:r>
        <w:rPr>
          <w:rFonts w:ascii="ITC Avant Garde" w:hAnsi="ITC Avant Garde"/>
          <w:bCs/>
          <w:i/>
          <w:color w:val="000000"/>
          <w:sz w:val="18"/>
          <w:szCs w:val="14"/>
          <w:lang w:eastAsia="es-MX"/>
        </w:rPr>
        <w:t xml:space="preserve"> </w:t>
      </w:r>
      <w:r>
        <w:rPr>
          <w:rFonts w:ascii="ITC Avant Garde" w:hAnsi="ITC Avant Garde"/>
          <w:bCs/>
          <w:color w:val="000000"/>
          <w:sz w:val="18"/>
          <w:szCs w:val="14"/>
          <w:lang w:eastAsia="es-MX"/>
        </w:rPr>
        <w:t>[Énfasis añadido]</w:t>
      </w:r>
    </w:p>
    <w:p w:rsidR="00A824A6" w:rsidRDefault="00A824A6" w:rsidP="00985E5C">
      <w:pPr>
        <w:autoSpaceDE w:val="0"/>
        <w:autoSpaceDN w:val="0"/>
        <w:adjustRightInd w:val="0"/>
        <w:spacing w:before="240" w:after="0" w:line="240" w:lineRule="auto"/>
        <w:jc w:val="both"/>
        <w:rPr>
          <w:rFonts w:ascii="ITC Avant Garde" w:hAnsi="ITC Avant Garde"/>
          <w:bCs/>
        </w:rPr>
      </w:pPr>
      <w:r>
        <w:rPr>
          <w:rFonts w:ascii="ITC Avant Garde" w:hAnsi="ITC Avant Garde"/>
          <w:bCs/>
        </w:rPr>
        <w:t>Por su parte, el Acta de Fallo en su Considerando Cuarto, numeral 2 estableció, entre otras cosas, lo siguiente:</w:t>
      </w:r>
    </w:p>
    <w:p w:rsidR="00A824A6" w:rsidRPr="00A824A6" w:rsidRDefault="00A824A6"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A824A6">
        <w:rPr>
          <w:rFonts w:ascii="ITC Avant Garde" w:hAnsi="ITC Avant Garde"/>
          <w:bCs/>
          <w:i/>
          <w:color w:val="000000"/>
          <w:sz w:val="18"/>
          <w:szCs w:val="14"/>
          <w:lang w:eastAsia="es-MX"/>
        </w:rPr>
        <w:t>“[…]</w:t>
      </w:r>
    </w:p>
    <w:p w:rsidR="00A824A6" w:rsidRPr="00A824A6" w:rsidRDefault="00A824A6"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A824A6">
        <w:rPr>
          <w:rFonts w:ascii="ITC Avant Garde" w:hAnsi="ITC Avant Garde"/>
          <w:bCs/>
          <w:i/>
          <w:color w:val="000000"/>
          <w:sz w:val="18"/>
          <w:szCs w:val="14"/>
          <w:lang w:eastAsia="es-MX"/>
        </w:rPr>
        <w:t>Asimismo, los Participantes AT&amp;T Comunicaciones Digitales, S. de R. L. de C.V. y de Radiomóvil Dipsa, S.A. de C.V., ostentan títulos habilitantes que les permiten la prestación del servicio público de telecomunicaciones objeto de la Licitación IFT No. IFT-3, por lo que no será necesario el expedir un título de concesión única para uso comercial o la que correspondiera en términos de lo previsto en el numeral 5.4.3.7 de las Bases de Licitación. En tal sentido, no resulta necesario que los Participantes presenten el pago de derechos o aprovechamiento por este concepto.</w:t>
      </w:r>
    </w:p>
    <w:p w:rsidR="00A824A6" w:rsidRPr="00A824A6" w:rsidRDefault="00A824A6"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A824A6">
        <w:rPr>
          <w:rFonts w:ascii="ITC Avant Garde" w:hAnsi="ITC Avant Garde"/>
          <w:bCs/>
          <w:i/>
          <w:color w:val="000000"/>
          <w:sz w:val="18"/>
          <w:szCs w:val="14"/>
          <w:lang w:eastAsia="es-MX"/>
        </w:rPr>
        <w:t>[…].”</w:t>
      </w:r>
      <w:r>
        <w:rPr>
          <w:rFonts w:ascii="ITC Avant Garde" w:hAnsi="ITC Avant Garde"/>
          <w:bCs/>
          <w:i/>
          <w:color w:val="000000"/>
          <w:sz w:val="18"/>
          <w:szCs w:val="14"/>
          <w:lang w:eastAsia="es-MX"/>
        </w:rPr>
        <w:t xml:space="preserve"> [Sic]</w:t>
      </w:r>
    </w:p>
    <w:p w:rsidR="00EF47A2" w:rsidRDefault="00F1222A" w:rsidP="00985E5C">
      <w:pPr>
        <w:autoSpaceDE w:val="0"/>
        <w:autoSpaceDN w:val="0"/>
        <w:adjustRightInd w:val="0"/>
        <w:spacing w:before="240" w:after="0" w:line="240" w:lineRule="auto"/>
        <w:jc w:val="both"/>
        <w:rPr>
          <w:rFonts w:ascii="ITC Avant Garde" w:hAnsi="ITC Avant Garde"/>
          <w:bCs/>
        </w:rPr>
      </w:pPr>
      <w:r w:rsidRPr="00F1222A">
        <w:rPr>
          <w:rFonts w:ascii="ITC Avant Garde" w:hAnsi="ITC Avant Garde"/>
          <w:bCs/>
        </w:rPr>
        <w:t>Al respecto</w:t>
      </w:r>
      <w:r w:rsidR="00DE7697" w:rsidRPr="00F1222A">
        <w:rPr>
          <w:rFonts w:ascii="ITC Avant Garde" w:hAnsi="ITC Avant Garde"/>
          <w:bCs/>
        </w:rPr>
        <w:t xml:space="preserve">, </w:t>
      </w:r>
      <w:r w:rsidRPr="00F1222A">
        <w:rPr>
          <w:rFonts w:ascii="ITC Avant Garde" w:hAnsi="ITC Avant Garde"/>
          <w:bCs/>
        </w:rPr>
        <w:t>cabe señalar</w:t>
      </w:r>
      <w:r>
        <w:rPr>
          <w:rFonts w:ascii="ITC Avant Garde" w:hAnsi="ITC Avant Garde"/>
          <w:bCs/>
        </w:rPr>
        <w:t xml:space="preserve"> que</w:t>
      </w:r>
      <w:r w:rsidR="00DE7697">
        <w:rPr>
          <w:rFonts w:ascii="ITC Avant Garde" w:hAnsi="ITC Avant Garde"/>
          <w:bCs/>
        </w:rPr>
        <w:t xml:space="preserve"> </w:t>
      </w:r>
      <w:r w:rsidR="000A0EAF">
        <w:rPr>
          <w:rFonts w:ascii="ITC Avant Garde" w:hAnsi="ITC Avant Garde"/>
          <w:bCs/>
        </w:rPr>
        <w:t xml:space="preserve">actualmente Telcel ostenta un título de concesión </w:t>
      </w:r>
      <w:r w:rsidR="00674F9F">
        <w:rPr>
          <w:rFonts w:ascii="ITC Avant Garde" w:hAnsi="ITC Avant Garde"/>
          <w:bCs/>
        </w:rPr>
        <w:t>para instalar, operar y explotar una</w:t>
      </w:r>
      <w:r w:rsidR="000A0EAF">
        <w:rPr>
          <w:rFonts w:ascii="ITC Avant Garde" w:hAnsi="ITC Avant Garde"/>
          <w:bCs/>
        </w:rPr>
        <w:t xml:space="preserve"> red pública de telecomunicaciones, otorgado el 7 de octubre de 1998 con una vigencia de 20 (veinte) años contados a partir de la fecha de su otorgamiento y cobertura en las 9 Regiones PCS</w:t>
      </w:r>
      <w:r>
        <w:rPr>
          <w:rFonts w:ascii="ITC Avant Garde" w:hAnsi="ITC Avant Garde"/>
          <w:bCs/>
        </w:rPr>
        <w:t>.</w:t>
      </w:r>
      <w:r w:rsidR="000A0EAF">
        <w:rPr>
          <w:rFonts w:ascii="ITC Avant Garde" w:hAnsi="ITC Avant Garde"/>
          <w:bCs/>
        </w:rPr>
        <w:t xml:space="preserve"> La Condición A.2 del Anexo A del citado título de concesión señala a la letra lo siguiente:</w:t>
      </w:r>
    </w:p>
    <w:p w:rsidR="00F9346D" w:rsidRDefault="00F9346D"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7E79DA">
        <w:rPr>
          <w:rFonts w:ascii="ITC Avant Garde" w:hAnsi="ITC Avant Garde"/>
          <w:bCs/>
          <w:i/>
          <w:color w:val="000000"/>
          <w:sz w:val="18"/>
          <w:szCs w:val="14"/>
          <w:lang w:eastAsia="es-MX"/>
        </w:rPr>
        <w:t>“[…]</w:t>
      </w:r>
    </w:p>
    <w:p w:rsidR="000A0EAF" w:rsidRPr="007E79DA" w:rsidRDefault="000A0EAF"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7E79DA">
        <w:rPr>
          <w:rFonts w:ascii="ITC Avant Garde" w:hAnsi="ITC Avant Garde"/>
          <w:b/>
          <w:bCs/>
          <w:i/>
          <w:color w:val="000000"/>
          <w:sz w:val="18"/>
          <w:szCs w:val="14"/>
          <w:lang w:eastAsia="es-MX"/>
        </w:rPr>
        <w:t>A.2. Servicios comprendidos.</w:t>
      </w:r>
      <w:r w:rsidRPr="007E79DA">
        <w:rPr>
          <w:rFonts w:ascii="ITC Avant Garde" w:hAnsi="ITC Avant Garde"/>
          <w:bCs/>
          <w:i/>
          <w:color w:val="000000"/>
          <w:sz w:val="18"/>
          <w:szCs w:val="14"/>
          <w:lang w:eastAsia="es-MX"/>
        </w:rPr>
        <w:t xml:space="preserve"> En el presente Anexo se encuentran comprendidos los siguientes servicios de acceso inalámbrico fijo o móvil, que se prestarán a través de la red pública de telecomunicaciones:</w:t>
      </w:r>
    </w:p>
    <w:p w:rsidR="000A0EAF" w:rsidRPr="007E79DA" w:rsidRDefault="000A0EAF" w:rsidP="00985E5C">
      <w:pPr>
        <w:autoSpaceDE w:val="0"/>
        <w:autoSpaceDN w:val="0"/>
        <w:adjustRightInd w:val="0"/>
        <w:spacing w:before="240" w:after="0" w:line="240" w:lineRule="auto"/>
        <w:ind w:left="1134" w:right="615"/>
        <w:jc w:val="both"/>
        <w:rPr>
          <w:rFonts w:ascii="ITC Avant Garde" w:hAnsi="ITC Avant Garde"/>
          <w:bCs/>
          <w:i/>
          <w:color w:val="000000"/>
          <w:sz w:val="18"/>
          <w:szCs w:val="14"/>
          <w:lang w:eastAsia="es-MX"/>
        </w:rPr>
      </w:pPr>
      <w:r w:rsidRPr="007E79DA">
        <w:rPr>
          <w:rFonts w:ascii="ITC Avant Garde" w:hAnsi="ITC Avant Garde"/>
          <w:bCs/>
          <w:i/>
          <w:color w:val="000000"/>
          <w:sz w:val="18"/>
          <w:szCs w:val="14"/>
          <w:lang w:eastAsia="es-MX"/>
        </w:rPr>
        <w:t>A.2.1. El servicio local de telefonía inalámbrica fija o móvil;</w:t>
      </w:r>
    </w:p>
    <w:p w:rsidR="000A0EAF" w:rsidRPr="007E79DA" w:rsidRDefault="000A0EAF" w:rsidP="00985E5C">
      <w:pPr>
        <w:autoSpaceDE w:val="0"/>
        <w:autoSpaceDN w:val="0"/>
        <w:adjustRightInd w:val="0"/>
        <w:spacing w:before="240" w:after="0" w:line="240" w:lineRule="auto"/>
        <w:ind w:left="1134" w:right="615"/>
        <w:jc w:val="both"/>
        <w:rPr>
          <w:rFonts w:ascii="ITC Avant Garde" w:hAnsi="ITC Avant Garde"/>
          <w:bCs/>
          <w:i/>
          <w:color w:val="000000"/>
          <w:sz w:val="18"/>
          <w:szCs w:val="14"/>
          <w:lang w:eastAsia="es-MX"/>
        </w:rPr>
      </w:pPr>
      <w:r w:rsidRPr="007E79DA">
        <w:rPr>
          <w:rFonts w:ascii="ITC Avant Garde" w:hAnsi="ITC Avant Garde"/>
          <w:bCs/>
          <w:i/>
          <w:color w:val="000000"/>
          <w:sz w:val="18"/>
          <w:szCs w:val="14"/>
          <w:lang w:eastAsia="es-MX"/>
        </w:rPr>
        <w:lastRenderedPageBreak/>
        <w:t>A.2.2. La comercialización de la capacidad de la Red para la emisión, transmisión o recepción de signos, señales, escritos, imágenes, voz, sonidos o información de cualquier naturaleza; y</w:t>
      </w:r>
    </w:p>
    <w:p w:rsidR="000A0EAF" w:rsidRPr="007E79DA" w:rsidRDefault="000A0EAF" w:rsidP="00985E5C">
      <w:pPr>
        <w:autoSpaceDE w:val="0"/>
        <w:autoSpaceDN w:val="0"/>
        <w:adjustRightInd w:val="0"/>
        <w:spacing w:before="240" w:after="0" w:line="240" w:lineRule="auto"/>
        <w:ind w:left="1134" w:right="615"/>
        <w:jc w:val="both"/>
        <w:rPr>
          <w:rFonts w:ascii="ITC Avant Garde" w:hAnsi="ITC Avant Garde"/>
          <w:bCs/>
          <w:i/>
          <w:color w:val="000000"/>
          <w:sz w:val="18"/>
          <w:szCs w:val="14"/>
          <w:lang w:eastAsia="es-MX"/>
        </w:rPr>
      </w:pPr>
      <w:r w:rsidRPr="007E79DA">
        <w:rPr>
          <w:rFonts w:ascii="ITC Avant Garde" w:hAnsi="ITC Avant Garde"/>
          <w:bCs/>
          <w:i/>
          <w:color w:val="000000"/>
          <w:sz w:val="18"/>
          <w:szCs w:val="14"/>
          <w:lang w:eastAsia="es-MX"/>
        </w:rPr>
        <w:t>A.2.3 Acceso a redes de datos, video, audio y videoconferencia</w:t>
      </w:r>
      <w:r w:rsidR="00F9346D" w:rsidRPr="007E79DA">
        <w:rPr>
          <w:rFonts w:ascii="ITC Avant Garde" w:hAnsi="ITC Avant Garde"/>
          <w:bCs/>
          <w:i/>
          <w:color w:val="000000"/>
          <w:sz w:val="18"/>
          <w:szCs w:val="14"/>
          <w:lang w:eastAsia="es-MX"/>
        </w:rPr>
        <w:t>.</w:t>
      </w:r>
    </w:p>
    <w:p w:rsidR="00F9346D" w:rsidRPr="007E79DA" w:rsidRDefault="00F9346D" w:rsidP="00985E5C">
      <w:pPr>
        <w:autoSpaceDE w:val="0"/>
        <w:autoSpaceDN w:val="0"/>
        <w:adjustRightInd w:val="0"/>
        <w:spacing w:before="240" w:after="0" w:line="240" w:lineRule="auto"/>
        <w:ind w:left="708" w:right="615"/>
        <w:jc w:val="both"/>
        <w:rPr>
          <w:rFonts w:ascii="ITC Avant Garde" w:hAnsi="ITC Avant Garde"/>
          <w:bCs/>
          <w:i/>
          <w:color w:val="000000"/>
          <w:sz w:val="18"/>
          <w:szCs w:val="14"/>
          <w:lang w:eastAsia="es-MX"/>
        </w:rPr>
      </w:pPr>
      <w:r w:rsidRPr="007E79DA">
        <w:rPr>
          <w:rFonts w:ascii="ITC Avant Garde" w:hAnsi="ITC Avant Garde"/>
          <w:bCs/>
          <w:i/>
          <w:color w:val="000000"/>
          <w:sz w:val="18"/>
          <w:szCs w:val="14"/>
          <w:lang w:eastAsia="es-MX"/>
        </w:rPr>
        <w:t>[…]</w:t>
      </w:r>
      <w:r w:rsidR="00783E2C">
        <w:rPr>
          <w:rFonts w:ascii="ITC Avant Garde" w:hAnsi="ITC Avant Garde"/>
          <w:bCs/>
          <w:i/>
          <w:color w:val="000000"/>
          <w:sz w:val="18"/>
          <w:szCs w:val="14"/>
          <w:lang w:eastAsia="es-MX"/>
        </w:rPr>
        <w:t>.</w:t>
      </w:r>
      <w:r w:rsidRPr="007E79DA">
        <w:rPr>
          <w:rFonts w:ascii="ITC Avant Garde" w:hAnsi="ITC Avant Garde"/>
          <w:bCs/>
          <w:i/>
          <w:color w:val="000000"/>
          <w:sz w:val="18"/>
          <w:szCs w:val="14"/>
          <w:lang w:eastAsia="es-MX"/>
        </w:rPr>
        <w:t>”</w:t>
      </w:r>
    </w:p>
    <w:p w:rsidR="00F1222A" w:rsidRDefault="00F1222A" w:rsidP="00985E5C">
      <w:pPr>
        <w:autoSpaceDE w:val="0"/>
        <w:autoSpaceDN w:val="0"/>
        <w:adjustRightInd w:val="0"/>
        <w:spacing w:before="240" w:after="0" w:line="240" w:lineRule="auto"/>
        <w:jc w:val="both"/>
        <w:rPr>
          <w:rFonts w:ascii="ITC Avant Garde" w:hAnsi="ITC Avant Garde"/>
          <w:bCs/>
        </w:rPr>
      </w:pPr>
      <w:r>
        <w:rPr>
          <w:rFonts w:ascii="ITC Avant Garde" w:hAnsi="ITC Avant Garde"/>
          <w:bCs/>
        </w:rPr>
        <w:t>En ese sentido,</w:t>
      </w:r>
      <w:r w:rsidR="00674F9F">
        <w:rPr>
          <w:rFonts w:ascii="ITC Avant Garde" w:hAnsi="ITC Avant Garde"/>
          <w:bCs/>
        </w:rPr>
        <w:t xml:space="preserve"> el título de concesión referido</w:t>
      </w:r>
      <w:r>
        <w:rPr>
          <w:rFonts w:ascii="ITC Avant Garde" w:hAnsi="ITC Avant Garde"/>
          <w:bCs/>
        </w:rPr>
        <w:t xml:space="preserve"> habilita</w:t>
      </w:r>
      <w:r w:rsidR="0047383B">
        <w:rPr>
          <w:rFonts w:ascii="ITC Avant Garde" w:hAnsi="ITC Avant Garde"/>
          <w:bCs/>
        </w:rPr>
        <w:t xml:space="preserve"> a su titular</w:t>
      </w:r>
      <w:r>
        <w:rPr>
          <w:rFonts w:ascii="ITC Avant Garde" w:hAnsi="ITC Avant Garde"/>
          <w:bCs/>
        </w:rPr>
        <w:t xml:space="preserve"> para prestar </w:t>
      </w:r>
      <w:r w:rsidR="00674F9F">
        <w:rPr>
          <w:rFonts w:ascii="ITC Avant Garde" w:hAnsi="ITC Avant Garde"/>
          <w:bCs/>
        </w:rPr>
        <w:t>los servicios</w:t>
      </w:r>
      <w:r>
        <w:rPr>
          <w:rFonts w:ascii="ITC Avant Garde" w:hAnsi="ITC Avant Garde"/>
          <w:bCs/>
        </w:rPr>
        <w:t xml:space="preserve"> de </w:t>
      </w:r>
      <w:r w:rsidR="00674F9F">
        <w:rPr>
          <w:rFonts w:ascii="ITC Avant Garde" w:hAnsi="ITC Avant Garde"/>
          <w:bCs/>
        </w:rPr>
        <w:t>acceso inalámbrico fijo o móvil</w:t>
      </w:r>
      <w:r>
        <w:rPr>
          <w:rFonts w:ascii="ITC Avant Garde" w:hAnsi="ITC Avant Garde"/>
          <w:bCs/>
        </w:rPr>
        <w:t xml:space="preserve"> </w:t>
      </w:r>
      <w:r w:rsidR="00674F9F">
        <w:rPr>
          <w:rFonts w:ascii="ITC Avant Garde" w:hAnsi="ITC Avant Garde"/>
          <w:bCs/>
        </w:rPr>
        <w:t>que ahí se señalan</w:t>
      </w:r>
      <w:r>
        <w:rPr>
          <w:rFonts w:ascii="ITC Avant Garde" w:hAnsi="ITC Avant Garde"/>
          <w:bCs/>
        </w:rPr>
        <w:t xml:space="preserve">, </w:t>
      </w:r>
      <w:r w:rsidR="00674F9F">
        <w:rPr>
          <w:rFonts w:ascii="ITC Avant Garde" w:hAnsi="ITC Avant Garde"/>
          <w:bCs/>
        </w:rPr>
        <w:t>dentro de los cuales</w:t>
      </w:r>
      <w:r>
        <w:rPr>
          <w:rFonts w:ascii="ITC Avant Garde" w:hAnsi="ITC Avant Garde"/>
          <w:bCs/>
        </w:rPr>
        <w:t xml:space="preserve"> </w:t>
      </w:r>
      <w:r w:rsidR="00674F9F">
        <w:rPr>
          <w:rFonts w:ascii="ITC Avant Garde" w:hAnsi="ITC Avant Garde"/>
          <w:bCs/>
        </w:rPr>
        <w:t xml:space="preserve">se queda comprendido </w:t>
      </w:r>
      <w:r>
        <w:rPr>
          <w:rFonts w:ascii="ITC Avant Garde" w:hAnsi="ITC Avant Garde"/>
          <w:bCs/>
        </w:rPr>
        <w:t>el servicio de acceso inalámbrico autorizado en la Concesión de Bandas</w:t>
      </w:r>
      <w:r w:rsidR="0047383B">
        <w:rPr>
          <w:rFonts w:ascii="ITC Avant Garde" w:hAnsi="ITC Avant Garde"/>
          <w:bCs/>
        </w:rPr>
        <w:t xml:space="preserve"> de </w:t>
      </w:r>
      <w:r w:rsidR="000A680E">
        <w:rPr>
          <w:rFonts w:ascii="ITC Avant Garde" w:hAnsi="ITC Avant Garde"/>
          <w:bCs/>
        </w:rPr>
        <w:t>F</w:t>
      </w:r>
      <w:r w:rsidR="0047383B">
        <w:rPr>
          <w:rFonts w:ascii="ITC Avant Garde" w:hAnsi="ITC Avant Garde"/>
          <w:bCs/>
        </w:rPr>
        <w:t>recuencias</w:t>
      </w:r>
      <w:r>
        <w:rPr>
          <w:rFonts w:ascii="ITC Avant Garde" w:hAnsi="ITC Avant Garde"/>
          <w:bCs/>
        </w:rPr>
        <w:t>.</w:t>
      </w:r>
      <w:r w:rsidR="00674F9F">
        <w:rPr>
          <w:rFonts w:ascii="ITC Avant Garde" w:hAnsi="ITC Avant Garde"/>
          <w:bCs/>
        </w:rPr>
        <w:t xml:space="preserve"> En virtud de lo anterior, no se considera necesario el otorgamiento de un título de concesión habilitante adicional al que actualmente ostenta Telcel, por lo que la Concesión de Bandas de Frecuencias </w:t>
      </w:r>
      <w:r w:rsidR="002D57D7">
        <w:rPr>
          <w:rFonts w:ascii="ITC Avant Garde" w:hAnsi="ITC Avant Garde"/>
          <w:bCs/>
        </w:rPr>
        <w:t xml:space="preserve">que en el presente acto se otorga </w:t>
      </w:r>
      <w:r w:rsidR="00674F9F">
        <w:rPr>
          <w:rFonts w:ascii="ITC Avant Garde" w:hAnsi="ITC Avant Garde"/>
          <w:bCs/>
        </w:rPr>
        <w:t>que</w:t>
      </w:r>
      <w:r w:rsidR="002D57D7">
        <w:rPr>
          <w:rFonts w:ascii="ITC Avant Garde" w:hAnsi="ITC Avant Garde"/>
          <w:bCs/>
        </w:rPr>
        <w:t>d</w:t>
      </w:r>
      <w:r w:rsidR="00674F9F">
        <w:rPr>
          <w:rFonts w:ascii="ITC Avant Garde" w:hAnsi="ITC Avant Garde"/>
          <w:bCs/>
        </w:rPr>
        <w:t>a vinculada al mismo.</w:t>
      </w:r>
    </w:p>
    <w:p w:rsidR="00C96CE9" w:rsidRPr="008B00AD" w:rsidRDefault="008B00AD" w:rsidP="00985E5C">
      <w:pPr>
        <w:autoSpaceDE w:val="0"/>
        <w:autoSpaceDN w:val="0"/>
        <w:adjustRightInd w:val="0"/>
        <w:spacing w:before="240" w:after="0" w:line="240" w:lineRule="auto"/>
        <w:jc w:val="both"/>
        <w:rPr>
          <w:rFonts w:ascii="ITC Avant Garde" w:hAnsi="ITC Avant Garde" w:cs="Tahoma"/>
          <w:bCs/>
          <w:lang w:eastAsia="es-MX"/>
        </w:rPr>
      </w:pPr>
      <w:r>
        <w:rPr>
          <w:rFonts w:ascii="ITC Avant Garde" w:hAnsi="ITC Avant Garde" w:cs="Tahoma"/>
          <w:bCs/>
          <w:lang w:eastAsia="es-MX"/>
        </w:rPr>
        <w:t xml:space="preserve">En tal virtud, al haberse acreditado tanto el pago de la contraprestación por la asignación del espectro radioeléctrico derivado de la Licitación No. IFT-3 y el pago de los derechos correspondientes a la expedición del título de concesión respectivo por parte del participante ganador Telcel, así como concluido el Cambio de Bandas de Frecuencias, este órgano autónomo, </w:t>
      </w:r>
      <w:r w:rsidR="00C96CE9" w:rsidRPr="00216619">
        <w:rPr>
          <w:rFonts w:ascii="ITC Avant Garde" w:hAnsi="ITC Avant Garde"/>
          <w:bCs/>
        </w:rPr>
        <w:t xml:space="preserve">con fundamento en los artículos 6o. Apartado B fracción II, </w:t>
      </w:r>
      <w:r w:rsidR="00ED3365">
        <w:rPr>
          <w:rFonts w:ascii="ITC Avant Garde" w:hAnsi="ITC Avant Garde"/>
          <w:bCs/>
        </w:rPr>
        <w:t xml:space="preserve">27, </w:t>
      </w:r>
      <w:r w:rsidR="00C96CE9">
        <w:rPr>
          <w:rFonts w:ascii="ITC Avant Garde" w:hAnsi="ITC Avant Garde"/>
          <w:bCs/>
        </w:rPr>
        <w:t>28 párrafos décimo quinto</w:t>
      </w:r>
      <w:r>
        <w:rPr>
          <w:rFonts w:ascii="ITC Avant Garde" w:hAnsi="ITC Avant Garde"/>
          <w:bCs/>
        </w:rPr>
        <w:t>,</w:t>
      </w:r>
      <w:r w:rsidR="00C96CE9" w:rsidRPr="00216619">
        <w:rPr>
          <w:rFonts w:ascii="ITC Avant Garde" w:hAnsi="ITC Avant Garde"/>
          <w:bCs/>
        </w:rPr>
        <w:t xml:space="preserve"> décimo sexto</w:t>
      </w:r>
      <w:r>
        <w:rPr>
          <w:rFonts w:ascii="ITC Avant Garde" w:hAnsi="ITC Avant Garde"/>
          <w:bCs/>
        </w:rPr>
        <w:t xml:space="preserve"> y décimo séptimo</w:t>
      </w:r>
      <w:r w:rsidR="00C96CE9" w:rsidRPr="00216619">
        <w:rPr>
          <w:rFonts w:ascii="ITC Avant Garde" w:hAnsi="ITC Avant Garde"/>
          <w:bCs/>
        </w:rPr>
        <w:t xml:space="preserve"> de la Constitución Política d</w:t>
      </w:r>
      <w:r w:rsidR="00C96CE9">
        <w:rPr>
          <w:rFonts w:ascii="ITC Avant Garde" w:hAnsi="ITC Avant Garde"/>
          <w:bCs/>
        </w:rPr>
        <w:t xml:space="preserve">e los Estados Unidos Mexicanos; 6 fracción IV, 15 fracción </w:t>
      </w:r>
      <w:r w:rsidR="00777E64">
        <w:rPr>
          <w:rFonts w:ascii="ITC Avant Garde" w:hAnsi="ITC Avant Garde"/>
          <w:bCs/>
        </w:rPr>
        <w:t>I</w:t>
      </w:r>
      <w:r w:rsidR="00C96CE9">
        <w:rPr>
          <w:rFonts w:ascii="ITC Avant Garde" w:hAnsi="ITC Avant Garde"/>
          <w:bCs/>
        </w:rPr>
        <w:t>V</w:t>
      </w:r>
      <w:r w:rsidR="00D12C6A">
        <w:rPr>
          <w:rFonts w:ascii="ITC Avant Garde" w:hAnsi="ITC Avant Garde"/>
          <w:bCs/>
        </w:rPr>
        <w:t>,</w:t>
      </w:r>
      <w:r w:rsidR="00777E64">
        <w:rPr>
          <w:rFonts w:ascii="ITC Avant Garde" w:hAnsi="ITC Avant Garde"/>
          <w:bCs/>
        </w:rPr>
        <w:t xml:space="preserve"> 17 fracci</w:t>
      </w:r>
      <w:r w:rsidR="0034686C">
        <w:rPr>
          <w:rFonts w:ascii="ITC Avant Garde" w:hAnsi="ITC Avant Garde"/>
          <w:bCs/>
        </w:rPr>
        <w:t>ones I y XV</w:t>
      </w:r>
      <w:r w:rsidR="00D12C6A">
        <w:rPr>
          <w:rFonts w:ascii="ITC Avant Garde" w:hAnsi="ITC Avant Garde"/>
          <w:bCs/>
        </w:rPr>
        <w:t>, 75 y 81</w:t>
      </w:r>
      <w:r w:rsidR="00C96CE9">
        <w:rPr>
          <w:rFonts w:ascii="ITC Avant Garde" w:hAnsi="ITC Avant Garde"/>
          <w:bCs/>
        </w:rPr>
        <w:t xml:space="preserve"> </w:t>
      </w:r>
      <w:r w:rsidR="00C96CE9" w:rsidRPr="00216619">
        <w:rPr>
          <w:rFonts w:ascii="ITC Avant Garde" w:hAnsi="ITC Avant Garde"/>
          <w:bCs/>
        </w:rPr>
        <w:t xml:space="preserve">de la Ley Federal de Telecomunicaciones y Radiodifusión; 35 fracción I, 36, 38 y 39 de la Ley Federal de Procedimiento Administrativo; </w:t>
      </w:r>
      <w:r w:rsidR="00777E64">
        <w:rPr>
          <w:rFonts w:ascii="ITC Avant Garde" w:hAnsi="ITC Avant Garde"/>
          <w:bCs/>
        </w:rPr>
        <w:t>173</w:t>
      </w:r>
      <w:r w:rsidR="00C96CE9">
        <w:rPr>
          <w:rFonts w:ascii="ITC Avant Garde" w:hAnsi="ITC Avant Garde"/>
          <w:bCs/>
        </w:rPr>
        <w:t xml:space="preserve"> </w:t>
      </w:r>
      <w:r w:rsidR="00777E64">
        <w:rPr>
          <w:rFonts w:ascii="ITC Avant Garde" w:hAnsi="ITC Avant Garde"/>
          <w:bCs/>
        </w:rPr>
        <w:t>apartado A fracción I</w:t>
      </w:r>
      <w:r w:rsidR="00C96CE9">
        <w:rPr>
          <w:rFonts w:ascii="ITC Avant Garde" w:hAnsi="ITC Avant Garde"/>
          <w:bCs/>
        </w:rPr>
        <w:t xml:space="preserve"> </w:t>
      </w:r>
      <w:r w:rsidR="00C96CE9" w:rsidRPr="00216619">
        <w:rPr>
          <w:rFonts w:ascii="ITC Avant Garde" w:hAnsi="ITC Avant Garde"/>
          <w:bCs/>
          <w:color w:val="000000"/>
          <w:lang w:eastAsia="es-MX"/>
        </w:rPr>
        <w:t xml:space="preserve">de la Ley Federal de </w:t>
      </w:r>
      <w:r w:rsidR="00C96CE9" w:rsidRPr="00703366">
        <w:rPr>
          <w:rFonts w:ascii="ITC Avant Garde" w:hAnsi="ITC Avant Garde"/>
          <w:bCs/>
          <w:color w:val="000000"/>
          <w:lang w:eastAsia="es-MX"/>
        </w:rPr>
        <w:t xml:space="preserve">Derechos; </w:t>
      </w:r>
      <w:r w:rsidR="00C96CE9" w:rsidRPr="00703366">
        <w:rPr>
          <w:rFonts w:ascii="ITC Avant Garde" w:hAnsi="ITC Avant Garde"/>
          <w:bCs/>
        </w:rPr>
        <w:t>1, 6 fracc</w:t>
      </w:r>
      <w:r w:rsidR="00703366" w:rsidRPr="00703366">
        <w:rPr>
          <w:rFonts w:ascii="ITC Avant Garde" w:hAnsi="ITC Avant Garde"/>
          <w:bCs/>
        </w:rPr>
        <w:t>ión I y</w:t>
      </w:r>
      <w:r w:rsidR="00C96CE9" w:rsidRPr="00703366">
        <w:rPr>
          <w:rFonts w:ascii="ITC Avant Garde" w:hAnsi="ITC Avant Garde"/>
          <w:bCs/>
        </w:rPr>
        <w:t xml:space="preserve"> </w:t>
      </w:r>
      <w:r w:rsidR="0034686C" w:rsidRPr="00703366">
        <w:rPr>
          <w:rFonts w:ascii="ITC Avant Garde" w:hAnsi="ITC Avant Garde"/>
          <w:bCs/>
        </w:rPr>
        <w:t xml:space="preserve">14 fracción X </w:t>
      </w:r>
      <w:r w:rsidR="00C96CE9" w:rsidRPr="00703366">
        <w:rPr>
          <w:rFonts w:ascii="ITC Avant Garde" w:hAnsi="ITC Avant Garde"/>
          <w:bCs/>
        </w:rPr>
        <w:t>del Estatuto Orgánico del Instituto Federal de Telecomunicaciones;</w:t>
      </w:r>
      <w:r w:rsidR="00C96CE9">
        <w:rPr>
          <w:rFonts w:ascii="ITC Avant Garde" w:hAnsi="ITC Avant Garde"/>
          <w:bCs/>
        </w:rPr>
        <w:t xml:space="preserve"> </w:t>
      </w:r>
      <w:r w:rsidR="00C96CE9" w:rsidRPr="00304BDB">
        <w:rPr>
          <w:rFonts w:ascii="ITC Avant Garde" w:hAnsi="ITC Avant Garde"/>
          <w:bCs/>
        </w:rPr>
        <w:t xml:space="preserve">así como </w:t>
      </w:r>
      <w:r w:rsidR="00C96CE9" w:rsidRPr="00304BDB">
        <w:rPr>
          <w:rFonts w:ascii="ITC Avant Garde" w:hAnsi="ITC Avant Garde"/>
        </w:rPr>
        <w:t>las “</w:t>
      </w:r>
      <w:r w:rsidR="00C96CE9" w:rsidRPr="00304BDB">
        <w:rPr>
          <w:rFonts w:ascii="ITC Avant Garde" w:hAnsi="ITC Avant Garde" w:cs="Tahoma"/>
          <w:bCs/>
          <w:i/>
          <w:lang w:eastAsia="es-MX"/>
        </w:rPr>
        <w:t>Bases de licitación pública para concesionar el uso, aprovechamiento y explotación comercial de 80 MHz de espectro radioeléctrico disponibles en la banda de frecuencias 1710-1780 MHz/2110-2180 MHz (Licitación No. IFT-3)</w:t>
      </w:r>
      <w:r w:rsidR="00C96CE9" w:rsidRPr="00304BDB">
        <w:rPr>
          <w:rFonts w:ascii="ITC Avant Garde" w:hAnsi="ITC Avant Garde" w:cs="Tahoma"/>
          <w:bCs/>
          <w:lang w:eastAsia="es-MX"/>
        </w:rPr>
        <w:t>”, publicada</w:t>
      </w:r>
      <w:r w:rsidR="00703366">
        <w:rPr>
          <w:rFonts w:ascii="ITC Avant Garde" w:hAnsi="ITC Avant Garde" w:cs="Tahoma"/>
          <w:bCs/>
          <w:lang w:eastAsia="es-MX"/>
        </w:rPr>
        <w:t>s</w:t>
      </w:r>
      <w:r w:rsidR="00C96CE9" w:rsidRPr="00304BDB">
        <w:rPr>
          <w:rFonts w:ascii="ITC Avant Garde" w:hAnsi="ITC Avant Garde" w:cs="Tahoma"/>
          <w:bCs/>
          <w:lang w:eastAsia="es-MX"/>
        </w:rPr>
        <w:t xml:space="preserve"> en el portal del Internet del Instituto Federal de Telecomunicaciones el 20 de noviembre de 2015, </w:t>
      </w:r>
      <w:r w:rsidR="00777E64">
        <w:rPr>
          <w:rFonts w:ascii="ITC Avant Garde" w:hAnsi="ITC Avant Garde" w:cs="Tahoma"/>
          <w:bCs/>
          <w:lang w:eastAsia="es-MX"/>
        </w:rPr>
        <w:t xml:space="preserve">y el </w:t>
      </w:r>
      <w:r w:rsidR="00777E64" w:rsidRPr="00EE7925">
        <w:rPr>
          <w:rFonts w:ascii="ITC Avant Garde" w:hAnsi="ITC Avant Garde"/>
        </w:rPr>
        <w:t>Acuerdo P/IFT/290216/65 de fecha 29 de febrero de 2016</w:t>
      </w:r>
      <w:r w:rsidR="00777E64">
        <w:rPr>
          <w:rFonts w:ascii="ITC Avant Garde" w:hAnsi="ITC Avant Garde"/>
        </w:rPr>
        <w:t xml:space="preserve">, </w:t>
      </w:r>
      <w:r w:rsidR="00C96CE9" w:rsidRPr="00304BDB">
        <w:rPr>
          <w:rFonts w:ascii="ITC Avant Garde" w:hAnsi="ITC Avant Garde"/>
          <w:bCs/>
        </w:rPr>
        <w:t>emite los siguientes:</w:t>
      </w:r>
    </w:p>
    <w:p w:rsidR="00C96CE9" w:rsidRPr="00216619" w:rsidRDefault="00C96CE9" w:rsidP="001B413F">
      <w:pPr>
        <w:spacing w:after="0" w:line="240" w:lineRule="auto"/>
        <w:rPr>
          <w:rFonts w:ascii="ITC Avant Garde" w:hAnsi="ITC Avant Garde"/>
          <w:b/>
          <w:bCs/>
          <w:color w:val="000000"/>
          <w:lang w:eastAsia="es-MX"/>
        </w:rPr>
      </w:pPr>
    </w:p>
    <w:p w:rsidR="00C96CE9" w:rsidRPr="00030ADE" w:rsidRDefault="00001071" w:rsidP="00030ADE">
      <w:pPr>
        <w:pStyle w:val="Ttulo2"/>
        <w:jc w:val="center"/>
        <w:rPr>
          <w:rFonts w:ascii="ITC Avant Garde" w:hAnsi="ITC Avant Garde"/>
          <w:b/>
          <w:bCs/>
          <w:color w:val="000000"/>
          <w:sz w:val="22"/>
          <w:szCs w:val="22"/>
          <w:lang w:eastAsia="es-MX"/>
        </w:rPr>
      </w:pPr>
      <w:r w:rsidRPr="00030ADE">
        <w:rPr>
          <w:rFonts w:ascii="ITC Avant Garde" w:hAnsi="ITC Avant Garde"/>
          <w:b/>
          <w:bCs/>
          <w:color w:val="000000"/>
          <w:sz w:val="22"/>
          <w:szCs w:val="22"/>
          <w:lang w:eastAsia="es-MX"/>
        </w:rPr>
        <w:t>RESOLUTIVOS</w:t>
      </w:r>
    </w:p>
    <w:p w:rsidR="00060145" w:rsidRPr="00216619" w:rsidRDefault="00060145" w:rsidP="001B413F">
      <w:pPr>
        <w:spacing w:after="0" w:line="240" w:lineRule="auto"/>
        <w:rPr>
          <w:rFonts w:ascii="ITC Avant Garde" w:hAnsi="ITC Avant Garde"/>
          <w:b/>
          <w:bCs/>
          <w:color w:val="000000"/>
          <w:lang w:eastAsia="es-MX"/>
        </w:rPr>
      </w:pPr>
      <w:bookmarkStart w:id="0" w:name="_GoBack"/>
      <w:bookmarkEnd w:id="0"/>
    </w:p>
    <w:p w:rsidR="0088151F" w:rsidRDefault="00C96CE9" w:rsidP="00A17C7D">
      <w:pPr>
        <w:autoSpaceDE w:val="0"/>
        <w:autoSpaceDN w:val="0"/>
        <w:adjustRightInd w:val="0"/>
        <w:spacing w:after="0" w:line="240" w:lineRule="auto"/>
        <w:jc w:val="both"/>
        <w:rPr>
          <w:rFonts w:ascii="ITC Avant Garde" w:hAnsi="ITC Avant Garde"/>
          <w:bCs/>
        </w:rPr>
      </w:pPr>
      <w:r w:rsidRPr="00216619">
        <w:rPr>
          <w:rFonts w:ascii="ITC Avant Garde" w:hAnsi="ITC Avant Garde"/>
          <w:b/>
          <w:bCs/>
        </w:rPr>
        <w:t>PRIMERO.-</w:t>
      </w:r>
      <w:r w:rsidRPr="00216619">
        <w:rPr>
          <w:rFonts w:ascii="ITC Avant Garde" w:hAnsi="ITC Avant Garde"/>
          <w:bCs/>
        </w:rPr>
        <w:t xml:space="preserve"> </w:t>
      </w:r>
      <w:r>
        <w:rPr>
          <w:rFonts w:ascii="ITC Avant Garde" w:hAnsi="ITC Avant Garde"/>
          <w:bCs/>
        </w:rPr>
        <w:t xml:space="preserve">Se </w:t>
      </w:r>
      <w:r w:rsidR="00A17C7D">
        <w:rPr>
          <w:rFonts w:ascii="ITC Avant Garde" w:hAnsi="ITC Avant Garde"/>
          <w:bCs/>
        </w:rPr>
        <w:t xml:space="preserve">otorga a favor de </w:t>
      </w:r>
      <w:r w:rsidR="00FF1B09">
        <w:rPr>
          <w:rFonts w:ascii="ITC Avant Garde" w:hAnsi="ITC Avant Garde"/>
          <w:bCs/>
        </w:rPr>
        <w:t>Radiomóvil Dipsa, S.A.</w:t>
      </w:r>
      <w:r w:rsidR="00A17C7D">
        <w:rPr>
          <w:rFonts w:ascii="ITC Avant Garde" w:hAnsi="ITC Avant Garde"/>
          <w:bCs/>
        </w:rPr>
        <w:t xml:space="preserve"> de C.V. un título de concesión para usar, aprovechar y explotar bandas de frecuencias del espectro radioeléctrico para uso comercial, para la prestación del servicio de acceso inalámbrico, con una vigencia </w:t>
      </w:r>
      <w:r w:rsidR="0088151F">
        <w:rPr>
          <w:rFonts w:ascii="ITC Avant Garde" w:hAnsi="ITC Avant Garde"/>
          <w:bCs/>
        </w:rPr>
        <w:t>hasta el 1 de octubre de 2030.</w:t>
      </w:r>
    </w:p>
    <w:p w:rsidR="00A17C7D" w:rsidRDefault="0088151F" w:rsidP="00A17C7D">
      <w:pPr>
        <w:autoSpaceDE w:val="0"/>
        <w:autoSpaceDN w:val="0"/>
        <w:adjustRightInd w:val="0"/>
        <w:spacing w:after="0" w:line="240" w:lineRule="auto"/>
        <w:jc w:val="both"/>
        <w:rPr>
          <w:rFonts w:ascii="ITC Avant Garde" w:hAnsi="ITC Avant Garde"/>
          <w:bCs/>
        </w:rPr>
      </w:pPr>
      <w:r>
        <w:rPr>
          <w:rFonts w:ascii="ITC Avant Garde" w:hAnsi="ITC Avant Garde"/>
          <w:bCs/>
        </w:rPr>
        <w:t>Dicho título de concesión habilita a su titular a usar</w:t>
      </w:r>
      <w:r w:rsidR="00A17C7D">
        <w:rPr>
          <w:rFonts w:ascii="ITC Avant Garde" w:hAnsi="ITC Avant Garde"/>
          <w:bCs/>
        </w:rPr>
        <w:t>, aprovecha</w:t>
      </w:r>
      <w:r>
        <w:rPr>
          <w:rFonts w:ascii="ITC Avant Garde" w:hAnsi="ITC Avant Garde"/>
          <w:bCs/>
        </w:rPr>
        <w:t>r</w:t>
      </w:r>
      <w:r w:rsidR="00A17C7D">
        <w:rPr>
          <w:rFonts w:ascii="ITC Avant Garde" w:hAnsi="ITC Avant Garde"/>
          <w:bCs/>
        </w:rPr>
        <w:t xml:space="preserve"> y explota</w:t>
      </w:r>
      <w:r>
        <w:rPr>
          <w:rFonts w:ascii="ITC Avant Garde" w:hAnsi="ITC Avant Garde"/>
          <w:bCs/>
        </w:rPr>
        <w:t>r</w:t>
      </w:r>
      <w:r w:rsidR="00A17C7D">
        <w:rPr>
          <w:rFonts w:ascii="ITC Avant Garde" w:hAnsi="ITC Avant Garde"/>
          <w:bCs/>
        </w:rPr>
        <w:t xml:space="preserve"> las siguientes bandas de frecuencias</w:t>
      </w:r>
      <w:r>
        <w:rPr>
          <w:rFonts w:ascii="ITC Avant Garde" w:hAnsi="ITC Avant Garde"/>
          <w:bCs/>
        </w:rPr>
        <w:t xml:space="preserve"> en la cobertura geográfica definida para tal efecto</w:t>
      </w:r>
      <w:r w:rsidR="00A17C7D">
        <w:rPr>
          <w:rFonts w:ascii="ITC Avant Garde" w:hAnsi="ITC Avant Garde"/>
          <w:bCs/>
        </w:rPr>
        <w:t>:</w:t>
      </w:r>
    </w:p>
    <w:p w:rsidR="00A17C7D" w:rsidRDefault="00A17C7D" w:rsidP="00A17C7D">
      <w:pPr>
        <w:autoSpaceDE w:val="0"/>
        <w:autoSpaceDN w:val="0"/>
        <w:adjustRightInd w:val="0"/>
        <w:spacing w:after="0" w:line="240" w:lineRule="auto"/>
        <w:jc w:val="both"/>
        <w:rPr>
          <w:rFonts w:ascii="ITC Avant Garde" w:hAnsi="ITC Avant Garde"/>
          <w:bCs/>
        </w:rPr>
      </w:pPr>
    </w:p>
    <w:tbl>
      <w:tblPr>
        <w:tblStyle w:val="Tablaconcuadrcula"/>
        <w:tblW w:w="0" w:type="auto"/>
        <w:jc w:val="center"/>
        <w:tblLook w:val="04A0" w:firstRow="1" w:lastRow="0" w:firstColumn="1" w:lastColumn="0" w:noHBand="0" w:noVBand="1"/>
        <w:tblCaption w:val="Cobertura y frecuencias del titulo de concesión."/>
        <w:tblDescription w:val="Esta Tabla de 3 columnas se especifica lo siguiente.-&#10;Segmento Inferior (MHz).- 1710-1715&#10;Segmento Superior (MHz).- -2110-2115&#10;Cobertura Geográfica.- Nacional&#10;Segmento Inferior (MHz).- 1715-1720&#10;Segmento Superior (MHz).- 2115-2120&#10;Cobertura Geográfica.- Región PCS 2 (los Estados de Sinaloa y Sonora excluyendo el Municipio de San Luis Río Colorado, en el Estado de Sonora);&#10;Región PCS 3 (los Estados de Chihuahua y Durango y los siguientes Municipios de Coahuila: Torreón, Francisco I. Madero, Matamoros, San Pedro y Viesca);&#10;Región PCS 4 (los Estados de Nuevo León, Tamaulipas y Coahuila, excluyendo los Municipios de Torreón, Francisco I. Madero, Matamoros, San Pedro y Viesca, en el Estado de Coahuila); &#10;Región PCS 6 (los Estados de Colima, Michoacán, Nayarit y Jalisco excluyendo los siguientes Municipios: Huejúcar, Santa María de los Ángeles, Colotlán, Teocaltiche, Huejuquilla el Alto, Mezquitic, Villa Guerrero, Bolaños, Lagos de Moreno, Villa Hidalgo, Ojuelos de Jalisco y Encarnación de Díaz, en el Estado de Jalisco); &#10;Región PCS 7 (los Estados de Aguascalientes, Guanajuato, Querétaro, San Luis Potosí y Zacatecas y los Municipios de Huejúcar, Santa María de los Ángeles, Colotlán, Teocaltiche, Huejuquilla el Alto, Mezquitic, Villa Guerrero, Bolaños, Lagos de Moreno, Villa Hidalgo, Ojuelos de Jalisco y Encarnación de Díaz en el Estado de Jalisco), y &#10;Región PCS 9 (Ciudad de México y los Estados de México, Hidalgo y Morelos)&#10;Segmento Inferior (MHz).- 1760-1780&#10;Segmento Superior (MHz).- -2160-2180&#10;Cobertura Geográfica.- Nacional&#10;&#10;"/>
      </w:tblPr>
      <w:tblGrid>
        <w:gridCol w:w="1276"/>
        <w:gridCol w:w="1320"/>
        <w:gridCol w:w="5625"/>
      </w:tblGrid>
      <w:tr w:rsidR="00FF1B09" w:rsidRPr="00630B24" w:rsidTr="00030ADE">
        <w:trPr>
          <w:tblHeader/>
          <w:jc w:val="center"/>
        </w:trPr>
        <w:tc>
          <w:tcPr>
            <w:tcW w:w="1276" w:type="dxa"/>
            <w:shd w:val="clear" w:color="auto" w:fill="BFBFBF" w:themeFill="background1" w:themeFillShade="BF"/>
            <w:vAlign w:val="center"/>
          </w:tcPr>
          <w:p w:rsidR="00FF1B09" w:rsidRPr="00630B24" w:rsidRDefault="00FF1B09" w:rsidP="00BA1C2A">
            <w:pPr>
              <w:pStyle w:val="Prrafodelista"/>
              <w:ind w:left="0"/>
              <w:jc w:val="center"/>
              <w:rPr>
                <w:rFonts w:ascii="ITC Avant Garde" w:hAnsi="ITC Avant Garde"/>
                <w:b/>
                <w:sz w:val="16"/>
                <w:szCs w:val="16"/>
              </w:rPr>
            </w:pPr>
            <w:r w:rsidRPr="00630B24">
              <w:rPr>
                <w:rFonts w:ascii="ITC Avant Garde" w:hAnsi="ITC Avant Garde"/>
                <w:b/>
                <w:sz w:val="16"/>
                <w:szCs w:val="16"/>
              </w:rPr>
              <w:t>Segmento Inferior (MHz)</w:t>
            </w:r>
          </w:p>
        </w:tc>
        <w:tc>
          <w:tcPr>
            <w:tcW w:w="1320" w:type="dxa"/>
            <w:shd w:val="clear" w:color="auto" w:fill="BFBFBF" w:themeFill="background1" w:themeFillShade="BF"/>
            <w:vAlign w:val="center"/>
          </w:tcPr>
          <w:p w:rsidR="00FF1B09" w:rsidRPr="00630B24" w:rsidRDefault="00FF1B09" w:rsidP="00BA1C2A">
            <w:pPr>
              <w:pStyle w:val="Prrafodelista"/>
              <w:ind w:left="0"/>
              <w:jc w:val="center"/>
              <w:rPr>
                <w:rFonts w:ascii="ITC Avant Garde" w:hAnsi="ITC Avant Garde"/>
                <w:b/>
                <w:sz w:val="16"/>
                <w:szCs w:val="16"/>
              </w:rPr>
            </w:pPr>
            <w:r w:rsidRPr="00630B24">
              <w:rPr>
                <w:rFonts w:ascii="ITC Avant Garde" w:hAnsi="ITC Avant Garde"/>
                <w:b/>
                <w:sz w:val="16"/>
                <w:szCs w:val="16"/>
              </w:rPr>
              <w:t>Segmento Superior (MHz)</w:t>
            </w:r>
          </w:p>
        </w:tc>
        <w:tc>
          <w:tcPr>
            <w:tcW w:w="5625" w:type="dxa"/>
            <w:shd w:val="clear" w:color="auto" w:fill="BFBFBF" w:themeFill="background1" w:themeFillShade="BF"/>
            <w:vAlign w:val="center"/>
          </w:tcPr>
          <w:p w:rsidR="00FF1B09" w:rsidRPr="00630B24" w:rsidRDefault="00FF1B09" w:rsidP="00BA1C2A">
            <w:pPr>
              <w:pStyle w:val="Prrafodelista"/>
              <w:ind w:left="0"/>
              <w:jc w:val="center"/>
              <w:rPr>
                <w:rFonts w:ascii="ITC Avant Garde" w:hAnsi="ITC Avant Garde"/>
                <w:b/>
                <w:sz w:val="16"/>
                <w:szCs w:val="16"/>
              </w:rPr>
            </w:pPr>
            <w:r w:rsidRPr="00630B24">
              <w:rPr>
                <w:rFonts w:ascii="ITC Avant Garde" w:hAnsi="ITC Avant Garde"/>
                <w:b/>
                <w:sz w:val="16"/>
                <w:szCs w:val="16"/>
              </w:rPr>
              <w:t>Cobertura Geográfica</w:t>
            </w:r>
          </w:p>
        </w:tc>
      </w:tr>
      <w:tr w:rsidR="00FF1B09" w:rsidRPr="00630B24" w:rsidTr="00985E5C">
        <w:trPr>
          <w:jc w:val="center"/>
        </w:trPr>
        <w:tc>
          <w:tcPr>
            <w:tcW w:w="1276" w:type="dxa"/>
            <w:vAlign w:val="center"/>
          </w:tcPr>
          <w:p w:rsidR="00FF1B09" w:rsidRPr="00630B24" w:rsidRDefault="00FF1B09" w:rsidP="00BA1C2A">
            <w:pPr>
              <w:pStyle w:val="Prrafodelista"/>
              <w:ind w:left="0"/>
              <w:jc w:val="center"/>
              <w:rPr>
                <w:rFonts w:ascii="ITC Avant Garde" w:hAnsi="ITC Avant Garde"/>
                <w:sz w:val="16"/>
                <w:szCs w:val="16"/>
              </w:rPr>
            </w:pPr>
            <w:r w:rsidRPr="00630B24">
              <w:rPr>
                <w:rFonts w:ascii="ITC Avant Garde" w:hAnsi="ITC Avant Garde"/>
                <w:sz w:val="16"/>
                <w:szCs w:val="16"/>
              </w:rPr>
              <w:t>1710-1715</w:t>
            </w:r>
          </w:p>
        </w:tc>
        <w:tc>
          <w:tcPr>
            <w:tcW w:w="1320" w:type="dxa"/>
            <w:vAlign w:val="center"/>
          </w:tcPr>
          <w:p w:rsidR="00FF1B09" w:rsidRPr="00630B24" w:rsidRDefault="00FF1B09" w:rsidP="00BA1C2A">
            <w:pPr>
              <w:pStyle w:val="Prrafodelista"/>
              <w:ind w:left="0"/>
              <w:jc w:val="center"/>
              <w:rPr>
                <w:rFonts w:ascii="ITC Avant Garde" w:hAnsi="ITC Avant Garde"/>
                <w:sz w:val="16"/>
                <w:szCs w:val="16"/>
              </w:rPr>
            </w:pPr>
            <w:r w:rsidRPr="00630B24">
              <w:rPr>
                <w:rFonts w:ascii="ITC Avant Garde" w:hAnsi="ITC Avant Garde"/>
                <w:sz w:val="16"/>
                <w:szCs w:val="16"/>
              </w:rPr>
              <w:t>2110-2115</w:t>
            </w:r>
          </w:p>
        </w:tc>
        <w:tc>
          <w:tcPr>
            <w:tcW w:w="5625" w:type="dxa"/>
            <w:vAlign w:val="center"/>
          </w:tcPr>
          <w:p w:rsidR="00FF1B09" w:rsidRPr="00630B24" w:rsidRDefault="00FF1B09" w:rsidP="00BA1C2A">
            <w:pPr>
              <w:pStyle w:val="Prrafodelista"/>
              <w:ind w:left="0"/>
              <w:rPr>
                <w:rFonts w:ascii="ITC Avant Garde" w:hAnsi="ITC Avant Garde"/>
                <w:sz w:val="16"/>
                <w:szCs w:val="16"/>
              </w:rPr>
            </w:pPr>
            <w:r w:rsidRPr="00630B24">
              <w:rPr>
                <w:rFonts w:ascii="ITC Avant Garde" w:hAnsi="ITC Avant Garde"/>
                <w:sz w:val="16"/>
                <w:szCs w:val="16"/>
              </w:rPr>
              <w:t>Nacional</w:t>
            </w:r>
          </w:p>
        </w:tc>
      </w:tr>
      <w:tr w:rsidR="00985E5C" w:rsidRPr="00630B24" w:rsidTr="008E27EA">
        <w:trPr>
          <w:trHeight w:val="5740"/>
          <w:jc w:val="center"/>
        </w:trPr>
        <w:tc>
          <w:tcPr>
            <w:tcW w:w="1276" w:type="dxa"/>
            <w:vAlign w:val="center"/>
          </w:tcPr>
          <w:p w:rsidR="00985E5C" w:rsidRPr="00630B24" w:rsidRDefault="00985E5C" w:rsidP="00985E5C">
            <w:pPr>
              <w:pStyle w:val="Prrafodelista"/>
              <w:spacing w:before="240"/>
              <w:ind w:left="0"/>
              <w:jc w:val="center"/>
              <w:rPr>
                <w:rFonts w:ascii="ITC Avant Garde" w:hAnsi="ITC Avant Garde"/>
                <w:sz w:val="16"/>
                <w:szCs w:val="16"/>
              </w:rPr>
            </w:pPr>
            <w:r w:rsidRPr="00630B24">
              <w:rPr>
                <w:rFonts w:ascii="ITC Avant Garde" w:hAnsi="ITC Avant Garde"/>
                <w:sz w:val="16"/>
                <w:szCs w:val="16"/>
              </w:rPr>
              <w:lastRenderedPageBreak/>
              <w:t>1715-1720</w:t>
            </w:r>
          </w:p>
        </w:tc>
        <w:tc>
          <w:tcPr>
            <w:tcW w:w="1320" w:type="dxa"/>
            <w:vAlign w:val="center"/>
          </w:tcPr>
          <w:p w:rsidR="00985E5C" w:rsidRPr="00630B24" w:rsidRDefault="00985E5C" w:rsidP="00985E5C">
            <w:pPr>
              <w:pStyle w:val="Prrafodelista"/>
              <w:spacing w:before="240"/>
              <w:ind w:left="0"/>
              <w:jc w:val="center"/>
              <w:rPr>
                <w:rFonts w:ascii="ITC Avant Garde" w:hAnsi="ITC Avant Garde"/>
                <w:sz w:val="16"/>
                <w:szCs w:val="16"/>
              </w:rPr>
            </w:pPr>
            <w:r w:rsidRPr="00630B24">
              <w:rPr>
                <w:rFonts w:ascii="ITC Avant Garde" w:hAnsi="ITC Avant Garde"/>
                <w:sz w:val="16"/>
                <w:szCs w:val="16"/>
              </w:rPr>
              <w:t>2115-2120</w:t>
            </w:r>
          </w:p>
        </w:tc>
        <w:tc>
          <w:tcPr>
            <w:tcW w:w="5625" w:type="dxa"/>
            <w:vAlign w:val="center"/>
          </w:tcPr>
          <w:p w:rsidR="00985E5C" w:rsidRPr="00985E5C" w:rsidRDefault="00985E5C" w:rsidP="00985E5C">
            <w:pPr>
              <w:pStyle w:val="Sinespaciado"/>
              <w:spacing w:after="200"/>
              <w:rPr>
                <w:rFonts w:ascii="ITC Avant Garde" w:hAnsi="ITC Avant Garde"/>
                <w:sz w:val="16"/>
                <w:szCs w:val="16"/>
              </w:rPr>
            </w:pPr>
            <w:r w:rsidRPr="00985E5C">
              <w:rPr>
                <w:rFonts w:ascii="ITC Avant Garde" w:hAnsi="ITC Avant Garde"/>
                <w:sz w:val="16"/>
                <w:szCs w:val="16"/>
              </w:rPr>
              <w:t>Región PCS 2 (los Estados de Sinaloa y Sonora excluyendo el Municipio de San Luis Río Colorado, en el Estado de Sonora);</w:t>
            </w:r>
          </w:p>
          <w:p w:rsidR="00985E5C" w:rsidRPr="00985E5C" w:rsidRDefault="00985E5C" w:rsidP="00985E5C">
            <w:pPr>
              <w:pStyle w:val="Sinespaciado"/>
              <w:spacing w:after="200"/>
              <w:rPr>
                <w:rFonts w:ascii="ITC Avant Garde" w:hAnsi="ITC Avant Garde"/>
                <w:sz w:val="16"/>
                <w:szCs w:val="16"/>
              </w:rPr>
            </w:pPr>
            <w:r w:rsidRPr="00985E5C">
              <w:rPr>
                <w:rFonts w:ascii="ITC Avant Garde" w:hAnsi="ITC Avant Garde"/>
                <w:sz w:val="16"/>
                <w:szCs w:val="16"/>
              </w:rPr>
              <w:t>Región PCS 3 (los Estados de Chihuahua y Durango y los siguientes Municipios de Coahuila: Torreón, Francisco I. Madero, Matamoros, San Pedro y Viesca);</w:t>
            </w:r>
          </w:p>
          <w:p w:rsidR="00985E5C" w:rsidRPr="00985E5C" w:rsidRDefault="00985E5C" w:rsidP="00985E5C">
            <w:pPr>
              <w:pStyle w:val="Sinespaciado"/>
              <w:spacing w:after="200"/>
              <w:rPr>
                <w:rFonts w:ascii="ITC Avant Garde" w:hAnsi="ITC Avant Garde"/>
                <w:sz w:val="16"/>
                <w:szCs w:val="16"/>
              </w:rPr>
            </w:pPr>
            <w:r w:rsidRPr="00985E5C">
              <w:rPr>
                <w:rFonts w:ascii="ITC Avant Garde" w:hAnsi="ITC Avant Garde"/>
                <w:sz w:val="16"/>
                <w:szCs w:val="16"/>
              </w:rPr>
              <w:t xml:space="preserve">Región PCS 4 (los Estados de Nuevo León, Tamaulipas y Coahuila, excluyendo los Municipios de Torreón, Francisco I. Madero, Matamoros, San Pedro y Viesca, en el Estado de Coahuila); </w:t>
            </w:r>
          </w:p>
          <w:p w:rsidR="00985E5C" w:rsidRPr="00985E5C" w:rsidRDefault="00985E5C" w:rsidP="00985E5C">
            <w:pPr>
              <w:pStyle w:val="Sinespaciado"/>
              <w:spacing w:after="200"/>
              <w:rPr>
                <w:rFonts w:ascii="ITC Avant Garde" w:hAnsi="ITC Avant Garde"/>
                <w:sz w:val="16"/>
                <w:szCs w:val="16"/>
              </w:rPr>
            </w:pPr>
            <w:r w:rsidRPr="00985E5C">
              <w:rPr>
                <w:rFonts w:ascii="ITC Avant Garde" w:hAnsi="ITC Avant Garde"/>
                <w:sz w:val="16"/>
                <w:szCs w:val="16"/>
              </w:rPr>
              <w:t xml:space="preserve">Región PCS 6 (los Estados de Colima, Michoacán, Nayarit y Jalisco excluyendo los siguientes Municipios: </w:t>
            </w:r>
            <w:proofErr w:type="spellStart"/>
            <w:r w:rsidRPr="00985E5C">
              <w:rPr>
                <w:rFonts w:ascii="ITC Avant Garde" w:hAnsi="ITC Avant Garde"/>
                <w:sz w:val="16"/>
                <w:szCs w:val="16"/>
              </w:rPr>
              <w:t>Huejúcar</w:t>
            </w:r>
            <w:proofErr w:type="spellEnd"/>
            <w:r w:rsidRPr="00985E5C">
              <w:rPr>
                <w:rFonts w:ascii="ITC Avant Garde" w:hAnsi="ITC Avant Garde"/>
                <w:sz w:val="16"/>
                <w:szCs w:val="16"/>
              </w:rPr>
              <w:t xml:space="preserve">, Santa María de los Ángeles, </w:t>
            </w:r>
            <w:proofErr w:type="spellStart"/>
            <w:r w:rsidRPr="00985E5C">
              <w:rPr>
                <w:rFonts w:ascii="ITC Avant Garde" w:hAnsi="ITC Avant Garde"/>
                <w:sz w:val="16"/>
                <w:szCs w:val="16"/>
              </w:rPr>
              <w:t>Colotlán</w:t>
            </w:r>
            <w:proofErr w:type="spellEnd"/>
            <w:r w:rsidRPr="00985E5C">
              <w:rPr>
                <w:rFonts w:ascii="ITC Avant Garde" w:hAnsi="ITC Avant Garde"/>
                <w:sz w:val="16"/>
                <w:szCs w:val="16"/>
              </w:rPr>
              <w:t xml:space="preserve">, </w:t>
            </w:r>
            <w:proofErr w:type="spellStart"/>
            <w:r w:rsidRPr="00985E5C">
              <w:rPr>
                <w:rFonts w:ascii="ITC Avant Garde" w:hAnsi="ITC Avant Garde"/>
                <w:sz w:val="16"/>
                <w:szCs w:val="16"/>
              </w:rPr>
              <w:t>Teocaltiche</w:t>
            </w:r>
            <w:proofErr w:type="spellEnd"/>
            <w:r w:rsidRPr="00985E5C">
              <w:rPr>
                <w:rFonts w:ascii="ITC Avant Garde" w:hAnsi="ITC Avant Garde"/>
                <w:sz w:val="16"/>
                <w:szCs w:val="16"/>
              </w:rPr>
              <w:t xml:space="preserve">, </w:t>
            </w:r>
            <w:proofErr w:type="spellStart"/>
            <w:r w:rsidRPr="00985E5C">
              <w:rPr>
                <w:rFonts w:ascii="ITC Avant Garde" w:hAnsi="ITC Avant Garde"/>
                <w:sz w:val="16"/>
                <w:szCs w:val="16"/>
              </w:rPr>
              <w:t>Huejuquilla</w:t>
            </w:r>
            <w:proofErr w:type="spellEnd"/>
            <w:r w:rsidRPr="00985E5C">
              <w:rPr>
                <w:rFonts w:ascii="ITC Avant Garde" w:hAnsi="ITC Avant Garde"/>
                <w:sz w:val="16"/>
                <w:szCs w:val="16"/>
              </w:rPr>
              <w:t xml:space="preserve"> el Alto, </w:t>
            </w:r>
            <w:proofErr w:type="spellStart"/>
            <w:r w:rsidRPr="00985E5C">
              <w:rPr>
                <w:rFonts w:ascii="ITC Avant Garde" w:hAnsi="ITC Avant Garde"/>
                <w:sz w:val="16"/>
                <w:szCs w:val="16"/>
              </w:rPr>
              <w:t>Mezquitic</w:t>
            </w:r>
            <w:proofErr w:type="spellEnd"/>
            <w:r w:rsidRPr="00985E5C">
              <w:rPr>
                <w:rFonts w:ascii="ITC Avant Garde" w:hAnsi="ITC Avant Garde"/>
                <w:sz w:val="16"/>
                <w:szCs w:val="16"/>
              </w:rPr>
              <w:t xml:space="preserve">, Villa Guerrero, Bolaños, Lagos de Moreno, Villa Hidalgo, Ojuelos de Jalisco y Encarnación de Díaz, en el Estado de Jalisco); </w:t>
            </w:r>
          </w:p>
          <w:p w:rsidR="00985E5C" w:rsidRPr="00985E5C" w:rsidRDefault="00985E5C" w:rsidP="00985E5C">
            <w:pPr>
              <w:pStyle w:val="Sinespaciado"/>
              <w:spacing w:after="200"/>
              <w:rPr>
                <w:rFonts w:ascii="ITC Avant Garde" w:hAnsi="ITC Avant Garde"/>
                <w:sz w:val="16"/>
                <w:szCs w:val="16"/>
              </w:rPr>
            </w:pPr>
            <w:r w:rsidRPr="00985E5C">
              <w:rPr>
                <w:rFonts w:ascii="ITC Avant Garde" w:hAnsi="ITC Avant Garde"/>
                <w:sz w:val="16"/>
                <w:szCs w:val="16"/>
              </w:rPr>
              <w:t xml:space="preserve">Región PCS 7 (los Estados de Aguascalientes, Guanajuato, Querétaro, San Luis Potosí y Zacatecas y los Municipios de </w:t>
            </w:r>
            <w:proofErr w:type="spellStart"/>
            <w:r w:rsidRPr="00985E5C">
              <w:rPr>
                <w:rFonts w:ascii="ITC Avant Garde" w:hAnsi="ITC Avant Garde"/>
                <w:sz w:val="16"/>
                <w:szCs w:val="16"/>
              </w:rPr>
              <w:t>Huejúcar</w:t>
            </w:r>
            <w:proofErr w:type="spellEnd"/>
            <w:r w:rsidRPr="00985E5C">
              <w:rPr>
                <w:rFonts w:ascii="ITC Avant Garde" w:hAnsi="ITC Avant Garde"/>
                <w:sz w:val="16"/>
                <w:szCs w:val="16"/>
              </w:rPr>
              <w:t xml:space="preserve">, Santa María de los Ángeles, </w:t>
            </w:r>
            <w:proofErr w:type="spellStart"/>
            <w:r w:rsidRPr="00985E5C">
              <w:rPr>
                <w:rFonts w:ascii="ITC Avant Garde" w:hAnsi="ITC Avant Garde"/>
                <w:sz w:val="16"/>
                <w:szCs w:val="16"/>
              </w:rPr>
              <w:t>Colotlán</w:t>
            </w:r>
            <w:proofErr w:type="spellEnd"/>
            <w:r w:rsidRPr="00985E5C">
              <w:rPr>
                <w:rFonts w:ascii="ITC Avant Garde" w:hAnsi="ITC Avant Garde"/>
                <w:sz w:val="16"/>
                <w:szCs w:val="16"/>
              </w:rPr>
              <w:t xml:space="preserve">, </w:t>
            </w:r>
            <w:proofErr w:type="spellStart"/>
            <w:r w:rsidRPr="00985E5C">
              <w:rPr>
                <w:rFonts w:ascii="ITC Avant Garde" w:hAnsi="ITC Avant Garde"/>
                <w:sz w:val="16"/>
                <w:szCs w:val="16"/>
              </w:rPr>
              <w:t>Teocaltiche</w:t>
            </w:r>
            <w:proofErr w:type="spellEnd"/>
            <w:r w:rsidRPr="00985E5C">
              <w:rPr>
                <w:rFonts w:ascii="ITC Avant Garde" w:hAnsi="ITC Avant Garde"/>
                <w:sz w:val="16"/>
                <w:szCs w:val="16"/>
              </w:rPr>
              <w:t xml:space="preserve">, </w:t>
            </w:r>
            <w:proofErr w:type="spellStart"/>
            <w:r w:rsidRPr="00985E5C">
              <w:rPr>
                <w:rFonts w:ascii="ITC Avant Garde" w:hAnsi="ITC Avant Garde"/>
                <w:sz w:val="16"/>
                <w:szCs w:val="16"/>
              </w:rPr>
              <w:t>Huejuquilla</w:t>
            </w:r>
            <w:proofErr w:type="spellEnd"/>
            <w:r w:rsidRPr="00985E5C">
              <w:rPr>
                <w:rFonts w:ascii="ITC Avant Garde" w:hAnsi="ITC Avant Garde"/>
                <w:sz w:val="16"/>
                <w:szCs w:val="16"/>
              </w:rPr>
              <w:t xml:space="preserve"> el Alto, </w:t>
            </w:r>
            <w:proofErr w:type="spellStart"/>
            <w:r w:rsidRPr="00985E5C">
              <w:rPr>
                <w:rFonts w:ascii="ITC Avant Garde" w:hAnsi="ITC Avant Garde"/>
                <w:sz w:val="16"/>
                <w:szCs w:val="16"/>
              </w:rPr>
              <w:t>Mezquitic</w:t>
            </w:r>
            <w:proofErr w:type="spellEnd"/>
            <w:r w:rsidRPr="00985E5C">
              <w:rPr>
                <w:rFonts w:ascii="ITC Avant Garde" w:hAnsi="ITC Avant Garde"/>
                <w:sz w:val="16"/>
                <w:szCs w:val="16"/>
              </w:rPr>
              <w:t xml:space="preserve">, Villa Guerrero, Bolaños, Lagos de Moreno, Villa Hidalgo, Ojuelos de Jalisco y Encarnación de Díaz en el Estado de Jalisco), y </w:t>
            </w:r>
          </w:p>
          <w:p w:rsidR="00985E5C" w:rsidRPr="00985E5C" w:rsidRDefault="00985E5C" w:rsidP="00985E5C">
            <w:pPr>
              <w:pStyle w:val="Sinespaciado"/>
              <w:spacing w:after="200"/>
              <w:rPr>
                <w:rFonts w:ascii="ITC Avant Garde" w:hAnsi="ITC Avant Garde"/>
                <w:sz w:val="16"/>
                <w:szCs w:val="16"/>
              </w:rPr>
            </w:pPr>
            <w:r w:rsidRPr="00985E5C">
              <w:rPr>
                <w:rFonts w:ascii="ITC Avant Garde" w:hAnsi="ITC Avant Garde"/>
                <w:sz w:val="16"/>
                <w:szCs w:val="16"/>
              </w:rPr>
              <w:t>Región PCS 9 (Ciudad de México y los Estados de México, Hidalgo y Morelos)</w:t>
            </w:r>
          </w:p>
        </w:tc>
      </w:tr>
      <w:tr w:rsidR="00FF1B09" w:rsidRPr="00630B24" w:rsidTr="00985E5C">
        <w:trPr>
          <w:jc w:val="center"/>
        </w:trPr>
        <w:tc>
          <w:tcPr>
            <w:tcW w:w="1276" w:type="dxa"/>
            <w:vAlign w:val="center"/>
          </w:tcPr>
          <w:p w:rsidR="00FF1B09" w:rsidRPr="00630B24" w:rsidRDefault="00FF1B09" w:rsidP="00BA1C2A">
            <w:pPr>
              <w:pStyle w:val="Prrafodelista"/>
              <w:ind w:left="0"/>
              <w:jc w:val="center"/>
              <w:rPr>
                <w:rFonts w:ascii="ITC Avant Garde" w:hAnsi="ITC Avant Garde"/>
                <w:sz w:val="16"/>
                <w:szCs w:val="16"/>
              </w:rPr>
            </w:pPr>
            <w:r w:rsidRPr="00630B24">
              <w:rPr>
                <w:rFonts w:ascii="ITC Avant Garde" w:hAnsi="ITC Avant Garde"/>
                <w:sz w:val="16"/>
                <w:szCs w:val="16"/>
              </w:rPr>
              <w:t>1760-1780</w:t>
            </w:r>
          </w:p>
        </w:tc>
        <w:tc>
          <w:tcPr>
            <w:tcW w:w="1320" w:type="dxa"/>
            <w:vAlign w:val="center"/>
          </w:tcPr>
          <w:p w:rsidR="00FF1B09" w:rsidRPr="00630B24" w:rsidRDefault="00FF1B09" w:rsidP="00BA1C2A">
            <w:pPr>
              <w:pStyle w:val="Prrafodelista"/>
              <w:ind w:left="0"/>
              <w:jc w:val="center"/>
              <w:rPr>
                <w:rFonts w:ascii="ITC Avant Garde" w:hAnsi="ITC Avant Garde"/>
                <w:sz w:val="16"/>
                <w:szCs w:val="16"/>
              </w:rPr>
            </w:pPr>
            <w:r w:rsidRPr="00630B24">
              <w:rPr>
                <w:rFonts w:ascii="ITC Avant Garde" w:hAnsi="ITC Avant Garde"/>
                <w:sz w:val="16"/>
                <w:szCs w:val="16"/>
              </w:rPr>
              <w:t>2160-2180</w:t>
            </w:r>
          </w:p>
        </w:tc>
        <w:tc>
          <w:tcPr>
            <w:tcW w:w="5625" w:type="dxa"/>
            <w:vAlign w:val="center"/>
          </w:tcPr>
          <w:p w:rsidR="00FF1B09" w:rsidRPr="00630B24" w:rsidRDefault="00FF1B09" w:rsidP="00BA1C2A">
            <w:pPr>
              <w:pStyle w:val="Prrafodelista"/>
              <w:ind w:left="0"/>
              <w:rPr>
                <w:rFonts w:ascii="ITC Avant Garde" w:hAnsi="ITC Avant Garde"/>
                <w:sz w:val="16"/>
                <w:szCs w:val="16"/>
              </w:rPr>
            </w:pPr>
            <w:r w:rsidRPr="00630B24">
              <w:rPr>
                <w:rFonts w:ascii="ITC Avant Garde" w:hAnsi="ITC Avant Garde"/>
                <w:sz w:val="16"/>
                <w:szCs w:val="16"/>
              </w:rPr>
              <w:t>Nacional</w:t>
            </w:r>
          </w:p>
        </w:tc>
      </w:tr>
    </w:tbl>
    <w:p w:rsidR="00C96CE9" w:rsidRDefault="00C96CE9" w:rsidP="00C96CE9">
      <w:pPr>
        <w:autoSpaceDE w:val="0"/>
        <w:autoSpaceDN w:val="0"/>
        <w:adjustRightInd w:val="0"/>
        <w:spacing w:after="0" w:line="240" w:lineRule="auto"/>
        <w:jc w:val="both"/>
        <w:rPr>
          <w:rFonts w:ascii="ITC Avant Garde" w:hAnsi="ITC Avant Garde"/>
          <w:bCs/>
        </w:rPr>
      </w:pPr>
    </w:p>
    <w:p w:rsidR="00060145" w:rsidRDefault="00C96CE9" w:rsidP="00985E5C">
      <w:pPr>
        <w:autoSpaceDE w:val="0"/>
        <w:autoSpaceDN w:val="0"/>
        <w:adjustRightInd w:val="0"/>
        <w:spacing w:before="240" w:after="0" w:line="240" w:lineRule="auto"/>
        <w:jc w:val="both"/>
        <w:rPr>
          <w:rFonts w:ascii="ITC Avant Garde" w:hAnsi="ITC Avant Garde"/>
          <w:bCs/>
        </w:rPr>
      </w:pPr>
      <w:r w:rsidRPr="00885127">
        <w:rPr>
          <w:rFonts w:ascii="ITC Avant Garde" w:hAnsi="ITC Avant Garde"/>
          <w:b/>
          <w:bCs/>
        </w:rPr>
        <w:t>SEGUNDO.-</w:t>
      </w:r>
      <w:r>
        <w:rPr>
          <w:rFonts w:ascii="ITC Avant Garde" w:hAnsi="ITC Avant Garde"/>
          <w:bCs/>
        </w:rPr>
        <w:t xml:space="preserve"> </w:t>
      </w:r>
      <w:r w:rsidR="00060145">
        <w:rPr>
          <w:rFonts w:ascii="ITC Avant Garde" w:hAnsi="ITC Avant Garde"/>
          <w:bCs/>
        </w:rPr>
        <w:t>El título de concesión a que se refiere el Resolutivo Primero anterior, queda vinculado al título de concesión para instalar, operar y explotar una red pública de telecomunicaciones otorgado a Radiomóvil Dipsa, S.A. de C.V., el 7 de octubre de 1998.</w:t>
      </w:r>
    </w:p>
    <w:p w:rsidR="00C96CE9" w:rsidRDefault="00060145" w:rsidP="00985E5C">
      <w:pPr>
        <w:autoSpaceDE w:val="0"/>
        <w:autoSpaceDN w:val="0"/>
        <w:adjustRightInd w:val="0"/>
        <w:spacing w:before="240" w:after="0" w:line="240" w:lineRule="auto"/>
        <w:jc w:val="both"/>
        <w:rPr>
          <w:rFonts w:ascii="ITC Avant Garde" w:hAnsi="ITC Avant Garde"/>
          <w:bCs/>
        </w:rPr>
      </w:pPr>
      <w:r w:rsidRPr="00060145">
        <w:rPr>
          <w:rFonts w:ascii="ITC Avant Garde" w:hAnsi="ITC Avant Garde"/>
          <w:b/>
          <w:bCs/>
        </w:rPr>
        <w:t>TERCERO.-</w:t>
      </w:r>
      <w:r>
        <w:rPr>
          <w:rFonts w:ascii="ITC Avant Garde" w:hAnsi="ITC Avant Garde"/>
          <w:bCs/>
        </w:rPr>
        <w:t xml:space="preserve"> </w:t>
      </w:r>
      <w:r w:rsidR="00CF47E1">
        <w:rPr>
          <w:rFonts w:ascii="ITC Avant Garde" w:hAnsi="ITC Avant Garde"/>
          <w:bCs/>
        </w:rPr>
        <w:t>El Comisionado Presidente del Instituto</w:t>
      </w:r>
      <w:r w:rsidR="008A16FD">
        <w:rPr>
          <w:rFonts w:ascii="ITC Avant Garde" w:hAnsi="ITC Avant Garde"/>
          <w:bCs/>
        </w:rPr>
        <w:t xml:space="preserve"> Federal de Telecomunicaciones</w:t>
      </w:r>
      <w:r w:rsidR="00CF47E1">
        <w:rPr>
          <w:rFonts w:ascii="ITC Avant Garde" w:hAnsi="ITC Avant Garde"/>
          <w:bCs/>
        </w:rPr>
        <w:t xml:space="preserve">, con base en las </w:t>
      </w:r>
      <w:r w:rsidR="008A16FD">
        <w:rPr>
          <w:rFonts w:ascii="ITC Avant Garde" w:hAnsi="ITC Avant Garde"/>
          <w:bCs/>
        </w:rPr>
        <w:t xml:space="preserve">facultades que le confiere el artículo 14 fracción X del Estatuto Orgánico del Instituto Federal de Telecomunicaciones, suscribirá el título de concesión </w:t>
      </w:r>
      <w:r>
        <w:rPr>
          <w:rFonts w:ascii="ITC Avant Garde" w:hAnsi="ITC Avant Garde"/>
          <w:bCs/>
        </w:rPr>
        <w:t>a que se refiere el Resolutivo Primero de la presente Resolución.</w:t>
      </w:r>
    </w:p>
    <w:p w:rsidR="008A16FD" w:rsidRDefault="00FF0E69" w:rsidP="00985E5C">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CUART</w:t>
      </w:r>
      <w:r w:rsidR="00C96CE9" w:rsidRPr="00F004BC">
        <w:rPr>
          <w:rFonts w:ascii="ITC Avant Garde" w:hAnsi="ITC Avant Garde"/>
          <w:b/>
          <w:bCs/>
          <w:lang w:val="es-ES_tradnl"/>
        </w:rPr>
        <w:t>O.-</w:t>
      </w:r>
      <w:r w:rsidR="00C96CE9">
        <w:rPr>
          <w:rFonts w:ascii="ITC Avant Garde" w:hAnsi="ITC Avant Garde"/>
          <w:bCs/>
          <w:lang w:val="es-ES_tradnl"/>
        </w:rPr>
        <w:t xml:space="preserve"> </w:t>
      </w:r>
      <w:r w:rsidR="008A16FD">
        <w:rPr>
          <w:rFonts w:ascii="ITC Avant Garde" w:hAnsi="ITC Avant Garde"/>
          <w:bCs/>
          <w:lang w:val="es-ES_tradnl"/>
        </w:rPr>
        <w:t xml:space="preserve">Se instruye a la Unidad de Concesiones y Servicios a notificar a </w:t>
      </w:r>
      <w:r w:rsidR="00FF1B09">
        <w:rPr>
          <w:rFonts w:ascii="ITC Avant Garde" w:hAnsi="ITC Avant Garde"/>
          <w:bCs/>
          <w:lang w:val="es-ES_tradnl"/>
        </w:rPr>
        <w:t>Radiomóvil Dipsa, S.A.</w:t>
      </w:r>
      <w:r w:rsidR="008A16FD">
        <w:rPr>
          <w:rFonts w:ascii="ITC Avant Garde" w:hAnsi="ITC Avant Garde"/>
          <w:bCs/>
          <w:lang w:val="es-ES_tradnl"/>
        </w:rPr>
        <w:t xml:space="preserve"> de C.V. el contenido de</w:t>
      </w:r>
      <w:r>
        <w:rPr>
          <w:rFonts w:ascii="ITC Avant Garde" w:hAnsi="ITC Avant Garde"/>
          <w:bCs/>
          <w:lang w:val="es-ES_tradnl"/>
        </w:rPr>
        <w:t xml:space="preserve"> </w:t>
      </w:r>
      <w:r w:rsidR="008A16FD">
        <w:rPr>
          <w:rFonts w:ascii="ITC Avant Garde" w:hAnsi="ITC Avant Garde"/>
          <w:bCs/>
          <w:lang w:val="es-ES_tradnl"/>
        </w:rPr>
        <w:t>l</w:t>
      </w:r>
      <w:r>
        <w:rPr>
          <w:rFonts w:ascii="ITC Avant Garde" w:hAnsi="ITC Avant Garde"/>
          <w:bCs/>
          <w:lang w:val="es-ES_tradnl"/>
        </w:rPr>
        <w:t>a</w:t>
      </w:r>
      <w:r w:rsidR="008A16FD">
        <w:rPr>
          <w:rFonts w:ascii="ITC Avant Garde" w:hAnsi="ITC Avant Garde"/>
          <w:bCs/>
          <w:lang w:val="es-ES_tradnl"/>
        </w:rPr>
        <w:t xml:space="preserve"> presente </w:t>
      </w:r>
      <w:r>
        <w:rPr>
          <w:rFonts w:ascii="ITC Avant Garde" w:hAnsi="ITC Avant Garde"/>
          <w:bCs/>
          <w:lang w:val="es-ES_tradnl"/>
        </w:rPr>
        <w:t>Resolución</w:t>
      </w:r>
      <w:r w:rsidR="008A16FD">
        <w:rPr>
          <w:rFonts w:ascii="ITC Avant Garde" w:hAnsi="ITC Avant Garde"/>
          <w:bCs/>
          <w:lang w:val="es-ES_tradnl"/>
        </w:rPr>
        <w:t xml:space="preserve"> y a hacer entrega del título de concesión para usar, aprovechar y explotar bandas de frecuencias</w:t>
      </w:r>
      <w:r>
        <w:rPr>
          <w:rFonts w:ascii="ITC Avant Garde" w:hAnsi="ITC Avant Garde"/>
          <w:bCs/>
          <w:lang w:val="es-ES_tradnl"/>
        </w:rPr>
        <w:t xml:space="preserve"> a que se refiere el Resolutivo Primero.</w:t>
      </w:r>
    </w:p>
    <w:p w:rsidR="00C96CE9" w:rsidRDefault="00FF0E69" w:rsidP="00985E5C">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QUINT</w:t>
      </w:r>
      <w:r w:rsidR="00C96CE9" w:rsidRPr="00EF31F7">
        <w:rPr>
          <w:rFonts w:ascii="ITC Avant Garde" w:hAnsi="ITC Avant Garde"/>
          <w:b/>
          <w:bCs/>
          <w:lang w:val="es-ES_tradnl"/>
        </w:rPr>
        <w:t>O.-</w:t>
      </w:r>
      <w:r w:rsidR="00C96CE9">
        <w:rPr>
          <w:rFonts w:ascii="ITC Avant Garde" w:hAnsi="ITC Avant Garde"/>
          <w:bCs/>
          <w:lang w:val="es-ES_tradnl"/>
        </w:rPr>
        <w:t xml:space="preserve"> </w:t>
      </w:r>
      <w:r w:rsidR="008A16FD">
        <w:rPr>
          <w:rFonts w:ascii="ITC Avant Garde" w:hAnsi="ITC Avant Garde"/>
          <w:bCs/>
          <w:lang w:val="es-ES_tradnl"/>
        </w:rPr>
        <w:t>Inscríbase en el Registro Público de Concesiones el título de concesión para usar, aprovechar y explotar bandas de frecuencias</w:t>
      </w:r>
      <w:r>
        <w:rPr>
          <w:rFonts w:ascii="ITC Avant Garde" w:hAnsi="ITC Avant Garde"/>
          <w:bCs/>
          <w:lang w:val="es-ES_tradnl"/>
        </w:rPr>
        <w:t xml:space="preserve"> señalado en el Resolutivo Primero</w:t>
      </w:r>
      <w:r w:rsidR="008A16FD">
        <w:rPr>
          <w:rFonts w:ascii="ITC Avant Garde" w:hAnsi="ITC Avant Garde"/>
          <w:bCs/>
          <w:lang w:val="es-ES_tradnl"/>
        </w:rPr>
        <w:t>, una vez que sea debidamente entregado al interesado.</w:t>
      </w:r>
    </w:p>
    <w:p w:rsidR="00024744" w:rsidRDefault="00FF0E69" w:rsidP="00985E5C">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lastRenderedPageBreak/>
        <w:t>SEXT</w:t>
      </w:r>
      <w:r w:rsidR="00024744" w:rsidRPr="00EF31F7">
        <w:rPr>
          <w:rFonts w:ascii="ITC Avant Garde" w:hAnsi="ITC Avant Garde"/>
          <w:b/>
          <w:bCs/>
          <w:lang w:val="es-ES_tradnl"/>
        </w:rPr>
        <w:t>O.-</w:t>
      </w:r>
      <w:r w:rsidR="00024744">
        <w:rPr>
          <w:rFonts w:ascii="ITC Avant Garde" w:hAnsi="ITC Avant Garde"/>
          <w:bCs/>
          <w:lang w:val="es-ES_tradnl"/>
        </w:rPr>
        <w:t xml:space="preserve"> Se instruye a la Unidad de Espectro Radioeléctrico a realizar las </w:t>
      </w:r>
      <w:r w:rsidR="000A4E39">
        <w:rPr>
          <w:rFonts w:ascii="ITC Avant Garde" w:hAnsi="ITC Avant Garde"/>
          <w:bCs/>
          <w:lang w:val="es-ES_tradnl"/>
        </w:rPr>
        <w:t xml:space="preserve">acciones </w:t>
      </w:r>
      <w:r w:rsidR="00024744">
        <w:rPr>
          <w:rFonts w:ascii="ITC Avant Garde" w:hAnsi="ITC Avant Garde"/>
          <w:bCs/>
          <w:lang w:val="es-ES_tradnl"/>
        </w:rPr>
        <w:t xml:space="preserve">necesarias para la devolución de la garantía de seriedad al participante ganador </w:t>
      </w:r>
      <w:r w:rsidR="00FF1B09">
        <w:rPr>
          <w:rFonts w:ascii="ITC Avant Garde" w:hAnsi="ITC Avant Garde"/>
          <w:bCs/>
          <w:lang w:val="es-ES_tradnl"/>
        </w:rPr>
        <w:t>Radiomóvil Dipsa, S.A.</w:t>
      </w:r>
      <w:r w:rsidR="00024744">
        <w:rPr>
          <w:rFonts w:ascii="ITC Avant Garde" w:hAnsi="ITC Avant Garde"/>
          <w:bCs/>
          <w:lang w:val="es-ES_tradnl"/>
        </w:rPr>
        <w:t xml:space="preserve"> de C.V.</w:t>
      </w:r>
    </w:p>
    <w:p w:rsidR="00030ADE" w:rsidRDefault="00CD50D3" w:rsidP="00030ADE">
      <w:pPr>
        <w:pStyle w:val="Sinespaciado"/>
        <w:spacing w:before="240"/>
        <w:jc w:val="both"/>
      </w:pPr>
      <w:r w:rsidRPr="00366770">
        <w:rPr>
          <w:rFonts w:ascii="ITC Avant Garde" w:hAnsi="ITC Avant Garde"/>
          <w:sz w:val="14"/>
          <w:szCs w:val="21"/>
        </w:rPr>
        <w:t>La presente Resolución fue aprobada por el Pleno del Instituto Federal de Telecomunicaciones en su VIII Sesión Extraordinaria celebrada el 25 de mayo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w:t>
      </w:r>
      <w:r>
        <w:rPr>
          <w:rFonts w:ascii="ITC Avant Garde" w:hAnsi="ITC Avant Garde"/>
          <w:sz w:val="14"/>
          <w:szCs w:val="21"/>
        </w:rPr>
        <w:t>ante Acuerdo P/IFT/EXT/250516/14</w:t>
      </w:r>
      <w:r w:rsidRPr="00366770">
        <w:rPr>
          <w:rFonts w:ascii="ITC Avant Garde" w:hAnsi="ITC Avant Garde"/>
          <w:sz w:val="14"/>
          <w:szCs w:val="21"/>
        </w:rPr>
        <w:t>.</w:t>
      </w:r>
    </w:p>
    <w:sectPr w:rsidR="00030ADE" w:rsidSect="001B413F">
      <w:headerReference w:type="even" r:id="rId7"/>
      <w:footerReference w:type="default" r:id="rId8"/>
      <w:headerReference w:type="first" r:id="rId9"/>
      <w:pgSz w:w="12240" w:h="15840"/>
      <w:pgMar w:top="1985"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0B" w:rsidRDefault="00C5400B">
      <w:pPr>
        <w:spacing w:after="0" w:line="240" w:lineRule="auto"/>
      </w:pPr>
      <w:r>
        <w:separator/>
      </w:r>
    </w:p>
  </w:endnote>
  <w:endnote w:type="continuationSeparator" w:id="0">
    <w:p w:rsidR="00C5400B" w:rsidRDefault="00C5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D" w:rsidRPr="004C7979" w:rsidRDefault="00D44A32"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F0B93">
      <w:rPr>
        <w:rFonts w:ascii="ITC Avant Garde" w:hAnsi="ITC Avant Garde" w:cs="Calibri"/>
        <w:noProof/>
        <w:sz w:val="18"/>
        <w:szCs w:val="18"/>
      </w:rPr>
      <w:t>6</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F0B93">
      <w:rPr>
        <w:rFonts w:ascii="ITC Avant Garde" w:hAnsi="ITC Avant Garde" w:cs="Calibri"/>
        <w:noProof/>
        <w:sz w:val="18"/>
        <w:szCs w:val="18"/>
      </w:rPr>
      <w:t>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0B" w:rsidRDefault="00C5400B">
      <w:pPr>
        <w:spacing w:after="0" w:line="240" w:lineRule="auto"/>
      </w:pPr>
      <w:r>
        <w:separator/>
      </w:r>
    </w:p>
  </w:footnote>
  <w:footnote w:type="continuationSeparator" w:id="0">
    <w:p w:rsidR="00C5400B" w:rsidRDefault="00C54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D" w:rsidRDefault="00C5400B">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0D" w:rsidRPr="000F5E4B" w:rsidRDefault="00C5400B">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E2C1D"/>
    <w:multiLevelType w:val="hybridMultilevel"/>
    <w:tmpl w:val="FE281046"/>
    <w:lvl w:ilvl="0" w:tplc="13E8EF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EE7362"/>
    <w:multiLevelType w:val="hybridMultilevel"/>
    <w:tmpl w:val="0C6CE6D4"/>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611F33"/>
    <w:multiLevelType w:val="hybridMultilevel"/>
    <w:tmpl w:val="3C4E00AE"/>
    <w:lvl w:ilvl="0" w:tplc="753022D2">
      <w:start w:val="1"/>
      <w:numFmt w:val="decimal"/>
      <w:lvlText w:val="%1."/>
      <w:lvlJc w:val="left"/>
      <w:pPr>
        <w:ind w:left="1773" w:hanging="36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E9"/>
    <w:rsid w:val="00001071"/>
    <w:rsid w:val="0000447F"/>
    <w:rsid w:val="00016600"/>
    <w:rsid w:val="00024744"/>
    <w:rsid w:val="00030ADE"/>
    <w:rsid w:val="00060145"/>
    <w:rsid w:val="000668D2"/>
    <w:rsid w:val="0009394C"/>
    <w:rsid w:val="000A0EAF"/>
    <w:rsid w:val="000A4E39"/>
    <w:rsid w:val="000A57E2"/>
    <w:rsid w:val="000A680E"/>
    <w:rsid w:val="000B1FBC"/>
    <w:rsid w:val="000C7402"/>
    <w:rsid w:val="000D19AE"/>
    <w:rsid w:val="00151AFE"/>
    <w:rsid w:val="001B413F"/>
    <w:rsid w:val="001E27EC"/>
    <w:rsid w:val="002733F9"/>
    <w:rsid w:val="002D57D7"/>
    <w:rsid w:val="003050BB"/>
    <w:rsid w:val="00322F46"/>
    <w:rsid w:val="00333A26"/>
    <w:rsid w:val="00345D98"/>
    <w:rsid w:val="0034686C"/>
    <w:rsid w:val="00353CF2"/>
    <w:rsid w:val="003649C6"/>
    <w:rsid w:val="00375B60"/>
    <w:rsid w:val="003B5FE7"/>
    <w:rsid w:val="003F278E"/>
    <w:rsid w:val="00404B7A"/>
    <w:rsid w:val="0044361D"/>
    <w:rsid w:val="00443C12"/>
    <w:rsid w:val="00443E31"/>
    <w:rsid w:val="0047383B"/>
    <w:rsid w:val="00474BC3"/>
    <w:rsid w:val="004D41DB"/>
    <w:rsid w:val="00555DBE"/>
    <w:rsid w:val="005D7EBE"/>
    <w:rsid w:val="005E19E6"/>
    <w:rsid w:val="00630B24"/>
    <w:rsid w:val="00642466"/>
    <w:rsid w:val="00674F9F"/>
    <w:rsid w:val="00693E11"/>
    <w:rsid w:val="006B0F3E"/>
    <w:rsid w:val="006C422B"/>
    <w:rsid w:val="006C5048"/>
    <w:rsid w:val="00703366"/>
    <w:rsid w:val="00770333"/>
    <w:rsid w:val="00770DB2"/>
    <w:rsid w:val="00777E64"/>
    <w:rsid w:val="00783597"/>
    <w:rsid w:val="00783E2C"/>
    <w:rsid w:val="007D0140"/>
    <w:rsid w:val="007E79DA"/>
    <w:rsid w:val="00820D8B"/>
    <w:rsid w:val="00831C38"/>
    <w:rsid w:val="0087578E"/>
    <w:rsid w:val="0088151F"/>
    <w:rsid w:val="008A0C38"/>
    <w:rsid w:val="008A16FD"/>
    <w:rsid w:val="008B00AD"/>
    <w:rsid w:val="008B4C62"/>
    <w:rsid w:val="008C5C64"/>
    <w:rsid w:val="008D4278"/>
    <w:rsid w:val="00972D72"/>
    <w:rsid w:val="00985E5C"/>
    <w:rsid w:val="009C1984"/>
    <w:rsid w:val="009D22F4"/>
    <w:rsid w:val="009F0B93"/>
    <w:rsid w:val="00A106A2"/>
    <w:rsid w:val="00A17C7D"/>
    <w:rsid w:val="00A24E92"/>
    <w:rsid w:val="00A55C71"/>
    <w:rsid w:val="00A8018B"/>
    <w:rsid w:val="00A824A6"/>
    <w:rsid w:val="00AE71D4"/>
    <w:rsid w:val="00AF2FBC"/>
    <w:rsid w:val="00B0179A"/>
    <w:rsid w:val="00B27756"/>
    <w:rsid w:val="00B715B5"/>
    <w:rsid w:val="00B83B18"/>
    <w:rsid w:val="00BB33E7"/>
    <w:rsid w:val="00BC14F7"/>
    <w:rsid w:val="00C11034"/>
    <w:rsid w:val="00C5400B"/>
    <w:rsid w:val="00C5765B"/>
    <w:rsid w:val="00C641BB"/>
    <w:rsid w:val="00C96CE9"/>
    <w:rsid w:val="00CB6A7D"/>
    <w:rsid w:val="00CD50D3"/>
    <w:rsid w:val="00CF47E1"/>
    <w:rsid w:val="00CF7BD8"/>
    <w:rsid w:val="00D048E8"/>
    <w:rsid w:val="00D12C6A"/>
    <w:rsid w:val="00D3171F"/>
    <w:rsid w:val="00D319B8"/>
    <w:rsid w:val="00D44A32"/>
    <w:rsid w:val="00D6216A"/>
    <w:rsid w:val="00D66D43"/>
    <w:rsid w:val="00DE7697"/>
    <w:rsid w:val="00DF420B"/>
    <w:rsid w:val="00E1589C"/>
    <w:rsid w:val="00E5155C"/>
    <w:rsid w:val="00E74AEE"/>
    <w:rsid w:val="00E75D15"/>
    <w:rsid w:val="00E86600"/>
    <w:rsid w:val="00ED3365"/>
    <w:rsid w:val="00EE7925"/>
    <w:rsid w:val="00EF47A2"/>
    <w:rsid w:val="00F1222A"/>
    <w:rsid w:val="00F245E1"/>
    <w:rsid w:val="00F32FFA"/>
    <w:rsid w:val="00F474AF"/>
    <w:rsid w:val="00F9346D"/>
    <w:rsid w:val="00FB6145"/>
    <w:rsid w:val="00FF0E69"/>
    <w:rsid w:val="00FF1B09"/>
    <w:rsid w:val="00FF3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A098EEC-6993-44BF-9EF1-FC2D3A9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E9"/>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30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30A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C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CE9"/>
    <w:rPr>
      <w:rFonts w:ascii="Calibri" w:eastAsia="Calibri" w:hAnsi="Calibri" w:cs="Times New Roman"/>
    </w:rPr>
  </w:style>
  <w:style w:type="character" w:customStyle="1" w:styleId="apple-converted-space">
    <w:name w:val="apple-converted-space"/>
    <w:basedOn w:val="Fuentedeprrafopredeter"/>
    <w:rsid w:val="00C96CE9"/>
  </w:style>
  <w:style w:type="table" w:styleId="Tablaconcuadrcula">
    <w:name w:val="Table Grid"/>
    <w:basedOn w:val="Tablanormal"/>
    <w:uiPriority w:val="39"/>
    <w:rsid w:val="00C96CE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6216A"/>
    <w:pPr>
      <w:ind w:left="720"/>
      <w:contextualSpacing/>
    </w:pPr>
  </w:style>
  <w:style w:type="character" w:customStyle="1" w:styleId="PrrafodelistaCar">
    <w:name w:val="Párrafo de lista Car"/>
    <w:link w:val="Prrafodelista"/>
    <w:uiPriority w:val="34"/>
    <w:locked/>
    <w:rsid w:val="003F278E"/>
    <w:rPr>
      <w:rFonts w:ascii="Calibri" w:eastAsia="Calibri" w:hAnsi="Calibri" w:cs="Times New Roman"/>
    </w:rPr>
  </w:style>
  <w:style w:type="paragraph" w:styleId="Textodeglobo">
    <w:name w:val="Balloon Text"/>
    <w:basedOn w:val="Normal"/>
    <w:link w:val="TextodegloboCar"/>
    <w:uiPriority w:val="99"/>
    <w:semiHidden/>
    <w:unhideWhenUsed/>
    <w:rsid w:val="006C50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048"/>
    <w:rPr>
      <w:rFonts w:ascii="Segoe UI" w:eastAsia="Calibri" w:hAnsi="Segoe UI" w:cs="Segoe UI"/>
      <w:sz w:val="18"/>
      <w:szCs w:val="18"/>
    </w:rPr>
  </w:style>
  <w:style w:type="paragraph" w:styleId="Piedepgina">
    <w:name w:val="footer"/>
    <w:basedOn w:val="Normal"/>
    <w:link w:val="PiedepginaCar"/>
    <w:uiPriority w:val="99"/>
    <w:unhideWhenUsed/>
    <w:rsid w:val="001B41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413F"/>
    <w:rPr>
      <w:rFonts w:ascii="Calibri" w:eastAsia="Calibri" w:hAnsi="Calibri" w:cs="Times New Roman"/>
    </w:rPr>
  </w:style>
  <w:style w:type="paragraph" w:styleId="Sinespaciado">
    <w:name w:val="No Spacing"/>
    <w:link w:val="SinespaciadoCar"/>
    <w:uiPriority w:val="1"/>
    <w:qFormat/>
    <w:rsid w:val="00CD50D3"/>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CD50D3"/>
    <w:rPr>
      <w:rFonts w:ascii="Calibri" w:eastAsia="Calibri" w:hAnsi="Calibri" w:cs="Times New Roman"/>
    </w:rPr>
  </w:style>
  <w:style w:type="paragraph" w:styleId="NormalWeb">
    <w:name w:val="Normal (Web)"/>
    <w:basedOn w:val="Normal"/>
    <w:uiPriority w:val="99"/>
    <w:unhideWhenUsed/>
    <w:rsid w:val="00CD50D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030AD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30A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5163">
      <w:bodyDiv w:val="1"/>
      <w:marLeft w:val="0"/>
      <w:marRight w:val="0"/>
      <w:marTop w:val="0"/>
      <w:marBottom w:val="0"/>
      <w:divBdr>
        <w:top w:val="none" w:sz="0" w:space="0" w:color="auto"/>
        <w:left w:val="none" w:sz="0" w:space="0" w:color="auto"/>
        <w:bottom w:val="none" w:sz="0" w:space="0" w:color="auto"/>
        <w:right w:val="none" w:sz="0" w:space="0" w:color="auto"/>
      </w:divBdr>
    </w:div>
    <w:div w:id="1155297783">
      <w:bodyDiv w:val="1"/>
      <w:marLeft w:val="0"/>
      <w:marRight w:val="0"/>
      <w:marTop w:val="0"/>
      <w:marBottom w:val="0"/>
      <w:divBdr>
        <w:top w:val="none" w:sz="0" w:space="0" w:color="auto"/>
        <w:left w:val="none" w:sz="0" w:space="0" w:color="auto"/>
        <w:bottom w:val="none" w:sz="0" w:space="0" w:color="auto"/>
        <w:right w:val="none" w:sz="0" w:space="0" w:color="auto"/>
      </w:divBdr>
    </w:div>
    <w:div w:id="15733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2611</Words>
  <Characters>14361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Nathali Gomez Rodriguez</dc:creator>
  <cp:keywords/>
  <dc:description/>
  <cp:lastModifiedBy>Maria del Consuelo Gonzalez Moreno</cp:lastModifiedBy>
  <cp:revision>10</cp:revision>
  <dcterms:created xsi:type="dcterms:W3CDTF">2016-05-25T22:17:00Z</dcterms:created>
  <dcterms:modified xsi:type="dcterms:W3CDTF">2016-06-06T21:20:00Z</dcterms:modified>
</cp:coreProperties>
</file>