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B7F" w:rsidRPr="00C63E22" w:rsidRDefault="00606E07" w:rsidP="00C63E22">
      <w:pPr>
        <w:pStyle w:val="1TitPrin"/>
      </w:pPr>
      <w:r w:rsidRPr="00C63E22">
        <w:t>RESOLUCIÓN MEDIANTE</w:t>
      </w:r>
      <w:r w:rsidR="00A21167" w:rsidRPr="00C63E22">
        <w:t xml:space="preserve"> LA CUAL EL PLENO DEL INSTITUTO FEDERAL DE TELECOMUNICACIONES </w:t>
      </w:r>
      <w:r w:rsidR="0056785D" w:rsidRPr="00C63E22">
        <w:t xml:space="preserve">AUTORIZA </w:t>
      </w:r>
      <w:r w:rsidR="006C3758" w:rsidRPr="00C63E22">
        <w:t>LA PRESTACIÓN DE</w:t>
      </w:r>
      <w:r w:rsidR="00FC2325" w:rsidRPr="00C63E22">
        <w:t>L SERVICIO DE ACCESO INALÁMBRICO</w:t>
      </w:r>
      <w:r w:rsidR="00FB24F6" w:rsidRPr="00C63E22">
        <w:t xml:space="preserve"> </w:t>
      </w:r>
      <w:r w:rsidR="00A6403A" w:rsidRPr="00C63E22">
        <w:t xml:space="preserve">EN </w:t>
      </w:r>
      <w:r w:rsidR="00594AD3" w:rsidRPr="00C63E22">
        <w:t>EL</w:t>
      </w:r>
      <w:r w:rsidR="00E827BA" w:rsidRPr="00C63E22">
        <w:t xml:space="preserve"> </w:t>
      </w:r>
      <w:r w:rsidR="00594AD3" w:rsidRPr="00C63E22">
        <w:t>TÍTULO</w:t>
      </w:r>
      <w:r w:rsidR="00E827BA" w:rsidRPr="00C63E22">
        <w:t xml:space="preserve"> </w:t>
      </w:r>
      <w:r w:rsidR="00594AD3" w:rsidRPr="00C63E22">
        <w:t xml:space="preserve">DE CONCESIÓN PARA USAR, APROVECHAR Y EXPLOTAR BANDAS DE FRECUENCIAS DEL ESPECTRO RADIOELÉCTRICO PARA USOS DETERMINADOS, MODIFICADO Y PRORROGADO EL 6 DE SEPTIEMBRE DE 2013 POR LA SECRETARÍA DE COMUNICACIONES Y TRANSPORTES, A FAVOR DE </w:t>
      </w:r>
      <w:r w:rsidR="00B10E06" w:rsidRPr="00C63E22">
        <w:t>TELE COMARCA</w:t>
      </w:r>
      <w:r w:rsidR="00594AD3" w:rsidRPr="00C63E22">
        <w:t xml:space="preserve">, S.A. DE </w:t>
      </w:r>
      <w:r w:rsidR="00E827BA" w:rsidRPr="00C63E22">
        <w:t>C.V.</w:t>
      </w:r>
      <w:r w:rsidR="00FC2325" w:rsidRPr="00C63E22">
        <w:t xml:space="preserve"> </w:t>
      </w:r>
    </w:p>
    <w:p w:rsidR="00642B7F" w:rsidRPr="00C63E22" w:rsidRDefault="00A21167" w:rsidP="00C63E22">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C63E22">
        <w:rPr>
          <w:rFonts w:ascii="ITC Avant Garde" w:eastAsia="Times New Roman" w:hAnsi="ITC Avant Garde" w:cs="Arial"/>
          <w:b/>
          <w:bCs/>
          <w:color w:val="auto"/>
          <w:sz w:val="22"/>
          <w:szCs w:val="22"/>
        </w:rPr>
        <w:t>ANTECEDENTES</w:t>
      </w:r>
    </w:p>
    <w:p w:rsidR="00642B7F" w:rsidRDefault="009A5E55" w:rsidP="00642B7F">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t xml:space="preserve">Decreto de Reforma Constitucional. </w:t>
      </w:r>
      <w:r w:rsidRPr="004E69E8">
        <w:rPr>
          <w:rFonts w:ascii="ITC Avant Garde" w:hAnsi="ITC Avant Garde"/>
          <w:bCs/>
          <w:color w:val="000000"/>
          <w:lang w:eastAsia="es-MX"/>
        </w:rPr>
        <w:t>Con fecha 11 de junio de 2013, se publicó en el Diario Oficial de la Federación el “</w:t>
      </w:r>
      <w:r w:rsidRPr="004E69E8">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4E69E8">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rsidR="00642B7F" w:rsidRDefault="00DE16A4" w:rsidP="00642B7F">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t>Otorgamiento de la</w:t>
      </w:r>
      <w:r w:rsidR="007E2DB6" w:rsidRPr="004E69E8">
        <w:rPr>
          <w:rFonts w:ascii="ITC Avant Garde" w:hAnsi="ITC Avant Garde"/>
          <w:b/>
          <w:bCs/>
          <w:color w:val="000000"/>
          <w:lang w:eastAsia="es-MX"/>
        </w:rPr>
        <w:t>s Concesiones</w:t>
      </w:r>
      <w:r w:rsidRPr="004E69E8">
        <w:rPr>
          <w:rFonts w:ascii="ITC Avant Garde" w:hAnsi="ITC Avant Garde"/>
          <w:b/>
          <w:bCs/>
          <w:color w:val="000000"/>
          <w:lang w:eastAsia="es-MX"/>
        </w:rPr>
        <w:t>.</w:t>
      </w:r>
      <w:r w:rsidRPr="004E69E8">
        <w:rPr>
          <w:rFonts w:ascii="ITC Avant Garde" w:hAnsi="ITC Avant Garde"/>
          <w:bCs/>
          <w:color w:val="000000"/>
          <w:lang w:eastAsia="es-MX"/>
        </w:rPr>
        <w:t xml:space="preserve"> El 6 de septiembre de 2013, la Secretaría </w:t>
      </w:r>
      <w:r w:rsidR="00D355D6" w:rsidRPr="004E69E8">
        <w:rPr>
          <w:rFonts w:ascii="ITC Avant Garde" w:hAnsi="ITC Avant Garde"/>
          <w:bCs/>
          <w:color w:val="000000"/>
          <w:lang w:eastAsia="es-MX"/>
        </w:rPr>
        <w:t xml:space="preserve">de Comunicaciones y Transportes </w:t>
      </w:r>
      <w:r w:rsidR="00A853DC" w:rsidRPr="008D738A">
        <w:rPr>
          <w:rFonts w:ascii="ITC Avant Garde" w:hAnsi="ITC Avant Garde"/>
          <w:bCs/>
          <w:color w:val="000000"/>
          <w:lang w:eastAsia="es-MX"/>
        </w:rPr>
        <w:t xml:space="preserve">otorgó a favor de </w:t>
      </w:r>
      <w:r w:rsidR="007D514E" w:rsidRPr="008D738A">
        <w:rPr>
          <w:rFonts w:ascii="ITC Avant Garde" w:hAnsi="ITC Avant Garde"/>
          <w:bCs/>
          <w:color w:val="000000"/>
          <w:lang w:eastAsia="es-MX"/>
        </w:rPr>
        <w:t>Tele Comarca, S.A. de C.V. una Modificació</w:t>
      </w:r>
      <w:r w:rsidR="007D514E">
        <w:rPr>
          <w:rFonts w:ascii="ITC Avant Garde" w:hAnsi="ITC Avant Garde"/>
          <w:bCs/>
          <w:color w:val="000000"/>
          <w:lang w:eastAsia="es-MX"/>
        </w:rPr>
        <w:t>n</w:t>
      </w:r>
      <w:r w:rsidR="007D514E" w:rsidRPr="008D738A">
        <w:rPr>
          <w:rFonts w:ascii="ITC Avant Garde" w:hAnsi="ITC Avant Garde"/>
          <w:bCs/>
          <w:color w:val="000000"/>
          <w:lang w:eastAsia="es-MX"/>
        </w:rPr>
        <w:t xml:space="preserve"> y Prórroga de</w:t>
      </w:r>
      <w:r w:rsidR="007D514E">
        <w:rPr>
          <w:rFonts w:ascii="ITC Avant Garde" w:hAnsi="ITC Avant Garde"/>
          <w:bCs/>
          <w:color w:val="000000"/>
          <w:lang w:eastAsia="es-MX"/>
        </w:rPr>
        <w:t xml:space="preserve"> la </w:t>
      </w:r>
      <w:r w:rsidR="007D514E" w:rsidRPr="008D738A">
        <w:rPr>
          <w:rFonts w:ascii="ITC Avant Garde" w:hAnsi="ITC Avant Garde"/>
          <w:bCs/>
          <w:color w:val="000000"/>
          <w:lang w:eastAsia="es-MX"/>
        </w:rPr>
        <w:t>Concesión para usar, aprovechar y explotar bandas de frecuencias del espectro radioeléctrico para usos determinados (la “Concesión de Bandas”), y una Modificación y Prórroga de la Concesión para instalar, operar y explotar una red pú</w:t>
      </w:r>
      <w:r w:rsidR="007D514E">
        <w:rPr>
          <w:rFonts w:ascii="ITC Avant Garde" w:hAnsi="ITC Avant Garde"/>
          <w:bCs/>
          <w:color w:val="000000"/>
          <w:lang w:eastAsia="es-MX"/>
        </w:rPr>
        <w:t>blica de telecomunicaciones (la</w:t>
      </w:r>
      <w:r w:rsidR="007D514E" w:rsidRPr="008D738A">
        <w:rPr>
          <w:rFonts w:ascii="ITC Avant Garde" w:hAnsi="ITC Avant Garde"/>
          <w:bCs/>
          <w:color w:val="000000"/>
          <w:lang w:eastAsia="es-MX"/>
        </w:rPr>
        <w:t xml:space="preserve"> “Concesi</w:t>
      </w:r>
      <w:r w:rsidR="007D514E">
        <w:rPr>
          <w:rFonts w:ascii="ITC Avant Garde" w:hAnsi="ITC Avant Garde"/>
          <w:bCs/>
          <w:color w:val="000000"/>
          <w:lang w:eastAsia="es-MX"/>
        </w:rPr>
        <w:t xml:space="preserve">ón </w:t>
      </w:r>
      <w:r w:rsidR="007D514E" w:rsidRPr="008D738A">
        <w:rPr>
          <w:rFonts w:ascii="ITC Avant Garde" w:hAnsi="ITC Avant Garde"/>
          <w:bCs/>
          <w:color w:val="000000"/>
          <w:lang w:eastAsia="es-MX"/>
        </w:rPr>
        <w:t>de Red”), de conformidad con la siguiente tabla</w:t>
      </w:r>
      <w:r w:rsidR="005B771E" w:rsidRPr="004E69E8">
        <w:rPr>
          <w:rFonts w:ascii="ITC Avant Garde" w:hAnsi="ITC Avant Garde"/>
          <w:bCs/>
          <w:color w:val="000000"/>
          <w:lang w:eastAsia="es-MX"/>
        </w:rPr>
        <w:t>:</w:t>
      </w:r>
    </w:p>
    <w:p w:rsidR="00642B7F" w:rsidRDefault="00642B7F" w:rsidP="00642B7F">
      <w:pPr>
        <w:spacing w:afterLines="120" w:after="288" w:line="240" w:lineRule="auto"/>
        <w:jc w:val="both"/>
        <w:rPr>
          <w:rFonts w:ascii="ITC Avant Garde" w:hAnsi="ITC Avant Garde"/>
          <w:bCs/>
          <w:color w:val="000000"/>
          <w:lang w:eastAsia="es-MX"/>
        </w:rPr>
      </w:pPr>
      <w:r>
        <w:rPr>
          <w:rFonts w:ascii="ITC Avant Garde" w:hAnsi="ITC Avant Garde"/>
          <w:bCs/>
          <w:noProof/>
          <w:color w:val="000000"/>
          <w:lang w:eastAsia="es-MX"/>
        </w:rPr>
        <w:drawing>
          <wp:inline distT="0" distB="0" distL="0" distR="0">
            <wp:extent cx="6225235" cy="1521886"/>
            <wp:effectExtent l="0" t="0" r="4445" b="2540"/>
            <wp:docPr id="1" name="Imagen 1" descr="Imagen de tabla de 7 columnas que proporciona información relativa a la modificación y prórroga de las Concesiones para usar, aprovechar y explotar bandas de frecuencias del espectro radioeléctrico para usos determinados, y Modificación y Prórroga de las Concesiones para instalar, operar y explotar una red pública de telecomunicaciones." title="Otorgamiento de conce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0-1.jpg"/>
                    <pic:cNvPicPr/>
                  </pic:nvPicPr>
                  <pic:blipFill>
                    <a:blip r:embed="rId8">
                      <a:extLst>
                        <a:ext uri="{28A0092B-C50C-407E-A947-70E740481C1C}">
                          <a14:useLocalDpi xmlns:a14="http://schemas.microsoft.com/office/drawing/2010/main" val="0"/>
                        </a:ext>
                      </a:extLst>
                    </a:blip>
                    <a:stretch>
                      <a:fillRect/>
                    </a:stretch>
                  </pic:blipFill>
                  <pic:spPr>
                    <a:xfrm>
                      <a:off x="0" y="0"/>
                      <a:ext cx="6265619" cy="1531759"/>
                    </a:xfrm>
                    <a:prstGeom prst="rect">
                      <a:avLst/>
                    </a:prstGeom>
                  </pic:spPr>
                </pic:pic>
              </a:graphicData>
            </a:graphic>
          </wp:inline>
        </w:drawing>
      </w:r>
    </w:p>
    <w:p w:rsidR="00642B7F" w:rsidRDefault="00C52D06" w:rsidP="00642B7F">
      <w:pPr>
        <w:spacing w:afterLines="120" w:after="288" w:line="240" w:lineRule="auto"/>
        <w:ind w:left="567"/>
        <w:jc w:val="both"/>
        <w:rPr>
          <w:rFonts w:ascii="ITC Avant Garde" w:hAnsi="ITC Avant Garde"/>
          <w:bCs/>
          <w:color w:val="000000"/>
          <w:lang w:eastAsia="es-MX"/>
        </w:rPr>
      </w:pPr>
      <w:r>
        <w:rPr>
          <w:rFonts w:ascii="ITC Avant Garde" w:hAnsi="ITC Avant Garde"/>
          <w:bCs/>
          <w:color w:val="000000"/>
          <w:lang w:eastAsia="es-MX"/>
        </w:rPr>
        <w:t>En ese sentido</w:t>
      </w:r>
      <w:r w:rsidR="00A853DC">
        <w:rPr>
          <w:rFonts w:ascii="ITC Avant Garde" w:hAnsi="ITC Avant Garde"/>
          <w:bCs/>
          <w:color w:val="000000"/>
          <w:lang w:eastAsia="es-MX"/>
        </w:rPr>
        <w:t>, la Condición 2.1 de la</w:t>
      </w:r>
      <w:r w:rsidRPr="00A61D6E">
        <w:rPr>
          <w:rFonts w:ascii="ITC Avant Garde" w:hAnsi="ITC Avant Garde"/>
          <w:bCs/>
          <w:color w:val="000000"/>
          <w:lang w:eastAsia="es-MX"/>
        </w:rPr>
        <w:t xml:space="preserve"> Concesi</w:t>
      </w:r>
      <w:r w:rsidR="00A853DC">
        <w:rPr>
          <w:rFonts w:ascii="ITC Avant Garde" w:hAnsi="ITC Avant Garde"/>
          <w:bCs/>
          <w:color w:val="000000"/>
          <w:lang w:eastAsia="es-MX"/>
        </w:rPr>
        <w:t>ón</w:t>
      </w:r>
      <w:r w:rsidRPr="00A61D6E">
        <w:rPr>
          <w:rFonts w:ascii="ITC Avant Garde" w:hAnsi="ITC Avant Garde"/>
          <w:bCs/>
          <w:color w:val="000000"/>
          <w:lang w:eastAsia="es-MX"/>
        </w:rPr>
        <w:t xml:space="preserve"> de Bandas estableció lo siguiente</w:t>
      </w:r>
      <w:r w:rsidR="00CD0F26" w:rsidRPr="004E69E8">
        <w:rPr>
          <w:rFonts w:ascii="ITC Avant Garde" w:hAnsi="ITC Avant Garde"/>
          <w:bCs/>
          <w:color w:val="000000"/>
          <w:lang w:eastAsia="es-MX"/>
        </w:rPr>
        <w:t>:</w:t>
      </w:r>
    </w:p>
    <w:p w:rsidR="00642B7F" w:rsidRDefault="00C52D06" w:rsidP="00642B7F">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w:t>
      </w:r>
      <w:r w:rsidRPr="00A61D6E">
        <w:rPr>
          <w:rFonts w:ascii="ITC Avant Garde" w:hAnsi="ITC Avant Garde"/>
          <w:b/>
          <w:bCs/>
          <w:i/>
          <w:color w:val="000000"/>
          <w:sz w:val="18"/>
          <w:szCs w:val="18"/>
          <w:lang w:eastAsia="es-MX"/>
        </w:rPr>
        <w:t>2.1. Servicios Adicionales.</w:t>
      </w:r>
      <w:r w:rsidRPr="00A61D6E">
        <w:rPr>
          <w:rFonts w:ascii="ITC Avant Garde" w:hAnsi="ITC Avant Garde"/>
          <w:bCs/>
          <w:i/>
          <w:color w:val="000000"/>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w:t>
      </w:r>
      <w:r w:rsidRPr="00A61D6E">
        <w:rPr>
          <w:rFonts w:ascii="ITC Avant Garde" w:hAnsi="ITC Avant Garde"/>
          <w:bCs/>
          <w:i/>
          <w:color w:val="000000"/>
          <w:sz w:val="18"/>
          <w:szCs w:val="18"/>
          <w:lang w:eastAsia="es-MX"/>
        </w:rPr>
        <w:lastRenderedPageBreak/>
        <w:t>los términos, obligaciones y contraprestaciones que le imponga el Instituto, en particular, con las contraprestaciones por la autorización de los servicios adicionales no previstos en la presente Concesión.</w:t>
      </w:r>
    </w:p>
    <w:p w:rsidR="00642B7F" w:rsidRDefault="00C52D06" w:rsidP="00642B7F">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642B7F" w:rsidRDefault="00C52D06" w:rsidP="00642B7F">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642B7F" w:rsidRDefault="00C52D06" w:rsidP="00642B7F">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642B7F" w:rsidRDefault="00C52D06" w:rsidP="00642B7F">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En cualquiera de los supuestos antes señalados, las bandas de frecuencias se revertirán a favor de la Nación, sin pago o devolución de cantidad o contraprestación alguna a favor del Concesionario” [sic].</w:t>
      </w:r>
    </w:p>
    <w:p w:rsidR="00642B7F" w:rsidRDefault="00C52D06" w:rsidP="00642B7F">
      <w:pPr>
        <w:spacing w:afterLines="120" w:after="288" w:line="240" w:lineRule="auto"/>
        <w:ind w:left="567"/>
        <w:jc w:val="both"/>
        <w:rPr>
          <w:rFonts w:ascii="ITC Avant Garde" w:hAnsi="ITC Avant Garde"/>
          <w:bCs/>
          <w:color w:val="000000"/>
          <w:lang w:eastAsia="es-MX"/>
        </w:rPr>
      </w:pPr>
      <w:r w:rsidRPr="00A61D6E">
        <w:rPr>
          <w:rFonts w:ascii="ITC Avant Garde" w:hAnsi="ITC Avant Garde"/>
          <w:bCs/>
          <w:color w:val="000000"/>
          <w:lang w:eastAsia="es-MX"/>
        </w:rPr>
        <w:t>De igua</w:t>
      </w:r>
      <w:r w:rsidR="00A853DC">
        <w:rPr>
          <w:rFonts w:ascii="ITC Avant Garde" w:hAnsi="ITC Avant Garde"/>
          <w:bCs/>
          <w:color w:val="000000"/>
          <w:lang w:eastAsia="es-MX"/>
        </w:rPr>
        <w:t>l forma, la Condición 1.3 de la Concesión</w:t>
      </w:r>
      <w:r w:rsidRPr="00A61D6E">
        <w:rPr>
          <w:rFonts w:ascii="ITC Avant Garde" w:hAnsi="ITC Avant Garde"/>
          <w:bCs/>
          <w:color w:val="000000"/>
          <w:lang w:eastAsia="es-MX"/>
        </w:rPr>
        <w:t xml:space="preserve"> de Red estableció lo s</w:t>
      </w:r>
      <w:r>
        <w:rPr>
          <w:rFonts w:ascii="ITC Avant Garde" w:hAnsi="ITC Avant Garde"/>
          <w:bCs/>
          <w:color w:val="000000"/>
          <w:lang w:eastAsia="es-MX"/>
        </w:rPr>
        <w:t>ig</w:t>
      </w:r>
      <w:r w:rsidRPr="00A61D6E">
        <w:rPr>
          <w:rFonts w:ascii="ITC Avant Garde" w:hAnsi="ITC Avant Garde"/>
          <w:bCs/>
          <w:color w:val="000000"/>
          <w:lang w:eastAsia="es-MX"/>
        </w:rPr>
        <w:t xml:space="preserve">uiente: </w:t>
      </w:r>
    </w:p>
    <w:p w:rsidR="00642B7F" w:rsidRDefault="00C52D06" w:rsidP="00642B7F">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
          <w:bCs/>
          <w:i/>
          <w:color w:val="000000"/>
          <w:sz w:val="18"/>
          <w:szCs w:val="18"/>
          <w:lang w:eastAsia="es-MX"/>
        </w:rPr>
        <w:t>“1.3. Servicios Adicionales.</w:t>
      </w:r>
      <w:r w:rsidRPr="00A61D6E">
        <w:rPr>
          <w:rFonts w:ascii="ITC Avant Garde" w:hAnsi="ITC Avant Garde"/>
          <w:bCs/>
          <w:i/>
          <w:color w:val="000000"/>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642B7F" w:rsidRDefault="00C52D06" w:rsidP="00642B7F">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642B7F" w:rsidRDefault="00C52D06" w:rsidP="00642B7F">
      <w:pPr>
        <w:spacing w:afterLines="120" w:after="288" w:line="240" w:lineRule="auto"/>
        <w:ind w:left="851" w:right="1182"/>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w:t>
      </w:r>
      <w:r w:rsidRPr="00A61D6E">
        <w:rPr>
          <w:rFonts w:ascii="ITC Avant Garde" w:hAnsi="ITC Avant Garde"/>
          <w:bCs/>
          <w:color w:val="000000"/>
          <w:sz w:val="18"/>
          <w:szCs w:val="18"/>
          <w:lang w:eastAsia="es-MX"/>
        </w:rPr>
        <w:t xml:space="preserve"> [sic]</w:t>
      </w:r>
      <w:r w:rsidR="00050C7C" w:rsidRPr="004E69E8">
        <w:rPr>
          <w:rFonts w:ascii="ITC Avant Garde" w:hAnsi="ITC Avant Garde"/>
          <w:bCs/>
          <w:i/>
          <w:color w:val="000000"/>
          <w:sz w:val="18"/>
          <w:szCs w:val="18"/>
          <w:lang w:eastAsia="es-MX"/>
        </w:rPr>
        <w:t>.</w:t>
      </w:r>
    </w:p>
    <w:p w:rsidR="00642B7F" w:rsidRDefault="00B42FD8" w:rsidP="00642B7F">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t>Lineamientos para la prestación de servicios adicionales.</w:t>
      </w:r>
      <w:r w:rsidRPr="004E69E8">
        <w:rPr>
          <w:rFonts w:ascii="ITC Avant Garde" w:hAnsi="ITC Avant Garde"/>
          <w:bCs/>
          <w:color w:val="000000"/>
          <w:lang w:eastAsia="es-MX"/>
        </w:rPr>
        <w:t xml:space="preserve"> El 28 de mayo de 2014, el Instituto, en cumplimiento</w:t>
      </w:r>
      <w:r w:rsidR="00CD279E" w:rsidRPr="004E69E8">
        <w:rPr>
          <w:rFonts w:ascii="ITC Avant Garde" w:hAnsi="ITC Avant Garde"/>
          <w:b/>
          <w:bCs/>
          <w:color w:val="000000"/>
          <w:lang w:eastAsia="es-MX"/>
        </w:rPr>
        <w:t xml:space="preserve"> </w:t>
      </w:r>
      <w:r w:rsidRPr="004E69E8">
        <w:rPr>
          <w:rFonts w:ascii="ITC Avant Garde" w:hAnsi="ITC Avant Garde"/>
          <w:bCs/>
          <w:color w:val="000000"/>
          <w:lang w:eastAsia="es-MX"/>
        </w:rPr>
        <w:t xml:space="preserve">a lo dispuesto en el tercer párrafo del artículo Cuarto Transitorio del Decreto de Reforma Constitucional, publicó en el Diario Oficial de la Federación </w:t>
      </w:r>
      <w:r w:rsidR="00CD0F26" w:rsidRPr="004E69E8">
        <w:rPr>
          <w:rFonts w:ascii="ITC Avant Garde" w:hAnsi="ITC Avant Garde"/>
          <w:bCs/>
          <w:color w:val="000000"/>
          <w:lang w:eastAsia="es-MX"/>
        </w:rPr>
        <w:t>el</w:t>
      </w:r>
      <w:r w:rsidRPr="004E69E8">
        <w:rPr>
          <w:rFonts w:ascii="ITC Avant Garde" w:hAnsi="ITC Avant Garde"/>
          <w:bCs/>
          <w:color w:val="000000"/>
          <w:lang w:eastAsia="es-MX"/>
        </w:rPr>
        <w:t xml:space="preserve"> </w:t>
      </w:r>
      <w:r w:rsidRPr="004E69E8">
        <w:rPr>
          <w:rFonts w:ascii="ITC Avant Garde" w:hAnsi="ITC Avant Garde"/>
          <w:bCs/>
          <w:i/>
          <w:color w:val="000000"/>
          <w:lang w:eastAsia="es-MX"/>
        </w:rPr>
        <w:t>“</w:t>
      </w:r>
      <w:r w:rsidR="00CD0F26" w:rsidRPr="004E69E8">
        <w:rPr>
          <w:rFonts w:ascii="ITC Avant Garde" w:hAnsi="ITC Avant Garde"/>
          <w:bCs/>
          <w:i/>
          <w:color w:val="000000"/>
          <w:lang w:eastAsia="es-MX"/>
        </w:rPr>
        <w:t xml:space="preserve">Acuerdo mediante el cual el Pleno del Instituto Federal de Telecomunicaciones emite los </w:t>
      </w:r>
      <w:r w:rsidRPr="004E69E8">
        <w:rPr>
          <w:rFonts w:ascii="ITC Avant Garde" w:hAnsi="ITC Avant Garde"/>
          <w:bCs/>
          <w:i/>
          <w:color w:val="000000"/>
          <w:lang w:eastAsia="es-MX"/>
        </w:rPr>
        <w:t xml:space="preserve">Lineamientos generales que establecen los </w:t>
      </w:r>
      <w:r w:rsidRPr="004E69E8">
        <w:rPr>
          <w:rFonts w:ascii="ITC Avant Garde" w:hAnsi="ITC Avant Garde"/>
          <w:bCs/>
          <w:i/>
          <w:color w:val="000000"/>
          <w:lang w:eastAsia="es-MX"/>
        </w:rPr>
        <w:lastRenderedPageBreak/>
        <w:t>requisitos, términos y condiciones que los actuales concesionarios de radiodifusión, telecomunicaciones y telefonía deberán cumplir para que se les autorice la prestación de servicios adicionales a los que son objeto de su concesión”</w:t>
      </w:r>
      <w:r w:rsidRPr="004E69E8">
        <w:rPr>
          <w:rFonts w:ascii="ITC Avant Garde" w:hAnsi="ITC Avant Garde"/>
          <w:bCs/>
          <w:color w:val="000000"/>
          <w:lang w:eastAsia="es-MX"/>
        </w:rPr>
        <w:t xml:space="preserve"> (los “Lineamientos”).</w:t>
      </w:r>
    </w:p>
    <w:p w:rsidR="00642B7F" w:rsidRDefault="00B42FD8" w:rsidP="00642B7F">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themeColor="text1"/>
          <w:lang w:eastAsia="es-MX"/>
        </w:rPr>
        <w:t xml:space="preserve">Decreto de Ley. </w:t>
      </w:r>
      <w:r w:rsidRPr="004E69E8">
        <w:rPr>
          <w:rFonts w:ascii="ITC Avant Garde" w:hAnsi="ITC Avant Garde"/>
          <w:bCs/>
          <w:color w:val="000000" w:themeColor="text1"/>
          <w:lang w:eastAsia="es-MX"/>
        </w:rPr>
        <w:t>El 14 de julio de 2014, se publicó en el Diario Oficial de la Federación el “</w:t>
      </w:r>
      <w:r w:rsidRPr="004E69E8">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E69E8">
        <w:rPr>
          <w:rFonts w:ascii="ITC Avant Garde" w:hAnsi="ITC Avant Garde"/>
          <w:bCs/>
          <w:color w:val="000000" w:themeColor="text1"/>
          <w:lang w:eastAsia="es-MX"/>
        </w:rPr>
        <w:t>” (el “Decreto de Ley”), mismo que entró en vigor el 13 de agosto de 2014.</w:t>
      </w:r>
    </w:p>
    <w:p w:rsidR="00642B7F" w:rsidRDefault="009A5E55" w:rsidP="00642B7F">
      <w:pPr>
        <w:numPr>
          <w:ilvl w:val="0"/>
          <w:numId w:val="1"/>
        </w:numPr>
        <w:spacing w:afterLines="120" w:after="288" w:line="240" w:lineRule="auto"/>
        <w:ind w:left="567"/>
        <w:jc w:val="both"/>
        <w:rPr>
          <w:rFonts w:ascii="ITC Avant Garde" w:hAnsi="ITC Avant Garde"/>
          <w:bCs/>
          <w:color w:val="000000"/>
          <w:lang w:eastAsia="es-MX"/>
        </w:rPr>
      </w:pPr>
      <w:r w:rsidRPr="004E69E8">
        <w:rPr>
          <w:rFonts w:ascii="ITC Avant Garde" w:hAnsi="ITC Avant Garde" w:cs="Arial"/>
          <w:b/>
          <w:bCs/>
          <w:color w:val="000000"/>
          <w:shd w:val="clear" w:color="auto" w:fill="FFFFFF"/>
        </w:rPr>
        <w:t>Estatuto Orgánico.</w:t>
      </w:r>
      <w:r w:rsidRPr="004E69E8">
        <w:rPr>
          <w:rStyle w:val="Refdecomentario"/>
          <w:rFonts w:ascii="ITC Avant Garde" w:hAnsi="ITC Avant Garde" w:cs="Arial"/>
          <w:b/>
          <w:bCs/>
          <w:color w:val="000000"/>
          <w:shd w:val="clear" w:color="auto" w:fill="FFFFFF"/>
        </w:rPr>
        <w:t xml:space="preserve"> </w:t>
      </w:r>
      <w:r w:rsidRPr="004E69E8">
        <w:rPr>
          <w:rFonts w:ascii="ITC Avant Garde" w:hAnsi="ITC Avant Garde"/>
          <w:color w:val="000000"/>
          <w:shd w:val="clear" w:color="auto" w:fill="FFFFFF"/>
        </w:rPr>
        <w:t>El 4 de septiembre de 2014, se publicó en el Diario Oficial de la Federación el “</w:t>
      </w:r>
      <w:r w:rsidRPr="004E69E8">
        <w:rPr>
          <w:rFonts w:ascii="ITC Avant Garde" w:hAnsi="ITC Avant Garde"/>
          <w:i/>
          <w:color w:val="000000"/>
          <w:shd w:val="clear" w:color="auto" w:fill="FFFFFF"/>
        </w:rPr>
        <w:t>Estatuto Orgánico del Instituto Federal de Telecomunicaciones</w:t>
      </w:r>
      <w:r w:rsidRPr="004E69E8">
        <w:rPr>
          <w:rFonts w:ascii="ITC Avant Garde" w:hAnsi="ITC Avant Garde"/>
          <w:color w:val="000000"/>
          <w:shd w:val="clear" w:color="auto" w:fill="FFFFFF"/>
        </w:rPr>
        <w:t xml:space="preserve">” (el “Estatuto Orgánico”), mismo que entró en </w:t>
      </w:r>
      <w:r w:rsidR="00C52D06" w:rsidRPr="00A61D6E">
        <w:rPr>
          <w:rFonts w:ascii="ITC Avant Garde" w:hAnsi="ITC Avant Garde"/>
          <w:color w:val="000000"/>
          <w:shd w:val="clear" w:color="auto" w:fill="FFFFFF"/>
        </w:rPr>
        <w:t xml:space="preserve">vigor el 26 de septiembre de 2014, y fue modificado por última vez el </w:t>
      </w:r>
      <w:r w:rsidR="00C52D06">
        <w:rPr>
          <w:rFonts w:ascii="ITC Avant Garde" w:hAnsi="ITC Avant Garde"/>
          <w:color w:val="000000"/>
          <w:shd w:val="clear" w:color="auto" w:fill="FFFFFF"/>
        </w:rPr>
        <w:t>20 de julio de 2017</w:t>
      </w:r>
      <w:r w:rsidRPr="004E69E8">
        <w:rPr>
          <w:rFonts w:ascii="ITC Avant Garde" w:hAnsi="ITC Avant Garde"/>
          <w:color w:val="000000"/>
          <w:shd w:val="clear" w:color="auto" w:fill="FFFFFF"/>
        </w:rPr>
        <w:t>.</w:t>
      </w:r>
    </w:p>
    <w:p w:rsidR="00642B7F" w:rsidRDefault="00403F85" w:rsidP="00642B7F">
      <w:pPr>
        <w:numPr>
          <w:ilvl w:val="0"/>
          <w:numId w:val="1"/>
        </w:numPr>
        <w:spacing w:afterLines="120" w:after="288" w:line="240" w:lineRule="auto"/>
        <w:ind w:left="567"/>
        <w:jc w:val="both"/>
        <w:rPr>
          <w:rFonts w:ascii="ITC Avant Garde" w:hAnsi="ITC Avant Garde"/>
          <w:bCs/>
          <w:color w:val="000000"/>
          <w:lang w:eastAsia="es-MX"/>
        </w:rPr>
      </w:pPr>
      <w:r w:rsidRPr="00CA5C0C">
        <w:rPr>
          <w:rFonts w:ascii="ITC Avant Garde" w:hAnsi="ITC Avant Garde"/>
          <w:b/>
          <w:bCs/>
        </w:rPr>
        <w:t>Sol</w:t>
      </w:r>
      <w:r>
        <w:rPr>
          <w:rFonts w:ascii="ITC Avant Garde" w:hAnsi="ITC Avant Garde"/>
          <w:b/>
          <w:bCs/>
        </w:rPr>
        <w:t>i</w:t>
      </w:r>
      <w:r w:rsidRPr="00CA5C0C">
        <w:rPr>
          <w:rFonts w:ascii="ITC Avant Garde" w:hAnsi="ITC Avant Garde"/>
          <w:b/>
          <w:bCs/>
        </w:rPr>
        <w:t xml:space="preserve">citud de </w:t>
      </w:r>
      <w:r w:rsidR="007D514E" w:rsidRPr="008D738A">
        <w:rPr>
          <w:rFonts w:ascii="ITC Avant Garde" w:hAnsi="ITC Avant Garde"/>
          <w:b/>
          <w:bCs/>
        </w:rPr>
        <w:t>ampliación de plazo para dar cumplimiento a la Condición 2.1 de la Concesi</w:t>
      </w:r>
      <w:r w:rsidR="007D514E">
        <w:rPr>
          <w:rFonts w:ascii="ITC Avant Garde" w:hAnsi="ITC Avant Garde"/>
          <w:b/>
          <w:bCs/>
        </w:rPr>
        <w:t>ón</w:t>
      </w:r>
      <w:r w:rsidR="007D514E" w:rsidRPr="008D738A">
        <w:rPr>
          <w:rFonts w:ascii="ITC Avant Garde" w:hAnsi="ITC Avant Garde"/>
          <w:b/>
          <w:bCs/>
        </w:rPr>
        <w:t xml:space="preserve"> de Bandas, y a la C</w:t>
      </w:r>
      <w:r w:rsidR="007D514E">
        <w:rPr>
          <w:rFonts w:ascii="ITC Avant Garde" w:hAnsi="ITC Avant Garde"/>
          <w:b/>
          <w:bCs/>
        </w:rPr>
        <w:t>ondición 1.3 de la</w:t>
      </w:r>
      <w:r w:rsidR="007D514E" w:rsidRPr="008D738A">
        <w:rPr>
          <w:rFonts w:ascii="ITC Avant Garde" w:hAnsi="ITC Avant Garde"/>
          <w:b/>
          <w:bCs/>
        </w:rPr>
        <w:t xml:space="preserve"> Concesi</w:t>
      </w:r>
      <w:r w:rsidR="007D514E">
        <w:rPr>
          <w:rFonts w:ascii="ITC Avant Garde" w:hAnsi="ITC Avant Garde"/>
          <w:b/>
          <w:bCs/>
        </w:rPr>
        <w:t>ón</w:t>
      </w:r>
      <w:r w:rsidR="007D514E" w:rsidRPr="008D738A">
        <w:rPr>
          <w:rFonts w:ascii="ITC Avant Garde" w:hAnsi="ITC Avant Garde"/>
          <w:b/>
          <w:bCs/>
        </w:rPr>
        <w:t xml:space="preserve"> de Red. </w:t>
      </w:r>
      <w:r w:rsidR="007D514E" w:rsidRPr="008D738A">
        <w:rPr>
          <w:rFonts w:ascii="ITC Avant Garde" w:hAnsi="ITC Avant Garde"/>
          <w:bCs/>
        </w:rPr>
        <w:t xml:space="preserve">Con fecha </w:t>
      </w:r>
      <w:r w:rsidR="007D514E">
        <w:rPr>
          <w:rFonts w:ascii="ITC Avant Garde" w:hAnsi="ITC Avant Garde"/>
          <w:bCs/>
        </w:rPr>
        <w:t>4 de febrero de</w:t>
      </w:r>
      <w:r w:rsidR="007D514E" w:rsidRPr="008D738A">
        <w:rPr>
          <w:rFonts w:ascii="ITC Avant Garde" w:hAnsi="ITC Avant Garde"/>
          <w:bCs/>
        </w:rPr>
        <w:t xml:space="preserve"> 2016, </w:t>
      </w:r>
      <w:r w:rsidR="007D514E" w:rsidRPr="008D738A">
        <w:rPr>
          <w:rFonts w:ascii="ITC Avant Garde" w:hAnsi="ITC Avant Garde"/>
          <w:bCs/>
          <w:color w:val="000000"/>
          <w:lang w:eastAsia="es-MX"/>
        </w:rPr>
        <w:t>Tele Comarca, S.A. de C.V.</w:t>
      </w:r>
      <w:r w:rsidR="007D514E">
        <w:rPr>
          <w:rFonts w:ascii="ITC Avant Garde" w:hAnsi="ITC Avant Garde"/>
          <w:bCs/>
          <w:color w:val="000000"/>
          <w:lang w:eastAsia="es-MX"/>
        </w:rPr>
        <w:t xml:space="preserve"> </w:t>
      </w:r>
      <w:r w:rsidR="007D514E" w:rsidRPr="008D738A">
        <w:rPr>
          <w:rFonts w:ascii="ITC Avant Garde" w:hAnsi="ITC Avant Garde" w:cs="Arial"/>
          <w:bCs/>
          <w:color w:val="000000"/>
          <w:shd w:val="clear" w:color="auto" w:fill="FFFFFF"/>
        </w:rPr>
        <w:t xml:space="preserve">por conducto de su representante legal, solicitó ampliar el plazo para transitar a la concesión única y/u obtener autorización para prestar servicios adicionales, en términos de lo establecido </w:t>
      </w:r>
      <w:r w:rsidR="007D514E" w:rsidRPr="008D738A">
        <w:rPr>
          <w:rFonts w:ascii="ITC Avant Garde" w:hAnsi="ITC Avant Garde"/>
          <w:color w:val="000000"/>
          <w:lang w:eastAsia="es-MX"/>
        </w:rPr>
        <w:t>en la Condición 2.1 de la Concesi</w:t>
      </w:r>
      <w:r w:rsidR="007D514E">
        <w:rPr>
          <w:rFonts w:ascii="ITC Avant Garde" w:hAnsi="ITC Avant Garde"/>
          <w:color w:val="000000"/>
          <w:lang w:eastAsia="es-MX"/>
        </w:rPr>
        <w:t>ón</w:t>
      </w:r>
      <w:r w:rsidR="007D514E" w:rsidRPr="008D738A">
        <w:rPr>
          <w:rFonts w:ascii="ITC Avant Garde" w:hAnsi="ITC Avant Garde"/>
          <w:color w:val="000000"/>
          <w:lang w:eastAsia="es-MX"/>
        </w:rPr>
        <w:t xml:space="preserve"> de Bandas, así como en la C</w:t>
      </w:r>
      <w:r w:rsidR="007D514E">
        <w:rPr>
          <w:rFonts w:ascii="ITC Avant Garde" w:hAnsi="ITC Avant Garde"/>
          <w:color w:val="000000"/>
          <w:lang w:eastAsia="es-MX"/>
        </w:rPr>
        <w:t>ondición 1.3 de la</w:t>
      </w:r>
      <w:r w:rsidR="007D514E" w:rsidRPr="008D738A">
        <w:rPr>
          <w:rFonts w:ascii="ITC Avant Garde" w:hAnsi="ITC Avant Garde"/>
          <w:color w:val="000000"/>
          <w:lang w:eastAsia="es-MX"/>
        </w:rPr>
        <w:t xml:space="preserve"> Concesi</w:t>
      </w:r>
      <w:r w:rsidR="007D514E">
        <w:rPr>
          <w:rFonts w:ascii="ITC Avant Garde" w:hAnsi="ITC Avant Garde"/>
          <w:color w:val="000000"/>
          <w:lang w:eastAsia="es-MX"/>
        </w:rPr>
        <w:t>ón</w:t>
      </w:r>
      <w:r w:rsidR="007D514E" w:rsidRPr="008D738A">
        <w:rPr>
          <w:rFonts w:ascii="ITC Avant Garde" w:hAnsi="ITC Avant Garde"/>
          <w:color w:val="000000"/>
          <w:lang w:eastAsia="es-MX"/>
        </w:rPr>
        <w:t xml:space="preserve"> de Red.</w:t>
      </w:r>
    </w:p>
    <w:p w:rsidR="00642B7F" w:rsidRDefault="007D514E" w:rsidP="00642B7F">
      <w:pPr>
        <w:numPr>
          <w:ilvl w:val="0"/>
          <w:numId w:val="1"/>
        </w:numPr>
        <w:spacing w:afterLines="120" w:after="288" w:line="240" w:lineRule="auto"/>
        <w:ind w:left="567"/>
        <w:jc w:val="both"/>
        <w:rPr>
          <w:rFonts w:ascii="ITC Avant Garde" w:hAnsi="ITC Avant Garde"/>
          <w:bCs/>
          <w:color w:val="000000"/>
          <w:lang w:eastAsia="es-MX"/>
        </w:rPr>
      </w:pPr>
      <w:r w:rsidRPr="008D738A">
        <w:rPr>
          <w:rFonts w:ascii="ITC Avant Garde" w:hAnsi="ITC Avant Garde"/>
          <w:b/>
          <w:bCs/>
        </w:rPr>
        <w:t xml:space="preserve">Autorización de ampliación de plazo para dar cumplimiento a la Condición </w:t>
      </w:r>
      <w:r>
        <w:rPr>
          <w:rFonts w:ascii="ITC Avant Garde" w:hAnsi="ITC Avant Garde"/>
          <w:b/>
          <w:bCs/>
        </w:rPr>
        <w:t>2.1 de la</w:t>
      </w:r>
      <w:r w:rsidRPr="008D738A">
        <w:rPr>
          <w:rFonts w:ascii="ITC Avant Garde" w:hAnsi="ITC Avant Garde"/>
          <w:b/>
          <w:bCs/>
        </w:rPr>
        <w:t xml:space="preserve"> Concesi</w:t>
      </w:r>
      <w:r>
        <w:rPr>
          <w:rFonts w:ascii="ITC Avant Garde" w:hAnsi="ITC Avant Garde"/>
          <w:b/>
          <w:bCs/>
        </w:rPr>
        <w:t>ón</w:t>
      </w:r>
      <w:r w:rsidRPr="008D738A">
        <w:rPr>
          <w:rFonts w:ascii="ITC Avant Garde" w:hAnsi="ITC Avant Garde"/>
          <w:b/>
          <w:bCs/>
        </w:rPr>
        <w:t xml:space="preserve"> de Bandas, y a la C</w:t>
      </w:r>
      <w:r>
        <w:rPr>
          <w:rFonts w:ascii="ITC Avant Garde" w:hAnsi="ITC Avant Garde"/>
          <w:b/>
          <w:bCs/>
        </w:rPr>
        <w:t>ondición 1.3 de la</w:t>
      </w:r>
      <w:r w:rsidRPr="008D738A">
        <w:rPr>
          <w:rFonts w:ascii="ITC Avant Garde" w:hAnsi="ITC Avant Garde"/>
          <w:b/>
          <w:bCs/>
        </w:rPr>
        <w:t xml:space="preserve"> Concesi</w:t>
      </w:r>
      <w:r>
        <w:rPr>
          <w:rFonts w:ascii="ITC Avant Garde" w:hAnsi="ITC Avant Garde"/>
          <w:b/>
          <w:bCs/>
        </w:rPr>
        <w:t>ón</w:t>
      </w:r>
      <w:r w:rsidRPr="008D738A">
        <w:rPr>
          <w:rFonts w:ascii="ITC Avant Garde" w:hAnsi="ITC Avant Garde"/>
          <w:b/>
          <w:bCs/>
        </w:rPr>
        <w:t xml:space="preserve"> de Red</w:t>
      </w:r>
      <w:r w:rsidRPr="008D738A">
        <w:rPr>
          <w:rFonts w:ascii="ITC Avant Garde" w:hAnsi="ITC Avant Garde"/>
          <w:bCs/>
        </w:rPr>
        <w:t>. Mediante oficio IFT/223/UCS/</w:t>
      </w:r>
      <w:r>
        <w:rPr>
          <w:rFonts w:ascii="ITC Avant Garde" w:hAnsi="ITC Avant Garde"/>
          <w:bCs/>
        </w:rPr>
        <w:t>2535</w:t>
      </w:r>
      <w:r w:rsidRPr="008D738A">
        <w:rPr>
          <w:rFonts w:ascii="ITC Avant Garde" w:hAnsi="ITC Avant Garde"/>
          <w:bCs/>
        </w:rPr>
        <w:t>/2016</w:t>
      </w:r>
      <w:r w:rsidRPr="008D738A">
        <w:rPr>
          <w:rFonts w:ascii="ITC Avant Garde" w:hAnsi="ITC Avant Garde"/>
          <w:b/>
          <w:bCs/>
        </w:rPr>
        <w:t xml:space="preserve"> </w:t>
      </w:r>
      <w:r w:rsidRPr="008D738A">
        <w:rPr>
          <w:rFonts w:ascii="ITC Avant Garde" w:hAnsi="ITC Avant Garde"/>
          <w:bCs/>
        </w:rPr>
        <w:t xml:space="preserve">de fecha </w:t>
      </w:r>
      <w:r>
        <w:rPr>
          <w:rFonts w:ascii="ITC Avant Garde" w:hAnsi="ITC Avant Garde"/>
          <w:bCs/>
        </w:rPr>
        <w:t>24 de noviembre</w:t>
      </w:r>
      <w:r w:rsidRPr="008D738A">
        <w:rPr>
          <w:rFonts w:ascii="ITC Avant Garde" w:hAnsi="ITC Avant Garde"/>
          <w:bCs/>
        </w:rPr>
        <w:t xml:space="preserve"> de 2016, el Instituto autorizó </w:t>
      </w:r>
      <w:r>
        <w:rPr>
          <w:rFonts w:ascii="ITC Avant Garde" w:hAnsi="ITC Avant Garde"/>
          <w:bCs/>
        </w:rPr>
        <w:t xml:space="preserve">a </w:t>
      </w:r>
      <w:r w:rsidRPr="008D738A">
        <w:rPr>
          <w:rFonts w:ascii="ITC Avant Garde" w:hAnsi="ITC Avant Garde"/>
          <w:bCs/>
          <w:color w:val="000000"/>
          <w:lang w:eastAsia="es-MX"/>
        </w:rPr>
        <w:t xml:space="preserve">Tele Comarca, S.A. de C.V. </w:t>
      </w:r>
      <w:r w:rsidRPr="008D738A">
        <w:rPr>
          <w:rFonts w:ascii="ITC Avant Garde" w:hAnsi="ITC Avant Garde"/>
        </w:rPr>
        <w:t>la</w:t>
      </w:r>
      <w:r>
        <w:rPr>
          <w:rFonts w:ascii="ITC Avant Garde" w:hAnsi="ITC Avant Garde"/>
        </w:rPr>
        <w:t xml:space="preserve"> ampliación del plazo solicitado</w:t>
      </w:r>
      <w:r w:rsidRPr="008D738A">
        <w:rPr>
          <w:rFonts w:ascii="ITC Avant Garde" w:hAnsi="ITC Avant Garde"/>
        </w:rPr>
        <w:t xml:space="preserve">, en atención a lo </w:t>
      </w:r>
      <w:r w:rsidRPr="008D738A">
        <w:rPr>
          <w:rFonts w:ascii="ITC Avant Garde" w:hAnsi="ITC Avant Garde"/>
          <w:color w:val="000000"/>
          <w:lang w:eastAsia="es-MX"/>
        </w:rPr>
        <w:t>señalado en la Condición 2.1 de la Concesi</w:t>
      </w:r>
      <w:r>
        <w:rPr>
          <w:rFonts w:ascii="ITC Avant Garde" w:hAnsi="ITC Avant Garde"/>
          <w:color w:val="000000"/>
          <w:lang w:eastAsia="es-MX"/>
        </w:rPr>
        <w:t>ón</w:t>
      </w:r>
      <w:r w:rsidRPr="008D738A">
        <w:rPr>
          <w:rFonts w:ascii="ITC Avant Garde" w:hAnsi="ITC Avant Garde"/>
          <w:color w:val="000000"/>
          <w:lang w:eastAsia="es-MX"/>
        </w:rPr>
        <w:t xml:space="preserve"> de Bandas, así como en la Condición 1.3 de la Concesi</w:t>
      </w:r>
      <w:r>
        <w:rPr>
          <w:rFonts w:ascii="ITC Avant Garde" w:hAnsi="ITC Avant Garde"/>
          <w:color w:val="000000"/>
          <w:lang w:eastAsia="es-MX"/>
        </w:rPr>
        <w:t>ón</w:t>
      </w:r>
      <w:r w:rsidRPr="008D738A">
        <w:rPr>
          <w:rFonts w:ascii="ITC Avant Garde" w:hAnsi="ITC Avant Garde"/>
          <w:color w:val="000000"/>
          <w:lang w:eastAsia="es-MX"/>
        </w:rPr>
        <w:t xml:space="preserve"> de Red</w:t>
      </w:r>
      <w:r w:rsidR="004751D1">
        <w:rPr>
          <w:rFonts w:ascii="ITC Avant Garde" w:hAnsi="ITC Avant Garde"/>
          <w:color w:val="000000"/>
          <w:lang w:eastAsia="es-MX"/>
        </w:rPr>
        <w:t>, hasta el 31 de diciembre de 2017</w:t>
      </w:r>
      <w:r w:rsidR="00A853DC" w:rsidRPr="008D738A">
        <w:rPr>
          <w:rFonts w:ascii="ITC Avant Garde" w:hAnsi="ITC Avant Garde"/>
          <w:bCs/>
        </w:rPr>
        <w:t>.</w:t>
      </w:r>
    </w:p>
    <w:p w:rsidR="00DE559F" w:rsidRPr="00B04363" w:rsidRDefault="00A853DC" w:rsidP="00642B7F">
      <w:pPr>
        <w:numPr>
          <w:ilvl w:val="0"/>
          <w:numId w:val="1"/>
        </w:numPr>
        <w:spacing w:afterLines="120" w:after="288" w:line="240" w:lineRule="auto"/>
        <w:ind w:left="567"/>
        <w:jc w:val="both"/>
        <w:rPr>
          <w:rFonts w:ascii="ITC Avant Garde" w:hAnsi="ITC Avant Garde"/>
          <w:b/>
          <w:bCs/>
          <w:color w:val="000000"/>
          <w:shd w:val="clear" w:color="auto" w:fill="FFFFFF"/>
        </w:rPr>
      </w:pPr>
      <w:r w:rsidRPr="008D738A">
        <w:rPr>
          <w:rFonts w:ascii="ITC Avant Garde" w:hAnsi="ITC Avant Garde"/>
          <w:b/>
          <w:bCs/>
        </w:rPr>
        <w:t xml:space="preserve">Solicitud de Autorización para prestar Servicios Adicionales. </w:t>
      </w:r>
      <w:r>
        <w:rPr>
          <w:rFonts w:ascii="ITC Avant Garde" w:hAnsi="ITC Avant Garde"/>
          <w:bCs/>
        </w:rPr>
        <w:t xml:space="preserve">El </w:t>
      </w:r>
      <w:r w:rsidR="007D514E">
        <w:rPr>
          <w:rFonts w:ascii="ITC Avant Garde" w:hAnsi="ITC Avant Garde"/>
          <w:bCs/>
        </w:rPr>
        <w:t>12</w:t>
      </w:r>
      <w:r w:rsidR="007D514E" w:rsidRPr="008D738A">
        <w:rPr>
          <w:rFonts w:ascii="ITC Avant Garde" w:hAnsi="ITC Avant Garde"/>
          <w:bCs/>
        </w:rPr>
        <w:t xml:space="preserve"> de julio de 2017, </w:t>
      </w:r>
      <w:r w:rsidR="007D514E" w:rsidRPr="008D738A">
        <w:rPr>
          <w:rFonts w:ascii="ITC Avant Garde" w:hAnsi="ITC Avant Garde"/>
          <w:bCs/>
          <w:color w:val="000000"/>
          <w:lang w:eastAsia="es-MX"/>
        </w:rPr>
        <w:t>Tele Comarca, S.A. de C.V., a través de su representante legal,</w:t>
      </w:r>
      <w:r w:rsidR="007D514E" w:rsidRPr="008D738A">
        <w:rPr>
          <w:rFonts w:ascii="ITC Avant Garde" w:hAnsi="ITC Avant Garde"/>
        </w:rPr>
        <w:t xml:space="preserve"> </w:t>
      </w:r>
      <w:r w:rsidR="007D514E" w:rsidRPr="008D738A">
        <w:rPr>
          <w:rFonts w:ascii="ITC Avant Garde" w:hAnsi="ITC Avant Garde"/>
          <w:color w:val="000000"/>
          <w:lang w:eastAsia="es-MX"/>
        </w:rPr>
        <w:t xml:space="preserve">solicitó autorización para prestar </w:t>
      </w:r>
      <w:r w:rsidR="007D514E" w:rsidRPr="008D738A">
        <w:rPr>
          <w:rFonts w:ascii="ITC Avant Garde" w:hAnsi="ITC Avant Garde"/>
          <w:bCs/>
          <w:color w:val="000000"/>
          <w:lang w:eastAsia="es-MX"/>
        </w:rPr>
        <w:t xml:space="preserve">servicios adicionales respecto de </w:t>
      </w:r>
      <w:r w:rsidR="007D514E">
        <w:rPr>
          <w:rFonts w:ascii="ITC Avant Garde" w:hAnsi="ITC Avant Garde"/>
          <w:bCs/>
          <w:color w:val="000000"/>
          <w:lang w:eastAsia="es-MX"/>
        </w:rPr>
        <w:t>la</w:t>
      </w:r>
      <w:r w:rsidR="007D514E" w:rsidRPr="008D738A">
        <w:rPr>
          <w:rFonts w:ascii="ITC Avant Garde" w:hAnsi="ITC Avant Garde"/>
          <w:bCs/>
          <w:color w:val="000000"/>
          <w:lang w:eastAsia="es-MX"/>
        </w:rPr>
        <w:t xml:space="preserve"> Concesi</w:t>
      </w:r>
      <w:r w:rsidR="007D514E">
        <w:rPr>
          <w:rFonts w:ascii="ITC Avant Garde" w:hAnsi="ITC Avant Garde"/>
          <w:bCs/>
          <w:color w:val="000000"/>
          <w:lang w:eastAsia="es-MX"/>
        </w:rPr>
        <w:t>ón</w:t>
      </w:r>
      <w:r w:rsidR="007D514E" w:rsidRPr="008D738A">
        <w:rPr>
          <w:rFonts w:ascii="ITC Avant Garde" w:hAnsi="ITC Avant Garde"/>
          <w:bCs/>
          <w:color w:val="000000"/>
          <w:lang w:eastAsia="es-MX"/>
        </w:rPr>
        <w:t xml:space="preserve"> de Bandas. Lo anterior, en términos de lo establecido en la Condición 2.1 “</w:t>
      </w:r>
      <w:r w:rsidR="007D514E" w:rsidRPr="008D738A">
        <w:rPr>
          <w:rFonts w:ascii="ITC Avant Garde" w:hAnsi="ITC Avant Garde"/>
          <w:bCs/>
          <w:i/>
          <w:color w:val="000000"/>
          <w:lang w:eastAsia="es-MX"/>
        </w:rPr>
        <w:t>Servicios Adicionales</w:t>
      </w:r>
      <w:r w:rsidR="007D514E" w:rsidRPr="008D738A">
        <w:rPr>
          <w:rFonts w:ascii="ITC Avant Garde" w:hAnsi="ITC Avant Garde"/>
          <w:bCs/>
          <w:color w:val="000000"/>
          <w:lang w:eastAsia="es-MX"/>
        </w:rPr>
        <w:t>” de dicha concesi</w:t>
      </w:r>
      <w:r w:rsidR="007D514E">
        <w:rPr>
          <w:rFonts w:ascii="ITC Avant Garde" w:hAnsi="ITC Avant Garde"/>
          <w:bCs/>
          <w:color w:val="000000"/>
          <w:lang w:eastAsia="es-MX"/>
        </w:rPr>
        <w:t>ón</w:t>
      </w:r>
      <w:r w:rsidR="007D514E" w:rsidRPr="008D738A">
        <w:rPr>
          <w:rFonts w:ascii="ITC Avant Garde" w:hAnsi="ITC Avant Garde"/>
          <w:bCs/>
          <w:color w:val="000000"/>
          <w:lang w:eastAsia="es-MX"/>
        </w:rPr>
        <w:t xml:space="preserve"> </w:t>
      </w:r>
      <w:r w:rsidR="007D514E" w:rsidRPr="008D738A">
        <w:rPr>
          <w:rFonts w:ascii="ITC Avant Garde" w:hAnsi="ITC Avant Garde"/>
        </w:rPr>
        <w:t>(la “Solicitud de Servicios Adicionales”)</w:t>
      </w:r>
      <w:r w:rsidR="00403F85" w:rsidRPr="00DE559F">
        <w:rPr>
          <w:rFonts w:ascii="ITC Avant Garde" w:hAnsi="ITC Avant Garde"/>
        </w:rPr>
        <w:t>.</w:t>
      </w:r>
    </w:p>
    <w:p w:rsidR="00642B7F" w:rsidRDefault="00DE559F" w:rsidP="00642B7F">
      <w:pPr>
        <w:numPr>
          <w:ilvl w:val="0"/>
          <w:numId w:val="1"/>
        </w:numPr>
        <w:spacing w:afterLines="120" w:after="288" w:line="240" w:lineRule="auto"/>
        <w:ind w:left="567"/>
        <w:jc w:val="both"/>
        <w:rPr>
          <w:rFonts w:ascii="ITC Avant Garde" w:hAnsi="ITC Avant Garde"/>
          <w:bCs/>
          <w:color w:val="000000"/>
          <w:lang w:eastAsia="es-MX"/>
        </w:rPr>
      </w:pPr>
      <w:r w:rsidRPr="004E69E8">
        <w:rPr>
          <w:rFonts w:ascii="ITC Avant Garde" w:hAnsi="ITC Avant Garde"/>
          <w:b/>
          <w:bCs/>
          <w:color w:val="000000"/>
          <w:shd w:val="clear" w:color="auto" w:fill="FFFFFF"/>
        </w:rPr>
        <w:t xml:space="preserve">Solicitud de Opinión a la Unidad de Espectro Radioeléctrico. </w:t>
      </w:r>
      <w:r w:rsidR="00F91B74" w:rsidRPr="00DE559F">
        <w:rPr>
          <w:rFonts w:ascii="ITC Avant Garde" w:hAnsi="ITC Avant Garde"/>
          <w:color w:val="000000"/>
          <w:shd w:val="clear" w:color="auto" w:fill="FFFFFF"/>
        </w:rPr>
        <w:t>Mediante</w:t>
      </w:r>
      <w:r w:rsidR="00F91B74">
        <w:rPr>
          <w:rFonts w:ascii="ITC Avant Garde" w:hAnsi="ITC Avant Garde"/>
          <w:color w:val="000000"/>
          <w:shd w:val="clear" w:color="auto" w:fill="FFFFFF"/>
        </w:rPr>
        <w:t xml:space="preserve"> </w:t>
      </w:r>
      <w:r w:rsidR="007D514E" w:rsidRPr="008D738A">
        <w:rPr>
          <w:rFonts w:ascii="ITC Avant Garde" w:hAnsi="ITC Avant Garde"/>
          <w:color w:val="000000"/>
          <w:shd w:val="clear" w:color="auto" w:fill="FFFFFF"/>
        </w:rPr>
        <w:t>oficio IFT/223/UCS/DG-CTEL/</w:t>
      </w:r>
      <w:r w:rsidR="007D514E">
        <w:rPr>
          <w:rFonts w:ascii="ITC Avant Garde" w:hAnsi="ITC Avant Garde"/>
          <w:color w:val="000000"/>
          <w:shd w:val="clear" w:color="auto" w:fill="FFFFFF"/>
        </w:rPr>
        <w:t>1522</w:t>
      </w:r>
      <w:r w:rsidR="007D514E" w:rsidRPr="008D738A">
        <w:rPr>
          <w:rFonts w:ascii="ITC Avant Garde" w:hAnsi="ITC Avant Garde"/>
          <w:color w:val="000000"/>
          <w:shd w:val="clear" w:color="auto" w:fill="FFFFFF"/>
        </w:rPr>
        <w:t xml:space="preserve">/2017 de fecha </w:t>
      </w:r>
      <w:r w:rsidR="007D514E">
        <w:rPr>
          <w:rFonts w:ascii="ITC Avant Garde" w:hAnsi="ITC Avant Garde"/>
          <w:color w:val="000000"/>
          <w:shd w:val="clear" w:color="auto" w:fill="FFFFFF"/>
        </w:rPr>
        <w:t>13 de julio</w:t>
      </w:r>
      <w:r w:rsidR="007D514E" w:rsidRPr="008D738A">
        <w:rPr>
          <w:rFonts w:ascii="ITC Avant Garde" w:hAnsi="ITC Avant Garde"/>
          <w:color w:val="000000"/>
          <w:shd w:val="clear" w:color="auto" w:fill="FFFFFF"/>
        </w:rPr>
        <w:t xml:space="preserve"> de 2017, la Dirección General de Concesiones de Telecomunicaciones, adscrita a la Unidad de Concesiones y Servicios, solicitó a la Unidad de Espectro Radioeléctrico</w:t>
      </w:r>
      <w:r w:rsidRPr="004E69E8">
        <w:rPr>
          <w:rFonts w:ascii="ITC Avant Garde" w:hAnsi="ITC Avant Garde"/>
          <w:color w:val="000000"/>
          <w:shd w:val="clear" w:color="auto" w:fill="FFFFFF"/>
        </w:rPr>
        <w:t xml:space="preserve"> de este Instituto </w:t>
      </w:r>
      <w:r w:rsidR="00B04363" w:rsidRPr="00DE559F">
        <w:rPr>
          <w:rFonts w:ascii="ITC Avant Garde" w:hAnsi="ITC Avant Garde"/>
          <w:color w:val="000000"/>
          <w:shd w:val="clear" w:color="auto" w:fill="FFFFFF"/>
        </w:rPr>
        <w:t xml:space="preserve">la opinión </w:t>
      </w:r>
      <w:r w:rsidR="00B04363">
        <w:rPr>
          <w:rFonts w:ascii="ITC Avant Garde" w:hAnsi="ITC Avant Garde"/>
          <w:color w:val="000000"/>
          <w:shd w:val="clear" w:color="auto" w:fill="FFFFFF"/>
        </w:rPr>
        <w:t xml:space="preserve">respecto de la viabilidad de </w:t>
      </w:r>
      <w:r w:rsidR="00B04363" w:rsidRPr="00DE559F">
        <w:rPr>
          <w:rFonts w:ascii="ITC Avant Garde" w:hAnsi="ITC Avant Garde"/>
          <w:color w:val="000000"/>
          <w:shd w:val="clear" w:color="auto" w:fill="FFFFFF"/>
        </w:rPr>
        <w:t>la Solicitud de Servicios Adicionales</w:t>
      </w:r>
      <w:r w:rsidR="00B04363">
        <w:rPr>
          <w:rFonts w:ascii="ITC Avant Garde" w:hAnsi="ITC Avant Garde"/>
          <w:color w:val="000000"/>
          <w:shd w:val="clear" w:color="auto" w:fill="FFFFFF"/>
        </w:rPr>
        <w:t xml:space="preserve">, las condiciones técnico-operativas que busquen evitar o minimizar el riesgo de interferencias </w:t>
      </w:r>
      <w:r w:rsidR="00B04363">
        <w:rPr>
          <w:rFonts w:ascii="ITC Avant Garde" w:hAnsi="ITC Avant Garde"/>
          <w:color w:val="000000"/>
          <w:shd w:val="clear" w:color="auto" w:fill="FFFFFF"/>
        </w:rPr>
        <w:lastRenderedPageBreak/>
        <w:t>perjudiciales</w:t>
      </w:r>
      <w:r w:rsidR="00C81A71" w:rsidRPr="004E69E8">
        <w:rPr>
          <w:rFonts w:ascii="ITC Avant Garde" w:hAnsi="ITC Avant Garde"/>
          <w:color w:val="000000"/>
          <w:shd w:val="clear" w:color="auto" w:fill="FFFFFF"/>
        </w:rPr>
        <w:t xml:space="preserve"> y</w:t>
      </w:r>
      <w:r w:rsidR="00B04363">
        <w:rPr>
          <w:rFonts w:ascii="ITC Avant Garde" w:hAnsi="ITC Avant Garde"/>
          <w:color w:val="000000"/>
          <w:shd w:val="clear" w:color="auto" w:fill="FFFFFF"/>
        </w:rPr>
        <w:t xml:space="preserve"> </w:t>
      </w:r>
      <w:r w:rsidR="00C81A71" w:rsidRPr="004E69E8">
        <w:rPr>
          <w:rFonts w:ascii="ITC Avant Garde" w:hAnsi="ITC Avant Garde"/>
          <w:color w:val="000000"/>
          <w:shd w:val="clear" w:color="auto" w:fill="FFFFFF"/>
        </w:rPr>
        <w:t xml:space="preserve">el monto de la contraprestación que debería someterse a consideración del Pleno, en caso de que se autorizara la prestación de </w:t>
      </w:r>
      <w:r w:rsidR="00BE670E">
        <w:rPr>
          <w:rFonts w:ascii="ITC Avant Garde" w:hAnsi="ITC Avant Garde"/>
          <w:color w:val="000000"/>
          <w:shd w:val="clear" w:color="auto" w:fill="FFFFFF"/>
        </w:rPr>
        <w:t xml:space="preserve">dichos </w:t>
      </w:r>
      <w:r w:rsidR="00C81A71" w:rsidRPr="004E69E8">
        <w:rPr>
          <w:rFonts w:ascii="ITC Avant Garde" w:hAnsi="ITC Avant Garde"/>
          <w:color w:val="000000"/>
          <w:shd w:val="clear" w:color="auto" w:fill="FFFFFF"/>
        </w:rPr>
        <w:t>servicios</w:t>
      </w:r>
      <w:r w:rsidR="00076701">
        <w:rPr>
          <w:rFonts w:ascii="ITC Avant Garde" w:hAnsi="ITC Avant Garde"/>
          <w:color w:val="000000"/>
          <w:shd w:val="clear" w:color="auto" w:fill="FFFFFF"/>
        </w:rPr>
        <w:t xml:space="preserve"> adicionales</w:t>
      </w:r>
      <w:r w:rsidRPr="004E69E8">
        <w:rPr>
          <w:rFonts w:ascii="ITC Avant Garde" w:hAnsi="ITC Avant Garde"/>
          <w:color w:val="000000"/>
          <w:shd w:val="clear" w:color="auto" w:fill="FFFFFF"/>
        </w:rPr>
        <w:t>.</w:t>
      </w:r>
    </w:p>
    <w:p w:rsidR="00642B7F" w:rsidRDefault="006672DF" w:rsidP="00642B7F">
      <w:pPr>
        <w:numPr>
          <w:ilvl w:val="0"/>
          <w:numId w:val="1"/>
        </w:numPr>
        <w:spacing w:afterLines="120" w:after="288" w:line="240" w:lineRule="auto"/>
        <w:ind w:left="567"/>
        <w:jc w:val="both"/>
        <w:rPr>
          <w:rFonts w:ascii="ITC Avant Garde" w:hAnsi="ITC Avant Garde"/>
          <w:b/>
          <w:bCs/>
          <w:color w:val="000000"/>
          <w:lang w:eastAsia="es-MX"/>
        </w:rPr>
      </w:pPr>
      <w:r w:rsidRPr="004E69E8">
        <w:rPr>
          <w:rFonts w:ascii="ITC Avant Garde" w:hAnsi="ITC Avant Garde"/>
          <w:b/>
          <w:bCs/>
          <w:color w:val="000000"/>
          <w:lang w:eastAsia="es-MX"/>
        </w:rPr>
        <w:t xml:space="preserve">Opinión </w:t>
      </w:r>
      <w:r w:rsidR="00696270" w:rsidRPr="004E69E8">
        <w:rPr>
          <w:rFonts w:ascii="ITC Avant Garde" w:hAnsi="ITC Avant Garde" w:cs="Arial"/>
          <w:b/>
          <w:bCs/>
          <w:color w:val="000000"/>
          <w:shd w:val="clear" w:color="auto" w:fill="FFFFFF"/>
        </w:rPr>
        <w:t>de la Unidad de</w:t>
      </w:r>
      <w:r w:rsidRPr="004E69E8">
        <w:rPr>
          <w:rFonts w:ascii="ITC Avant Garde" w:hAnsi="ITC Avant Garde" w:cs="Arial"/>
          <w:b/>
          <w:bCs/>
          <w:color w:val="000000"/>
          <w:shd w:val="clear" w:color="auto" w:fill="FFFFFF"/>
        </w:rPr>
        <w:t xml:space="preserve"> Espectro Radioeléctrico.</w:t>
      </w:r>
      <w:r w:rsidRPr="004E69E8">
        <w:rPr>
          <w:rFonts w:ascii="ITC Avant Garde" w:hAnsi="ITC Avant Garde" w:cs="Arial"/>
          <w:bCs/>
          <w:color w:val="000000"/>
          <w:shd w:val="clear" w:color="auto" w:fill="FFFFFF"/>
        </w:rPr>
        <w:t xml:space="preserve"> Mediante </w:t>
      </w:r>
      <w:r w:rsidR="00730940" w:rsidRPr="008D738A">
        <w:rPr>
          <w:rFonts w:ascii="ITC Avant Garde" w:hAnsi="ITC Avant Garde" w:cs="Arial"/>
          <w:bCs/>
          <w:color w:val="000000"/>
          <w:shd w:val="clear" w:color="auto" w:fill="FFFFFF"/>
        </w:rPr>
        <w:t>oficio IFT/222/UER/DG-PLES/</w:t>
      </w:r>
      <w:r w:rsidR="00730940">
        <w:rPr>
          <w:rFonts w:ascii="ITC Avant Garde" w:hAnsi="ITC Avant Garde" w:cs="Arial"/>
          <w:bCs/>
          <w:color w:val="000000"/>
          <w:shd w:val="clear" w:color="auto" w:fill="FFFFFF"/>
        </w:rPr>
        <w:t>032</w:t>
      </w:r>
      <w:r w:rsidR="00730940" w:rsidRPr="008D738A">
        <w:rPr>
          <w:rFonts w:ascii="ITC Avant Garde" w:hAnsi="ITC Avant Garde" w:cs="Arial"/>
          <w:bCs/>
          <w:color w:val="000000"/>
          <w:shd w:val="clear" w:color="auto" w:fill="FFFFFF"/>
        </w:rPr>
        <w:t xml:space="preserve">/2017 de fecha </w:t>
      </w:r>
      <w:r w:rsidR="00730940">
        <w:rPr>
          <w:rFonts w:ascii="ITC Avant Garde" w:hAnsi="ITC Avant Garde" w:cs="Arial"/>
          <w:bCs/>
          <w:color w:val="000000"/>
          <w:shd w:val="clear" w:color="auto" w:fill="FFFFFF"/>
        </w:rPr>
        <w:t>7</w:t>
      </w:r>
      <w:r w:rsidR="00730940" w:rsidRPr="008D738A">
        <w:rPr>
          <w:rFonts w:ascii="ITC Avant Garde" w:hAnsi="ITC Avant Garde" w:cs="Arial"/>
          <w:bCs/>
          <w:color w:val="000000"/>
          <w:shd w:val="clear" w:color="auto" w:fill="FFFFFF"/>
        </w:rPr>
        <w:t xml:space="preserve"> de septiembre de 2017, la Unidad de Espectro Radioeléctrico del Instituto, a través de la Dirección General de Planeación </w:t>
      </w:r>
      <w:r w:rsidR="00DB2B23" w:rsidRPr="00A61D6E">
        <w:rPr>
          <w:rFonts w:ascii="ITC Avant Garde" w:hAnsi="ITC Avant Garde" w:cs="Arial"/>
          <w:bCs/>
          <w:color w:val="000000"/>
          <w:shd w:val="clear" w:color="auto" w:fill="FFFFFF"/>
        </w:rPr>
        <w:t xml:space="preserve">del Espectro, emitió el dictamen de planificación espectral y las medidas técnico–operativas, respecto </w:t>
      </w:r>
      <w:r w:rsidR="00DB2B23">
        <w:rPr>
          <w:rFonts w:ascii="ITC Avant Garde" w:hAnsi="ITC Avant Garde" w:cs="Arial"/>
          <w:bCs/>
          <w:color w:val="000000"/>
          <w:shd w:val="clear" w:color="auto" w:fill="FFFFFF"/>
        </w:rPr>
        <w:t>de la</w:t>
      </w:r>
      <w:r w:rsidR="00DB2B23" w:rsidRPr="00A61D6E">
        <w:rPr>
          <w:rFonts w:ascii="ITC Avant Garde" w:hAnsi="ITC Avant Garde" w:cs="Arial"/>
          <w:bCs/>
          <w:color w:val="000000"/>
          <w:shd w:val="clear" w:color="auto" w:fill="FFFFFF"/>
        </w:rPr>
        <w:t xml:space="preserve"> Solicitud de Servicios Adicionales</w:t>
      </w:r>
      <w:r w:rsidRPr="004E69E8">
        <w:rPr>
          <w:rFonts w:ascii="ITC Avant Garde" w:hAnsi="ITC Avant Garde" w:cs="Arial"/>
          <w:bCs/>
          <w:color w:val="000000"/>
          <w:shd w:val="clear" w:color="auto" w:fill="FFFFFF"/>
        </w:rPr>
        <w:t>.</w:t>
      </w:r>
    </w:p>
    <w:p w:rsidR="00642B7F" w:rsidRDefault="00A31144" w:rsidP="00642B7F">
      <w:pPr>
        <w:numPr>
          <w:ilvl w:val="0"/>
          <w:numId w:val="1"/>
        </w:numPr>
        <w:spacing w:afterLines="120" w:after="288" w:line="240" w:lineRule="auto"/>
        <w:ind w:left="567"/>
        <w:jc w:val="both"/>
        <w:rPr>
          <w:rFonts w:ascii="ITC Avant Garde" w:hAnsi="ITC Avant Garde"/>
          <w:bCs/>
          <w:color w:val="000000"/>
          <w:lang w:eastAsia="es-MX"/>
        </w:rPr>
      </w:pPr>
      <w:r w:rsidRPr="004E69E8">
        <w:rPr>
          <w:rFonts w:ascii="ITC Avant Garde" w:hAnsi="ITC Avant Garde"/>
          <w:b/>
          <w:bCs/>
          <w:color w:val="000000"/>
          <w:lang w:eastAsia="es-MX"/>
        </w:rPr>
        <w:t xml:space="preserve">Propuesta de Contraprestación. </w:t>
      </w:r>
      <w:r w:rsidRPr="004E69E8">
        <w:rPr>
          <w:rFonts w:ascii="ITC Avant Garde" w:hAnsi="ITC Avant Garde"/>
          <w:bCs/>
          <w:color w:val="000000"/>
          <w:lang w:eastAsia="es-MX"/>
        </w:rPr>
        <w:t>Mediante oficio</w:t>
      </w:r>
      <w:r w:rsidR="000430CC">
        <w:rPr>
          <w:rFonts w:ascii="ITC Avant Garde" w:hAnsi="ITC Avant Garde"/>
          <w:bCs/>
          <w:color w:val="000000"/>
          <w:lang w:eastAsia="es-MX"/>
        </w:rPr>
        <w:t>s</w:t>
      </w:r>
      <w:r w:rsidRPr="004E69E8">
        <w:rPr>
          <w:rFonts w:ascii="ITC Avant Garde" w:hAnsi="ITC Avant Garde"/>
          <w:bCs/>
          <w:color w:val="000000"/>
          <w:lang w:eastAsia="es-MX"/>
        </w:rPr>
        <w:t xml:space="preserve"> IFT/222/UER/DG-EERO/</w:t>
      </w:r>
      <w:r w:rsidR="003F265F">
        <w:rPr>
          <w:rFonts w:ascii="ITC Avant Garde" w:hAnsi="ITC Avant Garde"/>
          <w:bCs/>
          <w:color w:val="000000"/>
          <w:lang w:eastAsia="es-MX"/>
        </w:rPr>
        <w:t>668</w:t>
      </w:r>
      <w:r w:rsidRPr="004E69E8">
        <w:rPr>
          <w:rFonts w:ascii="ITC Avant Garde" w:hAnsi="ITC Avant Garde"/>
          <w:bCs/>
          <w:color w:val="000000"/>
          <w:lang w:eastAsia="es-MX"/>
        </w:rPr>
        <w:t xml:space="preserve">/2017 </w:t>
      </w:r>
      <w:r w:rsidR="000430CC">
        <w:rPr>
          <w:rFonts w:ascii="ITC Avant Garde" w:hAnsi="ITC Avant Garde"/>
          <w:bCs/>
          <w:color w:val="000000"/>
          <w:lang w:eastAsia="es-MX"/>
        </w:rPr>
        <w:t xml:space="preserve">e IFT/222/UER/DGEERO/670/2017 </w:t>
      </w:r>
      <w:r w:rsidRPr="004E69E8">
        <w:rPr>
          <w:rFonts w:ascii="ITC Avant Garde" w:hAnsi="ITC Avant Garde"/>
          <w:bCs/>
          <w:color w:val="000000"/>
          <w:lang w:eastAsia="es-MX"/>
        </w:rPr>
        <w:t xml:space="preserve">de fecha </w:t>
      </w:r>
      <w:r w:rsidR="00952AC0">
        <w:rPr>
          <w:rFonts w:ascii="ITC Avant Garde" w:hAnsi="ITC Avant Garde"/>
          <w:bCs/>
          <w:color w:val="000000"/>
          <w:lang w:eastAsia="es-MX"/>
        </w:rPr>
        <w:t>24</w:t>
      </w:r>
      <w:r w:rsidRPr="004E69E8">
        <w:rPr>
          <w:rFonts w:ascii="ITC Avant Garde" w:hAnsi="ITC Avant Garde"/>
          <w:bCs/>
          <w:color w:val="000000"/>
          <w:lang w:eastAsia="es-MX"/>
        </w:rPr>
        <w:t xml:space="preserve"> de </w:t>
      </w:r>
      <w:r w:rsidR="00A90AF5">
        <w:rPr>
          <w:rFonts w:ascii="ITC Avant Garde" w:hAnsi="ITC Avant Garde"/>
          <w:bCs/>
          <w:color w:val="000000"/>
          <w:lang w:eastAsia="es-MX"/>
        </w:rPr>
        <w:t>noviembre</w:t>
      </w:r>
      <w:r w:rsidRPr="004E69E8">
        <w:rPr>
          <w:rFonts w:ascii="ITC Avant Garde" w:hAnsi="ITC Avant Garde"/>
          <w:bCs/>
          <w:color w:val="000000"/>
          <w:lang w:eastAsia="es-MX"/>
        </w:rPr>
        <w:t xml:space="preserve"> de 2017 y anexos, la Unidad de Espectro Radioeléctrico del Instituto, a través de la Dirección General de Economía del Espectro y Recursos Orbitales, remitió </w:t>
      </w:r>
      <w:r w:rsidR="001E1782" w:rsidRPr="004E69E8">
        <w:rPr>
          <w:rFonts w:ascii="ITC Avant Garde" w:hAnsi="ITC Avant Garde"/>
          <w:bCs/>
          <w:color w:val="000000"/>
          <w:lang w:eastAsia="es-MX"/>
        </w:rPr>
        <w:t>a la Unidad de Concesiones y Servicios</w:t>
      </w:r>
      <w:r w:rsidR="00EA3EBB">
        <w:rPr>
          <w:rFonts w:ascii="ITC Avant Garde" w:hAnsi="ITC Avant Garde"/>
          <w:bCs/>
          <w:color w:val="000000"/>
          <w:lang w:eastAsia="es-MX"/>
        </w:rPr>
        <w:t>, entre otros,</w:t>
      </w:r>
      <w:r w:rsidR="001E1782" w:rsidRPr="004E69E8">
        <w:rPr>
          <w:rFonts w:ascii="ITC Avant Garde" w:hAnsi="ITC Avant Garde"/>
          <w:bCs/>
          <w:color w:val="000000"/>
          <w:lang w:eastAsia="es-MX"/>
        </w:rPr>
        <w:t xml:space="preserve"> </w:t>
      </w:r>
      <w:r w:rsidRPr="004E69E8">
        <w:rPr>
          <w:rFonts w:ascii="ITC Avant Garde" w:hAnsi="ITC Avant Garde"/>
          <w:bCs/>
          <w:color w:val="000000"/>
          <w:lang w:eastAsia="es-MX"/>
        </w:rPr>
        <w:t xml:space="preserve">copia del oficio </w:t>
      </w:r>
      <w:r w:rsidRPr="005765C0">
        <w:rPr>
          <w:rFonts w:ascii="ITC Avant Garde" w:hAnsi="ITC Avant Garde"/>
          <w:bCs/>
          <w:color w:val="000000"/>
          <w:lang w:eastAsia="es-MX"/>
        </w:rPr>
        <w:t>349-B-</w:t>
      </w:r>
      <w:r w:rsidR="005765C0" w:rsidRPr="005765C0">
        <w:rPr>
          <w:rFonts w:ascii="ITC Avant Garde" w:hAnsi="ITC Avant Garde"/>
          <w:bCs/>
          <w:color w:val="000000"/>
          <w:lang w:eastAsia="es-MX"/>
        </w:rPr>
        <w:t>1382</w:t>
      </w:r>
      <w:r w:rsidRPr="004E69E8">
        <w:rPr>
          <w:rFonts w:ascii="ITC Avant Garde" w:hAnsi="ITC Avant Garde"/>
          <w:bCs/>
          <w:color w:val="000000"/>
          <w:lang w:eastAsia="es-MX"/>
        </w:rPr>
        <w:t xml:space="preserve"> de fecha </w:t>
      </w:r>
      <w:r w:rsidR="005765C0">
        <w:rPr>
          <w:rFonts w:ascii="ITC Avant Garde" w:hAnsi="ITC Avant Garde"/>
          <w:bCs/>
          <w:color w:val="000000"/>
          <w:lang w:eastAsia="es-MX"/>
        </w:rPr>
        <w:t xml:space="preserve">21 de noviembre </w:t>
      </w:r>
      <w:r w:rsidRPr="004E69E8">
        <w:rPr>
          <w:rFonts w:ascii="ITC Avant Garde" w:hAnsi="ITC Avant Garde"/>
          <w:bCs/>
          <w:color w:val="000000"/>
          <w:lang w:eastAsia="es-MX"/>
        </w:rPr>
        <w:t xml:space="preserve">de 2017, emitido por la Unidad de Política de Ingresos </w:t>
      </w:r>
      <w:r w:rsidR="005765C0">
        <w:rPr>
          <w:rFonts w:ascii="ITC Avant Garde" w:hAnsi="ITC Avant Garde"/>
          <w:bCs/>
          <w:color w:val="000000"/>
          <w:lang w:eastAsia="es-MX"/>
        </w:rPr>
        <w:t>N</w:t>
      </w:r>
      <w:r w:rsidRPr="004E69E8">
        <w:rPr>
          <w:rFonts w:ascii="ITC Avant Garde" w:hAnsi="ITC Avant Garde"/>
          <w:bCs/>
          <w:color w:val="000000"/>
          <w:lang w:eastAsia="es-MX"/>
        </w:rPr>
        <w:t>o Tributarios de la Secretaría de Hacienda y Crédito Público, mismo que contiene</w:t>
      </w:r>
      <w:r w:rsidR="002C7BDC" w:rsidRPr="004E69E8">
        <w:rPr>
          <w:rFonts w:ascii="ITC Avant Garde" w:hAnsi="ITC Avant Garde"/>
          <w:bCs/>
          <w:color w:val="000000"/>
          <w:lang w:eastAsia="es-MX"/>
        </w:rPr>
        <w:t>, entre otros aspectos,</w:t>
      </w:r>
      <w:r w:rsidRPr="004E69E8">
        <w:rPr>
          <w:rFonts w:ascii="ITC Avant Garde" w:hAnsi="ITC Avant Garde"/>
          <w:bCs/>
          <w:color w:val="000000"/>
          <w:lang w:eastAsia="es-MX"/>
        </w:rPr>
        <w:t xml:space="preserve"> la opinión favorable</w:t>
      </w:r>
      <w:r w:rsidR="001D7B11">
        <w:rPr>
          <w:rFonts w:ascii="ITC Avant Garde" w:hAnsi="ITC Avant Garde"/>
          <w:bCs/>
          <w:color w:val="000000"/>
          <w:lang w:eastAsia="es-MX"/>
        </w:rPr>
        <w:t xml:space="preserve"> de dicha dependencia, </w:t>
      </w:r>
      <w:r w:rsidRPr="004E69E8">
        <w:rPr>
          <w:rFonts w:ascii="ITC Avant Garde" w:hAnsi="ITC Avant Garde"/>
          <w:bCs/>
          <w:color w:val="000000"/>
          <w:lang w:eastAsia="es-MX"/>
        </w:rPr>
        <w:t>res</w:t>
      </w:r>
      <w:r w:rsidR="00A00823">
        <w:rPr>
          <w:rFonts w:ascii="ITC Avant Garde" w:hAnsi="ITC Avant Garde"/>
          <w:bCs/>
          <w:color w:val="000000"/>
          <w:lang w:eastAsia="es-MX"/>
        </w:rPr>
        <w:t xml:space="preserve">pecto a la propuesta del </w:t>
      </w:r>
      <w:r w:rsidRPr="004E69E8">
        <w:rPr>
          <w:rFonts w:ascii="ITC Avant Garde" w:hAnsi="ITC Avant Garde"/>
          <w:bCs/>
          <w:color w:val="000000"/>
          <w:lang w:eastAsia="es-MX"/>
        </w:rPr>
        <w:t xml:space="preserve">monto de contraprestación que </w:t>
      </w:r>
      <w:r w:rsidR="00B85B42" w:rsidRPr="008D738A">
        <w:rPr>
          <w:rFonts w:ascii="ITC Avant Garde" w:hAnsi="ITC Avant Garde"/>
          <w:bCs/>
          <w:color w:val="000000"/>
          <w:lang w:eastAsia="es-MX"/>
        </w:rPr>
        <w:t>Tele Comarca</w:t>
      </w:r>
      <w:r w:rsidR="00F91B74">
        <w:rPr>
          <w:rFonts w:ascii="ITC Avant Garde" w:hAnsi="ITC Avant Garde"/>
          <w:bCs/>
          <w:color w:val="000000"/>
          <w:lang w:eastAsia="es-MX"/>
        </w:rPr>
        <w:t>, S.A. de C.V.</w:t>
      </w:r>
      <w:r w:rsidR="002C7BDC" w:rsidRPr="004E69E8">
        <w:rPr>
          <w:rFonts w:ascii="ITC Avant Garde" w:hAnsi="ITC Avant Garde"/>
          <w:bCs/>
          <w:color w:val="000000"/>
          <w:lang w:eastAsia="es-MX"/>
        </w:rPr>
        <w:t xml:space="preserve"> pagaría</w:t>
      </w:r>
      <w:r w:rsidRPr="004E69E8">
        <w:rPr>
          <w:rFonts w:ascii="ITC Avant Garde" w:hAnsi="ITC Avant Garde"/>
          <w:bCs/>
          <w:color w:val="000000"/>
          <w:lang w:eastAsia="es-MX"/>
        </w:rPr>
        <w:t xml:space="preserve"> por concepto de la autorización para prestar servicios adicionales</w:t>
      </w:r>
      <w:r w:rsidR="0008342C" w:rsidRPr="004E69E8">
        <w:rPr>
          <w:rFonts w:ascii="ITC Avant Garde" w:hAnsi="ITC Avant Garde"/>
          <w:bCs/>
          <w:color w:val="000000"/>
          <w:lang w:eastAsia="es-MX"/>
        </w:rPr>
        <w:t xml:space="preserve"> respecto </w:t>
      </w:r>
      <w:r w:rsidR="00880AB8">
        <w:rPr>
          <w:rFonts w:ascii="ITC Avant Garde" w:hAnsi="ITC Avant Garde"/>
          <w:bCs/>
          <w:color w:val="000000"/>
          <w:lang w:eastAsia="es-MX"/>
        </w:rPr>
        <w:t>de</w:t>
      </w:r>
      <w:r w:rsidR="0015087D">
        <w:rPr>
          <w:rFonts w:ascii="ITC Avant Garde" w:hAnsi="ITC Avant Garde"/>
          <w:bCs/>
          <w:color w:val="000000"/>
          <w:lang w:eastAsia="es-MX"/>
        </w:rPr>
        <w:t xml:space="preserve"> la Concesión</w:t>
      </w:r>
      <w:r w:rsidR="0008342C" w:rsidRPr="004E69E8">
        <w:rPr>
          <w:rFonts w:ascii="ITC Avant Garde" w:hAnsi="ITC Avant Garde"/>
          <w:bCs/>
          <w:color w:val="000000"/>
          <w:lang w:eastAsia="es-MX"/>
        </w:rPr>
        <w:t xml:space="preserve"> de Bandas</w:t>
      </w:r>
      <w:r w:rsidRPr="004E69E8">
        <w:rPr>
          <w:rFonts w:ascii="ITC Avant Garde" w:hAnsi="ITC Avant Garde"/>
          <w:bCs/>
          <w:color w:val="000000"/>
          <w:lang w:eastAsia="es-MX"/>
        </w:rPr>
        <w:t>.</w:t>
      </w:r>
    </w:p>
    <w:p w:rsidR="00642B7F" w:rsidRDefault="000C207C" w:rsidP="00642B7F">
      <w:pPr>
        <w:numPr>
          <w:ilvl w:val="0"/>
          <w:numId w:val="1"/>
        </w:numPr>
        <w:spacing w:afterLines="120" w:after="288" w:line="240" w:lineRule="auto"/>
        <w:ind w:left="567"/>
        <w:jc w:val="both"/>
        <w:rPr>
          <w:rFonts w:ascii="ITC Avant Garde" w:hAnsi="ITC Avant Garde"/>
          <w:b/>
          <w:bCs/>
          <w:color w:val="000000"/>
          <w:lang w:eastAsia="es-MX"/>
        </w:rPr>
      </w:pPr>
      <w:r w:rsidRPr="004E69E8">
        <w:rPr>
          <w:rFonts w:ascii="ITC Avant Garde" w:hAnsi="ITC Avant Garde"/>
          <w:b/>
          <w:bCs/>
          <w:color w:val="000000"/>
          <w:lang w:eastAsia="es-MX"/>
        </w:rPr>
        <w:t xml:space="preserve">Procedencia de Servicio Adicional. </w:t>
      </w:r>
      <w:r w:rsidRPr="001D7B11">
        <w:rPr>
          <w:rFonts w:ascii="ITC Avant Garde" w:hAnsi="ITC Avant Garde"/>
          <w:bCs/>
          <w:color w:val="000000"/>
          <w:lang w:eastAsia="es-MX"/>
        </w:rPr>
        <w:t xml:space="preserve">Con fecha </w:t>
      </w:r>
      <w:r w:rsidR="001D7B11" w:rsidRPr="001D7B11">
        <w:rPr>
          <w:rFonts w:ascii="ITC Avant Garde" w:hAnsi="ITC Avant Garde"/>
          <w:bCs/>
          <w:color w:val="000000"/>
          <w:lang w:eastAsia="es-MX"/>
        </w:rPr>
        <w:t>1</w:t>
      </w:r>
      <w:r w:rsidR="004626A4">
        <w:rPr>
          <w:rFonts w:ascii="ITC Avant Garde" w:hAnsi="ITC Avant Garde"/>
          <w:bCs/>
          <w:color w:val="000000"/>
          <w:lang w:eastAsia="es-MX"/>
        </w:rPr>
        <w:t>8</w:t>
      </w:r>
      <w:r w:rsidRPr="001D7B11">
        <w:rPr>
          <w:rFonts w:ascii="ITC Avant Garde" w:hAnsi="ITC Avant Garde"/>
          <w:bCs/>
          <w:color w:val="000000"/>
          <w:lang w:eastAsia="es-MX"/>
        </w:rPr>
        <w:t xml:space="preserve"> de </w:t>
      </w:r>
      <w:r w:rsidR="0015087D" w:rsidRPr="001D7B11">
        <w:rPr>
          <w:rFonts w:ascii="ITC Avant Garde" w:hAnsi="ITC Avant Garde"/>
          <w:bCs/>
          <w:color w:val="000000"/>
          <w:lang w:eastAsia="es-MX"/>
        </w:rPr>
        <w:t>diciembre</w:t>
      </w:r>
      <w:r w:rsidRPr="001D7B11">
        <w:rPr>
          <w:rFonts w:ascii="ITC Avant Garde" w:hAnsi="ITC Avant Garde"/>
          <w:bCs/>
          <w:color w:val="000000"/>
          <w:lang w:eastAsia="es-MX"/>
        </w:rPr>
        <w:t xml:space="preserve"> de 2017, el Pleno del Instituto determinó procedente la prestación del servicio de acceso inalámbrico en </w:t>
      </w:r>
      <w:r w:rsidR="0015087D" w:rsidRPr="001D7B11">
        <w:rPr>
          <w:rFonts w:ascii="ITC Avant Garde" w:hAnsi="ITC Avant Garde"/>
          <w:bCs/>
          <w:color w:val="000000"/>
          <w:lang w:eastAsia="es-MX"/>
        </w:rPr>
        <w:t>la Concesión</w:t>
      </w:r>
      <w:r w:rsidR="00A55244" w:rsidRPr="001D7B11">
        <w:rPr>
          <w:rFonts w:ascii="ITC Avant Garde" w:hAnsi="ITC Avant Garde"/>
          <w:bCs/>
          <w:color w:val="000000"/>
          <w:lang w:eastAsia="es-MX"/>
        </w:rPr>
        <w:t xml:space="preserve"> de Bandas</w:t>
      </w:r>
      <w:r w:rsidR="00780856" w:rsidRPr="001D7B11">
        <w:rPr>
          <w:rFonts w:ascii="ITC Avant Garde" w:hAnsi="ITC Avant Garde"/>
          <w:bCs/>
          <w:color w:val="000000"/>
          <w:lang w:eastAsia="es-MX"/>
        </w:rPr>
        <w:t xml:space="preserve">. </w:t>
      </w:r>
    </w:p>
    <w:p w:rsidR="00642B7F" w:rsidRDefault="004407F6" w:rsidP="00642B7F">
      <w:pPr>
        <w:numPr>
          <w:ilvl w:val="0"/>
          <w:numId w:val="1"/>
        </w:numPr>
        <w:spacing w:afterLines="120" w:after="288" w:line="240" w:lineRule="auto"/>
        <w:ind w:left="567"/>
        <w:jc w:val="both"/>
        <w:rPr>
          <w:rFonts w:ascii="ITC Avant Garde" w:hAnsi="ITC Avant Garde"/>
          <w:bCs/>
          <w:color w:val="000000"/>
          <w:lang w:eastAsia="es-MX"/>
        </w:rPr>
      </w:pPr>
      <w:r w:rsidRPr="00395926">
        <w:rPr>
          <w:rFonts w:ascii="ITC Avant Garde" w:hAnsi="ITC Avant Garde"/>
          <w:b/>
          <w:bCs/>
          <w:color w:val="000000"/>
          <w:lang w:eastAsia="es-MX"/>
        </w:rPr>
        <w:t xml:space="preserve">Otorgamiento de concesión única para uso comercial. </w:t>
      </w:r>
      <w:r w:rsidRPr="00395926">
        <w:rPr>
          <w:rFonts w:ascii="ITC Avant Garde" w:hAnsi="ITC Avant Garde"/>
          <w:bCs/>
          <w:color w:val="000000"/>
          <w:lang w:eastAsia="es-MX"/>
        </w:rPr>
        <w:t xml:space="preserve">Con fecha </w:t>
      </w:r>
      <w:r w:rsidR="001D7B11" w:rsidRPr="001D7B11">
        <w:rPr>
          <w:rFonts w:ascii="ITC Avant Garde" w:hAnsi="ITC Avant Garde"/>
          <w:bCs/>
          <w:color w:val="000000"/>
          <w:lang w:eastAsia="es-MX"/>
        </w:rPr>
        <w:t>1</w:t>
      </w:r>
      <w:r w:rsidR="004626A4">
        <w:rPr>
          <w:rFonts w:ascii="ITC Avant Garde" w:hAnsi="ITC Avant Garde"/>
          <w:bCs/>
          <w:color w:val="000000"/>
          <w:lang w:eastAsia="es-MX"/>
        </w:rPr>
        <w:t>8</w:t>
      </w:r>
      <w:r w:rsidR="009214A1" w:rsidRPr="001D7B11">
        <w:rPr>
          <w:rFonts w:ascii="ITC Avant Garde" w:hAnsi="ITC Avant Garde"/>
          <w:bCs/>
          <w:color w:val="000000"/>
          <w:lang w:eastAsia="es-MX"/>
        </w:rPr>
        <w:t xml:space="preserve"> de </w:t>
      </w:r>
      <w:r w:rsidR="0015087D" w:rsidRPr="001D7B11">
        <w:rPr>
          <w:rFonts w:ascii="ITC Avant Garde" w:hAnsi="ITC Avant Garde"/>
          <w:bCs/>
          <w:color w:val="000000"/>
          <w:lang w:eastAsia="es-MX"/>
        </w:rPr>
        <w:t>diciembre</w:t>
      </w:r>
      <w:r w:rsidR="00E669A7" w:rsidRPr="001D7B11">
        <w:rPr>
          <w:rFonts w:ascii="ITC Avant Garde" w:hAnsi="ITC Avant Garde"/>
          <w:bCs/>
          <w:color w:val="000000"/>
          <w:lang w:eastAsia="es-MX"/>
        </w:rPr>
        <w:t xml:space="preserve"> de 2017</w:t>
      </w:r>
      <w:r w:rsidR="00E669A7">
        <w:rPr>
          <w:rFonts w:ascii="ITC Avant Garde" w:hAnsi="ITC Avant Garde"/>
          <w:bCs/>
          <w:color w:val="000000"/>
          <w:lang w:eastAsia="es-MX"/>
        </w:rPr>
        <w:t xml:space="preserve">, el </w:t>
      </w:r>
      <w:r w:rsidR="008A740A">
        <w:rPr>
          <w:rFonts w:ascii="ITC Avant Garde" w:hAnsi="ITC Avant Garde"/>
          <w:bCs/>
          <w:color w:val="000000"/>
          <w:lang w:eastAsia="es-MX"/>
        </w:rPr>
        <w:t xml:space="preserve">Pleno del </w:t>
      </w:r>
      <w:r w:rsidR="00E669A7">
        <w:rPr>
          <w:rFonts w:ascii="ITC Avant Garde" w:hAnsi="ITC Avant Garde"/>
          <w:bCs/>
          <w:color w:val="000000"/>
          <w:lang w:eastAsia="es-MX"/>
        </w:rPr>
        <w:t>Instituto</w:t>
      </w:r>
      <w:r w:rsidR="001D7B11">
        <w:rPr>
          <w:rFonts w:ascii="ITC Avant Garde" w:hAnsi="ITC Avant Garde"/>
          <w:bCs/>
          <w:color w:val="000000"/>
          <w:lang w:eastAsia="es-MX"/>
        </w:rPr>
        <w:t xml:space="preserve"> </w:t>
      </w:r>
      <w:r w:rsidR="009214A1">
        <w:rPr>
          <w:rFonts w:ascii="ITC Avant Garde" w:hAnsi="ITC Avant Garde"/>
          <w:bCs/>
          <w:color w:val="000000"/>
          <w:lang w:eastAsia="es-MX"/>
        </w:rPr>
        <w:t xml:space="preserve">resolvió otorgar a favor de </w:t>
      </w:r>
      <w:r w:rsidR="00B85B42" w:rsidRPr="008D738A">
        <w:rPr>
          <w:rFonts w:ascii="ITC Avant Garde" w:hAnsi="ITC Avant Garde"/>
          <w:bCs/>
          <w:color w:val="000000"/>
          <w:lang w:eastAsia="es-MX"/>
        </w:rPr>
        <w:t>Tele Comarca</w:t>
      </w:r>
      <w:r w:rsidR="00E669A7">
        <w:rPr>
          <w:rFonts w:ascii="ITC Avant Garde" w:hAnsi="ITC Avant Garde"/>
          <w:bCs/>
          <w:color w:val="000000"/>
          <w:lang w:eastAsia="es-MX"/>
        </w:rPr>
        <w:t xml:space="preserve">, S.A. de C.V., un título de concesión única para uso comercial, </w:t>
      </w:r>
      <w:r w:rsidR="00A9606F" w:rsidRPr="00A9606F">
        <w:rPr>
          <w:rFonts w:ascii="ITC Avant Garde" w:hAnsi="ITC Avant Garde"/>
          <w:bCs/>
          <w:color w:val="000000"/>
          <w:lang w:eastAsia="es-MX"/>
        </w:rPr>
        <w:t>con una vigencia de 20 (veinte) a</w:t>
      </w:r>
      <w:r w:rsidR="00EA3EBB">
        <w:rPr>
          <w:rFonts w:ascii="ITC Avant Garde" w:hAnsi="ITC Avant Garde"/>
          <w:bCs/>
          <w:color w:val="000000"/>
          <w:lang w:eastAsia="es-MX"/>
        </w:rPr>
        <w:t xml:space="preserve">ños contados a partir del </w:t>
      </w:r>
      <w:r w:rsidR="00C72132">
        <w:rPr>
          <w:rFonts w:ascii="ITC Avant Garde" w:hAnsi="ITC Avant Garde"/>
          <w:bCs/>
          <w:color w:val="000000"/>
          <w:lang w:eastAsia="es-MX"/>
        </w:rPr>
        <w:t>23 de noviembre de 1998</w:t>
      </w:r>
      <w:r w:rsidR="00A9606F" w:rsidRPr="00A9606F">
        <w:rPr>
          <w:rFonts w:ascii="ITC Avant Garde" w:hAnsi="ITC Avant Garde"/>
          <w:bCs/>
          <w:color w:val="000000"/>
          <w:lang w:eastAsia="es-MX"/>
        </w:rPr>
        <w:t xml:space="preserve"> hasta el </w:t>
      </w:r>
      <w:r w:rsidR="00C72132">
        <w:rPr>
          <w:rFonts w:ascii="ITC Avant Garde" w:hAnsi="ITC Avant Garde"/>
          <w:bCs/>
          <w:color w:val="000000"/>
          <w:lang w:eastAsia="es-MX"/>
        </w:rPr>
        <w:t>23 de noviembre de 2018</w:t>
      </w:r>
      <w:r w:rsidR="00EA3EBB">
        <w:rPr>
          <w:rFonts w:ascii="ITC Avant Garde" w:hAnsi="ITC Avant Garde"/>
          <w:bCs/>
          <w:color w:val="000000"/>
          <w:lang w:eastAsia="es-MX"/>
        </w:rPr>
        <w:t xml:space="preserve">, y un plazo adicional de </w:t>
      </w:r>
      <w:r w:rsidR="00C72132">
        <w:rPr>
          <w:rFonts w:ascii="ITC Avant Garde" w:hAnsi="ITC Avant Garde"/>
          <w:bCs/>
          <w:color w:val="000000"/>
          <w:lang w:eastAsia="es-MX"/>
        </w:rPr>
        <w:t>10</w:t>
      </w:r>
      <w:r w:rsidR="00CF01AD">
        <w:rPr>
          <w:rFonts w:ascii="ITC Avant Garde" w:hAnsi="ITC Avant Garde"/>
          <w:bCs/>
          <w:color w:val="000000"/>
          <w:lang w:eastAsia="es-MX"/>
        </w:rPr>
        <w:t xml:space="preserve"> </w:t>
      </w:r>
      <w:r w:rsidR="00A9606F" w:rsidRPr="00A9606F">
        <w:rPr>
          <w:rFonts w:ascii="ITC Avant Garde" w:hAnsi="ITC Avant Garde"/>
          <w:bCs/>
          <w:color w:val="000000"/>
          <w:lang w:eastAsia="es-MX"/>
        </w:rPr>
        <w:t>(</w:t>
      </w:r>
      <w:r w:rsidR="00C72132">
        <w:rPr>
          <w:rFonts w:ascii="ITC Avant Garde" w:hAnsi="ITC Avant Garde"/>
          <w:bCs/>
          <w:color w:val="000000"/>
          <w:lang w:eastAsia="es-MX"/>
        </w:rPr>
        <w:t>diez</w:t>
      </w:r>
      <w:r w:rsidR="00A9606F" w:rsidRPr="00A9606F">
        <w:rPr>
          <w:rFonts w:ascii="ITC Avant Garde" w:hAnsi="ITC Avant Garde"/>
          <w:bCs/>
          <w:color w:val="000000"/>
          <w:lang w:eastAsia="es-MX"/>
        </w:rPr>
        <w:t xml:space="preserve">) años, contados a partir del </w:t>
      </w:r>
      <w:r w:rsidR="00C72132">
        <w:rPr>
          <w:rFonts w:ascii="ITC Avant Garde" w:hAnsi="ITC Avant Garde"/>
          <w:bCs/>
          <w:color w:val="000000"/>
          <w:lang w:eastAsia="es-MX"/>
        </w:rPr>
        <w:t>24 de noviembre de 2018</w:t>
      </w:r>
      <w:r w:rsidR="00997043" w:rsidRPr="00395926">
        <w:rPr>
          <w:rFonts w:ascii="ITC Avant Garde" w:hAnsi="ITC Avant Garde"/>
          <w:bCs/>
          <w:color w:val="000000"/>
          <w:lang w:eastAsia="es-MX"/>
        </w:rPr>
        <w:t xml:space="preserve">. </w:t>
      </w:r>
    </w:p>
    <w:p w:rsidR="00642B7F" w:rsidRDefault="00A21167" w:rsidP="00642B7F">
      <w:pPr>
        <w:spacing w:afterLines="120" w:after="288" w:line="240" w:lineRule="auto"/>
        <w:jc w:val="both"/>
        <w:rPr>
          <w:rFonts w:ascii="ITC Avant Garde" w:hAnsi="ITC Avant Garde"/>
          <w:bCs/>
          <w:color w:val="000000"/>
          <w:lang w:eastAsia="es-MX"/>
        </w:rPr>
      </w:pPr>
      <w:r w:rsidRPr="004E69E8">
        <w:rPr>
          <w:rFonts w:ascii="ITC Avant Garde" w:hAnsi="ITC Avant Garde"/>
          <w:bCs/>
          <w:color w:val="000000"/>
          <w:lang w:eastAsia="es-MX"/>
        </w:rPr>
        <w:t>En virtud de los Antecedentes referidos y,</w:t>
      </w:r>
    </w:p>
    <w:p w:rsidR="00642B7F" w:rsidRPr="00C63E22" w:rsidRDefault="00A21167" w:rsidP="00C63E22">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C63E22">
        <w:rPr>
          <w:rFonts w:ascii="ITC Avant Garde" w:eastAsia="Times New Roman" w:hAnsi="ITC Avant Garde" w:cs="Arial"/>
          <w:b/>
          <w:bCs/>
          <w:color w:val="auto"/>
          <w:sz w:val="22"/>
          <w:szCs w:val="22"/>
        </w:rPr>
        <w:t>CONSIDERANDO</w:t>
      </w:r>
    </w:p>
    <w:p w:rsidR="00642B7F" w:rsidRDefault="00912A64"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
          <w:bCs/>
        </w:rPr>
        <w:t>Primero.- Competencia.</w:t>
      </w:r>
      <w:r w:rsidRPr="004E69E8">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w:t>
      </w:r>
      <w:r w:rsidRPr="004E69E8">
        <w:rPr>
          <w:rFonts w:ascii="ITC Avant Garde" w:hAnsi="ITC Avant Garde"/>
          <w:bCs/>
        </w:rPr>
        <w:lastRenderedPageBreak/>
        <w:t>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642B7F" w:rsidRDefault="00912A64"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642B7F" w:rsidRDefault="005B2605"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En términos de lo dispuesto en el párrafo tercero del artículo Cuarto Transitorio del Decreto de Reforma Constitucional, el Instituto publicó los Lineamientos, con la finalidad de determinar los requisitos, términos y condiciones que los actuales concesionarios de </w:t>
      </w:r>
      <w:r w:rsidR="00B017A6" w:rsidRPr="004E69E8">
        <w:rPr>
          <w:rFonts w:ascii="ITC Avant Garde" w:hAnsi="ITC Avant Garde"/>
          <w:bCs/>
        </w:rPr>
        <w:t xml:space="preserve">radiodifusión, </w:t>
      </w:r>
      <w:r w:rsidRPr="004E69E8">
        <w:rPr>
          <w:rFonts w:ascii="ITC Avant Garde" w:hAnsi="ITC Avant Garde"/>
          <w:bCs/>
        </w:rPr>
        <w:t>telecomunicaciones y</w:t>
      </w:r>
      <w:r w:rsidR="00B017A6" w:rsidRPr="004E69E8">
        <w:rPr>
          <w:rFonts w:ascii="ITC Avant Garde" w:hAnsi="ITC Avant Garde"/>
          <w:bCs/>
        </w:rPr>
        <w:t xml:space="preserve"> telefonía</w:t>
      </w:r>
      <w:r w:rsidRPr="004E69E8">
        <w:rPr>
          <w:rFonts w:ascii="ITC Avant Garde" w:hAnsi="ITC Avant Garde"/>
          <w:bCs/>
        </w:rPr>
        <w:t xml:space="preserve"> deben cumplir para obtener autorización para prestar servicios adicionales a los comprendidos en su título de concesión. </w:t>
      </w:r>
    </w:p>
    <w:p w:rsidR="00642B7F" w:rsidRDefault="002A5C57"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Asimismo, el </w:t>
      </w:r>
      <w:r w:rsidRPr="00004B6A">
        <w:rPr>
          <w:rFonts w:ascii="ITC Avant Garde" w:hAnsi="ITC Avant Garde"/>
          <w:bCs/>
        </w:rPr>
        <w:t>Pleno del Instituto está facultado, conforme a lo establecido por los artículos 15 fracciones IV</w:t>
      </w:r>
      <w:r w:rsidR="00D54882" w:rsidRPr="00004B6A">
        <w:rPr>
          <w:rFonts w:ascii="ITC Avant Garde" w:hAnsi="ITC Avant Garde"/>
          <w:bCs/>
        </w:rPr>
        <w:t>, VIII</w:t>
      </w:r>
      <w:r w:rsidRPr="00004B6A">
        <w:rPr>
          <w:rFonts w:ascii="ITC Avant Garde" w:hAnsi="ITC Avant Garde"/>
          <w:bCs/>
        </w:rPr>
        <w:t xml:space="preserve"> y </w:t>
      </w:r>
      <w:r w:rsidRPr="00EA3EBB">
        <w:rPr>
          <w:rFonts w:ascii="ITC Avant Garde" w:hAnsi="ITC Avant Garde"/>
          <w:bCs/>
        </w:rPr>
        <w:t>LVII</w:t>
      </w:r>
      <w:r w:rsidRPr="00004B6A">
        <w:rPr>
          <w:rFonts w:ascii="ITC Avant Garde" w:hAnsi="ITC Avant Garde"/>
          <w:bCs/>
        </w:rPr>
        <w:t>, 16 y 17 fracción I de la Ley Federal de Telecomunicaciones y Radiodifusión (la “Ley”), para resolver, entre</w:t>
      </w:r>
      <w:r w:rsidRPr="004E69E8">
        <w:rPr>
          <w:rFonts w:ascii="ITC Avant Garde" w:hAnsi="ITC Avant Garde"/>
          <w:bCs/>
        </w:rPr>
        <w:t xml:space="preserve"> otras, sobre </w:t>
      </w:r>
      <w:r w:rsidR="0055242B" w:rsidRPr="004E69E8">
        <w:rPr>
          <w:rFonts w:ascii="ITC Avant Garde" w:hAnsi="ITC Avant Garde"/>
          <w:bCs/>
        </w:rPr>
        <w:t>el otorgamiento</w:t>
      </w:r>
      <w:r w:rsidR="004C3A18" w:rsidRPr="004E69E8">
        <w:rPr>
          <w:rFonts w:ascii="ITC Avant Garde" w:hAnsi="ITC Avant Garde"/>
          <w:bCs/>
        </w:rPr>
        <w:t xml:space="preserve"> y modificación</w:t>
      </w:r>
      <w:r w:rsidRPr="004E69E8">
        <w:rPr>
          <w:rFonts w:ascii="ITC Avant Garde" w:hAnsi="ITC Avant Garde"/>
          <w:bCs/>
        </w:rPr>
        <w:t xml:space="preserve"> de concesiones</w:t>
      </w:r>
      <w:r w:rsidR="00A57839" w:rsidRPr="004E69E8">
        <w:rPr>
          <w:rFonts w:ascii="ITC Avant Garde" w:hAnsi="ITC Avant Garde"/>
          <w:bCs/>
        </w:rPr>
        <w:t xml:space="preserve">, </w:t>
      </w:r>
      <w:r w:rsidR="00552E89" w:rsidRPr="004E69E8">
        <w:rPr>
          <w:rFonts w:ascii="ITC Avant Garde" w:hAnsi="ITC Avant Garde"/>
          <w:bCs/>
        </w:rPr>
        <w:t>f</w:t>
      </w:r>
      <w:r w:rsidR="00D54882" w:rsidRPr="004E69E8">
        <w:rPr>
          <w:rFonts w:ascii="ITC Avant Garde" w:hAnsi="ITC Avant Garde"/>
          <w:bCs/>
        </w:rPr>
        <w:t xml:space="preserve">ijar tanto el monto de las contraprestaciones por la autorización de servicios adicionales vinculados a éstas, </w:t>
      </w:r>
      <w:r w:rsidR="00EA3EBB">
        <w:rPr>
          <w:rFonts w:ascii="ITC Avant Garde" w:hAnsi="ITC Avant Garde"/>
          <w:bCs/>
        </w:rPr>
        <w:t>siempre que se solicite la</w:t>
      </w:r>
      <w:r w:rsidR="00D54882" w:rsidRPr="004E69E8">
        <w:rPr>
          <w:rFonts w:ascii="ITC Avant Garde" w:hAnsi="ITC Avant Garde"/>
          <w:bCs/>
        </w:rPr>
        <w:t xml:space="preserve"> opinión no vinculante de la</w:t>
      </w:r>
      <w:r w:rsidR="00552E89" w:rsidRPr="004E69E8">
        <w:rPr>
          <w:rFonts w:ascii="ITC Avant Garde" w:hAnsi="ITC Avant Garde"/>
          <w:bCs/>
        </w:rPr>
        <w:t xml:space="preserve"> </w:t>
      </w:r>
      <w:r w:rsidR="00D54882" w:rsidRPr="004E69E8">
        <w:rPr>
          <w:rFonts w:ascii="ITC Avant Garde" w:hAnsi="ITC Avant Garde"/>
          <w:bCs/>
        </w:rPr>
        <w:t>Secretaría de Hacienda y Crédito Público</w:t>
      </w:r>
      <w:r w:rsidRPr="004E69E8">
        <w:rPr>
          <w:rFonts w:ascii="ITC Avant Garde" w:hAnsi="ITC Avant Garde"/>
          <w:bCs/>
        </w:rPr>
        <w:t xml:space="preserve"> y para interpretar la Ley, así como las disposiciones administrativas en materia de telecomunicaciones y radiodifusión, en el ámbito de sus atribuciones.</w:t>
      </w:r>
    </w:p>
    <w:p w:rsidR="00642B7F" w:rsidRDefault="002A5C57"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Por otra parte, el artículo 6 fracciones</w:t>
      </w:r>
      <w:r w:rsidR="00B36CBB" w:rsidRPr="004E69E8">
        <w:rPr>
          <w:rFonts w:ascii="ITC Avant Garde" w:hAnsi="ITC Avant Garde"/>
          <w:bCs/>
        </w:rPr>
        <w:t xml:space="preserve"> I,</w:t>
      </w:r>
      <w:r w:rsidRPr="004E69E8">
        <w:rPr>
          <w:rFonts w:ascii="ITC Avant Garde" w:hAnsi="ITC Avant Garde"/>
          <w:bCs/>
        </w:rPr>
        <w:t xml:space="preserve"> XV y XVIII del Estatuto Orgánico, establece que corresponde al Pleno, además de las atribuciones establecidas como indelegables en la Ley, entre otras, </w:t>
      </w:r>
      <w:r w:rsidR="00B36CBB" w:rsidRPr="004E69E8">
        <w:rPr>
          <w:rFonts w:ascii="ITC Avant Garde" w:hAnsi="ITC Avant Garde"/>
          <w:bCs/>
        </w:rPr>
        <w:t>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w:t>
      </w:r>
      <w:r w:rsidR="00775DC9" w:rsidRPr="004E69E8">
        <w:rPr>
          <w:rFonts w:ascii="ITC Avant Garde" w:hAnsi="ITC Avant Garde"/>
          <w:bCs/>
        </w:rPr>
        <w:t>ura activa, pasiva e insumos es</w:t>
      </w:r>
      <w:r w:rsidR="00B36CBB" w:rsidRPr="004E69E8">
        <w:rPr>
          <w:rFonts w:ascii="ITC Avant Garde" w:hAnsi="ITC Avant Garde"/>
          <w:bCs/>
        </w:rPr>
        <w:t>enciales;</w:t>
      </w:r>
      <w:r w:rsidRPr="004E69E8">
        <w:rPr>
          <w:rFonts w:ascii="ITC Avant Garde" w:hAnsi="ITC Avant Garde"/>
          <w:bCs/>
        </w:rPr>
        <w:t xml:space="preserve"> autorizar las solicitudes de servicios adicionales a los originalmente contemplados en las concesiones otorgadas que utilicen bandas de frecuencias del espectro radioeléctrico</w:t>
      </w:r>
      <w:r w:rsidR="00B36CBB" w:rsidRPr="004E69E8">
        <w:rPr>
          <w:rFonts w:ascii="ITC Avant Garde" w:hAnsi="ITC Avant Garde"/>
          <w:bCs/>
        </w:rPr>
        <w:t>,</w:t>
      </w:r>
      <w:r w:rsidR="00FB03CB" w:rsidRPr="004E69E8">
        <w:rPr>
          <w:rFonts w:ascii="ITC Avant Garde" w:hAnsi="ITC Avant Garde"/>
          <w:bCs/>
        </w:rPr>
        <w:t xml:space="preserve"> e </w:t>
      </w:r>
      <w:r w:rsidRPr="004E69E8">
        <w:rPr>
          <w:rFonts w:ascii="ITC Avant Garde" w:hAnsi="ITC Avant Garde"/>
          <w:bCs/>
        </w:rPr>
        <w:t>interpretar, en su caso, la Ley, así como las disposiciones administrativas en materia de telecomunicaciones y radiodifusión, en el ámbito de sus atribuciones.</w:t>
      </w:r>
    </w:p>
    <w:p w:rsidR="00642B7F" w:rsidRDefault="008D0CA6"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Finalmente, c</w:t>
      </w:r>
      <w:r w:rsidR="00583D11" w:rsidRPr="004E69E8">
        <w:rPr>
          <w:rFonts w:ascii="ITC Avant Garde" w:hAnsi="ITC Avant Garde"/>
          <w:bCs/>
        </w:rPr>
        <w:t xml:space="preserve">onforme a </w:t>
      </w:r>
      <w:r w:rsidR="00DA6040" w:rsidRPr="004E69E8">
        <w:rPr>
          <w:rFonts w:ascii="ITC Avant Garde" w:hAnsi="ITC Avant Garde"/>
          <w:bCs/>
        </w:rPr>
        <w:t>los artículos 3</w:t>
      </w:r>
      <w:r w:rsidR="00696270" w:rsidRPr="004E69E8">
        <w:rPr>
          <w:rFonts w:ascii="ITC Avant Garde" w:hAnsi="ITC Avant Garde"/>
          <w:bCs/>
        </w:rPr>
        <w:t>2 y 33 fracci</w:t>
      </w:r>
      <w:r w:rsidR="00702DD9" w:rsidRPr="004E69E8">
        <w:rPr>
          <w:rFonts w:ascii="ITC Avant Garde" w:hAnsi="ITC Avant Garde"/>
          <w:bCs/>
        </w:rPr>
        <w:t>ones II y</w:t>
      </w:r>
      <w:r w:rsidR="00583D11" w:rsidRPr="004E69E8">
        <w:rPr>
          <w:rFonts w:ascii="ITC Avant Garde" w:hAnsi="ITC Avant Garde"/>
          <w:bCs/>
        </w:rPr>
        <w:t xml:space="preserve"> VII del Estatuto Orgánico, corresponde a la Unidad de Concesiones y Servicios, a través de la Dirección General de Concesiones de Telecomunicaciones, tramitar y evaluar</w:t>
      </w:r>
      <w:r w:rsidR="00702DD9" w:rsidRPr="004E69E8">
        <w:rPr>
          <w:rFonts w:ascii="ITC Avant Garde" w:hAnsi="ITC Avant Garde"/>
          <w:bCs/>
        </w:rPr>
        <w:t xml:space="preserve">, entre otras, las solicitudes </w:t>
      </w:r>
      <w:r w:rsidR="00702DD9" w:rsidRPr="004E69E8">
        <w:rPr>
          <w:rFonts w:ascii="ITC Avant Garde" w:hAnsi="ITC Avant Garde"/>
          <w:bCs/>
        </w:rPr>
        <w:lastRenderedPageBreak/>
        <w:t>de modificación de las concesiones en materia de telecomunicaciones así como las solicitudes</w:t>
      </w:r>
      <w:r w:rsidR="00583D11" w:rsidRPr="004E69E8">
        <w:rPr>
          <w:rFonts w:ascii="ITC Avant Garde" w:hAnsi="ITC Avant Garde"/>
          <w:bCs/>
        </w:rPr>
        <w:t xml:space="preserve"> de autorización para prestar servicios adicionales de las concesiones que hagan uso del espectro radioeléctrico</w:t>
      </w:r>
      <w:r w:rsidR="00917128" w:rsidRPr="004E69E8">
        <w:rPr>
          <w:rFonts w:ascii="ITC Avant Garde" w:hAnsi="ITC Avant Garde"/>
          <w:bCs/>
        </w:rPr>
        <w:t>,</w:t>
      </w:r>
      <w:r w:rsidR="00EB506B" w:rsidRPr="004E69E8">
        <w:rPr>
          <w:rFonts w:ascii="ITC Avant Garde" w:hAnsi="ITC Avant Garde"/>
          <w:bCs/>
        </w:rPr>
        <w:t xml:space="preserve"> estas últimas</w:t>
      </w:r>
      <w:r w:rsidR="00917128" w:rsidRPr="004E69E8">
        <w:rPr>
          <w:rFonts w:ascii="ITC Avant Garde" w:hAnsi="ITC Avant Garde"/>
          <w:bCs/>
        </w:rPr>
        <w:t xml:space="preserve"> </w:t>
      </w:r>
      <w:r w:rsidR="00EA3EBB">
        <w:rPr>
          <w:rFonts w:ascii="ITC Avant Garde" w:hAnsi="ITC Avant Garde"/>
          <w:bCs/>
        </w:rPr>
        <w:t>tomando en cuenta la</w:t>
      </w:r>
      <w:r w:rsidR="00702DD9" w:rsidRPr="004E69E8">
        <w:rPr>
          <w:rFonts w:ascii="ITC Avant Garde" w:hAnsi="ITC Avant Garde"/>
          <w:bCs/>
        </w:rPr>
        <w:t xml:space="preserve"> opinión de la Unidad de Espectro Radioeléctrico, </w:t>
      </w:r>
      <w:r w:rsidR="00583D11" w:rsidRPr="004E69E8">
        <w:rPr>
          <w:rFonts w:ascii="ITC Avant Garde" w:hAnsi="ITC Avant Garde"/>
          <w:bCs/>
        </w:rPr>
        <w:t>propon</w:t>
      </w:r>
      <w:r w:rsidR="00702DD9" w:rsidRPr="004E69E8">
        <w:rPr>
          <w:rFonts w:ascii="ITC Avant Garde" w:hAnsi="ITC Avant Garde"/>
          <w:bCs/>
        </w:rPr>
        <w:t>iendo</w:t>
      </w:r>
      <w:r w:rsidR="00583D11" w:rsidRPr="004E69E8">
        <w:rPr>
          <w:rFonts w:ascii="ITC Avant Garde" w:hAnsi="ITC Avant Garde"/>
          <w:bCs/>
        </w:rPr>
        <w:t xml:space="preserve"> al Pleno la resolución que corresponda</w:t>
      </w:r>
      <w:r w:rsidR="00D839C5" w:rsidRPr="004E69E8">
        <w:rPr>
          <w:rFonts w:ascii="ITC Avant Garde" w:hAnsi="ITC Avant Garde"/>
          <w:bCs/>
        </w:rPr>
        <w:t>.</w:t>
      </w:r>
    </w:p>
    <w:p w:rsidR="00642B7F" w:rsidRDefault="001A7CEA" w:rsidP="00642B7F">
      <w:pPr>
        <w:autoSpaceDE w:val="0"/>
        <w:autoSpaceDN w:val="0"/>
        <w:adjustRightInd w:val="0"/>
        <w:spacing w:afterLines="120" w:after="288" w:line="240" w:lineRule="auto"/>
        <w:jc w:val="both"/>
        <w:rPr>
          <w:rFonts w:ascii="ITC Avant Garde" w:hAnsi="ITC Avant Garde"/>
          <w:bCs/>
          <w:color w:val="000000"/>
        </w:rPr>
      </w:pPr>
      <w:r w:rsidRPr="004E69E8">
        <w:rPr>
          <w:rFonts w:ascii="ITC Avant Garde" w:hAnsi="ITC Avant Garde"/>
          <w:bCs/>
        </w:rPr>
        <w:t xml:space="preserve">En este orden de ideas, </w:t>
      </w:r>
      <w:r w:rsidR="002B5B76" w:rsidRPr="004E69E8">
        <w:rPr>
          <w:rFonts w:ascii="ITC Avant Garde" w:hAnsi="ITC Avant Garde"/>
          <w:bCs/>
        </w:rPr>
        <w:t>el Instituto</w:t>
      </w:r>
      <w:r w:rsidR="00916ABA" w:rsidRPr="004E69E8">
        <w:rPr>
          <w:rFonts w:ascii="ITC Avant Garde" w:hAnsi="ITC Avant Garde"/>
          <w:bCs/>
        </w:rPr>
        <w:t xml:space="preserve"> </w:t>
      </w:r>
      <w:r w:rsidR="00364883" w:rsidRPr="004E69E8">
        <w:rPr>
          <w:rFonts w:ascii="ITC Avant Garde" w:hAnsi="ITC Avant Garde"/>
          <w:bCs/>
        </w:rPr>
        <w:t>tiene a su cargo la regulación, promoción y supervisión del uso, aprovechamiento y explotación del espectro radioeléctrico, los recursos orbitales, los servicios satelitales, las redes de telecomunicaciones y la prestación de los servicios de radiodifusión y telecomunicaciones;</w:t>
      </w:r>
      <w:r w:rsidR="00C25B5F" w:rsidRPr="004E69E8">
        <w:rPr>
          <w:rFonts w:ascii="ITC Avant Garde" w:hAnsi="ITC Avant Garde"/>
          <w:bCs/>
        </w:rPr>
        <w:t xml:space="preserve"> el acceso a infraestructura activa, pasiva e insumos esenciales, así como </w:t>
      </w:r>
      <w:r w:rsidR="00F3451D" w:rsidRPr="004E69E8">
        <w:rPr>
          <w:rFonts w:ascii="ITC Avant Garde" w:hAnsi="ITC Avant Garde"/>
          <w:bCs/>
        </w:rPr>
        <w:t xml:space="preserve">resolver las modificaciones de las concesiones; </w:t>
      </w:r>
      <w:r w:rsidR="008D6D61" w:rsidRPr="004E69E8">
        <w:rPr>
          <w:rFonts w:ascii="ITC Avant Garde" w:hAnsi="ITC Avant Garde"/>
          <w:bCs/>
        </w:rPr>
        <w:t xml:space="preserve">fijar el monto de las contraprestaciones por la autorización de servicios adicionales vinculados a concesiones, </w:t>
      </w:r>
      <w:r w:rsidR="004E3606">
        <w:rPr>
          <w:rFonts w:ascii="ITC Avant Garde" w:hAnsi="ITC Avant Garde"/>
          <w:bCs/>
        </w:rPr>
        <w:t>siempre que se solicite la</w:t>
      </w:r>
      <w:r w:rsidR="008D6D61" w:rsidRPr="004E69E8">
        <w:rPr>
          <w:rFonts w:ascii="ITC Avant Garde" w:hAnsi="ITC Avant Garde"/>
          <w:bCs/>
        </w:rPr>
        <w:t xml:space="preserve"> opinión no vinculante de la Secretaría de Hacienda y Crédito Público, e interpretar la Ley, así como las disposiciones administrativas en materia de telecomunicaciones y radiodifusión, en el ámbito de sus atribuciones</w:t>
      </w:r>
      <w:r w:rsidR="0089347D" w:rsidRPr="004E69E8">
        <w:rPr>
          <w:rFonts w:ascii="ITC Avant Garde" w:hAnsi="ITC Avant Garde"/>
          <w:bCs/>
        </w:rPr>
        <w:t>. En relación con lo anterior, el Pleno, como órgano máximo de gobierno y decisión del Instituto, se encuentra plenamente facultado para</w:t>
      </w:r>
      <w:r w:rsidR="008D6D61" w:rsidRPr="004E69E8">
        <w:rPr>
          <w:rFonts w:ascii="ITC Avant Garde" w:hAnsi="ITC Avant Garde"/>
          <w:bCs/>
        </w:rPr>
        <w:t xml:space="preserve"> resolver</w:t>
      </w:r>
      <w:r w:rsidR="0089347D" w:rsidRPr="004E69E8">
        <w:rPr>
          <w:rFonts w:ascii="ITC Avant Garde" w:hAnsi="ITC Avant Garde"/>
          <w:bCs/>
        </w:rPr>
        <w:t xml:space="preserve"> la Solicitud de </w:t>
      </w:r>
      <w:r w:rsidR="00284675" w:rsidRPr="004E69E8">
        <w:rPr>
          <w:rFonts w:ascii="ITC Avant Garde" w:hAnsi="ITC Avant Garde"/>
          <w:bCs/>
        </w:rPr>
        <w:t>Servicios Adicionales</w:t>
      </w:r>
      <w:r w:rsidR="0089347D" w:rsidRPr="004E69E8">
        <w:rPr>
          <w:rFonts w:ascii="ITC Avant Garde" w:hAnsi="ITC Avant Garde"/>
          <w:bCs/>
        </w:rPr>
        <w:t>.</w:t>
      </w:r>
    </w:p>
    <w:p w:rsidR="00642B7F" w:rsidRDefault="00A21167"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
          <w:bCs/>
        </w:rPr>
        <w:t xml:space="preserve">Segundo.- Marco normativo general aplicable a la </w:t>
      </w:r>
      <w:r w:rsidR="00B017A6" w:rsidRPr="004E69E8">
        <w:rPr>
          <w:rFonts w:ascii="ITC Avant Garde" w:hAnsi="ITC Avant Garde"/>
          <w:b/>
          <w:bCs/>
        </w:rPr>
        <w:t>Solicitud de Servicios A</w:t>
      </w:r>
      <w:r w:rsidR="002F62AB" w:rsidRPr="004E69E8">
        <w:rPr>
          <w:rFonts w:ascii="ITC Avant Garde" w:hAnsi="ITC Avant Garde"/>
          <w:b/>
          <w:bCs/>
        </w:rPr>
        <w:t>dicionales</w:t>
      </w:r>
      <w:r w:rsidRPr="004E69E8">
        <w:rPr>
          <w:rFonts w:ascii="ITC Avant Garde" w:hAnsi="ITC Avant Garde"/>
          <w:b/>
          <w:bCs/>
        </w:rPr>
        <w:t>.</w:t>
      </w:r>
      <w:r w:rsidRPr="004E69E8">
        <w:rPr>
          <w:rFonts w:ascii="ITC Avant Garde" w:hAnsi="ITC Avant Garde"/>
          <w:bCs/>
        </w:rPr>
        <w:t xml:space="preserve"> </w:t>
      </w:r>
      <w:r w:rsidR="00D93EED" w:rsidRPr="00A61D6E">
        <w:rPr>
          <w:rFonts w:ascii="ITC Avant Garde" w:hAnsi="ITC Avant Garde"/>
          <w:bCs/>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establezca</w:t>
      </w:r>
      <w:r w:rsidR="00AF6ED2" w:rsidRPr="004E69E8">
        <w:rPr>
          <w:rFonts w:ascii="ITC Avant Garde" w:hAnsi="ITC Avant Garde"/>
          <w:bCs/>
        </w:rPr>
        <w:t>.</w:t>
      </w:r>
    </w:p>
    <w:p w:rsidR="00642B7F" w:rsidRDefault="00D472C1" w:rsidP="00642B7F">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En consistencia con lo anterior, la</w:t>
      </w:r>
      <w:r w:rsidR="009678F2">
        <w:rPr>
          <w:rFonts w:ascii="ITC Avant Garde" w:hAnsi="ITC Avant Garde"/>
          <w:bCs/>
        </w:rPr>
        <w:t xml:space="preserve"> Concesión</w:t>
      </w:r>
      <w:r>
        <w:rPr>
          <w:rFonts w:ascii="ITC Avant Garde" w:hAnsi="ITC Avant Garde"/>
          <w:bCs/>
        </w:rPr>
        <w:t xml:space="preserve"> de Bandas, en su C</w:t>
      </w:r>
      <w:r w:rsidRPr="00A61D6E">
        <w:rPr>
          <w:rFonts w:ascii="ITC Avant Garde" w:hAnsi="ITC Avant Garde"/>
          <w:bCs/>
        </w:rPr>
        <w:t xml:space="preserve">ondición </w:t>
      </w:r>
      <w:r w:rsidRPr="00A61D6E">
        <w:rPr>
          <w:rFonts w:ascii="ITC Avant Garde" w:hAnsi="ITC Avant Garde"/>
          <w:b/>
          <w:bCs/>
          <w:i/>
        </w:rPr>
        <w:t>“2.1. Servicios Adicionales”,</w:t>
      </w:r>
      <w:r w:rsidR="009678F2">
        <w:rPr>
          <w:rFonts w:ascii="ITC Avant Garde" w:hAnsi="ITC Avant Garde"/>
          <w:bCs/>
        </w:rPr>
        <w:t xml:space="preserve"> establece</w:t>
      </w:r>
      <w:r w:rsidRPr="00A61D6E">
        <w:rPr>
          <w:rFonts w:ascii="ITC Avant Garde" w:hAnsi="ITC Avant Garde"/>
          <w:bCs/>
        </w:rPr>
        <w:t xml:space="preserve"> lo siguiente:</w:t>
      </w:r>
    </w:p>
    <w:p w:rsidR="00642B7F" w:rsidRDefault="00D472C1" w:rsidP="00642B7F">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w:t>
      </w:r>
      <w:r w:rsidRPr="00A61D6E">
        <w:rPr>
          <w:rFonts w:ascii="ITC Avant Garde" w:hAnsi="ITC Avant Garde"/>
          <w:b/>
          <w:bCs/>
          <w:i/>
          <w:sz w:val="18"/>
        </w:rPr>
        <w:t>2.1. Servicios Adicionales.</w:t>
      </w:r>
      <w:r w:rsidRPr="00A61D6E">
        <w:rPr>
          <w:rFonts w:ascii="ITC Avant Garde" w:hAnsi="ITC Avant Garde"/>
          <w:bCs/>
          <w:i/>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A61D6E">
        <w:rPr>
          <w:rFonts w:ascii="ITC Avant Garde" w:hAnsi="ITC Avant Garde"/>
          <w:b/>
          <w:bCs/>
          <w:i/>
          <w:sz w:val="18"/>
        </w:rPr>
        <w:t>y/o obtener autorización para prestar servicios adicionales a los previstos en la presente Concesión, a efecto de estar prestando efectivamente servicios de acceso inalámbrico</w:t>
      </w:r>
      <w:r w:rsidRPr="00A61D6E">
        <w:rPr>
          <w:rFonts w:ascii="ITC Avant Garde" w:hAnsi="ITC Avant Garde"/>
          <w:bCs/>
          <w:i/>
          <w:sz w:val="18"/>
        </w:rPr>
        <w:t>; para lo cual deberá haber cumplido con los términos, obligaciones y contraprestaciones que le imponga el Instituto, en particular, con las contraprestaciones por la autorización de los servicios adicionales no previstos en la presente Concesión.</w:t>
      </w:r>
    </w:p>
    <w:p w:rsidR="00642B7F" w:rsidRDefault="00D472C1" w:rsidP="00642B7F">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El plazo señalado en el párrafo anterior, podrá ampliarse hasta por un año más, por única ocasión, previa solicitud del Concesionario y aprobación del Instituto.</w:t>
      </w:r>
    </w:p>
    <w:p w:rsidR="00642B7F" w:rsidRDefault="00D472C1" w:rsidP="00642B7F">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lastRenderedPageBreak/>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642B7F" w:rsidRDefault="00D472C1" w:rsidP="00642B7F">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642B7F" w:rsidRDefault="00D472C1" w:rsidP="00642B7F">
      <w:pPr>
        <w:autoSpaceDE w:val="0"/>
        <w:autoSpaceDN w:val="0"/>
        <w:adjustRightInd w:val="0"/>
        <w:spacing w:afterLines="120" w:after="288" w:line="240" w:lineRule="auto"/>
        <w:ind w:left="709" w:right="899"/>
        <w:jc w:val="both"/>
        <w:rPr>
          <w:rFonts w:ascii="ITC Avant Garde" w:hAnsi="ITC Avant Garde"/>
          <w:bCs/>
          <w:sz w:val="18"/>
        </w:rPr>
      </w:pPr>
      <w:r w:rsidRPr="00A61D6E">
        <w:rPr>
          <w:rFonts w:ascii="ITC Avant Garde" w:hAnsi="ITC Avant Garde"/>
          <w:bCs/>
          <w:i/>
          <w:sz w:val="18"/>
        </w:rPr>
        <w:t xml:space="preserve">En cualquiera de los supuestos antes señalados, las bandas de frecuencias se revertirán a favor de la Nación, sin pago o devolución de cantidad o contraprestación alguna a favor del Concesionario” </w:t>
      </w:r>
      <w:r w:rsidRPr="00A61D6E">
        <w:rPr>
          <w:rFonts w:ascii="ITC Avant Garde" w:hAnsi="ITC Avant Garde"/>
          <w:bCs/>
          <w:sz w:val="18"/>
        </w:rPr>
        <w:t>[sic]</w:t>
      </w:r>
      <w:r w:rsidR="00AF6ED2" w:rsidRPr="004E69E8">
        <w:rPr>
          <w:rFonts w:ascii="ITC Avant Garde" w:hAnsi="ITC Avant Garde"/>
          <w:bCs/>
          <w:i/>
          <w:sz w:val="18"/>
        </w:rPr>
        <w:t>.</w:t>
      </w:r>
    </w:p>
    <w:p w:rsidR="00642B7F" w:rsidRDefault="00AF6ED2" w:rsidP="00642B7F">
      <w:pPr>
        <w:autoSpaceDE w:val="0"/>
        <w:autoSpaceDN w:val="0"/>
        <w:adjustRightInd w:val="0"/>
        <w:spacing w:afterLines="120" w:after="288" w:line="240" w:lineRule="auto"/>
        <w:ind w:left="709" w:right="899"/>
        <w:jc w:val="right"/>
        <w:rPr>
          <w:rFonts w:ascii="ITC Avant Garde" w:hAnsi="ITC Avant Garde"/>
          <w:bCs/>
          <w:sz w:val="18"/>
        </w:rPr>
      </w:pPr>
      <w:r w:rsidRPr="004E69E8">
        <w:rPr>
          <w:rFonts w:ascii="ITC Avant Garde" w:hAnsi="ITC Avant Garde"/>
          <w:bCs/>
          <w:iCs/>
          <w:sz w:val="18"/>
        </w:rPr>
        <w:t>[Énfasis añadido]</w:t>
      </w:r>
    </w:p>
    <w:p w:rsidR="00642B7F" w:rsidRDefault="00AF6ED2"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Por otro lado, e</w:t>
      </w:r>
      <w:r w:rsidR="00A21167" w:rsidRPr="004E69E8">
        <w:rPr>
          <w:rFonts w:ascii="ITC Avant Garde" w:hAnsi="ITC Avant Garde"/>
          <w:bCs/>
        </w:rPr>
        <w:t>l</w:t>
      </w:r>
      <w:r w:rsidR="002E1633" w:rsidRPr="004E69E8">
        <w:rPr>
          <w:rFonts w:ascii="ITC Avant Garde" w:hAnsi="ITC Avant Garde"/>
          <w:bCs/>
        </w:rPr>
        <w:t xml:space="preserve"> párrafo </w:t>
      </w:r>
      <w:r w:rsidR="00957C15" w:rsidRPr="004E69E8">
        <w:rPr>
          <w:rFonts w:ascii="ITC Avant Garde" w:hAnsi="ITC Avant Garde"/>
          <w:bCs/>
        </w:rPr>
        <w:t>tercero</w:t>
      </w:r>
      <w:r w:rsidR="002E1633" w:rsidRPr="004E69E8">
        <w:rPr>
          <w:rFonts w:ascii="ITC Avant Garde" w:hAnsi="ITC Avant Garde"/>
          <w:bCs/>
        </w:rPr>
        <w:t xml:space="preserve"> del</w:t>
      </w:r>
      <w:r w:rsidR="00E94E04" w:rsidRPr="004E69E8">
        <w:rPr>
          <w:rFonts w:ascii="ITC Avant Garde" w:hAnsi="ITC Avant Garde"/>
          <w:bCs/>
        </w:rPr>
        <w:t xml:space="preserve"> artículo C</w:t>
      </w:r>
      <w:r w:rsidR="00A21167" w:rsidRPr="004E69E8">
        <w:rPr>
          <w:rFonts w:ascii="ITC Avant Garde" w:hAnsi="ITC Avant Garde"/>
          <w:bCs/>
        </w:rPr>
        <w:t xml:space="preserve">uarto </w:t>
      </w:r>
      <w:r w:rsidR="00E94E04" w:rsidRPr="004E69E8">
        <w:rPr>
          <w:rFonts w:ascii="ITC Avant Garde" w:hAnsi="ITC Avant Garde"/>
          <w:bCs/>
        </w:rPr>
        <w:t xml:space="preserve">Transitorio </w:t>
      </w:r>
      <w:r w:rsidR="00A21167" w:rsidRPr="004E69E8">
        <w:rPr>
          <w:rFonts w:ascii="ITC Avant Garde" w:hAnsi="ITC Avant Garde"/>
          <w:bCs/>
        </w:rPr>
        <w:t xml:space="preserve">del Decreto de Reforma Constitucional señala </w:t>
      </w:r>
      <w:r w:rsidR="00AB6ABA" w:rsidRPr="004E69E8">
        <w:rPr>
          <w:rFonts w:ascii="ITC Avant Garde" w:hAnsi="ITC Avant Garde"/>
          <w:bCs/>
        </w:rPr>
        <w:t xml:space="preserve">la obligación del </w:t>
      </w:r>
      <w:r w:rsidR="00A21167" w:rsidRPr="004E69E8">
        <w:rPr>
          <w:rFonts w:ascii="ITC Avant Garde" w:hAnsi="ITC Avant Garde"/>
          <w:bCs/>
        </w:rPr>
        <w:t xml:space="preserve">Instituto </w:t>
      </w:r>
      <w:r w:rsidR="00B2042D" w:rsidRPr="004E69E8">
        <w:rPr>
          <w:rFonts w:ascii="ITC Avant Garde" w:hAnsi="ITC Avant Garde"/>
          <w:bCs/>
        </w:rPr>
        <w:t xml:space="preserve">de </w:t>
      </w:r>
      <w:r w:rsidR="00A21167" w:rsidRPr="004E69E8">
        <w:rPr>
          <w:rFonts w:ascii="ITC Avant Garde" w:hAnsi="ITC Avant Garde"/>
          <w:bCs/>
        </w:rPr>
        <w:t>establecer</w:t>
      </w:r>
      <w:r w:rsidR="00130E78" w:rsidRPr="004E69E8">
        <w:rPr>
          <w:rFonts w:ascii="ITC Avant Garde" w:hAnsi="ITC Avant Garde"/>
          <w:bCs/>
        </w:rPr>
        <w:t>,</w:t>
      </w:r>
      <w:r w:rsidR="00A21167" w:rsidRPr="004E69E8">
        <w:rPr>
          <w:rFonts w:ascii="ITC Avant Garde" w:hAnsi="ITC Avant Garde"/>
          <w:bCs/>
        </w:rPr>
        <w:t xml:space="preserve"> mediante lineamientos de carácter general</w:t>
      </w:r>
      <w:r w:rsidR="00B2042D" w:rsidRPr="004E69E8">
        <w:rPr>
          <w:rFonts w:ascii="ITC Avant Garde" w:hAnsi="ITC Avant Garde"/>
          <w:bCs/>
        </w:rPr>
        <w:t>,</w:t>
      </w:r>
      <w:r w:rsidR="00A21167" w:rsidRPr="004E69E8">
        <w:rPr>
          <w:rFonts w:ascii="ITC Avant Garde" w:hAnsi="ITC Avant Garde"/>
          <w:bCs/>
        </w:rPr>
        <w:t xml:space="preserve"> los requisitos, términos y condiciones </w:t>
      </w:r>
      <w:r w:rsidR="00FF2D99" w:rsidRPr="004E69E8">
        <w:rPr>
          <w:rFonts w:ascii="ITC Avant Garde" w:hAnsi="ITC Avant Garde"/>
          <w:bCs/>
        </w:rPr>
        <w:t>que</w:t>
      </w:r>
      <w:r w:rsidR="00A21167" w:rsidRPr="004E69E8">
        <w:rPr>
          <w:rFonts w:ascii="ITC Avant Garde" w:hAnsi="ITC Avant Garde"/>
          <w:bCs/>
        </w:rPr>
        <w:t xml:space="preserve"> los actuales concesionarios de radiodifusión, telecomunicaciones y telefonía deberá</w:t>
      </w:r>
      <w:r w:rsidR="00FF2D99" w:rsidRPr="004E69E8">
        <w:rPr>
          <w:rFonts w:ascii="ITC Avant Garde" w:hAnsi="ITC Avant Garde"/>
          <w:bCs/>
        </w:rPr>
        <w:t>n</w:t>
      </w:r>
      <w:r w:rsidR="00A21167" w:rsidRPr="004E69E8">
        <w:rPr>
          <w:rFonts w:ascii="ITC Avant Garde" w:hAnsi="ITC Avant Garde"/>
          <w:bCs/>
        </w:rPr>
        <w:t xml:space="preserve"> cumplir para que se le</w:t>
      </w:r>
      <w:r w:rsidR="00FF2D99" w:rsidRPr="004E69E8">
        <w:rPr>
          <w:rFonts w:ascii="ITC Avant Garde" w:hAnsi="ITC Avant Garde"/>
          <w:bCs/>
        </w:rPr>
        <w:t>s</w:t>
      </w:r>
      <w:r w:rsidR="00A21167" w:rsidRPr="004E69E8">
        <w:rPr>
          <w:rFonts w:ascii="ITC Avant Garde" w:hAnsi="ITC Avant Garde"/>
          <w:bCs/>
        </w:rPr>
        <w:t xml:space="preserve"> autorice</w:t>
      </w:r>
      <w:r w:rsidR="004C1E47" w:rsidRPr="004E69E8">
        <w:rPr>
          <w:rFonts w:ascii="ITC Avant Garde" w:hAnsi="ITC Avant Garde"/>
          <w:bCs/>
        </w:rPr>
        <w:t>,</w:t>
      </w:r>
      <w:r w:rsidR="00B2042D" w:rsidRPr="004E69E8">
        <w:rPr>
          <w:rFonts w:ascii="ITC Avant Garde" w:hAnsi="ITC Avant Garde"/>
          <w:bCs/>
        </w:rPr>
        <w:t xml:space="preserve"> en</w:t>
      </w:r>
      <w:r w:rsidR="00C017A4" w:rsidRPr="004E69E8">
        <w:rPr>
          <w:rFonts w:ascii="ITC Avant Garde" w:hAnsi="ITC Avant Garde"/>
          <w:bCs/>
        </w:rPr>
        <w:t>tre</w:t>
      </w:r>
      <w:r w:rsidR="00B2042D" w:rsidRPr="004E69E8">
        <w:rPr>
          <w:rFonts w:ascii="ITC Avant Garde" w:hAnsi="ITC Avant Garde"/>
          <w:bCs/>
        </w:rPr>
        <w:t xml:space="preserve"> otros,</w:t>
      </w:r>
      <w:r w:rsidR="00A21167" w:rsidRPr="004E69E8">
        <w:rPr>
          <w:rFonts w:ascii="ITC Avant Garde" w:hAnsi="ITC Avant Garde"/>
          <w:bCs/>
        </w:rPr>
        <w:t xml:space="preserve"> </w:t>
      </w:r>
      <w:r w:rsidR="00B05A4B" w:rsidRPr="004E69E8">
        <w:rPr>
          <w:rFonts w:ascii="ITC Avant Garde" w:hAnsi="ITC Avant Garde"/>
          <w:color w:val="000000"/>
        </w:rPr>
        <w:t>prestar servicios adicionales a los comprendidos en su título de concesión</w:t>
      </w:r>
      <w:r w:rsidR="00A21167" w:rsidRPr="004E69E8">
        <w:rPr>
          <w:rFonts w:ascii="ITC Avant Garde" w:hAnsi="ITC Avant Garde"/>
          <w:bCs/>
        </w:rPr>
        <w:t xml:space="preserve">, siempre que se encuentren en cumplimiento de las obligaciones previstas en las leyes y en </w:t>
      </w:r>
      <w:r w:rsidR="00B017A6" w:rsidRPr="004E69E8">
        <w:rPr>
          <w:rFonts w:ascii="ITC Avant Garde" w:hAnsi="ITC Avant Garde"/>
          <w:bCs/>
        </w:rPr>
        <w:t>dichos</w:t>
      </w:r>
      <w:r w:rsidR="00A21167" w:rsidRPr="004E69E8">
        <w:rPr>
          <w:rFonts w:ascii="ITC Avant Garde" w:hAnsi="ITC Avant Garde"/>
          <w:bCs/>
        </w:rPr>
        <w:t xml:space="preserve"> títulos de concesión.</w:t>
      </w:r>
    </w:p>
    <w:p w:rsidR="00642B7F" w:rsidRDefault="00A21167"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En ese sentido, </w:t>
      </w:r>
      <w:r w:rsidR="00013458" w:rsidRPr="004E69E8">
        <w:rPr>
          <w:rFonts w:ascii="ITC Avant Garde" w:hAnsi="ITC Avant Garde"/>
          <w:bCs/>
        </w:rPr>
        <w:t>en cumplimiento a lo</w:t>
      </w:r>
      <w:r w:rsidR="00C017A4" w:rsidRPr="004E69E8">
        <w:rPr>
          <w:rFonts w:ascii="ITC Avant Garde" w:hAnsi="ITC Avant Garde"/>
          <w:bCs/>
        </w:rPr>
        <w:t xml:space="preserve"> dispuesto por el artículo Cuarto Transitorio del Decreto de Reforma Co</w:t>
      </w:r>
      <w:r w:rsidR="003435D0" w:rsidRPr="004E69E8">
        <w:rPr>
          <w:rFonts w:ascii="ITC Avant Garde" w:hAnsi="ITC Avant Garde"/>
          <w:bCs/>
        </w:rPr>
        <w:t xml:space="preserve">nstitucional, </w:t>
      </w:r>
      <w:r w:rsidRPr="004E69E8">
        <w:rPr>
          <w:rFonts w:ascii="ITC Avant Garde" w:hAnsi="ITC Avant Garde"/>
          <w:bCs/>
        </w:rPr>
        <w:t>el 2</w:t>
      </w:r>
      <w:r w:rsidR="00F528A9" w:rsidRPr="004E69E8">
        <w:rPr>
          <w:rFonts w:ascii="ITC Avant Garde" w:hAnsi="ITC Avant Garde"/>
          <w:bCs/>
        </w:rPr>
        <w:t>8</w:t>
      </w:r>
      <w:r w:rsidRPr="004E69E8">
        <w:rPr>
          <w:rFonts w:ascii="ITC Avant Garde" w:hAnsi="ITC Avant Garde"/>
          <w:bCs/>
        </w:rPr>
        <w:t xml:space="preserve"> de </w:t>
      </w:r>
      <w:r w:rsidR="00F528A9" w:rsidRPr="004E69E8">
        <w:rPr>
          <w:rFonts w:ascii="ITC Avant Garde" w:hAnsi="ITC Avant Garde"/>
          <w:bCs/>
        </w:rPr>
        <w:t>may</w:t>
      </w:r>
      <w:r w:rsidRPr="004E69E8">
        <w:rPr>
          <w:rFonts w:ascii="ITC Avant Garde" w:hAnsi="ITC Avant Garde"/>
          <w:bCs/>
        </w:rPr>
        <w:t xml:space="preserve">o </w:t>
      </w:r>
      <w:r w:rsidR="002C48EB" w:rsidRPr="004E69E8">
        <w:rPr>
          <w:rFonts w:ascii="ITC Avant Garde" w:hAnsi="ITC Avant Garde"/>
          <w:bCs/>
        </w:rPr>
        <w:t>de 201</w:t>
      </w:r>
      <w:r w:rsidR="00F528A9" w:rsidRPr="004E69E8">
        <w:rPr>
          <w:rFonts w:ascii="ITC Avant Garde" w:hAnsi="ITC Avant Garde"/>
          <w:bCs/>
        </w:rPr>
        <w:t>4</w:t>
      </w:r>
      <w:r w:rsidR="002C48EB" w:rsidRPr="004E69E8">
        <w:rPr>
          <w:rFonts w:ascii="ITC Avant Garde" w:hAnsi="ITC Avant Garde"/>
          <w:bCs/>
        </w:rPr>
        <w:t xml:space="preserve"> </w:t>
      </w:r>
      <w:r w:rsidRPr="004E69E8">
        <w:rPr>
          <w:rFonts w:ascii="ITC Avant Garde" w:hAnsi="ITC Avant Garde"/>
          <w:bCs/>
        </w:rPr>
        <w:t xml:space="preserve">se publicaron en el Diario Oficial de </w:t>
      </w:r>
      <w:r w:rsidR="003435D0" w:rsidRPr="004E69E8">
        <w:rPr>
          <w:rFonts w:ascii="ITC Avant Garde" w:hAnsi="ITC Avant Garde"/>
          <w:bCs/>
        </w:rPr>
        <w:t xml:space="preserve">la Federación los Lineamientos, que tienen por objeto, entre otros, especificar </w:t>
      </w:r>
      <w:r w:rsidRPr="004E69E8">
        <w:rPr>
          <w:rFonts w:ascii="ITC Avant Garde" w:hAnsi="ITC Avant Garde"/>
          <w:bCs/>
        </w:rPr>
        <w:t>los</w:t>
      </w:r>
      <w:r w:rsidR="0099707D" w:rsidRPr="004E69E8">
        <w:rPr>
          <w:rFonts w:ascii="ITC Avant Garde" w:hAnsi="ITC Avant Garde"/>
          <w:bCs/>
        </w:rPr>
        <w:t xml:space="preserve"> requisitos,</w:t>
      </w:r>
      <w:r w:rsidRPr="004E69E8">
        <w:rPr>
          <w:rFonts w:ascii="ITC Avant Garde" w:hAnsi="ITC Avant Garde"/>
          <w:bCs/>
        </w:rPr>
        <w:t xml:space="preserve"> términos y </w:t>
      </w:r>
      <w:r w:rsidR="00115B23" w:rsidRPr="004E69E8">
        <w:rPr>
          <w:rFonts w:ascii="ITC Avant Garde" w:hAnsi="ITC Avant Garde"/>
          <w:bCs/>
        </w:rPr>
        <w:t>condiciones</w:t>
      </w:r>
      <w:r w:rsidRPr="004E69E8">
        <w:rPr>
          <w:rFonts w:ascii="ITC Avant Garde" w:hAnsi="ITC Avant Garde"/>
          <w:bCs/>
        </w:rPr>
        <w:t xml:space="preserve"> </w:t>
      </w:r>
      <w:r w:rsidR="00FA3571" w:rsidRPr="004E69E8">
        <w:rPr>
          <w:rFonts w:ascii="ITC Avant Garde" w:hAnsi="ITC Avant Garde"/>
          <w:bCs/>
        </w:rPr>
        <w:t xml:space="preserve">que los actuales concesionarios </w:t>
      </w:r>
      <w:r w:rsidR="0099707D" w:rsidRPr="004E69E8">
        <w:rPr>
          <w:rFonts w:ascii="ITC Avant Garde" w:hAnsi="ITC Avant Garde"/>
          <w:bCs/>
        </w:rPr>
        <w:t>deberán cumplir para que se les autorice la prestación de servicios adicionales a los que son objeto de su concesión</w:t>
      </w:r>
      <w:r w:rsidR="00F02152" w:rsidRPr="004E69E8">
        <w:rPr>
          <w:rFonts w:ascii="ITC Avant Garde" w:hAnsi="ITC Avant Garde"/>
          <w:bCs/>
        </w:rPr>
        <w:t>.</w:t>
      </w:r>
    </w:p>
    <w:p w:rsidR="002D2E8F" w:rsidRPr="004E69E8" w:rsidRDefault="00E1451D"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En relación con lo anterior,</w:t>
      </w:r>
      <w:r w:rsidR="002D2E8F" w:rsidRPr="004E69E8">
        <w:rPr>
          <w:rFonts w:ascii="ITC Avant Garde" w:hAnsi="ITC Avant Garde"/>
          <w:bCs/>
        </w:rPr>
        <w:t xml:space="preserve"> el numeral III. “</w:t>
      </w:r>
      <w:r w:rsidR="002D2E8F" w:rsidRPr="004E69E8">
        <w:rPr>
          <w:rFonts w:ascii="ITC Avant Garde" w:hAnsi="ITC Avant Garde"/>
          <w:bCs/>
          <w:i/>
        </w:rPr>
        <w:t>De las concesiones de bandas de frecuencias del espectro radioeléctrico”</w:t>
      </w:r>
      <w:r w:rsidR="002D2E8F" w:rsidRPr="004E69E8">
        <w:rPr>
          <w:rFonts w:ascii="ITC Avant Garde" w:hAnsi="ITC Avant Garde"/>
          <w:bCs/>
        </w:rPr>
        <w:t xml:space="preserve"> de los Lineamientos, establece lo siguiente:</w:t>
      </w:r>
    </w:p>
    <w:p w:rsidR="00642B7F" w:rsidRDefault="0085247A" w:rsidP="00642B7F">
      <w:pPr>
        <w:spacing w:afterLines="120" w:after="288" w:line="240" w:lineRule="auto"/>
        <w:ind w:left="851" w:right="899"/>
        <w:jc w:val="both"/>
        <w:rPr>
          <w:rFonts w:ascii="ITC Avant Garde" w:hAnsi="ITC Avant Garde"/>
          <w:b/>
          <w:i/>
          <w:iCs/>
          <w:color w:val="000000"/>
          <w:sz w:val="18"/>
          <w:szCs w:val="18"/>
          <w:lang w:eastAsia="es-MX"/>
        </w:rPr>
      </w:pPr>
      <w:r w:rsidRPr="004E69E8">
        <w:rPr>
          <w:rFonts w:ascii="ITC Avant Garde" w:hAnsi="ITC Avant Garde"/>
          <w:b/>
          <w:i/>
          <w:iCs/>
          <w:color w:val="000000"/>
          <w:sz w:val="18"/>
          <w:szCs w:val="18"/>
          <w:lang w:eastAsia="es-MX"/>
        </w:rPr>
        <w:t>“</w:t>
      </w:r>
      <w:r w:rsidR="00B75CDB" w:rsidRPr="004E69E8">
        <w:rPr>
          <w:rFonts w:ascii="ITC Avant Garde" w:hAnsi="ITC Avant Garde"/>
          <w:b/>
          <w:i/>
          <w:iCs/>
          <w:color w:val="000000"/>
          <w:sz w:val="18"/>
          <w:szCs w:val="18"/>
          <w:lang w:eastAsia="es-MX"/>
        </w:rPr>
        <w:t>III. De las concesiones de bandas de frecuencias del espectro radioeléctrico.</w:t>
      </w:r>
    </w:p>
    <w:p w:rsidR="00642B7F" w:rsidRDefault="002D2E8F" w:rsidP="00642B7F">
      <w:pPr>
        <w:spacing w:afterLines="120" w:after="288" w:line="240" w:lineRule="auto"/>
        <w:ind w:left="851" w:right="899"/>
        <w:jc w:val="both"/>
        <w:rPr>
          <w:rFonts w:ascii="ITC Avant Garde" w:hAnsi="ITC Avant Garde"/>
          <w:i/>
          <w:iCs/>
          <w:color w:val="000000"/>
          <w:sz w:val="18"/>
          <w:szCs w:val="18"/>
          <w:lang w:eastAsia="es-MX"/>
        </w:rPr>
      </w:pPr>
      <w:r w:rsidRPr="004E69E8">
        <w:rPr>
          <w:rFonts w:ascii="ITC Avant Garde" w:hAnsi="ITC Avant Garde"/>
          <w:b/>
          <w:i/>
          <w:iCs/>
          <w:color w:val="000000"/>
          <w:sz w:val="18"/>
          <w:szCs w:val="18"/>
          <w:lang w:eastAsia="es-MX"/>
        </w:rPr>
        <w:t>III.1.</w:t>
      </w:r>
      <w:r w:rsidRPr="004E69E8">
        <w:rPr>
          <w:rFonts w:ascii="ITC Avant Garde" w:hAnsi="ITC Avant Garde"/>
          <w:i/>
          <w:iCs/>
          <w:color w:val="000000"/>
          <w:sz w:val="18"/>
          <w:szCs w:val="18"/>
          <w:lang w:eastAsia="es-MX"/>
        </w:rPr>
        <w:t xml:space="preserve"> El Instituto, dentro de los 60 (sesenta) días naturales posteriores a la presentación formal de la Solicitud de Servicios Adicionales presentada por el titular de una concesión que implique la explotación de bandas de frecuencias del espectro radioeléctrico, emitirá pronunciamiento sobre la procedencia o improcedencia de la misma, considerando su viabilidad técnica.</w:t>
      </w:r>
    </w:p>
    <w:p w:rsidR="00642B7F" w:rsidRDefault="00E16D72" w:rsidP="00642B7F">
      <w:pPr>
        <w:spacing w:afterLines="120" w:after="288" w:line="240" w:lineRule="auto"/>
        <w:ind w:left="851" w:right="899"/>
        <w:jc w:val="both"/>
        <w:rPr>
          <w:rFonts w:ascii="ITC Avant Garde" w:hAnsi="ITC Avant Garde"/>
          <w:i/>
          <w:iCs/>
          <w:color w:val="000000"/>
          <w:sz w:val="18"/>
          <w:szCs w:val="18"/>
          <w:lang w:eastAsia="es-MX"/>
        </w:rPr>
      </w:pPr>
      <w:r w:rsidRPr="004E69E8">
        <w:rPr>
          <w:rFonts w:ascii="ITC Avant Garde" w:hAnsi="ITC Avant Garde"/>
          <w:b/>
          <w:i/>
          <w:iCs/>
          <w:color w:val="000000"/>
          <w:sz w:val="18"/>
          <w:szCs w:val="18"/>
          <w:lang w:eastAsia="es-MX"/>
        </w:rPr>
        <w:t>III.2.</w:t>
      </w:r>
      <w:r w:rsidR="006F44F1" w:rsidRPr="004E69E8">
        <w:rPr>
          <w:rFonts w:ascii="ITC Avant Garde" w:eastAsiaTheme="minorHAnsi" w:hAnsi="ITC Avant Garde" w:cs="Arial"/>
          <w:color w:val="000000"/>
          <w:sz w:val="18"/>
          <w:szCs w:val="18"/>
        </w:rPr>
        <w:t xml:space="preserve"> </w:t>
      </w:r>
      <w:r w:rsidR="006F44F1" w:rsidRPr="004E69E8">
        <w:rPr>
          <w:rFonts w:ascii="ITC Avant Garde" w:hAnsi="ITC Avant Garde"/>
          <w:b/>
          <w:i/>
          <w:iCs/>
          <w:color w:val="000000"/>
          <w:sz w:val="18"/>
          <w:szCs w:val="18"/>
          <w:lang w:eastAsia="es-MX"/>
        </w:rPr>
        <w:t>Para aquellos casos en que la resolución sea en el sentido de procedencia a una Solicitud de Servicios Adicionales</w:t>
      </w:r>
      <w:r w:rsidR="006F44F1" w:rsidRPr="004E69E8">
        <w:rPr>
          <w:rFonts w:ascii="ITC Avant Garde" w:hAnsi="ITC Avant Garde"/>
          <w:i/>
          <w:iCs/>
          <w:color w:val="000000"/>
          <w:sz w:val="18"/>
          <w:szCs w:val="18"/>
          <w:lang w:eastAsia="es-MX"/>
        </w:rPr>
        <w:t xml:space="preserve">, el Instituto solicitará de la Secretaría de Hacienda y Crédito Público la opinión respecto del monto de la contraprestación aplicable a la autorización del(os) servicio(s) adicional(es) solicitado(s), por lo que </w:t>
      </w:r>
      <w:r w:rsidR="006F44F1" w:rsidRPr="004E69E8">
        <w:rPr>
          <w:rFonts w:ascii="ITC Avant Garde" w:hAnsi="ITC Avant Garde"/>
          <w:b/>
          <w:i/>
          <w:iCs/>
          <w:color w:val="000000"/>
          <w:sz w:val="18"/>
          <w:szCs w:val="18"/>
          <w:lang w:eastAsia="es-MX"/>
        </w:rPr>
        <w:t xml:space="preserve">el Instituto, dentro </w:t>
      </w:r>
      <w:r w:rsidR="006F44F1" w:rsidRPr="004E69E8">
        <w:rPr>
          <w:rFonts w:ascii="ITC Avant Garde" w:hAnsi="ITC Avant Garde"/>
          <w:b/>
          <w:i/>
          <w:iCs/>
          <w:color w:val="000000"/>
          <w:sz w:val="18"/>
          <w:szCs w:val="18"/>
          <w:lang w:eastAsia="es-MX"/>
        </w:rPr>
        <w:lastRenderedPageBreak/>
        <w:t>de los 45 (cuarenta y cinco) días naturales posteriores a la notificación de la procedencia señalada con anterioridad, notificará al concesionario interesado el monto de la contraprestación, cuyo pago será condición para el otorgamiento de la autorización respectiva</w:t>
      </w:r>
      <w:r w:rsidR="006F44F1" w:rsidRPr="004E69E8">
        <w:rPr>
          <w:rFonts w:ascii="ITC Avant Garde" w:hAnsi="ITC Avant Garde"/>
          <w:i/>
          <w:iCs/>
          <w:color w:val="000000"/>
          <w:sz w:val="18"/>
          <w:szCs w:val="18"/>
          <w:lang w:eastAsia="es-MX"/>
        </w:rPr>
        <w:t>.</w:t>
      </w:r>
    </w:p>
    <w:p w:rsidR="002B743F" w:rsidRDefault="007F792A" w:rsidP="00642B7F">
      <w:pPr>
        <w:spacing w:afterLines="120" w:after="288" w:line="240" w:lineRule="auto"/>
        <w:ind w:left="851" w:right="899"/>
        <w:jc w:val="both"/>
        <w:rPr>
          <w:rFonts w:ascii="ITC Avant Garde" w:hAnsi="ITC Avant Garde"/>
          <w:i/>
          <w:iCs/>
          <w:color w:val="000000"/>
          <w:sz w:val="18"/>
          <w:szCs w:val="18"/>
          <w:lang w:eastAsia="es-MX"/>
        </w:rPr>
      </w:pPr>
      <w:r w:rsidRPr="004E69E8">
        <w:rPr>
          <w:rFonts w:ascii="ITC Avant Garde" w:hAnsi="ITC Avant Garde"/>
          <w:b/>
          <w:bCs/>
          <w:i/>
          <w:iCs/>
          <w:color w:val="000000"/>
          <w:sz w:val="18"/>
          <w:szCs w:val="18"/>
          <w:lang w:eastAsia="es-MX"/>
        </w:rPr>
        <w:t xml:space="preserve">III.3. </w:t>
      </w:r>
      <w:r w:rsidRPr="004E69E8">
        <w:rPr>
          <w:rFonts w:ascii="ITC Avant Garde" w:hAnsi="ITC Avant Garde"/>
          <w:i/>
          <w:iCs/>
          <w:color w:val="000000"/>
          <w:sz w:val="18"/>
          <w:szCs w:val="18"/>
          <w:lang w:eastAsia="es-MX"/>
        </w:rPr>
        <w:t xml:space="preserve">Una vez acreditados los pagos de la contraprestación referida, así como de los derechos por la autorización de servicios adicionales a que se refiere la Ley Federal de Derechos, la unidad administrativa competente del Instituto, </w:t>
      </w:r>
      <w:r w:rsidRPr="004E69E8">
        <w:rPr>
          <w:rFonts w:ascii="ITC Avant Garde" w:hAnsi="ITC Avant Garde"/>
          <w:b/>
          <w:i/>
          <w:iCs/>
          <w:color w:val="000000"/>
          <w:sz w:val="18"/>
          <w:szCs w:val="18"/>
          <w:lang w:eastAsia="es-MX"/>
        </w:rPr>
        <w:t>dentro de los 5 (cinco) días naturales siguientes a que se presenten ante el Instituto los comprobantes de pago respectivos, notificará al concesionario interesado la autorización de servicios adicionales correspondiente</w:t>
      </w:r>
      <w:r w:rsidR="00B75CDB" w:rsidRPr="004E69E8">
        <w:rPr>
          <w:rFonts w:ascii="ITC Avant Garde" w:hAnsi="ITC Avant Garde"/>
          <w:b/>
          <w:i/>
          <w:iCs/>
          <w:color w:val="000000"/>
          <w:sz w:val="18"/>
          <w:szCs w:val="18"/>
          <w:lang w:eastAsia="es-MX"/>
        </w:rPr>
        <w:t>.</w:t>
      </w:r>
      <w:r w:rsidR="00E16D72" w:rsidRPr="004E69E8">
        <w:rPr>
          <w:rFonts w:ascii="ITC Avant Garde" w:hAnsi="ITC Avant Garde"/>
          <w:i/>
          <w:iCs/>
          <w:color w:val="000000"/>
          <w:sz w:val="18"/>
          <w:szCs w:val="18"/>
          <w:lang w:eastAsia="es-MX"/>
        </w:rPr>
        <w:t>”</w:t>
      </w:r>
      <w:r w:rsidR="0085247A" w:rsidRPr="004E69E8">
        <w:rPr>
          <w:rFonts w:ascii="ITC Avant Garde" w:hAnsi="ITC Avant Garde"/>
          <w:i/>
          <w:iCs/>
          <w:color w:val="000000"/>
          <w:sz w:val="18"/>
          <w:szCs w:val="18"/>
          <w:lang w:eastAsia="es-MX"/>
        </w:rPr>
        <w:t xml:space="preserve"> </w:t>
      </w:r>
    </w:p>
    <w:p w:rsidR="00642B7F" w:rsidRDefault="00B75CDB" w:rsidP="00642B7F">
      <w:pPr>
        <w:spacing w:afterLines="120" w:after="288" w:line="240" w:lineRule="auto"/>
        <w:ind w:right="899"/>
        <w:jc w:val="right"/>
        <w:rPr>
          <w:rFonts w:ascii="ITC Avant Garde" w:hAnsi="ITC Avant Garde"/>
          <w:iCs/>
          <w:color w:val="000000"/>
          <w:sz w:val="18"/>
          <w:szCs w:val="18"/>
          <w:lang w:eastAsia="es-MX"/>
        </w:rPr>
      </w:pPr>
      <w:r w:rsidRPr="004E69E8">
        <w:rPr>
          <w:rFonts w:ascii="ITC Avant Garde" w:hAnsi="ITC Avant Garde"/>
          <w:iCs/>
          <w:color w:val="000000"/>
          <w:sz w:val="18"/>
          <w:szCs w:val="18"/>
          <w:lang w:eastAsia="es-MX"/>
        </w:rPr>
        <w:t>[</w:t>
      </w:r>
      <w:r w:rsidR="0085247A" w:rsidRPr="004E69E8">
        <w:rPr>
          <w:rFonts w:ascii="ITC Avant Garde" w:hAnsi="ITC Avant Garde"/>
          <w:iCs/>
          <w:color w:val="000000"/>
          <w:sz w:val="18"/>
          <w:szCs w:val="18"/>
          <w:lang w:eastAsia="es-MX"/>
        </w:rPr>
        <w:t>Énfasis añadido</w:t>
      </w:r>
      <w:r w:rsidRPr="004E69E8">
        <w:rPr>
          <w:rFonts w:ascii="ITC Avant Garde" w:hAnsi="ITC Avant Garde"/>
          <w:iCs/>
          <w:color w:val="000000"/>
          <w:sz w:val="18"/>
          <w:szCs w:val="18"/>
          <w:lang w:eastAsia="es-MX"/>
        </w:rPr>
        <w:t>]</w:t>
      </w:r>
    </w:p>
    <w:p w:rsidR="00642B7F" w:rsidRDefault="00A31B46"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En este sentido</w:t>
      </w:r>
      <w:r w:rsidR="003C2907" w:rsidRPr="004E69E8">
        <w:rPr>
          <w:rFonts w:ascii="ITC Avant Garde" w:hAnsi="ITC Avant Garde"/>
          <w:bCs/>
        </w:rPr>
        <w:t xml:space="preserve">, para </w:t>
      </w:r>
      <w:r w:rsidR="00E1451D" w:rsidRPr="004E69E8">
        <w:rPr>
          <w:rFonts w:ascii="ITC Avant Garde" w:hAnsi="ITC Avant Garde"/>
          <w:bCs/>
        </w:rPr>
        <w:t xml:space="preserve">aquellos casos en que </w:t>
      </w:r>
      <w:r w:rsidR="007E32D2" w:rsidRPr="004E69E8">
        <w:rPr>
          <w:rFonts w:ascii="ITC Avant Garde" w:hAnsi="ITC Avant Garde"/>
          <w:bCs/>
        </w:rPr>
        <w:t xml:space="preserve">el Instituto </w:t>
      </w:r>
      <w:r w:rsidR="00E1451D" w:rsidRPr="004E69E8">
        <w:rPr>
          <w:rFonts w:ascii="ITC Avant Garde" w:hAnsi="ITC Avant Garde"/>
          <w:bCs/>
        </w:rPr>
        <w:t>determine procedente una solicitud de servicios adicionales</w:t>
      </w:r>
      <w:r w:rsidR="003C2907" w:rsidRPr="004E69E8">
        <w:rPr>
          <w:rFonts w:ascii="ITC Avant Garde" w:hAnsi="ITC Avant Garde"/>
          <w:bCs/>
        </w:rPr>
        <w:t xml:space="preserve">, </w:t>
      </w:r>
      <w:r w:rsidR="00360644">
        <w:rPr>
          <w:rFonts w:ascii="ITC Avant Garde" w:hAnsi="ITC Avant Garde"/>
          <w:bCs/>
        </w:rPr>
        <w:t xml:space="preserve">con </w:t>
      </w:r>
      <w:r w:rsidR="00B132CD" w:rsidRPr="004E69E8">
        <w:rPr>
          <w:rFonts w:ascii="ITC Avant Garde" w:hAnsi="ITC Avant Garde"/>
          <w:bCs/>
        </w:rPr>
        <w:t>la opinión respecto del monto de la contraprestación aplicable a la autorización del(os) servicio(s) adicional(es) solicitado(s)</w:t>
      </w:r>
      <w:r w:rsidR="00AF61C4" w:rsidRPr="004E69E8">
        <w:rPr>
          <w:rFonts w:ascii="ITC Avant Garde" w:hAnsi="ITC Avant Garde"/>
          <w:bCs/>
        </w:rPr>
        <w:t xml:space="preserve">, </w:t>
      </w:r>
      <w:r w:rsidR="00360644">
        <w:rPr>
          <w:rFonts w:ascii="ITC Avant Garde" w:hAnsi="ITC Avant Garde"/>
          <w:bCs/>
        </w:rPr>
        <w:t xml:space="preserve">emitida por la Secretaría de Hacienda y Crédito Público, </w:t>
      </w:r>
      <w:r w:rsidR="00AF61C4" w:rsidRPr="004E69E8">
        <w:rPr>
          <w:rFonts w:ascii="ITC Avant Garde" w:hAnsi="ITC Avant Garde"/>
          <w:bCs/>
        </w:rPr>
        <w:t xml:space="preserve">el Instituto, </w:t>
      </w:r>
      <w:r w:rsidR="004751D1">
        <w:rPr>
          <w:rFonts w:ascii="ITC Avant Garde" w:hAnsi="ITC Avant Garde"/>
          <w:bCs/>
        </w:rPr>
        <w:t>mediante acto diverso</w:t>
      </w:r>
      <w:r w:rsidR="00AF61C4" w:rsidRPr="004E69E8">
        <w:rPr>
          <w:rFonts w:ascii="ITC Avant Garde" w:hAnsi="ITC Avant Garde"/>
          <w:bCs/>
        </w:rPr>
        <w:t>, notificará al concesionario el monto de la contraprestación, cuyo pago será condición para el otorgamiento de la autorización respectiva.</w:t>
      </w:r>
      <w:r w:rsidR="00B42700" w:rsidRPr="004E69E8">
        <w:rPr>
          <w:rFonts w:ascii="ITC Avant Garde" w:hAnsi="ITC Avant Garde"/>
          <w:bCs/>
        </w:rPr>
        <w:t xml:space="preserve"> </w:t>
      </w:r>
      <w:r w:rsidR="00E16087" w:rsidRPr="004E69E8">
        <w:rPr>
          <w:rFonts w:ascii="ITC Avant Garde" w:hAnsi="ITC Avant Garde"/>
          <w:bCs/>
        </w:rPr>
        <w:t>Una vez</w:t>
      </w:r>
      <w:r w:rsidR="003C2907" w:rsidRPr="004E69E8">
        <w:rPr>
          <w:rFonts w:ascii="ITC Avant Garde" w:hAnsi="ITC Avant Garde"/>
          <w:bCs/>
        </w:rPr>
        <w:t xml:space="preserve"> </w:t>
      </w:r>
      <w:r w:rsidR="00D43A75" w:rsidRPr="004E69E8">
        <w:rPr>
          <w:rFonts w:ascii="ITC Avant Garde" w:hAnsi="ITC Avant Garde"/>
          <w:bCs/>
        </w:rPr>
        <w:t>acreditados</w:t>
      </w:r>
      <w:r w:rsidR="003C2907" w:rsidRPr="004E69E8">
        <w:rPr>
          <w:rFonts w:ascii="ITC Avant Garde" w:hAnsi="ITC Avant Garde"/>
          <w:bCs/>
        </w:rPr>
        <w:t xml:space="preserve"> </w:t>
      </w:r>
      <w:r w:rsidR="00D43A75" w:rsidRPr="004E69E8">
        <w:rPr>
          <w:rFonts w:ascii="ITC Avant Garde" w:hAnsi="ITC Avant Garde"/>
          <w:bCs/>
        </w:rPr>
        <w:t xml:space="preserve">los pagos de la contraprestación antes mencionada, </w:t>
      </w:r>
      <w:r w:rsidR="003C2907" w:rsidRPr="004E69E8">
        <w:rPr>
          <w:rFonts w:ascii="ITC Avant Garde" w:hAnsi="ITC Avant Garde"/>
          <w:bCs/>
        </w:rPr>
        <w:t>el Instituto, dentro de los 5 (cinco) días naturales siguientes</w:t>
      </w:r>
      <w:r w:rsidR="00E1451D" w:rsidRPr="004E69E8">
        <w:rPr>
          <w:rFonts w:ascii="ITC Avant Garde" w:hAnsi="ITC Avant Garde"/>
          <w:bCs/>
        </w:rPr>
        <w:t>,</w:t>
      </w:r>
      <w:r w:rsidR="003C2907" w:rsidRPr="004E69E8">
        <w:rPr>
          <w:rFonts w:ascii="ITC Avant Garde" w:hAnsi="ITC Avant Garde"/>
          <w:bCs/>
        </w:rPr>
        <w:t xml:space="preserve"> notifi</w:t>
      </w:r>
      <w:r w:rsidR="00C328DB" w:rsidRPr="004E69E8">
        <w:rPr>
          <w:rFonts w:ascii="ITC Avant Garde" w:hAnsi="ITC Avant Garde"/>
          <w:bCs/>
        </w:rPr>
        <w:t>cará</w:t>
      </w:r>
      <w:r w:rsidR="003C2907" w:rsidRPr="004E69E8">
        <w:rPr>
          <w:rFonts w:ascii="ITC Avant Garde" w:hAnsi="ITC Avant Garde"/>
          <w:bCs/>
        </w:rPr>
        <w:t xml:space="preserve"> la autorización correspondiente.</w:t>
      </w:r>
    </w:p>
    <w:p w:rsidR="00642B7F" w:rsidRDefault="00AF6ED2"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Fi</w:t>
      </w:r>
      <w:r w:rsidR="003133ED" w:rsidRPr="004E69E8">
        <w:rPr>
          <w:rFonts w:ascii="ITC Avant Garde" w:hAnsi="ITC Avant Garde"/>
          <w:bCs/>
        </w:rPr>
        <w:t>nalmente, cabe destacar que el 1 de enero de 2016 entró en vigor el “</w:t>
      </w:r>
      <w:r w:rsidR="003133ED" w:rsidRPr="004E69E8">
        <w:rPr>
          <w:rFonts w:ascii="ITC Avant Garde" w:hAnsi="ITC Avant Garde"/>
          <w:bCs/>
          <w:i/>
        </w:rPr>
        <w:t>Decreto por el que se reforman, adicionan y derogan diversas disposiciones de la Ley Federal de Derechos</w:t>
      </w:r>
      <w:r w:rsidR="003133ED" w:rsidRPr="004E69E8">
        <w:rPr>
          <w:rFonts w:ascii="ITC Avant Garde" w:hAnsi="ITC Avant Garde"/>
          <w:bCs/>
        </w:rPr>
        <w:t>”, publicado en el Diario Oficial de la Federación el 18 de noviembre de 2015, por el cual se adiciona, entre otros, el Capítulo IX del Título I, denominado “</w:t>
      </w:r>
      <w:r w:rsidR="003133ED" w:rsidRPr="004E69E8">
        <w:rPr>
          <w:rFonts w:ascii="ITC Avant Garde" w:hAnsi="ITC Avant Garde"/>
          <w:bCs/>
          <w:i/>
        </w:rPr>
        <w:t>Del Instituto Federal de Telecomunicaciones</w:t>
      </w:r>
      <w:r w:rsidR="003133ED" w:rsidRPr="004E69E8">
        <w:rPr>
          <w:rFonts w:ascii="ITC Avant Garde" w:hAnsi="ITC Avant Garde"/>
          <w:bCs/>
        </w:rPr>
        <w:t xml:space="preserve">”, en el que, en su artículo 174-C fracción IV establece el monto a pagar por el estudio y, en su caso, la autorización de las solicitudes de prestación de un servicio adicional para concesiones que hagan uso del espectro radioeléctrico. </w:t>
      </w:r>
    </w:p>
    <w:p w:rsidR="00642B7F" w:rsidRDefault="003133ED"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En este orden de ideas, dado que la normatividad vigente es el artículo 174-C fracción IV de la Ley Federal de Derechos, este único pago ampara el estudio y, en </w:t>
      </w:r>
      <w:r w:rsidR="00B32BF7" w:rsidRPr="004E69E8">
        <w:rPr>
          <w:rFonts w:ascii="ITC Avant Garde" w:hAnsi="ITC Avant Garde"/>
          <w:bCs/>
        </w:rPr>
        <w:t xml:space="preserve">su </w:t>
      </w:r>
      <w:r w:rsidRPr="004E69E8">
        <w:rPr>
          <w:rFonts w:ascii="ITC Avant Garde" w:hAnsi="ITC Avant Garde"/>
          <w:bCs/>
        </w:rPr>
        <w:t>caso, la autorización correspondiente.</w:t>
      </w:r>
    </w:p>
    <w:p w:rsidR="00642B7F" w:rsidRDefault="00A21167" w:rsidP="00642B7F">
      <w:pPr>
        <w:autoSpaceDE w:val="0"/>
        <w:autoSpaceDN w:val="0"/>
        <w:adjustRightInd w:val="0"/>
        <w:spacing w:afterLines="120" w:after="288" w:line="240" w:lineRule="auto"/>
        <w:jc w:val="both"/>
        <w:rPr>
          <w:rFonts w:ascii="ITC Avant Garde" w:hAnsi="ITC Avant Garde"/>
        </w:rPr>
      </w:pPr>
      <w:r w:rsidRPr="004E69E8">
        <w:rPr>
          <w:rFonts w:ascii="ITC Avant Garde" w:hAnsi="ITC Avant Garde"/>
          <w:b/>
          <w:bCs/>
        </w:rPr>
        <w:t xml:space="preserve">Tercero.- </w:t>
      </w:r>
      <w:r w:rsidR="003E6EA3" w:rsidRPr="004E69E8">
        <w:rPr>
          <w:rFonts w:ascii="ITC Avant Garde" w:hAnsi="ITC Avant Garde"/>
          <w:b/>
          <w:bCs/>
        </w:rPr>
        <w:t xml:space="preserve">Determinación de la </w:t>
      </w:r>
      <w:r w:rsidR="00D07321" w:rsidRPr="004E69E8">
        <w:rPr>
          <w:rFonts w:ascii="ITC Avant Garde" w:hAnsi="ITC Avant Garde"/>
          <w:b/>
          <w:bCs/>
        </w:rPr>
        <w:t>Contraprestación</w:t>
      </w:r>
      <w:r w:rsidR="003E6EA3" w:rsidRPr="004E69E8">
        <w:rPr>
          <w:rFonts w:ascii="ITC Avant Garde" w:hAnsi="ITC Avant Garde"/>
          <w:b/>
          <w:bCs/>
        </w:rPr>
        <w:t>.</w:t>
      </w:r>
      <w:r w:rsidRPr="004E69E8">
        <w:rPr>
          <w:rFonts w:ascii="ITC Avant Garde" w:hAnsi="ITC Avant Garde"/>
          <w:bCs/>
        </w:rPr>
        <w:t xml:space="preserve"> </w:t>
      </w:r>
      <w:r w:rsidR="00D07321" w:rsidRPr="004E69E8">
        <w:rPr>
          <w:rFonts w:ascii="ITC Avant Garde" w:hAnsi="ITC Avant Garde"/>
        </w:rPr>
        <w:t xml:space="preserve">El espectro radioeléctrico constituye un recurso económico del Estado al que le son aplicables los principios contenidos </w:t>
      </w:r>
      <w:r w:rsidR="00BD751D">
        <w:rPr>
          <w:rFonts w:ascii="ITC Avant Garde" w:hAnsi="ITC Avant Garde"/>
        </w:rPr>
        <w:t>en</w:t>
      </w:r>
      <w:r w:rsidR="00D07321" w:rsidRPr="004E69E8">
        <w:rPr>
          <w:rFonts w:ascii="ITC Avant Garde" w:hAnsi="ITC Avant Garde"/>
        </w:rPr>
        <w:t xml:space="preserve"> el artículo 134 de la Constitución, conjuntamente con los establecidos por los artículos 25, 26, 27 y 28 que conforman el capítulo económico de la Ley Fundamental, por lo que se otorga en concesión sólo a cambio de una contraprestac</w:t>
      </w:r>
      <w:r w:rsidR="008955E8" w:rsidRPr="004E69E8">
        <w:rPr>
          <w:rFonts w:ascii="ITC Avant Garde" w:hAnsi="ITC Avant Garde"/>
        </w:rPr>
        <w:t xml:space="preserve">ión económica. Al respecto, la Sección VII de la Ley </w:t>
      </w:r>
      <w:r w:rsidR="008955E8" w:rsidRPr="004E69E8">
        <w:rPr>
          <w:rFonts w:ascii="ITC Avant Garde" w:hAnsi="ITC Avant Garde"/>
          <w:i/>
        </w:rPr>
        <w:t>“De las Contraprestaciones”</w:t>
      </w:r>
      <w:r w:rsidR="008955E8" w:rsidRPr="004E69E8">
        <w:rPr>
          <w:rFonts w:ascii="ITC Avant Garde" w:hAnsi="ITC Avant Garde"/>
        </w:rPr>
        <w:t xml:space="preserve"> establece en su artículo 100 lo siguiente:</w:t>
      </w:r>
    </w:p>
    <w:p w:rsidR="00642B7F" w:rsidRDefault="003855F3" w:rsidP="00642B7F">
      <w:pPr>
        <w:spacing w:afterLines="120" w:after="288" w:line="240" w:lineRule="auto"/>
        <w:ind w:left="851" w:right="899"/>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r w:rsidRPr="004E69E8">
        <w:rPr>
          <w:rFonts w:ascii="ITC Avant Garde" w:hAnsi="ITC Avant Garde"/>
          <w:b/>
          <w:bCs/>
          <w:i/>
          <w:color w:val="000000"/>
          <w:sz w:val="18"/>
          <w:szCs w:val="18"/>
          <w:lang w:eastAsia="es-MX"/>
        </w:rPr>
        <w:t>Artículo 100.</w:t>
      </w:r>
      <w:r w:rsidRPr="004E69E8">
        <w:rPr>
          <w:rFonts w:ascii="ITC Avant Garde" w:hAnsi="ITC Avant Garde"/>
          <w:bCs/>
          <w:i/>
          <w:color w:val="000000"/>
          <w:sz w:val="18"/>
          <w:szCs w:val="18"/>
          <w:lang w:eastAsia="es-MX"/>
        </w:rPr>
        <w:t xml:space="preserve"> Para fijar el monto de las contraprestaciones por el otorgamiento, la prórroga de la vigencia o los cambios en los servicios de las concesiones, así como por </w:t>
      </w:r>
      <w:r w:rsidRPr="004E69E8">
        <w:rPr>
          <w:rFonts w:ascii="ITC Avant Garde" w:hAnsi="ITC Avant Garde"/>
          <w:bCs/>
          <w:i/>
          <w:color w:val="000000"/>
          <w:sz w:val="18"/>
          <w:szCs w:val="18"/>
          <w:lang w:eastAsia="es-MX"/>
        </w:rPr>
        <w:lastRenderedPageBreak/>
        <w:t>la autorización de los servicios vinculados a éstas tratándose de concesiones sobre el espectro radioeléctrico, el Instituto deberá considerar los siguientes elementos:</w:t>
      </w:r>
    </w:p>
    <w:p w:rsidR="00642B7F" w:rsidRDefault="003855F3" w:rsidP="00642B7F">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Banda de frecuencia del espectro radioeléctrico de que se trate;</w:t>
      </w:r>
    </w:p>
    <w:p w:rsidR="00642B7F" w:rsidRDefault="003855F3" w:rsidP="00642B7F">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Cantidad de espectro;</w:t>
      </w:r>
    </w:p>
    <w:p w:rsidR="00642B7F" w:rsidRDefault="003855F3" w:rsidP="00642B7F">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Cobertura de la banda de frecuencia;</w:t>
      </w:r>
    </w:p>
    <w:p w:rsidR="003855F3" w:rsidRDefault="003855F3" w:rsidP="00642B7F">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Vigencia de la concesión;</w:t>
      </w:r>
    </w:p>
    <w:p w:rsidR="00642B7F" w:rsidRDefault="003855F3" w:rsidP="00642B7F">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Referencias del valor de mercado de la banda de frecuencia, tanto nacionales como internacionales, y</w:t>
      </w:r>
    </w:p>
    <w:p w:rsidR="003855F3" w:rsidRPr="004E69E8" w:rsidRDefault="003855F3" w:rsidP="00642B7F">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El cumplimiento de los objetivos señalados en los artículos 6o. y 28 de la Constitución; así como de los establecidos en el Plan Nacional de Desarrollo y demás instrumentos programáticos.</w:t>
      </w:r>
    </w:p>
    <w:p w:rsidR="00642B7F" w:rsidRDefault="003855F3" w:rsidP="00642B7F">
      <w:pPr>
        <w:spacing w:afterLines="120" w:after="288" w:line="240" w:lineRule="auto"/>
        <w:ind w:left="851" w:right="899"/>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En la solicitud de opinión que formule el Instituto a la Secretaría de Hacienda y Crédito Público, deberá incluir, en lo aplicable, la información a que se refieren las fracciones I a VI de este artículo, así como el proyecto de contraprestación derivado del análisis de dicha información.”</w:t>
      </w:r>
    </w:p>
    <w:p w:rsidR="00642B7F" w:rsidRDefault="00FE1BB0" w:rsidP="00642B7F">
      <w:pPr>
        <w:spacing w:afterLines="120" w:after="288" w:line="240" w:lineRule="auto"/>
        <w:jc w:val="both"/>
        <w:rPr>
          <w:rFonts w:ascii="ITC Avant Garde" w:hAnsi="ITC Avant Garde"/>
          <w:bCs/>
        </w:rPr>
      </w:pPr>
      <w:r w:rsidRPr="00AC1781">
        <w:rPr>
          <w:rFonts w:ascii="ITC Avant Garde" w:hAnsi="ITC Avant Garde"/>
          <w:bCs/>
        </w:rPr>
        <w:t>Asimismo, tal com</w:t>
      </w:r>
      <w:r w:rsidR="00090C0F" w:rsidRPr="00AC1781">
        <w:rPr>
          <w:rFonts w:ascii="ITC Avant Garde" w:hAnsi="ITC Avant Garde"/>
          <w:bCs/>
        </w:rPr>
        <w:t>o se señaló en el Antecedente X</w:t>
      </w:r>
      <w:r w:rsidRPr="00AC1781">
        <w:rPr>
          <w:rFonts w:ascii="ITC Avant Garde" w:hAnsi="ITC Avant Garde"/>
          <w:bCs/>
        </w:rPr>
        <w:t>I</w:t>
      </w:r>
      <w:r w:rsidR="00151E27" w:rsidRPr="00AC1781">
        <w:rPr>
          <w:rFonts w:ascii="ITC Avant Garde" w:hAnsi="ITC Avant Garde"/>
          <w:bCs/>
        </w:rPr>
        <w:t>I</w:t>
      </w:r>
      <w:r w:rsidRPr="00AC1781">
        <w:rPr>
          <w:rFonts w:ascii="ITC Avant Garde" w:hAnsi="ITC Avant Garde"/>
          <w:bCs/>
        </w:rPr>
        <w:t xml:space="preserve"> de la presente Resolución, el </w:t>
      </w:r>
      <w:r w:rsidR="00AC1781" w:rsidRPr="00AC1781">
        <w:rPr>
          <w:rFonts w:ascii="ITC Avant Garde" w:hAnsi="ITC Avant Garde"/>
          <w:bCs/>
        </w:rPr>
        <w:t>1</w:t>
      </w:r>
      <w:r w:rsidR="004626A4">
        <w:rPr>
          <w:rFonts w:ascii="ITC Avant Garde" w:hAnsi="ITC Avant Garde"/>
          <w:bCs/>
        </w:rPr>
        <w:t>8</w:t>
      </w:r>
      <w:r w:rsidRPr="00AC1781">
        <w:rPr>
          <w:rFonts w:ascii="ITC Avant Garde" w:hAnsi="ITC Avant Garde"/>
          <w:bCs/>
          <w:color w:val="000000"/>
          <w:lang w:eastAsia="es-MX"/>
        </w:rPr>
        <w:t xml:space="preserve"> de </w:t>
      </w:r>
      <w:r w:rsidR="00151E27" w:rsidRPr="00AC1781">
        <w:rPr>
          <w:rFonts w:ascii="ITC Avant Garde" w:hAnsi="ITC Avant Garde"/>
          <w:bCs/>
          <w:color w:val="000000"/>
          <w:lang w:eastAsia="es-MX"/>
        </w:rPr>
        <w:t>diciembre</w:t>
      </w:r>
      <w:r w:rsidRPr="00AC1781">
        <w:rPr>
          <w:rFonts w:ascii="ITC Avant Garde" w:hAnsi="ITC Avant Garde"/>
          <w:bCs/>
          <w:color w:val="000000"/>
          <w:lang w:eastAsia="es-MX"/>
        </w:rPr>
        <w:t xml:space="preserve"> de 2017, el Pleno del Instituto determinó procedente la prestación del servicio de acceso inalámbrico en la</w:t>
      </w:r>
      <w:r w:rsidR="00151E27" w:rsidRPr="00AC1781">
        <w:rPr>
          <w:rFonts w:ascii="ITC Avant Garde" w:hAnsi="ITC Avant Garde"/>
          <w:bCs/>
          <w:color w:val="000000"/>
          <w:lang w:eastAsia="es-MX"/>
        </w:rPr>
        <w:t xml:space="preserve"> Concesión</w:t>
      </w:r>
      <w:r w:rsidRPr="00AC1781">
        <w:rPr>
          <w:rFonts w:ascii="ITC Avant Garde" w:hAnsi="ITC Avant Garde"/>
          <w:bCs/>
          <w:color w:val="000000"/>
          <w:lang w:eastAsia="es-MX"/>
        </w:rPr>
        <w:t xml:space="preserve"> de Bandas. </w:t>
      </w:r>
      <w:r w:rsidRPr="00AC1781">
        <w:rPr>
          <w:rFonts w:ascii="ITC Avant Garde" w:hAnsi="ITC Avant Garde"/>
          <w:bCs/>
        </w:rPr>
        <w:t xml:space="preserve">Por lo que, en términos de lo establecido en el numeral III.2 de los Lineamientos, </w:t>
      </w:r>
      <w:r w:rsidR="00AC1781" w:rsidRPr="00AC1781">
        <w:rPr>
          <w:rFonts w:ascii="ITC Avant Garde" w:hAnsi="ITC Avant Garde"/>
          <w:bCs/>
        </w:rPr>
        <w:t>se solicitó</w:t>
      </w:r>
      <w:r w:rsidRPr="00AC1781">
        <w:rPr>
          <w:rFonts w:ascii="ITC Avant Garde" w:hAnsi="ITC Avant Garde"/>
          <w:bCs/>
        </w:rPr>
        <w:t xml:space="preserve"> a la Secretaría de Hacienda y Crédito Público opinión sobre el monto de la contraprestación aplicable a la Solicitud de Servicios Adicionales.</w:t>
      </w:r>
      <w:r w:rsidR="00E669A7">
        <w:rPr>
          <w:rFonts w:ascii="ITC Avant Garde" w:hAnsi="ITC Avant Garde"/>
          <w:bCs/>
        </w:rPr>
        <w:t xml:space="preserve"> </w:t>
      </w:r>
    </w:p>
    <w:p w:rsidR="00642B7F" w:rsidRDefault="00FE1BB0" w:rsidP="00642B7F">
      <w:pPr>
        <w:spacing w:afterLines="120" w:after="288" w:line="240" w:lineRule="auto"/>
        <w:jc w:val="both"/>
        <w:rPr>
          <w:rFonts w:ascii="ITC Avant Garde" w:hAnsi="ITC Avant Garde"/>
          <w:bCs/>
          <w:color w:val="000000"/>
          <w:lang w:val="es-ES" w:eastAsia="es-MX"/>
        </w:rPr>
      </w:pPr>
      <w:r w:rsidRPr="004E69E8">
        <w:rPr>
          <w:rFonts w:ascii="ITC Avant Garde" w:hAnsi="ITC Avant Garde"/>
          <w:bCs/>
        </w:rPr>
        <w:t>No obstante lo anterior, cabe</w:t>
      </w:r>
      <w:r w:rsidR="00C71560" w:rsidRPr="004E69E8">
        <w:rPr>
          <w:rFonts w:ascii="ITC Avant Garde" w:hAnsi="ITC Avant Garde"/>
          <w:bCs/>
        </w:rPr>
        <w:t xml:space="preserve"> señalar que </w:t>
      </w:r>
      <w:r w:rsidR="00B5220F">
        <w:rPr>
          <w:rFonts w:ascii="ITC Avant Garde" w:hAnsi="ITC Avant Garde"/>
          <w:bCs/>
        </w:rPr>
        <w:t>la</w:t>
      </w:r>
      <w:r w:rsidRPr="004E69E8">
        <w:rPr>
          <w:rFonts w:ascii="ITC Avant Garde" w:hAnsi="ITC Avant Garde"/>
          <w:bCs/>
        </w:rPr>
        <w:t xml:space="preserve"> </w:t>
      </w:r>
      <w:r w:rsidR="009678F2">
        <w:rPr>
          <w:rFonts w:ascii="ITC Avant Garde" w:hAnsi="ITC Avant Garde"/>
          <w:bCs/>
        </w:rPr>
        <w:t>Concesión</w:t>
      </w:r>
      <w:r w:rsidR="00277E7B" w:rsidRPr="004E69E8">
        <w:rPr>
          <w:rFonts w:ascii="ITC Avant Garde" w:hAnsi="ITC Avant Garde"/>
          <w:bCs/>
        </w:rPr>
        <w:t xml:space="preserve"> de Bandas</w:t>
      </w:r>
      <w:r w:rsidRPr="004E69E8">
        <w:rPr>
          <w:rFonts w:ascii="ITC Avant Garde" w:hAnsi="ITC Avant Garde"/>
          <w:bCs/>
        </w:rPr>
        <w:t xml:space="preserve"> objeto de la Solicitud de Servicios Adicionales</w:t>
      </w:r>
      <w:r w:rsidR="009678F2">
        <w:rPr>
          <w:rFonts w:ascii="ITC Avant Garde" w:hAnsi="ITC Avant Garde"/>
          <w:bCs/>
        </w:rPr>
        <w:t>, establece</w:t>
      </w:r>
      <w:r w:rsidRPr="004E69E8">
        <w:rPr>
          <w:rFonts w:ascii="ITC Avant Garde" w:hAnsi="ITC Avant Garde"/>
          <w:bCs/>
          <w:color w:val="000000"/>
          <w:lang w:val="es-ES" w:eastAsia="es-MX"/>
        </w:rPr>
        <w:t xml:space="preserve"> en su Condición 9 “</w:t>
      </w:r>
      <w:r w:rsidRPr="004E69E8">
        <w:rPr>
          <w:rFonts w:ascii="ITC Avant Garde" w:hAnsi="ITC Avant Garde"/>
          <w:bCs/>
          <w:i/>
          <w:color w:val="000000"/>
          <w:lang w:val="es-ES" w:eastAsia="es-MX"/>
        </w:rPr>
        <w:t>Contraprestación</w:t>
      </w:r>
      <w:r w:rsidRPr="004E69E8">
        <w:rPr>
          <w:rFonts w:ascii="ITC Avant Garde" w:hAnsi="ITC Avant Garde"/>
          <w:bCs/>
          <w:color w:val="000000"/>
          <w:lang w:val="es-ES" w:eastAsia="es-MX"/>
        </w:rPr>
        <w:t>”, e</w:t>
      </w:r>
      <w:r w:rsidR="00D37489">
        <w:rPr>
          <w:rFonts w:ascii="ITC Avant Garde" w:hAnsi="ITC Avant Garde"/>
          <w:bCs/>
          <w:color w:val="000000"/>
          <w:lang w:val="es-ES" w:eastAsia="es-MX"/>
        </w:rPr>
        <w:t>ntre otras cosas, lo siguiente:</w:t>
      </w:r>
    </w:p>
    <w:p w:rsidR="00642B7F" w:rsidRDefault="00BF3F93" w:rsidP="00642B7F">
      <w:pPr>
        <w:pStyle w:val="Prrafodelista"/>
        <w:spacing w:afterLines="120" w:after="288"/>
        <w:ind w:left="851" w:right="899"/>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sidRPr="004E69E8">
        <w:rPr>
          <w:rFonts w:ascii="ITC Avant Garde" w:hAnsi="ITC Avant Garde"/>
          <w:b/>
          <w:bCs/>
          <w:i/>
          <w:iCs/>
          <w:color w:val="000000"/>
          <w:sz w:val="18"/>
          <w:szCs w:val="18"/>
          <w:lang w:eastAsia="es-MX"/>
        </w:rPr>
        <w:t>9. Contraprestación</w:t>
      </w:r>
      <w:r w:rsidRPr="004E69E8">
        <w:rPr>
          <w:rFonts w:ascii="ITC Avant Garde" w:hAnsi="ITC Avant Garde"/>
          <w:bCs/>
          <w:i/>
          <w:iCs/>
          <w:color w:val="000000"/>
          <w:sz w:val="18"/>
          <w:szCs w:val="18"/>
          <w:lang w:eastAsia="es-MX"/>
        </w:rPr>
        <w:t>. […]</w:t>
      </w:r>
    </w:p>
    <w:p w:rsidR="00642B7F" w:rsidRDefault="00BF3F93" w:rsidP="00642B7F">
      <w:pPr>
        <w:pStyle w:val="Prrafodelista"/>
        <w:spacing w:afterLines="120" w:after="288"/>
        <w:ind w:left="851" w:right="899"/>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p>
    <w:p w:rsidR="00642B7F" w:rsidRDefault="00BF3F93" w:rsidP="00642B7F">
      <w:pPr>
        <w:pStyle w:val="Prrafodelista"/>
        <w:spacing w:afterLines="120" w:after="288"/>
        <w:ind w:left="851" w:right="899"/>
        <w:contextualSpacing w:val="0"/>
        <w:jc w:val="both"/>
        <w:rPr>
          <w:rFonts w:ascii="ITC Avant Garde" w:hAnsi="ITC Avant Garde"/>
          <w:bCs/>
          <w:i/>
          <w:iCs/>
          <w:color w:val="000000"/>
          <w:sz w:val="18"/>
          <w:szCs w:val="18"/>
          <w:lang w:eastAsia="es-MX"/>
        </w:rPr>
      </w:pPr>
      <w:r>
        <w:rPr>
          <w:rFonts w:ascii="ITC Avant Garde" w:hAnsi="ITC Avant Garde"/>
          <w:bCs/>
          <w:i/>
          <w:iCs/>
          <w:color w:val="000000"/>
          <w:sz w:val="18"/>
          <w:szCs w:val="18"/>
          <w:lang w:eastAsia="es-MX"/>
        </w:rPr>
        <w:t>Por</w:t>
      </w:r>
      <w:r w:rsidRPr="004E69E8">
        <w:rPr>
          <w:rFonts w:ascii="ITC Avant Garde" w:hAnsi="ITC Avant Garde"/>
          <w:bCs/>
          <w:i/>
          <w:iCs/>
          <w:color w:val="000000"/>
          <w:sz w:val="18"/>
          <w:szCs w:val="18"/>
          <w:lang w:eastAsia="es-MX"/>
        </w:rPr>
        <w:t xml:space="preserve"> tanto, el Concesionario reconoce y acepta expresamente que, como requisito esencial por el otorgamiento de la presente Concesión y el uso, goce, aprovechamiento o explotación de las bandas de frecuencias del espectro radioeléctrico, que le son otorgadas en concesión, mismas que constituyen bienes del dominio público de la Federación, el Estado de conformidad con el artículo 134 de la Constitución Política de los Estados Unidos Mexicanos, en relación con el artículo 14 de la Ley, tiene derecho a recibir una contraprestación y que al aceptar los términos de esta Concesión, acepta realizar el pago total de las contraprestaciones y las contribuciones correspondientes por otorgamiento y uso de la misma. En virtud de lo anterior:</w:t>
      </w:r>
    </w:p>
    <w:p w:rsidR="00642B7F" w:rsidRDefault="00713E18" w:rsidP="00642B7F">
      <w:pPr>
        <w:pStyle w:val="Prrafodelista"/>
        <w:numPr>
          <w:ilvl w:val="0"/>
          <w:numId w:val="20"/>
        </w:numPr>
        <w:spacing w:afterLines="120" w:after="288"/>
        <w:ind w:right="899"/>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lastRenderedPageBreak/>
        <w:t xml:space="preserve">La contraprestación a que se refiere el primer párrafo de la condición 2.1 de la presente Concesión deberá incluir el monto que corresponda enterar al Estado por concepto del otorgamiento de la prórroga del título a que se refiere el antecedente I, el cual tiene una vigencia determinada hasta </w:t>
      </w:r>
      <w:r w:rsidR="000A431F">
        <w:rPr>
          <w:rFonts w:ascii="ITC Avant Garde" w:hAnsi="ITC Avant Garde"/>
          <w:b/>
          <w:bCs/>
          <w:i/>
          <w:iCs/>
          <w:color w:val="000000"/>
          <w:sz w:val="18"/>
          <w:szCs w:val="18"/>
          <w:lang w:eastAsia="es-MX"/>
        </w:rPr>
        <w:t xml:space="preserve">el </w:t>
      </w:r>
      <w:r w:rsidR="00A62EE5">
        <w:rPr>
          <w:rFonts w:ascii="ITC Avant Garde" w:hAnsi="ITC Avant Garde"/>
          <w:b/>
          <w:bCs/>
          <w:i/>
          <w:iCs/>
          <w:color w:val="000000"/>
          <w:sz w:val="18"/>
          <w:szCs w:val="18"/>
          <w:lang w:eastAsia="es-MX"/>
        </w:rPr>
        <w:t>23 de noviembre de 2018</w:t>
      </w:r>
      <w:r w:rsidRPr="004E69E8">
        <w:rPr>
          <w:rFonts w:ascii="ITC Avant Garde" w:hAnsi="ITC Avant Garde"/>
          <w:b/>
          <w:bCs/>
          <w:i/>
          <w:iCs/>
          <w:color w:val="000000"/>
          <w:sz w:val="18"/>
          <w:szCs w:val="18"/>
          <w:lang w:eastAsia="es-MX"/>
        </w:rPr>
        <w:t xml:space="preserve"> y que se prorroga a través de la presente Modificación y Prórroga del título a partir del </w:t>
      </w:r>
      <w:r w:rsidR="00A62EE5">
        <w:rPr>
          <w:rFonts w:ascii="ITC Avant Garde" w:hAnsi="ITC Avant Garde"/>
          <w:b/>
          <w:bCs/>
          <w:i/>
          <w:iCs/>
          <w:color w:val="000000"/>
          <w:sz w:val="18"/>
          <w:szCs w:val="18"/>
          <w:lang w:eastAsia="es-MX"/>
        </w:rPr>
        <w:t>24</w:t>
      </w:r>
      <w:r w:rsidR="000A431F">
        <w:rPr>
          <w:rFonts w:ascii="ITC Avant Garde" w:hAnsi="ITC Avant Garde"/>
          <w:b/>
          <w:bCs/>
          <w:i/>
          <w:iCs/>
          <w:color w:val="000000"/>
          <w:sz w:val="18"/>
          <w:szCs w:val="18"/>
          <w:lang w:eastAsia="es-MX"/>
        </w:rPr>
        <w:t xml:space="preserve"> de </w:t>
      </w:r>
      <w:r w:rsidR="00A62EE5">
        <w:rPr>
          <w:rFonts w:ascii="ITC Avant Garde" w:hAnsi="ITC Avant Garde"/>
          <w:b/>
          <w:bCs/>
          <w:i/>
          <w:iCs/>
          <w:color w:val="000000"/>
          <w:sz w:val="18"/>
          <w:szCs w:val="18"/>
          <w:lang w:eastAsia="es-MX"/>
        </w:rPr>
        <w:t>noviembre</w:t>
      </w:r>
      <w:r w:rsidRPr="004E69E8">
        <w:rPr>
          <w:rFonts w:ascii="ITC Avant Garde" w:hAnsi="ITC Avant Garde"/>
          <w:b/>
          <w:bCs/>
          <w:i/>
          <w:iCs/>
          <w:color w:val="000000"/>
          <w:sz w:val="18"/>
          <w:szCs w:val="18"/>
          <w:lang w:eastAsia="es-MX"/>
        </w:rPr>
        <w:t xml:space="preserve"> </w:t>
      </w:r>
      <w:r w:rsidR="00537F78">
        <w:rPr>
          <w:rFonts w:ascii="ITC Avant Garde" w:hAnsi="ITC Avant Garde"/>
          <w:b/>
          <w:bCs/>
          <w:i/>
          <w:iCs/>
          <w:color w:val="000000"/>
          <w:sz w:val="18"/>
          <w:szCs w:val="18"/>
          <w:lang w:eastAsia="es-MX"/>
        </w:rPr>
        <w:t>del 20</w:t>
      </w:r>
      <w:r w:rsidR="00A62EE5">
        <w:rPr>
          <w:rFonts w:ascii="ITC Avant Garde" w:hAnsi="ITC Avant Garde"/>
          <w:b/>
          <w:bCs/>
          <w:i/>
          <w:iCs/>
          <w:color w:val="000000"/>
          <w:sz w:val="18"/>
          <w:szCs w:val="18"/>
          <w:lang w:eastAsia="es-MX"/>
        </w:rPr>
        <w:t>18</w:t>
      </w:r>
      <w:r w:rsidR="000A431F">
        <w:rPr>
          <w:rFonts w:ascii="ITC Avant Garde" w:hAnsi="ITC Avant Garde"/>
          <w:b/>
          <w:bCs/>
          <w:i/>
          <w:iCs/>
          <w:color w:val="000000"/>
          <w:sz w:val="18"/>
          <w:szCs w:val="18"/>
          <w:lang w:eastAsia="es-MX"/>
        </w:rPr>
        <w:t xml:space="preserve"> </w:t>
      </w:r>
      <w:r w:rsidRPr="004E69E8">
        <w:rPr>
          <w:rFonts w:ascii="ITC Avant Garde" w:hAnsi="ITC Avant Garde"/>
          <w:b/>
          <w:bCs/>
          <w:i/>
          <w:iCs/>
          <w:color w:val="000000"/>
          <w:sz w:val="18"/>
          <w:szCs w:val="18"/>
          <w:lang w:eastAsia="es-MX"/>
        </w:rPr>
        <w:t xml:space="preserve">hasta el </w:t>
      </w:r>
      <w:r w:rsidR="00A62EE5">
        <w:rPr>
          <w:rFonts w:ascii="ITC Avant Garde" w:hAnsi="ITC Avant Garde"/>
          <w:b/>
          <w:bCs/>
          <w:i/>
          <w:iCs/>
          <w:color w:val="000000"/>
          <w:sz w:val="18"/>
          <w:szCs w:val="18"/>
          <w:lang w:eastAsia="es-MX"/>
        </w:rPr>
        <w:t xml:space="preserve">24 de noviembre del </w:t>
      </w:r>
      <w:r w:rsidR="000A431F">
        <w:rPr>
          <w:rFonts w:ascii="ITC Avant Garde" w:hAnsi="ITC Avant Garde"/>
          <w:b/>
          <w:bCs/>
          <w:i/>
          <w:iCs/>
          <w:color w:val="000000"/>
          <w:sz w:val="18"/>
          <w:szCs w:val="18"/>
          <w:lang w:eastAsia="es-MX"/>
        </w:rPr>
        <w:t>2028</w:t>
      </w:r>
      <w:r w:rsidRPr="004E69E8">
        <w:rPr>
          <w:rFonts w:ascii="ITC Avant Garde" w:hAnsi="ITC Avant Garde"/>
          <w:b/>
          <w:bCs/>
          <w:i/>
          <w:iCs/>
          <w:color w:val="000000"/>
          <w:sz w:val="18"/>
          <w:szCs w:val="18"/>
          <w:lang w:eastAsia="es-MX"/>
        </w:rPr>
        <w:t>.</w:t>
      </w:r>
    </w:p>
    <w:p w:rsidR="00713E18" w:rsidRPr="004E69E8" w:rsidRDefault="00713E18" w:rsidP="00642B7F">
      <w:pPr>
        <w:pStyle w:val="Prrafodelista"/>
        <w:spacing w:afterLines="120" w:after="288"/>
        <w:ind w:left="1211" w:right="899"/>
        <w:contextualSpacing w:val="0"/>
        <w:jc w:val="both"/>
        <w:rPr>
          <w:rFonts w:ascii="ITC Avant Garde" w:hAnsi="ITC Avant Garde"/>
          <w:bCs/>
          <w:i/>
          <w:iCs/>
          <w:color w:val="000000"/>
          <w:sz w:val="18"/>
          <w:szCs w:val="18"/>
          <w:lang w:eastAsia="es-MX"/>
        </w:rPr>
      </w:pPr>
      <w:r w:rsidRPr="004E69E8">
        <w:rPr>
          <w:rFonts w:ascii="ITC Avant Garde" w:hAnsi="ITC Avant Garde"/>
          <w:b/>
          <w:bCs/>
          <w:i/>
          <w:iCs/>
          <w:color w:val="000000"/>
          <w:sz w:val="18"/>
          <w:szCs w:val="18"/>
          <w:lang w:eastAsia="es-MX"/>
        </w:rPr>
        <w:t>El monto a cubrir por el otorgamiento de la prórroga deberá ser determinado considerando que el Concesionario se encuentra prestando los servicios de telecomunicaciones de acceso inalámbrico</w:t>
      </w:r>
      <w:r w:rsidRPr="004E69E8">
        <w:rPr>
          <w:rFonts w:ascii="ITC Avant Garde" w:hAnsi="ITC Avant Garde"/>
          <w:bCs/>
          <w:i/>
          <w:iCs/>
          <w:color w:val="000000"/>
          <w:sz w:val="18"/>
          <w:szCs w:val="18"/>
          <w:lang w:eastAsia="es-MX"/>
        </w:rPr>
        <w:t>.</w:t>
      </w:r>
    </w:p>
    <w:p w:rsidR="00E05D6B" w:rsidRDefault="00BF3F93" w:rsidP="00642B7F">
      <w:pPr>
        <w:spacing w:afterLines="120" w:after="288" w:line="240" w:lineRule="auto"/>
        <w:ind w:left="851"/>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p>
    <w:p w:rsidR="00642B7F" w:rsidRDefault="00E05D6B" w:rsidP="00642B7F">
      <w:pPr>
        <w:spacing w:afterLines="120" w:after="288" w:line="240" w:lineRule="auto"/>
        <w:ind w:left="851"/>
        <w:jc w:val="right"/>
        <w:rPr>
          <w:rFonts w:ascii="ITC Avant Garde" w:hAnsi="ITC Avant Garde"/>
          <w:bCs/>
          <w:i/>
          <w:iCs/>
          <w:color w:val="000000"/>
          <w:sz w:val="18"/>
          <w:szCs w:val="18"/>
          <w:lang w:eastAsia="es-MX"/>
        </w:rPr>
      </w:pPr>
      <w:r>
        <w:rPr>
          <w:rFonts w:ascii="ITC Avant Garde" w:hAnsi="ITC Avant Garde"/>
          <w:bCs/>
          <w:i/>
          <w:iCs/>
          <w:color w:val="000000"/>
          <w:sz w:val="18"/>
          <w:szCs w:val="18"/>
          <w:lang w:eastAsia="es-MX"/>
        </w:rPr>
        <w:t xml:space="preserve"> [Énfasis añadido)</w:t>
      </w:r>
    </w:p>
    <w:p w:rsidR="00642B7F" w:rsidRDefault="00205921" w:rsidP="00642B7F">
      <w:pPr>
        <w:spacing w:afterLines="120" w:after="288" w:line="240" w:lineRule="auto"/>
        <w:jc w:val="both"/>
        <w:rPr>
          <w:rFonts w:ascii="ITC Avant Garde" w:hAnsi="ITC Avant Garde"/>
          <w:bCs/>
          <w:color w:val="000000"/>
          <w:lang w:val="es-ES" w:eastAsia="es-MX"/>
        </w:rPr>
      </w:pPr>
      <w:r w:rsidRPr="004E69E8">
        <w:rPr>
          <w:rFonts w:ascii="ITC Avant Garde" w:hAnsi="ITC Avant Garde"/>
          <w:bCs/>
          <w:color w:val="000000"/>
          <w:lang w:val="es-ES" w:eastAsia="es-MX"/>
        </w:rPr>
        <w:t xml:space="preserve">En virtud de lo anterior, el monto de la contraprestación que </w:t>
      </w:r>
      <w:r>
        <w:rPr>
          <w:rFonts w:ascii="ITC Avant Garde" w:hAnsi="ITC Avant Garde"/>
          <w:bCs/>
          <w:color w:val="000000"/>
          <w:lang w:val="es-ES" w:eastAsia="es-MX"/>
        </w:rPr>
        <w:t>autorice el</w:t>
      </w:r>
      <w:r w:rsidRPr="004E69E8">
        <w:rPr>
          <w:rFonts w:ascii="ITC Avant Garde" w:hAnsi="ITC Avant Garde"/>
          <w:bCs/>
          <w:color w:val="000000"/>
          <w:lang w:val="es-ES" w:eastAsia="es-MX"/>
        </w:rPr>
        <w:t xml:space="preserve"> Pleno para la Solicitud de Servicios Adicionales, debe considerar los siguientes conceptos de aprovechamiento: i) por la autorización de servicios adicionales, y ii) por la prórroga de vigencia a la concesión original, en atención a lo establecido en la Condición 9 </w:t>
      </w:r>
      <w:r w:rsidR="005B65C9">
        <w:rPr>
          <w:rFonts w:ascii="ITC Avant Garde" w:hAnsi="ITC Avant Garde"/>
          <w:bCs/>
          <w:color w:val="000000"/>
          <w:lang w:val="es-ES" w:eastAsia="es-MX"/>
        </w:rPr>
        <w:t>anteriormente transcrita</w:t>
      </w:r>
      <w:r w:rsidRPr="004E69E8">
        <w:rPr>
          <w:rFonts w:ascii="ITC Avant Garde" w:hAnsi="ITC Avant Garde"/>
          <w:bCs/>
          <w:color w:val="000000"/>
          <w:lang w:val="es-ES" w:eastAsia="es-MX"/>
        </w:rPr>
        <w:t xml:space="preserve">. </w:t>
      </w:r>
    </w:p>
    <w:p w:rsidR="00642B7F" w:rsidRDefault="007F570D" w:rsidP="00642B7F">
      <w:pPr>
        <w:spacing w:afterLines="120" w:after="288" w:line="240" w:lineRule="auto"/>
        <w:jc w:val="both"/>
        <w:rPr>
          <w:rFonts w:ascii="ITC Avant Garde" w:hAnsi="ITC Avant Garde"/>
          <w:bCs/>
          <w:color w:val="000000"/>
          <w:lang w:val="es-ES" w:eastAsia="es-MX"/>
        </w:rPr>
      </w:pPr>
      <w:r>
        <w:rPr>
          <w:rFonts w:ascii="ITC Avant Garde" w:hAnsi="ITC Avant Garde"/>
          <w:bCs/>
          <w:color w:val="000000"/>
          <w:lang w:val="es-ES" w:eastAsia="es-MX"/>
        </w:rPr>
        <w:t>De igual forma</w:t>
      </w:r>
      <w:r w:rsidR="00205921" w:rsidRPr="004E69E8">
        <w:rPr>
          <w:rFonts w:ascii="ITC Avant Garde" w:hAnsi="ITC Avant Garde"/>
          <w:bCs/>
          <w:color w:val="000000"/>
          <w:lang w:val="es-ES" w:eastAsia="es-MX"/>
        </w:rPr>
        <w:t xml:space="preserve">, </w:t>
      </w:r>
      <w:r w:rsidRPr="004E69E8">
        <w:rPr>
          <w:rFonts w:ascii="ITC Avant Garde" w:hAnsi="ITC Avant Garde"/>
          <w:bCs/>
          <w:color w:val="000000"/>
          <w:lang w:val="es-ES" w:eastAsia="es-MX"/>
        </w:rPr>
        <w:t xml:space="preserve">es </w:t>
      </w:r>
      <w:r>
        <w:rPr>
          <w:rFonts w:ascii="ITC Avant Garde" w:hAnsi="ITC Avant Garde"/>
          <w:bCs/>
          <w:color w:val="000000"/>
          <w:lang w:val="es-ES" w:eastAsia="es-MX"/>
        </w:rPr>
        <w:t>de</w:t>
      </w:r>
      <w:r w:rsidRPr="004E69E8">
        <w:rPr>
          <w:rFonts w:ascii="ITC Avant Garde" w:hAnsi="ITC Avant Garde"/>
          <w:bCs/>
          <w:color w:val="000000"/>
          <w:lang w:val="es-ES" w:eastAsia="es-MX"/>
        </w:rPr>
        <w:t xml:space="preserve"> destacar</w:t>
      </w:r>
      <w:r>
        <w:rPr>
          <w:rFonts w:ascii="ITC Avant Garde" w:hAnsi="ITC Avant Garde"/>
          <w:bCs/>
          <w:color w:val="000000"/>
          <w:lang w:val="es-ES" w:eastAsia="es-MX"/>
        </w:rPr>
        <w:t xml:space="preserve"> que</w:t>
      </w:r>
      <w:r w:rsidRPr="004E69E8">
        <w:rPr>
          <w:rFonts w:ascii="ITC Avant Garde" w:hAnsi="ITC Avant Garde"/>
          <w:bCs/>
          <w:color w:val="000000"/>
          <w:lang w:val="es-ES" w:eastAsia="es-MX"/>
        </w:rPr>
        <w:t xml:space="preserve"> </w:t>
      </w:r>
      <w:r>
        <w:rPr>
          <w:rFonts w:ascii="ITC Avant Garde" w:hAnsi="ITC Avant Garde"/>
          <w:bCs/>
          <w:color w:val="000000"/>
          <w:lang w:val="es-ES" w:eastAsia="es-MX"/>
        </w:rPr>
        <w:t>la misma Condición 9</w:t>
      </w:r>
      <w:r w:rsidRPr="004E69E8">
        <w:rPr>
          <w:rFonts w:ascii="ITC Avant Garde" w:hAnsi="ITC Avant Garde"/>
          <w:bCs/>
          <w:color w:val="000000"/>
          <w:lang w:val="es-ES" w:eastAsia="es-MX"/>
        </w:rPr>
        <w:t xml:space="preserve"> establece que el monto a cubrir por el otorgamiento de la prórroga, deberá ser determinado considerando la prestación de los servicios de telecomunicaciones de acceso inalámbrico</w:t>
      </w:r>
      <w:r w:rsidR="00205921">
        <w:rPr>
          <w:rFonts w:ascii="ITC Avant Garde" w:hAnsi="ITC Avant Garde"/>
          <w:bCs/>
          <w:color w:val="000000"/>
          <w:lang w:val="es-ES" w:eastAsia="es-MX"/>
        </w:rPr>
        <w:t>.</w:t>
      </w:r>
      <w:r w:rsidR="00C35FFB" w:rsidRPr="004E69E8">
        <w:rPr>
          <w:rFonts w:ascii="ITC Avant Garde" w:hAnsi="ITC Avant Garde"/>
          <w:bCs/>
          <w:color w:val="000000"/>
          <w:lang w:val="es-ES" w:eastAsia="es-MX"/>
        </w:rPr>
        <w:t xml:space="preserve"> </w:t>
      </w:r>
    </w:p>
    <w:p w:rsidR="00642B7F" w:rsidRDefault="00E25CB2" w:rsidP="00642B7F">
      <w:pPr>
        <w:spacing w:afterLines="120" w:after="288" w:line="240" w:lineRule="auto"/>
        <w:jc w:val="both"/>
        <w:rPr>
          <w:rFonts w:ascii="ITC Avant Garde" w:hAnsi="ITC Avant Garde"/>
          <w:bCs/>
          <w:color w:val="000000"/>
          <w:lang w:val="es-ES" w:eastAsia="es-MX"/>
        </w:rPr>
      </w:pPr>
      <w:r w:rsidRPr="004E69E8">
        <w:rPr>
          <w:rFonts w:ascii="ITC Avant Garde" w:hAnsi="ITC Avant Garde"/>
          <w:bCs/>
          <w:color w:val="000000"/>
          <w:lang w:val="es-ES" w:eastAsia="es-MX"/>
        </w:rPr>
        <w:t xml:space="preserve">Tomando en cuenta lo anterior, </w:t>
      </w:r>
      <w:r w:rsidR="00FE1BB0" w:rsidRPr="004E69E8">
        <w:rPr>
          <w:rFonts w:ascii="ITC Avant Garde" w:hAnsi="ITC Avant Garde"/>
          <w:bCs/>
          <w:color w:val="000000"/>
          <w:lang w:val="es-ES" w:eastAsia="es-MX"/>
        </w:rPr>
        <w:t>mediante oficio IFT/222/UER/</w:t>
      </w:r>
      <w:r w:rsidR="00F8686E">
        <w:rPr>
          <w:rFonts w:ascii="ITC Avant Garde" w:hAnsi="ITC Avant Garde"/>
          <w:bCs/>
          <w:color w:val="000000"/>
          <w:lang w:val="es-ES" w:eastAsia="es-MX"/>
        </w:rPr>
        <w:t>27</w:t>
      </w:r>
      <w:r w:rsidR="00672665">
        <w:rPr>
          <w:rFonts w:ascii="ITC Avant Garde" w:hAnsi="ITC Avant Garde"/>
          <w:bCs/>
          <w:color w:val="000000"/>
          <w:lang w:val="es-ES" w:eastAsia="es-MX"/>
        </w:rPr>
        <w:t>7</w:t>
      </w:r>
      <w:r w:rsidR="00FE1BB0" w:rsidRPr="004E69E8">
        <w:rPr>
          <w:rFonts w:ascii="ITC Avant Garde" w:hAnsi="ITC Avant Garde"/>
          <w:bCs/>
          <w:color w:val="000000"/>
          <w:lang w:val="es-ES" w:eastAsia="es-MX"/>
        </w:rPr>
        <w:t>/2017</w:t>
      </w:r>
      <w:r w:rsidR="00125B93">
        <w:rPr>
          <w:rFonts w:ascii="ITC Avant Garde" w:hAnsi="ITC Avant Garde"/>
          <w:bCs/>
          <w:color w:val="000000"/>
          <w:lang w:val="es-ES" w:eastAsia="es-MX"/>
        </w:rPr>
        <w:t xml:space="preserve"> </w:t>
      </w:r>
      <w:r w:rsidR="00A345B7">
        <w:rPr>
          <w:rFonts w:ascii="ITC Avant Garde" w:hAnsi="ITC Avant Garde"/>
          <w:bCs/>
          <w:color w:val="000000"/>
          <w:lang w:val="es-ES" w:eastAsia="es-MX"/>
        </w:rPr>
        <w:t>de fecha</w:t>
      </w:r>
      <w:r w:rsidR="00FE1BB0" w:rsidRPr="004E69E8">
        <w:rPr>
          <w:rFonts w:ascii="ITC Avant Garde" w:hAnsi="ITC Avant Garde"/>
          <w:bCs/>
          <w:color w:val="000000"/>
          <w:lang w:val="es-ES" w:eastAsia="es-MX"/>
        </w:rPr>
        <w:t xml:space="preserve"> </w:t>
      </w:r>
      <w:r w:rsidR="00F8686E">
        <w:rPr>
          <w:rFonts w:ascii="ITC Avant Garde" w:hAnsi="ITC Avant Garde"/>
          <w:bCs/>
          <w:color w:val="000000"/>
          <w:lang w:val="es-ES" w:eastAsia="es-MX"/>
        </w:rPr>
        <w:t>1</w:t>
      </w:r>
      <w:r w:rsidR="00FE1BB0" w:rsidRPr="004E69E8">
        <w:rPr>
          <w:rFonts w:ascii="ITC Avant Garde" w:hAnsi="ITC Avant Garde"/>
          <w:bCs/>
          <w:color w:val="000000"/>
          <w:lang w:val="es-ES" w:eastAsia="es-MX"/>
        </w:rPr>
        <w:t xml:space="preserve"> de </w:t>
      </w:r>
      <w:r w:rsidR="00F8686E">
        <w:rPr>
          <w:rFonts w:ascii="ITC Avant Garde" w:hAnsi="ITC Avant Garde"/>
          <w:bCs/>
          <w:color w:val="000000"/>
          <w:lang w:val="es-ES" w:eastAsia="es-MX"/>
        </w:rPr>
        <w:t>septiembre</w:t>
      </w:r>
      <w:r w:rsidR="00FE1BB0" w:rsidRPr="004E69E8">
        <w:rPr>
          <w:rFonts w:ascii="ITC Avant Garde" w:hAnsi="ITC Avant Garde"/>
          <w:bCs/>
          <w:color w:val="000000"/>
          <w:lang w:val="es-ES" w:eastAsia="es-MX"/>
        </w:rPr>
        <w:t xml:space="preserve"> de 2017</w:t>
      </w:r>
      <w:r w:rsidR="00A345B7">
        <w:rPr>
          <w:rFonts w:ascii="ITC Avant Garde" w:hAnsi="ITC Avant Garde"/>
          <w:bCs/>
          <w:color w:val="000000"/>
          <w:lang w:val="es-ES" w:eastAsia="es-MX"/>
        </w:rPr>
        <w:t>,</w:t>
      </w:r>
      <w:r w:rsidR="00F80DA8">
        <w:rPr>
          <w:rFonts w:ascii="ITC Avant Garde" w:hAnsi="ITC Avant Garde"/>
          <w:bCs/>
          <w:color w:val="000000"/>
          <w:lang w:val="es-ES" w:eastAsia="es-MX"/>
        </w:rPr>
        <w:t xml:space="preserve"> </w:t>
      </w:r>
      <w:r w:rsidR="00FE1BB0" w:rsidRPr="004E69E8">
        <w:rPr>
          <w:rFonts w:ascii="ITC Avant Garde" w:hAnsi="ITC Avant Garde"/>
          <w:bCs/>
          <w:color w:val="000000"/>
          <w:lang w:val="es-ES" w:eastAsia="es-MX"/>
        </w:rPr>
        <w:t>la Un</w:t>
      </w:r>
      <w:r w:rsidR="00C71560" w:rsidRPr="004E69E8">
        <w:rPr>
          <w:rFonts w:ascii="ITC Avant Garde" w:hAnsi="ITC Avant Garde"/>
          <w:bCs/>
          <w:color w:val="000000"/>
          <w:lang w:val="es-ES" w:eastAsia="es-MX"/>
        </w:rPr>
        <w:t>idad de Espectro Radioeléctrico</w:t>
      </w:r>
      <w:r w:rsidR="00FE1BB0" w:rsidRPr="004E69E8">
        <w:rPr>
          <w:rFonts w:ascii="ITC Avant Garde" w:hAnsi="ITC Avant Garde"/>
          <w:bCs/>
          <w:color w:val="000000"/>
          <w:lang w:val="es-ES" w:eastAsia="es-MX"/>
        </w:rPr>
        <w:t xml:space="preserve"> solicitó a la Secretaría de Hacie</w:t>
      </w:r>
      <w:r w:rsidR="00BE5CE2" w:rsidRPr="004E69E8">
        <w:rPr>
          <w:rFonts w:ascii="ITC Avant Garde" w:hAnsi="ITC Avant Garde"/>
          <w:bCs/>
          <w:color w:val="000000"/>
          <w:lang w:val="es-ES" w:eastAsia="es-MX"/>
        </w:rPr>
        <w:t xml:space="preserve">nda y Crédito Público emitir </w:t>
      </w:r>
      <w:r w:rsidR="00FE1BB0" w:rsidRPr="004E69E8">
        <w:rPr>
          <w:rFonts w:ascii="ITC Avant Garde" w:hAnsi="ITC Avant Garde"/>
          <w:bCs/>
          <w:color w:val="000000"/>
          <w:lang w:val="es-ES" w:eastAsia="es-MX"/>
        </w:rPr>
        <w:t>opinión no vinculante respecto a</w:t>
      </w:r>
      <w:r w:rsidR="00BE5CE2" w:rsidRPr="004E69E8">
        <w:rPr>
          <w:rFonts w:ascii="ITC Avant Garde" w:hAnsi="ITC Avant Garde"/>
          <w:bCs/>
          <w:color w:val="000000"/>
          <w:lang w:val="es-ES" w:eastAsia="es-MX"/>
        </w:rPr>
        <w:t xml:space="preserve"> </w:t>
      </w:r>
      <w:r w:rsidRPr="004E69E8">
        <w:rPr>
          <w:rFonts w:ascii="ITC Avant Garde" w:hAnsi="ITC Avant Garde"/>
          <w:bCs/>
          <w:color w:val="000000"/>
          <w:lang w:val="es-ES" w:eastAsia="es-MX"/>
        </w:rPr>
        <w:t>los montos de aprovechamientos correspondientes</w:t>
      </w:r>
      <w:r w:rsidR="00BE5CE2" w:rsidRPr="004E69E8">
        <w:rPr>
          <w:rFonts w:ascii="ITC Avant Garde" w:hAnsi="ITC Avant Garde"/>
          <w:bCs/>
          <w:color w:val="000000"/>
          <w:lang w:val="es-ES" w:eastAsia="es-MX"/>
        </w:rPr>
        <w:t xml:space="preserve"> a: i) pago por la prórroga a la concesión original con su respectiva autorización de servicios adicionales, y ii) </w:t>
      </w:r>
      <w:r w:rsidRPr="004E69E8">
        <w:rPr>
          <w:rFonts w:ascii="ITC Avant Garde" w:hAnsi="ITC Avant Garde"/>
          <w:bCs/>
          <w:color w:val="000000"/>
          <w:lang w:val="es-ES" w:eastAsia="es-MX"/>
        </w:rPr>
        <w:t>pago por la autori</w:t>
      </w:r>
      <w:r w:rsidR="00205921">
        <w:rPr>
          <w:rFonts w:ascii="ITC Avant Garde" w:hAnsi="ITC Avant Garde"/>
          <w:bCs/>
          <w:color w:val="000000"/>
          <w:lang w:val="es-ES" w:eastAsia="es-MX"/>
        </w:rPr>
        <w:t>zación de servicios adicionales</w:t>
      </w:r>
      <w:r w:rsidR="00DB6271" w:rsidRPr="004E69E8">
        <w:rPr>
          <w:rFonts w:ascii="ITC Avant Garde" w:hAnsi="ITC Avant Garde"/>
          <w:bCs/>
          <w:color w:val="000000"/>
          <w:lang w:val="es-ES" w:eastAsia="es-MX"/>
        </w:rPr>
        <w:t xml:space="preserve"> </w:t>
      </w:r>
      <w:r w:rsidR="00FE1BB0" w:rsidRPr="004E69E8">
        <w:rPr>
          <w:rFonts w:ascii="ITC Avant Garde" w:hAnsi="ITC Avant Garde"/>
          <w:bCs/>
          <w:color w:val="000000"/>
          <w:lang w:val="es-ES" w:eastAsia="es-MX"/>
        </w:rPr>
        <w:t xml:space="preserve">que debería pagar </w:t>
      </w:r>
      <w:r w:rsidR="00B85B42" w:rsidRPr="008D738A">
        <w:rPr>
          <w:rFonts w:ascii="ITC Avant Garde" w:hAnsi="ITC Avant Garde"/>
          <w:bCs/>
          <w:color w:val="000000"/>
          <w:lang w:eastAsia="es-MX"/>
        </w:rPr>
        <w:t>Tele Comarca</w:t>
      </w:r>
      <w:r w:rsidR="009E373A" w:rsidRPr="005B771E">
        <w:rPr>
          <w:rFonts w:ascii="ITC Avant Garde" w:hAnsi="ITC Avant Garde"/>
          <w:bCs/>
          <w:color w:val="000000"/>
          <w:lang w:eastAsia="es-MX"/>
        </w:rPr>
        <w:t>, S.A. de C.V.</w:t>
      </w:r>
      <w:r w:rsidR="00FE1BB0" w:rsidRPr="004E69E8">
        <w:rPr>
          <w:rFonts w:ascii="ITC Avant Garde" w:hAnsi="ITC Avant Garde"/>
          <w:bCs/>
          <w:color w:val="000000"/>
          <w:lang w:val="es-ES" w:eastAsia="es-MX"/>
        </w:rPr>
        <w:t xml:space="preserve"> con motivo de la autorización de la Solicitud de Servicios A</w:t>
      </w:r>
      <w:r w:rsidRPr="004E69E8">
        <w:rPr>
          <w:rFonts w:ascii="ITC Avant Garde" w:hAnsi="ITC Avant Garde"/>
          <w:bCs/>
          <w:color w:val="000000"/>
          <w:lang w:val="es-ES" w:eastAsia="es-MX"/>
        </w:rPr>
        <w:t>dicionales, de conformidad con l</w:t>
      </w:r>
      <w:r w:rsidR="00FE1BB0" w:rsidRPr="004E69E8">
        <w:rPr>
          <w:rFonts w:ascii="ITC Avant Garde" w:hAnsi="ITC Avant Garde"/>
          <w:bCs/>
          <w:color w:val="000000"/>
          <w:lang w:val="es-ES" w:eastAsia="es-MX"/>
        </w:rPr>
        <w:t>o siguiente:</w:t>
      </w:r>
    </w:p>
    <w:p w:rsidR="00642B7F" w:rsidRDefault="00D07321" w:rsidP="00642B7F">
      <w:pPr>
        <w:tabs>
          <w:tab w:val="num" w:pos="567"/>
        </w:tabs>
        <w:spacing w:afterLines="120" w:after="288" w:line="240" w:lineRule="auto"/>
        <w:ind w:left="567" w:right="615"/>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283E26" w:rsidRPr="004E69E8" w:rsidRDefault="00283E26" w:rsidP="00642B7F">
      <w:pPr>
        <w:pStyle w:val="Prrafodelista"/>
        <w:numPr>
          <w:ilvl w:val="0"/>
          <w:numId w:val="14"/>
        </w:numPr>
        <w:spacing w:afterLines="120" w:after="288"/>
        <w:ind w:left="993" w:right="615" w:hanging="426"/>
        <w:contextualSpacing w:val="0"/>
        <w:jc w:val="both"/>
        <w:rPr>
          <w:rFonts w:ascii="ITC Avant Garde" w:hAnsi="ITC Avant Garde"/>
          <w:b/>
          <w:bCs/>
          <w:i/>
          <w:color w:val="000000"/>
          <w:sz w:val="18"/>
          <w:szCs w:val="18"/>
          <w:lang w:eastAsia="es-MX"/>
        </w:rPr>
      </w:pPr>
      <w:r w:rsidRPr="004E69E8">
        <w:rPr>
          <w:rFonts w:ascii="ITC Avant Garde" w:hAnsi="ITC Avant Garde"/>
          <w:b/>
          <w:bCs/>
          <w:i/>
          <w:color w:val="000000"/>
          <w:sz w:val="18"/>
          <w:szCs w:val="18"/>
          <w:lang w:eastAsia="es-MX"/>
        </w:rPr>
        <w:t>ANTECEDENTES</w:t>
      </w:r>
    </w:p>
    <w:p w:rsidR="00642B7F" w:rsidRDefault="00283E26" w:rsidP="00642B7F">
      <w:pPr>
        <w:spacing w:afterLines="120" w:after="288" w:line="240" w:lineRule="auto"/>
        <w:ind w:left="567" w:right="473"/>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642B7F" w:rsidRDefault="00F80DA8" w:rsidP="00642B7F">
      <w:pPr>
        <w:numPr>
          <w:ilvl w:val="0"/>
          <w:numId w:val="18"/>
        </w:numPr>
        <w:spacing w:afterLines="120" w:after="288" w:line="240" w:lineRule="auto"/>
        <w:ind w:left="993" w:right="473" w:hanging="426"/>
        <w:jc w:val="both"/>
        <w:rPr>
          <w:rFonts w:ascii="ITC Avant Garde" w:hAnsi="ITC Avant Garde"/>
          <w:i/>
          <w:sz w:val="18"/>
          <w:szCs w:val="18"/>
        </w:rPr>
      </w:pPr>
      <w:r w:rsidRPr="00F80DA8">
        <w:rPr>
          <w:rFonts w:ascii="ITC Avant Garde" w:hAnsi="ITC Avant Garde"/>
          <w:i/>
          <w:sz w:val="18"/>
          <w:szCs w:val="18"/>
        </w:rPr>
        <w:t xml:space="preserve">El </w:t>
      </w:r>
      <w:r w:rsidR="0007486E" w:rsidRPr="0007486E">
        <w:rPr>
          <w:rFonts w:ascii="ITC Avant Garde" w:hAnsi="ITC Avant Garde"/>
          <w:i/>
          <w:sz w:val="18"/>
          <w:szCs w:val="18"/>
        </w:rPr>
        <w:t>5 de septiembre de 2013, la SHCP mediante el oficio No. 349-B-116, autorizó los aprovechamientos que con motivo del otorgamiento del título de concesión se deberían pagar, de acuerdo con lo siguiente</w:t>
      </w:r>
      <w:r w:rsidR="00283E26" w:rsidRPr="004E69E8">
        <w:rPr>
          <w:rFonts w:ascii="ITC Avant Garde" w:hAnsi="ITC Avant Garde"/>
          <w:i/>
          <w:sz w:val="18"/>
          <w:szCs w:val="18"/>
        </w:rPr>
        <w:t xml:space="preserve">: </w:t>
      </w:r>
    </w:p>
    <w:p w:rsidR="00642B7F" w:rsidRDefault="00283E26" w:rsidP="00642B7F">
      <w:pPr>
        <w:numPr>
          <w:ilvl w:val="0"/>
          <w:numId w:val="16"/>
        </w:numPr>
        <w:spacing w:afterLines="120" w:after="288" w:line="240" w:lineRule="auto"/>
        <w:ind w:left="1418" w:right="473" w:hanging="284"/>
        <w:jc w:val="both"/>
        <w:rPr>
          <w:rFonts w:ascii="ITC Avant Garde" w:hAnsi="ITC Avant Garde"/>
          <w:i/>
          <w:sz w:val="18"/>
          <w:szCs w:val="18"/>
        </w:rPr>
      </w:pPr>
      <w:r w:rsidRPr="004E69E8">
        <w:rPr>
          <w:rFonts w:ascii="ITC Avant Garde" w:hAnsi="ITC Avant Garde"/>
          <w:i/>
          <w:sz w:val="18"/>
          <w:szCs w:val="18"/>
        </w:rPr>
        <w:t xml:space="preserve">Dentro </w:t>
      </w:r>
      <w:r w:rsidR="0007486E" w:rsidRPr="0007486E">
        <w:rPr>
          <w:rFonts w:ascii="ITC Avant Garde" w:hAnsi="ITC Avant Garde"/>
          <w:i/>
          <w:sz w:val="18"/>
          <w:szCs w:val="18"/>
        </w:rPr>
        <w:t xml:space="preserve">de la motivación para solicitar la autorización de los aprovechamientos, la Cofetel señala que como parte de las modificaciones a los títulos de concesión, se establece la condición para que a más tardar el 31 de diciembre de 2016, en todas la concesiones que brinden el servicio de televisión y audio restringido por microondas, </w:t>
      </w:r>
      <w:r w:rsidR="0007486E" w:rsidRPr="0007486E">
        <w:rPr>
          <w:rFonts w:ascii="ITC Avant Garde" w:hAnsi="ITC Avant Garde"/>
          <w:i/>
          <w:sz w:val="18"/>
          <w:szCs w:val="18"/>
        </w:rPr>
        <w:lastRenderedPageBreak/>
        <w:t>se deje de prestar dicho servicio y se proporcionen los servicios amplios de comunicación móviles al amparo de  una  Concesión Única que hace referencia el Decreto de Reforma Constitucional en materia de Telecomunicaciones, publicado en el Diario Oficial de la Federación el 11 de junio de 2013.</w:t>
      </w:r>
    </w:p>
    <w:p w:rsidR="00642B7F" w:rsidRDefault="0007486E" w:rsidP="00642B7F">
      <w:pPr>
        <w:numPr>
          <w:ilvl w:val="0"/>
          <w:numId w:val="16"/>
        </w:numPr>
        <w:spacing w:afterLines="120" w:after="288" w:line="240" w:lineRule="auto"/>
        <w:ind w:left="1418" w:right="473" w:hanging="284"/>
        <w:jc w:val="both"/>
        <w:rPr>
          <w:rFonts w:ascii="ITC Avant Garde" w:hAnsi="ITC Avant Garde"/>
          <w:i/>
          <w:sz w:val="18"/>
          <w:szCs w:val="18"/>
        </w:rPr>
      </w:pPr>
      <w:r w:rsidRPr="0007486E">
        <w:rPr>
          <w:rFonts w:ascii="ITC Avant Garde" w:hAnsi="ITC Avant Garde"/>
          <w:i/>
          <w:sz w:val="18"/>
          <w:szCs w:val="18"/>
        </w:rPr>
        <w:t>A petición de la SCT, la contraprestación por concepto de la prórroga de las concesiones correspondiente al servicio de televisión y audio restringido por microondas fue fijada por la SHCP, mientras que las contraprestaciones por la prórroga de los títulos de concesión en la parte correspondiente a los servicios amplios será establecida en su momento por el Instituto Federal de Telecomunicaciones (IFT).</w:t>
      </w:r>
    </w:p>
    <w:p w:rsidR="00642B7F" w:rsidRDefault="0007486E" w:rsidP="00642B7F">
      <w:pPr>
        <w:numPr>
          <w:ilvl w:val="0"/>
          <w:numId w:val="16"/>
        </w:numPr>
        <w:spacing w:afterLines="120" w:after="288" w:line="240" w:lineRule="auto"/>
        <w:ind w:left="1418" w:right="473" w:hanging="284"/>
        <w:jc w:val="both"/>
        <w:rPr>
          <w:rFonts w:ascii="ITC Avant Garde" w:hAnsi="ITC Avant Garde"/>
          <w:i/>
          <w:sz w:val="18"/>
          <w:szCs w:val="18"/>
        </w:rPr>
      </w:pPr>
      <w:r w:rsidRPr="0007486E">
        <w:rPr>
          <w:rFonts w:ascii="ITC Avant Garde" w:hAnsi="ITC Avant Garde"/>
          <w:i/>
          <w:sz w:val="18"/>
          <w:szCs w:val="18"/>
        </w:rPr>
        <w:t>Con base en lo anterior, la SCT solicita lo siguiente:</w:t>
      </w:r>
    </w:p>
    <w:p w:rsidR="00642B7F" w:rsidRDefault="0007486E" w:rsidP="00642B7F">
      <w:pPr>
        <w:spacing w:afterLines="120" w:after="288" w:line="240" w:lineRule="auto"/>
        <w:ind w:left="1418" w:right="473"/>
        <w:jc w:val="both"/>
        <w:rPr>
          <w:rFonts w:ascii="ITC Avant Garde" w:hAnsi="ITC Avant Garde"/>
          <w:i/>
          <w:sz w:val="18"/>
          <w:szCs w:val="18"/>
        </w:rPr>
      </w:pPr>
      <w:r w:rsidRPr="0007486E">
        <w:rPr>
          <w:rFonts w:ascii="ITC Avant Garde" w:hAnsi="ITC Avant Garde"/>
          <w:i/>
          <w:sz w:val="18"/>
          <w:szCs w:val="18"/>
        </w:rPr>
        <w:t>La autorización de un aprovechamiento por el otorgamiento de la concesión que se dividirá en dos partes</w:t>
      </w:r>
      <w:r w:rsidR="00283E26" w:rsidRPr="004E69E8">
        <w:rPr>
          <w:rFonts w:ascii="ITC Avant Garde" w:hAnsi="ITC Avant Garde"/>
          <w:i/>
          <w:sz w:val="18"/>
          <w:szCs w:val="18"/>
        </w:rPr>
        <w:t xml:space="preserve">: </w:t>
      </w:r>
    </w:p>
    <w:p w:rsidR="00642B7F" w:rsidRDefault="00283E26" w:rsidP="00642B7F">
      <w:pPr>
        <w:numPr>
          <w:ilvl w:val="0"/>
          <w:numId w:val="17"/>
        </w:numPr>
        <w:spacing w:afterLines="120" w:after="288" w:line="240" w:lineRule="auto"/>
        <w:ind w:left="1418" w:right="473" w:hanging="284"/>
        <w:jc w:val="both"/>
        <w:rPr>
          <w:rFonts w:ascii="ITC Avant Garde" w:hAnsi="ITC Avant Garde"/>
          <w:b/>
          <w:i/>
          <w:sz w:val="18"/>
          <w:szCs w:val="18"/>
        </w:rPr>
      </w:pPr>
      <w:r w:rsidRPr="004E69E8">
        <w:rPr>
          <w:rFonts w:ascii="ITC Avant Garde" w:hAnsi="ITC Avant Garde"/>
          <w:b/>
          <w:i/>
          <w:sz w:val="18"/>
          <w:szCs w:val="18"/>
        </w:rPr>
        <w:t xml:space="preserve">El </w:t>
      </w:r>
      <w:r w:rsidR="0007486E" w:rsidRPr="0007486E">
        <w:rPr>
          <w:rFonts w:ascii="ITC Avant Garde" w:hAnsi="ITC Avant Garde"/>
          <w:b/>
          <w:i/>
          <w:sz w:val="18"/>
          <w:szCs w:val="18"/>
        </w:rPr>
        <w:t xml:space="preserve">Aprovechamiento que deberá enterar al Gobierno Federal previo al otorgamiento del título de concesión, se determinará considerando solamente los servicios que se estarán prorrogando (TV y Audio Restringido) y tomando únicamente el periodo por el cual prestarán estos servicios (hasta el 31 de diciembre de 2016); esto desde el día siguiente a la fecha en que ocurrió el vencimiento y hasta el 31 de diciembre de 2016. </w:t>
      </w:r>
    </w:p>
    <w:p w:rsidR="00642B7F" w:rsidRDefault="0007486E" w:rsidP="00642B7F">
      <w:pPr>
        <w:numPr>
          <w:ilvl w:val="0"/>
          <w:numId w:val="17"/>
        </w:numPr>
        <w:spacing w:afterLines="120" w:after="288" w:line="240" w:lineRule="auto"/>
        <w:ind w:left="1418" w:right="473" w:hanging="284"/>
        <w:jc w:val="both"/>
        <w:rPr>
          <w:rFonts w:ascii="ITC Avant Garde" w:hAnsi="ITC Avant Garde"/>
          <w:b/>
          <w:i/>
          <w:sz w:val="18"/>
          <w:szCs w:val="18"/>
        </w:rPr>
      </w:pPr>
      <w:r w:rsidRPr="0007486E">
        <w:rPr>
          <w:rFonts w:ascii="ITC Avant Garde" w:hAnsi="ITC Avant Garde"/>
          <w:b/>
          <w:i/>
          <w:sz w:val="18"/>
          <w:szCs w:val="18"/>
        </w:rPr>
        <w:t>El aprovechamiento por concepto de la prórroga otorgada deberá ser determinado por el IFT al momento que se autorice la prestación de servicios adicionales, a efecto de cubrir el periodo de vigencia que resta a la concesión, comprendido entre el 1 de enero de 2017 y la fecha de vencimiento de la misma para asegurar que dicho monto se fije tomando en cuenta que el concesionario ya tendrá los servicios autorizados a través de sus redes con modelo de concesión única.</w:t>
      </w:r>
    </w:p>
    <w:p w:rsidR="00642B7F" w:rsidRDefault="0007486E" w:rsidP="00642B7F">
      <w:pPr>
        <w:spacing w:afterLines="120" w:after="288" w:line="240" w:lineRule="auto"/>
        <w:ind w:left="1418" w:right="473"/>
        <w:jc w:val="both"/>
        <w:rPr>
          <w:rFonts w:ascii="ITC Avant Garde" w:hAnsi="ITC Avant Garde"/>
          <w:i/>
          <w:sz w:val="18"/>
          <w:szCs w:val="18"/>
        </w:rPr>
      </w:pPr>
      <w:r w:rsidRPr="00372BD1">
        <w:rPr>
          <w:rFonts w:ascii="ITC Avant Garde" w:hAnsi="ITC Avant Garde"/>
          <w:i/>
          <w:sz w:val="18"/>
          <w:szCs w:val="18"/>
        </w:rPr>
        <w:t>El monto mencionado en el punto anterior se deberá pagar de manera adicional al monto de contraprestación que fije el IFT por la autorización de los servicios adicionales, lo que ocurrirá a más tardar el 31 de diciembre de 2016</w:t>
      </w:r>
      <w:r w:rsidR="00283E26" w:rsidRPr="00372BD1">
        <w:rPr>
          <w:rFonts w:ascii="ITC Avant Garde" w:hAnsi="ITC Avant Garde"/>
          <w:i/>
          <w:sz w:val="18"/>
          <w:szCs w:val="18"/>
        </w:rPr>
        <w:t>.</w:t>
      </w:r>
    </w:p>
    <w:p w:rsidR="00283E26" w:rsidRPr="004E69E8" w:rsidRDefault="00283E26" w:rsidP="00642B7F">
      <w:pPr>
        <w:numPr>
          <w:ilvl w:val="0"/>
          <w:numId w:val="16"/>
        </w:numPr>
        <w:spacing w:afterLines="120" w:after="288" w:line="240" w:lineRule="auto"/>
        <w:ind w:left="1276" w:right="473" w:hanging="284"/>
        <w:jc w:val="both"/>
        <w:rPr>
          <w:rFonts w:ascii="ITC Avant Garde" w:hAnsi="ITC Avant Garde"/>
          <w:i/>
          <w:sz w:val="18"/>
          <w:szCs w:val="18"/>
        </w:rPr>
      </w:pPr>
      <w:r w:rsidRPr="004E69E8">
        <w:rPr>
          <w:rFonts w:ascii="ITC Avant Garde" w:hAnsi="ITC Avant Garde"/>
          <w:i/>
          <w:sz w:val="18"/>
          <w:szCs w:val="18"/>
        </w:rPr>
        <w:t xml:space="preserve">Por </w:t>
      </w:r>
      <w:r w:rsidR="00576A76" w:rsidRPr="00576A76">
        <w:rPr>
          <w:rFonts w:ascii="ITC Avant Garde" w:hAnsi="ITC Avant Garde"/>
          <w:i/>
          <w:sz w:val="18"/>
          <w:szCs w:val="18"/>
        </w:rPr>
        <w:t>otra parte, la Dirección  General de Política de Telecomunicaciones y Radiodifusión de la SCT, mediante el oficio 2.1.-3784, de fecha 4 de septiembre de 2013, envió un documento que delinea la Política Pública sobre el reordenamiento de la banda de 2.5 GHz, que aborda entre otros temas el cambio de uso en la citada banda, la reforma constitucional en materia de telecomunicaciones, la explotación y el uso eficiente del espectro radioeléctrico de acuerdo con sus nuevas atribuciones, la planificación armónica de la banda en el contexto internacional y el derecho del Estado a recibir una contraprestación por su otorgamiento de la concesión</w:t>
      </w:r>
      <w:r w:rsidRPr="004E69E8">
        <w:rPr>
          <w:rFonts w:ascii="ITC Avant Garde" w:hAnsi="ITC Avant Garde"/>
          <w:i/>
          <w:sz w:val="18"/>
          <w:szCs w:val="18"/>
        </w:rPr>
        <w:t>.</w:t>
      </w:r>
    </w:p>
    <w:p w:rsidR="00642B7F" w:rsidRDefault="00E51D77" w:rsidP="00642B7F">
      <w:pPr>
        <w:spacing w:afterLines="120" w:after="288" w:line="240" w:lineRule="auto"/>
        <w:ind w:left="567" w:right="615"/>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642B7F" w:rsidRDefault="0072472A" w:rsidP="00642B7F">
      <w:pPr>
        <w:spacing w:afterLines="120" w:after="288" w:line="240" w:lineRule="auto"/>
        <w:ind w:left="851" w:right="473" w:hanging="283"/>
        <w:jc w:val="both"/>
        <w:rPr>
          <w:rFonts w:ascii="ITC Avant Garde" w:hAnsi="ITC Avant Garde"/>
          <w:i/>
          <w:sz w:val="18"/>
          <w:szCs w:val="18"/>
        </w:rPr>
      </w:pPr>
      <w:r>
        <w:rPr>
          <w:rFonts w:ascii="ITC Avant Garde" w:hAnsi="ITC Avant Garde"/>
          <w:i/>
          <w:sz w:val="18"/>
          <w:szCs w:val="18"/>
        </w:rPr>
        <w:t xml:space="preserve">d) </w:t>
      </w:r>
      <w:r w:rsidR="00E51D77" w:rsidRPr="004E69E8">
        <w:rPr>
          <w:rFonts w:ascii="ITC Avant Garde" w:hAnsi="ITC Avant Garde"/>
          <w:i/>
          <w:sz w:val="18"/>
          <w:szCs w:val="18"/>
        </w:rPr>
        <w:t xml:space="preserve">Con </w:t>
      </w:r>
      <w:r w:rsidR="00576A76" w:rsidRPr="00576A76">
        <w:rPr>
          <w:rFonts w:ascii="ITC Avant Garde" w:hAnsi="ITC Avant Garde"/>
          <w:i/>
          <w:sz w:val="18"/>
          <w:szCs w:val="18"/>
        </w:rPr>
        <w:t xml:space="preserve">base en lo ya señalado en el numeral 4 de la sección A) Antecedentes, en el Anexo II que acompaña al presente oficio se desglosa para las 2 concesiones el periodo por el cual se prevé establecer cada uno de los dos conceptos de aprovechamiento, es decir, por </w:t>
      </w:r>
      <w:r w:rsidR="00576A76" w:rsidRPr="00576A76">
        <w:rPr>
          <w:rFonts w:ascii="ITC Avant Garde" w:hAnsi="ITC Avant Garde"/>
          <w:b/>
          <w:i/>
          <w:sz w:val="18"/>
          <w:szCs w:val="18"/>
        </w:rPr>
        <w:t>la autorización de servicios adicionales</w:t>
      </w:r>
      <w:r w:rsidR="00576A76" w:rsidRPr="00576A76">
        <w:rPr>
          <w:rFonts w:ascii="ITC Avant Garde" w:hAnsi="ITC Avant Garde"/>
          <w:i/>
          <w:sz w:val="18"/>
          <w:szCs w:val="18"/>
        </w:rPr>
        <w:t xml:space="preserve"> y por </w:t>
      </w:r>
      <w:r w:rsidR="00576A76" w:rsidRPr="00576A76">
        <w:rPr>
          <w:rFonts w:ascii="ITC Avant Garde" w:hAnsi="ITC Avant Garde"/>
          <w:b/>
          <w:i/>
          <w:sz w:val="18"/>
          <w:szCs w:val="18"/>
        </w:rPr>
        <w:t>la prórroga a la concesión original con su respectiva autorización de servicios adicionales</w:t>
      </w:r>
      <w:r w:rsidR="00576A76" w:rsidRPr="00576A76">
        <w:rPr>
          <w:rFonts w:ascii="ITC Avant Garde" w:hAnsi="ITC Avant Garde"/>
          <w:i/>
          <w:sz w:val="18"/>
          <w:szCs w:val="18"/>
        </w:rPr>
        <w:t xml:space="preserve">. </w:t>
      </w:r>
    </w:p>
    <w:p w:rsidR="00642B7F" w:rsidRDefault="00576A76" w:rsidP="00642B7F">
      <w:pPr>
        <w:numPr>
          <w:ilvl w:val="1"/>
          <w:numId w:val="25"/>
        </w:numPr>
        <w:spacing w:afterLines="120" w:after="288" w:line="240" w:lineRule="auto"/>
        <w:ind w:right="473"/>
        <w:jc w:val="both"/>
        <w:rPr>
          <w:rFonts w:ascii="ITC Avant Garde" w:hAnsi="ITC Avant Garde"/>
          <w:i/>
          <w:sz w:val="18"/>
          <w:szCs w:val="18"/>
        </w:rPr>
      </w:pPr>
      <w:r w:rsidRPr="00576A76">
        <w:rPr>
          <w:rFonts w:ascii="ITC Avant Garde" w:hAnsi="ITC Avant Garde"/>
          <w:i/>
          <w:sz w:val="18"/>
          <w:szCs w:val="18"/>
        </w:rPr>
        <w:lastRenderedPageBreak/>
        <w:t>El cobro de contraprestación determinado por el concepto de servicios adicionales comprende desde el 01 de octubre de 2017 y hasta la fecha que vence la prórroga original.</w:t>
      </w:r>
    </w:p>
    <w:p w:rsidR="00642B7F" w:rsidRDefault="00576A76" w:rsidP="00642B7F">
      <w:pPr>
        <w:numPr>
          <w:ilvl w:val="1"/>
          <w:numId w:val="25"/>
        </w:numPr>
        <w:spacing w:afterLines="120" w:after="288" w:line="240" w:lineRule="auto"/>
        <w:ind w:right="473"/>
        <w:jc w:val="both"/>
        <w:rPr>
          <w:rFonts w:ascii="ITC Avant Garde" w:hAnsi="ITC Avant Garde"/>
          <w:i/>
          <w:sz w:val="18"/>
          <w:szCs w:val="18"/>
        </w:rPr>
      </w:pPr>
      <w:r w:rsidRPr="00576A76">
        <w:rPr>
          <w:rFonts w:ascii="ITC Avant Garde" w:hAnsi="ITC Avant Garde"/>
          <w:i/>
          <w:sz w:val="18"/>
          <w:szCs w:val="18"/>
        </w:rPr>
        <w:t xml:space="preserve">Mientras tanto, el pago de contraprestación por motivo de la prórroga a la concesión original con su respectiva autorización de servicios adicionales, inicia desde la fecha de vencimiento original y hasta el término del plazo adicional que se otorgó en 2013 en la prórroga original. </w:t>
      </w:r>
    </w:p>
    <w:p w:rsidR="00642B7F" w:rsidRDefault="00576A76" w:rsidP="00642B7F">
      <w:pPr>
        <w:spacing w:afterLines="120" w:after="288" w:line="240" w:lineRule="auto"/>
        <w:ind w:left="1418" w:right="473"/>
        <w:jc w:val="both"/>
        <w:rPr>
          <w:rFonts w:ascii="ITC Avant Garde" w:hAnsi="ITC Avant Garde"/>
          <w:i/>
          <w:sz w:val="18"/>
          <w:szCs w:val="18"/>
        </w:rPr>
      </w:pPr>
      <w:r w:rsidRPr="00576A76">
        <w:rPr>
          <w:rFonts w:ascii="ITC Avant Garde" w:hAnsi="ITC Avant Garde"/>
          <w:i/>
          <w:sz w:val="18"/>
          <w:szCs w:val="18"/>
        </w:rPr>
        <w:t>Adicionalmente, es importante mencionar que el monto de contraprestación por motivo de la prórroga a la concesión original con su respectiva autorización de servicios adicionales, ya incluye la prestación del servicio de acceso inalámbrico debido a que la autorización de dicho servicio adicional inicia desde el 01 de octubre de 2017.</w:t>
      </w:r>
    </w:p>
    <w:p w:rsidR="00642B7F" w:rsidRDefault="00576A76" w:rsidP="00642B7F">
      <w:pPr>
        <w:numPr>
          <w:ilvl w:val="1"/>
          <w:numId w:val="25"/>
        </w:numPr>
        <w:spacing w:afterLines="120" w:after="288" w:line="240" w:lineRule="auto"/>
        <w:ind w:right="473"/>
        <w:jc w:val="both"/>
        <w:rPr>
          <w:rFonts w:ascii="ITC Avant Garde" w:hAnsi="ITC Avant Garde"/>
          <w:i/>
          <w:sz w:val="18"/>
          <w:szCs w:val="18"/>
        </w:rPr>
      </w:pPr>
      <w:r w:rsidRPr="00576A76">
        <w:rPr>
          <w:rFonts w:ascii="ITC Avant Garde" w:hAnsi="ITC Avant Garde"/>
          <w:i/>
          <w:sz w:val="18"/>
          <w:szCs w:val="18"/>
        </w:rPr>
        <w:t xml:space="preserve">En este sentido, los montos de aprovechamientos establecidos en la Tabla 2 de la sección E) corresponden al pago por </w:t>
      </w:r>
      <w:r w:rsidRPr="00576A76">
        <w:rPr>
          <w:rFonts w:ascii="ITC Avant Garde" w:hAnsi="ITC Avant Garde"/>
          <w:b/>
          <w:i/>
          <w:sz w:val="18"/>
          <w:szCs w:val="18"/>
        </w:rPr>
        <w:t>la autorización de servicios adicionales</w:t>
      </w:r>
      <w:r w:rsidRPr="00576A76">
        <w:rPr>
          <w:rFonts w:ascii="ITC Avant Garde" w:hAnsi="ITC Avant Garde"/>
          <w:i/>
          <w:sz w:val="18"/>
          <w:szCs w:val="18"/>
        </w:rPr>
        <w:t xml:space="preserve"> (mencionado en el numeral 1 de este inciso) y al pago por </w:t>
      </w:r>
      <w:r w:rsidRPr="00576A76">
        <w:rPr>
          <w:rFonts w:ascii="ITC Avant Garde" w:hAnsi="ITC Avant Garde"/>
          <w:b/>
          <w:i/>
          <w:sz w:val="18"/>
          <w:szCs w:val="18"/>
        </w:rPr>
        <w:t>la prórroga a la concesión original con su respectiva autorización de servicios adicionales</w:t>
      </w:r>
      <w:r w:rsidRPr="00576A76">
        <w:rPr>
          <w:rFonts w:ascii="ITC Avant Garde" w:hAnsi="ITC Avant Garde"/>
          <w:i/>
          <w:sz w:val="18"/>
          <w:szCs w:val="18"/>
        </w:rPr>
        <w:t xml:space="preserve"> (indicado en el numeral 2 de este inciso).</w:t>
      </w:r>
    </w:p>
    <w:p w:rsidR="00642B7F" w:rsidRDefault="00D07321" w:rsidP="00642B7F">
      <w:pPr>
        <w:pStyle w:val="Prrafodelista"/>
        <w:numPr>
          <w:ilvl w:val="0"/>
          <w:numId w:val="15"/>
        </w:numPr>
        <w:spacing w:afterLines="120" w:after="288"/>
        <w:ind w:left="993" w:right="615" w:hanging="426"/>
        <w:contextualSpacing w:val="0"/>
        <w:jc w:val="both"/>
        <w:rPr>
          <w:rFonts w:ascii="ITC Avant Garde" w:hAnsi="ITC Avant Garde"/>
          <w:b/>
          <w:bCs/>
          <w:i/>
          <w:color w:val="000000"/>
          <w:sz w:val="18"/>
          <w:szCs w:val="18"/>
          <w:lang w:eastAsia="es-MX"/>
        </w:rPr>
      </w:pPr>
      <w:r w:rsidRPr="004E69E8">
        <w:rPr>
          <w:rFonts w:ascii="ITC Avant Garde" w:hAnsi="ITC Avant Garde"/>
          <w:b/>
          <w:bCs/>
          <w:i/>
          <w:color w:val="000000"/>
          <w:sz w:val="18"/>
          <w:szCs w:val="18"/>
          <w:lang w:eastAsia="es-MX"/>
        </w:rPr>
        <w:t>CÁLCULO DE LA CONTRAPRESTACIÓN.</w:t>
      </w:r>
    </w:p>
    <w:p w:rsidR="00642B7F" w:rsidRDefault="004B631C" w:rsidP="00642B7F">
      <w:pPr>
        <w:pStyle w:val="Prrafodelista"/>
        <w:spacing w:afterLines="120" w:after="288"/>
        <w:ind w:left="567" w:right="473" w:hanging="11"/>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Con </w:t>
      </w:r>
      <w:r w:rsidRPr="002554E1">
        <w:rPr>
          <w:rFonts w:ascii="ITC Avant Garde" w:hAnsi="ITC Avant Garde"/>
          <w:bCs/>
          <w:i/>
          <w:iCs/>
          <w:color w:val="000000"/>
          <w:sz w:val="18"/>
          <w:szCs w:val="18"/>
          <w:lang w:eastAsia="es-MX"/>
        </w:rPr>
        <w:t>base en lo anterior, le informo que derivado del estudio de la solicitud en comento, la Unidad a mi cargo realizó el cálculo de dicho monto considerando un importe por contraprestación con base en referencias de licitaciones de la banda de 2.5 GHz en el mercado internacional.</w:t>
      </w:r>
    </w:p>
    <w:p w:rsidR="00642B7F" w:rsidRDefault="004B631C" w:rsidP="00642B7F">
      <w:pPr>
        <w:pStyle w:val="Prrafodelista"/>
        <w:spacing w:afterLines="120" w:after="288"/>
        <w:ind w:left="567" w:right="473" w:hanging="11"/>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Los importes de contraprestación con base en referencias del mercado internacional se calcularon de la manera siguiente</w:t>
      </w:r>
      <w:r w:rsidRPr="004E69E8">
        <w:rPr>
          <w:rFonts w:ascii="ITC Avant Garde" w:hAnsi="ITC Avant Garde"/>
          <w:bCs/>
          <w:i/>
          <w:iCs/>
          <w:color w:val="000000"/>
          <w:sz w:val="18"/>
          <w:szCs w:val="18"/>
          <w:lang w:eastAsia="es-MX"/>
        </w:rPr>
        <w:t>:</w:t>
      </w:r>
    </w:p>
    <w:p w:rsidR="004B631C" w:rsidRPr="004E69E8" w:rsidRDefault="004B631C" w:rsidP="00642B7F">
      <w:pPr>
        <w:pStyle w:val="Prrafodelista"/>
        <w:numPr>
          <w:ilvl w:val="0"/>
          <w:numId w:val="6"/>
        </w:numPr>
        <w:spacing w:afterLines="120" w:after="288"/>
        <w:ind w:left="993" w:right="473" w:hanging="426"/>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Determinación del precio nacional por MHz (anual).</w:t>
      </w:r>
    </w:p>
    <w:p w:rsidR="004B631C" w:rsidRPr="002554E1" w:rsidRDefault="004B631C" w:rsidP="00D33C8D">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Cálculo </w:t>
      </w:r>
      <w:r w:rsidRPr="002554E1">
        <w:rPr>
          <w:rFonts w:ascii="ITC Avant Garde" w:hAnsi="ITC Avant Garde"/>
          <w:bCs/>
          <w:i/>
          <w:iCs/>
          <w:color w:val="000000"/>
          <w:sz w:val="18"/>
          <w:szCs w:val="18"/>
          <w:lang w:eastAsia="es-MX"/>
        </w:rPr>
        <w:t>del precio promedio por MHz/pop en dólares americanos (</w:t>
      </w:r>
      <w:r w:rsidRPr="002554E1">
        <w:rPr>
          <w:rFonts w:ascii="ITC Avant Garde" w:hAnsi="ITC Avant Garde"/>
          <w:b/>
          <w:bCs/>
          <w:i/>
          <w:iCs/>
          <w:color w:val="000000"/>
          <w:sz w:val="18"/>
          <w:szCs w:val="18"/>
          <w:lang w:eastAsia="es-MX"/>
        </w:rPr>
        <w:t>0.100 dólares/MHz/Pop</w:t>
      </w:r>
      <w:r w:rsidRPr="002554E1">
        <w:rPr>
          <w:rFonts w:ascii="ITC Avant Garde" w:hAnsi="ITC Avant Garde"/>
          <w:bCs/>
          <w:i/>
          <w:iCs/>
          <w:color w:val="000000"/>
          <w:sz w:val="18"/>
          <w:szCs w:val="18"/>
          <w:lang w:eastAsia="es-MX"/>
        </w:rPr>
        <w:t>) obtenido con el MHz/pop en dólares de 29 países que licitaron la banda de 2.5 GHz, considerando además las cuotas anuales que se pagan por el espectro radioeléctrico en cada país (spectrum fees). Dicho promedio representa el 100% de valor de la banda (ver Anexo I con las licitaciones correspondientes);</w:t>
      </w:r>
    </w:p>
    <w:p w:rsidR="004B631C" w:rsidRPr="002554E1" w:rsidRDefault="004B631C" w:rsidP="00D33C8D">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Obtención del precio nacional por MHz en dólares (</w:t>
      </w:r>
      <w:r w:rsidRPr="002554E1">
        <w:rPr>
          <w:rFonts w:ascii="ITC Avant Garde" w:hAnsi="ITC Avant Garde"/>
          <w:b/>
          <w:bCs/>
          <w:i/>
          <w:iCs/>
          <w:color w:val="000000"/>
          <w:sz w:val="18"/>
          <w:szCs w:val="18"/>
          <w:lang w:eastAsia="es-MX"/>
        </w:rPr>
        <w:t>$ 953,593.00 dólares</w:t>
      </w:r>
      <w:r w:rsidRPr="002554E1">
        <w:rPr>
          <w:rFonts w:ascii="ITC Avant Garde" w:hAnsi="ITC Avant Garde"/>
          <w:bCs/>
          <w:i/>
          <w:iCs/>
          <w:color w:val="000000"/>
          <w:sz w:val="18"/>
          <w:szCs w:val="18"/>
          <w:lang w:eastAsia="es-MX"/>
        </w:rPr>
        <w:t xml:space="preserve">) determinado con el artículo 244 de la Ley Federal de Derechos 2017 y considerando el tipo de cambio definido en los Criterios Generales de Política Económica 2017 (18.2 pesos/dólar); </w:t>
      </w:r>
    </w:p>
    <w:p w:rsidR="004B631C" w:rsidRPr="002554E1" w:rsidRDefault="004B631C" w:rsidP="00D33C8D">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Con el fin de obtener el MHz/Pop anual, el importe anterior se divide entre la población de México (112,336,538 habitantes)</w:t>
      </w:r>
      <w:r w:rsidRPr="008879E2">
        <w:rPr>
          <w:rStyle w:val="Refdenotaalpie"/>
          <w:rFonts w:ascii="ITC Avant Garde" w:hAnsi="ITC Avant Garde"/>
          <w:bCs/>
          <w:i/>
          <w:iCs/>
          <w:color w:val="000000"/>
          <w:sz w:val="18"/>
          <w:szCs w:val="18"/>
          <w:lang w:eastAsia="es-MX"/>
        </w:rPr>
        <w:t xml:space="preserve"> </w:t>
      </w:r>
      <w:r>
        <w:rPr>
          <w:rStyle w:val="Refdenotaalpie"/>
          <w:rFonts w:ascii="ITC Avant Garde" w:hAnsi="ITC Avant Garde"/>
          <w:bCs/>
          <w:i/>
          <w:iCs/>
          <w:color w:val="000000"/>
          <w:sz w:val="18"/>
          <w:szCs w:val="18"/>
          <w:lang w:eastAsia="es-MX"/>
        </w:rPr>
        <w:footnoteReference w:id="1"/>
      </w:r>
      <w:r w:rsidRPr="002554E1">
        <w:rPr>
          <w:rFonts w:ascii="ITC Avant Garde" w:hAnsi="ITC Avant Garde"/>
          <w:bCs/>
          <w:i/>
          <w:iCs/>
          <w:color w:val="000000"/>
          <w:sz w:val="18"/>
          <w:szCs w:val="18"/>
          <w:lang w:eastAsia="es-MX"/>
        </w:rPr>
        <w:t xml:space="preserve"> ; dando como resultado: </w:t>
      </w:r>
      <w:r w:rsidRPr="002554E1">
        <w:rPr>
          <w:rFonts w:ascii="ITC Avant Garde" w:hAnsi="ITC Avant Garde"/>
          <w:b/>
          <w:bCs/>
          <w:i/>
          <w:iCs/>
          <w:color w:val="000000"/>
          <w:sz w:val="18"/>
          <w:szCs w:val="18"/>
          <w:lang w:eastAsia="es-MX"/>
        </w:rPr>
        <w:t>0.0085 dólares/MHz/Pop</w:t>
      </w:r>
      <w:r w:rsidRPr="002554E1">
        <w:rPr>
          <w:rFonts w:ascii="ITC Avant Garde" w:hAnsi="ITC Avant Garde"/>
          <w:bCs/>
          <w:i/>
          <w:iCs/>
          <w:color w:val="000000"/>
          <w:sz w:val="18"/>
          <w:szCs w:val="18"/>
          <w:lang w:eastAsia="es-MX"/>
        </w:rPr>
        <w:t>;</w:t>
      </w:r>
    </w:p>
    <w:p w:rsidR="004B631C" w:rsidRPr="002554E1" w:rsidRDefault="004B631C" w:rsidP="00D33C8D">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 xml:space="preserve">Posteriormente, se calcula el MHz/pop a 20 años (vigencia de referencia internacional) considerando una tasa de descuento del 10.11%; el dato obtenido es de: </w:t>
      </w:r>
      <w:r w:rsidRPr="002554E1">
        <w:rPr>
          <w:rFonts w:ascii="ITC Avant Garde" w:hAnsi="ITC Avant Garde"/>
          <w:b/>
          <w:bCs/>
          <w:i/>
          <w:iCs/>
          <w:color w:val="000000"/>
          <w:sz w:val="18"/>
          <w:szCs w:val="18"/>
          <w:lang w:eastAsia="es-MX"/>
        </w:rPr>
        <w:t>0.072 dólares/MHz/pop</w:t>
      </w:r>
      <w:r w:rsidRPr="002554E1">
        <w:rPr>
          <w:rFonts w:ascii="ITC Avant Garde" w:hAnsi="ITC Avant Garde"/>
          <w:bCs/>
          <w:i/>
          <w:iCs/>
          <w:color w:val="000000"/>
          <w:sz w:val="18"/>
          <w:szCs w:val="18"/>
          <w:lang w:eastAsia="es-MX"/>
        </w:rPr>
        <w:t>;</w:t>
      </w:r>
    </w:p>
    <w:p w:rsidR="004B631C" w:rsidRPr="002554E1" w:rsidRDefault="004B631C" w:rsidP="00D33C8D">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lastRenderedPageBreak/>
        <w:t xml:space="preserve">Tomando en cuenta que el concesionario quedará obligado al pago de los derechos por el uso de la banda de frecuencias de 2.5 GHz a lo largo de la vigencia de la concesión, al valor total de la banda calculado en el paso i) se le resta el valor presente neto de los derechos a 20 años, el cual se determinó en el paso iv); así el monto de contraprestación sería el siguiente: (0.100-0.072)= </w:t>
      </w:r>
      <w:r w:rsidRPr="002554E1">
        <w:rPr>
          <w:rFonts w:ascii="ITC Avant Garde" w:hAnsi="ITC Avant Garde"/>
          <w:b/>
          <w:bCs/>
          <w:i/>
          <w:iCs/>
          <w:color w:val="000000"/>
          <w:sz w:val="18"/>
          <w:szCs w:val="18"/>
          <w:lang w:eastAsia="es-MX"/>
        </w:rPr>
        <w:t>0.028 dólares/MHz/Pop</w:t>
      </w:r>
      <w:r w:rsidRPr="002554E1">
        <w:rPr>
          <w:rFonts w:ascii="ITC Avant Garde" w:hAnsi="ITC Avant Garde"/>
          <w:bCs/>
          <w:i/>
          <w:iCs/>
          <w:color w:val="000000"/>
          <w:sz w:val="18"/>
          <w:szCs w:val="18"/>
          <w:lang w:eastAsia="es-MX"/>
        </w:rPr>
        <w:t>.</w:t>
      </w:r>
    </w:p>
    <w:p w:rsidR="004B631C" w:rsidRPr="002554E1" w:rsidRDefault="004B631C" w:rsidP="00D33C8D">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 xml:space="preserve">Para obtener el precio nacional por MHz a 20 años, el MHz/Pop anterior se multiplica por la población en México y se convierte en pesos mexicanos con el tipo de cambio de referencia; el cálculo es el siguiente:(0.028)*(18.2)* (112,336,538)= </w:t>
      </w:r>
      <w:r w:rsidRPr="002554E1">
        <w:rPr>
          <w:rFonts w:ascii="ITC Avant Garde" w:hAnsi="ITC Avant Garde"/>
          <w:b/>
          <w:bCs/>
          <w:i/>
          <w:iCs/>
          <w:color w:val="000000"/>
          <w:sz w:val="18"/>
          <w:szCs w:val="18"/>
          <w:lang w:eastAsia="es-MX"/>
        </w:rPr>
        <w:t>57,822,476.00 pesos/MHz</w:t>
      </w:r>
      <w:r w:rsidRPr="002554E1">
        <w:rPr>
          <w:rFonts w:ascii="ITC Avant Garde" w:hAnsi="ITC Avant Garde"/>
          <w:bCs/>
          <w:i/>
          <w:iCs/>
          <w:color w:val="000000"/>
          <w:sz w:val="18"/>
          <w:szCs w:val="18"/>
          <w:lang w:eastAsia="es-MX"/>
        </w:rPr>
        <w:t>;</w:t>
      </w:r>
    </w:p>
    <w:p w:rsidR="00642B7F" w:rsidRDefault="004B631C" w:rsidP="00642B7F">
      <w:pPr>
        <w:pStyle w:val="Prrafodelista"/>
        <w:numPr>
          <w:ilvl w:val="0"/>
          <w:numId w:val="5"/>
        </w:numPr>
        <w:spacing w:afterLines="120" w:after="288"/>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 xml:space="preserve">Con el monto del paso anterior, calculamos el </w:t>
      </w:r>
      <w:r w:rsidRPr="002554E1">
        <w:rPr>
          <w:rFonts w:ascii="ITC Avant Garde" w:hAnsi="ITC Avant Garde"/>
          <w:b/>
          <w:bCs/>
          <w:i/>
          <w:iCs/>
          <w:color w:val="000000"/>
          <w:sz w:val="18"/>
          <w:szCs w:val="18"/>
          <w:u w:val="single"/>
          <w:lang w:eastAsia="es-MX"/>
        </w:rPr>
        <w:t>precio nacional por MHz anual</w:t>
      </w:r>
      <w:r w:rsidRPr="002554E1">
        <w:rPr>
          <w:rFonts w:ascii="ITC Avant Garde" w:hAnsi="ITC Avant Garde"/>
          <w:bCs/>
          <w:i/>
          <w:iCs/>
          <w:color w:val="000000"/>
          <w:sz w:val="18"/>
          <w:szCs w:val="18"/>
          <w:lang w:eastAsia="es-MX"/>
        </w:rPr>
        <w:t xml:space="preserve"> considerando la misma tasa de descuento ocupada anteriormente; el resultado es de</w:t>
      </w:r>
      <w:r w:rsidRPr="004E69E8">
        <w:rPr>
          <w:rFonts w:ascii="ITC Avant Garde" w:hAnsi="ITC Avant Garde"/>
          <w:bCs/>
          <w:i/>
          <w:iCs/>
          <w:color w:val="000000"/>
          <w:sz w:val="18"/>
          <w:szCs w:val="18"/>
          <w:lang w:eastAsia="es-MX"/>
        </w:rPr>
        <w:t xml:space="preserve">: </w:t>
      </w:r>
      <w:r w:rsidRPr="004E69E8">
        <w:rPr>
          <w:rFonts w:ascii="ITC Avant Garde" w:hAnsi="ITC Avant Garde"/>
          <w:b/>
          <w:bCs/>
          <w:i/>
          <w:iCs/>
          <w:color w:val="000000"/>
          <w:sz w:val="18"/>
          <w:szCs w:val="18"/>
          <w:lang w:eastAsia="es-MX"/>
        </w:rPr>
        <w:t>6,</w:t>
      </w:r>
      <w:r>
        <w:rPr>
          <w:rFonts w:ascii="ITC Avant Garde" w:hAnsi="ITC Avant Garde"/>
          <w:b/>
          <w:bCs/>
          <w:i/>
          <w:iCs/>
          <w:color w:val="000000"/>
          <w:sz w:val="18"/>
          <w:szCs w:val="18"/>
          <w:lang w:eastAsia="es-MX"/>
        </w:rPr>
        <w:t>842,870.00</w:t>
      </w:r>
      <w:r w:rsidRPr="004E69E8">
        <w:rPr>
          <w:rFonts w:ascii="ITC Avant Garde" w:hAnsi="ITC Avant Garde"/>
          <w:b/>
          <w:bCs/>
          <w:i/>
          <w:iCs/>
          <w:color w:val="000000"/>
          <w:sz w:val="18"/>
          <w:szCs w:val="18"/>
          <w:lang w:eastAsia="es-MX"/>
        </w:rPr>
        <w:t xml:space="preserve"> pesos/MHz</w:t>
      </w:r>
      <w:r w:rsidRPr="004E69E8">
        <w:rPr>
          <w:rFonts w:ascii="ITC Avant Garde" w:hAnsi="ITC Avant Garde"/>
          <w:bCs/>
          <w:i/>
          <w:iCs/>
          <w:color w:val="000000"/>
          <w:sz w:val="18"/>
          <w:szCs w:val="18"/>
          <w:lang w:eastAsia="es-MX"/>
        </w:rPr>
        <w:t xml:space="preserve">. </w:t>
      </w:r>
    </w:p>
    <w:p w:rsidR="00642B7F" w:rsidRDefault="004B631C" w:rsidP="00642B7F">
      <w:pPr>
        <w:pStyle w:val="Prrafodelista"/>
        <w:numPr>
          <w:ilvl w:val="0"/>
          <w:numId w:val="6"/>
        </w:numPr>
        <w:spacing w:afterLines="120" w:after="288"/>
        <w:ind w:left="993" w:right="473" w:hanging="284"/>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Obtención del porcentaje que representa la población del Municipio en la población de la Región Celular correspondiente.</w:t>
      </w:r>
    </w:p>
    <w:p w:rsidR="00642B7F" w:rsidRDefault="004B631C" w:rsidP="00642B7F">
      <w:pPr>
        <w:pStyle w:val="Prrafodelista"/>
        <w:numPr>
          <w:ilvl w:val="0"/>
          <w:numId w:val="7"/>
        </w:numPr>
        <w:spacing w:afterLines="120" w:after="288"/>
        <w:ind w:left="851" w:right="473" w:hanging="284"/>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El </w:t>
      </w:r>
      <w:r w:rsidRPr="008626AE">
        <w:rPr>
          <w:rFonts w:ascii="ITC Avant Garde" w:hAnsi="ITC Avant Garde"/>
          <w:bCs/>
          <w:i/>
          <w:iCs/>
          <w:color w:val="000000"/>
          <w:sz w:val="18"/>
          <w:szCs w:val="18"/>
          <w:lang w:eastAsia="es-MX"/>
        </w:rPr>
        <w:t>pago de derechos a nivel nacional ($17,355.00 pesos/KHz), según el artículo 244 de la Ley Federal de Derechos 2017, es ponderado en las 9 Regiones Celulares; los porcentajes  obtenidos son los siguientes</w:t>
      </w:r>
      <w:r w:rsidRPr="004E69E8">
        <w:rPr>
          <w:rFonts w:ascii="ITC Avant Garde" w:hAnsi="ITC Avant Garde"/>
          <w:bCs/>
          <w:i/>
          <w:iCs/>
          <w:color w:val="000000"/>
          <w:sz w:val="18"/>
          <w:szCs w:val="18"/>
          <w:lang w:eastAsia="es-MX"/>
        </w:rPr>
        <w:t xml:space="preserve">: </w:t>
      </w:r>
    </w:p>
    <w:p w:rsidR="004B631C" w:rsidRPr="004E69E8" w:rsidRDefault="004B631C" w:rsidP="00D33C8D">
      <w:pPr>
        <w:pStyle w:val="Prrafodelista"/>
        <w:spacing w:afterLines="50" w:after="120"/>
        <w:ind w:left="567" w:right="473"/>
        <w:contextualSpacing w:val="0"/>
        <w:jc w:val="center"/>
        <w:rPr>
          <w:rFonts w:ascii="ITC Avant Garde" w:hAnsi="ITC Avant Garde"/>
          <w:bCs/>
          <w:i/>
          <w:iCs/>
          <w:color w:val="000000"/>
          <w:sz w:val="18"/>
          <w:szCs w:val="18"/>
          <w:lang w:eastAsia="es-MX"/>
        </w:rPr>
      </w:pPr>
      <w:r w:rsidRPr="004E69E8">
        <w:rPr>
          <w:rFonts w:ascii="ITC Avant Garde" w:hAnsi="ITC Avant Garde"/>
          <w:b/>
          <w:bCs/>
          <w:i/>
          <w:iCs/>
          <w:color w:val="000000"/>
          <w:sz w:val="18"/>
          <w:szCs w:val="18"/>
          <w:lang w:eastAsia="es-MX"/>
        </w:rPr>
        <w:t>Tabla 1: Porcentaje de la Región Celular según la cuota de Pago de Derechos</w:t>
      </w:r>
    </w:p>
    <w:tbl>
      <w:tblPr>
        <w:tblStyle w:val="Tablaconcuadrcula8"/>
        <w:tblW w:w="8097" w:type="dxa"/>
        <w:jc w:val="center"/>
        <w:tblLayout w:type="fixed"/>
        <w:tblLook w:val="04A0" w:firstRow="1" w:lastRow="0" w:firstColumn="1" w:lastColumn="0" w:noHBand="0" w:noVBand="1"/>
        <w:tblCaption w:val="Tabla 1: Porcentaje de la Región Celular según la cuota de Pago de Derechos."/>
        <w:tblDescription w:val="Tabla de 3 columnas que proporciona información relativa al porcentaje de la Región Celular según la cuota de Pago de Derechos."/>
      </w:tblPr>
      <w:tblGrid>
        <w:gridCol w:w="1860"/>
        <w:gridCol w:w="4089"/>
        <w:gridCol w:w="2148"/>
      </w:tblGrid>
      <w:tr w:rsidR="007E16C9" w:rsidRPr="007E16C9" w:rsidTr="007E16C9">
        <w:trPr>
          <w:trHeight w:val="20"/>
          <w:tblHeader/>
          <w:jc w:val="center"/>
        </w:trPr>
        <w:tc>
          <w:tcPr>
            <w:tcW w:w="1860" w:type="dxa"/>
            <w:noWrap/>
            <w:hideMark/>
          </w:tcPr>
          <w:p w:rsidR="004B631C" w:rsidRPr="007E16C9" w:rsidRDefault="004B631C" w:rsidP="00D33C8D">
            <w:pPr>
              <w:pStyle w:val="Prrafodelista"/>
              <w:ind w:left="709"/>
              <w:contextualSpacing w:val="0"/>
              <w:jc w:val="both"/>
              <w:rPr>
                <w:rFonts w:ascii="ITC Avant Garde" w:hAnsi="ITC Avant Garde"/>
                <w:b/>
                <w:bCs/>
                <w:i/>
                <w:sz w:val="14"/>
                <w:szCs w:val="21"/>
              </w:rPr>
            </w:pPr>
            <w:r w:rsidRPr="007E16C9">
              <w:rPr>
                <w:rFonts w:ascii="ITC Avant Garde" w:hAnsi="ITC Avant Garde"/>
                <w:b/>
                <w:bCs/>
                <w:i/>
                <w:sz w:val="14"/>
                <w:szCs w:val="21"/>
              </w:rPr>
              <w:t>Región Celular</w:t>
            </w:r>
          </w:p>
        </w:tc>
        <w:tc>
          <w:tcPr>
            <w:tcW w:w="4089" w:type="dxa"/>
            <w:hideMark/>
          </w:tcPr>
          <w:p w:rsidR="004B631C" w:rsidRPr="007E16C9" w:rsidRDefault="004B631C" w:rsidP="00D33C8D">
            <w:pPr>
              <w:pStyle w:val="Prrafodelista"/>
              <w:ind w:left="709"/>
              <w:contextualSpacing w:val="0"/>
              <w:jc w:val="both"/>
              <w:rPr>
                <w:rFonts w:ascii="ITC Avant Garde" w:hAnsi="ITC Avant Garde"/>
                <w:b/>
                <w:bCs/>
                <w:i/>
                <w:sz w:val="14"/>
                <w:szCs w:val="21"/>
              </w:rPr>
            </w:pPr>
            <w:r w:rsidRPr="007E16C9">
              <w:rPr>
                <w:rFonts w:ascii="ITC Avant Garde" w:hAnsi="ITC Avant Garde"/>
                <w:b/>
                <w:bCs/>
                <w:i/>
                <w:sz w:val="14"/>
                <w:szCs w:val="21"/>
              </w:rPr>
              <w:t>Cuota por cada kilohertz concesionado o permisionado  (1 MHz=1000 KHz)</w:t>
            </w:r>
          </w:p>
        </w:tc>
        <w:tc>
          <w:tcPr>
            <w:tcW w:w="2148" w:type="dxa"/>
            <w:noWrap/>
            <w:hideMark/>
          </w:tcPr>
          <w:p w:rsidR="004B631C" w:rsidRPr="007E16C9" w:rsidRDefault="004B631C" w:rsidP="00D33C8D">
            <w:pPr>
              <w:pStyle w:val="Prrafodelista"/>
              <w:ind w:left="709"/>
              <w:contextualSpacing w:val="0"/>
              <w:jc w:val="right"/>
              <w:rPr>
                <w:rFonts w:ascii="ITC Avant Garde" w:hAnsi="ITC Avant Garde"/>
                <w:b/>
                <w:bCs/>
                <w:i/>
                <w:sz w:val="14"/>
                <w:szCs w:val="21"/>
              </w:rPr>
            </w:pPr>
            <w:r w:rsidRPr="007E16C9">
              <w:rPr>
                <w:rFonts w:ascii="ITC Avant Garde" w:hAnsi="ITC Avant Garde"/>
                <w:b/>
                <w:bCs/>
                <w:i/>
                <w:sz w:val="14"/>
                <w:szCs w:val="21"/>
              </w:rPr>
              <w:t>% de la Región Celular</w:t>
            </w:r>
          </w:p>
        </w:tc>
      </w:tr>
      <w:tr w:rsidR="007E16C9" w:rsidRPr="007E16C9" w:rsidTr="007E16C9">
        <w:trPr>
          <w:trHeight w:val="20"/>
          <w:jc w:val="center"/>
        </w:trPr>
        <w:tc>
          <w:tcPr>
            <w:tcW w:w="1860" w:type="dxa"/>
            <w:noWrap/>
            <w:hideMark/>
          </w:tcPr>
          <w:p w:rsidR="004B631C" w:rsidRPr="007E16C9" w:rsidRDefault="004B631C" w:rsidP="00D33C8D">
            <w:pPr>
              <w:pStyle w:val="Prrafodelista"/>
              <w:ind w:left="709"/>
              <w:contextualSpacing w:val="0"/>
              <w:jc w:val="both"/>
              <w:rPr>
                <w:rFonts w:ascii="ITC Avant Garde" w:hAnsi="ITC Avant Garde"/>
                <w:b/>
                <w:bCs/>
                <w:i/>
                <w:sz w:val="14"/>
                <w:szCs w:val="21"/>
              </w:rPr>
            </w:pPr>
            <w:r w:rsidRPr="007E16C9">
              <w:rPr>
                <w:rFonts w:ascii="ITC Avant Garde" w:hAnsi="ITC Avant Garde"/>
                <w:b/>
                <w:bCs/>
                <w:i/>
                <w:sz w:val="14"/>
                <w:szCs w:val="21"/>
              </w:rPr>
              <w:t>1</w:t>
            </w:r>
          </w:p>
        </w:tc>
        <w:tc>
          <w:tcPr>
            <w:tcW w:w="4089" w:type="dxa"/>
            <w:noWrap/>
            <w:hideMark/>
          </w:tcPr>
          <w:p w:rsidR="004B631C" w:rsidRPr="007E16C9" w:rsidRDefault="004B631C" w:rsidP="00D33C8D">
            <w:pPr>
              <w:pStyle w:val="Prrafodelista"/>
              <w:ind w:left="709"/>
              <w:contextualSpacing w:val="0"/>
              <w:jc w:val="right"/>
              <w:rPr>
                <w:rFonts w:ascii="ITC Avant Garde" w:hAnsi="ITC Avant Garde"/>
                <w:i/>
                <w:sz w:val="14"/>
                <w:szCs w:val="21"/>
              </w:rPr>
            </w:pPr>
            <w:r w:rsidRPr="007E16C9">
              <w:rPr>
                <w:rFonts w:ascii="ITC Avant Garde" w:hAnsi="ITC Avant Garde"/>
                <w:i/>
                <w:sz w:val="14"/>
                <w:szCs w:val="21"/>
              </w:rPr>
              <w:t>$1,531.33</w:t>
            </w:r>
          </w:p>
        </w:tc>
        <w:tc>
          <w:tcPr>
            <w:tcW w:w="2148" w:type="dxa"/>
            <w:noWrap/>
            <w:hideMark/>
          </w:tcPr>
          <w:p w:rsidR="004B631C" w:rsidRPr="007E16C9" w:rsidRDefault="004B631C" w:rsidP="00D33C8D">
            <w:pPr>
              <w:pStyle w:val="Prrafodelista"/>
              <w:ind w:left="709"/>
              <w:contextualSpacing w:val="0"/>
              <w:jc w:val="right"/>
              <w:rPr>
                <w:rFonts w:ascii="ITC Avant Garde" w:hAnsi="ITC Avant Garde"/>
                <w:b/>
                <w:i/>
                <w:sz w:val="14"/>
                <w:szCs w:val="21"/>
              </w:rPr>
            </w:pPr>
            <w:r w:rsidRPr="007E16C9">
              <w:rPr>
                <w:rFonts w:ascii="ITC Avant Garde" w:hAnsi="ITC Avant Garde"/>
                <w:b/>
                <w:i/>
                <w:sz w:val="14"/>
                <w:szCs w:val="21"/>
              </w:rPr>
              <w:t>8.82%</w:t>
            </w:r>
          </w:p>
        </w:tc>
      </w:tr>
      <w:tr w:rsidR="007E16C9" w:rsidRPr="007E16C9" w:rsidTr="007E16C9">
        <w:trPr>
          <w:trHeight w:val="20"/>
          <w:jc w:val="center"/>
        </w:trPr>
        <w:tc>
          <w:tcPr>
            <w:tcW w:w="1860" w:type="dxa"/>
            <w:noWrap/>
            <w:hideMark/>
          </w:tcPr>
          <w:p w:rsidR="004B631C" w:rsidRPr="007E16C9" w:rsidRDefault="004B631C" w:rsidP="00D33C8D">
            <w:pPr>
              <w:pStyle w:val="Prrafodelista"/>
              <w:ind w:left="709"/>
              <w:contextualSpacing w:val="0"/>
              <w:jc w:val="both"/>
              <w:rPr>
                <w:rFonts w:ascii="ITC Avant Garde" w:hAnsi="ITC Avant Garde"/>
                <w:b/>
                <w:bCs/>
                <w:i/>
                <w:sz w:val="14"/>
                <w:szCs w:val="21"/>
              </w:rPr>
            </w:pPr>
            <w:r w:rsidRPr="007E16C9">
              <w:rPr>
                <w:rFonts w:ascii="ITC Avant Garde" w:hAnsi="ITC Avant Garde"/>
                <w:b/>
                <w:bCs/>
                <w:i/>
                <w:sz w:val="14"/>
                <w:szCs w:val="21"/>
              </w:rPr>
              <w:t>2</w:t>
            </w:r>
          </w:p>
        </w:tc>
        <w:tc>
          <w:tcPr>
            <w:tcW w:w="4089" w:type="dxa"/>
            <w:noWrap/>
            <w:hideMark/>
          </w:tcPr>
          <w:p w:rsidR="004B631C" w:rsidRPr="007E16C9" w:rsidRDefault="004B631C" w:rsidP="00D33C8D">
            <w:pPr>
              <w:pStyle w:val="Prrafodelista"/>
              <w:ind w:left="709"/>
              <w:contextualSpacing w:val="0"/>
              <w:jc w:val="right"/>
              <w:rPr>
                <w:rFonts w:ascii="ITC Avant Garde" w:hAnsi="ITC Avant Garde"/>
                <w:i/>
                <w:sz w:val="14"/>
                <w:szCs w:val="21"/>
              </w:rPr>
            </w:pPr>
            <w:r w:rsidRPr="007E16C9">
              <w:rPr>
                <w:rFonts w:ascii="ITC Avant Garde" w:hAnsi="ITC Avant Garde"/>
                <w:i/>
                <w:sz w:val="14"/>
                <w:szCs w:val="21"/>
              </w:rPr>
              <w:t>$227.00</w:t>
            </w:r>
          </w:p>
        </w:tc>
        <w:tc>
          <w:tcPr>
            <w:tcW w:w="2148" w:type="dxa"/>
            <w:noWrap/>
            <w:hideMark/>
          </w:tcPr>
          <w:p w:rsidR="004B631C" w:rsidRPr="007E16C9" w:rsidRDefault="004B631C" w:rsidP="00D33C8D">
            <w:pPr>
              <w:pStyle w:val="Prrafodelista"/>
              <w:ind w:left="709"/>
              <w:contextualSpacing w:val="0"/>
              <w:jc w:val="right"/>
              <w:rPr>
                <w:rFonts w:ascii="ITC Avant Garde" w:hAnsi="ITC Avant Garde"/>
                <w:b/>
                <w:i/>
                <w:sz w:val="14"/>
                <w:szCs w:val="21"/>
              </w:rPr>
            </w:pPr>
            <w:r w:rsidRPr="007E16C9">
              <w:rPr>
                <w:rFonts w:ascii="ITC Avant Garde" w:hAnsi="ITC Avant Garde"/>
                <w:b/>
                <w:i/>
                <w:sz w:val="14"/>
                <w:szCs w:val="21"/>
              </w:rPr>
              <w:t>1.31%</w:t>
            </w:r>
          </w:p>
        </w:tc>
      </w:tr>
      <w:tr w:rsidR="007E16C9" w:rsidRPr="007E16C9" w:rsidTr="007E16C9">
        <w:trPr>
          <w:trHeight w:val="20"/>
          <w:jc w:val="center"/>
        </w:trPr>
        <w:tc>
          <w:tcPr>
            <w:tcW w:w="1860" w:type="dxa"/>
            <w:noWrap/>
            <w:hideMark/>
          </w:tcPr>
          <w:p w:rsidR="004B631C" w:rsidRPr="007E16C9" w:rsidRDefault="004B631C" w:rsidP="00D33C8D">
            <w:pPr>
              <w:pStyle w:val="Prrafodelista"/>
              <w:ind w:left="709"/>
              <w:contextualSpacing w:val="0"/>
              <w:jc w:val="both"/>
              <w:rPr>
                <w:rFonts w:ascii="ITC Avant Garde" w:hAnsi="ITC Avant Garde"/>
                <w:b/>
                <w:bCs/>
                <w:i/>
                <w:sz w:val="14"/>
                <w:szCs w:val="21"/>
              </w:rPr>
            </w:pPr>
            <w:r w:rsidRPr="007E16C9">
              <w:rPr>
                <w:rFonts w:ascii="ITC Avant Garde" w:hAnsi="ITC Avant Garde"/>
                <w:b/>
                <w:bCs/>
                <w:i/>
                <w:sz w:val="14"/>
                <w:szCs w:val="21"/>
              </w:rPr>
              <w:t>3</w:t>
            </w:r>
          </w:p>
        </w:tc>
        <w:tc>
          <w:tcPr>
            <w:tcW w:w="4089" w:type="dxa"/>
            <w:noWrap/>
            <w:hideMark/>
          </w:tcPr>
          <w:p w:rsidR="004B631C" w:rsidRPr="007E16C9" w:rsidRDefault="004B631C" w:rsidP="00D33C8D">
            <w:pPr>
              <w:pStyle w:val="Prrafodelista"/>
              <w:ind w:left="709"/>
              <w:contextualSpacing w:val="0"/>
              <w:jc w:val="right"/>
              <w:rPr>
                <w:rFonts w:ascii="ITC Avant Garde" w:hAnsi="ITC Avant Garde"/>
                <w:i/>
                <w:sz w:val="14"/>
                <w:szCs w:val="21"/>
              </w:rPr>
            </w:pPr>
            <w:r w:rsidRPr="007E16C9">
              <w:rPr>
                <w:rFonts w:ascii="ITC Avant Garde" w:hAnsi="ITC Avant Garde"/>
                <w:i/>
                <w:sz w:val="14"/>
                <w:szCs w:val="21"/>
              </w:rPr>
              <w:t>$964.18</w:t>
            </w:r>
          </w:p>
        </w:tc>
        <w:tc>
          <w:tcPr>
            <w:tcW w:w="2148" w:type="dxa"/>
            <w:noWrap/>
            <w:hideMark/>
          </w:tcPr>
          <w:p w:rsidR="004B631C" w:rsidRPr="007E16C9" w:rsidRDefault="004B631C" w:rsidP="00D33C8D">
            <w:pPr>
              <w:pStyle w:val="Prrafodelista"/>
              <w:ind w:left="709"/>
              <w:contextualSpacing w:val="0"/>
              <w:jc w:val="right"/>
              <w:rPr>
                <w:rFonts w:ascii="ITC Avant Garde" w:hAnsi="ITC Avant Garde"/>
                <w:b/>
                <w:i/>
                <w:sz w:val="14"/>
                <w:szCs w:val="21"/>
              </w:rPr>
            </w:pPr>
            <w:r w:rsidRPr="007E16C9">
              <w:rPr>
                <w:rFonts w:ascii="ITC Avant Garde" w:hAnsi="ITC Avant Garde"/>
                <w:b/>
                <w:i/>
                <w:sz w:val="14"/>
                <w:szCs w:val="21"/>
              </w:rPr>
              <w:t>5.56%</w:t>
            </w:r>
          </w:p>
        </w:tc>
      </w:tr>
      <w:tr w:rsidR="007E16C9" w:rsidRPr="007E16C9" w:rsidTr="007E16C9">
        <w:trPr>
          <w:trHeight w:val="20"/>
          <w:jc w:val="center"/>
        </w:trPr>
        <w:tc>
          <w:tcPr>
            <w:tcW w:w="1860" w:type="dxa"/>
            <w:noWrap/>
            <w:hideMark/>
          </w:tcPr>
          <w:p w:rsidR="004B631C" w:rsidRPr="007E16C9" w:rsidRDefault="004B631C" w:rsidP="00D33C8D">
            <w:pPr>
              <w:pStyle w:val="Prrafodelista"/>
              <w:ind w:left="709"/>
              <w:contextualSpacing w:val="0"/>
              <w:jc w:val="both"/>
              <w:rPr>
                <w:rFonts w:ascii="ITC Avant Garde" w:hAnsi="ITC Avant Garde"/>
                <w:b/>
                <w:bCs/>
                <w:i/>
                <w:sz w:val="14"/>
                <w:szCs w:val="21"/>
              </w:rPr>
            </w:pPr>
            <w:r w:rsidRPr="007E16C9">
              <w:rPr>
                <w:rFonts w:ascii="ITC Avant Garde" w:hAnsi="ITC Avant Garde"/>
                <w:b/>
                <w:bCs/>
                <w:i/>
                <w:sz w:val="14"/>
                <w:szCs w:val="21"/>
              </w:rPr>
              <w:t>4</w:t>
            </w:r>
          </w:p>
        </w:tc>
        <w:tc>
          <w:tcPr>
            <w:tcW w:w="4089" w:type="dxa"/>
            <w:noWrap/>
            <w:hideMark/>
          </w:tcPr>
          <w:p w:rsidR="004B631C" w:rsidRPr="007E16C9" w:rsidRDefault="004B631C" w:rsidP="00D33C8D">
            <w:pPr>
              <w:pStyle w:val="Prrafodelista"/>
              <w:ind w:left="709"/>
              <w:contextualSpacing w:val="0"/>
              <w:jc w:val="right"/>
              <w:rPr>
                <w:rFonts w:ascii="ITC Avant Garde" w:hAnsi="ITC Avant Garde"/>
                <w:i/>
                <w:sz w:val="14"/>
                <w:szCs w:val="21"/>
              </w:rPr>
            </w:pPr>
            <w:r w:rsidRPr="007E16C9">
              <w:rPr>
                <w:rFonts w:ascii="ITC Avant Garde" w:hAnsi="ITC Avant Garde"/>
                <w:i/>
                <w:sz w:val="14"/>
                <w:szCs w:val="21"/>
              </w:rPr>
              <w:t>$4,795.67</w:t>
            </w:r>
          </w:p>
        </w:tc>
        <w:tc>
          <w:tcPr>
            <w:tcW w:w="2148" w:type="dxa"/>
            <w:noWrap/>
            <w:hideMark/>
          </w:tcPr>
          <w:p w:rsidR="004B631C" w:rsidRPr="007E16C9" w:rsidRDefault="004B631C" w:rsidP="00D33C8D">
            <w:pPr>
              <w:pStyle w:val="Prrafodelista"/>
              <w:ind w:left="709"/>
              <w:contextualSpacing w:val="0"/>
              <w:jc w:val="right"/>
              <w:rPr>
                <w:rFonts w:ascii="ITC Avant Garde" w:hAnsi="ITC Avant Garde"/>
                <w:b/>
                <w:i/>
                <w:sz w:val="14"/>
                <w:szCs w:val="21"/>
              </w:rPr>
            </w:pPr>
            <w:r w:rsidRPr="007E16C9">
              <w:rPr>
                <w:rFonts w:ascii="ITC Avant Garde" w:hAnsi="ITC Avant Garde"/>
                <w:b/>
                <w:i/>
                <w:sz w:val="14"/>
                <w:szCs w:val="21"/>
              </w:rPr>
              <w:t>27.63%</w:t>
            </w:r>
          </w:p>
        </w:tc>
      </w:tr>
      <w:tr w:rsidR="007E16C9" w:rsidRPr="007E16C9" w:rsidTr="007E16C9">
        <w:trPr>
          <w:trHeight w:val="20"/>
          <w:jc w:val="center"/>
        </w:trPr>
        <w:tc>
          <w:tcPr>
            <w:tcW w:w="1860" w:type="dxa"/>
            <w:noWrap/>
            <w:hideMark/>
          </w:tcPr>
          <w:p w:rsidR="004B631C" w:rsidRPr="007E16C9" w:rsidRDefault="004B631C" w:rsidP="00D33C8D">
            <w:pPr>
              <w:pStyle w:val="Prrafodelista"/>
              <w:ind w:left="709"/>
              <w:contextualSpacing w:val="0"/>
              <w:jc w:val="both"/>
              <w:rPr>
                <w:rFonts w:ascii="ITC Avant Garde" w:hAnsi="ITC Avant Garde"/>
                <w:b/>
                <w:bCs/>
                <w:i/>
                <w:sz w:val="14"/>
                <w:szCs w:val="21"/>
              </w:rPr>
            </w:pPr>
            <w:r w:rsidRPr="007E16C9">
              <w:rPr>
                <w:rFonts w:ascii="ITC Avant Garde" w:hAnsi="ITC Avant Garde"/>
                <w:b/>
                <w:bCs/>
                <w:i/>
                <w:sz w:val="14"/>
                <w:szCs w:val="21"/>
              </w:rPr>
              <w:t>5</w:t>
            </w:r>
          </w:p>
        </w:tc>
        <w:tc>
          <w:tcPr>
            <w:tcW w:w="4089" w:type="dxa"/>
            <w:noWrap/>
            <w:hideMark/>
          </w:tcPr>
          <w:p w:rsidR="004B631C" w:rsidRPr="007E16C9" w:rsidRDefault="004B631C" w:rsidP="00D33C8D">
            <w:pPr>
              <w:pStyle w:val="Prrafodelista"/>
              <w:ind w:left="709"/>
              <w:contextualSpacing w:val="0"/>
              <w:jc w:val="right"/>
              <w:rPr>
                <w:rFonts w:ascii="ITC Avant Garde" w:hAnsi="ITC Avant Garde"/>
                <w:i/>
                <w:sz w:val="14"/>
                <w:szCs w:val="21"/>
              </w:rPr>
            </w:pPr>
            <w:r w:rsidRPr="007E16C9">
              <w:rPr>
                <w:rFonts w:ascii="ITC Avant Garde" w:hAnsi="ITC Avant Garde"/>
                <w:i/>
                <w:sz w:val="14"/>
                <w:szCs w:val="21"/>
              </w:rPr>
              <w:t>$1,862.53</w:t>
            </w:r>
          </w:p>
        </w:tc>
        <w:tc>
          <w:tcPr>
            <w:tcW w:w="2148" w:type="dxa"/>
            <w:noWrap/>
            <w:hideMark/>
          </w:tcPr>
          <w:p w:rsidR="004B631C" w:rsidRPr="007E16C9" w:rsidRDefault="004B631C" w:rsidP="00D33C8D">
            <w:pPr>
              <w:pStyle w:val="Prrafodelista"/>
              <w:ind w:left="709"/>
              <w:contextualSpacing w:val="0"/>
              <w:jc w:val="right"/>
              <w:rPr>
                <w:rFonts w:ascii="ITC Avant Garde" w:hAnsi="ITC Avant Garde"/>
                <w:b/>
                <w:i/>
                <w:sz w:val="14"/>
                <w:szCs w:val="21"/>
              </w:rPr>
            </w:pPr>
            <w:r w:rsidRPr="007E16C9">
              <w:rPr>
                <w:rFonts w:ascii="ITC Avant Garde" w:hAnsi="ITC Avant Garde"/>
                <w:b/>
                <w:i/>
                <w:sz w:val="14"/>
                <w:szCs w:val="21"/>
              </w:rPr>
              <w:t>10.73%</w:t>
            </w:r>
          </w:p>
        </w:tc>
      </w:tr>
      <w:tr w:rsidR="007E16C9" w:rsidRPr="007E16C9" w:rsidTr="007E16C9">
        <w:trPr>
          <w:trHeight w:val="20"/>
          <w:jc w:val="center"/>
        </w:trPr>
        <w:tc>
          <w:tcPr>
            <w:tcW w:w="1860" w:type="dxa"/>
            <w:noWrap/>
            <w:hideMark/>
          </w:tcPr>
          <w:p w:rsidR="004B631C" w:rsidRPr="007E16C9" w:rsidRDefault="004B631C" w:rsidP="00D33C8D">
            <w:pPr>
              <w:pStyle w:val="Prrafodelista"/>
              <w:ind w:left="709"/>
              <w:contextualSpacing w:val="0"/>
              <w:jc w:val="both"/>
              <w:rPr>
                <w:rFonts w:ascii="ITC Avant Garde" w:hAnsi="ITC Avant Garde"/>
                <w:b/>
                <w:bCs/>
                <w:i/>
                <w:sz w:val="14"/>
                <w:szCs w:val="21"/>
              </w:rPr>
            </w:pPr>
            <w:r w:rsidRPr="007E16C9">
              <w:rPr>
                <w:rFonts w:ascii="ITC Avant Garde" w:hAnsi="ITC Avant Garde"/>
                <w:b/>
                <w:bCs/>
                <w:i/>
                <w:sz w:val="14"/>
                <w:szCs w:val="21"/>
              </w:rPr>
              <w:t>6</w:t>
            </w:r>
          </w:p>
        </w:tc>
        <w:tc>
          <w:tcPr>
            <w:tcW w:w="4089" w:type="dxa"/>
            <w:noWrap/>
            <w:hideMark/>
          </w:tcPr>
          <w:p w:rsidR="004B631C" w:rsidRPr="007E16C9" w:rsidRDefault="004B631C" w:rsidP="00D33C8D">
            <w:pPr>
              <w:pStyle w:val="Prrafodelista"/>
              <w:ind w:left="709"/>
              <w:contextualSpacing w:val="0"/>
              <w:jc w:val="right"/>
              <w:rPr>
                <w:rFonts w:ascii="ITC Avant Garde" w:hAnsi="ITC Avant Garde"/>
                <w:i/>
                <w:sz w:val="14"/>
                <w:szCs w:val="21"/>
              </w:rPr>
            </w:pPr>
            <w:r w:rsidRPr="007E16C9">
              <w:rPr>
                <w:rFonts w:ascii="ITC Avant Garde" w:hAnsi="ITC Avant Garde"/>
                <w:i/>
                <w:sz w:val="14"/>
                <w:szCs w:val="21"/>
              </w:rPr>
              <w:t>$777.06</w:t>
            </w:r>
          </w:p>
        </w:tc>
        <w:tc>
          <w:tcPr>
            <w:tcW w:w="2148" w:type="dxa"/>
            <w:noWrap/>
            <w:hideMark/>
          </w:tcPr>
          <w:p w:rsidR="004B631C" w:rsidRPr="007E16C9" w:rsidRDefault="004B631C" w:rsidP="00D33C8D">
            <w:pPr>
              <w:pStyle w:val="Prrafodelista"/>
              <w:ind w:left="709"/>
              <w:contextualSpacing w:val="0"/>
              <w:jc w:val="right"/>
              <w:rPr>
                <w:rFonts w:ascii="ITC Avant Garde" w:hAnsi="ITC Avant Garde"/>
                <w:b/>
                <w:i/>
                <w:sz w:val="14"/>
                <w:szCs w:val="21"/>
              </w:rPr>
            </w:pPr>
            <w:r w:rsidRPr="007E16C9">
              <w:rPr>
                <w:rFonts w:ascii="ITC Avant Garde" w:hAnsi="ITC Avant Garde"/>
                <w:b/>
                <w:i/>
                <w:sz w:val="14"/>
                <w:szCs w:val="21"/>
              </w:rPr>
              <w:t>4.48%</w:t>
            </w:r>
          </w:p>
        </w:tc>
      </w:tr>
      <w:tr w:rsidR="007E16C9" w:rsidRPr="007E16C9" w:rsidTr="007E16C9">
        <w:trPr>
          <w:trHeight w:val="20"/>
          <w:jc w:val="center"/>
        </w:trPr>
        <w:tc>
          <w:tcPr>
            <w:tcW w:w="1860" w:type="dxa"/>
            <w:noWrap/>
            <w:hideMark/>
          </w:tcPr>
          <w:p w:rsidR="004B631C" w:rsidRPr="007E16C9" w:rsidRDefault="004B631C" w:rsidP="00D33C8D">
            <w:pPr>
              <w:pStyle w:val="Prrafodelista"/>
              <w:ind w:left="709"/>
              <w:contextualSpacing w:val="0"/>
              <w:jc w:val="both"/>
              <w:rPr>
                <w:rFonts w:ascii="ITC Avant Garde" w:hAnsi="ITC Avant Garde"/>
                <w:b/>
                <w:bCs/>
                <w:i/>
                <w:sz w:val="14"/>
                <w:szCs w:val="21"/>
              </w:rPr>
            </w:pPr>
            <w:r w:rsidRPr="007E16C9">
              <w:rPr>
                <w:rFonts w:ascii="ITC Avant Garde" w:hAnsi="ITC Avant Garde"/>
                <w:b/>
                <w:bCs/>
                <w:i/>
                <w:sz w:val="14"/>
                <w:szCs w:val="21"/>
              </w:rPr>
              <w:t>7</w:t>
            </w:r>
          </w:p>
        </w:tc>
        <w:tc>
          <w:tcPr>
            <w:tcW w:w="4089" w:type="dxa"/>
            <w:noWrap/>
            <w:hideMark/>
          </w:tcPr>
          <w:p w:rsidR="004B631C" w:rsidRPr="007E16C9" w:rsidRDefault="004B631C" w:rsidP="00D33C8D">
            <w:pPr>
              <w:pStyle w:val="Prrafodelista"/>
              <w:ind w:left="709"/>
              <w:contextualSpacing w:val="0"/>
              <w:jc w:val="right"/>
              <w:rPr>
                <w:rFonts w:ascii="ITC Avant Garde" w:hAnsi="ITC Avant Garde"/>
                <w:i/>
                <w:sz w:val="14"/>
                <w:szCs w:val="21"/>
              </w:rPr>
            </w:pPr>
            <w:r w:rsidRPr="007E16C9">
              <w:rPr>
                <w:rFonts w:ascii="ITC Avant Garde" w:hAnsi="ITC Avant Garde"/>
                <w:i/>
                <w:sz w:val="14"/>
                <w:szCs w:val="21"/>
              </w:rPr>
              <w:t>$132.75</w:t>
            </w:r>
          </w:p>
        </w:tc>
        <w:tc>
          <w:tcPr>
            <w:tcW w:w="2148" w:type="dxa"/>
            <w:noWrap/>
            <w:hideMark/>
          </w:tcPr>
          <w:p w:rsidR="004B631C" w:rsidRPr="007E16C9" w:rsidRDefault="004B631C" w:rsidP="00D33C8D">
            <w:pPr>
              <w:pStyle w:val="Prrafodelista"/>
              <w:ind w:left="709"/>
              <w:contextualSpacing w:val="0"/>
              <w:jc w:val="right"/>
              <w:rPr>
                <w:rFonts w:ascii="ITC Avant Garde" w:hAnsi="ITC Avant Garde"/>
                <w:b/>
                <w:i/>
                <w:sz w:val="14"/>
                <w:szCs w:val="21"/>
              </w:rPr>
            </w:pPr>
            <w:r w:rsidRPr="007E16C9">
              <w:rPr>
                <w:rFonts w:ascii="ITC Avant Garde" w:hAnsi="ITC Avant Garde"/>
                <w:b/>
                <w:i/>
                <w:sz w:val="14"/>
                <w:szCs w:val="21"/>
              </w:rPr>
              <w:t>0.76%</w:t>
            </w:r>
          </w:p>
        </w:tc>
      </w:tr>
      <w:tr w:rsidR="007E16C9" w:rsidRPr="007E16C9" w:rsidTr="007E16C9">
        <w:trPr>
          <w:trHeight w:val="20"/>
          <w:jc w:val="center"/>
        </w:trPr>
        <w:tc>
          <w:tcPr>
            <w:tcW w:w="1860" w:type="dxa"/>
            <w:noWrap/>
            <w:hideMark/>
          </w:tcPr>
          <w:p w:rsidR="004B631C" w:rsidRPr="007E16C9" w:rsidRDefault="004B631C" w:rsidP="00D33C8D">
            <w:pPr>
              <w:pStyle w:val="Prrafodelista"/>
              <w:ind w:left="709"/>
              <w:contextualSpacing w:val="0"/>
              <w:jc w:val="both"/>
              <w:rPr>
                <w:rFonts w:ascii="ITC Avant Garde" w:hAnsi="ITC Avant Garde"/>
                <w:b/>
                <w:bCs/>
                <w:i/>
                <w:sz w:val="14"/>
                <w:szCs w:val="21"/>
              </w:rPr>
            </w:pPr>
            <w:r w:rsidRPr="007E16C9">
              <w:rPr>
                <w:rFonts w:ascii="ITC Avant Garde" w:hAnsi="ITC Avant Garde"/>
                <w:b/>
                <w:bCs/>
                <w:i/>
                <w:sz w:val="14"/>
                <w:szCs w:val="21"/>
              </w:rPr>
              <w:t>8</w:t>
            </w:r>
          </w:p>
        </w:tc>
        <w:tc>
          <w:tcPr>
            <w:tcW w:w="4089" w:type="dxa"/>
            <w:noWrap/>
            <w:hideMark/>
          </w:tcPr>
          <w:p w:rsidR="004B631C" w:rsidRPr="007E16C9" w:rsidRDefault="004B631C" w:rsidP="00D33C8D">
            <w:pPr>
              <w:pStyle w:val="Prrafodelista"/>
              <w:ind w:left="709"/>
              <w:contextualSpacing w:val="0"/>
              <w:jc w:val="right"/>
              <w:rPr>
                <w:rFonts w:ascii="ITC Avant Garde" w:hAnsi="ITC Avant Garde"/>
                <w:i/>
                <w:sz w:val="14"/>
                <w:szCs w:val="21"/>
              </w:rPr>
            </w:pPr>
            <w:r w:rsidRPr="007E16C9">
              <w:rPr>
                <w:rFonts w:ascii="ITC Avant Garde" w:hAnsi="ITC Avant Garde"/>
                <w:i/>
                <w:sz w:val="14"/>
                <w:szCs w:val="21"/>
              </w:rPr>
              <w:t>$89.73</w:t>
            </w:r>
          </w:p>
        </w:tc>
        <w:tc>
          <w:tcPr>
            <w:tcW w:w="2148" w:type="dxa"/>
            <w:noWrap/>
            <w:hideMark/>
          </w:tcPr>
          <w:p w:rsidR="004B631C" w:rsidRPr="007E16C9" w:rsidRDefault="004B631C" w:rsidP="00D33C8D">
            <w:pPr>
              <w:pStyle w:val="Prrafodelista"/>
              <w:ind w:left="709"/>
              <w:contextualSpacing w:val="0"/>
              <w:jc w:val="right"/>
              <w:rPr>
                <w:rFonts w:ascii="ITC Avant Garde" w:hAnsi="ITC Avant Garde"/>
                <w:b/>
                <w:i/>
                <w:sz w:val="14"/>
                <w:szCs w:val="21"/>
              </w:rPr>
            </w:pPr>
            <w:r w:rsidRPr="007E16C9">
              <w:rPr>
                <w:rFonts w:ascii="ITC Avant Garde" w:hAnsi="ITC Avant Garde"/>
                <w:b/>
                <w:i/>
                <w:sz w:val="14"/>
                <w:szCs w:val="21"/>
              </w:rPr>
              <w:t>0.52%</w:t>
            </w:r>
          </w:p>
        </w:tc>
      </w:tr>
      <w:tr w:rsidR="007E16C9" w:rsidRPr="007E16C9" w:rsidTr="007E16C9">
        <w:trPr>
          <w:trHeight w:val="20"/>
          <w:jc w:val="center"/>
        </w:trPr>
        <w:tc>
          <w:tcPr>
            <w:tcW w:w="1860" w:type="dxa"/>
            <w:noWrap/>
            <w:hideMark/>
          </w:tcPr>
          <w:p w:rsidR="004B631C" w:rsidRPr="007E16C9" w:rsidRDefault="004B631C" w:rsidP="00D33C8D">
            <w:pPr>
              <w:pStyle w:val="Prrafodelista"/>
              <w:ind w:left="709"/>
              <w:contextualSpacing w:val="0"/>
              <w:jc w:val="both"/>
              <w:rPr>
                <w:rFonts w:ascii="ITC Avant Garde" w:hAnsi="ITC Avant Garde"/>
                <w:b/>
                <w:bCs/>
                <w:i/>
                <w:sz w:val="14"/>
                <w:szCs w:val="21"/>
              </w:rPr>
            </w:pPr>
            <w:r w:rsidRPr="007E16C9">
              <w:rPr>
                <w:rFonts w:ascii="ITC Avant Garde" w:hAnsi="ITC Avant Garde"/>
                <w:b/>
                <w:bCs/>
                <w:i/>
                <w:sz w:val="14"/>
                <w:szCs w:val="21"/>
              </w:rPr>
              <w:t>9</w:t>
            </w:r>
          </w:p>
        </w:tc>
        <w:tc>
          <w:tcPr>
            <w:tcW w:w="4089" w:type="dxa"/>
            <w:noWrap/>
            <w:hideMark/>
          </w:tcPr>
          <w:p w:rsidR="004B631C" w:rsidRPr="007E16C9" w:rsidRDefault="004B631C" w:rsidP="00D33C8D">
            <w:pPr>
              <w:pStyle w:val="Prrafodelista"/>
              <w:ind w:left="709"/>
              <w:contextualSpacing w:val="0"/>
              <w:jc w:val="right"/>
              <w:rPr>
                <w:rFonts w:ascii="ITC Avant Garde" w:hAnsi="ITC Avant Garde"/>
                <w:i/>
                <w:sz w:val="14"/>
                <w:szCs w:val="21"/>
              </w:rPr>
            </w:pPr>
            <w:r w:rsidRPr="007E16C9">
              <w:rPr>
                <w:rFonts w:ascii="ITC Avant Garde" w:hAnsi="ITC Avant Garde"/>
                <w:i/>
                <w:sz w:val="14"/>
                <w:szCs w:val="21"/>
              </w:rPr>
              <w:t>$6,975.14</w:t>
            </w:r>
          </w:p>
        </w:tc>
        <w:tc>
          <w:tcPr>
            <w:tcW w:w="2148" w:type="dxa"/>
            <w:noWrap/>
            <w:hideMark/>
          </w:tcPr>
          <w:p w:rsidR="004B631C" w:rsidRPr="007E16C9" w:rsidRDefault="004B631C" w:rsidP="00D33C8D">
            <w:pPr>
              <w:pStyle w:val="Prrafodelista"/>
              <w:ind w:left="709"/>
              <w:contextualSpacing w:val="0"/>
              <w:jc w:val="right"/>
              <w:rPr>
                <w:rFonts w:ascii="ITC Avant Garde" w:hAnsi="ITC Avant Garde"/>
                <w:b/>
                <w:i/>
                <w:sz w:val="14"/>
                <w:szCs w:val="21"/>
              </w:rPr>
            </w:pPr>
            <w:r w:rsidRPr="007E16C9">
              <w:rPr>
                <w:rFonts w:ascii="ITC Avant Garde" w:hAnsi="ITC Avant Garde"/>
                <w:b/>
                <w:i/>
                <w:sz w:val="14"/>
                <w:szCs w:val="21"/>
              </w:rPr>
              <w:t>40.19%</w:t>
            </w:r>
          </w:p>
        </w:tc>
      </w:tr>
      <w:tr w:rsidR="007E16C9" w:rsidRPr="007E16C9" w:rsidTr="007E16C9">
        <w:trPr>
          <w:trHeight w:val="53"/>
          <w:jc w:val="center"/>
        </w:trPr>
        <w:tc>
          <w:tcPr>
            <w:tcW w:w="1860" w:type="dxa"/>
            <w:noWrap/>
            <w:hideMark/>
          </w:tcPr>
          <w:p w:rsidR="004B631C" w:rsidRPr="007E16C9" w:rsidRDefault="004B631C" w:rsidP="00D33C8D">
            <w:pPr>
              <w:pStyle w:val="Prrafodelista"/>
              <w:ind w:left="709"/>
              <w:contextualSpacing w:val="0"/>
              <w:jc w:val="both"/>
              <w:rPr>
                <w:rFonts w:ascii="ITC Avant Garde" w:hAnsi="ITC Avant Garde"/>
                <w:b/>
                <w:bCs/>
                <w:i/>
                <w:sz w:val="14"/>
                <w:szCs w:val="21"/>
              </w:rPr>
            </w:pPr>
          </w:p>
        </w:tc>
        <w:tc>
          <w:tcPr>
            <w:tcW w:w="4089" w:type="dxa"/>
            <w:noWrap/>
            <w:hideMark/>
          </w:tcPr>
          <w:p w:rsidR="004B631C" w:rsidRPr="007E16C9" w:rsidRDefault="004B631C" w:rsidP="00D33C8D">
            <w:pPr>
              <w:pStyle w:val="Prrafodelista"/>
              <w:ind w:left="709"/>
              <w:contextualSpacing w:val="0"/>
              <w:jc w:val="right"/>
              <w:rPr>
                <w:rFonts w:ascii="ITC Avant Garde" w:hAnsi="ITC Avant Garde"/>
                <w:i/>
                <w:sz w:val="14"/>
                <w:szCs w:val="21"/>
              </w:rPr>
            </w:pPr>
            <w:r w:rsidRPr="007E16C9">
              <w:rPr>
                <w:rFonts w:ascii="ITC Avant Garde" w:hAnsi="ITC Avant Garde"/>
                <w:b/>
                <w:bCs/>
                <w:i/>
                <w:sz w:val="14"/>
                <w:szCs w:val="21"/>
              </w:rPr>
              <w:t>$17,355.39</w:t>
            </w:r>
          </w:p>
        </w:tc>
        <w:tc>
          <w:tcPr>
            <w:tcW w:w="2148" w:type="dxa"/>
            <w:noWrap/>
            <w:hideMark/>
          </w:tcPr>
          <w:p w:rsidR="004B631C" w:rsidRPr="007E16C9" w:rsidRDefault="004B631C" w:rsidP="00D33C8D">
            <w:pPr>
              <w:pStyle w:val="Prrafodelista"/>
              <w:ind w:left="709"/>
              <w:contextualSpacing w:val="0"/>
              <w:jc w:val="right"/>
              <w:rPr>
                <w:rFonts w:ascii="ITC Avant Garde" w:hAnsi="ITC Avant Garde"/>
                <w:i/>
                <w:sz w:val="14"/>
                <w:szCs w:val="21"/>
              </w:rPr>
            </w:pPr>
            <w:r w:rsidRPr="007E16C9">
              <w:rPr>
                <w:rFonts w:ascii="ITC Avant Garde" w:hAnsi="ITC Avant Garde"/>
                <w:i/>
                <w:sz w:val="14"/>
                <w:szCs w:val="21"/>
              </w:rPr>
              <w:t>100.00%</w:t>
            </w:r>
          </w:p>
        </w:tc>
      </w:tr>
    </w:tbl>
    <w:p w:rsidR="004B631C" w:rsidRPr="004E69E8" w:rsidRDefault="004B631C" w:rsidP="00D33C8D">
      <w:pPr>
        <w:pStyle w:val="Prrafodelista"/>
        <w:numPr>
          <w:ilvl w:val="0"/>
          <w:numId w:val="7"/>
        </w:numPr>
        <w:spacing w:before="240" w:afterLines="120" w:after="288"/>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El </w:t>
      </w:r>
      <w:r w:rsidRPr="00F67880">
        <w:rPr>
          <w:rFonts w:ascii="ITC Avant Garde" w:hAnsi="ITC Avant Garde"/>
          <w:bCs/>
          <w:i/>
          <w:iCs/>
          <w:color w:val="000000"/>
          <w:sz w:val="18"/>
          <w:szCs w:val="18"/>
          <w:lang w:eastAsia="es-MX"/>
        </w:rPr>
        <w:t>porcentaje que representa la población del municipio, con relación a la proporción de la Región Celular correspondiente es calculado de la manera siguiente: la población del municipio se multiplica por el % porcentaje de la Región Celular en la que se encuentra y el resultado es dividido entre la población de esa Región Celular; a fin de explicar este numeral, se presenta el ejemplo siguiente</w:t>
      </w:r>
      <w:r w:rsidRPr="004E69E8">
        <w:rPr>
          <w:rFonts w:ascii="ITC Avant Garde" w:hAnsi="ITC Avant Garde"/>
          <w:bCs/>
          <w:i/>
          <w:iCs/>
          <w:color w:val="000000"/>
          <w:sz w:val="18"/>
          <w:szCs w:val="18"/>
          <w:lang w:eastAsia="es-MX"/>
        </w:rPr>
        <w:t xml:space="preserve">: </w:t>
      </w:r>
    </w:p>
    <w:p w:rsidR="00642B7F" w:rsidRDefault="004B631C" w:rsidP="00642B7F">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Datos: </w:t>
      </w:r>
    </w:p>
    <w:p w:rsidR="004B631C" w:rsidRPr="004E69E8" w:rsidRDefault="004B631C" w:rsidP="007E16C9">
      <w:pPr>
        <w:pStyle w:val="Prrafodelista"/>
        <w:numPr>
          <w:ilvl w:val="0"/>
          <w:numId w:val="11"/>
        </w:numPr>
        <w:spacing w:after="0"/>
        <w:ind w:left="993" w:right="473" w:hanging="15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Población del municipio </w:t>
      </w:r>
      <w:r>
        <w:rPr>
          <w:rFonts w:ascii="ITC Avant Garde" w:hAnsi="ITC Avant Garde"/>
          <w:bCs/>
          <w:i/>
          <w:iCs/>
          <w:color w:val="000000"/>
          <w:sz w:val="18"/>
          <w:szCs w:val="18"/>
          <w:lang w:eastAsia="es-MX"/>
        </w:rPr>
        <w:t>Acuña</w:t>
      </w:r>
      <w:r w:rsidRPr="004E69E8">
        <w:rPr>
          <w:rFonts w:ascii="ITC Avant Garde" w:hAnsi="ITC Avant Garde"/>
          <w:bCs/>
          <w:i/>
          <w:iCs/>
          <w:color w:val="000000"/>
          <w:sz w:val="18"/>
          <w:szCs w:val="18"/>
          <w:lang w:eastAsia="es-MX"/>
        </w:rPr>
        <w:t xml:space="preserve">, </w:t>
      </w:r>
      <w:r>
        <w:rPr>
          <w:rFonts w:ascii="ITC Avant Garde" w:hAnsi="ITC Avant Garde"/>
          <w:bCs/>
          <w:i/>
          <w:iCs/>
          <w:color w:val="000000"/>
          <w:sz w:val="18"/>
          <w:szCs w:val="18"/>
          <w:lang w:eastAsia="es-MX"/>
        </w:rPr>
        <w:t>Coahuila</w:t>
      </w:r>
      <w:r w:rsidRPr="004E69E8">
        <w:rPr>
          <w:rFonts w:ascii="ITC Avant Garde" w:hAnsi="ITC Avant Garde"/>
          <w:bCs/>
          <w:i/>
          <w:iCs/>
          <w:color w:val="000000"/>
          <w:sz w:val="18"/>
          <w:szCs w:val="18"/>
          <w:lang w:eastAsia="es-MX"/>
        </w:rPr>
        <w:t xml:space="preserve">: </w:t>
      </w:r>
      <w:r>
        <w:rPr>
          <w:rFonts w:ascii="ITC Avant Garde" w:hAnsi="ITC Avant Garde"/>
          <w:bCs/>
          <w:i/>
          <w:iCs/>
          <w:color w:val="000000"/>
          <w:sz w:val="18"/>
          <w:szCs w:val="18"/>
          <w:lang w:eastAsia="es-MX"/>
        </w:rPr>
        <w:t>147,809</w:t>
      </w:r>
      <w:r w:rsidRPr="004E69E8">
        <w:rPr>
          <w:rFonts w:ascii="ITC Avant Garde" w:hAnsi="ITC Avant Garde"/>
          <w:bCs/>
          <w:i/>
          <w:iCs/>
          <w:color w:val="000000"/>
          <w:sz w:val="18"/>
          <w:szCs w:val="18"/>
          <w:lang w:eastAsia="es-MX"/>
        </w:rPr>
        <w:t xml:space="preserve"> habitantes.</w:t>
      </w:r>
    </w:p>
    <w:p w:rsidR="004B631C" w:rsidRPr="004E69E8" w:rsidRDefault="004B631C" w:rsidP="007E16C9">
      <w:pPr>
        <w:pStyle w:val="Prrafodelista"/>
        <w:numPr>
          <w:ilvl w:val="0"/>
          <w:numId w:val="10"/>
        </w:numPr>
        <w:spacing w:after="0"/>
        <w:ind w:left="993" w:right="473" w:hanging="15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Región C</w:t>
      </w:r>
      <w:r>
        <w:rPr>
          <w:rFonts w:ascii="ITC Avant Garde" w:hAnsi="ITC Avant Garde"/>
          <w:bCs/>
          <w:i/>
          <w:iCs/>
          <w:color w:val="000000"/>
          <w:sz w:val="18"/>
          <w:szCs w:val="18"/>
          <w:lang w:eastAsia="es-MX"/>
        </w:rPr>
        <w:t>elular en la que se encuentra: 4</w:t>
      </w:r>
      <w:r w:rsidRPr="004E69E8">
        <w:rPr>
          <w:rFonts w:ascii="ITC Avant Garde" w:hAnsi="ITC Avant Garde"/>
          <w:bCs/>
          <w:i/>
          <w:iCs/>
          <w:color w:val="000000"/>
          <w:sz w:val="18"/>
          <w:szCs w:val="18"/>
          <w:lang w:eastAsia="es-MX"/>
        </w:rPr>
        <w:t>.</w:t>
      </w:r>
    </w:p>
    <w:p w:rsidR="004B631C" w:rsidRPr="004E69E8" w:rsidRDefault="004B631C" w:rsidP="007E16C9">
      <w:pPr>
        <w:pStyle w:val="Prrafodelista"/>
        <w:numPr>
          <w:ilvl w:val="0"/>
          <w:numId w:val="10"/>
        </w:numPr>
        <w:spacing w:after="0"/>
        <w:ind w:left="993" w:right="473" w:hanging="153"/>
        <w:contextualSpacing w:val="0"/>
        <w:jc w:val="both"/>
        <w:rPr>
          <w:rFonts w:ascii="ITC Avant Garde" w:hAnsi="ITC Avant Garde"/>
          <w:bCs/>
          <w:i/>
          <w:iCs/>
          <w:color w:val="000000"/>
          <w:sz w:val="18"/>
          <w:szCs w:val="18"/>
          <w:lang w:eastAsia="es-MX"/>
        </w:rPr>
      </w:pPr>
      <w:r>
        <w:rPr>
          <w:rFonts w:ascii="ITC Avant Garde" w:hAnsi="ITC Avant Garde"/>
          <w:bCs/>
          <w:i/>
          <w:iCs/>
          <w:color w:val="000000"/>
          <w:sz w:val="18"/>
          <w:szCs w:val="18"/>
          <w:lang w:eastAsia="es-MX"/>
        </w:rPr>
        <w:t>Población de la Región Celular 4</w:t>
      </w:r>
      <w:r w:rsidRPr="004E69E8">
        <w:rPr>
          <w:rFonts w:ascii="ITC Avant Garde" w:hAnsi="ITC Avant Garde"/>
          <w:bCs/>
          <w:i/>
          <w:iCs/>
          <w:color w:val="000000"/>
          <w:sz w:val="18"/>
          <w:szCs w:val="18"/>
          <w:lang w:eastAsia="es-MX"/>
        </w:rPr>
        <w:t xml:space="preserve">: </w:t>
      </w:r>
      <w:r>
        <w:rPr>
          <w:rFonts w:ascii="ITC Avant Garde" w:hAnsi="ITC Avant Garde"/>
          <w:bCs/>
          <w:i/>
          <w:iCs/>
          <w:color w:val="000000"/>
          <w:sz w:val="18"/>
          <w:szCs w:val="18"/>
          <w:lang w:eastAsia="es-MX"/>
        </w:rPr>
        <w:t>10,541,828</w:t>
      </w:r>
      <w:r w:rsidRPr="004E69E8">
        <w:rPr>
          <w:rFonts w:ascii="ITC Avant Garde" w:hAnsi="ITC Avant Garde"/>
          <w:bCs/>
          <w:i/>
          <w:iCs/>
          <w:color w:val="000000"/>
          <w:sz w:val="18"/>
          <w:szCs w:val="18"/>
          <w:lang w:eastAsia="es-MX"/>
        </w:rPr>
        <w:t xml:space="preserve"> habitantes.</w:t>
      </w:r>
    </w:p>
    <w:p w:rsidR="00642B7F" w:rsidRDefault="004B631C" w:rsidP="00642B7F">
      <w:pPr>
        <w:pStyle w:val="Prrafodelista"/>
        <w:numPr>
          <w:ilvl w:val="0"/>
          <w:numId w:val="10"/>
        </w:numPr>
        <w:spacing w:afterLines="120" w:after="288"/>
        <w:ind w:left="993" w:right="473" w:hanging="15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Porcentaje de la Región Celular </w:t>
      </w:r>
      <w:r>
        <w:rPr>
          <w:rFonts w:ascii="ITC Avant Garde" w:hAnsi="ITC Avant Garde"/>
          <w:bCs/>
          <w:i/>
          <w:iCs/>
          <w:color w:val="000000"/>
          <w:sz w:val="18"/>
          <w:szCs w:val="18"/>
          <w:lang w:eastAsia="es-MX"/>
        </w:rPr>
        <w:t>4</w:t>
      </w:r>
      <w:r w:rsidRPr="004E69E8">
        <w:rPr>
          <w:rFonts w:ascii="ITC Avant Garde" w:hAnsi="ITC Avant Garde"/>
          <w:bCs/>
          <w:i/>
          <w:iCs/>
          <w:color w:val="000000"/>
          <w:sz w:val="18"/>
          <w:szCs w:val="18"/>
          <w:lang w:eastAsia="es-MX"/>
        </w:rPr>
        <w:t xml:space="preserve">: </w:t>
      </w:r>
      <w:r>
        <w:rPr>
          <w:rFonts w:ascii="ITC Avant Garde" w:hAnsi="ITC Avant Garde"/>
          <w:bCs/>
          <w:i/>
          <w:iCs/>
          <w:color w:val="000000"/>
          <w:sz w:val="18"/>
          <w:szCs w:val="18"/>
          <w:lang w:eastAsia="es-MX"/>
        </w:rPr>
        <w:t>27.6</w:t>
      </w:r>
      <w:r w:rsidRPr="004E69E8">
        <w:rPr>
          <w:rFonts w:ascii="ITC Avant Garde" w:hAnsi="ITC Avant Garde"/>
          <w:bCs/>
          <w:i/>
          <w:iCs/>
          <w:color w:val="000000"/>
          <w:sz w:val="18"/>
          <w:szCs w:val="18"/>
          <w:lang w:eastAsia="es-MX"/>
        </w:rPr>
        <w:t>%.</w:t>
      </w:r>
    </w:p>
    <w:p w:rsidR="00642B7F" w:rsidRDefault="004B631C" w:rsidP="00642B7F">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Cálculo: </w:t>
      </w:r>
    </w:p>
    <w:p w:rsidR="00642B7F" w:rsidRDefault="004B631C" w:rsidP="00642B7F">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147,809</w:t>
      </w: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27,6</w:t>
      </w: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10,541,828</w:t>
      </w:r>
      <w:r w:rsidRPr="004E69E8">
        <w:rPr>
          <w:rFonts w:ascii="ITC Avant Garde" w:hAnsi="ITC Avant Garde"/>
          <w:bCs/>
          <w:i/>
          <w:iCs/>
          <w:color w:val="000000"/>
          <w:sz w:val="18"/>
          <w:szCs w:val="18"/>
          <w:lang w:eastAsia="es-MX"/>
        </w:rPr>
        <w:t xml:space="preserve">)= </w:t>
      </w:r>
      <w:r>
        <w:rPr>
          <w:rFonts w:ascii="ITC Avant Garde" w:hAnsi="ITC Avant Garde"/>
          <w:bCs/>
          <w:i/>
          <w:iCs/>
          <w:color w:val="000000"/>
          <w:sz w:val="18"/>
          <w:szCs w:val="18"/>
          <w:lang w:eastAsia="es-MX"/>
        </w:rPr>
        <w:t>0.39</w:t>
      </w:r>
      <w:r w:rsidRPr="004E69E8">
        <w:rPr>
          <w:rFonts w:ascii="ITC Avant Garde" w:hAnsi="ITC Avant Garde"/>
          <w:bCs/>
          <w:i/>
          <w:iCs/>
          <w:color w:val="000000"/>
          <w:sz w:val="18"/>
          <w:szCs w:val="18"/>
          <w:lang w:eastAsia="es-MX"/>
        </w:rPr>
        <w:t>%.</w:t>
      </w:r>
    </w:p>
    <w:p w:rsidR="004B631C" w:rsidRPr="004E69E8" w:rsidRDefault="004B631C" w:rsidP="00642B7F">
      <w:pPr>
        <w:pStyle w:val="Prrafodelista"/>
        <w:numPr>
          <w:ilvl w:val="0"/>
          <w:numId w:val="6"/>
        </w:numPr>
        <w:spacing w:afterLines="120" w:after="288"/>
        <w:ind w:left="993" w:right="473" w:hanging="426"/>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Obtención del tiempo restante de la concesión.</w:t>
      </w:r>
    </w:p>
    <w:p w:rsidR="00642B7F" w:rsidRDefault="004B631C" w:rsidP="00642B7F">
      <w:pPr>
        <w:pStyle w:val="Prrafodelista"/>
        <w:numPr>
          <w:ilvl w:val="0"/>
          <w:numId w:val="8"/>
        </w:numPr>
        <w:spacing w:afterLines="120" w:after="288"/>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lastRenderedPageBreak/>
        <w:t xml:space="preserve">Para </w:t>
      </w:r>
      <w:r w:rsidRPr="004D5D47">
        <w:rPr>
          <w:rFonts w:ascii="ITC Avant Garde" w:hAnsi="ITC Avant Garde"/>
          <w:bCs/>
          <w:i/>
          <w:iCs/>
          <w:color w:val="000000"/>
          <w:sz w:val="18"/>
          <w:szCs w:val="18"/>
          <w:lang w:eastAsia="es-MX"/>
        </w:rPr>
        <w:t>todos los casos, se determina el tiempo restante del título de concesión considerado desde el 01 de octubre de 2017 a la fecha del término de la vigencia original, o en su caso, hasta la vigencia de la prórroga otorgada en 2013</w:t>
      </w:r>
      <w:r>
        <w:rPr>
          <w:rFonts w:ascii="ITC Avant Garde" w:hAnsi="ITC Avant Garde"/>
          <w:bCs/>
          <w:i/>
          <w:iCs/>
          <w:color w:val="000000"/>
          <w:sz w:val="18"/>
          <w:szCs w:val="18"/>
          <w:lang w:eastAsia="es-MX"/>
        </w:rPr>
        <w:t>.</w:t>
      </w:r>
    </w:p>
    <w:p w:rsidR="00642B7F" w:rsidRDefault="004B631C" w:rsidP="00642B7F">
      <w:pPr>
        <w:pStyle w:val="Prrafodelista"/>
        <w:numPr>
          <w:ilvl w:val="0"/>
          <w:numId w:val="6"/>
        </w:numPr>
        <w:spacing w:afterLines="120" w:after="288"/>
        <w:ind w:left="993" w:right="473" w:hanging="426"/>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Cálculo de la Contraprestación por la autorización de servicios adicionales por el tiempo restante de la concesión.</w:t>
      </w:r>
    </w:p>
    <w:p w:rsidR="004B631C" w:rsidRPr="004E69E8" w:rsidRDefault="004B631C" w:rsidP="007E16C9">
      <w:pPr>
        <w:pStyle w:val="Prrafodelista"/>
        <w:numPr>
          <w:ilvl w:val="0"/>
          <w:numId w:val="9"/>
        </w:numPr>
        <w:spacing w:afterLines="50" w:after="120"/>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Obtención </w:t>
      </w:r>
      <w:r w:rsidRPr="004D5D47">
        <w:rPr>
          <w:rFonts w:ascii="ITC Avant Garde" w:hAnsi="ITC Avant Garde"/>
          <w:bCs/>
          <w:i/>
          <w:iCs/>
          <w:color w:val="000000"/>
          <w:sz w:val="18"/>
          <w:szCs w:val="18"/>
          <w:lang w:eastAsia="es-MX"/>
        </w:rPr>
        <w:t>del valor presente neto de un MHz por el tiempo restante de la concesión, utilizando la tasa de descuento de 10.11%, el tiempo restante de la concesión (inciso c) y el valor del precio nacional por MHz anual (inciso a, numeral vii)</w:t>
      </w:r>
      <w:r w:rsidRPr="004E69E8">
        <w:rPr>
          <w:rFonts w:ascii="ITC Avant Garde" w:hAnsi="ITC Avant Garde"/>
          <w:bCs/>
          <w:i/>
          <w:iCs/>
          <w:color w:val="000000"/>
          <w:sz w:val="18"/>
          <w:szCs w:val="18"/>
          <w:lang w:eastAsia="es-MX"/>
        </w:rPr>
        <w:t>.</w:t>
      </w:r>
    </w:p>
    <w:p w:rsidR="00642B7F" w:rsidRDefault="004B631C" w:rsidP="00642B7F">
      <w:pPr>
        <w:pStyle w:val="Prrafodelista"/>
        <w:numPr>
          <w:ilvl w:val="0"/>
          <w:numId w:val="9"/>
        </w:numPr>
        <w:spacing w:afterLines="120" w:after="288"/>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El monto obtenido en el </w:t>
      </w:r>
      <w:r w:rsidRPr="004D5D47">
        <w:rPr>
          <w:rFonts w:ascii="ITC Avant Garde" w:hAnsi="ITC Avant Garde"/>
          <w:bCs/>
          <w:i/>
          <w:iCs/>
          <w:color w:val="000000"/>
          <w:sz w:val="18"/>
          <w:szCs w:val="18"/>
          <w:lang w:eastAsia="es-MX"/>
        </w:rPr>
        <w:t>paso anterior, es multiplicado por el porcentaje del numeral ii) del inciso b); y posteriormente multiplicado por el número de MHz concesionados. A manera de ejemplo</w:t>
      </w:r>
      <w:r w:rsidRPr="004E69E8">
        <w:rPr>
          <w:rFonts w:ascii="ITC Avant Garde" w:hAnsi="ITC Avant Garde"/>
          <w:bCs/>
          <w:i/>
          <w:iCs/>
          <w:color w:val="000000"/>
          <w:sz w:val="18"/>
          <w:szCs w:val="18"/>
          <w:lang w:eastAsia="es-MX"/>
        </w:rPr>
        <w:t>:</w:t>
      </w:r>
    </w:p>
    <w:p w:rsidR="00642B7F" w:rsidRDefault="004B631C" w:rsidP="00642B7F">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Datos: </w:t>
      </w:r>
    </w:p>
    <w:p w:rsidR="004B631C" w:rsidRPr="004E69E8" w:rsidRDefault="004B631C" w:rsidP="007E16C9">
      <w:pPr>
        <w:pStyle w:val="Prrafodelista"/>
        <w:numPr>
          <w:ilvl w:val="0"/>
          <w:numId w:val="12"/>
        </w:numPr>
        <w:spacing w:after="0"/>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Tiempo restante de la concesión: 11.</w:t>
      </w:r>
      <w:r>
        <w:rPr>
          <w:rFonts w:ascii="ITC Avant Garde" w:hAnsi="ITC Avant Garde"/>
          <w:bCs/>
          <w:i/>
          <w:iCs/>
          <w:color w:val="000000"/>
          <w:sz w:val="18"/>
          <w:szCs w:val="18"/>
          <w:lang w:eastAsia="es-MX"/>
        </w:rPr>
        <w:t xml:space="preserve">06 </w:t>
      </w:r>
      <w:r w:rsidRPr="004E69E8">
        <w:rPr>
          <w:rFonts w:ascii="ITC Avant Garde" w:hAnsi="ITC Avant Garde"/>
          <w:bCs/>
          <w:i/>
          <w:iCs/>
          <w:color w:val="000000"/>
          <w:sz w:val="18"/>
          <w:szCs w:val="18"/>
          <w:lang w:eastAsia="es-MX"/>
        </w:rPr>
        <w:t>años.</w:t>
      </w:r>
    </w:p>
    <w:p w:rsidR="004B631C" w:rsidRPr="004E69E8" w:rsidRDefault="004B631C" w:rsidP="007E16C9">
      <w:pPr>
        <w:pStyle w:val="Prrafodelista"/>
        <w:numPr>
          <w:ilvl w:val="0"/>
          <w:numId w:val="12"/>
        </w:numPr>
        <w:spacing w:after="0"/>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Valor presente neto de un MHz por el tiempo restante de la concesión: $44,</w:t>
      </w:r>
      <w:r>
        <w:rPr>
          <w:rFonts w:ascii="ITC Avant Garde" w:hAnsi="ITC Avant Garde"/>
          <w:bCs/>
          <w:i/>
          <w:iCs/>
          <w:color w:val="000000"/>
          <w:sz w:val="18"/>
          <w:szCs w:val="18"/>
          <w:lang w:eastAsia="es-MX"/>
        </w:rPr>
        <w:t>359</w:t>
      </w: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981</w:t>
      </w:r>
      <w:r w:rsidRPr="004E69E8">
        <w:rPr>
          <w:rFonts w:ascii="ITC Avant Garde" w:hAnsi="ITC Avant Garde"/>
          <w:bCs/>
          <w:i/>
          <w:iCs/>
          <w:color w:val="000000"/>
          <w:sz w:val="18"/>
          <w:szCs w:val="18"/>
          <w:lang w:eastAsia="es-MX"/>
        </w:rPr>
        <w:t>.00 pesos.</w:t>
      </w:r>
    </w:p>
    <w:p w:rsidR="004B631C" w:rsidRPr="004E69E8" w:rsidRDefault="004B631C" w:rsidP="007E16C9">
      <w:pPr>
        <w:pStyle w:val="Prrafodelista"/>
        <w:numPr>
          <w:ilvl w:val="0"/>
          <w:numId w:val="12"/>
        </w:numPr>
        <w:spacing w:after="0"/>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Porcentaje que representa la población del municipio de </w:t>
      </w:r>
      <w:r>
        <w:rPr>
          <w:rFonts w:ascii="ITC Avant Garde" w:hAnsi="ITC Avant Garde"/>
          <w:bCs/>
          <w:i/>
          <w:iCs/>
          <w:color w:val="000000"/>
          <w:sz w:val="18"/>
          <w:szCs w:val="18"/>
          <w:lang w:eastAsia="es-MX"/>
        </w:rPr>
        <w:t>Acuña, Coahuila</w:t>
      </w:r>
      <w:r w:rsidRPr="004E69E8">
        <w:rPr>
          <w:rFonts w:ascii="ITC Avant Garde" w:hAnsi="ITC Avant Garde"/>
          <w:bCs/>
          <w:i/>
          <w:iCs/>
          <w:color w:val="000000"/>
          <w:sz w:val="18"/>
          <w:szCs w:val="18"/>
          <w:lang w:eastAsia="es-MX"/>
        </w:rPr>
        <w:t xml:space="preserve"> con relación a la proporción de la Región Celular correspondiente: </w:t>
      </w:r>
      <w:r>
        <w:rPr>
          <w:rFonts w:ascii="ITC Avant Garde" w:hAnsi="ITC Avant Garde"/>
          <w:bCs/>
          <w:i/>
          <w:iCs/>
          <w:color w:val="000000"/>
          <w:sz w:val="18"/>
          <w:szCs w:val="18"/>
          <w:lang w:eastAsia="es-MX"/>
        </w:rPr>
        <w:t>0.39</w:t>
      </w:r>
      <w:r w:rsidRPr="004E69E8">
        <w:rPr>
          <w:rFonts w:ascii="ITC Avant Garde" w:hAnsi="ITC Avant Garde"/>
          <w:bCs/>
          <w:i/>
          <w:iCs/>
          <w:color w:val="000000"/>
          <w:sz w:val="18"/>
          <w:szCs w:val="18"/>
          <w:lang w:eastAsia="es-MX"/>
        </w:rPr>
        <w:t>%.</w:t>
      </w:r>
    </w:p>
    <w:p w:rsidR="00642B7F" w:rsidRDefault="004B631C" w:rsidP="00642B7F">
      <w:pPr>
        <w:pStyle w:val="Prrafodelista"/>
        <w:numPr>
          <w:ilvl w:val="0"/>
          <w:numId w:val="12"/>
        </w:numPr>
        <w:spacing w:afterLines="120" w:after="288"/>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MHz concesionados en el municipio: 60.</w:t>
      </w:r>
    </w:p>
    <w:p w:rsidR="00642B7F" w:rsidRDefault="004B631C" w:rsidP="00642B7F">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Cálculo:</w:t>
      </w:r>
    </w:p>
    <w:p w:rsidR="00642B7F" w:rsidRDefault="004B631C" w:rsidP="00642B7F">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(44,</w:t>
      </w:r>
      <w:r>
        <w:rPr>
          <w:rFonts w:ascii="ITC Avant Garde" w:hAnsi="ITC Avant Garde"/>
          <w:bCs/>
          <w:i/>
          <w:iCs/>
          <w:color w:val="000000"/>
          <w:sz w:val="18"/>
          <w:szCs w:val="18"/>
          <w:lang w:eastAsia="es-MX"/>
        </w:rPr>
        <w:t>359</w:t>
      </w: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981.00</w:t>
      </w: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0.39</w:t>
      </w:r>
      <w:r w:rsidRPr="004E69E8">
        <w:rPr>
          <w:rFonts w:ascii="ITC Avant Garde" w:hAnsi="ITC Avant Garde"/>
          <w:bCs/>
          <w:i/>
          <w:iCs/>
          <w:color w:val="000000"/>
          <w:sz w:val="18"/>
          <w:szCs w:val="18"/>
          <w:lang w:eastAsia="es-MX"/>
        </w:rPr>
        <w:t>%)*(60)= $</w:t>
      </w:r>
      <w:r>
        <w:rPr>
          <w:rFonts w:ascii="ITC Avant Garde" w:hAnsi="ITC Avant Garde"/>
          <w:bCs/>
          <w:i/>
          <w:iCs/>
          <w:color w:val="000000"/>
          <w:sz w:val="18"/>
          <w:szCs w:val="18"/>
          <w:lang w:eastAsia="es-MX"/>
        </w:rPr>
        <w:t>10,311,989.00</w:t>
      </w:r>
      <w:r w:rsidRPr="004E69E8">
        <w:rPr>
          <w:rFonts w:ascii="ITC Avant Garde" w:hAnsi="ITC Avant Garde"/>
          <w:bCs/>
          <w:i/>
          <w:iCs/>
          <w:color w:val="000000"/>
          <w:sz w:val="18"/>
          <w:szCs w:val="18"/>
          <w:lang w:eastAsia="es-MX"/>
        </w:rPr>
        <w:t xml:space="preserve"> pesos.</w:t>
      </w:r>
    </w:p>
    <w:p w:rsidR="00642B7F" w:rsidRDefault="004B631C" w:rsidP="00642B7F">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Para este ejemplo, </w:t>
      </w:r>
      <w:r w:rsidRPr="00036C80">
        <w:rPr>
          <w:rFonts w:ascii="ITC Avant Garde" w:hAnsi="ITC Avant Garde"/>
          <w:bCs/>
          <w:i/>
          <w:iCs/>
          <w:color w:val="000000"/>
          <w:sz w:val="18"/>
          <w:szCs w:val="18"/>
          <w:lang w:eastAsia="es-MX"/>
        </w:rPr>
        <w:t>el concesionario debería pagar una contraprestación de $10,311,989.00 pesos</w:t>
      </w:r>
      <w:r w:rsidRPr="004E69E8">
        <w:rPr>
          <w:rFonts w:ascii="ITC Avant Garde" w:hAnsi="ITC Avant Garde"/>
          <w:bCs/>
          <w:i/>
          <w:iCs/>
          <w:color w:val="000000"/>
          <w:sz w:val="18"/>
          <w:szCs w:val="18"/>
          <w:lang w:eastAsia="es-MX"/>
        </w:rPr>
        <w:t>.</w:t>
      </w:r>
    </w:p>
    <w:p w:rsidR="00D07321" w:rsidRPr="004E69E8" w:rsidRDefault="004B631C" w:rsidP="00642B7F">
      <w:pPr>
        <w:pStyle w:val="Prrafodelista"/>
        <w:numPr>
          <w:ilvl w:val="0"/>
          <w:numId w:val="9"/>
        </w:numPr>
        <w:spacing w:afterLines="120" w:after="288"/>
        <w:ind w:left="567"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En </w:t>
      </w:r>
      <w:r w:rsidRPr="00A345B7">
        <w:rPr>
          <w:rFonts w:ascii="ITC Avant Garde" w:hAnsi="ITC Avant Garde"/>
          <w:bCs/>
          <w:i/>
          <w:iCs/>
          <w:color w:val="000000"/>
          <w:sz w:val="18"/>
          <w:szCs w:val="18"/>
          <w:lang w:eastAsia="es-MX"/>
        </w:rPr>
        <w:t>caso de que el título de concesión tenga más de un municipio, se deberán sumar la contraprestación de cada municipio (numeral ii, del inciso d) para poder obtener el monto del aprovechamiento total</w:t>
      </w:r>
      <w:r w:rsidR="00D07321" w:rsidRPr="004E69E8">
        <w:rPr>
          <w:rFonts w:ascii="ITC Avant Garde" w:hAnsi="ITC Avant Garde"/>
          <w:bCs/>
          <w:i/>
          <w:iCs/>
          <w:color w:val="000000"/>
          <w:sz w:val="18"/>
          <w:szCs w:val="18"/>
          <w:lang w:eastAsia="es-MX"/>
        </w:rPr>
        <w:t xml:space="preserve">.  </w:t>
      </w:r>
    </w:p>
    <w:p w:rsidR="00642B7F" w:rsidRDefault="00D07321" w:rsidP="00642B7F">
      <w:pPr>
        <w:pStyle w:val="Prrafodelista"/>
        <w:spacing w:afterLines="120" w:after="288"/>
        <w:ind w:left="142"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Tomando </w:t>
      </w:r>
      <w:r w:rsidR="00A345B7" w:rsidRPr="00A345B7">
        <w:rPr>
          <w:rFonts w:ascii="ITC Avant Garde" w:hAnsi="ITC Avant Garde"/>
          <w:bCs/>
          <w:i/>
          <w:iCs/>
          <w:color w:val="000000"/>
          <w:sz w:val="18"/>
          <w:szCs w:val="18"/>
          <w:lang w:eastAsia="es-MX"/>
        </w:rPr>
        <w:t xml:space="preserve">en cuenta lo anterior, </w:t>
      </w:r>
      <w:r w:rsidR="00D343C2" w:rsidRPr="00D343C2">
        <w:rPr>
          <w:rFonts w:ascii="ITC Avant Garde" w:hAnsi="ITC Avant Garde"/>
          <w:bCs/>
          <w:i/>
          <w:iCs/>
          <w:color w:val="000000"/>
          <w:sz w:val="18"/>
          <w:szCs w:val="18"/>
          <w:lang w:eastAsia="es-MX"/>
        </w:rPr>
        <w:t>los aprovechamientos que se proponen que el concesionario pague en sus títulos de concesión por la autorización de servicios adicionales y por la prórroga a la concesión original con su respectiva autorización de servicios adicionales, son los siguientes</w:t>
      </w:r>
      <w:r w:rsidRPr="004E69E8">
        <w:rPr>
          <w:rFonts w:ascii="ITC Avant Garde" w:hAnsi="ITC Avant Garde"/>
          <w:bCs/>
          <w:i/>
          <w:iCs/>
          <w:color w:val="000000"/>
          <w:sz w:val="18"/>
          <w:szCs w:val="18"/>
          <w:lang w:eastAsia="es-MX"/>
        </w:rPr>
        <w:t>:</w:t>
      </w:r>
    </w:p>
    <w:p w:rsidR="00A345B7" w:rsidRPr="004E69E8" w:rsidRDefault="00D07321" w:rsidP="007E16C9">
      <w:pPr>
        <w:pStyle w:val="Prrafodelista"/>
        <w:spacing w:afterLines="50" w:after="120"/>
        <w:ind w:left="567" w:right="473"/>
        <w:contextualSpacing w:val="0"/>
        <w:jc w:val="center"/>
        <w:rPr>
          <w:rFonts w:ascii="ITC Avant Garde" w:hAnsi="ITC Avant Garde"/>
          <w:bCs/>
          <w:i/>
          <w:iCs/>
          <w:color w:val="000000"/>
          <w:sz w:val="16"/>
          <w:szCs w:val="16"/>
          <w:lang w:eastAsia="es-MX"/>
        </w:rPr>
      </w:pPr>
      <w:r w:rsidRPr="004E69E8">
        <w:rPr>
          <w:rFonts w:ascii="ITC Avant Garde" w:hAnsi="ITC Avant Garde"/>
          <w:b/>
          <w:bCs/>
          <w:i/>
          <w:iCs/>
          <w:color w:val="000000"/>
          <w:sz w:val="18"/>
          <w:szCs w:val="18"/>
          <w:lang w:eastAsia="es-MX"/>
        </w:rPr>
        <w:t>Tabla 2: Montos de Contraprestación por Título de Concesión</w:t>
      </w:r>
    </w:p>
    <w:tbl>
      <w:tblPr>
        <w:tblStyle w:val="Tablaconcuadrcula8"/>
        <w:tblW w:w="9220" w:type="dxa"/>
        <w:jc w:val="center"/>
        <w:tblLook w:val="04A0" w:firstRow="1" w:lastRow="0" w:firstColumn="1" w:lastColumn="0" w:noHBand="0" w:noVBand="1"/>
        <w:tblCaption w:val="Tabla 2: Montos de Contraprestación por Título de Concesión"/>
        <w:tblDescription w:val="Tabla de 5 columnas que proporciona información relativa a los aprovechamientos que se proponen que el concesionario pague en sus títulos de concesión por la autorización de servicios adicionales y por la prórroga a la concesión original con su respectiva autorización de servicios adicionales."/>
      </w:tblPr>
      <w:tblGrid>
        <w:gridCol w:w="526"/>
        <w:gridCol w:w="1890"/>
        <w:gridCol w:w="2126"/>
        <w:gridCol w:w="1701"/>
        <w:gridCol w:w="2977"/>
      </w:tblGrid>
      <w:tr w:rsidR="007E16C9" w:rsidRPr="003D1A94" w:rsidTr="007E16C9">
        <w:trPr>
          <w:trHeight w:val="20"/>
          <w:tblHeader/>
          <w:jc w:val="center"/>
        </w:trPr>
        <w:tc>
          <w:tcPr>
            <w:tcW w:w="526" w:type="dxa"/>
            <w:noWrap/>
            <w:hideMark/>
          </w:tcPr>
          <w:p w:rsidR="007E16C9" w:rsidRPr="003D1A94" w:rsidRDefault="007E16C9" w:rsidP="007E16C9">
            <w:pPr>
              <w:jc w:val="center"/>
              <w:rPr>
                <w:rFonts w:ascii="ITC Avant Garde" w:hAnsi="ITC Avant Garde" w:cs="Calibri"/>
                <w:b/>
                <w:bCs/>
                <w:i/>
                <w:color w:val="000000"/>
                <w:sz w:val="16"/>
              </w:rPr>
            </w:pPr>
            <w:r w:rsidRPr="003D1A94">
              <w:rPr>
                <w:rFonts w:ascii="ITC Avant Garde" w:hAnsi="ITC Avant Garde" w:cs="Calibri"/>
                <w:b/>
                <w:bCs/>
                <w:i/>
                <w:color w:val="000000"/>
                <w:sz w:val="16"/>
              </w:rPr>
              <w:t>No.</w:t>
            </w:r>
          </w:p>
        </w:tc>
        <w:tc>
          <w:tcPr>
            <w:tcW w:w="1890" w:type="dxa"/>
            <w:noWrap/>
            <w:hideMark/>
          </w:tcPr>
          <w:p w:rsidR="007E16C9" w:rsidRPr="003D1A94" w:rsidRDefault="007E16C9" w:rsidP="007E16C9">
            <w:pPr>
              <w:jc w:val="center"/>
              <w:rPr>
                <w:rFonts w:ascii="ITC Avant Garde" w:hAnsi="ITC Avant Garde" w:cs="Calibri"/>
                <w:b/>
                <w:bCs/>
                <w:i/>
                <w:color w:val="000000"/>
                <w:sz w:val="16"/>
              </w:rPr>
            </w:pPr>
            <w:r w:rsidRPr="003D1A94">
              <w:rPr>
                <w:rFonts w:ascii="ITC Avant Garde" w:hAnsi="ITC Avant Garde" w:cs="Calibri"/>
                <w:b/>
                <w:bCs/>
                <w:i/>
                <w:color w:val="000000"/>
                <w:sz w:val="16"/>
              </w:rPr>
              <w:t>Folio electrónico</w:t>
            </w:r>
          </w:p>
        </w:tc>
        <w:tc>
          <w:tcPr>
            <w:tcW w:w="2126" w:type="dxa"/>
            <w:hideMark/>
          </w:tcPr>
          <w:p w:rsidR="007E16C9" w:rsidRDefault="007E16C9" w:rsidP="007E16C9">
            <w:pPr>
              <w:spacing w:after="120"/>
              <w:jc w:val="center"/>
              <w:rPr>
                <w:rFonts w:ascii="ITC Avant Garde" w:hAnsi="ITC Avant Garde" w:cs="Calibri"/>
                <w:b/>
                <w:bCs/>
                <w:i/>
                <w:color w:val="000000"/>
                <w:sz w:val="16"/>
              </w:rPr>
            </w:pPr>
            <w:r w:rsidRPr="003D1A94">
              <w:rPr>
                <w:rFonts w:ascii="ITC Avant Garde" w:hAnsi="ITC Avant Garde" w:cs="Calibri"/>
                <w:b/>
                <w:bCs/>
                <w:i/>
                <w:color w:val="000000"/>
                <w:sz w:val="16"/>
              </w:rPr>
              <w:t>Principal población a Servir</w:t>
            </w:r>
          </w:p>
          <w:p w:rsidR="007E16C9" w:rsidRPr="003D1A94" w:rsidRDefault="007E16C9" w:rsidP="007E16C9">
            <w:pPr>
              <w:jc w:val="center"/>
              <w:rPr>
                <w:rFonts w:ascii="ITC Avant Garde" w:hAnsi="ITC Avant Garde" w:cs="Calibri"/>
                <w:b/>
                <w:bCs/>
                <w:i/>
                <w:color w:val="000000"/>
                <w:sz w:val="16"/>
              </w:rPr>
            </w:pPr>
            <w:r>
              <w:rPr>
                <w:rFonts w:ascii="ITC Avant Garde" w:hAnsi="ITC Avant Garde" w:cs="Calibri"/>
                <w:b/>
                <w:bCs/>
                <w:i/>
                <w:color w:val="000000"/>
                <w:sz w:val="16"/>
              </w:rPr>
              <w:t>Estado</w:t>
            </w:r>
          </w:p>
        </w:tc>
        <w:tc>
          <w:tcPr>
            <w:tcW w:w="1701" w:type="dxa"/>
          </w:tcPr>
          <w:p w:rsidR="007E16C9" w:rsidRDefault="007E16C9" w:rsidP="007E16C9">
            <w:pPr>
              <w:spacing w:after="120"/>
              <w:jc w:val="center"/>
              <w:rPr>
                <w:rFonts w:ascii="ITC Avant Garde" w:hAnsi="ITC Avant Garde" w:cs="Calibri"/>
                <w:b/>
                <w:bCs/>
                <w:i/>
                <w:color w:val="000000"/>
                <w:sz w:val="16"/>
              </w:rPr>
            </w:pPr>
            <w:r w:rsidRPr="003D1A94">
              <w:rPr>
                <w:rFonts w:ascii="ITC Avant Garde" w:hAnsi="ITC Avant Garde" w:cs="Calibri"/>
                <w:b/>
                <w:bCs/>
                <w:i/>
                <w:color w:val="000000"/>
                <w:sz w:val="16"/>
              </w:rPr>
              <w:t>Principal población a Servir</w:t>
            </w:r>
          </w:p>
          <w:p w:rsidR="007E16C9" w:rsidRPr="003D1A94" w:rsidRDefault="007E16C9" w:rsidP="007E16C9">
            <w:pPr>
              <w:jc w:val="center"/>
              <w:rPr>
                <w:rFonts w:ascii="ITC Avant Garde" w:hAnsi="ITC Avant Garde" w:cs="Calibri"/>
                <w:b/>
                <w:bCs/>
                <w:i/>
                <w:color w:val="000000"/>
                <w:sz w:val="16"/>
              </w:rPr>
            </w:pPr>
            <w:r>
              <w:rPr>
                <w:rFonts w:ascii="ITC Avant Garde" w:hAnsi="ITC Avant Garde" w:cs="Calibri"/>
                <w:b/>
                <w:bCs/>
                <w:i/>
                <w:color w:val="000000"/>
                <w:sz w:val="16"/>
              </w:rPr>
              <w:t>Municipio</w:t>
            </w:r>
          </w:p>
        </w:tc>
        <w:tc>
          <w:tcPr>
            <w:tcW w:w="2977" w:type="dxa"/>
            <w:hideMark/>
          </w:tcPr>
          <w:p w:rsidR="007E16C9" w:rsidRPr="003D1A94" w:rsidRDefault="007E16C9" w:rsidP="007E16C9">
            <w:pPr>
              <w:jc w:val="center"/>
              <w:rPr>
                <w:rFonts w:ascii="ITC Avant Garde" w:hAnsi="ITC Avant Garde" w:cs="Calibri"/>
                <w:b/>
                <w:bCs/>
                <w:i/>
                <w:color w:val="000000"/>
                <w:sz w:val="16"/>
              </w:rPr>
            </w:pPr>
            <w:r w:rsidRPr="003D1A94">
              <w:rPr>
                <w:rFonts w:ascii="ITC Avant Garde" w:hAnsi="ITC Avant Garde" w:cs="Calibri"/>
                <w:b/>
                <w:bCs/>
                <w:i/>
                <w:color w:val="000000"/>
                <w:sz w:val="16"/>
              </w:rPr>
              <w:t>Monto del aprovechamiento total</w:t>
            </w:r>
            <w:r w:rsidRPr="003D1A94">
              <w:rPr>
                <w:rFonts w:ascii="ITC Avant Garde" w:hAnsi="ITC Avant Garde" w:cs="Calibri"/>
                <w:b/>
                <w:bCs/>
                <w:i/>
                <w:color w:val="000000"/>
                <w:sz w:val="16"/>
              </w:rPr>
              <w:br/>
              <w:t>(pesos)</w:t>
            </w:r>
          </w:p>
        </w:tc>
      </w:tr>
      <w:tr w:rsidR="00D343C2" w:rsidRPr="003D1A94" w:rsidTr="007E16C9">
        <w:trPr>
          <w:trHeight w:val="20"/>
          <w:jc w:val="center"/>
        </w:trPr>
        <w:tc>
          <w:tcPr>
            <w:tcW w:w="526" w:type="dxa"/>
            <w:noWrap/>
            <w:hideMark/>
          </w:tcPr>
          <w:p w:rsidR="00D343C2" w:rsidRPr="003D1A94" w:rsidRDefault="00D343C2" w:rsidP="007E16C9">
            <w:pPr>
              <w:jc w:val="center"/>
              <w:rPr>
                <w:rFonts w:ascii="ITC Avant Garde" w:hAnsi="ITC Avant Garde" w:cs="Calibri"/>
                <w:b/>
                <w:bCs/>
                <w:i/>
                <w:color w:val="000000"/>
                <w:sz w:val="16"/>
              </w:rPr>
            </w:pPr>
            <w:r w:rsidRPr="003D1A94">
              <w:rPr>
                <w:rFonts w:ascii="ITC Avant Garde" w:hAnsi="ITC Avant Garde" w:cs="Calibri"/>
                <w:b/>
                <w:bCs/>
                <w:i/>
                <w:color w:val="000000"/>
                <w:sz w:val="16"/>
              </w:rPr>
              <w:t>1</w:t>
            </w:r>
          </w:p>
        </w:tc>
        <w:tc>
          <w:tcPr>
            <w:tcW w:w="1890" w:type="dxa"/>
            <w:noWrap/>
            <w:hideMark/>
          </w:tcPr>
          <w:p w:rsidR="00D343C2" w:rsidRPr="00D343C2" w:rsidRDefault="002877F4" w:rsidP="007E16C9">
            <w:pPr>
              <w:jc w:val="center"/>
              <w:rPr>
                <w:rFonts w:ascii="ITC Avant Garde" w:hAnsi="ITC Avant Garde" w:cs="Calibri"/>
                <w:i/>
                <w:color w:val="000000"/>
                <w:sz w:val="16"/>
              </w:rPr>
            </w:pPr>
            <w:r>
              <w:rPr>
                <w:rFonts w:ascii="ITC Avant Garde" w:hAnsi="ITC Avant Garde" w:cs="Calibri"/>
                <w:i/>
                <w:color w:val="000000"/>
                <w:sz w:val="16"/>
              </w:rPr>
              <w:t>FET072034CO-100870</w:t>
            </w:r>
          </w:p>
        </w:tc>
        <w:tc>
          <w:tcPr>
            <w:tcW w:w="2126" w:type="dxa"/>
            <w:noWrap/>
            <w:hideMark/>
          </w:tcPr>
          <w:p w:rsidR="00D343C2" w:rsidRPr="00D343C2" w:rsidRDefault="002877F4" w:rsidP="007E16C9">
            <w:pPr>
              <w:jc w:val="center"/>
              <w:rPr>
                <w:rFonts w:ascii="ITC Avant Garde" w:hAnsi="ITC Avant Garde" w:cs="Calibri"/>
                <w:i/>
                <w:color w:val="000000"/>
                <w:sz w:val="16"/>
              </w:rPr>
            </w:pPr>
            <w:r>
              <w:rPr>
                <w:rFonts w:ascii="ITC Avant Garde" w:hAnsi="ITC Avant Garde" w:cs="Calibri"/>
                <w:i/>
                <w:color w:val="000000"/>
                <w:sz w:val="16"/>
              </w:rPr>
              <w:t>Coahuila de Zaragoza</w:t>
            </w:r>
          </w:p>
        </w:tc>
        <w:tc>
          <w:tcPr>
            <w:tcW w:w="1701" w:type="dxa"/>
            <w:noWrap/>
            <w:hideMark/>
          </w:tcPr>
          <w:p w:rsidR="00D343C2" w:rsidRPr="00D343C2" w:rsidRDefault="002877F4" w:rsidP="007E16C9">
            <w:pPr>
              <w:jc w:val="center"/>
              <w:rPr>
                <w:rFonts w:ascii="ITC Avant Garde" w:hAnsi="ITC Avant Garde" w:cs="Calibri"/>
                <w:i/>
                <w:color w:val="000000"/>
                <w:sz w:val="16"/>
              </w:rPr>
            </w:pPr>
            <w:r>
              <w:rPr>
                <w:rFonts w:ascii="ITC Avant Garde" w:hAnsi="ITC Avant Garde" w:cs="Calibri"/>
                <w:i/>
                <w:color w:val="000000"/>
                <w:sz w:val="16"/>
              </w:rPr>
              <w:t>Torreón</w:t>
            </w:r>
          </w:p>
        </w:tc>
        <w:tc>
          <w:tcPr>
            <w:tcW w:w="2977" w:type="dxa"/>
            <w:noWrap/>
            <w:hideMark/>
          </w:tcPr>
          <w:p w:rsidR="00D343C2" w:rsidRPr="00D343C2" w:rsidRDefault="009806CB" w:rsidP="007E16C9">
            <w:pPr>
              <w:jc w:val="right"/>
              <w:rPr>
                <w:rFonts w:ascii="ITC Avant Garde" w:hAnsi="ITC Avant Garde" w:cs="Calibri"/>
                <w:b/>
                <w:i/>
                <w:color w:val="000000"/>
                <w:sz w:val="16"/>
              </w:rPr>
            </w:pPr>
            <w:r>
              <w:rPr>
                <w:rFonts w:ascii="ITC Avant Garde" w:hAnsi="ITC Avant Garde" w:cs="Calibri"/>
                <w:b/>
                <w:i/>
                <w:color w:val="000000"/>
                <w:sz w:val="16"/>
              </w:rPr>
              <w:t>$</w:t>
            </w:r>
            <w:r w:rsidR="002877F4">
              <w:rPr>
                <w:rFonts w:ascii="ITC Avant Garde" w:hAnsi="ITC Avant Garde" w:cs="Calibri"/>
                <w:b/>
                <w:i/>
                <w:color w:val="000000"/>
                <w:sz w:val="16"/>
              </w:rPr>
              <w:t>34,209,549</w:t>
            </w:r>
          </w:p>
        </w:tc>
      </w:tr>
    </w:tbl>
    <w:p w:rsidR="00642B7F" w:rsidRDefault="00D07321" w:rsidP="00642B7F">
      <w:pPr>
        <w:pStyle w:val="Prrafodelista"/>
        <w:spacing w:afterLines="120" w:after="288"/>
        <w:ind w:left="567" w:right="473"/>
        <w:contextualSpacing w:val="0"/>
        <w:jc w:val="both"/>
        <w:rPr>
          <w:rFonts w:ascii="ITC Avant Garde" w:hAnsi="ITC Avant Garde"/>
          <w:bCs/>
          <w:i/>
          <w:iCs/>
          <w:color w:val="000000"/>
          <w:sz w:val="16"/>
          <w:szCs w:val="16"/>
          <w:lang w:eastAsia="es-MX"/>
        </w:rPr>
      </w:pPr>
      <w:r w:rsidRPr="004E69E8">
        <w:rPr>
          <w:rFonts w:ascii="ITC Avant Garde" w:hAnsi="ITC Avant Garde"/>
          <w:bCs/>
          <w:i/>
          <w:iCs/>
          <w:color w:val="000000"/>
          <w:sz w:val="16"/>
          <w:szCs w:val="16"/>
          <w:lang w:eastAsia="es-MX"/>
        </w:rPr>
        <w:t>Nota: El Anexo III del presente documento contiene los detalles específicos de cada título de concesión.</w:t>
      </w:r>
    </w:p>
    <w:p w:rsidR="00642B7F" w:rsidRDefault="00D07321" w:rsidP="00642B7F">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Cabe </w:t>
      </w:r>
      <w:r w:rsidR="00195CF2">
        <w:rPr>
          <w:rFonts w:ascii="ITC Avant Garde" w:hAnsi="ITC Avant Garde"/>
          <w:bCs/>
          <w:i/>
          <w:iCs/>
          <w:color w:val="000000"/>
          <w:sz w:val="18"/>
          <w:szCs w:val="18"/>
          <w:lang w:eastAsia="es-MX"/>
        </w:rPr>
        <w:t>señalar</w:t>
      </w:r>
      <w:r w:rsidR="00D343C2" w:rsidRPr="00D343C2">
        <w:rPr>
          <w:rFonts w:ascii="ITC Avant Garde" w:hAnsi="ITC Avant Garde"/>
          <w:bCs/>
          <w:i/>
          <w:iCs/>
          <w:color w:val="000000"/>
          <w:sz w:val="18"/>
          <w:szCs w:val="18"/>
          <w:lang w:eastAsia="es-MX"/>
        </w:rPr>
        <w:t xml:space="preserve">, que los aprovechamientos señalados en la tabla anterior se establecerán sin menoscabo de la obligación de pagar los derechos establecidos en la Ley Federal de Derechos (LFD) por el uso, goce, aprovechamiento o explotación de las bandas de frecuencias que </w:t>
      </w:r>
      <w:r w:rsidR="00D343C2" w:rsidRPr="00D343C2">
        <w:rPr>
          <w:rFonts w:ascii="ITC Avant Garde" w:hAnsi="ITC Avant Garde"/>
          <w:bCs/>
          <w:i/>
          <w:iCs/>
          <w:color w:val="000000"/>
          <w:sz w:val="18"/>
          <w:szCs w:val="18"/>
          <w:lang w:eastAsia="es-MX"/>
        </w:rPr>
        <w:lastRenderedPageBreak/>
        <w:t>correspondan. En este sentido, dichos aprovechamientos no constituyen el pago total de la banda de frecuencia que se concesionó (2500 MHz), ya que el concesionario tiene la obligación de pagar los derechos establecidos en el Artículo 244 de la LFD, a partir del 01 de octubre de 2017 y hasta el término de la vigencia de la concesión.</w:t>
      </w:r>
    </w:p>
    <w:p w:rsidR="00642B7F" w:rsidRDefault="00D343C2" w:rsidP="00642B7F">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D343C2">
        <w:rPr>
          <w:rFonts w:ascii="ITC Avant Garde" w:hAnsi="ITC Avant Garde"/>
          <w:bCs/>
          <w:i/>
          <w:iCs/>
          <w:color w:val="000000"/>
          <w:sz w:val="18"/>
          <w:szCs w:val="18"/>
          <w:lang w:eastAsia="es-MX"/>
        </w:rPr>
        <w:t>A la luz de lo anterior, y con fundamento en el artículo 28 de la Constitución Política de los Estados Unidos Mexic</w:t>
      </w:r>
      <w:r w:rsidR="00125B93">
        <w:rPr>
          <w:rFonts w:ascii="ITC Avant Garde" w:hAnsi="ITC Avant Garde"/>
          <w:bCs/>
          <w:i/>
          <w:iCs/>
          <w:color w:val="000000"/>
          <w:sz w:val="18"/>
          <w:szCs w:val="18"/>
          <w:lang w:eastAsia="es-MX"/>
        </w:rPr>
        <w:t>anos y Séptimo Transitorio del ‘</w:t>
      </w:r>
      <w:r w:rsidRPr="00D343C2">
        <w:rPr>
          <w:rFonts w:ascii="ITC Avant Garde" w:hAnsi="ITC Avant Garde"/>
          <w:bCs/>
          <w:i/>
          <w:iCs/>
          <w:color w:val="000000"/>
          <w:sz w:val="18"/>
          <w:szCs w:val="18"/>
          <w:lang w:eastAsia="es-MX"/>
        </w:rPr>
        <w:t>Decreto por el que se reforman y adicionan diversas disposiciones de los artículos 6o, 7o, 27, 28, 73, 78, 94 y 105 de la Constitución Política de los Estados Unidos Mexicanos, e</w:t>
      </w:r>
      <w:r w:rsidR="00125B93">
        <w:rPr>
          <w:rFonts w:ascii="ITC Avant Garde" w:hAnsi="ITC Avant Garde"/>
          <w:bCs/>
          <w:i/>
          <w:iCs/>
          <w:color w:val="000000"/>
          <w:sz w:val="18"/>
          <w:szCs w:val="18"/>
          <w:lang w:eastAsia="es-MX"/>
        </w:rPr>
        <w:t>n materia de telecomunicaciones’</w:t>
      </w:r>
      <w:r w:rsidRPr="00D343C2">
        <w:rPr>
          <w:rFonts w:ascii="ITC Avant Garde" w:hAnsi="ITC Avant Garde"/>
          <w:bCs/>
          <w:i/>
          <w:iCs/>
          <w:color w:val="000000"/>
          <w:sz w:val="18"/>
          <w:szCs w:val="18"/>
          <w:lang w:eastAsia="es-MX"/>
        </w:rPr>
        <w:t xml:space="preserve">, publicado en el Diario Oficial de la Federación el 11 de junio de 2013, así como del artículo 29, fracción XV del Estatuto Orgánico del Instituto y los artículos 99, 100 y 101 de la Ley Federal de Telecomunicaciones y Radiodifusión, se solicita atentamente emitir su opinión sobre los montos de contraprestación, señalados en la Tabla 2 del presente documento, que deberá pagar el concesionario </w:t>
      </w:r>
      <w:r w:rsidR="00364815" w:rsidRPr="00B85B42">
        <w:rPr>
          <w:rFonts w:ascii="ITC Avant Garde" w:hAnsi="ITC Avant Garde"/>
          <w:bCs/>
          <w:i/>
          <w:iCs/>
          <w:color w:val="000000"/>
          <w:sz w:val="18"/>
          <w:szCs w:val="18"/>
          <w:lang w:eastAsia="es-MX"/>
        </w:rPr>
        <w:t>TELE COMARCA</w:t>
      </w:r>
      <w:r w:rsidR="006268C8">
        <w:rPr>
          <w:rFonts w:ascii="ITC Avant Garde" w:hAnsi="ITC Avant Garde"/>
          <w:bCs/>
          <w:i/>
          <w:iCs/>
          <w:color w:val="000000"/>
          <w:sz w:val="18"/>
          <w:szCs w:val="18"/>
          <w:lang w:eastAsia="es-MX"/>
        </w:rPr>
        <w:t>, S.A. DE</w:t>
      </w:r>
      <w:r w:rsidRPr="00D343C2">
        <w:rPr>
          <w:rFonts w:ascii="ITC Avant Garde" w:hAnsi="ITC Avant Garde"/>
          <w:bCs/>
          <w:i/>
          <w:iCs/>
          <w:color w:val="000000"/>
          <w:sz w:val="18"/>
          <w:szCs w:val="18"/>
          <w:lang w:eastAsia="es-MX"/>
        </w:rPr>
        <w:t xml:space="preserve"> C.V. al Gobierno Federal con motivo de </w:t>
      </w:r>
      <w:r w:rsidRPr="00D343C2">
        <w:rPr>
          <w:rFonts w:ascii="ITC Avant Garde" w:hAnsi="ITC Avant Garde"/>
          <w:b/>
          <w:bCs/>
          <w:i/>
          <w:iCs/>
          <w:color w:val="000000"/>
          <w:sz w:val="18"/>
          <w:szCs w:val="18"/>
          <w:lang w:eastAsia="es-MX"/>
        </w:rPr>
        <w:t>la autorización de servicios adicionales</w:t>
      </w:r>
      <w:r w:rsidRPr="00D343C2">
        <w:rPr>
          <w:rFonts w:ascii="ITC Avant Garde" w:hAnsi="ITC Avant Garde"/>
          <w:bCs/>
          <w:i/>
          <w:iCs/>
          <w:color w:val="000000"/>
          <w:sz w:val="18"/>
          <w:szCs w:val="18"/>
          <w:lang w:eastAsia="es-MX"/>
        </w:rPr>
        <w:t xml:space="preserve"> y </w:t>
      </w:r>
      <w:r w:rsidRPr="00D343C2">
        <w:rPr>
          <w:rFonts w:ascii="ITC Avant Garde" w:hAnsi="ITC Avant Garde"/>
          <w:b/>
          <w:bCs/>
          <w:i/>
          <w:iCs/>
          <w:color w:val="000000"/>
          <w:sz w:val="18"/>
          <w:szCs w:val="18"/>
          <w:lang w:eastAsia="es-MX"/>
        </w:rPr>
        <w:t>la prórroga a la concesión original con su respectiva autorización de servicios adicionales</w:t>
      </w:r>
      <w:r w:rsidR="006268C8">
        <w:rPr>
          <w:rFonts w:ascii="ITC Avant Garde" w:hAnsi="ITC Avant Garde"/>
          <w:bCs/>
          <w:i/>
          <w:iCs/>
          <w:color w:val="000000"/>
          <w:sz w:val="18"/>
          <w:szCs w:val="18"/>
          <w:lang w:eastAsia="es-MX"/>
        </w:rPr>
        <w:t xml:space="preserve"> de 1 título</w:t>
      </w:r>
      <w:r w:rsidRPr="00D343C2">
        <w:rPr>
          <w:rFonts w:ascii="ITC Avant Garde" w:hAnsi="ITC Avant Garde"/>
          <w:bCs/>
          <w:i/>
          <w:iCs/>
          <w:color w:val="000000"/>
          <w:sz w:val="18"/>
          <w:szCs w:val="18"/>
          <w:lang w:eastAsia="es-MX"/>
        </w:rPr>
        <w:t xml:space="preserve"> de concesión en el rango de frecuencia 2500-2530 MHz/2620-2650 MHz, relativos al uso, goce, aprovechamiento o explotación del espectro radioeléctrico, para lo cual se anexa disco compacto que contiene los cálculos realizados, así como la metodología que se utilizó para obtener las contraprestaciones que se proponen en el presente oficio</w:t>
      </w:r>
      <w:r w:rsidR="00D07321" w:rsidRPr="004E69E8">
        <w:rPr>
          <w:rFonts w:ascii="ITC Avant Garde" w:hAnsi="ITC Avant Garde"/>
          <w:bCs/>
          <w:i/>
          <w:iCs/>
          <w:color w:val="000000"/>
          <w:sz w:val="18"/>
          <w:szCs w:val="18"/>
          <w:lang w:eastAsia="es-MX"/>
        </w:rPr>
        <w:t>.</w:t>
      </w:r>
    </w:p>
    <w:p w:rsidR="00813D75" w:rsidRDefault="00D07321" w:rsidP="00642B7F">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sidR="008F430A" w:rsidRPr="004E69E8">
        <w:rPr>
          <w:rFonts w:ascii="ITC Avant Garde" w:hAnsi="ITC Avant Garde"/>
          <w:bCs/>
          <w:i/>
          <w:iCs/>
          <w:color w:val="000000"/>
          <w:sz w:val="18"/>
          <w:szCs w:val="18"/>
          <w:lang w:eastAsia="es-MX"/>
        </w:rPr>
        <w:t xml:space="preserve"> </w:t>
      </w:r>
    </w:p>
    <w:p w:rsidR="00642B7F" w:rsidRDefault="008F430A" w:rsidP="00642B7F">
      <w:pPr>
        <w:pStyle w:val="Prrafodelista"/>
        <w:spacing w:afterLines="120" w:after="288"/>
        <w:ind w:left="567" w:right="473"/>
        <w:contextualSpacing w:val="0"/>
        <w:jc w:val="right"/>
        <w:rPr>
          <w:rFonts w:ascii="ITC Avant Garde" w:hAnsi="ITC Avant Garde"/>
          <w:bCs/>
          <w:iCs/>
          <w:color w:val="000000"/>
          <w:sz w:val="18"/>
          <w:szCs w:val="18"/>
          <w:lang w:eastAsia="es-MX"/>
        </w:rPr>
      </w:pPr>
      <w:r w:rsidRPr="004E69E8">
        <w:rPr>
          <w:rFonts w:ascii="ITC Avant Garde" w:hAnsi="ITC Avant Garde"/>
          <w:bCs/>
          <w:iCs/>
          <w:color w:val="000000"/>
          <w:sz w:val="18"/>
          <w:szCs w:val="18"/>
          <w:lang w:eastAsia="es-MX"/>
        </w:rPr>
        <w:t>[Énfasis añadido]</w:t>
      </w:r>
    </w:p>
    <w:p w:rsidR="00642B7F" w:rsidRDefault="006268C8" w:rsidP="00642B7F">
      <w:pPr>
        <w:tabs>
          <w:tab w:val="num" w:pos="540"/>
        </w:tabs>
        <w:spacing w:afterLines="120" w:after="288" w:line="240" w:lineRule="auto"/>
        <w:jc w:val="both"/>
        <w:rPr>
          <w:rFonts w:ascii="ITC Avant Garde" w:hAnsi="ITC Avant Garde"/>
          <w:bCs/>
          <w:color w:val="000000"/>
          <w:lang w:val="es-ES" w:eastAsia="es-MX"/>
        </w:rPr>
      </w:pPr>
      <w:r>
        <w:rPr>
          <w:rFonts w:ascii="ITC Avant Garde" w:hAnsi="ITC Avant Garde"/>
          <w:bCs/>
          <w:color w:val="000000"/>
          <w:lang w:val="es-ES" w:eastAsia="es-MX"/>
        </w:rPr>
        <w:t>Ahora bien</w:t>
      </w:r>
      <w:r w:rsidR="00A345B7">
        <w:rPr>
          <w:rFonts w:ascii="ITC Avant Garde" w:hAnsi="ITC Avant Garde"/>
          <w:bCs/>
          <w:color w:val="000000"/>
          <w:lang w:val="es-ES" w:eastAsia="es-MX"/>
        </w:rPr>
        <w:t xml:space="preserve">, en alcance a la solicitud transcrita anteriormente, mediante oficio </w:t>
      </w:r>
      <w:r w:rsidR="00A345B7" w:rsidRPr="004E69E8">
        <w:rPr>
          <w:rFonts w:ascii="ITC Avant Garde" w:hAnsi="ITC Avant Garde"/>
          <w:bCs/>
          <w:color w:val="000000"/>
          <w:lang w:val="es-ES" w:eastAsia="es-MX"/>
        </w:rPr>
        <w:t>IFT/222/UER/</w:t>
      </w:r>
      <w:r w:rsidR="00A345B7">
        <w:rPr>
          <w:rFonts w:ascii="ITC Avant Garde" w:hAnsi="ITC Avant Garde"/>
          <w:bCs/>
          <w:color w:val="000000"/>
          <w:lang w:val="es-ES" w:eastAsia="es-MX"/>
        </w:rPr>
        <w:t>305</w:t>
      </w:r>
      <w:r w:rsidR="00A345B7" w:rsidRPr="004E69E8">
        <w:rPr>
          <w:rFonts w:ascii="ITC Avant Garde" w:hAnsi="ITC Avant Garde"/>
          <w:bCs/>
          <w:color w:val="000000"/>
          <w:lang w:val="es-ES" w:eastAsia="es-MX"/>
        </w:rPr>
        <w:t>/2017</w:t>
      </w:r>
      <w:r w:rsidR="00A345B7">
        <w:rPr>
          <w:rFonts w:ascii="ITC Avant Garde" w:hAnsi="ITC Avant Garde"/>
          <w:bCs/>
          <w:color w:val="000000"/>
          <w:lang w:val="es-ES" w:eastAsia="es-MX"/>
        </w:rPr>
        <w:t xml:space="preserve"> </w:t>
      </w:r>
      <w:r w:rsidR="00A345B7" w:rsidRPr="004E69E8">
        <w:rPr>
          <w:rFonts w:ascii="ITC Avant Garde" w:hAnsi="ITC Avant Garde"/>
          <w:bCs/>
          <w:color w:val="000000"/>
          <w:lang w:val="es-ES" w:eastAsia="es-MX"/>
        </w:rPr>
        <w:t xml:space="preserve">de fecha </w:t>
      </w:r>
      <w:r w:rsidR="00A345B7">
        <w:rPr>
          <w:rFonts w:ascii="ITC Avant Garde" w:hAnsi="ITC Avant Garde"/>
          <w:bCs/>
          <w:color w:val="000000"/>
          <w:lang w:val="es-ES" w:eastAsia="es-MX"/>
        </w:rPr>
        <w:t xml:space="preserve">29 </w:t>
      </w:r>
      <w:r w:rsidR="00A345B7" w:rsidRPr="004E69E8">
        <w:rPr>
          <w:rFonts w:ascii="ITC Avant Garde" w:hAnsi="ITC Avant Garde"/>
          <w:bCs/>
          <w:color w:val="000000"/>
          <w:lang w:val="es-ES" w:eastAsia="es-MX"/>
        </w:rPr>
        <w:t xml:space="preserve">de </w:t>
      </w:r>
      <w:r w:rsidR="00A345B7">
        <w:rPr>
          <w:rFonts w:ascii="ITC Avant Garde" w:hAnsi="ITC Avant Garde"/>
          <w:bCs/>
          <w:color w:val="000000"/>
          <w:lang w:val="es-ES" w:eastAsia="es-MX"/>
        </w:rPr>
        <w:t>septiembre</w:t>
      </w:r>
      <w:r w:rsidR="00A345B7" w:rsidRPr="004E69E8">
        <w:rPr>
          <w:rFonts w:ascii="ITC Avant Garde" w:hAnsi="ITC Avant Garde"/>
          <w:bCs/>
          <w:color w:val="000000"/>
          <w:lang w:val="es-ES" w:eastAsia="es-MX"/>
        </w:rPr>
        <w:t xml:space="preserve"> de 2017</w:t>
      </w:r>
      <w:r w:rsidR="00A345B7">
        <w:rPr>
          <w:rFonts w:ascii="ITC Avant Garde" w:hAnsi="ITC Avant Garde"/>
          <w:bCs/>
          <w:color w:val="000000"/>
          <w:lang w:val="es-ES" w:eastAsia="es-MX"/>
        </w:rPr>
        <w:t xml:space="preserve">, la Unidad de Espectro Radioeléctrico </w:t>
      </w:r>
      <w:r w:rsidR="003D1A94">
        <w:rPr>
          <w:rFonts w:ascii="ITC Avant Garde" w:hAnsi="ITC Avant Garde"/>
          <w:bCs/>
          <w:color w:val="000000"/>
          <w:lang w:val="es-ES" w:eastAsia="es-MX"/>
        </w:rPr>
        <w:t xml:space="preserve">remitió información actualizada a la Secretaría de Hacienda y Crédito Público, indicando lo siguiente: </w:t>
      </w:r>
    </w:p>
    <w:p w:rsidR="00642B7F" w:rsidRDefault="003D1A94" w:rsidP="00642B7F">
      <w:pPr>
        <w:tabs>
          <w:tab w:val="left" w:pos="426"/>
        </w:tabs>
        <w:spacing w:afterLines="120" w:after="288" w:line="240" w:lineRule="auto"/>
        <w:ind w:left="567"/>
        <w:jc w:val="both"/>
        <w:rPr>
          <w:rFonts w:ascii="ITC Avant Garde" w:hAnsi="ITC Avant Garde"/>
          <w:i/>
          <w:sz w:val="18"/>
          <w:szCs w:val="21"/>
        </w:rPr>
      </w:pPr>
      <w:r>
        <w:rPr>
          <w:rFonts w:ascii="ITC Avant Garde" w:hAnsi="ITC Avant Garde"/>
          <w:i/>
          <w:sz w:val="18"/>
          <w:szCs w:val="21"/>
        </w:rPr>
        <w:t>“</w:t>
      </w:r>
      <w:r w:rsidRPr="003D1A94">
        <w:rPr>
          <w:rFonts w:ascii="ITC Avant Garde" w:hAnsi="ITC Avant Garde"/>
          <w:i/>
          <w:sz w:val="18"/>
          <w:szCs w:val="21"/>
        </w:rPr>
        <w:t>[…]</w:t>
      </w:r>
    </w:p>
    <w:p w:rsidR="003D1A94" w:rsidRPr="003D1A94" w:rsidRDefault="003D1A94" w:rsidP="007E16C9">
      <w:pPr>
        <w:pStyle w:val="Prrafodelista"/>
        <w:numPr>
          <w:ilvl w:val="0"/>
          <w:numId w:val="27"/>
        </w:numPr>
        <w:spacing w:afterLines="50" w:after="120" w:line="240" w:lineRule="auto"/>
        <w:ind w:left="851" w:right="473" w:hanging="284"/>
        <w:contextualSpacing w:val="0"/>
        <w:jc w:val="both"/>
        <w:rPr>
          <w:rFonts w:ascii="ITC Avant Garde" w:hAnsi="ITC Avant Garde"/>
          <w:bCs/>
          <w:i/>
          <w:iCs/>
          <w:color w:val="000000"/>
          <w:sz w:val="18"/>
          <w:szCs w:val="18"/>
          <w:lang w:eastAsia="es-MX"/>
        </w:rPr>
      </w:pPr>
      <w:r w:rsidRPr="003D1A94">
        <w:rPr>
          <w:rFonts w:ascii="ITC Avant Garde" w:hAnsi="ITC Avant Garde"/>
          <w:b/>
          <w:bCs/>
          <w:i/>
          <w:iCs/>
          <w:color w:val="000000"/>
          <w:sz w:val="18"/>
          <w:szCs w:val="18"/>
          <w:lang w:eastAsia="es-MX"/>
        </w:rPr>
        <w:t>Obtención del tiempo restante de la concesión.</w:t>
      </w:r>
      <w:r w:rsidRPr="003D1A94">
        <w:rPr>
          <w:rFonts w:ascii="ITC Avant Garde" w:hAnsi="ITC Avant Garde"/>
          <w:bCs/>
          <w:i/>
          <w:iCs/>
          <w:color w:val="000000"/>
          <w:sz w:val="18"/>
          <w:szCs w:val="18"/>
          <w:lang w:eastAsia="es-MX"/>
        </w:rPr>
        <w:t xml:space="preserve"> Para todos los casos, se determina el tiempo restante del título de concesión considerando desde el 01 de noviembre de 2017 hasta la fecha del término de la vigencia original, o en su caso, hasta la vigencia de la prórroga otorgada en 2013. Originalmente, el cálculo se realizó desde el 01 de octubre del mismo año.</w:t>
      </w:r>
    </w:p>
    <w:p w:rsidR="00642B7F" w:rsidRDefault="003D1A94" w:rsidP="00642B7F">
      <w:pPr>
        <w:pStyle w:val="Prrafodelista"/>
        <w:numPr>
          <w:ilvl w:val="0"/>
          <w:numId w:val="27"/>
        </w:numPr>
        <w:spacing w:afterLines="120" w:after="288" w:line="240" w:lineRule="auto"/>
        <w:ind w:left="851" w:right="473" w:hanging="284"/>
        <w:contextualSpacing w:val="0"/>
        <w:jc w:val="both"/>
        <w:rPr>
          <w:rFonts w:ascii="ITC Avant Garde" w:hAnsi="ITC Avant Garde"/>
          <w:bCs/>
          <w:i/>
          <w:iCs/>
          <w:color w:val="000000"/>
          <w:sz w:val="18"/>
          <w:szCs w:val="18"/>
          <w:lang w:eastAsia="es-MX"/>
        </w:rPr>
      </w:pPr>
      <w:r w:rsidRPr="003D1A94">
        <w:rPr>
          <w:rFonts w:ascii="ITC Avant Garde" w:hAnsi="ITC Avant Garde"/>
          <w:b/>
          <w:bCs/>
          <w:i/>
          <w:iCs/>
          <w:color w:val="000000"/>
          <w:sz w:val="18"/>
          <w:szCs w:val="18"/>
          <w:lang w:eastAsia="es-MX"/>
        </w:rPr>
        <w:t>Actualización de la referencia internacional para la banda de análisis.</w:t>
      </w:r>
      <w:r w:rsidRPr="003D1A94">
        <w:rPr>
          <w:rFonts w:ascii="ITC Avant Garde" w:hAnsi="ITC Avant Garde"/>
          <w:bCs/>
          <w:i/>
          <w:iCs/>
          <w:color w:val="000000"/>
          <w:sz w:val="18"/>
          <w:szCs w:val="18"/>
          <w:lang w:eastAsia="es-MX"/>
        </w:rPr>
        <w:t xml:space="preserve"> El Consumer Price Index de los Estados Unidos se actualiza al último mes disponible de agosto del presente año.</w:t>
      </w:r>
      <w:r>
        <w:rPr>
          <w:rFonts w:ascii="ITC Avant Garde" w:hAnsi="ITC Avant Garde"/>
          <w:bCs/>
          <w:i/>
          <w:iCs/>
          <w:color w:val="000000"/>
          <w:sz w:val="18"/>
          <w:szCs w:val="18"/>
          <w:lang w:eastAsia="es-MX"/>
        </w:rPr>
        <w:t xml:space="preserve"> </w:t>
      </w:r>
    </w:p>
    <w:p w:rsidR="00642B7F" w:rsidRDefault="003D1A94" w:rsidP="00642B7F">
      <w:pPr>
        <w:spacing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 xml:space="preserve">De igual forma, le reitero que la metodología para el cálculo de la contraprestación de las empresas de análisis es la misma que se aplicó anteriormente en el caso del concesionario Jose Gerardo Gaudiano Peralta y de la empresa DIGICRD S.A. de C.V., ya que se trata de la misma banda y de la misma solicitud de servicio adicional.  </w:t>
      </w:r>
    </w:p>
    <w:p w:rsidR="003D1A94" w:rsidRPr="003D1A94" w:rsidRDefault="003D1A94" w:rsidP="00642B7F">
      <w:pPr>
        <w:spacing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Tomando en cuenta lo anterior, los aprovechamientos que se proponen que los concesionarios paguen en sus títulos de concesión por la autorización de servicios adicionales y por la prórroga a la concesión original con su respectiva autorización de servicios adicionales, son los siguientes:</w:t>
      </w:r>
    </w:p>
    <w:p w:rsidR="00642B7F" w:rsidRDefault="003D1A94" w:rsidP="00642B7F">
      <w:pPr>
        <w:spacing w:afterLines="120" w:after="288" w:line="240" w:lineRule="auto"/>
        <w:ind w:left="567"/>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w:t>
      </w:r>
    </w:p>
    <w:p w:rsidR="00642B7F" w:rsidRDefault="00C3794E" w:rsidP="00642B7F">
      <w:pPr>
        <w:spacing w:afterLines="120" w:after="288" w:line="240" w:lineRule="auto"/>
        <w:ind w:left="360"/>
        <w:rPr>
          <w:rFonts w:ascii="ITC Avant Garde" w:hAnsi="ITC Avant Garde"/>
          <w:b/>
          <w:i/>
          <w:sz w:val="18"/>
          <w:szCs w:val="21"/>
        </w:rPr>
      </w:pPr>
      <w:r>
        <w:rPr>
          <w:rFonts w:ascii="ITC Avant Garde" w:hAnsi="ITC Avant Garde"/>
          <w:b/>
          <w:i/>
          <w:sz w:val="18"/>
          <w:szCs w:val="21"/>
        </w:rPr>
        <w:lastRenderedPageBreak/>
        <w:t>E</w:t>
      </w:r>
      <w:r w:rsidR="006268C8">
        <w:rPr>
          <w:rFonts w:ascii="ITC Avant Garde" w:hAnsi="ITC Avant Garde"/>
          <w:b/>
          <w:i/>
          <w:sz w:val="18"/>
          <w:szCs w:val="21"/>
        </w:rPr>
        <w:t xml:space="preserve">) </w:t>
      </w:r>
      <w:r w:rsidR="00B85B42" w:rsidRPr="00B85B42">
        <w:rPr>
          <w:rFonts w:ascii="ITC Avant Garde" w:hAnsi="ITC Avant Garde"/>
          <w:b/>
          <w:bCs/>
          <w:i/>
          <w:sz w:val="18"/>
          <w:szCs w:val="21"/>
        </w:rPr>
        <w:t>Tele Comarca</w:t>
      </w:r>
      <w:r w:rsidR="006268C8">
        <w:rPr>
          <w:rFonts w:ascii="ITC Avant Garde" w:hAnsi="ITC Avant Garde"/>
          <w:b/>
          <w:i/>
          <w:sz w:val="18"/>
          <w:szCs w:val="21"/>
        </w:rPr>
        <w:t xml:space="preserve">, </w:t>
      </w:r>
      <w:r w:rsidR="00692BF6" w:rsidRPr="00692BF6">
        <w:rPr>
          <w:rFonts w:ascii="ITC Avant Garde" w:hAnsi="ITC Avant Garde"/>
          <w:b/>
          <w:i/>
          <w:sz w:val="18"/>
          <w:szCs w:val="21"/>
        </w:rPr>
        <w:t>S.A. de C.V.</w:t>
      </w:r>
    </w:p>
    <w:tbl>
      <w:tblPr>
        <w:tblStyle w:val="Tablaconcuadrcula8"/>
        <w:tblW w:w="8933" w:type="dxa"/>
        <w:jc w:val="center"/>
        <w:tblLook w:val="04A0" w:firstRow="1" w:lastRow="0" w:firstColumn="1" w:lastColumn="0" w:noHBand="0" w:noVBand="1"/>
        <w:tblCaption w:val="Montos de Contraprestación por Título de Concesión"/>
        <w:tblDescription w:val="Tabla de 5 columnas que proporciona información sobre los Montos de Contraprestación por Título de Concesión actualizados."/>
      </w:tblPr>
      <w:tblGrid>
        <w:gridCol w:w="484"/>
        <w:gridCol w:w="1890"/>
        <w:gridCol w:w="2126"/>
        <w:gridCol w:w="1701"/>
        <w:gridCol w:w="2732"/>
      </w:tblGrid>
      <w:tr w:rsidR="007E16C9" w:rsidRPr="00692BF6" w:rsidTr="007E16C9">
        <w:trPr>
          <w:trHeight w:val="20"/>
          <w:tblHeader/>
          <w:jc w:val="center"/>
        </w:trPr>
        <w:tc>
          <w:tcPr>
            <w:tcW w:w="484" w:type="dxa"/>
            <w:noWrap/>
            <w:hideMark/>
          </w:tcPr>
          <w:p w:rsidR="007E16C9" w:rsidRPr="005765C0" w:rsidRDefault="007E16C9" w:rsidP="007E16C9">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No.</w:t>
            </w:r>
          </w:p>
        </w:tc>
        <w:tc>
          <w:tcPr>
            <w:tcW w:w="1890" w:type="dxa"/>
            <w:noWrap/>
            <w:hideMark/>
          </w:tcPr>
          <w:p w:rsidR="007E16C9" w:rsidRPr="005765C0" w:rsidRDefault="007E16C9" w:rsidP="007E16C9">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Folio electrónico</w:t>
            </w:r>
          </w:p>
        </w:tc>
        <w:tc>
          <w:tcPr>
            <w:tcW w:w="2126" w:type="dxa"/>
            <w:hideMark/>
          </w:tcPr>
          <w:p w:rsidR="007E16C9" w:rsidRDefault="007E16C9" w:rsidP="007E16C9">
            <w:pPr>
              <w:spacing w:after="120"/>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Principal población a Servir</w:t>
            </w:r>
          </w:p>
          <w:p w:rsidR="007E16C9" w:rsidRPr="005765C0" w:rsidRDefault="007E16C9" w:rsidP="007E16C9">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Estado</w:t>
            </w:r>
          </w:p>
        </w:tc>
        <w:tc>
          <w:tcPr>
            <w:tcW w:w="1701" w:type="dxa"/>
          </w:tcPr>
          <w:p w:rsidR="007E16C9" w:rsidRDefault="007E16C9" w:rsidP="007E16C9">
            <w:pPr>
              <w:spacing w:after="120"/>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Principal población a Servir</w:t>
            </w:r>
          </w:p>
          <w:p w:rsidR="007E16C9" w:rsidRPr="005765C0" w:rsidRDefault="007E16C9" w:rsidP="007E16C9">
            <w:pPr>
              <w:jc w:val="center"/>
              <w:rPr>
                <w:rFonts w:ascii="ITC Avant Garde" w:hAnsi="ITC Avant Garde" w:cs="Calibri"/>
                <w:b/>
                <w:bCs/>
                <w:i/>
                <w:color w:val="000000"/>
                <w:sz w:val="16"/>
                <w:szCs w:val="16"/>
              </w:rPr>
            </w:pPr>
            <w:r>
              <w:rPr>
                <w:rFonts w:ascii="ITC Avant Garde" w:hAnsi="ITC Avant Garde" w:cs="Calibri"/>
                <w:b/>
                <w:bCs/>
                <w:i/>
                <w:color w:val="000000"/>
                <w:sz w:val="16"/>
                <w:szCs w:val="16"/>
              </w:rPr>
              <w:t>Municipio</w:t>
            </w:r>
          </w:p>
        </w:tc>
        <w:tc>
          <w:tcPr>
            <w:tcW w:w="2732" w:type="dxa"/>
            <w:hideMark/>
          </w:tcPr>
          <w:p w:rsidR="007E16C9" w:rsidRPr="005765C0" w:rsidRDefault="007E16C9" w:rsidP="007E16C9">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Monto del aprovechamiento total</w:t>
            </w:r>
            <w:r w:rsidRPr="005765C0">
              <w:rPr>
                <w:rFonts w:ascii="ITC Avant Garde" w:hAnsi="ITC Avant Garde" w:cs="Calibri"/>
                <w:b/>
                <w:bCs/>
                <w:i/>
                <w:color w:val="000000"/>
                <w:sz w:val="16"/>
                <w:szCs w:val="16"/>
              </w:rPr>
              <w:br/>
              <w:t>(pesos)</w:t>
            </w:r>
          </w:p>
        </w:tc>
      </w:tr>
      <w:tr w:rsidR="00C3794E" w:rsidRPr="00692BF6" w:rsidTr="007E16C9">
        <w:trPr>
          <w:trHeight w:val="20"/>
          <w:jc w:val="center"/>
        </w:trPr>
        <w:tc>
          <w:tcPr>
            <w:tcW w:w="484" w:type="dxa"/>
            <w:noWrap/>
            <w:hideMark/>
          </w:tcPr>
          <w:p w:rsidR="00C3794E" w:rsidRPr="005765C0" w:rsidRDefault="00C3794E" w:rsidP="007E16C9">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1</w:t>
            </w:r>
          </w:p>
        </w:tc>
        <w:tc>
          <w:tcPr>
            <w:tcW w:w="1890" w:type="dxa"/>
            <w:noWrap/>
            <w:hideMark/>
          </w:tcPr>
          <w:p w:rsidR="00C3794E" w:rsidRPr="00D343C2" w:rsidRDefault="00C3794E" w:rsidP="007E16C9">
            <w:pPr>
              <w:jc w:val="center"/>
              <w:rPr>
                <w:rFonts w:ascii="ITC Avant Garde" w:hAnsi="ITC Avant Garde" w:cs="Calibri"/>
                <w:i/>
                <w:color w:val="000000"/>
                <w:sz w:val="16"/>
              </w:rPr>
            </w:pPr>
            <w:r>
              <w:rPr>
                <w:rFonts w:ascii="ITC Avant Garde" w:hAnsi="ITC Avant Garde" w:cs="Calibri"/>
                <w:i/>
                <w:color w:val="000000"/>
                <w:sz w:val="16"/>
              </w:rPr>
              <w:t>FET072034CO-100870</w:t>
            </w:r>
          </w:p>
        </w:tc>
        <w:tc>
          <w:tcPr>
            <w:tcW w:w="2126" w:type="dxa"/>
            <w:noWrap/>
            <w:hideMark/>
          </w:tcPr>
          <w:p w:rsidR="00C3794E" w:rsidRPr="00D343C2" w:rsidRDefault="00C3794E" w:rsidP="007E16C9">
            <w:pPr>
              <w:jc w:val="center"/>
              <w:rPr>
                <w:rFonts w:ascii="ITC Avant Garde" w:hAnsi="ITC Avant Garde" w:cs="Calibri"/>
                <w:i/>
                <w:color w:val="000000"/>
                <w:sz w:val="16"/>
              </w:rPr>
            </w:pPr>
            <w:r>
              <w:rPr>
                <w:rFonts w:ascii="ITC Avant Garde" w:hAnsi="ITC Avant Garde" w:cs="Calibri"/>
                <w:i/>
                <w:color w:val="000000"/>
                <w:sz w:val="16"/>
              </w:rPr>
              <w:t>Coahuila de Zaragoza</w:t>
            </w:r>
          </w:p>
        </w:tc>
        <w:tc>
          <w:tcPr>
            <w:tcW w:w="1701" w:type="dxa"/>
            <w:noWrap/>
            <w:hideMark/>
          </w:tcPr>
          <w:p w:rsidR="00C3794E" w:rsidRPr="00D343C2" w:rsidRDefault="00C3794E" w:rsidP="007E16C9">
            <w:pPr>
              <w:jc w:val="center"/>
              <w:rPr>
                <w:rFonts w:ascii="ITC Avant Garde" w:hAnsi="ITC Avant Garde" w:cs="Calibri"/>
                <w:i/>
                <w:color w:val="000000"/>
                <w:sz w:val="16"/>
              </w:rPr>
            </w:pPr>
            <w:r>
              <w:rPr>
                <w:rFonts w:ascii="ITC Avant Garde" w:hAnsi="ITC Avant Garde" w:cs="Calibri"/>
                <w:i/>
                <w:color w:val="000000"/>
                <w:sz w:val="16"/>
              </w:rPr>
              <w:t>Torreón</w:t>
            </w:r>
          </w:p>
        </w:tc>
        <w:tc>
          <w:tcPr>
            <w:tcW w:w="2732" w:type="dxa"/>
            <w:noWrap/>
          </w:tcPr>
          <w:p w:rsidR="00C3794E" w:rsidRPr="005765C0" w:rsidRDefault="007E16C9" w:rsidP="007E16C9">
            <w:pPr>
              <w:jc w:val="center"/>
              <w:rPr>
                <w:rFonts w:ascii="ITC Avant Garde" w:hAnsi="ITC Avant Garde" w:cs="Calibri"/>
                <w:b/>
                <w:i/>
                <w:color w:val="000000"/>
                <w:sz w:val="16"/>
                <w:szCs w:val="16"/>
              </w:rPr>
            </w:pPr>
            <w:r>
              <w:rPr>
                <w:rFonts w:ascii="ITC Avant Garde" w:hAnsi="ITC Avant Garde" w:cs="Calibri"/>
                <w:b/>
                <w:i/>
                <w:color w:val="000000"/>
                <w:sz w:val="16"/>
                <w:szCs w:val="16"/>
              </w:rPr>
              <w:t>$</w:t>
            </w:r>
            <w:r w:rsidR="00C3794E">
              <w:rPr>
                <w:rFonts w:ascii="ITC Avant Garde" w:hAnsi="ITC Avant Garde" w:cs="Calibri"/>
                <w:b/>
                <w:i/>
                <w:color w:val="000000"/>
                <w:sz w:val="16"/>
                <w:szCs w:val="16"/>
              </w:rPr>
              <w:t>34,541,665</w:t>
            </w:r>
            <w:r w:rsidR="00C3794E" w:rsidRPr="005765C0">
              <w:rPr>
                <w:rFonts w:ascii="ITC Avant Garde" w:hAnsi="ITC Avant Garde" w:cs="Calibri"/>
                <w:b/>
                <w:i/>
                <w:color w:val="000000"/>
                <w:sz w:val="16"/>
                <w:szCs w:val="16"/>
              </w:rPr>
              <w:t xml:space="preserve"> </w:t>
            </w:r>
          </w:p>
        </w:tc>
      </w:tr>
    </w:tbl>
    <w:p w:rsidR="00642B7F" w:rsidRDefault="001179CF" w:rsidP="00642B7F">
      <w:pPr>
        <w:spacing w:afterLines="120" w:after="288" w:line="240" w:lineRule="auto"/>
        <w:ind w:left="567"/>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w:t>
      </w:r>
    </w:p>
    <w:p w:rsidR="00642B7F" w:rsidRDefault="003D1A94" w:rsidP="00642B7F">
      <w:pPr>
        <w:spacing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Cabe señalar, que los aprovechamientos señalados en la tabla anterior se establecerán sin menoscabo de la obligación de pagar los derechos establecidos en la Ley Federal de Derechos (LFD) por el uso, goce, aprovechamiento o explotación de las bandas de frecuencias que correspondan. En este sentido, dichos aprovechamientos no constituyen el pago total de la banda de frecuencia que se concesionó (2500 MHz), ya que el concesionario tiene la obligación de pagar los derechos establecidos en el Artículo 244 de la LFD, a partir del 01 de noviembre de 2017 y hasta el término de la vigencia de la concesión.</w:t>
      </w:r>
    </w:p>
    <w:p w:rsidR="003D1A94" w:rsidRPr="003D1A94" w:rsidRDefault="003D1A94" w:rsidP="00642B7F">
      <w:pPr>
        <w:spacing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A la luz de lo anterior, y con fundamento en el artículo 28 de la Constitución Política de los Estados Unidos Mexic</w:t>
      </w:r>
      <w:r w:rsidR="00125B93">
        <w:rPr>
          <w:rFonts w:ascii="ITC Avant Garde" w:hAnsi="ITC Avant Garde"/>
          <w:bCs/>
          <w:i/>
          <w:iCs/>
          <w:color w:val="000000"/>
          <w:sz w:val="18"/>
          <w:szCs w:val="18"/>
          <w:lang w:eastAsia="es-MX"/>
        </w:rPr>
        <w:t>anos y Séptimo Transitorio del ‘</w:t>
      </w:r>
      <w:r w:rsidRPr="003D1A94">
        <w:rPr>
          <w:rFonts w:ascii="ITC Avant Garde" w:hAnsi="ITC Avant Garde"/>
          <w:bCs/>
          <w:i/>
          <w:iCs/>
          <w:color w:val="000000"/>
          <w:sz w:val="18"/>
          <w:szCs w:val="18"/>
          <w:lang w:eastAsia="es-MX"/>
        </w:rPr>
        <w:t>Decreto por el que se reforman y adicionan diversas disposiciones de los artículos 6o, 7o, 27, 28, 73, 78, 94 y 105 de la Constitución Política de los Estados Unidos Mexicanos, e</w:t>
      </w:r>
      <w:r w:rsidR="00125B93">
        <w:rPr>
          <w:rFonts w:ascii="ITC Avant Garde" w:hAnsi="ITC Avant Garde"/>
          <w:bCs/>
          <w:i/>
          <w:iCs/>
          <w:color w:val="000000"/>
          <w:sz w:val="18"/>
          <w:szCs w:val="18"/>
          <w:lang w:eastAsia="es-MX"/>
        </w:rPr>
        <w:t>n materia de telecomunicaciones’</w:t>
      </w:r>
      <w:r w:rsidRPr="003D1A94">
        <w:rPr>
          <w:rFonts w:ascii="ITC Avant Garde" w:hAnsi="ITC Avant Garde"/>
          <w:bCs/>
          <w:i/>
          <w:iCs/>
          <w:color w:val="000000"/>
          <w:sz w:val="18"/>
          <w:szCs w:val="18"/>
          <w:lang w:eastAsia="es-MX"/>
        </w:rPr>
        <w:t xml:space="preserve">, publicado en el Diario Oficial de la Federación el 11 de junio de 2013, así como del artículo 29, fracción XV del Estatuto Orgánico del Instituto y los artículos 99, 100 y 101 de la Ley Federal de Telecomunicaciones y Radiodifusión, se solicita atentamente emitir su opinión sobre los montos de contraprestación, señalados en el presente documento, que deberán los concesionarios anteriormente mencionados al Gobierno Federal con motivo de </w:t>
      </w:r>
      <w:r w:rsidRPr="003D1A94">
        <w:rPr>
          <w:rFonts w:ascii="ITC Avant Garde" w:hAnsi="ITC Avant Garde"/>
          <w:b/>
          <w:bCs/>
          <w:i/>
          <w:iCs/>
          <w:color w:val="000000"/>
          <w:sz w:val="18"/>
          <w:szCs w:val="18"/>
          <w:lang w:eastAsia="es-MX"/>
        </w:rPr>
        <w:t>la autorización de servicios adicionales</w:t>
      </w:r>
      <w:r w:rsidRPr="003D1A94">
        <w:rPr>
          <w:rFonts w:ascii="ITC Avant Garde" w:hAnsi="ITC Avant Garde"/>
          <w:bCs/>
          <w:i/>
          <w:iCs/>
          <w:color w:val="000000"/>
          <w:sz w:val="18"/>
          <w:szCs w:val="18"/>
          <w:lang w:eastAsia="es-MX"/>
        </w:rPr>
        <w:t xml:space="preserve"> y </w:t>
      </w:r>
      <w:r w:rsidRPr="003D1A94">
        <w:rPr>
          <w:rFonts w:ascii="ITC Avant Garde" w:hAnsi="ITC Avant Garde"/>
          <w:b/>
          <w:bCs/>
          <w:i/>
          <w:iCs/>
          <w:color w:val="000000"/>
          <w:sz w:val="18"/>
          <w:szCs w:val="18"/>
          <w:lang w:eastAsia="es-MX"/>
        </w:rPr>
        <w:t>la prórroga a la concesión original con su respectiva autorización de servicios adicionales</w:t>
      </w:r>
      <w:r w:rsidRPr="003D1A94">
        <w:rPr>
          <w:rFonts w:ascii="ITC Avant Garde" w:hAnsi="ITC Avant Garde"/>
          <w:bCs/>
          <w:i/>
          <w:iCs/>
          <w:color w:val="000000"/>
          <w:sz w:val="18"/>
          <w:szCs w:val="18"/>
          <w:lang w:eastAsia="es-MX"/>
        </w:rPr>
        <w:t xml:space="preserve"> en el rango de frecuencia 2500-2530 MHz/2620-2650 MHz, relativos al uso, goce, aprovechamiento o explotación del espectro radioeléctrico, para lo cual se anexa disco compacto que contiene los cálculos realizados, así como la metodología que se utilizó para obtener las contraprestaciones que se proponen en el presente oficio</w:t>
      </w:r>
      <w:r w:rsidR="00E62D07">
        <w:rPr>
          <w:rFonts w:ascii="ITC Avant Garde" w:hAnsi="ITC Avant Garde"/>
          <w:bCs/>
          <w:i/>
          <w:iCs/>
          <w:color w:val="000000"/>
          <w:sz w:val="18"/>
          <w:szCs w:val="18"/>
          <w:lang w:eastAsia="es-MX"/>
        </w:rPr>
        <w:t>.</w:t>
      </w:r>
    </w:p>
    <w:p w:rsidR="00642B7F" w:rsidRDefault="003D1A94" w:rsidP="00642B7F">
      <w:pPr>
        <w:spacing w:afterLines="120" w:after="288" w:line="240" w:lineRule="auto"/>
        <w:ind w:left="567"/>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w:t>
      </w:r>
    </w:p>
    <w:p w:rsidR="00D07321" w:rsidRPr="004E69E8" w:rsidRDefault="00D07321" w:rsidP="00642B7F">
      <w:pPr>
        <w:tabs>
          <w:tab w:val="num" w:pos="540"/>
        </w:tabs>
        <w:spacing w:afterLines="120" w:after="288" w:line="240" w:lineRule="auto"/>
        <w:jc w:val="both"/>
        <w:rPr>
          <w:rFonts w:ascii="ITC Avant Garde" w:hAnsi="ITC Avant Garde"/>
          <w:bCs/>
          <w:color w:val="000000"/>
          <w:lang w:eastAsia="es-MX"/>
        </w:rPr>
      </w:pPr>
      <w:r w:rsidRPr="004E69E8">
        <w:rPr>
          <w:rFonts w:ascii="ITC Avant Garde" w:hAnsi="ITC Avant Garde"/>
          <w:bCs/>
          <w:color w:val="000000"/>
          <w:lang w:val="es-ES" w:eastAsia="es-MX"/>
        </w:rPr>
        <w:t xml:space="preserve">En respuesta a </w:t>
      </w:r>
      <w:r w:rsidRPr="004E69E8">
        <w:rPr>
          <w:rFonts w:ascii="ITC Avant Garde" w:hAnsi="ITC Avant Garde"/>
          <w:bCs/>
          <w:color w:val="000000"/>
          <w:lang w:eastAsia="es-MX"/>
        </w:rPr>
        <w:t xml:space="preserve">lo anterior, mediante el oficio </w:t>
      </w:r>
      <w:r w:rsidRPr="00770179">
        <w:rPr>
          <w:rFonts w:ascii="ITC Avant Garde" w:hAnsi="ITC Avant Garde"/>
          <w:bCs/>
          <w:color w:val="000000"/>
          <w:lang w:eastAsia="es-MX"/>
        </w:rPr>
        <w:t>349-B-</w:t>
      </w:r>
      <w:r w:rsidR="00692BF6" w:rsidRPr="00770179">
        <w:rPr>
          <w:rFonts w:ascii="ITC Avant Garde" w:hAnsi="ITC Avant Garde"/>
          <w:bCs/>
          <w:color w:val="000000"/>
          <w:lang w:eastAsia="es-MX"/>
        </w:rPr>
        <w:t>1</w:t>
      </w:r>
      <w:r w:rsidR="00692BF6">
        <w:rPr>
          <w:rFonts w:ascii="ITC Avant Garde" w:hAnsi="ITC Avant Garde"/>
          <w:bCs/>
          <w:color w:val="000000"/>
          <w:lang w:eastAsia="es-MX"/>
        </w:rPr>
        <w:t>382</w:t>
      </w:r>
      <w:r w:rsidRPr="004E69E8">
        <w:rPr>
          <w:rFonts w:ascii="ITC Avant Garde" w:hAnsi="ITC Avant Garde"/>
          <w:bCs/>
          <w:color w:val="000000"/>
          <w:lang w:eastAsia="es-MX"/>
        </w:rPr>
        <w:t xml:space="preserve"> de fecha </w:t>
      </w:r>
      <w:r w:rsidR="00692BF6">
        <w:rPr>
          <w:rFonts w:ascii="ITC Avant Garde" w:hAnsi="ITC Avant Garde"/>
          <w:bCs/>
          <w:color w:val="000000"/>
          <w:lang w:eastAsia="es-MX"/>
        </w:rPr>
        <w:t>21</w:t>
      </w:r>
      <w:r w:rsidRPr="004E69E8">
        <w:rPr>
          <w:rFonts w:ascii="ITC Avant Garde" w:hAnsi="ITC Avant Garde"/>
          <w:bCs/>
          <w:color w:val="000000"/>
          <w:lang w:eastAsia="es-MX"/>
        </w:rPr>
        <w:t xml:space="preserve"> de </w:t>
      </w:r>
      <w:r w:rsidR="00AF565D">
        <w:rPr>
          <w:rFonts w:ascii="ITC Avant Garde" w:hAnsi="ITC Avant Garde"/>
          <w:bCs/>
          <w:color w:val="000000"/>
          <w:lang w:eastAsia="es-MX"/>
        </w:rPr>
        <w:t>noviembre</w:t>
      </w:r>
      <w:r w:rsidRPr="004E69E8">
        <w:rPr>
          <w:rFonts w:ascii="ITC Avant Garde" w:hAnsi="ITC Avant Garde"/>
          <w:bCs/>
          <w:color w:val="000000"/>
          <w:lang w:eastAsia="es-MX"/>
        </w:rPr>
        <w:t xml:space="preserve"> de 2017, la </w:t>
      </w:r>
      <w:r w:rsidR="00770179">
        <w:rPr>
          <w:rFonts w:ascii="ITC Avant Garde" w:hAnsi="ITC Avant Garde"/>
          <w:bCs/>
          <w:color w:val="000000"/>
          <w:lang w:eastAsia="es-MX"/>
        </w:rPr>
        <w:t>Unidad de Política de Ingresos N</w:t>
      </w:r>
      <w:r w:rsidRPr="004E69E8">
        <w:rPr>
          <w:rFonts w:ascii="ITC Avant Garde" w:hAnsi="ITC Avant Garde"/>
          <w:bCs/>
          <w:color w:val="000000"/>
          <w:lang w:eastAsia="es-MX"/>
        </w:rPr>
        <w:t xml:space="preserve">o Tributarios, adscrita a la Subsecretaría de Ingresos de la Secretaría de Hacienda y Crédito Público, emitió opinión </w:t>
      </w:r>
      <w:r w:rsidR="005D577B">
        <w:rPr>
          <w:rFonts w:ascii="ITC Avant Garde" w:hAnsi="ITC Avant Garde"/>
          <w:bCs/>
          <w:color w:val="000000"/>
          <w:lang w:eastAsia="es-MX"/>
        </w:rPr>
        <w:t xml:space="preserve">favorable </w:t>
      </w:r>
      <w:r w:rsidRPr="004E69E8">
        <w:rPr>
          <w:rFonts w:ascii="ITC Avant Garde" w:hAnsi="ITC Avant Garde"/>
          <w:bCs/>
          <w:color w:val="000000"/>
          <w:lang w:eastAsia="es-MX"/>
        </w:rPr>
        <w:t xml:space="preserve">respecto del monto </w:t>
      </w:r>
      <w:r w:rsidR="00A84443">
        <w:rPr>
          <w:rFonts w:ascii="ITC Avant Garde" w:hAnsi="ITC Avant Garde"/>
          <w:bCs/>
          <w:color w:val="000000"/>
          <w:lang w:eastAsia="es-MX"/>
        </w:rPr>
        <w:t>del</w:t>
      </w:r>
      <w:r w:rsidRPr="004E69E8">
        <w:rPr>
          <w:rFonts w:ascii="ITC Avant Garde" w:hAnsi="ITC Avant Garde"/>
          <w:bCs/>
          <w:color w:val="000000"/>
          <w:lang w:eastAsia="es-MX"/>
        </w:rPr>
        <w:t xml:space="preserve"> aprovechamiento propuesto por el Instituto, por concepto de la </w:t>
      </w:r>
      <w:r w:rsidR="00450F74" w:rsidRPr="004E69E8">
        <w:rPr>
          <w:rFonts w:ascii="ITC Avant Garde" w:hAnsi="ITC Avant Garde"/>
          <w:bCs/>
          <w:color w:val="000000"/>
          <w:lang w:eastAsia="es-MX"/>
        </w:rPr>
        <w:t xml:space="preserve">autorización de la </w:t>
      </w:r>
      <w:r w:rsidRPr="004E69E8">
        <w:rPr>
          <w:rFonts w:ascii="ITC Avant Garde" w:hAnsi="ITC Avant Garde"/>
          <w:bCs/>
          <w:color w:val="000000"/>
          <w:lang w:eastAsia="es-MX"/>
        </w:rPr>
        <w:t>Solicitud de Servicios Adicionales, en los siguientes términos:</w:t>
      </w:r>
    </w:p>
    <w:p w:rsidR="00642B7F" w:rsidRDefault="00D07321" w:rsidP="00642B7F">
      <w:pPr>
        <w:tabs>
          <w:tab w:val="num" w:pos="540"/>
        </w:tabs>
        <w:spacing w:afterLines="120" w:after="288" w:line="240" w:lineRule="auto"/>
        <w:ind w:left="567" w:right="615"/>
        <w:jc w:val="both"/>
        <w:rPr>
          <w:rFonts w:ascii="ITC Avant Garde" w:eastAsia="Times New Roman" w:hAnsi="ITC Avant Garde"/>
          <w:i/>
          <w:iCs/>
          <w:color w:val="000000"/>
          <w:sz w:val="18"/>
          <w:szCs w:val="18"/>
          <w:lang w:eastAsia="es-MX"/>
        </w:rPr>
      </w:pPr>
      <w:r w:rsidRPr="004E69E8">
        <w:rPr>
          <w:rFonts w:ascii="ITC Avant Garde" w:eastAsia="Times New Roman" w:hAnsi="ITC Avant Garde"/>
          <w:i/>
          <w:iCs/>
          <w:color w:val="000000"/>
          <w:sz w:val="18"/>
          <w:szCs w:val="18"/>
          <w:lang w:eastAsia="es-MX"/>
        </w:rPr>
        <w:t>“[…]</w:t>
      </w:r>
    </w:p>
    <w:p w:rsidR="00642B7F" w:rsidRDefault="00D07321" w:rsidP="00642B7F">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526C46">
        <w:rPr>
          <w:rFonts w:ascii="ITC Avant Garde" w:eastAsia="Times New Roman" w:hAnsi="ITC Avant Garde"/>
          <w:i/>
          <w:iCs/>
          <w:color w:val="000000"/>
          <w:sz w:val="18"/>
          <w:szCs w:val="18"/>
          <w:lang w:eastAsia="es-MX"/>
        </w:rPr>
        <w:t xml:space="preserve">Por lo anterior, sin que se prejuzgue sobre los aspectos que respecto a las prórrogas de concesión otorgadas en 2013 y a la autorización para prestar servicios adicionales que en su </w:t>
      </w:r>
      <w:r w:rsidR="00526C46" w:rsidRPr="00526C46">
        <w:rPr>
          <w:rFonts w:ascii="ITC Avant Garde" w:eastAsia="Times New Roman" w:hAnsi="ITC Avant Garde"/>
          <w:i/>
          <w:iCs/>
          <w:color w:val="000000"/>
          <w:sz w:val="18"/>
          <w:szCs w:val="18"/>
          <w:lang w:eastAsia="es-MX"/>
        </w:rPr>
        <w:t xml:space="preserve">caso se emita a las concesiones, </w:t>
      </w:r>
      <w:r w:rsidRPr="00526C46">
        <w:rPr>
          <w:rFonts w:ascii="ITC Avant Garde" w:eastAsia="Times New Roman" w:hAnsi="ITC Avant Garde"/>
          <w:i/>
          <w:iCs/>
          <w:color w:val="000000"/>
          <w:sz w:val="18"/>
          <w:szCs w:val="18"/>
          <w:lang w:eastAsia="es-MX"/>
        </w:rPr>
        <w:t>por el establecimiento, en su caso, de nuevas condiciones técnico-operativas que competen al IFT, esta Secretaría tomando en cuenta los considerandos anteriores, como los criterios de eficiencia económica y saneamiento financiero a que hace referencia el artículo 10 de la Ley de Ingresos de la Federación 2017 y con fundamento en lo establecido en los artículos 25, 26, 27, 28 y 134 de la Constitución Política de los Estados Unidos Mexicanos;</w:t>
      </w:r>
      <w:r w:rsidR="00165B36" w:rsidRPr="00526C46">
        <w:rPr>
          <w:rFonts w:ascii="ITC Avant Garde" w:eastAsia="Times New Roman" w:hAnsi="ITC Avant Garde"/>
          <w:i/>
          <w:iCs/>
          <w:color w:val="000000"/>
          <w:sz w:val="18"/>
          <w:szCs w:val="18"/>
          <w:lang w:eastAsia="es-MX"/>
        </w:rPr>
        <w:t xml:space="preserve"> 7, 15, fracción VIII, 99, 100 y</w:t>
      </w:r>
      <w:r w:rsidRPr="00526C46">
        <w:rPr>
          <w:rFonts w:ascii="ITC Avant Garde" w:eastAsia="Times New Roman" w:hAnsi="ITC Avant Garde"/>
          <w:i/>
          <w:iCs/>
          <w:color w:val="000000"/>
          <w:sz w:val="18"/>
          <w:szCs w:val="18"/>
          <w:lang w:eastAsia="es-MX"/>
        </w:rPr>
        <w:t xml:space="preserve"> 114 de la Ley Federal de Telecomunicaciones y Radiodifusión; así como lo señalado en el artículo 31, fracción XI de la Ley Orgánica de la Administración Pública Federal; 38, fracción XV del Reglamento Interior de </w:t>
      </w:r>
      <w:r w:rsidRPr="00526C46">
        <w:rPr>
          <w:rFonts w:ascii="ITC Avant Garde" w:eastAsia="Times New Roman" w:hAnsi="ITC Avant Garde"/>
          <w:i/>
          <w:iCs/>
          <w:color w:val="000000"/>
          <w:sz w:val="18"/>
          <w:szCs w:val="18"/>
          <w:lang w:eastAsia="es-MX"/>
        </w:rPr>
        <w:lastRenderedPageBreak/>
        <w:t>la Secretaría de Hacienda y Crédito Público; 10 y 12 de la Ley de Ingresos de la Federación para el Ejercicio Fiscal de 2017; 3o. y 17-A del Código Fiscal de la Federación; emite opinión favorable al IFT para cobrar aprovechamientos por concepto de las prórrogas de concesión para usar, aprovechar y explotar diversas frecuencias en el rango de 2500-2530 MHz/2620-2650 MHz, conforme a lo</w:t>
      </w:r>
      <w:r w:rsidR="00526C46" w:rsidRPr="00526C46">
        <w:rPr>
          <w:rFonts w:ascii="ITC Avant Garde" w:eastAsia="Times New Roman" w:hAnsi="ITC Avant Garde"/>
          <w:i/>
          <w:iCs/>
          <w:color w:val="000000"/>
          <w:sz w:val="18"/>
          <w:szCs w:val="18"/>
          <w:lang w:eastAsia="es-MX"/>
        </w:rPr>
        <w:t>s</w:t>
      </w:r>
      <w:r w:rsidRPr="00526C46">
        <w:rPr>
          <w:rFonts w:ascii="ITC Avant Garde" w:eastAsia="Times New Roman" w:hAnsi="ITC Avant Garde"/>
          <w:i/>
          <w:iCs/>
          <w:color w:val="000000"/>
          <w:sz w:val="18"/>
          <w:szCs w:val="18"/>
          <w:lang w:eastAsia="es-MX"/>
        </w:rPr>
        <w:t xml:space="preserve"> siguiente</w:t>
      </w:r>
      <w:r w:rsidR="00526C46" w:rsidRPr="00526C46">
        <w:rPr>
          <w:rFonts w:ascii="ITC Avant Garde" w:eastAsia="Times New Roman" w:hAnsi="ITC Avant Garde"/>
          <w:i/>
          <w:iCs/>
          <w:color w:val="000000"/>
          <w:sz w:val="18"/>
          <w:szCs w:val="18"/>
          <w:lang w:eastAsia="es-MX"/>
        </w:rPr>
        <w:t>s importes</w:t>
      </w:r>
      <w:r w:rsidRPr="00526C46">
        <w:rPr>
          <w:rFonts w:ascii="ITC Avant Garde" w:eastAsia="Times New Roman" w:hAnsi="ITC Avant Garde"/>
          <w:i/>
          <w:iCs/>
          <w:color w:val="000000"/>
          <w:sz w:val="18"/>
          <w:szCs w:val="18"/>
          <w:lang w:eastAsia="es-MX"/>
        </w:rPr>
        <w:t>:</w:t>
      </w:r>
    </w:p>
    <w:p w:rsidR="00526C46" w:rsidRDefault="00526C46" w:rsidP="007E16C9">
      <w:pPr>
        <w:tabs>
          <w:tab w:val="left" w:pos="8789"/>
        </w:tabs>
        <w:spacing w:afterLines="50" w:after="120" w:line="240" w:lineRule="auto"/>
        <w:ind w:left="567" w:right="618"/>
        <w:jc w:val="center"/>
        <w:rPr>
          <w:rFonts w:ascii="ITC Avant Garde" w:eastAsia="Times New Roman" w:hAnsi="ITC Avant Garde"/>
          <w:b/>
          <w:i/>
          <w:iCs/>
          <w:color w:val="000000"/>
          <w:sz w:val="18"/>
          <w:szCs w:val="18"/>
          <w:lang w:eastAsia="es-MX"/>
        </w:rPr>
      </w:pPr>
      <w:r w:rsidRPr="00526C46">
        <w:rPr>
          <w:rFonts w:ascii="ITC Avant Garde" w:eastAsia="Times New Roman" w:hAnsi="ITC Avant Garde"/>
          <w:b/>
          <w:i/>
          <w:iCs/>
          <w:color w:val="000000"/>
          <w:sz w:val="18"/>
          <w:szCs w:val="18"/>
          <w:lang w:eastAsia="es-MX"/>
        </w:rPr>
        <w:t>Tabla 5. MONTO DE LOS APROVECHAMIENTOS OPINADOS FAVORABLEMENTE</w:t>
      </w:r>
    </w:p>
    <w:p w:rsidR="007E16C9" w:rsidRPr="00526C46" w:rsidRDefault="007E16C9" w:rsidP="007E16C9">
      <w:pPr>
        <w:tabs>
          <w:tab w:val="left" w:pos="8789"/>
        </w:tabs>
        <w:spacing w:afterLines="50" w:after="120" w:line="240" w:lineRule="auto"/>
        <w:ind w:left="567" w:right="618"/>
        <w:jc w:val="center"/>
        <w:rPr>
          <w:rFonts w:ascii="ITC Avant Garde" w:eastAsia="Times New Roman" w:hAnsi="ITC Avant Garde"/>
          <w:b/>
          <w:i/>
          <w:iCs/>
          <w:color w:val="000000"/>
          <w:sz w:val="18"/>
          <w:szCs w:val="18"/>
          <w:lang w:eastAsia="es-MX"/>
        </w:rPr>
      </w:pPr>
      <w:r>
        <w:rPr>
          <w:rFonts w:ascii="ITC Avant Garde" w:eastAsia="Times New Roman" w:hAnsi="ITC Avant Garde"/>
          <w:b/>
          <w:i/>
          <w:iCs/>
          <w:noProof/>
          <w:color w:val="000000"/>
          <w:sz w:val="18"/>
          <w:szCs w:val="18"/>
          <w:lang w:eastAsia="es-MX"/>
        </w:rPr>
        <w:drawing>
          <wp:inline distT="0" distB="0" distL="0" distR="0">
            <wp:extent cx="5060950" cy="968706"/>
            <wp:effectExtent l="0" t="0" r="6350" b="3175"/>
            <wp:docPr id="2" name="Imagen 2" descr="Imagen de tabla de 3 columnas que proporciona información relativa a la opinión favorable al IFT para cobrar aprovechamientos por concepto de las prórrogas de concesión para usar, aprovechar y explotar diversas frecuencias en el rango de 2500-2530 MHz/2620-2650 MHz. Para el caso de Tele Comarca, S.A. de C.V. es de $34,541,665.00" title="Tabla 5. Monto de los aprovechamientos opinados favorable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2.jpg"/>
                    <pic:cNvPicPr/>
                  </pic:nvPicPr>
                  <pic:blipFill>
                    <a:blip r:embed="rId9">
                      <a:extLst>
                        <a:ext uri="{28A0092B-C50C-407E-A947-70E740481C1C}">
                          <a14:useLocalDpi xmlns:a14="http://schemas.microsoft.com/office/drawing/2010/main" val="0"/>
                        </a:ext>
                      </a:extLst>
                    </a:blip>
                    <a:stretch>
                      <a:fillRect/>
                    </a:stretch>
                  </pic:blipFill>
                  <pic:spPr>
                    <a:xfrm>
                      <a:off x="0" y="0"/>
                      <a:ext cx="5138951" cy="983636"/>
                    </a:xfrm>
                    <a:prstGeom prst="rect">
                      <a:avLst/>
                    </a:prstGeom>
                  </pic:spPr>
                </pic:pic>
              </a:graphicData>
            </a:graphic>
          </wp:inline>
        </w:drawing>
      </w:r>
    </w:p>
    <w:p w:rsidR="00642B7F" w:rsidRDefault="00D07321" w:rsidP="00642B7F">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A57645">
        <w:rPr>
          <w:rFonts w:ascii="ITC Avant Garde" w:eastAsia="Times New Roman" w:hAnsi="ITC Avant Garde"/>
          <w:i/>
          <w:iCs/>
          <w:color w:val="000000"/>
          <w:sz w:val="18"/>
          <w:szCs w:val="18"/>
          <w:lang w:eastAsia="es-MX"/>
        </w:rPr>
        <w:t xml:space="preserve">Los aprovechamientos sobre los que se opina mediante el presente oficio están actualizados por inflación al mes </w:t>
      </w:r>
      <w:r w:rsidR="009D7C8E">
        <w:rPr>
          <w:rFonts w:ascii="ITC Avant Garde" w:eastAsia="Times New Roman" w:hAnsi="ITC Avant Garde"/>
          <w:i/>
          <w:iCs/>
          <w:color w:val="000000"/>
          <w:sz w:val="18"/>
          <w:szCs w:val="18"/>
          <w:lang w:eastAsia="es-MX"/>
        </w:rPr>
        <w:t>agosto</w:t>
      </w:r>
      <w:r w:rsidRPr="00A57645">
        <w:rPr>
          <w:rFonts w:ascii="ITC Avant Garde" w:eastAsia="Times New Roman" w:hAnsi="ITC Avant Garde"/>
          <w:i/>
          <w:iCs/>
          <w:color w:val="000000"/>
          <w:sz w:val="18"/>
          <w:szCs w:val="18"/>
          <w:lang w:eastAsia="es-MX"/>
        </w:rPr>
        <w:t xml:space="preserve"> de 2017. El monto de los aprovechamientos deberá ser actualizado por inflación con base en el INPC más reciente disponible a la fecha de la entrega de la autorización que corresponda</w:t>
      </w:r>
      <w:r w:rsidR="009D7C8E">
        <w:rPr>
          <w:rFonts w:ascii="ITC Avant Garde" w:eastAsia="Times New Roman" w:hAnsi="ITC Avant Garde"/>
          <w:i/>
          <w:iCs/>
          <w:color w:val="000000"/>
          <w:sz w:val="18"/>
          <w:szCs w:val="18"/>
          <w:lang w:eastAsia="es-MX"/>
        </w:rPr>
        <w:t xml:space="preserve">. </w:t>
      </w:r>
    </w:p>
    <w:p w:rsidR="00642B7F" w:rsidRDefault="00D07321" w:rsidP="00642B7F">
      <w:pPr>
        <w:tabs>
          <w:tab w:val="left" w:pos="8789"/>
        </w:tabs>
        <w:spacing w:afterLines="120" w:after="288" w:line="240" w:lineRule="auto"/>
        <w:ind w:left="567" w:right="618"/>
        <w:jc w:val="both"/>
        <w:rPr>
          <w:rFonts w:ascii="ITC Avant Garde" w:eastAsia="Times New Roman" w:hAnsi="ITC Avant Garde"/>
          <w:i/>
          <w:iCs/>
          <w:color w:val="000000"/>
          <w:sz w:val="18"/>
          <w:szCs w:val="18"/>
          <w:u w:val="single"/>
          <w:lang w:eastAsia="es-MX"/>
        </w:rPr>
      </w:pPr>
      <w:r w:rsidRPr="00A57645">
        <w:rPr>
          <w:rFonts w:ascii="ITC Avant Garde" w:eastAsia="Times New Roman" w:hAnsi="ITC Avant Garde"/>
          <w:i/>
          <w:iCs/>
          <w:color w:val="000000"/>
          <w:sz w:val="18"/>
          <w:szCs w:val="18"/>
          <w:u w:val="single"/>
          <w:lang w:eastAsia="es-MX"/>
        </w:rPr>
        <w:t xml:space="preserve">El monto de los aprovechamientos opinados mediante el presente oficio corresponden a un periodo que inicia del 1 de </w:t>
      </w:r>
      <w:r w:rsidR="009D7C8E">
        <w:rPr>
          <w:rFonts w:ascii="ITC Avant Garde" w:eastAsia="Times New Roman" w:hAnsi="ITC Avant Garde"/>
          <w:i/>
          <w:iCs/>
          <w:color w:val="000000"/>
          <w:sz w:val="18"/>
          <w:szCs w:val="18"/>
          <w:u w:val="single"/>
          <w:lang w:eastAsia="es-MX"/>
        </w:rPr>
        <w:t>noviembre</w:t>
      </w:r>
      <w:r w:rsidRPr="00A57645">
        <w:rPr>
          <w:rFonts w:ascii="ITC Avant Garde" w:eastAsia="Times New Roman" w:hAnsi="ITC Avant Garde"/>
          <w:i/>
          <w:iCs/>
          <w:color w:val="000000"/>
          <w:sz w:val="18"/>
          <w:szCs w:val="18"/>
          <w:u w:val="single"/>
          <w:lang w:eastAsia="es-MX"/>
        </w:rPr>
        <w:t xml:space="preserve"> de 2017 y hasta la fecha de vencimiento de las concesiones, por lo que el IFT al momento de fijar la contraprestación deberá considerar la fecha en la que surta efecto la respectiva autorización para la prestación de servicios adicionales y en su caso ajustar el monto del aprovechamiento.</w:t>
      </w:r>
    </w:p>
    <w:p w:rsidR="00642B7F" w:rsidRDefault="00D07321" w:rsidP="00642B7F">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9D7C8E">
        <w:rPr>
          <w:rFonts w:ascii="ITC Avant Garde" w:eastAsia="Times New Roman" w:hAnsi="ITC Avant Garde"/>
          <w:i/>
          <w:iCs/>
          <w:color w:val="000000"/>
          <w:sz w:val="18"/>
          <w:szCs w:val="18"/>
          <w:lang w:eastAsia="es-MX"/>
        </w:rPr>
        <w:t>El detalle de las contrapre</w:t>
      </w:r>
      <w:r w:rsidR="00B562C8" w:rsidRPr="009D7C8E">
        <w:rPr>
          <w:rFonts w:ascii="ITC Avant Garde" w:eastAsia="Times New Roman" w:hAnsi="ITC Avant Garde"/>
          <w:i/>
          <w:iCs/>
          <w:color w:val="000000"/>
          <w:sz w:val="18"/>
          <w:szCs w:val="18"/>
          <w:lang w:eastAsia="es-MX"/>
        </w:rPr>
        <w:t>s</w:t>
      </w:r>
      <w:r w:rsidR="009D7C8E" w:rsidRPr="009D7C8E">
        <w:rPr>
          <w:rFonts w:ascii="ITC Avant Garde" w:eastAsia="Times New Roman" w:hAnsi="ITC Avant Garde"/>
          <w:i/>
          <w:iCs/>
          <w:color w:val="000000"/>
          <w:sz w:val="18"/>
          <w:szCs w:val="18"/>
          <w:lang w:eastAsia="es-MX"/>
        </w:rPr>
        <w:t>taciones para cada uno de los 20</w:t>
      </w:r>
      <w:r w:rsidRPr="009D7C8E">
        <w:rPr>
          <w:rFonts w:ascii="ITC Avant Garde" w:eastAsia="Times New Roman" w:hAnsi="ITC Avant Garde"/>
          <w:i/>
          <w:iCs/>
          <w:color w:val="000000"/>
          <w:sz w:val="18"/>
          <w:szCs w:val="18"/>
          <w:lang w:eastAsia="es-MX"/>
        </w:rPr>
        <w:t xml:space="preserve"> títulos de concesión, así como el desglose del periodo por el cual el IFT prevé establecer cada aprovechamiento (autorización de servicios adicionales y prórroga de concesión) se describen en el Anexo B del presente oficio.</w:t>
      </w:r>
    </w:p>
    <w:p w:rsidR="00642B7F" w:rsidRDefault="00D07321" w:rsidP="00642B7F">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El detalle de la cobertura de los títulos de concesión así como la cantidad de MHz concesionados se describe en el Anexo C de</w:t>
      </w:r>
      <w:r w:rsidR="00B562C8" w:rsidRPr="004A73DA">
        <w:rPr>
          <w:rFonts w:ascii="ITC Avant Garde" w:eastAsia="Times New Roman" w:hAnsi="ITC Avant Garde"/>
          <w:i/>
          <w:iCs/>
          <w:color w:val="000000"/>
          <w:sz w:val="18"/>
          <w:szCs w:val="18"/>
          <w:lang w:eastAsia="es-MX"/>
        </w:rPr>
        <w:t>l presente o</w:t>
      </w:r>
      <w:r w:rsidR="004A73DA">
        <w:rPr>
          <w:rFonts w:ascii="ITC Avant Garde" w:eastAsia="Times New Roman" w:hAnsi="ITC Avant Garde"/>
          <w:i/>
          <w:iCs/>
          <w:color w:val="000000"/>
          <w:sz w:val="18"/>
          <w:szCs w:val="18"/>
          <w:lang w:eastAsia="es-MX"/>
        </w:rPr>
        <w:t>ficio</w:t>
      </w:r>
      <w:r w:rsidRPr="004A73DA">
        <w:rPr>
          <w:rFonts w:ascii="ITC Avant Garde" w:eastAsia="Times New Roman" w:hAnsi="ITC Avant Garde"/>
          <w:i/>
          <w:iCs/>
          <w:color w:val="000000"/>
          <w:sz w:val="18"/>
          <w:szCs w:val="18"/>
          <w:lang w:eastAsia="es-MX"/>
        </w:rPr>
        <w:t>.</w:t>
      </w:r>
    </w:p>
    <w:p w:rsidR="00642B7F" w:rsidRDefault="00D07321" w:rsidP="00642B7F">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La obligación de pagar el monto de los aprovechamientos opinados en el presente oficio deberá establecerse en la autorización para prestar servicios adicionales que el IFT emita en virtud del otorgamiento de esta autorización así como de la prórroga de las concesiones otorgadas en 2013.</w:t>
      </w:r>
    </w:p>
    <w:p w:rsidR="00642B7F" w:rsidRDefault="00D07321" w:rsidP="00642B7F">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u w:val="single"/>
          <w:lang w:eastAsia="es-MX"/>
        </w:rPr>
        <w:t>El pago de los aprovechamientos opinados en el presente oficio debe realizarse previo a la entrega de la autorización para prestar servicios adicionales que, en su caso, el IFT otorgue y</w:t>
      </w:r>
      <w:r w:rsidRPr="004A73DA">
        <w:rPr>
          <w:rFonts w:ascii="ITC Avant Garde" w:eastAsia="Times New Roman" w:hAnsi="ITC Avant Garde"/>
          <w:i/>
          <w:iCs/>
          <w:color w:val="000000"/>
          <w:sz w:val="18"/>
          <w:szCs w:val="18"/>
          <w:lang w:eastAsia="es-MX"/>
        </w:rPr>
        <w:t xml:space="preserve"> </w:t>
      </w:r>
      <w:r w:rsidRPr="004A73DA">
        <w:rPr>
          <w:rFonts w:ascii="ITC Avant Garde" w:eastAsia="Times New Roman" w:hAnsi="ITC Avant Garde"/>
          <w:i/>
          <w:iCs/>
          <w:color w:val="000000"/>
          <w:sz w:val="18"/>
          <w:szCs w:val="18"/>
          <w:u w:val="single"/>
          <w:lang w:eastAsia="es-MX"/>
        </w:rPr>
        <w:t xml:space="preserve">sin menoscabo de la obligación de pagar los derechos establecidos en el artículo 244 de la LFD por el uso, goce, aprovechamiento o explotación del espectro radioeléctrico, a partir del 1 de </w:t>
      </w:r>
      <w:r w:rsidR="004A73DA">
        <w:rPr>
          <w:rFonts w:ascii="ITC Avant Garde" w:eastAsia="Times New Roman" w:hAnsi="ITC Avant Garde"/>
          <w:i/>
          <w:iCs/>
          <w:color w:val="000000"/>
          <w:sz w:val="18"/>
          <w:szCs w:val="18"/>
          <w:u w:val="single"/>
          <w:lang w:eastAsia="es-MX"/>
        </w:rPr>
        <w:t>noviembre</w:t>
      </w:r>
      <w:r w:rsidRPr="004A73DA">
        <w:rPr>
          <w:rFonts w:ascii="ITC Avant Garde" w:eastAsia="Times New Roman" w:hAnsi="ITC Avant Garde"/>
          <w:i/>
          <w:iCs/>
          <w:color w:val="000000"/>
          <w:sz w:val="18"/>
          <w:szCs w:val="18"/>
          <w:u w:val="single"/>
          <w:lang w:eastAsia="es-MX"/>
        </w:rPr>
        <w:t xml:space="preserve"> de 2017 o bien a partir de que surta efecto la autorización de servicios adicionales.</w:t>
      </w:r>
    </w:p>
    <w:p w:rsidR="00642B7F" w:rsidRDefault="00D07321" w:rsidP="00642B7F">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En el caso de que el IFT autorice cualquier cambio en las concesiones en la banda de 2500 MHz, que pueda involucrar un incremento en su valor, como lo puede ser una extensión en el plazo, ampliaciones en la zona de cobertura, entre otros, deberá solicitar a esta Secretaría la opinión sobre el aprovechamiento adicional que se deba fijar. Esta disposición deberá estar incluida en la autorización que, en su caso, el IFT otorgue.</w:t>
      </w:r>
    </w:p>
    <w:p w:rsidR="00642B7F" w:rsidRDefault="00D07321" w:rsidP="00642B7F">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E69E8">
        <w:rPr>
          <w:rFonts w:ascii="ITC Avant Garde" w:eastAsia="Times New Roman" w:hAnsi="ITC Avant Garde"/>
          <w:i/>
          <w:iCs/>
          <w:color w:val="000000"/>
          <w:sz w:val="18"/>
          <w:szCs w:val="18"/>
          <w:lang w:eastAsia="es-MX"/>
        </w:rPr>
        <w:t>[…]</w:t>
      </w:r>
    </w:p>
    <w:p w:rsidR="00D07321" w:rsidRDefault="00D07321" w:rsidP="00642B7F">
      <w:pPr>
        <w:spacing w:afterLines="120" w:after="288" w:line="240" w:lineRule="auto"/>
        <w:ind w:left="567" w:right="618"/>
        <w:jc w:val="both"/>
        <w:rPr>
          <w:rFonts w:ascii="ITC Avant Garde" w:eastAsia="Times New Roman" w:hAnsi="ITC Avant Garde"/>
          <w:b/>
          <w:i/>
          <w:iCs/>
          <w:color w:val="000000"/>
          <w:sz w:val="18"/>
          <w:szCs w:val="18"/>
          <w:lang w:eastAsia="es-MX"/>
        </w:rPr>
      </w:pPr>
      <w:r w:rsidRPr="004E69E8">
        <w:rPr>
          <w:rFonts w:ascii="ITC Avant Garde" w:eastAsia="Times New Roman" w:hAnsi="ITC Avant Garde"/>
          <w:b/>
          <w:i/>
          <w:iCs/>
          <w:color w:val="000000"/>
          <w:sz w:val="18"/>
          <w:szCs w:val="18"/>
          <w:lang w:eastAsia="es-MX"/>
        </w:rPr>
        <w:lastRenderedPageBreak/>
        <w:t>Anexo B. Period</w:t>
      </w:r>
      <w:r w:rsidR="00810C5F" w:rsidRPr="004E69E8">
        <w:rPr>
          <w:rFonts w:ascii="ITC Avant Garde" w:eastAsia="Times New Roman" w:hAnsi="ITC Avant Garde"/>
          <w:b/>
          <w:i/>
          <w:iCs/>
          <w:color w:val="000000"/>
          <w:sz w:val="18"/>
          <w:szCs w:val="18"/>
          <w:lang w:eastAsia="es-MX"/>
        </w:rPr>
        <w:t>os relacionados</w:t>
      </w:r>
      <w:r w:rsidR="008F430A" w:rsidRPr="004E69E8">
        <w:rPr>
          <w:rFonts w:ascii="ITC Avant Garde" w:eastAsia="Times New Roman" w:hAnsi="ITC Avant Garde"/>
          <w:b/>
          <w:i/>
          <w:iCs/>
          <w:color w:val="000000"/>
          <w:sz w:val="18"/>
          <w:szCs w:val="18"/>
          <w:lang w:eastAsia="es-MX"/>
        </w:rPr>
        <w:t xml:space="preserve"> al monto de la </w:t>
      </w:r>
      <w:r w:rsidRPr="004E69E8">
        <w:rPr>
          <w:rFonts w:ascii="ITC Avant Garde" w:eastAsia="Times New Roman" w:hAnsi="ITC Avant Garde"/>
          <w:b/>
          <w:i/>
          <w:iCs/>
          <w:color w:val="000000"/>
          <w:sz w:val="18"/>
          <w:szCs w:val="18"/>
          <w:lang w:eastAsia="es-MX"/>
        </w:rPr>
        <w:t>contraprestación por la autorización de ser</w:t>
      </w:r>
      <w:r w:rsidR="008F430A" w:rsidRPr="004E69E8">
        <w:rPr>
          <w:rFonts w:ascii="ITC Avant Garde" w:eastAsia="Times New Roman" w:hAnsi="ITC Avant Garde"/>
          <w:b/>
          <w:i/>
          <w:iCs/>
          <w:color w:val="000000"/>
          <w:sz w:val="18"/>
          <w:szCs w:val="18"/>
          <w:lang w:eastAsia="es-MX"/>
        </w:rPr>
        <w:t>vicios adicionales y la prórroga a la concesión otorgada en 2013 con su respectiva autorización de servicios adicionales.</w:t>
      </w:r>
    </w:p>
    <w:p w:rsidR="007E16C9" w:rsidRPr="004E69E8" w:rsidRDefault="007E16C9" w:rsidP="007E16C9">
      <w:pPr>
        <w:spacing w:afterLines="120" w:after="288" w:line="240" w:lineRule="auto"/>
        <w:ind w:right="618"/>
        <w:jc w:val="both"/>
        <w:rPr>
          <w:rFonts w:ascii="ITC Avant Garde" w:eastAsia="Times New Roman" w:hAnsi="ITC Avant Garde"/>
          <w:b/>
          <w:i/>
          <w:iCs/>
          <w:color w:val="000000"/>
          <w:sz w:val="18"/>
          <w:szCs w:val="18"/>
          <w:lang w:eastAsia="es-MX"/>
        </w:rPr>
      </w:pPr>
      <w:r>
        <w:rPr>
          <w:rFonts w:ascii="ITC Avant Garde" w:eastAsia="Times New Roman" w:hAnsi="ITC Avant Garde"/>
          <w:b/>
          <w:i/>
          <w:iCs/>
          <w:noProof/>
          <w:color w:val="000000"/>
          <w:sz w:val="18"/>
          <w:szCs w:val="18"/>
          <w:lang w:eastAsia="es-MX"/>
        </w:rPr>
        <w:drawing>
          <wp:inline distT="0" distB="0" distL="0" distR="0">
            <wp:extent cx="6191351" cy="1073150"/>
            <wp:effectExtent l="0" t="0" r="0" b="0"/>
            <wp:docPr id="3" name="Imagen 3" descr="Imagen de tabla de 9 columnas que proporciona información sobre el monto del aprovechamiento por cada folio electrónico de la concesión." title="Montos del aprovech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3.jpg"/>
                    <pic:cNvPicPr/>
                  </pic:nvPicPr>
                  <pic:blipFill>
                    <a:blip r:embed="rId10">
                      <a:extLst>
                        <a:ext uri="{28A0092B-C50C-407E-A947-70E740481C1C}">
                          <a14:useLocalDpi xmlns:a14="http://schemas.microsoft.com/office/drawing/2010/main" val="0"/>
                        </a:ext>
                      </a:extLst>
                    </a:blip>
                    <a:stretch>
                      <a:fillRect/>
                    </a:stretch>
                  </pic:blipFill>
                  <pic:spPr>
                    <a:xfrm>
                      <a:off x="0" y="0"/>
                      <a:ext cx="6211578" cy="1076656"/>
                    </a:xfrm>
                    <a:prstGeom prst="rect">
                      <a:avLst/>
                    </a:prstGeom>
                  </pic:spPr>
                </pic:pic>
              </a:graphicData>
            </a:graphic>
          </wp:inline>
        </w:drawing>
      </w:r>
    </w:p>
    <w:p w:rsidR="00642B7F" w:rsidRDefault="00D07321" w:rsidP="00642B7F">
      <w:pPr>
        <w:tabs>
          <w:tab w:val="num" w:pos="540"/>
        </w:tabs>
        <w:spacing w:afterLines="120" w:after="288" w:line="240" w:lineRule="auto"/>
        <w:ind w:left="567" w:right="615"/>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r w:rsidR="00BA39D5">
        <w:rPr>
          <w:rFonts w:ascii="ITC Avant Garde" w:hAnsi="ITC Avant Garde"/>
          <w:bCs/>
          <w:i/>
          <w:color w:val="000000"/>
          <w:sz w:val="18"/>
          <w:szCs w:val="18"/>
          <w:lang w:eastAsia="es-MX"/>
        </w:rPr>
        <w:t>.</w:t>
      </w:r>
    </w:p>
    <w:p w:rsidR="00642B7F" w:rsidRDefault="00BA39D5" w:rsidP="00642B7F">
      <w:pPr>
        <w:tabs>
          <w:tab w:val="num" w:pos="540"/>
        </w:tabs>
        <w:spacing w:afterLines="120" w:after="288" w:line="240" w:lineRule="auto"/>
        <w:ind w:left="567" w:right="615"/>
        <w:jc w:val="right"/>
        <w:rPr>
          <w:rFonts w:ascii="ITC Avant Garde" w:hAnsi="ITC Avant Garde"/>
          <w:bCs/>
          <w:color w:val="000000"/>
          <w:sz w:val="18"/>
          <w:szCs w:val="18"/>
          <w:lang w:eastAsia="es-MX"/>
        </w:rPr>
      </w:pPr>
      <w:r>
        <w:rPr>
          <w:rFonts w:ascii="ITC Avant Garde" w:hAnsi="ITC Avant Garde"/>
          <w:bCs/>
          <w:i/>
          <w:color w:val="000000"/>
          <w:sz w:val="18"/>
          <w:szCs w:val="18"/>
          <w:lang w:eastAsia="es-MX"/>
        </w:rPr>
        <w:t>[Énfasis añadido]</w:t>
      </w:r>
    </w:p>
    <w:p w:rsidR="00642B7F" w:rsidRDefault="00BB1CF9" w:rsidP="00642B7F">
      <w:pPr>
        <w:tabs>
          <w:tab w:val="num" w:pos="540"/>
        </w:tabs>
        <w:spacing w:afterLines="120" w:after="288" w:line="240" w:lineRule="auto"/>
        <w:jc w:val="both"/>
        <w:rPr>
          <w:rFonts w:ascii="ITC Avant Garde" w:hAnsi="ITC Avant Garde"/>
          <w:bCs/>
          <w:color w:val="000000"/>
          <w:lang w:eastAsia="es-MX"/>
        </w:rPr>
      </w:pPr>
      <w:r w:rsidRPr="008667C5">
        <w:rPr>
          <w:rFonts w:ascii="ITC Avant Garde" w:hAnsi="ITC Avant Garde"/>
          <w:bCs/>
          <w:color w:val="000000"/>
          <w:lang w:eastAsia="es-MX"/>
        </w:rPr>
        <w:t xml:space="preserve">Como quedó señalado con antelación, considerando la ampliación del plazo para dar cumplimiento a la </w:t>
      </w:r>
      <w:r>
        <w:rPr>
          <w:rFonts w:ascii="ITC Avant Garde" w:hAnsi="ITC Avant Garde"/>
          <w:bCs/>
          <w:color w:val="000000"/>
          <w:lang w:eastAsia="es-MX"/>
        </w:rPr>
        <w:t>Condición 2.1 de la Concesión</w:t>
      </w:r>
      <w:r w:rsidRPr="008667C5">
        <w:rPr>
          <w:rFonts w:ascii="ITC Avant Garde" w:hAnsi="ITC Avant Garde"/>
          <w:bCs/>
          <w:color w:val="000000"/>
          <w:lang w:eastAsia="es-MX"/>
        </w:rPr>
        <w:t xml:space="preserve"> de Bandas, otorgada por el Instituto mediante oficio </w:t>
      </w:r>
      <w:r>
        <w:rPr>
          <w:rFonts w:ascii="ITC Avant Garde" w:hAnsi="ITC Avant Garde"/>
          <w:bCs/>
          <w:color w:val="000000"/>
          <w:lang w:eastAsia="es-MX"/>
        </w:rPr>
        <w:t>IFT/223/UCS/253</w:t>
      </w:r>
      <w:r w:rsidR="00D759E6">
        <w:rPr>
          <w:rFonts w:ascii="ITC Avant Garde" w:hAnsi="ITC Avant Garde"/>
          <w:bCs/>
          <w:color w:val="000000"/>
          <w:lang w:eastAsia="es-MX"/>
        </w:rPr>
        <w:t>5</w:t>
      </w:r>
      <w:r w:rsidRPr="008667C5">
        <w:rPr>
          <w:rFonts w:ascii="ITC Avant Garde" w:hAnsi="ITC Avant Garde"/>
          <w:bCs/>
          <w:color w:val="000000"/>
          <w:lang w:eastAsia="es-MX"/>
        </w:rPr>
        <w:t xml:space="preserve">/2016, </w:t>
      </w:r>
      <w:r>
        <w:rPr>
          <w:rFonts w:ascii="ITC Avant Garde" w:hAnsi="ITC Avant Garde"/>
          <w:bCs/>
          <w:color w:val="000000"/>
          <w:lang w:eastAsia="es-MX"/>
        </w:rPr>
        <w:t>el monto</w:t>
      </w:r>
      <w:r w:rsidRPr="008667C5">
        <w:rPr>
          <w:rFonts w:ascii="ITC Avant Garde" w:hAnsi="ITC Avant Garde"/>
          <w:bCs/>
          <w:color w:val="000000"/>
          <w:lang w:eastAsia="es-MX"/>
        </w:rPr>
        <w:t xml:space="preserve"> </w:t>
      </w:r>
      <w:r w:rsidR="00A84443">
        <w:rPr>
          <w:rFonts w:ascii="ITC Avant Garde" w:hAnsi="ITC Avant Garde"/>
          <w:bCs/>
          <w:color w:val="000000"/>
          <w:lang w:eastAsia="es-MX"/>
        </w:rPr>
        <w:t>del</w:t>
      </w:r>
      <w:r w:rsidRPr="008667C5">
        <w:rPr>
          <w:rFonts w:ascii="ITC Avant Garde" w:hAnsi="ITC Avant Garde"/>
          <w:bCs/>
          <w:color w:val="000000"/>
          <w:lang w:eastAsia="es-MX"/>
        </w:rPr>
        <w:t xml:space="preserve"> aprovechamiento contenido en la opinión emitida por la Secretaría de H</w:t>
      </w:r>
      <w:r>
        <w:rPr>
          <w:rFonts w:ascii="ITC Avant Garde" w:hAnsi="ITC Avant Garde"/>
          <w:bCs/>
          <w:color w:val="000000"/>
          <w:lang w:eastAsia="es-MX"/>
        </w:rPr>
        <w:t>acienda y Crédito Público fue calculado</w:t>
      </w:r>
      <w:r w:rsidRPr="008667C5">
        <w:rPr>
          <w:rFonts w:ascii="ITC Avant Garde" w:hAnsi="ITC Avant Garde"/>
          <w:bCs/>
          <w:color w:val="000000"/>
          <w:lang w:eastAsia="es-MX"/>
        </w:rPr>
        <w:t xml:space="preserve"> considerando que al 1° de noviembre de 2017</w:t>
      </w:r>
      <w:r>
        <w:rPr>
          <w:rFonts w:ascii="ITC Avant Garde" w:hAnsi="ITC Avant Garde"/>
          <w:bCs/>
          <w:color w:val="000000"/>
          <w:lang w:eastAsia="es-MX"/>
        </w:rPr>
        <w:t>,</w:t>
      </w:r>
      <w:r w:rsidRPr="008667C5">
        <w:rPr>
          <w:rFonts w:ascii="ITC Avant Garde" w:hAnsi="ITC Avant Garde"/>
          <w:bCs/>
          <w:color w:val="000000"/>
          <w:lang w:eastAsia="es-MX"/>
        </w:rPr>
        <w:t xml:space="preserve"> </w:t>
      </w:r>
      <w:r w:rsidR="007823C4" w:rsidRPr="008D738A">
        <w:rPr>
          <w:rFonts w:ascii="ITC Avant Garde" w:hAnsi="ITC Avant Garde"/>
          <w:bCs/>
          <w:color w:val="000000"/>
          <w:lang w:eastAsia="es-MX"/>
        </w:rPr>
        <w:t>Tele Comarca</w:t>
      </w:r>
      <w:r>
        <w:rPr>
          <w:rFonts w:ascii="ITC Avant Garde" w:hAnsi="ITC Avant Garde"/>
          <w:bCs/>
        </w:rPr>
        <w:t>, S.A. de C.V.</w:t>
      </w:r>
      <w:r w:rsidRPr="008667C5">
        <w:rPr>
          <w:rFonts w:ascii="ITC Avant Garde" w:hAnsi="ITC Avant Garde"/>
          <w:bCs/>
          <w:color w:val="000000"/>
          <w:lang w:eastAsia="es-MX"/>
        </w:rPr>
        <w:t xml:space="preserve"> tendría autorizada la prestación del servicio de acceso inalámbrico. </w:t>
      </w:r>
    </w:p>
    <w:p w:rsidR="002C649C" w:rsidRPr="00005CE5" w:rsidRDefault="00A84443" w:rsidP="00642B7F">
      <w:pPr>
        <w:tabs>
          <w:tab w:val="num" w:pos="540"/>
        </w:tabs>
        <w:spacing w:afterLines="120" w:after="288" w:line="240" w:lineRule="auto"/>
        <w:jc w:val="both"/>
        <w:rPr>
          <w:rFonts w:ascii="ITC Avant Garde" w:hAnsi="ITC Avant Garde"/>
          <w:bCs/>
          <w:color w:val="000000"/>
          <w:lang w:eastAsia="es-MX"/>
        </w:rPr>
      </w:pPr>
      <w:r>
        <w:rPr>
          <w:rFonts w:ascii="ITC Avant Garde" w:hAnsi="ITC Avant Garde"/>
          <w:bCs/>
          <w:color w:val="000000"/>
          <w:lang w:eastAsia="es-MX"/>
        </w:rPr>
        <w:t>En ese sentido, dicho</w:t>
      </w:r>
      <w:r w:rsidR="00BB1CF9" w:rsidRPr="008667C5">
        <w:rPr>
          <w:rFonts w:ascii="ITC Avant Garde" w:hAnsi="ITC Avant Garde"/>
          <w:bCs/>
          <w:color w:val="000000"/>
          <w:lang w:eastAsia="es-MX"/>
        </w:rPr>
        <w:t xml:space="preserve"> monto debe ajustarse y actualizarse considerando la fecha en la que surta efectos la autorización de la Solicitud de Servicios Adicionales que emita el Instituto, lo que implica que el ajuste contemple únicamente el monto a pagar a partir de que se autorice el servicio de acceso inalámbrico. Esto fue considerado incluso por la Secretaría de Hacienda</w:t>
      </w:r>
      <w:r w:rsidR="002C649C" w:rsidRPr="002815E8">
        <w:rPr>
          <w:rFonts w:ascii="ITC Avant Garde" w:hAnsi="ITC Avant Garde"/>
          <w:bCs/>
          <w:color w:val="000000"/>
          <w:lang w:eastAsia="es-MX"/>
        </w:rPr>
        <w:t xml:space="preserve"> y Crédito Público en su opinión, al manifestar que </w:t>
      </w:r>
      <w:r w:rsidR="002C649C" w:rsidRPr="002815E8">
        <w:rPr>
          <w:rFonts w:ascii="ITC Avant Garde" w:hAnsi="ITC Avant Garde"/>
          <w:bCs/>
          <w:i/>
          <w:color w:val="000000"/>
          <w:lang w:eastAsia="es-MX"/>
        </w:rPr>
        <w:t>“[…] el IFT al momento de fijar la contraprestación deberá consider</w:t>
      </w:r>
      <w:r w:rsidR="002815E8">
        <w:rPr>
          <w:rFonts w:ascii="ITC Avant Garde" w:hAnsi="ITC Avant Garde"/>
          <w:bCs/>
          <w:i/>
          <w:color w:val="000000"/>
          <w:lang w:eastAsia="es-MX"/>
        </w:rPr>
        <w:t>ar la fecha en que surta efecto</w:t>
      </w:r>
      <w:r w:rsidR="002C649C" w:rsidRPr="002815E8">
        <w:rPr>
          <w:rFonts w:ascii="ITC Avant Garde" w:hAnsi="ITC Avant Garde"/>
          <w:bCs/>
          <w:i/>
          <w:color w:val="000000"/>
          <w:lang w:eastAsia="es-MX"/>
        </w:rPr>
        <w:t xml:space="preserve"> la respectiva autorización para la prestación de servicios adicionales y en su caso ajustar el monto del aprovechamiento”</w:t>
      </w:r>
      <w:r w:rsidR="002C649C" w:rsidRPr="002815E8">
        <w:rPr>
          <w:rFonts w:ascii="ITC Avant Garde" w:hAnsi="ITC Avant Garde"/>
          <w:bCs/>
          <w:color w:val="000000"/>
          <w:lang w:eastAsia="es-MX"/>
        </w:rPr>
        <w:t>.</w:t>
      </w:r>
      <w:r w:rsidR="00BB1CF9">
        <w:rPr>
          <w:rFonts w:ascii="ITC Avant Garde" w:hAnsi="ITC Avant Garde"/>
          <w:bCs/>
          <w:color w:val="000000"/>
          <w:lang w:eastAsia="es-MX"/>
        </w:rPr>
        <w:t xml:space="preserve"> </w:t>
      </w:r>
      <w:r w:rsidR="00BB1CF9" w:rsidRPr="00BB1CF9">
        <w:rPr>
          <w:rFonts w:ascii="ITC Avant Garde" w:hAnsi="ITC Avant Garde"/>
          <w:bCs/>
          <w:color w:val="000000"/>
          <w:lang w:eastAsia="es-MX"/>
        </w:rPr>
        <w:t>Asimismo, la Secretaría de Haciend</w:t>
      </w:r>
      <w:r>
        <w:rPr>
          <w:rFonts w:ascii="ITC Avant Garde" w:hAnsi="ITC Avant Garde"/>
          <w:bCs/>
          <w:color w:val="000000"/>
          <w:lang w:eastAsia="es-MX"/>
        </w:rPr>
        <w:t>a y Crédito Público señaló que el monto</w:t>
      </w:r>
      <w:r w:rsidR="00BB1CF9" w:rsidRPr="00BB1CF9">
        <w:rPr>
          <w:rFonts w:ascii="ITC Avant Garde" w:hAnsi="ITC Avant Garde"/>
          <w:bCs/>
          <w:color w:val="000000"/>
          <w:lang w:eastAsia="es-MX"/>
        </w:rPr>
        <w:t xml:space="preserve"> opinado se encontraba actualizado por inflación al mes</w:t>
      </w:r>
      <w:r>
        <w:rPr>
          <w:rFonts w:ascii="ITC Avant Garde" w:hAnsi="ITC Avant Garde"/>
          <w:bCs/>
          <w:color w:val="000000"/>
          <w:lang w:eastAsia="es-MX"/>
        </w:rPr>
        <w:t xml:space="preserve"> de agosto de 2017, por lo que el</w:t>
      </w:r>
      <w:r w:rsidR="00BB1CF9" w:rsidRPr="00BB1CF9">
        <w:rPr>
          <w:rFonts w:ascii="ITC Avant Garde" w:hAnsi="ITC Avant Garde"/>
          <w:bCs/>
          <w:color w:val="000000"/>
          <w:lang w:eastAsia="es-MX"/>
        </w:rPr>
        <w:t xml:space="preserve"> mismo debería</w:t>
      </w:r>
      <w:r>
        <w:rPr>
          <w:rFonts w:ascii="ITC Avant Garde" w:hAnsi="ITC Avant Garde"/>
          <w:bCs/>
          <w:color w:val="000000"/>
          <w:lang w:eastAsia="es-MX"/>
        </w:rPr>
        <w:t xml:space="preserve"> ser actualizado</w:t>
      </w:r>
      <w:r w:rsidR="00BB1CF9" w:rsidRPr="00BB1CF9">
        <w:rPr>
          <w:rFonts w:ascii="ITC Avant Garde" w:hAnsi="ITC Avant Garde"/>
          <w:bCs/>
          <w:color w:val="000000"/>
          <w:lang w:eastAsia="es-MX"/>
        </w:rPr>
        <w:t xml:space="preserve"> con base en el </w:t>
      </w:r>
      <w:r w:rsidR="00BB1CF9" w:rsidRPr="00BB1CF9">
        <w:rPr>
          <w:rFonts w:ascii="ITC Avant Garde" w:hAnsi="ITC Avant Garde"/>
          <w:bCs/>
          <w:color w:val="000000"/>
          <w:lang w:val="es-ES_tradnl" w:eastAsia="es-MX"/>
        </w:rPr>
        <w:t xml:space="preserve">Índice Nacional de Precios al Consumidor más </w:t>
      </w:r>
      <w:r w:rsidR="00BB1CF9" w:rsidRPr="00005CE5">
        <w:rPr>
          <w:rFonts w:ascii="ITC Avant Garde" w:hAnsi="ITC Avant Garde"/>
          <w:bCs/>
          <w:color w:val="000000"/>
          <w:lang w:val="es-ES_tradnl" w:eastAsia="es-MX"/>
        </w:rPr>
        <w:t>reciente disponible a la fecha de la autorización respectiva.</w:t>
      </w:r>
    </w:p>
    <w:p w:rsidR="00642B7F" w:rsidRDefault="002C649C" w:rsidP="00642B7F">
      <w:pPr>
        <w:tabs>
          <w:tab w:val="num" w:pos="540"/>
        </w:tabs>
        <w:spacing w:afterLines="120" w:after="288" w:line="240" w:lineRule="auto"/>
        <w:jc w:val="both"/>
        <w:rPr>
          <w:rFonts w:ascii="ITC Avant Garde" w:hAnsi="ITC Avant Garde"/>
          <w:bCs/>
          <w:color w:val="000000"/>
          <w:lang w:eastAsia="es-MX"/>
        </w:rPr>
      </w:pPr>
      <w:r w:rsidRPr="00005CE5">
        <w:rPr>
          <w:rFonts w:ascii="ITC Avant Garde" w:hAnsi="ITC Avant Garde"/>
          <w:bCs/>
          <w:color w:val="000000"/>
          <w:lang w:eastAsia="es-MX"/>
        </w:rPr>
        <w:t xml:space="preserve">En este sentido, </w:t>
      </w:r>
      <w:r w:rsidR="00D07321" w:rsidRPr="00005CE5">
        <w:rPr>
          <w:rFonts w:ascii="ITC Avant Garde" w:hAnsi="ITC Avant Garde"/>
          <w:bCs/>
          <w:color w:val="000000"/>
          <w:lang w:eastAsia="es-MX"/>
        </w:rPr>
        <w:t>y en atención a lo</w:t>
      </w:r>
      <w:r w:rsidRPr="00005CE5">
        <w:rPr>
          <w:rFonts w:ascii="ITC Avant Garde" w:hAnsi="ITC Avant Garde"/>
          <w:bCs/>
          <w:color w:val="000000"/>
          <w:lang w:eastAsia="es-MX"/>
        </w:rPr>
        <w:t xml:space="preserve"> anteriormente señalado</w:t>
      </w:r>
      <w:r w:rsidR="00CE1F16" w:rsidRPr="00005CE5">
        <w:rPr>
          <w:rFonts w:ascii="ITC Avant Garde" w:hAnsi="ITC Avant Garde"/>
          <w:bCs/>
          <w:color w:val="000000"/>
          <w:lang w:eastAsia="es-MX"/>
        </w:rPr>
        <w:t xml:space="preserve">, </w:t>
      </w:r>
      <w:r w:rsidR="00D07321" w:rsidRPr="00005CE5">
        <w:rPr>
          <w:rFonts w:ascii="ITC Avant Garde" w:hAnsi="ITC Avant Garde"/>
          <w:bCs/>
          <w:color w:val="000000"/>
          <w:lang w:eastAsia="es-MX"/>
        </w:rPr>
        <w:t>la Unidad de Concesiones y Servicios, a través de la Dirección General de Concesiones de Telecomunicaciones</w:t>
      </w:r>
      <w:r w:rsidRPr="00005CE5">
        <w:rPr>
          <w:rFonts w:ascii="ITC Avant Garde" w:hAnsi="ITC Avant Garde"/>
          <w:bCs/>
          <w:color w:val="000000"/>
          <w:lang w:eastAsia="es-MX"/>
        </w:rPr>
        <w:t>,</w:t>
      </w:r>
      <w:r w:rsidR="00D07321" w:rsidRPr="00005CE5">
        <w:rPr>
          <w:rFonts w:ascii="ITC Avant Garde" w:hAnsi="ITC Avant Garde"/>
          <w:bCs/>
          <w:color w:val="000000"/>
          <w:lang w:eastAsia="es-MX"/>
        </w:rPr>
        <w:t xml:space="preserve"> solicitó a la Unidad de Espectro</w:t>
      </w:r>
      <w:r w:rsidR="00BB1B87" w:rsidRPr="00005CE5">
        <w:rPr>
          <w:rFonts w:ascii="ITC Avant Garde" w:hAnsi="ITC Avant Garde"/>
          <w:bCs/>
          <w:color w:val="000000"/>
          <w:lang w:eastAsia="es-MX"/>
        </w:rPr>
        <w:t xml:space="preserve"> Radioeléctrico el ajuste y la actualización</w:t>
      </w:r>
      <w:r w:rsidR="00D07321" w:rsidRPr="00005CE5">
        <w:rPr>
          <w:rFonts w:ascii="ITC Avant Garde" w:hAnsi="ITC Avant Garde"/>
          <w:bCs/>
          <w:color w:val="000000"/>
          <w:lang w:eastAsia="es-MX"/>
        </w:rPr>
        <w:t xml:space="preserve"> del monto </w:t>
      </w:r>
      <w:r w:rsidR="00356315" w:rsidRPr="00005CE5">
        <w:rPr>
          <w:rFonts w:ascii="ITC Avant Garde" w:hAnsi="ITC Avant Garde"/>
          <w:bCs/>
          <w:color w:val="000000"/>
          <w:lang w:eastAsia="es-MX"/>
        </w:rPr>
        <w:t>propuesto</w:t>
      </w:r>
      <w:r w:rsidR="00D07321" w:rsidRPr="00005CE5">
        <w:rPr>
          <w:rFonts w:ascii="ITC Avant Garde" w:hAnsi="ITC Avant Garde"/>
          <w:bCs/>
          <w:color w:val="000000"/>
          <w:lang w:eastAsia="es-MX"/>
        </w:rPr>
        <w:t xml:space="preserve"> </w:t>
      </w:r>
      <w:r w:rsidR="00A84443" w:rsidRPr="00005CE5">
        <w:rPr>
          <w:rFonts w:ascii="ITC Avant Garde" w:hAnsi="ITC Avant Garde"/>
          <w:bCs/>
          <w:color w:val="000000"/>
          <w:lang w:val="es-ES" w:eastAsia="es-MX"/>
        </w:rPr>
        <w:t>del</w:t>
      </w:r>
      <w:r w:rsidR="00356315" w:rsidRPr="00005CE5">
        <w:rPr>
          <w:rFonts w:ascii="ITC Avant Garde" w:hAnsi="ITC Avant Garde"/>
          <w:bCs/>
          <w:color w:val="000000"/>
          <w:lang w:val="es-ES" w:eastAsia="es-MX"/>
        </w:rPr>
        <w:t xml:space="preserve"> aprovechamiento que debería pagar </w:t>
      </w:r>
      <w:r w:rsidR="007823C4" w:rsidRPr="00005CE5">
        <w:rPr>
          <w:rFonts w:ascii="ITC Avant Garde" w:hAnsi="ITC Avant Garde"/>
          <w:bCs/>
          <w:color w:val="000000"/>
          <w:lang w:eastAsia="es-MX"/>
        </w:rPr>
        <w:t>Tele Comarca</w:t>
      </w:r>
      <w:r w:rsidR="00977B0C" w:rsidRPr="00005CE5">
        <w:rPr>
          <w:rFonts w:ascii="ITC Avant Garde" w:hAnsi="ITC Avant Garde"/>
          <w:bCs/>
          <w:color w:val="000000"/>
          <w:lang w:eastAsia="es-MX"/>
        </w:rPr>
        <w:t>, S.A. de C.V.</w:t>
      </w:r>
      <w:r w:rsidR="00356315" w:rsidRPr="00005CE5">
        <w:rPr>
          <w:rFonts w:ascii="ITC Avant Garde" w:hAnsi="ITC Avant Garde"/>
          <w:bCs/>
          <w:color w:val="000000"/>
          <w:lang w:val="es-ES" w:eastAsia="es-MX"/>
        </w:rPr>
        <w:t xml:space="preserve"> con motivo de la autorización de la Solicitud de Servicios Adicionales.</w:t>
      </w:r>
    </w:p>
    <w:p w:rsidR="004C78DD" w:rsidRPr="004E69E8" w:rsidRDefault="00D07321" w:rsidP="00642B7F">
      <w:pPr>
        <w:autoSpaceDE w:val="0"/>
        <w:autoSpaceDN w:val="0"/>
        <w:adjustRightInd w:val="0"/>
        <w:spacing w:afterLines="120" w:after="288" w:line="240" w:lineRule="auto"/>
        <w:jc w:val="both"/>
        <w:rPr>
          <w:rFonts w:ascii="ITC Avant Garde" w:hAnsi="ITC Avant Garde"/>
          <w:bCs/>
          <w:color w:val="000000"/>
          <w:lang w:val="es-ES" w:eastAsia="es-MX"/>
        </w:rPr>
      </w:pPr>
      <w:r w:rsidRPr="000E6A8F">
        <w:rPr>
          <w:rFonts w:ascii="ITC Avant Garde" w:hAnsi="ITC Avant Garde"/>
          <w:bCs/>
          <w:color w:val="000000"/>
          <w:lang w:eastAsia="es-MX"/>
        </w:rPr>
        <w:t xml:space="preserve">En respuesta a lo anterior, </w:t>
      </w:r>
      <w:r w:rsidR="004C78DD" w:rsidRPr="000E6A8F">
        <w:rPr>
          <w:rFonts w:ascii="ITC Avant Garde" w:hAnsi="ITC Avant Garde"/>
          <w:bCs/>
          <w:color w:val="000000"/>
          <w:lang w:val="es-ES" w:eastAsia="es-MX"/>
        </w:rPr>
        <w:t xml:space="preserve">y con la finalidad de que se sometiera al Pleno del Instituto para su autorización el monto por concepto de contraprestación, </w:t>
      </w:r>
      <w:r w:rsidR="00760663" w:rsidRPr="000E6A8F">
        <w:rPr>
          <w:rFonts w:ascii="ITC Avant Garde" w:hAnsi="ITC Avant Garde"/>
          <w:bCs/>
          <w:color w:val="000000"/>
          <w:lang w:val="es-ES" w:eastAsia="es-MX"/>
        </w:rPr>
        <w:t xml:space="preserve">ajustado y </w:t>
      </w:r>
      <w:r w:rsidR="004C78DD" w:rsidRPr="000E6A8F">
        <w:rPr>
          <w:rFonts w:ascii="ITC Avant Garde" w:hAnsi="ITC Avant Garde"/>
          <w:bCs/>
          <w:color w:val="000000"/>
          <w:lang w:val="es-ES" w:eastAsia="es-MX"/>
        </w:rPr>
        <w:t xml:space="preserve">actualizado a la fecha de emisión de la presente Resolución, la Unidad de Espectro Radioeléctrico, a través de la Dirección General de Economía del Espectro y Recursos Orbitales remitió dicha actualización </w:t>
      </w:r>
      <w:r w:rsidR="000E6A8F" w:rsidRPr="000E6A8F">
        <w:rPr>
          <w:rFonts w:ascii="ITC Avant Garde" w:hAnsi="ITC Avant Garde"/>
          <w:bCs/>
          <w:color w:val="000000"/>
          <w:lang w:val="es-ES" w:eastAsia="es-MX"/>
        </w:rPr>
        <w:t>y ajuste</w:t>
      </w:r>
      <w:r w:rsidR="004C78DD" w:rsidRPr="000E6A8F">
        <w:rPr>
          <w:rFonts w:ascii="ITC Avant Garde" w:hAnsi="ITC Avant Garde"/>
          <w:bCs/>
          <w:color w:val="000000"/>
          <w:lang w:val="es-ES" w:eastAsia="es-MX"/>
        </w:rPr>
        <w:t>, de conformidad con la siguiente tabla:</w:t>
      </w:r>
      <w:r w:rsidR="00E24F64" w:rsidRPr="004E69E8">
        <w:rPr>
          <w:rFonts w:ascii="ITC Avant Garde" w:hAnsi="ITC Avant Garde"/>
          <w:bCs/>
          <w:color w:val="000000"/>
          <w:lang w:val="es-ES" w:eastAsia="es-MX"/>
        </w:rPr>
        <w:t xml:space="preserve"> </w:t>
      </w:r>
    </w:p>
    <w:p w:rsidR="00FB21D2" w:rsidRDefault="00FB21D2" w:rsidP="00642B7F">
      <w:pPr>
        <w:spacing w:afterLines="120" w:after="288"/>
        <w:rPr>
          <w:rFonts w:ascii="ITC Avant Garde" w:eastAsiaTheme="minorHAnsi" w:hAnsi="ITC Avant Garde"/>
          <w:i/>
          <w:sz w:val="14"/>
          <w:szCs w:val="14"/>
        </w:rPr>
      </w:pPr>
      <w:r w:rsidRPr="00FB21D2">
        <w:rPr>
          <w:rFonts w:ascii="ITC Avant Garde" w:eastAsiaTheme="minorHAnsi" w:hAnsi="ITC Avant Garde"/>
          <w:i/>
          <w:sz w:val="14"/>
          <w:szCs w:val="14"/>
        </w:rPr>
        <w:lastRenderedPageBreak/>
        <w:t>“[…]</w:t>
      </w:r>
    </w:p>
    <w:p w:rsidR="00C63E22" w:rsidRPr="00FB21D2" w:rsidRDefault="00C63E22" w:rsidP="00642B7F">
      <w:pPr>
        <w:spacing w:afterLines="120" w:after="288"/>
        <w:rPr>
          <w:rFonts w:ascii="ITC Avant Garde" w:eastAsiaTheme="minorHAnsi" w:hAnsi="ITC Avant Garde"/>
          <w:i/>
          <w:sz w:val="14"/>
          <w:szCs w:val="14"/>
        </w:rPr>
      </w:pPr>
      <w:r>
        <w:rPr>
          <w:rFonts w:ascii="ITC Avant Garde" w:eastAsiaTheme="minorHAnsi" w:hAnsi="ITC Avant Garde"/>
          <w:i/>
          <w:noProof/>
          <w:sz w:val="14"/>
          <w:szCs w:val="14"/>
          <w:lang w:eastAsia="es-MX"/>
        </w:rPr>
        <w:drawing>
          <wp:inline distT="0" distB="0" distL="0" distR="0">
            <wp:extent cx="5971540" cy="2293620"/>
            <wp:effectExtent l="0" t="0" r="0" b="0"/>
            <wp:docPr id="4" name="Imagen 4" descr="Imagen de tabla de 10 columnas que proporciona información relativa al monto por concepto de contraprestación, ajustado y actualizado a la fecha de emisión de la presente Resolución." title="Ajuste y actualización de monto de contrapres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0-4.jpg"/>
                    <pic:cNvPicPr/>
                  </pic:nvPicPr>
                  <pic:blipFill>
                    <a:blip r:embed="rId11">
                      <a:extLst>
                        <a:ext uri="{28A0092B-C50C-407E-A947-70E740481C1C}">
                          <a14:useLocalDpi xmlns:a14="http://schemas.microsoft.com/office/drawing/2010/main" val="0"/>
                        </a:ext>
                      </a:extLst>
                    </a:blip>
                    <a:stretch>
                      <a:fillRect/>
                    </a:stretch>
                  </pic:blipFill>
                  <pic:spPr>
                    <a:xfrm>
                      <a:off x="0" y="0"/>
                      <a:ext cx="5971540" cy="2293620"/>
                    </a:xfrm>
                    <a:prstGeom prst="rect">
                      <a:avLst/>
                    </a:prstGeom>
                  </pic:spPr>
                </pic:pic>
              </a:graphicData>
            </a:graphic>
          </wp:inline>
        </w:drawing>
      </w:r>
    </w:p>
    <w:p w:rsidR="00642B7F" w:rsidRDefault="00FB21D2" w:rsidP="00642B7F">
      <w:pPr>
        <w:spacing w:afterLines="120" w:after="288"/>
        <w:rPr>
          <w:rFonts w:ascii="ITC Avant Garde" w:eastAsiaTheme="minorHAnsi" w:hAnsi="ITC Avant Garde"/>
          <w:i/>
          <w:sz w:val="14"/>
          <w:szCs w:val="14"/>
        </w:rPr>
      </w:pPr>
      <w:r w:rsidRPr="00FB21D2">
        <w:rPr>
          <w:rFonts w:ascii="ITC Avant Garde" w:eastAsiaTheme="minorHAnsi" w:hAnsi="ITC Avant Garde"/>
          <w:i/>
          <w:sz w:val="14"/>
          <w:szCs w:val="14"/>
        </w:rPr>
        <w:t>[…]”</w:t>
      </w:r>
    </w:p>
    <w:p w:rsidR="00642B7F" w:rsidRDefault="00AA731B" w:rsidP="00642B7F">
      <w:pPr>
        <w:autoSpaceDE w:val="0"/>
        <w:autoSpaceDN w:val="0"/>
        <w:adjustRightInd w:val="0"/>
        <w:spacing w:afterLines="120" w:after="288" w:line="240" w:lineRule="auto"/>
        <w:jc w:val="both"/>
        <w:rPr>
          <w:rFonts w:ascii="ITC Avant Garde" w:hAnsi="ITC Avant Garde" w:cs="Arial"/>
          <w:bCs/>
          <w:color w:val="000000"/>
          <w:shd w:val="clear" w:color="auto" w:fill="FFFFFF"/>
        </w:rPr>
      </w:pPr>
      <w:r w:rsidRPr="004E69E8">
        <w:rPr>
          <w:rFonts w:ascii="ITC Avant Garde" w:hAnsi="ITC Avant Garde"/>
          <w:b/>
          <w:bCs/>
        </w:rPr>
        <w:t xml:space="preserve">Cuarto.- </w:t>
      </w:r>
      <w:r w:rsidR="00A370B4" w:rsidRPr="004E69E8">
        <w:rPr>
          <w:rFonts w:ascii="ITC Avant Garde" w:hAnsi="ITC Avant Garde"/>
          <w:b/>
          <w:bCs/>
        </w:rPr>
        <w:t>Consideraciones</w:t>
      </w:r>
      <w:r w:rsidRPr="004E69E8">
        <w:rPr>
          <w:rFonts w:ascii="ITC Avant Garde" w:hAnsi="ITC Avant Garde"/>
          <w:b/>
          <w:bCs/>
        </w:rPr>
        <w:t xml:space="preserve"> </w:t>
      </w:r>
      <w:r w:rsidR="00A370B4" w:rsidRPr="004E69E8">
        <w:rPr>
          <w:rFonts w:ascii="ITC Avant Garde" w:hAnsi="ITC Avant Garde"/>
          <w:b/>
          <w:bCs/>
        </w:rPr>
        <w:t>t</w:t>
      </w:r>
      <w:r w:rsidRPr="004E69E8">
        <w:rPr>
          <w:rFonts w:ascii="ITC Avant Garde" w:hAnsi="ITC Avant Garde"/>
          <w:b/>
          <w:bCs/>
        </w:rPr>
        <w:t xml:space="preserve">écnicas </w:t>
      </w:r>
      <w:r w:rsidR="00DB18A9">
        <w:rPr>
          <w:rFonts w:ascii="ITC Avant Garde" w:hAnsi="ITC Avant Garde"/>
          <w:b/>
          <w:bCs/>
        </w:rPr>
        <w:t>respecto al</w:t>
      </w:r>
      <w:r w:rsidR="002973BB">
        <w:rPr>
          <w:rFonts w:ascii="ITC Avant Garde" w:hAnsi="ITC Avant Garde"/>
          <w:b/>
          <w:bCs/>
        </w:rPr>
        <w:t xml:space="preserve"> título de concesión para usar, aprovechar y explotar bandas de frecuencias del espectro radioeléctrico</w:t>
      </w:r>
      <w:r w:rsidR="00A370B4" w:rsidRPr="004E69E8">
        <w:rPr>
          <w:rFonts w:ascii="ITC Avant Garde" w:hAnsi="ITC Avant Garde"/>
          <w:b/>
          <w:bCs/>
        </w:rPr>
        <w:t xml:space="preserve">. </w:t>
      </w:r>
      <w:r w:rsidR="00A370B4" w:rsidRPr="004E69E8">
        <w:rPr>
          <w:rFonts w:ascii="ITC Avant Garde" w:hAnsi="ITC Avant Garde"/>
          <w:bCs/>
        </w:rPr>
        <w:t>Como parte de su análisis, el Instituto debe considerar</w:t>
      </w:r>
      <w:r w:rsidR="00AD3DA4" w:rsidRPr="004E69E8">
        <w:rPr>
          <w:rFonts w:ascii="ITC Avant Garde" w:hAnsi="ITC Avant Garde"/>
          <w:bCs/>
        </w:rPr>
        <w:t xml:space="preserve"> lo previsto en la Ley con respecto al espectro radioeléctrico, que como bien del dominio público de la Nación, </w:t>
      </w:r>
      <w:r w:rsidR="00A370B4" w:rsidRPr="004E69E8">
        <w:rPr>
          <w:rFonts w:ascii="ITC Avant Garde" w:hAnsi="ITC Avant Garde"/>
          <w:bCs/>
        </w:rPr>
        <w:t xml:space="preserve">le </w:t>
      </w:r>
      <w:r w:rsidR="00AD3DA4" w:rsidRPr="004E69E8">
        <w:rPr>
          <w:rFonts w:ascii="ITC Avant Garde" w:hAnsi="ITC Avant Garde"/>
          <w:bCs/>
        </w:rPr>
        <w:t xml:space="preserve">corresponde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 Asimismo, el </w:t>
      </w:r>
      <w:r w:rsidR="00F84155" w:rsidRPr="004E69E8">
        <w:rPr>
          <w:rFonts w:ascii="ITC Avant Garde" w:hAnsi="ITC Avant Garde" w:cs="Arial"/>
          <w:bCs/>
          <w:color w:val="000000"/>
          <w:shd w:val="clear" w:color="auto" w:fill="FFFFFF"/>
        </w:rPr>
        <w:t xml:space="preserve">artículo </w:t>
      </w:r>
      <w:r w:rsidR="00E33FB7" w:rsidRPr="004E69E8">
        <w:rPr>
          <w:rFonts w:ascii="ITC Avant Garde" w:hAnsi="ITC Avant Garde" w:cs="Arial"/>
          <w:bCs/>
          <w:color w:val="000000"/>
          <w:shd w:val="clear" w:color="auto" w:fill="FFFFFF"/>
        </w:rPr>
        <w:t>56</w:t>
      </w:r>
      <w:r w:rsidR="00F84155" w:rsidRPr="004E69E8">
        <w:rPr>
          <w:rFonts w:ascii="ITC Avant Garde" w:hAnsi="ITC Avant Garde" w:cs="Arial"/>
          <w:bCs/>
          <w:color w:val="000000"/>
          <w:shd w:val="clear" w:color="auto" w:fill="FFFFFF"/>
        </w:rPr>
        <w:t xml:space="preserve"> de la Ley, </w:t>
      </w:r>
      <w:r w:rsidR="00AD3DA4" w:rsidRPr="004E69E8">
        <w:rPr>
          <w:rFonts w:ascii="ITC Avant Garde" w:hAnsi="ITC Avant Garde" w:cs="Arial"/>
          <w:bCs/>
          <w:color w:val="000000"/>
          <w:shd w:val="clear" w:color="auto" w:fill="FFFFFF"/>
        </w:rPr>
        <w:t>señala que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000D4E32" w:rsidRPr="004E69E8">
        <w:rPr>
          <w:rFonts w:ascii="ITC Avant Garde" w:hAnsi="ITC Avant Garde" w:cs="Arial"/>
          <w:bCs/>
          <w:color w:val="000000"/>
          <w:shd w:val="clear" w:color="auto" w:fill="FFFFFF"/>
        </w:rPr>
        <w:t xml:space="preserve">. </w:t>
      </w:r>
    </w:p>
    <w:p w:rsidR="00642B7F" w:rsidRDefault="000D4E32" w:rsidP="00642B7F">
      <w:pPr>
        <w:autoSpaceDE w:val="0"/>
        <w:autoSpaceDN w:val="0"/>
        <w:adjustRightInd w:val="0"/>
        <w:spacing w:afterLines="120" w:after="288" w:line="240" w:lineRule="auto"/>
        <w:jc w:val="both"/>
        <w:rPr>
          <w:rFonts w:ascii="ITC Avant Garde" w:hAnsi="ITC Avant Garde" w:cs="Arial"/>
          <w:bCs/>
          <w:color w:val="000000"/>
          <w:shd w:val="clear" w:color="auto" w:fill="FFFFFF"/>
        </w:rPr>
      </w:pPr>
      <w:r w:rsidRPr="004E69E8">
        <w:rPr>
          <w:rFonts w:ascii="ITC Avant Garde" w:hAnsi="ITC Avant Garde" w:cs="Arial"/>
          <w:bCs/>
          <w:color w:val="000000"/>
          <w:shd w:val="clear" w:color="auto" w:fill="FFFFFF"/>
        </w:rPr>
        <w:t xml:space="preserve">Atendiendo a lo anterior, </w:t>
      </w:r>
      <w:r w:rsidR="00F84155" w:rsidRPr="004E69E8">
        <w:rPr>
          <w:rFonts w:ascii="ITC Avant Garde" w:hAnsi="ITC Avant Garde" w:cs="Arial"/>
          <w:bCs/>
          <w:color w:val="000000"/>
          <w:shd w:val="clear" w:color="auto" w:fill="FFFFFF"/>
        </w:rPr>
        <w:t>m</w:t>
      </w:r>
      <w:r w:rsidRPr="004E69E8">
        <w:rPr>
          <w:rFonts w:ascii="ITC Avant Garde" w:hAnsi="ITC Avant Garde" w:cs="Arial"/>
          <w:bCs/>
          <w:color w:val="000000"/>
          <w:shd w:val="clear" w:color="auto" w:fill="FFFFFF"/>
        </w:rPr>
        <w:t xml:space="preserve">ediante </w:t>
      </w:r>
      <w:r w:rsidR="004F06D8">
        <w:rPr>
          <w:rFonts w:ascii="ITC Avant Garde" w:hAnsi="ITC Avant Garde"/>
          <w:color w:val="000000"/>
          <w:shd w:val="clear" w:color="auto" w:fill="FFFFFF"/>
        </w:rPr>
        <w:t>oficio</w:t>
      </w:r>
      <w:r w:rsidR="00623DA3">
        <w:rPr>
          <w:rFonts w:ascii="ITC Avant Garde" w:hAnsi="ITC Avant Garde"/>
          <w:color w:val="000000"/>
          <w:shd w:val="clear" w:color="auto" w:fill="FFFFFF"/>
        </w:rPr>
        <w:t xml:space="preserve"> IFT/223/UCS/DG-CTEL/</w:t>
      </w:r>
      <w:r w:rsidR="00DD4676">
        <w:rPr>
          <w:rFonts w:ascii="ITC Avant Garde" w:hAnsi="ITC Avant Garde"/>
          <w:color w:val="000000"/>
          <w:shd w:val="clear" w:color="auto" w:fill="FFFFFF"/>
        </w:rPr>
        <w:t>1522</w:t>
      </w:r>
      <w:r w:rsidR="00623DA3" w:rsidRPr="00DE559F">
        <w:rPr>
          <w:rFonts w:ascii="ITC Avant Garde" w:hAnsi="ITC Avant Garde"/>
          <w:color w:val="000000"/>
          <w:shd w:val="clear" w:color="auto" w:fill="FFFFFF"/>
        </w:rPr>
        <w:t>/201</w:t>
      </w:r>
      <w:r w:rsidR="00623DA3">
        <w:rPr>
          <w:rFonts w:ascii="ITC Avant Garde" w:hAnsi="ITC Avant Garde"/>
          <w:color w:val="000000"/>
          <w:shd w:val="clear" w:color="auto" w:fill="FFFFFF"/>
        </w:rPr>
        <w:t xml:space="preserve">7 de fecha </w:t>
      </w:r>
      <w:r w:rsidR="00DD4676">
        <w:rPr>
          <w:rFonts w:ascii="ITC Avant Garde" w:hAnsi="ITC Avant Garde"/>
          <w:color w:val="000000"/>
          <w:shd w:val="clear" w:color="auto" w:fill="FFFFFF"/>
        </w:rPr>
        <w:t>13</w:t>
      </w:r>
      <w:r w:rsidR="00623DA3">
        <w:rPr>
          <w:rFonts w:ascii="ITC Avant Garde" w:hAnsi="ITC Avant Garde"/>
          <w:color w:val="000000"/>
          <w:shd w:val="clear" w:color="auto" w:fill="FFFFFF"/>
        </w:rPr>
        <w:t xml:space="preserve"> de </w:t>
      </w:r>
      <w:r w:rsidR="00DD4676">
        <w:rPr>
          <w:rFonts w:ascii="ITC Avant Garde" w:hAnsi="ITC Avant Garde"/>
          <w:color w:val="000000"/>
          <w:shd w:val="clear" w:color="auto" w:fill="FFFFFF"/>
        </w:rPr>
        <w:t>julio</w:t>
      </w:r>
      <w:r w:rsidR="00623DA3">
        <w:rPr>
          <w:rFonts w:ascii="ITC Avant Garde" w:hAnsi="ITC Avant Garde"/>
          <w:color w:val="000000"/>
          <w:shd w:val="clear" w:color="auto" w:fill="FFFFFF"/>
        </w:rPr>
        <w:t xml:space="preserve"> de 2017</w:t>
      </w:r>
      <w:r w:rsidR="00F84155" w:rsidRPr="004E69E8">
        <w:rPr>
          <w:rFonts w:ascii="ITC Avant Garde" w:hAnsi="ITC Avant Garde" w:cs="Arial"/>
          <w:bCs/>
          <w:color w:val="000000"/>
          <w:shd w:val="clear" w:color="auto" w:fill="FFFFFF"/>
        </w:rPr>
        <w:t xml:space="preserve">, la Unidad de Concesiones y Servicios, a través de la Dirección General de Concesiones de Telecomunicaciones, requirió la opinión técnica de </w:t>
      </w:r>
      <w:r w:rsidR="00F84155" w:rsidRPr="004E69E8">
        <w:rPr>
          <w:rFonts w:ascii="ITC Avant Garde" w:hAnsi="ITC Avant Garde"/>
          <w:bCs/>
          <w:color w:val="000000"/>
          <w:lang w:eastAsia="es-MX"/>
        </w:rPr>
        <w:t>la Unidad de Esp</w:t>
      </w:r>
      <w:r w:rsidR="004B6B2C">
        <w:rPr>
          <w:rFonts w:ascii="ITC Avant Garde" w:hAnsi="ITC Avant Garde"/>
          <w:bCs/>
          <w:color w:val="000000"/>
          <w:lang w:eastAsia="es-MX"/>
        </w:rPr>
        <w:t>ectro Radioeléctrico, respecto de</w:t>
      </w:r>
      <w:r w:rsidR="00F84155" w:rsidRPr="004E69E8">
        <w:rPr>
          <w:rFonts w:ascii="ITC Avant Garde" w:hAnsi="ITC Avant Garde"/>
          <w:bCs/>
          <w:color w:val="000000"/>
          <w:lang w:eastAsia="es-MX"/>
        </w:rPr>
        <w:t xml:space="preserve"> la </w:t>
      </w:r>
      <w:r w:rsidR="00F84155" w:rsidRPr="004E69E8">
        <w:rPr>
          <w:rFonts w:ascii="ITC Avant Garde" w:hAnsi="ITC Avant Garde" w:cs="Arial"/>
          <w:bCs/>
          <w:color w:val="000000"/>
          <w:shd w:val="clear" w:color="auto" w:fill="FFFFFF"/>
        </w:rPr>
        <w:t xml:space="preserve">Solicitud de </w:t>
      </w:r>
      <w:r w:rsidR="00026886" w:rsidRPr="004E69E8">
        <w:rPr>
          <w:rFonts w:ascii="ITC Avant Garde" w:hAnsi="ITC Avant Garde" w:cs="Arial"/>
          <w:bCs/>
          <w:color w:val="000000"/>
          <w:shd w:val="clear" w:color="auto" w:fill="FFFFFF"/>
        </w:rPr>
        <w:t>Servicio</w:t>
      </w:r>
      <w:r w:rsidRPr="004E69E8">
        <w:rPr>
          <w:rFonts w:ascii="ITC Avant Garde" w:hAnsi="ITC Avant Garde" w:cs="Arial"/>
          <w:bCs/>
          <w:color w:val="000000"/>
          <w:shd w:val="clear" w:color="auto" w:fill="FFFFFF"/>
        </w:rPr>
        <w:t>s</w:t>
      </w:r>
      <w:r w:rsidR="00F84155" w:rsidRPr="004E69E8">
        <w:rPr>
          <w:rFonts w:ascii="ITC Avant Garde" w:hAnsi="ITC Avant Garde" w:cs="Arial"/>
          <w:bCs/>
          <w:color w:val="000000"/>
          <w:shd w:val="clear" w:color="auto" w:fill="FFFFFF"/>
        </w:rPr>
        <w:t xml:space="preserve"> </w:t>
      </w:r>
      <w:r w:rsidR="00026886" w:rsidRPr="004E69E8">
        <w:rPr>
          <w:rFonts w:ascii="ITC Avant Garde" w:hAnsi="ITC Avant Garde" w:cs="Arial"/>
          <w:bCs/>
          <w:color w:val="000000"/>
          <w:shd w:val="clear" w:color="auto" w:fill="FFFFFF"/>
        </w:rPr>
        <w:t>Adicional</w:t>
      </w:r>
      <w:r w:rsidRPr="004E69E8">
        <w:rPr>
          <w:rFonts w:ascii="ITC Avant Garde" w:hAnsi="ITC Avant Garde" w:cs="Arial"/>
          <w:bCs/>
          <w:color w:val="000000"/>
          <w:shd w:val="clear" w:color="auto" w:fill="FFFFFF"/>
        </w:rPr>
        <w:t>es</w:t>
      </w:r>
      <w:r w:rsidR="00026886" w:rsidRPr="004E69E8">
        <w:rPr>
          <w:rFonts w:ascii="ITC Avant Garde" w:hAnsi="ITC Avant Garde" w:cs="Arial"/>
          <w:bCs/>
          <w:color w:val="000000"/>
          <w:shd w:val="clear" w:color="auto" w:fill="FFFFFF"/>
        </w:rPr>
        <w:t xml:space="preserve"> </w:t>
      </w:r>
      <w:r w:rsidR="00F84155" w:rsidRPr="004E69E8">
        <w:rPr>
          <w:rFonts w:ascii="ITC Avant Garde" w:hAnsi="ITC Avant Garde" w:cs="Arial"/>
          <w:bCs/>
          <w:color w:val="000000"/>
          <w:shd w:val="clear" w:color="auto" w:fill="FFFFFF"/>
        </w:rPr>
        <w:t>que nos ocupa.</w:t>
      </w:r>
      <w:r w:rsidR="00A370B4" w:rsidRPr="004E69E8">
        <w:rPr>
          <w:rFonts w:ascii="ITC Avant Garde" w:hAnsi="ITC Avant Garde" w:cs="Arial"/>
          <w:bCs/>
          <w:color w:val="000000"/>
          <w:shd w:val="clear" w:color="auto" w:fill="FFFFFF"/>
        </w:rPr>
        <w:t xml:space="preserve"> </w:t>
      </w:r>
    </w:p>
    <w:p w:rsidR="00642B7F" w:rsidRDefault="00F84155" w:rsidP="00642B7F">
      <w:pPr>
        <w:autoSpaceDE w:val="0"/>
        <w:autoSpaceDN w:val="0"/>
        <w:adjustRightInd w:val="0"/>
        <w:spacing w:afterLines="120" w:after="288" w:line="240" w:lineRule="auto"/>
        <w:jc w:val="both"/>
        <w:rPr>
          <w:rFonts w:ascii="ITC Avant Garde" w:hAnsi="ITC Avant Garde" w:cs="Arial"/>
          <w:bCs/>
          <w:color w:val="000000"/>
          <w:shd w:val="clear" w:color="auto" w:fill="FFFFFF"/>
        </w:rPr>
      </w:pPr>
      <w:r w:rsidRPr="004E69E8">
        <w:rPr>
          <w:rFonts w:ascii="ITC Avant Garde" w:hAnsi="ITC Avant Garde" w:cs="Arial"/>
          <w:bCs/>
          <w:color w:val="000000"/>
          <w:shd w:val="clear" w:color="auto" w:fill="FFFFFF"/>
        </w:rPr>
        <w:t>En respuesta a</w:t>
      </w:r>
      <w:r w:rsidR="00227832">
        <w:rPr>
          <w:rFonts w:ascii="ITC Avant Garde" w:hAnsi="ITC Avant Garde" w:cs="Arial"/>
          <w:bCs/>
          <w:color w:val="000000"/>
          <w:shd w:val="clear" w:color="auto" w:fill="FFFFFF"/>
        </w:rPr>
        <w:t>l</w:t>
      </w:r>
      <w:r w:rsidRPr="004E69E8">
        <w:rPr>
          <w:rFonts w:ascii="ITC Avant Garde" w:hAnsi="ITC Avant Garde" w:cs="Arial"/>
          <w:bCs/>
          <w:color w:val="000000"/>
          <w:shd w:val="clear" w:color="auto" w:fill="FFFFFF"/>
        </w:rPr>
        <w:t xml:space="preserve"> </w:t>
      </w:r>
      <w:r w:rsidR="00227832">
        <w:rPr>
          <w:rFonts w:ascii="ITC Avant Garde" w:hAnsi="ITC Avant Garde" w:cs="Arial"/>
          <w:bCs/>
          <w:color w:val="000000"/>
          <w:shd w:val="clear" w:color="auto" w:fill="FFFFFF"/>
        </w:rPr>
        <w:t>citado</w:t>
      </w:r>
      <w:r w:rsidRPr="004E69E8">
        <w:rPr>
          <w:rFonts w:ascii="ITC Avant Garde" w:hAnsi="ITC Avant Garde" w:cs="Arial"/>
          <w:bCs/>
          <w:color w:val="000000"/>
          <w:shd w:val="clear" w:color="auto" w:fill="FFFFFF"/>
        </w:rPr>
        <w:t xml:space="preserve"> requerimiento, mediante </w:t>
      </w:r>
      <w:r w:rsidR="00623DA3" w:rsidRPr="00A61D6E">
        <w:rPr>
          <w:rFonts w:ascii="ITC Avant Garde" w:hAnsi="ITC Avant Garde" w:cs="Arial"/>
          <w:bCs/>
          <w:color w:val="000000"/>
          <w:shd w:val="clear" w:color="auto" w:fill="FFFFFF"/>
        </w:rPr>
        <w:t>oficio IFT/222/UER/DG</w:t>
      </w:r>
      <w:r w:rsidR="00623DA3">
        <w:rPr>
          <w:rFonts w:ascii="ITC Avant Garde" w:hAnsi="ITC Avant Garde" w:cs="Arial"/>
          <w:bCs/>
          <w:color w:val="000000"/>
          <w:shd w:val="clear" w:color="auto" w:fill="FFFFFF"/>
        </w:rPr>
        <w:t>-</w:t>
      </w:r>
      <w:r w:rsidR="00623DA3" w:rsidRPr="00A61D6E">
        <w:rPr>
          <w:rFonts w:ascii="ITC Avant Garde" w:hAnsi="ITC Avant Garde" w:cs="Arial"/>
          <w:bCs/>
          <w:color w:val="000000"/>
          <w:shd w:val="clear" w:color="auto" w:fill="FFFFFF"/>
        </w:rPr>
        <w:t>P</w:t>
      </w:r>
      <w:r w:rsidR="00623DA3">
        <w:rPr>
          <w:rFonts w:ascii="ITC Avant Garde" w:hAnsi="ITC Avant Garde" w:cs="Arial"/>
          <w:bCs/>
          <w:color w:val="000000"/>
          <w:shd w:val="clear" w:color="auto" w:fill="FFFFFF"/>
        </w:rPr>
        <w:t>L</w:t>
      </w:r>
      <w:r w:rsidR="00623DA3" w:rsidRPr="00A61D6E">
        <w:rPr>
          <w:rFonts w:ascii="ITC Avant Garde" w:hAnsi="ITC Avant Garde" w:cs="Arial"/>
          <w:bCs/>
          <w:color w:val="000000"/>
          <w:shd w:val="clear" w:color="auto" w:fill="FFFFFF"/>
        </w:rPr>
        <w:t>E</w:t>
      </w:r>
      <w:r w:rsidR="00623DA3">
        <w:rPr>
          <w:rFonts w:ascii="ITC Avant Garde" w:hAnsi="ITC Avant Garde" w:cs="Arial"/>
          <w:bCs/>
          <w:color w:val="000000"/>
          <w:shd w:val="clear" w:color="auto" w:fill="FFFFFF"/>
        </w:rPr>
        <w:t>S</w:t>
      </w:r>
      <w:r w:rsidR="00623DA3" w:rsidRPr="00A61D6E">
        <w:rPr>
          <w:rFonts w:ascii="ITC Avant Garde" w:hAnsi="ITC Avant Garde" w:cs="Arial"/>
          <w:bCs/>
          <w:color w:val="000000"/>
          <w:shd w:val="clear" w:color="auto" w:fill="FFFFFF"/>
        </w:rPr>
        <w:t>/</w:t>
      </w:r>
      <w:r w:rsidR="00D5306C">
        <w:rPr>
          <w:rFonts w:ascii="ITC Avant Garde" w:hAnsi="ITC Avant Garde" w:cs="Arial"/>
          <w:bCs/>
          <w:color w:val="000000"/>
          <w:shd w:val="clear" w:color="auto" w:fill="FFFFFF"/>
        </w:rPr>
        <w:t>032</w:t>
      </w:r>
      <w:r w:rsidR="00623DA3" w:rsidRPr="00A61D6E">
        <w:rPr>
          <w:rFonts w:ascii="ITC Avant Garde" w:hAnsi="ITC Avant Garde" w:cs="Arial"/>
          <w:bCs/>
          <w:color w:val="000000"/>
          <w:shd w:val="clear" w:color="auto" w:fill="FFFFFF"/>
        </w:rPr>
        <w:t xml:space="preserve">/2017 de fecha </w:t>
      </w:r>
      <w:r w:rsidR="008741EA">
        <w:rPr>
          <w:rFonts w:ascii="ITC Avant Garde" w:hAnsi="ITC Avant Garde" w:cs="Arial"/>
          <w:bCs/>
          <w:color w:val="000000"/>
          <w:shd w:val="clear" w:color="auto" w:fill="FFFFFF"/>
        </w:rPr>
        <w:t>7</w:t>
      </w:r>
      <w:r w:rsidR="00623DA3">
        <w:rPr>
          <w:rFonts w:ascii="ITC Avant Garde" w:hAnsi="ITC Avant Garde" w:cs="Arial"/>
          <w:bCs/>
          <w:color w:val="000000"/>
          <w:shd w:val="clear" w:color="auto" w:fill="FFFFFF"/>
        </w:rPr>
        <w:t xml:space="preserve"> </w:t>
      </w:r>
      <w:r w:rsidR="00623DA3" w:rsidRPr="00A61D6E">
        <w:rPr>
          <w:rFonts w:ascii="ITC Avant Garde" w:hAnsi="ITC Avant Garde" w:cs="Arial"/>
          <w:bCs/>
          <w:color w:val="000000"/>
          <w:shd w:val="clear" w:color="auto" w:fill="FFFFFF"/>
        </w:rPr>
        <w:t xml:space="preserve">de </w:t>
      </w:r>
      <w:r w:rsidR="00623DA3">
        <w:rPr>
          <w:rFonts w:ascii="ITC Avant Garde" w:hAnsi="ITC Avant Garde" w:cs="Arial"/>
          <w:bCs/>
          <w:color w:val="000000"/>
          <w:shd w:val="clear" w:color="auto" w:fill="FFFFFF"/>
        </w:rPr>
        <w:t>septiembre</w:t>
      </w:r>
      <w:r w:rsidR="00623DA3" w:rsidRPr="00A61D6E">
        <w:rPr>
          <w:rFonts w:ascii="ITC Avant Garde" w:hAnsi="ITC Avant Garde" w:cs="Arial"/>
          <w:bCs/>
          <w:color w:val="000000"/>
          <w:shd w:val="clear" w:color="auto" w:fill="FFFFFF"/>
        </w:rPr>
        <w:t xml:space="preserve"> de 2017</w:t>
      </w:r>
      <w:r w:rsidRPr="004E69E8">
        <w:rPr>
          <w:rFonts w:ascii="ITC Avant Garde" w:hAnsi="ITC Avant Garde" w:cs="Arial"/>
          <w:bCs/>
          <w:color w:val="000000"/>
          <w:shd w:val="clear" w:color="auto" w:fill="FFFFFF"/>
        </w:rPr>
        <w:t>, la Unidad de Espectro Radioeléctrico, a través de la Dirección General de Planeación del Espectro</w:t>
      </w:r>
      <w:r w:rsidR="00A370B4" w:rsidRPr="004E69E8">
        <w:rPr>
          <w:rFonts w:ascii="ITC Avant Garde" w:hAnsi="ITC Avant Garde" w:cs="Arial"/>
          <w:bCs/>
          <w:color w:val="000000"/>
          <w:shd w:val="clear" w:color="auto" w:fill="FFFFFF"/>
        </w:rPr>
        <w:t>,</w:t>
      </w:r>
      <w:r w:rsidRPr="004E69E8">
        <w:rPr>
          <w:rFonts w:ascii="ITC Avant Garde" w:hAnsi="ITC Avant Garde" w:cs="Arial"/>
          <w:bCs/>
          <w:color w:val="000000"/>
          <w:shd w:val="clear" w:color="auto" w:fill="FFFFFF"/>
        </w:rPr>
        <w:t xml:space="preserve"> remitió el Dictamen de Planificación Espectral </w:t>
      </w:r>
      <w:r w:rsidR="00623DA3">
        <w:rPr>
          <w:rFonts w:ascii="ITC Avant Garde" w:hAnsi="ITC Avant Garde" w:cs="Arial"/>
          <w:bCs/>
          <w:color w:val="000000"/>
          <w:shd w:val="clear" w:color="auto" w:fill="FFFFFF"/>
        </w:rPr>
        <w:t>DG-PLES/0</w:t>
      </w:r>
      <w:r w:rsidR="00D5306C">
        <w:rPr>
          <w:rFonts w:ascii="ITC Avant Garde" w:hAnsi="ITC Avant Garde" w:cs="Arial"/>
          <w:bCs/>
          <w:color w:val="000000"/>
          <w:shd w:val="clear" w:color="auto" w:fill="FFFFFF"/>
        </w:rPr>
        <w:t>22</w:t>
      </w:r>
      <w:r w:rsidR="00623DA3">
        <w:rPr>
          <w:rFonts w:ascii="ITC Avant Garde" w:hAnsi="ITC Avant Garde" w:cs="Arial"/>
          <w:bCs/>
          <w:color w:val="000000"/>
          <w:shd w:val="clear" w:color="auto" w:fill="FFFFFF"/>
        </w:rPr>
        <w:t>-17</w:t>
      </w:r>
      <w:r w:rsidR="00623DA3" w:rsidRPr="00A61D6E">
        <w:rPr>
          <w:rFonts w:ascii="ITC Avant Garde" w:hAnsi="ITC Avant Garde" w:cs="Arial"/>
          <w:bCs/>
          <w:color w:val="000000"/>
          <w:shd w:val="clear" w:color="auto" w:fill="FFFFFF"/>
        </w:rPr>
        <w:t xml:space="preserve"> </w:t>
      </w:r>
      <w:r w:rsidRPr="004E69E8">
        <w:rPr>
          <w:rFonts w:ascii="ITC Avant Garde" w:hAnsi="ITC Avant Garde" w:cs="Arial"/>
          <w:bCs/>
          <w:color w:val="000000"/>
          <w:shd w:val="clear" w:color="auto" w:fill="FFFFFF"/>
        </w:rPr>
        <w:t>en el que manifestó, entre otros aspectos, lo siguiente:</w:t>
      </w:r>
    </w:p>
    <w:p w:rsidR="00F84155" w:rsidRPr="004E69E8" w:rsidRDefault="00F84155"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w:t>
      </w:r>
    </w:p>
    <w:p w:rsidR="00642B7F" w:rsidRDefault="00310112" w:rsidP="00642B7F">
      <w:pPr>
        <w:autoSpaceDE w:val="0"/>
        <w:autoSpaceDN w:val="0"/>
        <w:adjustRightInd w:val="0"/>
        <w:spacing w:afterLines="120" w:after="288" w:line="240" w:lineRule="auto"/>
        <w:ind w:left="567" w:right="615"/>
        <w:jc w:val="both"/>
        <w:rPr>
          <w:rFonts w:ascii="ITC Avant Garde" w:hAnsi="ITC Avant Garde" w:cs="Arial"/>
          <w:b/>
          <w:i/>
          <w:iCs/>
          <w:sz w:val="18"/>
          <w:szCs w:val="18"/>
        </w:rPr>
      </w:pPr>
      <w:r w:rsidRPr="004E69E8">
        <w:rPr>
          <w:rFonts w:ascii="ITC Avant Garde" w:hAnsi="ITC Avant Garde" w:cs="Arial"/>
          <w:b/>
          <w:i/>
          <w:iCs/>
          <w:sz w:val="18"/>
          <w:szCs w:val="18"/>
        </w:rPr>
        <w:lastRenderedPageBreak/>
        <w:t>4. Acciones de Planificación</w:t>
      </w:r>
    </w:p>
    <w:p w:rsidR="00372DE4" w:rsidRPr="004E69E8" w:rsidRDefault="00FF4FFC"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w:t>
      </w:r>
    </w:p>
    <w:p w:rsidR="00642B7F" w:rsidRDefault="0052124B"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Pr>
          <w:rFonts w:ascii="ITC Avant Garde" w:hAnsi="ITC Avant Garde" w:cs="Tahoma"/>
          <w:bCs/>
          <w:i/>
          <w:sz w:val="18"/>
          <w:szCs w:val="18"/>
          <w:lang w:eastAsia="es-MX"/>
        </w:rPr>
        <w:t xml:space="preserve">Ahora bien, </w:t>
      </w:r>
      <w:r w:rsidRPr="00A61D6E">
        <w:rPr>
          <w:rFonts w:ascii="ITC Avant Garde" w:hAnsi="ITC Avant Garde" w:cs="Tahoma"/>
          <w:bCs/>
          <w:i/>
          <w:sz w:val="18"/>
          <w:szCs w:val="18"/>
          <w:lang w:eastAsia="es-MX"/>
        </w:rPr>
        <w:t xml:space="preserve">en lo que respecta al servicio móvil de banda ancha, es importante resaltar que el estándar de </w:t>
      </w:r>
      <w:r w:rsidRPr="00A61D6E">
        <w:rPr>
          <w:rFonts w:ascii="ITC Avant Garde" w:hAnsi="ITC Avant Garde" w:cs="Tahoma"/>
          <w:b/>
          <w:bCs/>
          <w:i/>
          <w:sz w:val="18"/>
          <w:szCs w:val="18"/>
          <w:lang w:eastAsia="es-MX"/>
        </w:rPr>
        <w:t>una tecnología de última generación como lo es LTE</w:t>
      </w:r>
      <w:r w:rsidRPr="00A61D6E">
        <w:rPr>
          <w:rStyle w:val="Refdenotaalpie"/>
          <w:rFonts w:ascii="ITC Avant Garde" w:hAnsi="ITC Avant Garde" w:cs="Tahoma"/>
          <w:b/>
          <w:bCs/>
          <w:i/>
          <w:sz w:val="18"/>
          <w:szCs w:val="18"/>
          <w:lang w:eastAsia="es-MX"/>
        </w:rPr>
        <w:footnoteReference w:id="2"/>
      </w:r>
      <w:r w:rsidRPr="00A61D6E">
        <w:rPr>
          <w:rFonts w:ascii="ITC Avant Garde" w:hAnsi="ITC Avant Garde" w:cs="Tahoma"/>
          <w:b/>
          <w:bCs/>
          <w:i/>
          <w:sz w:val="18"/>
          <w:szCs w:val="18"/>
          <w:lang w:eastAsia="es-MX"/>
        </w:rPr>
        <w:t>, requiere contar con segmentos de espectro contiguo para poder brindar un funcionamiento óptimo de la tecnología y en consecuencia tener la posibilidad de proveer mayores capacidades de transferencia de datos al usuario final.</w:t>
      </w:r>
      <w:r w:rsidRPr="00A61D6E">
        <w:rPr>
          <w:rFonts w:ascii="ITC Avant Garde" w:hAnsi="ITC Avant Garde" w:cs="Tahoma"/>
          <w:bCs/>
          <w:i/>
          <w:sz w:val="18"/>
          <w:szCs w:val="18"/>
          <w:lang w:eastAsia="es-MX"/>
        </w:rPr>
        <w:t xml:space="preserve"> Derivado del análisis de la presente solicitud, se observa que el solicitante cuenta con una tenencia de espectro en la banda de 2.5 GHz, que en bloques contiguos y conforme a los están</w:t>
      </w:r>
      <w:r>
        <w:rPr>
          <w:rFonts w:ascii="ITC Avant Garde" w:hAnsi="ITC Avant Garde" w:cs="Tahoma"/>
          <w:bCs/>
          <w:i/>
          <w:sz w:val="18"/>
          <w:szCs w:val="18"/>
          <w:lang w:eastAsia="es-MX"/>
        </w:rPr>
        <w:t>dares tecnológicos, le permitiría</w:t>
      </w:r>
      <w:r w:rsidRPr="00A61D6E">
        <w:rPr>
          <w:rFonts w:ascii="ITC Avant Garde" w:hAnsi="ITC Avant Garde" w:cs="Tahoma"/>
          <w:bCs/>
          <w:i/>
          <w:sz w:val="18"/>
          <w:szCs w:val="18"/>
          <w:lang w:eastAsia="es-MX"/>
        </w:rPr>
        <w:t xml:space="preserve"> proveer servicios de banda ancha móvil a través de tecnologías de última generación.</w:t>
      </w:r>
    </w:p>
    <w:p w:rsidR="00642B7F" w:rsidRDefault="0052124B"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En este mismo orden de ideas, la manifestación del solicitante para prestar servicios de acceso inalámbrico es acorde con la misión del IFT para promover el aprovechamiento y explotación del espectro radioeléctrico, sin perder de vista que también resulta congruente con las acciones de planificación de esta Unidad de Espectro Radioeléctrico y con el esquema de segmentación adoptado por el Instituto para la banda de frecuencias 2500-2690 MHz.</w:t>
      </w:r>
    </w:p>
    <w:p w:rsidR="00642B7F" w:rsidRDefault="0052124B"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Así pues; en cuanto a acciones de planificación, tomando en consideración todo lo expuesto anteriormente y debido a que los avances tecnológicos en materia de radiocomunicaciones </w:t>
      </w:r>
      <w:r w:rsidRPr="00A61D6E">
        <w:rPr>
          <w:rFonts w:ascii="ITC Avant Garde" w:hAnsi="ITC Avant Garde" w:cs="Tahoma"/>
          <w:b/>
          <w:bCs/>
          <w:i/>
          <w:sz w:val="18"/>
          <w:szCs w:val="18"/>
          <w:lang w:eastAsia="es-MX"/>
        </w:rPr>
        <w:t>han dejado en estado de obsolescencia el uso de la banda de 2.5 GHz para la operación del servicio de televisión y audio restringido</w:t>
      </w:r>
      <w:r w:rsidRPr="00A61D6E">
        <w:rPr>
          <w:rFonts w:ascii="ITC Avant Garde" w:hAnsi="ITC Avant Garde" w:cs="Tahoma"/>
          <w:bCs/>
          <w:i/>
          <w:sz w:val="18"/>
          <w:szCs w:val="18"/>
          <w:lang w:eastAsia="es-MX"/>
        </w:rPr>
        <w:t xml:space="preserve">, es la opinión de esta Dirección General que </w:t>
      </w:r>
      <w:r w:rsidR="00B95DB7">
        <w:rPr>
          <w:rFonts w:ascii="ITC Avant Garde" w:hAnsi="ITC Avant Garde" w:cs="Tahoma"/>
          <w:bCs/>
          <w:i/>
          <w:sz w:val="18"/>
          <w:szCs w:val="18"/>
          <w:lang w:eastAsia="es-MX"/>
        </w:rPr>
        <w:t>la</w:t>
      </w:r>
      <w:r w:rsidRPr="00A61D6E">
        <w:rPr>
          <w:rFonts w:ascii="ITC Avant Garde" w:hAnsi="ITC Avant Garde" w:cs="Tahoma"/>
          <w:bCs/>
          <w:i/>
          <w:sz w:val="18"/>
          <w:szCs w:val="18"/>
          <w:lang w:eastAsia="es-MX"/>
        </w:rPr>
        <w:t xml:space="preserve"> prestación de los servicios adicionales solicitados</w:t>
      </w:r>
      <w:r>
        <w:rPr>
          <w:rFonts w:ascii="ITC Avant Garde" w:hAnsi="ITC Avant Garde" w:cs="Tahoma"/>
          <w:bCs/>
          <w:i/>
          <w:sz w:val="18"/>
          <w:szCs w:val="18"/>
          <w:lang w:eastAsia="es-MX"/>
        </w:rPr>
        <w:t xml:space="preserve">, </w:t>
      </w:r>
      <w:r w:rsidRPr="00A61D6E">
        <w:rPr>
          <w:rFonts w:ascii="ITC Avant Garde" w:hAnsi="ITC Avant Garde" w:cs="Tahoma"/>
          <w:bCs/>
          <w:i/>
          <w:sz w:val="18"/>
          <w:szCs w:val="18"/>
          <w:lang w:eastAsia="es-MX"/>
        </w:rPr>
        <w:t>son compatibles con las acciones de planificación que se siguen en el Instituto</w:t>
      </w:r>
      <w:r w:rsidR="00B07C3D" w:rsidRPr="004E69E8">
        <w:rPr>
          <w:rFonts w:ascii="ITC Avant Garde" w:hAnsi="ITC Avant Garde" w:cs="Tahoma"/>
          <w:bCs/>
          <w:i/>
          <w:sz w:val="18"/>
          <w:szCs w:val="18"/>
          <w:lang w:eastAsia="es-MX"/>
        </w:rPr>
        <w:t>.</w:t>
      </w:r>
    </w:p>
    <w:p w:rsidR="00642B7F" w:rsidRDefault="00FF4FFC" w:rsidP="00642B7F">
      <w:pPr>
        <w:autoSpaceDE w:val="0"/>
        <w:autoSpaceDN w:val="0"/>
        <w:adjustRightInd w:val="0"/>
        <w:spacing w:afterLines="120" w:after="288" w:line="240" w:lineRule="auto"/>
        <w:ind w:left="567" w:right="615"/>
        <w:jc w:val="both"/>
        <w:rPr>
          <w:rFonts w:ascii="ITC Avant Garde" w:hAnsi="ITC Avant Garde" w:cs="Tahoma"/>
          <w:b/>
          <w:bCs/>
          <w:i/>
          <w:sz w:val="18"/>
          <w:szCs w:val="18"/>
          <w:lang w:eastAsia="es-MX"/>
        </w:rPr>
      </w:pPr>
      <w:r w:rsidRPr="004E69E8">
        <w:rPr>
          <w:rFonts w:ascii="ITC Avant Garde" w:hAnsi="ITC Avant Garde" w:cs="Tahoma"/>
          <w:b/>
          <w:bCs/>
          <w:i/>
          <w:sz w:val="18"/>
          <w:szCs w:val="18"/>
          <w:lang w:eastAsia="es-MX"/>
        </w:rPr>
        <w:t>5. Consideraciones para una óptima utilización de la banda de frecuencias</w:t>
      </w:r>
    </w:p>
    <w:p w:rsidR="00642B7F" w:rsidRDefault="00FF4FFC"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Los títulos de concesión objeto de la presente solicitud, contienen condiciones que correspondían al Marco Jurídico vigente en la fecha de su otorgamiento, así como a diferentes contextos geográficos para definir su cobertura. Esto provocó que en los títulos habilitantes, así como en las prórrogas de concesión, existieran diversos criterios para definir las zonas geográficas de cobertura; como por ejemplo: Áreas Básicas de Servicio (abs) [sic], localidades, municipios, </w:t>
      </w:r>
      <w:r w:rsidR="00114FB3">
        <w:rPr>
          <w:rFonts w:ascii="ITC Avant Garde" w:hAnsi="ITC Avant Garde" w:cs="Tahoma"/>
          <w:bCs/>
          <w:i/>
          <w:sz w:val="18"/>
          <w:szCs w:val="18"/>
          <w:lang w:eastAsia="es-MX"/>
        </w:rPr>
        <w:t xml:space="preserve">zonas conurbadas, </w:t>
      </w:r>
      <w:r w:rsidRPr="004E69E8">
        <w:rPr>
          <w:rFonts w:ascii="ITC Avant Garde" w:hAnsi="ITC Avant Garde" w:cs="Tahoma"/>
          <w:bCs/>
          <w:i/>
          <w:sz w:val="18"/>
          <w:szCs w:val="18"/>
          <w:lang w:eastAsia="es-MX"/>
        </w:rPr>
        <w:t>zonas aledañas y zonas metropolitanas.</w:t>
      </w:r>
    </w:p>
    <w:p w:rsidR="00642B7F" w:rsidRDefault="00FF4FFC"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Es así que </w:t>
      </w:r>
      <w:r w:rsidRPr="004E69E8">
        <w:rPr>
          <w:rFonts w:ascii="ITC Avant Garde" w:hAnsi="ITC Avant Garde" w:cs="Tahoma"/>
          <w:b/>
          <w:bCs/>
          <w:i/>
          <w:sz w:val="18"/>
          <w:szCs w:val="18"/>
          <w:lang w:eastAsia="es-MX"/>
        </w:rPr>
        <w:t>los instrumentos habilitantes para hacer uso del espectro radioeléctrico en la banda de 2.5 GHz con estas condiciones, están sujetos a una interpretación que no permite definir de manera precisa el contorno sobre el área en la cual se presta el servicio</w:t>
      </w:r>
      <w:r w:rsidRPr="004E69E8">
        <w:rPr>
          <w:rFonts w:ascii="ITC Avant Garde" w:hAnsi="ITC Avant Garde" w:cs="Tahoma"/>
          <w:bCs/>
          <w:i/>
          <w:sz w:val="18"/>
          <w:szCs w:val="18"/>
          <w:lang w:eastAsia="es-MX"/>
        </w:rPr>
        <w:t>. Lo anterior conlleva a plantear una definición de cobertura de cada título de concesión, de tal manera que se brinde certeza sobre el contorno preciso de las áreas de cobertura, y así eliminar potenciales incertidumbres respecto a su definición.</w:t>
      </w:r>
    </w:p>
    <w:p w:rsidR="00642B7F" w:rsidRDefault="00FF4FFC"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Teniendo en cuenta lo anterior, es de mencionar que las bases y fallos de las licitaciones de 1998 y 1999</w:t>
      </w:r>
      <w:r w:rsidRPr="004E69E8">
        <w:rPr>
          <w:rStyle w:val="Refdenotaalpie"/>
          <w:rFonts w:ascii="ITC Avant Garde" w:hAnsi="ITC Avant Garde" w:cs="Tahoma"/>
          <w:bCs/>
          <w:i/>
          <w:sz w:val="18"/>
          <w:szCs w:val="18"/>
          <w:lang w:eastAsia="es-MX"/>
        </w:rPr>
        <w:footnoteReference w:id="3"/>
      </w:r>
      <w:r w:rsidRPr="004E69E8">
        <w:rPr>
          <w:rFonts w:ascii="ITC Avant Garde" w:hAnsi="ITC Avant Garde" w:cs="Tahoma"/>
          <w:bCs/>
          <w:i/>
          <w:sz w:val="18"/>
          <w:szCs w:val="18"/>
          <w:lang w:eastAsia="es-MX"/>
        </w:rPr>
        <w:t xml:space="preserve"> para la prestación de servicios de televisión y audio restringidos en la banda 2.5 GHz, de los cuales emanaron </w:t>
      </w:r>
      <w:r w:rsidR="00CF794E">
        <w:rPr>
          <w:rFonts w:ascii="ITC Avant Garde" w:hAnsi="ITC Avant Garde" w:cs="Tahoma"/>
          <w:bCs/>
          <w:i/>
          <w:sz w:val="18"/>
          <w:szCs w:val="18"/>
          <w:lang w:eastAsia="es-MX"/>
        </w:rPr>
        <w:t xml:space="preserve">algunos de </w:t>
      </w:r>
      <w:r w:rsidRPr="004E69E8">
        <w:rPr>
          <w:rFonts w:ascii="ITC Avant Garde" w:hAnsi="ITC Avant Garde" w:cs="Tahoma"/>
          <w:bCs/>
          <w:i/>
          <w:sz w:val="18"/>
          <w:szCs w:val="18"/>
          <w:lang w:eastAsia="es-MX"/>
        </w:rPr>
        <w:t>los títulos objeto del presente Dictamen, referían a municipios cubiertos por las ‘abs’ correspondientes para la definición de la cobertura.</w:t>
      </w:r>
    </w:p>
    <w:p w:rsidR="00642B7F" w:rsidRDefault="007B1C7F"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lastRenderedPageBreak/>
        <w:t xml:space="preserve">Ahora bien, </w:t>
      </w:r>
      <w:r w:rsidR="00797B76">
        <w:rPr>
          <w:rFonts w:ascii="ITC Avant Garde" w:hAnsi="ITC Avant Garde" w:cs="Tahoma"/>
          <w:bCs/>
          <w:i/>
          <w:sz w:val="18"/>
          <w:szCs w:val="18"/>
          <w:lang w:eastAsia="es-MX"/>
        </w:rPr>
        <w:t>del análisis de la solicitud del requirente, se desprende que los municipios cuentan con algunas incosistencias con base en los</w:t>
      </w:r>
      <w:r>
        <w:rPr>
          <w:rFonts w:ascii="ITC Avant Garde" w:hAnsi="ITC Avant Garde" w:cs="Tahoma"/>
          <w:bCs/>
          <w:i/>
          <w:sz w:val="18"/>
          <w:szCs w:val="18"/>
          <w:lang w:eastAsia="es-MX"/>
        </w:rPr>
        <w:t xml:space="preserve"> datos</w:t>
      </w:r>
      <w:r w:rsidRPr="004E69E8">
        <w:rPr>
          <w:rFonts w:ascii="ITC Avant Garde" w:hAnsi="ITC Avant Garde" w:cs="Tahoma"/>
          <w:bCs/>
          <w:i/>
          <w:sz w:val="18"/>
          <w:szCs w:val="18"/>
          <w:lang w:eastAsia="es-MX"/>
        </w:rPr>
        <w:t xml:space="preserve"> </w:t>
      </w:r>
      <w:r>
        <w:rPr>
          <w:rFonts w:ascii="ITC Avant Garde" w:hAnsi="ITC Avant Garde" w:cs="Tahoma"/>
          <w:bCs/>
          <w:i/>
          <w:sz w:val="18"/>
          <w:szCs w:val="18"/>
          <w:lang w:eastAsia="es-MX"/>
        </w:rPr>
        <w:t>d</w:t>
      </w:r>
      <w:r w:rsidRPr="004E69E8">
        <w:rPr>
          <w:rFonts w:ascii="ITC Avant Garde" w:hAnsi="ITC Avant Garde" w:cs="Tahoma"/>
          <w:bCs/>
          <w:i/>
          <w:sz w:val="18"/>
          <w:szCs w:val="18"/>
          <w:lang w:eastAsia="es-MX"/>
        </w:rPr>
        <w:t>el Instituto Nacional de Estadística y Geografía (INEGI</w:t>
      </w:r>
      <w:r>
        <w:rPr>
          <w:rFonts w:ascii="ITC Avant Garde" w:hAnsi="ITC Avant Garde" w:cs="Tahoma"/>
          <w:bCs/>
          <w:i/>
          <w:sz w:val="18"/>
          <w:szCs w:val="18"/>
          <w:lang w:eastAsia="es-MX"/>
        </w:rPr>
        <w:t>)</w:t>
      </w:r>
      <w:r>
        <w:rPr>
          <w:rStyle w:val="Refdenotaalpie"/>
          <w:rFonts w:ascii="ITC Avant Garde" w:hAnsi="ITC Avant Garde" w:cs="Tahoma"/>
          <w:bCs/>
          <w:i/>
          <w:sz w:val="18"/>
          <w:szCs w:val="18"/>
          <w:lang w:eastAsia="es-MX"/>
        </w:rPr>
        <w:footnoteReference w:id="4"/>
      </w:r>
      <w:r w:rsidR="00797B76">
        <w:rPr>
          <w:rFonts w:ascii="ITC Avant Garde" w:hAnsi="ITC Avant Garde" w:cs="Tahoma"/>
          <w:bCs/>
          <w:i/>
          <w:sz w:val="18"/>
          <w:szCs w:val="18"/>
          <w:lang w:eastAsia="es-MX"/>
        </w:rPr>
        <w:t>. A causa de esto,</w:t>
      </w:r>
      <w:r w:rsidRPr="004E69E8">
        <w:rPr>
          <w:rFonts w:ascii="ITC Avant Garde" w:hAnsi="ITC Avant Garde" w:cs="Tahoma"/>
          <w:bCs/>
          <w:i/>
          <w:sz w:val="18"/>
          <w:szCs w:val="18"/>
          <w:lang w:eastAsia="es-MX"/>
        </w:rPr>
        <w:t xml:space="preserve"> se recomienda que para la definición de la cobertura, el nombre de los municipios sea acorde con el último censo de 2010, como se sugiere en el Anexo 2 del presente Dictamen</w:t>
      </w:r>
      <w:r w:rsidRPr="004E69E8">
        <w:rPr>
          <w:rStyle w:val="Refdenotaalpie"/>
          <w:rFonts w:ascii="ITC Avant Garde" w:hAnsi="ITC Avant Garde" w:cs="Tahoma"/>
          <w:bCs/>
          <w:i/>
          <w:sz w:val="18"/>
          <w:szCs w:val="18"/>
          <w:lang w:eastAsia="es-MX"/>
        </w:rPr>
        <w:footnoteReference w:id="5"/>
      </w:r>
      <w:r w:rsidRPr="004E69E8">
        <w:rPr>
          <w:rFonts w:ascii="ITC Avant Garde" w:hAnsi="ITC Avant Garde" w:cs="Tahoma"/>
          <w:bCs/>
          <w:i/>
          <w:sz w:val="18"/>
          <w:szCs w:val="18"/>
          <w:lang w:eastAsia="es-MX"/>
        </w:rPr>
        <w:t>.</w:t>
      </w:r>
    </w:p>
    <w:p w:rsidR="00642B7F" w:rsidRDefault="007B1C7F"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Por otro lado, es preciso resaltar que la definición de las ‘abs’ que fueron consideradas en las Bases y Fallo de las Licitaciones de 1998 y 1999, no corresponden con las ABS definidas en el ‘Programa sobre bandas de frecuencias del espectro radioeléctrico para usos determinados que podrán ser materia de Licitación Pública’ publicado en el Diario Oficial de la Federación (DOF) el día 31 de marzo de 2008</w:t>
      </w:r>
      <w:r w:rsidRPr="004E69E8">
        <w:rPr>
          <w:rStyle w:val="Refdenotaalpie"/>
          <w:rFonts w:ascii="ITC Avant Garde" w:hAnsi="ITC Avant Garde" w:cs="Tahoma"/>
          <w:bCs/>
          <w:i/>
          <w:sz w:val="18"/>
          <w:szCs w:val="18"/>
          <w:lang w:eastAsia="es-MX"/>
        </w:rPr>
        <w:footnoteReference w:id="6"/>
      </w:r>
      <w:r w:rsidR="00FF4FFC" w:rsidRPr="004E69E8">
        <w:rPr>
          <w:rFonts w:ascii="ITC Avant Garde" w:hAnsi="ITC Avant Garde" w:cs="Tahoma"/>
          <w:bCs/>
          <w:i/>
          <w:sz w:val="18"/>
          <w:szCs w:val="18"/>
          <w:lang w:eastAsia="es-MX"/>
        </w:rPr>
        <w:t>.</w:t>
      </w:r>
    </w:p>
    <w:p w:rsidR="00642B7F" w:rsidRDefault="00FF4FFC"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En este orden de ideas, esta Dirección General propone que </w:t>
      </w:r>
      <w:r w:rsidRPr="004E69E8">
        <w:rPr>
          <w:rFonts w:ascii="ITC Avant Garde" w:hAnsi="ITC Avant Garde" w:cs="Tahoma"/>
          <w:b/>
          <w:bCs/>
          <w:i/>
          <w:sz w:val="18"/>
          <w:szCs w:val="18"/>
          <w:lang w:eastAsia="es-MX"/>
        </w:rPr>
        <w:t>la unidad mínima para establecer la cobertura de cada uno de los títulos continúe siendo el Municipio</w:t>
      </w:r>
      <w:r w:rsidR="00C92FE8">
        <w:rPr>
          <w:rFonts w:ascii="ITC Avant Garde" w:hAnsi="ITC Avant Garde" w:cs="Tahoma"/>
          <w:bCs/>
          <w:i/>
          <w:sz w:val="18"/>
          <w:szCs w:val="18"/>
          <w:lang w:eastAsia="es-MX"/>
        </w:rPr>
        <w:t xml:space="preserve"> (c</w:t>
      </w:r>
      <w:r w:rsidRPr="004E69E8">
        <w:rPr>
          <w:rFonts w:ascii="ITC Avant Garde" w:hAnsi="ITC Avant Garde" w:cs="Tahoma"/>
          <w:bCs/>
          <w:i/>
          <w:sz w:val="18"/>
          <w:szCs w:val="18"/>
          <w:lang w:eastAsia="es-MX"/>
        </w:rPr>
        <w:t xml:space="preserve">on base en el listado del Censo de 2010), bajo la consideración de que dicha área de cobertura se mantenga incluso ante las modificaciones que hubiese sufrido o pudiera sufrir el municipio, derivado de cambios de nombre y/o división geográfica del municipio de acuerdo con lo indicado en los últimos archivos publicados por el INEGI. Así mismo, se considera pertinente que las ABS a las cuales pertenezca cada uno de estos Municipios, correspondan a las publicadas en el DOF </w:t>
      </w:r>
      <w:r w:rsidRPr="004E69E8">
        <w:rPr>
          <w:rStyle w:val="Refdenotaalpie"/>
          <w:rFonts w:ascii="ITC Avant Garde" w:hAnsi="ITC Avant Garde" w:cs="Tahoma"/>
          <w:bCs/>
          <w:i/>
          <w:sz w:val="18"/>
          <w:szCs w:val="18"/>
          <w:lang w:eastAsia="es-MX"/>
        </w:rPr>
        <w:footnoteReference w:id="7"/>
      </w:r>
      <w:r w:rsidR="00ED63F1">
        <w:rPr>
          <w:rFonts w:ascii="ITC Avant Garde" w:hAnsi="ITC Avant Garde" w:cs="Tahoma"/>
          <w:bCs/>
          <w:i/>
          <w:sz w:val="18"/>
          <w:szCs w:val="18"/>
          <w:lang w:eastAsia="es-MX"/>
        </w:rPr>
        <w:t xml:space="preserve"> </w:t>
      </w:r>
      <w:r w:rsidRPr="004E69E8">
        <w:rPr>
          <w:rFonts w:ascii="ITC Avant Garde" w:hAnsi="ITC Avant Garde" w:cs="Tahoma"/>
          <w:bCs/>
          <w:i/>
          <w:sz w:val="18"/>
          <w:szCs w:val="18"/>
          <w:lang w:eastAsia="es-MX"/>
        </w:rPr>
        <w:t>y citadas en párrafo anterior. La propuesta integral se compendia en el Anexo 2 del presente Dictamen.</w:t>
      </w:r>
    </w:p>
    <w:p w:rsidR="00642B7F" w:rsidRDefault="00FF4FFC"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En conclusión, tomando en cuenta todo lo anterior, esta Dirección General propone que los términos y condiciones para la definición de cobertura sean establecidos con base en las consideraciones aquí descritas</w:t>
      </w:r>
      <w:r w:rsidR="00C5790F">
        <w:rPr>
          <w:rFonts w:ascii="ITC Avant Garde" w:hAnsi="ITC Avant Garde" w:cs="Tahoma"/>
          <w:bCs/>
          <w:i/>
          <w:sz w:val="18"/>
          <w:szCs w:val="18"/>
          <w:lang w:eastAsia="es-MX"/>
        </w:rPr>
        <w:t xml:space="preserve">, así como lo establecido en el </w:t>
      </w:r>
      <w:r w:rsidRPr="00C5790F">
        <w:rPr>
          <w:rFonts w:ascii="ITC Avant Garde" w:hAnsi="ITC Avant Garde" w:cs="Tahoma"/>
          <w:b/>
          <w:bCs/>
          <w:i/>
          <w:sz w:val="18"/>
          <w:szCs w:val="18"/>
          <w:lang w:eastAsia="es-MX"/>
        </w:rPr>
        <w:t>Anexo 2</w:t>
      </w:r>
      <w:r w:rsidRPr="004E69E8">
        <w:rPr>
          <w:rFonts w:ascii="ITC Avant Garde" w:hAnsi="ITC Avant Garde" w:cs="Tahoma"/>
          <w:bCs/>
          <w:i/>
          <w:sz w:val="18"/>
          <w:szCs w:val="18"/>
          <w:lang w:eastAsia="es-MX"/>
        </w:rPr>
        <w:t xml:space="preserve"> del presente Dictamen.</w:t>
      </w:r>
    </w:p>
    <w:p w:rsidR="00C5790F" w:rsidRDefault="00FF4FFC" w:rsidP="00642B7F">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 </w:t>
      </w:r>
    </w:p>
    <w:p w:rsidR="00642B7F" w:rsidRDefault="00C5790F" w:rsidP="00642B7F">
      <w:pPr>
        <w:autoSpaceDE w:val="0"/>
        <w:autoSpaceDN w:val="0"/>
        <w:adjustRightInd w:val="0"/>
        <w:spacing w:afterLines="120" w:after="288" w:line="240" w:lineRule="auto"/>
        <w:ind w:left="567" w:right="615"/>
        <w:jc w:val="right"/>
        <w:rPr>
          <w:rFonts w:ascii="ITC Avant Garde" w:hAnsi="ITC Avant Garde" w:cs="Tahoma"/>
          <w:bCs/>
          <w:i/>
          <w:sz w:val="18"/>
          <w:szCs w:val="18"/>
          <w:lang w:eastAsia="es-MX"/>
        </w:rPr>
      </w:pPr>
      <w:r>
        <w:rPr>
          <w:rFonts w:ascii="ITC Avant Garde" w:hAnsi="ITC Avant Garde" w:cs="Tahoma"/>
          <w:bCs/>
          <w:i/>
          <w:sz w:val="18"/>
          <w:szCs w:val="18"/>
          <w:lang w:eastAsia="es-MX"/>
        </w:rPr>
        <w:t>[Énfasis añadido</w:t>
      </w:r>
      <w:r w:rsidR="00FF4FFC" w:rsidRPr="004E69E8">
        <w:rPr>
          <w:rFonts w:ascii="ITC Avant Garde" w:hAnsi="ITC Avant Garde" w:cs="Tahoma"/>
          <w:bCs/>
          <w:i/>
          <w:sz w:val="18"/>
          <w:szCs w:val="18"/>
          <w:lang w:eastAsia="es-MX"/>
        </w:rPr>
        <w:t>]</w:t>
      </w:r>
    </w:p>
    <w:p w:rsidR="00642B7F" w:rsidRDefault="00E95DC8" w:rsidP="00642B7F">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bCs/>
        </w:rPr>
        <w:t xml:space="preserve">De lo anterior se desprende que la Solicitud </w:t>
      </w:r>
      <w:r w:rsidR="00D61262" w:rsidRPr="004E69E8">
        <w:rPr>
          <w:rFonts w:ascii="ITC Avant Garde" w:hAnsi="ITC Avant Garde"/>
          <w:bCs/>
        </w:rPr>
        <w:t>de Servicio</w:t>
      </w:r>
      <w:r w:rsidR="00BC07BB" w:rsidRPr="004E69E8">
        <w:rPr>
          <w:rFonts w:ascii="ITC Avant Garde" w:hAnsi="ITC Avant Garde"/>
          <w:bCs/>
        </w:rPr>
        <w:t>s</w:t>
      </w:r>
      <w:r w:rsidR="00D61262" w:rsidRPr="004E69E8">
        <w:rPr>
          <w:rFonts w:ascii="ITC Avant Garde" w:hAnsi="ITC Avant Garde"/>
          <w:bCs/>
        </w:rPr>
        <w:t xml:space="preserve"> Adicional</w:t>
      </w:r>
      <w:r w:rsidR="00BC07BB" w:rsidRPr="004E69E8">
        <w:rPr>
          <w:rFonts w:ascii="ITC Avant Garde" w:hAnsi="ITC Avant Garde"/>
          <w:bCs/>
        </w:rPr>
        <w:t>es</w:t>
      </w:r>
      <w:r w:rsidR="00512DF8">
        <w:rPr>
          <w:rFonts w:ascii="ITC Avant Garde" w:hAnsi="ITC Avant Garde"/>
          <w:bCs/>
        </w:rPr>
        <w:t xml:space="preserve"> presentada por</w:t>
      </w:r>
      <w:r w:rsidR="000170A9">
        <w:rPr>
          <w:rFonts w:ascii="ITC Avant Garde" w:hAnsi="ITC Avant Garde"/>
          <w:bCs/>
        </w:rPr>
        <w:t xml:space="preserve"> </w:t>
      </w:r>
      <w:r w:rsidR="007823C4" w:rsidRPr="007823C4">
        <w:rPr>
          <w:rFonts w:ascii="ITC Avant Garde" w:hAnsi="ITC Avant Garde"/>
          <w:bCs/>
        </w:rPr>
        <w:t>Tele Comarca</w:t>
      </w:r>
      <w:r w:rsidR="00977B0C" w:rsidRPr="005B771E">
        <w:rPr>
          <w:rFonts w:ascii="ITC Avant Garde" w:hAnsi="ITC Avant Garde"/>
          <w:bCs/>
          <w:color w:val="000000"/>
          <w:lang w:eastAsia="es-MX"/>
        </w:rPr>
        <w:t>, S.A. de C.V.</w:t>
      </w:r>
      <w:r w:rsidR="00977B0C">
        <w:rPr>
          <w:rFonts w:ascii="ITC Avant Garde" w:hAnsi="ITC Avant Garde"/>
          <w:bCs/>
          <w:color w:val="000000"/>
          <w:lang w:eastAsia="es-MX"/>
        </w:rPr>
        <w:t xml:space="preserve"> </w:t>
      </w:r>
      <w:r w:rsidR="00114C74">
        <w:rPr>
          <w:rFonts w:ascii="ITC Avant Garde" w:hAnsi="ITC Avant Garde"/>
          <w:bCs/>
        </w:rPr>
        <w:t>es</w:t>
      </w:r>
      <w:r w:rsidRPr="004E69E8">
        <w:rPr>
          <w:rFonts w:ascii="ITC Avant Garde" w:hAnsi="ITC Avant Garde"/>
          <w:bCs/>
        </w:rPr>
        <w:t xml:space="preserve"> consistente con la política de planeación del espectro radioeléctrico que tiene encomendada el Instituto por mandato constitucional y legal. </w:t>
      </w:r>
      <w:r w:rsidR="006E3BA2" w:rsidRPr="004E69E8">
        <w:rPr>
          <w:rFonts w:ascii="ITC Avant Garde" w:hAnsi="ITC Avant Garde" w:cs="Tahoma"/>
          <w:bCs/>
          <w:lang w:eastAsia="es-MX"/>
        </w:rPr>
        <w:t xml:space="preserve">En </w:t>
      </w:r>
      <w:r w:rsidR="00F66542" w:rsidRPr="004E69E8">
        <w:rPr>
          <w:rFonts w:ascii="ITC Avant Garde" w:hAnsi="ITC Avant Garde" w:cs="Tahoma"/>
          <w:bCs/>
          <w:lang w:eastAsia="es-MX"/>
        </w:rPr>
        <w:t>razón de lo anterior</w:t>
      </w:r>
      <w:r w:rsidR="00AD4B73" w:rsidRPr="004E69E8">
        <w:rPr>
          <w:rFonts w:ascii="ITC Avant Garde" w:hAnsi="ITC Avant Garde" w:cs="Tahoma"/>
          <w:bCs/>
          <w:lang w:eastAsia="es-MX"/>
        </w:rPr>
        <w:t>,</w:t>
      </w:r>
      <w:r w:rsidR="00F66542" w:rsidRPr="004E69E8">
        <w:rPr>
          <w:rFonts w:ascii="ITC Avant Garde" w:hAnsi="ITC Avant Garde" w:cs="Tahoma"/>
          <w:bCs/>
          <w:lang w:eastAsia="es-MX"/>
        </w:rPr>
        <w:t xml:space="preserve"> </w:t>
      </w:r>
      <w:r w:rsidR="00593A33" w:rsidRPr="004E69E8">
        <w:rPr>
          <w:rFonts w:ascii="ITC Avant Garde" w:hAnsi="ITC Avant Garde" w:cs="Tahoma"/>
          <w:bCs/>
          <w:lang w:eastAsia="es-MX"/>
        </w:rPr>
        <w:t>no obstante que el numeral VII.1 de los Lineamientos señala que la autorización que en su caso emita el Instituto respecto de solicitudes de servicios adicionales, será sin perjuicio de la obligación de prestar los servicios contemplados en las concesiones de que se tr</w:t>
      </w:r>
      <w:r w:rsidR="00E87741" w:rsidRPr="004E69E8">
        <w:rPr>
          <w:rFonts w:ascii="ITC Avant Garde" w:hAnsi="ITC Avant Garde" w:cs="Tahoma"/>
          <w:bCs/>
          <w:lang w:eastAsia="es-MX"/>
        </w:rPr>
        <w:t xml:space="preserve">ate, para el caso que nos ocupa, </w:t>
      </w:r>
      <w:r w:rsidR="008D1B24" w:rsidRPr="004E69E8">
        <w:rPr>
          <w:rFonts w:ascii="ITC Avant Garde" w:hAnsi="ITC Avant Garde" w:cs="Tahoma"/>
          <w:bCs/>
          <w:lang w:eastAsia="es-MX"/>
        </w:rPr>
        <w:t>se debe considerar que</w:t>
      </w:r>
      <w:r w:rsidR="005049F1" w:rsidRPr="004E69E8">
        <w:rPr>
          <w:rFonts w:ascii="ITC Avant Garde" w:hAnsi="ITC Avant Garde" w:cs="Tahoma"/>
          <w:bCs/>
          <w:lang w:eastAsia="es-MX"/>
        </w:rPr>
        <w:t>:</w:t>
      </w:r>
      <w:r w:rsidR="006671D4" w:rsidRPr="004E69E8">
        <w:rPr>
          <w:rFonts w:ascii="ITC Avant Garde" w:hAnsi="ITC Avant Garde" w:cs="Tahoma"/>
          <w:bCs/>
          <w:lang w:eastAsia="es-MX"/>
        </w:rPr>
        <w:t xml:space="preserve"> </w:t>
      </w:r>
      <w:r w:rsidR="005049F1" w:rsidRPr="004E69E8">
        <w:rPr>
          <w:rFonts w:ascii="ITC Avant Garde" w:hAnsi="ITC Avant Garde" w:cs="Tahoma"/>
          <w:bCs/>
          <w:lang w:eastAsia="es-MX"/>
        </w:rPr>
        <w:t>a)</w:t>
      </w:r>
      <w:r w:rsidR="00512DF8">
        <w:rPr>
          <w:rFonts w:ascii="ITC Avant Garde" w:hAnsi="ITC Avant Garde" w:cs="Tahoma"/>
          <w:bCs/>
          <w:lang w:eastAsia="es-MX"/>
        </w:rPr>
        <w:t xml:space="preserve"> la</w:t>
      </w:r>
      <w:r w:rsidR="008D1B24" w:rsidRPr="004E69E8">
        <w:rPr>
          <w:rFonts w:ascii="ITC Avant Garde" w:hAnsi="ITC Avant Garde" w:cs="Tahoma"/>
          <w:bCs/>
          <w:lang w:eastAsia="es-MX"/>
        </w:rPr>
        <w:t xml:space="preserve"> C</w:t>
      </w:r>
      <w:r w:rsidR="00512DF8">
        <w:rPr>
          <w:rFonts w:ascii="ITC Avant Garde" w:hAnsi="ITC Avant Garde" w:cs="Tahoma"/>
          <w:bCs/>
          <w:lang w:eastAsia="es-MX"/>
        </w:rPr>
        <w:t>oncesión</w:t>
      </w:r>
      <w:r w:rsidR="008D1B24" w:rsidRPr="004E69E8">
        <w:rPr>
          <w:rFonts w:ascii="ITC Avant Garde" w:hAnsi="ITC Avant Garde" w:cs="Tahoma"/>
          <w:bCs/>
          <w:lang w:eastAsia="es-MX"/>
        </w:rPr>
        <w:t xml:space="preserve"> de Bandas </w:t>
      </w:r>
      <w:r w:rsidR="00696270" w:rsidRPr="004E69E8">
        <w:rPr>
          <w:rFonts w:ascii="ITC Avant Garde" w:hAnsi="ITC Avant Garde" w:cs="Tahoma"/>
          <w:bCs/>
          <w:lang w:eastAsia="es-MX"/>
        </w:rPr>
        <w:t>prevé</w:t>
      </w:r>
      <w:r w:rsidR="008D1B24" w:rsidRPr="004E69E8">
        <w:rPr>
          <w:rFonts w:ascii="ITC Avant Garde" w:hAnsi="ITC Avant Garde" w:cs="Tahoma"/>
          <w:bCs/>
          <w:lang w:eastAsia="es-MX"/>
        </w:rPr>
        <w:t xml:space="preserve"> en la condición 2.1 “</w:t>
      </w:r>
      <w:r w:rsidR="008D1B24" w:rsidRPr="004E69E8">
        <w:rPr>
          <w:rFonts w:ascii="ITC Avant Garde" w:hAnsi="ITC Avant Garde" w:cs="Tahoma"/>
          <w:bCs/>
          <w:i/>
          <w:lang w:eastAsia="es-MX"/>
        </w:rPr>
        <w:t>Servicios Adicionales</w:t>
      </w:r>
      <w:r w:rsidR="008D1B24" w:rsidRPr="004E69E8">
        <w:rPr>
          <w:rFonts w:ascii="ITC Avant Garde" w:hAnsi="ITC Avant Garde" w:cs="Tahoma"/>
          <w:bCs/>
          <w:lang w:eastAsia="es-MX"/>
        </w:rPr>
        <w:t xml:space="preserve">” la obligación para </w:t>
      </w:r>
      <w:r w:rsidR="007823C4" w:rsidRPr="008D738A">
        <w:rPr>
          <w:rFonts w:ascii="ITC Avant Garde" w:hAnsi="ITC Avant Garde"/>
          <w:bCs/>
          <w:color w:val="000000"/>
          <w:lang w:eastAsia="es-MX"/>
        </w:rPr>
        <w:t>Tele Comarca</w:t>
      </w:r>
      <w:r w:rsidR="00977B0C" w:rsidRPr="005B771E">
        <w:rPr>
          <w:rFonts w:ascii="ITC Avant Garde" w:hAnsi="ITC Avant Garde"/>
          <w:bCs/>
          <w:color w:val="000000"/>
          <w:lang w:eastAsia="es-MX"/>
        </w:rPr>
        <w:t>, S.A. de C.V.</w:t>
      </w:r>
      <w:r w:rsidR="008D1B24" w:rsidRPr="004E69E8">
        <w:rPr>
          <w:rFonts w:ascii="ITC Avant Garde" w:hAnsi="ITC Avant Garde" w:cs="Tahoma"/>
          <w:bCs/>
          <w:lang w:eastAsia="es-MX"/>
        </w:rPr>
        <w:t xml:space="preserve"> de prestar servicios de acceso inalámbrico</w:t>
      </w:r>
      <w:r w:rsidR="005049F1" w:rsidRPr="004E69E8">
        <w:rPr>
          <w:rFonts w:ascii="ITC Avant Garde" w:hAnsi="ITC Avant Garde" w:cs="Tahoma"/>
          <w:bCs/>
          <w:lang w:eastAsia="es-MX"/>
        </w:rPr>
        <w:t>; b)</w:t>
      </w:r>
      <w:r w:rsidR="008D1B24" w:rsidRPr="004E69E8">
        <w:rPr>
          <w:rFonts w:ascii="ITC Avant Garde" w:hAnsi="ITC Avant Garde" w:cs="Tahoma"/>
          <w:bCs/>
          <w:lang w:eastAsia="es-MX"/>
        </w:rPr>
        <w:t xml:space="preserve"> por su parte, en la condición 16 “</w:t>
      </w:r>
      <w:r w:rsidR="008D1B24" w:rsidRPr="004E69E8">
        <w:rPr>
          <w:rFonts w:ascii="ITC Avant Garde" w:hAnsi="ITC Avant Garde" w:cs="Tahoma"/>
          <w:bCs/>
          <w:i/>
          <w:lang w:eastAsia="es-MX"/>
        </w:rPr>
        <w:t>Uso eficiente del espectro</w:t>
      </w:r>
      <w:r w:rsidR="008D1B24" w:rsidRPr="004E69E8">
        <w:rPr>
          <w:rFonts w:ascii="ITC Avant Garde" w:hAnsi="ITC Avant Garde" w:cs="Tahoma"/>
          <w:bCs/>
          <w:lang w:eastAsia="es-MX"/>
        </w:rPr>
        <w:t xml:space="preserve">” se estableció la posibilidad de que </w:t>
      </w:r>
      <w:r w:rsidR="007823C4" w:rsidRPr="008D738A">
        <w:rPr>
          <w:rFonts w:ascii="ITC Avant Garde" w:hAnsi="ITC Avant Garde"/>
          <w:bCs/>
          <w:color w:val="000000"/>
          <w:lang w:eastAsia="es-MX"/>
        </w:rPr>
        <w:t>Tele Comarca</w:t>
      </w:r>
      <w:r w:rsidR="00977B0C" w:rsidRPr="005B771E">
        <w:rPr>
          <w:rFonts w:ascii="ITC Avant Garde" w:hAnsi="ITC Avant Garde"/>
          <w:bCs/>
          <w:color w:val="000000"/>
          <w:lang w:eastAsia="es-MX"/>
        </w:rPr>
        <w:t>, S.A. de C.V.</w:t>
      </w:r>
      <w:r w:rsidR="008D1B24" w:rsidRPr="004E69E8">
        <w:rPr>
          <w:rFonts w:ascii="ITC Avant Garde" w:hAnsi="ITC Avant Garde" w:cs="Tahoma"/>
          <w:bCs/>
          <w:lang w:eastAsia="es-MX"/>
        </w:rPr>
        <w:t xml:space="preserve"> interrumpiera los servicios de televisión y audio restringidos a efecto de prestar servicios de acceso inalámbrico. </w:t>
      </w:r>
      <w:r w:rsidR="004A4B7D" w:rsidRPr="0065453A">
        <w:rPr>
          <w:rFonts w:ascii="ITC Avant Garde" w:hAnsi="ITC Avant Garde" w:cs="Tahoma"/>
          <w:bCs/>
          <w:lang w:eastAsia="es-MX"/>
        </w:rPr>
        <w:t xml:space="preserve">Es decir, tales </w:t>
      </w:r>
      <w:r w:rsidR="004A4B7D" w:rsidRPr="0065453A">
        <w:rPr>
          <w:rFonts w:ascii="ITC Avant Garde" w:hAnsi="ITC Avant Garde" w:cs="Tahoma"/>
          <w:bCs/>
          <w:lang w:eastAsia="es-MX"/>
        </w:rPr>
        <w:lastRenderedPageBreak/>
        <w:t>condiciones presuponen la posibilidad de dejar de prestar los servicios de televisión y audio restringidos originalmente concesionados</w:t>
      </w:r>
      <w:r w:rsidR="005049F1" w:rsidRPr="004E69E8">
        <w:rPr>
          <w:rFonts w:ascii="ITC Avant Garde" w:hAnsi="ITC Avant Garde" w:cs="Tahoma"/>
          <w:bCs/>
          <w:lang w:eastAsia="es-MX"/>
        </w:rPr>
        <w:t xml:space="preserve">. </w:t>
      </w:r>
    </w:p>
    <w:p w:rsidR="00642B7F" w:rsidRDefault="005049F1" w:rsidP="00642B7F">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cs="Tahoma"/>
          <w:bCs/>
          <w:lang w:eastAsia="es-MX"/>
        </w:rPr>
        <w:t>Adicionalmente,</w:t>
      </w:r>
      <w:r w:rsidR="00AD4B73" w:rsidRPr="004E69E8">
        <w:rPr>
          <w:rFonts w:ascii="ITC Avant Garde" w:hAnsi="ITC Avant Garde" w:cs="Tahoma"/>
          <w:bCs/>
          <w:lang w:eastAsia="es-MX"/>
        </w:rPr>
        <w:t xml:space="preserve"> para el caso que nos ocupa</w:t>
      </w:r>
      <w:r w:rsidR="0003155D" w:rsidRPr="004E69E8">
        <w:rPr>
          <w:rFonts w:ascii="ITC Avant Garde" w:hAnsi="ITC Avant Garde" w:cs="Tahoma"/>
          <w:bCs/>
          <w:lang w:eastAsia="es-MX"/>
        </w:rPr>
        <w:t>,</w:t>
      </w:r>
      <w:r w:rsidR="00AD4B73" w:rsidRPr="004E69E8">
        <w:rPr>
          <w:rFonts w:ascii="ITC Avant Garde" w:hAnsi="ITC Avant Garde" w:cs="Tahoma"/>
          <w:bCs/>
          <w:lang w:eastAsia="es-MX"/>
        </w:rPr>
        <w:t xml:space="preserve"> debido a los avances tecnológicos en materia de</w:t>
      </w:r>
      <w:r w:rsidRPr="004E69E8">
        <w:rPr>
          <w:rFonts w:ascii="ITC Avant Garde" w:hAnsi="ITC Avant Garde" w:cs="Tahoma"/>
          <w:bCs/>
          <w:lang w:eastAsia="es-MX"/>
        </w:rPr>
        <w:t xml:space="preserve"> </w:t>
      </w:r>
      <w:r w:rsidR="00AD4B73" w:rsidRPr="004E69E8">
        <w:rPr>
          <w:rFonts w:ascii="ITC Avant Garde" w:hAnsi="ITC Avant Garde" w:cs="Tahoma"/>
          <w:bCs/>
          <w:lang w:eastAsia="es-MX"/>
        </w:rPr>
        <w:t>radiocomunicaciones y la armonización a nivel mundial y regional en el uso de la banda de frecuencias de 2.5 GHz para servicios móviles de banda ancha, se considera que la operación de los sistemas de los servicios de televisión y audio restringidos, no es consistente con las acciones de planificación espectral implementadas por el Instituto, orientadas a promover el uso, aprovechamiento y explotación eficientes del espectro radioeléctrico. Con base en lo anterior y dado que la Concesi</w:t>
      </w:r>
      <w:r w:rsidR="00C73FD4">
        <w:rPr>
          <w:rFonts w:ascii="ITC Avant Garde" w:hAnsi="ITC Avant Garde" w:cs="Tahoma"/>
          <w:bCs/>
          <w:lang w:eastAsia="es-MX"/>
        </w:rPr>
        <w:t>ón</w:t>
      </w:r>
      <w:r w:rsidR="00AD4B73" w:rsidRPr="004E69E8">
        <w:rPr>
          <w:rFonts w:ascii="ITC Avant Garde" w:hAnsi="ITC Avant Garde" w:cs="Tahoma"/>
          <w:bCs/>
          <w:lang w:eastAsia="es-MX"/>
        </w:rPr>
        <w:t xml:space="preserve"> de Bandas contiene condiciones afines a los servicios de televisión </w:t>
      </w:r>
      <w:r w:rsidR="00E17587" w:rsidRPr="004E69E8">
        <w:rPr>
          <w:rFonts w:ascii="ITC Avant Garde" w:hAnsi="ITC Avant Garde" w:cs="Tahoma"/>
          <w:bCs/>
          <w:lang w:eastAsia="es-MX"/>
        </w:rPr>
        <w:t>y audio restringidos</w:t>
      </w:r>
      <w:r w:rsidR="001A3275">
        <w:rPr>
          <w:rFonts w:ascii="ITC Avant Garde" w:hAnsi="ITC Avant Garde" w:cs="Tahoma"/>
          <w:bCs/>
          <w:lang w:eastAsia="es-MX"/>
        </w:rPr>
        <w:t xml:space="preserve"> originalmente concesionados</w:t>
      </w:r>
      <w:r w:rsidR="00AD4B73" w:rsidRPr="004E69E8">
        <w:rPr>
          <w:rFonts w:ascii="ITC Avant Garde" w:hAnsi="ITC Avant Garde" w:cs="Tahoma"/>
          <w:bCs/>
          <w:lang w:eastAsia="es-MX"/>
        </w:rPr>
        <w:t xml:space="preserve">, se considera necesaria la emisión de </w:t>
      </w:r>
      <w:r w:rsidR="00C73FD4">
        <w:rPr>
          <w:rFonts w:ascii="ITC Avant Garde" w:hAnsi="ITC Avant Garde" w:cs="Tahoma"/>
          <w:bCs/>
          <w:lang w:eastAsia="es-MX"/>
        </w:rPr>
        <w:t>un nuevo título</w:t>
      </w:r>
      <w:r w:rsidR="00AD4B73" w:rsidRPr="004E69E8">
        <w:rPr>
          <w:rFonts w:ascii="ITC Avant Garde" w:hAnsi="ITC Avant Garde" w:cs="Tahoma"/>
          <w:bCs/>
          <w:lang w:eastAsia="es-MX"/>
        </w:rPr>
        <w:t xml:space="preserve"> de concesión para usar, aprovechar y explotar bandas de frecuencias del espec</w:t>
      </w:r>
      <w:r w:rsidR="00C73FD4">
        <w:rPr>
          <w:rFonts w:ascii="ITC Avant Garde" w:hAnsi="ITC Avant Garde" w:cs="Tahoma"/>
          <w:bCs/>
          <w:lang w:eastAsia="es-MX"/>
        </w:rPr>
        <w:t>tro radioeléctrico que contenga</w:t>
      </w:r>
      <w:r w:rsidR="00AD4B73" w:rsidRPr="004E69E8">
        <w:rPr>
          <w:rFonts w:ascii="ITC Avant Garde" w:hAnsi="ITC Avant Garde" w:cs="Tahoma"/>
          <w:bCs/>
          <w:lang w:eastAsia="es-MX"/>
        </w:rPr>
        <w:t xml:space="preserve"> condiciones técnicas acordes al servicio de acceso inalámbrico objeto de la Solicitud de Servicios </w:t>
      </w:r>
      <w:r w:rsidR="007F583C" w:rsidRPr="004E69E8">
        <w:rPr>
          <w:rFonts w:ascii="ITC Avant Garde" w:hAnsi="ITC Avant Garde" w:cs="Tahoma"/>
          <w:bCs/>
          <w:lang w:eastAsia="es-MX"/>
        </w:rPr>
        <w:t>Adicionales</w:t>
      </w:r>
      <w:r w:rsidR="00AD4B73" w:rsidRPr="004E69E8">
        <w:rPr>
          <w:rFonts w:ascii="ITC Avant Garde" w:hAnsi="ITC Avant Garde" w:cs="Tahoma"/>
          <w:bCs/>
          <w:lang w:eastAsia="es-MX"/>
        </w:rPr>
        <w:t>.</w:t>
      </w:r>
      <w:r w:rsidR="005E6344" w:rsidRPr="004E69E8">
        <w:rPr>
          <w:rFonts w:ascii="ITC Avant Garde" w:hAnsi="ITC Avant Garde" w:cs="Tahoma"/>
          <w:bCs/>
          <w:lang w:eastAsia="es-MX"/>
        </w:rPr>
        <w:t xml:space="preserve"> </w:t>
      </w:r>
    </w:p>
    <w:p w:rsidR="00642B7F" w:rsidRDefault="00B8213C" w:rsidP="00642B7F">
      <w:pPr>
        <w:autoSpaceDE w:val="0"/>
        <w:autoSpaceDN w:val="0"/>
        <w:adjustRightInd w:val="0"/>
        <w:spacing w:afterLines="120" w:after="288" w:line="240" w:lineRule="auto"/>
        <w:jc w:val="both"/>
        <w:rPr>
          <w:rFonts w:ascii="ITC Avant Garde" w:hAnsi="ITC Avant Garde" w:cs="Tahoma"/>
          <w:bCs/>
          <w:lang w:eastAsia="es-MX"/>
        </w:rPr>
      </w:pPr>
      <w:r w:rsidRPr="00A07EAA">
        <w:rPr>
          <w:rFonts w:ascii="ITC Avant Garde" w:hAnsi="ITC Avant Garde"/>
          <w:bCs/>
        </w:rPr>
        <w:t>Asimismo, y como este Pleno ya lo ha resuelto en otras ocasiones, se considera que la unidad mínima para establecer la cobertura en el título de concesión que, en su caso, se otorgue sea el municipio, bajo la consideración de que se mantendrá dicha área de cobertura aún ante las modificaciones que pudiera sufrir el mismo, derivado de cambios de nombre y/o división geográfica del municipio en más entidades municipales, conforme a lo indicado en los últimos archivos publicados por el Instituto Nacional de Estadística y Geografía.</w:t>
      </w:r>
    </w:p>
    <w:p w:rsidR="00642B7F" w:rsidRDefault="005E6344" w:rsidP="00642B7F">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cs="Tahoma"/>
          <w:bCs/>
          <w:lang w:eastAsia="es-MX"/>
        </w:rPr>
        <w:t>En ese sentido,</w:t>
      </w:r>
      <w:r w:rsidR="00AF1BD7" w:rsidRPr="004E69E8">
        <w:rPr>
          <w:rFonts w:ascii="ITC Avant Garde" w:hAnsi="ITC Avant Garde" w:cs="Tahoma"/>
          <w:bCs/>
          <w:lang w:eastAsia="es-MX"/>
        </w:rPr>
        <w:t xml:space="preserve"> una vez que se otorgue </w:t>
      </w:r>
      <w:r w:rsidR="00C73FD4">
        <w:rPr>
          <w:rFonts w:ascii="ITC Avant Garde" w:hAnsi="ITC Avant Garde" w:cs="Tahoma"/>
          <w:bCs/>
          <w:lang w:eastAsia="es-MX"/>
        </w:rPr>
        <w:t>un</w:t>
      </w:r>
      <w:r w:rsidR="00AF1BD7" w:rsidRPr="004E69E8">
        <w:rPr>
          <w:rFonts w:ascii="ITC Avant Garde" w:hAnsi="ITC Avant Garde" w:cs="Tahoma"/>
          <w:bCs/>
          <w:lang w:eastAsia="es-MX"/>
        </w:rPr>
        <w:t xml:space="preserve"> nuevo</w:t>
      </w:r>
      <w:r w:rsidR="00C73FD4">
        <w:rPr>
          <w:rFonts w:ascii="ITC Avant Garde" w:hAnsi="ITC Avant Garde" w:cs="Tahoma"/>
          <w:bCs/>
          <w:lang w:eastAsia="es-MX"/>
        </w:rPr>
        <w:t xml:space="preserve"> título</w:t>
      </w:r>
      <w:r w:rsidR="00AF1BD7" w:rsidRPr="004E69E8">
        <w:rPr>
          <w:rFonts w:ascii="ITC Avant Garde" w:hAnsi="ITC Avant Garde" w:cs="Tahoma"/>
          <w:bCs/>
          <w:lang w:eastAsia="es-MX"/>
        </w:rPr>
        <w:t xml:space="preserve"> de concesión para usar, aprovechar y explotar bandas de frecuencia</w:t>
      </w:r>
      <w:r w:rsidR="00FC1206">
        <w:rPr>
          <w:rFonts w:ascii="ITC Avant Garde" w:hAnsi="ITC Avant Garde" w:cs="Tahoma"/>
          <w:bCs/>
          <w:lang w:eastAsia="es-MX"/>
        </w:rPr>
        <w:t>s del espectro radioeléctrico a</w:t>
      </w:r>
      <w:r w:rsidR="00FC1206">
        <w:rPr>
          <w:rFonts w:ascii="ITC Avant Garde" w:hAnsi="ITC Avant Garde"/>
          <w:bCs/>
        </w:rPr>
        <w:t xml:space="preserve"> </w:t>
      </w:r>
      <w:r w:rsidR="007823C4" w:rsidRPr="008D738A">
        <w:rPr>
          <w:rFonts w:ascii="ITC Avant Garde" w:hAnsi="ITC Avant Garde"/>
          <w:bCs/>
          <w:color w:val="000000"/>
          <w:lang w:eastAsia="es-MX"/>
        </w:rPr>
        <w:t>Tele Comarca</w:t>
      </w:r>
      <w:r w:rsidR="00977B0C" w:rsidRPr="005B771E">
        <w:rPr>
          <w:rFonts w:ascii="ITC Avant Garde" w:hAnsi="ITC Avant Garde"/>
          <w:bCs/>
          <w:color w:val="000000"/>
          <w:lang w:eastAsia="es-MX"/>
        </w:rPr>
        <w:t>, S.A. de C.V.</w:t>
      </w:r>
      <w:r w:rsidR="00AF1BD7" w:rsidRPr="004E69E8">
        <w:rPr>
          <w:rFonts w:ascii="ITC Avant Garde" w:hAnsi="ITC Avant Garde" w:cs="Tahoma"/>
          <w:bCs/>
          <w:lang w:eastAsia="es-MX"/>
        </w:rPr>
        <w:t>, la Concesi</w:t>
      </w:r>
      <w:r w:rsidR="00520E4F">
        <w:rPr>
          <w:rFonts w:ascii="ITC Avant Garde" w:hAnsi="ITC Avant Garde" w:cs="Tahoma"/>
          <w:bCs/>
          <w:lang w:eastAsia="es-MX"/>
        </w:rPr>
        <w:t>ón</w:t>
      </w:r>
      <w:r w:rsidR="00AF1BD7" w:rsidRPr="004E69E8">
        <w:rPr>
          <w:rFonts w:ascii="ITC Avant Garde" w:hAnsi="ITC Avant Garde" w:cs="Tahoma"/>
          <w:bCs/>
          <w:lang w:eastAsia="es-MX"/>
        </w:rPr>
        <w:t xml:space="preserve"> de Bandas se tendrá por extinguida.</w:t>
      </w:r>
    </w:p>
    <w:p w:rsidR="00642B7F" w:rsidRDefault="00AD4B73" w:rsidP="00642B7F">
      <w:pPr>
        <w:spacing w:afterLines="120" w:after="288" w:line="240" w:lineRule="auto"/>
        <w:jc w:val="both"/>
        <w:rPr>
          <w:rFonts w:ascii="ITC Avant Garde" w:hAnsi="ITC Avant Garde" w:cs="Tahoma"/>
          <w:bCs/>
          <w:lang w:eastAsia="es-MX"/>
        </w:rPr>
      </w:pPr>
      <w:r w:rsidRPr="004E69E8">
        <w:rPr>
          <w:rFonts w:ascii="ITC Avant Garde" w:hAnsi="ITC Avant Garde" w:cs="Arial"/>
          <w:bCs/>
          <w:color w:val="000000"/>
          <w:shd w:val="clear" w:color="auto" w:fill="FFFFFF"/>
        </w:rPr>
        <w:t xml:space="preserve">Para lo anterior, mediante oficio </w:t>
      </w:r>
      <w:r w:rsidR="00745AD1" w:rsidRPr="00A61D6E">
        <w:rPr>
          <w:rFonts w:ascii="ITC Avant Garde" w:hAnsi="ITC Avant Garde" w:cs="Arial"/>
          <w:bCs/>
          <w:color w:val="000000"/>
          <w:shd w:val="clear" w:color="auto" w:fill="FFFFFF"/>
        </w:rPr>
        <w:t>IFT/222/UER/DG</w:t>
      </w:r>
      <w:r w:rsidR="00745AD1">
        <w:rPr>
          <w:rFonts w:ascii="ITC Avant Garde" w:hAnsi="ITC Avant Garde" w:cs="Arial"/>
          <w:bCs/>
          <w:color w:val="000000"/>
          <w:shd w:val="clear" w:color="auto" w:fill="FFFFFF"/>
        </w:rPr>
        <w:t>-</w:t>
      </w:r>
      <w:r w:rsidR="00745AD1" w:rsidRPr="00A61D6E">
        <w:rPr>
          <w:rFonts w:ascii="ITC Avant Garde" w:hAnsi="ITC Avant Garde" w:cs="Arial"/>
          <w:bCs/>
          <w:color w:val="000000"/>
          <w:shd w:val="clear" w:color="auto" w:fill="FFFFFF"/>
        </w:rPr>
        <w:t>P</w:t>
      </w:r>
      <w:r w:rsidR="00745AD1">
        <w:rPr>
          <w:rFonts w:ascii="ITC Avant Garde" w:hAnsi="ITC Avant Garde" w:cs="Arial"/>
          <w:bCs/>
          <w:color w:val="000000"/>
          <w:shd w:val="clear" w:color="auto" w:fill="FFFFFF"/>
        </w:rPr>
        <w:t>L</w:t>
      </w:r>
      <w:r w:rsidR="00745AD1" w:rsidRPr="00A61D6E">
        <w:rPr>
          <w:rFonts w:ascii="ITC Avant Garde" w:hAnsi="ITC Avant Garde" w:cs="Arial"/>
          <w:bCs/>
          <w:color w:val="000000"/>
          <w:shd w:val="clear" w:color="auto" w:fill="FFFFFF"/>
        </w:rPr>
        <w:t>E</w:t>
      </w:r>
      <w:r w:rsidR="00745AD1">
        <w:rPr>
          <w:rFonts w:ascii="ITC Avant Garde" w:hAnsi="ITC Avant Garde" w:cs="Arial"/>
          <w:bCs/>
          <w:color w:val="000000"/>
          <w:shd w:val="clear" w:color="auto" w:fill="FFFFFF"/>
        </w:rPr>
        <w:t>S</w:t>
      </w:r>
      <w:r w:rsidR="00745AD1" w:rsidRPr="00A61D6E">
        <w:rPr>
          <w:rFonts w:ascii="ITC Avant Garde" w:hAnsi="ITC Avant Garde" w:cs="Arial"/>
          <w:bCs/>
          <w:color w:val="000000"/>
          <w:shd w:val="clear" w:color="auto" w:fill="FFFFFF"/>
        </w:rPr>
        <w:t>/</w:t>
      </w:r>
      <w:r w:rsidR="004A4B7D">
        <w:rPr>
          <w:rFonts w:ascii="ITC Avant Garde" w:hAnsi="ITC Avant Garde" w:cs="Arial"/>
          <w:bCs/>
          <w:color w:val="000000"/>
          <w:shd w:val="clear" w:color="auto" w:fill="FFFFFF"/>
        </w:rPr>
        <w:t>032</w:t>
      </w:r>
      <w:r w:rsidR="00745AD1" w:rsidRPr="00A61D6E">
        <w:rPr>
          <w:rFonts w:ascii="ITC Avant Garde" w:hAnsi="ITC Avant Garde" w:cs="Arial"/>
          <w:bCs/>
          <w:color w:val="000000"/>
          <w:shd w:val="clear" w:color="auto" w:fill="FFFFFF"/>
        </w:rPr>
        <w:t xml:space="preserve">/2017 de fecha </w:t>
      </w:r>
      <w:r w:rsidR="00EC0611">
        <w:rPr>
          <w:rFonts w:ascii="ITC Avant Garde" w:hAnsi="ITC Avant Garde" w:cs="Arial"/>
          <w:bCs/>
          <w:color w:val="000000"/>
          <w:shd w:val="clear" w:color="auto" w:fill="FFFFFF"/>
        </w:rPr>
        <w:t>7</w:t>
      </w:r>
      <w:r w:rsidR="00745AD1">
        <w:rPr>
          <w:rFonts w:ascii="ITC Avant Garde" w:hAnsi="ITC Avant Garde" w:cs="Arial"/>
          <w:bCs/>
          <w:color w:val="000000"/>
          <w:shd w:val="clear" w:color="auto" w:fill="FFFFFF"/>
        </w:rPr>
        <w:t xml:space="preserve"> </w:t>
      </w:r>
      <w:r w:rsidR="00745AD1" w:rsidRPr="00A61D6E">
        <w:rPr>
          <w:rFonts w:ascii="ITC Avant Garde" w:hAnsi="ITC Avant Garde" w:cs="Arial"/>
          <w:bCs/>
          <w:color w:val="000000"/>
          <w:shd w:val="clear" w:color="auto" w:fill="FFFFFF"/>
        </w:rPr>
        <w:t xml:space="preserve">de </w:t>
      </w:r>
      <w:r w:rsidR="00745AD1">
        <w:rPr>
          <w:rFonts w:ascii="ITC Avant Garde" w:hAnsi="ITC Avant Garde" w:cs="Arial"/>
          <w:bCs/>
          <w:color w:val="000000"/>
          <w:shd w:val="clear" w:color="auto" w:fill="FFFFFF"/>
        </w:rPr>
        <w:t>septiembre</w:t>
      </w:r>
      <w:r w:rsidR="00745AD1" w:rsidRPr="00A61D6E">
        <w:rPr>
          <w:rFonts w:ascii="ITC Avant Garde" w:hAnsi="ITC Avant Garde" w:cs="Arial"/>
          <w:bCs/>
          <w:color w:val="000000"/>
          <w:shd w:val="clear" w:color="auto" w:fill="FFFFFF"/>
        </w:rPr>
        <w:t xml:space="preserve"> de 2017</w:t>
      </w:r>
      <w:r w:rsidRPr="004E69E8">
        <w:rPr>
          <w:rFonts w:ascii="ITC Avant Garde" w:hAnsi="ITC Avant Garde" w:cs="Arial"/>
          <w:bCs/>
          <w:color w:val="000000"/>
          <w:shd w:val="clear" w:color="auto" w:fill="FFFFFF"/>
        </w:rPr>
        <w:t xml:space="preserve">, la Unidad de Espectro Radioeléctrico, a través de la Dirección General de Planeación del Espectro remitió </w:t>
      </w:r>
      <w:r w:rsidR="00B6227E">
        <w:rPr>
          <w:rFonts w:ascii="ITC Avant Garde" w:hAnsi="ITC Avant Garde" w:cs="Arial"/>
          <w:bCs/>
          <w:color w:val="000000"/>
          <w:shd w:val="clear" w:color="auto" w:fill="FFFFFF"/>
        </w:rPr>
        <w:t>el Dicta</w:t>
      </w:r>
      <w:r w:rsidRPr="004E69E8">
        <w:rPr>
          <w:rFonts w:ascii="ITC Avant Garde" w:hAnsi="ITC Avant Garde" w:cs="Arial"/>
          <w:bCs/>
          <w:color w:val="000000"/>
          <w:shd w:val="clear" w:color="auto" w:fill="FFFFFF"/>
        </w:rPr>
        <w:t>men de Condiciones Técnicas de Operación IFT/222/UER/DG-IEET/</w:t>
      </w:r>
      <w:r w:rsidR="00520E4F">
        <w:rPr>
          <w:rFonts w:ascii="ITC Avant Garde" w:hAnsi="ITC Avant Garde" w:cs="Arial"/>
          <w:bCs/>
          <w:color w:val="000000"/>
          <w:shd w:val="clear" w:color="auto" w:fill="FFFFFF"/>
        </w:rPr>
        <w:t>112</w:t>
      </w:r>
      <w:r w:rsidR="004A4B7D">
        <w:rPr>
          <w:rFonts w:ascii="ITC Avant Garde" w:hAnsi="ITC Avant Garde" w:cs="Arial"/>
          <w:bCs/>
          <w:color w:val="000000"/>
          <w:shd w:val="clear" w:color="auto" w:fill="FFFFFF"/>
        </w:rPr>
        <w:t>3</w:t>
      </w:r>
      <w:r w:rsidRPr="004E69E8">
        <w:rPr>
          <w:rFonts w:ascii="ITC Avant Garde" w:hAnsi="ITC Avant Garde" w:cs="Arial"/>
          <w:bCs/>
          <w:color w:val="000000"/>
          <w:shd w:val="clear" w:color="auto" w:fill="FFFFFF"/>
        </w:rPr>
        <w:t>/2017</w:t>
      </w:r>
      <w:r w:rsidR="00B6227E">
        <w:rPr>
          <w:rFonts w:ascii="ITC Avant Garde" w:hAnsi="ITC Avant Garde" w:cs="Arial"/>
          <w:bCs/>
          <w:color w:val="000000"/>
          <w:shd w:val="clear" w:color="auto" w:fill="FFFFFF"/>
        </w:rPr>
        <w:t xml:space="preserve"> </w:t>
      </w:r>
      <w:r w:rsidR="00D1661B">
        <w:rPr>
          <w:rFonts w:ascii="ITC Avant Garde" w:hAnsi="ITC Avant Garde" w:cs="Arial"/>
          <w:bCs/>
          <w:color w:val="000000"/>
          <w:shd w:val="clear" w:color="auto" w:fill="FFFFFF"/>
        </w:rPr>
        <w:t>de fecha 4 de septiembre de 2017,</w:t>
      </w:r>
      <w:r w:rsidRPr="004E69E8">
        <w:rPr>
          <w:rFonts w:ascii="ITC Avant Garde" w:hAnsi="ITC Avant Garde" w:cs="Arial"/>
          <w:bCs/>
          <w:color w:val="000000"/>
          <w:shd w:val="clear" w:color="auto" w:fill="FFFFFF"/>
        </w:rPr>
        <w:t xml:space="preserve"> mismo que contiene las condiciones técnicas de operación que deberán incluirse en </w:t>
      </w:r>
      <w:r w:rsidR="00520E4F">
        <w:rPr>
          <w:rFonts w:ascii="ITC Avant Garde" w:hAnsi="ITC Avant Garde" w:cs="Arial"/>
          <w:bCs/>
          <w:color w:val="000000"/>
          <w:shd w:val="clear" w:color="auto" w:fill="FFFFFF"/>
        </w:rPr>
        <w:t>el</w:t>
      </w:r>
      <w:r w:rsidRPr="004E69E8">
        <w:rPr>
          <w:rFonts w:ascii="ITC Avant Garde" w:hAnsi="ITC Avant Garde" w:cs="Arial"/>
          <w:bCs/>
          <w:color w:val="000000"/>
          <w:shd w:val="clear" w:color="auto" w:fill="FFFFFF"/>
        </w:rPr>
        <w:t xml:space="preserve"> título de concesión </w:t>
      </w:r>
      <w:r w:rsidR="00836A14" w:rsidRPr="004E69E8">
        <w:rPr>
          <w:rFonts w:ascii="ITC Avant Garde" w:hAnsi="ITC Avant Garde" w:cs="Tahoma"/>
          <w:bCs/>
          <w:lang w:eastAsia="es-MX"/>
        </w:rPr>
        <w:t>para usar, aprovechar y explotar bandas de frecuencias del espectro radioeléctrico,</w:t>
      </w:r>
      <w:r w:rsidR="00836A14" w:rsidRPr="004E69E8">
        <w:rPr>
          <w:rFonts w:ascii="ITC Avant Garde" w:hAnsi="ITC Avant Garde" w:cs="Arial"/>
          <w:bCs/>
          <w:color w:val="000000"/>
          <w:shd w:val="clear" w:color="auto" w:fill="FFFFFF"/>
        </w:rPr>
        <w:t xml:space="preserve"> </w:t>
      </w:r>
      <w:r w:rsidRPr="004E69E8">
        <w:rPr>
          <w:rFonts w:ascii="ITC Avant Garde" w:hAnsi="ITC Avant Garde" w:cs="Arial"/>
          <w:bCs/>
          <w:color w:val="000000"/>
          <w:shd w:val="clear" w:color="auto" w:fill="FFFFFF"/>
        </w:rPr>
        <w:t xml:space="preserve">que en su caso se </w:t>
      </w:r>
      <w:r w:rsidR="00836A14" w:rsidRPr="004E69E8">
        <w:rPr>
          <w:rFonts w:ascii="ITC Avant Garde" w:hAnsi="ITC Avant Garde" w:cs="Arial"/>
          <w:bCs/>
          <w:color w:val="000000"/>
          <w:shd w:val="clear" w:color="auto" w:fill="FFFFFF"/>
        </w:rPr>
        <w:t>otorgue a</w:t>
      </w:r>
      <w:r w:rsidR="00977B0C">
        <w:rPr>
          <w:rFonts w:ascii="ITC Avant Garde" w:hAnsi="ITC Avant Garde" w:cs="Arial"/>
          <w:bCs/>
          <w:color w:val="000000"/>
          <w:shd w:val="clear" w:color="auto" w:fill="FFFFFF"/>
        </w:rPr>
        <w:t xml:space="preserve"> </w:t>
      </w:r>
      <w:r w:rsidR="00C72132" w:rsidRPr="008D738A">
        <w:rPr>
          <w:rFonts w:ascii="ITC Avant Garde" w:hAnsi="ITC Avant Garde"/>
          <w:bCs/>
          <w:color w:val="000000"/>
          <w:lang w:eastAsia="es-MX"/>
        </w:rPr>
        <w:t>Tele Comarca</w:t>
      </w:r>
      <w:r w:rsidR="00977B0C" w:rsidRPr="005B771E">
        <w:rPr>
          <w:rFonts w:ascii="ITC Avant Garde" w:hAnsi="ITC Avant Garde"/>
          <w:bCs/>
          <w:color w:val="000000"/>
          <w:lang w:eastAsia="es-MX"/>
        </w:rPr>
        <w:t>, S.A. de C.V.</w:t>
      </w:r>
      <w:r w:rsidR="00D1661B">
        <w:rPr>
          <w:rFonts w:ascii="ITC Avant Garde" w:hAnsi="ITC Avant Garde" w:cs="Arial"/>
          <w:bCs/>
          <w:color w:val="000000"/>
          <w:shd w:val="clear" w:color="auto" w:fill="FFFFFF"/>
        </w:rPr>
        <w:t>, entre las que se encuentran</w:t>
      </w:r>
      <w:r w:rsidR="00D1661B" w:rsidRPr="00B666EC">
        <w:rPr>
          <w:rFonts w:ascii="ITC Avant Garde" w:hAnsi="ITC Avant Garde" w:cs="Tahoma"/>
          <w:bCs/>
          <w:lang w:eastAsia="es-MX"/>
        </w:rPr>
        <w:t>: i)</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e</w:t>
      </w:r>
      <w:r w:rsidR="007F246F" w:rsidRPr="00B666EC">
        <w:rPr>
          <w:rFonts w:ascii="ITC Avant Garde" w:hAnsi="ITC Avant Garde" w:cs="Tahoma"/>
          <w:bCs/>
          <w:lang w:eastAsia="es-MX"/>
        </w:rPr>
        <w:t xml:space="preserve">squema de </w:t>
      </w:r>
      <w:r w:rsidR="00B666EC" w:rsidRPr="00B666EC">
        <w:rPr>
          <w:rFonts w:ascii="ITC Avant Garde" w:hAnsi="ITC Avant Garde" w:cs="Tahoma"/>
          <w:bCs/>
          <w:lang w:eastAsia="es-MX"/>
        </w:rPr>
        <w:t xml:space="preserve">segmentación; ii) </w:t>
      </w:r>
      <w:r w:rsidR="00B666EC">
        <w:rPr>
          <w:rFonts w:ascii="ITC Avant Garde" w:hAnsi="ITC Avant Garde" w:cs="Tahoma"/>
          <w:bCs/>
          <w:lang w:eastAsia="es-MX"/>
        </w:rPr>
        <w:t>f</w:t>
      </w:r>
      <w:r w:rsidR="007F246F" w:rsidRPr="00B666EC">
        <w:rPr>
          <w:rFonts w:ascii="ITC Avant Garde" w:hAnsi="ITC Avant Garde" w:cs="Tahoma"/>
          <w:bCs/>
          <w:lang w:eastAsia="es-MX"/>
        </w:rPr>
        <w:t>recuencias</w:t>
      </w:r>
      <w:r w:rsidR="00B666EC" w:rsidRPr="00B666EC">
        <w:rPr>
          <w:rFonts w:ascii="ITC Avant Garde" w:hAnsi="ITC Avant Garde" w:cs="Tahoma"/>
          <w:bCs/>
          <w:lang w:eastAsia="es-MX"/>
        </w:rPr>
        <w:t xml:space="preserve"> a utilizar; i</w:t>
      </w:r>
      <w:r w:rsidR="00520E4F">
        <w:rPr>
          <w:rFonts w:ascii="ITC Avant Garde" w:hAnsi="ITC Avant Garde" w:cs="Tahoma"/>
          <w:bCs/>
          <w:lang w:eastAsia="es-MX"/>
        </w:rPr>
        <w:t>ii</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c</w:t>
      </w:r>
      <w:r w:rsidR="00B666EC" w:rsidRPr="00B666EC">
        <w:rPr>
          <w:rFonts w:ascii="ITC Avant Garde" w:hAnsi="ITC Avant Garde" w:cs="Tahoma"/>
          <w:bCs/>
          <w:lang w:eastAsia="es-MX"/>
        </w:rPr>
        <w:t xml:space="preserve">obertura; </w:t>
      </w:r>
      <w:r w:rsidR="00520E4F">
        <w:rPr>
          <w:rFonts w:ascii="ITC Avant Garde" w:hAnsi="ITC Avant Garde" w:cs="Tahoma"/>
          <w:bCs/>
          <w:lang w:eastAsia="es-MX"/>
        </w:rPr>
        <w:t>i</w:t>
      </w:r>
      <w:r w:rsidR="00B666EC" w:rsidRPr="00B666EC">
        <w:rPr>
          <w:rFonts w:ascii="ITC Avant Garde" w:hAnsi="ITC Avant Garde" w:cs="Tahoma"/>
          <w:bCs/>
          <w:lang w:eastAsia="es-MX"/>
        </w:rPr>
        <w:t xml:space="preserve">v) </w:t>
      </w:r>
      <w:r w:rsidR="00B666EC">
        <w:rPr>
          <w:rFonts w:ascii="ITC Avant Garde" w:hAnsi="ITC Avant Garde" w:cs="Tahoma"/>
          <w:bCs/>
          <w:lang w:eastAsia="es-MX"/>
        </w:rPr>
        <w:t>s</w:t>
      </w:r>
      <w:r w:rsidR="00B666EC" w:rsidRPr="00B666EC">
        <w:rPr>
          <w:rFonts w:ascii="ITC Avant Garde" w:hAnsi="ITC Avant Garde" w:cs="Tahoma"/>
          <w:bCs/>
          <w:lang w:eastAsia="es-MX"/>
        </w:rPr>
        <w:t xml:space="preserve">olicitud de información; v) </w:t>
      </w:r>
      <w:r w:rsidR="00B666EC">
        <w:rPr>
          <w:rFonts w:ascii="ITC Avant Garde" w:hAnsi="ITC Avant Garde" w:cs="Tahoma"/>
          <w:bCs/>
          <w:lang w:eastAsia="es-MX"/>
        </w:rPr>
        <w:t>h</w:t>
      </w:r>
      <w:r w:rsidR="00B666EC" w:rsidRPr="00B666EC">
        <w:rPr>
          <w:rFonts w:ascii="ITC Avant Garde" w:hAnsi="ITC Avant Garde" w:cs="Tahoma"/>
          <w:bCs/>
          <w:lang w:eastAsia="es-MX"/>
        </w:rPr>
        <w:t xml:space="preserve">omologación de equipos; vi) </w:t>
      </w:r>
      <w:r w:rsidR="00B666EC">
        <w:rPr>
          <w:rFonts w:ascii="ITC Avant Garde" w:hAnsi="ITC Avant Garde" w:cs="Tahoma"/>
          <w:bCs/>
          <w:lang w:eastAsia="es-MX"/>
        </w:rPr>
        <w:t>i</w:t>
      </w:r>
      <w:r w:rsidR="00520E4F">
        <w:rPr>
          <w:rFonts w:ascii="ITC Avant Garde" w:hAnsi="ITC Avant Garde" w:cs="Tahoma"/>
          <w:bCs/>
          <w:lang w:eastAsia="es-MX"/>
        </w:rPr>
        <w:t>nterferencias perjudiciales; vii</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s</w:t>
      </w:r>
      <w:r w:rsidR="007F246F" w:rsidRPr="00B666EC">
        <w:rPr>
          <w:rFonts w:ascii="ITC Avant Garde" w:hAnsi="ITC Avant Garde" w:cs="Tahoma"/>
          <w:bCs/>
          <w:lang w:eastAsia="es-MX"/>
        </w:rPr>
        <w:t>ervici</w:t>
      </w:r>
      <w:r w:rsidR="00B666EC" w:rsidRPr="00B666EC">
        <w:rPr>
          <w:rFonts w:ascii="ITC Avant Garde" w:hAnsi="ITC Avant Garde" w:cs="Tahoma"/>
          <w:bCs/>
          <w:lang w:eastAsia="es-MX"/>
        </w:rPr>
        <w:t xml:space="preserve">os a título secundario, y </w:t>
      </w:r>
      <w:r w:rsidR="00520E4F">
        <w:rPr>
          <w:rFonts w:ascii="ITC Avant Garde" w:hAnsi="ITC Avant Garde" w:cs="Tahoma"/>
          <w:bCs/>
          <w:lang w:eastAsia="es-MX"/>
        </w:rPr>
        <w:t>viii)</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r</w:t>
      </w:r>
      <w:r w:rsidR="007F246F" w:rsidRPr="00B666EC">
        <w:rPr>
          <w:rFonts w:ascii="ITC Avant Garde" w:hAnsi="ITC Avant Garde" w:cs="Tahoma"/>
          <w:bCs/>
          <w:lang w:eastAsia="es-MX"/>
        </w:rPr>
        <w:t xml:space="preserve">adiaciones electromagnéticas. </w:t>
      </w:r>
    </w:p>
    <w:p w:rsidR="00642B7F" w:rsidRDefault="00AD4B73" w:rsidP="00642B7F">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cs="Tahoma"/>
          <w:bCs/>
          <w:lang w:eastAsia="es-MX"/>
        </w:rPr>
        <w:t>Dichas condiciones son consistentes con lo establecido en el “</w:t>
      </w:r>
      <w:r w:rsidRPr="004E69E8">
        <w:rPr>
          <w:rFonts w:ascii="ITC Avant Garde" w:hAnsi="ITC Avant Garde" w:cs="Tahoma"/>
          <w:bCs/>
          <w:i/>
          <w:lang w:eastAsia="es-MX"/>
        </w:rPr>
        <w:t>Acuerdo mediante el cual el Pleno del Instituto Federal de Telecomunicaciones adopta el esquema de Segmentación C1 para la banda de frecuencias 2500-2690 MHz, conforme a la recomendación UIT-R M.1036 para su utilización en servicios de acceso inalámbrico de banda ancha</w:t>
      </w:r>
      <w:r w:rsidRPr="004E69E8">
        <w:rPr>
          <w:rFonts w:ascii="ITC Avant Garde" w:hAnsi="ITC Avant Garde" w:cs="Tahoma"/>
          <w:bCs/>
          <w:lang w:eastAsia="es-MX"/>
        </w:rPr>
        <w:t>”</w:t>
      </w:r>
      <w:r w:rsidR="00A04FF0" w:rsidRPr="004E69E8">
        <w:rPr>
          <w:rFonts w:ascii="ITC Avant Garde" w:hAnsi="ITC Avant Garde" w:cs="Tahoma"/>
          <w:bCs/>
          <w:lang w:eastAsia="es-MX"/>
        </w:rPr>
        <w:t>,</w:t>
      </w:r>
      <w:r w:rsidRPr="004E69E8">
        <w:rPr>
          <w:rFonts w:ascii="ITC Avant Garde" w:hAnsi="ITC Avant Garde" w:cs="Tahoma"/>
          <w:bCs/>
          <w:lang w:eastAsia="es-MX"/>
        </w:rPr>
        <w:t xml:space="preserve"> </w:t>
      </w:r>
      <w:r w:rsidRPr="004E69E8">
        <w:rPr>
          <w:rFonts w:ascii="ITC Avant Garde" w:hAnsi="ITC Avant Garde"/>
          <w:bCs/>
        </w:rPr>
        <w:t xml:space="preserve">aprobado por el Pleno del </w:t>
      </w:r>
      <w:r w:rsidR="007F583C" w:rsidRPr="004E69E8">
        <w:rPr>
          <w:rFonts w:ascii="ITC Avant Garde" w:hAnsi="ITC Avant Garde"/>
          <w:bCs/>
        </w:rPr>
        <w:t xml:space="preserve">Instituto </w:t>
      </w:r>
      <w:r w:rsidR="00A04FF0" w:rsidRPr="004E69E8">
        <w:rPr>
          <w:rFonts w:ascii="ITC Avant Garde" w:hAnsi="ITC Avant Garde"/>
          <w:bCs/>
        </w:rPr>
        <w:t>mediante el Acuerdo</w:t>
      </w:r>
      <w:r w:rsidR="00A04FF0" w:rsidRPr="004E69E8">
        <w:rPr>
          <w:rFonts w:ascii="ITC Avant Garde" w:hAnsi="ITC Avant Garde" w:cs="Tahoma"/>
          <w:bCs/>
          <w:lang w:eastAsia="es-MX"/>
        </w:rPr>
        <w:t xml:space="preserve"> </w:t>
      </w:r>
      <w:r w:rsidR="00A04FF0" w:rsidRPr="004E69E8">
        <w:rPr>
          <w:rFonts w:ascii="ITC Avant Garde" w:hAnsi="ITC Avant Garde" w:cs="Tahoma"/>
          <w:bCs/>
          <w:lang w:eastAsia="es-MX"/>
        </w:rPr>
        <w:lastRenderedPageBreak/>
        <w:t xml:space="preserve">P/IFT/030715/178, </w:t>
      </w:r>
      <w:r w:rsidR="007F583C" w:rsidRPr="004E69E8">
        <w:rPr>
          <w:rFonts w:ascii="ITC Avant Garde" w:hAnsi="ITC Avant Garde"/>
          <w:bCs/>
        </w:rPr>
        <w:t>en</w:t>
      </w:r>
      <w:r w:rsidRPr="004E69E8">
        <w:rPr>
          <w:rFonts w:ascii="ITC Avant Garde" w:hAnsi="ITC Avant Garde"/>
          <w:bCs/>
        </w:rPr>
        <w:t xml:space="preserve"> su XIII Sesión Ordinaria celebrada el 3 d</w:t>
      </w:r>
      <w:r w:rsidR="00842C40" w:rsidRPr="004E69E8">
        <w:rPr>
          <w:rFonts w:ascii="ITC Avant Garde" w:hAnsi="ITC Avant Garde"/>
          <w:bCs/>
        </w:rPr>
        <w:t xml:space="preserve">e julio de 2015, </w:t>
      </w:r>
      <w:r w:rsidRPr="004E69E8">
        <w:rPr>
          <w:rFonts w:ascii="ITC Avant Garde" w:hAnsi="ITC Avant Garde" w:cs="Tahoma"/>
          <w:bCs/>
          <w:lang w:eastAsia="es-MX"/>
        </w:rPr>
        <w:t xml:space="preserve">mismo que adopta el esquema de segmentación C1 para la banda de frecuencias 2500-2690 MHz, el cual consiste en un esquema FDD para los segmentos 2500-2570/2620-2690 MHz y un esquema TDD </w:t>
      </w:r>
      <w:r w:rsidR="006A36E8">
        <w:rPr>
          <w:rFonts w:ascii="ITC Avant Garde" w:hAnsi="ITC Avant Garde" w:cs="Tahoma"/>
          <w:bCs/>
          <w:lang w:eastAsia="es-MX"/>
        </w:rPr>
        <w:t>para el segmento 2570-2620 MHz.</w:t>
      </w:r>
    </w:p>
    <w:p w:rsidR="00642B7F" w:rsidRDefault="00E2066F" w:rsidP="00642B7F">
      <w:pPr>
        <w:autoSpaceDE w:val="0"/>
        <w:autoSpaceDN w:val="0"/>
        <w:adjustRightInd w:val="0"/>
        <w:spacing w:afterLines="120" w:after="288" w:line="240" w:lineRule="auto"/>
        <w:jc w:val="both"/>
        <w:rPr>
          <w:rFonts w:ascii="ITC Avant Garde" w:hAnsi="ITC Avant Garde"/>
          <w:bCs/>
        </w:rPr>
      </w:pPr>
      <w:r w:rsidRPr="00E2066F">
        <w:rPr>
          <w:rFonts w:ascii="ITC Avant Garde" w:hAnsi="ITC Avant Garde"/>
          <w:b/>
          <w:bCs/>
        </w:rPr>
        <w:t>QUINTO.- Explotación de las bandas de frecuencias concesionadas para la prestación de los servicios de acceso inalámbrico.</w:t>
      </w:r>
      <w:r w:rsidRPr="00E2066F">
        <w:rPr>
          <w:rFonts w:ascii="ITC Avant Garde" w:hAnsi="ITC Avant Garde"/>
          <w:bCs/>
        </w:rPr>
        <w:t xml:space="preserve"> La política de planeación espectral establecida en su momento por la Secretaría, y posteriormente por el Pleno del Instituto, determinó que el uso de la banda de frecuencias 2500-2690 MHz fuera para servicios de acceso inalámbrico de banda ancha. Por ello, la Secretaría, al momento de otorgar las Concesiones de Bandas, estableció a los concesionarios que operaban en dicha banda de frecuencias, entre otros aspectos: i) una serie de condiciones que dichos concesionarios deberían cumplir para la implementación y dimensionamiento de sus redes, y ii) un plazo para la prestación efectiva de este tipo de servicios. </w:t>
      </w:r>
    </w:p>
    <w:p w:rsidR="00642B7F" w:rsidRDefault="00E2066F" w:rsidP="00642B7F">
      <w:pPr>
        <w:autoSpaceDE w:val="0"/>
        <w:autoSpaceDN w:val="0"/>
        <w:adjustRightInd w:val="0"/>
        <w:spacing w:afterLines="120" w:after="288" w:line="240" w:lineRule="auto"/>
        <w:jc w:val="both"/>
        <w:rPr>
          <w:rFonts w:ascii="ITC Avant Garde" w:hAnsi="ITC Avant Garde"/>
          <w:bCs/>
        </w:rPr>
      </w:pPr>
      <w:r w:rsidRPr="00E2066F">
        <w:rPr>
          <w:rFonts w:ascii="ITC Avant Garde" w:hAnsi="ITC Avant Garde"/>
          <w:bCs/>
        </w:rPr>
        <w:t>Como quedó establecido en los Antecedentes de la presente Resolución, el concesionario realizó en tiempo y forma las acciones tendientes a obtener la autorización para la prestación del servicio de acceso inalámbrico, lo cual le permitiría iniciar a la prestación efectiva del mismo. No obstante lo anterior, el trámite administrativo que conlleva la autorización del tal servicio no ha concluido, dado que aún con el pronunciamiento de este Instituto respecto a la autorización del mismo, existen diversas condiciones que deberán ser cumplimentadas por el concesionario en un momento posterior, a efecto de obtener la autorización definitiva para la prestación de los servicios de acceso inalámbrico</w:t>
      </w:r>
      <w:r w:rsidR="00846BE5">
        <w:rPr>
          <w:rFonts w:ascii="ITC Avant Garde" w:hAnsi="ITC Avant Garde"/>
          <w:bCs/>
        </w:rPr>
        <w:t>, como puede ser la definición y, en su caso, pago de la contraprestación, misma que será determinada mediante esta Resolución</w:t>
      </w:r>
      <w:r w:rsidRPr="00E2066F">
        <w:rPr>
          <w:rFonts w:ascii="ITC Avant Garde" w:hAnsi="ITC Avant Garde"/>
          <w:bCs/>
        </w:rPr>
        <w:t xml:space="preserve">. </w:t>
      </w:r>
    </w:p>
    <w:p w:rsidR="00642B7F" w:rsidRDefault="00846BE5" w:rsidP="00642B7F">
      <w:pPr>
        <w:spacing w:afterLines="120" w:after="288" w:line="240" w:lineRule="auto"/>
        <w:jc w:val="both"/>
        <w:rPr>
          <w:rFonts w:ascii="ITC Avant Garde" w:eastAsiaTheme="minorHAnsi" w:hAnsi="ITC Avant Garde"/>
        </w:rPr>
      </w:pPr>
      <w:r w:rsidRPr="00846BE5">
        <w:rPr>
          <w:rFonts w:ascii="ITC Avant Garde" w:hAnsi="ITC Avant Garde"/>
          <w:bCs/>
        </w:rPr>
        <w:t xml:space="preserve">Adicionalmente, </w:t>
      </w:r>
      <w:r w:rsidRPr="00846BE5">
        <w:rPr>
          <w:rFonts w:ascii="ITC Avant Garde" w:eastAsiaTheme="minorHAnsi" w:hAnsi="ITC Avant Garde"/>
        </w:rPr>
        <w:t>para el despliegue de una nueva red de telecomunicaciones inalámbricas, debe pasarse</w:t>
      </w:r>
      <w:r>
        <w:rPr>
          <w:rFonts w:ascii="ITC Avant Garde" w:eastAsiaTheme="minorHAnsi" w:hAnsi="ITC Avant Garde"/>
        </w:rPr>
        <w:t xml:space="preserve"> por una serie de etapas preparatorias para</w:t>
      </w:r>
      <w:r w:rsidRPr="00846BE5">
        <w:rPr>
          <w:rFonts w:ascii="ITC Avant Garde" w:eastAsiaTheme="minorHAnsi" w:hAnsi="ITC Avant Garde"/>
        </w:rPr>
        <w:t xml:space="preserve"> la operación</w:t>
      </w:r>
      <w:r>
        <w:rPr>
          <w:rFonts w:ascii="ITC Avant Garde" w:eastAsiaTheme="minorHAnsi" w:hAnsi="ITC Avant Garde"/>
        </w:rPr>
        <w:t>,</w:t>
      </w:r>
      <w:r w:rsidRPr="00846BE5">
        <w:rPr>
          <w:rFonts w:ascii="ITC Avant Garde" w:eastAsiaTheme="minorHAnsi" w:hAnsi="ITC Avant Garde"/>
        </w:rPr>
        <w:t xml:space="preserve"> que garanticen que la nueva red será capaz de soportar una determinada cantidad de usuarios, tráfico y área geográfica a servir. Esto, atendiendo diversos aspectos, de los cuales se destacan los siguientes:</w:t>
      </w:r>
    </w:p>
    <w:p w:rsidR="00846BE5" w:rsidRPr="00846BE5" w:rsidRDefault="00846BE5" w:rsidP="00C63E22">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t>Reducción de retardos en la red, en términos de tiempo de conexión a la red como tiempo de</w:t>
      </w:r>
      <w:r>
        <w:rPr>
          <w:rFonts w:ascii="ITC Avant Garde" w:eastAsiaTheme="minorHAnsi" w:hAnsi="ITC Avant Garde"/>
        </w:rPr>
        <w:t xml:space="preserve"> respuesta de la red (latencia);</w:t>
      </w:r>
    </w:p>
    <w:p w:rsidR="00846BE5" w:rsidRPr="00846BE5" w:rsidRDefault="00846BE5" w:rsidP="00C63E22">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t>Dimensionar picos en la demanda de tráfico en la red</w:t>
      </w:r>
      <w:r>
        <w:rPr>
          <w:rFonts w:ascii="ITC Avant Garde" w:eastAsiaTheme="minorHAnsi" w:hAnsi="ITC Avant Garde"/>
        </w:rPr>
        <w:t>;</w:t>
      </w:r>
    </w:p>
    <w:p w:rsidR="00846BE5" w:rsidRPr="00846BE5" w:rsidRDefault="00846BE5" w:rsidP="00C63E22">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t>Prever la uniformidad en la provisión de los servicios, asegurando un servicio mínimo aceptable en los bordes de las celdas. El rendimiento de la celda (radiobase) es un criterio importante, ya que se relaciona directamente con el número de sitios celulares que requiere desplegar el operador de la red y, por lo tanto, con el costo de capital para invertir en el despliegue (CAPEX)</w:t>
      </w:r>
      <w:r>
        <w:rPr>
          <w:rFonts w:ascii="ITC Avant Garde" w:eastAsiaTheme="minorHAnsi" w:hAnsi="ITC Avant Garde"/>
        </w:rPr>
        <w:t>;</w:t>
      </w:r>
    </w:p>
    <w:p w:rsidR="00846BE5" w:rsidRPr="00846BE5" w:rsidRDefault="00846BE5" w:rsidP="00C63E22">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t>Mejoramiento de la eficiencia espectral, seleccionado las tecnologías que sean consistentes con el modelo de negocios y servicios a prestar, reduciendo también el costo por bit transmitido</w:t>
      </w:r>
      <w:r>
        <w:rPr>
          <w:rFonts w:ascii="ITC Avant Garde" w:eastAsiaTheme="minorHAnsi" w:hAnsi="ITC Avant Garde"/>
        </w:rPr>
        <w:t>,</w:t>
      </w:r>
    </w:p>
    <w:p w:rsidR="00846BE5" w:rsidRPr="00846BE5" w:rsidRDefault="00846BE5" w:rsidP="00C63E22">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lastRenderedPageBreak/>
        <w:t>Modelos de inversión en la red consistentes con la demanda presente y futura, y conforme al plan de negocios del operador</w:t>
      </w:r>
      <w:r>
        <w:rPr>
          <w:rFonts w:ascii="ITC Avant Garde" w:eastAsiaTheme="minorHAnsi" w:hAnsi="ITC Avant Garde"/>
        </w:rPr>
        <w:t>,</w:t>
      </w:r>
      <w:r w:rsidRPr="00846BE5">
        <w:rPr>
          <w:rFonts w:ascii="ITC Avant Garde" w:eastAsiaTheme="minorHAnsi" w:hAnsi="ITC Avant Garde"/>
        </w:rPr>
        <w:t xml:space="preserve"> </w:t>
      </w:r>
    </w:p>
    <w:p w:rsidR="00846BE5" w:rsidRPr="00846BE5" w:rsidRDefault="00846BE5" w:rsidP="00C63E22">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t>Utilización de estándares abiertos para garantizar interoperabilidad entre fabricantes distintos y asegurar la disponibilidad de equipos de usuario a costos razonables</w:t>
      </w:r>
      <w:r>
        <w:rPr>
          <w:rFonts w:ascii="ITC Avant Garde" w:eastAsiaTheme="minorHAnsi" w:hAnsi="ITC Avant Garde"/>
        </w:rPr>
        <w:t xml:space="preserve">, y </w:t>
      </w:r>
    </w:p>
    <w:p w:rsidR="00642B7F" w:rsidRDefault="00846BE5" w:rsidP="00642B7F">
      <w:pPr>
        <w:numPr>
          <w:ilvl w:val="0"/>
          <w:numId w:val="31"/>
        </w:numPr>
        <w:spacing w:afterLines="120" w:after="288" w:line="240" w:lineRule="auto"/>
        <w:jc w:val="both"/>
        <w:rPr>
          <w:rFonts w:ascii="ITC Avant Garde" w:eastAsiaTheme="minorHAnsi" w:hAnsi="ITC Avant Garde"/>
        </w:rPr>
      </w:pPr>
      <w:r w:rsidRPr="00846BE5">
        <w:rPr>
          <w:rFonts w:ascii="ITC Avant Garde" w:eastAsiaTheme="minorHAnsi" w:hAnsi="ITC Avant Garde"/>
        </w:rPr>
        <w:t>Disponer de mecanismos eficientes para la oper</w:t>
      </w:r>
      <w:r>
        <w:rPr>
          <w:rFonts w:ascii="ITC Avant Garde" w:eastAsiaTheme="minorHAnsi" w:hAnsi="ITC Avant Garde"/>
        </w:rPr>
        <w:t>ación y mantenimiento de la red.</w:t>
      </w:r>
    </w:p>
    <w:p w:rsidR="00642B7F" w:rsidRDefault="00846BE5" w:rsidP="00642B7F">
      <w:pPr>
        <w:spacing w:afterLines="120" w:after="288" w:line="240" w:lineRule="auto"/>
        <w:jc w:val="both"/>
        <w:rPr>
          <w:rFonts w:ascii="ITC Avant Garde" w:eastAsiaTheme="minorHAnsi" w:hAnsi="ITC Avant Garde"/>
        </w:rPr>
      </w:pPr>
      <w:r w:rsidRPr="00846BE5">
        <w:rPr>
          <w:rFonts w:ascii="ITC Avant Garde" w:eastAsiaTheme="minorHAnsi" w:hAnsi="ITC Avant Garde"/>
        </w:rPr>
        <w:t>En tal sentido, se requiere de un esfuerzo considerable de ingeniería de diseño de la r</w:t>
      </w:r>
      <w:r>
        <w:rPr>
          <w:rFonts w:ascii="ITC Avant Garde" w:eastAsiaTheme="minorHAnsi" w:hAnsi="ITC Avant Garde"/>
        </w:rPr>
        <w:t>ed así como en la planeación, antes del</w:t>
      </w:r>
      <w:r w:rsidRPr="00846BE5">
        <w:rPr>
          <w:rFonts w:ascii="ITC Avant Garde" w:eastAsiaTheme="minorHAnsi" w:hAnsi="ITC Avant Garde"/>
        </w:rPr>
        <w:t xml:space="preserve"> despliegue de la misma.</w:t>
      </w:r>
    </w:p>
    <w:p w:rsidR="00642B7F" w:rsidRDefault="00E2066F" w:rsidP="00642B7F">
      <w:pPr>
        <w:autoSpaceDE w:val="0"/>
        <w:autoSpaceDN w:val="0"/>
        <w:adjustRightInd w:val="0"/>
        <w:spacing w:afterLines="120" w:after="288" w:line="240" w:lineRule="auto"/>
        <w:jc w:val="both"/>
        <w:rPr>
          <w:rFonts w:ascii="ITC Avant Garde" w:hAnsi="ITC Avant Garde"/>
          <w:bCs/>
        </w:rPr>
      </w:pPr>
      <w:r w:rsidRPr="00E2066F">
        <w:rPr>
          <w:rFonts w:ascii="ITC Avant Garde" w:hAnsi="ITC Avant Garde"/>
          <w:bCs/>
        </w:rPr>
        <w:t>Lo anterior deviene en una imposibilidad material para dar cumplimiento a la Condición 2.1 de las Concesiones de Bandas dentro del plazo señalado. Por ello, se estima pertinente establecer un plazo dentro cual el concesionario deberá acreditar el cumplimiento de la prestación de los servicios de acceso inalámbrico en la banda de frecuencias concesionada, mismo que se prevé establecer en los títulos de concesión que en todo caso se otorguen.</w:t>
      </w:r>
    </w:p>
    <w:p w:rsidR="00642B7F" w:rsidRDefault="00D44651"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Por lo anteriormente señalado, y con fundamento en los artículos 28 párrafos décimo quinto, décimo sexto y décimo séptimo</w:t>
      </w:r>
      <w:r w:rsidR="00B75CDB" w:rsidRPr="004E69E8">
        <w:rPr>
          <w:rFonts w:ascii="ITC Avant Garde" w:hAnsi="ITC Avant Garde"/>
          <w:bCs/>
        </w:rPr>
        <w:t xml:space="preserve"> y </w:t>
      </w:r>
      <w:r w:rsidR="00B75CDB" w:rsidRPr="005314D5">
        <w:rPr>
          <w:rFonts w:ascii="ITC Avant Garde" w:hAnsi="ITC Avant Garde"/>
          <w:bCs/>
        </w:rPr>
        <w:t>134</w:t>
      </w:r>
      <w:r w:rsidRPr="004E69E8">
        <w:rPr>
          <w:rFonts w:ascii="ITC Avant Garde" w:hAnsi="ITC Avant Garde"/>
          <w:bCs/>
        </w:rPr>
        <w:t xml:space="preserve"> de la Constitución Política de los Estados Unidos Mexicanos; Cuarto Transitorio del “</w:t>
      </w:r>
      <w:r w:rsidRPr="004E69E8">
        <w:rPr>
          <w:rFonts w:ascii="ITC Avant Garde" w:hAnsi="ITC Avant Garde"/>
          <w:i/>
          <w:lang w:eastAsia="es-MX"/>
        </w:rPr>
        <w:t xml:space="preserve">Decreto por el que se reforman y adicionan diversas disposiciones de los artículos 6o., 7o., 27, 28, 73, 78, 94 y 105 de la Constitución Política de los Estados Unidos Mexicanos, en materia de telecomunicaciones” </w:t>
      </w:r>
      <w:r w:rsidRPr="004E69E8">
        <w:rPr>
          <w:rFonts w:ascii="ITC Avant Garde" w:hAnsi="ITC Avant Garde"/>
          <w:lang w:eastAsia="es-MX"/>
        </w:rPr>
        <w:t>publicado en el Diario Oficial de la Federación el 11 de junio de 2013;</w:t>
      </w:r>
      <w:r w:rsidR="00B75CDB" w:rsidRPr="004E69E8">
        <w:rPr>
          <w:rFonts w:ascii="ITC Avant Garde" w:hAnsi="ITC Avant Garde"/>
          <w:lang w:eastAsia="es-MX"/>
        </w:rPr>
        <w:t xml:space="preserve"> Séptimo Transitorio y </w:t>
      </w:r>
      <w:r w:rsidRPr="004E69E8">
        <w:rPr>
          <w:rFonts w:ascii="ITC Avant Garde" w:hAnsi="ITC Avant Garde"/>
          <w:bCs/>
        </w:rPr>
        <w:t>Octavo Transitorio de</w:t>
      </w:r>
      <w:r w:rsidR="00B75CDB" w:rsidRPr="004E69E8">
        <w:rPr>
          <w:rFonts w:ascii="ITC Avant Garde" w:hAnsi="ITC Avant Garde"/>
          <w:bCs/>
        </w:rPr>
        <w:t>l</w:t>
      </w:r>
      <w:r w:rsidRPr="004E69E8">
        <w:rPr>
          <w:rFonts w:ascii="ITC Avant Garde" w:hAnsi="ITC Avant Garde"/>
          <w:bCs/>
        </w:rPr>
        <w:t xml:space="preserve"> “</w:t>
      </w:r>
      <w:r w:rsidRPr="004E69E8">
        <w:rPr>
          <w:rFonts w:ascii="ITC Avant Garde" w:hAnsi="ITC Avant Garde"/>
          <w:bCs/>
          <w:i/>
        </w:rPr>
        <w:t>Decreto por el que se expiden la Ley Federal de Telecomunicaciones y Radiodifusión, y la Ley del Sistema Público de Radiodifusión del Estado Mexicano; y se reforman</w:t>
      </w:r>
      <w:r w:rsidRPr="00004B6A">
        <w:rPr>
          <w:rFonts w:ascii="ITC Avant Garde" w:hAnsi="ITC Avant Garde"/>
          <w:bCs/>
          <w:i/>
        </w:rPr>
        <w:t>, adicionan y derogan diversas disposiciones en materia de telecomunicaciones y radiodifusión</w:t>
      </w:r>
      <w:r w:rsidRPr="00004B6A">
        <w:rPr>
          <w:rFonts w:ascii="ITC Avant Garde" w:hAnsi="ITC Avant Garde"/>
          <w:bCs/>
        </w:rPr>
        <w:t xml:space="preserve">”, publicado en el Diario Oficial de la Federación el 14 de julio de 2014; </w:t>
      </w:r>
      <w:r w:rsidR="00906D4D" w:rsidRPr="00004B6A">
        <w:rPr>
          <w:rFonts w:ascii="ITC Avant Garde" w:hAnsi="ITC Avant Garde"/>
          <w:bCs/>
        </w:rPr>
        <w:t xml:space="preserve">6 fracción IV, 15 fracciones </w:t>
      </w:r>
      <w:r w:rsidR="002A5C57" w:rsidRPr="00004B6A">
        <w:rPr>
          <w:rFonts w:ascii="ITC Avant Garde" w:hAnsi="ITC Avant Garde"/>
          <w:bCs/>
        </w:rPr>
        <w:t>IV</w:t>
      </w:r>
      <w:r w:rsidR="00B36CBB" w:rsidRPr="00004B6A">
        <w:rPr>
          <w:rFonts w:ascii="ITC Avant Garde" w:hAnsi="ITC Avant Garde"/>
          <w:bCs/>
        </w:rPr>
        <w:t>, VIII</w:t>
      </w:r>
      <w:r w:rsidR="002A5C57" w:rsidRPr="00004B6A">
        <w:rPr>
          <w:rFonts w:ascii="ITC Avant Garde" w:hAnsi="ITC Avant Garde"/>
          <w:bCs/>
        </w:rPr>
        <w:t xml:space="preserve"> y </w:t>
      </w:r>
      <w:r w:rsidR="002A5C57" w:rsidRPr="001501BC">
        <w:rPr>
          <w:rFonts w:ascii="ITC Avant Garde" w:hAnsi="ITC Avant Garde"/>
          <w:bCs/>
        </w:rPr>
        <w:t>LVII</w:t>
      </w:r>
      <w:r w:rsidR="00906D4D" w:rsidRPr="001501BC">
        <w:rPr>
          <w:rFonts w:ascii="ITC Avant Garde" w:hAnsi="ITC Avant Garde"/>
          <w:bCs/>
        </w:rPr>
        <w:t>, 1</w:t>
      </w:r>
      <w:r w:rsidR="00906D4D" w:rsidRPr="00004B6A">
        <w:rPr>
          <w:rFonts w:ascii="ITC Avant Garde" w:hAnsi="ITC Avant Garde"/>
          <w:bCs/>
        </w:rPr>
        <w:t>6</w:t>
      </w:r>
      <w:r w:rsidR="00B36CBB" w:rsidRPr="00004B6A">
        <w:rPr>
          <w:rFonts w:ascii="ITC Avant Garde" w:hAnsi="ITC Avant Garde"/>
          <w:bCs/>
        </w:rPr>
        <w:t>, 17 fracción I</w:t>
      </w:r>
      <w:r w:rsidR="00B75CDB" w:rsidRPr="00004B6A">
        <w:rPr>
          <w:rFonts w:ascii="ITC Avant Garde" w:hAnsi="ITC Avant Garde"/>
          <w:bCs/>
        </w:rPr>
        <w:t>, 54, 56, 75, 100</w:t>
      </w:r>
      <w:r w:rsidR="00B36CBB" w:rsidRPr="00004B6A">
        <w:rPr>
          <w:rFonts w:ascii="ITC Avant Garde" w:hAnsi="ITC Avant Garde"/>
          <w:bCs/>
        </w:rPr>
        <w:t xml:space="preserve"> y 177 fracciones I</w:t>
      </w:r>
      <w:r w:rsidR="00F67F10" w:rsidRPr="00004B6A">
        <w:rPr>
          <w:rFonts w:ascii="ITC Avant Garde" w:hAnsi="ITC Avant Garde"/>
          <w:bCs/>
        </w:rPr>
        <w:t xml:space="preserve"> </w:t>
      </w:r>
      <w:r w:rsidR="00F87BD7" w:rsidRPr="00004B6A">
        <w:rPr>
          <w:rFonts w:ascii="ITC Avant Garde" w:hAnsi="ITC Avant Garde"/>
          <w:bCs/>
        </w:rPr>
        <w:t xml:space="preserve">y </w:t>
      </w:r>
      <w:r w:rsidR="00F67F10" w:rsidRPr="00004B6A">
        <w:rPr>
          <w:rFonts w:ascii="ITC Avant Garde" w:hAnsi="ITC Avant Garde"/>
          <w:bCs/>
        </w:rPr>
        <w:t>XXII</w:t>
      </w:r>
      <w:r w:rsidR="00906D4D" w:rsidRPr="00004B6A">
        <w:rPr>
          <w:rFonts w:ascii="ITC Avant Garde" w:hAnsi="ITC Avant Garde"/>
          <w:bCs/>
        </w:rPr>
        <w:t xml:space="preserve"> de la Ley Federal de Telecomunicaciones y Radiodifusión; </w:t>
      </w:r>
      <w:r w:rsidRPr="00004B6A">
        <w:rPr>
          <w:rFonts w:ascii="ITC Avant Garde" w:hAnsi="ITC Avant Garde"/>
          <w:bCs/>
        </w:rPr>
        <w:t>35 fracción I, 36, 38, 39 y 57 fracción I de la Ley Federal de Procedimiento Administrativo</w:t>
      </w:r>
      <w:r w:rsidR="00A80AB6" w:rsidRPr="00004B6A">
        <w:rPr>
          <w:rFonts w:ascii="ITC Avant Garde" w:hAnsi="ITC Avant Garde"/>
          <w:bCs/>
        </w:rPr>
        <w:t xml:space="preserve">; </w:t>
      </w:r>
      <w:r w:rsidR="007950E8" w:rsidRPr="00004B6A">
        <w:rPr>
          <w:rFonts w:ascii="ITC Avant Garde" w:hAnsi="ITC Avant Garde"/>
          <w:bCs/>
        </w:rPr>
        <w:t>174-C</w:t>
      </w:r>
      <w:r w:rsidR="00A80AB6" w:rsidRPr="00004B6A">
        <w:rPr>
          <w:rFonts w:ascii="ITC Avant Garde" w:hAnsi="ITC Avant Garde"/>
          <w:bCs/>
        </w:rPr>
        <w:t xml:space="preserve"> fracción</w:t>
      </w:r>
      <w:r w:rsidR="007950E8" w:rsidRPr="00004B6A">
        <w:rPr>
          <w:rFonts w:ascii="ITC Avant Garde" w:hAnsi="ITC Avant Garde"/>
          <w:bCs/>
        </w:rPr>
        <w:t xml:space="preserve"> I</w:t>
      </w:r>
      <w:r w:rsidR="008A7707" w:rsidRPr="00004B6A">
        <w:rPr>
          <w:rFonts w:ascii="ITC Avant Garde" w:hAnsi="ITC Avant Garde"/>
          <w:bCs/>
        </w:rPr>
        <w:t>V</w:t>
      </w:r>
      <w:r w:rsidR="00A80AB6" w:rsidRPr="00004B6A">
        <w:rPr>
          <w:rFonts w:ascii="ITC Avant Garde" w:hAnsi="ITC Avant Garde"/>
          <w:bCs/>
        </w:rPr>
        <w:t xml:space="preserve"> de la Ley Federal de Derechos vigente; </w:t>
      </w:r>
      <w:r w:rsidR="004C6B78" w:rsidRPr="00004B6A">
        <w:rPr>
          <w:rFonts w:ascii="ITC Avant Garde" w:hAnsi="ITC Avant Garde"/>
          <w:bCs/>
        </w:rPr>
        <w:t>1, 6 fracciones I</w:t>
      </w:r>
      <w:r w:rsidR="00EB4DD5" w:rsidRPr="00004B6A">
        <w:rPr>
          <w:rFonts w:ascii="ITC Avant Garde" w:hAnsi="ITC Avant Garde"/>
          <w:bCs/>
        </w:rPr>
        <w:t>,</w:t>
      </w:r>
      <w:r w:rsidR="004C6B78" w:rsidRPr="00004B6A">
        <w:rPr>
          <w:rFonts w:ascii="ITC Avant Garde" w:hAnsi="ITC Avant Garde"/>
          <w:bCs/>
        </w:rPr>
        <w:t xml:space="preserve"> </w:t>
      </w:r>
      <w:r w:rsidR="00EB4DD5" w:rsidRPr="00004B6A">
        <w:rPr>
          <w:rFonts w:ascii="ITC Avant Garde" w:hAnsi="ITC Avant Garde"/>
          <w:bCs/>
        </w:rPr>
        <w:t>XV</w:t>
      </w:r>
      <w:r w:rsidR="00B36CBB" w:rsidRPr="00004B6A">
        <w:rPr>
          <w:rFonts w:ascii="ITC Avant Garde" w:hAnsi="ITC Avant Garde"/>
          <w:bCs/>
        </w:rPr>
        <w:t>, XVIII</w:t>
      </w:r>
      <w:r w:rsidR="00EB4DD5" w:rsidRPr="00004B6A">
        <w:rPr>
          <w:rFonts w:ascii="ITC Avant Garde" w:hAnsi="ITC Avant Garde"/>
          <w:bCs/>
        </w:rPr>
        <w:t xml:space="preserve"> </w:t>
      </w:r>
      <w:r w:rsidR="004C6B78" w:rsidRPr="00004B6A">
        <w:rPr>
          <w:rFonts w:ascii="ITC Avant Garde" w:hAnsi="ITC Avant Garde"/>
          <w:bCs/>
        </w:rPr>
        <w:t>y XXXVI</w:t>
      </w:r>
      <w:r w:rsidR="000832AA" w:rsidRPr="00004B6A">
        <w:rPr>
          <w:rFonts w:ascii="ITC Avant Garde" w:hAnsi="ITC Avant Garde"/>
          <w:bCs/>
        </w:rPr>
        <w:t>I</w:t>
      </w:r>
      <w:r w:rsidR="00F67F10" w:rsidRPr="00004B6A">
        <w:rPr>
          <w:rFonts w:ascii="ITC Avant Garde" w:hAnsi="ITC Avant Garde"/>
          <w:bCs/>
        </w:rPr>
        <w:t xml:space="preserve">I, 32 y </w:t>
      </w:r>
      <w:r w:rsidR="004C6B78" w:rsidRPr="00004B6A">
        <w:rPr>
          <w:rFonts w:ascii="ITC Avant Garde" w:hAnsi="ITC Avant Garde"/>
          <w:bCs/>
        </w:rPr>
        <w:t>33 fr</w:t>
      </w:r>
      <w:r w:rsidR="000832AA" w:rsidRPr="00004B6A">
        <w:rPr>
          <w:rFonts w:ascii="ITC Avant Garde" w:hAnsi="ITC Avant Garde"/>
          <w:bCs/>
        </w:rPr>
        <w:t>acci</w:t>
      </w:r>
      <w:r w:rsidR="00B83C07" w:rsidRPr="00004B6A">
        <w:rPr>
          <w:rFonts w:ascii="ITC Avant Garde" w:hAnsi="ITC Avant Garde"/>
          <w:bCs/>
        </w:rPr>
        <w:t>ones II y</w:t>
      </w:r>
      <w:r w:rsidR="000832AA" w:rsidRPr="00004B6A">
        <w:rPr>
          <w:rFonts w:ascii="ITC Avant Garde" w:hAnsi="ITC Avant Garde"/>
          <w:bCs/>
        </w:rPr>
        <w:t xml:space="preserve"> V</w:t>
      </w:r>
      <w:r w:rsidR="003C26D0" w:rsidRPr="00004B6A">
        <w:rPr>
          <w:rFonts w:ascii="ITC Avant Garde" w:hAnsi="ITC Avant Garde"/>
          <w:bCs/>
        </w:rPr>
        <w:t>I</w:t>
      </w:r>
      <w:r w:rsidR="000832AA" w:rsidRPr="00004B6A">
        <w:rPr>
          <w:rFonts w:ascii="ITC Avant Garde" w:hAnsi="ITC Avant Garde"/>
          <w:bCs/>
        </w:rPr>
        <w:t>I</w:t>
      </w:r>
      <w:r w:rsidR="004C6B78" w:rsidRPr="00004B6A">
        <w:rPr>
          <w:rFonts w:ascii="ITC Avant Garde" w:hAnsi="ITC Avant Garde"/>
          <w:bCs/>
        </w:rPr>
        <w:t xml:space="preserve"> del Estatuto Orgánico del Instituto Federal d</w:t>
      </w:r>
      <w:r w:rsidR="00B75CDB" w:rsidRPr="00004B6A">
        <w:rPr>
          <w:rFonts w:ascii="ITC Avant Garde" w:hAnsi="ITC Avant Garde"/>
          <w:bCs/>
        </w:rPr>
        <w:t>e Telecomunicaciones; el</w:t>
      </w:r>
      <w:r w:rsidR="004C6B78" w:rsidRPr="00004B6A">
        <w:rPr>
          <w:rFonts w:ascii="ITC Avant Garde" w:hAnsi="ITC Avant Garde"/>
          <w:bCs/>
        </w:rPr>
        <w:t xml:space="preserve"> </w:t>
      </w:r>
      <w:r w:rsidR="00B75CDB" w:rsidRPr="00004B6A">
        <w:rPr>
          <w:rFonts w:ascii="ITC Avant Garde" w:hAnsi="ITC Avant Garde"/>
          <w:bCs/>
        </w:rPr>
        <w:t xml:space="preserve">numeral </w:t>
      </w:r>
      <w:r w:rsidR="00E83CF6" w:rsidRPr="00004B6A">
        <w:rPr>
          <w:rFonts w:ascii="ITC Avant Garde" w:hAnsi="ITC Avant Garde"/>
          <w:bCs/>
        </w:rPr>
        <w:t>III</w:t>
      </w:r>
      <w:r w:rsidR="004C6B78" w:rsidRPr="00004B6A">
        <w:rPr>
          <w:rFonts w:ascii="ITC Avant Garde" w:hAnsi="ITC Avant Garde"/>
          <w:bCs/>
        </w:rPr>
        <w:t xml:space="preserve"> de los “</w:t>
      </w:r>
      <w:r w:rsidR="004C6B78" w:rsidRPr="00004B6A">
        <w:rPr>
          <w:rFonts w:ascii="ITC Avant Garde" w:hAnsi="ITC Avant Garde"/>
          <w:bCs/>
          <w:i/>
        </w:rPr>
        <w:t xml:space="preserve">Lineamientos </w:t>
      </w:r>
      <w:r w:rsidR="006A7C0B" w:rsidRPr="00004B6A">
        <w:rPr>
          <w:rFonts w:ascii="ITC Avant Garde" w:hAnsi="ITC Avant Garde"/>
          <w:bCs/>
          <w:i/>
        </w:rPr>
        <w:t>generales que establecen los requisitos, términos y condiciones que los actuales concesionarios de radiodifusión, telecomunicaciones y telefonía deberán cumplir para que se les autorice la prestación</w:t>
      </w:r>
      <w:r w:rsidR="006A7C0B" w:rsidRPr="004E69E8">
        <w:rPr>
          <w:rFonts w:ascii="ITC Avant Garde" w:hAnsi="ITC Avant Garde"/>
          <w:bCs/>
          <w:i/>
        </w:rPr>
        <w:t xml:space="preserve"> de servicios adicionales a los que son objeto de su concesión”</w:t>
      </w:r>
      <w:r w:rsidR="004C6B78" w:rsidRPr="004E69E8">
        <w:rPr>
          <w:rFonts w:ascii="ITC Avant Garde" w:hAnsi="ITC Avant Garde"/>
          <w:bCs/>
          <w:i/>
        </w:rPr>
        <w:t xml:space="preserve"> </w:t>
      </w:r>
      <w:r w:rsidR="004C6B78" w:rsidRPr="004E69E8">
        <w:rPr>
          <w:rFonts w:ascii="ITC Avant Garde" w:hAnsi="ITC Avant Garde"/>
          <w:bCs/>
        </w:rPr>
        <w:t xml:space="preserve">publicados en el Diario Oficial de la Federación el </w:t>
      </w:r>
      <w:r w:rsidR="006A7C0B" w:rsidRPr="004E69E8">
        <w:rPr>
          <w:rFonts w:ascii="ITC Avant Garde" w:hAnsi="ITC Avant Garde"/>
          <w:bCs/>
        </w:rPr>
        <w:t>28</w:t>
      </w:r>
      <w:r w:rsidR="004C6B78" w:rsidRPr="004E69E8">
        <w:rPr>
          <w:rFonts w:ascii="ITC Avant Garde" w:hAnsi="ITC Avant Garde"/>
          <w:bCs/>
        </w:rPr>
        <w:t xml:space="preserve"> de </w:t>
      </w:r>
      <w:r w:rsidR="006A7C0B" w:rsidRPr="004E69E8">
        <w:rPr>
          <w:rFonts w:ascii="ITC Avant Garde" w:hAnsi="ITC Avant Garde"/>
          <w:bCs/>
        </w:rPr>
        <w:t>may</w:t>
      </w:r>
      <w:r w:rsidR="004C6B78" w:rsidRPr="004E69E8">
        <w:rPr>
          <w:rFonts w:ascii="ITC Avant Garde" w:hAnsi="ITC Avant Garde"/>
          <w:bCs/>
        </w:rPr>
        <w:t>o de 201</w:t>
      </w:r>
      <w:r w:rsidR="006A7C0B" w:rsidRPr="004E69E8">
        <w:rPr>
          <w:rFonts w:ascii="ITC Avant Garde" w:hAnsi="ITC Avant Garde"/>
          <w:bCs/>
        </w:rPr>
        <w:t>4</w:t>
      </w:r>
      <w:r w:rsidR="004C6B78" w:rsidRPr="004E69E8">
        <w:rPr>
          <w:rFonts w:ascii="ITC Avant Garde" w:hAnsi="ITC Avant Garde"/>
          <w:bCs/>
        </w:rPr>
        <w:t xml:space="preserve">, </w:t>
      </w:r>
      <w:r w:rsidR="00F67F10" w:rsidRPr="004E69E8">
        <w:rPr>
          <w:rFonts w:ascii="ITC Avant Garde" w:hAnsi="ITC Avant Garde"/>
          <w:bCs/>
        </w:rPr>
        <w:t>así como lo previsto por la condición 2.1 “</w:t>
      </w:r>
      <w:r w:rsidR="00F67F10" w:rsidRPr="004E69E8">
        <w:rPr>
          <w:rFonts w:ascii="ITC Avant Garde" w:hAnsi="ITC Avant Garde"/>
          <w:bCs/>
          <w:i/>
        </w:rPr>
        <w:t>Servicios Adicionales</w:t>
      </w:r>
      <w:r w:rsidR="00F67F10" w:rsidRPr="004E69E8">
        <w:rPr>
          <w:rFonts w:ascii="ITC Avant Garde" w:hAnsi="ITC Avant Garde"/>
          <w:bCs/>
        </w:rPr>
        <w:t xml:space="preserve">” de </w:t>
      </w:r>
      <w:r w:rsidR="00520E4F">
        <w:rPr>
          <w:rFonts w:ascii="ITC Avant Garde" w:hAnsi="ITC Avant Garde"/>
          <w:bCs/>
        </w:rPr>
        <w:t>la</w:t>
      </w:r>
      <w:r w:rsidR="003A3565">
        <w:rPr>
          <w:rFonts w:ascii="ITC Avant Garde" w:hAnsi="ITC Avant Garde"/>
          <w:bCs/>
        </w:rPr>
        <w:t xml:space="preserve"> </w:t>
      </w:r>
      <w:r w:rsidR="00520E4F">
        <w:rPr>
          <w:rFonts w:ascii="ITC Avant Garde" w:hAnsi="ITC Avant Garde"/>
          <w:bCs/>
        </w:rPr>
        <w:t>Modificación y Prórroga de la Concesión</w:t>
      </w:r>
      <w:r w:rsidR="00F67F10" w:rsidRPr="004E69E8">
        <w:rPr>
          <w:rFonts w:ascii="ITC Avant Garde" w:hAnsi="ITC Avant Garde"/>
          <w:bCs/>
        </w:rPr>
        <w:t xml:space="preserve"> para usar, aprovechar y explotar bandas de frecuencias del espectro radioeléctrico para usos determinados, otorgada el 6 de septiembre de 2013, </w:t>
      </w:r>
      <w:r w:rsidR="004C6B78" w:rsidRPr="004E69E8">
        <w:rPr>
          <w:rFonts w:ascii="ITC Avant Garde" w:hAnsi="ITC Avant Garde"/>
          <w:bCs/>
        </w:rPr>
        <w:t>este órgano autónomo constitucional emite los siguientes:</w:t>
      </w:r>
    </w:p>
    <w:p w:rsidR="00642B7F" w:rsidRPr="00C63E22" w:rsidRDefault="00A21167" w:rsidP="00C63E22">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C63E22">
        <w:rPr>
          <w:rFonts w:ascii="ITC Avant Garde" w:eastAsia="Times New Roman" w:hAnsi="ITC Avant Garde" w:cs="Arial"/>
          <w:b/>
          <w:bCs/>
          <w:color w:val="auto"/>
          <w:sz w:val="22"/>
          <w:szCs w:val="22"/>
        </w:rPr>
        <w:lastRenderedPageBreak/>
        <w:t>RESOLUTIVOS</w:t>
      </w:r>
    </w:p>
    <w:p w:rsidR="00642B7F" w:rsidRDefault="00E560F6" w:rsidP="00642B7F">
      <w:pPr>
        <w:autoSpaceDE w:val="0"/>
        <w:autoSpaceDN w:val="0"/>
        <w:adjustRightInd w:val="0"/>
        <w:spacing w:afterLines="120" w:after="288" w:line="240" w:lineRule="auto"/>
        <w:jc w:val="both"/>
        <w:rPr>
          <w:rFonts w:ascii="ITC Avant Garde" w:hAnsi="ITC Avant Garde"/>
          <w:bCs/>
          <w:color w:val="000000"/>
          <w:lang w:eastAsia="es-MX"/>
        </w:rPr>
      </w:pPr>
      <w:r w:rsidRPr="004E69E8">
        <w:rPr>
          <w:rFonts w:ascii="ITC Avant Garde" w:hAnsi="ITC Avant Garde"/>
          <w:b/>
          <w:bCs/>
          <w:color w:val="000000"/>
          <w:lang w:eastAsia="es-MX"/>
        </w:rPr>
        <w:t>PRIMERO.-</w:t>
      </w:r>
      <w:r w:rsidRPr="004E69E8">
        <w:rPr>
          <w:rFonts w:ascii="ITC Avant Garde" w:hAnsi="ITC Avant Garde"/>
          <w:bCs/>
          <w:color w:val="000000"/>
          <w:lang w:eastAsia="es-MX"/>
        </w:rPr>
        <w:t xml:space="preserve"> Se autoriza la prestación del servicio de acceso inalámbrico en</w:t>
      </w:r>
      <w:r w:rsidR="00520E4F">
        <w:rPr>
          <w:rFonts w:ascii="ITC Avant Garde" w:hAnsi="ITC Avant Garde"/>
          <w:bCs/>
          <w:color w:val="000000"/>
          <w:lang w:eastAsia="es-MX"/>
        </w:rPr>
        <w:t xml:space="preserve"> el título</w:t>
      </w:r>
      <w:r w:rsidRPr="004E69E8">
        <w:rPr>
          <w:rFonts w:ascii="ITC Avant Garde" w:hAnsi="ITC Avant Garde"/>
          <w:bCs/>
          <w:color w:val="000000"/>
          <w:lang w:eastAsia="es-MX"/>
        </w:rPr>
        <w:t xml:space="preserve"> de concesión para usar, aprovechar y explotar bandas de frecuencias del espectro radioeléctrico pa</w:t>
      </w:r>
      <w:r w:rsidR="00520E4F">
        <w:rPr>
          <w:rFonts w:ascii="ITC Avant Garde" w:hAnsi="ITC Avant Garde"/>
          <w:bCs/>
          <w:color w:val="000000"/>
          <w:lang w:eastAsia="es-MX"/>
        </w:rPr>
        <w:t>ra usos determinados, que fue modificado y prorrogado</w:t>
      </w:r>
      <w:r w:rsidRPr="004E69E8">
        <w:rPr>
          <w:rFonts w:ascii="ITC Avant Garde" w:hAnsi="ITC Avant Garde"/>
          <w:bCs/>
          <w:color w:val="000000"/>
          <w:lang w:eastAsia="es-MX"/>
        </w:rPr>
        <w:t xml:space="preserve"> el 6 de</w:t>
      </w:r>
      <w:r w:rsidR="000170A9">
        <w:rPr>
          <w:rFonts w:ascii="ITC Avant Garde" w:hAnsi="ITC Avant Garde"/>
          <w:bCs/>
          <w:color w:val="000000"/>
          <w:lang w:eastAsia="es-MX"/>
        </w:rPr>
        <w:t xml:space="preserve"> septiembre de 2013 en favor </w:t>
      </w:r>
      <w:r w:rsidR="000403F9">
        <w:rPr>
          <w:rFonts w:ascii="ITC Avant Garde" w:hAnsi="ITC Avant Garde"/>
          <w:bCs/>
          <w:color w:val="000000"/>
          <w:lang w:eastAsia="es-MX"/>
        </w:rPr>
        <w:t xml:space="preserve">de </w:t>
      </w:r>
      <w:r w:rsidR="00C72132" w:rsidRPr="008D738A">
        <w:rPr>
          <w:rFonts w:ascii="ITC Avant Garde" w:hAnsi="ITC Avant Garde"/>
          <w:bCs/>
          <w:color w:val="000000"/>
          <w:lang w:eastAsia="es-MX"/>
        </w:rPr>
        <w:t>Tele Comarca</w:t>
      </w:r>
      <w:r w:rsidR="000403F9" w:rsidRPr="005B771E">
        <w:rPr>
          <w:rFonts w:ascii="ITC Avant Garde" w:hAnsi="ITC Avant Garde"/>
          <w:bCs/>
          <w:color w:val="000000"/>
          <w:lang w:eastAsia="es-MX"/>
        </w:rPr>
        <w:t>, S.A. de C.V.</w:t>
      </w:r>
    </w:p>
    <w:p w:rsidR="00642B7F" w:rsidRDefault="00E560F6"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Para tal efecto, el Instituto Federal de Telecomunicaciones otorgará </w:t>
      </w:r>
      <w:r w:rsidR="00520E4F">
        <w:rPr>
          <w:rFonts w:ascii="ITC Avant Garde" w:hAnsi="ITC Avant Garde"/>
          <w:bCs/>
          <w:color w:val="000000"/>
          <w:lang w:eastAsia="es-MX"/>
        </w:rPr>
        <w:t>un</w:t>
      </w:r>
      <w:r w:rsidRPr="004E69E8">
        <w:rPr>
          <w:rFonts w:ascii="ITC Avant Garde" w:hAnsi="ITC Avant Garde"/>
          <w:bCs/>
        </w:rPr>
        <w:t xml:space="preserve"> título de concesión para usar, aprovechar y explotar bandas de frecuencias del espectro radioeléctric</w:t>
      </w:r>
      <w:r w:rsidR="000170A9">
        <w:rPr>
          <w:rFonts w:ascii="ITC Avant Garde" w:hAnsi="ITC Avant Garde"/>
          <w:bCs/>
        </w:rPr>
        <w:t xml:space="preserve">o </w:t>
      </w:r>
      <w:r w:rsidR="000403F9">
        <w:rPr>
          <w:rFonts w:ascii="ITC Avant Garde" w:hAnsi="ITC Avant Garde"/>
          <w:bCs/>
        </w:rPr>
        <w:t xml:space="preserve">para uso comercial en favor de </w:t>
      </w:r>
      <w:r w:rsidR="00C72132" w:rsidRPr="008D738A">
        <w:rPr>
          <w:rFonts w:ascii="ITC Avant Garde" w:hAnsi="ITC Avant Garde"/>
          <w:bCs/>
          <w:color w:val="000000"/>
          <w:lang w:eastAsia="es-MX"/>
        </w:rPr>
        <w:t>Tele Comarca</w:t>
      </w:r>
      <w:r w:rsidR="000403F9" w:rsidRPr="005B771E">
        <w:rPr>
          <w:rFonts w:ascii="ITC Avant Garde" w:hAnsi="ITC Avant Garde"/>
          <w:bCs/>
          <w:color w:val="000000"/>
          <w:lang w:eastAsia="es-MX"/>
        </w:rPr>
        <w:t>, S.A. de C.V.</w:t>
      </w:r>
      <w:r w:rsidR="00520E4F">
        <w:rPr>
          <w:rFonts w:ascii="ITC Avant Garde" w:hAnsi="ITC Avant Garde"/>
          <w:bCs/>
        </w:rPr>
        <w:t>, con la</w:t>
      </w:r>
      <w:r w:rsidRPr="004E69E8">
        <w:rPr>
          <w:rFonts w:ascii="ITC Avant Garde" w:hAnsi="ITC Avant Garde"/>
          <w:bCs/>
        </w:rPr>
        <w:t xml:space="preserve"> vigencia originalmente otorgada</w:t>
      </w:r>
      <w:r w:rsidR="00B94475" w:rsidRPr="004E69E8">
        <w:rPr>
          <w:rFonts w:ascii="ITC Avant Garde" w:hAnsi="ITC Avant Garde"/>
          <w:bCs/>
        </w:rPr>
        <w:t xml:space="preserve"> por la Secretaría de Comunicaciones y Transportes</w:t>
      </w:r>
      <w:r w:rsidRPr="004E69E8">
        <w:rPr>
          <w:rFonts w:ascii="ITC Avant Garde" w:hAnsi="ITC Avant Garde"/>
          <w:bCs/>
        </w:rPr>
        <w:t xml:space="preserve">, para prestar el servicio de acceso inalámbrico en los rangos de frecuencia y cobertura en los municipios señalados </w:t>
      </w:r>
      <w:r w:rsidR="009E2443" w:rsidRPr="004E69E8">
        <w:rPr>
          <w:rFonts w:ascii="ITC Avant Garde" w:hAnsi="ITC Avant Garde"/>
          <w:bCs/>
        </w:rPr>
        <w:t xml:space="preserve">en </w:t>
      </w:r>
      <w:r w:rsidR="00921F58">
        <w:rPr>
          <w:rFonts w:ascii="ITC Avant Garde" w:hAnsi="ITC Avant Garde"/>
          <w:bCs/>
        </w:rPr>
        <w:t>el respectivo</w:t>
      </w:r>
      <w:r w:rsidR="009E2443" w:rsidRPr="004E69E8">
        <w:rPr>
          <w:rFonts w:ascii="ITC Avant Garde" w:hAnsi="ITC Avant Garde"/>
          <w:bCs/>
        </w:rPr>
        <w:t xml:space="preserve"> título de concesión</w:t>
      </w:r>
      <w:r w:rsidRPr="004E69E8">
        <w:rPr>
          <w:rFonts w:ascii="ITC Avant Garde" w:hAnsi="ITC Avant Garde"/>
          <w:bCs/>
        </w:rPr>
        <w:t>.</w:t>
      </w:r>
      <w:r w:rsidR="00D97B47">
        <w:rPr>
          <w:rFonts w:ascii="ITC Avant Garde" w:hAnsi="ITC Avant Garde"/>
          <w:bCs/>
        </w:rPr>
        <w:t xml:space="preserve"> Dicho servicio de acceso inalámbrico </w:t>
      </w:r>
      <w:r w:rsidR="00D97B47" w:rsidRPr="00BB22FF">
        <w:rPr>
          <w:rFonts w:ascii="ITC Avant Garde" w:hAnsi="ITC Avant Garde"/>
          <w:bCs/>
        </w:rPr>
        <w:t xml:space="preserve">será prestado por </w:t>
      </w:r>
      <w:r w:rsidR="00C72132" w:rsidRPr="008D738A">
        <w:rPr>
          <w:rFonts w:ascii="ITC Avant Garde" w:hAnsi="ITC Avant Garde"/>
          <w:bCs/>
          <w:color w:val="000000"/>
          <w:lang w:eastAsia="es-MX"/>
        </w:rPr>
        <w:t>Tele Comarca</w:t>
      </w:r>
      <w:r w:rsidR="00A373A8" w:rsidRPr="005B771E">
        <w:rPr>
          <w:rFonts w:ascii="ITC Avant Garde" w:hAnsi="ITC Avant Garde"/>
          <w:bCs/>
          <w:color w:val="000000"/>
          <w:lang w:eastAsia="es-MX"/>
        </w:rPr>
        <w:t>, S.A. de C.V.</w:t>
      </w:r>
      <w:r w:rsidR="00D97B47" w:rsidRPr="00BB22FF">
        <w:rPr>
          <w:rFonts w:ascii="ITC Avant Garde" w:hAnsi="ITC Avant Garde"/>
          <w:bCs/>
        </w:rPr>
        <w:t xml:space="preserve"> al amparo de la conc</w:t>
      </w:r>
      <w:r w:rsidR="0062617B" w:rsidRPr="00BB22FF">
        <w:rPr>
          <w:rFonts w:ascii="ITC Avant Garde" w:hAnsi="ITC Avant Garde"/>
          <w:bCs/>
        </w:rPr>
        <w:t xml:space="preserve">esión única para uso comercial </w:t>
      </w:r>
      <w:r w:rsidR="00921F58">
        <w:rPr>
          <w:rFonts w:ascii="ITC Avant Garde" w:hAnsi="ITC Avant Garde"/>
          <w:bCs/>
        </w:rPr>
        <w:t>de la cual</w:t>
      </w:r>
      <w:r w:rsidR="00D042B5">
        <w:rPr>
          <w:rFonts w:ascii="ITC Avant Garde" w:hAnsi="ITC Avant Garde"/>
          <w:bCs/>
          <w:color w:val="000000"/>
          <w:lang w:eastAsia="es-MX"/>
        </w:rPr>
        <w:t xml:space="preserve"> es titular</w:t>
      </w:r>
      <w:r w:rsidR="00D97B47" w:rsidRPr="00BB22FF">
        <w:rPr>
          <w:rFonts w:ascii="ITC Avant Garde" w:hAnsi="ITC Avant Garde"/>
          <w:bCs/>
        </w:rPr>
        <w:t>.</w:t>
      </w:r>
    </w:p>
    <w:p w:rsidR="00642B7F" w:rsidRDefault="009E2443" w:rsidP="00642B7F">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A fin de que surta efectos la autorización señalada en el primer párrafo del presente Resolutivo y</w:t>
      </w:r>
      <w:r w:rsidR="00CB4961" w:rsidRPr="004E69E8">
        <w:rPr>
          <w:rFonts w:ascii="ITC Avant Garde" w:hAnsi="ITC Avant Garde"/>
          <w:bCs/>
        </w:rPr>
        <w:t>, en consecuencia,</w:t>
      </w:r>
      <w:r w:rsidRPr="004E69E8">
        <w:rPr>
          <w:rFonts w:ascii="ITC Avant Garde" w:hAnsi="ITC Avant Garde"/>
          <w:bCs/>
        </w:rPr>
        <w:t xml:space="preserve"> el Instituto Federal de Telecomunicaciones expida </w:t>
      </w:r>
      <w:r w:rsidR="00921F58">
        <w:rPr>
          <w:rFonts w:ascii="ITC Avant Garde" w:hAnsi="ITC Avant Garde"/>
          <w:bCs/>
        </w:rPr>
        <w:t>el título de concesión señalado</w:t>
      </w:r>
      <w:r w:rsidRPr="004E69E8">
        <w:rPr>
          <w:rFonts w:ascii="ITC Avant Garde" w:hAnsi="ITC Avant Garde"/>
          <w:bCs/>
        </w:rPr>
        <w:t xml:space="preserve"> en el párrafo anterior, </w:t>
      </w:r>
      <w:r w:rsidR="00C72132" w:rsidRPr="008D738A">
        <w:rPr>
          <w:rFonts w:ascii="ITC Avant Garde" w:hAnsi="ITC Avant Garde"/>
          <w:bCs/>
          <w:color w:val="000000"/>
          <w:lang w:eastAsia="es-MX"/>
        </w:rPr>
        <w:t>Tele Comarca</w:t>
      </w:r>
      <w:r w:rsidR="000403F9" w:rsidRPr="005B771E">
        <w:rPr>
          <w:rFonts w:ascii="ITC Avant Garde" w:hAnsi="ITC Avant Garde"/>
          <w:bCs/>
          <w:color w:val="000000"/>
          <w:lang w:eastAsia="es-MX"/>
        </w:rPr>
        <w:t>, S.A. de C.V.</w:t>
      </w:r>
      <w:r w:rsidRPr="004E69E8">
        <w:rPr>
          <w:rFonts w:ascii="ITC Avant Garde" w:hAnsi="ITC Avant Garde"/>
          <w:bCs/>
          <w:color w:val="000000"/>
          <w:lang w:eastAsia="es-MX"/>
        </w:rPr>
        <w:t xml:space="preserve"> </w:t>
      </w:r>
      <w:r w:rsidRPr="004E69E8">
        <w:rPr>
          <w:rFonts w:ascii="ITC Avant Garde" w:hAnsi="ITC Avant Garde"/>
          <w:bCs/>
        </w:rPr>
        <w:t xml:space="preserve">deberá aceptar </w:t>
      </w:r>
      <w:r w:rsidR="00D304C8">
        <w:rPr>
          <w:rFonts w:ascii="ITC Avant Garde" w:hAnsi="ITC Avant Garde"/>
          <w:bCs/>
        </w:rPr>
        <w:t>previamente</w:t>
      </w:r>
      <w:r w:rsidR="00AA6923">
        <w:rPr>
          <w:rFonts w:ascii="ITC Avant Garde" w:hAnsi="ITC Avant Garde"/>
          <w:bCs/>
        </w:rPr>
        <w:t xml:space="preserve"> y de manera expresa</w:t>
      </w:r>
      <w:r w:rsidRPr="004E69E8">
        <w:rPr>
          <w:rFonts w:ascii="ITC Avant Garde" w:hAnsi="ITC Avant Garde"/>
          <w:bCs/>
        </w:rPr>
        <w:t>, las nuevas condiciones que al efecto se le establezcan</w:t>
      </w:r>
      <w:r w:rsidR="002436B8" w:rsidRPr="004E69E8">
        <w:rPr>
          <w:rFonts w:ascii="ITC Avant Garde" w:hAnsi="ITC Avant Garde"/>
          <w:bCs/>
        </w:rPr>
        <w:t xml:space="preserve"> y </w:t>
      </w:r>
      <w:r w:rsidR="002436B8" w:rsidRPr="004E69E8">
        <w:rPr>
          <w:rFonts w:ascii="ITC Avant Garde" w:hAnsi="ITC Avant Garde"/>
          <w:bCs/>
          <w:lang w:val="es-ES_tradnl"/>
        </w:rPr>
        <w:t>presentar el comprobante de pago del aprovechamiento por concepto de contraprestación</w:t>
      </w:r>
      <w:r w:rsidRPr="004E69E8">
        <w:rPr>
          <w:rFonts w:ascii="ITC Avant Garde" w:hAnsi="ITC Avant Garde"/>
          <w:bCs/>
        </w:rPr>
        <w:t xml:space="preserve">, de conformidad con lo dispuesto por los Resolutivos </w:t>
      </w:r>
      <w:r w:rsidR="00CB4961" w:rsidRPr="004E69E8">
        <w:rPr>
          <w:rFonts w:ascii="ITC Avant Garde" w:hAnsi="ITC Avant Garde"/>
          <w:bCs/>
        </w:rPr>
        <w:t xml:space="preserve">Segundo y </w:t>
      </w:r>
      <w:r w:rsidRPr="004E69E8">
        <w:rPr>
          <w:rFonts w:ascii="ITC Avant Garde" w:hAnsi="ITC Avant Garde"/>
          <w:bCs/>
        </w:rPr>
        <w:t>Tercero de la presente Resolución.</w:t>
      </w:r>
    </w:p>
    <w:p w:rsidR="00642B7F" w:rsidRDefault="00CB4961" w:rsidP="00642B7F">
      <w:pPr>
        <w:spacing w:afterLines="120" w:after="288" w:line="240" w:lineRule="auto"/>
        <w:jc w:val="both"/>
        <w:rPr>
          <w:rFonts w:ascii="ITC Avant Garde" w:hAnsi="ITC Avant Garde"/>
          <w:bCs/>
          <w:lang w:val="es-ES_tradnl"/>
        </w:rPr>
      </w:pPr>
      <w:r w:rsidRPr="004E69E8">
        <w:rPr>
          <w:rFonts w:ascii="ITC Avant Garde" w:hAnsi="ITC Avant Garde"/>
          <w:b/>
          <w:bCs/>
          <w:color w:val="000000"/>
          <w:lang w:eastAsia="es-MX"/>
        </w:rPr>
        <w:t>SEGUNDO</w:t>
      </w:r>
      <w:r w:rsidR="00E560F6" w:rsidRPr="004E69E8">
        <w:rPr>
          <w:rFonts w:ascii="ITC Avant Garde" w:hAnsi="ITC Avant Garde"/>
          <w:b/>
          <w:bCs/>
          <w:color w:val="000000"/>
          <w:lang w:eastAsia="es-MX"/>
        </w:rPr>
        <w:t>.-</w:t>
      </w:r>
      <w:r w:rsidR="00E560F6" w:rsidRPr="004E69E8">
        <w:rPr>
          <w:rFonts w:ascii="ITC Avant Garde" w:hAnsi="ITC Avant Garde"/>
          <w:bCs/>
          <w:color w:val="000000"/>
          <w:lang w:eastAsia="es-MX"/>
        </w:rPr>
        <w:t xml:space="preserve"> </w:t>
      </w:r>
      <w:r w:rsidR="009E2443" w:rsidRPr="004E69E8">
        <w:rPr>
          <w:rFonts w:ascii="ITC Avant Garde" w:hAnsi="ITC Avant Garde"/>
          <w:bCs/>
          <w:color w:val="000000"/>
          <w:lang w:eastAsia="es-MX"/>
        </w:rPr>
        <w:t>Se</w:t>
      </w:r>
      <w:r w:rsidR="009E2443" w:rsidRPr="004E69E8">
        <w:rPr>
          <w:rFonts w:ascii="ITC Avant Garde" w:hAnsi="ITC Avant Garde"/>
          <w:bCs/>
          <w:lang w:val="es-ES_tradnl"/>
        </w:rPr>
        <w:t xml:space="preserve"> instruye a la Unidad de Concesiones y Servicios a hacer del conocimiento de</w:t>
      </w:r>
      <w:r w:rsidR="000170A9">
        <w:rPr>
          <w:rFonts w:ascii="ITC Avant Garde" w:hAnsi="ITC Avant Garde"/>
          <w:bCs/>
        </w:rPr>
        <w:t xml:space="preserve"> </w:t>
      </w:r>
      <w:r w:rsidR="00C72132" w:rsidRPr="008D738A">
        <w:rPr>
          <w:rFonts w:ascii="ITC Avant Garde" w:hAnsi="ITC Avant Garde"/>
          <w:bCs/>
          <w:color w:val="000000"/>
          <w:lang w:eastAsia="es-MX"/>
        </w:rPr>
        <w:t>Tele Comarca</w:t>
      </w:r>
      <w:r w:rsidR="00A373A8" w:rsidRPr="005B771E">
        <w:rPr>
          <w:rFonts w:ascii="ITC Avant Garde" w:hAnsi="ITC Avant Garde"/>
          <w:bCs/>
          <w:color w:val="000000"/>
          <w:lang w:eastAsia="es-MX"/>
        </w:rPr>
        <w:t>, S.A. de C.V.</w:t>
      </w:r>
      <w:r w:rsidR="000170A9" w:rsidRPr="004E69E8">
        <w:rPr>
          <w:rFonts w:ascii="ITC Avant Garde" w:hAnsi="ITC Avant Garde"/>
          <w:bCs/>
          <w:lang w:val="es-ES_tradnl"/>
        </w:rPr>
        <w:t xml:space="preserve"> </w:t>
      </w:r>
      <w:r w:rsidR="009E2443" w:rsidRPr="004E69E8">
        <w:rPr>
          <w:rFonts w:ascii="ITC Avant Garde" w:hAnsi="ITC Avant Garde"/>
          <w:bCs/>
          <w:lang w:val="es-ES_tradnl"/>
        </w:rPr>
        <w:t>el contenido de la presente Resolución, así como las nuevas condiciones, mismas que se encuentran contenida</w:t>
      </w:r>
      <w:r w:rsidR="00CE48CB">
        <w:rPr>
          <w:rFonts w:ascii="ITC Avant Garde" w:hAnsi="ITC Avant Garde"/>
          <w:bCs/>
          <w:lang w:val="es-ES_tradnl"/>
        </w:rPr>
        <w:t>s en el proyecto de título</w:t>
      </w:r>
      <w:r w:rsidR="009E2443" w:rsidRPr="004E69E8">
        <w:rPr>
          <w:rFonts w:ascii="ITC Avant Garde" w:hAnsi="ITC Avant Garde"/>
          <w:bCs/>
          <w:lang w:val="es-ES_tradnl"/>
        </w:rPr>
        <w:t xml:space="preserve"> de concesión </w:t>
      </w:r>
      <w:r w:rsidR="009E2443" w:rsidRPr="004E69E8">
        <w:rPr>
          <w:rFonts w:ascii="ITC Avant Garde" w:hAnsi="ITC Avant Garde"/>
          <w:bCs/>
          <w:color w:val="000000"/>
          <w:lang w:eastAsia="es-MX"/>
        </w:rPr>
        <w:t xml:space="preserve">a que se refiere </w:t>
      </w:r>
      <w:r w:rsidR="00245A4F" w:rsidRPr="004E69E8">
        <w:rPr>
          <w:rFonts w:ascii="ITC Avant Garde" w:hAnsi="ITC Avant Garde"/>
          <w:bCs/>
          <w:color w:val="000000"/>
          <w:lang w:eastAsia="es-MX"/>
        </w:rPr>
        <w:t>el</w:t>
      </w:r>
      <w:r w:rsidR="009E2443" w:rsidRPr="004E69E8">
        <w:rPr>
          <w:rFonts w:ascii="ITC Avant Garde" w:hAnsi="ITC Avant Garde"/>
          <w:bCs/>
          <w:color w:val="000000"/>
          <w:lang w:eastAsia="es-MX"/>
        </w:rPr>
        <w:t xml:space="preserve"> Resolutivo Primero,</w:t>
      </w:r>
      <w:r w:rsidR="00CE48CB">
        <w:rPr>
          <w:rFonts w:ascii="ITC Avant Garde" w:hAnsi="ITC Avant Garde"/>
          <w:bCs/>
          <w:lang w:val="es-ES_tradnl"/>
        </w:rPr>
        <w:t xml:space="preserve"> el</w:t>
      </w:r>
      <w:r w:rsidR="009E2443" w:rsidRPr="004E69E8">
        <w:rPr>
          <w:rFonts w:ascii="ITC Avant Garde" w:hAnsi="ITC Avant Garde"/>
          <w:bCs/>
          <w:lang w:val="es-ES_tradnl"/>
        </w:rPr>
        <w:t xml:space="preserve"> cual forma parte integral de la presente Resoluci</w:t>
      </w:r>
      <w:r w:rsidR="003C7E7A">
        <w:rPr>
          <w:rFonts w:ascii="ITC Avant Garde" w:hAnsi="ITC Avant Garde"/>
          <w:bCs/>
          <w:lang w:val="es-ES_tradnl"/>
        </w:rPr>
        <w:t>ón, a efecto de recabar de dicho concesionario</w:t>
      </w:r>
      <w:r w:rsidR="009E2443" w:rsidRPr="004E69E8">
        <w:rPr>
          <w:rFonts w:ascii="ITC Avant Garde" w:hAnsi="ITC Avant Garde"/>
          <w:bCs/>
          <w:lang w:val="es-ES_tradnl"/>
        </w:rPr>
        <w:t xml:space="preserve">, en un plazo </w:t>
      </w:r>
      <w:r w:rsidR="00AA6923">
        <w:rPr>
          <w:rFonts w:ascii="ITC Avant Garde" w:hAnsi="ITC Avant Garde"/>
          <w:bCs/>
          <w:lang w:val="es-ES_tradnl"/>
        </w:rPr>
        <w:t xml:space="preserve">improrrogable, </w:t>
      </w:r>
      <w:r w:rsidR="009E2443" w:rsidRPr="004E69E8">
        <w:rPr>
          <w:rFonts w:ascii="ITC Avant Garde" w:hAnsi="ITC Avant Garde"/>
          <w:bCs/>
          <w:lang w:val="es-ES_tradnl"/>
        </w:rPr>
        <w:t>no mayor a 30 (treinta) días hábiles contados a partir del día siguiente a aquel en que surta efectos la notificación respectiva, su aceptación expresa e indubitable de las nuevas condiciones.</w:t>
      </w:r>
    </w:p>
    <w:p w:rsidR="00642B7F" w:rsidRDefault="009E2443" w:rsidP="00642B7F">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Cs/>
          <w:lang w:val="es-ES_tradnl"/>
        </w:rPr>
        <w:t>En caso de que no se reciba por parte de</w:t>
      </w:r>
      <w:r w:rsidR="000170A9">
        <w:rPr>
          <w:rFonts w:ascii="ITC Avant Garde" w:hAnsi="ITC Avant Garde"/>
          <w:bCs/>
        </w:rPr>
        <w:t xml:space="preserve"> </w:t>
      </w:r>
      <w:r w:rsidR="00C72132" w:rsidRPr="008D738A">
        <w:rPr>
          <w:rFonts w:ascii="ITC Avant Garde" w:hAnsi="ITC Avant Garde"/>
          <w:bCs/>
          <w:color w:val="000000"/>
          <w:lang w:eastAsia="es-MX"/>
        </w:rPr>
        <w:t>Tele Comarca</w:t>
      </w:r>
      <w:r w:rsidR="000403F9" w:rsidRPr="005B771E">
        <w:rPr>
          <w:rFonts w:ascii="ITC Avant Garde" w:hAnsi="ITC Avant Garde"/>
          <w:bCs/>
          <w:color w:val="000000"/>
          <w:lang w:eastAsia="es-MX"/>
        </w:rPr>
        <w:t>, S.A. de C.V.</w:t>
      </w:r>
      <w:r w:rsidRPr="004E69E8">
        <w:rPr>
          <w:rFonts w:ascii="ITC Avant Garde" w:hAnsi="ITC Avant Garde"/>
          <w:bCs/>
          <w:color w:val="000000"/>
          <w:lang w:eastAsia="es-MX"/>
        </w:rPr>
        <w:t xml:space="preserve"> </w:t>
      </w:r>
      <w:r w:rsidRPr="004E69E8">
        <w:rPr>
          <w:rFonts w:ascii="ITC Avant Garde" w:hAnsi="ITC Avant Garde"/>
          <w:bCs/>
          <w:lang w:val="es-ES_tradnl"/>
        </w:rPr>
        <w:t>la aceptación referida dentro del plazo establecido para tales efectos, la presente Resolución quedará sin efectos y, en consecuencia, se tendrá por negada la autorización del servicio de acce</w:t>
      </w:r>
      <w:r w:rsidR="00BF41C3" w:rsidRPr="004E69E8">
        <w:rPr>
          <w:rFonts w:ascii="ITC Avant Garde" w:hAnsi="ITC Avant Garde"/>
          <w:bCs/>
          <w:lang w:val="es-ES_tradnl"/>
        </w:rPr>
        <w:t xml:space="preserve">so inalámbrico y </w:t>
      </w:r>
      <w:r w:rsidRPr="004E69E8">
        <w:rPr>
          <w:rFonts w:ascii="ITC Avant Garde" w:hAnsi="ITC Avant Garde"/>
          <w:bCs/>
          <w:lang w:val="es-ES_tradnl"/>
        </w:rPr>
        <w:t>no se otorgará</w:t>
      </w:r>
      <w:r w:rsidR="00BF41C3" w:rsidRPr="004E69E8">
        <w:rPr>
          <w:rFonts w:ascii="ITC Avant Garde" w:hAnsi="ITC Avant Garde"/>
          <w:bCs/>
          <w:lang w:val="es-ES_tradnl"/>
        </w:rPr>
        <w:t xml:space="preserve"> </w:t>
      </w:r>
      <w:r w:rsidR="00CE48CB">
        <w:rPr>
          <w:rFonts w:ascii="ITC Avant Garde" w:hAnsi="ITC Avant Garde"/>
          <w:bCs/>
          <w:lang w:val="es-ES_tradnl"/>
        </w:rPr>
        <w:t>el título de concesión señalado</w:t>
      </w:r>
      <w:r w:rsidR="00BF41C3" w:rsidRPr="004E69E8">
        <w:rPr>
          <w:rFonts w:ascii="ITC Avant Garde" w:hAnsi="ITC Avant Garde"/>
          <w:bCs/>
          <w:lang w:val="es-ES_tradnl"/>
        </w:rPr>
        <w:t xml:space="preserve"> en </w:t>
      </w:r>
      <w:r w:rsidR="00245A4F" w:rsidRPr="004E69E8">
        <w:rPr>
          <w:rFonts w:ascii="ITC Avant Garde" w:hAnsi="ITC Avant Garde"/>
          <w:bCs/>
          <w:lang w:val="es-ES_tradnl"/>
        </w:rPr>
        <w:t>el</w:t>
      </w:r>
      <w:r w:rsidR="00BF41C3" w:rsidRPr="004E69E8">
        <w:rPr>
          <w:rFonts w:ascii="ITC Avant Garde" w:hAnsi="ITC Avant Garde"/>
          <w:bCs/>
          <w:lang w:val="es-ES_tradnl"/>
        </w:rPr>
        <w:t xml:space="preserve"> Resolutivo Primero</w:t>
      </w:r>
      <w:r w:rsidRPr="004E69E8">
        <w:rPr>
          <w:rFonts w:ascii="ITC Avant Garde" w:hAnsi="ITC Avant Garde"/>
          <w:bCs/>
          <w:lang w:val="es-ES_tradnl"/>
        </w:rPr>
        <w:t>.</w:t>
      </w:r>
    </w:p>
    <w:p w:rsidR="00642B7F" w:rsidRDefault="00102B2F" w:rsidP="00642B7F">
      <w:pPr>
        <w:spacing w:afterLines="120" w:after="288" w:line="240" w:lineRule="auto"/>
        <w:jc w:val="both"/>
        <w:rPr>
          <w:rFonts w:ascii="ITC Avant Garde" w:hAnsi="ITC Avant Garde"/>
          <w:bCs/>
          <w:lang w:val="es-ES_tradnl"/>
        </w:rPr>
      </w:pPr>
      <w:r w:rsidRPr="0055384B">
        <w:rPr>
          <w:rFonts w:ascii="ITC Avant Garde" w:hAnsi="ITC Avant Garde"/>
          <w:bCs/>
          <w:lang w:val="es-ES_tradnl"/>
        </w:rPr>
        <w:t xml:space="preserve">En dicho caso, </w:t>
      </w:r>
      <w:r w:rsidR="00B1175A" w:rsidRPr="0055384B">
        <w:rPr>
          <w:rFonts w:ascii="ITC Avant Garde" w:hAnsi="ITC Avant Garde"/>
          <w:bCs/>
          <w:lang w:val="es-ES_tradnl"/>
        </w:rPr>
        <w:t xml:space="preserve">tendrá lugar </w:t>
      </w:r>
      <w:r w:rsidR="000F7681">
        <w:rPr>
          <w:rFonts w:ascii="ITC Avant Garde" w:hAnsi="ITC Avant Garde"/>
          <w:bCs/>
          <w:lang w:val="es-ES_tradnl"/>
        </w:rPr>
        <w:t>la terminación anticipada de la Concesión de Bandas señalada</w:t>
      </w:r>
      <w:r w:rsidR="00B1175A" w:rsidRPr="0055384B">
        <w:rPr>
          <w:rFonts w:ascii="ITC Avant Garde" w:hAnsi="ITC Avant Garde"/>
          <w:bCs/>
          <w:lang w:val="es-ES_tradnl"/>
        </w:rPr>
        <w:t xml:space="preserve"> en el Antecedente II de la presente Resolución y </w:t>
      </w:r>
      <w:r w:rsidRPr="0055384B">
        <w:rPr>
          <w:rFonts w:ascii="ITC Avant Garde" w:hAnsi="ITC Avant Garde"/>
          <w:bCs/>
          <w:lang w:val="es-ES_tradnl"/>
        </w:rPr>
        <w:t>las bandas de frecuencias que le fueron asignadas revertirán a favor de la Nación, sin perjuicio de que el Instituto Federal de Telecomunicaciones pueda ejercer las atribuciones de verificación, supervisión y, en su caso, sanción que correspondan.</w:t>
      </w:r>
    </w:p>
    <w:p w:rsidR="00642B7F" w:rsidRDefault="00CB4961" w:rsidP="00642B7F">
      <w:pPr>
        <w:spacing w:afterLines="120" w:after="288" w:line="240" w:lineRule="auto"/>
        <w:jc w:val="both"/>
        <w:rPr>
          <w:rFonts w:ascii="ITC Avant Garde" w:hAnsi="ITC Avant Garde"/>
          <w:bCs/>
          <w:color w:val="000000"/>
          <w:lang w:eastAsia="es-MX"/>
        </w:rPr>
      </w:pPr>
      <w:r w:rsidRPr="000C39E0">
        <w:rPr>
          <w:rFonts w:ascii="ITC Avant Garde" w:hAnsi="ITC Avant Garde"/>
          <w:b/>
          <w:bCs/>
          <w:color w:val="000000"/>
          <w:lang w:eastAsia="es-MX"/>
        </w:rPr>
        <w:lastRenderedPageBreak/>
        <w:t>TERCERO</w:t>
      </w:r>
      <w:r w:rsidR="00BA0BB3" w:rsidRPr="000C39E0">
        <w:rPr>
          <w:rFonts w:ascii="ITC Avant Garde" w:hAnsi="ITC Avant Garde"/>
          <w:b/>
          <w:bCs/>
          <w:color w:val="000000"/>
          <w:lang w:eastAsia="es-MX"/>
        </w:rPr>
        <w:t>.-</w:t>
      </w:r>
      <w:r w:rsidR="00BA0BB3" w:rsidRPr="000C39E0">
        <w:rPr>
          <w:rFonts w:ascii="ITC Avant Garde" w:hAnsi="ITC Avant Garde"/>
          <w:bCs/>
          <w:color w:val="000000"/>
          <w:lang w:eastAsia="es-MX"/>
        </w:rPr>
        <w:t xml:space="preserve"> </w:t>
      </w:r>
      <w:r w:rsidR="002A05AB" w:rsidRPr="000C39E0">
        <w:rPr>
          <w:rFonts w:ascii="ITC Avant Garde" w:hAnsi="ITC Avant Garde"/>
          <w:bCs/>
          <w:color w:val="000000"/>
          <w:lang w:eastAsia="es-MX"/>
        </w:rPr>
        <w:t>Se autoriza el aprovechamiento por concepto de contraprestación por un monto de $</w:t>
      </w:r>
      <w:r w:rsidR="000D6030" w:rsidRPr="000C39E0">
        <w:rPr>
          <w:rFonts w:ascii="ITC Avant Garde" w:hAnsi="ITC Avant Garde"/>
          <w:bCs/>
          <w:color w:val="000000"/>
          <w:lang w:eastAsia="es-MX"/>
        </w:rPr>
        <w:t>34</w:t>
      </w:r>
      <w:r w:rsidR="00AA6923" w:rsidRPr="000C39E0">
        <w:rPr>
          <w:rFonts w:ascii="ITC Avant Garde" w:hAnsi="ITC Avant Garde"/>
          <w:bCs/>
          <w:color w:val="000000"/>
          <w:lang w:eastAsia="es-MX"/>
        </w:rPr>
        <w:t>,</w:t>
      </w:r>
      <w:r w:rsidR="004626A4" w:rsidRPr="000C39E0">
        <w:rPr>
          <w:rFonts w:ascii="ITC Avant Garde" w:hAnsi="ITC Avant Garde"/>
          <w:bCs/>
          <w:color w:val="000000"/>
          <w:lang w:eastAsia="es-MX"/>
        </w:rPr>
        <w:t>8</w:t>
      </w:r>
      <w:r w:rsidR="004626A4">
        <w:rPr>
          <w:rFonts w:ascii="ITC Avant Garde" w:hAnsi="ITC Avant Garde"/>
          <w:bCs/>
          <w:color w:val="000000"/>
          <w:lang w:eastAsia="es-MX"/>
        </w:rPr>
        <w:t>20</w:t>
      </w:r>
      <w:r w:rsidR="00AA6923" w:rsidRPr="000C39E0">
        <w:rPr>
          <w:rFonts w:ascii="ITC Avant Garde" w:hAnsi="ITC Avant Garde"/>
          <w:bCs/>
          <w:color w:val="000000"/>
          <w:lang w:eastAsia="es-MX"/>
        </w:rPr>
        <w:t>,</w:t>
      </w:r>
      <w:r w:rsidR="004626A4">
        <w:rPr>
          <w:rFonts w:ascii="ITC Avant Garde" w:hAnsi="ITC Avant Garde"/>
          <w:bCs/>
          <w:color w:val="000000"/>
          <w:lang w:eastAsia="es-MX"/>
        </w:rPr>
        <w:t>191</w:t>
      </w:r>
      <w:r w:rsidR="00E06BAE" w:rsidRPr="000C39E0">
        <w:rPr>
          <w:rFonts w:ascii="ITC Avant Garde" w:hAnsi="ITC Avant Garde"/>
          <w:bCs/>
          <w:color w:val="000000"/>
          <w:lang w:eastAsia="es-MX"/>
        </w:rPr>
        <w:t>.</w:t>
      </w:r>
      <w:r w:rsidR="00CA0735" w:rsidRPr="000C39E0">
        <w:rPr>
          <w:rFonts w:ascii="ITC Avant Garde" w:hAnsi="ITC Avant Garde"/>
          <w:bCs/>
          <w:color w:val="000000"/>
          <w:lang w:eastAsia="es-MX"/>
        </w:rPr>
        <w:t>00 (</w:t>
      </w:r>
      <w:r w:rsidR="000D6030" w:rsidRPr="000C39E0">
        <w:rPr>
          <w:rFonts w:ascii="ITC Avant Garde" w:hAnsi="ITC Avant Garde"/>
          <w:bCs/>
          <w:color w:val="000000"/>
          <w:lang w:eastAsia="es-MX"/>
        </w:rPr>
        <w:t xml:space="preserve">treinta y cuatro millones ochocientos </w:t>
      </w:r>
      <w:r w:rsidR="004626A4">
        <w:rPr>
          <w:rFonts w:ascii="ITC Avant Garde" w:hAnsi="ITC Avant Garde"/>
          <w:bCs/>
          <w:color w:val="000000"/>
          <w:lang w:eastAsia="es-MX"/>
        </w:rPr>
        <w:t>veinte mil ciento noventa y un</w:t>
      </w:r>
      <w:r w:rsidR="000D6030" w:rsidRPr="000C39E0">
        <w:rPr>
          <w:rFonts w:ascii="ITC Avant Garde" w:hAnsi="ITC Avant Garde"/>
          <w:bCs/>
          <w:color w:val="000000"/>
          <w:lang w:eastAsia="es-MX"/>
        </w:rPr>
        <w:t xml:space="preserve"> </w:t>
      </w:r>
      <w:r w:rsidR="002A05AB" w:rsidRPr="000C39E0">
        <w:rPr>
          <w:rFonts w:ascii="ITC Avant Garde" w:hAnsi="ITC Avant Garde"/>
          <w:bCs/>
          <w:color w:val="000000"/>
          <w:lang w:eastAsia="es-MX"/>
        </w:rPr>
        <w:t>pesos 00/100 M.N.) en atención a lo señalado en el Considerando Tercero de la presente Resolución.</w:t>
      </w:r>
      <w:r w:rsidR="002A05AB">
        <w:rPr>
          <w:rFonts w:ascii="ITC Avant Garde" w:hAnsi="ITC Avant Garde"/>
          <w:bCs/>
          <w:color w:val="000000"/>
          <w:lang w:eastAsia="es-MX"/>
        </w:rPr>
        <w:t xml:space="preserve"> </w:t>
      </w:r>
    </w:p>
    <w:p w:rsidR="00642B7F" w:rsidRDefault="00BA0BB3" w:rsidP="00642B7F">
      <w:pPr>
        <w:spacing w:afterLines="120" w:after="288" w:line="240" w:lineRule="auto"/>
        <w:jc w:val="both"/>
        <w:rPr>
          <w:rFonts w:ascii="ITC Avant Garde" w:hAnsi="ITC Avant Garde"/>
          <w:bCs/>
          <w:lang w:val="es-ES_tradnl"/>
        </w:rPr>
      </w:pPr>
      <w:r w:rsidRPr="000C39E0">
        <w:rPr>
          <w:rFonts w:ascii="ITC Avant Garde" w:hAnsi="ITC Avant Garde"/>
          <w:bCs/>
          <w:color w:val="000000"/>
          <w:lang w:eastAsia="es-MX"/>
        </w:rPr>
        <w:t>Dentro del mismo plazo</w:t>
      </w:r>
      <w:r w:rsidR="000C39E0" w:rsidRPr="000C39E0">
        <w:rPr>
          <w:rFonts w:ascii="ITC Avant Garde" w:hAnsi="ITC Avant Garde"/>
          <w:bCs/>
          <w:color w:val="000000"/>
          <w:lang w:eastAsia="es-MX"/>
        </w:rPr>
        <w:t xml:space="preserve"> improrrogable</w:t>
      </w:r>
      <w:r w:rsidRPr="000C39E0">
        <w:rPr>
          <w:rFonts w:ascii="ITC Avant Garde" w:hAnsi="ITC Avant Garde"/>
          <w:bCs/>
          <w:color w:val="000000"/>
          <w:lang w:eastAsia="es-MX"/>
        </w:rPr>
        <w:t xml:space="preserve"> señalado en el Resolutivo que antecede, </w:t>
      </w:r>
      <w:r w:rsidR="00C72132" w:rsidRPr="000C39E0">
        <w:rPr>
          <w:rFonts w:ascii="ITC Avant Garde" w:hAnsi="ITC Avant Garde"/>
          <w:bCs/>
          <w:color w:val="000000"/>
          <w:lang w:eastAsia="es-MX"/>
        </w:rPr>
        <w:t>Tele Comarca</w:t>
      </w:r>
      <w:r w:rsidR="00A373A8" w:rsidRPr="000C39E0">
        <w:rPr>
          <w:rFonts w:ascii="ITC Avant Garde" w:hAnsi="ITC Avant Garde"/>
          <w:bCs/>
          <w:color w:val="000000"/>
          <w:lang w:eastAsia="es-MX"/>
        </w:rPr>
        <w:t>, S.A. de C.V.</w:t>
      </w:r>
      <w:r w:rsidRPr="000C39E0">
        <w:rPr>
          <w:rFonts w:ascii="ITC Avant Garde" w:hAnsi="ITC Avant Garde"/>
          <w:bCs/>
          <w:color w:val="000000"/>
          <w:lang w:eastAsia="es-MX"/>
        </w:rPr>
        <w:t xml:space="preserve"> deberá </w:t>
      </w:r>
      <w:r w:rsidR="00E560F6" w:rsidRPr="000C39E0">
        <w:rPr>
          <w:rFonts w:ascii="ITC Avant Garde" w:hAnsi="ITC Avant Garde"/>
          <w:bCs/>
          <w:lang w:val="es-ES_tradnl"/>
        </w:rPr>
        <w:t>p</w:t>
      </w:r>
      <w:r w:rsidRPr="000C39E0">
        <w:rPr>
          <w:rFonts w:ascii="ITC Avant Garde" w:hAnsi="ITC Avant Garde"/>
          <w:bCs/>
          <w:lang w:val="es-ES_tradnl"/>
        </w:rPr>
        <w:t>resentar</w:t>
      </w:r>
      <w:r w:rsidR="00E560F6" w:rsidRPr="000C39E0">
        <w:rPr>
          <w:rFonts w:ascii="ITC Avant Garde" w:hAnsi="ITC Avant Garde"/>
          <w:bCs/>
          <w:lang w:val="es-ES_tradnl"/>
        </w:rPr>
        <w:t xml:space="preserve"> al Instituto Federal de Telecomunicaciones el comprobante de pago del aprovechamiento</w:t>
      </w:r>
      <w:r w:rsidR="00165812" w:rsidRPr="000C39E0">
        <w:rPr>
          <w:rFonts w:ascii="ITC Avant Garde" w:hAnsi="ITC Avant Garde"/>
          <w:bCs/>
          <w:lang w:val="es-ES_tradnl"/>
        </w:rPr>
        <w:t xml:space="preserve"> señalado en el párrafo </w:t>
      </w:r>
      <w:r w:rsidR="0062617B" w:rsidRPr="000C39E0">
        <w:rPr>
          <w:rFonts w:ascii="ITC Avant Garde" w:hAnsi="ITC Avant Garde"/>
          <w:bCs/>
          <w:lang w:val="es-ES_tradnl"/>
        </w:rPr>
        <w:t>anterior</w:t>
      </w:r>
      <w:r w:rsidR="00E560F6" w:rsidRPr="000C39E0">
        <w:rPr>
          <w:rFonts w:ascii="ITC Avant Garde" w:hAnsi="ITC Avant Garde"/>
          <w:bCs/>
          <w:color w:val="000000"/>
          <w:lang w:eastAsia="es-MX"/>
        </w:rPr>
        <w:t xml:space="preserve">, mismo que se encuentra actualizado </w:t>
      </w:r>
      <w:r w:rsidR="00E560F6" w:rsidRPr="000C39E0">
        <w:rPr>
          <w:rFonts w:ascii="ITC Avant Garde" w:hAnsi="ITC Avant Garde"/>
          <w:bCs/>
          <w:color w:val="000000"/>
          <w:lang w:val="es-ES" w:eastAsia="es-MX"/>
        </w:rPr>
        <w:t xml:space="preserve">conforme al </w:t>
      </w:r>
      <w:r w:rsidR="00E560F6" w:rsidRPr="000C39E0">
        <w:rPr>
          <w:rFonts w:ascii="ITC Avant Garde" w:hAnsi="ITC Avant Garde"/>
          <w:bCs/>
          <w:lang w:val="es-ES_tradnl"/>
        </w:rPr>
        <w:t>Índice Nacional de Precios al Consumidor</w:t>
      </w:r>
      <w:r w:rsidR="009C149B" w:rsidRPr="000C39E0">
        <w:rPr>
          <w:rFonts w:ascii="ITC Avant Garde" w:hAnsi="ITC Avant Garde"/>
          <w:bCs/>
          <w:color w:val="000000"/>
          <w:lang w:val="es-ES" w:eastAsia="es-MX"/>
        </w:rPr>
        <w:t xml:space="preserve"> del</w:t>
      </w:r>
      <w:r w:rsidR="0018383A" w:rsidRPr="000C39E0">
        <w:rPr>
          <w:rFonts w:ascii="ITC Avant Garde" w:hAnsi="ITC Avant Garde"/>
          <w:bCs/>
          <w:color w:val="000000"/>
          <w:lang w:val="es-ES" w:eastAsia="es-MX"/>
        </w:rPr>
        <w:t xml:space="preserve"> mes de</w:t>
      </w:r>
      <w:r w:rsidR="009C149B" w:rsidRPr="000C39E0">
        <w:rPr>
          <w:rFonts w:ascii="ITC Avant Garde" w:hAnsi="ITC Avant Garde"/>
          <w:bCs/>
          <w:color w:val="000000"/>
          <w:lang w:val="es-ES" w:eastAsia="es-MX"/>
        </w:rPr>
        <w:t xml:space="preserve"> </w:t>
      </w:r>
      <w:r w:rsidR="000C39E0" w:rsidRPr="000C39E0">
        <w:rPr>
          <w:rFonts w:ascii="ITC Avant Garde" w:hAnsi="ITC Avant Garde"/>
          <w:bCs/>
          <w:color w:val="000000"/>
          <w:lang w:val="es-ES" w:eastAsia="es-MX"/>
        </w:rPr>
        <w:t>noviembre</w:t>
      </w:r>
      <w:r w:rsidR="009C149B" w:rsidRPr="000C39E0">
        <w:rPr>
          <w:rFonts w:ascii="ITC Avant Garde" w:hAnsi="ITC Avant Garde"/>
          <w:bCs/>
          <w:color w:val="000000"/>
          <w:lang w:val="es-ES" w:eastAsia="es-MX"/>
        </w:rPr>
        <w:t xml:space="preserve"> </w:t>
      </w:r>
      <w:r w:rsidR="00E560F6" w:rsidRPr="000C39E0">
        <w:rPr>
          <w:rFonts w:ascii="ITC Avant Garde" w:hAnsi="ITC Avant Garde"/>
          <w:bCs/>
          <w:color w:val="000000"/>
          <w:lang w:val="es-ES" w:eastAsia="es-MX"/>
        </w:rPr>
        <w:t>de 2017.</w:t>
      </w:r>
    </w:p>
    <w:p w:rsidR="00642B7F" w:rsidRDefault="00E560F6" w:rsidP="00642B7F">
      <w:pPr>
        <w:spacing w:afterLines="120" w:after="288" w:line="240" w:lineRule="auto"/>
        <w:jc w:val="both"/>
        <w:rPr>
          <w:rFonts w:ascii="ITC Avant Garde" w:hAnsi="ITC Avant Garde"/>
          <w:bCs/>
          <w:color w:val="000000"/>
          <w:lang w:eastAsia="es-MX"/>
        </w:rPr>
      </w:pPr>
      <w:r w:rsidRPr="006C2B70">
        <w:rPr>
          <w:rFonts w:ascii="ITC Avant Garde" w:hAnsi="ITC Avant Garde"/>
          <w:bCs/>
          <w:lang w:val="es-ES_tradnl"/>
        </w:rPr>
        <w:t xml:space="preserve">El monto señalado en el presente Resolutivo deberá ser actualizado al momento del </w:t>
      </w:r>
      <w:r w:rsidRPr="006C2B70">
        <w:rPr>
          <w:rFonts w:ascii="ITC Avant Garde" w:hAnsi="ITC Avant Garde"/>
          <w:bCs/>
          <w:color w:val="000000"/>
          <w:lang w:eastAsia="es-MX"/>
        </w:rPr>
        <w:t>pago, tomando en cuenta el último Índice Nacional de Precios al Consumidor publicado</w:t>
      </w:r>
      <w:r w:rsidR="00245A4F" w:rsidRPr="006C2B70">
        <w:rPr>
          <w:rFonts w:ascii="ITC Avant Garde" w:hAnsi="ITC Avant Garde"/>
          <w:bCs/>
          <w:color w:val="000000"/>
          <w:lang w:eastAsia="es-MX"/>
        </w:rPr>
        <w:t xml:space="preserve"> en el Diario Oficial de la Federación</w:t>
      </w:r>
      <w:r w:rsidRPr="006C2B70">
        <w:rPr>
          <w:rFonts w:ascii="ITC Avant Garde" w:hAnsi="ITC Avant Garde"/>
          <w:bCs/>
          <w:color w:val="000000"/>
          <w:lang w:eastAsia="es-MX"/>
        </w:rPr>
        <w:t>.</w:t>
      </w:r>
      <w:r w:rsidRPr="004E69E8">
        <w:rPr>
          <w:rFonts w:ascii="ITC Avant Garde" w:hAnsi="ITC Avant Garde"/>
          <w:bCs/>
          <w:color w:val="000000"/>
          <w:lang w:eastAsia="es-MX"/>
        </w:rPr>
        <w:t xml:space="preserve"> </w:t>
      </w:r>
    </w:p>
    <w:p w:rsidR="00642B7F" w:rsidRDefault="00CB4961" w:rsidP="00642B7F">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
          <w:bCs/>
          <w:lang w:val="es-ES_tradnl"/>
        </w:rPr>
        <w:t>CUARTO</w:t>
      </w:r>
      <w:r w:rsidR="00E560F6" w:rsidRPr="004E69E8">
        <w:rPr>
          <w:rFonts w:ascii="ITC Avant Garde" w:hAnsi="ITC Avant Garde"/>
          <w:b/>
          <w:bCs/>
          <w:lang w:val="es-ES_tradnl"/>
        </w:rPr>
        <w:t xml:space="preserve">.- </w:t>
      </w:r>
      <w:r w:rsidR="00E560F6" w:rsidRPr="004E69E8">
        <w:rPr>
          <w:rFonts w:ascii="ITC Avant Garde" w:hAnsi="ITC Avant Garde"/>
          <w:bCs/>
          <w:lang w:val="es-ES_tradnl"/>
        </w:rPr>
        <w:t>En caso d</w:t>
      </w:r>
      <w:r w:rsidR="00FC1206">
        <w:rPr>
          <w:rFonts w:ascii="ITC Avant Garde" w:hAnsi="ITC Avant Garde"/>
          <w:bCs/>
          <w:lang w:val="es-ES_tradnl"/>
        </w:rPr>
        <w:t>e que no se reciba por parte de</w:t>
      </w:r>
      <w:r w:rsidR="00FC1206">
        <w:rPr>
          <w:rFonts w:ascii="ITC Avant Garde" w:hAnsi="ITC Avant Garde"/>
          <w:bCs/>
        </w:rPr>
        <w:t xml:space="preserve"> </w:t>
      </w:r>
      <w:r w:rsidR="00C72132" w:rsidRPr="008D738A">
        <w:rPr>
          <w:rFonts w:ascii="ITC Avant Garde" w:hAnsi="ITC Avant Garde"/>
          <w:bCs/>
          <w:color w:val="000000"/>
          <w:lang w:eastAsia="es-MX"/>
        </w:rPr>
        <w:t>Tele Comarca</w:t>
      </w:r>
      <w:r w:rsidR="00A373A8" w:rsidRPr="005B771E">
        <w:rPr>
          <w:rFonts w:ascii="ITC Avant Garde" w:hAnsi="ITC Avant Garde"/>
          <w:bCs/>
          <w:color w:val="000000"/>
          <w:lang w:eastAsia="es-MX"/>
        </w:rPr>
        <w:t>, S.A. de C.V.</w:t>
      </w:r>
      <w:r w:rsidR="00FC1206" w:rsidRPr="004E69E8">
        <w:rPr>
          <w:rFonts w:ascii="ITC Avant Garde" w:hAnsi="ITC Avant Garde"/>
          <w:bCs/>
          <w:color w:val="000000"/>
          <w:lang w:eastAsia="es-MX"/>
        </w:rPr>
        <w:t xml:space="preserve"> </w:t>
      </w:r>
      <w:r w:rsidR="00E560F6" w:rsidRPr="004E69E8">
        <w:rPr>
          <w:rFonts w:ascii="ITC Avant Garde" w:hAnsi="ITC Avant Garde"/>
          <w:bCs/>
          <w:color w:val="000000"/>
          <w:lang w:eastAsia="es-MX"/>
        </w:rPr>
        <w:t>el</w:t>
      </w:r>
      <w:r w:rsidR="00E560F6" w:rsidRPr="004E69E8">
        <w:rPr>
          <w:rFonts w:ascii="ITC Avant Garde" w:hAnsi="ITC Avant Garde"/>
          <w:bCs/>
          <w:lang w:val="es-ES_tradnl"/>
        </w:rPr>
        <w:t xml:space="preserve"> comprobante de pago del aprovechamiento por concepto de contraprestación señalado en el Resolutivo </w:t>
      </w:r>
      <w:r w:rsidR="006B5191" w:rsidRPr="004E69E8">
        <w:rPr>
          <w:rFonts w:ascii="ITC Avant Garde" w:hAnsi="ITC Avant Garde"/>
          <w:bCs/>
          <w:lang w:val="es-ES_tradnl"/>
        </w:rPr>
        <w:t>Tercero</w:t>
      </w:r>
      <w:r w:rsidR="00E560F6" w:rsidRPr="004E69E8">
        <w:rPr>
          <w:rFonts w:ascii="ITC Avant Garde" w:hAnsi="ITC Avant Garde"/>
          <w:bCs/>
          <w:lang w:val="es-ES_tradnl"/>
        </w:rPr>
        <w:t xml:space="preserve">, dentro del plazo </w:t>
      </w:r>
      <w:r w:rsidR="000C39E0">
        <w:rPr>
          <w:rFonts w:ascii="ITC Avant Garde" w:hAnsi="ITC Avant Garde"/>
          <w:bCs/>
          <w:lang w:val="es-ES_tradnl"/>
        </w:rPr>
        <w:t xml:space="preserve">improrrogable </w:t>
      </w:r>
      <w:r w:rsidR="00E560F6" w:rsidRPr="004E69E8">
        <w:rPr>
          <w:rFonts w:ascii="ITC Avant Garde" w:hAnsi="ITC Avant Garde"/>
          <w:bCs/>
          <w:lang w:val="es-ES_tradnl"/>
        </w:rPr>
        <w:t xml:space="preserve">establecido para tales efectos, la presente Resolución quedará sin efectos y, en consecuencia, se tendrá por negada la solicitud de servicios adicionales de mérito. </w:t>
      </w:r>
    </w:p>
    <w:p w:rsidR="00642B7F" w:rsidRDefault="00E560F6" w:rsidP="00642B7F">
      <w:pPr>
        <w:spacing w:afterLines="120" w:after="288" w:line="240" w:lineRule="auto"/>
        <w:jc w:val="both"/>
        <w:rPr>
          <w:rFonts w:ascii="ITC Avant Garde" w:hAnsi="ITC Avant Garde"/>
          <w:bCs/>
          <w:lang w:val="es-ES_tradnl"/>
        </w:rPr>
      </w:pPr>
      <w:r w:rsidRPr="004E69E8">
        <w:rPr>
          <w:rFonts w:ascii="ITC Avant Garde" w:hAnsi="ITC Avant Garde"/>
          <w:bCs/>
          <w:lang w:val="es-ES_tradnl"/>
        </w:rPr>
        <w:t xml:space="preserve">En dicho caso, </w:t>
      </w:r>
      <w:r w:rsidR="00C01FED">
        <w:rPr>
          <w:rFonts w:ascii="ITC Avant Garde" w:hAnsi="ITC Avant Garde"/>
          <w:bCs/>
          <w:lang w:val="es-ES_tradnl"/>
        </w:rPr>
        <w:t xml:space="preserve">tendrá lugar </w:t>
      </w:r>
      <w:r w:rsidR="00EA000C">
        <w:rPr>
          <w:rFonts w:ascii="ITC Avant Garde" w:hAnsi="ITC Avant Garde"/>
          <w:bCs/>
          <w:lang w:val="es-ES_tradnl"/>
        </w:rPr>
        <w:t>la terminación anticipada de la</w:t>
      </w:r>
      <w:r w:rsidR="00C01FED">
        <w:rPr>
          <w:rFonts w:ascii="ITC Avant Garde" w:hAnsi="ITC Avant Garde"/>
          <w:bCs/>
          <w:lang w:val="es-ES_tradnl"/>
        </w:rPr>
        <w:t xml:space="preserve"> Concesi</w:t>
      </w:r>
      <w:r w:rsidR="00EA000C">
        <w:rPr>
          <w:rFonts w:ascii="ITC Avant Garde" w:hAnsi="ITC Avant Garde"/>
          <w:bCs/>
          <w:lang w:val="es-ES_tradnl"/>
        </w:rPr>
        <w:t>ón de Bandas señalada</w:t>
      </w:r>
      <w:r w:rsidR="00C01FED">
        <w:rPr>
          <w:rFonts w:ascii="ITC Avant Garde" w:hAnsi="ITC Avant Garde"/>
          <w:bCs/>
          <w:lang w:val="es-ES_tradnl"/>
        </w:rPr>
        <w:t xml:space="preserve"> en el Antecedente II de la presente Resolución y </w:t>
      </w:r>
      <w:r w:rsidRPr="004E69E8">
        <w:rPr>
          <w:rFonts w:ascii="ITC Avant Garde" w:hAnsi="ITC Avant Garde"/>
          <w:bCs/>
          <w:lang w:val="es-ES_tradnl"/>
        </w:rPr>
        <w:t>las bandas de frecuencias que le fueron asignadas revertirán a favor de la Nación, sin perjuicio de que el Instituto Federal de Telecomunicaciones pueda ejercer las atribuciones de verificación, supervisión y, en su caso, sanción que correspondan.</w:t>
      </w:r>
    </w:p>
    <w:p w:rsidR="00E560F6" w:rsidRPr="004E69E8" w:rsidRDefault="00CB4961" w:rsidP="00642B7F">
      <w:pPr>
        <w:spacing w:afterLines="120" w:after="288" w:line="240" w:lineRule="auto"/>
        <w:jc w:val="both"/>
        <w:rPr>
          <w:rFonts w:ascii="ITC Avant Garde" w:hAnsi="ITC Avant Garde"/>
          <w:bCs/>
          <w:lang w:val="es-ES_tradnl"/>
        </w:rPr>
      </w:pPr>
      <w:r w:rsidRPr="004E69E8">
        <w:rPr>
          <w:rFonts w:ascii="ITC Avant Garde" w:hAnsi="ITC Avant Garde"/>
          <w:b/>
          <w:bCs/>
          <w:lang w:val="es-ES_tradnl"/>
        </w:rPr>
        <w:t>QUINTO</w:t>
      </w:r>
      <w:r w:rsidR="00E560F6" w:rsidRPr="004E69E8">
        <w:rPr>
          <w:rFonts w:ascii="ITC Avant Garde" w:hAnsi="ITC Avant Garde"/>
          <w:b/>
          <w:bCs/>
          <w:lang w:val="es-ES_tradnl"/>
        </w:rPr>
        <w:t>.-</w:t>
      </w:r>
      <w:r w:rsidR="00E560F6" w:rsidRPr="004E69E8">
        <w:rPr>
          <w:rFonts w:ascii="ITC Avant Garde" w:hAnsi="ITC Avant Garde"/>
          <w:bCs/>
          <w:lang w:val="es-ES_tradnl"/>
        </w:rPr>
        <w:t xml:space="preserve"> Una vez satisfecho lo establecido en </w:t>
      </w:r>
      <w:r w:rsidR="00080B3C" w:rsidRPr="004E69E8">
        <w:rPr>
          <w:rFonts w:ascii="ITC Avant Garde" w:hAnsi="ITC Avant Garde"/>
          <w:bCs/>
          <w:lang w:val="es-ES_tradnl"/>
        </w:rPr>
        <w:t>los</w:t>
      </w:r>
      <w:r w:rsidR="00E560F6" w:rsidRPr="004E69E8">
        <w:rPr>
          <w:rFonts w:ascii="ITC Avant Garde" w:hAnsi="ITC Avant Garde"/>
          <w:bCs/>
          <w:lang w:val="es-ES_tradnl"/>
        </w:rPr>
        <w:t xml:space="preserve"> Resolutivo</w:t>
      </w:r>
      <w:r w:rsidR="00080B3C" w:rsidRPr="004E69E8">
        <w:rPr>
          <w:rFonts w:ascii="ITC Avant Garde" w:hAnsi="ITC Avant Garde"/>
          <w:bCs/>
          <w:lang w:val="es-ES_tradnl"/>
        </w:rPr>
        <w:t>s</w:t>
      </w:r>
      <w:r w:rsidR="00E560F6" w:rsidRPr="004E69E8">
        <w:rPr>
          <w:rFonts w:ascii="ITC Avant Garde" w:hAnsi="ITC Avant Garde"/>
          <w:bCs/>
          <w:lang w:val="es-ES_tradnl"/>
        </w:rPr>
        <w:t xml:space="preserve"> </w:t>
      </w:r>
      <w:r w:rsidRPr="004E69E8">
        <w:rPr>
          <w:rFonts w:ascii="ITC Avant Garde" w:hAnsi="ITC Avant Garde"/>
          <w:bCs/>
          <w:lang w:val="es-ES_tradnl"/>
        </w:rPr>
        <w:t xml:space="preserve">Segundo y </w:t>
      </w:r>
      <w:r w:rsidR="00E560F6" w:rsidRPr="004E69E8">
        <w:rPr>
          <w:rFonts w:ascii="ITC Avant Garde" w:hAnsi="ITC Avant Garde"/>
          <w:bCs/>
          <w:lang w:val="es-ES_tradnl"/>
        </w:rPr>
        <w:t>Tercero</w:t>
      </w:r>
      <w:r w:rsidR="006B5191" w:rsidRPr="004E69E8">
        <w:rPr>
          <w:rFonts w:ascii="ITC Avant Garde" w:hAnsi="ITC Avant Garde"/>
          <w:bCs/>
          <w:lang w:val="es-ES_tradnl"/>
        </w:rPr>
        <w:t xml:space="preserve"> </w:t>
      </w:r>
      <w:r w:rsidRPr="004E69E8">
        <w:rPr>
          <w:rFonts w:ascii="ITC Avant Garde" w:hAnsi="ITC Avant Garde"/>
          <w:bCs/>
          <w:lang w:val="es-ES_tradnl"/>
        </w:rPr>
        <w:t>anteriores</w:t>
      </w:r>
      <w:r w:rsidR="00E560F6" w:rsidRPr="004E69E8">
        <w:rPr>
          <w:rFonts w:ascii="ITC Avant Garde" w:hAnsi="ITC Avant Garde"/>
          <w:bCs/>
          <w:lang w:val="es-ES_tradnl"/>
        </w:rPr>
        <w:t xml:space="preserve">, el Comisionado Presidente del Instituto Federal de Telecomunicaciones, con base en las facultades que le confiere el artículo 14 fracción X del Estatuto Orgánico, suscribirá </w:t>
      </w:r>
      <w:r w:rsidR="00EA000C">
        <w:rPr>
          <w:rFonts w:ascii="ITC Avant Garde" w:hAnsi="ITC Avant Garde"/>
          <w:bCs/>
          <w:lang w:val="es-ES_tradnl"/>
        </w:rPr>
        <w:t>el</w:t>
      </w:r>
      <w:r w:rsidR="00E560F6" w:rsidRPr="004E69E8">
        <w:rPr>
          <w:rFonts w:ascii="ITC Avant Garde" w:hAnsi="ITC Avant Garde"/>
          <w:bCs/>
          <w:lang w:val="es-ES_tradnl"/>
        </w:rPr>
        <w:t xml:space="preserve"> título de concesión que se otorgue con motivo de la presente Resolución.</w:t>
      </w:r>
    </w:p>
    <w:p w:rsidR="00642B7F" w:rsidRDefault="00CB4961" w:rsidP="00642B7F">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
          <w:bCs/>
          <w:lang w:val="es-ES_tradnl"/>
        </w:rPr>
        <w:t>SEXTO</w:t>
      </w:r>
      <w:r w:rsidR="00E560F6" w:rsidRPr="004E69E8">
        <w:rPr>
          <w:rFonts w:ascii="ITC Avant Garde" w:hAnsi="ITC Avant Garde"/>
          <w:b/>
          <w:bCs/>
          <w:lang w:val="es-ES_tradnl"/>
        </w:rPr>
        <w:t>.-</w:t>
      </w:r>
      <w:r w:rsidR="00E560F6" w:rsidRPr="004E69E8">
        <w:rPr>
          <w:rFonts w:ascii="ITC Avant Garde" w:hAnsi="ITC Avant Garde"/>
          <w:bCs/>
          <w:lang w:val="es-ES_tradnl"/>
        </w:rPr>
        <w:t xml:space="preserve"> </w:t>
      </w:r>
      <w:r w:rsidRPr="004E69E8">
        <w:rPr>
          <w:rFonts w:ascii="ITC Avant Garde" w:hAnsi="ITC Avant Garde"/>
          <w:bCs/>
          <w:lang w:val="es-ES_tradnl"/>
        </w:rPr>
        <w:t>Una vez que se actualice el supuesto</w:t>
      </w:r>
      <w:r w:rsidR="006B5191" w:rsidRPr="004E69E8">
        <w:rPr>
          <w:rFonts w:ascii="ITC Avant Garde" w:hAnsi="ITC Avant Garde"/>
          <w:bCs/>
          <w:lang w:val="es-ES_tradnl"/>
        </w:rPr>
        <w:t xml:space="preserve"> referido en el R</w:t>
      </w:r>
      <w:r w:rsidRPr="004E69E8">
        <w:rPr>
          <w:rFonts w:ascii="ITC Avant Garde" w:hAnsi="ITC Avant Garde"/>
          <w:bCs/>
          <w:lang w:val="es-ES_tradnl"/>
        </w:rPr>
        <w:t>esolutivo anterior, s</w:t>
      </w:r>
      <w:r w:rsidR="00E560F6" w:rsidRPr="004E69E8">
        <w:rPr>
          <w:rFonts w:ascii="ITC Avant Garde" w:hAnsi="ITC Avant Garde"/>
          <w:bCs/>
          <w:lang w:val="es-ES_tradnl"/>
        </w:rPr>
        <w:t>e instruye a la Unidad de Conces</w:t>
      </w:r>
      <w:r w:rsidR="00FC1206">
        <w:rPr>
          <w:rFonts w:ascii="ITC Avant Garde" w:hAnsi="ITC Avant Garde"/>
          <w:bCs/>
          <w:lang w:val="es-ES_tradnl"/>
        </w:rPr>
        <w:t>iones y Servicios a notificar a</w:t>
      </w:r>
      <w:r w:rsidR="00FC1206">
        <w:rPr>
          <w:rFonts w:ascii="ITC Avant Garde" w:hAnsi="ITC Avant Garde"/>
          <w:bCs/>
        </w:rPr>
        <w:t xml:space="preserve"> </w:t>
      </w:r>
      <w:r w:rsidR="00C72132" w:rsidRPr="008D738A">
        <w:rPr>
          <w:rFonts w:ascii="ITC Avant Garde" w:hAnsi="ITC Avant Garde"/>
          <w:bCs/>
          <w:color w:val="000000"/>
          <w:lang w:eastAsia="es-MX"/>
        </w:rPr>
        <w:t>Tele Comarca</w:t>
      </w:r>
      <w:r w:rsidR="00A373A8" w:rsidRPr="005B771E">
        <w:rPr>
          <w:rFonts w:ascii="ITC Avant Garde" w:hAnsi="ITC Avant Garde"/>
          <w:bCs/>
          <w:color w:val="000000"/>
          <w:lang w:eastAsia="es-MX"/>
        </w:rPr>
        <w:t>, S.A. de C.V.</w:t>
      </w:r>
      <w:r w:rsidR="00E560F6" w:rsidRPr="004E69E8">
        <w:rPr>
          <w:rFonts w:ascii="ITC Avant Garde" w:hAnsi="ITC Avant Garde"/>
          <w:bCs/>
          <w:lang w:val="es-ES_tradnl"/>
        </w:rPr>
        <w:t xml:space="preserve"> dentro del plazo de 5 (cinco) </w:t>
      </w:r>
      <w:r w:rsidR="00B1561C">
        <w:rPr>
          <w:rFonts w:ascii="ITC Avant Garde" w:hAnsi="ITC Avant Garde"/>
          <w:bCs/>
          <w:lang w:val="es-ES_tradnl"/>
        </w:rPr>
        <w:t xml:space="preserve">días </w:t>
      </w:r>
      <w:r w:rsidR="00E560F6" w:rsidRPr="004E69E8">
        <w:rPr>
          <w:rFonts w:ascii="ITC Avant Garde" w:hAnsi="ITC Avant Garde"/>
          <w:bCs/>
          <w:lang w:val="es-ES_tradnl"/>
        </w:rPr>
        <w:t xml:space="preserve">naturales siguientes a que se reciba el pago </w:t>
      </w:r>
      <w:r w:rsidRPr="004E69E8">
        <w:rPr>
          <w:rFonts w:ascii="ITC Avant Garde" w:hAnsi="ITC Avant Garde"/>
          <w:bCs/>
          <w:lang w:val="es-ES_tradnl"/>
        </w:rPr>
        <w:t xml:space="preserve">referido </w:t>
      </w:r>
      <w:r w:rsidR="00E560F6" w:rsidRPr="004E69E8">
        <w:rPr>
          <w:rFonts w:ascii="ITC Avant Garde" w:hAnsi="ITC Avant Garde"/>
          <w:bCs/>
          <w:lang w:val="es-ES_tradnl"/>
        </w:rPr>
        <w:t xml:space="preserve">en el Resolutivo </w:t>
      </w:r>
      <w:r w:rsidRPr="004E69E8">
        <w:rPr>
          <w:rFonts w:ascii="ITC Avant Garde" w:hAnsi="ITC Avant Garde"/>
          <w:bCs/>
          <w:lang w:val="es-ES_tradnl"/>
        </w:rPr>
        <w:t>Tercero</w:t>
      </w:r>
      <w:r w:rsidR="00E560F6" w:rsidRPr="004E69E8">
        <w:rPr>
          <w:rFonts w:ascii="ITC Avant Garde" w:hAnsi="ITC Avant Garde"/>
          <w:bCs/>
          <w:lang w:val="es-ES_tradnl"/>
        </w:rPr>
        <w:t>,</w:t>
      </w:r>
      <w:r w:rsidR="00EA000C">
        <w:rPr>
          <w:rFonts w:ascii="ITC Avant Garde" w:hAnsi="ITC Avant Garde"/>
          <w:bCs/>
          <w:lang w:val="es-ES_tradnl"/>
        </w:rPr>
        <w:t xml:space="preserve"> el</w:t>
      </w:r>
      <w:r w:rsidR="00E560F6" w:rsidRPr="004E69E8">
        <w:rPr>
          <w:rFonts w:ascii="ITC Avant Garde" w:hAnsi="ITC Avant Garde"/>
          <w:bCs/>
          <w:lang w:val="es-ES_tradnl"/>
        </w:rPr>
        <w:t xml:space="preserve"> título de concesión </w:t>
      </w:r>
      <w:r w:rsidR="00E560F6" w:rsidRPr="004E69E8">
        <w:rPr>
          <w:rFonts w:ascii="ITC Avant Garde" w:hAnsi="ITC Avant Garde"/>
          <w:bCs/>
          <w:color w:val="000000"/>
          <w:lang w:eastAsia="es-MX"/>
        </w:rPr>
        <w:t>para usar, aprovechar y explotar bandas de frecuencias del espectro radioeléctrico para uso comercial</w:t>
      </w:r>
      <w:r w:rsidR="00F50E04" w:rsidRPr="004E69E8">
        <w:rPr>
          <w:rFonts w:ascii="ITC Avant Garde" w:hAnsi="ITC Avant Garde"/>
          <w:bCs/>
          <w:color w:val="000000"/>
          <w:lang w:eastAsia="es-MX"/>
        </w:rPr>
        <w:t>,</w:t>
      </w:r>
      <w:r w:rsidR="00E560F6" w:rsidRPr="004E69E8">
        <w:rPr>
          <w:rFonts w:ascii="ITC Avant Garde" w:hAnsi="ITC Avant Garde"/>
          <w:bCs/>
          <w:lang w:val="es-ES_tradnl"/>
        </w:rPr>
        <w:t xml:space="preserve"> referido en la presente Resolución.</w:t>
      </w:r>
    </w:p>
    <w:p w:rsidR="00642B7F" w:rsidRDefault="00CB4961" w:rsidP="00642B7F">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
          <w:bCs/>
          <w:color w:val="000000"/>
          <w:lang w:eastAsia="es-MX"/>
        </w:rPr>
        <w:t>SÉPTIMO.-</w:t>
      </w:r>
      <w:r w:rsidRPr="004E69E8">
        <w:rPr>
          <w:rFonts w:ascii="ITC Avant Garde" w:hAnsi="ITC Avant Garde"/>
          <w:bCs/>
          <w:color w:val="000000"/>
          <w:lang w:eastAsia="es-MX"/>
        </w:rPr>
        <w:t xml:space="preserve"> </w:t>
      </w:r>
      <w:r w:rsidR="00E560F6" w:rsidRPr="004E69E8">
        <w:rPr>
          <w:rFonts w:ascii="ITC Avant Garde" w:hAnsi="ITC Avant Garde"/>
          <w:bCs/>
          <w:lang w:val="es-ES_tradnl"/>
        </w:rPr>
        <w:t xml:space="preserve">Inscríbase en el Registro Público de Concesiones </w:t>
      </w:r>
      <w:r w:rsidR="00EA000C">
        <w:rPr>
          <w:rFonts w:ascii="ITC Avant Garde" w:hAnsi="ITC Avant Garde"/>
          <w:bCs/>
          <w:lang w:val="es-ES_tradnl"/>
        </w:rPr>
        <w:t>el</w:t>
      </w:r>
      <w:r w:rsidR="00E560F6" w:rsidRPr="004E69E8">
        <w:rPr>
          <w:rFonts w:ascii="ITC Avant Garde" w:hAnsi="ITC Avant Garde"/>
          <w:bCs/>
          <w:lang w:val="es-ES_tradnl"/>
        </w:rPr>
        <w:t xml:space="preserve"> título de concesión para usar, aprovechar y explotar bandas de frecuencias del espectro radioeléctrico para uso comercial a que se refiere la presente Resolución, una vez que sea debidamente notificado a</w:t>
      </w:r>
      <w:r w:rsidR="006C2B70">
        <w:rPr>
          <w:rFonts w:ascii="ITC Avant Garde" w:hAnsi="ITC Avant Garde"/>
          <w:bCs/>
          <w:lang w:val="es-ES_tradnl"/>
        </w:rPr>
        <w:t xml:space="preserve"> la</w:t>
      </w:r>
      <w:r w:rsidR="00642FC1">
        <w:rPr>
          <w:rFonts w:ascii="ITC Avant Garde" w:hAnsi="ITC Avant Garde"/>
          <w:bCs/>
          <w:lang w:val="es-ES_tradnl"/>
        </w:rPr>
        <w:t xml:space="preserve"> </w:t>
      </w:r>
      <w:r w:rsidR="00B1561C">
        <w:rPr>
          <w:rFonts w:ascii="ITC Avant Garde" w:hAnsi="ITC Avant Garde"/>
          <w:bCs/>
          <w:lang w:val="es-ES_tradnl"/>
        </w:rPr>
        <w:t>interesad</w:t>
      </w:r>
      <w:r w:rsidR="006C2B70">
        <w:rPr>
          <w:rFonts w:ascii="ITC Avant Garde" w:hAnsi="ITC Avant Garde"/>
          <w:bCs/>
          <w:lang w:val="es-ES_tradnl"/>
        </w:rPr>
        <w:t>a</w:t>
      </w:r>
      <w:r w:rsidR="00E560F6" w:rsidRPr="004E69E8">
        <w:rPr>
          <w:rFonts w:ascii="ITC Avant Garde" w:hAnsi="ITC Avant Garde"/>
          <w:bCs/>
          <w:lang w:val="es-ES_tradnl"/>
        </w:rPr>
        <w:t xml:space="preserve">. </w:t>
      </w:r>
    </w:p>
    <w:p w:rsidR="00642B7F" w:rsidRDefault="00C9735D" w:rsidP="00642B7F">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Cs/>
          <w:lang w:val="es-ES_tradnl"/>
        </w:rPr>
        <w:lastRenderedPageBreak/>
        <w:t>Asimismo, deberá tomar</w:t>
      </w:r>
      <w:r w:rsidR="00EA5499" w:rsidRPr="004E69E8">
        <w:rPr>
          <w:rFonts w:ascii="ITC Avant Garde" w:hAnsi="ITC Avant Garde"/>
          <w:bCs/>
          <w:lang w:val="es-ES_tradnl"/>
        </w:rPr>
        <w:t>se</w:t>
      </w:r>
      <w:r w:rsidRPr="004E69E8">
        <w:rPr>
          <w:rFonts w:ascii="ITC Avant Garde" w:hAnsi="ITC Avant Garde"/>
          <w:bCs/>
          <w:lang w:val="es-ES_tradnl"/>
        </w:rPr>
        <w:t xml:space="preserve"> nota en el Registro Público de </w:t>
      </w:r>
      <w:r w:rsidR="00922CB1" w:rsidRPr="004E69E8">
        <w:rPr>
          <w:rFonts w:ascii="ITC Avant Garde" w:hAnsi="ITC Avant Garde"/>
          <w:bCs/>
          <w:lang w:val="es-ES_tradnl"/>
        </w:rPr>
        <w:t>Concesiones</w:t>
      </w:r>
      <w:r w:rsidR="00B1561C">
        <w:rPr>
          <w:rFonts w:ascii="ITC Avant Garde" w:hAnsi="ITC Avant Garde"/>
          <w:bCs/>
          <w:lang w:val="es-ES_tradnl"/>
        </w:rPr>
        <w:t xml:space="preserve"> de la extinción de la </w:t>
      </w:r>
      <w:r w:rsidRPr="004E69E8">
        <w:rPr>
          <w:rFonts w:ascii="ITC Avant Garde" w:hAnsi="ITC Avant Garde"/>
          <w:bCs/>
          <w:lang w:val="es-ES_tradnl"/>
        </w:rPr>
        <w:t>Modificaci</w:t>
      </w:r>
      <w:r w:rsidR="00EA000C">
        <w:rPr>
          <w:rFonts w:ascii="ITC Avant Garde" w:hAnsi="ITC Avant Garde"/>
          <w:bCs/>
          <w:lang w:val="es-ES_tradnl"/>
        </w:rPr>
        <w:t>ón y Prórroga</w:t>
      </w:r>
      <w:r w:rsidRPr="004E69E8">
        <w:rPr>
          <w:rFonts w:ascii="ITC Avant Garde" w:hAnsi="ITC Avant Garde"/>
          <w:bCs/>
          <w:lang w:val="es-ES_tradnl"/>
        </w:rPr>
        <w:t xml:space="preserve"> de la concesi</w:t>
      </w:r>
      <w:r w:rsidR="00EA000C">
        <w:rPr>
          <w:rFonts w:ascii="ITC Avant Garde" w:hAnsi="ITC Avant Garde"/>
          <w:bCs/>
          <w:lang w:val="es-ES_tradnl"/>
        </w:rPr>
        <w:t>ón</w:t>
      </w:r>
      <w:r w:rsidRPr="004E69E8">
        <w:rPr>
          <w:rFonts w:ascii="ITC Avant Garde" w:hAnsi="ITC Avant Garde"/>
          <w:bCs/>
          <w:lang w:val="es-ES_tradnl"/>
        </w:rPr>
        <w:t xml:space="preserve"> para usar, aprovechar y </w:t>
      </w:r>
      <w:r w:rsidR="00145890" w:rsidRPr="004E69E8">
        <w:rPr>
          <w:rFonts w:ascii="ITC Avant Garde" w:hAnsi="ITC Avant Garde"/>
          <w:bCs/>
          <w:lang w:val="es-ES_tradnl"/>
        </w:rPr>
        <w:t>explotar bandas de frecuencias del espectro radioeléctrico para uso</w:t>
      </w:r>
      <w:r w:rsidR="00B1561C">
        <w:rPr>
          <w:rFonts w:ascii="ITC Avant Garde" w:hAnsi="ITC Avant Garde"/>
          <w:bCs/>
          <w:lang w:val="es-ES_tradnl"/>
        </w:rPr>
        <w:t>s</w:t>
      </w:r>
      <w:r w:rsidR="00145890" w:rsidRPr="004E69E8">
        <w:rPr>
          <w:rFonts w:ascii="ITC Avant Garde" w:hAnsi="ITC Avant Garde"/>
          <w:bCs/>
          <w:lang w:val="es-ES_tradnl"/>
        </w:rPr>
        <w:t xml:space="preserve"> determinado</w:t>
      </w:r>
      <w:r w:rsidR="00B1561C">
        <w:rPr>
          <w:rFonts w:ascii="ITC Avant Garde" w:hAnsi="ITC Avant Garde"/>
          <w:bCs/>
          <w:lang w:val="es-ES_tradnl"/>
        </w:rPr>
        <w:t>s</w:t>
      </w:r>
      <w:r w:rsidR="00EA5499" w:rsidRPr="004E69E8">
        <w:rPr>
          <w:rFonts w:ascii="ITC Avant Garde" w:hAnsi="ITC Avant Garde"/>
          <w:bCs/>
          <w:lang w:val="es-ES_tradnl"/>
        </w:rPr>
        <w:t>,</w:t>
      </w:r>
      <w:r w:rsidRPr="004E69E8">
        <w:rPr>
          <w:rFonts w:ascii="ITC Avant Garde" w:hAnsi="ITC Avant Garde"/>
          <w:bCs/>
          <w:lang w:val="es-ES_tradnl"/>
        </w:rPr>
        <w:t xml:space="preserve"> </w:t>
      </w:r>
      <w:r w:rsidR="00EA5499" w:rsidRPr="004E69E8">
        <w:rPr>
          <w:rFonts w:ascii="ITC Avant Garde" w:hAnsi="ITC Avant Garde"/>
          <w:bCs/>
          <w:lang w:val="es-ES_tradnl"/>
        </w:rPr>
        <w:t xml:space="preserve">descrita </w:t>
      </w:r>
      <w:r w:rsidR="00145890" w:rsidRPr="004E69E8">
        <w:rPr>
          <w:rFonts w:ascii="ITC Avant Garde" w:hAnsi="ITC Avant Garde"/>
          <w:bCs/>
          <w:lang w:val="es-ES_tradnl"/>
        </w:rPr>
        <w:t>en el Antecedente II de la presente Resolución.</w:t>
      </w:r>
    </w:p>
    <w:p w:rsidR="0086090F" w:rsidRDefault="00575C40" w:rsidP="00642B7F">
      <w:pPr>
        <w:pStyle w:val="Prrafodelista"/>
        <w:spacing w:afterLines="120" w:after="288" w:line="240" w:lineRule="auto"/>
        <w:ind w:left="0"/>
        <w:contextualSpacing w:val="0"/>
        <w:jc w:val="both"/>
        <w:rPr>
          <w:rFonts w:ascii="ITC Avant Garde" w:hAnsi="ITC Avant Garde"/>
          <w:sz w:val="14"/>
        </w:rPr>
        <w:sectPr w:rsidR="0086090F" w:rsidSect="00CD41D9">
          <w:headerReference w:type="even" r:id="rId12"/>
          <w:footerReference w:type="default" r:id="rId13"/>
          <w:headerReference w:type="first" r:id="rId14"/>
          <w:pgSz w:w="12240" w:h="15840"/>
          <w:pgMar w:top="2410" w:right="1418" w:bottom="567" w:left="1418" w:header="709" w:footer="709" w:gutter="0"/>
          <w:cols w:space="708"/>
          <w:docGrid w:linePitch="360"/>
        </w:sectPr>
      </w:pPr>
      <w:r w:rsidRPr="00575C40">
        <w:rPr>
          <w:rFonts w:ascii="ITC Avant Garde" w:hAnsi="ITC Avant Garde"/>
          <w:sz w:val="14"/>
        </w:rPr>
        <w:t xml:space="preserve">La presente Resolución fue aprobada por el Pleno del Instituto Federal de Telecomunicaciones en su XXIII Sesión Extraordinaria celebrada el 18 de diciembre de 2017, </w:t>
      </w:r>
      <w:r w:rsidRPr="00575C40">
        <w:rPr>
          <w:rFonts w:ascii="ITC Avant Garde" w:hAnsi="ITC Avant Garde"/>
          <w:bCs/>
          <w:sz w:val="14"/>
        </w:rPr>
        <w:t xml:space="preserve">por mayoría </w:t>
      </w:r>
      <w:r w:rsidRPr="00575C40">
        <w:rPr>
          <w:rFonts w:ascii="ITC Avant Garde" w:hAnsi="ITC Avant Garde"/>
          <w:sz w:val="14"/>
        </w:rPr>
        <w:t>de votos de los Comisionados Gabriel Oswaldo Contreras Saldívar, Mario Germán Fromow Rangel, Adolfo Cuevas Teja, Javier Juárez Mojica y Arturo Robles Rovalo; y con el voto en contra de las Comisionadas Adriana Sofía Labardini Inzunza y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P/IFT/EXT/181217/210.</w:t>
      </w:r>
    </w:p>
    <w:p w:rsidR="0086090F" w:rsidRDefault="0086090F" w:rsidP="00B80CA3">
      <w:pPr>
        <w:pStyle w:val="1TitPrin"/>
      </w:pPr>
      <w:r w:rsidRPr="005F2107">
        <w:lastRenderedPageBreak/>
        <w:t xml:space="preserve">TÍTULO DE CONCESIÓN PARA USAR, APROVECHAR Y EXPLOTAR BANDAS DE FRECUENCIAS DEL ESPECTRO RADIOELÉCTRICO PARA USO COMERCIAL, QUE OTORGA EL INSTITUTO FEDERAL DE TELECOMUNICACIONES EN FAVOR </w:t>
      </w:r>
      <w:r>
        <w:t xml:space="preserve">DE TELE COMARCA, S.A. DE C.V. DE </w:t>
      </w:r>
      <w:r w:rsidRPr="005F2107">
        <w:t>CONFORMIDAD CON LOS SIGUIENTES:</w:t>
      </w:r>
    </w:p>
    <w:p w:rsidR="0086090F" w:rsidRPr="00B80CA3" w:rsidRDefault="0086090F" w:rsidP="00B80CA3">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B80CA3">
        <w:rPr>
          <w:rFonts w:ascii="ITC Avant Garde" w:eastAsia="Times New Roman" w:hAnsi="ITC Avant Garde" w:cs="Arial"/>
          <w:b/>
          <w:bCs/>
          <w:color w:val="auto"/>
          <w:sz w:val="22"/>
          <w:szCs w:val="22"/>
        </w:rPr>
        <w:t>ANTECEDENTES</w:t>
      </w:r>
    </w:p>
    <w:p w:rsidR="0086090F" w:rsidRDefault="0086090F" w:rsidP="0086090F">
      <w:pPr>
        <w:numPr>
          <w:ilvl w:val="0"/>
          <w:numId w:val="24"/>
        </w:numPr>
        <w:spacing w:afterLines="120" w:after="288" w:line="240" w:lineRule="auto"/>
        <w:ind w:left="567" w:hanging="567"/>
        <w:jc w:val="both"/>
        <w:rPr>
          <w:rFonts w:ascii="ITC Avant Garde" w:hAnsi="ITC Avant Garde"/>
          <w:bCs/>
          <w:color w:val="000000"/>
          <w:lang w:eastAsia="es-MX"/>
        </w:rPr>
      </w:pPr>
      <w:r>
        <w:rPr>
          <w:rFonts w:ascii="ITC Avant Garde" w:hAnsi="ITC Avant Garde"/>
          <w:bCs/>
        </w:rPr>
        <w:t xml:space="preserve">El </w:t>
      </w:r>
      <w:r>
        <w:rPr>
          <w:rFonts w:ascii="ITC Avant Garde" w:hAnsi="ITC Avant Garde"/>
          <w:color w:val="000000"/>
          <w:lang w:eastAsia="es-MX"/>
        </w:rPr>
        <w:t>12 de julio</w:t>
      </w:r>
      <w:r w:rsidRPr="00B04363">
        <w:rPr>
          <w:rFonts w:ascii="ITC Avant Garde" w:hAnsi="ITC Avant Garde"/>
          <w:color w:val="000000"/>
          <w:lang w:eastAsia="es-MX"/>
        </w:rPr>
        <w:t xml:space="preserve"> de</w:t>
      </w:r>
      <w:r w:rsidRPr="00B04363">
        <w:rPr>
          <w:rFonts w:ascii="ITC Avant Garde" w:hAnsi="ITC Avant Garde"/>
        </w:rPr>
        <w:t xml:space="preserve"> 2017, </w:t>
      </w:r>
      <w:r>
        <w:rPr>
          <w:rFonts w:ascii="ITC Avant Garde" w:hAnsi="ITC Avant Garde"/>
        </w:rPr>
        <w:t>Tele Comarca, S.A. de C.V.</w:t>
      </w:r>
      <w:r>
        <w:rPr>
          <w:rFonts w:ascii="ITC Avant Garde" w:hAnsi="ITC Avant Garde"/>
          <w:color w:val="000000"/>
          <w:lang w:eastAsia="es-MX"/>
        </w:rPr>
        <w:t>,</w:t>
      </w:r>
      <w:r>
        <w:rPr>
          <w:rFonts w:ascii="ITC Avant Garde" w:hAnsi="ITC Avant Garde"/>
          <w:bCs/>
          <w:color w:val="000000"/>
          <w:lang w:eastAsia="es-MX"/>
        </w:rPr>
        <w:t xml:space="preserve"> a través de su representante legal,</w:t>
      </w:r>
      <w:r w:rsidRPr="003E7DF2">
        <w:rPr>
          <w:rFonts w:ascii="ITC Avant Garde" w:hAnsi="ITC Avant Garde"/>
          <w:bCs/>
          <w:color w:val="000000"/>
          <w:lang w:eastAsia="es-MX"/>
        </w:rPr>
        <w:t xml:space="preserve"> solicitó autorización para prestar se</w:t>
      </w:r>
      <w:r>
        <w:rPr>
          <w:rFonts w:ascii="ITC Avant Garde" w:hAnsi="ITC Avant Garde"/>
          <w:bCs/>
          <w:color w:val="000000"/>
          <w:lang w:eastAsia="es-MX"/>
        </w:rPr>
        <w:t>rvicios adicionales respecto del</w:t>
      </w:r>
      <w:r w:rsidRPr="00204BF1">
        <w:rPr>
          <w:rFonts w:ascii="ITC Avant Garde" w:eastAsiaTheme="minorHAnsi" w:hAnsi="ITC Avant Garde"/>
        </w:rPr>
        <w:t xml:space="preserve"> título de concesión </w:t>
      </w:r>
      <w:r w:rsidRPr="00204BF1">
        <w:rPr>
          <w:rFonts w:ascii="ITC Avant Garde" w:eastAsiaTheme="minorHAnsi" w:hAnsi="ITC Avant Garde"/>
          <w:bCs/>
        </w:rPr>
        <w:t>para usar, aprovechar y explotar bandas de frecuencias del espectro radioeléctrico para usos determinados,</w:t>
      </w:r>
      <w:r w:rsidRPr="00204BF1">
        <w:rPr>
          <w:rFonts w:ascii="ITC Avant Garde" w:eastAsiaTheme="minorHAnsi" w:hAnsi="ITC Avant Garde"/>
        </w:rPr>
        <w:t xml:space="preserve"> modificado y prorrogado </w:t>
      </w:r>
      <w:r w:rsidRPr="00204BF1">
        <w:rPr>
          <w:rFonts w:ascii="ITC Avant Garde" w:eastAsiaTheme="minorHAnsi" w:hAnsi="ITC Avant Garde"/>
          <w:bCs/>
        </w:rPr>
        <w:t>el 6 de septiembre de 2013 por la Secretaría de Comunicaciones y Transportes</w:t>
      </w:r>
      <w:r w:rsidRPr="003E7DF2">
        <w:rPr>
          <w:rFonts w:ascii="ITC Avant Garde" w:hAnsi="ITC Avant Garde"/>
          <w:bCs/>
          <w:color w:val="000000"/>
          <w:lang w:eastAsia="es-MX"/>
        </w:rPr>
        <w:t>. Lo anterior, en términos de lo establecido en la condición 2.1. “</w:t>
      </w:r>
      <w:r w:rsidRPr="003E7DF2">
        <w:rPr>
          <w:rFonts w:ascii="ITC Avant Garde" w:hAnsi="ITC Avant Garde"/>
          <w:bCs/>
          <w:i/>
          <w:color w:val="000000"/>
          <w:lang w:eastAsia="es-MX"/>
        </w:rPr>
        <w:t>Servicios Adicionales</w:t>
      </w:r>
      <w:r>
        <w:rPr>
          <w:rFonts w:ascii="ITC Avant Garde" w:hAnsi="ITC Avant Garde"/>
          <w:bCs/>
          <w:color w:val="000000"/>
          <w:lang w:eastAsia="es-MX"/>
        </w:rPr>
        <w:t>” de dicha concesión</w:t>
      </w:r>
      <w:r w:rsidRPr="003614F3">
        <w:rPr>
          <w:rFonts w:ascii="ITC Avant Garde" w:hAnsi="ITC Avant Garde"/>
          <w:bCs/>
          <w:color w:val="000000"/>
          <w:lang w:eastAsia="es-MX"/>
        </w:rPr>
        <w:t>.</w:t>
      </w:r>
    </w:p>
    <w:p w:rsidR="0086090F" w:rsidRDefault="0086090F" w:rsidP="0086090F">
      <w:pPr>
        <w:numPr>
          <w:ilvl w:val="0"/>
          <w:numId w:val="1"/>
        </w:numPr>
        <w:spacing w:afterLines="120" w:after="288" w:line="240" w:lineRule="auto"/>
        <w:ind w:left="567" w:hanging="567"/>
        <w:jc w:val="both"/>
        <w:rPr>
          <w:rFonts w:ascii="ITC Avant Garde" w:hAnsi="ITC Avant Garde"/>
        </w:rPr>
      </w:pPr>
      <w:r w:rsidRPr="004E0522">
        <w:rPr>
          <w:rFonts w:ascii="ITC Avant Garde" w:eastAsiaTheme="minorHAnsi" w:hAnsi="ITC Avant Garde"/>
        </w:rPr>
        <w:t>El Pleno del Instituto Federal de Telecomunicaciones, mediante Acuerdo P/IFT/</w:t>
      </w:r>
      <w:r>
        <w:rPr>
          <w:rFonts w:ascii="ITC Avant Garde" w:eastAsiaTheme="minorHAnsi" w:hAnsi="ITC Avant Garde"/>
        </w:rPr>
        <w:t>EXT/181217/210</w:t>
      </w:r>
      <w:r w:rsidRPr="004E0522">
        <w:rPr>
          <w:rFonts w:ascii="ITC Avant Garde" w:eastAsiaTheme="minorHAnsi" w:hAnsi="ITC Avant Garde"/>
        </w:rPr>
        <w:t xml:space="preserve"> de fecha </w:t>
      </w:r>
      <w:r>
        <w:rPr>
          <w:rFonts w:ascii="ITC Avant Garde" w:eastAsiaTheme="minorHAnsi" w:hAnsi="ITC Avant Garde"/>
        </w:rPr>
        <w:t xml:space="preserve">18 de diciembre </w:t>
      </w:r>
      <w:r w:rsidRPr="004E0522">
        <w:rPr>
          <w:rFonts w:ascii="ITC Avant Garde" w:eastAsiaTheme="minorHAnsi" w:hAnsi="ITC Avant Garde"/>
        </w:rPr>
        <w:t xml:space="preserve">de 2017, </w:t>
      </w:r>
      <w:r w:rsidRPr="0095235A">
        <w:rPr>
          <w:rFonts w:ascii="ITC Avant Garde" w:eastAsiaTheme="minorHAnsi" w:hAnsi="ITC Avant Garde"/>
        </w:rPr>
        <w:t>resolvió autorizar</w:t>
      </w:r>
      <w:r w:rsidRPr="004E0522">
        <w:rPr>
          <w:rFonts w:ascii="ITC Avant Garde" w:eastAsiaTheme="minorHAnsi" w:hAnsi="ITC Avant Garde"/>
        </w:rPr>
        <w:t xml:space="preserve"> </w:t>
      </w:r>
      <w:r w:rsidRPr="004E0522">
        <w:rPr>
          <w:rFonts w:ascii="ITC Avant Garde" w:eastAsiaTheme="minorHAnsi" w:hAnsi="ITC Avant Garde"/>
          <w:bCs/>
        </w:rPr>
        <w:t>la prestación d</w:t>
      </w:r>
      <w:r w:rsidRPr="004E0522">
        <w:rPr>
          <w:rFonts w:ascii="ITC Avant Garde" w:eastAsiaTheme="minorHAnsi" w:hAnsi="ITC Avant Garde"/>
        </w:rPr>
        <w:t xml:space="preserve">el servicio </w:t>
      </w:r>
      <w:r>
        <w:rPr>
          <w:rFonts w:ascii="ITC Avant Garde" w:eastAsiaTheme="minorHAnsi" w:hAnsi="ITC Avant Garde"/>
        </w:rPr>
        <w:t>de acceso inalámbrico</w:t>
      </w:r>
      <w:r w:rsidRPr="004E0522">
        <w:rPr>
          <w:rFonts w:ascii="ITC Avant Garde" w:eastAsiaTheme="minorHAnsi" w:hAnsi="ITC Avant Garde"/>
        </w:rPr>
        <w:t xml:space="preserve">, </w:t>
      </w:r>
      <w:r>
        <w:rPr>
          <w:rFonts w:ascii="ITC Avant Garde" w:eastAsiaTheme="minorHAnsi" w:hAnsi="ITC Avant Garde"/>
        </w:rPr>
        <w:t>al amparo</w:t>
      </w:r>
      <w:r w:rsidRPr="004E0522">
        <w:rPr>
          <w:rFonts w:ascii="ITC Avant Garde" w:eastAsiaTheme="minorHAnsi" w:hAnsi="ITC Avant Garde"/>
        </w:rPr>
        <w:t xml:space="preserve"> de la concesi</w:t>
      </w:r>
      <w:r>
        <w:rPr>
          <w:rFonts w:ascii="ITC Avant Garde" w:eastAsiaTheme="minorHAnsi" w:hAnsi="ITC Avant Garde"/>
        </w:rPr>
        <w:t>ón</w:t>
      </w:r>
      <w:r w:rsidRPr="004E0522">
        <w:rPr>
          <w:rFonts w:ascii="ITC Avant Garde" w:eastAsiaTheme="minorHAnsi" w:hAnsi="ITC Avant Garde"/>
        </w:rPr>
        <w:t xml:space="preserve"> referida en el Antecedente anterior</w:t>
      </w:r>
      <w:r>
        <w:rPr>
          <w:rFonts w:ascii="ITC Avant Garde" w:eastAsiaTheme="minorHAnsi" w:hAnsi="ITC Avant Garde"/>
        </w:rPr>
        <w:t>, mediante el otorgamiento de</w:t>
      </w:r>
      <w:r w:rsidRPr="004E0522">
        <w:rPr>
          <w:rFonts w:ascii="ITC Avant Garde" w:eastAsiaTheme="minorHAnsi" w:hAnsi="ITC Avant Garde"/>
        </w:rPr>
        <w:t>l presente título de concesión de bandas de frecuencias para uso comercial.</w:t>
      </w:r>
    </w:p>
    <w:p w:rsidR="0086090F" w:rsidRDefault="0086090F" w:rsidP="0086090F">
      <w:pPr>
        <w:spacing w:afterLines="120" w:after="288" w:line="240" w:lineRule="auto"/>
        <w:jc w:val="both"/>
        <w:rPr>
          <w:rFonts w:ascii="ITC Avant Garde" w:hAnsi="ITC Avant Garde"/>
          <w:lang w:eastAsia="es-MX"/>
        </w:rPr>
      </w:pPr>
      <w:r w:rsidRPr="00807EA6">
        <w:rPr>
          <w:rFonts w:ascii="ITC Avant Garde" w:hAnsi="ITC Avant Garde"/>
          <w:lang w:eastAsia="es-MX"/>
        </w:rPr>
        <w:t>Derivado de lo anterior y con fundamento en lo dispuesto por los artículos 6o. Apartado B fracción II, 27 párrafos cuarto y sexto y 28 párrafos décimo quinto, décimo sexto y décimo séptimo y 134 de la Constitución Política de los Estados Unidos Mexicanos; 1, 2, 3, 4, 5, 7, 15 fracción IV, 16, 17 fracción I, 75, 76 fracción I</w:t>
      </w:r>
      <w:r>
        <w:rPr>
          <w:rFonts w:ascii="ITC Avant Garde" w:hAnsi="ITC Avant Garde"/>
          <w:lang w:eastAsia="es-MX"/>
        </w:rPr>
        <w:t>, 77 y</w:t>
      </w:r>
      <w:r w:rsidRPr="00807EA6">
        <w:rPr>
          <w:rFonts w:ascii="ITC Avant Garde" w:hAnsi="ITC Avant Garde"/>
          <w:lang w:eastAsia="es-MX"/>
        </w:rPr>
        <w:t xml:space="preserve"> 81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86090F" w:rsidRPr="00B80CA3" w:rsidRDefault="0086090F" w:rsidP="00B80CA3">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B80CA3">
        <w:rPr>
          <w:rFonts w:ascii="ITC Avant Garde" w:eastAsia="Times New Roman" w:hAnsi="ITC Avant Garde" w:cs="Arial"/>
          <w:b/>
          <w:bCs/>
          <w:color w:val="auto"/>
          <w:sz w:val="22"/>
          <w:szCs w:val="22"/>
        </w:rPr>
        <w:t>CONDICIONES</w:t>
      </w:r>
    </w:p>
    <w:p w:rsidR="0086090F" w:rsidRDefault="0086090F" w:rsidP="0086090F">
      <w:pPr>
        <w:spacing w:afterLines="120" w:after="288" w:line="240" w:lineRule="auto"/>
        <w:jc w:val="center"/>
        <w:rPr>
          <w:rFonts w:ascii="ITC Avant Garde" w:hAnsi="ITC Avant Garde"/>
          <w:b/>
        </w:rPr>
      </w:pPr>
      <w:r w:rsidRPr="005F2107">
        <w:rPr>
          <w:rFonts w:ascii="ITC Avant Garde" w:hAnsi="ITC Avant Garde"/>
          <w:b/>
        </w:rPr>
        <w:t xml:space="preserve">Disposiciones Generales </w:t>
      </w:r>
    </w:p>
    <w:p w:rsidR="0086090F" w:rsidRDefault="0086090F" w:rsidP="0086090F">
      <w:pPr>
        <w:numPr>
          <w:ilvl w:val="0"/>
          <w:numId w:val="33"/>
        </w:numPr>
        <w:spacing w:afterLines="120" w:after="288" w:line="240" w:lineRule="auto"/>
        <w:ind w:left="567" w:hanging="567"/>
        <w:jc w:val="both"/>
        <w:rPr>
          <w:rFonts w:ascii="ITC Avant Garde" w:hAnsi="ITC Avant Garde"/>
        </w:rPr>
      </w:pPr>
      <w:r w:rsidRPr="005F2107">
        <w:rPr>
          <w:rFonts w:ascii="ITC Avant Garde" w:hAnsi="ITC Avant Garde"/>
          <w:b/>
          <w:bCs/>
          <w:color w:val="000000"/>
        </w:rPr>
        <w:t xml:space="preserve">Definición de términos. </w:t>
      </w:r>
      <w:r w:rsidRPr="005F2107">
        <w:rPr>
          <w:rFonts w:ascii="ITC Avant Garde" w:hAnsi="ITC Avant Garde"/>
          <w:bCs/>
          <w:color w:val="000000"/>
        </w:rPr>
        <w:t>Para los efectos del presente título, se entenderá por:</w:t>
      </w:r>
    </w:p>
    <w:p w:rsidR="0086090F" w:rsidRDefault="0086090F" w:rsidP="0086090F">
      <w:pPr>
        <w:pStyle w:val="Prrafodelista"/>
        <w:numPr>
          <w:ilvl w:val="1"/>
          <w:numId w:val="33"/>
        </w:numPr>
        <w:spacing w:afterLines="120" w:after="288" w:line="240" w:lineRule="auto"/>
        <w:ind w:left="1134" w:hanging="573"/>
        <w:contextualSpacing w:val="0"/>
        <w:jc w:val="both"/>
        <w:rPr>
          <w:rFonts w:ascii="ITC Avant Garde" w:hAnsi="ITC Avant Garde"/>
          <w:b/>
        </w:rPr>
      </w:pPr>
      <w:r w:rsidRPr="005F2107">
        <w:rPr>
          <w:rFonts w:ascii="ITC Avant Garde" w:hAnsi="ITC Avant Garde"/>
          <w:b/>
        </w:rPr>
        <w:t xml:space="preserve">Acceso Inalámbrico: </w:t>
      </w:r>
      <w:r w:rsidRPr="005F2107">
        <w:rPr>
          <w:rFonts w:ascii="ITC Avant Garde" w:hAnsi="ITC Avant Garde"/>
        </w:rPr>
        <w:t xml:space="preserve">El enlace radioeléctrico bidireccional entre una red pública de telecomunicaciones y el usuario final, para la transmisión de signos, señales, escritos, imágenes, </w:t>
      </w:r>
      <w:r>
        <w:rPr>
          <w:rFonts w:ascii="ITC Avant Garde" w:hAnsi="ITC Avant Garde"/>
        </w:rPr>
        <w:t xml:space="preserve">video, </w:t>
      </w:r>
      <w:r w:rsidRPr="005F2107">
        <w:rPr>
          <w:rFonts w:ascii="ITC Avant Garde" w:hAnsi="ITC Avant Garde"/>
        </w:rPr>
        <w:t xml:space="preserve">voz, sonidos, </w:t>
      </w:r>
      <w:r>
        <w:rPr>
          <w:rFonts w:ascii="ITC Avant Garde" w:hAnsi="ITC Avant Garde"/>
        </w:rPr>
        <w:t xml:space="preserve">datos </w:t>
      </w:r>
      <w:r w:rsidRPr="005F2107">
        <w:rPr>
          <w:rFonts w:ascii="ITC Avant Garde" w:hAnsi="ITC Avant Garde"/>
        </w:rPr>
        <w:t>o información de cualquier naturaleza.</w:t>
      </w:r>
      <w:r>
        <w:rPr>
          <w:rFonts w:ascii="ITC Avant Garde" w:hAnsi="ITC Avant Garde"/>
        </w:rPr>
        <w:t xml:space="preserve"> </w:t>
      </w:r>
    </w:p>
    <w:p w:rsidR="0086090F" w:rsidRDefault="0086090F" w:rsidP="0086090F">
      <w:pPr>
        <w:pStyle w:val="Textoindependiente"/>
        <w:numPr>
          <w:ilvl w:val="1"/>
          <w:numId w:val="33"/>
        </w:numPr>
        <w:spacing w:afterLines="120" w:after="288"/>
        <w:ind w:left="1134" w:hanging="567"/>
        <w:rPr>
          <w:rFonts w:ascii="ITC Avant Garde" w:hAnsi="ITC Avant Garde"/>
          <w:sz w:val="22"/>
          <w:szCs w:val="22"/>
        </w:rPr>
      </w:pPr>
      <w:r w:rsidRPr="005F2107">
        <w:rPr>
          <w:rFonts w:ascii="ITC Avant Garde" w:hAnsi="ITC Avant Garde"/>
          <w:b/>
          <w:sz w:val="22"/>
          <w:szCs w:val="22"/>
        </w:rPr>
        <w:t>Banda de Frecuencias:</w:t>
      </w:r>
      <w:r w:rsidRPr="005F2107">
        <w:rPr>
          <w:rFonts w:ascii="ITC Avant Garde" w:hAnsi="ITC Avant Garde"/>
          <w:sz w:val="22"/>
          <w:szCs w:val="22"/>
        </w:rPr>
        <w:t xml:space="preserve"> Porción del espectro radioeléctrico comprendido entre dos frecuencias determinadas.</w:t>
      </w:r>
    </w:p>
    <w:p w:rsidR="0086090F" w:rsidRDefault="0086090F" w:rsidP="0086090F">
      <w:pPr>
        <w:numPr>
          <w:ilvl w:val="1"/>
          <w:numId w:val="33"/>
        </w:numPr>
        <w:spacing w:afterLines="120" w:after="288" w:line="240" w:lineRule="auto"/>
        <w:ind w:left="1134" w:hanging="567"/>
        <w:jc w:val="both"/>
        <w:rPr>
          <w:rFonts w:ascii="ITC Avant Garde" w:hAnsi="ITC Avant Garde"/>
        </w:rPr>
      </w:pPr>
      <w:r w:rsidRPr="005F2107">
        <w:rPr>
          <w:rFonts w:ascii="ITC Avant Garde" w:hAnsi="ITC Avant Garde"/>
          <w:b/>
        </w:rPr>
        <w:lastRenderedPageBreak/>
        <w:t>Cobertura Geográfica:</w:t>
      </w:r>
      <w:r w:rsidRPr="005F2107">
        <w:rPr>
          <w:rFonts w:ascii="ITC Avant Garde" w:hAnsi="ITC Avant Garde"/>
        </w:rPr>
        <w:t xml:space="preserve"> Zona geográfica en la que se limita el uso, aprovechamiento o explotación de una banda de frecuencias concesionada para la prestación de servicios de telecomunicaciones.</w:t>
      </w:r>
    </w:p>
    <w:p w:rsidR="0086090F" w:rsidRDefault="0086090F" w:rsidP="0086090F">
      <w:pPr>
        <w:pStyle w:val="Textoindependiente"/>
        <w:numPr>
          <w:ilvl w:val="1"/>
          <w:numId w:val="33"/>
        </w:numPr>
        <w:spacing w:afterLines="120" w:after="288"/>
        <w:ind w:left="1134" w:hanging="567"/>
        <w:rPr>
          <w:rFonts w:ascii="ITC Avant Garde" w:hAnsi="ITC Avant Garde"/>
          <w:sz w:val="22"/>
          <w:szCs w:val="22"/>
        </w:rPr>
      </w:pPr>
      <w:r w:rsidRPr="005F2107">
        <w:rPr>
          <w:rFonts w:ascii="ITC Avant Garde" w:hAnsi="ITC Avant Garde"/>
          <w:b/>
          <w:sz w:val="22"/>
          <w:szCs w:val="22"/>
        </w:rPr>
        <w:t>Concesión de Espectro Radioeléctrico:</w:t>
      </w:r>
      <w:r w:rsidRPr="005F2107">
        <w:rPr>
          <w:rFonts w:ascii="ITC Avant Garde" w:hAnsi="ITC Avant Garde"/>
          <w:sz w:val="22"/>
          <w:szCs w:val="22"/>
        </w:rPr>
        <w:t xml:space="preserve"> La presente concesión para usar, aprovechar y explotar bandas de frecuencias del espectro radioeléctrico para uso comercial.</w:t>
      </w:r>
    </w:p>
    <w:p w:rsidR="0086090F" w:rsidRDefault="0086090F" w:rsidP="0086090F">
      <w:pPr>
        <w:pStyle w:val="Textoindependiente"/>
        <w:numPr>
          <w:ilvl w:val="1"/>
          <w:numId w:val="33"/>
        </w:numPr>
        <w:spacing w:afterLines="120" w:after="288"/>
        <w:ind w:left="1134" w:hanging="567"/>
        <w:rPr>
          <w:rFonts w:ascii="ITC Avant Garde" w:hAnsi="ITC Avant Garde"/>
          <w:sz w:val="22"/>
          <w:szCs w:val="22"/>
        </w:rPr>
      </w:pPr>
      <w:r w:rsidRPr="005F2107">
        <w:rPr>
          <w:rFonts w:ascii="ITC Avant Garde" w:hAnsi="ITC Avant Garde"/>
          <w:b/>
          <w:sz w:val="22"/>
          <w:szCs w:val="22"/>
        </w:rPr>
        <w:t xml:space="preserve">Concesionario: </w:t>
      </w:r>
      <w:r w:rsidRPr="005F2107">
        <w:rPr>
          <w:rFonts w:ascii="ITC Avant Garde" w:hAnsi="ITC Avant Garde"/>
          <w:sz w:val="22"/>
          <w:szCs w:val="22"/>
        </w:rPr>
        <w:t>Persona física o moral titular de la presente Concesión de Espectro Radioeléctrico</w:t>
      </w:r>
      <w:r w:rsidRPr="005F2107">
        <w:rPr>
          <w:rFonts w:ascii="ITC Avant Garde" w:eastAsiaTheme="minorHAnsi" w:hAnsi="ITC Avant Garde"/>
          <w:bCs/>
          <w:color w:val="000000"/>
          <w:sz w:val="22"/>
          <w:szCs w:val="22"/>
          <w:lang w:val="es-MX" w:eastAsia="en-US"/>
        </w:rPr>
        <w:t>.</w:t>
      </w:r>
    </w:p>
    <w:p w:rsidR="0086090F" w:rsidRDefault="0086090F" w:rsidP="0086090F">
      <w:pPr>
        <w:pStyle w:val="Textoindependiente"/>
        <w:numPr>
          <w:ilvl w:val="1"/>
          <w:numId w:val="33"/>
        </w:numPr>
        <w:spacing w:afterLines="120" w:after="288"/>
        <w:ind w:left="1134" w:hanging="567"/>
        <w:rPr>
          <w:rFonts w:ascii="ITC Avant Garde" w:hAnsi="ITC Avant Garde"/>
          <w:sz w:val="22"/>
          <w:szCs w:val="22"/>
        </w:rPr>
      </w:pPr>
      <w:r w:rsidRPr="005F2107">
        <w:rPr>
          <w:rFonts w:ascii="ITC Avant Garde" w:hAnsi="ITC Avant Garde"/>
          <w:b/>
          <w:sz w:val="22"/>
          <w:szCs w:val="22"/>
        </w:rPr>
        <w:t>Instituto:</w:t>
      </w:r>
      <w:r w:rsidRPr="005F2107">
        <w:rPr>
          <w:rFonts w:ascii="ITC Avant Garde" w:hAnsi="ITC Avant Garde"/>
          <w:sz w:val="22"/>
          <w:szCs w:val="22"/>
        </w:rPr>
        <w:t xml:space="preserve"> </w:t>
      </w:r>
      <w:r w:rsidRPr="005F2107">
        <w:rPr>
          <w:rFonts w:ascii="ITC Avant Garde" w:hAnsi="ITC Avant Garde"/>
          <w:bCs/>
          <w:color w:val="000000"/>
          <w:sz w:val="22"/>
          <w:szCs w:val="22"/>
        </w:rPr>
        <w:t>El Instituto Federal de Telecomunicaciones.</w:t>
      </w:r>
    </w:p>
    <w:p w:rsidR="0086090F" w:rsidRDefault="0086090F" w:rsidP="0086090F">
      <w:pPr>
        <w:numPr>
          <w:ilvl w:val="1"/>
          <w:numId w:val="33"/>
        </w:numPr>
        <w:spacing w:afterLines="120" w:after="288" w:line="240" w:lineRule="auto"/>
        <w:ind w:left="1134" w:hanging="567"/>
        <w:jc w:val="both"/>
        <w:rPr>
          <w:rFonts w:ascii="ITC Avant Garde" w:hAnsi="ITC Avant Garde"/>
        </w:rPr>
      </w:pPr>
      <w:r w:rsidRPr="005F2107">
        <w:rPr>
          <w:rFonts w:ascii="ITC Avant Garde" w:hAnsi="ITC Avant Garde"/>
          <w:b/>
        </w:rPr>
        <w:t>Ley:</w:t>
      </w:r>
      <w:r w:rsidRPr="005F2107">
        <w:rPr>
          <w:rFonts w:ascii="ITC Avant Garde" w:hAnsi="ITC Avant Garde"/>
        </w:rPr>
        <w:t xml:space="preserve"> La Ley Federal de Telecomunicaciones y Radiodifusión.</w:t>
      </w:r>
    </w:p>
    <w:p w:rsidR="0086090F" w:rsidRDefault="0086090F" w:rsidP="0086090F">
      <w:pPr>
        <w:pStyle w:val="estilo30"/>
        <w:numPr>
          <w:ilvl w:val="0"/>
          <w:numId w:val="33"/>
        </w:numPr>
        <w:spacing w:before="0" w:beforeAutospacing="0" w:afterLines="120" w:after="288" w:afterAutospacing="0"/>
        <w:ind w:left="567" w:hanging="567"/>
        <w:jc w:val="both"/>
        <w:rPr>
          <w:rFonts w:ascii="ITC Avant Garde" w:hAnsi="ITC Avant Garde"/>
          <w:bCs/>
          <w:color w:val="000000"/>
          <w:sz w:val="22"/>
          <w:szCs w:val="22"/>
        </w:rPr>
      </w:pPr>
      <w:r w:rsidRPr="0095235A">
        <w:rPr>
          <w:rFonts w:ascii="ITC Avant Garde" w:hAnsi="ITC Avant Garde"/>
          <w:b/>
          <w:bCs/>
          <w:color w:val="000000"/>
          <w:sz w:val="22"/>
          <w:szCs w:val="22"/>
        </w:rPr>
        <w:t xml:space="preserve">Domicilio convencional. </w:t>
      </w:r>
      <w:r w:rsidRPr="0095235A">
        <w:rPr>
          <w:rFonts w:ascii="ITC Avant Garde" w:hAnsi="ITC Avant Garde"/>
          <w:bCs/>
          <w:color w:val="000000"/>
          <w:sz w:val="22"/>
          <w:szCs w:val="22"/>
        </w:rPr>
        <w:t xml:space="preserve">El Concesionario señala como domicilio para oír y recibir todo tipo de notificaciones y documentos, el ubicado en </w:t>
      </w:r>
      <w:r>
        <w:rPr>
          <w:rFonts w:ascii="ITC Avant Garde" w:hAnsi="ITC Avant Garde"/>
          <w:bCs/>
          <w:color w:val="000000"/>
          <w:sz w:val="22"/>
          <w:szCs w:val="22"/>
        </w:rPr>
        <w:t>Canoa, número 521, interior</w:t>
      </w:r>
      <w:r w:rsidRPr="005770F0">
        <w:rPr>
          <w:rFonts w:ascii="ITC Avant Garde" w:hAnsi="ITC Avant Garde"/>
          <w:bCs/>
          <w:color w:val="000000"/>
          <w:sz w:val="22"/>
          <w:szCs w:val="22"/>
        </w:rPr>
        <w:t xml:space="preserve"> 801, C.P. 01090, Colonia Tizapán San </w:t>
      </w:r>
      <w:r>
        <w:rPr>
          <w:rFonts w:ascii="ITC Avant Garde" w:hAnsi="ITC Avant Garde"/>
          <w:bCs/>
          <w:color w:val="000000"/>
          <w:sz w:val="22"/>
          <w:szCs w:val="22"/>
        </w:rPr>
        <w:t>Á</w:t>
      </w:r>
      <w:r w:rsidRPr="005770F0">
        <w:rPr>
          <w:rFonts w:ascii="ITC Avant Garde" w:hAnsi="ITC Avant Garde"/>
          <w:bCs/>
          <w:color w:val="000000"/>
          <w:sz w:val="22"/>
          <w:szCs w:val="22"/>
        </w:rPr>
        <w:t>ngel, Delegación Álvaro Obregón, Ciudad de México</w:t>
      </w:r>
      <w:r w:rsidRPr="0095235A">
        <w:rPr>
          <w:rFonts w:ascii="ITC Avant Garde" w:hAnsi="ITC Avant Garde"/>
          <w:bCs/>
          <w:color w:val="000000"/>
          <w:sz w:val="22"/>
          <w:szCs w:val="22"/>
        </w:rPr>
        <w:t>.</w:t>
      </w:r>
    </w:p>
    <w:p w:rsidR="0086090F" w:rsidRDefault="0086090F" w:rsidP="0086090F">
      <w:pPr>
        <w:pStyle w:val="estilo30"/>
        <w:spacing w:before="0" w:beforeAutospacing="0" w:afterLines="120" w:after="288" w:afterAutospacing="0"/>
        <w:ind w:left="567"/>
        <w:jc w:val="both"/>
        <w:rPr>
          <w:rFonts w:ascii="ITC Avant Garde" w:hAnsi="ITC Avant Garde"/>
          <w:bCs/>
          <w:color w:val="000000"/>
          <w:sz w:val="22"/>
          <w:szCs w:val="22"/>
        </w:rPr>
      </w:pPr>
      <w:r w:rsidRPr="005F2107">
        <w:rPr>
          <w:rFonts w:ascii="ITC Avant Garde" w:hAnsi="ITC Avant Garde"/>
          <w:bCs/>
          <w:color w:val="000000"/>
          <w:sz w:val="22"/>
          <w:szCs w:val="22"/>
        </w:rPr>
        <w:t>En caso de que el Concesionario cambie el domicilio para oír y recibir notificaciones a que se refiere el párrafo anterior, deberá hacerlo del conocimiento del Instituto con una antelación de cuando menos 15</w:t>
      </w:r>
      <w:r>
        <w:rPr>
          <w:rFonts w:ascii="ITC Avant Garde" w:hAnsi="ITC Avant Garde"/>
          <w:bCs/>
          <w:color w:val="000000"/>
          <w:sz w:val="22"/>
          <w:szCs w:val="22"/>
        </w:rPr>
        <w:t xml:space="preserve"> (quince) días naturales previamente</w:t>
      </w:r>
      <w:r w:rsidRPr="005F2107">
        <w:rPr>
          <w:rFonts w:ascii="ITC Avant Garde" w:hAnsi="ITC Avant Garde"/>
          <w:bCs/>
          <w:color w:val="000000"/>
          <w:sz w:val="22"/>
          <w:szCs w:val="22"/>
        </w:rPr>
        <w:t xml:space="preserve"> a tal evento, sin perjuicio que las notificaciones se sigan practicando durante ese periodo en el domicilio mencionado en el primer párrafo de est</w:t>
      </w:r>
      <w:r>
        <w:rPr>
          <w:rFonts w:ascii="ITC Avant Garde" w:hAnsi="ITC Avant Garde"/>
          <w:bCs/>
          <w:color w:val="000000"/>
          <w:sz w:val="22"/>
          <w:szCs w:val="22"/>
        </w:rPr>
        <w:t>a</w:t>
      </w:r>
      <w:r w:rsidRPr="005F2107">
        <w:rPr>
          <w:rFonts w:ascii="ITC Avant Garde" w:hAnsi="ITC Avant Garde"/>
          <w:bCs/>
          <w:color w:val="000000"/>
          <w:sz w:val="22"/>
          <w:szCs w:val="22"/>
        </w:rPr>
        <w:t xml:space="preserve"> </w:t>
      </w:r>
      <w:r>
        <w:rPr>
          <w:rFonts w:ascii="ITC Avant Garde" w:hAnsi="ITC Avant Garde"/>
          <w:bCs/>
          <w:color w:val="000000"/>
          <w:sz w:val="22"/>
          <w:szCs w:val="22"/>
        </w:rPr>
        <w:t>Condición</w:t>
      </w:r>
      <w:r w:rsidRPr="005F2107">
        <w:rPr>
          <w:rFonts w:ascii="ITC Avant Garde" w:hAnsi="ITC Avant Garde"/>
          <w:bCs/>
          <w:color w:val="000000"/>
          <w:sz w:val="22"/>
          <w:szCs w:val="22"/>
        </w:rPr>
        <w:t>.</w:t>
      </w:r>
    </w:p>
    <w:p w:rsidR="0086090F" w:rsidRDefault="0086090F" w:rsidP="0086090F">
      <w:pPr>
        <w:pStyle w:val="Prrafodelista"/>
        <w:numPr>
          <w:ilvl w:val="0"/>
          <w:numId w:val="33"/>
        </w:numPr>
        <w:spacing w:afterLines="120" w:after="288" w:line="240" w:lineRule="auto"/>
        <w:ind w:left="567" w:hanging="567"/>
        <w:contextualSpacing w:val="0"/>
        <w:jc w:val="both"/>
        <w:rPr>
          <w:rFonts w:ascii="ITC Avant Garde" w:hAnsi="ITC Avant Garde"/>
          <w:b/>
        </w:rPr>
      </w:pPr>
      <w:r w:rsidRPr="005F2107">
        <w:rPr>
          <w:rFonts w:ascii="ITC Avant Garde" w:hAnsi="ITC Avant Garde"/>
          <w:b/>
        </w:rPr>
        <w:t xml:space="preserve">Modalidad de uso de la Concesión de Espectro Radioeléctrico. </w:t>
      </w:r>
      <w:r w:rsidRPr="005F2107">
        <w:rPr>
          <w:rFonts w:ascii="ITC Avant Garde" w:hAnsi="ITC Avant Garde"/>
        </w:rPr>
        <w:t xml:space="preserve">La presente Concesión de Espectro Radioeléctrico se otorga para uso comercial, en términos de lo establecido por el artículo 76 fracción I de la Ley y otorga el derecho para el uso, aprovechamiento y explotación de bandas de frecuencias del espectro radioeléctrico de uso determinado, con fines de lucro. </w:t>
      </w:r>
    </w:p>
    <w:p w:rsidR="0086090F" w:rsidRDefault="0086090F" w:rsidP="0086090F">
      <w:pPr>
        <w:pStyle w:val="Prrafodelista"/>
        <w:spacing w:afterLines="120" w:after="288"/>
        <w:ind w:left="567"/>
        <w:contextualSpacing w:val="0"/>
        <w:jc w:val="both"/>
        <w:rPr>
          <w:rFonts w:ascii="ITC Avant Garde" w:hAnsi="ITC Avant Garde"/>
        </w:rPr>
      </w:pPr>
      <w:r w:rsidRPr="005F2107">
        <w:rPr>
          <w:rFonts w:ascii="ITC Avant Garde" w:hAnsi="ITC Avant Garde"/>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técnicas, </w:t>
      </w:r>
      <w:r>
        <w:rPr>
          <w:rFonts w:ascii="ITC Avant Garde" w:hAnsi="ITC Avant Garde"/>
        </w:rPr>
        <w:t xml:space="preserve">lineamientos, </w:t>
      </w:r>
      <w:r w:rsidRPr="005F2107">
        <w:rPr>
          <w:rFonts w:ascii="ITC Avant Garde" w:hAnsi="ITC Avant Garde"/>
        </w:rPr>
        <w:t>resoluciones, acuerdos, circulares y demás disposiciones administrativas de carácter general, así como a las condiciones establecidas en el presente título.</w:t>
      </w:r>
    </w:p>
    <w:p w:rsidR="0086090F" w:rsidRDefault="0086090F" w:rsidP="0086090F">
      <w:pPr>
        <w:spacing w:afterLines="120" w:after="288" w:line="240" w:lineRule="auto"/>
        <w:ind w:left="567"/>
        <w:jc w:val="both"/>
        <w:rPr>
          <w:rFonts w:ascii="ITC Avant Garde" w:eastAsia="Times New Roman" w:hAnsi="ITC Avant Garde"/>
          <w:lang w:eastAsia="es-MX"/>
        </w:rPr>
      </w:pPr>
      <w:r w:rsidRPr="005F2107">
        <w:rPr>
          <w:rFonts w:ascii="ITC Avant Garde" w:hAnsi="ITC Avant Garde"/>
        </w:rPr>
        <w:lastRenderedPageBreak/>
        <w:t xml:space="preserve">En el supuesto de que la legislación y/o disposiciones administrativas, vigentes a la fecha de otorgamiento del presente título fueran abrogadas, derogadas y/o reformadas, la presente Concesión de Espectro Radioeléctrico quedará sujeta a las disposiciones legales y administrativas aplicables que las sustituyan, a partir de su entrada en </w:t>
      </w:r>
      <w:r w:rsidRPr="005F2107">
        <w:rPr>
          <w:rFonts w:ascii="ITC Avant Garde" w:eastAsia="Times New Roman" w:hAnsi="ITC Avant Garde"/>
          <w:lang w:eastAsia="es-MX"/>
        </w:rPr>
        <w:t>vigor.</w:t>
      </w:r>
    </w:p>
    <w:p w:rsidR="0086090F" w:rsidRDefault="0086090F" w:rsidP="0086090F">
      <w:pPr>
        <w:pStyle w:val="estilo30"/>
        <w:numPr>
          <w:ilvl w:val="0"/>
          <w:numId w:val="33"/>
        </w:numPr>
        <w:spacing w:before="0" w:beforeAutospacing="0" w:afterLines="120" w:after="288" w:afterAutospacing="0"/>
        <w:ind w:left="567" w:hanging="567"/>
        <w:jc w:val="both"/>
        <w:rPr>
          <w:rFonts w:ascii="ITC Avant Garde" w:hAnsi="ITC Avant Garde"/>
          <w:sz w:val="22"/>
          <w:szCs w:val="22"/>
          <w:lang w:val="es-ES_tradnl" w:eastAsia="es-ES"/>
        </w:rPr>
      </w:pPr>
      <w:r w:rsidRPr="005F2107">
        <w:rPr>
          <w:rFonts w:ascii="ITC Avant Garde" w:hAnsi="ITC Avant Garde"/>
          <w:b/>
          <w:bCs/>
          <w:color w:val="000000"/>
          <w:sz w:val="22"/>
          <w:szCs w:val="22"/>
        </w:rPr>
        <w:t>B</w:t>
      </w:r>
      <w:r w:rsidRPr="005F2107">
        <w:rPr>
          <w:rFonts w:ascii="ITC Avant Garde" w:hAnsi="ITC Avant Garde"/>
          <w:b/>
          <w:sz w:val="22"/>
          <w:szCs w:val="22"/>
          <w:lang w:val="es-ES_tradnl" w:eastAsia="es-ES"/>
        </w:rPr>
        <w:t xml:space="preserve">andas de frecuencias. </w:t>
      </w:r>
      <w:r w:rsidRPr="005F2107">
        <w:rPr>
          <w:rFonts w:ascii="ITC Avant Garde" w:hAnsi="ITC Avant Garde"/>
          <w:sz w:val="22"/>
          <w:szCs w:val="22"/>
          <w:lang w:val="es-ES_tradnl" w:eastAsia="es-ES"/>
        </w:rPr>
        <w:t>Al amparo de la presente Concesión de Espectro Radioeléctrico, el Concesionario deberá</w:t>
      </w:r>
      <w:r>
        <w:rPr>
          <w:rFonts w:ascii="ITC Avant Garde" w:hAnsi="ITC Avant Garde"/>
          <w:sz w:val="22"/>
          <w:szCs w:val="22"/>
          <w:lang w:val="es-ES_tradnl" w:eastAsia="es-ES"/>
        </w:rPr>
        <w:t xml:space="preserve"> usar, aprovechar y explotar</w:t>
      </w:r>
      <w:r w:rsidRPr="005F2107">
        <w:rPr>
          <w:rFonts w:ascii="ITC Avant Garde" w:hAnsi="ITC Avant Garde"/>
          <w:sz w:val="22"/>
          <w:szCs w:val="22"/>
          <w:lang w:val="es-ES_tradnl" w:eastAsia="es-ES"/>
        </w:rPr>
        <w:t>, única y exclusivamente</w:t>
      </w:r>
      <w:r>
        <w:rPr>
          <w:rFonts w:ascii="ITC Avant Garde" w:hAnsi="ITC Avant Garde"/>
          <w:sz w:val="22"/>
          <w:szCs w:val="22"/>
          <w:lang w:val="es-ES_tradnl" w:eastAsia="es-ES"/>
        </w:rPr>
        <w:t>, los rangos de frecuencia indicados en el Anexo de la presente Concesión de Espectro Radioeléctrico, de conformidad con el siguiente criterio:</w:t>
      </w:r>
    </w:p>
    <w:p w:rsidR="0086090F" w:rsidRDefault="0086090F" w:rsidP="0086090F">
      <w:pPr>
        <w:pStyle w:val="estilo30"/>
        <w:numPr>
          <w:ilvl w:val="1"/>
          <w:numId w:val="33"/>
        </w:numPr>
        <w:spacing w:before="0" w:beforeAutospacing="0" w:after="0" w:afterAutospacing="0"/>
        <w:ind w:left="851" w:firstLine="0"/>
        <w:jc w:val="both"/>
        <w:rPr>
          <w:rFonts w:ascii="ITC Avant Garde" w:hAnsi="ITC Avant Garde"/>
          <w:bCs/>
          <w:color w:val="000000"/>
          <w:sz w:val="22"/>
          <w:szCs w:val="22"/>
        </w:rPr>
      </w:pPr>
      <w:r w:rsidRPr="00D03188">
        <w:rPr>
          <w:rFonts w:ascii="ITC Avant Garde" w:hAnsi="ITC Avant Garde"/>
          <w:bCs/>
          <w:color w:val="000000"/>
          <w:sz w:val="22"/>
          <w:szCs w:val="22"/>
        </w:rPr>
        <w:t>2500-2530 MHz: Segmento para la transmisión de equipos terminales</w:t>
      </w:r>
    </w:p>
    <w:p w:rsidR="0086090F" w:rsidRDefault="0086090F" w:rsidP="0086090F">
      <w:pPr>
        <w:pStyle w:val="estilo30"/>
        <w:numPr>
          <w:ilvl w:val="1"/>
          <w:numId w:val="33"/>
        </w:numPr>
        <w:spacing w:before="0" w:beforeAutospacing="0" w:afterLines="120" w:after="288" w:afterAutospacing="0"/>
        <w:ind w:left="1418" w:hanging="567"/>
        <w:jc w:val="both"/>
        <w:rPr>
          <w:rFonts w:ascii="ITC Avant Garde" w:hAnsi="ITC Avant Garde"/>
          <w:bCs/>
          <w:color w:val="000000"/>
          <w:sz w:val="22"/>
          <w:szCs w:val="22"/>
        </w:rPr>
      </w:pPr>
      <w:r>
        <w:rPr>
          <w:rFonts w:ascii="ITC Avant Garde" w:hAnsi="ITC Avant Garde"/>
          <w:bCs/>
          <w:color w:val="000000"/>
          <w:sz w:val="22"/>
          <w:szCs w:val="22"/>
        </w:rPr>
        <w:t>2620-2650 MHz: Segmento para la transmisión de estaciones base</w:t>
      </w:r>
    </w:p>
    <w:p w:rsidR="0086090F" w:rsidRDefault="0086090F" w:rsidP="0086090F">
      <w:pPr>
        <w:pStyle w:val="estilo30"/>
        <w:numPr>
          <w:ilvl w:val="0"/>
          <w:numId w:val="33"/>
        </w:numPr>
        <w:spacing w:before="0" w:beforeAutospacing="0" w:afterLines="120" w:after="288" w:afterAutospacing="0"/>
        <w:ind w:left="567" w:hanging="567"/>
        <w:jc w:val="both"/>
        <w:rPr>
          <w:rFonts w:ascii="ITC Avant Garde" w:hAnsi="ITC Avant Garde"/>
          <w:bCs/>
          <w:color w:val="000000"/>
          <w:sz w:val="22"/>
          <w:szCs w:val="22"/>
        </w:rPr>
      </w:pPr>
      <w:r w:rsidRPr="00464D02">
        <w:rPr>
          <w:rFonts w:ascii="ITC Avant Garde" w:hAnsi="ITC Avant Garde"/>
          <w:b/>
          <w:bCs/>
          <w:color w:val="000000"/>
          <w:sz w:val="22"/>
          <w:szCs w:val="22"/>
        </w:rPr>
        <w:t xml:space="preserve">Cobertura de la Concesión de Espectro Radioeléctrico. </w:t>
      </w:r>
      <w:r w:rsidRPr="00464D02">
        <w:rPr>
          <w:rFonts w:ascii="ITC Avant Garde" w:hAnsi="ITC Avant Garde"/>
          <w:bCs/>
          <w:color w:val="000000"/>
          <w:sz w:val="22"/>
          <w:szCs w:val="22"/>
        </w:rPr>
        <w:t>El Concesionario deberá usar, aprovechar y explotar las bandas de frecuencias que ampara la presente Concesión de Espectro Radioeléctrico, exclusivamente en la Cobertura Geográfica definida</w:t>
      </w:r>
      <w:r>
        <w:rPr>
          <w:rFonts w:ascii="ITC Avant Garde" w:hAnsi="ITC Avant Garde"/>
          <w:bCs/>
          <w:color w:val="000000"/>
          <w:sz w:val="22"/>
          <w:szCs w:val="22"/>
        </w:rPr>
        <w:t xml:space="preserve"> en el Anexo de la presente Concesión de Espectro Radioeléctrico.</w:t>
      </w:r>
      <w:r w:rsidRPr="00464D02">
        <w:rPr>
          <w:rFonts w:ascii="ITC Avant Garde" w:hAnsi="ITC Avant Garde"/>
          <w:bCs/>
          <w:color w:val="000000"/>
          <w:sz w:val="22"/>
          <w:szCs w:val="22"/>
        </w:rPr>
        <w:t xml:space="preserve"> </w:t>
      </w:r>
    </w:p>
    <w:p w:rsidR="0086090F" w:rsidRDefault="0086090F" w:rsidP="0086090F">
      <w:pPr>
        <w:pStyle w:val="Prrafodelista"/>
        <w:numPr>
          <w:ilvl w:val="0"/>
          <w:numId w:val="33"/>
        </w:numPr>
        <w:spacing w:afterLines="120" w:after="288" w:line="240" w:lineRule="auto"/>
        <w:ind w:left="567" w:hanging="567"/>
        <w:contextualSpacing w:val="0"/>
        <w:jc w:val="both"/>
        <w:rPr>
          <w:rFonts w:ascii="ITC Avant Garde" w:hAnsi="ITC Avant Garde"/>
          <w:b/>
          <w:bCs/>
          <w:color w:val="000000"/>
        </w:rPr>
      </w:pPr>
      <w:r w:rsidRPr="005F2107">
        <w:rPr>
          <w:rFonts w:ascii="ITC Avant Garde" w:hAnsi="ITC Avant Garde"/>
          <w:b/>
          <w:bCs/>
          <w:color w:val="000000"/>
        </w:rPr>
        <w:t xml:space="preserve">Servicios. </w:t>
      </w:r>
      <w:r w:rsidRPr="00657550">
        <w:rPr>
          <w:rFonts w:ascii="ITC Avant Garde" w:hAnsi="ITC Avant Garde"/>
          <w:bCs/>
          <w:color w:val="000000"/>
        </w:rPr>
        <w:t>Las bandas de frecuencias objeto de la presente Concesión de Espectro Radioeléctrico sólo podrán ser usadas, aprovechadas y explotadas para la prestación del servicio de acceso inalámbrico en la Cobertura Geográfica señalada en la Condición 5 anterior.</w:t>
      </w:r>
    </w:p>
    <w:p w:rsidR="0086090F" w:rsidRDefault="0086090F" w:rsidP="0086090F">
      <w:pPr>
        <w:pStyle w:val="Prrafodelista"/>
        <w:spacing w:afterLines="120" w:after="288"/>
        <w:ind w:left="567"/>
        <w:contextualSpacing w:val="0"/>
        <w:jc w:val="both"/>
        <w:rPr>
          <w:rFonts w:ascii="ITC Avant Garde" w:hAnsi="ITC Avant Garde"/>
          <w:bCs/>
          <w:color w:val="000000"/>
        </w:rPr>
      </w:pPr>
      <w:r>
        <w:rPr>
          <w:rFonts w:ascii="ITC Avant Garde" w:hAnsi="ITC Avant Garde"/>
          <w:bCs/>
          <w:color w:val="000000"/>
        </w:rPr>
        <w:t xml:space="preserve">El Concesionario deberá explotar las bandas de frecuencias objeto de la Concesión de Espectro Radioeléctrico, para prestar efectivamente servicios de acceso inalámbrico, a más tardar el 1 de abril de 2018. En caso de incumplimiento a lo anterior, se tendrá por terminada la presente Concesión de Espectro Radioeléctrico y las bandas de frecuencias objeto de la misma revertirán a favor de la Nación, sin pago o devolución de cantidad o contraprestación alguna a favor del Concesionario. </w:t>
      </w:r>
    </w:p>
    <w:p w:rsidR="0086090F" w:rsidRDefault="0086090F" w:rsidP="0086090F">
      <w:pPr>
        <w:pStyle w:val="Prrafodelista"/>
        <w:numPr>
          <w:ilvl w:val="0"/>
          <w:numId w:val="33"/>
        </w:numPr>
        <w:spacing w:afterLines="120" w:after="288" w:line="240" w:lineRule="auto"/>
        <w:ind w:left="567" w:hanging="567"/>
        <w:contextualSpacing w:val="0"/>
        <w:jc w:val="both"/>
        <w:rPr>
          <w:rFonts w:ascii="ITC Avant Garde" w:hAnsi="ITC Avant Garde"/>
          <w:bCs/>
          <w:color w:val="000000"/>
        </w:rPr>
      </w:pPr>
      <w:r w:rsidRPr="00CB391B">
        <w:rPr>
          <w:rFonts w:ascii="ITC Avant Garde" w:hAnsi="ITC Avant Garde"/>
          <w:b/>
          <w:bCs/>
          <w:color w:val="000000"/>
        </w:rPr>
        <w:t>Vigencia de la Concesión de Espectro Radioeléctrico</w:t>
      </w:r>
      <w:r w:rsidRPr="00CB391B">
        <w:rPr>
          <w:rFonts w:ascii="ITC Avant Garde" w:hAnsi="ITC Avant Garde"/>
          <w:bCs/>
          <w:color w:val="000000"/>
        </w:rPr>
        <w:t xml:space="preserve">. La presente Concesión de Espectro Radioeléctrico estará vigente desde la fecha de su otorgamiento hasta el 24 de noviembre de 2028 y podrá ser prorrogada conforme a lo dispuesto en la Ley. </w:t>
      </w:r>
    </w:p>
    <w:p w:rsidR="0086090F" w:rsidRDefault="0086090F" w:rsidP="0086090F">
      <w:pPr>
        <w:pStyle w:val="Prrafodelista"/>
        <w:numPr>
          <w:ilvl w:val="0"/>
          <w:numId w:val="33"/>
        </w:numPr>
        <w:spacing w:afterLines="120" w:after="288" w:line="240" w:lineRule="auto"/>
        <w:ind w:left="567" w:hanging="567"/>
        <w:contextualSpacing w:val="0"/>
        <w:jc w:val="both"/>
        <w:rPr>
          <w:rFonts w:ascii="ITC Avant Garde" w:hAnsi="ITC Avant Garde"/>
          <w:bCs/>
          <w:color w:val="000000"/>
        </w:rPr>
      </w:pPr>
      <w:r w:rsidRPr="005F2107">
        <w:rPr>
          <w:rFonts w:ascii="ITC Avant Garde" w:hAnsi="ITC Avant Garde"/>
          <w:b/>
          <w:bCs/>
          <w:color w:val="000000"/>
        </w:rPr>
        <w:t xml:space="preserve">Especificaciones Técnicas. </w:t>
      </w:r>
      <w:r w:rsidRPr="005F2107">
        <w:rPr>
          <w:rFonts w:ascii="ITC Avant Garde" w:hAnsi="ITC Avant Garde"/>
          <w:bCs/>
          <w:color w:val="000000"/>
        </w:rPr>
        <w:t>Las especificaciones técnicas para el uso, aprovechamiento y explotación de las bandas de frecuencias objeto de la Concesión de Espectro Radioeléctrico, deberán sujetarse a lo siguiente:</w:t>
      </w:r>
    </w:p>
    <w:p w:rsidR="0086090F" w:rsidRPr="00BA1AEF" w:rsidRDefault="0086090F" w:rsidP="0086090F">
      <w:pPr>
        <w:pStyle w:val="Textoindependiente"/>
        <w:numPr>
          <w:ilvl w:val="1"/>
          <w:numId w:val="33"/>
        </w:numPr>
        <w:spacing w:afterLines="120" w:after="288"/>
        <w:ind w:left="1134" w:hanging="567"/>
        <w:rPr>
          <w:rFonts w:ascii="ITC Avant Garde" w:hAnsi="ITC Avant Garde"/>
          <w:sz w:val="22"/>
          <w:szCs w:val="22"/>
        </w:rPr>
      </w:pPr>
      <w:r w:rsidRPr="00BA1AEF">
        <w:rPr>
          <w:rFonts w:ascii="ITC Avant Garde" w:hAnsi="ITC Avant Garde"/>
          <w:b/>
          <w:sz w:val="22"/>
          <w:szCs w:val="22"/>
        </w:rPr>
        <w:t xml:space="preserve">Esquema de segmentación. </w:t>
      </w:r>
      <w:r w:rsidRPr="00BA1AEF">
        <w:rPr>
          <w:rFonts w:ascii="ITC Avant Garde" w:hAnsi="ITC Avant Garde"/>
          <w:sz w:val="22"/>
          <w:szCs w:val="22"/>
        </w:rPr>
        <w:t xml:space="preserve">Para la utilización de las bandas de frecuencia del espectro radioeléctrico, el Concesionario deberá observar lo establecido en el “Acuerdo mediante el cual el Pleno del Instituto Federal de </w:t>
      </w:r>
      <w:r w:rsidRPr="00BA1AEF">
        <w:rPr>
          <w:rFonts w:ascii="ITC Avant Garde" w:hAnsi="ITC Avant Garde"/>
          <w:sz w:val="22"/>
          <w:szCs w:val="22"/>
        </w:rPr>
        <w:lastRenderedPageBreak/>
        <w:t>Telecomunicaciones adopta el esquema de segmentación C1 para la banda de frecuencias 2500-2690 MHz, conforme a la recomendación UIT-R M.1036 para su utilización en servicios de acceso inalámbrico de banda ancha”.</w:t>
      </w:r>
    </w:p>
    <w:p w:rsidR="0086090F" w:rsidRDefault="0086090F" w:rsidP="0086090F">
      <w:pPr>
        <w:pStyle w:val="Prrafodelista"/>
        <w:numPr>
          <w:ilvl w:val="1"/>
          <w:numId w:val="33"/>
        </w:numPr>
        <w:spacing w:afterLines="120" w:after="288" w:line="240" w:lineRule="auto"/>
        <w:ind w:left="1134" w:hanging="567"/>
        <w:contextualSpacing w:val="0"/>
        <w:jc w:val="both"/>
        <w:rPr>
          <w:rFonts w:ascii="ITC Avant Garde" w:hAnsi="ITC Avant Garde"/>
        </w:rPr>
      </w:pPr>
      <w:r w:rsidRPr="00BA1AEF">
        <w:rPr>
          <w:rFonts w:ascii="ITC Avant Garde" w:hAnsi="ITC Avant Garde"/>
          <w:b/>
        </w:rPr>
        <w:t>Especificaciones del proyecto y resultados</w:t>
      </w:r>
      <w:r w:rsidRPr="00724C4F">
        <w:rPr>
          <w:rFonts w:ascii="ITC Avant Garde" w:hAnsi="ITC Avant Garde"/>
          <w:b/>
        </w:rPr>
        <w:t>.</w:t>
      </w:r>
      <w:r w:rsidRPr="00724C4F">
        <w:t xml:space="preserve"> </w:t>
      </w:r>
      <w:r w:rsidRPr="00724C4F">
        <w:rPr>
          <w:rFonts w:ascii="ITC Avant Garde" w:hAnsi="ITC Avant Garde"/>
        </w:rPr>
        <w:t xml:space="preserve">A partir del día siguiente a aquel en que el Instituto notifique al Concesionario la Concesión de Espectro Radioeléctrico, éste tendrá 90 </w:t>
      </w:r>
      <w:r>
        <w:rPr>
          <w:rFonts w:ascii="ITC Avant Garde" w:hAnsi="ITC Avant Garde"/>
        </w:rPr>
        <w:t xml:space="preserve">(noventa) </w:t>
      </w:r>
      <w:r w:rsidRPr="00724C4F">
        <w:rPr>
          <w:rFonts w:ascii="ITC Avant Garde" w:hAnsi="ITC Avant Garde"/>
        </w:rPr>
        <w:t>días naturales para entregar información detallada del proyecto técnico mediante</w:t>
      </w:r>
      <w:r w:rsidRPr="00BA1AEF">
        <w:rPr>
          <w:rFonts w:ascii="ITC Avant Garde" w:hAnsi="ITC Avant Garde"/>
        </w:rPr>
        <w:t xml:space="preserve"> el cual prestará </w:t>
      </w:r>
      <w:r>
        <w:rPr>
          <w:rFonts w:ascii="ITC Avant Garde" w:hAnsi="ITC Avant Garde"/>
        </w:rPr>
        <w:t>el servicio objeto de la Concesión de Espectro Radioeléctrico</w:t>
      </w:r>
      <w:r w:rsidRPr="00BA1AEF">
        <w:rPr>
          <w:rFonts w:ascii="ITC Avant Garde" w:hAnsi="ITC Avant Garde"/>
        </w:rPr>
        <w:t xml:space="preserve">, en el formato electrónico *.csv o *.xlsx, los cuales serán editables. </w:t>
      </w:r>
      <w:r w:rsidRPr="00724C4F">
        <w:rPr>
          <w:rFonts w:ascii="ITC Avant Garde" w:hAnsi="ITC Avant Garde"/>
        </w:rPr>
        <w:t>Posteriormente, dicha información deberá ser entregada al Instituto dentro del primer trimestre de cada año calendario durante la vigencia de la Concesión de Espectro Radioeléctrico. Dicha información deberá contener al menos los siguientes datos:</w:t>
      </w:r>
    </w:p>
    <w:p w:rsidR="0086090F" w:rsidRPr="00BA1AEF" w:rsidRDefault="0086090F" w:rsidP="0086090F">
      <w:pPr>
        <w:pStyle w:val="Prrafodelista"/>
        <w:numPr>
          <w:ilvl w:val="1"/>
          <w:numId w:val="3"/>
        </w:numPr>
        <w:spacing w:afterLines="50" w:after="12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Coordenadas geográficas con DATUM ITRF2008 o WGS84 del punto de transmisión de cada estación en formato de grados, minutos y segundos con precisión de al menos un décimo de segundo (GG°MM’SS.S” N, GGG°MM’SS.S” O).</w:t>
      </w:r>
    </w:p>
    <w:p w:rsidR="0086090F" w:rsidRPr="00BA1AEF" w:rsidRDefault="0086090F" w:rsidP="0086090F">
      <w:pPr>
        <w:pStyle w:val="Prrafodelista"/>
        <w:numPr>
          <w:ilvl w:val="1"/>
          <w:numId w:val="3"/>
        </w:numPr>
        <w:spacing w:afterLines="50" w:after="12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Altura sobre nivel de terreno del centro eléctrico de radiación de cada antena transmisora.</w:t>
      </w:r>
    </w:p>
    <w:p w:rsidR="0086090F" w:rsidRPr="00BA1AEF" w:rsidRDefault="0086090F" w:rsidP="0086090F">
      <w:pPr>
        <w:pStyle w:val="Prrafodelista"/>
        <w:numPr>
          <w:ilvl w:val="1"/>
          <w:numId w:val="3"/>
        </w:numPr>
        <w:spacing w:afterLines="50" w:after="12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Potencia Isotrópica Radiada Efectiva (PIRE) de cada estación transmisora.</w:t>
      </w:r>
    </w:p>
    <w:p w:rsidR="0086090F" w:rsidRPr="00BA1AEF" w:rsidRDefault="0086090F" w:rsidP="0086090F">
      <w:pPr>
        <w:pStyle w:val="Prrafodelista"/>
        <w:numPr>
          <w:ilvl w:val="1"/>
          <w:numId w:val="3"/>
        </w:numPr>
        <w:spacing w:afterLines="120" w:after="288"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Plan de frecuencias de operación, en el cual se detalle la cantidad de espectro configurado en cada una de las radio bases de su red, el segmento de frecuencias específico, así como la tecnología utilizada en la interfaz aire.</w:t>
      </w:r>
    </w:p>
    <w:p w:rsidR="0086090F" w:rsidRDefault="0086090F" w:rsidP="0086090F">
      <w:pPr>
        <w:pStyle w:val="Prrafodelista"/>
        <w:spacing w:afterLines="120" w:after="288"/>
        <w:ind w:left="1134"/>
        <w:contextualSpacing w:val="0"/>
        <w:jc w:val="both"/>
        <w:rPr>
          <w:rFonts w:ascii="ITC Avant Garde" w:hAnsi="ITC Avant Garde"/>
        </w:rPr>
      </w:pPr>
      <w:r w:rsidRPr="00BA1AEF">
        <w:rPr>
          <w:rFonts w:ascii="ITC Avant Garde" w:hAnsi="ITC Avant Garde"/>
        </w:rPr>
        <w:t>Además deberá entregar los mapas de cobertura de la red en archivos formato *.shp o *.tab, en donde se especifique el área de servicio que pretenda cubrir por rangos de intensidad de campo recibida.</w:t>
      </w:r>
    </w:p>
    <w:p w:rsidR="0086090F" w:rsidRPr="00BA1AEF" w:rsidRDefault="0086090F" w:rsidP="0086090F">
      <w:pPr>
        <w:pStyle w:val="Prrafodelista"/>
        <w:spacing w:afterLines="120" w:after="288"/>
        <w:ind w:left="1134"/>
        <w:contextualSpacing w:val="0"/>
        <w:jc w:val="both"/>
        <w:rPr>
          <w:rFonts w:ascii="ITC Avant Garde" w:hAnsi="ITC Avant Garde"/>
        </w:rPr>
      </w:pPr>
      <w:r w:rsidRPr="00BA1AEF">
        <w:rPr>
          <w:rFonts w:ascii="ITC Avant Garde" w:hAnsi="ITC Avant Garde"/>
        </w:rPr>
        <w:t>Lo anterior, sin menoscabo de la información que el Instituto, en el ejercicio de sus fac</w:t>
      </w:r>
      <w:r>
        <w:rPr>
          <w:rFonts w:ascii="ITC Avant Garde" w:hAnsi="ITC Avant Garde"/>
        </w:rPr>
        <w:t>ultades, pudiera requerirle al C</w:t>
      </w:r>
      <w:r w:rsidRPr="00BA1AEF">
        <w:rPr>
          <w:rFonts w:ascii="ITC Avant Garde" w:hAnsi="ITC Avant Garde"/>
        </w:rPr>
        <w:t xml:space="preserve">oncesionario a fin de garantizar que la prestación de los servicios se realice con apego a la Ley y a las disposiciones legales, reglamentarias y administrativas aplicables. </w:t>
      </w:r>
    </w:p>
    <w:p w:rsidR="0086090F" w:rsidRDefault="0086090F" w:rsidP="0086090F">
      <w:pPr>
        <w:pStyle w:val="Prrafodelista"/>
        <w:numPr>
          <w:ilvl w:val="1"/>
          <w:numId w:val="33"/>
        </w:numPr>
        <w:spacing w:afterLines="120" w:after="288" w:line="240" w:lineRule="auto"/>
        <w:ind w:left="1134" w:hanging="567"/>
        <w:contextualSpacing w:val="0"/>
        <w:jc w:val="both"/>
        <w:rPr>
          <w:rFonts w:ascii="ITC Avant Garde" w:hAnsi="ITC Avant Garde"/>
        </w:rPr>
      </w:pPr>
      <w:r w:rsidRPr="00BA1AEF">
        <w:rPr>
          <w:rFonts w:ascii="ITC Avant Garde" w:hAnsi="ITC Avant Garde"/>
          <w:b/>
        </w:rPr>
        <w:t>Homologación de equipos.</w:t>
      </w:r>
      <w:r w:rsidRPr="00BA1AEF">
        <w:rPr>
          <w:rFonts w:ascii="ITC Avant Garde" w:hAnsi="ITC Avant Garde"/>
        </w:rPr>
        <w:t xml:space="preserve"> Conforme a lo establecido en el artículo 289 de la Ley, todo producto, equipo, dispositivo o aparato que use, aproveche o explote las band</w:t>
      </w:r>
      <w:r>
        <w:rPr>
          <w:rFonts w:ascii="ITC Avant Garde" w:hAnsi="ITC Avant Garde"/>
        </w:rPr>
        <w:t>as de frecuencias objeto de la C</w:t>
      </w:r>
      <w:r w:rsidRPr="00BA1AEF">
        <w:rPr>
          <w:rFonts w:ascii="ITC Avant Garde" w:hAnsi="ITC Avant Garde"/>
        </w:rPr>
        <w:t xml:space="preserve">oncesión </w:t>
      </w:r>
      <w:r>
        <w:rPr>
          <w:rFonts w:ascii="ITC Avant Garde" w:hAnsi="ITC Avant Garde"/>
        </w:rPr>
        <w:t xml:space="preserve">de Espectro Radioeléctrico </w:t>
      </w:r>
      <w:r w:rsidRPr="00BA1AEF">
        <w:rPr>
          <w:rFonts w:ascii="ITC Avant Garde" w:hAnsi="ITC Avant Garde"/>
        </w:rPr>
        <w:t xml:space="preserve">deberá estar homologado previamente a su instalación y </w:t>
      </w:r>
      <w:r w:rsidRPr="00FE1907">
        <w:rPr>
          <w:rFonts w:ascii="ITC Avant Garde" w:hAnsi="ITC Avant Garde"/>
        </w:rPr>
        <w:t>operación.</w:t>
      </w:r>
    </w:p>
    <w:p w:rsidR="0086090F" w:rsidRPr="002C4900" w:rsidRDefault="0086090F" w:rsidP="0086090F">
      <w:pPr>
        <w:pStyle w:val="Prrafodelista"/>
        <w:numPr>
          <w:ilvl w:val="1"/>
          <w:numId w:val="33"/>
        </w:numPr>
        <w:spacing w:afterLines="120" w:after="288" w:line="240" w:lineRule="auto"/>
        <w:ind w:left="1134" w:hanging="567"/>
        <w:contextualSpacing w:val="0"/>
        <w:jc w:val="both"/>
        <w:rPr>
          <w:rFonts w:ascii="ITC Avant Garde" w:hAnsi="ITC Avant Garde"/>
        </w:rPr>
      </w:pPr>
      <w:r w:rsidRPr="00FE1907">
        <w:rPr>
          <w:rFonts w:ascii="ITC Avant Garde" w:hAnsi="ITC Avant Garde"/>
          <w:b/>
        </w:rPr>
        <w:t>Interferencias perjudiciales.</w:t>
      </w:r>
      <w:r w:rsidRPr="002C4900">
        <w:rPr>
          <w:rFonts w:ascii="ITC Avant Garde" w:hAnsi="ITC Avant Garde"/>
          <w:b/>
        </w:rPr>
        <w:t xml:space="preserve"> </w:t>
      </w:r>
      <w:r w:rsidRPr="002C4900">
        <w:rPr>
          <w:rFonts w:ascii="ITC Avant Garde" w:hAnsi="ITC Avant Garde"/>
        </w:rPr>
        <w:t xml:space="preserve">En caso de que se susciten problemas de interferencias perjudiciales a servicios autorizados operando en la misma </w:t>
      </w:r>
      <w:r w:rsidRPr="002C4900">
        <w:rPr>
          <w:rFonts w:ascii="ITC Avant Garde" w:hAnsi="ITC Avant Garde"/>
        </w:rPr>
        <w:lastRenderedPageBreak/>
        <w:t xml:space="preserve">banda o en bandas adyacentes, el Concesionario deberá sujetarse a los procedimientos de coordinación técnica a que haya lugar a fin de garantizar la correcta operación de los sistemas existentes en la zona. Por lo anterior, cuando el Concesionario </w:t>
      </w:r>
      <w:r>
        <w:rPr>
          <w:rFonts w:ascii="ITC Avant Garde" w:hAnsi="ITC Avant Garde"/>
        </w:rPr>
        <w:t xml:space="preserve">interfiera o </w:t>
      </w:r>
      <w:r w:rsidRPr="002C4900">
        <w:rPr>
          <w:rFonts w:ascii="ITC Avant Garde" w:hAnsi="ITC Avant Garde"/>
        </w:rPr>
        <w:t>detecte interferencias perjudiciales por parte de otro(s) concesionario(s)</w:t>
      </w:r>
      <w:r>
        <w:rPr>
          <w:rFonts w:ascii="ITC Avant Garde" w:hAnsi="ITC Avant Garde"/>
        </w:rPr>
        <w:t xml:space="preserve"> y autorizado(s)</w:t>
      </w:r>
      <w:r w:rsidRPr="002C4900">
        <w:rPr>
          <w:rFonts w:ascii="ITC Avant Garde" w:hAnsi="ITC Avant Garde"/>
        </w:rPr>
        <w:t xml:space="preserve"> operando en la misma </w:t>
      </w:r>
      <w:r>
        <w:rPr>
          <w:rFonts w:ascii="ITC Avant Garde" w:hAnsi="ITC Avant Garde"/>
        </w:rPr>
        <w:t>banda o en bandas adyacentes</w:t>
      </w:r>
      <w:r w:rsidRPr="002C4900">
        <w:rPr>
          <w:rFonts w:ascii="ITC Avant Garde" w:hAnsi="ITC Avant Garde"/>
        </w:rPr>
        <w:t xml:space="preserve">, </w:t>
      </w:r>
      <w:r>
        <w:rPr>
          <w:rFonts w:ascii="ITC Avant Garde" w:hAnsi="ITC Avant Garde"/>
        </w:rPr>
        <w:t>los afectados deberán sujetarse a los procedimientos de coordinación técnica a que haya lugar a fin de resolver problemas de interferencias perjudiciales</w:t>
      </w:r>
      <w:r w:rsidRPr="002C4900">
        <w:rPr>
          <w:rFonts w:ascii="ITC Avant Garde" w:hAnsi="ITC Avant Garde"/>
        </w:rPr>
        <w:t>.</w:t>
      </w:r>
    </w:p>
    <w:p w:rsidR="0086090F" w:rsidRPr="002C4900" w:rsidRDefault="0086090F" w:rsidP="0086090F">
      <w:pPr>
        <w:pStyle w:val="Prrafodelista"/>
        <w:numPr>
          <w:ilvl w:val="1"/>
          <w:numId w:val="33"/>
        </w:numPr>
        <w:spacing w:afterLines="120" w:after="288" w:line="240" w:lineRule="auto"/>
        <w:ind w:left="1134" w:hanging="567"/>
        <w:contextualSpacing w:val="0"/>
        <w:jc w:val="both"/>
        <w:rPr>
          <w:rFonts w:ascii="ITC Avant Garde" w:hAnsi="ITC Avant Garde"/>
        </w:rPr>
      </w:pPr>
      <w:r w:rsidRPr="002C4900">
        <w:rPr>
          <w:rFonts w:ascii="ITC Avant Garde" w:hAnsi="ITC Avant Garde"/>
          <w:b/>
        </w:rPr>
        <w:t>Servicios a título secundario.</w:t>
      </w:r>
      <w:r w:rsidRPr="002C4900">
        <w:rPr>
          <w:rFonts w:ascii="ITC Avant Garde" w:hAnsi="ITC Avant Garde"/>
        </w:rPr>
        <w:t xml:space="preserve"> El Instituto se reserva el derecho de otorgar otras concesiones para el uso, aprovechamiento y explotación de las bandas de frecuencias objeto de la presente Concesión de Espectro Radioeléctrico, o porciones de las mismas, a título secundario. En tal caso, el uso de las bandas materia de esta Concesión de Espectro Radioeléctrico contarán con protección contra interferencias perjudiciales.</w:t>
      </w:r>
    </w:p>
    <w:p w:rsidR="0086090F" w:rsidRDefault="0086090F" w:rsidP="0086090F">
      <w:pPr>
        <w:pStyle w:val="Prrafodelista"/>
        <w:numPr>
          <w:ilvl w:val="1"/>
          <w:numId w:val="33"/>
        </w:numPr>
        <w:spacing w:afterLines="120" w:after="288" w:line="240" w:lineRule="auto"/>
        <w:ind w:left="1134" w:hanging="567"/>
        <w:contextualSpacing w:val="0"/>
        <w:jc w:val="both"/>
        <w:rPr>
          <w:rFonts w:ascii="ITC Avant Garde" w:hAnsi="ITC Avant Garde"/>
        </w:rPr>
      </w:pPr>
      <w:r w:rsidRPr="001B538F">
        <w:rPr>
          <w:rFonts w:ascii="ITC Avant Garde" w:hAnsi="ITC Avant Garde"/>
          <w:b/>
        </w:rPr>
        <w:t>Radiaciones electromagnéticas.</w:t>
      </w:r>
      <w:r w:rsidRPr="001B538F">
        <w:rPr>
          <w:rFonts w:ascii="ITC Avant Garde" w:hAnsi="ITC Avant Garde"/>
        </w:rPr>
        <w:t xml:space="preserve"> El Concesionario deberá observar las medidas de operación para el cumplimiento de los límites de exposición máxima para seres humanos a radiaciones electromagnéticas de radiofrecuencia no ionizantes en el entorno de emisores de radiocomunicaciones que el Instituto determine conforme a las disposiciones aplicables.</w:t>
      </w:r>
    </w:p>
    <w:p w:rsidR="0086090F" w:rsidRDefault="0086090F" w:rsidP="0086090F">
      <w:pPr>
        <w:pStyle w:val="Prrafodelista"/>
        <w:numPr>
          <w:ilvl w:val="0"/>
          <w:numId w:val="33"/>
        </w:numPr>
        <w:spacing w:afterLines="120" w:after="288" w:line="240" w:lineRule="auto"/>
        <w:ind w:left="567" w:hanging="567"/>
        <w:contextualSpacing w:val="0"/>
        <w:jc w:val="both"/>
        <w:rPr>
          <w:rFonts w:ascii="ITC Avant Garde" w:hAnsi="ITC Avant Garde"/>
          <w:b/>
          <w:bCs/>
          <w:color w:val="000000"/>
        </w:rPr>
      </w:pPr>
      <w:r w:rsidRPr="00D96C48">
        <w:rPr>
          <w:rFonts w:ascii="ITC Avant Garde" w:hAnsi="ITC Avant Garde"/>
          <w:b/>
          <w:bCs/>
          <w:color w:val="000000"/>
        </w:rPr>
        <w:t xml:space="preserve">Poderes. </w:t>
      </w:r>
      <w:r w:rsidRPr="00D96C48">
        <w:rPr>
          <w:rFonts w:ascii="ITC Avant Garde" w:hAnsi="ITC Avant Garde"/>
          <w:bCs/>
          <w:color w:val="000000"/>
        </w:rPr>
        <w:t>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86090F" w:rsidRDefault="0086090F" w:rsidP="0086090F">
      <w:pPr>
        <w:numPr>
          <w:ilvl w:val="0"/>
          <w:numId w:val="33"/>
        </w:numPr>
        <w:tabs>
          <w:tab w:val="center" w:pos="567"/>
        </w:tabs>
        <w:spacing w:afterLines="120" w:after="288" w:line="240" w:lineRule="auto"/>
        <w:ind w:left="567" w:hanging="567"/>
        <w:jc w:val="both"/>
        <w:rPr>
          <w:rFonts w:ascii="ITC Avant Garde" w:hAnsi="ITC Avant Garde"/>
          <w:bCs/>
          <w:color w:val="000000"/>
        </w:rPr>
      </w:pPr>
      <w:r w:rsidRPr="005F2107">
        <w:rPr>
          <w:rFonts w:ascii="ITC Avant Garde" w:hAnsi="ITC Avant Garde"/>
          <w:b/>
          <w:bCs/>
          <w:color w:val="000000"/>
        </w:rPr>
        <w:t>Gravámenes.</w:t>
      </w:r>
      <w:r w:rsidRPr="005F2107">
        <w:rPr>
          <w:rFonts w:ascii="ITC Avant Garde" w:hAnsi="ITC Avant Garde"/>
          <w:bCs/>
          <w:color w:val="000000"/>
        </w:rPr>
        <w:t xml:space="preserve">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86090F" w:rsidRDefault="0086090F" w:rsidP="0086090F">
      <w:pPr>
        <w:tabs>
          <w:tab w:val="center" w:pos="426"/>
        </w:tabs>
        <w:spacing w:afterLines="120" w:after="288" w:line="240" w:lineRule="auto"/>
        <w:ind w:left="567"/>
        <w:jc w:val="both"/>
        <w:rPr>
          <w:rFonts w:ascii="ITC Avant Garde" w:hAnsi="ITC Avant Garde"/>
          <w:bCs/>
          <w:color w:val="000000"/>
        </w:rPr>
      </w:pPr>
      <w:r w:rsidRPr="005F2107">
        <w:rPr>
          <w:rFonts w:ascii="ITC Avant Garde" w:hAnsi="ITC Avant Garde"/>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86090F" w:rsidRDefault="0086090F" w:rsidP="0086090F">
      <w:pPr>
        <w:tabs>
          <w:tab w:val="center" w:pos="0"/>
        </w:tabs>
        <w:spacing w:afterLines="120" w:after="288" w:line="240" w:lineRule="auto"/>
        <w:jc w:val="center"/>
        <w:rPr>
          <w:rFonts w:ascii="ITC Avant Garde" w:hAnsi="ITC Avant Garde"/>
          <w:b/>
          <w:bCs/>
          <w:color w:val="000000"/>
        </w:rPr>
      </w:pPr>
      <w:r w:rsidRPr="005F2107">
        <w:rPr>
          <w:rFonts w:ascii="ITC Avant Garde" w:hAnsi="ITC Avant Garde"/>
          <w:b/>
          <w:bCs/>
          <w:color w:val="000000"/>
        </w:rPr>
        <w:t>Derechos y Obligaciones</w:t>
      </w:r>
    </w:p>
    <w:p w:rsidR="0086090F" w:rsidRDefault="0086090F" w:rsidP="0086090F">
      <w:pPr>
        <w:pStyle w:val="estilo30"/>
        <w:numPr>
          <w:ilvl w:val="0"/>
          <w:numId w:val="33"/>
        </w:numPr>
        <w:spacing w:before="0" w:beforeAutospacing="0" w:afterLines="120" w:after="288" w:afterAutospacing="0"/>
        <w:ind w:left="567" w:hanging="567"/>
        <w:jc w:val="both"/>
        <w:rPr>
          <w:rFonts w:ascii="ITC Avant Garde" w:hAnsi="ITC Avant Garde"/>
          <w:sz w:val="22"/>
          <w:szCs w:val="22"/>
        </w:rPr>
      </w:pPr>
      <w:r w:rsidRPr="005F2107">
        <w:rPr>
          <w:rFonts w:ascii="ITC Avant Garde" w:hAnsi="ITC Avant Garde"/>
          <w:b/>
          <w:sz w:val="22"/>
          <w:szCs w:val="22"/>
        </w:rPr>
        <w:lastRenderedPageBreak/>
        <w:t xml:space="preserve">Programas y compromisos de inversión, calidad, de cobertura geográfica, poblacional o social, de conectividad en sitios públicos y de contribución a la cobertura universal. </w:t>
      </w:r>
      <w:r w:rsidRPr="005F2107">
        <w:rPr>
          <w:rFonts w:ascii="ITC Avant Garde" w:hAnsi="ITC Avant Garde"/>
          <w:sz w:val="22"/>
          <w:szCs w:val="22"/>
        </w:rPr>
        <w:t>El Concesionario deberá cumplir con los siguientes:</w:t>
      </w:r>
    </w:p>
    <w:p w:rsidR="0086090F" w:rsidRDefault="0086090F" w:rsidP="0086090F">
      <w:pPr>
        <w:pStyle w:val="estilo30"/>
        <w:numPr>
          <w:ilvl w:val="1"/>
          <w:numId w:val="34"/>
        </w:numPr>
        <w:spacing w:before="0" w:beforeAutospacing="0" w:afterLines="120" w:after="288" w:afterAutospacing="0"/>
        <w:ind w:left="1134" w:hanging="567"/>
        <w:jc w:val="both"/>
        <w:rPr>
          <w:rFonts w:ascii="ITC Avant Garde" w:hAnsi="ITC Avant Garde"/>
          <w:sz w:val="22"/>
          <w:szCs w:val="22"/>
        </w:rPr>
      </w:pPr>
      <w:r w:rsidRPr="005F2107">
        <w:rPr>
          <w:rFonts w:ascii="ITC Avant Garde" w:hAnsi="ITC Avant Garde"/>
          <w:b/>
          <w:sz w:val="22"/>
          <w:szCs w:val="22"/>
        </w:rPr>
        <w:t>Programas de cobertura social, poblacional, conectividad en sitios públicos y contribución a la cobertura universal.</w:t>
      </w:r>
      <w:r w:rsidRPr="005F2107">
        <w:rPr>
          <w:rFonts w:ascii="ITC Avant Garde" w:hAnsi="ITC Avant Garde"/>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w:t>
      </w:r>
      <w:r>
        <w:rPr>
          <w:rFonts w:ascii="ITC Avant Garde" w:hAnsi="ITC Avant Garde"/>
          <w:sz w:val="22"/>
          <w:szCs w:val="22"/>
        </w:rPr>
        <w:t xml:space="preserve"> </w:t>
      </w:r>
    </w:p>
    <w:p w:rsidR="0086090F" w:rsidRDefault="0086090F" w:rsidP="0086090F">
      <w:pPr>
        <w:pStyle w:val="estilo30"/>
        <w:numPr>
          <w:ilvl w:val="1"/>
          <w:numId w:val="34"/>
        </w:numPr>
        <w:spacing w:before="0" w:beforeAutospacing="0" w:afterLines="120" w:after="288" w:afterAutospacing="0"/>
        <w:ind w:left="1134" w:hanging="567"/>
        <w:jc w:val="both"/>
        <w:rPr>
          <w:rFonts w:ascii="ITC Avant Garde" w:hAnsi="ITC Avant Garde"/>
          <w:sz w:val="22"/>
          <w:szCs w:val="22"/>
        </w:rPr>
      </w:pPr>
      <w:r w:rsidRPr="005F2107">
        <w:rPr>
          <w:rFonts w:ascii="ITC Avant Garde" w:hAnsi="ITC Avant Garde"/>
          <w:b/>
          <w:sz w:val="22"/>
          <w:szCs w:val="22"/>
        </w:rPr>
        <w:t xml:space="preserve">Compromisos de Inversión. </w:t>
      </w:r>
      <w:r w:rsidRPr="005F2107">
        <w:rPr>
          <w:rFonts w:ascii="ITC Avant Garde" w:hAnsi="ITC Avant Garde"/>
          <w:sz w:val="22"/>
          <w:szCs w:val="22"/>
        </w:rPr>
        <w:t xml:space="preserve">El Concesionario se compromete a realizar todas las inversiones necesarias para que los servicios públicos de telecomunicaciones </w:t>
      </w:r>
      <w:r>
        <w:rPr>
          <w:rFonts w:ascii="ITC Avant Garde" w:hAnsi="ITC Avant Garde"/>
          <w:sz w:val="22"/>
          <w:szCs w:val="22"/>
        </w:rPr>
        <w:t xml:space="preserve">que se provean al amparo del presente título, </w:t>
      </w:r>
      <w:r w:rsidRPr="005F2107">
        <w:rPr>
          <w:rFonts w:ascii="ITC Avant Garde" w:hAnsi="ITC Avant Garde"/>
          <w:sz w:val="22"/>
          <w:szCs w:val="22"/>
        </w:rPr>
        <w:t>se presten de manera continua, eficiente y con calidad.</w:t>
      </w:r>
    </w:p>
    <w:p w:rsidR="0086090F" w:rsidRDefault="0086090F" w:rsidP="0086090F">
      <w:pPr>
        <w:pStyle w:val="estilo30"/>
        <w:numPr>
          <w:ilvl w:val="1"/>
          <w:numId w:val="34"/>
        </w:numPr>
        <w:spacing w:before="0" w:beforeAutospacing="0" w:afterLines="120" w:after="288" w:afterAutospacing="0"/>
        <w:ind w:left="1134" w:hanging="567"/>
        <w:jc w:val="both"/>
        <w:rPr>
          <w:rFonts w:ascii="ITC Avant Garde" w:hAnsi="ITC Avant Garde"/>
          <w:sz w:val="22"/>
          <w:szCs w:val="22"/>
        </w:rPr>
      </w:pPr>
      <w:r w:rsidRPr="005F2107">
        <w:rPr>
          <w:rFonts w:ascii="ITC Avant Garde" w:hAnsi="ITC Avant Garde"/>
          <w:b/>
          <w:sz w:val="22"/>
          <w:szCs w:val="22"/>
        </w:rPr>
        <w:t>Compromisos de Calidad.</w:t>
      </w:r>
      <w:r w:rsidRPr="005F2107">
        <w:rPr>
          <w:rFonts w:ascii="ITC Avant Garde" w:hAnsi="ITC Avant Garde"/>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p>
    <w:p w:rsidR="0086090F" w:rsidRDefault="0086090F" w:rsidP="0086090F">
      <w:pPr>
        <w:numPr>
          <w:ilvl w:val="0"/>
          <w:numId w:val="33"/>
        </w:numPr>
        <w:tabs>
          <w:tab w:val="left" w:pos="709"/>
        </w:tabs>
        <w:spacing w:afterLines="120" w:after="288" w:line="240" w:lineRule="auto"/>
        <w:ind w:left="567" w:hanging="567"/>
        <w:jc w:val="both"/>
        <w:rPr>
          <w:rFonts w:ascii="ITC Avant Garde" w:hAnsi="ITC Avant Garde"/>
          <w:b/>
        </w:rPr>
      </w:pPr>
      <w:r w:rsidRPr="005F2107">
        <w:rPr>
          <w:rFonts w:ascii="ITC Avant Garde" w:hAnsi="ITC Avant Garde"/>
          <w:b/>
        </w:rPr>
        <w:t>Modificaciones Técnicas.</w:t>
      </w:r>
      <w:r w:rsidRPr="005F2107">
        <w:rPr>
          <w:rFonts w:ascii="ITC Avant Garde" w:hAnsi="ITC Avant Garde"/>
        </w:rPr>
        <w:t xml:space="preserve"> </w:t>
      </w:r>
      <w:r w:rsidRPr="005F2107">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telecomunicaciones o radiodifusión, las cuales podrán versar sobre el uso de una banda de frecuencias; la banda en que actualmente se proveen los servicios de telecomunicaciones o en una diferente; la Cobertura Geográfica que deberá cubrir el Concesionario; la potencia; los horarios de operación, o cualquier otra que determine el Instituto.</w:t>
      </w:r>
    </w:p>
    <w:p w:rsidR="0086090F" w:rsidRPr="0095235A" w:rsidRDefault="0086090F" w:rsidP="0086090F">
      <w:pPr>
        <w:numPr>
          <w:ilvl w:val="0"/>
          <w:numId w:val="33"/>
        </w:numPr>
        <w:spacing w:afterLines="120" w:after="288" w:line="240" w:lineRule="auto"/>
        <w:ind w:left="567" w:hanging="567"/>
        <w:jc w:val="both"/>
        <w:rPr>
          <w:rFonts w:ascii="ITC Avant Garde" w:hAnsi="ITC Avant Garde"/>
          <w:b/>
        </w:rPr>
      </w:pPr>
      <w:r w:rsidRPr="0095235A">
        <w:rPr>
          <w:rFonts w:ascii="ITC Avant Garde" w:hAnsi="ITC Avant Garde"/>
          <w:b/>
        </w:rPr>
        <w:t xml:space="preserve">Contraprestación. </w:t>
      </w:r>
      <w:r w:rsidRPr="0095235A">
        <w:rPr>
          <w:rFonts w:ascii="ITC Avant Garde" w:hAnsi="ITC Avant Garde"/>
        </w:rPr>
        <w:t xml:space="preserve">En cumplimiento a lo dispuesto en la Ley y en las disposiciones administrativas aplicables, el </w:t>
      </w:r>
      <w:r w:rsidRPr="00A30BC2">
        <w:rPr>
          <w:rFonts w:ascii="ITC Avant Garde" w:hAnsi="ITC Avant Garde"/>
          <w:b/>
          <w:color w:val="00B0F0"/>
        </w:rPr>
        <w:t>(…)</w:t>
      </w:r>
      <w:r w:rsidRPr="0095235A">
        <w:rPr>
          <w:rFonts w:ascii="ITC Avant Garde" w:hAnsi="ITC Avant Garde"/>
        </w:rPr>
        <w:t xml:space="preserve"> de </w:t>
      </w:r>
      <w:r w:rsidRPr="00A30BC2">
        <w:rPr>
          <w:rFonts w:ascii="ITC Avant Garde" w:hAnsi="ITC Avant Garde"/>
          <w:b/>
          <w:color w:val="00B0F0"/>
        </w:rPr>
        <w:t>(…)</w:t>
      </w:r>
      <w:r w:rsidRPr="0095235A">
        <w:rPr>
          <w:rFonts w:ascii="ITC Avant Garde" w:hAnsi="ITC Avant Garde"/>
        </w:rPr>
        <w:t xml:space="preserve"> 2017, el Concesionario enteró a la Tesorería de la Federación la cantidad de </w:t>
      </w:r>
      <w:r w:rsidRPr="0095235A">
        <w:rPr>
          <w:rFonts w:ascii="ITC Avant Garde" w:hAnsi="ITC Avant Garde"/>
          <w:bCs/>
          <w:color w:val="000000"/>
          <w:lang w:eastAsia="es-MX"/>
        </w:rPr>
        <w:t>$</w:t>
      </w:r>
      <w:r w:rsidRPr="00A30BC2">
        <w:rPr>
          <w:rFonts w:ascii="ITC Avant Garde" w:hAnsi="ITC Avant Garde"/>
          <w:b/>
          <w:color w:val="00B0F0"/>
        </w:rPr>
        <w:t>(…)</w:t>
      </w:r>
      <w:r w:rsidRPr="0095235A">
        <w:rPr>
          <w:rFonts w:ascii="ITC Avant Garde" w:hAnsi="ITC Avant Garde"/>
          <w:bCs/>
          <w:color w:val="000000"/>
          <w:lang w:eastAsia="es-MX"/>
        </w:rPr>
        <w:t>,</w:t>
      </w:r>
      <w:r w:rsidRPr="00A30BC2">
        <w:rPr>
          <w:rFonts w:ascii="ITC Avant Garde" w:hAnsi="ITC Avant Garde"/>
          <w:b/>
          <w:color w:val="00B0F0"/>
        </w:rPr>
        <w:t>(…)</w:t>
      </w:r>
      <w:r w:rsidRPr="0095235A">
        <w:rPr>
          <w:rFonts w:ascii="ITC Avant Garde" w:hAnsi="ITC Avant Garde"/>
          <w:bCs/>
          <w:color w:val="000000"/>
          <w:lang w:eastAsia="es-MX"/>
        </w:rPr>
        <w:t>,</w:t>
      </w:r>
      <w:r w:rsidRPr="00A30BC2">
        <w:rPr>
          <w:rFonts w:ascii="ITC Avant Garde" w:hAnsi="ITC Avant Garde"/>
          <w:b/>
          <w:color w:val="00B0F0"/>
        </w:rPr>
        <w:t>(…)</w:t>
      </w:r>
      <w:r w:rsidRPr="0095235A">
        <w:rPr>
          <w:rFonts w:ascii="ITC Avant Garde" w:hAnsi="ITC Avant Garde"/>
          <w:bCs/>
          <w:color w:val="000000"/>
          <w:lang w:eastAsia="es-MX"/>
        </w:rPr>
        <w:t>,</w:t>
      </w:r>
      <w:r w:rsidRPr="00A30BC2">
        <w:rPr>
          <w:rFonts w:ascii="ITC Avant Garde" w:hAnsi="ITC Avant Garde"/>
          <w:b/>
          <w:color w:val="00B0F0"/>
        </w:rPr>
        <w:t>(…)</w:t>
      </w:r>
      <w:r w:rsidRPr="0095235A">
        <w:rPr>
          <w:rFonts w:ascii="ITC Avant Garde" w:hAnsi="ITC Avant Garde"/>
          <w:bCs/>
          <w:color w:val="000000"/>
          <w:lang w:eastAsia="es-MX"/>
        </w:rPr>
        <w:t>.00 (</w:t>
      </w:r>
      <w:r w:rsidRPr="00A30BC2">
        <w:rPr>
          <w:rFonts w:ascii="ITC Avant Garde" w:hAnsi="ITC Avant Garde"/>
          <w:b/>
          <w:color w:val="00B0F0"/>
        </w:rPr>
        <w:t>(…)</w:t>
      </w:r>
      <w:r w:rsidRPr="0095235A">
        <w:rPr>
          <w:rFonts w:ascii="ITC Avant Garde" w:hAnsi="ITC Avant Garde"/>
          <w:bCs/>
          <w:color w:val="000000"/>
          <w:lang w:eastAsia="es-MX"/>
        </w:rPr>
        <w:t xml:space="preserve"> pesos 00/100 M.N.),</w:t>
      </w:r>
      <w:r w:rsidRPr="0095235A">
        <w:rPr>
          <w:rFonts w:ascii="ITC Avant Garde" w:hAnsi="ITC Avant Garde"/>
        </w:rPr>
        <w:t xml:space="preserve"> por concepto del pago de la contraprestación derivada de la</w:t>
      </w:r>
      <w:r w:rsidRPr="002C4900">
        <w:rPr>
          <w:rFonts w:ascii="ITC Avant Garde" w:hAnsi="ITC Avant Garde"/>
        </w:rPr>
        <w:t xml:space="preserve"> </w:t>
      </w:r>
      <w:r>
        <w:rPr>
          <w:rFonts w:ascii="ITC Avant Garde" w:hAnsi="ITC Avant Garde"/>
        </w:rPr>
        <w:t>prórroga de la concesión original con su respectiva</w:t>
      </w:r>
      <w:r w:rsidRPr="0095235A">
        <w:rPr>
          <w:rFonts w:ascii="ITC Avant Garde" w:hAnsi="ITC Avant Garde"/>
        </w:rPr>
        <w:t xml:space="preserve"> autorización del servicio de acceso inalámbrico que tiene como consecuencia el otorgamiento de la presente Concesión de Espectro Radioeléctrico.</w:t>
      </w:r>
    </w:p>
    <w:p w:rsidR="0086090F" w:rsidRDefault="0086090F" w:rsidP="0086090F">
      <w:pPr>
        <w:numPr>
          <w:ilvl w:val="0"/>
          <w:numId w:val="33"/>
        </w:numPr>
        <w:spacing w:afterLines="120" w:after="288" w:line="240" w:lineRule="auto"/>
        <w:ind w:left="567" w:hanging="567"/>
        <w:jc w:val="both"/>
        <w:rPr>
          <w:rFonts w:ascii="ITC Avant Garde" w:hAnsi="ITC Avant Garde"/>
          <w:b/>
        </w:rPr>
      </w:pPr>
      <w:r w:rsidRPr="005F2107">
        <w:rPr>
          <w:rFonts w:ascii="ITC Avant Garde" w:hAnsi="ITC Avant Garde"/>
          <w:b/>
        </w:rPr>
        <w:t xml:space="preserve">Pago de los derechos por el uso del espectro radioeléctrico. </w:t>
      </w:r>
      <w:r w:rsidRPr="005F2107">
        <w:rPr>
          <w:rFonts w:ascii="ITC Avant Garde" w:hAnsi="ITC Avant Garde"/>
        </w:rPr>
        <w:t xml:space="preserve">El Concesionario deberá cubrir al Gobierno Federal el pago de los derechos por el uso, aprovechamiento y explotación de las bandas de frecuencias que se indican en </w:t>
      </w:r>
      <w:r>
        <w:rPr>
          <w:rFonts w:ascii="ITC Avant Garde" w:hAnsi="ITC Avant Garde"/>
        </w:rPr>
        <w:t>la Condición</w:t>
      </w:r>
      <w:r w:rsidRPr="005F2107">
        <w:rPr>
          <w:rFonts w:ascii="ITC Avant Garde" w:hAnsi="ITC Avant Garde"/>
        </w:rPr>
        <w:t xml:space="preserve"> 4 de la presente Concesión de Espectro Radioeléctrico, conforme a </w:t>
      </w:r>
      <w:r w:rsidRPr="005F2107">
        <w:rPr>
          <w:rFonts w:ascii="ITC Avant Garde" w:hAnsi="ITC Avant Garde"/>
        </w:rPr>
        <w:lastRenderedPageBreak/>
        <w:t xml:space="preserve">lo dispuesto </w:t>
      </w:r>
      <w:r>
        <w:rPr>
          <w:rFonts w:ascii="ITC Avant Garde" w:hAnsi="ITC Avant Garde"/>
        </w:rPr>
        <w:t xml:space="preserve">por </w:t>
      </w:r>
      <w:r w:rsidRPr="005F2107">
        <w:rPr>
          <w:rFonts w:ascii="ITC Avant Garde" w:hAnsi="ITC Avant Garde"/>
        </w:rPr>
        <w:t>la Ley Federal de Derechos o aquella disposición legal que la sustituya.</w:t>
      </w:r>
    </w:p>
    <w:p w:rsidR="0086090F" w:rsidRDefault="0086090F" w:rsidP="0086090F">
      <w:pPr>
        <w:tabs>
          <w:tab w:val="left" w:pos="567"/>
        </w:tabs>
        <w:spacing w:afterLines="120" w:after="288" w:line="240" w:lineRule="auto"/>
        <w:ind w:left="510"/>
        <w:jc w:val="center"/>
        <w:rPr>
          <w:rFonts w:ascii="ITC Avant Garde" w:hAnsi="ITC Avant Garde"/>
          <w:b/>
        </w:rPr>
      </w:pPr>
      <w:r w:rsidRPr="005F2107">
        <w:rPr>
          <w:rFonts w:ascii="ITC Avant Garde" w:hAnsi="ITC Avant Garde"/>
          <w:b/>
        </w:rPr>
        <w:t>Jurisdicción y Competencia</w:t>
      </w:r>
    </w:p>
    <w:p w:rsidR="0086090F" w:rsidRDefault="0086090F" w:rsidP="0086090F">
      <w:pPr>
        <w:numPr>
          <w:ilvl w:val="0"/>
          <w:numId w:val="33"/>
        </w:numPr>
        <w:spacing w:afterLines="120" w:after="288" w:line="240" w:lineRule="auto"/>
        <w:ind w:left="567" w:hanging="567"/>
        <w:jc w:val="both"/>
        <w:rPr>
          <w:rFonts w:ascii="ITC Avant Garde" w:hAnsi="ITC Avant Garde"/>
          <w:b/>
        </w:rPr>
      </w:pPr>
      <w:r w:rsidRPr="005F2107">
        <w:rPr>
          <w:rFonts w:ascii="ITC Avant Garde" w:hAnsi="ITC Avant Garde"/>
          <w:b/>
        </w:rPr>
        <w:t xml:space="preserve">Jurisdicción y competencia. </w:t>
      </w:r>
      <w:r w:rsidRPr="005F2107">
        <w:rPr>
          <w:rFonts w:ascii="ITC Avant Garde" w:hAnsi="ITC Avant Garde"/>
        </w:rPr>
        <w:t xml:space="preserve">Para todo lo relativo a la interpretación y cumplimiento del presente título, salvo lo que administrativamente corresponda resolver al Instituto, el Concesionario deberá someterse a la jurisdicción de los Juzgados y Tribunales Federales Especializados </w:t>
      </w:r>
      <w:r>
        <w:rPr>
          <w:rFonts w:ascii="ITC Avant Garde" w:hAnsi="ITC Avant Garde"/>
        </w:rPr>
        <w:t>en Competencia Económica, Radiodifusión y Telecomunicaciones</w:t>
      </w:r>
      <w:r w:rsidRPr="005F2107">
        <w:rPr>
          <w:rFonts w:ascii="ITC Avant Garde" w:hAnsi="ITC Avant Garde"/>
        </w:rPr>
        <w:t xml:space="preserve"> ubicados en la Ciudad de México, renunciando al fuero que pudiere corresponderle en razón de su domicilio presente o futuro.</w:t>
      </w:r>
    </w:p>
    <w:p w:rsidR="0086090F" w:rsidRDefault="0086090F" w:rsidP="0086090F">
      <w:pPr>
        <w:pStyle w:val="estilo30"/>
        <w:spacing w:before="0" w:beforeAutospacing="0" w:afterLines="120" w:after="288" w:afterAutospacing="0"/>
        <w:jc w:val="both"/>
        <w:rPr>
          <w:rFonts w:ascii="ITC Avant Garde" w:hAnsi="ITC Avant Garde"/>
          <w:b/>
          <w:bCs/>
          <w:color w:val="000000"/>
          <w:sz w:val="22"/>
          <w:szCs w:val="22"/>
        </w:rPr>
      </w:pPr>
      <w:r>
        <w:rPr>
          <w:rFonts w:ascii="ITC Avant Garde" w:hAnsi="ITC Avant Garde"/>
          <w:b/>
          <w:bCs/>
          <w:color w:val="000000"/>
          <w:sz w:val="22"/>
          <w:szCs w:val="22"/>
        </w:rPr>
        <w:t xml:space="preserve">Ciudad de </w:t>
      </w:r>
      <w:r w:rsidRPr="005F2107">
        <w:rPr>
          <w:rFonts w:ascii="ITC Avant Garde" w:hAnsi="ITC Avant Garde"/>
          <w:b/>
          <w:bCs/>
          <w:color w:val="000000"/>
          <w:sz w:val="22"/>
          <w:szCs w:val="22"/>
        </w:rPr>
        <w:t>México, a</w:t>
      </w:r>
      <w:r>
        <w:rPr>
          <w:rFonts w:ascii="ITC Avant Garde" w:hAnsi="ITC Avant Garde"/>
          <w:b/>
          <w:bCs/>
          <w:color w:val="000000"/>
          <w:sz w:val="22"/>
          <w:szCs w:val="22"/>
        </w:rPr>
        <w:t xml:space="preserve"> </w:t>
      </w:r>
      <w:r w:rsidRPr="00A30BC2">
        <w:rPr>
          <w:rFonts w:ascii="ITC Avant Garde" w:hAnsi="ITC Avant Garde"/>
          <w:b/>
          <w:color w:val="00B0F0"/>
        </w:rPr>
        <w:t>(…)</w:t>
      </w:r>
    </w:p>
    <w:p w:rsidR="0086090F" w:rsidRPr="005F2107" w:rsidRDefault="0086090F" w:rsidP="0086090F">
      <w:pPr>
        <w:pStyle w:val="estilo30"/>
        <w:spacing w:before="0" w:beforeAutospacing="0" w:afterLines="120" w:after="288"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INSTITUTO FEDERAL DE TELECOMUNICACIONES</w:t>
      </w:r>
    </w:p>
    <w:p w:rsidR="0086090F" w:rsidRDefault="0086090F" w:rsidP="0086090F">
      <w:pPr>
        <w:pStyle w:val="estilo30"/>
        <w:spacing w:before="0" w:beforeAutospacing="0" w:afterLines="120" w:after="288"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EL COMISIONADO PRESIDENTE</w:t>
      </w:r>
    </w:p>
    <w:p w:rsidR="0086090F" w:rsidRPr="005F2107" w:rsidRDefault="0086090F" w:rsidP="0086090F">
      <w:pPr>
        <w:pStyle w:val="estilo30"/>
        <w:spacing w:before="0" w:beforeAutospacing="0" w:afterLines="120" w:after="288" w:afterAutospacing="0"/>
        <w:jc w:val="center"/>
        <w:rPr>
          <w:rFonts w:ascii="ITC Avant Garde" w:hAnsi="ITC Avant Garde"/>
          <w:b/>
          <w:bCs/>
          <w:color w:val="000000"/>
          <w:sz w:val="22"/>
          <w:szCs w:val="22"/>
        </w:rPr>
      </w:pPr>
      <w:r w:rsidRPr="00A30BC2">
        <w:rPr>
          <w:rFonts w:ascii="ITC Avant Garde" w:hAnsi="ITC Avant Garde"/>
          <w:b/>
          <w:color w:val="00B0F0"/>
        </w:rPr>
        <w:t>(…)</w:t>
      </w:r>
    </w:p>
    <w:p w:rsidR="0086090F" w:rsidRDefault="0086090F" w:rsidP="0086090F">
      <w:pPr>
        <w:pStyle w:val="estilo30"/>
        <w:spacing w:before="0" w:beforeAutospacing="0" w:afterLines="120" w:after="288"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GABRIEL OSWALDO CONTRERAS SALDÍVAR</w:t>
      </w:r>
    </w:p>
    <w:p w:rsidR="0086090F" w:rsidRPr="005F2107" w:rsidRDefault="0086090F" w:rsidP="0086090F">
      <w:pPr>
        <w:pStyle w:val="estilo30"/>
        <w:spacing w:before="840" w:beforeAutospacing="0" w:afterLines="120" w:after="288" w:afterAutospacing="0"/>
        <w:jc w:val="center"/>
        <w:rPr>
          <w:rFonts w:ascii="ITC Avant Garde" w:hAnsi="ITC Avant Garde"/>
          <w:b/>
          <w:bCs/>
          <w:color w:val="000000"/>
          <w:sz w:val="22"/>
          <w:szCs w:val="22"/>
        </w:rPr>
      </w:pPr>
      <w:r>
        <w:rPr>
          <w:rFonts w:ascii="ITC Avant Garde" w:hAnsi="ITC Avant Garde"/>
          <w:b/>
          <w:bCs/>
          <w:color w:val="000000"/>
          <w:sz w:val="22"/>
          <w:szCs w:val="22"/>
        </w:rPr>
        <w:t>TELE COMARCA, S.A. DE C.V.</w:t>
      </w:r>
    </w:p>
    <w:p w:rsidR="0086090F" w:rsidRDefault="0086090F" w:rsidP="003F605A">
      <w:pPr>
        <w:pStyle w:val="estilo30"/>
        <w:tabs>
          <w:tab w:val="left" w:pos="3686"/>
          <w:tab w:val="center" w:pos="4702"/>
        </w:tabs>
        <w:spacing w:before="0" w:beforeAutospacing="0" w:afterLines="120" w:after="288" w:afterAutospacing="0"/>
        <w:jc w:val="center"/>
        <w:rPr>
          <w:rFonts w:ascii="ITC Avant Garde" w:hAnsi="ITC Avant Garde"/>
          <w:b/>
          <w:bCs/>
          <w:color w:val="000000"/>
          <w:sz w:val="22"/>
          <w:szCs w:val="22"/>
        </w:rPr>
      </w:pPr>
      <w:bookmarkStart w:id="0" w:name="_GoBack"/>
      <w:bookmarkEnd w:id="0"/>
      <w:r w:rsidRPr="005F2107">
        <w:rPr>
          <w:rFonts w:ascii="ITC Avant Garde" w:hAnsi="ITC Avant Garde"/>
          <w:b/>
          <w:bCs/>
          <w:color w:val="000000"/>
          <w:sz w:val="22"/>
          <w:szCs w:val="22"/>
        </w:rPr>
        <w:t>EL CONCESIONARIO</w:t>
      </w:r>
    </w:p>
    <w:p w:rsidR="0086090F" w:rsidRPr="005F2107" w:rsidRDefault="0086090F" w:rsidP="0086090F">
      <w:pPr>
        <w:pStyle w:val="estilo30"/>
        <w:spacing w:before="0" w:beforeAutospacing="0" w:afterLines="120" w:after="288" w:afterAutospacing="0"/>
        <w:jc w:val="center"/>
        <w:rPr>
          <w:rFonts w:ascii="ITC Avant Garde" w:hAnsi="ITC Avant Garde"/>
          <w:b/>
          <w:bCs/>
          <w:color w:val="000000"/>
          <w:sz w:val="22"/>
          <w:szCs w:val="22"/>
        </w:rPr>
      </w:pPr>
      <w:r w:rsidRPr="00A30BC2">
        <w:rPr>
          <w:rFonts w:ascii="ITC Avant Garde" w:hAnsi="ITC Avant Garde"/>
          <w:b/>
          <w:color w:val="00B0F0"/>
        </w:rPr>
        <w:t>(…)</w:t>
      </w:r>
    </w:p>
    <w:p w:rsidR="0086090F" w:rsidRDefault="0086090F" w:rsidP="0086090F">
      <w:pPr>
        <w:pStyle w:val="Prrafodelista"/>
        <w:spacing w:afterLines="120" w:after="288" w:line="240" w:lineRule="auto"/>
        <w:ind w:left="0"/>
        <w:contextualSpacing w:val="0"/>
        <w:jc w:val="center"/>
        <w:rPr>
          <w:rFonts w:ascii="ITC Avant Garde" w:hAnsi="ITC Avant Garde"/>
          <w:b/>
          <w:bCs/>
          <w:color w:val="000000"/>
        </w:rPr>
        <w:sectPr w:rsidR="0086090F" w:rsidSect="00CD41D9">
          <w:pgSz w:w="12240" w:h="15840"/>
          <w:pgMar w:top="2410" w:right="1418" w:bottom="567" w:left="1418" w:header="709" w:footer="709" w:gutter="0"/>
          <w:cols w:space="708"/>
          <w:docGrid w:linePitch="360"/>
        </w:sectPr>
      </w:pPr>
      <w:r>
        <w:rPr>
          <w:rFonts w:ascii="ITC Avant Garde" w:hAnsi="ITC Avant Garde"/>
          <w:b/>
          <w:bCs/>
          <w:color w:val="000000"/>
        </w:rPr>
        <w:t>REPRESENTANTE LEGAL</w:t>
      </w:r>
    </w:p>
    <w:p w:rsidR="00CD41D9" w:rsidRPr="00B80CA3" w:rsidRDefault="000A007E" w:rsidP="00B80CA3">
      <w:pPr>
        <w:pStyle w:val="Ttulo2"/>
        <w:keepLines w:val="0"/>
        <w:spacing w:before="0" w:afterLines="120" w:after="288" w:line="276" w:lineRule="auto"/>
        <w:jc w:val="both"/>
        <w:rPr>
          <w:rFonts w:ascii="ITC Avant Garde" w:eastAsia="Times New Roman" w:hAnsi="ITC Avant Garde" w:cs="Arial"/>
          <w:b/>
          <w:bCs/>
          <w:color w:val="auto"/>
          <w:sz w:val="22"/>
          <w:szCs w:val="22"/>
        </w:rPr>
      </w:pPr>
      <w:r w:rsidRPr="00B80CA3">
        <w:rPr>
          <w:rFonts w:ascii="ITC Avant Garde" w:eastAsia="Times New Roman" w:hAnsi="ITC Avant Garde" w:cs="Arial"/>
          <w:b/>
          <w:bCs/>
          <w:color w:val="auto"/>
          <w:sz w:val="22"/>
          <w:szCs w:val="22"/>
        </w:rPr>
        <w:lastRenderedPageBreak/>
        <w:t>ANEXO DEL TÍTULO DE CONCESIÓN PARA USAR, APROVECHAR Y EXPLOTAR BANDAS DE FRECUENCIAS DEL ESPECTRO RADIOELÉCTRICO PARA USO COMERCIAL, QUE OTORGA EL INSTITUTO FEDERAL DE TELECOMUNICACIONES EN FAVOR DE TELE COMARCA, S.A. DE C.V.</w:t>
      </w:r>
    </w:p>
    <w:p w:rsidR="000A007E" w:rsidRPr="00B1561C" w:rsidRDefault="000A007E" w:rsidP="0086090F">
      <w:pPr>
        <w:pStyle w:val="Prrafodelista"/>
        <w:spacing w:afterLines="120" w:after="288" w:line="240" w:lineRule="auto"/>
        <w:ind w:left="0"/>
        <w:contextualSpacing w:val="0"/>
        <w:jc w:val="both"/>
        <w:rPr>
          <w:rFonts w:ascii="ITC Avant Garde" w:hAnsi="ITC Avant Garde"/>
          <w:bCs/>
          <w:lang w:val="es-ES_tradnl"/>
        </w:rPr>
      </w:pPr>
      <w:r>
        <w:rPr>
          <w:rFonts w:ascii="ITC Avant Garde" w:hAnsi="ITC Avant Garde"/>
          <w:bCs/>
          <w:noProof/>
          <w:lang w:eastAsia="es-MX"/>
        </w:rPr>
        <w:drawing>
          <wp:inline distT="0" distB="0" distL="0" distR="0">
            <wp:extent cx="8168005" cy="3716655"/>
            <wp:effectExtent l="0" t="0" r="4445" b="0"/>
            <wp:docPr id="5" name="Imagen 5" descr="Imagen de tabla de 6 columnas que proporciona información relativa al folio electrónico FET072034CO-100870 inscrito en el Registro Público de Concesiones, los rangos de frecuencia y Municipios a servir. La tabla lista 5 municipios del Estado de Coahuila de Zaragoza y 11 municipios del Estado de Durango." title="Anexo del Título de Concesión para usar, aprovechar y explotar bandas de frecuencia del espectro radioeléc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0-5.jpg"/>
                    <pic:cNvPicPr/>
                  </pic:nvPicPr>
                  <pic:blipFill>
                    <a:blip r:embed="rId15">
                      <a:extLst>
                        <a:ext uri="{28A0092B-C50C-407E-A947-70E740481C1C}">
                          <a14:useLocalDpi xmlns:a14="http://schemas.microsoft.com/office/drawing/2010/main" val="0"/>
                        </a:ext>
                      </a:extLst>
                    </a:blip>
                    <a:stretch>
                      <a:fillRect/>
                    </a:stretch>
                  </pic:blipFill>
                  <pic:spPr>
                    <a:xfrm>
                      <a:off x="0" y="0"/>
                      <a:ext cx="8168005" cy="3716655"/>
                    </a:xfrm>
                    <a:prstGeom prst="rect">
                      <a:avLst/>
                    </a:prstGeom>
                  </pic:spPr>
                </pic:pic>
              </a:graphicData>
            </a:graphic>
          </wp:inline>
        </w:drawing>
      </w:r>
    </w:p>
    <w:sectPr w:rsidR="000A007E" w:rsidRPr="00B1561C" w:rsidSect="0086090F">
      <w:pgSz w:w="15840" w:h="12240" w:orient="landscape"/>
      <w:pgMar w:top="1418" w:right="2410"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1A7" w:rsidRDefault="00A261A7">
      <w:pPr>
        <w:spacing w:after="0" w:line="240" w:lineRule="auto"/>
      </w:pPr>
      <w:r>
        <w:separator/>
      </w:r>
    </w:p>
  </w:endnote>
  <w:endnote w:type="continuationSeparator" w:id="0">
    <w:p w:rsidR="00A261A7" w:rsidRDefault="00A2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23" w:rsidRPr="004C7979" w:rsidRDefault="00AA6923" w:rsidP="008B7C55">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3F605A">
      <w:rPr>
        <w:rFonts w:ascii="ITC Avant Garde" w:hAnsi="ITC Avant Garde" w:cs="Calibri"/>
        <w:noProof/>
        <w:sz w:val="18"/>
        <w:szCs w:val="18"/>
      </w:rPr>
      <w:t>35</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1A7" w:rsidRDefault="00A261A7">
      <w:pPr>
        <w:spacing w:after="0" w:line="240" w:lineRule="auto"/>
      </w:pPr>
      <w:r>
        <w:separator/>
      </w:r>
    </w:p>
  </w:footnote>
  <w:footnote w:type="continuationSeparator" w:id="0">
    <w:p w:rsidR="00A261A7" w:rsidRDefault="00A261A7">
      <w:pPr>
        <w:spacing w:after="0" w:line="240" w:lineRule="auto"/>
      </w:pPr>
      <w:r>
        <w:continuationSeparator/>
      </w:r>
    </w:p>
  </w:footnote>
  <w:footnote w:id="1">
    <w:p w:rsidR="00AA6923" w:rsidRPr="00B241BA" w:rsidRDefault="00AA6923" w:rsidP="004B631C">
      <w:pPr>
        <w:pStyle w:val="Textonotapie"/>
        <w:rPr>
          <w:rFonts w:ascii="ITC Avant Garde" w:hAnsi="ITC Avant Garde"/>
          <w:i/>
          <w:sz w:val="18"/>
          <w:szCs w:val="18"/>
        </w:rPr>
      </w:pPr>
      <w:r w:rsidRPr="00B241BA">
        <w:rPr>
          <w:rStyle w:val="Refdenotaalpie"/>
          <w:rFonts w:ascii="ITC Avant Garde" w:hAnsi="ITC Avant Garde"/>
          <w:i/>
          <w:sz w:val="18"/>
          <w:szCs w:val="18"/>
        </w:rPr>
        <w:footnoteRef/>
      </w:r>
      <w:r w:rsidRPr="00B241BA">
        <w:rPr>
          <w:rFonts w:ascii="ITC Avant Garde" w:hAnsi="ITC Avant Garde"/>
          <w:i/>
          <w:sz w:val="18"/>
          <w:szCs w:val="18"/>
        </w:rPr>
        <w:t xml:space="preserve"> Censo de Población y Vivienda 2010. Fuente: </w:t>
      </w:r>
      <w:r w:rsidRPr="00C63E22">
        <w:rPr>
          <w:rFonts w:ascii="ITC Avant Garde" w:hAnsi="ITC Avant Garde"/>
          <w:i/>
          <w:sz w:val="18"/>
          <w:szCs w:val="18"/>
        </w:rPr>
        <w:t>http://www.inegi.org.mx/</w:t>
      </w:r>
      <w:r w:rsidRPr="00B241BA">
        <w:rPr>
          <w:rFonts w:ascii="ITC Avant Garde" w:hAnsi="ITC Avant Garde"/>
          <w:i/>
          <w:sz w:val="18"/>
          <w:szCs w:val="18"/>
        </w:rPr>
        <w:t xml:space="preserve"> </w:t>
      </w:r>
    </w:p>
  </w:footnote>
  <w:footnote w:id="2">
    <w:p w:rsidR="00AA6923" w:rsidRPr="005D7753" w:rsidRDefault="00AA6923" w:rsidP="0052124B">
      <w:pPr>
        <w:pStyle w:val="Textonotapie"/>
        <w:rPr>
          <w:rFonts w:ascii="ITC Avant Garde" w:hAnsi="ITC Avant Garde"/>
          <w:sz w:val="16"/>
          <w:szCs w:val="16"/>
        </w:rPr>
      </w:pPr>
      <w:r w:rsidRPr="005D7753">
        <w:rPr>
          <w:rStyle w:val="Refdenotaalpie"/>
          <w:rFonts w:ascii="ITC Avant Garde" w:hAnsi="ITC Avant Garde"/>
          <w:sz w:val="16"/>
          <w:szCs w:val="16"/>
        </w:rPr>
        <w:footnoteRef/>
      </w:r>
      <w:r w:rsidRPr="005D7753">
        <w:rPr>
          <w:rFonts w:ascii="ITC Avant Garde" w:hAnsi="ITC Avant Garde"/>
          <w:sz w:val="16"/>
          <w:szCs w:val="16"/>
        </w:rPr>
        <w:t xml:space="preserve"> </w:t>
      </w:r>
      <w:r w:rsidRPr="005D7753">
        <w:rPr>
          <w:rFonts w:ascii="ITC Avant Garde" w:hAnsi="ITC Avant Garde"/>
          <w:i/>
          <w:sz w:val="16"/>
          <w:szCs w:val="16"/>
        </w:rPr>
        <w:t>Long Term Evolution</w:t>
      </w:r>
      <w:r w:rsidRPr="005D7753">
        <w:rPr>
          <w:rFonts w:ascii="ITC Avant Garde" w:hAnsi="ITC Avant Garde"/>
          <w:sz w:val="16"/>
          <w:szCs w:val="16"/>
        </w:rPr>
        <w:t>.</w:t>
      </w:r>
    </w:p>
  </w:footnote>
  <w:footnote w:id="3">
    <w:p w:rsidR="00AA6923" w:rsidRPr="00B241BA" w:rsidRDefault="00AA6923" w:rsidP="00FF4FFC">
      <w:pPr>
        <w:pStyle w:val="Textonotapie"/>
        <w:rPr>
          <w:i/>
        </w:rPr>
      </w:pPr>
      <w:r w:rsidRPr="00B241BA">
        <w:rPr>
          <w:rStyle w:val="Refdenotaalpie"/>
          <w:rFonts w:ascii="ITC Avant Garde" w:hAnsi="ITC Avant Garde"/>
          <w:i/>
          <w:sz w:val="16"/>
          <w:szCs w:val="16"/>
        </w:rPr>
        <w:footnoteRef/>
      </w:r>
      <w:r w:rsidRPr="00B241BA">
        <w:rPr>
          <w:rFonts w:ascii="ITC Avant Garde" w:hAnsi="ITC Avant Garde"/>
          <w:i/>
          <w:sz w:val="16"/>
          <w:szCs w:val="16"/>
        </w:rPr>
        <w:t xml:space="preserve"> La consulta de las Licitaciones para la prestación de servicios de televisión y audio restringidos está disponible en: http://www.ift.org.mx/espectro-radioelectrico/licitaciones/telecomunicaciones </w:t>
      </w:r>
    </w:p>
  </w:footnote>
  <w:footnote w:id="4">
    <w:p w:rsidR="00AA6923" w:rsidRPr="00B241BA" w:rsidRDefault="00AA6923" w:rsidP="007B1C7F">
      <w:pPr>
        <w:pStyle w:val="Textonotapie"/>
        <w:rPr>
          <w:i/>
        </w:rPr>
      </w:pPr>
      <w:r w:rsidRPr="00B241BA">
        <w:rPr>
          <w:rStyle w:val="Refdenotaalpie"/>
          <w:rFonts w:ascii="ITC Avant Garde" w:hAnsi="ITC Avant Garde"/>
          <w:i/>
          <w:sz w:val="16"/>
          <w:szCs w:val="16"/>
        </w:rPr>
        <w:footnoteRef/>
      </w:r>
      <w:r w:rsidRPr="00B241BA">
        <w:rPr>
          <w:rStyle w:val="Refdenotaalpie"/>
          <w:rFonts w:ascii="ITC Avant Garde" w:hAnsi="ITC Avant Garde"/>
          <w:i/>
          <w:sz w:val="16"/>
          <w:szCs w:val="16"/>
        </w:rPr>
        <w:t xml:space="preserve"> </w:t>
      </w:r>
      <w:r w:rsidRPr="00B241BA">
        <w:rPr>
          <w:rFonts w:ascii="ITC Avant Garde" w:hAnsi="ITC Avant Garde"/>
          <w:i/>
          <w:sz w:val="16"/>
          <w:szCs w:val="16"/>
        </w:rPr>
        <w:t xml:space="preserve">Disponible en: http://www.inegi.org.mx/est/contenidos/proyectos/ccpv/cpv2010/default.aspx </w:t>
      </w:r>
    </w:p>
  </w:footnote>
  <w:footnote w:id="5">
    <w:p w:rsidR="00AA6923" w:rsidRPr="002E7B1D" w:rsidRDefault="00AA6923" w:rsidP="007B1C7F">
      <w:pPr>
        <w:pStyle w:val="Textonotapie"/>
        <w:rPr>
          <w:rFonts w:ascii="ITC Avant Garde" w:hAnsi="ITC Avant Garde"/>
          <w:i/>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w:t>
      </w:r>
      <w:r w:rsidRPr="002E7B1D">
        <w:rPr>
          <w:rFonts w:ascii="ITC Avant Garde" w:hAnsi="ITC Avant Garde" w:cs="Arial"/>
          <w:i/>
          <w:sz w:val="16"/>
          <w:szCs w:val="16"/>
        </w:rPr>
        <w:t>El listado de los Municipios incluidos en el Anexo 2, se realizó conforme a los datos publicados en el censo 2010 del INEGI, previo análisis en el Archivo Histórico de Localidades Geoestadísticas del INEGI</w:t>
      </w:r>
      <w:r w:rsidRPr="002E7B1D">
        <w:rPr>
          <w:rFonts w:ascii="ITC Avant Garde" w:hAnsi="ITC Avant Garde"/>
          <w:i/>
          <w:sz w:val="16"/>
          <w:szCs w:val="16"/>
        </w:rPr>
        <w:t xml:space="preserve"> disponible en: </w:t>
      </w:r>
      <w:r w:rsidRPr="000E56B0">
        <w:rPr>
          <w:rFonts w:ascii="ITC Avant Garde" w:hAnsi="ITC Avant Garde"/>
          <w:i/>
          <w:sz w:val="16"/>
          <w:szCs w:val="16"/>
        </w:rPr>
        <w:t>http://www.inegi.org.mx/geo/contenidos/geoestadistica/Introduccion.aspx</w:t>
      </w:r>
    </w:p>
  </w:footnote>
  <w:footnote w:id="6">
    <w:p w:rsidR="00AA6923" w:rsidRPr="002E7B1D" w:rsidRDefault="00AA6923" w:rsidP="007B1C7F">
      <w:pPr>
        <w:pStyle w:val="Textonotapie"/>
        <w:rPr>
          <w:rFonts w:ascii="ITC Avant Garde" w:hAnsi="ITC Avant Garde"/>
          <w:i/>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Disponible en: </w:t>
      </w:r>
      <w:r w:rsidRPr="000E56B0">
        <w:rPr>
          <w:rFonts w:ascii="ITC Avant Garde" w:hAnsi="ITC Avant Garde"/>
          <w:i/>
          <w:sz w:val="16"/>
          <w:szCs w:val="16"/>
        </w:rPr>
        <w:t>http://www.dof.gob.mx/nota_to_imagen_fs.php?cod_diario=213145&amp;pagina=1&amp;seccion=6</w:t>
      </w:r>
    </w:p>
  </w:footnote>
  <w:footnote w:id="7">
    <w:p w:rsidR="00AA6923" w:rsidRPr="002E7B1D" w:rsidRDefault="00AA6923" w:rsidP="00FF4FFC">
      <w:pPr>
        <w:pStyle w:val="Textonotapie"/>
        <w:rPr>
          <w:rFonts w:ascii="ITC Avant Garde" w:hAnsi="ITC Avant Garde"/>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23" w:rsidRDefault="00A261A7">
    <w:pPr>
      <w:pStyle w:val="Encabezado"/>
    </w:pPr>
    <w:r>
      <w:rPr>
        <w:noProof/>
        <w:lang w:eastAsia="es-MX"/>
      </w:rPr>
      <w:pict w14:anchorId="30156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23" w:rsidRPr="000F5E4B" w:rsidRDefault="00A261A7">
    <w:pPr>
      <w:pStyle w:val="Encabezado"/>
      <w:rPr>
        <w:b/>
      </w:rPr>
    </w:pPr>
    <w:r>
      <w:rPr>
        <w:b/>
        <w:noProof/>
        <w:lang w:eastAsia="es-MX"/>
      </w:rPr>
      <w:pict w14:anchorId="380F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39"/>
    <w:multiLevelType w:val="hybridMultilevel"/>
    <w:tmpl w:val="288607D2"/>
    <w:lvl w:ilvl="0" w:tplc="4EAED67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0FF5FE4"/>
    <w:multiLevelType w:val="multilevel"/>
    <w:tmpl w:val="EDB87344"/>
    <w:lvl w:ilvl="0">
      <w:start w:val="1"/>
      <w:numFmt w:val="decimal"/>
      <w:lvlText w:val="%1."/>
      <w:lvlJc w:val="left"/>
      <w:pPr>
        <w:ind w:left="720" w:hanging="360"/>
      </w:pPr>
      <w:rPr>
        <w:rFonts w:hint="default"/>
        <w:b/>
        <w:sz w:val="18"/>
        <w:szCs w:val="1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2A51DE"/>
    <w:multiLevelType w:val="hybridMultilevel"/>
    <w:tmpl w:val="F46C76D6"/>
    <w:lvl w:ilvl="0" w:tplc="A45C0804">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432BA3"/>
    <w:multiLevelType w:val="hybridMultilevel"/>
    <w:tmpl w:val="A19436D4"/>
    <w:lvl w:ilvl="0" w:tplc="2714AB82">
      <w:start w:val="4"/>
      <w:numFmt w:val="decimal"/>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55BD4"/>
    <w:multiLevelType w:val="hybridMultilevel"/>
    <w:tmpl w:val="684E09A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0FB13C05"/>
    <w:multiLevelType w:val="hybridMultilevel"/>
    <w:tmpl w:val="3E92D1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5273834"/>
    <w:multiLevelType w:val="multilevel"/>
    <w:tmpl w:val="9D10DA3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61004A"/>
    <w:multiLevelType w:val="hybridMultilevel"/>
    <w:tmpl w:val="D79637F2"/>
    <w:lvl w:ilvl="0" w:tplc="A290DE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BA46B3"/>
    <w:multiLevelType w:val="hybridMultilevel"/>
    <w:tmpl w:val="E562A07A"/>
    <w:lvl w:ilvl="0" w:tplc="080A0017">
      <w:start w:val="1"/>
      <w:numFmt w:val="lowerLetter"/>
      <w:lvlText w:val="%1)"/>
      <w:lvlJc w:val="left"/>
      <w:pPr>
        <w:ind w:left="720" w:hanging="360"/>
      </w:pPr>
      <w:rPr>
        <w:rFonts w:hint="default"/>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4D37F2"/>
    <w:multiLevelType w:val="hybridMultilevel"/>
    <w:tmpl w:val="C77C8F68"/>
    <w:lvl w:ilvl="0" w:tplc="6D76A8A2">
      <w:start w:val="1"/>
      <w:numFmt w:val="lowerLetter"/>
      <w:lvlText w:val="%1)"/>
      <w:lvlJc w:val="left"/>
      <w:pPr>
        <w:ind w:left="420" w:hanging="360"/>
      </w:pPr>
      <w:rPr>
        <w:rFonts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0C97F9A"/>
    <w:multiLevelType w:val="hybridMultilevel"/>
    <w:tmpl w:val="2E94295E"/>
    <w:lvl w:ilvl="0" w:tplc="DAA0A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AA"/>
    <w:multiLevelType w:val="hybridMultilevel"/>
    <w:tmpl w:val="10446EFA"/>
    <w:lvl w:ilvl="0" w:tplc="0E30B9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FB1D97"/>
    <w:multiLevelType w:val="hybridMultilevel"/>
    <w:tmpl w:val="C0086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042F0E"/>
    <w:multiLevelType w:val="hybridMultilevel"/>
    <w:tmpl w:val="E4821630"/>
    <w:lvl w:ilvl="0" w:tplc="1646F8B6">
      <w:start w:val="1"/>
      <w:numFmt w:val="lowerRoman"/>
      <w:lvlText w:val="%1)"/>
      <w:lvlJc w:val="left"/>
      <w:pPr>
        <w:ind w:left="709" w:hanging="720"/>
      </w:pPr>
      <w:rPr>
        <w:rFonts w:hint="default"/>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15" w15:restartNumberingAfterBreak="0">
    <w:nsid w:val="42D63CD0"/>
    <w:multiLevelType w:val="hybridMultilevel"/>
    <w:tmpl w:val="6A48DAD0"/>
    <w:lvl w:ilvl="0" w:tplc="0C1AB4D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E179A"/>
    <w:multiLevelType w:val="hybridMultilevel"/>
    <w:tmpl w:val="5AFE3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EE7362"/>
    <w:multiLevelType w:val="hybridMultilevel"/>
    <w:tmpl w:val="5B96253E"/>
    <w:lvl w:ilvl="0" w:tplc="3528CF46">
      <w:start w:val="1"/>
      <w:numFmt w:val="upperRoman"/>
      <w:lvlText w:val="%1."/>
      <w:lvlJc w:val="left"/>
      <w:pPr>
        <w:ind w:left="1080" w:hanging="720"/>
      </w:pPr>
      <w:rPr>
        <w:rFonts w:ascii="ITC Avant Garde" w:eastAsia="Calibri" w:hAnsi="ITC Avant Garde" w:cs="Times New Roman"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804351"/>
    <w:multiLevelType w:val="multilevel"/>
    <w:tmpl w:val="9D10DA3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B4F6722"/>
    <w:multiLevelType w:val="hybridMultilevel"/>
    <w:tmpl w:val="966AED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4C837D2C"/>
    <w:multiLevelType w:val="hybridMultilevel"/>
    <w:tmpl w:val="BB08B994"/>
    <w:lvl w:ilvl="0" w:tplc="0B26FF44">
      <w:start w:val="4"/>
      <w:numFmt w:val="lowerLetter"/>
      <w:lvlText w:val="%1)"/>
      <w:lvlJc w:val="left"/>
      <w:pPr>
        <w:ind w:left="2770" w:hanging="360"/>
      </w:pPr>
      <w:rPr>
        <w:rFonts w:hint="default"/>
      </w:rPr>
    </w:lvl>
    <w:lvl w:ilvl="1" w:tplc="080A0011">
      <w:start w:val="1"/>
      <w:numFmt w:val="decimal"/>
      <w:lvlText w:val="%2)"/>
      <w:lvlJc w:val="left"/>
      <w:pPr>
        <w:ind w:left="1726" w:hanging="360"/>
      </w:pPr>
    </w:lvl>
    <w:lvl w:ilvl="2" w:tplc="080A001B" w:tentative="1">
      <w:start w:val="1"/>
      <w:numFmt w:val="lowerRoman"/>
      <w:lvlText w:val="%3."/>
      <w:lvlJc w:val="right"/>
      <w:pPr>
        <w:ind w:left="2446" w:hanging="180"/>
      </w:pPr>
    </w:lvl>
    <w:lvl w:ilvl="3" w:tplc="080A000F" w:tentative="1">
      <w:start w:val="1"/>
      <w:numFmt w:val="decimal"/>
      <w:lvlText w:val="%4."/>
      <w:lvlJc w:val="left"/>
      <w:pPr>
        <w:ind w:left="3166" w:hanging="360"/>
      </w:pPr>
    </w:lvl>
    <w:lvl w:ilvl="4" w:tplc="080A0019" w:tentative="1">
      <w:start w:val="1"/>
      <w:numFmt w:val="lowerLetter"/>
      <w:lvlText w:val="%5."/>
      <w:lvlJc w:val="left"/>
      <w:pPr>
        <w:ind w:left="3886" w:hanging="360"/>
      </w:pPr>
    </w:lvl>
    <w:lvl w:ilvl="5" w:tplc="080A001B" w:tentative="1">
      <w:start w:val="1"/>
      <w:numFmt w:val="lowerRoman"/>
      <w:lvlText w:val="%6."/>
      <w:lvlJc w:val="right"/>
      <w:pPr>
        <w:ind w:left="4606" w:hanging="180"/>
      </w:pPr>
    </w:lvl>
    <w:lvl w:ilvl="6" w:tplc="080A000F" w:tentative="1">
      <w:start w:val="1"/>
      <w:numFmt w:val="decimal"/>
      <w:lvlText w:val="%7."/>
      <w:lvlJc w:val="left"/>
      <w:pPr>
        <w:ind w:left="5326" w:hanging="360"/>
      </w:pPr>
    </w:lvl>
    <w:lvl w:ilvl="7" w:tplc="080A0019" w:tentative="1">
      <w:start w:val="1"/>
      <w:numFmt w:val="lowerLetter"/>
      <w:lvlText w:val="%8."/>
      <w:lvlJc w:val="left"/>
      <w:pPr>
        <w:ind w:left="6046" w:hanging="360"/>
      </w:pPr>
    </w:lvl>
    <w:lvl w:ilvl="8" w:tplc="080A001B" w:tentative="1">
      <w:start w:val="1"/>
      <w:numFmt w:val="lowerRoman"/>
      <w:lvlText w:val="%9."/>
      <w:lvlJc w:val="right"/>
      <w:pPr>
        <w:ind w:left="6766" w:hanging="180"/>
      </w:pPr>
    </w:lvl>
  </w:abstractNum>
  <w:abstractNum w:abstractNumId="21" w15:restartNumberingAfterBreak="0">
    <w:nsid w:val="4F9C6CE8"/>
    <w:multiLevelType w:val="hybridMultilevel"/>
    <w:tmpl w:val="8C5E8392"/>
    <w:lvl w:ilvl="0" w:tplc="04090001">
      <w:start w:val="1"/>
      <w:numFmt w:val="bullet"/>
      <w:lvlText w:val=""/>
      <w:lvlJc w:val="left"/>
      <w:pPr>
        <w:ind w:left="4046" w:hanging="360"/>
      </w:pPr>
      <w:rPr>
        <w:rFonts w:ascii="Symbol" w:hAnsi="Symbol"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22" w15:restartNumberingAfterBreak="0">
    <w:nsid w:val="52E14A9B"/>
    <w:multiLevelType w:val="hybridMultilevel"/>
    <w:tmpl w:val="B21C5904"/>
    <w:lvl w:ilvl="0" w:tplc="471A08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457A05"/>
    <w:multiLevelType w:val="hybridMultilevel"/>
    <w:tmpl w:val="C2641B60"/>
    <w:lvl w:ilvl="0" w:tplc="65D4D046">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0262EF"/>
    <w:multiLevelType w:val="multilevel"/>
    <w:tmpl w:val="D6F89D14"/>
    <w:lvl w:ilvl="0">
      <w:start w:val="1"/>
      <w:numFmt w:val="decimal"/>
      <w:lvlText w:val="%1."/>
      <w:lvlJc w:val="left"/>
      <w:pPr>
        <w:ind w:left="5322" w:hanging="360"/>
      </w:pPr>
      <w:rPr>
        <w:b/>
        <w:sz w:val="22"/>
      </w:rPr>
    </w:lvl>
    <w:lvl w:ilvl="1">
      <w:start w:val="1"/>
      <w:numFmt w:val="decimal"/>
      <w:lvlText w:val="%1.%2."/>
      <w:lvlJc w:val="left"/>
      <w:pPr>
        <w:ind w:left="397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B364D4"/>
    <w:multiLevelType w:val="hybridMultilevel"/>
    <w:tmpl w:val="288607D2"/>
    <w:lvl w:ilvl="0" w:tplc="4EAED67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60D7519B"/>
    <w:multiLevelType w:val="multilevel"/>
    <w:tmpl w:val="EDB87344"/>
    <w:lvl w:ilvl="0">
      <w:start w:val="1"/>
      <w:numFmt w:val="decimal"/>
      <w:lvlText w:val="%1."/>
      <w:lvlJc w:val="left"/>
      <w:pPr>
        <w:ind w:left="720" w:hanging="360"/>
      </w:pPr>
      <w:rPr>
        <w:rFonts w:hint="default"/>
        <w:b/>
        <w:sz w:val="18"/>
        <w:szCs w:val="1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34B6DB8"/>
    <w:multiLevelType w:val="hybridMultilevel"/>
    <w:tmpl w:val="20944F6C"/>
    <w:lvl w:ilvl="0" w:tplc="9AA66B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9663C9"/>
    <w:multiLevelType w:val="hybridMultilevel"/>
    <w:tmpl w:val="BF26CE3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7078011D"/>
    <w:multiLevelType w:val="hybridMultilevel"/>
    <w:tmpl w:val="AD1A38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4622EE"/>
    <w:multiLevelType w:val="hybridMultilevel"/>
    <w:tmpl w:val="074C71E0"/>
    <w:lvl w:ilvl="0" w:tplc="B4B2B8E6">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31" w15:restartNumberingAfterBreak="0">
    <w:nsid w:val="77816873"/>
    <w:multiLevelType w:val="hybridMultilevel"/>
    <w:tmpl w:val="A524C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9D6EFD"/>
    <w:multiLevelType w:val="hybridMultilevel"/>
    <w:tmpl w:val="20FA66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9"/>
  </w:num>
  <w:num w:numId="3">
    <w:abstractNumId w:val="18"/>
  </w:num>
  <w:num w:numId="4">
    <w:abstractNumId w:val="26"/>
  </w:num>
  <w:num w:numId="5">
    <w:abstractNumId w:val="11"/>
  </w:num>
  <w:num w:numId="6">
    <w:abstractNumId w:val="29"/>
  </w:num>
  <w:num w:numId="7">
    <w:abstractNumId w:val="14"/>
  </w:num>
  <w:num w:numId="8">
    <w:abstractNumId w:val="27"/>
  </w:num>
  <w:num w:numId="9">
    <w:abstractNumId w:val="2"/>
  </w:num>
  <w:num w:numId="10">
    <w:abstractNumId w:val="28"/>
  </w:num>
  <w:num w:numId="11">
    <w:abstractNumId w:val="13"/>
  </w:num>
  <w:num w:numId="12">
    <w:abstractNumId w:val="6"/>
  </w:num>
  <w:num w:numId="13">
    <w:abstractNumId w:val="22"/>
  </w:num>
  <w:num w:numId="14">
    <w:abstractNumId w:val="12"/>
  </w:num>
  <w:num w:numId="15">
    <w:abstractNumId w:val="23"/>
  </w:num>
  <w:num w:numId="16">
    <w:abstractNumId w:val="21"/>
  </w:num>
  <w:num w:numId="17">
    <w:abstractNumId w:val="30"/>
  </w:num>
  <w:num w:numId="18">
    <w:abstractNumId w:val="4"/>
  </w:num>
  <w:num w:numId="19">
    <w:abstractNumId w:val="20"/>
  </w:num>
  <w:num w:numId="20">
    <w:abstractNumId w:val="25"/>
  </w:num>
  <w:num w:numId="21">
    <w:abstractNumId w:val="0"/>
  </w:num>
  <w:num w:numId="22">
    <w:abstractNumId w:val="1"/>
  </w:num>
  <w:num w:numId="23">
    <w:abstractNumId w:val="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num>
  <w:num w:numId="27">
    <w:abstractNumId w:val="8"/>
  </w:num>
  <w:num w:numId="28">
    <w:abstractNumId w:val="15"/>
  </w:num>
  <w:num w:numId="29">
    <w:abstractNumId w:val="32"/>
  </w:num>
  <w:num w:numId="30">
    <w:abstractNumId w:val="5"/>
  </w:num>
  <w:num w:numId="31">
    <w:abstractNumId w:val="16"/>
  </w:num>
  <w:num w:numId="32">
    <w:abstractNumId w:val="31"/>
  </w:num>
  <w:num w:numId="33">
    <w:abstractNumId w:val="24"/>
  </w:num>
  <w:num w:numId="3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93B"/>
    <w:rsid w:val="00001EC5"/>
    <w:rsid w:val="00001FAC"/>
    <w:rsid w:val="00002A52"/>
    <w:rsid w:val="00002A65"/>
    <w:rsid w:val="00004B6A"/>
    <w:rsid w:val="00004C26"/>
    <w:rsid w:val="0000585A"/>
    <w:rsid w:val="00005CE5"/>
    <w:rsid w:val="000061D2"/>
    <w:rsid w:val="00007C21"/>
    <w:rsid w:val="0001061A"/>
    <w:rsid w:val="00011319"/>
    <w:rsid w:val="00012314"/>
    <w:rsid w:val="00013458"/>
    <w:rsid w:val="00014B87"/>
    <w:rsid w:val="00015592"/>
    <w:rsid w:val="000170A9"/>
    <w:rsid w:val="000233D9"/>
    <w:rsid w:val="00023870"/>
    <w:rsid w:val="00025B8A"/>
    <w:rsid w:val="00026013"/>
    <w:rsid w:val="000261B5"/>
    <w:rsid w:val="00026643"/>
    <w:rsid w:val="00026886"/>
    <w:rsid w:val="00027C2C"/>
    <w:rsid w:val="000307D9"/>
    <w:rsid w:val="0003155D"/>
    <w:rsid w:val="00031C52"/>
    <w:rsid w:val="00033C31"/>
    <w:rsid w:val="00033D10"/>
    <w:rsid w:val="0003420B"/>
    <w:rsid w:val="00034717"/>
    <w:rsid w:val="00034D82"/>
    <w:rsid w:val="00035462"/>
    <w:rsid w:val="00035A4F"/>
    <w:rsid w:val="000360EC"/>
    <w:rsid w:val="00036728"/>
    <w:rsid w:val="00036C80"/>
    <w:rsid w:val="0003732E"/>
    <w:rsid w:val="00040398"/>
    <w:rsid w:val="000403F9"/>
    <w:rsid w:val="0004073B"/>
    <w:rsid w:val="00040B35"/>
    <w:rsid w:val="00040C82"/>
    <w:rsid w:val="0004109F"/>
    <w:rsid w:val="000430CC"/>
    <w:rsid w:val="00043E0B"/>
    <w:rsid w:val="0004438A"/>
    <w:rsid w:val="00045999"/>
    <w:rsid w:val="000467EE"/>
    <w:rsid w:val="00047266"/>
    <w:rsid w:val="00050C7C"/>
    <w:rsid w:val="0005108B"/>
    <w:rsid w:val="00051286"/>
    <w:rsid w:val="00051475"/>
    <w:rsid w:val="00051B94"/>
    <w:rsid w:val="0005378B"/>
    <w:rsid w:val="000549DF"/>
    <w:rsid w:val="0005688C"/>
    <w:rsid w:val="00057FAF"/>
    <w:rsid w:val="0006059D"/>
    <w:rsid w:val="00060720"/>
    <w:rsid w:val="00060E1D"/>
    <w:rsid w:val="00060FDB"/>
    <w:rsid w:val="000642D3"/>
    <w:rsid w:val="00064AC2"/>
    <w:rsid w:val="00064C98"/>
    <w:rsid w:val="00066D6C"/>
    <w:rsid w:val="00070ADE"/>
    <w:rsid w:val="00071F11"/>
    <w:rsid w:val="000724A7"/>
    <w:rsid w:val="00072893"/>
    <w:rsid w:val="000745CD"/>
    <w:rsid w:val="0007486E"/>
    <w:rsid w:val="00075FE8"/>
    <w:rsid w:val="00076701"/>
    <w:rsid w:val="00076D2D"/>
    <w:rsid w:val="00077791"/>
    <w:rsid w:val="00077EF2"/>
    <w:rsid w:val="000807D9"/>
    <w:rsid w:val="00080962"/>
    <w:rsid w:val="00080B3C"/>
    <w:rsid w:val="00080E8D"/>
    <w:rsid w:val="00081015"/>
    <w:rsid w:val="00081622"/>
    <w:rsid w:val="00081CCE"/>
    <w:rsid w:val="00082E8D"/>
    <w:rsid w:val="00083217"/>
    <w:rsid w:val="000832AA"/>
    <w:rsid w:val="0008342C"/>
    <w:rsid w:val="000848A9"/>
    <w:rsid w:val="00085459"/>
    <w:rsid w:val="00085D0E"/>
    <w:rsid w:val="00086E62"/>
    <w:rsid w:val="00090C0F"/>
    <w:rsid w:val="0009143F"/>
    <w:rsid w:val="0009235B"/>
    <w:rsid w:val="00092879"/>
    <w:rsid w:val="000937C0"/>
    <w:rsid w:val="00094629"/>
    <w:rsid w:val="00096DE5"/>
    <w:rsid w:val="000A007E"/>
    <w:rsid w:val="000A16DA"/>
    <w:rsid w:val="000A1883"/>
    <w:rsid w:val="000A1BD7"/>
    <w:rsid w:val="000A2907"/>
    <w:rsid w:val="000A3816"/>
    <w:rsid w:val="000A39A2"/>
    <w:rsid w:val="000A431F"/>
    <w:rsid w:val="000A4353"/>
    <w:rsid w:val="000A6294"/>
    <w:rsid w:val="000A7878"/>
    <w:rsid w:val="000B18C4"/>
    <w:rsid w:val="000B238B"/>
    <w:rsid w:val="000B2622"/>
    <w:rsid w:val="000B34C1"/>
    <w:rsid w:val="000B3875"/>
    <w:rsid w:val="000B3BB0"/>
    <w:rsid w:val="000B3D87"/>
    <w:rsid w:val="000B4864"/>
    <w:rsid w:val="000B7685"/>
    <w:rsid w:val="000C207C"/>
    <w:rsid w:val="000C3918"/>
    <w:rsid w:val="000C39E0"/>
    <w:rsid w:val="000C3AE3"/>
    <w:rsid w:val="000C56DD"/>
    <w:rsid w:val="000C5D2B"/>
    <w:rsid w:val="000D1134"/>
    <w:rsid w:val="000D14F3"/>
    <w:rsid w:val="000D1CC1"/>
    <w:rsid w:val="000D33D9"/>
    <w:rsid w:val="000D3790"/>
    <w:rsid w:val="000D37B7"/>
    <w:rsid w:val="000D3C40"/>
    <w:rsid w:val="000D490D"/>
    <w:rsid w:val="000D4E32"/>
    <w:rsid w:val="000D6030"/>
    <w:rsid w:val="000D7627"/>
    <w:rsid w:val="000E0C1B"/>
    <w:rsid w:val="000E11C8"/>
    <w:rsid w:val="000E2449"/>
    <w:rsid w:val="000E33EF"/>
    <w:rsid w:val="000E378B"/>
    <w:rsid w:val="000E4509"/>
    <w:rsid w:val="000E5585"/>
    <w:rsid w:val="000E56B0"/>
    <w:rsid w:val="000E6A8F"/>
    <w:rsid w:val="000E6E52"/>
    <w:rsid w:val="000E7138"/>
    <w:rsid w:val="000F2E29"/>
    <w:rsid w:val="000F3324"/>
    <w:rsid w:val="000F3734"/>
    <w:rsid w:val="000F3D4D"/>
    <w:rsid w:val="000F4A71"/>
    <w:rsid w:val="000F57FA"/>
    <w:rsid w:val="000F5AD6"/>
    <w:rsid w:val="000F5C08"/>
    <w:rsid w:val="000F6C76"/>
    <w:rsid w:val="000F7681"/>
    <w:rsid w:val="00100DCC"/>
    <w:rsid w:val="00100F38"/>
    <w:rsid w:val="00101417"/>
    <w:rsid w:val="00101BE6"/>
    <w:rsid w:val="00102B2F"/>
    <w:rsid w:val="00103AE1"/>
    <w:rsid w:val="00106838"/>
    <w:rsid w:val="001110D3"/>
    <w:rsid w:val="00112A95"/>
    <w:rsid w:val="00112CE1"/>
    <w:rsid w:val="00112D03"/>
    <w:rsid w:val="00114C74"/>
    <w:rsid w:val="00114D86"/>
    <w:rsid w:val="00114FB3"/>
    <w:rsid w:val="00115B23"/>
    <w:rsid w:val="0011681D"/>
    <w:rsid w:val="00116FB7"/>
    <w:rsid w:val="00117597"/>
    <w:rsid w:val="001179CF"/>
    <w:rsid w:val="00120BD4"/>
    <w:rsid w:val="00120E9D"/>
    <w:rsid w:val="001212CF"/>
    <w:rsid w:val="00122DDD"/>
    <w:rsid w:val="001236F9"/>
    <w:rsid w:val="001237ED"/>
    <w:rsid w:val="00123C96"/>
    <w:rsid w:val="00123E66"/>
    <w:rsid w:val="00125B93"/>
    <w:rsid w:val="0012668A"/>
    <w:rsid w:val="00127E26"/>
    <w:rsid w:val="00130E78"/>
    <w:rsid w:val="00132654"/>
    <w:rsid w:val="001344C4"/>
    <w:rsid w:val="00137C27"/>
    <w:rsid w:val="001402D9"/>
    <w:rsid w:val="001418A6"/>
    <w:rsid w:val="00142818"/>
    <w:rsid w:val="001430CF"/>
    <w:rsid w:val="0014534D"/>
    <w:rsid w:val="00145890"/>
    <w:rsid w:val="00145DA3"/>
    <w:rsid w:val="001501BC"/>
    <w:rsid w:val="0015087D"/>
    <w:rsid w:val="0015138E"/>
    <w:rsid w:val="00151505"/>
    <w:rsid w:val="00151E27"/>
    <w:rsid w:val="00154C94"/>
    <w:rsid w:val="00154CAC"/>
    <w:rsid w:val="001611A5"/>
    <w:rsid w:val="00163C48"/>
    <w:rsid w:val="00165812"/>
    <w:rsid w:val="00165B36"/>
    <w:rsid w:val="00165E2E"/>
    <w:rsid w:val="001661C2"/>
    <w:rsid w:val="00166997"/>
    <w:rsid w:val="00166A63"/>
    <w:rsid w:val="0016797D"/>
    <w:rsid w:val="0017236F"/>
    <w:rsid w:val="00174D49"/>
    <w:rsid w:val="00175E89"/>
    <w:rsid w:val="001764A8"/>
    <w:rsid w:val="00176516"/>
    <w:rsid w:val="001768FC"/>
    <w:rsid w:val="00177E68"/>
    <w:rsid w:val="0018019C"/>
    <w:rsid w:val="001809F3"/>
    <w:rsid w:val="00180FD2"/>
    <w:rsid w:val="001827E2"/>
    <w:rsid w:val="0018383A"/>
    <w:rsid w:val="00183A9E"/>
    <w:rsid w:val="0018519B"/>
    <w:rsid w:val="001902D5"/>
    <w:rsid w:val="0019077C"/>
    <w:rsid w:val="00190C16"/>
    <w:rsid w:val="0019177D"/>
    <w:rsid w:val="00192CF3"/>
    <w:rsid w:val="00192D6C"/>
    <w:rsid w:val="00192F52"/>
    <w:rsid w:val="001933F8"/>
    <w:rsid w:val="001935FC"/>
    <w:rsid w:val="00193D02"/>
    <w:rsid w:val="0019411B"/>
    <w:rsid w:val="0019596A"/>
    <w:rsid w:val="00195CF2"/>
    <w:rsid w:val="00197230"/>
    <w:rsid w:val="0019756B"/>
    <w:rsid w:val="00197854"/>
    <w:rsid w:val="001A0AD3"/>
    <w:rsid w:val="001A3275"/>
    <w:rsid w:val="001A3B30"/>
    <w:rsid w:val="001A437E"/>
    <w:rsid w:val="001A7CEA"/>
    <w:rsid w:val="001B019E"/>
    <w:rsid w:val="001B02B0"/>
    <w:rsid w:val="001B0F26"/>
    <w:rsid w:val="001B1F7E"/>
    <w:rsid w:val="001B20D7"/>
    <w:rsid w:val="001B22D3"/>
    <w:rsid w:val="001B2B29"/>
    <w:rsid w:val="001B2DCE"/>
    <w:rsid w:val="001B34BA"/>
    <w:rsid w:val="001B3891"/>
    <w:rsid w:val="001B49DD"/>
    <w:rsid w:val="001B5E4C"/>
    <w:rsid w:val="001B61F6"/>
    <w:rsid w:val="001C0885"/>
    <w:rsid w:val="001C13E1"/>
    <w:rsid w:val="001C3E55"/>
    <w:rsid w:val="001C4862"/>
    <w:rsid w:val="001C49CD"/>
    <w:rsid w:val="001C4E34"/>
    <w:rsid w:val="001C50D8"/>
    <w:rsid w:val="001C60CF"/>
    <w:rsid w:val="001C689D"/>
    <w:rsid w:val="001C7544"/>
    <w:rsid w:val="001D0F54"/>
    <w:rsid w:val="001D1C4E"/>
    <w:rsid w:val="001D1F18"/>
    <w:rsid w:val="001D29E0"/>
    <w:rsid w:val="001D2EC1"/>
    <w:rsid w:val="001D488F"/>
    <w:rsid w:val="001D63F7"/>
    <w:rsid w:val="001D7681"/>
    <w:rsid w:val="001D7887"/>
    <w:rsid w:val="001D78C5"/>
    <w:rsid w:val="001D7B11"/>
    <w:rsid w:val="001E1782"/>
    <w:rsid w:val="001E1C51"/>
    <w:rsid w:val="001E2CA5"/>
    <w:rsid w:val="001E355F"/>
    <w:rsid w:val="001E40B1"/>
    <w:rsid w:val="001E57BF"/>
    <w:rsid w:val="001E5801"/>
    <w:rsid w:val="001E6035"/>
    <w:rsid w:val="001E65F7"/>
    <w:rsid w:val="001E6CF6"/>
    <w:rsid w:val="001E74D0"/>
    <w:rsid w:val="001E7FC5"/>
    <w:rsid w:val="001F1645"/>
    <w:rsid w:val="001F3F03"/>
    <w:rsid w:val="001F4DF8"/>
    <w:rsid w:val="001F5719"/>
    <w:rsid w:val="001F666C"/>
    <w:rsid w:val="001F6C9F"/>
    <w:rsid w:val="0020067E"/>
    <w:rsid w:val="002016F7"/>
    <w:rsid w:val="002022F1"/>
    <w:rsid w:val="00202B04"/>
    <w:rsid w:val="00203F3A"/>
    <w:rsid w:val="00205921"/>
    <w:rsid w:val="00205AE1"/>
    <w:rsid w:val="0020676E"/>
    <w:rsid w:val="00210F78"/>
    <w:rsid w:val="00211BCF"/>
    <w:rsid w:val="0021339D"/>
    <w:rsid w:val="0021343B"/>
    <w:rsid w:val="00215743"/>
    <w:rsid w:val="00215955"/>
    <w:rsid w:val="00215FBE"/>
    <w:rsid w:val="0021633E"/>
    <w:rsid w:val="00216686"/>
    <w:rsid w:val="00220371"/>
    <w:rsid w:val="002203C4"/>
    <w:rsid w:val="0022072E"/>
    <w:rsid w:val="00220BE5"/>
    <w:rsid w:val="0022510C"/>
    <w:rsid w:val="002268DF"/>
    <w:rsid w:val="00227832"/>
    <w:rsid w:val="002279D6"/>
    <w:rsid w:val="0023060C"/>
    <w:rsid w:val="00230EAC"/>
    <w:rsid w:val="00231ECA"/>
    <w:rsid w:val="0023268A"/>
    <w:rsid w:val="0023291A"/>
    <w:rsid w:val="002333C5"/>
    <w:rsid w:val="00240157"/>
    <w:rsid w:val="00241080"/>
    <w:rsid w:val="0024177E"/>
    <w:rsid w:val="002418D1"/>
    <w:rsid w:val="002428C4"/>
    <w:rsid w:val="002436B8"/>
    <w:rsid w:val="00244F59"/>
    <w:rsid w:val="00245A4F"/>
    <w:rsid w:val="002465DA"/>
    <w:rsid w:val="00250695"/>
    <w:rsid w:val="00251203"/>
    <w:rsid w:val="00251F76"/>
    <w:rsid w:val="00254EF4"/>
    <w:rsid w:val="002554E1"/>
    <w:rsid w:val="002555F4"/>
    <w:rsid w:val="00255747"/>
    <w:rsid w:val="00257095"/>
    <w:rsid w:val="002571E5"/>
    <w:rsid w:val="00257259"/>
    <w:rsid w:val="002577E1"/>
    <w:rsid w:val="002654F2"/>
    <w:rsid w:val="00265C20"/>
    <w:rsid w:val="00272B00"/>
    <w:rsid w:val="00273729"/>
    <w:rsid w:val="00273D56"/>
    <w:rsid w:val="00274E0A"/>
    <w:rsid w:val="002750A8"/>
    <w:rsid w:val="002766EF"/>
    <w:rsid w:val="00277047"/>
    <w:rsid w:val="00277E7B"/>
    <w:rsid w:val="00280377"/>
    <w:rsid w:val="00280872"/>
    <w:rsid w:val="00280960"/>
    <w:rsid w:val="002815E8"/>
    <w:rsid w:val="0028232E"/>
    <w:rsid w:val="00282660"/>
    <w:rsid w:val="00283E26"/>
    <w:rsid w:val="00283EB2"/>
    <w:rsid w:val="00284675"/>
    <w:rsid w:val="0028513A"/>
    <w:rsid w:val="002866EA"/>
    <w:rsid w:val="002877F4"/>
    <w:rsid w:val="00290497"/>
    <w:rsid w:val="00292AAE"/>
    <w:rsid w:val="00293450"/>
    <w:rsid w:val="002942DD"/>
    <w:rsid w:val="00294EEB"/>
    <w:rsid w:val="002959C1"/>
    <w:rsid w:val="002964E0"/>
    <w:rsid w:val="002973BB"/>
    <w:rsid w:val="002A04B8"/>
    <w:rsid w:val="002A05AB"/>
    <w:rsid w:val="002A18E1"/>
    <w:rsid w:val="002A3B79"/>
    <w:rsid w:val="002A40AB"/>
    <w:rsid w:val="002A5C57"/>
    <w:rsid w:val="002B00F6"/>
    <w:rsid w:val="002B149F"/>
    <w:rsid w:val="002B4CC3"/>
    <w:rsid w:val="002B5B76"/>
    <w:rsid w:val="002B5DEC"/>
    <w:rsid w:val="002B5FC0"/>
    <w:rsid w:val="002B6519"/>
    <w:rsid w:val="002B66DD"/>
    <w:rsid w:val="002B6972"/>
    <w:rsid w:val="002B743F"/>
    <w:rsid w:val="002C07D6"/>
    <w:rsid w:val="002C1869"/>
    <w:rsid w:val="002C39F2"/>
    <w:rsid w:val="002C423D"/>
    <w:rsid w:val="002C48EB"/>
    <w:rsid w:val="002C5A50"/>
    <w:rsid w:val="002C60C7"/>
    <w:rsid w:val="002C649C"/>
    <w:rsid w:val="002C7251"/>
    <w:rsid w:val="002C741A"/>
    <w:rsid w:val="002C7BDC"/>
    <w:rsid w:val="002D1151"/>
    <w:rsid w:val="002D2E8F"/>
    <w:rsid w:val="002D30E4"/>
    <w:rsid w:val="002D3606"/>
    <w:rsid w:val="002D366D"/>
    <w:rsid w:val="002D3CD4"/>
    <w:rsid w:val="002D3E95"/>
    <w:rsid w:val="002D50B7"/>
    <w:rsid w:val="002D7C16"/>
    <w:rsid w:val="002D7FA9"/>
    <w:rsid w:val="002E0D3F"/>
    <w:rsid w:val="002E1633"/>
    <w:rsid w:val="002E377A"/>
    <w:rsid w:val="002E4080"/>
    <w:rsid w:val="002E4425"/>
    <w:rsid w:val="002E5FF9"/>
    <w:rsid w:val="002E7B1D"/>
    <w:rsid w:val="002F312D"/>
    <w:rsid w:val="002F341F"/>
    <w:rsid w:val="002F5806"/>
    <w:rsid w:val="002F62AB"/>
    <w:rsid w:val="00300229"/>
    <w:rsid w:val="003034FF"/>
    <w:rsid w:val="00304638"/>
    <w:rsid w:val="0030608D"/>
    <w:rsid w:val="00306C6A"/>
    <w:rsid w:val="00310112"/>
    <w:rsid w:val="00310114"/>
    <w:rsid w:val="003133ED"/>
    <w:rsid w:val="003138C9"/>
    <w:rsid w:val="00313FA9"/>
    <w:rsid w:val="0031450F"/>
    <w:rsid w:val="00316C30"/>
    <w:rsid w:val="00320C9D"/>
    <w:rsid w:val="00321296"/>
    <w:rsid w:val="00322619"/>
    <w:rsid w:val="003236CA"/>
    <w:rsid w:val="00323B1D"/>
    <w:rsid w:val="0032442F"/>
    <w:rsid w:val="00324F17"/>
    <w:rsid w:val="0032614D"/>
    <w:rsid w:val="00326AAB"/>
    <w:rsid w:val="00327008"/>
    <w:rsid w:val="0032733D"/>
    <w:rsid w:val="00327891"/>
    <w:rsid w:val="00330820"/>
    <w:rsid w:val="00330B20"/>
    <w:rsid w:val="00333573"/>
    <w:rsid w:val="003361A0"/>
    <w:rsid w:val="00337647"/>
    <w:rsid w:val="00337E0C"/>
    <w:rsid w:val="00337EE1"/>
    <w:rsid w:val="00341B40"/>
    <w:rsid w:val="00342288"/>
    <w:rsid w:val="003435D0"/>
    <w:rsid w:val="00343BC4"/>
    <w:rsid w:val="00344D39"/>
    <w:rsid w:val="00345151"/>
    <w:rsid w:val="0034658A"/>
    <w:rsid w:val="0034698D"/>
    <w:rsid w:val="00347E61"/>
    <w:rsid w:val="00347ED3"/>
    <w:rsid w:val="00350850"/>
    <w:rsid w:val="00351478"/>
    <w:rsid w:val="003520D2"/>
    <w:rsid w:val="0035247A"/>
    <w:rsid w:val="00353827"/>
    <w:rsid w:val="00356315"/>
    <w:rsid w:val="00356D8C"/>
    <w:rsid w:val="00357437"/>
    <w:rsid w:val="00360644"/>
    <w:rsid w:val="0036145E"/>
    <w:rsid w:val="00363CD1"/>
    <w:rsid w:val="00364443"/>
    <w:rsid w:val="00364815"/>
    <w:rsid w:val="00364883"/>
    <w:rsid w:val="003651D5"/>
    <w:rsid w:val="00367F58"/>
    <w:rsid w:val="00372BD1"/>
    <w:rsid w:val="00372DE4"/>
    <w:rsid w:val="003749F5"/>
    <w:rsid w:val="00377077"/>
    <w:rsid w:val="003775D8"/>
    <w:rsid w:val="00382004"/>
    <w:rsid w:val="003826DF"/>
    <w:rsid w:val="00382C99"/>
    <w:rsid w:val="0038380C"/>
    <w:rsid w:val="00383BB2"/>
    <w:rsid w:val="003840B3"/>
    <w:rsid w:val="003855F3"/>
    <w:rsid w:val="00385728"/>
    <w:rsid w:val="0038623F"/>
    <w:rsid w:val="0038703F"/>
    <w:rsid w:val="0038723B"/>
    <w:rsid w:val="00387B85"/>
    <w:rsid w:val="003906F6"/>
    <w:rsid w:val="00390E8F"/>
    <w:rsid w:val="00392DF0"/>
    <w:rsid w:val="00395926"/>
    <w:rsid w:val="00396B3C"/>
    <w:rsid w:val="00397965"/>
    <w:rsid w:val="003A1057"/>
    <w:rsid w:val="003A1946"/>
    <w:rsid w:val="003A2E59"/>
    <w:rsid w:val="003A3457"/>
    <w:rsid w:val="003A3565"/>
    <w:rsid w:val="003A48A6"/>
    <w:rsid w:val="003A4F9B"/>
    <w:rsid w:val="003B04BE"/>
    <w:rsid w:val="003B1A70"/>
    <w:rsid w:val="003B287E"/>
    <w:rsid w:val="003C05C1"/>
    <w:rsid w:val="003C0848"/>
    <w:rsid w:val="003C11AA"/>
    <w:rsid w:val="003C184D"/>
    <w:rsid w:val="003C26D0"/>
    <w:rsid w:val="003C2907"/>
    <w:rsid w:val="003C46D3"/>
    <w:rsid w:val="003C59CD"/>
    <w:rsid w:val="003C5B5E"/>
    <w:rsid w:val="003C7E7A"/>
    <w:rsid w:val="003D0131"/>
    <w:rsid w:val="003D0CC6"/>
    <w:rsid w:val="003D1A94"/>
    <w:rsid w:val="003D2449"/>
    <w:rsid w:val="003D2F8E"/>
    <w:rsid w:val="003D3B2F"/>
    <w:rsid w:val="003D431D"/>
    <w:rsid w:val="003D4320"/>
    <w:rsid w:val="003D49D5"/>
    <w:rsid w:val="003D4DB0"/>
    <w:rsid w:val="003D4F16"/>
    <w:rsid w:val="003D631F"/>
    <w:rsid w:val="003E09DF"/>
    <w:rsid w:val="003E301D"/>
    <w:rsid w:val="003E41AD"/>
    <w:rsid w:val="003E4493"/>
    <w:rsid w:val="003E5AEB"/>
    <w:rsid w:val="003E6EA3"/>
    <w:rsid w:val="003E741B"/>
    <w:rsid w:val="003E749F"/>
    <w:rsid w:val="003F027E"/>
    <w:rsid w:val="003F1130"/>
    <w:rsid w:val="003F120F"/>
    <w:rsid w:val="003F265F"/>
    <w:rsid w:val="003F3A84"/>
    <w:rsid w:val="003F4810"/>
    <w:rsid w:val="003F53BC"/>
    <w:rsid w:val="003F605A"/>
    <w:rsid w:val="003F6B5D"/>
    <w:rsid w:val="003F7BD8"/>
    <w:rsid w:val="003F7F15"/>
    <w:rsid w:val="00401C6E"/>
    <w:rsid w:val="00402EE8"/>
    <w:rsid w:val="004037C1"/>
    <w:rsid w:val="00403F85"/>
    <w:rsid w:val="00404AF3"/>
    <w:rsid w:val="004052FB"/>
    <w:rsid w:val="00405AB5"/>
    <w:rsid w:val="00406A45"/>
    <w:rsid w:val="00406C8D"/>
    <w:rsid w:val="004077E1"/>
    <w:rsid w:val="00410121"/>
    <w:rsid w:val="00411B74"/>
    <w:rsid w:val="00412BD5"/>
    <w:rsid w:val="004132A6"/>
    <w:rsid w:val="00420111"/>
    <w:rsid w:val="0042344E"/>
    <w:rsid w:val="00424C13"/>
    <w:rsid w:val="0042537A"/>
    <w:rsid w:val="00426237"/>
    <w:rsid w:val="00430794"/>
    <w:rsid w:val="00430823"/>
    <w:rsid w:val="00430C93"/>
    <w:rsid w:val="0043230F"/>
    <w:rsid w:val="00432827"/>
    <w:rsid w:val="00432DFE"/>
    <w:rsid w:val="004352FD"/>
    <w:rsid w:val="004359A9"/>
    <w:rsid w:val="0043684F"/>
    <w:rsid w:val="00436E0F"/>
    <w:rsid w:val="00437568"/>
    <w:rsid w:val="004402C5"/>
    <w:rsid w:val="004407F6"/>
    <w:rsid w:val="00440EBF"/>
    <w:rsid w:val="0044405A"/>
    <w:rsid w:val="00444158"/>
    <w:rsid w:val="0044429F"/>
    <w:rsid w:val="00444432"/>
    <w:rsid w:val="00444BC2"/>
    <w:rsid w:val="004475CF"/>
    <w:rsid w:val="00450528"/>
    <w:rsid w:val="00450529"/>
    <w:rsid w:val="00450F74"/>
    <w:rsid w:val="00451938"/>
    <w:rsid w:val="00451FE7"/>
    <w:rsid w:val="004522BC"/>
    <w:rsid w:val="0045412A"/>
    <w:rsid w:val="004547ED"/>
    <w:rsid w:val="00454B5A"/>
    <w:rsid w:val="00455529"/>
    <w:rsid w:val="00455C91"/>
    <w:rsid w:val="00456A71"/>
    <w:rsid w:val="00457903"/>
    <w:rsid w:val="00457FF3"/>
    <w:rsid w:val="0046058C"/>
    <w:rsid w:val="00460889"/>
    <w:rsid w:val="00461561"/>
    <w:rsid w:val="004626A4"/>
    <w:rsid w:val="00464845"/>
    <w:rsid w:val="004653A5"/>
    <w:rsid w:val="004662EE"/>
    <w:rsid w:val="00466B22"/>
    <w:rsid w:val="004677FE"/>
    <w:rsid w:val="00467E16"/>
    <w:rsid w:val="00470644"/>
    <w:rsid w:val="00472BBF"/>
    <w:rsid w:val="00472CA2"/>
    <w:rsid w:val="0047307B"/>
    <w:rsid w:val="004747B6"/>
    <w:rsid w:val="00474D2E"/>
    <w:rsid w:val="004751D1"/>
    <w:rsid w:val="0047581A"/>
    <w:rsid w:val="00477571"/>
    <w:rsid w:val="0048026D"/>
    <w:rsid w:val="00480552"/>
    <w:rsid w:val="00481FE0"/>
    <w:rsid w:val="00483D04"/>
    <w:rsid w:val="0048522A"/>
    <w:rsid w:val="004854F5"/>
    <w:rsid w:val="00485B27"/>
    <w:rsid w:val="00487173"/>
    <w:rsid w:val="0048765D"/>
    <w:rsid w:val="004878AC"/>
    <w:rsid w:val="00493069"/>
    <w:rsid w:val="00494D55"/>
    <w:rsid w:val="00495851"/>
    <w:rsid w:val="004A0184"/>
    <w:rsid w:val="004A149F"/>
    <w:rsid w:val="004A17AC"/>
    <w:rsid w:val="004A1D66"/>
    <w:rsid w:val="004A1DEF"/>
    <w:rsid w:val="004A4B7D"/>
    <w:rsid w:val="004A6570"/>
    <w:rsid w:val="004A67EA"/>
    <w:rsid w:val="004A73DA"/>
    <w:rsid w:val="004A7A63"/>
    <w:rsid w:val="004B1049"/>
    <w:rsid w:val="004B1710"/>
    <w:rsid w:val="004B2E60"/>
    <w:rsid w:val="004B30A9"/>
    <w:rsid w:val="004B3E2C"/>
    <w:rsid w:val="004B53F4"/>
    <w:rsid w:val="004B5555"/>
    <w:rsid w:val="004B58B2"/>
    <w:rsid w:val="004B631C"/>
    <w:rsid w:val="004B6453"/>
    <w:rsid w:val="004B6A7C"/>
    <w:rsid w:val="004B6B2C"/>
    <w:rsid w:val="004B6D3F"/>
    <w:rsid w:val="004B720B"/>
    <w:rsid w:val="004C0EB4"/>
    <w:rsid w:val="004C1E47"/>
    <w:rsid w:val="004C3116"/>
    <w:rsid w:val="004C35E0"/>
    <w:rsid w:val="004C39C5"/>
    <w:rsid w:val="004C3A18"/>
    <w:rsid w:val="004C4AA4"/>
    <w:rsid w:val="004C59C4"/>
    <w:rsid w:val="004C6AAB"/>
    <w:rsid w:val="004C6B78"/>
    <w:rsid w:val="004C78DD"/>
    <w:rsid w:val="004C7F99"/>
    <w:rsid w:val="004D0368"/>
    <w:rsid w:val="004D1610"/>
    <w:rsid w:val="004D1B00"/>
    <w:rsid w:val="004D5032"/>
    <w:rsid w:val="004D56D2"/>
    <w:rsid w:val="004D5D47"/>
    <w:rsid w:val="004E0A20"/>
    <w:rsid w:val="004E1462"/>
    <w:rsid w:val="004E3606"/>
    <w:rsid w:val="004E3C19"/>
    <w:rsid w:val="004E508A"/>
    <w:rsid w:val="004E5188"/>
    <w:rsid w:val="004E5697"/>
    <w:rsid w:val="004E57BF"/>
    <w:rsid w:val="004E57D2"/>
    <w:rsid w:val="004E69E8"/>
    <w:rsid w:val="004E715D"/>
    <w:rsid w:val="004E794D"/>
    <w:rsid w:val="004E7CEA"/>
    <w:rsid w:val="004F0392"/>
    <w:rsid w:val="004F06D8"/>
    <w:rsid w:val="004F0717"/>
    <w:rsid w:val="004F1840"/>
    <w:rsid w:val="004F209D"/>
    <w:rsid w:val="004F2B6B"/>
    <w:rsid w:val="004F3619"/>
    <w:rsid w:val="004F3F34"/>
    <w:rsid w:val="004F4CC1"/>
    <w:rsid w:val="004F51CB"/>
    <w:rsid w:val="004F587F"/>
    <w:rsid w:val="004F7077"/>
    <w:rsid w:val="004F7D2E"/>
    <w:rsid w:val="0050161D"/>
    <w:rsid w:val="00503511"/>
    <w:rsid w:val="00503EA4"/>
    <w:rsid w:val="005042FE"/>
    <w:rsid w:val="005049F1"/>
    <w:rsid w:val="00505B7E"/>
    <w:rsid w:val="00505EC8"/>
    <w:rsid w:val="00506436"/>
    <w:rsid w:val="005074EF"/>
    <w:rsid w:val="00507FDA"/>
    <w:rsid w:val="00511AD1"/>
    <w:rsid w:val="00512204"/>
    <w:rsid w:val="00512DF8"/>
    <w:rsid w:val="00512E99"/>
    <w:rsid w:val="00514413"/>
    <w:rsid w:val="00515228"/>
    <w:rsid w:val="005162E0"/>
    <w:rsid w:val="00517FB6"/>
    <w:rsid w:val="0052036C"/>
    <w:rsid w:val="00520702"/>
    <w:rsid w:val="005209A6"/>
    <w:rsid w:val="00520AB6"/>
    <w:rsid w:val="00520E4F"/>
    <w:rsid w:val="005210E4"/>
    <w:rsid w:val="0052124B"/>
    <w:rsid w:val="00521534"/>
    <w:rsid w:val="00521622"/>
    <w:rsid w:val="00522413"/>
    <w:rsid w:val="00522F67"/>
    <w:rsid w:val="005234E2"/>
    <w:rsid w:val="00525023"/>
    <w:rsid w:val="0052622B"/>
    <w:rsid w:val="00526C46"/>
    <w:rsid w:val="00526C78"/>
    <w:rsid w:val="00526DE5"/>
    <w:rsid w:val="00530D1D"/>
    <w:rsid w:val="00530F7D"/>
    <w:rsid w:val="0053135A"/>
    <w:rsid w:val="005314D5"/>
    <w:rsid w:val="005333DC"/>
    <w:rsid w:val="00533B65"/>
    <w:rsid w:val="00536973"/>
    <w:rsid w:val="00537F78"/>
    <w:rsid w:val="00540323"/>
    <w:rsid w:val="00541886"/>
    <w:rsid w:val="005435FB"/>
    <w:rsid w:val="00543D68"/>
    <w:rsid w:val="00544A3E"/>
    <w:rsid w:val="0054517B"/>
    <w:rsid w:val="00545263"/>
    <w:rsid w:val="00545C6B"/>
    <w:rsid w:val="005466C6"/>
    <w:rsid w:val="00550305"/>
    <w:rsid w:val="00550DE9"/>
    <w:rsid w:val="0055242B"/>
    <w:rsid w:val="00552DCB"/>
    <w:rsid w:val="00552E89"/>
    <w:rsid w:val="0055384B"/>
    <w:rsid w:val="00554EF7"/>
    <w:rsid w:val="00556002"/>
    <w:rsid w:val="0055623B"/>
    <w:rsid w:val="00556EB0"/>
    <w:rsid w:val="00557F36"/>
    <w:rsid w:val="0056058F"/>
    <w:rsid w:val="00560856"/>
    <w:rsid w:val="00561ED9"/>
    <w:rsid w:val="005620FE"/>
    <w:rsid w:val="0056258D"/>
    <w:rsid w:val="00562E29"/>
    <w:rsid w:val="0056532D"/>
    <w:rsid w:val="00567074"/>
    <w:rsid w:val="0056774F"/>
    <w:rsid w:val="0056785D"/>
    <w:rsid w:val="00567BE4"/>
    <w:rsid w:val="00572CCA"/>
    <w:rsid w:val="00573162"/>
    <w:rsid w:val="00573AE6"/>
    <w:rsid w:val="00573BD7"/>
    <w:rsid w:val="00575C40"/>
    <w:rsid w:val="005765C0"/>
    <w:rsid w:val="00576A76"/>
    <w:rsid w:val="005828C5"/>
    <w:rsid w:val="00582CDF"/>
    <w:rsid w:val="005833AD"/>
    <w:rsid w:val="00583D11"/>
    <w:rsid w:val="00586EA8"/>
    <w:rsid w:val="005870D1"/>
    <w:rsid w:val="005875B7"/>
    <w:rsid w:val="00587E80"/>
    <w:rsid w:val="0059041B"/>
    <w:rsid w:val="005904E3"/>
    <w:rsid w:val="00590E2D"/>
    <w:rsid w:val="00592533"/>
    <w:rsid w:val="00592B68"/>
    <w:rsid w:val="00592ED7"/>
    <w:rsid w:val="00593A33"/>
    <w:rsid w:val="005946BB"/>
    <w:rsid w:val="00594AD3"/>
    <w:rsid w:val="00596320"/>
    <w:rsid w:val="00596B5B"/>
    <w:rsid w:val="00597347"/>
    <w:rsid w:val="00597752"/>
    <w:rsid w:val="005A03CA"/>
    <w:rsid w:val="005A0A17"/>
    <w:rsid w:val="005A0EC4"/>
    <w:rsid w:val="005A13DE"/>
    <w:rsid w:val="005A1BAA"/>
    <w:rsid w:val="005A22D8"/>
    <w:rsid w:val="005A2B9B"/>
    <w:rsid w:val="005A3E0F"/>
    <w:rsid w:val="005A5A06"/>
    <w:rsid w:val="005A6072"/>
    <w:rsid w:val="005A67DB"/>
    <w:rsid w:val="005A68EC"/>
    <w:rsid w:val="005A6B57"/>
    <w:rsid w:val="005B1CA2"/>
    <w:rsid w:val="005B2605"/>
    <w:rsid w:val="005B2AD2"/>
    <w:rsid w:val="005B2FCE"/>
    <w:rsid w:val="005B3347"/>
    <w:rsid w:val="005B401C"/>
    <w:rsid w:val="005B4CA7"/>
    <w:rsid w:val="005B537F"/>
    <w:rsid w:val="005B560B"/>
    <w:rsid w:val="005B5776"/>
    <w:rsid w:val="005B65AC"/>
    <w:rsid w:val="005B65C9"/>
    <w:rsid w:val="005B771E"/>
    <w:rsid w:val="005C0421"/>
    <w:rsid w:val="005C3B67"/>
    <w:rsid w:val="005C7591"/>
    <w:rsid w:val="005C7961"/>
    <w:rsid w:val="005D0DCB"/>
    <w:rsid w:val="005D162A"/>
    <w:rsid w:val="005D334A"/>
    <w:rsid w:val="005D577B"/>
    <w:rsid w:val="005D5A45"/>
    <w:rsid w:val="005D7129"/>
    <w:rsid w:val="005D7753"/>
    <w:rsid w:val="005E05D4"/>
    <w:rsid w:val="005E4BAA"/>
    <w:rsid w:val="005E5AF5"/>
    <w:rsid w:val="005E6344"/>
    <w:rsid w:val="005E7334"/>
    <w:rsid w:val="005F1011"/>
    <w:rsid w:val="005F20F8"/>
    <w:rsid w:val="005F28CC"/>
    <w:rsid w:val="005F364A"/>
    <w:rsid w:val="005F56AD"/>
    <w:rsid w:val="005F593A"/>
    <w:rsid w:val="005F5E6E"/>
    <w:rsid w:val="005F5F36"/>
    <w:rsid w:val="005F6012"/>
    <w:rsid w:val="005F62A7"/>
    <w:rsid w:val="005F75D6"/>
    <w:rsid w:val="00600B60"/>
    <w:rsid w:val="00603703"/>
    <w:rsid w:val="00604568"/>
    <w:rsid w:val="00606E07"/>
    <w:rsid w:val="00613203"/>
    <w:rsid w:val="006133CC"/>
    <w:rsid w:val="00613415"/>
    <w:rsid w:val="00613D40"/>
    <w:rsid w:val="0061736D"/>
    <w:rsid w:val="006210DB"/>
    <w:rsid w:val="00623DA3"/>
    <w:rsid w:val="00624F3C"/>
    <w:rsid w:val="006252CC"/>
    <w:rsid w:val="00625509"/>
    <w:rsid w:val="00625D33"/>
    <w:rsid w:val="0062617B"/>
    <w:rsid w:val="006268C8"/>
    <w:rsid w:val="00626D1C"/>
    <w:rsid w:val="00626E56"/>
    <w:rsid w:val="0062778A"/>
    <w:rsid w:val="00633802"/>
    <w:rsid w:val="00633D0A"/>
    <w:rsid w:val="0063419A"/>
    <w:rsid w:val="00634560"/>
    <w:rsid w:val="0063572C"/>
    <w:rsid w:val="00637120"/>
    <w:rsid w:val="006373BF"/>
    <w:rsid w:val="0064037E"/>
    <w:rsid w:val="006403EF"/>
    <w:rsid w:val="00641205"/>
    <w:rsid w:val="006427E2"/>
    <w:rsid w:val="00642A91"/>
    <w:rsid w:val="00642B7F"/>
    <w:rsid w:val="00642FC1"/>
    <w:rsid w:val="00643F87"/>
    <w:rsid w:val="00645882"/>
    <w:rsid w:val="0064600E"/>
    <w:rsid w:val="006479A6"/>
    <w:rsid w:val="0065273D"/>
    <w:rsid w:val="00653F74"/>
    <w:rsid w:val="00654463"/>
    <w:rsid w:val="00654C31"/>
    <w:rsid w:val="006557A9"/>
    <w:rsid w:val="00655A18"/>
    <w:rsid w:val="00657C3E"/>
    <w:rsid w:val="00663434"/>
    <w:rsid w:val="00664411"/>
    <w:rsid w:val="006648F1"/>
    <w:rsid w:val="006661C6"/>
    <w:rsid w:val="006663B2"/>
    <w:rsid w:val="006671C7"/>
    <w:rsid w:val="006671D4"/>
    <w:rsid w:val="006672DF"/>
    <w:rsid w:val="00667690"/>
    <w:rsid w:val="0067127E"/>
    <w:rsid w:val="0067208F"/>
    <w:rsid w:val="006721CF"/>
    <w:rsid w:val="0067221B"/>
    <w:rsid w:val="00672511"/>
    <w:rsid w:val="0067264E"/>
    <w:rsid w:val="00672665"/>
    <w:rsid w:val="00672CF8"/>
    <w:rsid w:val="00673066"/>
    <w:rsid w:val="00673874"/>
    <w:rsid w:val="0067398F"/>
    <w:rsid w:val="00674EC5"/>
    <w:rsid w:val="00676E75"/>
    <w:rsid w:val="006771BE"/>
    <w:rsid w:val="006800B1"/>
    <w:rsid w:val="006800B7"/>
    <w:rsid w:val="00681322"/>
    <w:rsid w:val="00683CB5"/>
    <w:rsid w:val="00684077"/>
    <w:rsid w:val="006866E3"/>
    <w:rsid w:val="00686D49"/>
    <w:rsid w:val="00690808"/>
    <w:rsid w:val="00690AC6"/>
    <w:rsid w:val="00691802"/>
    <w:rsid w:val="00691C61"/>
    <w:rsid w:val="006924CE"/>
    <w:rsid w:val="006927B1"/>
    <w:rsid w:val="00692BF6"/>
    <w:rsid w:val="0069428F"/>
    <w:rsid w:val="006955CC"/>
    <w:rsid w:val="00695B29"/>
    <w:rsid w:val="00696270"/>
    <w:rsid w:val="006969B1"/>
    <w:rsid w:val="00696A47"/>
    <w:rsid w:val="006A0A81"/>
    <w:rsid w:val="006A18EC"/>
    <w:rsid w:val="006A236A"/>
    <w:rsid w:val="006A36E8"/>
    <w:rsid w:val="006A3782"/>
    <w:rsid w:val="006A66C6"/>
    <w:rsid w:val="006A7093"/>
    <w:rsid w:val="006A7C0B"/>
    <w:rsid w:val="006A7CCD"/>
    <w:rsid w:val="006B1E2F"/>
    <w:rsid w:val="006B23EE"/>
    <w:rsid w:val="006B256D"/>
    <w:rsid w:val="006B33A6"/>
    <w:rsid w:val="006B5191"/>
    <w:rsid w:val="006B5AD8"/>
    <w:rsid w:val="006B7A69"/>
    <w:rsid w:val="006B7B66"/>
    <w:rsid w:val="006C0190"/>
    <w:rsid w:val="006C04E1"/>
    <w:rsid w:val="006C1D6A"/>
    <w:rsid w:val="006C2B70"/>
    <w:rsid w:val="006C312C"/>
    <w:rsid w:val="006C3758"/>
    <w:rsid w:val="006C395F"/>
    <w:rsid w:val="006C418A"/>
    <w:rsid w:val="006C4BD0"/>
    <w:rsid w:val="006C6786"/>
    <w:rsid w:val="006C6ACC"/>
    <w:rsid w:val="006C7D38"/>
    <w:rsid w:val="006D034D"/>
    <w:rsid w:val="006D0679"/>
    <w:rsid w:val="006D2D8F"/>
    <w:rsid w:val="006D5CA9"/>
    <w:rsid w:val="006D7254"/>
    <w:rsid w:val="006E1A8E"/>
    <w:rsid w:val="006E36E2"/>
    <w:rsid w:val="006E3BA2"/>
    <w:rsid w:val="006E4264"/>
    <w:rsid w:val="006E4A53"/>
    <w:rsid w:val="006E5BF4"/>
    <w:rsid w:val="006E6252"/>
    <w:rsid w:val="006E770B"/>
    <w:rsid w:val="006E7B06"/>
    <w:rsid w:val="006F1668"/>
    <w:rsid w:val="006F1A3B"/>
    <w:rsid w:val="006F2054"/>
    <w:rsid w:val="006F44F1"/>
    <w:rsid w:val="00700294"/>
    <w:rsid w:val="00702DD9"/>
    <w:rsid w:val="00703432"/>
    <w:rsid w:val="007037F5"/>
    <w:rsid w:val="00703A65"/>
    <w:rsid w:val="0070499F"/>
    <w:rsid w:val="0071018F"/>
    <w:rsid w:val="0071361D"/>
    <w:rsid w:val="00713E18"/>
    <w:rsid w:val="0071607F"/>
    <w:rsid w:val="00717F69"/>
    <w:rsid w:val="00722C96"/>
    <w:rsid w:val="00723081"/>
    <w:rsid w:val="0072472A"/>
    <w:rsid w:val="007248F6"/>
    <w:rsid w:val="00724B51"/>
    <w:rsid w:val="007251E1"/>
    <w:rsid w:val="00725A89"/>
    <w:rsid w:val="007266CF"/>
    <w:rsid w:val="00726BF6"/>
    <w:rsid w:val="00730940"/>
    <w:rsid w:val="00731071"/>
    <w:rsid w:val="00731B82"/>
    <w:rsid w:val="00732AFC"/>
    <w:rsid w:val="007333D1"/>
    <w:rsid w:val="007335A1"/>
    <w:rsid w:val="00733DF7"/>
    <w:rsid w:val="00741A64"/>
    <w:rsid w:val="00741F55"/>
    <w:rsid w:val="00743E16"/>
    <w:rsid w:val="00745AD1"/>
    <w:rsid w:val="00745EC7"/>
    <w:rsid w:val="007532D0"/>
    <w:rsid w:val="0075378D"/>
    <w:rsid w:val="00754189"/>
    <w:rsid w:val="007567F2"/>
    <w:rsid w:val="00760663"/>
    <w:rsid w:val="00763CDF"/>
    <w:rsid w:val="00764E8D"/>
    <w:rsid w:val="0076644D"/>
    <w:rsid w:val="007676F9"/>
    <w:rsid w:val="00770179"/>
    <w:rsid w:val="007705A4"/>
    <w:rsid w:val="007757BE"/>
    <w:rsid w:val="00775DC9"/>
    <w:rsid w:val="00780856"/>
    <w:rsid w:val="007811EA"/>
    <w:rsid w:val="00781D73"/>
    <w:rsid w:val="00781FC3"/>
    <w:rsid w:val="007823C4"/>
    <w:rsid w:val="00782474"/>
    <w:rsid w:val="00782A6C"/>
    <w:rsid w:val="00783455"/>
    <w:rsid w:val="0078455C"/>
    <w:rsid w:val="00785610"/>
    <w:rsid w:val="00786A41"/>
    <w:rsid w:val="00786B4C"/>
    <w:rsid w:val="007879C3"/>
    <w:rsid w:val="00790714"/>
    <w:rsid w:val="007909B0"/>
    <w:rsid w:val="00790B98"/>
    <w:rsid w:val="00792939"/>
    <w:rsid w:val="0079332E"/>
    <w:rsid w:val="00793A37"/>
    <w:rsid w:val="007950E8"/>
    <w:rsid w:val="00795F5D"/>
    <w:rsid w:val="00795F6E"/>
    <w:rsid w:val="007974A5"/>
    <w:rsid w:val="00797704"/>
    <w:rsid w:val="007978A8"/>
    <w:rsid w:val="00797B76"/>
    <w:rsid w:val="007A0427"/>
    <w:rsid w:val="007A1BEA"/>
    <w:rsid w:val="007A2AC7"/>
    <w:rsid w:val="007A46B4"/>
    <w:rsid w:val="007A688B"/>
    <w:rsid w:val="007A6C16"/>
    <w:rsid w:val="007A72DC"/>
    <w:rsid w:val="007B1C7F"/>
    <w:rsid w:val="007B2220"/>
    <w:rsid w:val="007B38D4"/>
    <w:rsid w:val="007B4846"/>
    <w:rsid w:val="007C0C43"/>
    <w:rsid w:val="007C0DED"/>
    <w:rsid w:val="007C1884"/>
    <w:rsid w:val="007C2AA2"/>
    <w:rsid w:val="007C37E4"/>
    <w:rsid w:val="007C46A0"/>
    <w:rsid w:val="007C7569"/>
    <w:rsid w:val="007D14A3"/>
    <w:rsid w:val="007D47AA"/>
    <w:rsid w:val="007D4FBD"/>
    <w:rsid w:val="007D50DA"/>
    <w:rsid w:val="007D514E"/>
    <w:rsid w:val="007D79DE"/>
    <w:rsid w:val="007E16C9"/>
    <w:rsid w:val="007E27D5"/>
    <w:rsid w:val="007E2B09"/>
    <w:rsid w:val="007E2DB6"/>
    <w:rsid w:val="007E32D2"/>
    <w:rsid w:val="007E53B9"/>
    <w:rsid w:val="007E577A"/>
    <w:rsid w:val="007F06AE"/>
    <w:rsid w:val="007F246F"/>
    <w:rsid w:val="007F25F4"/>
    <w:rsid w:val="007F4B2E"/>
    <w:rsid w:val="007F570D"/>
    <w:rsid w:val="007F583C"/>
    <w:rsid w:val="007F5ACD"/>
    <w:rsid w:val="007F5B9D"/>
    <w:rsid w:val="007F6196"/>
    <w:rsid w:val="007F741F"/>
    <w:rsid w:val="007F792A"/>
    <w:rsid w:val="007F7A48"/>
    <w:rsid w:val="0080280A"/>
    <w:rsid w:val="00803C3D"/>
    <w:rsid w:val="00805330"/>
    <w:rsid w:val="0080641D"/>
    <w:rsid w:val="00807E87"/>
    <w:rsid w:val="00810C5F"/>
    <w:rsid w:val="00811062"/>
    <w:rsid w:val="0081351D"/>
    <w:rsid w:val="00813BAB"/>
    <w:rsid w:val="00813D75"/>
    <w:rsid w:val="00816292"/>
    <w:rsid w:val="00821E1D"/>
    <w:rsid w:val="00821EA2"/>
    <w:rsid w:val="00822148"/>
    <w:rsid w:val="00822FF7"/>
    <w:rsid w:val="0082494B"/>
    <w:rsid w:val="00825041"/>
    <w:rsid w:val="00826727"/>
    <w:rsid w:val="00826C9D"/>
    <w:rsid w:val="008275C3"/>
    <w:rsid w:val="00831ED6"/>
    <w:rsid w:val="00832000"/>
    <w:rsid w:val="00832FCB"/>
    <w:rsid w:val="00834BFE"/>
    <w:rsid w:val="00835CE5"/>
    <w:rsid w:val="00835F48"/>
    <w:rsid w:val="00836506"/>
    <w:rsid w:val="00836A14"/>
    <w:rsid w:val="00836DDE"/>
    <w:rsid w:val="00837F4D"/>
    <w:rsid w:val="0084152C"/>
    <w:rsid w:val="00842C40"/>
    <w:rsid w:val="008431C4"/>
    <w:rsid w:val="008460A3"/>
    <w:rsid w:val="0084645C"/>
    <w:rsid w:val="00846A3F"/>
    <w:rsid w:val="00846BE5"/>
    <w:rsid w:val="00850B02"/>
    <w:rsid w:val="0085113E"/>
    <w:rsid w:val="0085247A"/>
    <w:rsid w:val="00860644"/>
    <w:rsid w:val="0086090F"/>
    <w:rsid w:val="00861A73"/>
    <w:rsid w:val="008626AE"/>
    <w:rsid w:val="00863968"/>
    <w:rsid w:val="00863B7A"/>
    <w:rsid w:val="00863DB9"/>
    <w:rsid w:val="00864BF0"/>
    <w:rsid w:val="00865130"/>
    <w:rsid w:val="0086554D"/>
    <w:rsid w:val="00865981"/>
    <w:rsid w:val="00865DB2"/>
    <w:rsid w:val="008667BB"/>
    <w:rsid w:val="008668EA"/>
    <w:rsid w:val="00870080"/>
    <w:rsid w:val="00871768"/>
    <w:rsid w:val="008741EA"/>
    <w:rsid w:val="00874B33"/>
    <w:rsid w:val="00875637"/>
    <w:rsid w:val="008764C7"/>
    <w:rsid w:val="00877499"/>
    <w:rsid w:val="00880AB8"/>
    <w:rsid w:val="008817A1"/>
    <w:rsid w:val="00883A00"/>
    <w:rsid w:val="00884511"/>
    <w:rsid w:val="00885847"/>
    <w:rsid w:val="00885D76"/>
    <w:rsid w:val="00886F27"/>
    <w:rsid w:val="00890174"/>
    <w:rsid w:val="008919B0"/>
    <w:rsid w:val="0089347D"/>
    <w:rsid w:val="00893597"/>
    <w:rsid w:val="008955E8"/>
    <w:rsid w:val="00895F97"/>
    <w:rsid w:val="008A0AAD"/>
    <w:rsid w:val="008A0D01"/>
    <w:rsid w:val="008A0D29"/>
    <w:rsid w:val="008A1AB7"/>
    <w:rsid w:val="008A1F64"/>
    <w:rsid w:val="008A25C5"/>
    <w:rsid w:val="008A2DA2"/>
    <w:rsid w:val="008A64EE"/>
    <w:rsid w:val="008A740A"/>
    <w:rsid w:val="008A7707"/>
    <w:rsid w:val="008B0398"/>
    <w:rsid w:val="008B0463"/>
    <w:rsid w:val="008B0F77"/>
    <w:rsid w:val="008B1597"/>
    <w:rsid w:val="008B2912"/>
    <w:rsid w:val="008B6B17"/>
    <w:rsid w:val="008B6DFB"/>
    <w:rsid w:val="008B7BF6"/>
    <w:rsid w:val="008B7C55"/>
    <w:rsid w:val="008C2571"/>
    <w:rsid w:val="008C2704"/>
    <w:rsid w:val="008C3B3C"/>
    <w:rsid w:val="008C45AE"/>
    <w:rsid w:val="008C5406"/>
    <w:rsid w:val="008C73EC"/>
    <w:rsid w:val="008C740B"/>
    <w:rsid w:val="008D0CA6"/>
    <w:rsid w:val="008D10F4"/>
    <w:rsid w:val="008D1B24"/>
    <w:rsid w:val="008D21A5"/>
    <w:rsid w:val="008D2919"/>
    <w:rsid w:val="008D295D"/>
    <w:rsid w:val="008D6D61"/>
    <w:rsid w:val="008D7237"/>
    <w:rsid w:val="008E04FC"/>
    <w:rsid w:val="008E08B5"/>
    <w:rsid w:val="008E1FD7"/>
    <w:rsid w:val="008E3460"/>
    <w:rsid w:val="008E3E8F"/>
    <w:rsid w:val="008E3E9D"/>
    <w:rsid w:val="008E60A5"/>
    <w:rsid w:val="008E68A2"/>
    <w:rsid w:val="008F0A0F"/>
    <w:rsid w:val="008F1A3D"/>
    <w:rsid w:val="008F2853"/>
    <w:rsid w:val="008F3DAA"/>
    <w:rsid w:val="008F416D"/>
    <w:rsid w:val="008F430A"/>
    <w:rsid w:val="008F58A3"/>
    <w:rsid w:val="008F754A"/>
    <w:rsid w:val="0090023D"/>
    <w:rsid w:val="00900B43"/>
    <w:rsid w:val="00901A2B"/>
    <w:rsid w:val="0090254D"/>
    <w:rsid w:val="009045BA"/>
    <w:rsid w:val="00904994"/>
    <w:rsid w:val="00904A24"/>
    <w:rsid w:val="00905449"/>
    <w:rsid w:val="00905E47"/>
    <w:rsid w:val="00906D4D"/>
    <w:rsid w:val="00907336"/>
    <w:rsid w:val="0090744F"/>
    <w:rsid w:val="00907B31"/>
    <w:rsid w:val="0091000B"/>
    <w:rsid w:val="00910C61"/>
    <w:rsid w:val="0091167F"/>
    <w:rsid w:val="009124CE"/>
    <w:rsid w:val="00912A64"/>
    <w:rsid w:val="00913B6F"/>
    <w:rsid w:val="0091427F"/>
    <w:rsid w:val="009151BF"/>
    <w:rsid w:val="00916ABA"/>
    <w:rsid w:val="00916DF3"/>
    <w:rsid w:val="00917128"/>
    <w:rsid w:val="009211EA"/>
    <w:rsid w:val="009214A1"/>
    <w:rsid w:val="00921F58"/>
    <w:rsid w:val="00922CB1"/>
    <w:rsid w:val="009244E6"/>
    <w:rsid w:val="00927AA7"/>
    <w:rsid w:val="009302C5"/>
    <w:rsid w:val="00931596"/>
    <w:rsid w:val="0093299A"/>
    <w:rsid w:val="00933770"/>
    <w:rsid w:val="00933D2C"/>
    <w:rsid w:val="00936126"/>
    <w:rsid w:val="00940028"/>
    <w:rsid w:val="00941330"/>
    <w:rsid w:val="009431F8"/>
    <w:rsid w:val="00943292"/>
    <w:rsid w:val="009436D5"/>
    <w:rsid w:val="00943A09"/>
    <w:rsid w:val="00943D6D"/>
    <w:rsid w:val="0094562F"/>
    <w:rsid w:val="009457D4"/>
    <w:rsid w:val="00945FAA"/>
    <w:rsid w:val="00947CFC"/>
    <w:rsid w:val="00950C18"/>
    <w:rsid w:val="00950E13"/>
    <w:rsid w:val="00951796"/>
    <w:rsid w:val="00952140"/>
    <w:rsid w:val="00952604"/>
    <w:rsid w:val="009528D9"/>
    <w:rsid w:val="00952AC0"/>
    <w:rsid w:val="00953127"/>
    <w:rsid w:val="009532F4"/>
    <w:rsid w:val="00956265"/>
    <w:rsid w:val="00956964"/>
    <w:rsid w:val="00956FA7"/>
    <w:rsid w:val="009578CC"/>
    <w:rsid w:val="00957C15"/>
    <w:rsid w:val="00960CEB"/>
    <w:rsid w:val="00962970"/>
    <w:rsid w:val="00962B41"/>
    <w:rsid w:val="0096469B"/>
    <w:rsid w:val="00964A2C"/>
    <w:rsid w:val="009653A5"/>
    <w:rsid w:val="00965781"/>
    <w:rsid w:val="00965AED"/>
    <w:rsid w:val="00965B1B"/>
    <w:rsid w:val="009678F2"/>
    <w:rsid w:val="00971F29"/>
    <w:rsid w:val="00974110"/>
    <w:rsid w:val="009766D7"/>
    <w:rsid w:val="00977B0C"/>
    <w:rsid w:val="009806CB"/>
    <w:rsid w:val="009807B4"/>
    <w:rsid w:val="009814F7"/>
    <w:rsid w:val="00983DB5"/>
    <w:rsid w:val="00984F7B"/>
    <w:rsid w:val="0098572E"/>
    <w:rsid w:val="00991171"/>
    <w:rsid w:val="00992080"/>
    <w:rsid w:val="00992EA1"/>
    <w:rsid w:val="00993C16"/>
    <w:rsid w:val="009947AD"/>
    <w:rsid w:val="009950FE"/>
    <w:rsid w:val="00995787"/>
    <w:rsid w:val="00995AF4"/>
    <w:rsid w:val="00995C75"/>
    <w:rsid w:val="00995DB6"/>
    <w:rsid w:val="00996DDF"/>
    <w:rsid w:val="00997043"/>
    <w:rsid w:val="0099707D"/>
    <w:rsid w:val="009A1286"/>
    <w:rsid w:val="009A186D"/>
    <w:rsid w:val="009A30C8"/>
    <w:rsid w:val="009A37CD"/>
    <w:rsid w:val="009A4D3B"/>
    <w:rsid w:val="009A5E55"/>
    <w:rsid w:val="009A6A70"/>
    <w:rsid w:val="009A72C7"/>
    <w:rsid w:val="009A7EE2"/>
    <w:rsid w:val="009B1232"/>
    <w:rsid w:val="009B29CB"/>
    <w:rsid w:val="009B3492"/>
    <w:rsid w:val="009B77BA"/>
    <w:rsid w:val="009C0015"/>
    <w:rsid w:val="009C0E02"/>
    <w:rsid w:val="009C10CD"/>
    <w:rsid w:val="009C149B"/>
    <w:rsid w:val="009C1AE7"/>
    <w:rsid w:val="009C1EDB"/>
    <w:rsid w:val="009C2CB9"/>
    <w:rsid w:val="009C36BE"/>
    <w:rsid w:val="009D035E"/>
    <w:rsid w:val="009D4206"/>
    <w:rsid w:val="009D50D7"/>
    <w:rsid w:val="009D5EB0"/>
    <w:rsid w:val="009D7402"/>
    <w:rsid w:val="009D7C8E"/>
    <w:rsid w:val="009E07C4"/>
    <w:rsid w:val="009E088C"/>
    <w:rsid w:val="009E0D99"/>
    <w:rsid w:val="009E1BA8"/>
    <w:rsid w:val="009E211A"/>
    <w:rsid w:val="009E2443"/>
    <w:rsid w:val="009E373A"/>
    <w:rsid w:val="009E3964"/>
    <w:rsid w:val="009E3C94"/>
    <w:rsid w:val="009E53AC"/>
    <w:rsid w:val="009E6EB4"/>
    <w:rsid w:val="009E7D53"/>
    <w:rsid w:val="009F0567"/>
    <w:rsid w:val="009F1242"/>
    <w:rsid w:val="009F243E"/>
    <w:rsid w:val="009F2844"/>
    <w:rsid w:val="009F36E7"/>
    <w:rsid w:val="009F50B1"/>
    <w:rsid w:val="009F5A2E"/>
    <w:rsid w:val="009F7A14"/>
    <w:rsid w:val="009F7F31"/>
    <w:rsid w:val="00A00672"/>
    <w:rsid w:val="00A00823"/>
    <w:rsid w:val="00A00FCA"/>
    <w:rsid w:val="00A0353A"/>
    <w:rsid w:val="00A04FF0"/>
    <w:rsid w:val="00A066F0"/>
    <w:rsid w:val="00A0686D"/>
    <w:rsid w:val="00A108DB"/>
    <w:rsid w:val="00A1370D"/>
    <w:rsid w:val="00A156CC"/>
    <w:rsid w:val="00A15B54"/>
    <w:rsid w:val="00A17420"/>
    <w:rsid w:val="00A21167"/>
    <w:rsid w:val="00A21241"/>
    <w:rsid w:val="00A25116"/>
    <w:rsid w:val="00A25911"/>
    <w:rsid w:val="00A25D31"/>
    <w:rsid w:val="00A25E91"/>
    <w:rsid w:val="00A261A7"/>
    <w:rsid w:val="00A27AAA"/>
    <w:rsid w:val="00A3020A"/>
    <w:rsid w:val="00A30BC2"/>
    <w:rsid w:val="00A31144"/>
    <w:rsid w:val="00A31449"/>
    <w:rsid w:val="00A31859"/>
    <w:rsid w:val="00A31B46"/>
    <w:rsid w:val="00A32ABB"/>
    <w:rsid w:val="00A32AC3"/>
    <w:rsid w:val="00A339AC"/>
    <w:rsid w:val="00A33E18"/>
    <w:rsid w:val="00A34460"/>
    <w:rsid w:val="00A345B7"/>
    <w:rsid w:val="00A34BE6"/>
    <w:rsid w:val="00A360C5"/>
    <w:rsid w:val="00A36345"/>
    <w:rsid w:val="00A370B4"/>
    <w:rsid w:val="00A3739F"/>
    <w:rsid w:val="00A373A8"/>
    <w:rsid w:val="00A3761F"/>
    <w:rsid w:val="00A40498"/>
    <w:rsid w:val="00A42628"/>
    <w:rsid w:val="00A442BE"/>
    <w:rsid w:val="00A44332"/>
    <w:rsid w:val="00A448CB"/>
    <w:rsid w:val="00A51A96"/>
    <w:rsid w:val="00A5212F"/>
    <w:rsid w:val="00A53A89"/>
    <w:rsid w:val="00A55244"/>
    <w:rsid w:val="00A56000"/>
    <w:rsid w:val="00A57645"/>
    <w:rsid w:val="00A57839"/>
    <w:rsid w:val="00A5795E"/>
    <w:rsid w:val="00A6027A"/>
    <w:rsid w:val="00A61B5E"/>
    <w:rsid w:val="00A61D6E"/>
    <w:rsid w:val="00A624F2"/>
    <w:rsid w:val="00A62810"/>
    <w:rsid w:val="00A628EE"/>
    <w:rsid w:val="00A62EE5"/>
    <w:rsid w:val="00A63E93"/>
    <w:rsid w:val="00A6403A"/>
    <w:rsid w:val="00A64095"/>
    <w:rsid w:val="00A64A5C"/>
    <w:rsid w:val="00A64E4F"/>
    <w:rsid w:val="00A65524"/>
    <w:rsid w:val="00A65D86"/>
    <w:rsid w:val="00A669F6"/>
    <w:rsid w:val="00A67B2C"/>
    <w:rsid w:val="00A70CDF"/>
    <w:rsid w:val="00A71CA0"/>
    <w:rsid w:val="00A73CCC"/>
    <w:rsid w:val="00A74CB7"/>
    <w:rsid w:val="00A7584C"/>
    <w:rsid w:val="00A762DB"/>
    <w:rsid w:val="00A770C0"/>
    <w:rsid w:val="00A77525"/>
    <w:rsid w:val="00A77605"/>
    <w:rsid w:val="00A80AB6"/>
    <w:rsid w:val="00A81450"/>
    <w:rsid w:val="00A81BF5"/>
    <w:rsid w:val="00A82163"/>
    <w:rsid w:val="00A831FF"/>
    <w:rsid w:val="00A8334E"/>
    <w:rsid w:val="00A84443"/>
    <w:rsid w:val="00A853DC"/>
    <w:rsid w:val="00A85BB4"/>
    <w:rsid w:val="00A869A8"/>
    <w:rsid w:val="00A86A44"/>
    <w:rsid w:val="00A87911"/>
    <w:rsid w:val="00A9005B"/>
    <w:rsid w:val="00A90AF5"/>
    <w:rsid w:val="00A920BB"/>
    <w:rsid w:val="00A93750"/>
    <w:rsid w:val="00A93E52"/>
    <w:rsid w:val="00A946BB"/>
    <w:rsid w:val="00A94A20"/>
    <w:rsid w:val="00A958ED"/>
    <w:rsid w:val="00A9606F"/>
    <w:rsid w:val="00A963C7"/>
    <w:rsid w:val="00A96E68"/>
    <w:rsid w:val="00AA0CD8"/>
    <w:rsid w:val="00AA1E71"/>
    <w:rsid w:val="00AA3B42"/>
    <w:rsid w:val="00AA4530"/>
    <w:rsid w:val="00AA4F99"/>
    <w:rsid w:val="00AA5B27"/>
    <w:rsid w:val="00AA644F"/>
    <w:rsid w:val="00AA6923"/>
    <w:rsid w:val="00AA6A05"/>
    <w:rsid w:val="00AA731B"/>
    <w:rsid w:val="00AA7B0A"/>
    <w:rsid w:val="00AB0F10"/>
    <w:rsid w:val="00AB14CE"/>
    <w:rsid w:val="00AB1E12"/>
    <w:rsid w:val="00AB27C3"/>
    <w:rsid w:val="00AB2F54"/>
    <w:rsid w:val="00AB347F"/>
    <w:rsid w:val="00AB6ABA"/>
    <w:rsid w:val="00AB6E0E"/>
    <w:rsid w:val="00AC15FE"/>
    <w:rsid w:val="00AC1781"/>
    <w:rsid w:val="00AC185B"/>
    <w:rsid w:val="00AC23B6"/>
    <w:rsid w:val="00AC3230"/>
    <w:rsid w:val="00AC40E6"/>
    <w:rsid w:val="00AC5BF8"/>
    <w:rsid w:val="00AC69DC"/>
    <w:rsid w:val="00AC7A35"/>
    <w:rsid w:val="00AC7AD2"/>
    <w:rsid w:val="00AD054A"/>
    <w:rsid w:val="00AD1506"/>
    <w:rsid w:val="00AD1B83"/>
    <w:rsid w:val="00AD1C7C"/>
    <w:rsid w:val="00AD3DA4"/>
    <w:rsid w:val="00AD4B73"/>
    <w:rsid w:val="00AD5139"/>
    <w:rsid w:val="00AD6438"/>
    <w:rsid w:val="00AD72BC"/>
    <w:rsid w:val="00AD72EB"/>
    <w:rsid w:val="00AE14A4"/>
    <w:rsid w:val="00AE1C49"/>
    <w:rsid w:val="00AE5AC2"/>
    <w:rsid w:val="00AE748E"/>
    <w:rsid w:val="00AE7F6D"/>
    <w:rsid w:val="00AF086D"/>
    <w:rsid w:val="00AF1B67"/>
    <w:rsid w:val="00AF1BD7"/>
    <w:rsid w:val="00AF259E"/>
    <w:rsid w:val="00AF2982"/>
    <w:rsid w:val="00AF2A98"/>
    <w:rsid w:val="00AF2D74"/>
    <w:rsid w:val="00AF36A3"/>
    <w:rsid w:val="00AF3F96"/>
    <w:rsid w:val="00AF4E0B"/>
    <w:rsid w:val="00AF565D"/>
    <w:rsid w:val="00AF61B9"/>
    <w:rsid w:val="00AF61C4"/>
    <w:rsid w:val="00AF6ED2"/>
    <w:rsid w:val="00AF749E"/>
    <w:rsid w:val="00AF7F6E"/>
    <w:rsid w:val="00B008CE"/>
    <w:rsid w:val="00B017A6"/>
    <w:rsid w:val="00B038B2"/>
    <w:rsid w:val="00B03AD5"/>
    <w:rsid w:val="00B040B0"/>
    <w:rsid w:val="00B04363"/>
    <w:rsid w:val="00B04BDD"/>
    <w:rsid w:val="00B05A4B"/>
    <w:rsid w:val="00B05DCC"/>
    <w:rsid w:val="00B06F56"/>
    <w:rsid w:val="00B07C3D"/>
    <w:rsid w:val="00B10029"/>
    <w:rsid w:val="00B10E06"/>
    <w:rsid w:val="00B11035"/>
    <w:rsid w:val="00B1175A"/>
    <w:rsid w:val="00B12266"/>
    <w:rsid w:val="00B132CD"/>
    <w:rsid w:val="00B13DBF"/>
    <w:rsid w:val="00B13DE9"/>
    <w:rsid w:val="00B14B8D"/>
    <w:rsid w:val="00B1561C"/>
    <w:rsid w:val="00B15FC1"/>
    <w:rsid w:val="00B16069"/>
    <w:rsid w:val="00B16667"/>
    <w:rsid w:val="00B17AF1"/>
    <w:rsid w:val="00B20030"/>
    <w:rsid w:val="00B2042D"/>
    <w:rsid w:val="00B21EE1"/>
    <w:rsid w:val="00B22010"/>
    <w:rsid w:val="00B241BA"/>
    <w:rsid w:val="00B30CD1"/>
    <w:rsid w:val="00B315A8"/>
    <w:rsid w:val="00B32287"/>
    <w:rsid w:val="00B3291A"/>
    <w:rsid w:val="00B32BF7"/>
    <w:rsid w:val="00B336D1"/>
    <w:rsid w:val="00B3475A"/>
    <w:rsid w:val="00B3614E"/>
    <w:rsid w:val="00B36CBB"/>
    <w:rsid w:val="00B37BC1"/>
    <w:rsid w:val="00B40056"/>
    <w:rsid w:val="00B41165"/>
    <w:rsid w:val="00B413F7"/>
    <w:rsid w:val="00B42345"/>
    <w:rsid w:val="00B42700"/>
    <w:rsid w:val="00B42CC2"/>
    <w:rsid w:val="00B42FD8"/>
    <w:rsid w:val="00B45B16"/>
    <w:rsid w:val="00B46D6A"/>
    <w:rsid w:val="00B46EB2"/>
    <w:rsid w:val="00B510AC"/>
    <w:rsid w:val="00B51516"/>
    <w:rsid w:val="00B51AF0"/>
    <w:rsid w:val="00B5220F"/>
    <w:rsid w:val="00B52B39"/>
    <w:rsid w:val="00B52D99"/>
    <w:rsid w:val="00B5318B"/>
    <w:rsid w:val="00B55130"/>
    <w:rsid w:val="00B562C8"/>
    <w:rsid w:val="00B5664C"/>
    <w:rsid w:val="00B57BF4"/>
    <w:rsid w:val="00B57E23"/>
    <w:rsid w:val="00B6227E"/>
    <w:rsid w:val="00B6243E"/>
    <w:rsid w:val="00B632D9"/>
    <w:rsid w:val="00B64DA5"/>
    <w:rsid w:val="00B66653"/>
    <w:rsid w:val="00B666EC"/>
    <w:rsid w:val="00B66F65"/>
    <w:rsid w:val="00B6713A"/>
    <w:rsid w:val="00B67380"/>
    <w:rsid w:val="00B70A5A"/>
    <w:rsid w:val="00B739AA"/>
    <w:rsid w:val="00B744FD"/>
    <w:rsid w:val="00B75CDB"/>
    <w:rsid w:val="00B7608B"/>
    <w:rsid w:val="00B76A2C"/>
    <w:rsid w:val="00B76D36"/>
    <w:rsid w:val="00B80CA3"/>
    <w:rsid w:val="00B81AB2"/>
    <w:rsid w:val="00B8213C"/>
    <w:rsid w:val="00B83080"/>
    <w:rsid w:val="00B83C07"/>
    <w:rsid w:val="00B85B42"/>
    <w:rsid w:val="00B85C97"/>
    <w:rsid w:val="00B87E06"/>
    <w:rsid w:val="00B90CE5"/>
    <w:rsid w:val="00B92138"/>
    <w:rsid w:val="00B924D7"/>
    <w:rsid w:val="00B92FC9"/>
    <w:rsid w:val="00B94475"/>
    <w:rsid w:val="00B95680"/>
    <w:rsid w:val="00B95993"/>
    <w:rsid w:val="00B95DB7"/>
    <w:rsid w:val="00B968A6"/>
    <w:rsid w:val="00B96C1F"/>
    <w:rsid w:val="00B97F84"/>
    <w:rsid w:val="00BA0BB3"/>
    <w:rsid w:val="00BA0C5D"/>
    <w:rsid w:val="00BA215C"/>
    <w:rsid w:val="00BA30F9"/>
    <w:rsid w:val="00BA3390"/>
    <w:rsid w:val="00BA3762"/>
    <w:rsid w:val="00BA39D5"/>
    <w:rsid w:val="00BA3EB6"/>
    <w:rsid w:val="00BA475C"/>
    <w:rsid w:val="00BA52ED"/>
    <w:rsid w:val="00BA608E"/>
    <w:rsid w:val="00BA6C55"/>
    <w:rsid w:val="00BB03A1"/>
    <w:rsid w:val="00BB04D8"/>
    <w:rsid w:val="00BB0C40"/>
    <w:rsid w:val="00BB1B87"/>
    <w:rsid w:val="00BB1CF9"/>
    <w:rsid w:val="00BB22FF"/>
    <w:rsid w:val="00BB2D0E"/>
    <w:rsid w:val="00BB35FE"/>
    <w:rsid w:val="00BB39ED"/>
    <w:rsid w:val="00BB4133"/>
    <w:rsid w:val="00BB4D7D"/>
    <w:rsid w:val="00BB67A0"/>
    <w:rsid w:val="00BB7598"/>
    <w:rsid w:val="00BB7599"/>
    <w:rsid w:val="00BB7F95"/>
    <w:rsid w:val="00BC07BB"/>
    <w:rsid w:val="00BC3857"/>
    <w:rsid w:val="00BC4A5B"/>
    <w:rsid w:val="00BC4C1D"/>
    <w:rsid w:val="00BC5425"/>
    <w:rsid w:val="00BC54A9"/>
    <w:rsid w:val="00BC6D72"/>
    <w:rsid w:val="00BC7089"/>
    <w:rsid w:val="00BC7208"/>
    <w:rsid w:val="00BD286A"/>
    <w:rsid w:val="00BD4C49"/>
    <w:rsid w:val="00BD5307"/>
    <w:rsid w:val="00BD5924"/>
    <w:rsid w:val="00BD59BD"/>
    <w:rsid w:val="00BD751D"/>
    <w:rsid w:val="00BE1223"/>
    <w:rsid w:val="00BE15DD"/>
    <w:rsid w:val="00BE1A87"/>
    <w:rsid w:val="00BE2A6A"/>
    <w:rsid w:val="00BE31BF"/>
    <w:rsid w:val="00BE36DF"/>
    <w:rsid w:val="00BE590E"/>
    <w:rsid w:val="00BE5CE2"/>
    <w:rsid w:val="00BE5E63"/>
    <w:rsid w:val="00BE670E"/>
    <w:rsid w:val="00BE6FF1"/>
    <w:rsid w:val="00BF06DE"/>
    <w:rsid w:val="00BF2147"/>
    <w:rsid w:val="00BF30C1"/>
    <w:rsid w:val="00BF37CD"/>
    <w:rsid w:val="00BF3F93"/>
    <w:rsid w:val="00BF41C3"/>
    <w:rsid w:val="00BF5963"/>
    <w:rsid w:val="00BF654D"/>
    <w:rsid w:val="00BF6DBA"/>
    <w:rsid w:val="00BF7D03"/>
    <w:rsid w:val="00C00CC5"/>
    <w:rsid w:val="00C017A4"/>
    <w:rsid w:val="00C017B7"/>
    <w:rsid w:val="00C01A3E"/>
    <w:rsid w:val="00C01FED"/>
    <w:rsid w:val="00C022C6"/>
    <w:rsid w:val="00C025A7"/>
    <w:rsid w:val="00C03572"/>
    <w:rsid w:val="00C05A8D"/>
    <w:rsid w:val="00C06EE1"/>
    <w:rsid w:val="00C06F00"/>
    <w:rsid w:val="00C07793"/>
    <w:rsid w:val="00C07E3E"/>
    <w:rsid w:val="00C1096B"/>
    <w:rsid w:val="00C116B5"/>
    <w:rsid w:val="00C1407B"/>
    <w:rsid w:val="00C144C1"/>
    <w:rsid w:val="00C150FF"/>
    <w:rsid w:val="00C155AD"/>
    <w:rsid w:val="00C156C4"/>
    <w:rsid w:val="00C160EC"/>
    <w:rsid w:val="00C1748D"/>
    <w:rsid w:val="00C20BFA"/>
    <w:rsid w:val="00C20E69"/>
    <w:rsid w:val="00C246F5"/>
    <w:rsid w:val="00C25B5F"/>
    <w:rsid w:val="00C271F2"/>
    <w:rsid w:val="00C32321"/>
    <w:rsid w:val="00C328DB"/>
    <w:rsid w:val="00C33838"/>
    <w:rsid w:val="00C3403B"/>
    <w:rsid w:val="00C35C52"/>
    <w:rsid w:val="00C35FFB"/>
    <w:rsid w:val="00C3794E"/>
    <w:rsid w:val="00C37FA0"/>
    <w:rsid w:val="00C41F07"/>
    <w:rsid w:val="00C430F0"/>
    <w:rsid w:val="00C432B2"/>
    <w:rsid w:val="00C43750"/>
    <w:rsid w:val="00C4406E"/>
    <w:rsid w:val="00C45293"/>
    <w:rsid w:val="00C463BD"/>
    <w:rsid w:val="00C468E7"/>
    <w:rsid w:val="00C50B5E"/>
    <w:rsid w:val="00C50B8B"/>
    <w:rsid w:val="00C51F7E"/>
    <w:rsid w:val="00C525F7"/>
    <w:rsid w:val="00C52D06"/>
    <w:rsid w:val="00C578DA"/>
    <w:rsid w:val="00C5790F"/>
    <w:rsid w:val="00C5793F"/>
    <w:rsid w:val="00C60BAC"/>
    <w:rsid w:val="00C63680"/>
    <w:rsid w:val="00C63E22"/>
    <w:rsid w:val="00C64289"/>
    <w:rsid w:val="00C64B0D"/>
    <w:rsid w:val="00C6712B"/>
    <w:rsid w:val="00C6756B"/>
    <w:rsid w:val="00C67D57"/>
    <w:rsid w:val="00C70996"/>
    <w:rsid w:val="00C71560"/>
    <w:rsid w:val="00C72132"/>
    <w:rsid w:val="00C727D3"/>
    <w:rsid w:val="00C7394A"/>
    <w:rsid w:val="00C73FD4"/>
    <w:rsid w:val="00C76663"/>
    <w:rsid w:val="00C8012D"/>
    <w:rsid w:val="00C81A71"/>
    <w:rsid w:val="00C82418"/>
    <w:rsid w:val="00C829C8"/>
    <w:rsid w:val="00C82D20"/>
    <w:rsid w:val="00C832E4"/>
    <w:rsid w:val="00C85C06"/>
    <w:rsid w:val="00C86582"/>
    <w:rsid w:val="00C921B4"/>
    <w:rsid w:val="00C92FE8"/>
    <w:rsid w:val="00C949AE"/>
    <w:rsid w:val="00C9586A"/>
    <w:rsid w:val="00C97257"/>
    <w:rsid w:val="00C9735D"/>
    <w:rsid w:val="00C974F2"/>
    <w:rsid w:val="00C9766C"/>
    <w:rsid w:val="00CA0735"/>
    <w:rsid w:val="00CA3760"/>
    <w:rsid w:val="00CA3CC2"/>
    <w:rsid w:val="00CA4851"/>
    <w:rsid w:val="00CA55D8"/>
    <w:rsid w:val="00CB2070"/>
    <w:rsid w:val="00CB4961"/>
    <w:rsid w:val="00CB5124"/>
    <w:rsid w:val="00CB52BC"/>
    <w:rsid w:val="00CB5934"/>
    <w:rsid w:val="00CB59B6"/>
    <w:rsid w:val="00CB68E5"/>
    <w:rsid w:val="00CB6BC9"/>
    <w:rsid w:val="00CB727C"/>
    <w:rsid w:val="00CC02FA"/>
    <w:rsid w:val="00CC0C3D"/>
    <w:rsid w:val="00CC1057"/>
    <w:rsid w:val="00CC1EA8"/>
    <w:rsid w:val="00CC2266"/>
    <w:rsid w:val="00CC43DD"/>
    <w:rsid w:val="00CC44B9"/>
    <w:rsid w:val="00CC458F"/>
    <w:rsid w:val="00CC4840"/>
    <w:rsid w:val="00CC56EE"/>
    <w:rsid w:val="00CC5967"/>
    <w:rsid w:val="00CC5EB0"/>
    <w:rsid w:val="00CC7173"/>
    <w:rsid w:val="00CC7B61"/>
    <w:rsid w:val="00CD00C6"/>
    <w:rsid w:val="00CD0C37"/>
    <w:rsid w:val="00CD0E04"/>
    <w:rsid w:val="00CD0E0E"/>
    <w:rsid w:val="00CD0F26"/>
    <w:rsid w:val="00CD279E"/>
    <w:rsid w:val="00CD41D9"/>
    <w:rsid w:val="00CD4A0A"/>
    <w:rsid w:val="00CD4FF5"/>
    <w:rsid w:val="00CD5BA5"/>
    <w:rsid w:val="00CD723D"/>
    <w:rsid w:val="00CD73DB"/>
    <w:rsid w:val="00CD7C20"/>
    <w:rsid w:val="00CE1516"/>
    <w:rsid w:val="00CE1874"/>
    <w:rsid w:val="00CE1F16"/>
    <w:rsid w:val="00CE20D4"/>
    <w:rsid w:val="00CE430D"/>
    <w:rsid w:val="00CE48CB"/>
    <w:rsid w:val="00CE560B"/>
    <w:rsid w:val="00CE6187"/>
    <w:rsid w:val="00CE6BAB"/>
    <w:rsid w:val="00CE6E75"/>
    <w:rsid w:val="00CF01AD"/>
    <w:rsid w:val="00CF022C"/>
    <w:rsid w:val="00CF0795"/>
    <w:rsid w:val="00CF0BAF"/>
    <w:rsid w:val="00CF4630"/>
    <w:rsid w:val="00CF5A8C"/>
    <w:rsid w:val="00CF5D58"/>
    <w:rsid w:val="00CF794E"/>
    <w:rsid w:val="00D0394D"/>
    <w:rsid w:val="00D03F97"/>
    <w:rsid w:val="00D042B5"/>
    <w:rsid w:val="00D0575D"/>
    <w:rsid w:val="00D07321"/>
    <w:rsid w:val="00D10048"/>
    <w:rsid w:val="00D1049B"/>
    <w:rsid w:val="00D109A0"/>
    <w:rsid w:val="00D10AB8"/>
    <w:rsid w:val="00D111A5"/>
    <w:rsid w:val="00D128AD"/>
    <w:rsid w:val="00D14DCF"/>
    <w:rsid w:val="00D1661B"/>
    <w:rsid w:val="00D20B5F"/>
    <w:rsid w:val="00D210D9"/>
    <w:rsid w:val="00D21FC1"/>
    <w:rsid w:val="00D22DE5"/>
    <w:rsid w:val="00D23078"/>
    <w:rsid w:val="00D23A77"/>
    <w:rsid w:val="00D254D8"/>
    <w:rsid w:val="00D27579"/>
    <w:rsid w:val="00D276A5"/>
    <w:rsid w:val="00D304C8"/>
    <w:rsid w:val="00D31454"/>
    <w:rsid w:val="00D318BA"/>
    <w:rsid w:val="00D33C8D"/>
    <w:rsid w:val="00D343C2"/>
    <w:rsid w:val="00D3463C"/>
    <w:rsid w:val="00D34A07"/>
    <w:rsid w:val="00D351A3"/>
    <w:rsid w:val="00D355D6"/>
    <w:rsid w:val="00D359FB"/>
    <w:rsid w:val="00D360D7"/>
    <w:rsid w:val="00D37489"/>
    <w:rsid w:val="00D40DE5"/>
    <w:rsid w:val="00D41AEF"/>
    <w:rsid w:val="00D41C15"/>
    <w:rsid w:val="00D43A75"/>
    <w:rsid w:val="00D44296"/>
    <w:rsid w:val="00D4443F"/>
    <w:rsid w:val="00D44651"/>
    <w:rsid w:val="00D46CA6"/>
    <w:rsid w:val="00D472C1"/>
    <w:rsid w:val="00D47C18"/>
    <w:rsid w:val="00D50F5D"/>
    <w:rsid w:val="00D5306C"/>
    <w:rsid w:val="00D53EF0"/>
    <w:rsid w:val="00D546E8"/>
    <w:rsid w:val="00D54882"/>
    <w:rsid w:val="00D57339"/>
    <w:rsid w:val="00D61262"/>
    <w:rsid w:val="00D61E89"/>
    <w:rsid w:val="00D661E7"/>
    <w:rsid w:val="00D66361"/>
    <w:rsid w:val="00D67331"/>
    <w:rsid w:val="00D7196C"/>
    <w:rsid w:val="00D71999"/>
    <w:rsid w:val="00D723CD"/>
    <w:rsid w:val="00D759E6"/>
    <w:rsid w:val="00D801AF"/>
    <w:rsid w:val="00D80936"/>
    <w:rsid w:val="00D80961"/>
    <w:rsid w:val="00D81065"/>
    <w:rsid w:val="00D815E6"/>
    <w:rsid w:val="00D8169E"/>
    <w:rsid w:val="00D817F7"/>
    <w:rsid w:val="00D82F2A"/>
    <w:rsid w:val="00D8376F"/>
    <w:rsid w:val="00D839C5"/>
    <w:rsid w:val="00D85662"/>
    <w:rsid w:val="00D86721"/>
    <w:rsid w:val="00D86A14"/>
    <w:rsid w:val="00D93B58"/>
    <w:rsid w:val="00D93EED"/>
    <w:rsid w:val="00D94330"/>
    <w:rsid w:val="00D9567E"/>
    <w:rsid w:val="00D97B47"/>
    <w:rsid w:val="00DA05BB"/>
    <w:rsid w:val="00DA18A4"/>
    <w:rsid w:val="00DA35C5"/>
    <w:rsid w:val="00DA6040"/>
    <w:rsid w:val="00DA6C71"/>
    <w:rsid w:val="00DA79B8"/>
    <w:rsid w:val="00DA7D58"/>
    <w:rsid w:val="00DB0BF0"/>
    <w:rsid w:val="00DB18A9"/>
    <w:rsid w:val="00DB2B23"/>
    <w:rsid w:val="00DB2FAA"/>
    <w:rsid w:val="00DB4849"/>
    <w:rsid w:val="00DB4919"/>
    <w:rsid w:val="00DB6271"/>
    <w:rsid w:val="00DB7B7A"/>
    <w:rsid w:val="00DC2907"/>
    <w:rsid w:val="00DC2F6E"/>
    <w:rsid w:val="00DC3197"/>
    <w:rsid w:val="00DC3750"/>
    <w:rsid w:val="00DC5AB4"/>
    <w:rsid w:val="00DC5D93"/>
    <w:rsid w:val="00DC613B"/>
    <w:rsid w:val="00DC7F71"/>
    <w:rsid w:val="00DD1901"/>
    <w:rsid w:val="00DD4676"/>
    <w:rsid w:val="00DD60D9"/>
    <w:rsid w:val="00DD726D"/>
    <w:rsid w:val="00DD78E3"/>
    <w:rsid w:val="00DE038F"/>
    <w:rsid w:val="00DE0B90"/>
    <w:rsid w:val="00DE0CCE"/>
    <w:rsid w:val="00DE151D"/>
    <w:rsid w:val="00DE16A4"/>
    <w:rsid w:val="00DE1B17"/>
    <w:rsid w:val="00DE559F"/>
    <w:rsid w:val="00DE5738"/>
    <w:rsid w:val="00DE7D14"/>
    <w:rsid w:val="00DF00B6"/>
    <w:rsid w:val="00DF00E5"/>
    <w:rsid w:val="00DF1956"/>
    <w:rsid w:val="00DF24C4"/>
    <w:rsid w:val="00DF25A8"/>
    <w:rsid w:val="00DF2D19"/>
    <w:rsid w:val="00DF3F94"/>
    <w:rsid w:val="00DF4DF7"/>
    <w:rsid w:val="00DF52B2"/>
    <w:rsid w:val="00DF58EA"/>
    <w:rsid w:val="00E0127E"/>
    <w:rsid w:val="00E014D0"/>
    <w:rsid w:val="00E029CF"/>
    <w:rsid w:val="00E0386B"/>
    <w:rsid w:val="00E04520"/>
    <w:rsid w:val="00E05D6B"/>
    <w:rsid w:val="00E06862"/>
    <w:rsid w:val="00E0689E"/>
    <w:rsid w:val="00E068A4"/>
    <w:rsid w:val="00E06BAE"/>
    <w:rsid w:val="00E079F4"/>
    <w:rsid w:val="00E10405"/>
    <w:rsid w:val="00E106BF"/>
    <w:rsid w:val="00E11A9D"/>
    <w:rsid w:val="00E11D5A"/>
    <w:rsid w:val="00E13AC8"/>
    <w:rsid w:val="00E13D71"/>
    <w:rsid w:val="00E1451D"/>
    <w:rsid w:val="00E15F38"/>
    <w:rsid w:val="00E16087"/>
    <w:rsid w:val="00E1617C"/>
    <w:rsid w:val="00E16D72"/>
    <w:rsid w:val="00E17587"/>
    <w:rsid w:val="00E17FE8"/>
    <w:rsid w:val="00E20168"/>
    <w:rsid w:val="00E2066F"/>
    <w:rsid w:val="00E20B72"/>
    <w:rsid w:val="00E20FA9"/>
    <w:rsid w:val="00E21BBD"/>
    <w:rsid w:val="00E22AE3"/>
    <w:rsid w:val="00E22FCC"/>
    <w:rsid w:val="00E24BB9"/>
    <w:rsid w:val="00E24F64"/>
    <w:rsid w:val="00E25040"/>
    <w:rsid w:val="00E25926"/>
    <w:rsid w:val="00E25CB2"/>
    <w:rsid w:val="00E27403"/>
    <w:rsid w:val="00E27573"/>
    <w:rsid w:val="00E300EE"/>
    <w:rsid w:val="00E3084C"/>
    <w:rsid w:val="00E32ED9"/>
    <w:rsid w:val="00E33C08"/>
    <w:rsid w:val="00E33FB7"/>
    <w:rsid w:val="00E37974"/>
    <w:rsid w:val="00E40AD2"/>
    <w:rsid w:val="00E45454"/>
    <w:rsid w:val="00E45905"/>
    <w:rsid w:val="00E45BE5"/>
    <w:rsid w:val="00E45E47"/>
    <w:rsid w:val="00E465C6"/>
    <w:rsid w:val="00E4736C"/>
    <w:rsid w:val="00E5180A"/>
    <w:rsid w:val="00E51A4B"/>
    <w:rsid w:val="00E51D77"/>
    <w:rsid w:val="00E52601"/>
    <w:rsid w:val="00E5296C"/>
    <w:rsid w:val="00E53BB5"/>
    <w:rsid w:val="00E55DC9"/>
    <w:rsid w:val="00E560F6"/>
    <w:rsid w:val="00E57470"/>
    <w:rsid w:val="00E614C6"/>
    <w:rsid w:val="00E624B1"/>
    <w:rsid w:val="00E625BA"/>
    <w:rsid w:val="00E628AC"/>
    <w:rsid w:val="00E62D07"/>
    <w:rsid w:val="00E63B1F"/>
    <w:rsid w:val="00E64637"/>
    <w:rsid w:val="00E669A7"/>
    <w:rsid w:val="00E6728F"/>
    <w:rsid w:val="00E67529"/>
    <w:rsid w:val="00E72AAA"/>
    <w:rsid w:val="00E74721"/>
    <w:rsid w:val="00E7532D"/>
    <w:rsid w:val="00E813DA"/>
    <w:rsid w:val="00E82265"/>
    <w:rsid w:val="00E8258E"/>
    <w:rsid w:val="00E827BA"/>
    <w:rsid w:val="00E827CE"/>
    <w:rsid w:val="00E83CF6"/>
    <w:rsid w:val="00E84C6B"/>
    <w:rsid w:val="00E86859"/>
    <w:rsid w:val="00E87607"/>
    <w:rsid w:val="00E87741"/>
    <w:rsid w:val="00E87AD2"/>
    <w:rsid w:val="00E9024E"/>
    <w:rsid w:val="00E904CD"/>
    <w:rsid w:val="00E934F0"/>
    <w:rsid w:val="00E94704"/>
    <w:rsid w:val="00E94D06"/>
    <w:rsid w:val="00E94E04"/>
    <w:rsid w:val="00E95DC8"/>
    <w:rsid w:val="00E968BF"/>
    <w:rsid w:val="00E96C38"/>
    <w:rsid w:val="00E96F16"/>
    <w:rsid w:val="00EA000C"/>
    <w:rsid w:val="00EA1686"/>
    <w:rsid w:val="00EA2A2A"/>
    <w:rsid w:val="00EA2B33"/>
    <w:rsid w:val="00EA3EBB"/>
    <w:rsid w:val="00EA5192"/>
    <w:rsid w:val="00EA5499"/>
    <w:rsid w:val="00EA68AD"/>
    <w:rsid w:val="00EA733E"/>
    <w:rsid w:val="00EA750F"/>
    <w:rsid w:val="00EB17B4"/>
    <w:rsid w:val="00EB17F4"/>
    <w:rsid w:val="00EB3A6F"/>
    <w:rsid w:val="00EB3CA4"/>
    <w:rsid w:val="00EB4DD5"/>
    <w:rsid w:val="00EB506B"/>
    <w:rsid w:val="00EB5D53"/>
    <w:rsid w:val="00EB6A6B"/>
    <w:rsid w:val="00EB6A96"/>
    <w:rsid w:val="00EB6EE5"/>
    <w:rsid w:val="00EB776E"/>
    <w:rsid w:val="00EB7CFD"/>
    <w:rsid w:val="00EC0611"/>
    <w:rsid w:val="00EC1D34"/>
    <w:rsid w:val="00EC3A52"/>
    <w:rsid w:val="00EC41CC"/>
    <w:rsid w:val="00EC6958"/>
    <w:rsid w:val="00EC7EC1"/>
    <w:rsid w:val="00ED062F"/>
    <w:rsid w:val="00ED0697"/>
    <w:rsid w:val="00ED0D18"/>
    <w:rsid w:val="00ED2C21"/>
    <w:rsid w:val="00ED3501"/>
    <w:rsid w:val="00ED5454"/>
    <w:rsid w:val="00ED5D35"/>
    <w:rsid w:val="00ED60B1"/>
    <w:rsid w:val="00ED62D4"/>
    <w:rsid w:val="00ED63F1"/>
    <w:rsid w:val="00ED71F2"/>
    <w:rsid w:val="00ED7452"/>
    <w:rsid w:val="00EE02B5"/>
    <w:rsid w:val="00EE03C3"/>
    <w:rsid w:val="00EE17A9"/>
    <w:rsid w:val="00EE1FED"/>
    <w:rsid w:val="00EE28D9"/>
    <w:rsid w:val="00EE2B7F"/>
    <w:rsid w:val="00EE5250"/>
    <w:rsid w:val="00EE55A5"/>
    <w:rsid w:val="00EE6094"/>
    <w:rsid w:val="00EE7CA2"/>
    <w:rsid w:val="00EF1688"/>
    <w:rsid w:val="00EF2362"/>
    <w:rsid w:val="00EF2FF3"/>
    <w:rsid w:val="00EF3C36"/>
    <w:rsid w:val="00EF3EF8"/>
    <w:rsid w:val="00EF42A9"/>
    <w:rsid w:val="00EF4795"/>
    <w:rsid w:val="00EF6267"/>
    <w:rsid w:val="00EF6DFC"/>
    <w:rsid w:val="00F00A20"/>
    <w:rsid w:val="00F00E33"/>
    <w:rsid w:val="00F00F60"/>
    <w:rsid w:val="00F02152"/>
    <w:rsid w:val="00F029AA"/>
    <w:rsid w:val="00F044FA"/>
    <w:rsid w:val="00F04A55"/>
    <w:rsid w:val="00F05397"/>
    <w:rsid w:val="00F073A0"/>
    <w:rsid w:val="00F12EB2"/>
    <w:rsid w:val="00F130A7"/>
    <w:rsid w:val="00F138D0"/>
    <w:rsid w:val="00F138F8"/>
    <w:rsid w:val="00F13EA7"/>
    <w:rsid w:val="00F14316"/>
    <w:rsid w:val="00F16BDB"/>
    <w:rsid w:val="00F205E4"/>
    <w:rsid w:val="00F20724"/>
    <w:rsid w:val="00F22F7A"/>
    <w:rsid w:val="00F268C0"/>
    <w:rsid w:val="00F27102"/>
    <w:rsid w:val="00F31792"/>
    <w:rsid w:val="00F33528"/>
    <w:rsid w:val="00F33C57"/>
    <w:rsid w:val="00F3451D"/>
    <w:rsid w:val="00F34B39"/>
    <w:rsid w:val="00F357BF"/>
    <w:rsid w:val="00F36AD5"/>
    <w:rsid w:val="00F40131"/>
    <w:rsid w:val="00F40711"/>
    <w:rsid w:val="00F40E14"/>
    <w:rsid w:val="00F41128"/>
    <w:rsid w:val="00F411F9"/>
    <w:rsid w:val="00F4167D"/>
    <w:rsid w:val="00F4282C"/>
    <w:rsid w:val="00F4292D"/>
    <w:rsid w:val="00F42D8D"/>
    <w:rsid w:val="00F42E42"/>
    <w:rsid w:val="00F43CB7"/>
    <w:rsid w:val="00F45422"/>
    <w:rsid w:val="00F47324"/>
    <w:rsid w:val="00F475C9"/>
    <w:rsid w:val="00F4787D"/>
    <w:rsid w:val="00F505B9"/>
    <w:rsid w:val="00F50E04"/>
    <w:rsid w:val="00F51BB7"/>
    <w:rsid w:val="00F528A9"/>
    <w:rsid w:val="00F53B8E"/>
    <w:rsid w:val="00F5574B"/>
    <w:rsid w:val="00F57CF0"/>
    <w:rsid w:val="00F600A0"/>
    <w:rsid w:val="00F6169D"/>
    <w:rsid w:val="00F634A1"/>
    <w:rsid w:val="00F64F22"/>
    <w:rsid w:val="00F65540"/>
    <w:rsid w:val="00F65A81"/>
    <w:rsid w:val="00F66542"/>
    <w:rsid w:val="00F673C7"/>
    <w:rsid w:val="00F6772D"/>
    <w:rsid w:val="00F67880"/>
    <w:rsid w:val="00F67F10"/>
    <w:rsid w:val="00F70E8D"/>
    <w:rsid w:val="00F7186F"/>
    <w:rsid w:val="00F71EBB"/>
    <w:rsid w:val="00F72913"/>
    <w:rsid w:val="00F72A60"/>
    <w:rsid w:val="00F7349B"/>
    <w:rsid w:val="00F73E54"/>
    <w:rsid w:val="00F7564B"/>
    <w:rsid w:val="00F77B52"/>
    <w:rsid w:val="00F80DA8"/>
    <w:rsid w:val="00F81586"/>
    <w:rsid w:val="00F81E79"/>
    <w:rsid w:val="00F83F74"/>
    <w:rsid w:val="00F83FCE"/>
    <w:rsid w:val="00F84155"/>
    <w:rsid w:val="00F8427A"/>
    <w:rsid w:val="00F84891"/>
    <w:rsid w:val="00F8569C"/>
    <w:rsid w:val="00F85EBB"/>
    <w:rsid w:val="00F863A1"/>
    <w:rsid w:val="00F863BF"/>
    <w:rsid w:val="00F8686E"/>
    <w:rsid w:val="00F87BD7"/>
    <w:rsid w:val="00F91566"/>
    <w:rsid w:val="00F91B74"/>
    <w:rsid w:val="00F9209D"/>
    <w:rsid w:val="00F92B09"/>
    <w:rsid w:val="00F9402F"/>
    <w:rsid w:val="00F94402"/>
    <w:rsid w:val="00F944CE"/>
    <w:rsid w:val="00F94EAC"/>
    <w:rsid w:val="00F95295"/>
    <w:rsid w:val="00F955DA"/>
    <w:rsid w:val="00F95603"/>
    <w:rsid w:val="00F965E2"/>
    <w:rsid w:val="00F9694B"/>
    <w:rsid w:val="00FA2900"/>
    <w:rsid w:val="00FA2D02"/>
    <w:rsid w:val="00FA2D2D"/>
    <w:rsid w:val="00FA3571"/>
    <w:rsid w:val="00FA372F"/>
    <w:rsid w:val="00FA3B23"/>
    <w:rsid w:val="00FB03CB"/>
    <w:rsid w:val="00FB21D2"/>
    <w:rsid w:val="00FB24F6"/>
    <w:rsid w:val="00FB2659"/>
    <w:rsid w:val="00FB3F4B"/>
    <w:rsid w:val="00FB4330"/>
    <w:rsid w:val="00FB4962"/>
    <w:rsid w:val="00FB580D"/>
    <w:rsid w:val="00FB6F4B"/>
    <w:rsid w:val="00FB722A"/>
    <w:rsid w:val="00FC00B9"/>
    <w:rsid w:val="00FC1206"/>
    <w:rsid w:val="00FC2325"/>
    <w:rsid w:val="00FC295D"/>
    <w:rsid w:val="00FC4141"/>
    <w:rsid w:val="00FC6FC5"/>
    <w:rsid w:val="00FD110D"/>
    <w:rsid w:val="00FD1DCA"/>
    <w:rsid w:val="00FD1E27"/>
    <w:rsid w:val="00FD2639"/>
    <w:rsid w:val="00FD26E1"/>
    <w:rsid w:val="00FD4351"/>
    <w:rsid w:val="00FD663A"/>
    <w:rsid w:val="00FE02D3"/>
    <w:rsid w:val="00FE1BB0"/>
    <w:rsid w:val="00FE1C5D"/>
    <w:rsid w:val="00FE2AD8"/>
    <w:rsid w:val="00FE380A"/>
    <w:rsid w:val="00FE7D5A"/>
    <w:rsid w:val="00FF01A6"/>
    <w:rsid w:val="00FF1D8C"/>
    <w:rsid w:val="00FF294A"/>
    <w:rsid w:val="00FF2D99"/>
    <w:rsid w:val="00FF4D87"/>
    <w:rsid w:val="00FF4FFC"/>
    <w:rsid w:val="00FF6B2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776D23"/>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7F"/>
  </w:style>
  <w:style w:type="paragraph" w:styleId="Ttulo1">
    <w:name w:val="heading 1"/>
    <w:basedOn w:val="Normal"/>
    <w:next w:val="Normal"/>
    <w:link w:val="Ttulo1Car"/>
    <w:uiPriority w:val="9"/>
    <w:qFormat/>
    <w:rsid w:val="0071607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aliases w:val="2TitSec"/>
    <w:basedOn w:val="Normal"/>
    <w:next w:val="Normal"/>
    <w:link w:val="Ttulo2Car"/>
    <w:uiPriority w:val="9"/>
    <w:unhideWhenUsed/>
    <w:qFormat/>
    <w:rsid w:val="0071607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71607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71607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71607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71607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71607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71607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71607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21167"/>
    <w:pPr>
      <w:ind w:left="720"/>
      <w:contextualSpacing/>
    </w:p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A21167"/>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eastAsiaTheme="minorHAns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Footnote symbol,Style 12,(NECG) Footnote Reference,Style 124,o,fr,Style 13,FR,Style 17,Style 3,Appel note de bas de p + 11 pt,Itali"/>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table" w:customStyle="1" w:styleId="Tablaconcuadrcula8">
    <w:name w:val="Tabla con cuadrícula8"/>
    <w:basedOn w:val="Tablanormal"/>
    <w:next w:val="Tablaconcuadrcula"/>
    <w:rsid w:val="008D291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4958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A27AAA"/>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71607F"/>
    <w:rPr>
      <w:rFonts w:asciiTheme="majorHAnsi" w:eastAsiaTheme="majorEastAsia" w:hAnsiTheme="majorHAnsi" w:cstheme="majorBidi"/>
      <w:color w:val="1F4E79" w:themeColor="accent1" w:themeShade="80"/>
      <w:sz w:val="36"/>
      <w:szCs w:val="36"/>
    </w:rPr>
  </w:style>
  <w:style w:type="character" w:customStyle="1" w:styleId="Ttulo2Car">
    <w:name w:val="Título 2 Car"/>
    <w:aliases w:val="2TitSec Car"/>
    <w:basedOn w:val="Fuentedeprrafopredeter"/>
    <w:link w:val="Ttulo2"/>
    <w:uiPriority w:val="9"/>
    <w:rsid w:val="0071607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71607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71607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71607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71607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71607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71607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71607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71607F"/>
    <w:pPr>
      <w:spacing w:line="240" w:lineRule="auto"/>
    </w:pPr>
    <w:rPr>
      <w:b/>
      <w:bCs/>
      <w:smallCaps/>
      <w:color w:val="44546A" w:themeColor="text2"/>
    </w:rPr>
  </w:style>
  <w:style w:type="paragraph" w:styleId="Ttulo">
    <w:name w:val="Title"/>
    <w:basedOn w:val="Normal"/>
    <w:next w:val="Normal"/>
    <w:link w:val="TtuloCar"/>
    <w:uiPriority w:val="10"/>
    <w:qFormat/>
    <w:rsid w:val="0071607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1607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1607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71607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71607F"/>
    <w:rPr>
      <w:b/>
      <w:bCs/>
    </w:rPr>
  </w:style>
  <w:style w:type="character" w:styleId="nfasis">
    <w:name w:val="Emphasis"/>
    <w:basedOn w:val="Fuentedeprrafopredeter"/>
    <w:uiPriority w:val="20"/>
    <w:qFormat/>
    <w:rsid w:val="0071607F"/>
    <w:rPr>
      <w:i/>
      <w:iCs/>
    </w:rPr>
  </w:style>
  <w:style w:type="paragraph" w:styleId="Sinespaciado">
    <w:name w:val="No Spacing"/>
    <w:uiPriority w:val="1"/>
    <w:qFormat/>
    <w:rsid w:val="0071607F"/>
    <w:pPr>
      <w:spacing w:after="0" w:line="240" w:lineRule="auto"/>
    </w:pPr>
  </w:style>
  <w:style w:type="paragraph" w:styleId="Cita">
    <w:name w:val="Quote"/>
    <w:basedOn w:val="Normal"/>
    <w:next w:val="Normal"/>
    <w:link w:val="CitaCar"/>
    <w:uiPriority w:val="29"/>
    <w:qFormat/>
    <w:rsid w:val="0071607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1607F"/>
    <w:rPr>
      <w:color w:val="44546A" w:themeColor="text2"/>
      <w:sz w:val="24"/>
      <w:szCs w:val="24"/>
    </w:rPr>
  </w:style>
  <w:style w:type="paragraph" w:styleId="Citadestacada">
    <w:name w:val="Intense Quote"/>
    <w:basedOn w:val="Normal"/>
    <w:next w:val="Normal"/>
    <w:link w:val="CitadestacadaCar"/>
    <w:uiPriority w:val="30"/>
    <w:qFormat/>
    <w:rsid w:val="0071607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1607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1607F"/>
    <w:rPr>
      <w:i/>
      <w:iCs/>
      <w:color w:val="595959" w:themeColor="text1" w:themeTint="A6"/>
    </w:rPr>
  </w:style>
  <w:style w:type="character" w:styleId="nfasisintenso">
    <w:name w:val="Intense Emphasis"/>
    <w:basedOn w:val="Fuentedeprrafopredeter"/>
    <w:uiPriority w:val="21"/>
    <w:qFormat/>
    <w:rsid w:val="0071607F"/>
    <w:rPr>
      <w:b/>
      <w:bCs/>
      <w:i/>
      <w:iCs/>
    </w:rPr>
  </w:style>
  <w:style w:type="character" w:styleId="Referenciasutil">
    <w:name w:val="Subtle Reference"/>
    <w:basedOn w:val="Fuentedeprrafopredeter"/>
    <w:uiPriority w:val="31"/>
    <w:qFormat/>
    <w:rsid w:val="0071607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1607F"/>
    <w:rPr>
      <w:b/>
      <w:bCs/>
      <w:smallCaps/>
      <w:color w:val="44546A" w:themeColor="text2"/>
      <w:u w:val="single"/>
    </w:rPr>
  </w:style>
  <w:style w:type="character" w:styleId="Ttulodellibro">
    <w:name w:val="Book Title"/>
    <w:basedOn w:val="Fuentedeprrafopredeter"/>
    <w:uiPriority w:val="33"/>
    <w:qFormat/>
    <w:rsid w:val="0071607F"/>
    <w:rPr>
      <w:b/>
      <w:bCs/>
      <w:smallCaps/>
      <w:spacing w:val="10"/>
    </w:rPr>
  </w:style>
  <w:style w:type="paragraph" w:styleId="TtuloTDC">
    <w:name w:val="TOC Heading"/>
    <w:basedOn w:val="Ttulo1"/>
    <w:next w:val="Normal"/>
    <w:uiPriority w:val="39"/>
    <w:semiHidden/>
    <w:unhideWhenUsed/>
    <w:qFormat/>
    <w:rsid w:val="0071607F"/>
    <w:pPr>
      <w:outlineLvl w:val="9"/>
    </w:pPr>
  </w:style>
  <w:style w:type="paragraph" w:customStyle="1" w:styleId="1TitPrin">
    <w:name w:val="1TitPrin"/>
    <w:basedOn w:val="Ttulo1"/>
    <w:link w:val="1TitPrinCar"/>
    <w:autoRedefine/>
    <w:qFormat/>
    <w:rsid w:val="00C63E22"/>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C63E22"/>
    <w:rPr>
      <w:rFonts w:ascii="ITC Avant Garde" w:eastAsia="Calibri" w:hAnsi="ITC Avant Garde" w:cs="Arial"/>
      <w:b/>
      <w:color w:val="000000"/>
      <w:lang w:val="es-ES_tradnl" w:eastAsia="es-ES"/>
    </w:rPr>
  </w:style>
  <w:style w:type="paragraph" w:customStyle="1" w:styleId="estilo30">
    <w:name w:val="estilo30"/>
    <w:basedOn w:val="Normal"/>
    <w:uiPriority w:val="99"/>
    <w:rsid w:val="0086090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116220067">
      <w:bodyDiv w:val="1"/>
      <w:marLeft w:val="0"/>
      <w:marRight w:val="0"/>
      <w:marTop w:val="0"/>
      <w:marBottom w:val="0"/>
      <w:divBdr>
        <w:top w:val="none" w:sz="0" w:space="0" w:color="auto"/>
        <w:left w:val="none" w:sz="0" w:space="0" w:color="auto"/>
        <w:bottom w:val="none" w:sz="0" w:space="0" w:color="auto"/>
        <w:right w:val="none" w:sz="0" w:space="0" w:color="auto"/>
      </w:divBdr>
    </w:div>
    <w:div w:id="354617694">
      <w:bodyDiv w:val="1"/>
      <w:marLeft w:val="0"/>
      <w:marRight w:val="0"/>
      <w:marTop w:val="0"/>
      <w:marBottom w:val="0"/>
      <w:divBdr>
        <w:top w:val="none" w:sz="0" w:space="0" w:color="auto"/>
        <w:left w:val="none" w:sz="0" w:space="0" w:color="auto"/>
        <w:bottom w:val="none" w:sz="0" w:space="0" w:color="auto"/>
        <w:right w:val="none" w:sz="0" w:space="0" w:color="auto"/>
      </w:divBdr>
    </w:div>
    <w:div w:id="521016130">
      <w:bodyDiv w:val="1"/>
      <w:marLeft w:val="0"/>
      <w:marRight w:val="0"/>
      <w:marTop w:val="0"/>
      <w:marBottom w:val="0"/>
      <w:divBdr>
        <w:top w:val="none" w:sz="0" w:space="0" w:color="auto"/>
        <w:left w:val="none" w:sz="0" w:space="0" w:color="auto"/>
        <w:bottom w:val="none" w:sz="0" w:space="0" w:color="auto"/>
        <w:right w:val="none" w:sz="0" w:space="0" w:color="auto"/>
      </w:divBdr>
    </w:div>
    <w:div w:id="535194639">
      <w:bodyDiv w:val="1"/>
      <w:marLeft w:val="0"/>
      <w:marRight w:val="0"/>
      <w:marTop w:val="0"/>
      <w:marBottom w:val="0"/>
      <w:divBdr>
        <w:top w:val="none" w:sz="0" w:space="0" w:color="auto"/>
        <w:left w:val="none" w:sz="0" w:space="0" w:color="auto"/>
        <w:bottom w:val="none" w:sz="0" w:space="0" w:color="auto"/>
        <w:right w:val="none" w:sz="0" w:space="0" w:color="auto"/>
      </w:divBdr>
    </w:div>
    <w:div w:id="547843454">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845367220">
      <w:bodyDiv w:val="1"/>
      <w:marLeft w:val="0"/>
      <w:marRight w:val="0"/>
      <w:marTop w:val="0"/>
      <w:marBottom w:val="0"/>
      <w:divBdr>
        <w:top w:val="none" w:sz="0" w:space="0" w:color="auto"/>
        <w:left w:val="none" w:sz="0" w:space="0" w:color="auto"/>
        <w:bottom w:val="none" w:sz="0" w:space="0" w:color="auto"/>
        <w:right w:val="none" w:sz="0" w:space="0" w:color="auto"/>
      </w:divBdr>
      <w:divsChild>
        <w:div w:id="165556895">
          <w:marLeft w:val="0"/>
          <w:marRight w:val="0"/>
          <w:marTop w:val="0"/>
          <w:marBottom w:val="90"/>
          <w:divBdr>
            <w:top w:val="none" w:sz="0" w:space="0" w:color="auto"/>
            <w:left w:val="none" w:sz="0" w:space="0" w:color="auto"/>
            <w:bottom w:val="none" w:sz="0" w:space="0" w:color="auto"/>
            <w:right w:val="none" w:sz="0" w:space="0" w:color="auto"/>
          </w:divBdr>
        </w:div>
        <w:div w:id="636648955">
          <w:marLeft w:val="1080"/>
          <w:marRight w:val="0"/>
          <w:marTop w:val="0"/>
          <w:marBottom w:val="90"/>
          <w:divBdr>
            <w:top w:val="none" w:sz="0" w:space="0" w:color="auto"/>
            <w:left w:val="none" w:sz="0" w:space="0" w:color="auto"/>
            <w:bottom w:val="none" w:sz="0" w:space="0" w:color="auto"/>
            <w:right w:val="none" w:sz="0" w:space="0" w:color="auto"/>
          </w:divBdr>
        </w:div>
        <w:div w:id="876968164">
          <w:marLeft w:val="1080"/>
          <w:marRight w:val="0"/>
          <w:marTop w:val="0"/>
          <w:marBottom w:val="90"/>
          <w:divBdr>
            <w:top w:val="none" w:sz="0" w:space="0" w:color="auto"/>
            <w:left w:val="none" w:sz="0" w:space="0" w:color="auto"/>
            <w:bottom w:val="none" w:sz="0" w:space="0" w:color="auto"/>
            <w:right w:val="none" w:sz="0" w:space="0" w:color="auto"/>
          </w:divBdr>
        </w:div>
        <w:div w:id="2072729306">
          <w:marLeft w:val="1080"/>
          <w:marRight w:val="0"/>
          <w:marTop w:val="0"/>
          <w:marBottom w:val="90"/>
          <w:divBdr>
            <w:top w:val="none" w:sz="0" w:space="0" w:color="auto"/>
            <w:left w:val="none" w:sz="0" w:space="0" w:color="auto"/>
            <w:bottom w:val="none" w:sz="0" w:space="0" w:color="auto"/>
            <w:right w:val="none" w:sz="0" w:space="0" w:color="auto"/>
          </w:divBdr>
        </w:div>
        <w:div w:id="390929703">
          <w:marLeft w:val="1080"/>
          <w:marRight w:val="0"/>
          <w:marTop w:val="0"/>
          <w:marBottom w:val="90"/>
          <w:divBdr>
            <w:top w:val="none" w:sz="0" w:space="0" w:color="auto"/>
            <w:left w:val="none" w:sz="0" w:space="0" w:color="auto"/>
            <w:bottom w:val="none" w:sz="0" w:space="0" w:color="auto"/>
            <w:right w:val="none" w:sz="0" w:space="0" w:color="auto"/>
          </w:divBdr>
        </w:div>
        <w:div w:id="2017806877">
          <w:marLeft w:val="1080"/>
          <w:marRight w:val="0"/>
          <w:marTop w:val="0"/>
          <w:marBottom w:val="90"/>
          <w:divBdr>
            <w:top w:val="none" w:sz="0" w:space="0" w:color="auto"/>
            <w:left w:val="none" w:sz="0" w:space="0" w:color="auto"/>
            <w:bottom w:val="none" w:sz="0" w:space="0" w:color="auto"/>
            <w:right w:val="none" w:sz="0" w:space="0" w:color="auto"/>
          </w:divBdr>
        </w:div>
        <w:div w:id="1735005891">
          <w:marLeft w:val="1080"/>
          <w:marRight w:val="0"/>
          <w:marTop w:val="0"/>
          <w:marBottom w:val="90"/>
          <w:divBdr>
            <w:top w:val="none" w:sz="0" w:space="0" w:color="auto"/>
            <w:left w:val="none" w:sz="0" w:space="0" w:color="auto"/>
            <w:bottom w:val="none" w:sz="0" w:space="0" w:color="auto"/>
            <w:right w:val="none" w:sz="0" w:space="0" w:color="auto"/>
          </w:divBdr>
        </w:div>
        <w:div w:id="1110978037">
          <w:marLeft w:val="0"/>
          <w:marRight w:val="0"/>
          <w:marTop w:val="0"/>
          <w:marBottom w:val="90"/>
          <w:divBdr>
            <w:top w:val="none" w:sz="0" w:space="0" w:color="auto"/>
            <w:left w:val="none" w:sz="0" w:space="0" w:color="auto"/>
            <w:bottom w:val="none" w:sz="0" w:space="0" w:color="auto"/>
            <w:right w:val="none" w:sz="0" w:space="0" w:color="auto"/>
          </w:divBdr>
        </w:div>
      </w:divsChild>
    </w:div>
    <w:div w:id="937559999">
      <w:bodyDiv w:val="1"/>
      <w:marLeft w:val="0"/>
      <w:marRight w:val="0"/>
      <w:marTop w:val="0"/>
      <w:marBottom w:val="0"/>
      <w:divBdr>
        <w:top w:val="none" w:sz="0" w:space="0" w:color="auto"/>
        <w:left w:val="none" w:sz="0" w:space="0" w:color="auto"/>
        <w:bottom w:val="none" w:sz="0" w:space="0" w:color="auto"/>
        <w:right w:val="none" w:sz="0" w:space="0" w:color="auto"/>
      </w:divBdr>
    </w:div>
    <w:div w:id="1050768869">
      <w:bodyDiv w:val="1"/>
      <w:marLeft w:val="0"/>
      <w:marRight w:val="0"/>
      <w:marTop w:val="0"/>
      <w:marBottom w:val="0"/>
      <w:divBdr>
        <w:top w:val="none" w:sz="0" w:space="0" w:color="auto"/>
        <w:left w:val="none" w:sz="0" w:space="0" w:color="auto"/>
        <w:bottom w:val="none" w:sz="0" w:space="0" w:color="auto"/>
        <w:right w:val="none" w:sz="0" w:space="0" w:color="auto"/>
      </w:divBdr>
    </w:div>
    <w:div w:id="1090540908">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517428563">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856990624">
      <w:bodyDiv w:val="1"/>
      <w:marLeft w:val="0"/>
      <w:marRight w:val="0"/>
      <w:marTop w:val="0"/>
      <w:marBottom w:val="0"/>
      <w:divBdr>
        <w:top w:val="none" w:sz="0" w:space="0" w:color="auto"/>
        <w:left w:val="none" w:sz="0" w:space="0" w:color="auto"/>
        <w:bottom w:val="none" w:sz="0" w:space="0" w:color="auto"/>
        <w:right w:val="none" w:sz="0" w:space="0" w:color="auto"/>
      </w:divBdr>
    </w:div>
    <w:div w:id="1882131422">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082679636">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570B-A94C-4366-A47A-BCC54499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13792</Words>
  <Characters>75860</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Maria del Consuelo Gonzalez Moreno</cp:lastModifiedBy>
  <cp:revision>8</cp:revision>
  <cp:lastPrinted>2017-12-20T18:55:00Z</cp:lastPrinted>
  <dcterms:created xsi:type="dcterms:W3CDTF">2018-01-08T16:57:00Z</dcterms:created>
  <dcterms:modified xsi:type="dcterms:W3CDTF">2018-02-08T18:27:00Z</dcterms:modified>
</cp:coreProperties>
</file>