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6BF99" w14:textId="77777777" w:rsidR="00523FCB" w:rsidRPr="00523FCB" w:rsidRDefault="00606E07" w:rsidP="00523FCB">
      <w:pPr>
        <w:pStyle w:val="1TitPrin"/>
        <w:spacing w:afterLines="120" w:after="288"/>
      </w:pPr>
      <w:r w:rsidRPr="00523FCB">
        <w:t>RESOLUCIÓN MEDIANTE</w:t>
      </w:r>
      <w:r w:rsidR="00A21167" w:rsidRPr="00523FCB">
        <w:t xml:space="preserve"> LA CUAL EL PLENO DEL INSTITUTO FEDERAL DE TELECOMUNICACIONES AUTORIZA </w:t>
      </w:r>
      <w:r w:rsidR="002D7FC3" w:rsidRPr="00523FCB">
        <w:t xml:space="preserve">A </w:t>
      </w:r>
      <w:r w:rsidR="00F62B6F" w:rsidRPr="00523FCB">
        <w:t>TEL</w:t>
      </w:r>
      <w:r w:rsidR="008A3D20" w:rsidRPr="00523FCB">
        <w:t>EFUTURA</w:t>
      </w:r>
      <w:r w:rsidR="002D7FC3" w:rsidRPr="00523FCB">
        <w:t>, S.A. DE C.V.</w:t>
      </w:r>
      <w:r w:rsidR="00776EE3" w:rsidRPr="00523FCB">
        <w:t>,</w:t>
      </w:r>
      <w:r w:rsidR="001D5168" w:rsidRPr="00523FCB">
        <w:t xml:space="preserve"> </w:t>
      </w:r>
      <w:r w:rsidR="00F62B6F" w:rsidRPr="00523FCB">
        <w:t>LA TRANSICIÓN DE UN TÍTULO DE CONCESIÓN PARA INSTALAR, OPERAR Y EXPLOTAR UNA RED PÚBLICA DE TELECOMUNICACIONES, EN UNA CONCESIÓN ÚNICA PARA USO COMERCIAL</w:t>
      </w:r>
      <w:r w:rsidR="007A5A5B" w:rsidRPr="00523FCB">
        <w:t>.</w:t>
      </w:r>
    </w:p>
    <w:p w14:paraId="708D4B2E" w14:textId="77777777" w:rsidR="00523FCB" w:rsidRPr="00523FCB" w:rsidRDefault="00A21167" w:rsidP="00523FCB">
      <w:pPr>
        <w:pStyle w:val="Ttulo2"/>
        <w:spacing w:afterLines="120" w:after="288" w:line="276" w:lineRule="auto"/>
        <w:ind w:firstLine="0"/>
        <w:jc w:val="center"/>
        <w:rPr>
          <w:rFonts w:ascii="ITC Avant Garde" w:hAnsi="ITC Avant Garde" w:cs="Arial"/>
          <w:bCs/>
          <w:sz w:val="22"/>
          <w:szCs w:val="22"/>
          <w:lang w:eastAsia="en-US"/>
        </w:rPr>
      </w:pPr>
      <w:r w:rsidRPr="00523FCB">
        <w:rPr>
          <w:rFonts w:ascii="ITC Avant Garde" w:hAnsi="ITC Avant Garde" w:cs="Arial"/>
          <w:bCs/>
          <w:sz w:val="22"/>
          <w:szCs w:val="22"/>
          <w:lang w:eastAsia="en-US"/>
        </w:rPr>
        <w:t>ANTECEDENTES</w:t>
      </w:r>
    </w:p>
    <w:p w14:paraId="08C762D0" w14:textId="77777777" w:rsidR="00523FCB" w:rsidRDefault="005C0175" w:rsidP="00523FCB">
      <w:pPr>
        <w:numPr>
          <w:ilvl w:val="0"/>
          <w:numId w:val="1"/>
        </w:numPr>
        <w:spacing w:afterLines="120" w:after="288" w:line="240" w:lineRule="auto"/>
        <w:ind w:left="567" w:hanging="425"/>
        <w:jc w:val="both"/>
        <w:rPr>
          <w:rFonts w:ascii="ITC Avant Garde" w:hAnsi="ITC Avant Garde"/>
          <w:bCs/>
          <w:color w:val="000000"/>
          <w:lang w:eastAsia="es-MX"/>
        </w:rPr>
      </w:pPr>
      <w:r w:rsidRPr="002A3671">
        <w:rPr>
          <w:rFonts w:ascii="ITC Avant Garde" w:hAnsi="ITC Avant Garde"/>
          <w:b/>
          <w:bCs/>
          <w:color w:val="000000"/>
          <w:lang w:eastAsia="es-MX"/>
        </w:rPr>
        <w:t xml:space="preserve">Decreto de Reforma Constitucional. </w:t>
      </w:r>
      <w:r w:rsidRPr="002A3671">
        <w:rPr>
          <w:rFonts w:ascii="ITC Avant Garde" w:hAnsi="ITC Avant Garde"/>
          <w:bCs/>
          <w:color w:val="000000"/>
          <w:lang w:eastAsia="es-MX"/>
        </w:rPr>
        <w:t>Con fecha 11 de junio de 2013, se publicó en el Diario Oficial de la Federación el “</w:t>
      </w:r>
      <w:r w:rsidRPr="002A3671">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2A3671">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14:paraId="4568E7DF" w14:textId="1520EA63" w:rsidR="00835F6B" w:rsidRPr="00523FCB" w:rsidRDefault="009A5E55" w:rsidP="00523FCB">
      <w:pPr>
        <w:numPr>
          <w:ilvl w:val="0"/>
          <w:numId w:val="1"/>
        </w:numPr>
        <w:spacing w:afterLines="120" w:after="288" w:line="240" w:lineRule="auto"/>
        <w:ind w:left="567" w:hanging="425"/>
        <w:jc w:val="both"/>
        <w:rPr>
          <w:rFonts w:ascii="ITC Avant Garde" w:hAnsi="ITC Avant Garde"/>
          <w:bCs/>
          <w:color w:val="000000"/>
          <w:lang w:eastAsia="es-MX"/>
        </w:rPr>
      </w:pPr>
      <w:r w:rsidRPr="00276765">
        <w:rPr>
          <w:rFonts w:ascii="ITC Avant Garde" w:hAnsi="ITC Avant Garde"/>
          <w:b/>
          <w:bCs/>
          <w:color w:val="000000"/>
          <w:lang w:eastAsia="es-MX"/>
        </w:rPr>
        <w:t xml:space="preserve">Otorgamiento de </w:t>
      </w:r>
      <w:r w:rsidR="005C0175" w:rsidRPr="00276765">
        <w:rPr>
          <w:rFonts w:ascii="ITC Avant Garde" w:hAnsi="ITC Avant Garde"/>
          <w:b/>
          <w:bCs/>
          <w:color w:val="000000"/>
          <w:lang w:eastAsia="es-MX"/>
        </w:rPr>
        <w:t>la</w:t>
      </w:r>
      <w:r w:rsidR="00122715">
        <w:rPr>
          <w:rFonts w:ascii="ITC Avant Garde" w:hAnsi="ITC Avant Garde"/>
          <w:b/>
          <w:bCs/>
          <w:color w:val="000000"/>
          <w:lang w:eastAsia="es-MX"/>
        </w:rPr>
        <w:t>s</w:t>
      </w:r>
      <w:r w:rsidR="00BE0A4E" w:rsidRPr="00276765">
        <w:rPr>
          <w:rFonts w:ascii="ITC Avant Garde" w:hAnsi="ITC Avant Garde"/>
          <w:b/>
          <w:bCs/>
          <w:color w:val="000000"/>
          <w:lang w:eastAsia="es-MX"/>
        </w:rPr>
        <w:t xml:space="preserve"> </w:t>
      </w:r>
      <w:r w:rsidR="00122715" w:rsidRPr="00276765">
        <w:rPr>
          <w:rFonts w:ascii="ITC Avant Garde" w:hAnsi="ITC Avant Garde"/>
          <w:b/>
          <w:bCs/>
          <w:color w:val="000000"/>
          <w:lang w:eastAsia="es-MX"/>
        </w:rPr>
        <w:t>Concesio</w:t>
      </w:r>
      <w:r w:rsidR="00122715">
        <w:rPr>
          <w:rFonts w:ascii="ITC Avant Garde" w:hAnsi="ITC Avant Garde"/>
          <w:b/>
          <w:bCs/>
          <w:color w:val="000000"/>
          <w:lang w:eastAsia="es-MX"/>
        </w:rPr>
        <w:t>nes</w:t>
      </w:r>
      <w:r w:rsidRPr="00276765">
        <w:rPr>
          <w:rFonts w:ascii="ITC Avant Garde" w:hAnsi="ITC Avant Garde"/>
          <w:b/>
          <w:bCs/>
          <w:color w:val="000000"/>
          <w:lang w:eastAsia="es-MX"/>
        </w:rPr>
        <w:t>.</w:t>
      </w:r>
      <w:r w:rsidRPr="00276765">
        <w:rPr>
          <w:rFonts w:ascii="ITC Avant Garde" w:hAnsi="ITC Avant Garde"/>
          <w:bCs/>
          <w:color w:val="000000"/>
          <w:lang w:eastAsia="es-MX"/>
        </w:rPr>
        <w:t xml:space="preserve"> </w:t>
      </w:r>
      <w:r w:rsidR="00F62B6F" w:rsidRPr="008D738A">
        <w:rPr>
          <w:rFonts w:ascii="ITC Avant Garde" w:hAnsi="ITC Avant Garde"/>
          <w:bCs/>
          <w:color w:val="000000"/>
          <w:lang w:eastAsia="es-MX"/>
        </w:rPr>
        <w:t xml:space="preserve">El 6 de septiembre de 2013, la Secretaría de Comunicaciones y Transportes otorgó a favor de </w:t>
      </w:r>
      <w:proofErr w:type="spellStart"/>
      <w:r w:rsidR="00F62B6F"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sidR="00F62B6F" w:rsidRPr="008D738A">
        <w:rPr>
          <w:rFonts w:ascii="ITC Avant Garde" w:hAnsi="ITC Avant Garde"/>
          <w:bCs/>
          <w:color w:val="000000"/>
          <w:lang w:eastAsia="es-MX"/>
        </w:rPr>
        <w:t>, S.A. de C.V. una Modificació</w:t>
      </w:r>
      <w:r w:rsidR="00F62B6F">
        <w:rPr>
          <w:rFonts w:ascii="ITC Avant Garde" w:hAnsi="ITC Avant Garde"/>
          <w:bCs/>
          <w:color w:val="000000"/>
          <w:lang w:eastAsia="es-MX"/>
        </w:rPr>
        <w:t>n</w:t>
      </w:r>
      <w:r w:rsidR="00F62B6F" w:rsidRPr="008D738A">
        <w:rPr>
          <w:rFonts w:ascii="ITC Avant Garde" w:hAnsi="ITC Avant Garde"/>
          <w:bCs/>
          <w:color w:val="000000"/>
          <w:lang w:eastAsia="es-MX"/>
        </w:rPr>
        <w:t xml:space="preserve"> y Prórroga de</w:t>
      </w:r>
      <w:r w:rsidR="00F62B6F">
        <w:rPr>
          <w:rFonts w:ascii="ITC Avant Garde" w:hAnsi="ITC Avant Garde"/>
          <w:bCs/>
          <w:color w:val="000000"/>
          <w:lang w:eastAsia="es-MX"/>
        </w:rPr>
        <w:t xml:space="preserve"> la </w:t>
      </w:r>
      <w:r w:rsidR="00F62B6F" w:rsidRPr="008D738A">
        <w:rPr>
          <w:rFonts w:ascii="ITC Avant Garde" w:hAnsi="ITC Avant Garde"/>
          <w:bCs/>
          <w:color w:val="000000"/>
          <w:lang w:eastAsia="es-MX"/>
        </w:rPr>
        <w:t>Concesión para usar, aprovechar y explotar bandas de frecuencias del espectro radioeléctrico para usos determinados (la “Concesión de Bandas”), y una Modificación y Prórroga de la Concesión para instalar, operar y explotar una red pú</w:t>
      </w:r>
      <w:r w:rsidR="00F62B6F">
        <w:rPr>
          <w:rFonts w:ascii="ITC Avant Garde" w:hAnsi="ITC Avant Garde"/>
          <w:bCs/>
          <w:color w:val="000000"/>
          <w:lang w:eastAsia="es-MX"/>
        </w:rPr>
        <w:t>blica de telecomunicaciones (la</w:t>
      </w:r>
      <w:r w:rsidR="00F62B6F" w:rsidRPr="008D738A">
        <w:rPr>
          <w:rFonts w:ascii="ITC Avant Garde" w:hAnsi="ITC Avant Garde"/>
          <w:bCs/>
          <w:color w:val="000000"/>
          <w:lang w:eastAsia="es-MX"/>
        </w:rPr>
        <w:t xml:space="preserve"> “Concesi</w:t>
      </w:r>
      <w:r w:rsidR="00F62B6F">
        <w:rPr>
          <w:rFonts w:ascii="ITC Avant Garde" w:hAnsi="ITC Avant Garde"/>
          <w:bCs/>
          <w:color w:val="000000"/>
          <w:lang w:eastAsia="es-MX"/>
        </w:rPr>
        <w:t xml:space="preserve">ón </w:t>
      </w:r>
      <w:r w:rsidR="00F62B6F" w:rsidRPr="008D738A">
        <w:rPr>
          <w:rFonts w:ascii="ITC Avant Garde" w:hAnsi="ITC Avant Garde"/>
          <w:bCs/>
          <w:color w:val="000000"/>
          <w:lang w:eastAsia="es-MX"/>
        </w:rPr>
        <w:t>de Red”), de conformidad con la siguiente tabla</w:t>
      </w:r>
      <w:r w:rsidR="004B4619" w:rsidRPr="00276765">
        <w:rPr>
          <w:rFonts w:ascii="ITC Avant Garde" w:hAnsi="ITC Avant Garde"/>
          <w:bCs/>
          <w:color w:val="000000"/>
          <w:lang w:eastAsia="es-MX"/>
        </w:rPr>
        <w:t>:</w:t>
      </w:r>
    </w:p>
    <w:tbl>
      <w:tblPr>
        <w:tblStyle w:val="Tablaconcuadrcula"/>
        <w:tblW w:w="5185" w:type="pct"/>
        <w:tblLook w:val="04A0" w:firstRow="1" w:lastRow="0" w:firstColumn="1" w:lastColumn="0" w:noHBand="0" w:noVBand="1"/>
        <w:tblCaption w:val="Otorgamiento de concesiones."/>
        <w:tblDescription w:val="Tabla de 7 columnas que proporciona información relativa a la modificación y prórroga de la Concesión para usar, aprovechar y explotar bandas de frecuencias del espectro radioeléctrico para usos determinados, y una Modificación y Prórroga de la Concesión para instalar, operar y explotar una red pública de telecomunicaciones."/>
      </w:tblPr>
      <w:tblGrid>
        <w:gridCol w:w="456"/>
        <w:gridCol w:w="1625"/>
        <w:gridCol w:w="1313"/>
        <w:gridCol w:w="1409"/>
        <w:gridCol w:w="1270"/>
        <w:gridCol w:w="2541"/>
        <w:gridCol w:w="1128"/>
      </w:tblGrid>
      <w:tr w:rsidR="008A3D20" w:rsidRPr="008D738A" w14:paraId="585C1443" w14:textId="77777777" w:rsidTr="00523FCB">
        <w:trPr>
          <w:trHeight w:val="443"/>
          <w:tblHeader/>
        </w:trPr>
        <w:tc>
          <w:tcPr>
            <w:tcW w:w="234" w:type="pct"/>
          </w:tcPr>
          <w:p w14:paraId="6213746C" w14:textId="77777777" w:rsidR="008A3D20" w:rsidRPr="008D738A" w:rsidRDefault="008A3D20" w:rsidP="00523FCB">
            <w:pPr>
              <w:spacing w:afterLines="120" w:after="288" w:line="240" w:lineRule="auto"/>
              <w:jc w:val="center"/>
              <w:rPr>
                <w:rFonts w:ascii="ITC Avant Garde" w:hAnsi="ITC Avant Garde"/>
                <w:bCs/>
                <w:color w:val="000000"/>
                <w:sz w:val="14"/>
                <w:szCs w:val="14"/>
                <w:lang w:eastAsia="es-MX"/>
              </w:rPr>
            </w:pPr>
            <w:r w:rsidRPr="008D738A">
              <w:rPr>
                <w:rFonts w:ascii="ITC Avant Garde" w:eastAsia="Times New Roman" w:hAnsi="ITC Avant Garde"/>
                <w:b/>
                <w:sz w:val="14"/>
                <w:szCs w:val="14"/>
                <w:lang w:eastAsia="es-MX"/>
              </w:rPr>
              <w:t>No.</w:t>
            </w:r>
          </w:p>
        </w:tc>
        <w:tc>
          <w:tcPr>
            <w:tcW w:w="834" w:type="pct"/>
          </w:tcPr>
          <w:p w14:paraId="1F664221" w14:textId="77777777" w:rsidR="008A3D20" w:rsidRPr="008D738A" w:rsidRDefault="008A3D20" w:rsidP="00523FCB">
            <w:pPr>
              <w:spacing w:afterLines="120" w:after="288" w:line="240" w:lineRule="auto"/>
              <w:jc w:val="center"/>
              <w:rPr>
                <w:rFonts w:ascii="ITC Avant Garde" w:eastAsia="Times New Roman" w:hAnsi="ITC Avant Garde"/>
                <w:b/>
                <w:sz w:val="14"/>
                <w:szCs w:val="14"/>
                <w:lang w:eastAsia="es-MX"/>
              </w:rPr>
            </w:pPr>
            <w:r w:rsidRPr="008D738A">
              <w:rPr>
                <w:rFonts w:ascii="ITC Avant Garde" w:eastAsia="Times New Roman" w:hAnsi="ITC Avant Garde"/>
                <w:b/>
                <w:sz w:val="14"/>
                <w:szCs w:val="14"/>
                <w:lang w:eastAsia="es-MX"/>
              </w:rPr>
              <w:t>Título</w:t>
            </w:r>
          </w:p>
        </w:tc>
        <w:tc>
          <w:tcPr>
            <w:tcW w:w="674" w:type="pct"/>
          </w:tcPr>
          <w:p w14:paraId="3103BF3C" w14:textId="77777777" w:rsidR="008A3D20" w:rsidRPr="008D738A" w:rsidRDefault="008A3D20" w:rsidP="00523FCB">
            <w:pPr>
              <w:spacing w:afterLines="120" w:after="288" w:line="240" w:lineRule="auto"/>
              <w:jc w:val="center"/>
              <w:rPr>
                <w:rFonts w:ascii="ITC Avant Garde" w:hAnsi="ITC Avant Garde"/>
                <w:bCs/>
                <w:color w:val="000000"/>
                <w:sz w:val="14"/>
                <w:szCs w:val="14"/>
                <w:lang w:eastAsia="es-MX"/>
              </w:rPr>
            </w:pPr>
            <w:r w:rsidRPr="008D738A">
              <w:rPr>
                <w:rFonts w:ascii="ITC Avant Garde" w:eastAsia="Times New Roman" w:hAnsi="ITC Avant Garde"/>
                <w:b/>
                <w:sz w:val="14"/>
                <w:szCs w:val="14"/>
                <w:lang w:eastAsia="es-MX"/>
              </w:rPr>
              <w:t>Bandas de frecuencias</w:t>
            </w:r>
          </w:p>
        </w:tc>
        <w:tc>
          <w:tcPr>
            <w:tcW w:w="723" w:type="pct"/>
            <w:tcBorders>
              <w:bottom w:val="single" w:sz="4" w:space="0" w:color="auto"/>
            </w:tcBorders>
          </w:tcPr>
          <w:p w14:paraId="77CC3311" w14:textId="77777777" w:rsidR="008A3D20" w:rsidRPr="008D738A" w:rsidRDefault="008A3D20" w:rsidP="00523FCB">
            <w:pPr>
              <w:spacing w:afterLines="120" w:after="288" w:line="240" w:lineRule="auto"/>
              <w:jc w:val="center"/>
              <w:rPr>
                <w:rFonts w:ascii="ITC Avant Garde" w:eastAsia="Times New Roman" w:hAnsi="ITC Avant Garde"/>
                <w:b/>
                <w:sz w:val="14"/>
                <w:szCs w:val="14"/>
                <w:lang w:eastAsia="es-MX"/>
              </w:rPr>
            </w:pPr>
            <w:r w:rsidRPr="008D738A">
              <w:rPr>
                <w:rFonts w:ascii="ITC Avant Garde" w:eastAsia="Times New Roman" w:hAnsi="ITC Avant Garde"/>
                <w:b/>
                <w:sz w:val="14"/>
                <w:szCs w:val="14"/>
                <w:lang w:eastAsia="es-MX"/>
              </w:rPr>
              <w:t>Fecha de Otorgamiento y vigencia</w:t>
            </w:r>
          </w:p>
        </w:tc>
        <w:tc>
          <w:tcPr>
            <w:tcW w:w="652" w:type="pct"/>
            <w:tcBorders>
              <w:bottom w:val="single" w:sz="4" w:space="0" w:color="auto"/>
            </w:tcBorders>
          </w:tcPr>
          <w:p w14:paraId="6FCFFDF2" w14:textId="77777777" w:rsidR="008A3D20" w:rsidRPr="008D738A" w:rsidRDefault="008A3D20" w:rsidP="00523FCB">
            <w:pPr>
              <w:spacing w:afterLines="120" w:after="288" w:line="240" w:lineRule="auto"/>
              <w:jc w:val="center"/>
              <w:rPr>
                <w:rFonts w:ascii="ITC Avant Garde" w:eastAsia="Times New Roman" w:hAnsi="ITC Avant Garde"/>
                <w:b/>
                <w:sz w:val="14"/>
                <w:szCs w:val="14"/>
                <w:lang w:eastAsia="es-MX"/>
              </w:rPr>
            </w:pPr>
            <w:r w:rsidRPr="008D738A">
              <w:rPr>
                <w:rFonts w:ascii="ITC Avant Garde" w:eastAsia="Times New Roman" w:hAnsi="ITC Avant Garde"/>
                <w:b/>
                <w:sz w:val="14"/>
                <w:szCs w:val="14"/>
                <w:lang w:eastAsia="es-MX"/>
              </w:rPr>
              <w:t>Prórroga y vigencia</w:t>
            </w:r>
          </w:p>
        </w:tc>
        <w:tc>
          <w:tcPr>
            <w:tcW w:w="1304" w:type="pct"/>
            <w:tcBorders>
              <w:bottom w:val="single" w:sz="4" w:space="0" w:color="auto"/>
            </w:tcBorders>
          </w:tcPr>
          <w:p w14:paraId="194E26FA" w14:textId="77777777" w:rsidR="008A3D20" w:rsidRPr="008D738A" w:rsidRDefault="008A3D20" w:rsidP="00523FCB">
            <w:pPr>
              <w:spacing w:afterLines="120" w:after="288" w:line="240" w:lineRule="auto"/>
              <w:jc w:val="center"/>
              <w:rPr>
                <w:rFonts w:ascii="ITC Avant Garde" w:hAnsi="ITC Avant Garde"/>
                <w:bCs/>
                <w:color w:val="000000"/>
                <w:sz w:val="14"/>
                <w:szCs w:val="14"/>
                <w:lang w:eastAsia="es-MX"/>
              </w:rPr>
            </w:pPr>
            <w:r w:rsidRPr="008D738A">
              <w:rPr>
                <w:rFonts w:ascii="ITC Avant Garde" w:eastAsia="Times New Roman" w:hAnsi="ITC Avant Garde"/>
                <w:b/>
                <w:sz w:val="14"/>
                <w:szCs w:val="14"/>
                <w:lang w:eastAsia="es-MX"/>
              </w:rPr>
              <w:t>Cobertura</w:t>
            </w:r>
          </w:p>
        </w:tc>
        <w:tc>
          <w:tcPr>
            <w:tcW w:w="579" w:type="pct"/>
            <w:tcBorders>
              <w:bottom w:val="single" w:sz="4" w:space="0" w:color="auto"/>
            </w:tcBorders>
          </w:tcPr>
          <w:p w14:paraId="6639F43F" w14:textId="77777777" w:rsidR="008A3D20" w:rsidRPr="008D738A" w:rsidRDefault="008A3D20" w:rsidP="00523FCB">
            <w:pPr>
              <w:spacing w:afterLines="120" w:after="288" w:line="240" w:lineRule="auto"/>
              <w:jc w:val="center"/>
              <w:rPr>
                <w:rFonts w:ascii="ITC Avant Garde" w:eastAsia="Times New Roman" w:hAnsi="ITC Avant Garde"/>
                <w:b/>
                <w:sz w:val="14"/>
                <w:szCs w:val="14"/>
                <w:lang w:eastAsia="es-MX"/>
              </w:rPr>
            </w:pPr>
            <w:r w:rsidRPr="008D738A">
              <w:rPr>
                <w:rFonts w:ascii="ITC Avant Garde" w:eastAsia="Times New Roman" w:hAnsi="ITC Avant Garde"/>
                <w:b/>
                <w:sz w:val="14"/>
                <w:szCs w:val="14"/>
                <w:lang w:eastAsia="es-MX"/>
              </w:rPr>
              <w:t>Servicios</w:t>
            </w:r>
          </w:p>
        </w:tc>
      </w:tr>
      <w:tr w:rsidR="00523FCB" w:rsidRPr="008D738A" w14:paraId="43C0901D" w14:textId="77777777" w:rsidTr="00523FCB">
        <w:trPr>
          <w:trHeight w:val="296"/>
        </w:trPr>
        <w:tc>
          <w:tcPr>
            <w:tcW w:w="234" w:type="pct"/>
          </w:tcPr>
          <w:p w14:paraId="5F824673" w14:textId="77777777" w:rsidR="00523FCB" w:rsidRPr="008D738A" w:rsidRDefault="00523FCB" w:rsidP="00523FCB">
            <w:pPr>
              <w:spacing w:afterLines="120" w:after="288" w:line="240" w:lineRule="auto"/>
              <w:jc w:val="center"/>
              <w:rPr>
                <w:rFonts w:ascii="ITC Avant Garde" w:eastAsia="Times New Roman" w:hAnsi="ITC Avant Garde"/>
                <w:b/>
                <w:sz w:val="14"/>
                <w:szCs w:val="14"/>
                <w:lang w:eastAsia="es-MX"/>
              </w:rPr>
            </w:pPr>
            <w:r w:rsidRPr="008D738A">
              <w:rPr>
                <w:rFonts w:ascii="ITC Avant Garde" w:eastAsia="Times New Roman" w:hAnsi="ITC Avant Garde"/>
                <w:b/>
                <w:sz w:val="14"/>
                <w:szCs w:val="14"/>
                <w:lang w:eastAsia="es-MX"/>
              </w:rPr>
              <w:t>1</w:t>
            </w:r>
          </w:p>
        </w:tc>
        <w:tc>
          <w:tcPr>
            <w:tcW w:w="834" w:type="pct"/>
          </w:tcPr>
          <w:p w14:paraId="23D58A23" w14:textId="77777777" w:rsidR="00523FCB" w:rsidRPr="008D738A" w:rsidRDefault="00523FCB" w:rsidP="00523FCB">
            <w:pPr>
              <w:spacing w:afterLines="120" w:after="288" w:line="240" w:lineRule="auto"/>
              <w:jc w:val="center"/>
              <w:rPr>
                <w:rFonts w:ascii="ITC Avant Garde" w:eastAsia="Times New Roman" w:hAnsi="ITC Avant Garde"/>
                <w:sz w:val="14"/>
                <w:szCs w:val="14"/>
                <w:lang w:eastAsia="es-MX"/>
              </w:rPr>
            </w:pPr>
            <w:r w:rsidRPr="008D738A">
              <w:rPr>
                <w:rFonts w:ascii="ITC Avant Garde" w:eastAsia="Times New Roman" w:hAnsi="ITC Avant Garde"/>
                <w:sz w:val="14"/>
                <w:szCs w:val="14"/>
                <w:lang w:eastAsia="es-MX"/>
              </w:rPr>
              <w:t xml:space="preserve">Bandas de Frecuencias </w:t>
            </w:r>
          </w:p>
        </w:tc>
        <w:tc>
          <w:tcPr>
            <w:tcW w:w="674" w:type="pct"/>
          </w:tcPr>
          <w:p w14:paraId="52212AD1" w14:textId="77777777" w:rsidR="00523FCB" w:rsidRPr="008D738A" w:rsidRDefault="00523FCB" w:rsidP="00523FCB">
            <w:pPr>
              <w:spacing w:afterLines="120" w:after="288" w:line="240" w:lineRule="auto"/>
              <w:jc w:val="center"/>
              <w:rPr>
                <w:rFonts w:ascii="ITC Avant Garde" w:eastAsia="Times New Roman" w:hAnsi="ITC Avant Garde"/>
                <w:sz w:val="14"/>
                <w:szCs w:val="14"/>
                <w:lang w:eastAsia="es-MX"/>
              </w:rPr>
            </w:pPr>
            <w:r w:rsidRPr="008D738A">
              <w:rPr>
                <w:rFonts w:ascii="ITC Avant Garde" w:eastAsia="Times New Roman" w:hAnsi="ITC Avant Garde"/>
                <w:sz w:val="14"/>
                <w:szCs w:val="14"/>
                <w:lang w:eastAsia="es-MX"/>
              </w:rPr>
              <w:t>2500-2530 MHz / 2620-2650 MHz</w:t>
            </w:r>
          </w:p>
        </w:tc>
        <w:tc>
          <w:tcPr>
            <w:tcW w:w="723" w:type="pct"/>
            <w:tcBorders>
              <w:bottom w:val="nil"/>
            </w:tcBorders>
          </w:tcPr>
          <w:p w14:paraId="5D74866A" w14:textId="77777777" w:rsidR="00523FCB" w:rsidRPr="008D738A" w:rsidRDefault="00523FCB" w:rsidP="00523FCB">
            <w:pPr>
              <w:spacing w:afterLines="120" w:after="288"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6 de octubre de 2000</w:t>
            </w:r>
            <w:r w:rsidRPr="008D738A">
              <w:rPr>
                <w:rFonts w:ascii="ITC Avant Garde" w:eastAsia="Times New Roman" w:hAnsi="ITC Avant Garde"/>
                <w:sz w:val="14"/>
                <w:szCs w:val="14"/>
                <w:lang w:eastAsia="es-MX"/>
              </w:rPr>
              <w:t xml:space="preserve">, por 20 (veinte) años. </w:t>
            </w:r>
          </w:p>
        </w:tc>
        <w:tc>
          <w:tcPr>
            <w:tcW w:w="652" w:type="pct"/>
            <w:tcBorders>
              <w:bottom w:val="nil"/>
            </w:tcBorders>
          </w:tcPr>
          <w:p w14:paraId="5A557F53" w14:textId="153762A9" w:rsidR="00523FCB" w:rsidRPr="008D738A" w:rsidRDefault="00523FCB" w:rsidP="00523FCB">
            <w:pPr>
              <w:spacing w:afterLines="120" w:after="288"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8</w:t>
            </w:r>
            <w:r w:rsidRPr="008D738A">
              <w:rPr>
                <w:rFonts w:ascii="ITC Avant Garde" w:eastAsia="Times New Roman" w:hAnsi="ITC Avant Garde"/>
                <w:sz w:val="14"/>
                <w:szCs w:val="14"/>
                <w:lang w:eastAsia="es-MX"/>
              </w:rPr>
              <w:t xml:space="preserve"> (</w:t>
            </w:r>
            <w:r>
              <w:rPr>
                <w:rFonts w:ascii="ITC Avant Garde" w:eastAsia="Times New Roman" w:hAnsi="ITC Avant Garde"/>
                <w:sz w:val="14"/>
                <w:szCs w:val="14"/>
                <w:lang w:eastAsia="es-MX"/>
              </w:rPr>
              <w:t>ocho</w:t>
            </w:r>
            <w:r w:rsidRPr="008D738A">
              <w:rPr>
                <w:rFonts w:ascii="ITC Avant Garde" w:eastAsia="Times New Roman" w:hAnsi="ITC Avant Garde"/>
                <w:sz w:val="14"/>
                <w:szCs w:val="14"/>
                <w:lang w:eastAsia="es-MX"/>
              </w:rPr>
              <w:t xml:space="preserve">) años contados a partir del </w:t>
            </w:r>
            <w:r>
              <w:rPr>
                <w:rFonts w:ascii="ITC Avant Garde" w:eastAsia="Times New Roman" w:hAnsi="ITC Avant Garde"/>
                <w:sz w:val="14"/>
                <w:szCs w:val="14"/>
                <w:lang w:eastAsia="es-MX"/>
              </w:rPr>
              <w:t>7 de octubre de 2020</w:t>
            </w:r>
            <w:r w:rsidRPr="008D738A">
              <w:rPr>
                <w:rFonts w:ascii="ITC Avant Garde" w:eastAsia="Times New Roman" w:hAnsi="ITC Avant Garde"/>
                <w:sz w:val="14"/>
                <w:szCs w:val="14"/>
                <w:lang w:eastAsia="es-MX"/>
              </w:rPr>
              <w:t>.</w:t>
            </w:r>
          </w:p>
        </w:tc>
        <w:tc>
          <w:tcPr>
            <w:tcW w:w="1304" w:type="pct"/>
            <w:tcBorders>
              <w:bottom w:val="nil"/>
            </w:tcBorders>
          </w:tcPr>
          <w:p w14:paraId="1D0285CC" w14:textId="77777777" w:rsidR="00523FCB" w:rsidRPr="008D738A" w:rsidRDefault="00523FCB" w:rsidP="00523FCB">
            <w:pPr>
              <w:spacing w:afterLines="120" w:after="288"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Tampico, Ciudad Madero, El Mante, Altamira, González, Aldama, Xicoténcatl, Ocampo, Antiguo Morelos, y Gómez Farías, Nuevo Morelos, en el Estado de Tamaulipas. </w:t>
            </w:r>
          </w:p>
        </w:tc>
        <w:tc>
          <w:tcPr>
            <w:tcW w:w="579" w:type="pct"/>
            <w:tcBorders>
              <w:bottom w:val="nil"/>
            </w:tcBorders>
          </w:tcPr>
          <w:p w14:paraId="04D39324" w14:textId="77777777" w:rsidR="00523FCB" w:rsidRPr="008D738A" w:rsidRDefault="00523FCB" w:rsidP="00523FCB">
            <w:pPr>
              <w:spacing w:afterLines="120" w:after="288" w:line="240" w:lineRule="auto"/>
              <w:jc w:val="both"/>
              <w:rPr>
                <w:rFonts w:ascii="ITC Avant Garde" w:eastAsia="Times New Roman" w:hAnsi="ITC Avant Garde"/>
                <w:sz w:val="14"/>
                <w:szCs w:val="14"/>
                <w:lang w:eastAsia="es-MX"/>
              </w:rPr>
            </w:pPr>
            <w:r w:rsidRPr="008D738A">
              <w:rPr>
                <w:rFonts w:ascii="ITC Avant Garde" w:eastAsia="Times New Roman" w:hAnsi="ITC Avant Garde"/>
                <w:sz w:val="14"/>
                <w:szCs w:val="14"/>
                <w:lang w:eastAsia="es-MX"/>
              </w:rPr>
              <w:t>Televisión y audio restringidos.</w:t>
            </w:r>
          </w:p>
        </w:tc>
      </w:tr>
      <w:tr w:rsidR="00523FCB" w:rsidRPr="008D738A" w14:paraId="084B2E0E" w14:textId="77777777" w:rsidTr="00523FCB">
        <w:trPr>
          <w:trHeight w:val="749"/>
        </w:trPr>
        <w:tc>
          <w:tcPr>
            <w:tcW w:w="234" w:type="pct"/>
          </w:tcPr>
          <w:p w14:paraId="4D657FAD" w14:textId="77777777" w:rsidR="00523FCB" w:rsidRPr="008D738A" w:rsidRDefault="00523FCB" w:rsidP="00523FCB">
            <w:pPr>
              <w:spacing w:afterLines="120" w:after="288" w:line="240" w:lineRule="auto"/>
              <w:jc w:val="center"/>
              <w:rPr>
                <w:rFonts w:ascii="ITC Avant Garde" w:eastAsia="Times New Roman" w:hAnsi="ITC Avant Garde"/>
                <w:b/>
                <w:sz w:val="14"/>
                <w:szCs w:val="14"/>
                <w:lang w:eastAsia="es-MX"/>
              </w:rPr>
            </w:pPr>
            <w:r w:rsidRPr="008D738A">
              <w:rPr>
                <w:rFonts w:ascii="ITC Avant Garde" w:eastAsia="Times New Roman" w:hAnsi="ITC Avant Garde"/>
                <w:b/>
                <w:sz w:val="14"/>
                <w:szCs w:val="14"/>
                <w:lang w:eastAsia="es-MX"/>
              </w:rPr>
              <w:t>2</w:t>
            </w:r>
          </w:p>
        </w:tc>
        <w:tc>
          <w:tcPr>
            <w:tcW w:w="834" w:type="pct"/>
          </w:tcPr>
          <w:p w14:paraId="49DFF334" w14:textId="77777777" w:rsidR="00523FCB" w:rsidRPr="008D738A" w:rsidRDefault="00523FCB" w:rsidP="00523FCB">
            <w:pPr>
              <w:spacing w:afterLines="120" w:after="288" w:line="240" w:lineRule="auto"/>
              <w:jc w:val="center"/>
              <w:rPr>
                <w:rFonts w:ascii="ITC Avant Garde" w:eastAsia="Times New Roman" w:hAnsi="ITC Avant Garde"/>
                <w:sz w:val="14"/>
                <w:szCs w:val="14"/>
                <w:lang w:eastAsia="es-MX"/>
              </w:rPr>
            </w:pPr>
            <w:r w:rsidRPr="008D738A">
              <w:rPr>
                <w:rFonts w:ascii="ITC Avant Garde" w:eastAsia="Times New Roman" w:hAnsi="ITC Avant Garde"/>
                <w:sz w:val="14"/>
                <w:szCs w:val="14"/>
                <w:lang w:eastAsia="es-MX"/>
              </w:rPr>
              <w:t>Red Pública de Telecomunicaciones</w:t>
            </w:r>
          </w:p>
        </w:tc>
        <w:tc>
          <w:tcPr>
            <w:tcW w:w="674" w:type="pct"/>
          </w:tcPr>
          <w:p w14:paraId="2F81E630" w14:textId="77777777" w:rsidR="00523FCB" w:rsidRPr="008D738A" w:rsidRDefault="00523FCB" w:rsidP="00523FCB">
            <w:pPr>
              <w:spacing w:afterLines="120" w:after="288" w:line="240" w:lineRule="auto"/>
              <w:jc w:val="center"/>
              <w:rPr>
                <w:rFonts w:ascii="ITC Avant Garde" w:eastAsia="Times New Roman" w:hAnsi="ITC Avant Garde"/>
                <w:sz w:val="14"/>
                <w:szCs w:val="14"/>
                <w:lang w:eastAsia="es-MX"/>
              </w:rPr>
            </w:pPr>
            <w:r w:rsidRPr="008D738A">
              <w:rPr>
                <w:rFonts w:ascii="ITC Avant Garde" w:eastAsia="Times New Roman" w:hAnsi="ITC Avant Garde"/>
                <w:sz w:val="14"/>
                <w:szCs w:val="14"/>
                <w:lang w:eastAsia="es-MX"/>
              </w:rPr>
              <w:t>N/A</w:t>
            </w:r>
          </w:p>
        </w:tc>
        <w:tc>
          <w:tcPr>
            <w:tcW w:w="723" w:type="pct"/>
            <w:tcBorders>
              <w:top w:val="nil"/>
            </w:tcBorders>
          </w:tcPr>
          <w:p w14:paraId="2568802D" w14:textId="77777777" w:rsidR="00523FCB" w:rsidRPr="008D738A" w:rsidRDefault="00523FCB" w:rsidP="00523FCB">
            <w:pPr>
              <w:spacing w:afterLines="120" w:after="288" w:line="240" w:lineRule="auto"/>
              <w:jc w:val="both"/>
              <w:rPr>
                <w:rFonts w:ascii="ITC Avant Garde" w:eastAsia="Times New Roman" w:hAnsi="ITC Avant Garde"/>
                <w:sz w:val="14"/>
                <w:szCs w:val="14"/>
                <w:lang w:eastAsia="es-MX"/>
              </w:rPr>
            </w:pPr>
          </w:p>
        </w:tc>
        <w:tc>
          <w:tcPr>
            <w:tcW w:w="652" w:type="pct"/>
            <w:tcBorders>
              <w:top w:val="nil"/>
            </w:tcBorders>
          </w:tcPr>
          <w:p w14:paraId="350A15CA" w14:textId="77777777" w:rsidR="00523FCB" w:rsidRPr="008D738A" w:rsidRDefault="00523FCB" w:rsidP="00523FCB">
            <w:pPr>
              <w:spacing w:afterLines="120" w:after="288" w:line="240" w:lineRule="auto"/>
              <w:jc w:val="both"/>
              <w:rPr>
                <w:rFonts w:ascii="ITC Avant Garde" w:eastAsia="Times New Roman" w:hAnsi="ITC Avant Garde"/>
                <w:sz w:val="14"/>
                <w:szCs w:val="14"/>
                <w:lang w:eastAsia="es-MX"/>
              </w:rPr>
            </w:pPr>
          </w:p>
        </w:tc>
        <w:tc>
          <w:tcPr>
            <w:tcW w:w="1304" w:type="pct"/>
            <w:tcBorders>
              <w:top w:val="nil"/>
            </w:tcBorders>
          </w:tcPr>
          <w:p w14:paraId="5EF2BF3F" w14:textId="77777777" w:rsidR="00523FCB" w:rsidRPr="008D738A" w:rsidRDefault="00523FCB" w:rsidP="00523FCB">
            <w:pPr>
              <w:spacing w:afterLines="120" w:after="288" w:line="240" w:lineRule="auto"/>
              <w:jc w:val="both"/>
              <w:rPr>
                <w:rFonts w:ascii="ITC Avant Garde" w:eastAsia="Times New Roman" w:hAnsi="ITC Avant Garde"/>
                <w:sz w:val="14"/>
                <w:szCs w:val="14"/>
                <w:lang w:eastAsia="es-MX"/>
              </w:rPr>
            </w:pPr>
          </w:p>
        </w:tc>
        <w:tc>
          <w:tcPr>
            <w:tcW w:w="579" w:type="pct"/>
            <w:tcBorders>
              <w:top w:val="nil"/>
            </w:tcBorders>
          </w:tcPr>
          <w:p w14:paraId="219FBE10" w14:textId="77777777" w:rsidR="00523FCB" w:rsidRPr="008D738A" w:rsidRDefault="00523FCB" w:rsidP="00523FCB">
            <w:pPr>
              <w:spacing w:afterLines="120" w:after="288" w:line="240" w:lineRule="auto"/>
              <w:jc w:val="both"/>
              <w:rPr>
                <w:rFonts w:ascii="ITC Avant Garde" w:eastAsia="Times New Roman" w:hAnsi="ITC Avant Garde"/>
                <w:sz w:val="14"/>
                <w:szCs w:val="14"/>
                <w:lang w:eastAsia="es-MX"/>
              </w:rPr>
            </w:pPr>
          </w:p>
        </w:tc>
      </w:tr>
    </w:tbl>
    <w:p w14:paraId="31381ABD" w14:textId="77777777" w:rsidR="00523FCB" w:rsidRDefault="006F4481" w:rsidP="00523FCB">
      <w:pPr>
        <w:spacing w:before="240" w:afterLines="120" w:after="288" w:line="240" w:lineRule="auto"/>
        <w:ind w:left="567"/>
        <w:jc w:val="both"/>
        <w:rPr>
          <w:rFonts w:ascii="ITC Avant Garde" w:hAnsi="ITC Avant Garde"/>
          <w:bCs/>
          <w:color w:val="000000"/>
          <w:lang w:eastAsia="es-MX"/>
        </w:rPr>
      </w:pPr>
      <w:r w:rsidRPr="00187B67">
        <w:rPr>
          <w:rFonts w:ascii="ITC Avant Garde" w:hAnsi="ITC Avant Garde"/>
          <w:bCs/>
          <w:color w:val="000000"/>
          <w:lang w:eastAsia="es-MX"/>
        </w:rPr>
        <w:t xml:space="preserve">Adicionalmente, </w:t>
      </w:r>
      <w:proofErr w:type="spellStart"/>
      <w:r>
        <w:rPr>
          <w:rFonts w:ascii="ITC Avant Garde" w:hAnsi="ITC Avant Garde"/>
          <w:bCs/>
          <w:color w:val="000000"/>
          <w:lang w:eastAsia="es-MX"/>
        </w:rPr>
        <w:t>Telefutura</w:t>
      </w:r>
      <w:proofErr w:type="spellEnd"/>
      <w:r w:rsidRPr="00187B67">
        <w:rPr>
          <w:rFonts w:ascii="ITC Avant Garde" w:hAnsi="ITC Avant Garde"/>
          <w:bCs/>
          <w:color w:val="000000"/>
          <w:lang w:eastAsia="es-MX"/>
        </w:rPr>
        <w:t xml:space="preserve">, S.A. de C.V. </w:t>
      </w:r>
      <w:r>
        <w:rPr>
          <w:rFonts w:ascii="ITC Avant Garde" w:hAnsi="ITC Avant Garde"/>
          <w:bCs/>
          <w:color w:val="000000"/>
          <w:lang w:eastAsia="es-MX"/>
        </w:rPr>
        <w:t>es</w:t>
      </w:r>
      <w:r w:rsidRPr="00187B67">
        <w:rPr>
          <w:rFonts w:ascii="ITC Avant Garde" w:hAnsi="ITC Avant Garde"/>
          <w:bCs/>
          <w:color w:val="000000"/>
          <w:lang w:eastAsia="es-MX"/>
        </w:rPr>
        <w:t xml:space="preserve"> titular desde el </w:t>
      </w:r>
      <w:r>
        <w:rPr>
          <w:rFonts w:ascii="ITC Avant Garde" w:hAnsi="ITC Avant Garde"/>
          <w:bCs/>
          <w:color w:val="000000"/>
          <w:lang w:eastAsia="es-MX"/>
        </w:rPr>
        <w:t>16 de diciembre de 2004</w:t>
      </w:r>
      <w:r w:rsidRPr="00187B67">
        <w:rPr>
          <w:rFonts w:ascii="ITC Avant Garde" w:hAnsi="ITC Avant Garde"/>
          <w:bCs/>
          <w:color w:val="000000"/>
          <w:lang w:eastAsia="es-MX"/>
        </w:rPr>
        <w:t xml:space="preserve"> de la Constancia de Registro de Servicios de Valor Agregado número SVA-0</w:t>
      </w:r>
      <w:r>
        <w:rPr>
          <w:rFonts w:ascii="ITC Avant Garde" w:hAnsi="ITC Avant Garde"/>
          <w:bCs/>
          <w:color w:val="000000"/>
          <w:lang w:eastAsia="es-MX"/>
        </w:rPr>
        <w:t>64</w:t>
      </w:r>
      <w:r w:rsidRPr="00187B67">
        <w:rPr>
          <w:rFonts w:ascii="ITC Avant Garde" w:hAnsi="ITC Avant Garde"/>
          <w:bCs/>
          <w:color w:val="000000"/>
          <w:lang w:eastAsia="es-MX"/>
        </w:rPr>
        <w:t>/</w:t>
      </w:r>
      <w:r>
        <w:rPr>
          <w:rFonts w:ascii="ITC Avant Garde" w:hAnsi="ITC Avant Garde"/>
          <w:bCs/>
          <w:color w:val="000000"/>
          <w:lang w:eastAsia="es-MX"/>
        </w:rPr>
        <w:t xml:space="preserve">2004 que le permite </w:t>
      </w:r>
      <w:r w:rsidRPr="00187B67">
        <w:rPr>
          <w:rFonts w:ascii="ITC Avant Garde" w:hAnsi="ITC Avant Garde"/>
          <w:bCs/>
          <w:color w:val="000000"/>
          <w:lang w:eastAsia="es-MX"/>
        </w:rPr>
        <w:t xml:space="preserve">prestar </w:t>
      </w:r>
      <w:r>
        <w:rPr>
          <w:rFonts w:ascii="ITC Avant Garde" w:hAnsi="ITC Avant Garde"/>
          <w:bCs/>
          <w:color w:val="000000"/>
          <w:lang w:eastAsia="es-MX"/>
        </w:rPr>
        <w:t xml:space="preserve">los servicios </w:t>
      </w:r>
      <w:r w:rsidRPr="00187B67">
        <w:rPr>
          <w:rFonts w:ascii="ITC Avant Garde" w:hAnsi="ITC Avant Garde"/>
          <w:bCs/>
          <w:color w:val="000000"/>
          <w:lang w:eastAsia="es-MX"/>
        </w:rPr>
        <w:t xml:space="preserve">de </w:t>
      </w:r>
      <w:r>
        <w:rPr>
          <w:rFonts w:ascii="ITC Avant Garde" w:hAnsi="ITC Avant Garde"/>
          <w:bCs/>
          <w:color w:val="000000"/>
          <w:lang w:eastAsia="es-MX"/>
        </w:rPr>
        <w:t>procesamiento remoto de datos, intercambio electrónico de datos, correo electrónico de datos o facsímil, videotexto y de acceso a Internet.</w:t>
      </w:r>
    </w:p>
    <w:p w14:paraId="0BA1E8C3" w14:textId="77777777" w:rsidR="00523FCB" w:rsidRDefault="009A5E55" w:rsidP="00523FCB">
      <w:pPr>
        <w:numPr>
          <w:ilvl w:val="0"/>
          <w:numId w:val="1"/>
        </w:numPr>
        <w:spacing w:afterLines="120" w:after="288" w:line="240" w:lineRule="auto"/>
        <w:ind w:left="567" w:hanging="425"/>
        <w:jc w:val="both"/>
        <w:rPr>
          <w:rFonts w:ascii="ITC Avant Garde" w:hAnsi="ITC Avant Garde"/>
          <w:bCs/>
          <w:color w:val="000000"/>
          <w:lang w:eastAsia="es-MX"/>
        </w:rPr>
      </w:pPr>
      <w:r w:rsidRPr="002A3671">
        <w:rPr>
          <w:rFonts w:ascii="ITC Avant Garde" w:hAnsi="ITC Avant Garde"/>
          <w:b/>
          <w:bCs/>
          <w:color w:val="000000" w:themeColor="text1"/>
          <w:lang w:eastAsia="es-MX"/>
        </w:rPr>
        <w:t xml:space="preserve">Decreto de Ley. </w:t>
      </w:r>
      <w:r w:rsidRPr="002A3671">
        <w:rPr>
          <w:rFonts w:ascii="ITC Avant Garde" w:hAnsi="ITC Avant Garde"/>
          <w:bCs/>
          <w:color w:val="000000" w:themeColor="text1"/>
          <w:lang w:eastAsia="es-MX"/>
        </w:rPr>
        <w:t>El 14 de julio de 2014, se publicó en el Diario Oficial de la Federación el “</w:t>
      </w:r>
      <w:r w:rsidRPr="002A3671">
        <w:rPr>
          <w:rFonts w:ascii="ITC Avant Garde" w:hAnsi="ITC Avant Garde"/>
          <w:bCs/>
          <w:i/>
          <w:color w:val="000000" w:themeColor="text1"/>
          <w:lang w:eastAsia="es-MX"/>
        </w:rPr>
        <w:t xml:space="preserve">Decreto por el que se expiden la Ley Federal de Telecomunicaciones y Radiodifusión, y la Ley del Sistema Público de Radiodifusión del Estado Mexicano; y </w:t>
      </w:r>
      <w:r w:rsidRPr="002A3671">
        <w:rPr>
          <w:rFonts w:ascii="ITC Avant Garde" w:hAnsi="ITC Avant Garde"/>
          <w:bCs/>
          <w:i/>
          <w:color w:val="000000" w:themeColor="text1"/>
          <w:lang w:eastAsia="es-MX"/>
        </w:rPr>
        <w:lastRenderedPageBreak/>
        <w:t>se reforman, adicionan y derogan diversas disposiciones en materia de telecomunicaciones y radiodifusión</w:t>
      </w:r>
      <w:r w:rsidRPr="002A3671">
        <w:rPr>
          <w:rFonts w:ascii="ITC Avant Garde" w:hAnsi="ITC Avant Garde"/>
          <w:bCs/>
          <w:color w:val="000000" w:themeColor="text1"/>
          <w:lang w:eastAsia="es-MX"/>
        </w:rPr>
        <w:t>” (el “Decreto de Ley”), mismo que entró en vigor el 13 de agosto de 2014.</w:t>
      </w:r>
    </w:p>
    <w:p w14:paraId="758C100B" w14:textId="77777777" w:rsidR="00523FCB" w:rsidRDefault="009A5E55" w:rsidP="00523FCB">
      <w:pPr>
        <w:numPr>
          <w:ilvl w:val="0"/>
          <w:numId w:val="1"/>
        </w:numPr>
        <w:spacing w:afterLines="120" w:after="288" w:line="240" w:lineRule="auto"/>
        <w:ind w:left="567" w:hanging="425"/>
        <w:jc w:val="both"/>
        <w:rPr>
          <w:rFonts w:ascii="ITC Avant Garde" w:hAnsi="ITC Avant Garde"/>
          <w:bCs/>
          <w:color w:val="000000"/>
          <w:lang w:eastAsia="es-MX"/>
        </w:rPr>
      </w:pPr>
      <w:r w:rsidRPr="002A3671">
        <w:rPr>
          <w:rFonts w:ascii="ITC Avant Garde" w:hAnsi="ITC Avant Garde" w:cs="Arial"/>
          <w:b/>
          <w:bCs/>
          <w:color w:val="000000"/>
          <w:shd w:val="clear" w:color="auto" w:fill="FFFFFF"/>
        </w:rPr>
        <w:t>Estatuto Orgánico.</w:t>
      </w:r>
      <w:r w:rsidRPr="002A3671">
        <w:rPr>
          <w:rStyle w:val="apple-converted-space"/>
          <w:rFonts w:ascii="ITC Avant Garde" w:hAnsi="ITC Avant Garde" w:cs="Arial"/>
          <w:b/>
          <w:bCs/>
          <w:color w:val="000000"/>
          <w:shd w:val="clear" w:color="auto" w:fill="FFFFFF"/>
        </w:rPr>
        <w:t xml:space="preserve"> </w:t>
      </w:r>
      <w:r w:rsidRPr="002A3671">
        <w:rPr>
          <w:rFonts w:ascii="ITC Avant Garde" w:hAnsi="ITC Avant Garde"/>
          <w:color w:val="000000"/>
          <w:shd w:val="clear" w:color="auto" w:fill="FFFFFF"/>
        </w:rPr>
        <w:t>El 4 de septiembre de 2014, se publicó en el Diario Oficial de la Federación el “</w:t>
      </w:r>
      <w:r w:rsidRPr="002A3671">
        <w:rPr>
          <w:rFonts w:ascii="ITC Avant Garde" w:hAnsi="ITC Avant Garde"/>
          <w:i/>
          <w:color w:val="000000"/>
          <w:shd w:val="clear" w:color="auto" w:fill="FFFFFF"/>
        </w:rPr>
        <w:t>Estatuto Orgánico del Instituto Federal de Telecomunicaciones</w:t>
      </w:r>
      <w:r w:rsidRPr="002A3671">
        <w:rPr>
          <w:rFonts w:ascii="ITC Avant Garde" w:hAnsi="ITC Avant Garde"/>
          <w:color w:val="000000"/>
          <w:shd w:val="clear" w:color="auto" w:fill="FFFFFF"/>
        </w:rPr>
        <w:t xml:space="preserve">” (el “Estatuto Orgánico”), mismo que entró en vigor el 26 de septiembre de 2014, y fue modificado </w:t>
      </w:r>
      <w:r w:rsidR="0073097E" w:rsidRPr="002A3671">
        <w:rPr>
          <w:rFonts w:ascii="ITC Avant Garde" w:hAnsi="ITC Avant Garde"/>
          <w:bCs/>
          <w:color w:val="000000"/>
          <w:lang w:eastAsia="es-MX"/>
        </w:rPr>
        <w:t xml:space="preserve">por última vez </w:t>
      </w:r>
      <w:r w:rsidR="007C5EF0" w:rsidRPr="002A3671">
        <w:rPr>
          <w:rFonts w:ascii="ITC Avant Garde" w:hAnsi="ITC Avant Garde"/>
          <w:color w:val="000000"/>
          <w:shd w:val="clear" w:color="auto" w:fill="FFFFFF"/>
        </w:rPr>
        <w:t xml:space="preserve">el </w:t>
      </w:r>
      <w:r w:rsidR="00F51993">
        <w:rPr>
          <w:rFonts w:ascii="ITC Avant Garde" w:hAnsi="ITC Avant Garde"/>
          <w:color w:val="000000"/>
          <w:shd w:val="clear" w:color="auto" w:fill="FFFFFF"/>
        </w:rPr>
        <w:t>20 de julio de 2017</w:t>
      </w:r>
      <w:r w:rsidRPr="002A3671">
        <w:rPr>
          <w:rFonts w:ascii="ITC Avant Garde" w:hAnsi="ITC Avant Garde"/>
          <w:color w:val="000000"/>
          <w:shd w:val="clear" w:color="auto" w:fill="FFFFFF"/>
        </w:rPr>
        <w:t>.</w:t>
      </w:r>
    </w:p>
    <w:p w14:paraId="3BC57774" w14:textId="77777777" w:rsidR="00523FCB" w:rsidRDefault="009A5E55" w:rsidP="00523FCB">
      <w:pPr>
        <w:numPr>
          <w:ilvl w:val="0"/>
          <w:numId w:val="1"/>
        </w:numPr>
        <w:spacing w:afterLines="120" w:after="288" w:line="240" w:lineRule="auto"/>
        <w:ind w:left="567" w:hanging="425"/>
        <w:jc w:val="both"/>
        <w:rPr>
          <w:rFonts w:ascii="ITC Avant Garde" w:hAnsi="ITC Avant Garde"/>
          <w:bCs/>
          <w:color w:val="000000"/>
          <w:lang w:eastAsia="es-MX"/>
        </w:rPr>
      </w:pPr>
      <w:r w:rsidRPr="0031503D">
        <w:rPr>
          <w:rFonts w:ascii="ITC Avant Garde" w:hAnsi="ITC Avant Garde"/>
          <w:b/>
          <w:bCs/>
        </w:rPr>
        <w:t>Lineamientos para el Otorgamiento de Concesiones.</w:t>
      </w:r>
      <w:r w:rsidRPr="0031503D">
        <w:rPr>
          <w:rFonts w:ascii="ITC Avant Garde" w:hAnsi="ITC Avant Garde"/>
          <w:bCs/>
          <w:color w:val="000000"/>
          <w:lang w:eastAsia="es-MX"/>
        </w:rPr>
        <w:t xml:space="preserve"> Con fecha 24 de julio de 2015, se publicaron en el Diario Oficial de la Federación los “</w:t>
      </w:r>
      <w:r w:rsidRPr="0031503D">
        <w:rPr>
          <w:rFonts w:ascii="ITC Avant Garde" w:hAnsi="ITC Avant Garde"/>
          <w:bCs/>
          <w:i/>
        </w:rPr>
        <w:t>Lineamientos generales para el otorgamiento de concesiones a que se refiere el título cuarto de la Ley Federal de Telecomunicaciones y Radiodifusión</w:t>
      </w:r>
      <w:r w:rsidRPr="0031503D">
        <w:rPr>
          <w:rFonts w:ascii="ITC Avant Garde" w:hAnsi="ITC Avant Garde"/>
          <w:bCs/>
        </w:rPr>
        <w:t>” (los “Lineamientos”)</w:t>
      </w:r>
      <w:r w:rsidR="00161468">
        <w:rPr>
          <w:rFonts w:ascii="ITC Avant Garde" w:hAnsi="ITC Avant Garde"/>
          <w:bCs/>
        </w:rPr>
        <w:t>,</w:t>
      </w:r>
      <w:r w:rsidR="0012573F">
        <w:rPr>
          <w:rFonts w:ascii="ITC Avant Garde" w:hAnsi="ITC Avant Garde"/>
          <w:bCs/>
        </w:rPr>
        <w:t xml:space="preserve"> y</w:t>
      </w:r>
      <w:r w:rsidR="00161468">
        <w:rPr>
          <w:rFonts w:ascii="ITC Avant Garde" w:hAnsi="ITC Avant Garde"/>
          <w:bCs/>
        </w:rPr>
        <w:t xml:space="preserve"> </w:t>
      </w:r>
      <w:r w:rsidR="00161468" w:rsidRPr="0029355E">
        <w:rPr>
          <w:rFonts w:ascii="ITC Avant Garde" w:hAnsi="ITC Avant Garde"/>
          <w:bCs/>
          <w:color w:val="000000"/>
          <w:lang w:eastAsia="es-MX"/>
        </w:rPr>
        <w:t>modificados el 26 de mayo de 2017</w:t>
      </w:r>
      <w:r w:rsidRPr="0031503D">
        <w:rPr>
          <w:rFonts w:ascii="ITC Avant Garde" w:hAnsi="ITC Avant Garde"/>
          <w:bCs/>
        </w:rPr>
        <w:t>.</w:t>
      </w:r>
    </w:p>
    <w:p w14:paraId="1059E2CB" w14:textId="195061D2" w:rsidR="00523FCB" w:rsidRDefault="00EB772D" w:rsidP="00523FCB">
      <w:pPr>
        <w:numPr>
          <w:ilvl w:val="0"/>
          <w:numId w:val="1"/>
        </w:numPr>
        <w:spacing w:afterLines="120" w:after="288" w:line="240" w:lineRule="auto"/>
        <w:ind w:left="567" w:hanging="425"/>
        <w:jc w:val="both"/>
        <w:rPr>
          <w:rFonts w:ascii="ITC Avant Garde" w:hAnsi="ITC Avant Garde"/>
          <w:bCs/>
          <w:color w:val="000000"/>
          <w:lang w:eastAsia="es-MX"/>
        </w:rPr>
      </w:pPr>
      <w:r w:rsidRPr="00C219A6">
        <w:rPr>
          <w:rFonts w:ascii="ITC Avant Garde" w:hAnsi="ITC Avant Garde"/>
          <w:b/>
          <w:color w:val="000000"/>
          <w:shd w:val="clear" w:color="auto" w:fill="FFFFFF"/>
        </w:rPr>
        <w:t>Prórroga del plazo para transitar a la concesión única y/u obtener autorización para prestar servicios adicionales.</w:t>
      </w:r>
      <w:r w:rsidRPr="00C219A6">
        <w:rPr>
          <w:rFonts w:ascii="ITC Avant Garde" w:hAnsi="ITC Avant Garde"/>
          <w:color w:val="000000"/>
          <w:shd w:val="clear" w:color="auto" w:fill="FFFFFF"/>
        </w:rPr>
        <w:t xml:space="preserve"> El 4 de </w:t>
      </w:r>
      <w:r w:rsidR="0076150A">
        <w:rPr>
          <w:rFonts w:ascii="ITC Avant Garde" w:hAnsi="ITC Avant Garde"/>
          <w:color w:val="000000"/>
          <w:shd w:val="clear" w:color="auto" w:fill="FFFFFF"/>
        </w:rPr>
        <w:t>noviembre</w:t>
      </w:r>
      <w:r w:rsidRPr="00C219A6">
        <w:rPr>
          <w:rFonts w:ascii="ITC Avant Garde" w:hAnsi="ITC Avant Garde"/>
          <w:color w:val="000000"/>
          <w:shd w:val="clear" w:color="auto" w:fill="FFFFFF"/>
        </w:rPr>
        <w:t xml:space="preserve"> de 2016,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sidRPr="00C219A6">
        <w:rPr>
          <w:rFonts w:ascii="ITC Avant Garde" w:hAnsi="ITC Avant Garde"/>
          <w:color w:val="000000"/>
          <w:shd w:val="clear" w:color="auto" w:fill="FFFFFF"/>
        </w:rPr>
        <w:t xml:space="preserve">, S.A. de C.V., por conducto de su representante legal, solicitó ampliar el plazo </w:t>
      </w:r>
      <w:r>
        <w:rPr>
          <w:rFonts w:ascii="ITC Avant Garde" w:hAnsi="ITC Avant Garde"/>
          <w:color w:val="000000"/>
          <w:shd w:val="clear" w:color="auto" w:fill="FFFFFF"/>
        </w:rPr>
        <w:t xml:space="preserve">para dar cumplimiento a </w:t>
      </w:r>
      <w:r w:rsidRPr="00C219A6">
        <w:rPr>
          <w:rFonts w:ascii="ITC Avant Garde" w:hAnsi="ITC Avant Garde"/>
          <w:color w:val="000000"/>
          <w:shd w:val="clear" w:color="auto" w:fill="FFFFFF"/>
        </w:rPr>
        <w:t>lo establecido en la</w:t>
      </w:r>
      <w:r>
        <w:rPr>
          <w:rFonts w:ascii="ITC Avant Garde" w:hAnsi="ITC Avant Garde"/>
          <w:color w:val="000000"/>
          <w:shd w:val="clear" w:color="auto" w:fill="FFFFFF"/>
        </w:rPr>
        <w:t>s condicio</w:t>
      </w:r>
      <w:r w:rsidRPr="00C219A6">
        <w:rPr>
          <w:rFonts w:ascii="ITC Avant Garde" w:hAnsi="ITC Avant Garde"/>
          <w:color w:val="000000"/>
          <w:shd w:val="clear" w:color="auto" w:fill="FFFFFF"/>
        </w:rPr>
        <w:t>n</w:t>
      </w:r>
      <w:r>
        <w:rPr>
          <w:rFonts w:ascii="ITC Avant Garde" w:hAnsi="ITC Avant Garde"/>
          <w:color w:val="000000"/>
          <w:shd w:val="clear" w:color="auto" w:fill="FFFFFF"/>
        </w:rPr>
        <w:t>es</w:t>
      </w:r>
      <w:r w:rsidRPr="00C219A6">
        <w:rPr>
          <w:rFonts w:ascii="ITC Avant Garde" w:hAnsi="ITC Avant Garde"/>
          <w:color w:val="000000"/>
          <w:shd w:val="clear" w:color="auto" w:fill="FFFFFF"/>
        </w:rPr>
        <w:t xml:space="preserve"> 2.1 de la </w:t>
      </w:r>
      <w:r w:rsidR="00F11BFF" w:rsidRPr="00FF7219">
        <w:rPr>
          <w:rFonts w:ascii="ITC Avant Garde" w:hAnsi="ITC Avant Garde" w:cs="Arial"/>
          <w:lang w:eastAsia="es-MX"/>
        </w:rPr>
        <w:t>Concesión</w:t>
      </w:r>
      <w:r w:rsidRPr="00FF7219">
        <w:rPr>
          <w:rFonts w:ascii="ITC Avant Garde" w:hAnsi="ITC Avant Garde" w:cs="Arial"/>
          <w:lang w:eastAsia="es-MX"/>
        </w:rPr>
        <w:t xml:space="preserve"> de Bandas</w:t>
      </w:r>
      <w:r>
        <w:rPr>
          <w:rFonts w:ascii="ITC Avant Garde" w:hAnsi="ITC Avant Garde" w:cs="Arial"/>
          <w:lang w:eastAsia="es-MX"/>
        </w:rPr>
        <w:t xml:space="preserve"> y 1.3 de la </w:t>
      </w:r>
      <w:r w:rsidR="00F11BFF" w:rsidRPr="007C7ACE">
        <w:rPr>
          <w:rFonts w:ascii="ITC Avant Garde" w:hAnsi="ITC Avant Garde" w:cs="Arial"/>
          <w:lang w:eastAsia="es-MX"/>
        </w:rPr>
        <w:t>Concesi</w:t>
      </w:r>
      <w:r w:rsidR="00F11BFF">
        <w:rPr>
          <w:rFonts w:ascii="ITC Avant Garde" w:hAnsi="ITC Avant Garde" w:cs="Arial"/>
          <w:lang w:eastAsia="es-MX"/>
        </w:rPr>
        <w:t>ó</w:t>
      </w:r>
      <w:r w:rsidR="00F11BFF" w:rsidRPr="007C7ACE">
        <w:rPr>
          <w:rFonts w:ascii="ITC Avant Garde" w:hAnsi="ITC Avant Garde" w:cs="Arial"/>
          <w:lang w:eastAsia="es-MX"/>
        </w:rPr>
        <w:t>n</w:t>
      </w:r>
      <w:r w:rsidRPr="007C7ACE">
        <w:rPr>
          <w:rFonts w:ascii="ITC Avant Garde" w:hAnsi="ITC Avant Garde" w:cs="Arial"/>
          <w:lang w:eastAsia="es-MX"/>
        </w:rPr>
        <w:t xml:space="preserve"> </w:t>
      </w:r>
      <w:r w:rsidRPr="007C7ACE">
        <w:rPr>
          <w:rFonts w:ascii="ITC Avant Garde" w:hAnsi="ITC Avant Garde" w:cs="Arial"/>
          <w:bCs/>
          <w:lang w:eastAsia="es-MX"/>
        </w:rPr>
        <w:t>de Red</w:t>
      </w:r>
      <w:r>
        <w:rPr>
          <w:rFonts w:ascii="ITC Avant Garde" w:hAnsi="ITC Avant Garde" w:cs="Arial"/>
          <w:bCs/>
          <w:lang w:eastAsia="es-MX"/>
        </w:rPr>
        <w:t>.</w:t>
      </w:r>
    </w:p>
    <w:p w14:paraId="6E519555" w14:textId="77777777" w:rsidR="00523FCB" w:rsidRDefault="00EB772D" w:rsidP="00523FCB">
      <w:pPr>
        <w:spacing w:afterLines="120" w:after="288" w:line="240" w:lineRule="auto"/>
        <w:ind w:left="567"/>
        <w:jc w:val="both"/>
        <w:rPr>
          <w:rFonts w:ascii="ITC Avant Garde" w:hAnsi="ITC Avant Garde" w:cs="Arial"/>
          <w:bCs/>
          <w:lang w:eastAsia="es-MX"/>
        </w:rPr>
      </w:pPr>
      <w:r>
        <w:rPr>
          <w:rFonts w:ascii="ITC Avant Garde" w:hAnsi="ITC Avant Garde"/>
          <w:bCs/>
        </w:rPr>
        <w:t>En atención a lo anterior, m</w:t>
      </w:r>
      <w:r w:rsidRPr="00C219A6">
        <w:rPr>
          <w:rFonts w:ascii="ITC Avant Garde" w:hAnsi="ITC Avant Garde"/>
          <w:bCs/>
        </w:rPr>
        <w:t>ediante oficio IFT/223/UCS/</w:t>
      </w:r>
      <w:r w:rsidR="0076150A">
        <w:rPr>
          <w:rFonts w:ascii="ITC Avant Garde" w:hAnsi="ITC Avant Garde"/>
          <w:bCs/>
        </w:rPr>
        <w:t>2538</w:t>
      </w:r>
      <w:r w:rsidRPr="00C219A6">
        <w:rPr>
          <w:rFonts w:ascii="ITC Avant Garde" w:hAnsi="ITC Avant Garde"/>
          <w:bCs/>
        </w:rPr>
        <w:t>/2016</w:t>
      </w:r>
      <w:r w:rsidRPr="00C219A6">
        <w:rPr>
          <w:rFonts w:ascii="ITC Avant Garde" w:hAnsi="ITC Avant Garde"/>
          <w:b/>
          <w:bCs/>
        </w:rPr>
        <w:t xml:space="preserve"> </w:t>
      </w:r>
      <w:r w:rsidRPr="00C219A6">
        <w:rPr>
          <w:rFonts w:ascii="ITC Avant Garde" w:hAnsi="ITC Avant Garde"/>
          <w:bCs/>
        </w:rPr>
        <w:t xml:space="preserve">de fecha 24 de noviembre de 2016, el Instituto autorizó a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sidRPr="00C219A6">
        <w:rPr>
          <w:rFonts w:ascii="ITC Avant Garde" w:hAnsi="ITC Avant Garde"/>
          <w:bCs/>
        </w:rPr>
        <w:t xml:space="preserve">, S.A. de C.V., </w:t>
      </w:r>
      <w:r w:rsidRPr="00C219A6">
        <w:rPr>
          <w:rFonts w:ascii="ITC Avant Garde" w:hAnsi="ITC Avant Garde"/>
        </w:rPr>
        <w:t xml:space="preserve">la ampliación del plazo solicitado, en atención a lo </w:t>
      </w:r>
      <w:r w:rsidRPr="00C219A6">
        <w:rPr>
          <w:rFonts w:ascii="ITC Avant Garde" w:hAnsi="ITC Avant Garde"/>
          <w:color w:val="000000"/>
          <w:lang w:eastAsia="es-MX"/>
        </w:rPr>
        <w:t xml:space="preserve">señalado </w:t>
      </w:r>
      <w:r w:rsidRPr="00C219A6">
        <w:rPr>
          <w:rFonts w:ascii="ITC Avant Garde" w:hAnsi="ITC Avant Garde"/>
          <w:color w:val="000000"/>
          <w:shd w:val="clear" w:color="auto" w:fill="FFFFFF"/>
        </w:rPr>
        <w:t>en la</w:t>
      </w:r>
      <w:r>
        <w:rPr>
          <w:rFonts w:ascii="ITC Avant Garde" w:hAnsi="ITC Avant Garde"/>
          <w:color w:val="000000"/>
          <w:shd w:val="clear" w:color="auto" w:fill="FFFFFF"/>
        </w:rPr>
        <w:t>s condicio</w:t>
      </w:r>
      <w:r w:rsidRPr="00C219A6">
        <w:rPr>
          <w:rFonts w:ascii="ITC Avant Garde" w:hAnsi="ITC Avant Garde"/>
          <w:color w:val="000000"/>
          <w:shd w:val="clear" w:color="auto" w:fill="FFFFFF"/>
        </w:rPr>
        <w:t>n</w:t>
      </w:r>
      <w:r>
        <w:rPr>
          <w:rFonts w:ascii="ITC Avant Garde" w:hAnsi="ITC Avant Garde"/>
          <w:color w:val="000000"/>
          <w:shd w:val="clear" w:color="auto" w:fill="FFFFFF"/>
        </w:rPr>
        <w:t>es</w:t>
      </w:r>
      <w:r w:rsidRPr="00C219A6">
        <w:rPr>
          <w:rFonts w:ascii="ITC Avant Garde" w:hAnsi="ITC Avant Garde"/>
          <w:color w:val="000000"/>
          <w:shd w:val="clear" w:color="auto" w:fill="FFFFFF"/>
        </w:rPr>
        <w:t xml:space="preserve"> 2.1 de la </w:t>
      </w:r>
      <w:r w:rsidRPr="00FF7219">
        <w:rPr>
          <w:rFonts w:ascii="ITC Avant Garde" w:hAnsi="ITC Avant Garde" w:cs="Arial"/>
          <w:lang w:eastAsia="es-MX"/>
        </w:rPr>
        <w:t>Concesi</w:t>
      </w:r>
      <w:r w:rsidR="00F055B2">
        <w:rPr>
          <w:rFonts w:ascii="ITC Avant Garde" w:hAnsi="ITC Avant Garde" w:cs="Arial"/>
          <w:lang w:eastAsia="es-MX"/>
        </w:rPr>
        <w:t>ón</w:t>
      </w:r>
      <w:r w:rsidRPr="00FF7219">
        <w:rPr>
          <w:rFonts w:ascii="ITC Avant Garde" w:hAnsi="ITC Avant Garde" w:cs="Arial"/>
          <w:lang w:eastAsia="es-MX"/>
        </w:rPr>
        <w:t xml:space="preserve"> de Bandas</w:t>
      </w:r>
      <w:r w:rsidR="009F67A7">
        <w:rPr>
          <w:rFonts w:ascii="ITC Avant Garde" w:hAnsi="ITC Avant Garde" w:cs="Arial"/>
          <w:lang w:eastAsia="es-MX"/>
        </w:rPr>
        <w:t xml:space="preserve"> y 1.3 de la</w:t>
      </w:r>
      <w:r>
        <w:rPr>
          <w:rFonts w:ascii="ITC Avant Garde" w:hAnsi="ITC Avant Garde" w:cs="Arial"/>
          <w:lang w:eastAsia="es-MX"/>
        </w:rPr>
        <w:t xml:space="preserve"> </w:t>
      </w:r>
      <w:r w:rsidR="00F055B2" w:rsidRPr="007C7ACE">
        <w:rPr>
          <w:rFonts w:ascii="ITC Avant Garde" w:hAnsi="ITC Avant Garde" w:cs="Arial"/>
          <w:lang w:eastAsia="es-MX"/>
        </w:rPr>
        <w:t>Concesión</w:t>
      </w:r>
      <w:r w:rsidRPr="007C7ACE">
        <w:rPr>
          <w:rFonts w:ascii="ITC Avant Garde" w:hAnsi="ITC Avant Garde" w:cs="Arial"/>
          <w:lang w:eastAsia="es-MX"/>
        </w:rPr>
        <w:t xml:space="preserve"> </w:t>
      </w:r>
      <w:r w:rsidRPr="007C7ACE">
        <w:rPr>
          <w:rFonts w:ascii="ITC Avant Garde" w:hAnsi="ITC Avant Garde" w:cs="Arial"/>
          <w:bCs/>
          <w:lang w:eastAsia="es-MX"/>
        </w:rPr>
        <w:t>de Red</w:t>
      </w:r>
      <w:r w:rsidR="00F77B94">
        <w:rPr>
          <w:rFonts w:ascii="ITC Avant Garde" w:hAnsi="ITC Avant Garde" w:cs="Arial"/>
          <w:bCs/>
          <w:lang w:eastAsia="es-MX"/>
        </w:rPr>
        <w:t>, hasta el 31 de diciembre de 2017.</w:t>
      </w:r>
    </w:p>
    <w:p w14:paraId="474A9709" w14:textId="77777777" w:rsidR="00523FCB" w:rsidRDefault="009A5E55" w:rsidP="00523FCB">
      <w:pPr>
        <w:numPr>
          <w:ilvl w:val="0"/>
          <w:numId w:val="1"/>
        </w:numPr>
        <w:spacing w:afterLines="120" w:after="288" w:line="240" w:lineRule="auto"/>
        <w:ind w:left="567" w:hanging="425"/>
        <w:jc w:val="both"/>
        <w:rPr>
          <w:rFonts w:ascii="ITC Avant Garde" w:hAnsi="ITC Avant Garde"/>
          <w:bCs/>
          <w:color w:val="000000"/>
          <w:lang w:eastAsia="es-MX"/>
        </w:rPr>
      </w:pPr>
      <w:r w:rsidRPr="00C50B5E">
        <w:rPr>
          <w:rFonts w:ascii="ITC Avant Garde" w:hAnsi="ITC Avant Garde"/>
          <w:b/>
          <w:bCs/>
        </w:rPr>
        <w:t xml:space="preserve">Solicitud de Transición a la Concesión Única para Uso Comercial. </w:t>
      </w:r>
      <w:r w:rsidRPr="00C50B5E">
        <w:rPr>
          <w:rFonts w:ascii="ITC Avant Garde" w:hAnsi="ITC Avant Garde"/>
          <w:bCs/>
        </w:rPr>
        <w:t>Con fecha</w:t>
      </w:r>
      <w:r w:rsidR="00750D60">
        <w:rPr>
          <w:rFonts w:ascii="ITC Avant Garde" w:hAnsi="ITC Avant Garde"/>
          <w:color w:val="000000"/>
          <w:lang w:eastAsia="es-MX"/>
        </w:rPr>
        <w:t xml:space="preserve"> </w:t>
      </w:r>
      <w:r w:rsidR="0076150A">
        <w:rPr>
          <w:rFonts w:ascii="ITC Avant Garde" w:hAnsi="ITC Avant Garde"/>
          <w:color w:val="000000"/>
          <w:lang w:eastAsia="es-MX"/>
        </w:rPr>
        <w:t>11 de agosto</w:t>
      </w:r>
      <w:r w:rsidR="005D45E2">
        <w:rPr>
          <w:rFonts w:ascii="ITC Avant Garde" w:hAnsi="ITC Avant Garde"/>
          <w:color w:val="000000"/>
          <w:lang w:eastAsia="es-MX"/>
        </w:rPr>
        <w:t xml:space="preserve"> de 2</w:t>
      </w:r>
      <w:r w:rsidR="004B1B3C">
        <w:rPr>
          <w:rFonts w:ascii="ITC Avant Garde" w:hAnsi="ITC Avant Garde"/>
          <w:color w:val="000000"/>
          <w:lang w:eastAsia="es-MX"/>
        </w:rPr>
        <w:t>017</w:t>
      </w:r>
      <w:r w:rsidRPr="00C50B5E">
        <w:rPr>
          <w:rFonts w:ascii="ITC Avant Garde" w:hAnsi="ITC Avant Garde"/>
        </w:rPr>
        <w:t>,</w:t>
      </w:r>
      <w:r w:rsidRPr="00C50B5E">
        <w:rPr>
          <w:rFonts w:ascii="ITC Avant Garde" w:hAnsi="ITC Avant Garde"/>
          <w:color w:val="000000"/>
          <w:lang w:eastAsia="es-MX"/>
        </w:rPr>
        <w:t xml:space="preserve">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sidR="007E48EC">
        <w:rPr>
          <w:rFonts w:ascii="ITC Avant Garde" w:hAnsi="ITC Avant Garde"/>
          <w:color w:val="000000"/>
          <w:lang w:eastAsia="es-MX"/>
        </w:rPr>
        <w:t>, S.A. de C.V., a través de su</w:t>
      </w:r>
      <w:r w:rsidR="004B1B3C">
        <w:rPr>
          <w:rFonts w:ascii="ITC Avant Garde" w:hAnsi="ITC Avant Garde"/>
          <w:bCs/>
          <w:color w:val="000000"/>
          <w:lang w:eastAsia="es-MX"/>
        </w:rPr>
        <w:t xml:space="preserve"> </w:t>
      </w:r>
      <w:r w:rsidR="007E48EC">
        <w:rPr>
          <w:rFonts w:ascii="ITC Avant Garde" w:hAnsi="ITC Avant Garde"/>
          <w:bCs/>
          <w:color w:val="000000"/>
          <w:lang w:eastAsia="es-MX"/>
        </w:rPr>
        <w:t>representante legal,</w:t>
      </w:r>
      <w:r w:rsidRPr="00C50B5E">
        <w:rPr>
          <w:rFonts w:ascii="ITC Avant Garde" w:hAnsi="ITC Avant Garde"/>
        </w:rPr>
        <w:t xml:space="preserve"> </w:t>
      </w:r>
      <w:r w:rsidR="00E70AA9">
        <w:rPr>
          <w:rFonts w:ascii="ITC Avant Garde" w:hAnsi="ITC Avant Garde"/>
          <w:color w:val="000000"/>
          <w:lang w:eastAsia="es-MX"/>
        </w:rPr>
        <w:t>presentó</w:t>
      </w:r>
      <w:r w:rsidR="00CC39E9">
        <w:rPr>
          <w:rFonts w:ascii="ITC Avant Garde" w:hAnsi="ITC Avant Garde"/>
          <w:color w:val="000000"/>
          <w:lang w:eastAsia="es-MX"/>
        </w:rPr>
        <w:t xml:space="preserve"> ante el Instituto</w:t>
      </w:r>
      <w:r w:rsidR="00E70AA9">
        <w:rPr>
          <w:rFonts w:ascii="ITC Avant Garde" w:hAnsi="ITC Avant Garde"/>
          <w:color w:val="000000"/>
          <w:lang w:eastAsia="es-MX"/>
        </w:rPr>
        <w:t xml:space="preserve"> el Formato IFT-Transición</w:t>
      </w:r>
      <w:r w:rsidR="005E3217">
        <w:rPr>
          <w:rFonts w:ascii="ITC Avant Garde" w:hAnsi="ITC Avant Garde"/>
          <w:color w:val="000000"/>
          <w:lang w:eastAsia="es-MX"/>
        </w:rPr>
        <w:t xml:space="preserve"> respecto de la Concesión de Red </w:t>
      </w:r>
      <w:r w:rsidR="00F055B2" w:rsidRPr="00C50B5E">
        <w:rPr>
          <w:rFonts w:ascii="ITC Avant Garde" w:hAnsi="ITC Avant Garde"/>
        </w:rPr>
        <w:t>(</w:t>
      </w:r>
      <w:r w:rsidR="00F0432F" w:rsidRPr="00C50B5E">
        <w:rPr>
          <w:rFonts w:ascii="ITC Avant Garde" w:hAnsi="ITC Avant Garde"/>
        </w:rPr>
        <w:t xml:space="preserve">la “Solicitud de </w:t>
      </w:r>
      <w:r w:rsidR="00F0432F">
        <w:rPr>
          <w:rFonts w:ascii="ITC Avant Garde" w:hAnsi="ITC Avant Garde"/>
        </w:rPr>
        <w:t>Transición</w:t>
      </w:r>
      <w:r w:rsidR="00F0432F" w:rsidRPr="00C50B5E">
        <w:rPr>
          <w:rFonts w:ascii="ITC Avant Garde" w:hAnsi="ITC Avant Garde"/>
        </w:rPr>
        <w:t>”)</w:t>
      </w:r>
      <w:r w:rsidR="00F0432F">
        <w:rPr>
          <w:rFonts w:ascii="ITC Avant Garde" w:hAnsi="ITC Avant Garde"/>
        </w:rPr>
        <w:t>.</w:t>
      </w:r>
    </w:p>
    <w:p w14:paraId="40F0A1A9" w14:textId="77777777" w:rsidR="00523FCB" w:rsidRDefault="00EB772D" w:rsidP="00523FCB">
      <w:pPr>
        <w:numPr>
          <w:ilvl w:val="0"/>
          <w:numId w:val="1"/>
        </w:numPr>
        <w:spacing w:afterLines="120" w:after="288" w:line="240" w:lineRule="auto"/>
        <w:ind w:left="567" w:hanging="425"/>
        <w:jc w:val="both"/>
        <w:rPr>
          <w:rFonts w:ascii="ITC Avant Garde" w:hAnsi="ITC Avant Garde"/>
          <w:b/>
          <w:bCs/>
          <w:color w:val="000000"/>
          <w:lang w:eastAsia="es-MX"/>
        </w:rPr>
      </w:pPr>
      <w:r>
        <w:rPr>
          <w:rFonts w:ascii="ITC Avant Garde" w:hAnsi="ITC Avant Garde" w:cs="Arial"/>
          <w:b/>
          <w:bCs/>
          <w:color w:val="000000"/>
          <w:shd w:val="clear" w:color="auto" w:fill="FFFFFF"/>
        </w:rPr>
        <w:t xml:space="preserve"> </w:t>
      </w:r>
      <w:r w:rsidR="00FE3A48" w:rsidRPr="00945239">
        <w:rPr>
          <w:rFonts w:ascii="ITC Avant Garde" w:hAnsi="ITC Avant Garde" w:cs="Arial"/>
          <w:b/>
          <w:bCs/>
          <w:color w:val="000000"/>
          <w:shd w:val="clear" w:color="auto" w:fill="FFFFFF"/>
        </w:rPr>
        <w:t xml:space="preserve">Solicitud de Dictamen de Cumplimiento de Obligaciones a la Unidad de Cumplimiento. </w:t>
      </w:r>
      <w:r w:rsidR="00FE3A48" w:rsidRPr="00945239">
        <w:rPr>
          <w:rFonts w:ascii="ITC Avant Garde" w:hAnsi="ITC Avant Garde" w:cs="Arial"/>
          <w:bCs/>
          <w:color w:val="000000"/>
          <w:shd w:val="clear" w:color="auto" w:fill="FFFFFF"/>
        </w:rPr>
        <w:t>Mediante oficio IFT/</w:t>
      </w:r>
      <w:r w:rsidR="00FE3A48">
        <w:rPr>
          <w:rFonts w:ascii="ITC Avant Garde" w:hAnsi="ITC Avant Garde" w:cs="Arial"/>
          <w:bCs/>
          <w:color w:val="000000"/>
          <w:shd w:val="clear" w:color="auto" w:fill="FFFFFF"/>
        </w:rPr>
        <w:t>223</w:t>
      </w:r>
      <w:r w:rsidR="00FE3A48" w:rsidRPr="00945239">
        <w:rPr>
          <w:rFonts w:ascii="ITC Avant Garde" w:hAnsi="ITC Avant Garde" w:cs="Arial"/>
          <w:bCs/>
          <w:color w:val="000000"/>
          <w:shd w:val="clear" w:color="auto" w:fill="FFFFFF"/>
        </w:rPr>
        <w:t>/UCS/DG-CTEL/</w:t>
      </w:r>
      <w:r w:rsidR="0076150A">
        <w:rPr>
          <w:rFonts w:ascii="ITC Avant Garde" w:hAnsi="ITC Avant Garde" w:cs="Arial"/>
          <w:bCs/>
          <w:color w:val="000000"/>
          <w:shd w:val="clear" w:color="auto" w:fill="FFFFFF"/>
        </w:rPr>
        <w:t>1618</w:t>
      </w:r>
      <w:r w:rsidR="00FE3A48">
        <w:rPr>
          <w:rFonts w:ascii="ITC Avant Garde" w:hAnsi="ITC Avant Garde" w:cs="Arial"/>
          <w:bCs/>
          <w:color w:val="000000"/>
          <w:shd w:val="clear" w:color="auto" w:fill="FFFFFF"/>
        </w:rPr>
        <w:t>/2017</w:t>
      </w:r>
      <w:r w:rsidR="00FE3A48" w:rsidRPr="00945239">
        <w:rPr>
          <w:rFonts w:ascii="ITC Avant Garde" w:hAnsi="ITC Avant Garde" w:cs="Arial"/>
          <w:bCs/>
          <w:color w:val="000000"/>
          <w:shd w:val="clear" w:color="auto" w:fill="FFFFFF"/>
        </w:rPr>
        <w:t xml:space="preserve"> de fecha </w:t>
      </w:r>
      <w:r w:rsidR="0076150A">
        <w:rPr>
          <w:rFonts w:ascii="ITC Avant Garde" w:hAnsi="ITC Avant Garde" w:cs="Arial"/>
          <w:bCs/>
          <w:color w:val="000000"/>
          <w:shd w:val="clear" w:color="auto" w:fill="FFFFFF"/>
        </w:rPr>
        <w:t>15</w:t>
      </w:r>
      <w:r w:rsidR="00A237DF">
        <w:rPr>
          <w:rFonts w:ascii="ITC Avant Garde" w:hAnsi="ITC Avant Garde" w:cs="Arial"/>
          <w:bCs/>
          <w:color w:val="000000"/>
          <w:shd w:val="clear" w:color="auto" w:fill="FFFFFF"/>
        </w:rPr>
        <w:t xml:space="preserve"> de </w:t>
      </w:r>
      <w:r w:rsidR="0076150A">
        <w:rPr>
          <w:rFonts w:ascii="ITC Avant Garde" w:hAnsi="ITC Avant Garde" w:cs="Arial"/>
          <w:bCs/>
          <w:color w:val="000000"/>
          <w:shd w:val="clear" w:color="auto" w:fill="FFFFFF"/>
        </w:rPr>
        <w:t>agosto</w:t>
      </w:r>
      <w:r w:rsidR="00A237DF">
        <w:rPr>
          <w:rFonts w:ascii="ITC Avant Garde" w:hAnsi="ITC Avant Garde" w:cs="Arial"/>
          <w:bCs/>
          <w:color w:val="000000"/>
          <w:shd w:val="clear" w:color="auto" w:fill="FFFFFF"/>
        </w:rPr>
        <w:t xml:space="preserve"> </w:t>
      </w:r>
      <w:r w:rsidR="00FE3A48" w:rsidRPr="00945239">
        <w:rPr>
          <w:rFonts w:ascii="ITC Avant Garde" w:hAnsi="ITC Avant Garde" w:cs="Arial"/>
          <w:bCs/>
          <w:color w:val="000000"/>
          <w:shd w:val="clear" w:color="auto" w:fill="FFFFFF"/>
        </w:rPr>
        <w:t>de 201</w:t>
      </w:r>
      <w:r w:rsidR="00FE3A48">
        <w:rPr>
          <w:rFonts w:ascii="ITC Avant Garde" w:hAnsi="ITC Avant Garde" w:cs="Arial"/>
          <w:bCs/>
          <w:color w:val="000000"/>
          <w:shd w:val="clear" w:color="auto" w:fill="FFFFFF"/>
        </w:rPr>
        <w:t>7</w:t>
      </w:r>
      <w:r w:rsidR="00FE3A48" w:rsidRPr="00945239">
        <w:rPr>
          <w:rFonts w:ascii="ITC Avant Garde" w:hAnsi="ITC Avant Garde" w:cs="Arial"/>
          <w:bCs/>
          <w:color w:val="000000"/>
          <w:shd w:val="clear" w:color="auto" w:fill="FFFFFF"/>
        </w:rPr>
        <w:t>, la Dirección General de Concesiones de Telecomunicaciones, adscrita a la Unidad de Concesiones y Servicios del Instituto, solicitó a la Unidad de Cumplimiento el dictamen relativo al cumplimiento de obligaciones respecto de</w:t>
      </w:r>
      <w:r w:rsidR="00FE3A48">
        <w:rPr>
          <w:rFonts w:ascii="ITC Avant Garde" w:hAnsi="ITC Avant Garde" w:cs="Arial"/>
          <w:bCs/>
          <w:color w:val="000000"/>
          <w:shd w:val="clear" w:color="auto" w:fill="FFFFFF"/>
        </w:rPr>
        <w:t xml:space="preserve"> </w:t>
      </w:r>
      <w:r w:rsidR="005E3217">
        <w:rPr>
          <w:rFonts w:ascii="ITC Avant Garde" w:hAnsi="ITC Avant Garde" w:cs="Arial"/>
          <w:bCs/>
          <w:color w:val="000000"/>
          <w:shd w:val="clear" w:color="auto" w:fill="FFFFFF"/>
        </w:rPr>
        <w:t>la Concesión</w:t>
      </w:r>
      <w:r w:rsidR="00A237DF">
        <w:rPr>
          <w:rFonts w:ascii="ITC Avant Garde" w:hAnsi="ITC Avant Garde" w:cs="Arial"/>
          <w:bCs/>
          <w:color w:val="000000"/>
          <w:shd w:val="clear" w:color="auto" w:fill="FFFFFF"/>
        </w:rPr>
        <w:t xml:space="preserve"> de Red</w:t>
      </w:r>
      <w:r w:rsidR="00FE3A48">
        <w:rPr>
          <w:rFonts w:ascii="ITC Avant Garde" w:hAnsi="ITC Avant Garde"/>
          <w:bCs/>
        </w:rPr>
        <w:t>.</w:t>
      </w:r>
    </w:p>
    <w:p w14:paraId="64DAF810" w14:textId="77777777" w:rsidR="00523FCB" w:rsidRDefault="00AF4E0B" w:rsidP="00523FCB">
      <w:pPr>
        <w:numPr>
          <w:ilvl w:val="0"/>
          <w:numId w:val="1"/>
        </w:numPr>
        <w:spacing w:afterLines="120" w:after="288" w:line="240" w:lineRule="auto"/>
        <w:ind w:left="567" w:hanging="425"/>
        <w:jc w:val="both"/>
        <w:rPr>
          <w:rFonts w:ascii="ITC Avant Garde" w:hAnsi="ITC Avant Garde"/>
          <w:b/>
          <w:bCs/>
          <w:color w:val="000000"/>
          <w:lang w:eastAsia="es-MX"/>
        </w:rPr>
      </w:pPr>
      <w:r>
        <w:rPr>
          <w:rFonts w:ascii="ITC Avant Garde" w:hAnsi="ITC Avant Garde"/>
          <w:b/>
          <w:bCs/>
        </w:rPr>
        <w:t xml:space="preserve">Dictamen </w:t>
      </w:r>
      <w:r w:rsidR="009A5E55" w:rsidRPr="00533323">
        <w:rPr>
          <w:rFonts w:ascii="ITC Avant Garde" w:hAnsi="ITC Avant Garde"/>
          <w:b/>
          <w:bCs/>
        </w:rPr>
        <w:t>en materia de Cumplimiento de Obligaciones.</w:t>
      </w:r>
      <w:r w:rsidR="009A5E55" w:rsidRPr="00533323">
        <w:rPr>
          <w:rFonts w:ascii="ITC Avant Garde" w:hAnsi="ITC Avant Garde"/>
          <w:b/>
          <w:bCs/>
          <w:color w:val="000000"/>
          <w:lang w:eastAsia="es-MX"/>
        </w:rPr>
        <w:t xml:space="preserve"> </w:t>
      </w:r>
      <w:r w:rsidR="009A5E55" w:rsidRPr="00533323">
        <w:rPr>
          <w:rFonts w:ascii="ITC Avant Garde" w:hAnsi="ITC Avant Garde"/>
          <w:bCs/>
          <w:color w:val="000000"/>
          <w:lang w:eastAsia="es-MX"/>
        </w:rPr>
        <w:t>Mediante oficio IFT/225/UC/DG-SUV/</w:t>
      </w:r>
      <w:r w:rsidR="00AD5E0B">
        <w:rPr>
          <w:rFonts w:ascii="ITC Avant Garde" w:hAnsi="ITC Avant Garde"/>
          <w:bCs/>
          <w:color w:val="000000"/>
          <w:lang w:eastAsia="es-MX"/>
        </w:rPr>
        <w:t>03517</w:t>
      </w:r>
      <w:r w:rsidR="004B1B3C">
        <w:rPr>
          <w:rFonts w:ascii="ITC Avant Garde" w:hAnsi="ITC Avant Garde"/>
          <w:bCs/>
          <w:color w:val="000000"/>
          <w:lang w:eastAsia="es-MX"/>
        </w:rPr>
        <w:t>/2017</w:t>
      </w:r>
      <w:r w:rsidR="00C51F7E">
        <w:rPr>
          <w:rFonts w:ascii="ITC Avant Garde" w:hAnsi="ITC Avant Garde"/>
          <w:bCs/>
          <w:color w:val="000000"/>
          <w:lang w:eastAsia="es-MX"/>
        </w:rPr>
        <w:t xml:space="preserve"> </w:t>
      </w:r>
      <w:r w:rsidR="009A5E55" w:rsidRPr="00533323">
        <w:rPr>
          <w:rFonts w:ascii="ITC Avant Garde" w:hAnsi="ITC Avant Garde"/>
          <w:bCs/>
          <w:color w:val="000000"/>
          <w:lang w:eastAsia="es-MX"/>
        </w:rPr>
        <w:t xml:space="preserve">de fecha </w:t>
      </w:r>
      <w:r w:rsidR="00AD5E0B">
        <w:rPr>
          <w:rFonts w:ascii="ITC Avant Garde" w:hAnsi="ITC Avant Garde"/>
          <w:bCs/>
          <w:color w:val="000000"/>
          <w:lang w:eastAsia="es-MX"/>
        </w:rPr>
        <w:t>31</w:t>
      </w:r>
      <w:r w:rsidR="00FE3A48">
        <w:rPr>
          <w:rFonts w:ascii="ITC Avant Garde" w:hAnsi="ITC Avant Garde"/>
          <w:bCs/>
          <w:color w:val="000000"/>
          <w:lang w:eastAsia="es-MX"/>
        </w:rPr>
        <w:t xml:space="preserve"> de </w:t>
      </w:r>
      <w:r w:rsidR="0076150A">
        <w:rPr>
          <w:rFonts w:ascii="ITC Avant Garde" w:hAnsi="ITC Avant Garde"/>
          <w:bCs/>
          <w:color w:val="000000"/>
          <w:lang w:eastAsia="es-MX"/>
        </w:rPr>
        <w:t>octubre</w:t>
      </w:r>
      <w:r w:rsidR="004B1B3C">
        <w:rPr>
          <w:rFonts w:ascii="ITC Avant Garde" w:hAnsi="ITC Avant Garde"/>
          <w:bCs/>
          <w:color w:val="000000"/>
          <w:lang w:eastAsia="es-MX"/>
        </w:rPr>
        <w:t xml:space="preserve"> de 2017</w:t>
      </w:r>
      <w:r w:rsidR="009A5E55" w:rsidRPr="00597752">
        <w:rPr>
          <w:rFonts w:ascii="ITC Avant Garde" w:hAnsi="ITC Avant Garde"/>
          <w:bCs/>
          <w:lang w:eastAsia="es-MX"/>
        </w:rPr>
        <w:t xml:space="preserve">, </w:t>
      </w:r>
      <w:r w:rsidR="00597752" w:rsidRPr="00597752">
        <w:rPr>
          <w:rFonts w:ascii="ITC Avant Garde" w:hAnsi="ITC Avant Garde"/>
          <w:bCs/>
          <w:lang w:eastAsia="es-MX"/>
        </w:rPr>
        <w:t>la Dirección General de Supervisión, adscrita a</w:t>
      </w:r>
      <w:r w:rsidR="00597752">
        <w:rPr>
          <w:rFonts w:ascii="ITC Avant Garde" w:hAnsi="ITC Avant Garde"/>
          <w:bCs/>
          <w:color w:val="FF0000"/>
          <w:lang w:eastAsia="es-MX"/>
        </w:rPr>
        <w:t xml:space="preserve"> </w:t>
      </w:r>
      <w:r>
        <w:rPr>
          <w:rFonts w:ascii="ITC Avant Garde" w:hAnsi="ITC Avant Garde"/>
          <w:bCs/>
          <w:color w:val="000000"/>
          <w:lang w:eastAsia="es-MX"/>
        </w:rPr>
        <w:t>la Unidad de Cumplimiento</w:t>
      </w:r>
      <w:r w:rsidR="00A958ED">
        <w:rPr>
          <w:rFonts w:ascii="ITC Avant Garde" w:hAnsi="ITC Avant Garde"/>
          <w:bCs/>
          <w:color w:val="000000"/>
          <w:lang w:eastAsia="es-MX"/>
        </w:rPr>
        <w:t>,</w:t>
      </w:r>
      <w:r>
        <w:rPr>
          <w:rFonts w:ascii="ITC Avant Garde" w:hAnsi="ITC Avant Garde"/>
          <w:bCs/>
          <w:color w:val="000000"/>
          <w:lang w:eastAsia="es-MX"/>
        </w:rPr>
        <w:t xml:space="preserve"> remitió</w:t>
      </w:r>
      <w:r w:rsidR="009A5E55" w:rsidRPr="00533323">
        <w:rPr>
          <w:rFonts w:ascii="ITC Avant Garde" w:hAnsi="ITC Avant Garde"/>
          <w:bCs/>
          <w:color w:val="000000"/>
          <w:lang w:eastAsia="es-MX"/>
        </w:rPr>
        <w:t xml:space="preserve"> </w:t>
      </w:r>
      <w:r>
        <w:rPr>
          <w:rFonts w:ascii="ITC Avant Garde" w:hAnsi="ITC Avant Garde"/>
          <w:bCs/>
          <w:color w:val="000000"/>
          <w:lang w:eastAsia="es-MX"/>
        </w:rPr>
        <w:t>el</w:t>
      </w:r>
      <w:r w:rsidR="009A5E55" w:rsidRPr="00533323">
        <w:rPr>
          <w:rFonts w:ascii="ITC Avant Garde" w:hAnsi="ITC Avant Garde"/>
          <w:bCs/>
          <w:color w:val="000000"/>
          <w:lang w:eastAsia="es-MX"/>
        </w:rPr>
        <w:t xml:space="preserve"> </w:t>
      </w:r>
      <w:r>
        <w:rPr>
          <w:rFonts w:ascii="ITC Avant Garde" w:hAnsi="ITC Avant Garde"/>
          <w:bCs/>
          <w:color w:val="000000"/>
          <w:lang w:eastAsia="es-MX"/>
        </w:rPr>
        <w:t>dictamen</w:t>
      </w:r>
      <w:r w:rsidR="009A5E55" w:rsidRPr="00533323">
        <w:rPr>
          <w:rFonts w:ascii="ITC Avant Garde" w:hAnsi="ITC Avant Garde"/>
          <w:bCs/>
          <w:color w:val="000000"/>
          <w:lang w:eastAsia="es-MX"/>
        </w:rPr>
        <w:t xml:space="preserve"> correspondiente</w:t>
      </w:r>
      <w:r w:rsidR="009A5E55" w:rsidRPr="00686D49">
        <w:rPr>
          <w:rFonts w:ascii="ITC Avant Garde" w:hAnsi="ITC Avant Garde"/>
          <w:bCs/>
          <w:color w:val="000000"/>
          <w:lang w:eastAsia="es-MX"/>
        </w:rPr>
        <w:t xml:space="preserve"> con respecto a la Solicitud de </w:t>
      </w:r>
      <w:r w:rsidR="002A7E0D">
        <w:rPr>
          <w:rFonts w:ascii="ITC Avant Garde" w:hAnsi="ITC Avant Garde"/>
          <w:bCs/>
          <w:color w:val="000000"/>
          <w:lang w:eastAsia="es-MX"/>
        </w:rPr>
        <w:t>Transición</w:t>
      </w:r>
      <w:r w:rsidR="009A5E55" w:rsidRPr="00686D49">
        <w:rPr>
          <w:rFonts w:ascii="ITC Avant Garde" w:hAnsi="ITC Avant Garde"/>
          <w:bCs/>
          <w:color w:val="000000"/>
          <w:lang w:eastAsia="es-MX"/>
        </w:rPr>
        <w:t>.</w:t>
      </w:r>
    </w:p>
    <w:p w14:paraId="16BD746F" w14:textId="77777777" w:rsidR="00523FCB" w:rsidRDefault="00A21167" w:rsidP="00523FCB">
      <w:pPr>
        <w:spacing w:afterLines="120" w:after="288"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14:paraId="16A44A53" w14:textId="77777777" w:rsidR="00523FCB" w:rsidRPr="00523FCB" w:rsidRDefault="00A21167" w:rsidP="00523FCB">
      <w:pPr>
        <w:pStyle w:val="Ttulo2"/>
        <w:spacing w:afterLines="120" w:after="288" w:line="276" w:lineRule="auto"/>
        <w:ind w:firstLine="0"/>
        <w:jc w:val="center"/>
        <w:rPr>
          <w:rFonts w:ascii="ITC Avant Garde" w:hAnsi="ITC Avant Garde" w:cs="Arial"/>
          <w:bCs/>
          <w:sz w:val="22"/>
          <w:szCs w:val="22"/>
          <w:lang w:eastAsia="en-US"/>
        </w:rPr>
      </w:pPr>
      <w:r w:rsidRPr="00523FCB">
        <w:rPr>
          <w:rFonts w:ascii="ITC Avant Garde" w:hAnsi="ITC Avant Garde" w:cs="Arial"/>
          <w:bCs/>
          <w:sz w:val="22"/>
          <w:szCs w:val="22"/>
          <w:lang w:eastAsia="en-US"/>
        </w:rPr>
        <w:lastRenderedPageBreak/>
        <w:t>CONSIDERANDO</w:t>
      </w:r>
    </w:p>
    <w:p w14:paraId="76C732EA" w14:textId="7D2885DC" w:rsidR="006719D1" w:rsidRDefault="006719D1" w:rsidP="00523FCB">
      <w:pPr>
        <w:autoSpaceDE w:val="0"/>
        <w:autoSpaceDN w:val="0"/>
        <w:adjustRightInd w:val="0"/>
        <w:spacing w:afterLines="120" w:after="288" w:line="240" w:lineRule="auto"/>
        <w:jc w:val="both"/>
        <w:rPr>
          <w:rFonts w:ascii="ITC Avant Garde" w:hAnsi="ITC Avant Garde"/>
          <w:bCs/>
        </w:rPr>
      </w:pPr>
      <w:proofErr w:type="gramStart"/>
      <w:r>
        <w:rPr>
          <w:rFonts w:ascii="ITC Avant Garde" w:hAnsi="ITC Avant Garde"/>
          <w:b/>
          <w:bCs/>
        </w:rPr>
        <w:t>Primero.-</w:t>
      </w:r>
      <w:proofErr w:type="gramEnd"/>
      <w:r>
        <w:rPr>
          <w:rFonts w:ascii="ITC Avant Garde" w:hAnsi="ITC Avant Garde"/>
          <w:b/>
          <w:bCs/>
        </w:rPr>
        <w:t xml:space="preserve"> Competencia.</w:t>
      </w:r>
      <w:r>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76C732EB" w14:textId="77777777" w:rsidR="006719D1" w:rsidRDefault="006719D1"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76C732EC" w14:textId="77777777" w:rsidR="006719D1" w:rsidRDefault="006719D1"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14:paraId="76C732ED" w14:textId="77777777" w:rsidR="006719D1" w:rsidRDefault="006719D1"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14:paraId="76C732EE" w14:textId="77777777" w:rsidR="006719D1" w:rsidRDefault="006719D1"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14:paraId="76C732EF" w14:textId="77777777" w:rsidR="006719D1" w:rsidRDefault="006719D1"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o para consolidar sus títulos en una sola concesión en los </w:t>
      </w:r>
      <w:r>
        <w:rPr>
          <w:rFonts w:ascii="ITC Avant Garde" w:hAnsi="ITC Avant Garde"/>
          <w:bCs/>
        </w:rPr>
        <w:lastRenderedPageBreak/>
        <w:t>casos de concesiones de telecomunicaciones, incluyendo, en su caso, los términos y condiciones a los que deberán sujetarse los concesionarios, para someterlas a consideración del Pleno.</w:t>
      </w:r>
    </w:p>
    <w:p w14:paraId="7A18151E" w14:textId="77777777" w:rsidR="00523FCB" w:rsidRDefault="006719D1"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la atribución de autorizar la transición o consolidación de títulos de concesión en una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w:t>
      </w:r>
      <w:r w:rsidRPr="002F7F25">
        <w:rPr>
          <w:rFonts w:ascii="ITC Avant Garde" w:hAnsi="ITC Avant Garde"/>
          <w:bCs/>
        </w:rPr>
        <w:t xml:space="preserve">la Solicitud de </w:t>
      </w:r>
      <w:r w:rsidR="00501460">
        <w:rPr>
          <w:rFonts w:ascii="ITC Avant Garde" w:hAnsi="ITC Avant Garde"/>
          <w:bCs/>
        </w:rPr>
        <w:t>Transición</w:t>
      </w:r>
      <w:r w:rsidRPr="002F7F25">
        <w:rPr>
          <w:rFonts w:ascii="ITC Avant Garde" w:hAnsi="ITC Avant Garde"/>
          <w:bCs/>
        </w:rPr>
        <w:t>.</w:t>
      </w:r>
    </w:p>
    <w:p w14:paraId="2FA2A1AD" w14:textId="37C4204E" w:rsidR="00523FCB" w:rsidRDefault="006719D1" w:rsidP="00523FCB">
      <w:pPr>
        <w:autoSpaceDE w:val="0"/>
        <w:autoSpaceDN w:val="0"/>
        <w:adjustRightInd w:val="0"/>
        <w:spacing w:afterLines="120" w:after="288" w:line="240" w:lineRule="auto"/>
        <w:jc w:val="both"/>
        <w:rPr>
          <w:rFonts w:ascii="ITC Avant Garde" w:hAnsi="ITC Avant Garde"/>
          <w:bCs/>
        </w:rPr>
      </w:pPr>
      <w:proofErr w:type="gramStart"/>
      <w:r>
        <w:rPr>
          <w:rFonts w:ascii="ITC Avant Garde" w:hAnsi="ITC Avant Garde"/>
          <w:b/>
          <w:bCs/>
        </w:rPr>
        <w:t>Segundo.-</w:t>
      </w:r>
      <w:proofErr w:type="gramEnd"/>
      <w:r>
        <w:rPr>
          <w:rFonts w:ascii="ITC Avant Garde" w:hAnsi="ITC Avant Garde"/>
          <w:b/>
          <w:bCs/>
        </w:rPr>
        <w:t xml:space="preserve"> </w:t>
      </w:r>
      <w:r w:rsidR="00182C4E" w:rsidRPr="00873BCE">
        <w:rPr>
          <w:rFonts w:ascii="ITC Avant Garde" w:hAnsi="ITC Avant Garde"/>
          <w:b/>
          <w:bCs/>
        </w:rPr>
        <w:t>Marco normativo general aplicable a la transición a concesión única para uso comercial</w:t>
      </w:r>
      <w:r>
        <w:rPr>
          <w:rFonts w:ascii="ITC Avant Garde" w:hAnsi="ITC Avant Garde"/>
          <w:b/>
          <w:bCs/>
        </w:rPr>
        <w:t>.</w:t>
      </w:r>
      <w:r>
        <w:rPr>
          <w:rFonts w:ascii="ITC Avant Garde" w:hAnsi="ITC Avant Garde"/>
          <w:bCs/>
        </w:rPr>
        <w:t xml:space="preserve"> </w:t>
      </w:r>
      <w:r w:rsidR="00D032CA" w:rsidRPr="00A61D6E">
        <w:rPr>
          <w:rFonts w:ascii="ITC Avant Garde" w:hAnsi="ITC Avant Garde"/>
          <w:bCs/>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w:t>
      </w:r>
      <w:r w:rsidR="00D032CA">
        <w:rPr>
          <w:rFonts w:ascii="ITC Avant Garde" w:hAnsi="ITC Avant Garde"/>
          <w:bCs/>
        </w:rPr>
        <w:t>,</w:t>
      </w:r>
      <w:r w:rsidR="00D032CA" w:rsidRPr="00A61D6E">
        <w:rPr>
          <w:rFonts w:ascii="ITC Avant Garde" w:hAnsi="ITC Avant Garde"/>
          <w:bCs/>
        </w:rPr>
        <w:t xml:space="preserve"> a menos que</w:t>
      </w:r>
      <w:r w:rsidR="00777C6A">
        <w:rPr>
          <w:rFonts w:ascii="ITC Avant Garde" w:hAnsi="ITC Avant Garde"/>
          <w:bCs/>
        </w:rPr>
        <w:t xml:space="preserve"> se</w:t>
      </w:r>
      <w:r w:rsidR="00D032CA" w:rsidRPr="00A61D6E">
        <w:rPr>
          <w:rFonts w:ascii="ITC Avant Garde" w:hAnsi="ITC Avant Garde"/>
          <w:bCs/>
        </w:rPr>
        <w:t xml:space="preserve"> </w:t>
      </w:r>
      <w:r w:rsidR="00D032CA">
        <w:rPr>
          <w:rFonts w:ascii="ITC Avant Garde" w:hAnsi="ITC Avant Garde"/>
          <w:bCs/>
        </w:rPr>
        <w:t>h</w:t>
      </w:r>
      <w:r w:rsidR="00D032CA" w:rsidRPr="00D032CA">
        <w:rPr>
          <w:rFonts w:ascii="ITC Avant Garde" w:hAnsi="ITC Avant Garde"/>
          <w:bCs/>
        </w:rPr>
        <w:t>ubiere transitado a la concesión única prevista en la Ley, en cuyo caso, se estará a los términos y condiciones que el Instituto establezca</w:t>
      </w:r>
      <w:r w:rsidR="00D032CA" w:rsidRPr="00A61D6E">
        <w:rPr>
          <w:rFonts w:ascii="ITC Avant Garde" w:hAnsi="ITC Avant Garde"/>
          <w:bCs/>
        </w:rPr>
        <w:t>.</w:t>
      </w:r>
    </w:p>
    <w:p w14:paraId="50D2613D" w14:textId="77777777" w:rsidR="00523FCB" w:rsidRDefault="00D032CA" w:rsidP="00523FC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En consistencia con lo anterior, la</w:t>
      </w:r>
      <w:r>
        <w:rPr>
          <w:rFonts w:ascii="ITC Avant Garde" w:hAnsi="ITC Avant Garde"/>
          <w:bCs/>
        </w:rPr>
        <w:t xml:space="preserve"> Concesi</w:t>
      </w:r>
      <w:r w:rsidR="009F67A7">
        <w:rPr>
          <w:rFonts w:ascii="ITC Avant Garde" w:hAnsi="ITC Avant Garde"/>
          <w:bCs/>
        </w:rPr>
        <w:t>ón</w:t>
      </w:r>
      <w:r>
        <w:rPr>
          <w:rFonts w:ascii="ITC Avant Garde" w:hAnsi="ITC Avant Garde"/>
          <w:bCs/>
        </w:rPr>
        <w:t xml:space="preserve"> de Red, en su C</w:t>
      </w:r>
      <w:r w:rsidRPr="00A61D6E">
        <w:rPr>
          <w:rFonts w:ascii="ITC Avant Garde" w:hAnsi="ITC Avant Garde"/>
          <w:bCs/>
        </w:rPr>
        <w:t xml:space="preserve">ondición </w:t>
      </w:r>
      <w:r w:rsidRPr="00A61D6E">
        <w:rPr>
          <w:rFonts w:ascii="ITC Avant Garde" w:hAnsi="ITC Avant Garde"/>
          <w:b/>
          <w:bCs/>
          <w:i/>
        </w:rPr>
        <w:t>“</w:t>
      </w:r>
      <w:r>
        <w:rPr>
          <w:rFonts w:ascii="ITC Avant Garde" w:hAnsi="ITC Avant Garde"/>
          <w:b/>
          <w:bCs/>
          <w:i/>
        </w:rPr>
        <w:t>1.3</w:t>
      </w:r>
      <w:r w:rsidRPr="00A61D6E">
        <w:rPr>
          <w:rFonts w:ascii="ITC Avant Garde" w:hAnsi="ITC Avant Garde"/>
          <w:b/>
          <w:bCs/>
          <w:i/>
        </w:rPr>
        <w:t xml:space="preserve"> Servicios Adicionales”,</w:t>
      </w:r>
      <w:r w:rsidRPr="00A61D6E">
        <w:rPr>
          <w:rFonts w:ascii="ITC Avant Garde" w:hAnsi="ITC Avant Garde"/>
          <w:bCs/>
        </w:rPr>
        <w:t xml:space="preserve"> establecen lo siguiente:</w:t>
      </w:r>
    </w:p>
    <w:p w14:paraId="5AC2E998" w14:textId="77777777" w:rsidR="00523FCB" w:rsidRDefault="00D032CA" w:rsidP="00523FCB">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
          <w:bCs/>
          <w:i/>
          <w:color w:val="000000"/>
          <w:sz w:val="18"/>
          <w:szCs w:val="18"/>
          <w:lang w:eastAsia="es-MX"/>
        </w:rPr>
        <w:t>“1.3. Servicios Adicionales.</w:t>
      </w:r>
      <w:r w:rsidRPr="00A61D6E">
        <w:rPr>
          <w:rFonts w:ascii="ITC Avant Garde" w:hAnsi="ITC Avant Garde"/>
          <w:bCs/>
          <w:i/>
          <w:color w:val="000000"/>
          <w:sz w:val="18"/>
          <w:szCs w:val="18"/>
          <w:lang w:eastAsia="es-MX"/>
        </w:rPr>
        <w:t xml:space="preserve"> </w:t>
      </w:r>
      <w:r w:rsidRPr="001958E2">
        <w:rPr>
          <w:rFonts w:ascii="ITC Avant Garde" w:hAnsi="ITC Avant Garde"/>
          <w:b/>
          <w:bCs/>
          <w:i/>
          <w:color w:val="000000"/>
          <w:sz w:val="18"/>
          <w:szCs w:val="18"/>
          <w:lang w:eastAsia="es-MX"/>
        </w:rPr>
        <w:t>El Concesionario se obliga a más tardar el 31 de diciembre de 2016, transitar la presente Concesión a la Concesión Única</w:t>
      </w:r>
      <w:r w:rsidRPr="005814F3">
        <w:rPr>
          <w:rFonts w:ascii="ITC Avant Garde" w:hAnsi="ITC Avant Garde"/>
          <w:b/>
          <w:bCs/>
          <w:i/>
          <w:color w:val="000000"/>
          <w:sz w:val="18"/>
          <w:szCs w:val="18"/>
          <w:lang w:eastAsia="es-MX"/>
        </w:rPr>
        <w:t xml:space="preserve"> </w:t>
      </w:r>
      <w:r w:rsidRPr="00A61D6E">
        <w:rPr>
          <w:rFonts w:ascii="ITC Avant Garde" w:hAnsi="ITC Avant Garde"/>
          <w:bCs/>
          <w:i/>
          <w:color w:val="000000"/>
          <w:sz w:val="18"/>
          <w:szCs w:val="18"/>
          <w:lang w:eastAsia="es-MX"/>
        </w:rPr>
        <w:t xml:space="preserve">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5814F3">
        <w:rPr>
          <w:rFonts w:ascii="ITC Avant Garde" w:hAnsi="ITC Avant Garde"/>
          <w:bCs/>
          <w:i/>
          <w:color w:val="000000"/>
          <w:sz w:val="18"/>
          <w:szCs w:val="18"/>
          <w:lang w:eastAsia="es-MX"/>
        </w:rPr>
        <w:t>y/</w:t>
      </w:r>
      <w:proofErr w:type="spellStart"/>
      <w:r w:rsidRPr="005814F3">
        <w:rPr>
          <w:rFonts w:ascii="ITC Avant Garde" w:hAnsi="ITC Avant Garde"/>
          <w:bCs/>
          <w:i/>
          <w:color w:val="000000"/>
          <w:sz w:val="18"/>
          <w:szCs w:val="18"/>
          <w:lang w:eastAsia="es-MX"/>
        </w:rPr>
        <w:t>o</w:t>
      </w:r>
      <w:proofErr w:type="spellEnd"/>
      <w:r w:rsidRPr="005814F3">
        <w:rPr>
          <w:rFonts w:ascii="ITC Avant Garde" w:hAnsi="ITC Avant Garde"/>
          <w:bCs/>
          <w:i/>
          <w:color w:val="000000"/>
          <w:sz w:val="18"/>
          <w:szCs w:val="18"/>
          <w:lang w:eastAsia="es-MX"/>
        </w:rPr>
        <w:t xml:space="preserve"> obtener autorización para prestar servicios adicionales a los previstos en la presente Concesión, a efecto de estar prestando efectivamente servicios de acceso inalámbrico;</w:t>
      </w:r>
      <w:r w:rsidRPr="00A61D6E">
        <w:rPr>
          <w:rFonts w:ascii="ITC Avant Garde" w:hAnsi="ITC Avant Garde"/>
          <w:bCs/>
          <w:i/>
          <w:color w:val="000000"/>
          <w:sz w:val="18"/>
          <w:szCs w:val="18"/>
          <w:lang w:eastAsia="es-MX"/>
        </w:rPr>
        <w:t xml:space="preserve"> para lo cual deberá haber cumplido con los términos, obligaciones y contraprestaciones que le imponga el Instituto, en particular, con las contraprestaciones por la autorización de los servicios adicionales no previstos en la presente Concesión.</w:t>
      </w:r>
    </w:p>
    <w:p w14:paraId="4341C49C" w14:textId="77777777" w:rsidR="00523FCB" w:rsidRDefault="00D032CA" w:rsidP="00523FCB">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14:paraId="700BA276" w14:textId="77777777" w:rsidR="00523FCB" w:rsidRDefault="00D032CA" w:rsidP="00523FCB">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w:t>
      </w:r>
      <w:r w:rsidRPr="00A61D6E">
        <w:rPr>
          <w:rFonts w:ascii="ITC Avant Garde" w:hAnsi="ITC Avant Garde"/>
          <w:bCs/>
          <w:color w:val="000000"/>
          <w:sz w:val="18"/>
          <w:szCs w:val="18"/>
          <w:lang w:eastAsia="es-MX"/>
        </w:rPr>
        <w:t xml:space="preserve"> [sic]</w:t>
      </w:r>
      <w:r w:rsidRPr="00A61D6E">
        <w:rPr>
          <w:rFonts w:ascii="ITC Avant Garde" w:hAnsi="ITC Avant Garde"/>
          <w:bCs/>
          <w:i/>
          <w:color w:val="000000"/>
          <w:sz w:val="18"/>
          <w:szCs w:val="18"/>
          <w:lang w:eastAsia="es-MX"/>
        </w:rPr>
        <w:t>.</w:t>
      </w:r>
    </w:p>
    <w:p w14:paraId="6E7E6538" w14:textId="77777777" w:rsidR="00523FCB" w:rsidRDefault="00D032CA" w:rsidP="00523FCB">
      <w:pPr>
        <w:tabs>
          <w:tab w:val="left" w:pos="8080"/>
        </w:tabs>
        <w:spacing w:afterLines="120" w:after="288" w:line="240" w:lineRule="auto"/>
        <w:ind w:left="851" w:right="757"/>
        <w:jc w:val="right"/>
        <w:rPr>
          <w:rFonts w:ascii="ITC Avant Garde" w:hAnsi="ITC Avant Garde"/>
          <w:bCs/>
          <w:i/>
          <w:color w:val="000000"/>
          <w:sz w:val="18"/>
          <w:szCs w:val="18"/>
          <w:lang w:eastAsia="es-MX"/>
        </w:rPr>
      </w:pPr>
      <w:r>
        <w:rPr>
          <w:rFonts w:ascii="ITC Avant Garde" w:hAnsi="ITC Avant Garde"/>
          <w:bCs/>
          <w:i/>
          <w:color w:val="000000"/>
          <w:sz w:val="18"/>
          <w:szCs w:val="18"/>
          <w:lang w:eastAsia="es-MX"/>
        </w:rPr>
        <w:t>[Énfasis añadido]</w:t>
      </w:r>
    </w:p>
    <w:p w14:paraId="07F2B733" w14:textId="77777777" w:rsidR="00523FCB" w:rsidRDefault="00D032CA"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lastRenderedPageBreak/>
        <w:t>Por otro lado, e</w:t>
      </w:r>
      <w:r w:rsidR="006719D1">
        <w:rPr>
          <w:rFonts w:ascii="ITC Avant Garde" w:hAnsi="ITC Avant Garde"/>
          <w:bCs/>
        </w:rPr>
        <w:t xml:space="preserve">l párrafo segundo del artículo Cuarto Transitorio del Decreto de Reforma Constitucional señala que con la concesión única los concesionarios podrán prestar todo tipo de servicios a través de sus redes. </w:t>
      </w:r>
    </w:p>
    <w:p w14:paraId="6D396105" w14:textId="77777777" w:rsidR="00523FCB" w:rsidRDefault="006719D1"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14:paraId="7440B097" w14:textId="77777777" w:rsidR="00523FCB" w:rsidRDefault="006719D1"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concesionamiento establecido en el Decreto de Reforma Constitucional y en la Ley y, de ser el caso, consolidar sus títulos en una sola concesión.</w:t>
      </w:r>
    </w:p>
    <w:p w14:paraId="15C6CA7C" w14:textId="77777777" w:rsidR="00523FCB" w:rsidRDefault="006719D1"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Los Lineamientos señalan en sus artículos 24, 25 y 27, respectivamente lo siguiente:</w:t>
      </w:r>
    </w:p>
    <w:p w14:paraId="2B733337" w14:textId="77777777" w:rsidR="00523FCB" w:rsidRDefault="006719D1" w:rsidP="00523FCB">
      <w:pPr>
        <w:spacing w:afterLines="120" w:after="288"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themeColor="text1"/>
          <w:sz w:val="18"/>
          <w:szCs w:val="18"/>
          <w:lang w:eastAsia="es-MX"/>
        </w:rPr>
        <w:t>“</w:t>
      </w:r>
      <w:r>
        <w:rPr>
          <w:rFonts w:ascii="ITC Avant Garde" w:hAnsi="ITC Avant Garde"/>
          <w:b/>
          <w:i/>
          <w:iCs/>
          <w:color w:val="000000" w:themeColor="text1"/>
          <w:sz w:val="18"/>
          <w:szCs w:val="18"/>
          <w:lang w:eastAsia="es-MX"/>
        </w:rPr>
        <w:t>Artículo 24.</w:t>
      </w:r>
      <w:r>
        <w:rPr>
          <w:rFonts w:ascii="ITC Avant Garde" w:hAnsi="ITC Avant Garde"/>
          <w:i/>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14:paraId="4A6AEF2F" w14:textId="77777777" w:rsidR="00523FCB" w:rsidRDefault="006719D1" w:rsidP="00523FCB">
      <w:pPr>
        <w:pStyle w:val="Prrafodelista"/>
        <w:numPr>
          <w:ilvl w:val="0"/>
          <w:numId w:val="8"/>
        </w:numPr>
        <w:spacing w:afterLines="120" w:after="288"/>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personas físicas: nombre y, en su caso, nombre comercial, domicilio en el territorio nacional, correo electrónico, teléfono y clave de inscripción en el Registro Federal de Contribuyentes;</w:t>
      </w:r>
    </w:p>
    <w:p w14:paraId="18A446EC" w14:textId="77777777" w:rsidR="00523FCB" w:rsidRDefault="006719D1" w:rsidP="00523FCB">
      <w:pPr>
        <w:pStyle w:val="Prrafodelista"/>
        <w:numPr>
          <w:ilvl w:val="0"/>
          <w:numId w:val="8"/>
        </w:numPr>
        <w:spacing w:afterLines="120" w:after="288"/>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14:paraId="7932C6DB" w14:textId="77777777" w:rsidR="00523FCB" w:rsidRDefault="006719D1" w:rsidP="00523FCB">
      <w:pPr>
        <w:pStyle w:val="Prrafodelista"/>
        <w:numPr>
          <w:ilvl w:val="0"/>
          <w:numId w:val="8"/>
        </w:numPr>
        <w:spacing w:afterLines="120" w:after="288"/>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14:paraId="23DE103F" w14:textId="77777777" w:rsidR="00523FCB" w:rsidRDefault="006719D1" w:rsidP="00523FCB">
      <w:pPr>
        <w:pStyle w:val="Prrafodelista"/>
        <w:numPr>
          <w:ilvl w:val="0"/>
          <w:numId w:val="8"/>
        </w:numPr>
        <w:spacing w:afterLines="120" w:after="288"/>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14:paraId="4C2BC5F5" w14:textId="77777777" w:rsidR="00523FCB" w:rsidRDefault="006719D1" w:rsidP="00523FCB">
      <w:pPr>
        <w:spacing w:afterLines="120" w:after="288"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14:paraId="72C47CF9" w14:textId="77777777" w:rsidR="00523FCB" w:rsidRDefault="006719D1" w:rsidP="00523FCB">
      <w:pPr>
        <w:spacing w:afterLines="120" w:after="288"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El Instituto analizará, evaluará y resolverá la transición y consolidación de concesiones dentro del plazo de 60 (sesenta) días naturales contados a partir del día siguiente en que dicha solicitud haya sid</w:t>
      </w:r>
      <w:r w:rsidR="005F3C94">
        <w:rPr>
          <w:rFonts w:ascii="ITC Avant Garde" w:hAnsi="ITC Avant Garde"/>
          <w:i/>
          <w:iCs/>
          <w:color w:val="000000"/>
          <w:sz w:val="18"/>
          <w:szCs w:val="18"/>
          <w:lang w:eastAsia="es-MX"/>
        </w:rPr>
        <w:t>o presentada ante el Instituto.</w:t>
      </w:r>
    </w:p>
    <w:p w14:paraId="2197CE51" w14:textId="77777777" w:rsidR="00523FCB" w:rsidRDefault="006719D1" w:rsidP="00523FCB">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b/>
          <w:i/>
          <w:iCs/>
          <w:color w:val="000000" w:themeColor="text1"/>
          <w:sz w:val="18"/>
          <w:szCs w:val="18"/>
          <w:lang w:eastAsia="es-MX"/>
        </w:rPr>
        <w:t>Artículo 25.</w:t>
      </w:r>
      <w:r>
        <w:rPr>
          <w:rFonts w:ascii="ITC Avant Garde" w:hAnsi="ITC Avant Garde"/>
          <w:i/>
          <w:iCs/>
          <w:color w:val="000000" w:themeColor="text1"/>
          <w:sz w:val="18"/>
          <w:szCs w:val="18"/>
          <w:lang w:eastAsia="es-MX"/>
        </w:rPr>
        <w:t xml:space="preserve"> </w:t>
      </w:r>
      <w:r w:rsidRPr="009F67A7">
        <w:rPr>
          <w:rFonts w:ascii="ITC Avant Garde" w:hAnsi="ITC Avant Garde"/>
          <w:i/>
          <w:iCs/>
          <w:color w:val="000000" w:themeColor="text1"/>
          <w:sz w:val="18"/>
          <w:szCs w:val="18"/>
          <w:lang w:eastAsia="es-MX"/>
        </w:rPr>
        <w:t xml:space="preserve">La </w:t>
      </w:r>
      <w:r w:rsidRPr="009F67A7">
        <w:rPr>
          <w:rFonts w:ascii="ITC Avant Garde" w:hAnsi="ITC Avant Garde"/>
          <w:i/>
          <w:iCs/>
          <w:color w:val="000000"/>
          <w:sz w:val="18"/>
          <w:szCs w:val="18"/>
          <w:lang w:eastAsia="es-MX"/>
        </w:rPr>
        <w:t>Concesión Única para Uso Comercial se otorgará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la totalidad de las mismas</w:t>
      </w:r>
      <w:r w:rsidRPr="009F67A7">
        <w:rPr>
          <w:rFonts w:ascii="ITC Avant Garde" w:hAnsi="ITC Avant Garde"/>
          <w:i/>
          <w:iCs/>
          <w:color w:val="000000" w:themeColor="text1"/>
          <w:sz w:val="18"/>
          <w:szCs w:val="18"/>
          <w:lang w:eastAsia="es-MX"/>
        </w:rPr>
        <w:t>.</w:t>
      </w:r>
    </w:p>
    <w:p w14:paraId="4B4248EE" w14:textId="77777777" w:rsidR="00523FCB" w:rsidRDefault="006719D1" w:rsidP="00523FCB">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14:paraId="6EA80A73" w14:textId="77777777" w:rsidR="00523FCB" w:rsidRDefault="006719D1" w:rsidP="00523FCB">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14:paraId="596FB5DC" w14:textId="77777777" w:rsidR="00523FCB" w:rsidRDefault="0098410C" w:rsidP="00523FCB">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w:t>
      </w:r>
    </w:p>
    <w:p w14:paraId="06C316A4" w14:textId="77777777" w:rsidR="00523FCB" w:rsidRDefault="006719D1" w:rsidP="00523FCB">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b/>
          <w:i/>
          <w:iCs/>
          <w:color w:val="000000" w:themeColor="text1"/>
          <w:sz w:val="18"/>
          <w:szCs w:val="18"/>
          <w:lang w:eastAsia="es-MX"/>
        </w:rPr>
        <w:t>Artículo 27.</w:t>
      </w:r>
      <w:r>
        <w:rPr>
          <w:rFonts w:ascii="ITC Avant Garde" w:hAnsi="ITC Avant Garde"/>
          <w:i/>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14:paraId="5739A801" w14:textId="77777777" w:rsidR="00523FCB" w:rsidRDefault="006719D1" w:rsidP="00523FCB">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La verificación del cumplimiento de las obligaciones aplicables será realizada por el Instituto, a través de la unidad administrativa competente.”</w:t>
      </w:r>
    </w:p>
    <w:p w14:paraId="1E9B66EC" w14:textId="08EF165D" w:rsidR="00523FCB" w:rsidRDefault="007A5A5B"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Tomando en cuenta lo anterior, derivado de la solicitud de transición que presenten los concesionarios de redes públicas de telecomunicaciones, y en virtud de lo dispuesto en el artículo 25 de los Lineamientos se otorgará una concesión única para uso comercial, en términos del artículo 67 fracción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14:paraId="7D0E4D82" w14:textId="77777777" w:rsidR="00523FCB" w:rsidRDefault="007A5A5B"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14:paraId="76EC97FC" w14:textId="77777777" w:rsidR="00523FCB" w:rsidRDefault="007A5A5B" w:rsidP="00523FCB">
      <w:pPr>
        <w:autoSpaceDE w:val="0"/>
        <w:autoSpaceDN w:val="0"/>
        <w:adjustRightInd w:val="0"/>
        <w:spacing w:afterLines="120" w:after="288" w:line="240" w:lineRule="auto"/>
        <w:jc w:val="both"/>
        <w:rPr>
          <w:rFonts w:ascii="ITC Avant Garde" w:hAnsi="ITC Avant Garde"/>
          <w:bCs/>
        </w:rPr>
      </w:pPr>
      <w:r w:rsidRPr="00232F7B">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r w:rsidR="00EB289F">
        <w:rPr>
          <w:rFonts w:ascii="ITC Avant Garde" w:hAnsi="ITC Avant Garde"/>
          <w:bCs/>
        </w:rPr>
        <w:t xml:space="preserve"> De igual forma, la </w:t>
      </w:r>
      <w:r w:rsidR="00EB289F">
        <w:rPr>
          <w:rFonts w:ascii="ITC Avant Garde" w:hAnsi="ITC Avant Garde"/>
          <w:bCs/>
        </w:rPr>
        <w:lastRenderedPageBreak/>
        <w:t>concesión única para uso comercial permite a sus titulares prestar los servicios de telecomunicaciones que les hubieren sido autorizados mediante constancias de registros de servicios de valor agregado.</w:t>
      </w:r>
    </w:p>
    <w:p w14:paraId="42E0DBA4" w14:textId="77777777" w:rsidR="00523FCB" w:rsidRDefault="007A5A5B"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Finalmente, </w:t>
      </w:r>
      <w:r>
        <w:rPr>
          <w:rFonts w:ascii="ITC Avant Garde" w:eastAsiaTheme="minorHAnsi" w:hAnsi="ITC Avant Garde" w:cstheme="minorBidi"/>
          <w:bCs/>
        </w:rPr>
        <w:t>cabe destacar que los Lineamientos establecieron que este tipo de solicitudes deberían acompañarse del comprobante de pago de derechos establecido en el artículo 24 de Lineamientos, mismo que se refería al estudio de la solicitud de modificación del título de concesión. Sin embargo, la Ley Federal de Derechos que entró en vigor el 1 de enero de 2016, es decir con posterioridad a los Lineamientos, estableció un nuevo régimen de cobro para diversos trámites en materia de telecomunicaciones y radiodifusión. En ese sentido, dicho ordenamiento estableció en su artículo 174-</w:t>
      </w:r>
      <w:r w:rsidRPr="00232F7B">
        <w:rPr>
          <w:rFonts w:ascii="ITC Avant Garde" w:eastAsiaTheme="minorHAnsi" w:hAnsi="ITC Avant Garde" w:cstheme="minorBidi"/>
          <w:bCs/>
        </w:rPr>
        <w:t>C</w:t>
      </w:r>
      <w:r>
        <w:rPr>
          <w:rFonts w:ascii="ITC Avant Garde" w:eastAsiaTheme="minorHAnsi" w:hAnsi="ITC Avant Garde" w:cstheme="minorBidi"/>
          <w:bCs/>
        </w:rPr>
        <w:t xml:space="preserve">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w:t>
      </w:r>
      <w:r w:rsidR="006719D1">
        <w:rPr>
          <w:rFonts w:ascii="ITC Avant Garde" w:hAnsi="ITC Avant Garde"/>
          <w:bCs/>
        </w:rPr>
        <w:t>.</w:t>
      </w:r>
    </w:p>
    <w:p w14:paraId="2ABFB58F" w14:textId="59EF0D5F" w:rsidR="00523FCB" w:rsidRDefault="00A21167" w:rsidP="00523FCB">
      <w:pPr>
        <w:autoSpaceDE w:val="0"/>
        <w:autoSpaceDN w:val="0"/>
        <w:adjustRightInd w:val="0"/>
        <w:spacing w:afterLines="120" w:after="288" w:line="240" w:lineRule="auto"/>
        <w:jc w:val="both"/>
        <w:rPr>
          <w:rFonts w:ascii="ITC Avant Garde" w:hAnsi="ITC Avant Garde"/>
          <w:bCs/>
        </w:rPr>
      </w:pPr>
      <w:proofErr w:type="gramStart"/>
      <w:r w:rsidRPr="00E57237">
        <w:rPr>
          <w:rFonts w:ascii="ITC Avant Garde" w:hAnsi="ITC Avant Garde"/>
          <w:b/>
          <w:bCs/>
        </w:rPr>
        <w:t>Tercero.-</w:t>
      </w:r>
      <w:proofErr w:type="gramEnd"/>
      <w:r w:rsidRPr="00E57237">
        <w:rPr>
          <w:rFonts w:ascii="ITC Avant Garde" w:hAnsi="ITC Avant Garde"/>
          <w:b/>
          <w:bCs/>
        </w:rPr>
        <w:t xml:space="preserve"> Análisis de la Solicitud de </w:t>
      </w:r>
      <w:r w:rsidR="007A5A5B">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00D032CA" w:rsidRPr="00D032CA">
        <w:rPr>
          <w:rFonts w:ascii="ITC Avant Garde" w:hAnsi="ITC Avant Garde"/>
          <w:bCs/>
        </w:rPr>
        <w:t xml:space="preserve">Tal como se señaló en el Considerando Segundo, la Condición </w:t>
      </w:r>
      <w:r w:rsidR="005814F3">
        <w:rPr>
          <w:rFonts w:ascii="ITC Avant Garde" w:hAnsi="ITC Avant Garde"/>
          <w:bCs/>
        </w:rPr>
        <w:t>1.3.</w:t>
      </w:r>
      <w:r w:rsidR="00D032CA" w:rsidRPr="00D032CA">
        <w:rPr>
          <w:rFonts w:ascii="ITC Avant Garde" w:hAnsi="ITC Avant Garde"/>
          <w:bCs/>
        </w:rPr>
        <w:t xml:space="preserve"> “</w:t>
      </w:r>
      <w:r w:rsidR="00D032CA" w:rsidRPr="005814F3">
        <w:rPr>
          <w:rFonts w:ascii="ITC Avant Garde" w:hAnsi="ITC Avant Garde"/>
          <w:bCs/>
          <w:i/>
        </w:rPr>
        <w:t>Servicios Adicionales</w:t>
      </w:r>
      <w:r w:rsidR="00A97A3E">
        <w:rPr>
          <w:rFonts w:ascii="ITC Avant Garde" w:hAnsi="ITC Avant Garde"/>
          <w:bCs/>
        </w:rPr>
        <w:t>” de la</w:t>
      </w:r>
      <w:r w:rsidR="00D032CA" w:rsidRPr="00D032CA">
        <w:rPr>
          <w:rFonts w:ascii="ITC Avant Garde" w:hAnsi="ITC Avant Garde"/>
          <w:bCs/>
        </w:rPr>
        <w:t xml:space="preserve"> </w:t>
      </w:r>
      <w:r w:rsidR="00A97A3E" w:rsidRPr="00D032CA">
        <w:rPr>
          <w:rFonts w:ascii="ITC Avant Garde" w:hAnsi="ITC Avant Garde"/>
          <w:bCs/>
        </w:rPr>
        <w:t>Concesión</w:t>
      </w:r>
      <w:r w:rsidR="00D032CA" w:rsidRPr="00D032CA">
        <w:rPr>
          <w:rFonts w:ascii="ITC Avant Garde" w:hAnsi="ITC Avant Garde"/>
          <w:bCs/>
        </w:rPr>
        <w:t xml:space="preserve"> de </w:t>
      </w:r>
      <w:r w:rsidR="005814F3">
        <w:rPr>
          <w:rFonts w:ascii="ITC Avant Garde" w:hAnsi="ITC Avant Garde"/>
          <w:bCs/>
        </w:rPr>
        <w:t>Red</w:t>
      </w:r>
      <w:r w:rsidR="00D032CA" w:rsidRPr="00D032CA">
        <w:rPr>
          <w:rFonts w:ascii="ITC Avant Garde" w:hAnsi="ITC Avant Garde"/>
          <w:bCs/>
        </w:rPr>
        <w:t xml:space="preserve"> estableció que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sidR="00D032CA" w:rsidRPr="00D032CA">
        <w:rPr>
          <w:rFonts w:ascii="ITC Avant Garde" w:hAnsi="ITC Avant Garde"/>
          <w:bCs/>
        </w:rPr>
        <w:t>, S.A. de C.V. debería, a más tardar el 31 de diciembre de 2016, entre otras</w:t>
      </w:r>
      <w:r w:rsidR="005814F3">
        <w:rPr>
          <w:rFonts w:ascii="ITC Avant Garde" w:hAnsi="ITC Avant Garde"/>
          <w:bCs/>
        </w:rPr>
        <w:t xml:space="preserve"> cosas</w:t>
      </w:r>
      <w:r w:rsidR="00D032CA" w:rsidRPr="00D032CA">
        <w:rPr>
          <w:rFonts w:ascii="ITC Avant Garde" w:hAnsi="ITC Avant Garde"/>
          <w:bCs/>
        </w:rPr>
        <w:t xml:space="preserve">, obtener autorización para </w:t>
      </w:r>
      <w:r w:rsidR="00A97A3E">
        <w:rPr>
          <w:rFonts w:ascii="ITC Avant Garde" w:hAnsi="ITC Avant Garde"/>
          <w:bCs/>
        </w:rPr>
        <w:t>transitar la concesión respectiva</w:t>
      </w:r>
      <w:r w:rsidR="005814F3">
        <w:rPr>
          <w:rFonts w:ascii="ITC Avant Garde" w:hAnsi="ITC Avant Garde"/>
          <w:bCs/>
        </w:rPr>
        <w:t xml:space="preserve"> a una concesión única</w:t>
      </w:r>
      <w:r w:rsidR="00D032CA" w:rsidRPr="00D032CA">
        <w:rPr>
          <w:rFonts w:ascii="ITC Avant Garde" w:hAnsi="ITC Avant Garde"/>
          <w:bCs/>
        </w:rPr>
        <w:t xml:space="preserve">, a efecto de estar prestando efectivamente servicios de acceso inalámbrico. </w:t>
      </w:r>
    </w:p>
    <w:p w14:paraId="2C2A7A4A" w14:textId="77777777" w:rsidR="00523FCB" w:rsidRDefault="00D032CA" w:rsidP="00523FCB">
      <w:pPr>
        <w:autoSpaceDE w:val="0"/>
        <w:autoSpaceDN w:val="0"/>
        <w:adjustRightInd w:val="0"/>
        <w:spacing w:afterLines="120" w:after="288" w:line="240" w:lineRule="auto"/>
        <w:jc w:val="both"/>
        <w:rPr>
          <w:rFonts w:ascii="ITC Avant Garde" w:hAnsi="ITC Avant Garde"/>
          <w:bCs/>
        </w:rPr>
      </w:pPr>
      <w:r w:rsidRPr="00D032CA">
        <w:rPr>
          <w:rFonts w:ascii="ITC Avant Garde" w:hAnsi="ITC Avant Garde"/>
          <w:bCs/>
        </w:rPr>
        <w:t xml:space="preserve">No obstante, dicha </w:t>
      </w:r>
      <w:r w:rsidR="000C71ED">
        <w:rPr>
          <w:rFonts w:ascii="ITC Avant Garde" w:hAnsi="ITC Avant Garde"/>
          <w:bCs/>
        </w:rPr>
        <w:t>c</w:t>
      </w:r>
      <w:r w:rsidRPr="00D032CA">
        <w:rPr>
          <w:rFonts w:ascii="ITC Avant Garde" w:hAnsi="ITC Avant Garde"/>
          <w:bCs/>
        </w:rPr>
        <w:t xml:space="preserve">ondición también señala que el plazo referido anteriormente podría ampliarse hasta por un año más por única ocasión, </w:t>
      </w:r>
      <w:r w:rsidR="00DA18B6">
        <w:rPr>
          <w:rFonts w:ascii="ITC Avant Garde" w:hAnsi="ITC Avant Garde"/>
          <w:bCs/>
        </w:rPr>
        <w:t>una vez realizada la</w:t>
      </w:r>
      <w:r w:rsidRPr="00D032CA">
        <w:rPr>
          <w:rFonts w:ascii="ITC Avant Garde" w:hAnsi="ITC Avant Garde"/>
          <w:bCs/>
        </w:rPr>
        <w:t xml:space="preserve"> solicitud del concesionario y aprobación del Instituto; supuesto que se actualizó con el oficio IFT/223/UCS/</w:t>
      </w:r>
      <w:r w:rsidR="001D6290">
        <w:rPr>
          <w:rFonts w:ascii="ITC Avant Garde" w:hAnsi="ITC Avant Garde"/>
          <w:bCs/>
        </w:rPr>
        <w:t>2538</w:t>
      </w:r>
      <w:r w:rsidRPr="00D032CA">
        <w:rPr>
          <w:rFonts w:ascii="ITC Avant Garde" w:hAnsi="ITC Avant Garde"/>
          <w:bCs/>
        </w:rPr>
        <w:t xml:space="preserve">/2016 de fecha 24 de noviembre de 2016, mediante el cual el Instituto autorizó a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sidRPr="00D032CA">
        <w:rPr>
          <w:rFonts w:ascii="ITC Avant Garde" w:hAnsi="ITC Avant Garde"/>
          <w:bCs/>
        </w:rPr>
        <w:t xml:space="preserve">, S.A. de C.V., la ampliación del plazo solicitado, resolviendo que </w:t>
      </w:r>
      <w:r w:rsidR="00810F52">
        <w:rPr>
          <w:rFonts w:ascii="ITC Avant Garde" w:hAnsi="ITC Avant Garde"/>
          <w:bCs/>
        </w:rPr>
        <w:t xml:space="preserve">dicha concesionaria </w:t>
      </w:r>
      <w:r w:rsidRPr="00D032CA">
        <w:rPr>
          <w:rFonts w:ascii="ITC Avant Garde" w:hAnsi="ITC Avant Garde"/>
          <w:bCs/>
        </w:rPr>
        <w:t xml:space="preserve">debería, entre otras cosas, </w:t>
      </w:r>
      <w:r w:rsidR="005814F3">
        <w:rPr>
          <w:rFonts w:ascii="ITC Avant Garde" w:hAnsi="ITC Avant Garde"/>
          <w:bCs/>
        </w:rPr>
        <w:t>tr</w:t>
      </w:r>
      <w:r w:rsidR="00A97A3E">
        <w:rPr>
          <w:rFonts w:ascii="ITC Avant Garde" w:hAnsi="ITC Avant Garde"/>
          <w:bCs/>
        </w:rPr>
        <w:t>ansitar la Concesión</w:t>
      </w:r>
      <w:r w:rsidR="005814F3">
        <w:rPr>
          <w:rFonts w:ascii="ITC Avant Garde" w:hAnsi="ITC Avant Garde"/>
          <w:bCs/>
        </w:rPr>
        <w:t xml:space="preserve"> de Red</w:t>
      </w:r>
      <w:r w:rsidR="00134227">
        <w:rPr>
          <w:rFonts w:ascii="ITC Avant Garde" w:hAnsi="ITC Avant Garde"/>
          <w:bCs/>
        </w:rPr>
        <w:t xml:space="preserve"> al régimen de concesión única</w:t>
      </w:r>
      <w:r w:rsidRPr="00D032CA">
        <w:rPr>
          <w:rFonts w:ascii="ITC Avant Garde" w:hAnsi="ITC Avant Garde"/>
          <w:bCs/>
        </w:rPr>
        <w:t>,</w:t>
      </w:r>
      <w:r w:rsidR="00B401D3">
        <w:rPr>
          <w:rFonts w:ascii="ITC Avant Garde" w:hAnsi="ITC Avant Garde"/>
          <w:bCs/>
        </w:rPr>
        <w:t xml:space="preserve"> u obtener la autorización para prestar servicios adicionales a los</w:t>
      </w:r>
      <w:r w:rsidR="006E5784">
        <w:rPr>
          <w:rFonts w:ascii="ITC Avant Garde" w:hAnsi="ITC Avant Garde"/>
          <w:bCs/>
        </w:rPr>
        <w:t xml:space="preserve"> previsto</w:t>
      </w:r>
      <w:r w:rsidR="006B5B87">
        <w:rPr>
          <w:rFonts w:ascii="ITC Avant Garde" w:hAnsi="ITC Avant Garde"/>
          <w:bCs/>
        </w:rPr>
        <w:t>s</w:t>
      </w:r>
      <w:r w:rsidR="00A97A3E">
        <w:rPr>
          <w:rFonts w:ascii="ITC Avant Garde" w:hAnsi="ITC Avant Garde"/>
          <w:bCs/>
        </w:rPr>
        <w:t xml:space="preserve"> en dicha concesión</w:t>
      </w:r>
      <w:r w:rsidRPr="00D032CA">
        <w:rPr>
          <w:rFonts w:ascii="ITC Avant Garde" w:hAnsi="ITC Avant Garde"/>
          <w:bCs/>
        </w:rPr>
        <w:t xml:space="preserve">. </w:t>
      </w:r>
    </w:p>
    <w:p w14:paraId="0B3ABAAF" w14:textId="77777777" w:rsidR="00523FCB" w:rsidRDefault="00A12E2A"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En cumplimiento a lo anterior, tal como se indicó en el </w:t>
      </w:r>
      <w:r w:rsidR="00134227">
        <w:rPr>
          <w:rFonts w:ascii="ITC Avant Garde" w:hAnsi="ITC Avant Garde"/>
          <w:bCs/>
        </w:rPr>
        <w:t>Antecedente</w:t>
      </w:r>
      <w:r>
        <w:rPr>
          <w:rFonts w:ascii="ITC Avant Garde" w:hAnsi="ITC Avant Garde"/>
          <w:bCs/>
        </w:rPr>
        <w:t xml:space="preserve"> VII de la presente Resolución, el </w:t>
      </w:r>
      <w:r w:rsidR="0045661C">
        <w:rPr>
          <w:rFonts w:ascii="ITC Avant Garde" w:hAnsi="ITC Avant Garde"/>
          <w:bCs/>
        </w:rPr>
        <w:t>11 de agosto</w:t>
      </w:r>
      <w:r>
        <w:rPr>
          <w:rFonts w:ascii="ITC Avant Garde" w:hAnsi="ITC Avant Garde"/>
          <w:bCs/>
        </w:rPr>
        <w:t xml:space="preserve"> de 2017,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Pr>
          <w:rFonts w:ascii="ITC Avant Garde" w:hAnsi="ITC Avant Garde"/>
          <w:color w:val="000000"/>
          <w:lang w:eastAsia="es-MX"/>
        </w:rPr>
        <w:t>, S.A. de C.V., a través de su</w:t>
      </w:r>
      <w:r>
        <w:rPr>
          <w:rFonts w:ascii="ITC Avant Garde" w:hAnsi="ITC Avant Garde"/>
          <w:bCs/>
          <w:color w:val="000000"/>
          <w:lang w:eastAsia="es-MX"/>
        </w:rPr>
        <w:t xml:space="preserve"> representante legal,</w:t>
      </w:r>
      <w:r w:rsidRPr="00C50B5E">
        <w:rPr>
          <w:rFonts w:ascii="ITC Avant Garde" w:hAnsi="ITC Avant Garde"/>
        </w:rPr>
        <w:t xml:space="preserve"> </w:t>
      </w:r>
      <w:r>
        <w:rPr>
          <w:rFonts w:ascii="ITC Avant Garde" w:hAnsi="ITC Avant Garde"/>
          <w:color w:val="000000"/>
          <w:lang w:eastAsia="es-MX"/>
        </w:rPr>
        <w:t>presentó ante el Insti</w:t>
      </w:r>
      <w:r w:rsidR="00A97A3E">
        <w:rPr>
          <w:rFonts w:ascii="ITC Avant Garde" w:hAnsi="ITC Avant Garde"/>
          <w:color w:val="000000"/>
          <w:lang w:eastAsia="es-MX"/>
        </w:rPr>
        <w:t>tuto el Formato IFT-Transición</w:t>
      </w:r>
      <w:r>
        <w:rPr>
          <w:rFonts w:ascii="ITC Avant Garde" w:hAnsi="ITC Avant Garde"/>
        </w:rPr>
        <w:t xml:space="preserve">, </w:t>
      </w:r>
      <w:r w:rsidR="000C71ED">
        <w:rPr>
          <w:rFonts w:ascii="ITC Avant Garde" w:hAnsi="ITC Avant Garde"/>
        </w:rPr>
        <w:t>en consistencia con lo establecido en</w:t>
      </w:r>
      <w:r>
        <w:rPr>
          <w:rFonts w:ascii="ITC Avant Garde" w:hAnsi="ITC Avant Garde"/>
        </w:rPr>
        <w:t xml:space="preserve"> el primer requisito señalado </w:t>
      </w:r>
      <w:r w:rsidRPr="00B52FBE">
        <w:rPr>
          <w:rFonts w:ascii="ITC Avant Garde" w:hAnsi="ITC Avant Garde"/>
          <w:bCs/>
        </w:rPr>
        <w:t xml:space="preserve">en </w:t>
      </w:r>
      <w:r>
        <w:rPr>
          <w:rFonts w:ascii="ITC Avant Garde" w:hAnsi="ITC Avant Garde"/>
          <w:bCs/>
        </w:rPr>
        <w:t xml:space="preserve">el </w:t>
      </w:r>
      <w:r w:rsidRPr="00B52FBE">
        <w:rPr>
          <w:rFonts w:ascii="ITC Avant Garde" w:hAnsi="ITC Avant Garde"/>
          <w:bCs/>
        </w:rPr>
        <w:t xml:space="preserve">artículo </w:t>
      </w:r>
      <w:r>
        <w:rPr>
          <w:rFonts w:ascii="ITC Avant Garde" w:hAnsi="ITC Avant Garde"/>
          <w:bCs/>
        </w:rPr>
        <w:t xml:space="preserve">24 de los Lineamientos. </w:t>
      </w:r>
    </w:p>
    <w:p w14:paraId="2FF77C9B" w14:textId="77777777" w:rsidR="00523FCB" w:rsidRDefault="00DB2E1F" w:rsidP="00523FCB">
      <w:pPr>
        <w:autoSpaceDE w:val="0"/>
        <w:autoSpaceDN w:val="0"/>
        <w:adjustRightInd w:val="0"/>
        <w:spacing w:afterLines="120" w:after="288" w:line="240" w:lineRule="auto"/>
        <w:jc w:val="both"/>
        <w:rPr>
          <w:rFonts w:ascii="ITC Avant Garde" w:hAnsi="ITC Avant Garde"/>
          <w:bCs/>
        </w:rPr>
      </w:pPr>
      <w:r w:rsidRPr="00D946B6">
        <w:rPr>
          <w:rFonts w:ascii="ITC Avant Garde" w:hAnsi="ITC Avant Garde"/>
          <w:bCs/>
        </w:rPr>
        <w:t xml:space="preserve">En virtud de que </w:t>
      </w:r>
      <w:r>
        <w:rPr>
          <w:rFonts w:ascii="ITC Avant Garde" w:hAnsi="ITC Avant Garde"/>
          <w:bCs/>
        </w:rPr>
        <w:t>la Concesión de Red tiene</w:t>
      </w:r>
      <w:r w:rsidRPr="00D946B6">
        <w:rPr>
          <w:rFonts w:ascii="ITC Avant Garde" w:hAnsi="ITC Avant Garde"/>
          <w:bCs/>
        </w:rPr>
        <w:t xml:space="preserve"> como fin la comercialización de servicios de telecomunicaciones, al ser </w:t>
      </w:r>
      <w:r>
        <w:rPr>
          <w:rFonts w:ascii="ITC Avant Garde" w:hAnsi="ITC Avant Garde"/>
          <w:bCs/>
        </w:rPr>
        <w:t>ésta</w:t>
      </w:r>
      <w:r w:rsidRPr="00D946B6">
        <w:rPr>
          <w:rFonts w:ascii="ITC Avant Garde" w:hAnsi="ITC Avant Garde"/>
          <w:bCs/>
        </w:rPr>
        <w:t xml:space="preserve"> </w:t>
      </w:r>
      <w:r>
        <w:rPr>
          <w:rFonts w:ascii="ITC Avant Garde" w:hAnsi="ITC Avant Garde"/>
          <w:bCs/>
        </w:rPr>
        <w:t xml:space="preserve">con </w:t>
      </w:r>
      <w:r w:rsidRPr="00D946B6">
        <w:rPr>
          <w:rFonts w:ascii="ITC Avant Garde" w:hAnsi="ITC Avant Garde"/>
          <w:bCs/>
        </w:rPr>
        <w:t>fines de lucro la concesión única</w:t>
      </w:r>
      <w:r>
        <w:rPr>
          <w:rFonts w:ascii="ITC Avant Garde" w:hAnsi="ITC Avant Garde"/>
          <w:bCs/>
        </w:rPr>
        <w:t>,</w:t>
      </w:r>
      <w:r w:rsidRPr="00D946B6">
        <w:rPr>
          <w:rFonts w:ascii="ITC Avant Garde" w:hAnsi="ITC Avant Garde"/>
          <w:bCs/>
        </w:rPr>
        <w:t xml:space="preserve"> que en su caso se otorgue, debe ser para fines comerciales en términos de lo establecido en el artículo 76, fracción I de la Ley.</w:t>
      </w:r>
    </w:p>
    <w:p w14:paraId="33BD7D9A" w14:textId="77777777" w:rsidR="00523FCB" w:rsidRDefault="00385FBB"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Respecto al segundo requisito de procedencia,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sidR="00E27FC0">
        <w:rPr>
          <w:rFonts w:ascii="ITC Avant Garde" w:hAnsi="ITC Avant Garde"/>
          <w:bCs/>
          <w:color w:val="000000"/>
          <w:lang w:eastAsia="es-MX"/>
        </w:rPr>
        <w:t>, S.A. de C.V.</w:t>
      </w:r>
      <w:r>
        <w:rPr>
          <w:rFonts w:ascii="ITC Avant Garde" w:hAnsi="ITC Avant Garde"/>
          <w:bCs/>
          <w:color w:val="000000"/>
          <w:lang w:eastAsia="es-MX"/>
        </w:rPr>
        <w:t xml:space="preserve"> </w:t>
      </w:r>
      <w:r w:rsidR="00482AFE">
        <w:rPr>
          <w:rFonts w:ascii="ITC Avant Garde" w:hAnsi="ITC Avant Garde"/>
          <w:bCs/>
          <w:color w:val="000000"/>
          <w:lang w:eastAsia="es-MX"/>
        </w:rPr>
        <w:t>llevó a cabo</w:t>
      </w:r>
      <w:r w:rsidR="00482AFE">
        <w:rPr>
          <w:rFonts w:ascii="ITC Avant Garde" w:hAnsi="ITC Avant Garde"/>
          <w:bCs/>
        </w:rPr>
        <w:t xml:space="preserve"> </w:t>
      </w:r>
      <w:r>
        <w:rPr>
          <w:rFonts w:ascii="ITC Avant Garde" w:hAnsi="ITC Avant Garde"/>
          <w:bCs/>
        </w:rPr>
        <w:t xml:space="preserve">el pago de derechos </w:t>
      </w:r>
      <w:r w:rsidR="00482AFE">
        <w:rPr>
          <w:rFonts w:ascii="ITC Avant Garde" w:hAnsi="ITC Avant Garde"/>
          <w:bCs/>
        </w:rPr>
        <w:t xml:space="preserve">correspondiente, derivado del cual se emitió la </w:t>
      </w:r>
      <w:r>
        <w:rPr>
          <w:rFonts w:ascii="ITC Avant Garde" w:hAnsi="ITC Avant Garde"/>
          <w:bCs/>
        </w:rPr>
        <w:t xml:space="preserve">factura </w:t>
      </w:r>
      <w:r w:rsidR="00482AFE">
        <w:rPr>
          <w:rFonts w:ascii="ITC Avant Garde" w:hAnsi="ITC Avant Garde"/>
          <w:bCs/>
        </w:rPr>
        <w:t xml:space="preserve">número </w:t>
      </w:r>
      <w:r w:rsidR="00041894">
        <w:rPr>
          <w:rFonts w:ascii="ITC Avant Garde" w:hAnsi="ITC Avant Garde"/>
          <w:bCs/>
        </w:rPr>
        <w:t>17000</w:t>
      </w:r>
      <w:r w:rsidR="0045661C">
        <w:rPr>
          <w:rFonts w:ascii="ITC Avant Garde" w:hAnsi="ITC Avant Garde"/>
          <w:bCs/>
        </w:rPr>
        <w:t>8397</w:t>
      </w:r>
      <w:r w:rsidR="00482AFE">
        <w:rPr>
          <w:rFonts w:ascii="ITC Avant Garde" w:hAnsi="ITC Avant Garde"/>
          <w:bCs/>
        </w:rPr>
        <w:t>,</w:t>
      </w:r>
      <w:r>
        <w:rPr>
          <w:rFonts w:ascii="ITC Avant Garde" w:hAnsi="ITC Avant Garde"/>
          <w:bCs/>
        </w:rPr>
        <w:t xml:space="preserve"> relativo a la transición a concesión única o la consolidación de una o más concesiones para instalar, operar o explotar una red pública de telecomunicaciones, </w:t>
      </w:r>
      <w:r>
        <w:rPr>
          <w:rFonts w:ascii="ITC Avant Garde" w:hAnsi="ITC Avant Garde"/>
          <w:bCs/>
        </w:rPr>
        <w:lastRenderedPageBreak/>
        <w:t>establecido en el artículo 174-C fracción XII de la Ley Federal de Derechos, y conforme a lo requerido en el penúltimo párrafo del artículo 24 de los Lineamientos.</w:t>
      </w:r>
    </w:p>
    <w:p w14:paraId="12AA4363" w14:textId="77777777" w:rsidR="00523FCB" w:rsidRDefault="007251E1"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Por lo que hace al tercer requisito contemplado en el artículo 27 de los Lineamientos que señala que para que proceda la solicitud para transitar </w:t>
      </w:r>
      <w:r w:rsidR="009E1B7E">
        <w:rPr>
          <w:rFonts w:ascii="ITC Avant Garde" w:hAnsi="ITC Avant Garde"/>
          <w:bCs/>
        </w:rPr>
        <w:t>o para consolidar concesiones en una concesión única para uso comercial</w:t>
      </w:r>
      <w:r>
        <w:rPr>
          <w:rFonts w:ascii="ITC Avant Garde" w:hAnsi="ITC Avant Garde"/>
          <w:bCs/>
        </w:rPr>
        <w:t xml:space="preserve">, el solicitante deberá encontrarse en </w:t>
      </w:r>
      <w:r w:rsidRPr="00111069">
        <w:rPr>
          <w:rFonts w:ascii="ITC Avant Garde" w:hAnsi="ITC Avant Garde"/>
          <w:bCs/>
        </w:rPr>
        <w:t>cumplimiento de la</w:t>
      </w:r>
      <w:r>
        <w:rPr>
          <w:rFonts w:ascii="ITC Avant Garde" w:hAnsi="ITC Avant Garde"/>
          <w:bCs/>
        </w:rPr>
        <w:t>s obligaciones establecidas en su</w:t>
      </w:r>
      <w:r w:rsidR="00E94211">
        <w:rPr>
          <w:rFonts w:ascii="ITC Avant Garde" w:hAnsi="ITC Avant Garde"/>
          <w:bCs/>
        </w:rPr>
        <w:t>s</w:t>
      </w:r>
      <w:r>
        <w:rPr>
          <w:rFonts w:ascii="ITC Avant Garde" w:hAnsi="ITC Avant Garde"/>
          <w:bCs/>
        </w:rPr>
        <w:t xml:space="preserve"> </w:t>
      </w:r>
      <w:r w:rsidR="00E94211">
        <w:rPr>
          <w:rFonts w:ascii="ITC Avant Garde" w:hAnsi="ITC Avant Garde"/>
          <w:bCs/>
        </w:rPr>
        <w:t xml:space="preserve">respectivos </w:t>
      </w:r>
      <w:r>
        <w:rPr>
          <w:rFonts w:ascii="ITC Avant Garde" w:hAnsi="ITC Avant Garde"/>
          <w:bCs/>
        </w:rPr>
        <w:t>título</w:t>
      </w:r>
      <w:r w:rsidR="00E94211">
        <w:rPr>
          <w:rFonts w:ascii="ITC Avant Garde" w:hAnsi="ITC Avant Garde"/>
          <w:bCs/>
        </w:rPr>
        <w:t>s</w:t>
      </w:r>
      <w:r>
        <w:rPr>
          <w:rFonts w:ascii="ITC Avant Garde" w:hAnsi="ITC Avant Garde"/>
          <w:bCs/>
        </w:rPr>
        <w:t xml:space="preserve"> de concesión y las obligaciones derivadas de la legislación aplicable</w:t>
      </w:r>
      <w:r w:rsidR="00CF0063">
        <w:rPr>
          <w:rFonts w:ascii="ITC Avant Garde" w:hAnsi="ITC Avant Garde"/>
          <w:bCs/>
        </w:rPr>
        <w:t>,</w:t>
      </w:r>
      <w:r>
        <w:rPr>
          <w:rFonts w:ascii="ITC Avant Garde" w:hAnsi="ITC Avant Garde"/>
          <w:bCs/>
        </w:rPr>
        <w:t xml:space="preserve"> </w:t>
      </w:r>
      <w:r w:rsidR="00CF0063">
        <w:rPr>
          <w:rFonts w:ascii="ITC Avant Garde" w:hAnsi="ITC Avant Garde"/>
          <w:bCs/>
        </w:rPr>
        <w:t>l</w:t>
      </w:r>
      <w:r>
        <w:rPr>
          <w:rFonts w:ascii="ITC Avant Garde" w:hAnsi="ITC Avant Garde"/>
          <w:bCs/>
          <w:color w:val="000000"/>
          <w:lang w:eastAsia="es-MX"/>
        </w:rPr>
        <w:t>a Unidad de Concesiones y Servicios</w:t>
      </w:r>
      <w:r w:rsidR="007757BE">
        <w:rPr>
          <w:rFonts w:ascii="ITC Avant Garde" w:hAnsi="ITC Avant Garde"/>
          <w:bCs/>
          <w:color w:val="000000"/>
          <w:lang w:eastAsia="es-MX"/>
        </w:rPr>
        <w:t>,</w:t>
      </w:r>
      <w:r>
        <w:rPr>
          <w:rFonts w:ascii="ITC Avant Garde" w:hAnsi="ITC Avant Garde"/>
          <w:bCs/>
          <w:color w:val="000000"/>
          <w:lang w:eastAsia="es-MX"/>
        </w:rPr>
        <w:t xml:space="preserve">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xml:space="preserve">, mediante oficio </w:t>
      </w:r>
      <w:r w:rsidR="00081015">
        <w:rPr>
          <w:rFonts w:ascii="ITC Avant Garde" w:hAnsi="ITC Avant Garde"/>
          <w:bCs/>
        </w:rPr>
        <w:t>IFT/223/UCS/DG-CTEL/</w:t>
      </w:r>
      <w:r w:rsidR="00A97A3E">
        <w:rPr>
          <w:rFonts w:ascii="ITC Avant Garde" w:hAnsi="ITC Avant Garde"/>
          <w:bCs/>
        </w:rPr>
        <w:t>1</w:t>
      </w:r>
      <w:r w:rsidR="0045661C">
        <w:rPr>
          <w:rFonts w:ascii="ITC Avant Garde" w:hAnsi="ITC Avant Garde"/>
          <w:bCs/>
        </w:rPr>
        <w:t>618</w:t>
      </w:r>
      <w:r w:rsidR="00914C1C">
        <w:rPr>
          <w:rFonts w:ascii="ITC Avant Garde" w:hAnsi="ITC Avant Garde"/>
          <w:bCs/>
        </w:rPr>
        <w:t>/2017</w:t>
      </w:r>
      <w:r w:rsidR="00CC5EB0">
        <w:rPr>
          <w:rFonts w:ascii="ITC Avant Garde" w:hAnsi="ITC Avant Garde"/>
          <w:bCs/>
        </w:rPr>
        <w:t xml:space="preserve"> </w:t>
      </w:r>
      <w:r w:rsidR="00CF0063">
        <w:rPr>
          <w:rFonts w:ascii="ITC Avant Garde" w:hAnsi="ITC Avant Garde"/>
          <w:bCs/>
        </w:rPr>
        <w:t xml:space="preserve">de fecha </w:t>
      </w:r>
      <w:r w:rsidR="0045661C">
        <w:rPr>
          <w:rFonts w:ascii="ITC Avant Garde" w:hAnsi="ITC Avant Garde"/>
          <w:bCs/>
        </w:rPr>
        <w:t>15 de agosto</w:t>
      </w:r>
      <w:r w:rsidR="00914C1C">
        <w:rPr>
          <w:rFonts w:ascii="ITC Avant Garde" w:hAnsi="ITC Avant Garde"/>
          <w:bCs/>
        </w:rPr>
        <w:t xml:space="preserve"> de 2017</w:t>
      </w:r>
      <w:r w:rsidR="00E17FE8">
        <w:rPr>
          <w:rFonts w:ascii="ITC Avant Garde" w:hAnsi="ITC Avant Garde"/>
          <w:bCs/>
        </w:rPr>
        <w:t>,</w:t>
      </w:r>
      <w:r w:rsidRPr="00B52FBE">
        <w:rPr>
          <w:rFonts w:ascii="ITC Avant Garde" w:hAnsi="ITC Avant Garde"/>
          <w:bCs/>
        </w:rPr>
        <w:t xml:space="preserve"> </w:t>
      </w:r>
      <w:r w:rsidR="00E707AC" w:rsidRPr="00B52FBE">
        <w:rPr>
          <w:rFonts w:ascii="ITC Avant Garde" w:hAnsi="ITC Avant Garde"/>
          <w:bCs/>
        </w:rPr>
        <w:t xml:space="preserve">solicitó </w:t>
      </w:r>
      <w:r w:rsidR="00E707AC">
        <w:rPr>
          <w:rFonts w:ascii="ITC Avant Garde" w:hAnsi="ITC Avant Garde"/>
          <w:bCs/>
        </w:rPr>
        <w:t xml:space="preserve">a la Unidad de Cumplimiento que </w:t>
      </w:r>
      <w:r w:rsidR="00CF0063">
        <w:rPr>
          <w:rFonts w:ascii="ITC Avant Garde" w:hAnsi="ITC Avant Garde"/>
          <w:bCs/>
        </w:rPr>
        <w:t>informara si dich</w:t>
      </w:r>
      <w:r w:rsidR="009F6F78">
        <w:rPr>
          <w:rFonts w:ascii="ITC Avant Garde" w:hAnsi="ITC Avant Garde"/>
          <w:bCs/>
        </w:rPr>
        <w:t>a concesionaria</w:t>
      </w:r>
      <w:r w:rsidR="00E707AC">
        <w:rPr>
          <w:rFonts w:ascii="ITC Avant Garde" w:hAnsi="ITC Avant Garde"/>
          <w:bCs/>
        </w:rPr>
        <w:t xml:space="preserve"> se encontraba al corriente en el cumplimiento de las obligaciones estipuladas en </w:t>
      </w:r>
      <w:r w:rsidR="003F0A2A">
        <w:rPr>
          <w:rFonts w:ascii="ITC Avant Garde" w:hAnsi="ITC Avant Garde"/>
          <w:bCs/>
        </w:rPr>
        <w:t>la Concesión de Red</w:t>
      </w:r>
      <w:r w:rsidR="00E707AC">
        <w:rPr>
          <w:rFonts w:ascii="ITC Avant Garde" w:hAnsi="ITC Avant Garde"/>
          <w:bCs/>
        </w:rPr>
        <w:t xml:space="preserve"> y demás obligaciones derivadas de la legislación aplicable.</w:t>
      </w:r>
    </w:p>
    <w:p w14:paraId="76C7334C" w14:textId="07884ACD" w:rsidR="00450529" w:rsidRDefault="007251E1" w:rsidP="00523FCB">
      <w:pPr>
        <w:autoSpaceDE w:val="0"/>
        <w:autoSpaceDN w:val="0"/>
        <w:adjustRightInd w:val="0"/>
        <w:spacing w:afterLines="120" w:after="288" w:line="240" w:lineRule="auto"/>
        <w:jc w:val="both"/>
        <w:rPr>
          <w:rFonts w:ascii="ITC Avant Garde" w:hAnsi="ITC Avant Garde"/>
          <w:bCs/>
        </w:rPr>
      </w:pPr>
      <w:r w:rsidRPr="00956265">
        <w:rPr>
          <w:rFonts w:ascii="ITC Avant Garde" w:hAnsi="ITC Avant Garde"/>
          <w:bCs/>
        </w:rPr>
        <w:t xml:space="preserve">En respuesta a dicha petición, </w:t>
      </w:r>
      <w:r>
        <w:rPr>
          <w:rFonts w:ascii="ITC Avant Garde" w:hAnsi="ITC Avant Garde"/>
          <w:bCs/>
          <w:color w:val="000000"/>
          <w:lang w:eastAsia="es-MX"/>
        </w:rPr>
        <w:t>la Dirección General de Supervisión</w:t>
      </w:r>
      <w:r w:rsidR="00A958ED">
        <w:rPr>
          <w:rFonts w:ascii="ITC Avant Garde" w:hAnsi="ITC Avant Garde"/>
          <w:bCs/>
          <w:color w:val="000000"/>
          <w:lang w:eastAsia="es-MX"/>
        </w:rPr>
        <w:t>,</w:t>
      </w:r>
      <w:r>
        <w:rPr>
          <w:rFonts w:ascii="ITC Avant Garde" w:hAnsi="ITC Avant Garde"/>
          <w:bCs/>
          <w:color w:val="000000"/>
          <w:lang w:eastAsia="es-MX"/>
        </w:rPr>
        <w:t xml:space="preserve"> adscrita a </w:t>
      </w:r>
      <w:r w:rsidRPr="00956265">
        <w:rPr>
          <w:rFonts w:ascii="ITC Avant Garde" w:hAnsi="ITC Avant Garde"/>
          <w:bCs/>
        </w:rPr>
        <w:t>la Unidad de Cumplimiento, a través del oficio IFT/225/UC/DG-SUV/</w:t>
      </w:r>
      <w:r w:rsidR="00AD5E0B">
        <w:rPr>
          <w:rFonts w:ascii="ITC Avant Garde" w:hAnsi="ITC Avant Garde"/>
          <w:bCs/>
        </w:rPr>
        <w:t>03517</w:t>
      </w:r>
      <w:r w:rsidR="00914C1C">
        <w:rPr>
          <w:rFonts w:ascii="ITC Avant Garde" w:hAnsi="ITC Avant Garde"/>
          <w:bCs/>
        </w:rPr>
        <w:t>/2017</w:t>
      </w:r>
      <w:r w:rsidRPr="00956265">
        <w:rPr>
          <w:rFonts w:ascii="ITC Avant Garde" w:hAnsi="ITC Avant Garde"/>
          <w:bCs/>
        </w:rPr>
        <w:t xml:space="preserve"> </w:t>
      </w:r>
      <w:r>
        <w:rPr>
          <w:rFonts w:ascii="ITC Avant Garde" w:hAnsi="ITC Avant Garde"/>
          <w:bCs/>
        </w:rPr>
        <w:t xml:space="preserve">de fecha </w:t>
      </w:r>
      <w:r w:rsidR="00AD5E0B">
        <w:rPr>
          <w:rFonts w:ascii="ITC Avant Garde" w:hAnsi="ITC Avant Garde"/>
          <w:bCs/>
        </w:rPr>
        <w:t>31</w:t>
      </w:r>
      <w:r w:rsidR="00914C1C">
        <w:rPr>
          <w:rFonts w:ascii="ITC Avant Garde" w:hAnsi="ITC Avant Garde"/>
          <w:bCs/>
        </w:rPr>
        <w:t xml:space="preserve"> de </w:t>
      </w:r>
      <w:r w:rsidR="0045661C">
        <w:rPr>
          <w:rFonts w:ascii="ITC Avant Garde" w:hAnsi="ITC Avant Garde"/>
          <w:bCs/>
        </w:rPr>
        <w:t>octubre</w:t>
      </w:r>
      <w:r w:rsidR="009E1B7E">
        <w:rPr>
          <w:rFonts w:ascii="ITC Avant Garde" w:hAnsi="ITC Avant Garde"/>
          <w:bCs/>
        </w:rPr>
        <w:t xml:space="preserve"> de 2017</w:t>
      </w:r>
      <w:r>
        <w:rPr>
          <w:rFonts w:ascii="ITC Avant Garde" w:hAnsi="ITC Avant Garde"/>
          <w:bCs/>
        </w:rPr>
        <w:t>, señaló</w:t>
      </w:r>
      <w:r w:rsidRPr="00956265">
        <w:rPr>
          <w:rFonts w:ascii="ITC Avant Garde" w:hAnsi="ITC Avant Garde"/>
          <w:bCs/>
        </w:rPr>
        <w:t xml:space="preserve"> en</w:t>
      </w:r>
      <w:r w:rsidR="00B46EB2">
        <w:rPr>
          <w:rFonts w:ascii="ITC Avant Garde" w:hAnsi="ITC Avant Garde"/>
          <w:bCs/>
        </w:rPr>
        <w:t>tre otros aspectos</w:t>
      </w:r>
      <w:r w:rsidR="007C0C43">
        <w:rPr>
          <w:rFonts w:ascii="ITC Avant Garde" w:hAnsi="ITC Avant Garde"/>
          <w:bCs/>
        </w:rPr>
        <w:t xml:space="preserve"> que: </w:t>
      </w:r>
    </w:p>
    <w:p w14:paraId="639CD515" w14:textId="77777777" w:rsidR="00523FCB" w:rsidRDefault="007C0C43" w:rsidP="00523FCB">
      <w:pPr>
        <w:spacing w:afterLines="120" w:after="288" w:line="240" w:lineRule="auto"/>
        <w:ind w:left="851" w:right="618"/>
        <w:jc w:val="both"/>
        <w:rPr>
          <w:rFonts w:ascii="ITC Avant Garde" w:hAnsi="ITC Avant Garde"/>
          <w:i/>
          <w:iCs/>
          <w:color w:val="000000"/>
          <w:sz w:val="18"/>
          <w:szCs w:val="18"/>
          <w:lang w:eastAsia="es-MX"/>
        </w:rPr>
      </w:pPr>
      <w:r w:rsidRPr="0038623F">
        <w:rPr>
          <w:rFonts w:ascii="ITC Avant Garde" w:hAnsi="ITC Avant Garde"/>
          <w:i/>
          <w:iCs/>
          <w:color w:val="000000"/>
          <w:sz w:val="18"/>
          <w:szCs w:val="18"/>
          <w:lang w:eastAsia="es-MX"/>
        </w:rPr>
        <w:t>“</w:t>
      </w:r>
      <w:r w:rsidR="007757BE">
        <w:rPr>
          <w:rFonts w:ascii="ITC Avant Garde" w:hAnsi="ITC Avant Garde"/>
          <w:i/>
          <w:iCs/>
          <w:color w:val="000000"/>
          <w:sz w:val="18"/>
          <w:szCs w:val="18"/>
          <w:lang w:eastAsia="es-MX"/>
        </w:rPr>
        <w:t>[…]</w:t>
      </w:r>
    </w:p>
    <w:p w14:paraId="3C04180F" w14:textId="77777777" w:rsidR="00523FCB" w:rsidRDefault="00CF0063" w:rsidP="00523FCB">
      <w:pPr>
        <w:spacing w:afterLines="50" w:after="120" w:line="240" w:lineRule="auto"/>
        <w:ind w:left="851" w:right="618" w:firstLine="272"/>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4</w:t>
      </w:r>
      <w:r w:rsidR="00BD59BD" w:rsidRPr="0038623F">
        <w:rPr>
          <w:rFonts w:ascii="ITC Avant Garde" w:hAnsi="ITC Avant Garde"/>
          <w:b/>
          <w:i/>
          <w:iCs/>
          <w:color w:val="000000"/>
          <w:sz w:val="18"/>
          <w:szCs w:val="18"/>
          <w:lang w:eastAsia="es-MX"/>
        </w:rPr>
        <w:t>. Dictamen</w:t>
      </w:r>
    </w:p>
    <w:p w14:paraId="369B3F33" w14:textId="77777777" w:rsidR="00523FCB" w:rsidRDefault="00AD5E0B" w:rsidP="00523FCB">
      <w:pPr>
        <w:spacing w:afterLines="120" w:after="288" w:line="240" w:lineRule="auto"/>
        <w:ind w:left="851" w:right="618"/>
        <w:jc w:val="both"/>
        <w:rPr>
          <w:rFonts w:ascii="ITC Avant Garde" w:hAnsi="ITC Avant Garde"/>
          <w:i/>
          <w:iCs/>
          <w:color w:val="000000"/>
          <w:sz w:val="18"/>
          <w:szCs w:val="18"/>
          <w:lang w:eastAsia="es-MX"/>
        </w:rPr>
      </w:pPr>
      <w:r w:rsidRPr="00AD5E0B">
        <w:rPr>
          <w:rFonts w:ascii="ITC Avant Garde" w:hAnsi="ITC Avant Garde"/>
          <w:i/>
          <w:iCs/>
          <w:color w:val="000000"/>
          <w:sz w:val="18"/>
          <w:szCs w:val="18"/>
          <w:lang w:eastAsia="es-MX"/>
        </w:rPr>
        <w:t>De la supervisión a las constancias que integran el expediente abierto a nombre de la concesionaria que nos ocupa, así como de la información proporcionada por la DG-VER y la DG-SAN, se concluye lo siguiente:</w:t>
      </w:r>
    </w:p>
    <w:p w14:paraId="783B40C0" w14:textId="77777777" w:rsidR="00523FCB" w:rsidRDefault="00AD5E0B" w:rsidP="00523FCB">
      <w:pPr>
        <w:spacing w:afterLines="120" w:after="288" w:line="240" w:lineRule="auto"/>
        <w:ind w:left="851" w:right="618"/>
        <w:jc w:val="both"/>
        <w:rPr>
          <w:rFonts w:ascii="ITC Avant Garde" w:hAnsi="ITC Avant Garde"/>
          <w:i/>
          <w:iCs/>
          <w:color w:val="000000"/>
          <w:sz w:val="18"/>
          <w:szCs w:val="18"/>
          <w:lang w:eastAsia="es-MX"/>
        </w:rPr>
      </w:pPr>
      <w:r w:rsidRPr="00AD5E0B">
        <w:rPr>
          <w:rFonts w:ascii="ITC Avant Garde" w:hAnsi="ITC Avant Garde"/>
          <w:i/>
          <w:iCs/>
          <w:color w:val="000000"/>
          <w:sz w:val="18"/>
          <w:szCs w:val="18"/>
          <w:lang w:eastAsia="es-MX"/>
        </w:rPr>
        <w:t xml:space="preserve">Del análisis del expediente </w:t>
      </w:r>
      <w:r w:rsidRPr="00AD5E0B">
        <w:rPr>
          <w:rFonts w:ascii="ITC Avant Garde" w:hAnsi="ITC Avant Garde"/>
          <w:b/>
          <w:i/>
          <w:iCs/>
          <w:color w:val="000000"/>
          <w:sz w:val="18"/>
          <w:szCs w:val="18"/>
          <w:lang w:eastAsia="es-MX"/>
        </w:rPr>
        <w:t>19/0736</w:t>
      </w:r>
      <w:r w:rsidRPr="00AD5E0B">
        <w:rPr>
          <w:rFonts w:ascii="ITC Avant Garde" w:hAnsi="ITC Avant Garde"/>
          <w:i/>
          <w:iCs/>
          <w:color w:val="000000"/>
          <w:sz w:val="18"/>
          <w:szCs w:val="18"/>
          <w:lang w:eastAsia="es-MX"/>
        </w:rPr>
        <w:t xml:space="preserve"> integrado por la DG-ARMSG de este Instituto a nombre de </w:t>
      </w:r>
      <w:r w:rsidRPr="00AD5E0B">
        <w:rPr>
          <w:rFonts w:ascii="ITC Avant Garde" w:hAnsi="ITC Avant Garde"/>
          <w:b/>
          <w:i/>
          <w:iCs/>
          <w:color w:val="000000"/>
          <w:sz w:val="18"/>
          <w:szCs w:val="18"/>
          <w:lang w:eastAsia="es-MX"/>
        </w:rPr>
        <w:t>TELEFUTURA</w:t>
      </w:r>
      <w:r w:rsidRPr="00AD5E0B">
        <w:rPr>
          <w:rFonts w:ascii="ITC Avant Garde" w:hAnsi="ITC Avant Garde"/>
          <w:i/>
          <w:iCs/>
          <w:color w:val="000000"/>
          <w:sz w:val="18"/>
          <w:szCs w:val="18"/>
          <w:lang w:eastAsia="es-MX"/>
        </w:rPr>
        <w:t xml:space="preserve">, se desprende </w:t>
      </w:r>
      <w:proofErr w:type="gramStart"/>
      <w:r w:rsidRPr="00AD5E0B">
        <w:rPr>
          <w:rFonts w:ascii="ITC Avant Garde" w:hAnsi="ITC Avant Garde"/>
          <w:i/>
          <w:iCs/>
          <w:color w:val="000000"/>
          <w:sz w:val="18"/>
          <w:szCs w:val="18"/>
          <w:lang w:eastAsia="es-MX"/>
        </w:rPr>
        <w:t>que</w:t>
      </w:r>
      <w:proofErr w:type="gramEnd"/>
      <w:r w:rsidRPr="00AD5E0B">
        <w:rPr>
          <w:rFonts w:ascii="ITC Avant Garde" w:hAnsi="ITC Avant Garde"/>
          <w:i/>
          <w:iCs/>
          <w:color w:val="000000"/>
          <w:sz w:val="18"/>
          <w:szCs w:val="18"/>
          <w:lang w:eastAsia="es-MX"/>
        </w:rPr>
        <w:t xml:space="preserve"> al 29 de septiembre de 2017, </w:t>
      </w:r>
      <w:r w:rsidRPr="00AD5E0B">
        <w:rPr>
          <w:rFonts w:ascii="ITC Avant Garde" w:hAnsi="ITC Avant Garde"/>
          <w:b/>
          <w:i/>
          <w:iCs/>
          <w:color w:val="000000"/>
          <w:sz w:val="18"/>
          <w:szCs w:val="18"/>
          <w:u w:val="single"/>
          <w:lang w:eastAsia="es-MX"/>
        </w:rPr>
        <w:t>la concesionaria se encontró al corriente de las obligaciones que tiene a su cargo</w:t>
      </w:r>
      <w:r w:rsidRPr="00AD5E0B">
        <w:rPr>
          <w:rFonts w:ascii="ITC Avant Garde" w:hAnsi="ITC Avant Garde"/>
          <w:i/>
          <w:iCs/>
          <w:color w:val="000000"/>
          <w:sz w:val="18"/>
          <w:szCs w:val="18"/>
          <w:lang w:eastAsia="es-MX"/>
        </w:rPr>
        <w:t xml:space="preserve"> y que le son aplicables conforme a su título de concesión de red pública de telecomunicaciones y demás disposiciones legales, reglamentarias y administrativas aplicables.</w:t>
      </w:r>
    </w:p>
    <w:p w14:paraId="1280A675" w14:textId="77777777" w:rsidR="00523FCB" w:rsidRDefault="00AD5E0B" w:rsidP="00523FCB">
      <w:pPr>
        <w:spacing w:afterLines="120" w:after="288" w:line="240" w:lineRule="auto"/>
        <w:ind w:left="851" w:right="618"/>
        <w:jc w:val="both"/>
        <w:rPr>
          <w:rFonts w:ascii="ITC Avant Garde" w:hAnsi="ITC Avant Garde"/>
          <w:b/>
          <w:i/>
          <w:iCs/>
          <w:color w:val="000000"/>
          <w:sz w:val="18"/>
          <w:szCs w:val="18"/>
          <w:u w:val="single"/>
          <w:lang w:eastAsia="es-MX"/>
        </w:rPr>
      </w:pPr>
      <w:r>
        <w:rPr>
          <w:rFonts w:ascii="ITC Avant Garde" w:hAnsi="ITC Avant Garde"/>
          <w:i/>
          <w:iCs/>
          <w:color w:val="000000"/>
          <w:sz w:val="18"/>
          <w:szCs w:val="18"/>
          <w:lang w:eastAsia="es-MX"/>
        </w:rPr>
        <w:t xml:space="preserve"> </w:t>
      </w:r>
      <w:r w:rsidR="007757BE">
        <w:rPr>
          <w:rFonts w:ascii="ITC Avant Garde" w:hAnsi="ITC Avant Garde"/>
          <w:i/>
          <w:iCs/>
          <w:color w:val="000000"/>
          <w:sz w:val="18"/>
          <w:szCs w:val="18"/>
          <w:lang w:eastAsia="es-MX"/>
        </w:rPr>
        <w:t>[…]</w:t>
      </w:r>
      <w:r w:rsidR="007C0C43" w:rsidRPr="00956265">
        <w:rPr>
          <w:rFonts w:ascii="ITC Avant Garde" w:hAnsi="ITC Avant Garde"/>
          <w:i/>
          <w:iCs/>
          <w:color w:val="000000"/>
          <w:sz w:val="18"/>
          <w:szCs w:val="18"/>
          <w:lang w:eastAsia="es-MX"/>
        </w:rPr>
        <w:t>”</w:t>
      </w:r>
      <w:r w:rsidR="009E1B7E">
        <w:rPr>
          <w:rFonts w:ascii="ITC Avant Garde" w:hAnsi="ITC Avant Garde"/>
          <w:i/>
          <w:iCs/>
          <w:color w:val="000000"/>
          <w:sz w:val="18"/>
          <w:szCs w:val="18"/>
          <w:lang w:eastAsia="es-MX"/>
        </w:rPr>
        <w:t xml:space="preserve"> </w:t>
      </w:r>
    </w:p>
    <w:p w14:paraId="76C7335C" w14:textId="13D6411E" w:rsidR="00EC74AA" w:rsidRDefault="00220C1C" w:rsidP="00523FCB">
      <w:pPr>
        <w:autoSpaceDE w:val="0"/>
        <w:autoSpaceDN w:val="0"/>
        <w:adjustRightInd w:val="0"/>
        <w:spacing w:afterLines="120" w:after="288" w:line="240" w:lineRule="auto"/>
        <w:jc w:val="both"/>
        <w:rPr>
          <w:rFonts w:ascii="ITC Avant Garde" w:hAnsi="ITC Avant Garde"/>
          <w:bCs/>
        </w:rPr>
      </w:pPr>
      <w:r w:rsidRPr="00E66845">
        <w:rPr>
          <w:rFonts w:ascii="ITC Avant Garde" w:hAnsi="ITC Avant Garde"/>
          <w:bCs/>
          <w:color w:val="000000"/>
          <w:lang w:eastAsia="es-MX"/>
        </w:rPr>
        <w:t xml:space="preserve">En virtud de lo anterior, y tomando en cuenta que se satisfacen la totalidad de los requisitos establecidos en los Lineamientos, este Instituto considera procedente autorizar </w:t>
      </w:r>
      <w:r>
        <w:rPr>
          <w:rFonts w:ascii="ITC Avant Garde" w:hAnsi="ITC Avant Garde"/>
          <w:bCs/>
          <w:color w:val="000000"/>
          <w:lang w:eastAsia="es-MX"/>
        </w:rPr>
        <w:t xml:space="preserve">la transición de la concesión para instalar, operar y explotar una red pública de telecomunicaciones otorgada a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sidR="00E66845" w:rsidRPr="00E66845">
        <w:rPr>
          <w:rFonts w:ascii="ITC Avant Garde" w:hAnsi="ITC Avant Garde"/>
          <w:bCs/>
          <w:color w:val="000000"/>
          <w:lang w:eastAsia="es-MX"/>
        </w:rPr>
        <w:t xml:space="preserve">, S.A. de C.V., </w:t>
      </w:r>
      <w:r>
        <w:rPr>
          <w:rFonts w:ascii="ITC Avant Garde" w:hAnsi="ITC Avant Garde"/>
          <w:bCs/>
          <w:color w:val="000000"/>
          <w:lang w:eastAsia="es-MX"/>
        </w:rPr>
        <w:t>a una concesión única para uso comercial</w:t>
      </w:r>
      <w:r w:rsidR="00D21F19" w:rsidRPr="00AD5E0B">
        <w:rPr>
          <w:rFonts w:ascii="ITC Avant Garde" w:hAnsi="ITC Avant Garde"/>
          <w:bCs/>
          <w:color w:val="000000"/>
          <w:lang w:eastAsia="es-MX"/>
        </w:rPr>
        <w:t>.</w:t>
      </w:r>
    </w:p>
    <w:p w14:paraId="6CAEA29B" w14:textId="77777777" w:rsidR="00523FCB" w:rsidRDefault="00220C1C" w:rsidP="00523FCB">
      <w:pPr>
        <w:autoSpaceDE w:val="0"/>
        <w:autoSpaceDN w:val="0"/>
        <w:adjustRightInd w:val="0"/>
        <w:spacing w:afterLines="120" w:after="288" w:line="240" w:lineRule="auto"/>
        <w:jc w:val="both"/>
        <w:rPr>
          <w:rFonts w:ascii="ITC Avant Garde" w:hAnsi="ITC Avant Garde"/>
          <w:bCs/>
        </w:rPr>
      </w:pPr>
      <w:r w:rsidRPr="00873BCE">
        <w:rPr>
          <w:rFonts w:ascii="ITC Avant Garde" w:hAnsi="ITC Avant Garde"/>
          <w:bCs/>
        </w:rPr>
        <w:t>Finalmente, por lo que se refiere al título de concesión única que otorgue e</w:t>
      </w:r>
      <w:r>
        <w:rPr>
          <w:rFonts w:ascii="ITC Avant Garde" w:hAnsi="ITC Avant Garde"/>
          <w:bCs/>
        </w:rPr>
        <w:t>ste Instituto con motivo de la Solicitud de Transición, éste</w:t>
      </w:r>
      <w:r w:rsidRPr="00873BCE">
        <w:rPr>
          <w:rFonts w:ascii="ITC Avant Garde" w:hAnsi="ITC Avant Garde"/>
          <w:bCs/>
        </w:rPr>
        <w:t xml:space="preserve"> tendrá una vigencia igual a la prevista en </w:t>
      </w:r>
      <w:r>
        <w:rPr>
          <w:rFonts w:ascii="ITC Avant Garde" w:hAnsi="ITC Avant Garde"/>
          <w:bCs/>
        </w:rPr>
        <w:t xml:space="preserve">la Concesión de Red indicada </w:t>
      </w:r>
      <w:r>
        <w:rPr>
          <w:rFonts w:ascii="ITC Avant Garde" w:hAnsi="ITC Avant Garde"/>
          <w:bCs/>
          <w:color w:val="000000"/>
          <w:lang w:eastAsia="es-MX"/>
        </w:rPr>
        <w:t>en el Antecedente II de la presente Resolución</w:t>
      </w:r>
      <w:r w:rsidRPr="00873BCE">
        <w:rPr>
          <w:rFonts w:ascii="ITC Avant Garde" w:hAnsi="ITC Avant Garde"/>
          <w:bCs/>
        </w:rPr>
        <w:t xml:space="preserve">, </w:t>
      </w:r>
      <w:r w:rsidRPr="0003301B">
        <w:rPr>
          <w:rFonts w:ascii="ITC Avant Garde" w:hAnsi="ITC Avant Garde"/>
          <w:bCs/>
          <w:color w:val="000000"/>
          <w:lang w:eastAsia="es-MX"/>
        </w:rPr>
        <w:t>de acuerdo a lo establecido en los Lineamientos</w:t>
      </w:r>
      <w:r>
        <w:rPr>
          <w:rFonts w:ascii="ITC Avant Garde" w:hAnsi="ITC Avant Garde"/>
          <w:bCs/>
          <w:color w:val="000000"/>
          <w:lang w:eastAsia="es-MX"/>
        </w:rPr>
        <w:t>. Asimismo</w:t>
      </w:r>
      <w:r w:rsidRPr="0003301B">
        <w:rPr>
          <w:rFonts w:ascii="ITC Avant Garde" w:hAnsi="ITC Avant Garde"/>
          <w:bCs/>
          <w:color w:val="000000"/>
          <w:lang w:eastAsia="es-MX"/>
        </w:rPr>
        <w:t>, como compromisos de cobertura mínima</w:t>
      </w:r>
      <w:r>
        <w:rPr>
          <w:rFonts w:ascii="ITC Avant Garde" w:hAnsi="ITC Avant Garde"/>
          <w:bCs/>
          <w:color w:val="000000"/>
          <w:lang w:eastAsia="es-MX"/>
        </w:rPr>
        <w:t>, éste</w:t>
      </w:r>
      <w:r w:rsidRPr="0003301B">
        <w:rPr>
          <w:rFonts w:ascii="ITC Avant Garde" w:hAnsi="ITC Avant Garde"/>
          <w:bCs/>
          <w:color w:val="000000"/>
          <w:lang w:eastAsia="es-MX"/>
        </w:rPr>
        <w:t xml:space="preserve"> contendrá la autorizada en </w:t>
      </w:r>
      <w:r>
        <w:rPr>
          <w:rFonts w:ascii="ITC Avant Garde" w:hAnsi="ITC Avant Garde"/>
          <w:bCs/>
          <w:color w:val="000000"/>
          <w:lang w:eastAsia="es-MX"/>
        </w:rPr>
        <w:t>la mencionada concesión</w:t>
      </w:r>
      <w:r w:rsidR="00D21F19">
        <w:rPr>
          <w:rFonts w:ascii="ITC Avant Garde" w:hAnsi="ITC Avant Garde"/>
          <w:bCs/>
          <w:color w:val="000000"/>
          <w:lang w:eastAsia="es-MX"/>
        </w:rPr>
        <w:t xml:space="preserve">. </w:t>
      </w:r>
    </w:p>
    <w:p w14:paraId="7494C5B0" w14:textId="77777777" w:rsidR="00523FCB" w:rsidRDefault="00EC74AA" w:rsidP="00523FC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Por lo anteriormente señalado, y con fundamento en los artículos 28 párrafos décimo quinto, décimo sexto y décimo séptimo de la Constitución Política de los Estados Unidos </w:t>
      </w:r>
      <w:r>
        <w:rPr>
          <w:rFonts w:ascii="ITC Avant Garde" w:hAnsi="ITC Avant Garde"/>
          <w:bCs/>
        </w:rPr>
        <w:lastRenderedPageBreak/>
        <w:t>Mexica</w:t>
      </w:r>
      <w:r w:rsidR="00F233BC">
        <w:rPr>
          <w:rFonts w:ascii="ITC Avant Garde" w:hAnsi="ITC Avant Garde"/>
          <w:bCs/>
        </w:rPr>
        <w:t>nos; 6 fracción IV, 15 fracción</w:t>
      </w:r>
      <w:r>
        <w:rPr>
          <w:rFonts w:ascii="ITC Avant Garde" w:hAnsi="ITC Avant Garde"/>
          <w:bCs/>
        </w:rPr>
        <w:t xml:space="preserve"> IV, 16 y 17 fracción I de la Ley Federal de Telecomunicaciones y Radiodifusión; Cuarto Transitorio del “</w:t>
      </w:r>
      <w:r>
        <w:rPr>
          <w:rFonts w:ascii="ITC Avant Garde" w:hAnsi="ITC Avant Garde"/>
          <w:i/>
          <w:lang w:eastAsia="es-MX"/>
        </w:rPr>
        <w:t>Decreto por el que se reforman y adicionan diversas disposiciones de los artículos 6o., 7o., 27, 28, 73, 78, 94 y 105 de la Constitución Política de los Estados Unidos</w:t>
      </w:r>
      <w:bookmarkStart w:id="0" w:name="_GoBack"/>
      <w:bookmarkEnd w:id="0"/>
      <w:r>
        <w:rPr>
          <w:rFonts w:ascii="ITC Avant Garde" w:hAnsi="ITC Avant Garde"/>
          <w:i/>
          <w:lang w:eastAsia="es-MX"/>
        </w:rPr>
        <w:t xml:space="preserve"> Mexicanos, en materia de telecomunicaciones” </w:t>
      </w:r>
      <w:r>
        <w:rPr>
          <w:rFonts w:ascii="ITC Avant Garde" w:hAnsi="ITC Avant Garde"/>
          <w:lang w:eastAsia="es-MX"/>
        </w:rPr>
        <w:t>publicado en el Diario Oficial de la Federación el 11 de junio de 2013;</w:t>
      </w:r>
      <w:r>
        <w:rPr>
          <w:rFonts w:ascii="ITC Avant Garde" w:hAnsi="ITC Avant Garde"/>
          <w:i/>
          <w:lang w:eastAsia="es-MX"/>
        </w:rPr>
        <w:t xml:space="preserve"> </w:t>
      </w:r>
      <w:r w:rsidR="00F233BC">
        <w:rPr>
          <w:rFonts w:ascii="ITC Avant Garde" w:hAnsi="ITC Avant Garde"/>
          <w:lang w:eastAsia="es-MX"/>
        </w:rPr>
        <w:t xml:space="preserve">Séptimo y </w:t>
      </w:r>
      <w:r>
        <w:rPr>
          <w:rFonts w:ascii="ITC Avant Garde" w:hAnsi="ITC Avant Garde"/>
          <w:bCs/>
        </w:rPr>
        <w:t>Octavo Transitorio</w:t>
      </w:r>
      <w:r w:rsidR="00F233BC">
        <w:rPr>
          <w:rFonts w:ascii="ITC Avant Garde" w:hAnsi="ITC Avant Garde"/>
          <w:bCs/>
        </w:rPr>
        <w:t>s</w:t>
      </w:r>
      <w:r>
        <w:rPr>
          <w:rFonts w:ascii="ITC Avant Garde" w:hAnsi="ITC Avant Garde"/>
          <w:bCs/>
        </w:rPr>
        <w:t xml:space="preserve"> de</w:t>
      </w:r>
      <w:r w:rsidR="00F233BC">
        <w:rPr>
          <w:rFonts w:ascii="ITC Avant Garde" w:hAnsi="ITC Avant Garde"/>
          <w:bCs/>
        </w:rPr>
        <w:t>l</w:t>
      </w:r>
      <w:r>
        <w:rPr>
          <w:rFonts w:ascii="ITC Avant Garde" w:hAnsi="ITC Avant Garde"/>
          <w:bCs/>
        </w:rPr>
        <w:t xml:space="preserve"> “</w:t>
      </w:r>
      <w:r>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w:hAnsi="ITC Avant Garde"/>
          <w:bCs/>
        </w:rPr>
        <w:t>”, publicado en el Diario Oficial de la Federación el 14 de julio de 2014; 35 fracción I, 36, 38, 39 y 57 fracción I de la Ley Federal de Procedimiento Administrativo; 174-C fracción XII de la Ley Federal de Derechos; 1, 6 fracciones I y XXXVIII, 32, 33 fracción VI, 41 y 42 f</w:t>
      </w:r>
      <w:r w:rsidR="00F32231">
        <w:rPr>
          <w:rFonts w:ascii="ITC Avant Garde" w:hAnsi="ITC Avant Garde"/>
          <w:bCs/>
        </w:rPr>
        <w:t xml:space="preserve">racciones I </w:t>
      </w:r>
      <w:r>
        <w:rPr>
          <w:rFonts w:ascii="ITC Avant Garde" w:hAnsi="ITC Avant Garde"/>
          <w:bCs/>
        </w:rPr>
        <w:t>y XV del Estatuto Orgánico del Instituto Federal de Telecomunicaciones</w:t>
      </w:r>
      <w:r w:rsidR="002B67B4">
        <w:rPr>
          <w:rFonts w:ascii="ITC Avant Garde" w:hAnsi="ITC Avant Garde"/>
          <w:bCs/>
        </w:rPr>
        <w:t xml:space="preserve">, </w:t>
      </w:r>
      <w:r w:rsidR="002B67B4" w:rsidRPr="002A3671">
        <w:rPr>
          <w:rFonts w:ascii="ITC Avant Garde" w:hAnsi="ITC Avant Garde"/>
          <w:color w:val="000000"/>
          <w:shd w:val="clear" w:color="auto" w:fill="FFFFFF"/>
        </w:rPr>
        <w:t>public</w:t>
      </w:r>
      <w:r w:rsidR="002B67B4">
        <w:rPr>
          <w:rFonts w:ascii="ITC Avant Garde" w:hAnsi="ITC Avant Garde"/>
          <w:color w:val="000000"/>
          <w:shd w:val="clear" w:color="auto" w:fill="FFFFFF"/>
        </w:rPr>
        <w:t>ado</w:t>
      </w:r>
      <w:r w:rsidR="002B67B4" w:rsidRPr="002A3671">
        <w:rPr>
          <w:rFonts w:ascii="ITC Avant Garde" w:hAnsi="ITC Avant Garde"/>
          <w:color w:val="000000"/>
          <w:shd w:val="clear" w:color="auto" w:fill="FFFFFF"/>
        </w:rPr>
        <w:t xml:space="preserve"> en el Diario Oficial de la Federación el 26 de septiembre de 2014, y modificado </w:t>
      </w:r>
      <w:r w:rsidR="002B67B4" w:rsidRPr="002A3671">
        <w:rPr>
          <w:rFonts w:ascii="ITC Avant Garde" w:hAnsi="ITC Avant Garde"/>
          <w:bCs/>
          <w:color w:val="000000"/>
          <w:lang w:eastAsia="es-MX"/>
        </w:rPr>
        <w:t xml:space="preserve">por última vez </w:t>
      </w:r>
      <w:r w:rsidR="002B67B4" w:rsidRPr="002A3671">
        <w:rPr>
          <w:rFonts w:ascii="ITC Avant Garde" w:hAnsi="ITC Avant Garde"/>
          <w:color w:val="000000"/>
          <w:shd w:val="clear" w:color="auto" w:fill="FFFFFF"/>
        </w:rPr>
        <w:t xml:space="preserve">el </w:t>
      </w:r>
      <w:r w:rsidR="002B67B4">
        <w:rPr>
          <w:rFonts w:ascii="ITC Avant Garde" w:hAnsi="ITC Avant Garde"/>
          <w:color w:val="000000"/>
          <w:shd w:val="clear" w:color="auto" w:fill="FFFFFF"/>
        </w:rPr>
        <w:t>20 de julio de 2017</w:t>
      </w:r>
      <w:r>
        <w:rPr>
          <w:rFonts w:ascii="ITC Avant Garde" w:hAnsi="ITC Avant Garde"/>
          <w:bCs/>
        </w:rPr>
        <w:t>; 24, 25 y 27 de los “</w:t>
      </w:r>
      <w:r>
        <w:rPr>
          <w:rFonts w:ascii="ITC Avant Garde" w:hAnsi="ITC Avant Garde"/>
          <w:bCs/>
          <w:i/>
        </w:rPr>
        <w:t xml:space="preserve">Lineamientos generales para el otorgamiento de concesiones a que se refiere el título cuarto de la Ley Federal de Telecomunicaciones y Radiodifusión” </w:t>
      </w:r>
      <w:r>
        <w:rPr>
          <w:rFonts w:ascii="ITC Avant Garde" w:hAnsi="ITC Avant Garde"/>
          <w:bCs/>
        </w:rPr>
        <w:t>publicados en el Diario Oficial de la Federación el 24 de julio de 2015</w:t>
      </w:r>
      <w:r w:rsidR="00B82263">
        <w:rPr>
          <w:rFonts w:ascii="ITC Avant Garde" w:hAnsi="ITC Avant Garde"/>
          <w:bCs/>
        </w:rPr>
        <w:t>,</w:t>
      </w:r>
      <w:r w:rsidR="009B27CA">
        <w:rPr>
          <w:rFonts w:ascii="ITC Avant Garde" w:hAnsi="ITC Avant Garde"/>
          <w:bCs/>
        </w:rPr>
        <w:t xml:space="preserve"> y </w:t>
      </w:r>
      <w:r w:rsidR="009B27CA" w:rsidRPr="0029355E">
        <w:rPr>
          <w:rFonts w:ascii="ITC Avant Garde" w:hAnsi="ITC Avant Garde"/>
          <w:bCs/>
          <w:color w:val="000000"/>
          <w:lang w:eastAsia="es-MX"/>
        </w:rPr>
        <w:t>modificados el 26 de mayo de 2017</w:t>
      </w:r>
      <w:r w:rsidR="002606DA">
        <w:rPr>
          <w:rFonts w:ascii="ITC Avant Garde" w:hAnsi="ITC Avant Garde"/>
          <w:bCs/>
          <w:color w:val="000000"/>
          <w:lang w:eastAsia="es-MX"/>
        </w:rPr>
        <w:t xml:space="preserve">, </w:t>
      </w:r>
      <w:r w:rsidR="00A96BB6">
        <w:rPr>
          <w:rFonts w:ascii="ITC Avant Garde" w:hAnsi="ITC Avant Garde"/>
          <w:bCs/>
        </w:rPr>
        <w:t>así como lo</w:t>
      </w:r>
      <w:r w:rsidR="002606DA">
        <w:rPr>
          <w:rFonts w:ascii="ITC Avant Garde" w:hAnsi="ITC Avant Garde"/>
          <w:bCs/>
        </w:rPr>
        <w:t xml:space="preserve"> establecido en la condición 1.3 “</w:t>
      </w:r>
      <w:r w:rsidR="002606DA" w:rsidRPr="000F49B7">
        <w:rPr>
          <w:rFonts w:ascii="ITC Avant Garde" w:hAnsi="ITC Avant Garde"/>
          <w:bCs/>
          <w:i/>
        </w:rPr>
        <w:t>Servicios Adicionales</w:t>
      </w:r>
      <w:r w:rsidR="002606DA">
        <w:rPr>
          <w:rFonts w:ascii="ITC Avant Garde" w:hAnsi="ITC Avant Garde"/>
          <w:bCs/>
        </w:rPr>
        <w:t xml:space="preserve">” de </w:t>
      </w:r>
      <w:r w:rsidR="00964ABB">
        <w:rPr>
          <w:rFonts w:ascii="ITC Avant Garde" w:hAnsi="ITC Avant Garde"/>
          <w:bCs/>
          <w:color w:val="000000"/>
          <w:lang w:eastAsia="es-MX"/>
        </w:rPr>
        <w:t>la</w:t>
      </w:r>
      <w:r w:rsidR="002606DA">
        <w:rPr>
          <w:rFonts w:ascii="ITC Avant Garde" w:hAnsi="ITC Avant Garde"/>
          <w:bCs/>
          <w:color w:val="000000"/>
          <w:lang w:eastAsia="es-MX"/>
        </w:rPr>
        <w:t xml:space="preserve"> </w:t>
      </w:r>
      <w:r w:rsidR="00964ABB">
        <w:rPr>
          <w:rFonts w:ascii="ITC Avant Garde" w:hAnsi="ITC Avant Garde"/>
          <w:bCs/>
          <w:color w:val="000000"/>
          <w:lang w:eastAsia="es-MX"/>
        </w:rPr>
        <w:t>Modificación y Prórroga de la Concesión</w:t>
      </w:r>
      <w:r w:rsidR="002606DA" w:rsidRPr="005B771E">
        <w:rPr>
          <w:rFonts w:ascii="ITC Avant Garde" w:hAnsi="ITC Avant Garde"/>
          <w:bCs/>
          <w:color w:val="000000"/>
          <w:lang w:eastAsia="es-MX"/>
        </w:rPr>
        <w:t xml:space="preserve"> para instalar, operar y explotar una red pública de telecomunicaciones</w:t>
      </w:r>
      <w:r w:rsidR="00964ABB">
        <w:rPr>
          <w:rFonts w:ascii="ITC Avant Garde" w:hAnsi="ITC Avant Garde"/>
          <w:bCs/>
          <w:color w:val="000000"/>
          <w:lang w:eastAsia="es-MX"/>
        </w:rPr>
        <w:t xml:space="preserve"> otorgada</w:t>
      </w:r>
      <w:r w:rsidR="002606DA">
        <w:rPr>
          <w:rFonts w:ascii="ITC Avant Garde" w:hAnsi="ITC Avant Garde"/>
          <w:bCs/>
          <w:color w:val="000000"/>
          <w:lang w:eastAsia="es-MX"/>
        </w:rPr>
        <w:t xml:space="preserve"> el 6 de septiembre de 2013,</w:t>
      </w:r>
      <w:r>
        <w:rPr>
          <w:rFonts w:ascii="ITC Avant Garde" w:hAnsi="ITC Avant Garde"/>
          <w:bCs/>
        </w:rPr>
        <w:t xml:space="preserve"> este órgano autónomo constitucional emite los siguientes:</w:t>
      </w:r>
    </w:p>
    <w:p w14:paraId="76C73363" w14:textId="409D0F10" w:rsidR="00EC74AA" w:rsidRPr="00523FCB" w:rsidRDefault="00EC74AA" w:rsidP="00523FCB">
      <w:pPr>
        <w:pStyle w:val="Ttulo2"/>
        <w:spacing w:afterLines="120" w:after="288" w:line="276" w:lineRule="auto"/>
        <w:ind w:firstLine="0"/>
        <w:jc w:val="center"/>
        <w:rPr>
          <w:rFonts w:ascii="ITC Avant Garde" w:hAnsi="ITC Avant Garde" w:cs="Arial"/>
          <w:bCs/>
          <w:sz w:val="22"/>
          <w:szCs w:val="22"/>
          <w:lang w:eastAsia="en-US"/>
        </w:rPr>
      </w:pPr>
      <w:r w:rsidRPr="00523FCB">
        <w:rPr>
          <w:rFonts w:ascii="ITC Avant Garde" w:hAnsi="ITC Avant Garde" w:cs="Arial"/>
          <w:bCs/>
          <w:sz w:val="22"/>
          <w:szCs w:val="22"/>
          <w:lang w:eastAsia="en-US"/>
        </w:rPr>
        <w:t>RESOLUTIVOS</w:t>
      </w:r>
    </w:p>
    <w:p w14:paraId="70E5B931" w14:textId="77777777" w:rsidR="00523FCB" w:rsidRDefault="00EC74AA" w:rsidP="00523FCB">
      <w:pPr>
        <w:autoSpaceDE w:val="0"/>
        <w:autoSpaceDN w:val="0"/>
        <w:adjustRightInd w:val="0"/>
        <w:spacing w:afterLines="120" w:after="288" w:line="240" w:lineRule="auto"/>
        <w:jc w:val="both"/>
        <w:rPr>
          <w:rFonts w:ascii="ITC Avant Garde" w:hAnsi="ITC Avant Garde"/>
          <w:bCs/>
          <w:color w:val="000000"/>
          <w:lang w:eastAsia="es-MX"/>
        </w:rPr>
      </w:pPr>
      <w:proofErr w:type="gramStart"/>
      <w:r w:rsidRPr="00E57237">
        <w:rPr>
          <w:rFonts w:ascii="ITC Avant Garde" w:hAnsi="ITC Avant Garde"/>
          <w:b/>
          <w:bCs/>
        </w:rPr>
        <w:t>PRIMERO.-</w:t>
      </w:r>
      <w:proofErr w:type="gramEnd"/>
      <w:r w:rsidRPr="00E57237">
        <w:rPr>
          <w:rFonts w:ascii="ITC Avant Garde" w:hAnsi="ITC Avant Garde"/>
          <w:bCs/>
        </w:rPr>
        <w:t xml:space="preserve"> </w:t>
      </w:r>
      <w:r>
        <w:rPr>
          <w:rFonts w:ascii="ITC Avant Garde" w:hAnsi="ITC Avant Garde"/>
          <w:bCs/>
          <w:lang w:val="es-ES_tradnl"/>
        </w:rPr>
        <w:t xml:space="preserve"> S</w:t>
      </w:r>
      <w:r w:rsidRPr="00E57237">
        <w:rPr>
          <w:rFonts w:ascii="ITC Avant Garde" w:hAnsi="ITC Avant Garde"/>
          <w:bCs/>
          <w:lang w:val="es-ES_tradnl"/>
        </w:rPr>
        <w:t xml:space="preserve">e </w:t>
      </w:r>
      <w:r>
        <w:rPr>
          <w:rFonts w:ascii="ITC Avant Garde" w:hAnsi="ITC Avant Garde"/>
          <w:bCs/>
          <w:lang w:val="es-ES_tradnl"/>
        </w:rPr>
        <w:t>autoriza</w:t>
      </w:r>
      <w:r w:rsidRPr="00E57237">
        <w:rPr>
          <w:rFonts w:ascii="ITC Avant Garde" w:hAnsi="ITC Avant Garde"/>
          <w:bCs/>
          <w:lang w:val="es-ES_tradnl"/>
        </w:rPr>
        <w:t xml:space="preserve"> </w:t>
      </w:r>
      <w:r w:rsidR="004370B3">
        <w:rPr>
          <w:rFonts w:ascii="ITC Avant Garde" w:hAnsi="ITC Avant Garde"/>
          <w:bCs/>
          <w:lang w:val="es-ES_tradnl"/>
        </w:rPr>
        <w:t xml:space="preserve">a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Pr>
          <w:rFonts w:ascii="ITC Avant Garde" w:hAnsi="ITC Avant Garde"/>
          <w:bCs/>
        </w:rPr>
        <w:t>, S.A. de C.V.</w:t>
      </w:r>
      <w:r>
        <w:rPr>
          <w:rFonts w:ascii="ITC Avant Garde" w:hAnsi="ITC Avant Garde"/>
          <w:bCs/>
          <w:lang w:val="es-ES_tradnl"/>
        </w:rPr>
        <w:t xml:space="preserve">, transitar </w:t>
      </w:r>
      <w:r w:rsidR="00FA71C6">
        <w:rPr>
          <w:rFonts w:ascii="ITC Avant Garde" w:hAnsi="ITC Avant Garde"/>
          <w:bCs/>
          <w:lang w:val="es-ES_tradnl"/>
        </w:rPr>
        <w:t xml:space="preserve">la concesión </w:t>
      </w:r>
      <w:r w:rsidR="00FA71C6" w:rsidRPr="00873BCE">
        <w:rPr>
          <w:rFonts w:ascii="ITC Avant Garde" w:hAnsi="ITC Avant Garde"/>
          <w:bCs/>
          <w:color w:val="000000"/>
          <w:lang w:eastAsia="es-MX"/>
        </w:rPr>
        <w:t xml:space="preserve">para instalar, operar y explotar una red pública de telecomunicaciones </w:t>
      </w:r>
      <w:r w:rsidR="00220C1C">
        <w:rPr>
          <w:rFonts w:ascii="ITC Avant Garde" w:hAnsi="ITC Avant Garde"/>
          <w:bCs/>
          <w:lang w:val="es-ES_tradnl"/>
        </w:rPr>
        <w:t xml:space="preserve">referida en el Antecedente II de la presente Resolución, a la concesión única para uso comercial </w:t>
      </w:r>
      <w:r w:rsidR="00220C1C">
        <w:rPr>
          <w:rFonts w:ascii="ITC Avant Garde" w:hAnsi="ITC Avant Garde"/>
          <w:bCs/>
        </w:rPr>
        <w:t>establecida en la Constitución Política de los Estados Unidos Mexicanos y en la Ley Federal de Telecomunicaciones y Radiodifusión</w:t>
      </w:r>
      <w:r w:rsidR="008C457A">
        <w:rPr>
          <w:rFonts w:ascii="ITC Avant Garde" w:hAnsi="ITC Avant Garde"/>
          <w:bCs/>
          <w:color w:val="000000"/>
          <w:lang w:eastAsia="es-MX"/>
        </w:rPr>
        <w:t>.</w:t>
      </w:r>
    </w:p>
    <w:p w14:paraId="158DF5C1" w14:textId="66DE1558" w:rsidR="00523FCB" w:rsidRDefault="00EC74AA" w:rsidP="00523FCB">
      <w:pPr>
        <w:autoSpaceDE w:val="0"/>
        <w:autoSpaceDN w:val="0"/>
        <w:adjustRightInd w:val="0"/>
        <w:spacing w:afterLines="120" w:after="288" w:line="240" w:lineRule="auto"/>
        <w:jc w:val="both"/>
        <w:rPr>
          <w:rFonts w:ascii="ITC Avant Garde" w:hAnsi="ITC Avant Garde"/>
          <w:bCs/>
          <w:color w:val="000000"/>
          <w:lang w:eastAsia="es-MX"/>
        </w:rPr>
      </w:pPr>
      <w:proofErr w:type="gramStart"/>
      <w:r>
        <w:rPr>
          <w:rFonts w:ascii="ITC Avant Garde" w:hAnsi="ITC Avant Garde"/>
          <w:b/>
          <w:bCs/>
          <w:color w:val="000000"/>
          <w:lang w:eastAsia="es-MX"/>
        </w:rPr>
        <w:t>SEGUNDO.-</w:t>
      </w:r>
      <w:proofErr w:type="gramEnd"/>
      <w:r>
        <w:rPr>
          <w:rFonts w:ascii="ITC Avant Garde" w:hAnsi="ITC Avant Garde"/>
          <w:b/>
          <w:bCs/>
          <w:color w:val="000000"/>
          <w:lang w:eastAsia="es-MX"/>
        </w:rPr>
        <w:t xml:space="preserve"> </w:t>
      </w:r>
      <w:r>
        <w:rPr>
          <w:rFonts w:ascii="ITC Avant Garde" w:hAnsi="ITC Avant Garde"/>
          <w:bCs/>
          <w:color w:val="000000"/>
          <w:lang w:eastAsia="es-MX"/>
        </w:rPr>
        <w:t xml:space="preserve">Para efectos de lo dispuesto en el Resolutivo Primero, el Instituto Federal de Telecomunicaciones </w:t>
      </w:r>
      <w:r>
        <w:rPr>
          <w:rFonts w:ascii="ITC Avant Garde" w:hAnsi="ITC Avant Garde"/>
          <w:bCs/>
        </w:rPr>
        <w:t xml:space="preserve">otorgará un título de concesión </w:t>
      </w:r>
      <w:r>
        <w:rPr>
          <w:rFonts w:ascii="ITC Avant Garde" w:hAnsi="ITC Avant Garde"/>
          <w:bCs/>
          <w:lang w:val="es-ES_tradnl"/>
        </w:rPr>
        <w:t xml:space="preserve">única para uso comercial, en favor de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Pr>
          <w:rFonts w:ascii="ITC Avant Garde" w:hAnsi="ITC Avant Garde"/>
          <w:bCs/>
        </w:rPr>
        <w:t>, S.A. de C.V</w:t>
      </w:r>
      <w:r w:rsidRPr="00C2697D">
        <w:rPr>
          <w:rFonts w:ascii="ITC Avant Garde" w:hAnsi="ITC Avant Garde"/>
          <w:bCs/>
          <w:color w:val="000000"/>
          <w:lang w:eastAsia="es-MX"/>
        </w:rPr>
        <w:t>.,</w:t>
      </w:r>
      <w:r w:rsidR="00646C7B">
        <w:rPr>
          <w:rFonts w:ascii="ITC Avant Garde" w:hAnsi="ITC Avant Garde"/>
          <w:bCs/>
          <w:color w:val="000000"/>
          <w:lang w:eastAsia="es-MX"/>
        </w:rPr>
        <w:t xml:space="preserve"> </w:t>
      </w:r>
      <w:r w:rsidR="00646C7B" w:rsidRPr="000C5FA6">
        <w:rPr>
          <w:rFonts w:ascii="ITC Avant Garde" w:hAnsi="ITC Avant Garde"/>
          <w:bCs/>
          <w:lang w:val="es-ES_tradnl"/>
        </w:rPr>
        <w:t xml:space="preserve">con cobertura nacional y con el que podrá prestar </w:t>
      </w:r>
      <w:r w:rsidR="00646C7B" w:rsidRPr="000C5FA6">
        <w:rPr>
          <w:rFonts w:ascii="ITC Avant Garde" w:hAnsi="ITC Avant Garde"/>
          <w:bCs/>
          <w:color w:val="000000"/>
          <w:lang w:eastAsia="es-MX"/>
        </w:rPr>
        <w:t xml:space="preserve">cualquier servicio de telecomunicaciones y de radiodifusión que sea técnicamente factible, el cual tendrá una vigencia de 20 (veinte) años contados a partir del </w:t>
      </w:r>
      <w:r w:rsidR="00646C7B">
        <w:rPr>
          <w:rFonts w:ascii="ITC Avant Garde" w:hAnsi="ITC Avant Garde"/>
          <w:bCs/>
          <w:color w:val="000000"/>
          <w:lang w:eastAsia="es-MX"/>
        </w:rPr>
        <w:t>6 de octubre de 2000</w:t>
      </w:r>
      <w:r w:rsidR="00646C7B" w:rsidRPr="000C5FA6">
        <w:rPr>
          <w:rFonts w:ascii="ITC Avant Garde" w:hAnsi="ITC Avant Garde"/>
          <w:bCs/>
          <w:color w:val="000000"/>
          <w:lang w:eastAsia="es-MX"/>
        </w:rPr>
        <w:t xml:space="preserve"> y hasta el </w:t>
      </w:r>
      <w:r w:rsidR="00646C7B">
        <w:rPr>
          <w:rFonts w:ascii="ITC Avant Garde" w:hAnsi="ITC Avant Garde"/>
          <w:bCs/>
          <w:color w:val="000000"/>
          <w:lang w:eastAsia="es-MX"/>
        </w:rPr>
        <w:t>6 de octubre de 2020</w:t>
      </w:r>
      <w:r w:rsidR="00646C7B" w:rsidRPr="000C5FA6">
        <w:rPr>
          <w:rFonts w:ascii="ITC Avant Garde" w:hAnsi="ITC Avant Garde"/>
          <w:bCs/>
          <w:color w:val="000000"/>
          <w:lang w:eastAsia="es-MX"/>
        </w:rPr>
        <w:t>.</w:t>
      </w:r>
      <w:r w:rsidR="00646C7B">
        <w:rPr>
          <w:rFonts w:ascii="ITC Avant Garde" w:hAnsi="ITC Avant Garde"/>
          <w:bCs/>
          <w:color w:val="000000"/>
          <w:lang w:eastAsia="es-MX"/>
        </w:rPr>
        <w:t xml:space="preserve"> </w:t>
      </w:r>
    </w:p>
    <w:p w14:paraId="3065A229" w14:textId="77777777" w:rsidR="00523FCB" w:rsidRDefault="00646C7B" w:rsidP="00523FCB">
      <w:pPr>
        <w:autoSpaceDE w:val="0"/>
        <w:autoSpaceDN w:val="0"/>
        <w:adjustRightInd w:val="0"/>
        <w:spacing w:afterLines="120" w:after="288" w:line="240" w:lineRule="auto"/>
        <w:jc w:val="both"/>
        <w:rPr>
          <w:rFonts w:ascii="ITC Avant Garde" w:hAnsi="ITC Avant Garde"/>
          <w:bCs/>
          <w:color w:val="000000"/>
          <w:lang w:eastAsia="es-MX"/>
        </w:rPr>
      </w:pPr>
      <w:r w:rsidRPr="000C5FA6">
        <w:rPr>
          <w:rFonts w:ascii="ITC Avant Garde" w:hAnsi="ITC Avant Garde"/>
          <w:bCs/>
          <w:color w:val="000000"/>
          <w:lang w:eastAsia="es-MX"/>
        </w:rPr>
        <w:t>Adicionalmente, considerando que la</w:t>
      </w:r>
      <w:r>
        <w:rPr>
          <w:rFonts w:ascii="ITC Avant Garde" w:hAnsi="ITC Avant Garde"/>
          <w:bCs/>
          <w:color w:val="000000"/>
          <w:lang w:eastAsia="es-MX"/>
        </w:rPr>
        <w:t xml:space="preserve"> Concesión</w:t>
      </w:r>
      <w:r w:rsidRPr="000C5FA6">
        <w:rPr>
          <w:rFonts w:ascii="ITC Avant Garde" w:hAnsi="ITC Avant Garde"/>
          <w:bCs/>
          <w:color w:val="000000"/>
          <w:lang w:eastAsia="es-MX"/>
        </w:rPr>
        <w:t xml:space="preserve"> de Red señalada en</w:t>
      </w:r>
      <w:r>
        <w:rPr>
          <w:rFonts w:ascii="ITC Avant Garde" w:hAnsi="ITC Avant Garde"/>
          <w:bCs/>
          <w:color w:val="000000"/>
          <w:lang w:eastAsia="es-MX"/>
        </w:rPr>
        <w:t xml:space="preserve"> el</w:t>
      </w:r>
      <w:r w:rsidRPr="000C5FA6">
        <w:rPr>
          <w:rFonts w:ascii="ITC Avant Garde" w:hAnsi="ITC Avant Garde"/>
          <w:bCs/>
          <w:color w:val="000000"/>
          <w:lang w:eastAsia="es-MX"/>
        </w:rPr>
        <w:t xml:space="preserve"> Antecedente II </w:t>
      </w:r>
      <w:r>
        <w:rPr>
          <w:rFonts w:ascii="ITC Avant Garde" w:hAnsi="ITC Avant Garde"/>
          <w:bCs/>
          <w:color w:val="000000"/>
          <w:lang w:eastAsia="es-MX"/>
        </w:rPr>
        <w:t>de la presente Resolución fue prorrogada</w:t>
      </w:r>
      <w:r w:rsidRPr="000C5FA6">
        <w:rPr>
          <w:rFonts w:ascii="ITC Avant Garde" w:hAnsi="ITC Avant Garde"/>
          <w:bCs/>
          <w:color w:val="000000"/>
          <w:lang w:eastAsia="es-MX"/>
        </w:rPr>
        <w:t xml:space="preserve"> por la Secretaría de Comunicaciones y Transportes al momento de su modificación, una vez culminada la vigencia señalada en el primer párrafo del presente Resolutivo, la concesión única para uso comercial te</w:t>
      </w:r>
      <w:r>
        <w:rPr>
          <w:rFonts w:ascii="ITC Avant Garde" w:hAnsi="ITC Avant Garde"/>
          <w:bCs/>
          <w:color w:val="000000"/>
          <w:lang w:eastAsia="es-MX"/>
        </w:rPr>
        <w:t>ndrá una vigencia adicional de 8</w:t>
      </w:r>
      <w:r w:rsidRPr="000C5FA6">
        <w:rPr>
          <w:rFonts w:ascii="ITC Avant Garde" w:hAnsi="ITC Avant Garde"/>
          <w:bCs/>
          <w:color w:val="000000"/>
          <w:lang w:eastAsia="es-MX"/>
        </w:rPr>
        <w:t xml:space="preserve"> (</w:t>
      </w:r>
      <w:r>
        <w:rPr>
          <w:rFonts w:ascii="ITC Avant Garde" w:hAnsi="ITC Avant Garde"/>
          <w:bCs/>
          <w:color w:val="000000"/>
          <w:lang w:eastAsia="es-MX"/>
        </w:rPr>
        <w:t>ocho</w:t>
      </w:r>
      <w:r w:rsidRPr="000C5FA6">
        <w:rPr>
          <w:rFonts w:ascii="ITC Avant Garde" w:hAnsi="ITC Avant Garde"/>
          <w:bCs/>
          <w:color w:val="000000"/>
          <w:lang w:eastAsia="es-MX"/>
        </w:rPr>
        <w:t xml:space="preserve">) años, contados a partir del </w:t>
      </w:r>
      <w:r>
        <w:rPr>
          <w:rFonts w:ascii="ITC Avant Garde" w:hAnsi="ITC Avant Garde"/>
          <w:bCs/>
          <w:color w:val="000000"/>
          <w:lang w:eastAsia="es-MX"/>
        </w:rPr>
        <w:t>7 de octubre de 2020.</w:t>
      </w:r>
      <w:r w:rsidRPr="000C5FA6">
        <w:rPr>
          <w:rFonts w:ascii="ITC Avant Garde" w:hAnsi="ITC Avant Garde"/>
          <w:bCs/>
          <w:color w:val="000000"/>
          <w:lang w:eastAsia="es-MX"/>
        </w:rPr>
        <w:t xml:space="preserve"> </w:t>
      </w:r>
    </w:p>
    <w:p w14:paraId="28159964" w14:textId="77777777" w:rsidR="00523FCB" w:rsidRDefault="00EC74AA" w:rsidP="00523FCB">
      <w:pPr>
        <w:autoSpaceDE w:val="0"/>
        <w:autoSpaceDN w:val="0"/>
        <w:adjustRightInd w:val="0"/>
        <w:spacing w:afterLines="120" w:after="288" w:line="240" w:lineRule="auto"/>
        <w:jc w:val="both"/>
        <w:rPr>
          <w:rFonts w:ascii="ITC Avant Garde" w:hAnsi="ITC Avant Garde"/>
          <w:bCs/>
          <w:color w:val="000000"/>
          <w:lang w:eastAsia="es-MX"/>
        </w:rPr>
      </w:pPr>
      <w:r>
        <w:rPr>
          <w:rFonts w:ascii="ITC Avant Garde" w:hAnsi="ITC Avant Garde"/>
          <w:bCs/>
          <w:color w:val="000000"/>
          <w:lang w:eastAsia="es-MX"/>
        </w:rPr>
        <w:t xml:space="preserve">Por </w:t>
      </w:r>
      <w:r w:rsidRPr="00CA4348">
        <w:rPr>
          <w:rFonts w:ascii="ITC Avant Garde" w:hAnsi="ITC Avant Garde"/>
          <w:bCs/>
          <w:lang w:val="es-ES_tradnl"/>
        </w:rPr>
        <w:t xml:space="preserve">lo que hace a los compromisos mínimos de cobertura del título de concesión única, estos incluirán </w:t>
      </w:r>
      <w:r w:rsidR="008A4CB0">
        <w:rPr>
          <w:rFonts w:ascii="ITC Avant Garde" w:hAnsi="ITC Avant Garde"/>
          <w:bCs/>
          <w:lang w:val="es-ES_tradnl"/>
        </w:rPr>
        <w:t>los municipios</w:t>
      </w:r>
      <w:r w:rsidRPr="00CA4348">
        <w:rPr>
          <w:rFonts w:ascii="ITC Avant Garde" w:hAnsi="ITC Avant Garde"/>
          <w:bCs/>
          <w:lang w:val="es-ES_tradnl"/>
        </w:rPr>
        <w:t xml:space="preserve"> </w:t>
      </w:r>
      <w:r w:rsidR="00AA5A50">
        <w:rPr>
          <w:rFonts w:ascii="ITC Avant Garde" w:hAnsi="ITC Avant Garde"/>
          <w:bCs/>
          <w:lang w:val="es-ES_tradnl"/>
        </w:rPr>
        <w:t xml:space="preserve">a que se </w:t>
      </w:r>
      <w:r w:rsidR="00AA5A50" w:rsidRPr="002B359B">
        <w:rPr>
          <w:rFonts w:ascii="ITC Avant Garde" w:hAnsi="ITC Avant Garde"/>
          <w:bCs/>
          <w:lang w:val="es-ES_tradnl"/>
        </w:rPr>
        <w:t xml:space="preserve">refiere </w:t>
      </w:r>
      <w:r w:rsidR="008A4CB0" w:rsidRPr="002B359B">
        <w:rPr>
          <w:rFonts w:ascii="ITC Avant Garde" w:hAnsi="ITC Avant Garde"/>
          <w:bCs/>
          <w:lang w:val="es-ES_tradnl"/>
        </w:rPr>
        <w:t>el Anexo de la</w:t>
      </w:r>
      <w:r w:rsidR="008A4CB0">
        <w:rPr>
          <w:rFonts w:ascii="ITC Avant Garde" w:hAnsi="ITC Avant Garde"/>
          <w:bCs/>
          <w:lang w:val="es-ES_tradnl"/>
        </w:rPr>
        <w:t xml:space="preserve"> concesión única referida en el párrafo anterior</w:t>
      </w:r>
      <w:r w:rsidR="00626953">
        <w:rPr>
          <w:rFonts w:ascii="ITC Avant Garde" w:hAnsi="ITC Avant Garde"/>
          <w:bCs/>
          <w:color w:val="000000"/>
          <w:lang w:eastAsia="es-MX"/>
        </w:rPr>
        <w:t>.</w:t>
      </w:r>
    </w:p>
    <w:p w14:paraId="3982E78F" w14:textId="77777777" w:rsidR="00523FCB" w:rsidRDefault="00EC74AA" w:rsidP="00523FCB">
      <w:pPr>
        <w:autoSpaceDE w:val="0"/>
        <w:autoSpaceDN w:val="0"/>
        <w:adjustRightInd w:val="0"/>
        <w:spacing w:afterLines="120" w:after="288" w:line="240" w:lineRule="auto"/>
        <w:jc w:val="both"/>
        <w:rPr>
          <w:rFonts w:ascii="ITC Avant Garde" w:hAnsi="ITC Avant Garde"/>
          <w:bCs/>
          <w:color w:val="000000"/>
          <w:lang w:eastAsia="es-MX"/>
        </w:rPr>
      </w:pPr>
      <w:r>
        <w:rPr>
          <w:rFonts w:ascii="ITC Avant Garde" w:hAnsi="ITC Avant Garde"/>
          <w:bCs/>
          <w:color w:val="000000"/>
          <w:lang w:eastAsia="es-MX"/>
        </w:rPr>
        <w:lastRenderedPageBreak/>
        <w:t xml:space="preserve">Lo anterior, sin perjuicio de las autorizaciones que deba obtener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Pr>
          <w:rFonts w:ascii="ITC Avant Garde" w:hAnsi="ITC Avant Garde"/>
          <w:bCs/>
        </w:rPr>
        <w:t>, S.A. de C.V.</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14:paraId="321C6553" w14:textId="77777777" w:rsidR="00523FCB" w:rsidRDefault="00EC74AA" w:rsidP="00523FCB">
      <w:pPr>
        <w:autoSpaceDE w:val="0"/>
        <w:autoSpaceDN w:val="0"/>
        <w:adjustRightInd w:val="0"/>
        <w:spacing w:afterLines="120" w:after="288" w:line="240" w:lineRule="auto"/>
        <w:jc w:val="both"/>
        <w:rPr>
          <w:rFonts w:ascii="ITC Avant Garde" w:hAnsi="ITC Avant Garde"/>
          <w:bCs/>
          <w:lang w:val="es-ES_tradnl"/>
        </w:rPr>
      </w:pPr>
      <w:proofErr w:type="gramStart"/>
      <w:r>
        <w:rPr>
          <w:rFonts w:ascii="ITC Avant Garde" w:hAnsi="ITC Avant Garde"/>
          <w:b/>
          <w:bCs/>
          <w:color w:val="000000"/>
          <w:lang w:eastAsia="es-MX"/>
        </w:rPr>
        <w:t>TERCERO.-</w:t>
      </w:r>
      <w:proofErr w:type="gramEnd"/>
      <w:r>
        <w:rPr>
          <w:rFonts w:ascii="ITC Avant Garde" w:hAnsi="ITC Avant Garde"/>
          <w:b/>
          <w:bCs/>
          <w:color w:val="000000"/>
          <w:lang w:eastAsia="es-MX"/>
        </w:rPr>
        <w:t xml:space="preserve"> </w:t>
      </w:r>
      <w:r w:rsidRPr="00CC693E">
        <w:rPr>
          <w:rFonts w:ascii="ITC Avant Garde" w:hAnsi="ITC Avant Garde"/>
          <w:bCs/>
          <w:lang w:val="es-ES_tradnl"/>
        </w:rPr>
        <w:t xml:space="preserve">Se instruye a la Unidad de Concesiones y Servicios a notificar a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Pr>
          <w:rFonts w:ascii="ITC Avant Garde" w:hAnsi="ITC Avant Garde"/>
          <w:bCs/>
        </w:rPr>
        <w:t>, S.A. de C.V.</w:t>
      </w:r>
      <w:r>
        <w:rPr>
          <w:rFonts w:ascii="ITC Avant Garde" w:hAnsi="ITC Avant Garde"/>
          <w:bCs/>
          <w:lang w:val="es-ES_tradnl"/>
        </w:rPr>
        <w:t>,</w:t>
      </w:r>
      <w:r w:rsidRPr="00CC693E">
        <w:rPr>
          <w:rFonts w:ascii="ITC Avant Garde" w:hAnsi="ITC Avant Garde"/>
          <w:bCs/>
          <w:lang w:val="es-ES_tradnl"/>
        </w:rPr>
        <w:t xml:space="preserve"> el contenido de la presente Resolución</w:t>
      </w:r>
      <w:r>
        <w:rPr>
          <w:rFonts w:ascii="ITC Avant Garde" w:hAnsi="ITC Avant Garde"/>
          <w:bCs/>
          <w:lang w:val="es-ES_tradnl"/>
        </w:rPr>
        <w:t xml:space="preserve">. </w:t>
      </w:r>
    </w:p>
    <w:p w14:paraId="5FB78FA0" w14:textId="6DFA3050" w:rsidR="00523FCB" w:rsidRDefault="00EC74AA" w:rsidP="00523FCB">
      <w:pPr>
        <w:spacing w:afterLines="120" w:after="288" w:line="240" w:lineRule="auto"/>
        <w:jc w:val="both"/>
        <w:rPr>
          <w:rFonts w:ascii="ITC Avant Garde" w:hAnsi="ITC Avant Garde"/>
          <w:bCs/>
          <w:lang w:val="es-ES_tradnl"/>
        </w:rPr>
      </w:pPr>
      <w:proofErr w:type="gramStart"/>
      <w:r>
        <w:rPr>
          <w:rFonts w:ascii="ITC Avant Garde" w:hAnsi="ITC Avant Garde"/>
          <w:b/>
          <w:bCs/>
          <w:lang w:val="es-ES_tradnl"/>
        </w:rPr>
        <w:t>CUARTO</w:t>
      </w:r>
      <w:r w:rsidRPr="003F3844">
        <w:rPr>
          <w:rFonts w:ascii="ITC Avant Garde" w:hAnsi="ITC Avant Garde"/>
          <w:b/>
          <w:bCs/>
          <w:lang w:val="es-ES_tradnl"/>
        </w:rPr>
        <w:t>.-</w:t>
      </w:r>
      <w:proofErr w:type="gramEnd"/>
      <w:r w:rsidRPr="00D027AF">
        <w:rPr>
          <w:rFonts w:ascii="ITC Avant Garde" w:hAnsi="ITC Avant Garde"/>
          <w:bCs/>
          <w:lang w:val="es-ES_tradnl"/>
        </w:rPr>
        <w:t xml:space="preserve"> </w:t>
      </w:r>
      <w:r w:rsidRPr="004F5CD6">
        <w:rPr>
          <w:rFonts w:ascii="ITC Avant Garde" w:hAnsi="ITC Avant Garde"/>
          <w:bCs/>
          <w:lang w:val="es-ES_tradnl"/>
        </w:rPr>
        <w:t xml:space="preserve">Una vez satisfecho lo establecido en </w:t>
      </w:r>
      <w:r>
        <w:rPr>
          <w:rFonts w:ascii="ITC Avant Garde" w:hAnsi="ITC Avant Garde"/>
          <w:bCs/>
          <w:lang w:val="es-ES_tradnl"/>
        </w:rPr>
        <w:t>e</w:t>
      </w:r>
      <w:r w:rsidRPr="004F5CD6">
        <w:rPr>
          <w:rFonts w:ascii="ITC Avant Garde" w:hAnsi="ITC Avant Garde"/>
          <w:bCs/>
          <w:lang w:val="es-ES_tradnl"/>
        </w:rPr>
        <w:t xml:space="preserve">l Resolutivo </w:t>
      </w:r>
      <w:r>
        <w:rPr>
          <w:rFonts w:ascii="ITC Avant Garde" w:hAnsi="ITC Avant Garde"/>
          <w:bCs/>
          <w:lang w:val="es-ES_tradnl"/>
        </w:rPr>
        <w:t>Tercero</w:t>
      </w:r>
      <w:r w:rsidRPr="004F5CD6">
        <w:rPr>
          <w:rFonts w:ascii="ITC Avant Garde" w:hAnsi="ITC Avant Garde"/>
          <w:bCs/>
          <w:lang w:val="es-ES_tradnl"/>
        </w:rPr>
        <w:t xml:space="preserve"> anterior, </w:t>
      </w:r>
      <w:r w:rsidR="00FA71C6" w:rsidRPr="00FA71C6">
        <w:rPr>
          <w:rFonts w:ascii="ITC Avant Garde" w:hAnsi="ITC Avant Garde"/>
          <w:bCs/>
          <w:lang w:val="es-ES_tradnl"/>
        </w:rPr>
        <w:t>el Comisionado Presidente</w:t>
      </w:r>
      <w:r w:rsidRPr="004F5CD6">
        <w:rPr>
          <w:rFonts w:ascii="ITC Avant Garde" w:hAnsi="ITC Avant Garde"/>
          <w:bCs/>
          <w:lang w:val="es-ES_tradnl"/>
        </w:rPr>
        <w:t xml:space="preserve"> del Instituto Federal de Telecomunicaciones, con base en las facultades que le confiere el artículo 14 fracción X del Estatuto Orgánico, suscribirá </w:t>
      </w:r>
      <w:r>
        <w:rPr>
          <w:rFonts w:ascii="ITC Avant Garde" w:hAnsi="ITC Avant Garde"/>
          <w:bCs/>
          <w:lang w:val="es-ES_tradnl"/>
        </w:rPr>
        <w:t>e</w:t>
      </w:r>
      <w:r w:rsidRPr="004F5CD6">
        <w:rPr>
          <w:rFonts w:ascii="ITC Avant Garde" w:hAnsi="ITC Avant Garde"/>
          <w:bCs/>
          <w:lang w:val="es-ES_tradnl"/>
        </w:rPr>
        <w:t xml:space="preserve">l título de concesión </w:t>
      </w:r>
      <w:r>
        <w:rPr>
          <w:rFonts w:ascii="ITC Avant Garde" w:hAnsi="ITC Avant Garde"/>
          <w:bCs/>
          <w:lang w:val="es-ES_tradnl"/>
        </w:rPr>
        <w:t xml:space="preserve">única a que se refiere el Resolutivo Segundo de la presente Resolución. </w:t>
      </w:r>
    </w:p>
    <w:p w14:paraId="5B6892B9" w14:textId="77777777" w:rsidR="00523FCB" w:rsidRDefault="00EC74AA" w:rsidP="00523FCB">
      <w:pPr>
        <w:spacing w:afterLines="120" w:after="288" w:line="240" w:lineRule="auto"/>
        <w:jc w:val="both"/>
        <w:rPr>
          <w:rFonts w:ascii="ITC Avant Garde" w:hAnsi="ITC Avant Garde"/>
          <w:bCs/>
          <w:lang w:val="es-ES_tradnl"/>
        </w:rPr>
      </w:pPr>
      <w:r>
        <w:rPr>
          <w:rFonts w:ascii="ITC Avant Garde" w:hAnsi="ITC Avant Garde"/>
          <w:bCs/>
          <w:lang w:val="es-ES_tradnl"/>
        </w:rPr>
        <w:t xml:space="preserve">Concluido lo anterior, se instruye a la Unidad de Concesiones y Servicios a hacer entrega del título de concesión única a </w:t>
      </w:r>
      <w:proofErr w:type="spellStart"/>
      <w:r w:rsidR="008A3D20" w:rsidRPr="008D738A">
        <w:rPr>
          <w:rFonts w:ascii="ITC Avant Garde" w:hAnsi="ITC Avant Garde"/>
          <w:bCs/>
          <w:color w:val="000000"/>
          <w:lang w:eastAsia="es-MX"/>
        </w:rPr>
        <w:t>Tele</w:t>
      </w:r>
      <w:r w:rsidR="008A3D20">
        <w:rPr>
          <w:rFonts w:ascii="ITC Avant Garde" w:hAnsi="ITC Avant Garde"/>
          <w:bCs/>
          <w:color w:val="000000"/>
          <w:lang w:eastAsia="es-MX"/>
        </w:rPr>
        <w:t>futura</w:t>
      </w:r>
      <w:proofErr w:type="spellEnd"/>
      <w:r>
        <w:rPr>
          <w:rFonts w:ascii="ITC Avant Garde" w:hAnsi="ITC Avant Garde"/>
          <w:bCs/>
        </w:rPr>
        <w:t>, S.A. de C.V</w:t>
      </w:r>
      <w:r>
        <w:rPr>
          <w:rFonts w:ascii="ITC Avant Garde" w:hAnsi="ITC Avant Garde"/>
          <w:bCs/>
          <w:lang w:val="es-ES_tradnl"/>
        </w:rPr>
        <w:t>.</w:t>
      </w:r>
    </w:p>
    <w:p w14:paraId="68B3024D" w14:textId="77777777" w:rsidR="00523FCB" w:rsidRDefault="00E26975" w:rsidP="00523FCB">
      <w:pPr>
        <w:autoSpaceDE w:val="0"/>
        <w:autoSpaceDN w:val="0"/>
        <w:adjustRightInd w:val="0"/>
        <w:spacing w:afterLines="120" w:after="288" w:line="240" w:lineRule="auto"/>
        <w:jc w:val="both"/>
        <w:rPr>
          <w:rFonts w:ascii="ITC Avant Garde" w:hAnsi="ITC Avant Garde"/>
          <w:bCs/>
          <w:lang w:val="es-ES_tradnl"/>
        </w:rPr>
      </w:pPr>
      <w:r>
        <w:rPr>
          <w:rFonts w:ascii="ITC Avant Garde" w:hAnsi="ITC Avant Garde"/>
          <w:b/>
          <w:bCs/>
          <w:lang w:val="es-ES_tradnl"/>
        </w:rPr>
        <w:t>QUINTO.-</w:t>
      </w:r>
      <w:r>
        <w:rPr>
          <w:rFonts w:ascii="ITC Avant Garde" w:hAnsi="ITC Avant Garde"/>
          <w:bCs/>
          <w:lang w:val="es-ES_tradnl"/>
        </w:rPr>
        <w:t xml:space="preserve"> </w:t>
      </w:r>
      <w:proofErr w:type="spellStart"/>
      <w:r>
        <w:rPr>
          <w:rFonts w:ascii="ITC Avant Garde" w:hAnsi="ITC Avant Garde"/>
          <w:bCs/>
        </w:rPr>
        <w:t>Telefutura</w:t>
      </w:r>
      <w:proofErr w:type="spellEnd"/>
      <w:r>
        <w:rPr>
          <w:rFonts w:ascii="ITC Avant Garde" w:hAnsi="ITC Avant Garde"/>
          <w:bCs/>
        </w:rPr>
        <w:t>, S.A. de C.V.</w:t>
      </w:r>
      <w:r>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 entrega de la concesión a que se refiere el Resolutivo Segundo, deberá presentar ante el Instituto Federal de Telecomunicaciones, copia certificada del instrumento donde conste que se llevaron a cabo las modificaciones correspondientes a sus estatutos sociales. </w:t>
      </w:r>
    </w:p>
    <w:p w14:paraId="35B0EA98" w14:textId="55D1B253" w:rsidR="00523FCB" w:rsidRDefault="00E26975" w:rsidP="00523FCB">
      <w:pPr>
        <w:autoSpaceDE w:val="0"/>
        <w:autoSpaceDN w:val="0"/>
        <w:adjustRightInd w:val="0"/>
        <w:spacing w:afterLines="120" w:after="288" w:line="240" w:lineRule="auto"/>
        <w:jc w:val="both"/>
        <w:rPr>
          <w:rFonts w:ascii="ITC Avant Garde" w:hAnsi="ITC Avant Garde"/>
          <w:bCs/>
          <w:lang w:val="es-ES_tradnl"/>
        </w:rPr>
      </w:pPr>
      <w:proofErr w:type="gramStart"/>
      <w:r>
        <w:rPr>
          <w:rFonts w:ascii="ITC Avant Garde" w:hAnsi="ITC Avant Garde"/>
          <w:b/>
          <w:bCs/>
          <w:lang w:val="es-ES_tradnl"/>
        </w:rPr>
        <w:t>SEX</w:t>
      </w:r>
      <w:r w:rsidR="008D7D26">
        <w:rPr>
          <w:rFonts w:ascii="ITC Avant Garde" w:hAnsi="ITC Avant Garde"/>
          <w:b/>
          <w:bCs/>
          <w:lang w:val="es-ES_tradnl"/>
        </w:rPr>
        <w:t>TO</w:t>
      </w:r>
      <w:r w:rsidR="00EC74AA">
        <w:rPr>
          <w:rFonts w:ascii="ITC Avant Garde" w:hAnsi="ITC Avant Garde"/>
          <w:b/>
          <w:bCs/>
          <w:lang w:val="es-ES_tradnl"/>
        </w:rPr>
        <w:t>.-</w:t>
      </w:r>
      <w:proofErr w:type="gramEnd"/>
      <w:r w:rsidR="00EC74AA">
        <w:rPr>
          <w:rFonts w:ascii="ITC Avant Garde" w:hAnsi="ITC Avant Garde"/>
          <w:bCs/>
          <w:lang w:val="es-ES_tradnl"/>
        </w:rPr>
        <w:t xml:space="preserve"> Inscríbase en el Registro Público de Concesiones el título de concesión única que se otorgue, una vez que sea debidamente entregado a la interesada.</w:t>
      </w:r>
    </w:p>
    <w:p w14:paraId="617408C6" w14:textId="62B78688" w:rsidR="00DC249D" w:rsidRPr="00523FCB" w:rsidRDefault="00DC249D" w:rsidP="00523FCB">
      <w:pPr>
        <w:pStyle w:val="Prrafodelista"/>
        <w:spacing w:afterLines="120" w:after="288"/>
        <w:ind w:left="0"/>
        <w:jc w:val="both"/>
        <w:rPr>
          <w:rFonts w:ascii="Calibri" w:hAnsi="Calibri"/>
          <w:sz w:val="14"/>
          <w:szCs w:val="14"/>
          <w:lang w:eastAsia="en-US"/>
        </w:rPr>
      </w:pPr>
      <w:r w:rsidRPr="00DC249D">
        <w:rPr>
          <w:rFonts w:ascii="ITC Avant Garde" w:hAnsi="ITC Avant Garde"/>
          <w:sz w:val="14"/>
          <w:szCs w:val="14"/>
        </w:rPr>
        <w:t xml:space="preserve">La presente Resolución fue aprobada por el Pleno del Instituto Federal de Telecomunicaciones en su XXIII Sesión Extraordinaria celebrada el 18 de diciembre de 2017, </w:t>
      </w:r>
      <w:r w:rsidRPr="00DC249D">
        <w:rPr>
          <w:rFonts w:ascii="ITC Avant Garde" w:hAnsi="ITC Avant Garde"/>
          <w:bCs/>
          <w:sz w:val="14"/>
          <w:szCs w:val="14"/>
        </w:rPr>
        <w:t xml:space="preserve">en lo general por unanimidad </w:t>
      </w:r>
      <w:r w:rsidRPr="00DC249D">
        <w:rPr>
          <w:rFonts w:ascii="ITC Avant Garde" w:hAnsi="ITC Avant Garde"/>
          <w:sz w:val="14"/>
          <w:szCs w:val="14"/>
        </w:rPr>
        <w:t>de votos de los Comisionados Gabriel Oswaldo Contreras Saldívar;  Adriana Sofía Labardini Inzunza; María Elena Estavillo Flores, quien manifiesta voto concurrente;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P/IFT/EXT/181217/202.</w:t>
      </w:r>
    </w:p>
    <w:sectPr w:rsidR="00DC249D" w:rsidRPr="00523FCB" w:rsidSect="005009D9">
      <w:headerReference w:type="even" r:id="rId11"/>
      <w:footerReference w:type="default" r:id="rId12"/>
      <w:headerReference w:type="first" r:id="rId13"/>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9B6D2" w14:textId="77777777" w:rsidR="00D73F7D" w:rsidRDefault="00D73F7D">
      <w:pPr>
        <w:spacing w:after="0" w:line="240" w:lineRule="auto"/>
      </w:pPr>
      <w:r>
        <w:separator/>
      </w:r>
    </w:p>
  </w:endnote>
  <w:endnote w:type="continuationSeparator" w:id="0">
    <w:p w14:paraId="766A4B32" w14:textId="77777777" w:rsidR="00D73F7D" w:rsidRDefault="00D7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Book Obliqu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A" w14:textId="34285DA2" w:rsidR="005814F3" w:rsidRPr="005009D9" w:rsidRDefault="005814F3" w:rsidP="005814F3">
    <w:pPr>
      <w:ind w:left="5670" w:right="49"/>
      <w:jc w:val="right"/>
      <w:rPr>
        <w:sz w:val="20"/>
        <w:szCs w:val="20"/>
      </w:rPr>
    </w:pPr>
    <w:r w:rsidRPr="005009D9">
      <w:rPr>
        <w:rFonts w:ascii="ITC Avant Garde" w:hAnsi="ITC Avant Garde" w:cs="Calibri"/>
        <w:sz w:val="20"/>
        <w:szCs w:val="20"/>
      </w:rPr>
      <w:t xml:space="preserve">Página </w:t>
    </w:r>
    <w:r w:rsidRPr="005009D9">
      <w:rPr>
        <w:rFonts w:ascii="ITC Avant Garde" w:hAnsi="ITC Avant Garde" w:cs="Calibri"/>
        <w:sz w:val="20"/>
        <w:szCs w:val="20"/>
      </w:rPr>
      <w:fldChar w:fldCharType="begin"/>
    </w:r>
    <w:r w:rsidRPr="005009D9">
      <w:rPr>
        <w:rFonts w:ascii="ITC Avant Garde" w:hAnsi="ITC Avant Garde" w:cs="Calibri"/>
        <w:sz w:val="20"/>
        <w:szCs w:val="20"/>
      </w:rPr>
      <w:instrText>PAGE</w:instrText>
    </w:r>
    <w:r w:rsidRPr="005009D9">
      <w:rPr>
        <w:rFonts w:ascii="ITC Avant Garde" w:hAnsi="ITC Avant Garde" w:cs="Calibri"/>
        <w:sz w:val="20"/>
        <w:szCs w:val="20"/>
      </w:rPr>
      <w:fldChar w:fldCharType="separate"/>
    </w:r>
    <w:r w:rsidR="00523FCB">
      <w:rPr>
        <w:rFonts w:ascii="ITC Avant Garde" w:hAnsi="ITC Avant Garde" w:cs="Calibri"/>
        <w:noProof/>
        <w:sz w:val="20"/>
        <w:szCs w:val="20"/>
      </w:rPr>
      <w:t>7</w:t>
    </w:r>
    <w:r w:rsidRPr="005009D9">
      <w:rPr>
        <w:rFonts w:ascii="ITC Avant Garde" w:hAnsi="ITC Avant Garde" w:cs="Calibri"/>
        <w:sz w:val="20"/>
        <w:szCs w:val="20"/>
      </w:rPr>
      <w:fldChar w:fldCharType="end"/>
    </w:r>
    <w:r w:rsidRPr="005009D9">
      <w:rPr>
        <w:rFonts w:ascii="ITC Avant Garde" w:hAnsi="ITC Avant Garde" w:cs="Calibri"/>
        <w:sz w:val="20"/>
        <w:szCs w:val="20"/>
      </w:rPr>
      <w:t xml:space="preserve"> de </w:t>
    </w:r>
    <w:r w:rsidRPr="005009D9">
      <w:rPr>
        <w:rFonts w:ascii="ITC Avant Garde" w:hAnsi="ITC Avant Garde" w:cs="Calibri"/>
        <w:sz w:val="20"/>
        <w:szCs w:val="20"/>
      </w:rPr>
      <w:fldChar w:fldCharType="begin"/>
    </w:r>
    <w:r w:rsidRPr="005009D9">
      <w:rPr>
        <w:rFonts w:ascii="ITC Avant Garde" w:hAnsi="ITC Avant Garde" w:cs="Calibri"/>
        <w:sz w:val="20"/>
        <w:szCs w:val="20"/>
      </w:rPr>
      <w:instrText>NUMPAGES</w:instrText>
    </w:r>
    <w:r w:rsidRPr="005009D9">
      <w:rPr>
        <w:rFonts w:ascii="ITC Avant Garde" w:hAnsi="ITC Avant Garde" w:cs="Calibri"/>
        <w:sz w:val="20"/>
        <w:szCs w:val="20"/>
      </w:rPr>
      <w:fldChar w:fldCharType="separate"/>
    </w:r>
    <w:r w:rsidR="00523FCB">
      <w:rPr>
        <w:rFonts w:ascii="ITC Avant Garde" w:hAnsi="ITC Avant Garde" w:cs="Calibri"/>
        <w:noProof/>
        <w:sz w:val="20"/>
        <w:szCs w:val="20"/>
      </w:rPr>
      <w:t>10</w:t>
    </w:r>
    <w:r w:rsidRPr="005009D9">
      <w:rPr>
        <w:rFonts w:ascii="ITC Avant Garde" w:hAnsi="ITC Avant Garde"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941E8" w14:textId="77777777" w:rsidR="00D73F7D" w:rsidRDefault="00D73F7D">
      <w:pPr>
        <w:spacing w:after="0" w:line="240" w:lineRule="auto"/>
      </w:pPr>
      <w:r>
        <w:separator/>
      </w:r>
    </w:p>
  </w:footnote>
  <w:footnote w:type="continuationSeparator" w:id="0">
    <w:p w14:paraId="46FFFFE9" w14:textId="77777777" w:rsidR="00D73F7D" w:rsidRDefault="00D7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8" w14:textId="77777777" w:rsidR="005814F3" w:rsidRDefault="00D73F7D">
    <w:pPr>
      <w:pStyle w:val="Encabezado"/>
    </w:pPr>
    <w:r>
      <w:rPr>
        <w:noProof/>
        <w:lang w:eastAsia="es-MX"/>
      </w:rPr>
      <w:pict w14:anchorId="76C7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B" w14:textId="77777777" w:rsidR="005814F3" w:rsidRPr="000F5E4B" w:rsidRDefault="00D73F7D">
    <w:pPr>
      <w:pStyle w:val="Encabezado"/>
      <w:rPr>
        <w:b/>
      </w:rPr>
    </w:pPr>
    <w:r>
      <w:rPr>
        <w:b/>
        <w:noProof/>
        <w:lang w:eastAsia="es-MX"/>
      </w:rPr>
      <w:pict w14:anchorId="76C73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05247754"/>
    <w:multiLevelType w:val="hybridMultilevel"/>
    <w:tmpl w:val="62B893A0"/>
    <w:lvl w:ilvl="0" w:tplc="AFFCE6F2">
      <w:start w:val="1"/>
      <w:numFmt w:val="lowerLetter"/>
      <w:lvlText w:val="%1)"/>
      <w:lvlJc w:val="left"/>
      <w:pPr>
        <w:ind w:left="1713" w:hanging="72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13851091"/>
    <w:multiLevelType w:val="hybridMultilevel"/>
    <w:tmpl w:val="BC162B6C"/>
    <w:lvl w:ilvl="0" w:tplc="FDA8E39E">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224858C1"/>
    <w:multiLevelType w:val="hybridMultilevel"/>
    <w:tmpl w:val="EDB8629E"/>
    <w:lvl w:ilvl="0" w:tplc="6F4A0D2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EB3ACB"/>
    <w:multiLevelType w:val="hybridMultilevel"/>
    <w:tmpl w:val="7F229DE4"/>
    <w:lvl w:ilvl="0" w:tplc="DFDEDC7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7" w15:restartNumberingAfterBreak="0">
    <w:nsid w:val="45EE7362"/>
    <w:multiLevelType w:val="hybridMultilevel"/>
    <w:tmpl w:val="2D06B432"/>
    <w:lvl w:ilvl="0" w:tplc="141CDD56">
      <w:start w:val="1"/>
      <w:numFmt w:val="upperRoman"/>
      <w:lvlText w:val="%1."/>
      <w:lvlJc w:val="left"/>
      <w:pPr>
        <w:ind w:left="1146"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9" w15:restartNumberingAfterBreak="0">
    <w:nsid w:val="5E232C35"/>
    <w:multiLevelType w:val="hybridMultilevel"/>
    <w:tmpl w:val="8C4CB1F4"/>
    <w:lvl w:ilvl="0" w:tplc="1C4ABBA8">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62F50FFF"/>
    <w:multiLevelType w:val="hybridMultilevel"/>
    <w:tmpl w:val="B33EFD9C"/>
    <w:lvl w:ilvl="0" w:tplc="080A0017">
      <w:start w:val="1"/>
      <w:numFmt w:val="lowerLetter"/>
      <w:lvlText w:val="%1)"/>
      <w:lvlJc w:val="left"/>
      <w:pPr>
        <w:ind w:left="1931" w:hanging="360"/>
      </w:p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1"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745A5F55"/>
    <w:multiLevelType w:val="hybridMultilevel"/>
    <w:tmpl w:val="868415E2"/>
    <w:lvl w:ilvl="0" w:tplc="C37622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0"/>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0"/>
  </w:num>
  <w:num w:numId="12">
    <w:abstractNumId w:val="2"/>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04F79"/>
    <w:rsid w:val="000054B8"/>
    <w:rsid w:val="000104EB"/>
    <w:rsid w:val="000122FE"/>
    <w:rsid w:val="0001350A"/>
    <w:rsid w:val="00023870"/>
    <w:rsid w:val="00024488"/>
    <w:rsid w:val="00025B8A"/>
    <w:rsid w:val="0003732E"/>
    <w:rsid w:val="00037D90"/>
    <w:rsid w:val="00041894"/>
    <w:rsid w:val="0004224C"/>
    <w:rsid w:val="0004438A"/>
    <w:rsid w:val="00051286"/>
    <w:rsid w:val="0005226E"/>
    <w:rsid w:val="0006059D"/>
    <w:rsid w:val="00060720"/>
    <w:rsid w:val="00062DC6"/>
    <w:rsid w:val="0006652A"/>
    <w:rsid w:val="00070ADE"/>
    <w:rsid w:val="000727D2"/>
    <w:rsid w:val="00075950"/>
    <w:rsid w:val="000807D9"/>
    <w:rsid w:val="00081015"/>
    <w:rsid w:val="00081DDE"/>
    <w:rsid w:val="00082BC1"/>
    <w:rsid w:val="00084722"/>
    <w:rsid w:val="0009047E"/>
    <w:rsid w:val="00090D19"/>
    <w:rsid w:val="000950DC"/>
    <w:rsid w:val="00097924"/>
    <w:rsid w:val="000A1153"/>
    <w:rsid w:val="000A260E"/>
    <w:rsid w:val="000A37F0"/>
    <w:rsid w:val="000A3816"/>
    <w:rsid w:val="000B05E3"/>
    <w:rsid w:val="000B2622"/>
    <w:rsid w:val="000B31E2"/>
    <w:rsid w:val="000B4BAD"/>
    <w:rsid w:val="000B7685"/>
    <w:rsid w:val="000C3AE3"/>
    <w:rsid w:val="000C71ED"/>
    <w:rsid w:val="000D0AE0"/>
    <w:rsid w:val="000D14AF"/>
    <w:rsid w:val="000D20B6"/>
    <w:rsid w:val="000D2D5C"/>
    <w:rsid w:val="000D37B7"/>
    <w:rsid w:val="000D3C40"/>
    <w:rsid w:val="000E10B2"/>
    <w:rsid w:val="000E2449"/>
    <w:rsid w:val="000E34B2"/>
    <w:rsid w:val="000E7B2B"/>
    <w:rsid w:val="000E7D8C"/>
    <w:rsid w:val="000F2936"/>
    <w:rsid w:val="000F4D48"/>
    <w:rsid w:val="000F54F6"/>
    <w:rsid w:val="001023C9"/>
    <w:rsid w:val="00103AE1"/>
    <w:rsid w:val="00105CCC"/>
    <w:rsid w:val="00112D03"/>
    <w:rsid w:val="00116FB7"/>
    <w:rsid w:val="00116FDD"/>
    <w:rsid w:val="00121AB4"/>
    <w:rsid w:val="00122715"/>
    <w:rsid w:val="001237ED"/>
    <w:rsid w:val="00123C96"/>
    <w:rsid w:val="0012573F"/>
    <w:rsid w:val="0012643D"/>
    <w:rsid w:val="0012668A"/>
    <w:rsid w:val="00127E26"/>
    <w:rsid w:val="00134227"/>
    <w:rsid w:val="00135118"/>
    <w:rsid w:val="00143000"/>
    <w:rsid w:val="00143E9E"/>
    <w:rsid w:val="00147287"/>
    <w:rsid w:val="00160E5B"/>
    <w:rsid w:val="00161468"/>
    <w:rsid w:val="001661C2"/>
    <w:rsid w:val="0016797D"/>
    <w:rsid w:val="00172BDF"/>
    <w:rsid w:val="001754A5"/>
    <w:rsid w:val="00176516"/>
    <w:rsid w:val="00177E68"/>
    <w:rsid w:val="00182C4E"/>
    <w:rsid w:val="0018519B"/>
    <w:rsid w:val="00185819"/>
    <w:rsid w:val="001903EC"/>
    <w:rsid w:val="0019177D"/>
    <w:rsid w:val="00192CF3"/>
    <w:rsid w:val="001935FC"/>
    <w:rsid w:val="00193D02"/>
    <w:rsid w:val="00195732"/>
    <w:rsid w:val="001958E2"/>
    <w:rsid w:val="00197854"/>
    <w:rsid w:val="001A10CE"/>
    <w:rsid w:val="001A3B30"/>
    <w:rsid w:val="001A5757"/>
    <w:rsid w:val="001A78B4"/>
    <w:rsid w:val="001B019E"/>
    <w:rsid w:val="001B0D1E"/>
    <w:rsid w:val="001B0D5E"/>
    <w:rsid w:val="001B2249"/>
    <w:rsid w:val="001B2923"/>
    <w:rsid w:val="001B3891"/>
    <w:rsid w:val="001B61F6"/>
    <w:rsid w:val="001B7A36"/>
    <w:rsid w:val="001C0885"/>
    <w:rsid w:val="001C26B4"/>
    <w:rsid w:val="001C49CD"/>
    <w:rsid w:val="001C50D7"/>
    <w:rsid w:val="001D0F54"/>
    <w:rsid w:val="001D2EC1"/>
    <w:rsid w:val="001D4408"/>
    <w:rsid w:val="001D4676"/>
    <w:rsid w:val="001D4A5E"/>
    <w:rsid w:val="001D5168"/>
    <w:rsid w:val="001D6290"/>
    <w:rsid w:val="001D7681"/>
    <w:rsid w:val="001D7887"/>
    <w:rsid w:val="001D78C5"/>
    <w:rsid w:val="0020067E"/>
    <w:rsid w:val="00201306"/>
    <w:rsid w:val="002049D5"/>
    <w:rsid w:val="002154FE"/>
    <w:rsid w:val="00215955"/>
    <w:rsid w:val="00215C6D"/>
    <w:rsid w:val="00220371"/>
    <w:rsid w:val="00220C1C"/>
    <w:rsid w:val="00226CF4"/>
    <w:rsid w:val="00232F7B"/>
    <w:rsid w:val="002333C5"/>
    <w:rsid w:val="00241080"/>
    <w:rsid w:val="002418D1"/>
    <w:rsid w:val="00241C26"/>
    <w:rsid w:val="00244F59"/>
    <w:rsid w:val="002465DA"/>
    <w:rsid w:val="002555F4"/>
    <w:rsid w:val="00255747"/>
    <w:rsid w:val="00257E0D"/>
    <w:rsid w:val="002606DA"/>
    <w:rsid w:val="00261154"/>
    <w:rsid w:val="0027441F"/>
    <w:rsid w:val="00276765"/>
    <w:rsid w:val="00280377"/>
    <w:rsid w:val="002866EA"/>
    <w:rsid w:val="00290497"/>
    <w:rsid w:val="00292AAE"/>
    <w:rsid w:val="00293450"/>
    <w:rsid w:val="002967AC"/>
    <w:rsid w:val="002975AF"/>
    <w:rsid w:val="002A04B8"/>
    <w:rsid w:val="002A1323"/>
    <w:rsid w:val="002A18E1"/>
    <w:rsid w:val="002A3671"/>
    <w:rsid w:val="002A7E0D"/>
    <w:rsid w:val="002B359B"/>
    <w:rsid w:val="002B56B2"/>
    <w:rsid w:val="002B5DEC"/>
    <w:rsid w:val="002B5E5B"/>
    <w:rsid w:val="002B67B4"/>
    <w:rsid w:val="002B6E3B"/>
    <w:rsid w:val="002C48EB"/>
    <w:rsid w:val="002C741A"/>
    <w:rsid w:val="002C7F0A"/>
    <w:rsid w:val="002D1151"/>
    <w:rsid w:val="002D366D"/>
    <w:rsid w:val="002D3D87"/>
    <w:rsid w:val="002D7C16"/>
    <w:rsid w:val="002D7FC3"/>
    <w:rsid w:val="002E1633"/>
    <w:rsid w:val="002E24F8"/>
    <w:rsid w:val="002E5A18"/>
    <w:rsid w:val="002E5FF9"/>
    <w:rsid w:val="002F0F77"/>
    <w:rsid w:val="002F3AFA"/>
    <w:rsid w:val="002F67AF"/>
    <w:rsid w:val="002F7F25"/>
    <w:rsid w:val="00300229"/>
    <w:rsid w:val="00304638"/>
    <w:rsid w:val="003074A1"/>
    <w:rsid w:val="003138C9"/>
    <w:rsid w:val="0031503D"/>
    <w:rsid w:val="00321792"/>
    <w:rsid w:val="003323F5"/>
    <w:rsid w:val="003331B9"/>
    <w:rsid w:val="00342288"/>
    <w:rsid w:val="0034305E"/>
    <w:rsid w:val="003435D0"/>
    <w:rsid w:val="00343D71"/>
    <w:rsid w:val="00344EB4"/>
    <w:rsid w:val="00347E61"/>
    <w:rsid w:val="00347ED3"/>
    <w:rsid w:val="003520A8"/>
    <w:rsid w:val="00356DD1"/>
    <w:rsid w:val="003576CA"/>
    <w:rsid w:val="003618F6"/>
    <w:rsid w:val="00364F04"/>
    <w:rsid w:val="0036667B"/>
    <w:rsid w:val="00366D50"/>
    <w:rsid w:val="003749F5"/>
    <w:rsid w:val="00377077"/>
    <w:rsid w:val="003812A0"/>
    <w:rsid w:val="00382004"/>
    <w:rsid w:val="003835E4"/>
    <w:rsid w:val="00385FBB"/>
    <w:rsid w:val="0038623F"/>
    <w:rsid w:val="003A35BA"/>
    <w:rsid w:val="003A3977"/>
    <w:rsid w:val="003B0B36"/>
    <w:rsid w:val="003C00DA"/>
    <w:rsid w:val="003C184D"/>
    <w:rsid w:val="003C59CD"/>
    <w:rsid w:val="003C5B5E"/>
    <w:rsid w:val="003C6E18"/>
    <w:rsid w:val="003D0131"/>
    <w:rsid w:val="003D1615"/>
    <w:rsid w:val="003D431D"/>
    <w:rsid w:val="003D49D5"/>
    <w:rsid w:val="003D631F"/>
    <w:rsid w:val="003E106F"/>
    <w:rsid w:val="003E41AD"/>
    <w:rsid w:val="003E5D1E"/>
    <w:rsid w:val="003E63D4"/>
    <w:rsid w:val="003E740F"/>
    <w:rsid w:val="003F0A2A"/>
    <w:rsid w:val="003F3A84"/>
    <w:rsid w:val="00404B98"/>
    <w:rsid w:val="00407045"/>
    <w:rsid w:val="004235BD"/>
    <w:rsid w:val="00430164"/>
    <w:rsid w:val="00430C93"/>
    <w:rsid w:val="00432127"/>
    <w:rsid w:val="0043230F"/>
    <w:rsid w:val="00432791"/>
    <w:rsid w:val="004359A9"/>
    <w:rsid w:val="004370B3"/>
    <w:rsid w:val="00437F0F"/>
    <w:rsid w:val="00441723"/>
    <w:rsid w:val="00442D48"/>
    <w:rsid w:val="0044405A"/>
    <w:rsid w:val="00444158"/>
    <w:rsid w:val="00445906"/>
    <w:rsid w:val="00450529"/>
    <w:rsid w:val="004522BC"/>
    <w:rsid w:val="004531E4"/>
    <w:rsid w:val="00453A0E"/>
    <w:rsid w:val="00453D8A"/>
    <w:rsid w:val="0045412A"/>
    <w:rsid w:val="0045447A"/>
    <w:rsid w:val="00454B5A"/>
    <w:rsid w:val="00455C91"/>
    <w:rsid w:val="0045661C"/>
    <w:rsid w:val="00462F81"/>
    <w:rsid w:val="00467E16"/>
    <w:rsid w:val="00472BBF"/>
    <w:rsid w:val="00473147"/>
    <w:rsid w:val="004747B6"/>
    <w:rsid w:val="00474D2E"/>
    <w:rsid w:val="00477571"/>
    <w:rsid w:val="00477A8A"/>
    <w:rsid w:val="00482AFE"/>
    <w:rsid w:val="004851C5"/>
    <w:rsid w:val="004854F5"/>
    <w:rsid w:val="004865D7"/>
    <w:rsid w:val="00493069"/>
    <w:rsid w:val="004A17AC"/>
    <w:rsid w:val="004A1DEF"/>
    <w:rsid w:val="004A37A5"/>
    <w:rsid w:val="004A4455"/>
    <w:rsid w:val="004A576F"/>
    <w:rsid w:val="004A5B2B"/>
    <w:rsid w:val="004B05D0"/>
    <w:rsid w:val="004B1049"/>
    <w:rsid w:val="004B11EE"/>
    <w:rsid w:val="004B1B3C"/>
    <w:rsid w:val="004B3556"/>
    <w:rsid w:val="004B4173"/>
    <w:rsid w:val="004B4619"/>
    <w:rsid w:val="004C1740"/>
    <w:rsid w:val="004C35E0"/>
    <w:rsid w:val="004C523B"/>
    <w:rsid w:val="004C6AAB"/>
    <w:rsid w:val="004C6B78"/>
    <w:rsid w:val="004C6DCD"/>
    <w:rsid w:val="004D0543"/>
    <w:rsid w:val="004D56D2"/>
    <w:rsid w:val="004E1462"/>
    <w:rsid w:val="004F1840"/>
    <w:rsid w:val="004F587F"/>
    <w:rsid w:val="004F7D2E"/>
    <w:rsid w:val="005009D9"/>
    <w:rsid w:val="00501460"/>
    <w:rsid w:val="00501AD4"/>
    <w:rsid w:val="00502A7C"/>
    <w:rsid w:val="00504F2A"/>
    <w:rsid w:val="00505EC8"/>
    <w:rsid w:val="00510BA3"/>
    <w:rsid w:val="00511AD1"/>
    <w:rsid w:val="00512204"/>
    <w:rsid w:val="00512F4F"/>
    <w:rsid w:val="00515228"/>
    <w:rsid w:val="005162E0"/>
    <w:rsid w:val="005176C4"/>
    <w:rsid w:val="00521534"/>
    <w:rsid w:val="00521622"/>
    <w:rsid w:val="00522413"/>
    <w:rsid w:val="00523FCB"/>
    <w:rsid w:val="00533793"/>
    <w:rsid w:val="005345E6"/>
    <w:rsid w:val="005435FB"/>
    <w:rsid w:val="00543604"/>
    <w:rsid w:val="00545C6B"/>
    <w:rsid w:val="00550DE9"/>
    <w:rsid w:val="00555827"/>
    <w:rsid w:val="0056178F"/>
    <w:rsid w:val="005621B4"/>
    <w:rsid w:val="00572491"/>
    <w:rsid w:val="005814F3"/>
    <w:rsid w:val="0058500E"/>
    <w:rsid w:val="00597752"/>
    <w:rsid w:val="005A03CA"/>
    <w:rsid w:val="005A38B7"/>
    <w:rsid w:val="005B174B"/>
    <w:rsid w:val="005B3347"/>
    <w:rsid w:val="005B36D9"/>
    <w:rsid w:val="005B401C"/>
    <w:rsid w:val="005B4CA7"/>
    <w:rsid w:val="005B5776"/>
    <w:rsid w:val="005B7792"/>
    <w:rsid w:val="005C0175"/>
    <w:rsid w:val="005C1836"/>
    <w:rsid w:val="005C318D"/>
    <w:rsid w:val="005C36CD"/>
    <w:rsid w:val="005C7B77"/>
    <w:rsid w:val="005D3126"/>
    <w:rsid w:val="005D45E2"/>
    <w:rsid w:val="005D5A45"/>
    <w:rsid w:val="005E1A80"/>
    <w:rsid w:val="005E3217"/>
    <w:rsid w:val="005E3821"/>
    <w:rsid w:val="005E446B"/>
    <w:rsid w:val="005E4BAA"/>
    <w:rsid w:val="005F3C94"/>
    <w:rsid w:val="006004C5"/>
    <w:rsid w:val="006006F2"/>
    <w:rsid w:val="0060578C"/>
    <w:rsid w:val="00606E07"/>
    <w:rsid w:val="006111E1"/>
    <w:rsid w:val="00612841"/>
    <w:rsid w:val="00612FA0"/>
    <w:rsid w:val="00613D40"/>
    <w:rsid w:val="00614A5A"/>
    <w:rsid w:val="00624F3C"/>
    <w:rsid w:val="00625438"/>
    <w:rsid w:val="00626953"/>
    <w:rsid w:val="00626BEA"/>
    <w:rsid w:val="00626E56"/>
    <w:rsid w:val="00630213"/>
    <w:rsid w:val="00633D0A"/>
    <w:rsid w:val="0063523D"/>
    <w:rsid w:val="006455BC"/>
    <w:rsid w:val="00646C7B"/>
    <w:rsid w:val="006521AB"/>
    <w:rsid w:val="00657818"/>
    <w:rsid w:val="00657C3E"/>
    <w:rsid w:val="00663434"/>
    <w:rsid w:val="006648F1"/>
    <w:rsid w:val="006719D1"/>
    <w:rsid w:val="0067208F"/>
    <w:rsid w:val="0067221B"/>
    <w:rsid w:val="00672511"/>
    <w:rsid w:val="00673874"/>
    <w:rsid w:val="0067398F"/>
    <w:rsid w:val="00674EFF"/>
    <w:rsid w:val="00683CB5"/>
    <w:rsid w:val="00686D49"/>
    <w:rsid w:val="00692E04"/>
    <w:rsid w:val="00693275"/>
    <w:rsid w:val="00695B29"/>
    <w:rsid w:val="00696DDB"/>
    <w:rsid w:val="006A153F"/>
    <w:rsid w:val="006A236A"/>
    <w:rsid w:val="006A3C3D"/>
    <w:rsid w:val="006B2B5C"/>
    <w:rsid w:val="006B5AD8"/>
    <w:rsid w:val="006B5B87"/>
    <w:rsid w:val="006B7B66"/>
    <w:rsid w:val="006C4BD0"/>
    <w:rsid w:val="006C5662"/>
    <w:rsid w:val="006C6786"/>
    <w:rsid w:val="006D35E4"/>
    <w:rsid w:val="006D3D49"/>
    <w:rsid w:val="006D51E6"/>
    <w:rsid w:val="006D6A51"/>
    <w:rsid w:val="006D7B95"/>
    <w:rsid w:val="006E007B"/>
    <w:rsid w:val="006E1A8E"/>
    <w:rsid w:val="006E4A53"/>
    <w:rsid w:val="006E5784"/>
    <w:rsid w:val="006E6252"/>
    <w:rsid w:val="006F4481"/>
    <w:rsid w:val="00703098"/>
    <w:rsid w:val="007037F5"/>
    <w:rsid w:val="00704C1E"/>
    <w:rsid w:val="00705ECF"/>
    <w:rsid w:val="00713465"/>
    <w:rsid w:val="007166C4"/>
    <w:rsid w:val="0071746F"/>
    <w:rsid w:val="007205E5"/>
    <w:rsid w:val="00722C96"/>
    <w:rsid w:val="00723081"/>
    <w:rsid w:val="007248F6"/>
    <w:rsid w:val="00724BA0"/>
    <w:rsid w:val="007251E1"/>
    <w:rsid w:val="007266CF"/>
    <w:rsid w:val="00727D7C"/>
    <w:rsid w:val="0073097E"/>
    <w:rsid w:val="00731B82"/>
    <w:rsid w:val="007356FD"/>
    <w:rsid w:val="00741A64"/>
    <w:rsid w:val="00741FD7"/>
    <w:rsid w:val="00745EC7"/>
    <w:rsid w:val="00750D60"/>
    <w:rsid w:val="00751D31"/>
    <w:rsid w:val="007532D0"/>
    <w:rsid w:val="007532E9"/>
    <w:rsid w:val="00754764"/>
    <w:rsid w:val="00755900"/>
    <w:rsid w:val="0076150A"/>
    <w:rsid w:val="007646EF"/>
    <w:rsid w:val="00764F40"/>
    <w:rsid w:val="007658E5"/>
    <w:rsid w:val="0076644D"/>
    <w:rsid w:val="007671A7"/>
    <w:rsid w:val="00770314"/>
    <w:rsid w:val="007757BE"/>
    <w:rsid w:val="00776EE3"/>
    <w:rsid w:val="00777C6A"/>
    <w:rsid w:val="0078159A"/>
    <w:rsid w:val="00781A7F"/>
    <w:rsid w:val="00781D73"/>
    <w:rsid w:val="00784158"/>
    <w:rsid w:val="00790A0A"/>
    <w:rsid w:val="00792939"/>
    <w:rsid w:val="00793676"/>
    <w:rsid w:val="007950E8"/>
    <w:rsid w:val="00795F6E"/>
    <w:rsid w:val="00796F2B"/>
    <w:rsid w:val="00797177"/>
    <w:rsid w:val="007974A5"/>
    <w:rsid w:val="007A0427"/>
    <w:rsid w:val="007A1C64"/>
    <w:rsid w:val="007A5A5B"/>
    <w:rsid w:val="007A5A5E"/>
    <w:rsid w:val="007A688B"/>
    <w:rsid w:val="007B234E"/>
    <w:rsid w:val="007B2A34"/>
    <w:rsid w:val="007B2EC4"/>
    <w:rsid w:val="007B2FD6"/>
    <w:rsid w:val="007C0C43"/>
    <w:rsid w:val="007C37E4"/>
    <w:rsid w:val="007C3A8A"/>
    <w:rsid w:val="007C3F20"/>
    <w:rsid w:val="007C46A0"/>
    <w:rsid w:val="007C5EF0"/>
    <w:rsid w:val="007C6D52"/>
    <w:rsid w:val="007C7569"/>
    <w:rsid w:val="007D1DB6"/>
    <w:rsid w:val="007D7CB7"/>
    <w:rsid w:val="007E27AA"/>
    <w:rsid w:val="007E48EC"/>
    <w:rsid w:val="007E649E"/>
    <w:rsid w:val="007F32B9"/>
    <w:rsid w:val="007F3C53"/>
    <w:rsid w:val="007F4B2E"/>
    <w:rsid w:val="008017F1"/>
    <w:rsid w:val="0080280A"/>
    <w:rsid w:val="00810EF2"/>
    <w:rsid w:val="00810F52"/>
    <w:rsid w:val="00813900"/>
    <w:rsid w:val="00813BAB"/>
    <w:rsid w:val="00821EA2"/>
    <w:rsid w:val="00824150"/>
    <w:rsid w:val="00826727"/>
    <w:rsid w:val="00830117"/>
    <w:rsid w:val="0083127C"/>
    <w:rsid w:val="00835F6B"/>
    <w:rsid w:val="008360C6"/>
    <w:rsid w:val="008362A0"/>
    <w:rsid w:val="008375AC"/>
    <w:rsid w:val="00837F4D"/>
    <w:rsid w:val="00844DA6"/>
    <w:rsid w:val="008536A4"/>
    <w:rsid w:val="00865FA0"/>
    <w:rsid w:val="00866327"/>
    <w:rsid w:val="008715FA"/>
    <w:rsid w:val="00874B33"/>
    <w:rsid w:val="00875637"/>
    <w:rsid w:val="008837A5"/>
    <w:rsid w:val="00884511"/>
    <w:rsid w:val="008845BF"/>
    <w:rsid w:val="008855B4"/>
    <w:rsid w:val="00885847"/>
    <w:rsid w:val="00890174"/>
    <w:rsid w:val="00892F34"/>
    <w:rsid w:val="00893597"/>
    <w:rsid w:val="00897980"/>
    <w:rsid w:val="008A0D29"/>
    <w:rsid w:val="008A1F64"/>
    <w:rsid w:val="008A3D20"/>
    <w:rsid w:val="008A4CB0"/>
    <w:rsid w:val="008A64EE"/>
    <w:rsid w:val="008B0463"/>
    <w:rsid w:val="008C2571"/>
    <w:rsid w:val="008C2FFB"/>
    <w:rsid w:val="008C3969"/>
    <w:rsid w:val="008C457A"/>
    <w:rsid w:val="008C582D"/>
    <w:rsid w:val="008C740B"/>
    <w:rsid w:val="008D295D"/>
    <w:rsid w:val="008D7D26"/>
    <w:rsid w:val="008E08B5"/>
    <w:rsid w:val="008E3E9D"/>
    <w:rsid w:val="008E60A5"/>
    <w:rsid w:val="008F240A"/>
    <w:rsid w:val="008F3E6E"/>
    <w:rsid w:val="008F4135"/>
    <w:rsid w:val="008F416D"/>
    <w:rsid w:val="008F4B19"/>
    <w:rsid w:val="00901A2B"/>
    <w:rsid w:val="00905E47"/>
    <w:rsid w:val="00907B31"/>
    <w:rsid w:val="00907FCF"/>
    <w:rsid w:val="00910852"/>
    <w:rsid w:val="00911D48"/>
    <w:rsid w:val="00912A64"/>
    <w:rsid w:val="0091427F"/>
    <w:rsid w:val="00914C1C"/>
    <w:rsid w:val="00933770"/>
    <w:rsid w:val="00936126"/>
    <w:rsid w:val="00936488"/>
    <w:rsid w:val="009431F8"/>
    <w:rsid w:val="00943BB0"/>
    <w:rsid w:val="00943D6D"/>
    <w:rsid w:val="0094595D"/>
    <w:rsid w:val="0094779B"/>
    <w:rsid w:val="00950E13"/>
    <w:rsid w:val="00952140"/>
    <w:rsid w:val="00952604"/>
    <w:rsid w:val="00952B07"/>
    <w:rsid w:val="00953127"/>
    <w:rsid w:val="00955978"/>
    <w:rsid w:val="00956265"/>
    <w:rsid w:val="009610B0"/>
    <w:rsid w:val="00962970"/>
    <w:rsid w:val="0096469B"/>
    <w:rsid w:val="00964A2C"/>
    <w:rsid w:val="00964ABB"/>
    <w:rsid w:val="00964C62"/>
    <w:rsid w:val="00964CB5"/>
    <w:rsid w:val="00967CA9"/>
    <w:rsid w:val="00971330"/>
    <w:rsid w:val="009835DC"/>
    <w:rsid w:val="0098410C"/>
    <w:rsid w:val="0098572E"/>
    <w:rsid w:val="00992EA1"/>
    <w:rsid w:val="009930E6"/>
    <w:rsid w:val="009947BC"/>
    <w:rsid w:val="00994D6D"/>
    <w:rsid w:val="00995DB6"/>
    <w:rsid w:val="00996DDF"/>
    <w:rsid w:val="009A4D3B"/>
    <w:rsid w:val="009A532C"/>
    <w:rsid w:val="009A5DA2"/>
    <w:rsid w:val="009A5E55"/>
    <w:rsid w:val="009A6D8F"/>
    <w:rsid w:val="009A7EE2"/>
    <w:rsid w:val="009B129B"/>
    <w:rsid w:val="009B27CA"/>
    <w:rsid w:val="009B77BA"/>
    <w:rsid w:val="009B7883"/>
    <w:rsid w:val="009B7BA1"/>
    <w:rsid w:val="009B7C23"/>
    <w:rsid w:val="009B7D78"/>
    <w:rsid w:val="009C0749"/>
    <w:rsid w:val="009C0864"/>
    <w:rsid w:val="009C0EA6"/>
    <w:rsid w:val="009C1AE7"/>
    <w:rsid w:val="009C1EDB"/>
    <w:rsid w:val="009D2028"/>
    <w:rsid w:val="009D5196"/>
    <w:rsid w:val="009E0359"/>
    <w:rsid w:val="009E05B2"/>
    <w:rsid w:val="009E117D"/>
    <w:rsid w:val="009E1B7E"/>
    <w:rsid w:val="009E34E2"/>
    <w:rsid w:val="009E3964"/>
    <w:rsid w:val="009E3C94"/>
    <w:rsid w:val="009E6C32"/>
    <w:rsid w:val="009F2844"/>
    <w:rsid w:val="009F3903"/>
    <w:rsid w:val="009F47BB"/>
    <w:rsid w:val="009F50B1"/>
    <w:rsid w:val="009F67A7"/>
    <w:rsid w:val="009F6F78"/>
    <w:rsid w:val="00A01EE7"/>
    <w:rsid w:val="00A02F93"/>
    <w:rsid w:val="00A065EA"/>
    <w:rsid w:val="00A066F0"/>
    <w:rsid w:val="00A12597"/>
    <w:rsid w:val="00A12D13"/>
    <w:rsid w:val="00A12E2A"/>
    <w:rsid w:val="00A21167"/>
    <w:rsid w:val="00A21EDC"/>
    <w:rsid w:val="00A237DF"/>
    <w:rsid w:val="00A25E91"/>
    <w:rsid w:val="00A3020A"/>
    <w:rsid w:val="00A30BC2"/>
    <w:rsid w:val="00A31859"/>
    <w:rsid w:val="00A33E18"/>
    <w:rsid w:val="00A34C5B"/>
    <w:rsid w:val="00A3761F"/>
    <w:rsid w:val="00A37C81"/>
    <w:rsid w:val="00A421F5"/>
    <w:rsid w:val="00A42316"/>
    <w:rsid w:val="00A44332"/>
    <w:rsid w:val="00A5795E"/>
    <w:rsid w:val="00A62810"/>
    <w:rsid w:val="00A62D0B"/>
    <w:rsid w:val="00A6441D"/>
    <w:rsid w:val="00A73145"/>
    <w:rsid w:val="00A7584C"/>
    <w:rsid w:val="00A762DB"/>
    <w:rsid w:val="00A80AB6"/>
    <w:rsid w:val="00A81450"/>
    <w:rsid w:val="00A84569"/>
    <w:rsid w:val="00A958ED"/>
    <w:rsid w:val="00A96BB6"/>
    <w:rsid w:val="00A97A3E"/>
    <w:rsid w:val="00AA1DF8"/>
    <w:rsid w:val="00AA4F99"/>
    <w:rsid w:val="00AA5A50"/>
    <w:rsid w:val="00AA6524"/>
    <w:rsid w:val="00AB3098"/>
    <w:rsid w:val="00AB6ABA"/>
    <w:rsid w:val="00AC15FE"/>
    <w:rsid w:val="00AC23B6"/>
    <w:rsid w:val="00AC40E6"/>
    <w:rsid w:val="00AC4696"/>
    <w:rsid w:val="00AC4F57"/>
    <w:rsid w:val="00AC7A35"/>
    <w:rsid w:val="00AD3986"/>
    <w:rsid w:val="00AD5139"/>
    <w:rsid w:val="00AD5E0B"/>
    <w:rsid w:val="00AD72BC"/>
    <w:rsid w:val="00AD749F"/>
    <w:rsid w:val="00AE5FB4"/>
    <w:rsid w:val="00AF3F96"/>
    <w:rsid w:val="00AF4E0B"/>
    <w:rsid w:val="00B00237"/>
    <w:rsid w:val="00B0195F"/>
    <w:rsid w:val="00B040B0"/>
    <w:rsid w:val="00B0488A"/>
    <w:rsid w:val="00B05DCC"/>
    <w:rsid w:val="00B10216"/>
    <w:rsid w:val="00B13DE9"/>
    <w:rsid w:val="00B148B7"/>
    <w:rsid w:val="00B15FC1"/>
    <w:rsid w:val="00B2042D"/>
    <w:rsid w:val="00B3113C"/>
    <w:rsid w:val="00B32765"/>
    <w:rsid w:val="00B3291A"/>
    <w:rsid w:val="00B332BD"/>
    <w:rsid w:val="00B3614E"/>
    <w:rsid w:val="00B401D3"/>
    <w:rsid w:val="00B4110E"/>
    <w:rsid w:val="00B46D6A"/>
    <w:rsid w:val="00B46EB2"/>
    <w:rsid w:val="00B510AC"/>
    <w:rsid w:val="00B52233"/>
    <w:rsid w:val="00B55130"/>
    <w:rsid w:val="00B56492"/>
    <w:rsid w:val="00B57BB6"/>
    <w:rsid w:val="00B632C7"/>
    <w:rsid w:val="00B632D9"/>
    <w:rsid w:val="00B67F31"/>
    <w:rsid w:val="00B76A2C"/>
    <w:rsid w:val="00B76D36"/>
    <w:rsid w:val="00B77B2A"/>
    <w:rsid w:val="00B80C49"/>
    <w:rsid w:val="00B82263"/>
    <w:rsid w:val="00B823D9"/>
    <w:rsid w:val="00B86648"/>
    <w:rsid w:val="00B902BC"/>
    <w:rsid w:val="00B91E21"/>
    <w:rsid w:val="00B93643"/>
    <w:rsid w:val="00B968A6"/>
    <w:rsid w:val="00B97F84"/>
    <w:rsid w:val="00BA0C5D"/>
    <w:rsid w:val="00BA30F9"/>
    <w:rsid w:val="00BA3762"/>
    <w:rsid w:val="00BA43A3"/>
    <w:rsid w:val="00BA475C"/>
    <w:rsid w:val="00BB03A1"/>
    <w:rsid w:val="00BB1EA8"/>
    <w:rsid w:val="00BB2D0E"/>
    <w:rsid w:val="00BC423E"/>
    <w:rsid w:val="00BC46C7"/>
    <w:rsid w:val="00BC5425"/>
    <w:rsid w:val="00BC6427"/>
    <w:rsid w:val="00BD03B3"/>
    <w:rsid w:val="00BD3A58"/>
    <w:rsid w:val="00BD59BD"/>
    <w:rsid w:val="00BE0A4E"/>
    <w:rsid w:val="00BE2A6A"/>
    <w:rsid w:val="00BE3268"/>
    <w:rsid w:val="00BE448C"/>
    <w:rsid w:val="00BE4958"/>
    <w:rsid w:val="00BE5757"/>
    <w:rsid w:val="00BE590E"/>
    <w:rsid w:val="00BE6031"/>
    <w:rsid w:val="00BE61AC"/>
    <w:rsid w:val="00BE63D5"/>
    <w:rsid w:val="00BF37CD"/>
    <w:rsid w:val="00BF39CB"/>
    <w:rsid w:val="00BF7F97"/>
    <w:rsid w:val="00C00CC5"/>
    <w:rsid w:val="00C017A4"/>
    <w:rsid w:val="00C04881"/>
    <w:rsid w:val="00C0546A"/>
    <w:rsid w:val="00C05A8D"/>
    <w:rsid w:val="00C156C4"/>
    <w:rsid w:val="00C160EC"/>
    <w:rsid w:val="00C1624E"/>
    <w:rsid w:val="00C204F6"/>
    <w:rsid w:val="00C2697D"/>
    <w:rsid w:val="00C27334"/>
    <w:rsid w:val="00C336EF"/>
    <w:rsid w:val="00C3403B"/>
    <w:rsid w:val="00C42671"/>
    <w:rsid w:val="00C45293"/>
    <w:rsid w:val="00C50B5E"/>
    <w:rsid w:val="00C50B8B"/>
    <w:rsid w:val="00C5110E"/>
    <w:rsid w:val="00C51F7E"/>
    <w:rsid w:val="00C5358C"/>
    <w:rsid w:val="00C55609"/>
    <w:rsid w:val="00C5571D"/>
    <w:rsid w:val="00C56C56"/>
    <w:rsid w:val="00C6065C"/>
    <w:rsid w:val="00C64289"/>
    <w:rsid w:val="00C655DB"/>
    <w:rsid w:val="00C657BB"/>
    <w:rsid w:val="00C7549D"/>
    <w:rsid w:val="00C832E4"/>
    <w:rsid w:val="00C86582"/>
    <w:rsid w:val="00C90E13"/>
    <w:rsid w:val="00C92A26"/>
    <w:rsid w:val="00CA3CC2"/>
    <w:rsid w:val="00CA4348"/>
    <w:rsid w:val="00CB171C"/>
    <w:rsid w:val="00CB7A89"/>
    <w:rsid w:val="00CC39E9"/>
    <w:rsid w:val="00CC4840"/>
    <w:rsid w:val="00CC5EB0"/>
    <w:rsid w:val="00CD00C6"/>
    <w:rsid w:val="00CD3921"/>
    <w:rsid w:val="00CD6983"/>
    <w:rsid w:val="00CD73DB"/>
    <w:rsid w:val="00CD7C20"/>
    <w:rsid w:val="00CE560B"/>
    <w:rsid w:val="00CE5E5B"/>
    <w:rsid w:val="00CE6187"/>
    <w:rsid w:val="00CE76EC"/>
    <w:rsid w:val="00CF0063"/>
    <w:rsid w:val="00CF33D4"/>
    <w:rsid w:val="00CF5015"/>
    <w:rsid w:val="00CF64F0"/>
    <w:rsid w:val="00D032CA"/>
    <w:rsid w:val="00D03F97"/>
    <w:rsid w:val="00D13106"/>
    <w:rsid w:val="00D13889"/>
    <w:rsid w:val="00D165CE"/>
    <w:rsid w:val="00D20065"/>
    <w:rsid w:val="00D21F19"/>
    <w:rsid w:val="00D21FC1"/>
    <w:rsid w:val="00D23A77"/>
    <w:rsid w:val="00D25FE7"/>
    <w:rsid w:val="00D27579"/>
    <w:rsid w:val="00D3463C"/>
    <w:rsid w:val="00D365EC"/>
    <w:rsid w:val="00D410E0"/>
    <w:rsid w:val="00D44651"/>
    <w:rsid w:val="00D46068"/>
    <w:rsid w:val="00D47C18"/>
    <w:rsid w:val="00D546E8"/>
    <w:rsid w:val="00D56369"/>
    <w:rsid w:val="00D56DA2"/>
    <w:rsid w:val="00D56F16"/>
    <w:rsid w:val="00D654E2"/>
    <w:rsid w:val="00D65936"/>
    <w:rsid w:val="00D702B8"/>
    <w:rsid w:val="00D73F7D"/>
    <w:rsid w:val="00D74924"/>
    <w:rsid w:val="00D77030"/>
    <w:rsid w:val="00D772DB"/>
    <w:rsid w:val="00D801AF"/>
    <w:rsid w:val="00D8102E"/>
    <w:rsid w:val="00D817F7"/>
    <w:rsid w:val="00D85D36"/>
    <w:rsid w:val="00D9269B"/>
    <w:rsid w:val="00D94330"/>
    <w:rsid w:val="00D946B6"/>
    <w:rsid w:val="00D949C1"/>
    <w:rsid w:val="00D97C5E"/>
    <w:rsid w:val="00DA006C"/>
    <w:rsid w:val="00DA01D9"/>
    <w:rsid w:val="00DA18B6"/>
    <w:rsid w:val="00DA44CF"/>
    <w:rsid w:val="00DA79B8"/>
    <w:rsid w:val="00DB11A3"/>
    <w:rsid w:val="00DB12E9"/>
    <w:rsid w:val="00DB12EA"/>
    <w:rsid w:val="00DB2E1F"/>
    <w:rsid w:val="00DC15FF"/>
    <w:rsid w:val="00DC249D"/>
    <w:rsid w:val="00DC2907"/>
    <w:rsid w:val="00DC3750"/>
    <w:rsid w:val="00DD308B"/>
    <w:rsid w:val="00DD3C3C"/>
    <w:rsid w:val="00DD60D9"/>
    <w:rsid w:val="00DE1B17"/>
    <w:rsid w:val="00DE1EFD"/>
    <w:rsid w:val="00DE7D14"/>
    <w:rsid w:val="00DF0786"/>
    <w:rsid w:val="00DF217C"/>
    <w:rsid w:val="00E006FC"/>
    <w:rsid w:val="00E04520"/>
    <w:rsid w:val="00E0756A"/>
    <w:rsid w:val="00E079F4"/>
    <w:rsid w:val="00E07E27"/>
    <w:rsid w:val="00E11A9D"/>
    <w:rsid w:val="00E11D5A"/>
    <w:rsid w:val="00E162E4"/>
    <w:rsid w:val="00E16573"/>
    <w:rsid w:val="00E17FE8"/>
    <w:rsid w:val="00E2094C"/>
    <w:rsid w:val="00E261C1"/>
    <w:rsid w:val="00E26975"/>
    <w:rsid w:val="00E2760C"/>
    <w:rsid w:val="00E27FC0"/>
    <w:rsid w:val="00E3084C"/>
    <w:rsid w:val="00E3748B"/>
    <w:rsid w:val="00E4114C"/>
    <w:rsid w:val="00E41EE8"/>
    <w:rsid w:val="00E44422"/>
    <w:rsid w:val="00E44EF9"/>
    <w:rsid w:val="00E5296C"/>
    <w:rsid w:val="00E52D3E"/>
    <w:rsid w:val="00E53BB5"/>
    <w:rsid w:val="00E5729A"/>
    <w:rsid w:val="00E66845"/>
    <w:rsid w:val="00E6728F"/>
    <w:rsid w:val="00E707AC"/>
    <w:rsid w:val="00E70AA9"/>
    <w:rsid w:val="00E74721"/>
    <w:rsid w:val="00E7644E"/>
    <w:rsid w:val="00E76692"/>
    <w:rsid w:val="00E81C3D"/>
    <w:rsid w:val="00E82265"/>
    <w:rsid w:val="00E869A1"/>
    <w:rsid w:val="00E9059A"/>
    <w:rsid w:val="00E906FE"/>
    <w:rsid w:val="00E93A3B"/>
    <w:rsid w:val="00E93A6B"/>
    <w:rsid w:val="00E94211"/>
    <w:rsid w:val="00E94E04"/>
    <w:rsid w:val="00EA02B8"/>
    <w:rsid w:val="00EA30D2"/>
    <w:rsid w:val="00EA3C23"/>
    <w:rsid w:val="00EA68AD"/>
    <w:rsid w:val="00EB289F"/>
    <w:rsid w:val="00EB3A6F"/>
    <w:rsid w:val="00EB72A0"/>
    <w:rsid w:val="00EB772D"/>
    <w:rsid w:val="00EC2DAB"/>
    <w:rsid w:val="00EC6958"/>
    <w:rsid w:val="00EC74AA"/>
    <w:rsid w:val="00ED2C21"/>
    <w:rsid w:val="00ED5D35"/>
    <w:rsid w:val="00ED6CE3"/>
    <w:rsid w:val="00EE0726"/>
    <w:rsid w:val="00EE6094"/>
    <w:rsid w:val="00EF2424"/>
    <w:rsid w:val="00EF3C36"/>
    <w:rsid w:val="00EF4E2E"/>
    <w:rsid w:val="00EF5369"/>
    <w:rsid w:val="00F005DE"/>
    <w:rsid w:val="00F00F60"/>
    <w:rsid w:val="00F01300"/>
    <w:rsid w:val="00F01626"/>
    <w:rsid w:val="00F04041"/>
    <w:rsid w:val="00F0432F"/>
    <w:rsid w:val="00F055B2"/>
    <w:rsid w:val="00F05E0D"/>
    <w:rsid w:val="00F11BFF"/>
    <w:rsid w:val="00F130A7"/>
    <w:rsid w:val="00F130B9"/>
    <w:rsid w:val="00F138F8"/>
    <w:rsid w:val="00F14316"/>
    <w:rsid w:val="00F17DAF"/>
    <w:rsid w:val="00F233BC"/>
    <w:rsid w:val="00F303B1"/>
    <w:rsid w:val="00F31792"/>
    <w:rsid w:val="00F32231"/>
    <w:rsid w:val="00F35630"/>
    <w:rsid w:val="00F40E14"/>
    <w:rsid w:val="00F435D8"/>
    <w:rsid w:val="00F475C9"/>
    <w:rsid w:val="00F4787D"/>
    <w:rsid w:val="00F51993"/>
    <w:rsid w:val="00F52472"/>
    <w:rsid w:val="00F52A89"/>
    <w:rsid w:val="00F53B8E"/>
    <w:rsid w:val="00F5588B"/>
    <w:rsid w:val="00F6169D"/>
    <w:rsid w:val="00F62B6F"/>
    <w:rsid w:val="00F70E8D"/>
    <w:rsid w:val="00F7186F"/>
    <w:rsid w:val="00F7349B"/>
    <w:rsid w:val="00F73902"/>
    <w:rsid w:val="00F74E35"/>
    <w:rsid w:val="00F7556C"/>
    <w:rsid w:val="00F77B94"/>
    <w:rsid w:val="00F82880"/>
    <w:rsid w:val="00F82B32"/>
    <w:rsid w:val="00F82B35"/>
    <w:rsid w:val="00F8427A"/>
    <w:rsid w:val="00F863A1"/>
    <w:rsid w:val="00F863BF"/>
    <w:rsid w:val="00F874CB"/>
    <w:rsid w:val="00F91566"/>
    <w:rsid w:val="00F91EC9"/>
    <w:rsid w:val="00F945BA"/>
    <w:rsid w:val="00F94B30"/>
    <w:rsid w:val="00FA3571"/>
    <w:rsid w:val="00FA6C81"/>
    <w:rsid w:val="00FA71C6"/>
    <w:rsid w:val="00FB4291"/>
    <w:rsid w:val="00FC2355"/>
    <w:rsid w:val="00FC295D"/>
    <w:rsid w:val="00FC57CD"/>
    <w:rsid w:val="00FC59DA"/>
    <w:rsid w:val="00FC71F8"/>
    <w:rsid w:val="00FD110D"/>
    <w:rsid w:val="00FD2639"/>
    <w:rsid w:val="00FD55AF"/>
    <w:rsid w:val="00FD5C37"/>
    <w:rsid w:val="00FE02D3"/>
    <w:rsid w:val="00FE124C"/>
    <w:rsid w:val="00FE2AD8"/>
    <w:rsid w:val="00FE3A48"/>
    <w:rsid w:val="00FE53F8"/>
    <w:rsid w:val="00FF003E"/>
    <w:rsid w:val="00FF2D99"/>
    <w:rsid w:val="00FF4347"/>
    <w:rsid w:val="00FF4D87"/>
    <w:rsid w:val="00FF6ADF"/>
    <w:rsid w:val="00FF7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C732B6"/>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23F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523FCB"/>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0B31E2"/>
    <w:rPr>
      <w:b/>
      <w:bCs/>
    </w:rPr>
  </w:style>
  <w:style w:type="character" w:customStyle="1" w:styleId="AsuntodelcomentarioCar">
    <w:name w:val="Asunto del comentario Car"/>
    <w:basedOn w:val="TextocomentarioCar"/>
    <w:link w:val="Asuntodelcomentario"/>
    <w:uiPriority w:val="99"/>
    <w:semiHidden/>
    <w:rsid w:val="000B31E2"/>
    <w:rPr>
      <w:rFonts w:ascii="Calibri" w:eastAsia="Calibri" w:hAnsi="Calibri" w:cs="Times New Roman"/>
      <w:b/>
      <w:bCs/>
      <w:sz w:val="20"/>
      <w:szCs w:val="20"/>
    </w:rPr>
  </w:style>
  <w:style w:type="paragraph" w:customStyle="1" w:styleId="1TitPrin">
    <w:name w:val="1TitPrin"/>
    <w:basedOn w:val="Ttulo1"/>
    <w:link w:val="1TitPrinCar"/>
    <w:autoRedefine/>
    <w:qFormat/>
    <w:rsid w:val="00523FCB"/>
    <w:pPr>
      <w:keepNext w:val="0"/>
      <w:keepLines w:val="0"/>
      <w:spacing w:before="0" w:afterLines="50" w:after="120"/>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523FCB"/>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523FCB"/>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523FCB"/>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8049">
      <w:bodyDiv w:val="1"/>
      <w:marLeft w:val="0"/>
      <w:marRight w:val="0"/>
      <w:marTop w:val="0"/>
      <w:marBottom w:val="0"/>
      <w:divBdr>
        <w:top w:val="none" w:sz="0" w:space="0" w:color="auto"/>
        <w:left w:val="none" w:sz="0" w:space="0" w:color="auto"/>
        <w:bottom w:val="none" w:sz="0" w:space="0" w:color="auto"/>
        <w:right w:val="none" w:sz="0" w:space="0" w:color="auto"/>
      </w:divBdr>
    </w:div>
    <w:div w:id="418135657">
      <w:bodyDiv w:val="1"/>
      <w:marLeft w:val="0"/>
      <w:marRight w:val="0"/>
      <w:marTop w:val="0"/>
      <w:marBottom w:val="0"/>
      <w:divBdr>
        <w:top w:val="none" w:sz="0" w:space="0" w:color="auto"/>
        <w:left w:val="none" w:sz="0" w:space="0" w:color="auto"/>
        <w:bottom w:val="none" w:sz="0" w:space="0" w:color="auto"/>
        <w:right w:val="none" w:sz="0" w:space="0" w:color="auto"/>
      </w:divBdr>
    </w:div>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1054623596">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79298476">
      <w:bodyDiv w:val="1"/>
      <w:marLeft w:val="0"/>
      <w:marRight w:val="0"/>
      <w:marTop w:val="0"/>
      <w:marBottom w:val="0"/>
      <w:divBdr>
        <w:top w:val="none" w:sz="0" w:space="0" w:color="auto"/>
        <w:left w:val="none" w:sz="0" w:space="0" w:color="auto"/>
        <w:bottom w:val="none" w:sz="0" w:space="0" w:color="auto"/>
        <w:right w:val="none" w:sz="0" w:space="0" w:color="auto"/>
      </w:divBdr>
    </w:div>
    <w:div w:id="1639723053">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1924215869">
      <w:bodyDiv w:val="1"/>
      <w:marLeft w:val="0"/>
      <w:marRight w:val="0"/>
      <w:marTop w:val="0"/>
      <w:marBottom w:val="0"/>
      <w:divBdr>
        <w:top w:val="none" w:sz="0" w:space="0" w:color="auto"/>
        <w:left w:val="none" w:sz="0" w:space="0" w:color="auto"/>
        <w:bottom w:val="none" w:sz="0" w:space="0" w:color="auto"/>
        <w:right w:val="none" w:sz="0" w:space="0" w:color="auto"/>
      </w:divBdr>
    </w:div>
    <w:div w:id="2010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72DE4-25DE-48CD-A804-4D7841C70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A7327D-5E92-42E4-A9FC-557AD86C88DF}">
  <ds:schemaRefs>
    <ds:schemaRef ds:uri="http://schemas.microsoft.com/sharepoint/v3/contenttype/forms"/>
  </ds:schemaRefs>
</ds:datastoreItem>
</file>

<file path=customXml/itemProps3.xml><?xml version="1.0" encoding="utf-8"?>
<ds:datastoreItem xmlns:ds="http://schemas.openxmlformats.org/officeDocument/2006/customXml" ds:itemID="{72D7E0A7-287B-413E-9A21-C7E4C8AA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DD0C97-A841-477A-AFE8-CA93C178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4540</Words>
  <Characters>24971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Cesar Vicente Perez Gaytan</cp:lastModifiedBy>
  <cp:revision>3</cp:revision>
  <cp:lastPrinted>2017-12-20T18:21:00Z</cp:lastPrinted>
  <dcterms:created xsi:type="dcterms:W3CDTF">2018-01-05T16:53:00Z</dcterms:created>
  <dcterms:modified xsi:type="dcterms:W3CDTF">2018-01-05T16:57:00Z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