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7F171" w14:textId="77777777" w:rsidR="002B640D" w:rsidRPr="002B640D" w:rsidRDefault="002541D7" w:rsidP="002B640D">
      <w:pPr>
        <w:pStyle w:val="Ttulo1"/>
        <w:spacing w:before="240"/>
      </w:pPr>
      <w:r w:rsidRPr="002B640D">
        <w:t xml:space="preserve">ACUERDO MEDIANTE LA CUAL EL PLENO DEL INSTITUTO FEDERAL DE TELECOMUNICACIONES </w:t>
      </w:r>
      <w:r w:rsidR="00804286" w:rsidRPr="002B640D">
        <w:t xml:space="preserve">EXPIDE </w:t>
      </w:r>
      <w:r w:rsidR="009C3106" w:rsidRPr="002B640D">
        <w:t>EL MODELO DE RED DE ACCESO FIJO</w:t>
      </w:r>
      <w:r w:rsidR="00F01431" w:rsidRPr="002B640D">
        <w:t xml:space="preserve"> Y </w:t>
      </w:r>
      <w:r w:rsidR="009C3106" w:rsidRPr="002B640D">
        <w:t xml:space="preserve">EL MODELO DE </w:t>
      </w:r>
      <w:r w:rsidR="00F01431" w:rsidRPr="002B640D">
        <w:t>ACCESO A TORRE</w:t>
      </w:r>
      <w:r w:rsidR="00C32529" w:rsidRPr="002B640D">
        <w:t>S</w:t>
      </w:r>
      <w:r w:rsidR="009D32E7" w:rsidRPr="002B640D">
        <w:t xml:space="preserve"> PARA SERVICIOS DE LA OFERTA DE REFERENCIA PARA </w:t>
      </w:r>
      <w:r w:rsidR="00AE57CE" w:rsidRPr="002B640D">
        <w:t>LA PRESTACIÓN DEL SERVICIO DE ACCESO Y USO COMPARTIDO DE INFRAESTRUCTURA PASIVA FIJA</w:t>
      </w:r>
      <w:r w:rsidR="007F62AA" w:rsidRPr="002B640D">
        <w:t xml:space="preserve"> DEL AGENTE ECONÓMICO PREPONDERANTE EN EL SECTOR TELECOMUNICACIONES</w:t>
      </w:r>
    </w:p>
    <w:p w14:paraId="64D7F933" w14:textId="422F9730" w:rsidR="002B640D" w:rsidRPr="002B640D" w:rsidRDefault="002541D7" w:rsidP="002B640D">
      <w:pPr>
        <w:pStyle w:val="Ttulo2"/>
        <w:keepLines/>
        <w:spacing w:before="240" w:after="240"/>
        <w:jc w:val="center"/>
        <w:rPr>
          <w:rFonts w:eastAsiaTheme="majorEastAsia" w:cstheme="majorBidi"/>
          <w:bCs w:val="0"/>
          <w:color w:val="000000" w:themeColor="text1"/>
        </w:rPr>
      </w:pPr>
      <w:r w:rsidRPr="002B640D">
        <w:rPr>
          <w:rFonts w:eastAsiaTheme="majorEastAsia" w:cstheme="majorBidi"/>
          <w:bCs w:val="0"/>
          <w:color w:val="000000" w:themeColor="text1"/>
        </w:rPr>
        <w:t>ANTECEDENTES</w:t>
      </w:r>
    </w:p>
    <w:p w14:paraId="63A26F14" w14:textId="77777777" w:rsidR="002B640D" w:rsidRPr="002B640D" w:rsidRDefault="00F4409F" w:rsidP="002B640D">
      <w:pPr>
        <w:pStyle w:val="Prrafodelista"/>
        <w:numPr>
          <w:ilvl w:val="0"/>
          <w:numId w:val="6"/>
        </w:numPr>
        <w:spacing w:before="240" w:after="0"/>
        <w:ind w:hanging="578"/>
        <w:jc w:val="both"/>
        <w:rPr>
          <w:rFonts w:ascii="ITC Avant Garde" w:hAnsi="ITC Avant Garde" w:cs="Arial"/>
          <w:lang w:eastAsia="es-ES"/>
        </w:rPr>
      </w:pPr>
      <w:bookmarkStart w:id="0" w:name="_Toc426649745"/>
      <w:r w:rsidRPr="002B640D">
        <w:rPr>
          <w:rFonts w:ascii="ITC Avant Garde" w:hAnsi="ITC Avant Garde" w:cs="Arial"/>
          <w:b/>
          <w:lang w:eastAsia="es-ES"/>
        </w:rPr>
        <w:t>Decreto de Reforma Constitucional.</w:t>
      </w:r>
      <w:r w:rsidRPr="002B640D">
        <w:rPr>
          <w:rFonts w:ascii="ITC Avant Garde" w:hAnsi="ITC Avant Garde" w:cs="Arial"/>
          <w:lang w:eastAsia="es-ES"/>
        </w:rPr>
        <w:t xml:space="preserve"> El 11 de junio de 2013, se publicó en el Diario Oficial de la Federación (en lo sucesivo, “DOF”), el “DECRETO por el que se reforman y adicionan diversas disposiciones de los artículos 6o., 7o., 27, 28, 73, 78, 94 y 105 de la Constitución Política de los Estados Unidos Mexicanos, en materia de telecomunicaciones” (en lo sucesivo, “Decreto”), mediante el cual se creó al Instituto Federal de Telecomunicaciones (en lo sucesivo, “Instituto”), como un órgano autónomo con personalidad jurídica y patrimonio propio, cuyo objeto es el desarrollo eficiente de la radiodifusión y las telecomunicaciones conforme a lo dispuesto en la propia Constitución Política de los Estados Unidos Mexicanos (en lo sucesivo, “Constitución”) y en los términos que fijen las leyes.</w:t>
      </w:r>
    </w:p>
    <w:p w14:paraId="42AFCC08" w14:textId="77777777" w:rsidR="002B640D" w:rsidRPr="002B640D" w:rsidRDefault="00F4409F" w:rsidP="002B640D">
      <w:pPr>
        <w:pStyle w:val="IFTnormal"/>
        <w:spacing w:before="240" w:after="0"/>
        <w:ind w:left="720"/>
        <w:rPr>
          <w:color w:val="auto"/>
          <w:lang w:val="es-MX"/>
        </w:rPr>
      </w:pPr>
      <w:r w:rsidRPr="002B640D">
        <w:rPr>
          <w:color w:val="auto"/>
          <w:lang w:val="es-MX"/>
        </w:rPr>
        <w:t>El artículo Octavo transitorio, fracción III del Decreto, confirió la atribución al Instituto para determinar la existencia de Agentes Económicos Preponderantes en los sectores de radiodifusión y de telecomunicaciones, e imponer las medidas necesarias para evitar que se afecte la competencia y la libre concurrencia y, con ello, a los usuarios finales.</w:t>
      </w:r>
    </w:p>
    <w:p w14:paraId="5DA0C537" w14:textId="77777777" w:rsidR="002B640D" w:rsidRPr="002B640D" w:rsidRDefault="002541D7" w:rsidP="002B640D">
      <w:pPr>
        <w:pStyle w:val="IFTnormal"/>
        <w:numPr>
          <w:ilvl w:val="0"/>
          <w:numId w:val="6"/>
        </w:numPr>
        <w:spacing w:before="240" w:after="0"/>
        <w:rPr>
          <w:color w:val="auto"/>
          <w:lang w:val="es-MX"/>
        </w:rPr>
      </w:pPr>
      <w:r w:rsidRPr="002B640D">
        <w:rPr>
          <w:b/>
          <w:color w:val="auto"/>
          <w:lang w:val="es-MX"/>
        </w:rPr>
        <w:t>Determinación del Agente Económico Preponderante.</w:t>
      </w:r>
      <w:r w:rsidRPr="002B640D">
        <w:rPr>
          <w:color w:val="auto"/>
          <w:lang w:val="es-MX"/>
        </w:rPr>
        <w:t xml:space="preserve"> Con fecha 6 de marzo de 2014, el Pleno del Instituto en su V Sesión Extraordinaria, aprobó</w:t>
      </w:r>
      <w:r w:rsidR="003F15FF" w:rsidRPr="002B640D">
        <w:rPr>
          <w:color w:val="auto"/>
          <w:lang w:val="es-MX"/>
        </w:rPr>
        <w:t xml:space="preserve"> por acuerdo P/IFT/EXT/060314/7</w:t>
      </w:r>
      <w:r w:rsidR="00AD21B0" w:rsidRPr="002B640D">
        <w:rPr>
          <w:color w:val="auto"/>
          <w:lang w:val="es-MX"/>
        </w:rPr>
        <w:t>6</w:t>
      </w:r>
      <w:r w:rsidRPr="002B640D">
        <w:rPr>
          <w:color w:val="auto"/>
          <w:lang w:val="es-MX"/>
        </w:rPr>
        <w:t xml:space="preserve"> la </w:t>
      </w:r>
      <w:r w:rsidRPr="002B640D">
        <w:rPr>
          <w:rFonts w:eastAsia="Times New Roman"/>
          <w:color w:val="auto"/>
          <w:lang w:val="es-MX"/>
        </w:rPr>
        <w:t>"</w:t>
      </w:r>
      <w:r w:rsidR="00AD21B0" w:rsidRPr="002B640D">
        <w:rPr>
          <w:rFonts w:eastAsia="Times New Roman"/>
        </w:rPr>
        <w:t xml:space="preserve">RESOLUCIÓN MEDIANTE LA CUAL EL PLENO DEL INSTITUTO FEDERAL DE TELECOMUNICACIONES DETERMINA AL GRUPO DE INTERÉS ECONÓMICO DEL QUE FORMAN PARTE AMÉRICA MÓVIL, S.A.B. DE C. V., TELÉFONOS DE MEXICO, S.A.B. DE C. V., TELÉFONOS DEL NOROESTE, S.A. DE C.V., RADIOMÓVIL DIPSA, S.A.B. DE C.V., GRUPO CARSO, S.A.B. DE C.V., Y GRUPO FINANCIERO INBURSA, S.A.B. DE C.V., COMO AGENTE ECONÓMICO PREPONDERANTE EN EL SECTOR DE TELECOMUNICACIONES Y </w:t>
      </w:r>
      <w:r w:rsidR="00AD21B0" w:rsidRPr="002B640D">
        <w:rPr>
          <w:rFonts w:eastAsia="Times New Roman"/>
        </w:rPr>
        <w:lastRenderedPageBreak/>
        <w:t>LE IMPONE LAS MEDIDAS NECESARIAS PARA EVITAR QUE SE AFECTE LA COMPETENCIA Y LA LIBRE CONCURRENCIA</w:t>
      </w:r>
      <w:r w:rsidRPr="002B640D">
        <w:rPr>
          <w:rFonts w:eastAsia="Times New Roman"/>
          <w:color w:val="auto"/>
          <w:lang w:val="es-MX"/>
        </w:rPr>
        <w:t>" (en lo sucesivo, “Resolución AEP”</w:t>
      </w:r>
      <w:r w:rsidR="00BC3B49" w:rsidRPr="002B640D">
        <w:rPr>
          <w:rFonts w:eastAsia="Times New Roman"/>
          <w:color w:val="auto"/>
          <w:lang w:val="es-MX"/>
        </w:rPr>
        <w:t xml:space="preserve"> y de manera general para todos sus integrantes se denominarán como “AEP”</w:t>
      </w:r>
      <w:r w:rsidRPr="002B640D">
        <w:rPr>
          <w:rFonts w:eastAsia="Times New Roman"/>
          <w:color w:val="auto"/>
          <w:lang w:val="es-MX"/>
        </w:rPr>
        <w:t>)</w:t>
      </w:r>
      <w:r w:rsidRPr="002B640D">
        <w:rPr>
          <w:color w:val="auto"/>
          <w:lang w:val="es-MX"/>
        </w:rPr>
        <w:t>.</w:t>
      </w:r>
    </w:p>
    <w:p w14:paraId="4369CC45" w14:textId="77777777" w:rsidR="002B640D" w:rsidRPr="002B640D" w:rsidRDefault="00F01431" w:rsidP="002B640D">
      <w:pPr>
        <w:pStyle w:val="IFTnormal"/>
        <w:spacing w:before="240" w:after="0"/>
        <w:ind w:left="720"/>
        <w:rPr>
          <w:color w:val="auto"/>
          <w:lang w:val="es-MX"/>
        </w:rPr>
      </w:pPr>
      <w:r w:rsidRPr="002B640D">
        <w:rPr>
          <w:color w:val="auto"/>
          <w:lang w:val="es-MX"/>
        </w:rPr>
        <w:t>En la Resolución AEP el Pleno del Instituto emitió el Anexo 2 denominado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 (en lo sucesivo, “Medidas Fijas”).</w:t>
      </w:r>
    </w:p>
    <w:p w14:paraId="22F0205E" w14:textId="77777777" w:rsidR="002B640D" w:rsidRPr="002B640D" w:rsidRDefault="002541D7" w:rsidP="002B640D">
      <w:pPr>
        <w:pStyle w:val="IFTnormal"/>
        <w:numPr>
          <w:ilvl w:val="0"/>
          <w:numId w:val="6"/>
        </w:numPr>
        <w:spacing w:before="240" w:after="0"/>
        <w:rPr>
          <w:color w:val="auto"/>
          <w:lang w:val="es-MX"/>
        </w:rPr>
      </w:pPr>
      <w:r w:rsidRPr="002B640D">
        <w:rPr>
          <w:b/>
          <w:color w:val="auto"/>
          <w:lang w:val="es-MX"/>
        </w:rPr>
        <w:t xml:space="preserve">Ley Federal de Telecomunicaciones y Radiodifusión. </w:t>
      </w:r>
      <w:r w:rsidRPr="002B640D">
        <w:rPr>
          <w:color w:val="auto"/>
          <w:lang w:val="es-MX"/>
        </w:rPr>
        <w:t>Con fecha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“Decreto de Ley”) entrando en vigor la Ley Federal de Telecomunicaciones y Radiodifusión (en lo sucesivo, “LFTR”) el 13 de agosto del 2014</w:t>
      </w:r>
      <w:r w:rsidR="00F06C5E" w:rsidRPr="002B640D">
        <w:rPr>
          <w:color w:val="auto"/>
          <w:lang w:val="es-MX"/>
        </w:rPr>
        <w:t>, siendo</w:t>
      </w:r>
      <w:r w:rsidR="00F06C5E" w:rsidRPr="002B640D">
        <w:t xml:space="preserve"> reformada el 27 de enero de 2017.</w:t>
      </w:r>
    </w:p>
    <w:p w14:paraId="060C97B6" w14:textId="77777777" w:rsidR="002B640D" w:rsidRPr="002B640D" w:rsidRDefault="002541D7" w:rsidP="002B640D">
      <w:pPr>
        <w:pStyle w:val="Prrafodelista"/>
        <w:numPr>
          <w:ilvl w:val="0"/>
          <w:numId w:val="6"/>
        </w:numPr>
        <w:spacing w:before="240" w:after="0"/>
        <w:jc w:val="both"/>
        <w:rPr>
          <w:rFonts w:ascii="ITC Avant Garde" w:hAnsi="ITC Avant Garde" w:cs="Arial"/>
          <w:lang w:eastAsia="es-ES"/>
        </w:rPr>
      </w:pPr>
      <w:r w:rsidRPr="002B640D">
        <w:rPr>
          <w:rFonts w:ascii="ITC Avant Garde" w:hAnsi="ITC Avant Garde"/>
          <w:b/>
        </w:rPr>
        <w:t>Estatuto Orgánico del Instituto Federal de Telecomunicaciones.</w:t>
      </w:r>
      <w:r w:rsidRPr="002B640D">
        <w:rPr>
          <w:rFonts w:ascii="ITC Avant Garde" w:hAnsi="ITC Avant Garde"/>
        </w:rPr>
        <w:t xml:space="preserve"> </w:t>
      </w:r>
      <w:r w:rsidRPr="002B640D">
        <w:rPr>
          <w:rFonts w:ascii="ITC Avant Garde" w:hAnsi="ITC Avant Garde" w:cs="Arial"/>
          <w:lang w:eastAsia="es-ES"/>
        </w:rPr>
        <w:t>El 4 de septiembre de 2014 se publicó en el DOF el “ESTATUTO Orgánico del Instituto Federal de Telecomunicaciones” (en lo sucesivo, “Estatuto”), mismo que entró en vigor el 26 de septiembre de 2014</w:t>
      </w:r>
      <w:r w:rsidR="00F06C5E" w:rsidRPr="002B640D">
        <w:rPr>
          <w:rFonts w:ascii="ITC Avant Garde" w:hAnsi="ITC Avant Garde" w:cs="Arial"/>
          <w:lang w:eastAsia="es-ES"/>
        </w:rPr>
        <w:t xml:space="preserve">, siendo </w:t>
      </w:r>
      <w:r w:rsidR="00F06C5E" w:rsidRPr="002B640D">
        <w:rPr>
          <w:rFonts w:ascii="ITC Avant Garde" w:hAnsi="ITC Avant Garde"/>
          <w:lang w:val="es-ES"/>
        </w:rPr>
        <w:t>reformado el 17 de octubre de 2016.</w:t>
      </w:r>
    </w:p>
    <w:p w14:paraId="1CD71310" w14:textId="77777777" w:rsidR="002B640D" w:rsidRPr="002B640D" w:rsidRDefault="00E9107C" w:rsidP="002B640D">
      <w:pPr>
        <w:pStyle w:val="IFTnormal"/>
        <w:numPr>
          <w:ilvl w:val="0"/>
          <w:numId w:val="6"/>
        </w:numPr>
        <w:spacing w:before="240"/>
        <w:rPr>
          <w:bCs/>
          <w:lang w:val="es-MX"/>
        </w:rPr>
      </w:pPr>
      <w:r w:rsidRPr="002B640D">
        <w:rPr>
          <w:b/>
        </w:rPr>
        <w:t>Consulta Pública.</w:t>
      </w:r>
      <w:r w:rsidRPr="002B640D">
        <w:t xml:space="preserve"> El 25 de septiembre de 2015, mediante Acuerdo P/IFT/250915/419 el Pleno del Instituto en su XXI Sesión Ordinaria determinó someter a Consulta Pública por un plazo de treinta días hábiles contados a partir del día hábil siguiente al de su publicación en el portal de Internet del Instituto, los modelos de costos para la determinación de tarifas de los Servicios Mayoristas de Usuario Visitante, de Comercialización o Reventa del servicio por parte de los Operadores Móviles Virtuales, Acceso y Uso </w:t>
      </w:r>
      <w:r w:rsidRPr="002B640D">
        <w:lastRenderedPageBreak/>
        <w:t>Compartido de Infraestructura Pasiva</w:t>
      </w:r>
      <w:r w:rsidR="003C347C" w:rsidRPr="002B640D">
        <w:rPr>
          <w:lang w:val="es-419"/>
        </w:rPr>
        <w:t xml:space="preserve"> (incluyendo los entonces llamados </w:t>
      </w:r>
      <w:r w:rsidR="003C347C" w:rsidRPr="002B640D">
        <w:rPr>
          <w:bCs/>
          <w:color w:val="auto"/>
          <w:lang w:val="es-MX" w:eastAsia="en-US"/>
        </w:rPr>
        <w:t xml:space="preserve"> </w:t>
      </w:r>
      <w:r w:rsidR="003C347C" w:rsidRPr="002B640D">
        <w:rPr>
          <w:bCs/>
          <w:color w:val="auto"/>
          <w:lang w:val="es-419" w:eastAsia="en-US"/>
        </w:rPr>
        <w:t>“</w:t>
      </w:r>
      <w:r w:rsidR="003C347C" w:rsidRPr="002B640D">
        <w:rPr>
          <w:bCs/>
          <w:lang w:val="es-MX"/>
        </w:rPr>
        <w:t>Modelo de red de acceso fija para servicios de desagregación y compartición de infraestructura</w:t>
      </w:r>
      <w:r w:rsidR="003C347C" w:rsidRPr="002B640D">
        <w:rPr>
          <w:bCs/>
          <w:lang w:val="es-419"/>
        </w:rPr>
        <w:t>” y</w:t>
      </w:r>
      <w:r w:rsidR="003C347C" w:rsidRPr="002B640D">
        <w:rPr>
          <w:bCs/>
        </w:rPr>
        <w:t xml:space="preserve"> </w:t>
      </w:r>
      <w:r w:rsidR="003C347C" w:rsidRPr="002B640D">
        <w:rPr>
          <w:bCs/>
          <w:lang w:val="es-419"/>
        </w:rPr>
        <w:t>el “</w:t>
      </w:r>
      <w:r w:rsidR="003C347C" w:rsidRPr="002B640D">
        <w:rPr>
          <w:bCs/>
          <w:lang w:val="es-MX"/>
        </w:rPr>
        <w:t xml:space="preserve">Modelo de </w:t>
      </w:r>
      <w:proofErr w:type="spellStart"/>
      <w:r w:rsidR="003C347C" w:rsidRPr="002B640D">
        <w:rPr>
          <w:bCs/>
          <w:lang w:val="es-MX"/>
        </w:rPr>
        <w:t>coubicación</w:t>
      </w:r>
      <w:proofErr w:type="spellEnd"/>
      <w:r w:rsidR="003C347C" w:rsidRPr="002B640D">
        <w:rPr>
          <w:bCs/>
          <w:lang w:val="es-MX"/>
        </w:rPr>
        <w:t xml:space="preserve"> móvil</w:t>
      </w:r>
      <w:r w:rsidR="003C347C" w:rsidRPr="002B640D">
        <w:rPr>
          <w:bCs/>
          <w:lang w:val="es-419"/>
        </w:rPr>
        <w:t>”)</w:t>
      </w:r>
      <w:r w:rsidRPr="002B640D">
        <w:t xml:space="preserve">, Arrendamiento de Enlaces Dedicados Locales, de Larga Distancia Nacional, de Larga Distancia Internacional, y Servicios de Desagregación Efectiva de la Red Local, incluyendo los servicios de </w:t>
      </w:r>
      <w:proofErr w:type="spellStart"/>
      <w:r w:rsidRPr="002B640D">
        <w:t>coubicación</w:t>
      </w:r>
      <w:proofErr w:type="spellEnd"/>
      <w:r w:rsidRPr="002B640D">
        <w:t xml:space="preserve">, que serán prestados por el AEP en el sector de las telecomunicaciones. </w:t>
      </w:r>
    </w:p>
    <w:p w14:paraId="4CEBF1FB" w14:textId="77777777" w:rsidR="002B640D" w:rsidRPr="002B640D" w:rsidRDefault="00E9107C" w:rsidP="002B640D">
      <w:pPr>
        <w:pStyle w:val="IFTnormal"/>
        <w:spacing w:before="240" w:after="0"/>
        <w:ind w:left="720"/>
        <w:rPr>
          <w:b/>
          <w:color w:val="auto"/>
          <w:lang w:val="es-MX"/>
        </w:rPr>
      </w:pPr>
      <w:r w:rsidRPr="002B640D">
        <w:t>En ese sentido, la consulta pública de mérito se realizó del 1 de octubre al 11 de noviembre de 2015.</w:t>
      </w:r>
    </w:p>
    <w:p w14:paraId="5D40599D" w14:textId="77777777" w:rsidR="002B640D" w:rsidRPr="002B640D" w:rsidRDefault="00F06C5E" w:rsidP="002B640D">
      <w:pPr>
        <w:pStyle w:val="IFTnormal"/>
        <w:numPr>
          <w:ilvl w:val="0"/>
          <w:numId w:val="6"/>
        </w:numPr>
        <w:spacing w:before="240" w:after="0"/>
        <w:rPr>
          <w:color w:val="auto"/>
          <w:lang w:val="es-MX"/>
        </w:rPr>
      </w:pPr>
      <w:r w:rsidRPr="002B640D">
        <w:rPr>
          <w:b/>
          <w:color w:val="auto"/>
          <w:lang w:val="es-MX"/>
        </w:rPr>
        <w:t xml:space="preserve">Oferta de Referencia Telmex. </w:t>
      </w:r>
      <w:r w:rsidRPr="002B640D">
        <w:rPr>
          <w:color w:val="auto"/>
          <w:lang w:val="es-MX"/>
        </w:rPr>
        <w:t>El 24 de noviembre de 2015, mediante Acuerdo P/IFT/EXT/241115/174 el Pleno del Instituto en su XLVI Sesión Extraordinaria aprobó la “RESOLUCIÓN MEDIANTE LA CUAL EL PLENO DEL INSTITUTO FEDERAL DE TELECOMUNICACIONES MODIFICA Y AUTORIZA AL AGENTE ECONÓMICO PREPONDERANTE LOS TÉRMINOS Y CONDICIONES DE LA OFERTA DE REFERENCIA PARA EL ACCESO Y USO COMPARTIDO DE INFRAESTRUCTURA PASIVA, PRESENTADA POR TELÉFONOS DE MÉXICO, S.A.B. DE C.V., APLICABLES DEL 1 DE ENERO DE 2016 AL 31 DE DICIEMBRE DE 2017” (en lo sucesivo, “Oferta de Referencia de Telmex”).</w:t>
      </w:r>
    </w:p>
    <w:p w14:paraId="01A8D878" w14:textId="77777777" w:rsidR="002B640D" w:rsidRPr="002B640D" w:rsidRDefault="00F06C5E" w:rsidP="002B640D">
      <w:pPr>
        <w:pStyle w:val="IFTnormal"/>
        <w:numPr>
          <w:ilvl w:val="0"/>
          <w:numId w:val="6"/>
        </w:numPr>
        <w:spacing w:before="240" w:after="0"/>
        <w:rPr>
          <w:color w:val="auto"/>
          <w:lang w:val="es-MX"/>
        </w:rPr>
      </w:pPr>
      <w:r w:rsidRPr="002B640D">
        <w:rPr>
          <w:b/>
          <w:color w:val="auto"/>
          <w:lang w:val="es-MX"/>
        </w:rPr>
        <w:t xml:space="preserve">Oferta de Referencia </w:t>
      </w:r>
      <w:proofErr w:type="spellStart"/>
      <w:r w:rsidRPr="002B640D">
        <w:rPr>
          <w:b/>
          <w:color w:val="auto"/>
          <w:lang w:val="es-MX"/>
        </w:rPr>
        <w:t>Telnor</w:t>
      </w:r>
      <w:proofErr w:type="spellEnd"/>
      <w:r w:rsidRPr="002B640D">
        <w:rPr>
          <w:b/>
          <w:color w:val="auto"/>
          <w:lang w:val="es-MX"/>
        </w:rPr>
        <w:t xml:space="preserve">. </w:t>
      </w:r>
      <w:r w:rsidRPr="002B640D">
        <w:rPr>
          <w:color w:val="auto"/>
          <w:lang w:val="es-MX"/>
        </w:rPr>
        <w:t xml:space="preserve">El 24 de noviembre de 2015, mediante Acuerdo P/IFT/EXT/241115/175 el Pleno del Instituto en su XLVI Sesión Extraordinaria aprobó la “RESOLUCIÓN MEDIANTE LA CUAL EL PLENO DEL INSTITUTO FEDERAL DE TELECOMUNICACIONES MODIFICA Y AUTORIZA AL AGENTE ECONÓMICO PREPONDERANTE LOS TÉRMINOS Y CONDICIONES DE LA OFERTA DE REFERENCIA PARA EL ACCESO Y USO COMPARTIDO DE INFRAESTRUCTURA PASIVA, PRESENTADA POR TELÉFONOS DEL NOROESTE S.A. DE C.V., APLICABLES DEL 1 DE ENERO DE 2016 AL 31 DE DICIEMBRE DE 2017” (en lo sucesivo, “Oferta de Referencia de </w:t>
      </w:r>
      <w:proofErr w:type="spellStart"/>
      <w:r w:rsidRPr="002B640D">
        <w:rPr>
          <w:color w:val="auto"/>
          <w:lang w:val="es-MX"/>
        </w:rPr>
        <w:t>Telnor</w:t>
      </w:r>
      <w:proofErr w:type="spellEnd"/>
      <w:r w:rsidRPr="002B640D">
        <w:rPr>
          <w:color w:val="auto"/>
          <w:lang w:val="es-MX"/>
        </w:rPr>
        <w:t>”).</w:t>
      </w:r>
    </w:p>
    <w:p w14:paraId="1EFF5D50" w14:textId="77777777" w:rsidR="002B640D" w:rsidRPr="002B640D" w:rsidRDefault="00313B36" w:rsidP="002B640D">
      <w:pPr>
        <w:pStyle w:val="IFTnormal"/>
        <w:numPr>
          <w:ilvl w:val="0"/>
          <w:numId w:val="6"/>
        </w:numPr>
        <w:spacing w:before="240" w:after="0"/>
        <w:rPr>
          <w:color w:val="auto"/>
          <w:lang w:val="es-MX"/>
        </w:rPr>
      </w:pPr>
      <w:r w:rsidRPr="002B640D">
        <w:rPr>
          <w:b/>
          <w:color w:val="auto"/>
          <w:lang w:val="es-MX"/>
        </w:rPr>
        <w:t xml:space="preserve">Requerimiento de información.- </w:t>
      </w:r>
      <w:r w:rsidRPr="002B640D">
        <w:rPr>
          <w:color w:val="auto"/>
          <w:lang w:val="es-MX"/>
        </w:rPr>
        <w:t>Mediante oficio IFT/221/DG-CIN/041/2017 de fecha 17 de abril de 2017</w:t>
      </w:r>
      <w:r w:rsidR="00044AD4" w:rsidRPr="002B640D">
        <w:rPr>
          <w:color w:val="auto"/>
          <w:lang w:val="es-MX"/>
        </w:rPr>
        <w:t xml:space="preserve">, notificado por instructivo de notificación a </w:t>
      </w:r>
      <w:r w:rsidRPr="002B640D">
        <w:rPr>
          <w:color w:val="auto"/>
          <w:lang w:val="es-MX"/>
        </w:rPr>
        <w:t xml:space="preserve">Teléfonos de México, S.A.B. de C.V. (en lo sucesivo, “Telmex”) y a Teléfonos del Noroeste, S.A. de C.V. </w:t>
      </w:r>
      <w:r w:rsidRPr="002B640D">
        <w:rPr>
          <w:b/>
          <w:color w:val="auto"/>
          <w:lang w:val="es-MX"/>
        </w:rPr>
        <w:t xml:space="preserve"> </w:t>
      </w:r>
      <w:r w:rsidRPr="002B640D">
        <w:rPr>
          <w:color w:val="auto"/>
          <w:lang w:val="es-MX"/>
        </w:rPr>
        <w:t>(en lo sucesivo, “</w:t>
      </w:r>
      <w:proofErr w:type="spellStart"/>
      <w:r w:rsidRPr="002B640D">
        <w:rPr>
          <w:color w:val="auto"/>
          <w:lang w:val="es-MX"/>
        </w:rPr>
        <w:t>Telnor</w:t>
      </w:r>
      <w:proofErr w:type="spellEnd"/>
      <w:r w:rsidRPr="002B640D">
        <w:rPr>
          <w:color w:val="auto"/>
          <w:lang w:val="es-MX"/>
        </w:rPr>
        <w:t xml:space="preserve">”) </w:t>
      </w:r>
      <w:r w:rsidR="00044AD4" w:rsidRPr="002B640D">
        <w:rPr>
          <w:color w:val="auto"/>
          <w:lang w:val="es-MX"/>
        </w:rPr>
        <w:t xml:space="preserve">el 19 de abril de 2017 </w:t>
      </w:r>
      <w:r w:rsidRPr="002B640D">
        <w:rPr>
          <w:color w:val="auto"/>
          <w:lang w:val="es-MX"/>
        </w:rPr>
        <w:t>se requirió a</w:t>
      </w:r>
      <w:r w:rsidR="00044AD4" w:rsidRPr="002B640D">
        <w:rPr>
          <w:color w:val="auto"/>
          <w:lang w:val="es-MX"/>
        </w:rPr>
        <w:t xml:space="preserve"> dichos concesionarios</w:t>
      </w:r>
      <w:r w:rsidRPr="002B640D">
        <w:rPr>
          <w:color w:val="auto"/>
          <w:lang w:val="es-MX"/>
        </w:rPr>
        <w:t xml:space="preserve"> para que en un término no mayor a diez días hábiles contados a partir del día siguiente a aquel en que surtiera </w:t>
      </w:r>
      <w:r w:rsidRPr="002B640D">
        <w:rPr>
          <w:color w:val="auto"/>
          <w:lang w:val="es-MX"/>
        </w:rPr>
        <w:lastRenderedPageBreak/>
        <w:t xml:space="preserve">efectos legales la notificación del citado oficio, proporcionara a este Instituto la información descrita en </w:t>
      </w:r>
      <w:r w:rsidR="006531A7" w:rsidRPr="002B640D">
        <w:rPr>
          <w:color w:val="auto"/>
          <w:lang w:val="es-MX"/>
        </w:rPr>
        <w:t>el mismo</w:t>
      </w:r>
      <w:r w:rsidRPr="002B640D">
        <w:rPr>
          <w:color w:val="auto"/>
          <w:lang w:val="es-MX"/>
        </w:rPr>
        <w:t xml:space="preserve"> (en lo sucesivo, el “Oficio de Requerimiento”).</w:t>
      </w:r>
    </w:p>
    <w:p w14:paraId="5E5CB510" w14:textId="77777777" w:rsidR="002B640D" w:rsidRPr="002B640D" w:rsidRDefault="00F054E5" w:rsidP="002B640D">
      <w:pPr>
        <w:pStyle w:val="IFTnormal"/>
        <w:spacing w:before="240" w:after="0"/>
        <w:ind w:left="720"/>
        <w:rPr>
          <w:color w:val="auto"/>
          <w:lang w:val="es-MX"/>
        </w:rPr>
      </w:pPr>
      <w:r w:rsidRPr="002B640D">
        <w:rPr>
          <w:color w:val="auto"/>
          <w:lang w:val="es-MX"/>
        </w:rPr>
        <w:t xml:space="preserve">El </w:t>
      </w:r>
      <w:r w:rsidR="00044AD4" w:rsidRPr="002B640D">
        <w:rPr>
          <w:color w:val="auto"/>
          <w:lang w:val="es-MX"/>
        </w:rPr>
        <w:t>4</w:t>
      </w:r>
      <w:r w:rsidR="00313B36" w:rsidRPr="002B640D">
        <w:rPr>
          <w:color w:val="auto"/>
          <w:lang w:val="es-MX"/>
        </w:rPr>
        <w:t xml:space="preserve"> de </w:t>
      </w:r>
      <w:r w:rsidR="00044AD4" w:rsidRPr="002B640D">
        <w:rPr>
          <w:color w:val="auto"/>
          <w:lang w:val="es-MX"/>
        </w:rPr>
        <w:t>mayo</w:t>
      </w:r>
      <w:r w:rsidRPr="002B640D">
        <w:rPr>
          <w:color w:val="auto"/>
          <w:lang w:val="es-MX"/>
        </w:rPr>
        <w:t xml:space="preserve"> de 2017</w:t>
      </w:r>
      <w:r w:rsidR="00313B36" w:rsidRPr="002B640D">
        <w:rPr>
          <w:color w:val="auto"/>
          <w:lang w:val="es-MX"/>
        </w:rPr>
        <w:t xml:space="preserve">, mediante escrito presentado ante la Oficialía de Partes de este Instituto, Telmex </w:t>
      </w:r>
      <w:r w:rsidRPr="002B640D">
        <w:rPr>
          <w:color w:val="auto"/>
          <w:lang w:val="es-MX"/>
        </w:rPr>
        <w:t xml:space="preserve">y </w:t>
      </w:r>
      <w:proofErr w:type="spellStart"/>
      <w:r w:rsidRPr="002B640D">
        <w:rPr>
          <w:color w:val="auto"/>
          <w:lang w:val="es-MX"/>
        </w:rPr>
        <w:t>Telnor</w:t>
      </w:r>
      <w:proofErr w:type="spellEnd"/>
      <w:r w:rsidRPr="002B640D">
        <w:rPr>
          <w:color w:val="auto"/>
          <w:lang w:val="es-MX"/>
        </w:rPr>
        <w:t xml:space="preserve"> </w:t>
      </w:r>
      <w:r w:rsidR="00313B36" w:rsidRPr="002B640D">
        <w:rPr>
          <w:color w:val="auto"/>
          <w:lang w:val="es-MX"/>
        </w:rPr>
        <w:t>solicit</w:t>
      </w:r>
      <w:r w:rsidRPr="002B640D">
        <w:rPr>
          <w:color w:val="auto"/>
          <w:lang w:val="es-MX"/>
        </w:rPr>
        <w:t>aron</w:t>
      </w:r>
      <w:r w:rsidR="00313B36" w:rsidRPr="002B640D">
        <w:rPr>
          <w:color w:val="auto"/>
          <w:lang w:val="es-MX"/>
        </w:rPr>
        <w:t xml:space="preserve"> una prórroga para atender la solicitud efectuada dentro del Oficio de Requerimiento. Mediante oficio IFT/221/UPR/DG-CIN/</w:t>
      </w:r>
      <w:r w:rsidRPr="002B640D">
        <w:rPr>
          <w:color w:val="auto"/>
          <w:lang w:val="es-MX"/>
        </w:rPr>
        <w:t>073</w:t>
      </w:r>
      <w:r w:rsidR="00313B36" w:rsidRPr="002B640D">
        <w:rPr>
          <w:color w:val="auto"/>
          <w:lang w:val="es-MX"/>
        </w:rPr>
        <w:t>/201</w:t>
      </w:r>
      <w:r w:rsidRPr="002B640D">
        <w:rPr>
          <w:color w:val="auto"/>
          <w:lang w:val="es-MX"/>
        </w:rPr>
        <w:t>7</w:t>
      </w:r>
      <w:r w:rsidR="00313B36" w:rsidRPr="002B640D">
        <w:rPr>
          <w:color w:val="auto"/>
          <w:lang w:val="es-MX"/>
        </w:rPr>
        <w:t xml:space="preserve"> de fecha </w:t>
      </w:r>
      <w:r w:rsidR="00044AD4" w:rsidRPr="002B640D">
        <w:rPr>
          <w:color w:val="auto"/>
          <w:lang w:val="es-MX"/>
        </w:rPr>
        <w:t>10</w:t>
      </w:r>
      <w:r w:rsidRPr="002B640D">
        <w:rPr>
          <w:color w:val="auto"/>
          <w:lang w:val="es-MX"/>
        </w:rPr>
        <w:t xml:space="preserve"> de </w:t>
      </w:r>
      <w:r w:rsidR="00044AD4" w:rsidRPr="002B640D">
        <w:rPr>
          <w:color w:val="auto"/>
          <w:lang w:val="es-MX"/>
        </w:rPr>
        <w:t>mayo</w:t>
      </w:r>
      <w:r w:rsidRPr="002B640D">
        <w:rPr>
          <w:color w:val="auto"/>
          <w:lang w:val="es-MX"/>
        </w:rPr>
        <w:t xml:space="preserve"> de 2017</w:t>
      </w:r>
      <w:r w:rsidR="00313B36" w:rsidRPr="002B640D">
        <w:rPr>
          <w:color w:val="auto"/>
          <w:lang w:val="es-MX"/>
        </w:rPr>
        <w:t xml:space="preserve">, </w:t>
      </w:r>
      <w:r w:rsidR="00044AD4" w:rsidRPr="002B640D">
        <w:rPr>
          <w:color w:val="auto"/>
          <w:lang w:val="es-MX"/>
        </w:rPr>
        <w:t xml:space="preserve">notificado por instructivo de notificación a Telmex y </w:t>
      </w:r>
      <w:proofErr w:type="spellStart"/>
      <w:r w:rsidR="00044AD4" w:rsidRPr="002B640D">
        <w:rPr>
          <w:color w:val="auto"/>
          <w:lang w:val="es-MX"/>
        </w:rPr>
        <w:t>Telnor</w:t>
      </w:r>
      <w:proofErr w:type="spellEnd"/>
      <w:r w:rsidR="00044AD4" w:rsidRPr="002B640D">
        <w:rPr>
          <w:color w:val="auto"/>
          <w:lang w:val="es-MX"/>
        </w:rPr>
        <w:t xml:space="preserve"> el 17 del mismo mes y año, </w:t>
      </w:r>
      <w:r w:rsidR="00313B36" w:rsidRPr="002B640D">
        <w:rPr>
          <w:color w:val="auto"/>
          <w:lang w:val="es-MX"/>
        </w:rPr>
        <w:t>este Instituto otorgó a dicho</w:t>
      </w:r>
      <w:r w:rsidR="00044AD4" w:rsidRPr="002B640D">
        <w:rPr>
          <w:color w:val="auto"/>
          <w:lang w:val="es-MX"/>
        </w:rPr>
        <w:t>s</w:t>
      </w:r>
      <w:r w:rsidR="00313B36" w:rsidRPr="002B640D">
        <w:rPr>
          <w:color w:val="auto"/>
          <w:lang w:val="es-MX"/>
        </w:rPr>
        <w:t xml:space="preserve"> concesionario</w:t>
      </w:r>
      <w:r w:rsidR="00044AD4" w:rsidRPr="002B640D">
        <w:rPr>
          <w:color w:val="auto"/>
          <w:lang w:val="es-MX"/>
        </w:rPr>
        <w:t>s</w:t>
      </w:r>
      <w:r w:rsidR="00313B36" w:rsidRPr="002B640D">
        <w:rPr>
          <w:color w:val="auto"/>
          <w:lang w:val="es-MX"/>
        </w:rPr>
        <w:t xml:space="preserve"> una ampliación para dar cumplimiento al Oficio de Requerimiento.</w:t>
      </w:r>
    </w:p>
    <w:p w14:paraId="479FCAE4" w14:textId="77777777" w:rsidR="002B640D" w:rsidRPr="002B640D" w:rsidRDefault="00313B36" w:rsidP="002B640D">
      <w:pPr>
        <w:pStyle w:val="IFTnormal"/>
        <w:spacing w:before="240" w:after="0"/>
        <w:ind w:left="720"/>
        <w:rPr>
          <w:color w:val="auto"/>
          <w:lang w:val="es-MX"/>
        </w:rPr>
      </w:pPr>
      <w:r w:rsidRPr="002B640D">
        <w:rPr>
          <w:color w:val="auto"/>
          <w:lang w:val="es-MX"/>
        </w:rPr>
        <w:t xml:space="preserve">El </w:t>
      </w:r>
      <w:r w:rsidR="00F054E5" w:rsidRPr="002B640D">
        <w:rPr>
          <w:color w:val="auto"/>
          <w:lang w:val="es-MX"/>
        </w:rPr>
        <w:t>24 de mayo de 2017</w:t>
      </w:r>
      <w:r w:rsidRPr="002B640D">
        <w:rPr>
          <w:color w:val="auto"/>
          <w:lang w:val="es-MX"/>
        </w:rPr>
        <w:t xml:space="preserve">, Telmex </w:t>
      </w:r>
      <w:r w:rsidR="00F054E5" w:rsidRPr="002B640D">
        <w:rPr>
          <w:color w:val="auto"/>
          <w:lang w:val="es-MX"/>
        </w:rPr>
        <w:t xml:space="preserve">y </w:t>
      </w:r>
      <w:proofErr w:type="spellStart"/>
      <w:r w:rsidR="00F054E5" w:rsidRPr="002B640D">
        <w:rPr>
          <w:color w:val="auto"/>
          <w:lang w:val="es-MX"/>
        </w:rPr>
        <w:t>Telnor</w:t>
      </w:r>
      <w:proofErr w:type="spellEnd"/>
      <w:r w:rsidR="00F054E5" w:rsidRPr="002B640D">
        <w:rPr>
          <w:color w:val="auto"/>
          <w:lang w:val="es-MX"/>
        </w:rPr>
        <w:t xml:space="preserve"> </w:t>
      </w:r>
      <w:r w:rsidRPr="002B640D">
        <w:rPr>
          <w:color w:val="auto"/>
          <w:lang w:val="es-MX"/>
        </w:rPr>
        <w:t>present</w:t>
      </w:r>
      <w:r w:rsidR="00F054E5" w:rsidRPr="002B640D">
        <w:rPr>
          <w:color w:val="auto"/>
          <w:lang w:val="es-MX"/>
        </w:rPr>
        <w:t>aron</w:t>
      </w:r>
      <w:r w:rsidRPr="002B640D">
        <w:rPr>
          <w:color w:val="auto"/>
          <w:lang w:val="es-MX"/>
        </w:rPr>
        <w:t xml:space="preserve"> ante la Oficialía de Partes de este Instituto escrito dando contestación a lo solicitado en el Oficio de Requerimiento (en lo sucesivo, la “Respuesta al Requerimiento”).</w:t>
      </w:r>
    </w:p>
    <w:p w14:paraId="5F5C4BF3" w14:textId="77777777" w:rsidR="002B640D" w:rsidRPr="002B640D" w:rsidRDefault="002541D7" w:rsidP="002B640D">
      <w:pPr>
        <w:pStyle w:val="IFTnormal"/>
        <w:spacing w:before="240" w:after="0"/>
        <w:rPr>
          <w:color w:val="auto"/>
          <w:lang w:val="es-MX"/>
        </w:rPr>
      </w:pPr>
      <w:r w:rsidRPr="002B640D">
        <w:rPr>
          <w:color w:val="auto"/>
          <w:lang w:val="es-MX"/>
        </w:rPr>
        <w:t>En virtud de los citados Antecedentes, y</w:t>
      </w:r>
    </w:p>
    <w:p w14:paraId="7FE0FE19" w14:textId="58375F9F" w:rsidR="002541D7" w:rsidRPr="002B640D" w:rsidRDefault="002541D7" w:rsidP="002B640D">
      <w:pPr>
        <w:pStyle w:val="Ttulo2"/>
        <w:keepLines/>
        <w:spacing w:before="240" w:after="240"/>
        <w:jc w:val="center"/>
        <w:rPr>
          <w:rFonts w:eastAsiaTheme="majorEastAsia" w:cstheme="majorBidi"/>
          <w:bCs w:val="0"/>
          <w:color w:val="000000" w:themeColor="text1"/>
        </w:rPr>
      </w:pPr>
      <w:bookmarkStart w:id="1" w:name="_Toc426973640"/>
      <w:r w:rsidRPr="002B640D">
        <w:rPr>
          <w:rFonts w:eastAsiaTheme="majorEastAsia" w:cstheme="majorBidi"/>
          <w:bCs w:val="0"/>
          <w:color w:val="000000" w:themeColor="text1"/>
        </w:rPr>
        <w:t>CONSIDERANDO</w:t>
      </w:r>
      <w:bookmarkEnd w:id="0"/>
      <w:bookmarkEnd w:id="1"/>
    </w:p>
    <w:p w14:paraId="291AEBB6" w14:textId="77777777" w:rsidR="002B640D" w:rsidRPr="002B640D" w:rsidRDefault="002541D7" w:rsidP="002B640D">
      <w:pPr>
        <w:spacing w:before="240" w:after="0" w:line="276" w:lineRule="auto"/>
        <w:jc w:val="both"/>
        <w:rPr>
          <w:rFonts w:ascii="ITC Avant Garde" w:eastAsia="Calibri" w:hAnsi="ITC Avant Garde" w:cs="Arial"/>
          <w:bCs/>
        </w:rPr>
      </w:pPr>
      <w:r w:rsidRPr="002B640D">
        <w:rPr>
          <w:rFonts w:ascii="ITC Avant Garde" w:eastAsia="Times New Roman" w:hAnsi="ITC Avant Garde"/>
          <w:b/>
          <w:bCs/>
        </w:rPr>
        <w:t xml:space="preserve">PRIMERO.- Competencia del Instituto. </w:t>
      </w:r>
      <w:r w:rsidR="007D6881" w:rsidRPr="002B640D">
        <w:rPr>
          <w:rFonts w:ascii="ITC Avant Garde" w:eastAsia="Calibri" w:hAnsi="ITC Avant Garde" w:cs="Arial"/>
          <w:bCs/>
        </w:rPr>
        <w:t xml:space="preserve">De conformidad con el artículo 28, párrafos décimo quinto y décimo sexto de la Constitución, el Instituto tiene a su cargo la regulación, promoción y supervisión del uso, aprovechamiento y explotación del espectro radioeléctrico, las redes y la prestación de los servicios de radiodifusión y telecomunicaciones, así como del acceso a </w:t>
      </w:r>
      <w:r w:rsidR="006531A7" w:rsidRPr="002B640D">
        <w:rPr>
          <w:rFonts w:ascii="ITC Avant Garde" w:eastAsia="Calibri" w:hAnsi="ITC Avant Garde" w:cs="Arial"/>
          <w:bCs/>
        </w:rPr>
        <w:t>i</w:t>
      </w:r>
      <w:r w:rsidR="007D6881" w:rsidRPr="002B640D">
        <w:rPr>
          <w:rFonts w:ascii="ITC Avant Garde" w:eastAsia="Calibri" w:hAnsi="ITC Avant Garde" w:cs="Arial"/>
          <w:bCs/>
        </w:rPr>
        <w:t xml:space="preserve">nfraestructura activa, pasiva y otros insumos esenciales. Asimismo, es autoridad en materia de competencia económica de los sectores de radiodifusión y telecomunicaciones, por lo que en éstos regulará de forma asimétrica a los participantes en </w:t>
      </w:r>
      <w:r w:rsidR="006531A7" w:rsidRPr="002B640D">
        <w:rPr>
          <w:rFonts w:ascii="ITC Avant Garde" w:eastAsia="Calibri" w:hAnsi="ITC Avant Garde" w:cs="Arial"/>
          <w:bCs/>
        </w:rPr>
        <w:t xml:space="preserve">dichos sectores </w:t>
      </w:r>
      <w:r w:rsidR="007D6881" w:rsidRPr="002B640D">
        <w:rPr>
          <w:rFonts w:ascii="ITC Avant Garde" w:eastAsia="Calibri" w:hAnsi="ITC Avant Garde" w:cs="Arial"/>
          <w:bCs/>
        </w:rPr>
        <w:t>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con ello lo dispuesto en los artículos 6o. y 7o. de la Constitución.</w:t>
      </w:r>
    </w:p>
    <w:p w14:paraId="65A789B4" w14:textId="77777777" w:rsidR="002B640D" w:rsidRPr="002B640D" w:rsidRDefault="007D6881" w:rsidP="002B640D">
      <w:pPr>
        <w:spacing w:before="240" w:after="0" w:line="276" w:lineRule="auto"/>
        <w:jc w:val="both"/>
        <w:rPr>
          <w:rFonts w:ascii="ITC Avant Garde" w:eastAsia="Calibri" w:hAnsi="ITC Avant Garde" w:cs="Arial"/>
          <w:bCs/>
        </w:rPr>
      </w:pPr>
      <w:r w:rsidRPr="002B640D">
        <w:rPr>
          <w:rFonts w:ascii="ITC Avant Garde" w:eastAsia="Calibri" w:hAnsi="ITC Avant Garde" w:cs="Arial"/>
          <w:bCs/>
        </w:rPr>
        <w:lastRenderedPageBreak/>
        <w:t xml:space="preserve">Ahora bien, en cumplimiento con lo establecido en el artículo Octavo transitorio, fracción III del Decreto, el Instituto determinó la existencia de Agentes Económicos Preponderantes en los sectores de radiodifusión y de telecomunicaciones, e impuso las medidas necesarias para evitar que se afecte la competencia y la libre concurrencia y, con ello, a los usuarios finales. Dichas medidas incluyen las Medidas </w:t>
      </w:r>
      <w:r w:rsidR="00044229" w:rsidRPr="002B640D">
        <w:rPr>
          <w:rFonts w:ascii="ITC Avant Garde" w:eastAsia="Calibri" w:hAnsi="ITC Avant Garde" w:cs="Arial"/>
          <w:bCs/>
        </w:rPr>
        <w:t>Fijas</w:t>
      </w:r>
      <w:r w:rsidRPr="002B640D">
        <w:rPr>
          <w:rFonts w:ascii="ITC Avant Garde" w:eastAsia="Calibri" w:hAnsi="ITC Avant Garde" w:cs="Arial"/>
          <w:bCs/>
        </w:rPr>
        <w:t>, mismas que están relacionadas con información, oferta y calidad de servicios, acuerdos en exclusiva, limitaciones al uso de equipos terminales entre redes, regulación asimétrica en tarifas e infraestructuras de red, incluyendo la desagregación de sus elementos esenciales y, en su caso, la separación contable, funcional o estructural de dichos agentes.</w:t>
      </w:r>
    </w:p>
    <w:p w14:paraId="1C15A402" w14:textId="77777777" w:rsidR="002B640D" w:rsidRPr="002B640D" w:rsidRDefault="007D6881" w:rsidP="002B640D">
      <w:pPr>
        <w:spacing w:before="240" w:after="0" w:line="276" w:lineRule="auto"/>
        <w:jc w:val="both"/>
        <w:rPr>
          <w:rFonts w:ascii="ITC Avant Garde" w:eastAsia="Calibri" w:hAnsi="ITC Avant Garde" w:cs="Arial"/>
          <w:bCs/>
        </w:rPr>
      </w:pPr>
      <w:r w:rsidRPr="002B640D">
        <w:rPr>
          <w:rFonts w:ascii="ITC Avant Garde" w:eastAsia="Calibri" w:hAnsi="ITC Avant Garde" w:cs="Arial"/>
          <w:bCs/>
        </w:rPr>
        <w:t>Por otro lado, el artículo Trigésimo Quinto transitorio del Decreto de Ley dispone que las resoluciones administrativas en materia de preponderancia que el Instituto hubiere emitido previamente a la entrada en vigor del mismo, continuarán surtiendo todos sus efectos</w:t>
      </w:r>
      <w:r w:rsidR="00F54AA3" w:rsidRPr="002B640D">
        <w:rPr>
          <w:rFonts w:ascii="ITC Avant Garde" w:eastAsia="Calibri" w:hAnsi="ITC Avant Garde" w:cs="Arial"/>
          <w:bCs/>
        </w:rPr>
        <w:t>.</w:t>
      </w:r>
      <w:r w:rsidR="00F54AA3" w:rsidRPr="002B640D" w:rsidDel="00F54AA3">
        <w:rPr>
          <w:rFonts w:ascii="ITC Avant Garde" w:eastAsia="Calibri" w:hAnsi="ITC Avant Garde" w:cs="Arial"/>
          <w:bCs/>
        </w:rPr>
        <w:t xml:space="preserve"> </w:t>
      </w:r>
    </w:p>
    <w:p w14:paraId="7081C081" w14:textId="675AA916" w:rsidR="00E2621F" w:rsidRPr="002B640D" w:rsidRDefault="002541D7" w:rsidP="002B640D">
      <w:pPr>
        <w:pStyle w:val="IFTnormal"/>
        <w:spacing w:before="240"/>
      </w:pPr>
      <w:r w:rsidRPr="002B640D">
        <w:rPr>
          <w:rFonts w:eastAsia="Times New Roman"/>
          <w:b/>
        </w:rPr>
        <w:t>SEGUNDO.- Medidas.</w:t>
      </w:r>
      <w:r w:rsidRPr="002B640D">
        <w:rPr>
          <w:b/>
        </w:rPr>
        <w:t xml:space="preserve"> </w:t>
      </w:r>
      <w:r w:rsidR="00CE236C" w:rsidRPr="002B640D">
        <w:t>El acceso a la infraestructura pasiva del AEP resulta de suma importancia para que se permita a otros concesionarios realizar una oferta competitiva en el mercado, al no tener que incurrir en elevados costos de inversión por el despliegue de infraestructura en aquellas zonas donde no les sea posible alcanzar una escala mínima de operación que permita cubrir las inversiones realizadas.</w:t>
      </w:r>
    </w:p>
    <w:p w14:paraId="3CC317B0" w14:textId="77777777" w:rsidR="00E2621F" w:rsidRPr="002B640D" w:rsidRDefault="00E2621F" w:rsidP="002B640D">
      <w:pPr>
        <w:pStyle w:val="IFTnormal"/>
        <w:spacing w:before="240"/>
      </w:pPr>
      <w:r w:rsidRPr="002B640D">
        <w:t xml:space="preserve">Asimismo, es importante mencionar que para el despliegue de la obra civil, en diversas ocasiones los operadores enfrentan obstáculos legales y reglamentarios para obtener las autorizaciones necesarias, generando incertidumbre en cuanto al tiempo y condiciones en los que se realizará el despliegue de infraestructura, lo que afecta la capacidad de los operadores para desplegar sus redes conforme a la planificación y tiempos previstos. </w:t>
      </w:r>
    </w:p>
    <w:p w14:paraId="23709A79" w14:textId="77777777" w:rsidR="000C1A7C" w:rsidRPr="002B640D" w:rsidRDefault="000C1A7C" w:rsidP="002B640D">
      <w:pPr>
        <w:pStyle w:val="IFTnormal"/>
        <w:spacing w:before="240"/>
        <w:rPr>
          <w:bCs/>
          <w:color w:val="auto"/>
        </w:rPr>
      </w:pPr>
      <w:r w:rsidRPr="002B640D">
        <w:rPr>
          <w:color w:val="auto"/>
        </w:rPr>
        <w:t xml:space="preserve">En este </w:t>
      </w:r>
      <w:r w:rsidR="00E2621F" w:rsidRPr="002B640D">
        <w:rPr>
          <w:color w:val="auto"/>
        </w:rPr>
        <w:t xml:space="preserve">mismo </w:t>
      </w:r>
      <w:r w:rsidRPr="002B640D">
        <w:rPr>
          <w:color w:val="auto"/>
        </w:rPr>
        <w:t xml:space="preserve">sentido, los concesionarios que ya prestan servicios requieren de complementar su infraestructura de telecomunicaciones arrendando a otro operador elementos de red en aquellos lugares o localidades en las que no cuentan con </w:t>
      </w:r>
      <w:r w:rsidR="00FE4EF9" w:rsidRPr="002B640D">
        <w:rPr>
          <w:color w:val="auto"/>
        </w:rPr>
        <w:t xml:space="preserve">infraestructura propia o con </w:t>
      </w:r>
      <w:r w:rsidRPr="002B640D">
        <w:rPr>
          <w:color w:val="auto"/>
        </w:rPr>
        <w:t xml:space="preserve">la capilaridad suficiente en sus redes; </w:t>
      </w:r>
      <w:r w:rsidR="00FE4EF9" w:rsidRPr="002B640D">
        <w:rPr>
          <w:color w:val="auto"/>
        </w:rPr>
        <w:t>por lo que podrían subsanar esta situación</w:t>
      </w:r>
      <w:r w:rsidRPr="002B640D">
        <w:rPr>
          <w:color w:val="auto"/>
        </w:rPr>
        <w:t xml:space="preserve"> mediante la compra de un servicio mayorista a otro operador que les permita alcanzar una escala mínima eficiente para instalar infraestructura propia en el mediano plazo.  </w:t>
      </w:r>
    </w:p>
    <w:p w14:paraId="31E2DE23" w14:textId="77777777" w:rsidR="000C1A7C" w:rsidRPr="002B640D" w:rsidRDefault="000C1A7C" w:rsidP="002B640D">
      <w:pPr>
        <w:pStyle w:val="IFTnormal"/>
        <w:spacing w:before="240"/>
        <w:rPr>
          <w:color w:val="auto"/>
        </w:rPr>
      </w:pPr>
      <w:r w:rsidRPr="002B640D">
        <w:rPr>
          <w:color w:val="auto"/>
        </w:rPr>
        <w:lastRenderedPageBreak/>
        <w:t xml:space="preserve">El acceso a insumos provistos por otros operadores, le permite a un concesionario complementar su red para ofrecer servicios a los usuarios finales, </w:t>
      </w:r>
      <w:r w:rsidR="00C95BA5" w:rsidRPr="002B640D">
        <w:rPr>
          <w:color w:val="auto"/>
        </w:rPr>
        <w:t>incrementar la cobertura de sus servicios</w:t>
      </w:r>
      <w:r w:rsidR="00FE4EF9" w:rsidRPr="002B640D">
        <w:rPr>
          <w:color w:val="auto"/>
        </w:rPr>
        <w:t xml:space="preserve"> y su calidad</w:t>
      </w:r>
      <w:r w:rsidR="00C95BA5" w:rsidRPr="002B640D">
        <w:rPr>
          <w:color w:val="auto"/>
        </w:rPr>
        <w:t xml:space="preserve">, además de hacer un uso eficiente de la infraestructura pasiva disponible. Esto tendrá efectos positivos para el </w:t>
      </w:r>
      <w:r w:rsidR="00FD36EA" w:rsidRPr="002B640D">
        <w:rPr>
          <w:color w:val="auto"/>
        </w:rPr>
        <w:t xml:space="preserve">concesionario entrante como para el concesionario que otorgue el acceso y uso </w:t>
      </w:r>
      <w:r w:rsidR="00CC56E6" w:rsidRPr="002B640D">
        <w:rPr>
          <w:color w:val="auto"/>
        </w:rPr>
        <w:t xml:space="preserve">compartido </w:t>
      </w:r>
      <w:r w:rsidR="00FD36EA" w:rsidRPr="002B640D">
        <w:rPr>
          <w:color w:val="auto"/>
        </w:rPr>
        <w:t>de su infraestructura pasiva</w:t>
      </w:r>
      <w:r w:rsidR="00FE4EF9" w:rsidRPr="002B640D">
        <w:rPr>
          <w:color w:val="auto"/>
        </w:rPr>
        <w:t>,</w:t>
      </w:r>
      <w:r w:rsidR="006A486E" w:rsidRPr="002B640D">
        <w:rPr>
          <w:color w:val="auto"/>
        </w:rPr>
        <w:t xml:space="preserve"> ya que </w:t>
      </w:r>
      <w:r w:rsidR="00FE4EF9" w:rsidRPr="002B640D">
        <w:rPr>
          <w:color w:val="auto"/>
        </w:rPr>
        <w:t xml:space="preserve">se fomenta </w:t>
      </w:r>
      <w:r w:rsidR="006A486E" w:rsidRPr="002B640D">
        <w:rPr>
          <w:color w:val="auto"/>
        </w:rPr>
        <w:t xml:space="preserve">la disminución de los costos de operación </w:t>
      </w:r>
      <w:r w:rsidR="00CC56E6" w:rsidRPr="002B640D">
        <w:rPr>
          <w:color w:val="auto"/>
        </w:rPr>
        <w:t>y permit</w:t>
      </w:r>
      <w:r w:rsidR="00FE4EF9" w:rsidRPr="002B640D">
        <w:rPr>
          <w:color w:val="auto"/>
        </w:rPr>
        <w:t>e</w:t>
      </w:r>
      <w:r w:rsidR="00CC56E6" w:rsidRPr="002B640D" w:rsidDel="00FE4EF9">
        <w:rPr>
          <w:color w:val="auto"/>
        </w:rPr>
        <w:t xml:space="preserve"> </w:t>
      </w:r>
      <w:r w:rsidR="00FE4EF9" w:rsidRPr="002B640D">
        <w:rPr>
          <w:color w:val="auto"/>
        </w:rPr>
        <w:t xml:space="preserve">reorientar </w:t>
      </w:r>
      <w:r w:rsidR="00CC56E6" w:rsidRPr="002B640D">
        <w:rPr>
          <w:color w:val="auto"/>
        </w:rPr>
        <w:t xml:space="preserve">recursos </w:t>
      </w:r>
      <w:r w:rsidR="00FE4EF9" w:rsidRPr="002B640D">
        <w:rPr>
          <w:color w:val="auto"/>
        </w:rPr>
        <w:t xml:space="preserve">inicialmente </w:t>
      </w:r>
      <w:r w:rsidR="00CC56E6" w:rsidRPr="002B640D">
        <w:rPr>
          <w:color w:val="auto"/>
        </w:rPr>
        <w:t xml:space="preserve">destinados a inversión </w:t>
      </w:r>
      <w:r w:rsidR="00FE4EF9" w:rsidRPr="002B640D">
        <w:rPr>
          <w:color w:val="auto"/>
        </w:rPr>
        <w:t xml:space="preserve">en infraestructura hacia </w:t>
      </w:r>
      <w:r w:rsidR="006A486E" w:rsidRPr="002B640D">
        <w:rPr>
          <w:color w:val="auto"/>
        </w:rPr>
        <w:t>la ampliación y modernización de l</w:t>
      </w:r>
      <w:r w:rsidR="00CC56E6" w:rsidRPr="002B640D">
        <w:rPr>
          <w:color w:val="auto"/>
        </w:rPr>
        <w:t>as redes de los</w:t>
      </w:r>
      <w:r w:rsidR="006A486E" w:rsidRPr="002B640D">
        <w:rPr>
          <w:color w:val="auto"/>
        </w:rPr>
        <w:t xml:space="preserve"> operadores.</w:t>
      </w:r>
      <w:r w:rsidR="002F4410" w:rsidRPr="002B640D">
        <w:rPr>
          <w:color w:val="auto"/>
        </w:rPr>
        <w:t xml:space="preserve"> </w:t>
      </w:r>
    </w:p>
    <w:p w14:paraId="6770B7CF" w14:textId="77777777" w:rsidR="000C1A7C" w:rsidRPr="002B640D" w:rsidRDefault="00AD6CDB" w:rsidP="002B640D">
      <w:pPr>
        <w:pStyle w:val="IFTnormal"/>
        <w:spacing w:before="240"/>
        <w:rPr>
          <w:color w:val="auto"/>
        </w:rPr>
      </w:pPr>
      <w:r w:rsidRPr="002B640D">
        <w:rPr>
          <w:color w:val="auto"/>
        </w:rPr>
        <w:t xml:space="preserve">Sin embargo, </w:t>
      </w:r>
      <w:r w:rsidR="00FE4EF9" w:rsidRPr="002B640D">
        <w:rPr>
          <w:color w:val="auto"/>
        </w:rPr>
        <w:t xml:space="preserve">dado que el AEP al mismo tiempo </w:t>
      </w:r>
      <w:r w:rsidR="000C1A7C" w:rsidRPr="002B640D">
        <w:rPr>
          <w:color w:val="auto"/>
        </w:rPr>
        <w:t xml:space="preserve">controla la </w:t>
      </w:r>
      <w:r w:rsidR="00FE4EF9" w:rsidRPr="002B640D">
        <w:rPr>
          <w:color w:val="auto"/>
        </w:rPr>
        <w:t xml:space="preserve">principal </w:t>
      </w:r>
      <w:r w:rsidR="000C1A7C" w:rsidRPr="002B640D">
        <w:rPr>
          <w:color w:val="auto"/>
        </w:rPr>
        <w:t xml:space="preserve">infraestructura </w:t>
      </w:r>
      <w:r w:rsidR="00FE4EF9" w:rsidRPr="002B640D">
        <w:rPr>
          <w:color w:val="auto"/>
        </w:rPr>
        <w:t xml:space="preserve">del país y </w:t>
      </w:r>
      <w:r w:rsidR="000C1A7C" w:rsidRPr="002B640D">
        <w:rPr>
          <w:color w:val="auto"/>
        </w:rPr>
        <w:t>es oferente de servicios a los clientes finales a nivel minorista,</w:t>
      </w:r>
      <w:r w:rsidR="003B0CDC" w:rsidRPr="002B640D" w:rsidDel="00FE4EF9">
        <w:rPr>
          <w:color w:val="auto"/>
        </w:rPr>
        <w:t xml:space="preserve"> </w:t>
      </w:r>
      <w:r w:rsidR="003B0CDC" w:rsidRPr="002B640D">
        <w:rPr>
          <w:color w:val="auto"/>
        </w:rPr>
        <w:t>tiene incentivos para</w:t>
      </w:r>
      <w:r w:rsidR="000C1A7C" w:rsidRPr="002B640D">
        <w:rPr>
          <w:color w:val="auto"/>
        </w:rPr>
        <w:t xml:space="preserve"> negar el servicio mayorista a sus competidores, venderlo a precios poco competitivos o incurrir en otro tipo de prácticas que degraden la calidad del servicio prestado</w:t>
      </w:r>
      <w:r w:rsidR="00FE4EF9" w:rsidRPr="002B640D">
        <w:rPr>
          <w:color w:val="auto"/>
        </w:rPr>
        <w:t>,</w:t>
      </w:r>
      <w:r w:rsidR="000C1A7C" w:rsidRPr="002B640D">
        <w:rPr>
          <w:color w:val="auto"/>
        </w:rPr>
        <w:t xml:space="preserve"> a fin de obtener un mayor porcentaje de ventas del servicio minorista o para retrasar </w:t>
      </w:r>
      <w:r w:rsidR="00FE4EF9" w:rsidRPr="002B640D">
        <w:rPr>
          <w:color w:val="auto"/>
        </w:rPr>
        <w:t xml:space="preserve">el proceso de competencia a través de </w:t>
      </w:r>
      <w:r w:rsidR="000C1A7C" w:rsidRPr="002B640D">
        <w:rPr>
          <w:color w:val="auto"/>
        </w:rPr>
        <w:t>dificultar la entrada o la expansión de los competidores en la provisión de servicios.</w:t>
      </w:r>
    </w:p>
    <w:p w14:paraId="6A486AE5" w14:textId="77777777" w:rsidR="000C1A7C" w:rsidRPr="002B640D" w:rsidRDefault="00AD6CDB" w:rsidP="002B640D">
      <w:pPr>
        <w:pStyle w:val="IFTnormal"/>
        <w:spacing w:before="240"/>
        <w:rPr>
          <w:color w:val="auto"/>
        </w:rPr>
      </w:pPr>
      <w:r w:rsidRPr="002B640D">
        <w:rPr>
          <w:color w:val="auto"/>
        </w:rPr>
        <w:t>De esta manera, l</w:t>
      </w:r>
      <w:r w:rsidR="000C1A7C" w:rsidRPr="002B640D">
        <w:rPr>
          <w:color w:val="auto"/>
        </w:rPr>
        <w:t xml:space="preserve">a regulación en infraestructura a través del uso y acceso compartido de la misma permite una reducción de los costos de despliegue de las redes, reduciendo las inversiones requeridas y liberando recursos para financiar los costos operativos. </w:t>
      </w:r>
      <w:r w:rsidR="00FA4587" w:rsidRPr="002B640D">
        <w:rPr>
          <w:color w:val="auto"/>
        </w:rPr>
        <w:t xml:space="preserve">Por ejemplo, diversos concesionarios que ya operan en el mercado podrían ofrecer sus servicios de manera más eficiente y expedita </w:t>
      </w:r>
      <w:r w:rsidR="000C1A7C" w:rsidRPr="002B640D">
        <w:rPr>
          <w:color w:val="auto"/>
        </w:rPr>
        <w:t>al</w:t>
      </w:r>
      <w:r w:rsidR="000C1A7C" w:rsidRPr="002B640D" w:rsidDel="00FA4587">
        <w:rPr>
          <w:color w:val="auto"/>
        </w:rPr>
        <w:t xml:space="preserve"> </w:t>
      </w:r>
      <w:r w:rsidR="00FA4587" w:rsidRPr="002B640D">
        <w:rPr>
          <w:color w:val="auto"/>
        </w:rPr>
        <w:t xml:space="preserve">utilizar la </w:t>
      </w:r>
      <w:r w:rsidR="000C1A7C" w:rsidRPr="002B640D">
        <w:rPr>
          <w:color w:val="auto"/>
        </w:rPr>
        <w:t xml:space="preserve">infraestructura </w:t>
      </w:r>
      <w:r w:rsidR="00FA4587" w:rsidRPr="002B640D">
        <w:rPr>
          <w:color w:val="auto"/>
        </w:rPr>
        <w:t xml:space="preserve">pasiva del AEP, como postes, ductos y pozos, así como </w:t>
      </w:r>
      <w:r w:rsidR="000C1A7C" w:rsidRPr="002B640D">
        <w:rPr>
          <w:color w:val="auto"/>
        </w:rPr>
        <w:t>los sitios o torres,</w:t>
      </w:r>
      <w:r w:rsidR="000C1A7C" w:rsidRPr="002B640D" w:rsidDel="00FA4587">
        <w:rPr>
          <w:color w:val="auto"/>
        </w:rPr>
        <w:t xml:space="preserve"> </w:t>
      </w:r>
      <w:r w:rsidR="00FA4587" w:rsidRPr="002B640D">
        <w:rPr>
          <w:color w:val="auto"/>
        </w:rPr>
        <w:t xml:space="preserve">generando </w:t>
      </w:r>
      <w:r w:rsidR="000C1A7C" w:rsidRPr="002B640D">
        <w:rPr>
          <w:color w:val="auto"/>
        </w:rPr>
        <w:t>importantes ahorros en costos de construcción y operación de las torres, mientras que se generan ingresos al operador propietario de la infraestructura por la renta de los espacios no utilizados.</w:t>
      </w:r>
    </w:p>
    <w:p w14:paraId="7739C634" w14:textId="77777777" w:rsidR="009B4C31" w:rsidRPr="002B640D" w:rsidRDefault="009B4C31" w:rsidP="002B640D">
      <w:pPr>
        <w:pStyle w:val="IFTnormal"/>
        <w:spacing w:before="240"/>
      </w:pPr>
      <w:r w:rsidRPr="002B640D">
        <w:t xml:space="preserve">El acceso a la infraestructura pasiva es además importante para desarrollar la competencia en zonas rurales, en las cuales el despliegue de infraestructura requiere de la adquisición de una masa crítica que haga rentable la prestación del servicio. De esta forma, al compartirse los costos entre varias empresas se facilita el despliegue en zonas que de otra manera no sería rentable. </w:t>
      </w:r>
    </w:p>
    <w:p w14:paraId="7E75B21F" w14:textId="77777777" w:rsidR="009B4C31" w:rsidRPr="002B640D" w:rsidRDefault="009B4C31" w:rsidP="002B640D">
      <w:pPr>
        <w:pStyle w:val="IFTnormal"/>
        <w:spacing w:before="240"/>
      </w:pPr>
      <w:r w:rsidRPr="002B640D">
        <w:t xml:space="preserve">En este sentido, la Medida PRIMERA de las Medidas Fijas establece que las mismas serán aplicables al AEP en el sector de telecomunicaciones a través de sus integrantes que cuenten con títulos de concesión de Red Pública de </w:t>
      </w:r>
      <w:r w:rsidRPr="002B640D">
        <w:lastRenderedPageBreak/>
        <w:t>Telecomunicaciones. Puesto que Teléfonos de México, S.A.B. de C.V. y Teléfonos del Noroeste, S.A. de C.V. son integrantes del AEP y son concesionarios de una Red Pública de Telecomunicaciones, quedan por lo tanto obligados al cumplimiento de las Medidas Fijas, para mayor referencia, la Medida PRIMERA señala:</w:t>
      </w:r>
    </w:p>
    <w:p w14:paraId="4493CA60" w14:textId="77777777" w:rsidR="002B640D" w:rsidRPr="002B640D" w:rsidRDefault="009B4C31" w:rsidP="002B640D">
      <w:pPr>
        <w:pStyle w:val="CitaIFT0"/>
        <w:spacing w:before="240"/>
        <w:rPr>
          <w:rFonts w:eastAsia="Calibri"/>
          <w:i w:val="0"/>
          <w:color w:val="auto"/>
        </w:rPr>
      </w:pPr>
      <w:r w:rsidRPr="002B640D">
        <w:rPr>
          <w:rFonts w:eastAsia="Calibri"/>
          <w:i w:val="0"/>
          <w:color w:val="auto"/>
        </w:rPr>
        <w:t>"</w:t>
      </w:r>
      <w:r w:rsidRPr="002B640D">
        <w:rPr>
          <w:rFonts w:eastAsia="Calibri"/>
          <w:b/>
          <w:i w:val="0"/>
          <w:color w:val="auto"/>
        </w:rPr>
        <w:t>PRIMERA.-</w:t>
      </w:r>
      <w:r w:rsidRPr="002B640D">
        <w:rPr>
          <w:rFonts w:eastAsia="Calibri"/>
          <w:i w:val="0"/>
          <w:color w:val="auto"/>
        </w:rPr>
        <w:t xml:space="preserve"> Las presentes medidas serán aplicables al Agente Económico Preponderante en el sector de telecomunicaciones a través de sus integrantes que cuenten con títulos de concesión de Red Pública de Telecomunicaciones o que sean propietarios o poseedores de Infraestructura Pasiva, así como de los que lleven a cabo las actividades reguladas en el presente instrumento.”</w:t>
      </w:r>
    </w:p>
    <w:p w14:paraId="0B42E0B5" w14:textId="0541B39A" w:rsidR="009B4C31" w:rsidRPr="002B640D" w:rsidRDefault="009B4C31" w:rsidP="002B640D">
      <w:pPr>
        <w:pStyle w:val="IFTnormal"/>
        <w:spacing w:before="240"/>
      </w:pPr>
      <w:r w:rsidRPr="002B640D">
        <w:t xml:space="preserve">Asimismo, la Medida VIGÉSIMA TERCERA de las Medidas Fijas establece: </w:t>
      </w:r>
    </w:p>
    <w:p w14:paraId="1FB329DE" w14:textId="77777777" w:rsidR="009B4C31" w:rsidRPr="002B640D" w:rsidRDefault="009B4C31" w:rsidP="002B640D">
      <w:pPr>
        <w:pStyle w:val="CitaIFT0"/>
        <w:spacing w:before="240"/>
        <w:rPr>
          <w:i w:val="0"/>
          <w:color w:val="auto"/>
        </w:rPr>
      </w:pPr>
      <w:r w:rsidRPr="002B640D">
        <w:rPr>
          <w:i w:val="0"/>
          <w:color w:val="auto"/>
        </w:rPr>
        <w:t>“</w:t>
      </w:r>
      <w:r w:rsidRPr="002B640D">
        <w:rPr>
          <w:b/>
          <w:i w:val="0"/>
          <w:color w:val="auto"/>
        </w:rPr>
        <w:t xml:space="preserve">VIGÉSIMA TERCERA.- </w:t>
      </w:r>
      <w:r w:rsidRPr="002B640D">
        <w:rPr>
          <w:i w:val="0"/>
          <w:color w:val="auto"/>
        </w:rPr>
        <w:t>El Agente Económico Preponderante deberá permitir a concesionarios de redes públicas de telecomunicaciones el Acceso y Uso Compartido de la Infraestructura Pasiva que posea bajo cualquier título legal.</w:t>
      </w:r>
    </w:p>
    <w:p w14:paraId="3759E046" w14:textId="77777777" w:rsidR="009B4C31" w:rsidRPr="002B640D" w:rsidRDefault="009B4C31" w:rsidP="002B640D">
      <w:pPr>
        <w:pStyle w:val="CitaIFT0"/>
        <w:spacing w:before="240"/>
        <w:rPr>
          <w:i w:val="0"/>
          <w:color w:val="auto"/>
        </w:rPr>
      </w:pPr>
      <w:r w:rsidRPr="002B640D">
        <w:rPr>
          <w:i w:val="0"/>
          <w:color w:val="auto"/>
        </w:rPr>
        <w:t xml:space="preserve">Dicha infraestructura deberá estar disponible a los concesionarios </w:t>
      </w:r>
      <w:r w:rsidRPr="002B640D">
        <w:rPr>
          <w:b/>
          <w:i w:val="0"/>
          <w:color w:val="auto"/>
        </w:rPr>
        <w:t>de redes públicas de telecomunicaciones sobre bases no discriminatorias</w:t>
      </w:r>
      <w:r w:rsidRPr="002B640D">
        <w:rPr>
          <w:i w:val="0"/>
          <w:color w:val="auto"/>
        </w:rPr>
        <w:t xml:space="preserve"> considerando las condiciones ofrecidas a sus propias operaciones. El Agente Económico Preponderante no deberá otorgar el uso o aprovechamiento de dichos bienes con derechos de exclusividad.”</w:t>
      </w:r>
    </w:p>
    <w:p w14:paraId="0DFDA0DE" w14:textId="77777777" w:rsidR="009B4C31" w:rsidRPr="002B640D" w:rsidRDefault="009B4C31" w:rsidP="002B640D">
      <w:pPr>
        <w:pStyle w:val="CitaIFT0"/>
        <w:spacing w:before="240"/>
        <w:jc w:val="right"/>
        <w:rPr>
          <w:i w:val="0"/>
          <w:color w:val="auto"/>
        </w:rPr>
      </w:pPr>
      <w:r w:rsidRPr="002B640D">
        <w:rPr>
          <w:i w:val="0"/>
          <w:color w:val="auto"/>
        </w:rPr>
        <w:t>(Énfasis añadido)</w:t>
      </w:r>
    </w:p>
    <w:p w14:paraId="56112A68" w14:textId="77777777" w:rsidR="000C1A7C" w:rsidRPr="002B640D" w:rsidRDefault="00585AFE" w:rsidP="002B640D">
      <w:pPr>
        <w:pStyle w:val="IFTnormal"/>
        <w:spacing w:before="240"/>
      </w:pPr>
      <w:r w:rsidRPr="002B640D">
        <w:t xml:space="preserve">Con lo cual el Instituto estableció </w:t>
      </w:r>
      <w:r w:rsidR="00FA4587" w:rsidRPr="002B640D">
        <w:t xml:space="preserve">en la Resolución AEP </w:t>
      </w:r>
      <w:r w:rsidRPr="002B640D">
        <w:t xml:space="preserve">la obligación al AEP de ofrecer a concesionarios de redes públicas de telecomunicaciones el servicio de Acceso y Uso Compartido de Infraestructura Pasiva en su red sobre bases no discriminatorias y sin </w:t>
      </w:r>
      <w:r w:rsidR="003B0CDC" w:rsidRPr="002B640D">
        <w:t>condiciones de</w:t>
      </w:r>
      <w:r w:rsidRPr="002B640D">
        <w:t xml:space="preserve"> exclusividad.</w:t>
      </w:r>
    </w:p>
    <w:p w14:paraId="6B94B5BD" w14:textId="77777777" w:rsidR="00585AFE" w:rsidRPr="002B640D" w:rsidRDefault="00585AFE" w:rsidP="002B640D">
      <w:pPr>
        <w:pStyle w:val="IFTnormal"/>
        <w:spacing w:before="240"/>
        <w:rPr>
          <w:color w:val="auto"/>
        </w:rPr>
      </w:pPr>
      <w:r w:rsidRPr="002B640D">
        <w:t>Cabe destacar que las concesiones únicas sur</w:t>
      </w:r>
      <w:r w:rsidR="000909F7" w:rsidRPr="002B640D">
        <w:t>gen como figura legal en la LFT</w:t>
      </w:r>
      <w:r w:rsidRPr="002B640D">
        <w:t>R por lo que los servicios ofertados por el AEP deberán hacerse extensivos</w:t>
      </w:r>
      <w:r w:rsidR="003B0CDC" w:rsidRPr="002B640D">
        <w:t xml:space="preserve"> a los sujetos que cuenten con e</w:t>
      </w:r>
      <w:r w:rsidRPr="002B640D">
        <w:t>ste tipo de títulos habilitantes.</w:t>
      </w:r>
    </w:p>
    <w:p w14:paraId="29010594" w14:textId="77777777" w:rsidR="002B640D" w:rsidRPr="002B640D" w:rsidRDefault="009B4C31" w:rsidP="002B640D">
      <w:pPr>
        <w:pStyle w:val="IFTTexto"/>
        <w:spacing w:before="240" w:after="0"/>
        <w:rPr>
          <w:color w:val="auto"/>
          <w:lang w:val="es-MX"/>
        </w:rPr>
      </w:pPr>
      <w:r w:rsidRPr="002B640D">
        <w:rPr>
          <w:color w:val="auto"/>
          <w:lang w:val="es-MX"/>
        </w:rPr>
        <w:t>Por otra parte, la Medida TRIGÉSIMA NOVENA de las Medidas Fijas establece la regulación aplicable en materia de tarifas en los siguientes términos:</w:t>
      </w:r>
    </w:p>
    <w:p w14:paraId="2A4E06BB" w14:textId="74C79DE3" w:rsidR="009B4C31" w:rsidRPr="002B640D" w:rsidRDefault="009B4C31" w:rsidP="002B640D">
      <w:pPr>
        <w:pStyle w:val="CitaIFT0"/>
        <w:spacing w:before="240"/>
        <w:rPr>
          <w:i w:val="0"/>
          <w:color w:val="auto"/>
        </w:rPr>
      </w:pPr>
      <w:r w:rsidRPr="002B640D">
        <w:rPr>
          <w:i w:val="0"/>
          <w:color w:val="auto"/>
        </w:rPr>
        <w:t>“</w:t>
      </w:r>
      <w:r w:rsidRPr="002B640D">
        <w:rPr>
          <w:b/>
          <w:i w:val="0"/>
          <w:color w:val="auto"/>
        </w:rPr>
        <w:t>TRIGÉSIMA NOVENA.-</w:t>
      </w:r>
      <w:r w:rsidRPr="002B640D">
        <w:rPr>
          <w:i w:val="0"/>
          <w:color w:val="auto"/>
        </w:rPr>
        <w:t xml:space="preserve"> </w:t>
      </w:r>
      <w:r w:rsidRPr="002B640D">
        <w:rPr>
          <w:b/>
          <w:i w:val="0"/>
          <w:color w:val="auto"/>
        </w:rPr>
        <w:t>Las tarifas aplicables a los servicios de Acceso y Uso Compartido de Infraestructura Pasiva se negociarán entre el Agente Económico Preponderante y el Concesionario Solicitante.</w:t>
      </w:r>
    </w:p>
    <w:p w14:paraId="0E64F9B2" w14:textId="77777777" w:rsidR="009B4C31" w:rsidRPr="002B640D" w:rsidRDefault="009B4C31" w:rsidP="002B640D">
      <w:pPr>
        <w:pStyle w:val="CitaIFT0"/>
        <w:spacing w:before="240"/>
        <w:rPr>
          <w:i w:val="0"/>
          <w:color w:val="auto"/>
        </w:rPr>
      </w:pPr>
      <w:r w:rsidRPr="002B640D">
        <w:rPr>
          <w:b/>
          <w:i w:val="0"/>
          <w:color w:val="auto"/>
        </w:rPr>
        <w:lastRenderedPageBreak/>
        <w:t>Transcurridos sesenta días naturales contados a partir del inicio de las negociaciones sin que las partes hayan celebrado un acuerdo, o antes si así lo solicitan ambas partes, el Instituto determinará las tarifas mediante una metodología de costos incrementales promedio de largo plazo.</w:t>
      </w:r>
      <w:r w:rsidRPr="002B640D">
        <w:rPr>
          <w:i w:val="0"/>
          <w:color w:val="auto"/>
        </w:rPr>
        <w:t xml:space="preserve"> Las mencionadas tarifas deberán ofrecerse en términos no discriminatorios, y podrán diferenciarse por zonas geográficas. </w:t>
      </w:r>
    </w:p>
    <w:p w14:paraId="52CBD943" w14:textId="77777777" w:rsidR="009B4C31" w:rsidRPr="002B640D" w:rsidRDefault="009B4C31" w:rsidP="002B640D">
      <w:pPr>
        <w:pStyle w:val="CitaIFT0"/>
        <w:spacing w:before="240"/>
        <w:rPr>
          <w:i w:val="0"/>
          <w:color w:val="auto"/>
        </w:rPr>
      </w:pPr>
      <w:r w:rsidRPr="002B640D">
        <w:rPr>
          <w:i w:val="0"/>
          <w:color w:val="auto"/>
        </w:rPr>
        <w:t>Las tarifas negociadas entre las partes o determinadas por el Instituto deberán formar parte del Convenio de Servicio Mayorista para el Acceso y Uso Compartido de Infraestructura Pasiva, dicha información será considerada de carácter público”.</w:t>
      </w:r>
    </w:p>
    <w:p w14:paraId="52A2BAD0" w14:textId="77777777" w:rsidR="002B640D" w:rsidRPr="002B640D" w:rsidRDefault="009B4C31" w:rsidP="002B640D">
      <w:pPr>
        <w:pStyle w:val="CitaIFT0"/>
        <w:spacing w:before="240"/>
        <w:jc w:val="right"/>
        <w:rPr>
          <w:b/>
          <w:bCs w:val="0"/>
          <w:i w:val="0"/>
        </w:rPr>
      </w:pPr>
      <w:r w:rsidRPr="002B640D">
        <w:rPr>
          <w:i w:val="0"/>
        </w:rPr>
        <w:t>(Énfasis añadido)</w:t>
      </w:r>
    </w:p>
    <w:p w14:paraId="5101B8A7" w14:textId="77777777" w:rsidR="002B640D" w:rsidRPr="002B640D" w:rsidRDefault="009B4C31" w:rsidP="002B640D">
      <w:pPr>
        <w:pStyle w:val="IFTTexto"/>
        <w:spacing w:before="240" w:after="0"/>
        <w:rPr>
          <w:color w:val="auto"/>
          <w:lang w:val="es-MX"/>
        </w:rPr>
      </w:pPr>
      <w:r w:rsidRPr="002B640D">
        <w:rPr>
          <w:color w:val="auto"/>
          <w:lang w:val="es-MX"/>
        </w:rPr>
        <w:t>Es decir, además de los términos y condiciones bajo las cuales se tienen que prestar los servicios de acceso y uso compartido de infraestructura, la Resolución AEP estableció que las tarifas aplicables a los servicios de Acceso y Uso Compartido de Infraestructura Pasiva se encuentran sujetas a libre negociación de las partes. En caso de que los concesionarios involucrados no puedan llegar a un acuerdo sobre el nivel de las tarifas, será el Instituto el que las determine con base en una metodología de costos incrementales promedio de largo plazo, permitiendo de esta forma que el AEP recupere los costos asociados a la provisión de los servicios, de c</w:t>
      </w:r>
      <w:r w:rsidR="001578AE" w:rsidRPr="002B640D">
        <w:rPr>
          <w:color w:val="auto"/>
          <w:lang w:val="es-MX"/>
        </w:rPr>
        <w:t>onformidad con lo expuesto en los</w:t>
      </w:r>
      <w:r w:rsidRPr="002B640D">
        <w:rPr>
          <w:color w:val="auto"/>
          <w:lang w:val="es-MX"/>
        </w:rPr>
        <w:t xml:space="preserve"> Considerando</w:t>
      </w:r>
      <w:r w:rsidR="001578AE" w:rsidRPr="002B640D">
        <w:rPr>
          <w:color w:val="auto"/>
          <w:lang w:val="es-MX"/>
        </w:rPr>
        <w:t>s</w:t>
      </w:r>
      <w:r w:rsidRPr="002B640D">
        <w:rPr>
          <w:color w:val="auto"/>
          <w:lang w:val="es-MX"/>
        </w:rPr>
        <w:t xml:space="preserve"> TERCERO</w:t>
      </w:r>
      <w:r w:rsidR="001578AE" w:rsidRPr="002B640D">
        <w:rPr>
          <w:color w:val="auto"/>
          <w:lang w:val="es-MX"/>
        </w:rPr>
        <w:t xml:space="preserve"> y CUARTO</w:t>
      </w:r>
      <w:r w:rsidRPr="002B640D">
        <w:rPr>
          <w:color w:val="auto"/>
          <w:lang w:val="es-MX"/>
        </w:rPr>
        <w:t>.</w:t>
      </w:r>
    </w:p>
    <w:p w14:paraId="45071730" w14:textId="47E5ABEF" w:rsidR="004110F3" w:rsidRPr="002B640D" w:rsidRDefault="00304E7C" w:rsidP="002B640D">
      <w:pPr>
        <w:spacing w:before="240"/>
        <w:jc w:val="both"/>
        <w:rPr>
          <w:rFonts w:ascii="ITC Avant Garde" w:eastAsia="Calibri" w:hAnsi="ITC Avant Garde" w:cs="Arial"/>
          <w:lang w:eastAsia="es-ES"/>
        </w:rPr>
      </w:pPr>
      <w:r w:rsidRPr="002B640D">
        <w:rPr>
          <w:rFonts w:ascii="ITC Avant Garde" w:eastAsia="Calibri" w:hAnsi="ITC Avant Garde" w:cs="Arial"/>
          <w:lang w:eastAsia="es-ES"/>
        </w:rPr>
        <w:t xml:space="preserve">Por otro lado, </w:t>
      </w:r>
      <w:r w:rsidRPr="002B640D">
        <w:rPr>
          <w:rFonts w:ascii="ITC Avant Garde" w:hAnsi="ITC Avant Garde"/>
          <w:bCs/>
          <w:color w:val="000000"/>
        </w:rPr>
        <w:t xml:space="preserve">el artículo 15, fracción I de la </w:t>
      </w:r>
      <w:r w:rsidRPr="002B640D">
        <w:rPr>
          <w:rFonts w:ascii="ITC Avant Garde" w:hAnsi="ITC Avant Garde"/>
          <w:bCs/>
        </w:rPr>
        <w:t xml:space="preserve">LFTR dispone que </w:t>
      </w:r>
      <w:r w:rsidRPr="002B640D">
        <w:rPr>
          <w:rFonts w:ascii="ITC Avant Garde" w:hAnsi="ITC Avant Garde"/>
          <w:bCs/>
          <w:color w:val="000000"/>
        </w:rPr>
        <w:t>el Instituto cuenta para el ejercicio de sus atribuciones, con la facultad de expedir, entre otros, modelos de costos</w:t>
      </w:r>
      <w:r w:rsidRPr="002B640D">
        <w:rPr>
          <w:rFonts w:ascii="ITC Avant Garde" w:hAnsi="ITC Avant Garde"/>
          <w:bCs/>
        </w:rPr>
        <w:t xml:space="preserve">. </w:t>
      </w:r>
      <w:r w:rsidR="000A091C" w:rsidRPr="002B640D">
        <w:rPr>
          <w:rFonts w:ascii="ITC Avant Garde" w:eastAsia="Calibri" w:hAnsi="ITC Avant Garde" w:cs="Arial"/>
          <w:lang w:eastAsia="es-ES"/>
        </w:rPr>
        <w:t xml:space="preserve">En este sentido los modelos de costos </w:t>
      </w:r>
      <w:r w:rsidRPr="002B640D">
        <w:rPr>
          <w:rFonts w:ascii="ITC Avant Garde" w:eastAsia="Calibri" w:hAnsi="ITC Avant Garde" w:cs="Arial"/>
          <w:lang w:eastAsia="es-ES"/>
        </w:rPr>
        <w:t xml:space="preserve">expedidos </w:t>
      </w:r>
      <w:r w:rsidR="0035453B" w:rsidRPr="002B640D">
        <w:rPr>
          <w:rFonts w:ascii="ITC Avant Garde" w:eastAsia="Calibri" w:hAnsi="ITC Avant Garde" w:cs="Arial"/>
          <w:lang w:eastAsia="es-ES"/>
        </w:rPr>
        <w:t>por el Instituto</w:t>
      </w:r>
      <w:r w:rsidR="0035453B" w:rsidRPr="002B640D">
        <w:rPr>
          <w:rFonts w:ascii="ITC Avant Garde" w:eastAsia="Calibri" w:hAnsi="ITC Avant Garde" w:cs="Arial"/>
          <w:lang w:val="es-419" w:eastAsia="es-ES"/>
        </w:rPr>
        <w:t xml:space="preserve"> consisten </w:t>
      </w:r>
      <w:r w:rsidR="0035453B" w:rsidRPr="002B640D">
        <w:rPr>
          <w:rFonts w:ascii="ITC Avant Garde" w:eastAsia="Calibri" w:hAnsi="ITC Avant Garde" w:cs="Arial"/>
          <w:lang w:eastAsia="es-ES"/>
        </w:rPr>
        <w:t xml:space="preserve">en una determinación administrativa que consigna directrices técnicas a utilizarse en un esquema normativo para estimar tarifas correspondientes al servicio de Acceso y Uso Compartido de Infraestructura Pasiva dentro del contexto de la Oferta de Referencia de Telmex y </w:t>
      </w:r>
      <w:r w:rsidR="00721CD5" w:rsidRPr="002B640D">
        <w:rPr>
          <w:rFonts w:ascii="ITC Avant Garde" w:eastAsia="Calibri" w:hAnsi="ITC Avant Garde" w:cs="Arial"/>
          <w:lang w:val="es-419" w:eastAsia="es-ES"/>
        </w:rPr>
        <w:t xml:space="preserve">la </w:t>
      </w:r>
      <w:r w:rsidR="00721CD5" w:rsidRPr="002B640D">
        <w:rPr>
          <w:rFonts w:ascii="ITC Avant Garde" w:eastAsia="Calibri" w:hAnsi="ITC Avant Garde" w:cs="Arial"/>
          <w:lang w:eastAsia="es-ES"/>
        </w:rPr>
        <w:t xml:space="preserve">Oferta de Referencia de </w:t>
      </w:r>
      <w:proofErr w:type="spellStart"/>
      <w:r w:rsidR="0035453B" w:rsidRPr="002B640D">
        <w:rPr>
          <w:rFonts w:ascii="ITC Avant Garde" w:eastAsia="Calibri" w:hAnsi="ITC Avant Garde" w:cs="Arial"/>
          <w:lang w:eastAsia="es-ES"/>
        </w:rPr>
        <w:t>Telnor</w:t>
      </w:r>
      <w:proofErr w:type="spellEnd"/>
      <w:r w:rsidR="0035453B" w:rsidRPr="002B640D">
        <w:rPr>
          <w:rFonts w:ascii="ITC Avant Garde" w:eastAsia="Calibri" w:hAnsi="ITC Avant Garde" w:cs="Arial"/>
          <w:lang w:eastAsia="es-ES"/>
        </w:rPr>
        <w:t xml:space="preserve"> autorizada por el Instituto</w:t>
      </w:r>
      <w:r w:rsidR="0035453B" w:rsidRPr="002B640D">
        <w:rPr>
          <w:rFonts w:ascii="ITC Avant Garde" w:eastAsia="Calibri" w:hAnsi="ITC Avant Garde" w:cs="Arial"/>
          <w:lang w:val="es-419" w:eastAsia="es-ES"/>
        </w:rPr>
        <w:t xml:space="preserve">, por lo que </w:t>
      </w:r>
      <w:r w:rsidR="0097091F" w:rsidRPr="002B640D">
        <w:rPr>
          <w:rFonts w:ascii="ITC Avant Garde" w:eastAsia="Calibri" w:hAnsi="ITC Avant Garde" w:cs="Arial"/>
          <w:lang w:eastAsia="es-ES"/>
        </w:rPr>
        <w:t>tiene</w:t>
      </w:r>
      <w:r w:rsidR="000A091C" w:rsidRPr="002B640D">
        <w:rPr>
          <w:rFonts w:ascii="ITC Avant Garde" w:eastAsia="Calibri" w:hAnsi="ITC Avant Garde" w:cs="Arial"/>
          <w:lang w:eastAsia="es-ES"/>
        </w:rPr>
        <w:t>n</w:t>
      </w:r>
      <w:r w:rsidR="0097091F" w:rsidRPr="002B640D">
        <w:rPr>
          <w:rFonts w:ascii="ITC Avant Garde" w:eastAsia="Calibri" w:hAnsi="ITC Avant Garde" w:cs="Arial"/>
          <w:lang w:eastAsia="es-ES"/>
        </w:rPr>
        <w:t xml:space="preserve"> la naturaleza de un el</w:t>
      </w:r>
      <w:r w:rsidR="000A091C" w:rsidRPr="002B640D">
        <w:rPr>
          <w:rFonts w:ascii="ITC Avant Garde" w:eastAsia="Calibri" w:hAnsi="ITC Avant Garde" w:cs="Arial"/>
          <w:lang w:eastAsia="es-ES"/>
        </w:rPr>
        <w:t>emento técnico-económico que</w:t>
      </w:r>
      <w:r w:rsidR="0097091F" w:rsidRPr="002B640D">
        <w:rPr>
          <w:rFonts w:ascii="ITC Avant Garde" w:eastAsia="Calibri" w:hAnsi="ITC Avant Garde" w:cs="Arial"/>
          <w:lang w:eastAsia="es-ES"/>
        </w:rPr>
        <w:t xml:space="preserve"> se encuentra inserta</w:t>
      </w:r>
      <w:r w:rsidR="000A091C" w:rsidRPr="002B640D">
        <w:rPr>
          <w:rFonts w:ascii="ITC Avant Garde" w:eastAsia="Calibri" w:hAnsi="ITC Avant Garde" w:cs="Arial"/>
          <w:lang w:eastAsia="es-ES"/>
        </w:rPr>
        <w:t>do</w:t>
      </w:r>
      <w:r w:rsidR="0097091F" w:rsidRPr="002B640D">
        <w:rPr>
          <w:rFonts w:ascii="ITC Avant Garde" w:eastAsia="Calibri" w:hAnsi="ITC Avant Garde" w:cs="Arial"/>
          <w:lang w:eastAsia="es-ES"/>
        </w:rPr>
        <w:t xml:space="preserve"> dentro de un esquema regulatorio, en razón de que la asignación de tarifas de los servicios, en este caso para los servicios de Acceso y Uso Compartido de Infraestructura Pasiva, persigue objetivos que corresponden a políticas públicas, como incentivar y promover empresas y tecnologías eficientes, favorecer el bienestar de los usuarios, estimular el desarrollo del sector y la sana competencia entre los concesionarios de redes públicas de telecomunicaciones. </w:t>
      </w:r>
    </w:p>
    <w:p w14:paraId="3C116142" w14:textId="77777777" w:rsidR="001D0B9B" w:rsidRPr="002B640D" w:rsidRDefault="001D0B9B" w:rsidP="002B640D">
      <w:pPr>
        <w:spacing w:before="240"/>
        <w:jc w:val="both"/>
        <w:rPr>
          <w:rStyle w:val="IFTnormalCar"/>
        </w:rPr>
      </w:pPr>
      <w:r w:rsidRPr="002B640D">
        <w:rPr>
          <w:rFonts w:ascii="ITC Avant Garde" w:eastAsia="Calibri" w:hAnsi="ITC Avant Garde" w:cs="Arial"/>
          <w:b/>
          <w:lang w:eastAsia="es-ES"/>
        </w:rPr>
        <w:lastRenderedPageBreak/>
        <w:t>TERCERO.- Modelo de Costos</w:t>
      </w:r>
      <w:r w:rsidR="00D36A5D" w:rsidRPr="002B640D">
        <w:rPr>
          <w:rFonts w:ascii="ITC Avant Garde" w:eastAsia="Calibri" w:hAnsi="ITC Avant Garde" w:cs="Arial"/>
          <w:b/>
          <w:lang w:eastAsia="es-ES"/>
        </w:rPr>
        <w:t xml:space="preserve"> de</w:t>
      </w:r>
      <w:r w:rsidR="0020624E" w:rsidRPr="002B640D">
        <w:rPr>
          <w:rFonts w:ascii="ITC Avant Garde" w:eastAsia="Calibri" w:hAnsi="ITC Avant Garde" w:cs="Arial"/>
          <w:b/>
          <w:lang w:val="es-419" w:eastAsia="es-ES"/>
        </w:rPr>
        <w:t xml:space="preserve"> </w:t>
      </w:r>
      <w:r w:rsidR="009767E8" w:rsidRPr="002B640D">
        <w:rPr>
          <w:rFonts w:ascii="ITC Avant Garde" w:eastAsia="Calibri" w:hAnsi="ITC Avant Garde" w:cs="Arial"/>
          <w:b/>
          <w:lang w:eastAsia="es-ES"/>
        </w:rPr>
        <w:t>Red de Acceso Fijo</w:t>
      </w:r>
      <w:r w:rsidRPr="002B640D">
        <w:rPr>
          <w:rFonts w:ascii="ITC Avant Garde" w:eastAsia="Calibri" w:hAnsi="ITC Avant Garde" w:cs="Arial"/>
          <w:b/>
          <w:lang w:eastAsia="es-ES"/>
        </w:rPr>
        <w:t xml:space="preserve">. </w:t>
      </w:r>
      <w:r w:rsidRPr="002B640D">
        <w:rPr>
          <w:rStyle w:val="IFTnormalCar"/>
        </w:rPr>
        <w:t xml:space="preserve">El modelo de costos que determina las tarifas </w:t>
      </w:r>
      <w:r w:rsidR="00457DB0" w:rsidRPr="002B640D">
        <w:rPr>
          <w:rStyle w:val="IFTnormalCar"/>
          <w:lang w:val="es-419"/>
        </w:rPr>
        <w:t xml:space="preserve">aplicables a la Oferta de Referencia de Telmex y </w:t>
      </w:r>
      <w:r w:rsidR="00721CD5" w:rsidRPr="002B640D">
        <w:rPr>
          <w:rStyle w:val="IFTnormalCar"/>
          <w:lang w:val="es-419"/>
        </w:rPr>
        <w:t xml:space="preserve">la </w:t>
      </w:r>
      <w:r w:rsidR="00721CD5" w:rsidRPr="002B640D">
        <w:rPr>
          <w:rFonts w:ascii="ITC Avant Garde" w:eastAsia="Calibri" w:hAnsi="ITC Avant Garde" w:cs="Arial"/>
          <w:lang w:eastAsia="es-ES"/>
        </w:rPr>
        <w:t xml:space="preserve">Oferta de Referencia de </w:t>
      </w:r>
      <w:proofErr w:type="spellStart"/>
      <w:r w:rsidR="00457DB0" w:rsidRPr="002B640D">
        <w:rPr>
          <w:rStyle w:val="IFTnormalCar"/>
          <w:lang w:val="es-419"/>
        </w:rPr>
        <w:t>Telnor</w:t>
      </w:r>
      <w:proofErr w:type="spellEnd"/>
      <w:r w:rsidR="00457DB0" w:rsidRPr="002B640D">
        <w:rPr>
          <w:rStyle w:val="IFTnormalCar"/>
          <w:lang w:val="es-419"/>
        </w:rPr>
        <w:t xml:space="preserve">, específicamente </w:t>
      </w:r>
      <w:r w:rsidRPr="002B640D">
        <w:rPr>
          <w:rStyle w:val="IFTnormalCar"/>
        </w:rPr>
        <w:t xml:space="preserve">para </w:t>
      </w:r>
      <w:r w:rsidR="00457DB0" w:rsidRPr="002B640D">
        <w:rPr>
          <w:rStyle w:val="IFTnormalCar"/>
          <w:lang w:val="es-419"/>
        </w:rPr>
        <w:t>ductos, pozos, postes y</w:t>
      </w:r>
      <w:r w:rsidR="00307ECB" w:rsidRPr="002B640D">
        <w:rPr>
          <w:rStyle w:val="IFTnormalCar"/>
        </w:rPr>
        <w:t xml:space="preserve"> </w:t>
      </w:r>
      <w:r w:rsidR="00B07570" w:rsidRPr="002B640D">
        <w:rPr>
          <w:rStyle w:val="IFTnormalCar"/>
          <w:lang w:val="es-419"/>
        </w:rPr>
        <w:t>t</w:t>
      </w:r>
      <w:proofErr w:type="spellStart"/>
      <w:r w:rsidR="00307ECB" w:rsidRPr="002B640D">
        <w:rPr>
          <w:rStyle w:val="IFTnormalCar"/>
        </w:rPr>
        <w:t>endido</w:t>
      </w:r>
      <w:proofErr w:type="spellEnd"/>
      <w:r w:rsidR="00307ECB" w:rsidRPr="002B640D">
        <w:rPr>
          <w:rStyle w:val="IFTnormalCar"/>
        </w:rPr>
        <w:t xml:space="preserve"> de </w:t>
      </w:r>
      <w:r w:rsidR="00B07570" w:rsidRPr="002B640D">
        <w:rPr>
          <w:rStyle w:val="IFTnormalCar"/>
          <w:lang w:val="es-419"/>
        </w:rPr>
        <w:t>c</w:t>
      </w:r>
      <w:proofErr w:type="spellStart"/>
      <w:r w:rsidR="00307ECB" w:rsidRPr="002B640D">
        <w:rPr>
          <w:rStyle w:val="IFTnormalCar"/>
        </w:rPr>
        <w:t>able</w:t>
      </w:r>
      <w:proofErr w:type="spellEnd"/>
      <w:r w:rsidR="00307ECB" w:rsidRPr="002B640D">
        <w:rPr>
          <w:rStyle w:val="IFTnormalCar"/>
        </w:rPr>
        <w:t xml:space="preserve"> sobre la </w:t>
      </w:r>
      <w:r w:rsidR="00B07570" w:rsidRPr="002B640D">
        <w:rPr>
          <w:rStyle w:val="IFTnormalCar"/>
          <w:lang w:val="es-419"/>
        </w:rPr>
        <w:t>i</w:t>
      </w:r>
      <w:proofErr w:type="spellStart"/>
      <w:r w:rsidR="00307ECB" w:rsidRPr="002B640D">
        <w:rPr>
          <w:rStyle w:val="IFTnormalCar"/>
        </w:rPr>
        <w:t>nfraestructura</w:t>
      </w:r>
      <w:proofErr w:type="spellEnd"/>
      <w:r w:rsidR="00307ECB" w:rsidRPr="002B640D">
        <w:rPr>
          <w:rStyle w:val="IFTnormalCar"/>
        </w:rPr>
        <w:t xml:space="preserve"> </w:t>
      </w:r>
      <w:r w:rsidR="00B07570" w:rsidRPr="002B640D">
        <w:rPr>
          <w:rStyle w:val="IFTnormalCar"/>
          <w:lang w:val="es-419"/>
        </w:rPr>
        <w:t>d</w:t>
      </w:r>
      <w:proofErr w:type="spellStart"/>
      <w:r w:rsidR="00307ECB" w:rsidRPr="002B640D">
        <w:rPr>
          <w:rStyle w:val="IFTnormalCar"/>
        </w:rPr>
        <w:t>esagregada</w:t>
      </w:r>
      <w:proofErr w:type="spellEnd"/>
      <w:r w:rsidR="00307ECB" w:rsidRPr="002B640D">
        <w:rPr>
          <w:rStyle w:val="IFTnormalCar"/>
        </w:rPr>
        <w:t xml:space="preserve"> </w:t>
      </w:r>
      <w:r w:rsidRPr="002B640D">
        <w:rPr>
          <w:rStyle w:val="IFTnormalCar"/>
        </w:rPr>
        <w:t xml:space="preserve">se desarrolló siguiendo una metodología de costos incrementales promedio de largo plazo de conformidad con lo establecido en la Medida TRIGÉSIMA NOVENA de las Medidas Fijas </w:t>
      </w:r>
      <w:r w:rsidR="00355374" w:rsidRPr="002B640D">
        <w:rPr>
          <w:rStyle w:val="IFTnormalCar"/>
        </w:rPr>
        <w:t xml:space="preserve">aplicables para el año 2017 </w:t>
      </w:r>
      <w:r w:rsidRPr="002B640D">
        <w:rPr>
          <w:rStyle w:val="IFTnormalCar"/>
        </w:rPr>
        <w:t>(en lo sucesivo, el “Modelo de</w:t>
      </w:r>
      <w:r w:rsidR="00D36A5D" w:rsidRPr="002B640D">
        <w:rPr>
          <w:rStyle w:val="IFTnormalCar"/>
          <w:lang w:val="es-419"/>
        </w:rPr>
        <w:t xml:space="preserve"> </w:t>
      </w:r>
      <w:r w:rsidR="009767E8" w:rsidRPr="002B640D">
        <w:rPr>
          <w:rStyle w:val="IFTnormalCar"/>
        </w:rPr>
        <w:t>Red de Acceso Fijo</w:t>
      </w:r>
      <w:r w:rsidRPr="002B640D">
        <w:rPr>
          <w:rStyle w:val="IFTnormalCar"/>
        </w:rPr>
        <w:t xml:space="preserve">”). </w:t>
      </w:r>
    </w:p>
    <w:p w14:paraId="02F718F2" w14:textId="77777777" w:rsidR="0037493E" w:rsidRPr="002B640D" w:rsidRDefault="0037493E" w:rsidP="002B640D">
      <w:pPr>
        <w:spacing w:before="240"/>
        <w:jc w:val="both"/>
        <w:rPr>
          <w:rStyle w:val="IFTnormalCar"/>
        </w:rPr>
      </w:pPr>
      <w:r w:rsidRPr="002B640D">
        <w:rPr>
          <w:rFonts w:ascii="ITC Avant Garde" w:eastAsia="Calibri" w:hAnsi="ITC Avant Garde" w:cs="Arial"/>
          <w:b/>
          <w:lang w:eastAsia="es-ES"/>
        </w:rPr>
        <w:t xml:space="preserve">3.1.1 </w:t>
      </w:r>
      <w:r w:rsidR="00F87D0B" w:rsidRPr="002B640D">
        <w:rPr>
          <w:rFonts w:ascii="ITC Avant Garde" w:eastAsia="Calibri" w:hAnsi="ITC Avant Garde" w:cs="Arial"/>
          <w:b/>
          <w:lang w:val="es-419" w:eastAsia="es-ES"/>
        </w:rPr>
        <w:t>Actualización</w:t>
      </w:r>
      <w:r w:rsidR="00701F9E" w:rsidRPr="002B640D">
        <w:rPr>
          <w:rFonts w:ascii="ITC Avant Garde" w:eastAsia="Calibri" w:hAnsi="ITC Avant Garde" w:cs="Arial"/>
          <w:b/>
          <w:lang w:eastAsia="es-ES"/>
        </w:rPr>
        <w:t xml:space="preserve"> </w:t>
      </w:r>
      <w:r w:rsidRPr="002B640D">
        <w:rPr>
          <w:rFonts w:ascii="ITC Avant Garde" w:eastAsia="Calibri" w:hAnsi="ITC Avant Garde" w:cs="Arial"/>
          <w:b/>
          <w:lang w:eastAsia="es-ES"/>
        </w:rPr>
        <w:t xml:space="preserve">del Modelo de </w:t>
      </w:r>
      <w:r w:rsidR="009767E8" w:rsidRPr="002B640D">
        <w:rPr>
          <w:rFonts w:ascii="ITC Avant Garde" w:eastAsia="Calibri" w:hAnsi="ITC Avant Garde" w:cs="Arial"/>
          <w:b/>
          <w:lang w:eastAsia="es-ES"/>
        </w:rPr>
        <w:t>Red de Acceso Fijo</w:t>
      </w:r>
      <w:r w:rsidRPr="002B640D">
        <w:rPr>
          <w:rFonts w:ascii="ITC Avant Garde" w:eastAsia="Calibri" w:hAnsi="ITC Avant Garde" w:cs="Arial"/>
          <w:b/>
          <w:lang w:eastAsia="es-ES"/>
        </w:rPr>
        <w:t>.</w:t>
      </w:r>
    </w:p>
    <w:p w14:paraId="5C84BE4D" w14:textId="04A294D4" w:rsidR="00742E6D" w:rsidRPr="002B640D" w:rsidRDefault="006202C4" w:rsidP="002B640D">
      <w:pPr>
        <w:pStyle w:val="IFTnormal"/>
        <w:spacing w:before="240"/>
        <w:rPr>
          <w:rStyle w:val="IFTnormalCar"/>
        </w:rPr>
      </w:pPr>
      <w:r w:rsidRPr="002B640D">
        <w:rPr>
          <w:color w:val="auto"/>
          <w:lang w:val="es-MX"/>
        </w:rPr>
        <w:t xml:space="preserve">Por la naturaleza propia </w:t>
      </w:r>
      <w:r w:rsidR="00B40AE4" w:rsidRPr="002B640D">
        <w:rPr>
          <w:color w:val="auto"/>
          <w:lang w:val="es-MX"/>
        </w:rPr>
        <w:t xml:space="preserve">del Modelo de </w:t>
      </w:r>
      <w:r w:rsidR="009767E8" w:rsidRPr="002B640D">
        <w:rPr>
          <w:color w:val="auto"/>
          <w:lang w:val="es-MX"/>
        </w:rPr>
        <w:t>Red de Acceso Fijo</w:t>
      </w:r>
      <w:r w:rsidR="00B40AE4" w:rsidRPr="002B640D">
        <w:rPr>
          <w:color w:val="auto"/>
          <w:lang w:val="es-MX"/>
        </w:rPr>
        <w:t xml:space="preserve"> </w:t>
      </w:r>
      <w:r w:rsidR="003B4C29" w:rsidRPr="002B640D">
        <w:rPr>
          <w:color w:val="auto"/>
          <w:lang w:val="es-MX"/>
        </w:rPr>
        <w:t>y de los elementos que lo componen</w:t>
      </w:r>
      <w:r w:rsidR="00341CFF" w:rsidRPr="002B640D">
        <w:rPr>
          <w:color w:val="auto"/>
          <w:lang w:val="es-MX"/>
        </w:rPr>
        <w:t>,</w:t>
      </w:r>
      <w:r w:rsidR="003B4C29" w:rsidRPr="002B640D">
        <w:rPr>
          <w:color w:val="auto"/>
          <w:lang w:val="es-MX"/>
        </w:rPr>
        <w:t xml:space="preserve"> </w:t>
      </w:r>
      <w:r w:rsidR="00B40AE4" w:rsidRPr="002B640D">
        <w:rPr>
          <w:color w:val="auto"/>
          <w:lang w:val="es-MX"/>
        </w:rPr>
        <w:t>este modelo</w:t>
      </w:r>
      <w:r w:rsidRPr="002B640D">
        <w:rPr>
          <w:color w:val="auto"/>
          <w:lang w:val="es-MX"/>
        </w:rPr>
        <w:t xml:space="preserve"> </w:t>
      </w:r>
      <w:r w:rsidR="00701F9E" w:rsidRPr="002B640D">
        <w:rPr>
          <w:color w:val="auto"/>
          <w:lang w:val="es-MX"/>
        </w:rPr>
        <w:t>permite</w:t>
      </w:r>
      <w:r w:rsidR="003B4C29" w:rsidRPr="002B640D">
        <w:rPr>
          <w:color w:val="auto"/>
          <w:lang w:val="es-MX"/>
        </w:rPr>
        <w:t xml:space="preserve"> </w:t>
      </w:r>
      <w:r w:rsidR="00742E6D" w:rsidRPr="002B640D">
        <w:rPr>
          <w:color w:val="auto"/>
          <w:lang w:val="es-MX"/>
        </w:rPr>
        <w:t>estima</w:t>
      </w:r>
      <w:r w:rsidR="003B4C29" w:rsidRPr="002B640D">
        <w:rPr>
          <w:color w:val="auto"/>
          <w:lang w:val="es-MX"/>
        </w:rPr>
        <w:t>r</w:t>
      </w:r>
      <w:r w:rsidR="00742E6D" w:rsidRPr="002B640D">
        <w:rPr>
          <w:rStyle w:val="IFTnormalCar"/>
        </w:rPr>
        <w:t xml:space="preserve"> tarifas por servicios de desagregación </w:t>
      </w:r>
      <w:r w:rsidR="003B4C29" w:rsidRPr="002B640D">
        <w:rPr>
          <w:rStyle w:val="IFTnormalCar"/>
        </w:rPr>
        <w:t xml:space="preserve">(para la compartición de bucle y sub-bucle de la red local del AEP) </w:t>
      </w:r>
      <w:r w:rsidR="00742E6D" w:rsidRPr="002B640D">
        <w:rPr>
          <w:rStyle w:val="IFTnormalCar"/>
        </w:rPr>
        <w:t>y tarifas por servicios de Infraestructura Pasiva</w:t>
      </w:r>
      <w:r w:rsidR="00A60758" w:rsidRPr="002B640D">
        <w:rPr>
          <w:rStyle w:val="IFTnormalCar"/>
          <w:lang w:val="es-419"/>
        </w:rPr>
        <w:t xml:space="preserve"> (</w:t>
      </w:r>
      <w:r w:rsidR="00B4497A" w:rsidRPr="002B640D">
        <w:rPr>
          <w:rStyle w:val="IFTnormalCar"/>
          <w:lang w:val="es-MX"/>
        </w:rPr>
        <w:t>d</w:t>
      </w:r>
      <w:proofErr w:type="spellStart"/>
      <w:r w:rsidR="00A60758" w:rsidRPr="002B640D">
        <w:rPr>
          <w:rStyle w:val="IFTnormalCar"/>
          <w:lang w:val="es-419"/>
        </w:rPr>
        <w:t>ado</w:t>
      </w:r>
      <w:proofErr w:type="spellEnd"/>
      <w:r w:rsidR="00A60758" w:rsidRPr="002B640D">
        <w:rPr>
          <w:rStyle w:val="IFTnormalCar"/>
          <w:lang w:val="es-419"/>
        </w:rPr>
        <w:t xml:space="preserve"> que l</w:t>
      </w:r>
      <w:r w:rsidR="00341CFF" w:rsidRPr="002B640D">
        <w:rPr>
          <w:rStyle w:val="IFTnormalCar"/>
          <w:lang w:val="es-MX"/>
        </w:rPr>
        <w:t>o</w:t>
      </w:r>
      <w:r w:rsidR="00A60758" w:rsidRPr="002B640D">
        <w:rPr>
          <w:rStyle w:val="IFTnormalCar"/>
          <w:lang w:val="es-419"/>
        </w:rPr>
        <w:t xml:space="preserve">s </w:t>
      </w:r>
      <w:proofErr w:type="spellStart"/>
      <w:r w:rsidR="00A60758" w:rsidRPr="002B640D">
        <w:rPr>
          <w:rStyle w:val="IFTnormalCar"/>
          <w:lang w:val="es-419"/>
        </w:rPr>
        <w:t>segund</w:t>
      </w:r>
      <w:proofErr w:type="spellEnd"/>
      <w:r w:rsidR="00B4497A" w:rsidRPr="002B640D">
        <w:rPr>
          <w:rStyle w:val="IFTnormalCar"/>
          <w:lang w:val="es-MX"/>
        </w:rPr>
        <w:t>o</w:t>
      </w:r>
      <w:r w:rsidR="00A60758" w:rsidRPr="002B640D">
        <w:rPr>
          <w:rStyle w:val="IFTnormalCar"/>
          <w:lang w:val="es-419"/>
        </w:rPr>
        <w:t>s son insumos para las pr</w:t>
      </w:r>
      <w:r w:rsidR="00E76780" w:rsidRPr="002B640D">
        <w:rPr>
          <w:rStyle w:val="IFTnormalCar"/>
          <w:lang w:val="es-419"/>
        </w:rPr>
        <w:t>i</w:t>
      </w:r>
      <w:r w:rsidR="00A60758" w:rsidRPr="002B640D">
        <w:rPr>
          <w:rStyle w:val="IFTnormalCar"/>
          <w:lang w:val="es-419"/>
        </w:rPr>
        <w:t>mer</w:t>
      </w:r>
      <w:r w:rsidR="00341CFF" w:rsidRPr="002B640D">
        <w:rPr>
          <w:rStyle w:val="IFTnormalCar"/>
          <w:lang w:val="es-MX"/>
        </w:rPr>
        <w:t>o</w:t>
      </w:r>
      <w:r w:rsidR="00A60758" w:rsidRPr="002B640D">
        <w:rPr>
          <w:rStyle w:val="IFTnormalCar"/>
          <w:lang w:val="es-419"/>
        </w:rPr>
        <w:t>s)</w:t>
      </w:r>
      <w:r w:rsidR="003B4C29" w:rsidRPr="002B640D">
        <w:rPr>
          <w:rStyle w:val="IFTnormalCar"/>
        </w:rPr>
        <w:t>, siguiendo la</w:t>
      </w:r>
      <w:r w:rsidR="003B4C29" w:rsidRPr="002B640D">
        <w:rPr>
          <w:color w:val="auto"/>
          <w:lang w:val="es-MX"/>
        </w:rPr>
        <w:t xml:space="preserve"> </w:t>
      </w:r>
      <w:r w:rsidRPr="002B640D">
        <w:rPr>
          <w:color w:val="auto"/>
          <w:lang w:val="es-MX"/>
        </w:rPr>
        <w:t>metodología de costos incrementales promedio de largo plazo</w:t>
      </w:r>
      <w:r w:rsidR="00742E6D" w:rsidRPr="002B640D">
        <w:rPr>
          <w:color w:val="auto"/>
          <w:lang w:val="es-MX"/>
        </w:rPr>
        <w:t>.</w:t>
      </w:r>
      <w:r w:rsidRPr="002B640D">
        <w:rPr>
          <w:rStyle w:val="IFTnormalCar"/>
        </w:rPr>
        <w:t xml:space="preserve"> </w:t>
      </w:r>
      <w:r w:rsidR="00307ECB" w:rsidRPr="002B640D">
        <w:rPr>
          <w:rStyle w:val="IFTnormalCar"/>
        </w:rPr>
        <w:t xml:space="preserve"> </w:t>
      </w:r>
    </w:p>
    <w:p w14:paraId="6B856744" w14:textId="77777777" w:rsidR="00307ECB" w:rsidRPr="002B640D" w:rsidRDefault="00341CFF" w:rsidP="002B640D">
      <w:pPr>
        <w:pStyle w:val="IFTnormal"/>
        <w:spacing w:before="240"/>
        <w:rPr>
          <w:rStyle w:val="IFTnormalCar"/>
        </w:rPr>
      </w:pPr>
      <w:r w:rsidRPr="002B640D">
        <w:rPr>
          <w:rStyle w:val="IFTnormalCar"/>
        </w:rPr>
        <w:t xml:space="preserve">Al respecto, cabe precisar que </w:t>
      </w:r>
      <w:r w:rsidR="00742E6D" w:rsidRPr="002B640D">
        <w:rPr>
          <w:rStyle w:val="IFTnormalCar"/>
        </w:rPr>
        <w:t>mediante la</w:t>
      </w:r>
      <w:r w:rsidR="00307ECB" w:rsidRPr="002B640D">
        <w:rPr>
          <w:rStyle w:val="IFTnormalCar"/>
        </w:rPr>
        <w:t xml:space="preserve"> “RESOLUCIÓN MEDIANTE LA CUAL EL PLENO DEL INSTITUTO FEDERAL DE TELECOMUNICACIONES MODIFICA Y AUTORIZA AL AGENTE ECONÓMICO PREPONDERANTE LOS TÉRMINOS Y CONDICIONES DE LA OFERTA DE REFERENCIA DE DESAGREGACIÓN EFECTIVA DE LA RED LOCAL DEL AGENTE ECONÓMICO PREPONDERANTE PRESENTADA POR TELÉFONOS DE MÉXICO, S.A.B. DE C.V., APLICABLES DEL 1° DE ENERO DE 2017 AL 31 DE DICIEMBRE DE 2018.”</w:t>
      </w:r>
      <w:r w:rsidR="00742E6D" w:rsidRPr="002B640D">
        <w:rPr>
          <w:rStyle w:val="IFTnormalCar"/>
        </w:rPr>
        <w:t xml:space="preserve">, a través del Acuerdo P/IFT/EXT/241116/37, </w:t>
      </w:r>
      <w:r w:rsidR="00307ECB" w:rsidRPr="002B640D">
        <w:rPr>
          <w:rStyle w:val="IFTnormalCar"/>
        </w:rPr>
        <w:t xml:space="preserve"> y de la “RESOLUCIÓN MEDIANTE LA CUAL EL PLENO DEL INSTITUTO FEDERAL DE TELECOMUNICACIONES MODIFICA Y AUTORIZA AL AGENTE ECONÓMICO PREPONDERANTE LOS TÉRMINOS Y CONDICIONES DE LA OFERTA DE REFERENCIA DE DESAGREGACIÓN EFECTIVA DE LA RED LOCAL DEL AGENTE ECONÓMICO PREPONDERANTE PRESENTADA POR TELÉFONOS DEL NOROESTE, S.A. DE C.V., APLICABLES DEL 1° DE ENERO DE 2017 AL 31 DE DICIEMBRE DE 2018”</w:t>
      </w:r>
      <w:r w:rsidRPr="002B640D">
        <w:rPr>
          <w:rStyle w:val="IFTnormalCar"/>
        </w:rPr>
        <w:t>,</w:t>
      </w:r>
      <w:r w:rsidR="00307ECB" w:rsidRPr="002B640D">
        <w:rPr>
          <w:rStyle w:val="IFTnormalCar"/>
        </w:rPr>
        <w:t xml:space="preserve"> </w:t>
      </w:r>
      <w:r w:rsidRPr="002B640D">
        <w:rPr>
          <w:rStyle w:val="IFTnormalCar"/>
        </w:rPr>
        <w:t>a</w:t>
      </w:r>
      <w:r w:rsidR="00307ECB" w:rsidRPr="002B640D">
        <w:rPr>
          <w:rStyle w:val="IFTnormalCar"/>
        </w:rPr>
        <w:t>probada</w:t>
      </w:r>
      <w:r w:rsidR="00E76780" w:rsidRPr="002B640D">
        <w:rPr>
          <w:rStyle w:val="IFTnormalCar"/>
          <w:lang w:val="es-419"/>
        </w:rPr>
        <w:t xml:space="preserve"> </w:t>
      </w:r>
      <w:r w:rsidR="00307ECB" w:rsidRPr="002B640D">
        <w:rPr>
          <w:rStyle w:val="IFTnormalCar"/>
        </w:rPr>
        <w:t>mediante Acuerdo P/IFT/EXT/241116/38</w:t>
      </w:r>
      <w:r w:rsidRPr="002B640D">
        <w:rPr>
          <w:rStyle w:val="IFTnormalCar"/>
        </w:rPr>
        <w:t xml:space="preserve">, se determinaron </w:t>
      </w:r>
      <w:r w:rsidRPr="002B640D">
        <w:rPr>
          <w:rStyle w:val="IFTnormalCar"/>
          <w:lang w:val="es-419"/>
        </w:rPr>
        <w:t xml:space="preserve">las </w:t>
      </w:r>
      <w:r w:rsidRPr="002B640D">
        <w:rPr>
          <w:rStyle w:val="IFTnormalCar"/>
        </w:rPr>
        <w:t>tarifas</w:t>
      </w:r>
      <w:r w:rsidRPr="002B640D">
        <w:rPr>
          <w:rStyle w:val="IFTnormalCar"/>
          <w:lang w:val="es-419"/>
        </w:rPr>
        <w:t xml:space="preserve"> de</w:t>
      </w:r>
      <w:r w:rsidRPr="002B640D">
        <w:rPr>
          <w:rStyle w:val="IFTnormalCar"/>
        </w:rPr>
        <w:t xml:space="preserve"> servicios de desagregación aplicables del 1° de enero de 2017 al 31 de diciembre de 2018, realizando para ello la </w:t>
      </w:r>
      <w:r w:rsidRPr="002B640D">
        <w:rPr>
          <w:rStyle w:val="IFTnormalCar"/>
          <w:lang w:val="es-MX"/>
        </w:rPr>
        <w:t xml:space="preserve">actualización </w:t>
      </w:r>
      <w:r w:rsidRPr="002B640D">
        <w:rPr>
          <w:rStyle w:val="IFTnormalCar"/>
        </w:rPr>
        <w:t xml:space="preserve">del Modelo de </w:t>
      </w:r>
      <w:r w:rsidR="009767E8" w:rsidRPr="002B640D">
        <w:rPr>
          <w:rStyle w:val="IFTnormalCar"/>
        </w:rPr>
        <w:t>Red de Acceso Fijo</w:t>
      </w:r>
      <w:r w:rsidR="00307ECB" w:rsidRPr="002B640D">
        <w:rPr>
          <w:rStyle w:val="IFTnormalCar"/>
        </w:rPr>
        <w:t xml:space="preserve">. </w:t>
      </w:r>
    </w:p>
    <w:p w14:paraId="77D77DA2" w14:textId="3D571020" w:rsidR="00676914" w:rsidRPr="002B640D" w:rsidRDefault="00711609" w:rsidP="002B640D">
      <w:pPr>
        <w:pStyle w:val="IFTnormal"/>
        <w:spacing w:before="240"/>
        <w:rPr>
          <w:rStyle w:val="IFTnormalCar"/>
        </w:rPr>
      </w:pPr>
      <w:r w:rsidRPr="002B640D">
        <w:rPr>
          <w:rStyle w:val="IFTnormalCar"/>
          <w:lang w:val="es-419"/>
        </w:rPr>
        <w:t xml:space="preserve">Por lo que como resultado de dicha actualización e </w:t>
      </w:r>
      <w:r w:rsidR="0059281B" w:rsidRPr="002B640D">
        <w:rPr>
          <w:rStyle w:val="IFTnormalCar"/>
        </w:rPr>
        <w:t>implementación d</w:t>
      </w:r>
      <w:r w:rsidR="003B4C29" w:rsidRPr="002B640D">
        <w:rPr>
          <w:rStyle w:val="IFTnormalCar"/>
        </w:rPr>
        <w:t xml:space="preserve">el Modelo de </w:t>
      </w:r>
      <w:r w:rsidR="009767E8" w:rsidRPr="002B640D">
        <w:rPr>
          <w:rStyle w:val="IFTnormalCar"/>
        </w:rPr>
        <w:t>Red de Acceso Fijo</w:t>
      </w:r>
      <w:r w:rsidR="00341CFF" w:rsidRPr="002B640D">
        <w:rPr>
          <w:rStyle w:val="IFTnormalCar"/>
        </w:rPr>
        <w:t>, en ese momento</w:t>
      </w:r>
      <w:r w:rsidR="003B4C29" w:rsidRPr="002B640D">
        <w:rPr>
          <w:rStyle w:val="IFTnormalCar"/>
        </w:rPr>
        <w:t xml:space="preserve"> </w:t>
      </w:r>
      <w:r w:rsidR="00676914" w:rsidRPr="002B640D">
        <w:rPr>
          <w:rStyle w:val="IFTnormalCar"/>
        </w:rPr>
        <w:t xml:space="preserve">también </w:t>
      </w:r>
      <w:r w:rsidRPr="002B640D">
        <w:rPr>
          <w:rStyle w:val="IFTnormalCar"/>
          <w:lang w:val="es-419"/>
        </w:rPr>
        <w:t xml:space="preserve">se </w:t>
      </w:r>
      <w:r w:rsidR="00E05B5B" w:rsidRPr="002B640D">
        <w:rPr>
          <w:rStyle w:val="IFTnormalCar"/>
          <w:lang w:val="es-419"/>
        </w:rPr>
        <w:t>actualizaron</w:t>
      </w:r>
      <w:r w:rsidR="00A60758" w:rsidRPr="002B640D">
        <w:rPr>
          <w:rStyle w:val="IFTnormalCar"/>
          <w:lang w:val="es-419"/>
        </w:rPr>
        <w:t xml:space="preserve"> las </w:t>
      </w:r>
      <w:r w:rsidR="00A60758" w:rsidRPr="002B640D">
        <w:rPr>
          <w:rStyle w:val="IFTnormalCar"/>
        </w:rPr>
        <w:t>tarifas</w:t>
      </w:r>
      <w:r w:rsidR="003B4C29" w:rsidRPr="002B640D">
        <w:rPr>
          <w:rStyle w:val="IFTnormalCar"/>
        </w:rPr>
        <w:t xml:space="preserve"> </w:t>
      </w:r>
      <w:r w:rsidR="00A93086" w:rsidRPr="002B640D">
        <w:rPr>
          <w:rStyle w:val="IFTnormalCar"/>
          <w:lang w:val="es-419"/>
        </w:rPr>
        <w:t xml:space="preserve">aplicables </w:t>
      </w:r>
      <w:r w:rsidR="009A58F8" w:rsidRPr="002B640D">
        <w:rPr>
          <w:rStyle w:val="IFTnormalCar"/>
          <w:lang w:val="es-MX"/>
        </w:rPr>
        <w:t>a</w:t>
      </w:r>
      <w:r w:rsidR="002712E2" w:rsidRPr="002B640D">
        <w:rPr>
          <w:rStyle w:val="IFTnormalCar"/>
          <w:lang w:val="es-419"/>
        </w:rPr>
        <w:t>l</w:t>
      </w:r>
      <w:r w:rsidR="0022478C" w:rsidRPr="002B640D">
        <w:rPr>
          <w:rStyle w:val="IFTnormalCar"/>
        </w:rPr>
        <w:t xml:space="preserve"> acceso y uso compartid de </w:t>
      </w:r>
      <w:r w:rsidR="002712E2" w:rsidRPr="002B640D">
        <w:rPr>
          <w:rStyle w:val="IFTnormalCar"/>
          <w:lang w:val="es-419"/>
        </w:rPr>
        <w:t>ductos, pozos y postes, así como al</w:t>
      </w:r>
      <w:r w:rsidR="0022478C" w:rsidRPr="002B640D">
        <w:rPr>
          <w:rStyle w:val="IFTnormalCar"/>
        </w:rPr>
        <w:t xml:space="preserve"> </w:t>
      </w:r>
      <w:r w:rsidR="0022478C" w:rsidRPr="002B640D">
        <w:rPr>
          <w:rStyle w:val="IFTnormalCar"/>
        </w:rPr>
        <w:lastRenderedPageBreak/>
        <w:t xml:space="preserve">tendido de cable sobre infraestructura </w:t>
      </w:r>
      <w:r w:rsidR="008916A6" w:rsidRPr="002B640D">
        <w:rPr>
          <w:rStyle w:val="IFTnormalCar"/>
        </w:rPr>
        <w:t xml:space="preserve">desagregada </w:t>
      </w:r>
      <w:proofErr w:type="spellStart"/>
      <w:r w:rsidR="008916A6" w:rsidRPr="002B640D">
        <w:rPr>
          <w:rStyle w:val="IFTnormalCar"/>
        </w:rPr>
        <w:t>descrit</w:t>
      </w:r>
      <w:proofErr w:type="spellEnd"/>
      <w:r w:rsidR="004A7346" w:rsidRPr="002B640D">
        <w:rPr>
          <w:rStyle w:val="IFTnormalCar"/>
          <w:lang w:val="es-419"/>
        </w:rPr>
        <w:t>a</w:t>
      </w:r>
      <w:r w:rsidR="008916A6" w:rsidRPr="002B640D">
        <w:rPr>
          <w:rStyle w:val="IFTnormalCar"/>
        </w:rPr>
        <w:t>s</w:t>
      </w:r>
      <w:r w:rsidR="0022478C" w:rsidRPr="002B640D">
        <w:rPr>
          <w:rStyle w:val="IFTnormalCar"/>
        </w:rPr>
        <w:t xml:space="preserve"> en</w:t>
      </w:r>
      <w:r w:rsidR="00B40AE4" w:rsidRPr="002B640D">
        <w:rPr>
          <w:rStyle w:val="IFTnormalCar"/>
        </w:rPr>
        <w:t xml:space="preserve"> la Oferta de Referencia de Telmex y </w:t>
      </w:r>
      <w:r w:rsidR="00341CFF" w:rsidRPr="002B640D">
        <w:rPr>
          <w:rStyle w:val="IFTnormalCar"/>
        </w:rPr>
        <w:t xml:space="preserve">Oferta de Referencia de </w:t>
      </w:r>
      <w:proofErr w:type="spellStart"/>
      <w:r w:rsidR="00B40AE4" w:rsidRPr="002B640D">
        <w:rPr>
          <w:rStyle w:val="IFTnormalCar"/>
        </w:rPr>
        <w:t>Telnor</w:t>
      </w:r>
      <w:proofErr w:type="spellEnd"/>
      <w:r w:rsidR="00E76780" w:rsidRPr="002B640D">
        <w:rPr>
          <w:rStyle w:val="IFTnormalCar"/>
          <w:lang w:val="es-419"/>
        </w:rPr>
        <w:t xml:space="preserve"> para 2017</w:t>
      </w:r>
      <w:r w:rsidR="00B40AE4" w:rsidRPr="002B640D">
        <w:rPr>
          <w:rStyle w:val="IFTnormalCar"/>
        </w:rPr>
        <w:t xml:space="preserve">. </w:t>
      </w:r>
    </w:p>
    <w:p w14:paraId="20FB9947" w14:textId="77777777" w:rsidR="001578AE" w:rsidRPr="002B640D" w:rsidRDefault="001578AE" w:rsidP="002B640D">
      <w:pPr>
        <w:spacing w:before="240"/>
        <w:jc w:val="both"/>
        <w:rPr>
          <w:rFonts w:ascii="ITC Avant Garde" w:eastAsia="Calibri" w:hAnsi="ITC Avant Garde" w:cs="Arial"/>
          <w:b/>
          <w:lang w:eastAsia="es-ES"/>
        </w:rPr>
      </w:pPr>
      <w:r w:rsidRPr="002B640D">
        <w:rPr>
          <w:rFonts w:ascii="ITC Avant Garde" w:eastAsia="Calibri" w:hAnsi="ITC Avant Garde" w:cs="Arial"/>
          <w:b/>
          <w:lang w:eastAsia="es-ES"/>
        </w:rPr>
        <w:t>3.1.</w:t>
      </w:r>
      <w:r w:rsidR="00355374" w:rsidRPr="002B640D">
        <w:rPr>
          <w:rFonts w:ascii="ITC Avant Garde" w:eastAsia="Calibri" w:hAnsi="ITC Avant Garde" w:cs="Arial"/>
          <w:b/>
          <w:lang w:eastAsia="es-ES"/>
        </w:rPr>
        <w:t>2</w:t>
      </w:r>
      <w:r w:rsidRPr="002B640D">
        <w:rPr>
          <w:rFonts w:ascii="ITC Avant Garde" w:eastAsia="Calibri" w:hAnsi="ITC Avant Garde" w:cs="Arial"/>
          <w:b/>
          <w:lang w:eastAsia="es-ES"/>
        </w:rPr>
        <w:t xml:space="preserve"> Principios de la metodología del </w:t>
      </w:r>
      <w:r w:rsidR="00375294" w:rsidRPr="002B640D">
        <w:rPr>
          <w:rFonts w:ascii="ITC Avant Garde" w:eastAsia="Calibri" w:hAnsi="ITC Avant Garde" w:cs="Arial"/>
          <w:b/>
          <w:lang w:eastAsia="es-ES"/>
        </w:rPr>
        <w:t>M</w:t>
      </w:r>
      <w:r w:rsidRPr="002B640D">
        <w:rPr>
          <w:rFonts w:ascii="ITC Avant Garde" w:eastAsia="Calibri" w:hAnsi="ITC Avant Garde" w:cs="Arial"/>
          <w:b/>
          <w:lang w:eastAsia="es-ES"/>
        </w:rPr>
        <w:t>odelo</w:t>
      </w:r>
      <w:r w:rsidR="00375294" w:rsidRPr="002B640D">
        <w:rPr>
          <w:rFonts w:ascii="ITC Avant Garde" w:eastAsia="Calibri" w:hAnsi="ITC Avant Garde" w:cs="Arial"/>
          <w:b/>
          <w:lang w:eastAsia="es-ES"/>
        </w:rPr>
        <w:t xml:space="preserve"> de </w:t>
      </w:r>
      <w:r w:rsidR="009767E8" w:rsidRPr="002B640D">
        <w:rPr>
          <w:rFonts w:ascii="ITC Avant Garde" w:eastAsia="Calibri" w:hAnsi="ITC Avant Garde" w:cs="Arial"/>
          <w:b/>
          <w:lang w:eastAsia="es-ES"/>
        </w:rPr>
        <w:t>Red de Acceso Fijo</w:t>
      </w:r>
    </w:p>
    <w:p w14:paraId="6F340225" w14:textId="77777777" w:rsidR="00DE0A93" w:rsidRPr="002B640D" w:rsidRDefault="00DE0A93" w:rsidP="002B640D">
      <w:pPr>
        <w:pStyle w:val="IFTnormal"/>
        <w:spacing w:before="240"/>
      </w:pPr>
      <w:r w:rsidRPr="002B640D">
        <w:t xml:space="preserve">El objetivo del </w:t>
      </w:r>
      <w:r w:rsidR="006E1F9E" w:rsidRPr="002B640D">
        <w:t xml:space="preserve">Modelo de </w:t>
      </w:r>
      <w:r w:rsidR="009767E8" w:rsidRPr="002B640D">
        <w:t>Red de Acceso Fijo</w:t>
      </w:r>
      <w:r w:rsidR="006E1F9E" w:rsidRPr="002B640D">
        <w:t xml:space="preserve"> </w:t>
      </w:r>
      <w:r w:rsidRPr="002B640D">
        <w:t>es estimar los costos previstos en que un operador incurriría si tuviera que desplegar su red en un mercado competitivo, de modo que le sea posible proveer todo un servicio o un incremento definido en la demanda de éste. Por ello este enfoque refleja de un modo más realista la decisión de un nuevo operador entrante sobre construir su propia red o rentar el acceso a la infraestructura de la red del AEP.</w:t>
      </w:r>
    </w:p>
    <w:p w14:paraId="39433EFA" w14:textId="77777777" w:rsidR="00DE0A93" w:rsidRPr="002B640D" w:rsidRDefault="00DE0A93" w:rsidP="002B640D">
      <w:pPr>
        <w:pStyle w:val="IFTnormal"/>
        <w:spacing w:before="240"/>
      </w:pPr>
      <w:r w:rsidRPr="002B640D">
        <w:t>El diseño del modelo toma como base a un operador hipotético y la red modelada corresponde con una red moderna equivalente a la del AEP</w:t>
      </w:r>
      <w:r w:rsidR="00095F99" w:rsidRPr="002B640D">
        <w:rPr>
          <w:lang w:val="es-419"/>
        </w:rPr>
        <w:t>,</w:t>
      </w:r>
      <w:r w:rsidRPr="002B640D">
        <w:t xml:space="preserve"> utilizando </w:t>
      </w:r>
      <w:r w:rsidRPr="002B640D">
        <w:rPr>
          <w:szCs w:val="18"/>
        </w:rPr>
        <w:t>un enfoque teórico ascendente. Dicha consideración,</w:t>
      </w:r>
      <w:r w:rsidRPr="002B640D">
        <w:t xml:space="preserve"> en lugar de modelar al propio AEP, permite que 1) los costos derivados de las ineficiencias en el diseño de la red no se trasladen a los </w:t>
      </w:r>
      <w:r w:rsidR="005375EB" w:rsidRPr="002B640D">
        <w:t>Concesionarios Solicitantes (en lo sucesivo, “</w:t>
      </w:r>
      <w:r w:rsidRPr="002B640D">
        <w:t>CS</w:t>
      </w:r>
      <w:r w:rsidR="005375EB" w:rsidRPr="002B640D">
        <w:t>”)</w:t>
      </w:r>
      <w:r w:rsidRPr="002B640D">
        <w:t>, redundando en precios de acceso a su infraestructura que sean superiores a los de un mercado competitivo, y; 2) para transparentar el que las tarifas de los servicios consideran únicamente la infraestructura, elementos de red y actividades que están estrictamente relacionados con la prestación de los servicios.</w:t>
      </w:r>
    </w:p>
    <w:p w14:paraId="63D3C845" w14:textId="77777777" w:rsidR="00DE0A93" w:rsidRPr="002B640D" w:rsidRDefault="00DE0A93" w:rsidP="002B640D">
      <w:pPr>
        <w:pStyle w:val="IFTnormal"/>
        <w:spacing w:before="240"/>
      </w:pPr>
      <w:r w:rsidRPr="002B640D">
        <w:t xml:space="preserve">Asimismo, el enfoque </w:t>
      </w:r>
      <w:r w:rsidR="00196BA1" w:rsidRPr="002B640D">
        <w:t xml:space="preserve">desarrollado en </w:t>
      </w:r>
      <w:r w:rsidRPr="002B640D">
        <w:t xml:space="preserve">el </w:t>
      </w:r>
      <w:r w:rsidR="006E1F9E" w:rsidRPr="002B640D">
        <w:t xml:space="preserve">Modelo de </w:t>
      </w:r>
      <w:r w:rsidR="009767E8" w:rsidRPr="002B640D">
        <w:t>Red de Acceso Fijo</w:t>
      </w:r>
      <w:r w:rsidR="006E1F9E" w:rsidRPr="002B640D">
        <w:t xml:space="preserve"> </w:t>
      </w:r>
      <w:r w:rsidRPr="002B640D">
        <w:t xml:space="preserve">realiza una aproximación adecuada de los costos </w:t>
      </w:r>
      <w:r w:rsidR="00196BA1" w:rsidRPr="002B640D">
        <w:t xml:space="preserve">incurridos por el AEP </w:t>
      </w:r>
      <w:r w:rsidRPr="002B640D">
        <w:t xml:space="preserve">por proveer los servicios a través de </w:t>
      </w:r>
      <w:r w:rsidR="00196BA1" w:rsidRPr="002B640D">
        <w:t>su</w:t>
      </w:r>
      <w:r w:rsidRPr="002B640D">
        <w:t xml:space="preserve"> red de acceso, pues permite tomar en cuenta todos los servicios ya provistos por </w:t>
      </w:r>
      <w:r w:rsidR="00196BA1" w:rsidRPr="002B640D">
        <w:t>este operador</w:t>
      </w:r>
      <w:r w:rsidRPr="002B640D">
        <w:t xml:space="preserve"> y atribuir los respectivos costos comunes y compartidos a los servicios relevantes en función de la demanda de dichos servicios para asegurar que exista una recuperación de los costos de inversión en que el </w:t>
      </w:r>
      <w:r w:rsidR="00196BA1" w:rsidRPr="002B640D">
        <w:t xml:space="preserve">AEP </w:t>
      </w:r>
      <w:r w:rsidRPr="002B640D">
        <w:t>incurre para el despliegue de su red.</w:t>
      </w:r>
    </w:p>
    <w:p w14:paraId="4EB6FBE5" w14:textId="77777777" w:rsidR="004C2103" w:rsidRPr="002B640D" w:rsidRDefault="004C2103" w:rsidP="002B640D">
      <w:pPr>
        <w:pStyle w:val="IFTnormal"/>
        <w:spacing w:before="240"/>
      </w:pPr>
      <w:r w:rsidRPr="002B640D">
        <w:t xml:space="preserve">De conformidad con el alcance de los servicios de Acceso y Uso Compartido de Infraestructura Pasiva establecido en la Medida CUADRAGÉSIMA PRIMERA de las Medidas Fijas, los servicios que son considerados en el Modelo de </w:t>
      </w:r>
      <w:r w:rsidR="009767E8" w:rsidRPr="002B640D">
        <w:t>Red de Acceso Fijo</w:t>
      </w:r>
      <w:r w:rsidRPr="002B640D">
        <w:t xml:space="preserve"> son los siguientes:</w:t>
      </w:r>
    </w:p>
    <w:p w14:paraId="5CEA718E" w14:textId="77777777" w:rsidR="00DE0A93" w:rsidRPr="002B640D" w:rsidRDefault="004C2103" w:rsidP="002B640D">
      <w:pPr>
        <w:pStyle w:val="IFTnormal"/>
        <w:spacing w:before="240"/>
        <w:rPr>
          <w:b/>
          <w:color w:val="auto"/>
          <w:lang w:val="es-MX"/>
        </w:rPr>
      </w:pPr>
      <w:r w:rsidRPr="002B640D">
        <w:rPr>
          <w:b/>
          <w:color w:val="auto"/>
          <w:lang w:val="es-MX"/>
        </w:rPr>
        <w:lastRenderedPageBreak/>
        <w:t>Servicios de Acceso y Uso Compartido de Infraestructura Pasiva asociados a la Oferta de Referencia</w:t>
      </w:r>
      <w:r w:rsidR="00701F9E" w:rsidRPr="002B640D">
        <w:rPr>
          <w:b/>
          <w:color w:val="auto"/>
          <w:lang w:val="es-MX"/>
        </w:rPr>
        <w:t xml:space="preserve"> de Telmex y </w:t>
      </w:r>
      <w:r w:rsidR="00721CD5" w:rsidRPr="002B640D">
        <w:rPr>
          <w:b/>
          <w:color w:val="auto"/>
          <w:lang w:val="es-419"/>
        </w:rPr>
        <w:t xml:space="preserve">la </w:t>
      </w:r>
      <w:r w:rsidR="00721CD5" w:rsidRPr="002B640D">
        <w:rPr>
          <w:b/>
          <w:color w:val="auto"/>
          <w:lang w:val="es-MX"/>
        </w:rPr>
        <w:t xml:space="preserve">Oferta de Referencia de </w:t>
      </w:r>
      <w:proofErr w:type="spellStart"/>
      <w:r w:rsidR="00701F9E" w:rsidRPr="002B640D">
        <w:rPr>
          <w:b/>
          <w:color w:val="auto"/>
          <w:lang w:val="es-MX"/>
        </w:rPr>
        <w:t>Telnor</w:t>
      </w:r>
      <w:proofErr w:type="spellEnd"/>
      <w:r w:rsidRPr="002B640D">
        <w:rPr>
          <w:rStyle w:val="Refdenotaalpie"/>
          <w:color w:val="auto"/>
          <w:lang w:val="es-MX"/>
        </w:rPr>
        <w:footnoteReference w:id="2"/>
      </w:r>
    </w:p>
    <w:p w14:paraId="5D499D6C" w14:textId="77777777" w:rsidR="00DE0A93" w:rsidRPr="002B640D" w:rsidRDefault="00DE0A93" w:rsidP="002B640D">
      <w:pPr>
        <w:pStyle w:val="Texto"/>
        <w:spacing w:before="240" w:after="0" w:line="276" w:lineRule="auto"/>
        <w:ind w:firstLine="0"/>
        <w:jc w:val="left"/>
        <w:rPr>
          <w:rFonts w:ascii="ITC Avant Garde" w:hAnsi="ITC Avant Garde"/>
          <w:sz w:val="22"/>
          <w:szCs w:val="22"/>
          <w:u w:val="single"/>
        </w:rPr>
      </w:pPr>
      <w:r w:rsidRPr="002B640D">
        <w:rPr>
          <w:rFonts w:ascii="ITC Avant Garde" w:hAnsi="ITC Avant Garde"/>
          <w:sz w:val="22"/>
          <w:szCs w:val="22"/>
          <w:u w:val="single"/>
        </w:rPr>
        <w:t>Servicio de acceso y uso compartido de obra civil:</w:t>
      </w:r>
    </w:p>
    <w:p w14:paraId="6C293117" w14:textId="77777777" w:rsidR="00DE0A93" w:rsidRPr="002B640D" w:rsidRDefault="00DE0A93" w:rsidP="002B640D">
      <w:pPr>
        <w:pStyle w:val="Texto"/>
        <w:numPr>
          <w:ilvl w:val="0"/>
          <w:numId w:val="30"/>
        </w:numPr>
        <w:spacing w:before="240" w:after="0" w:line="276" w:lineRule="auto"/>
        <w:rPr>
          <w:rFonts w:ascii="ITC Avant Garde" w:hAnsi="ITC Avant Garde"/>
          <w:sz w:val="22"/>
          <w:szCs w:val="22"/>
        </w:rPr>
      </w:pPr>
      <w:r w:rsidRPr="002B640D">
        <w:rPr>
          <w:rFonts w:ascii="ITC Avant Garde" w:hAnsi="ITC Avant Garde"/>
          <w:sz w:val="22"/>
          <w:szCs w:val="22"/>
        </w:rPr>
        <w:t xml:space="preserve">Ductos: </w:t>
      </w:r>
    </w:p>
    <w:p w14:paraId="034D3F0A" w14:textId="77777777" w:rsidR="00DE0A93" w:rsidRPr="002B640D" w:rsidRDefault="00DE0A93" w:rsidP="002B640D">
      <w:pPr>
        <w:pStyle w:val="Texto"/>
        <w:numPr>
          <w:ilvl w:val="1"/>
          <w:numId w:val="30"/>
        </w:numPr>
        <w:spacing w:before="240" w:after="0" w:line="276" w:lineRule="auto"/>
        <w:rPr>
          <w:rFonts w:ascii="ITC Avant Garde" w:hAnsi="ITC Avant Garde"/>
          <w:sz w:val="22"/>
          <w:szCs w:val="22"/>
        </w:rPr>
      </w:pPr>
      <w:r w:rsidRPr="002B640D">
        <w:rPr>
          <w:rFonts w:ascii="ITC Avant Garde" w:hAnsi="ITC Avant Garde"/>
          <w:sz w:val="22"/>
          <w:szCs w:val="22"/>
        </w:rPr>
        <w:t>Acceso a un ducto en arroyo y banqueta</w:t>
      </w:r>
    </w:p>
    <w:p w14:paraId="45780387" w14:textId="77777777" w:rsidR="00DE0A93" w:rsidRPr="002B640D" w:rsidRDefault="00DE0A93" w:rsidP="002B640D">
      <w:pPr>
        <w:pStyle w:val="Texto"/>
        <w:numPr>
          <w:ilvl w:val="0"/>
          <w:numId w:val="30"/>
        </w:numPr>
        <w:spacing w:before="240" w:after="0" w:line="276" w:lineRule="auto"/>
        <w:rPr>
          <w:rFonts w:ascii="ITC Avant Garde" w:hAnsi="ITC Avant Garde"/>
          <w:sz w:val="22"/>
          <w:szCs w:val="22"/>
        </w:rPr>
      </w:pPr>
      <w:r w:rsidRPr="002B640D">
        <w:rPr>
          <w:rFonts w:ascii="ITC Avant Garde" w:hAnsi="ITC Avant Garde"/>
          <w:sz w:val="22"/>
          <w:szCs w:val="22"/>
        </w:rPr>
        <w:t>Pozos:</w:t>
      </w:r>
    </w:p>
    <w:p w14:paraId="282C21EC" w14:textId="77777777" w:rsidR="00DE0A93" w:rsidRPr="002B640D" w:rsidRDefault="00DE0A93" w:rsidP="002B640D">
      <w:pPr>
        <w:pStyle w:val="Texto"/>
        <w:numPr>
          <w:ilvl w:val="1"/>
          <w:numId w:val="30"/>
        </w:numPr>
        <w:spacing w:before="240" w:after="0" w:line="276" w:lineRule="auto"/>
        <w:rPr>
          <w:rFonts w:ascii="ITC Avant Garde" w:hAnsi="ITC Avant Garde"/>
          <w:sz w:val="22"/>
          <w:szCs w:val="22"/>
        </w:rPr>
      </w:pPr>
      <w:r w:rsidRPr="002B640D">
        <w:rPr>
          <w:rFonts w:ascii="ITC Avant Garde" w:hAnsi="ITC Avant Garde"/>
          <w:sz w:val="22"/>
          <w:szCs w:val="22"/>
        </w:rPr>
        <w:t xml:space="preserve">Uso de vía del pozo, por entrada y/o salida de pozo. </w:t>
      </w:r>
    </w:p>
    <w:p w14:paraId="401E16FA" w14:textId="77777777" w:rsidR="00DE0A93" w:rsidRPr="002B640D" w:rsidRDefault="00DE0A93" w:rsidP="002B640D">
      <w:pPr>
        <w:pStyle w:val="Texto"/>
        <w:numPr>
          <w:ilvl w:val="1"/>
          <w:numId w:val="30"/>
        </w:numPr>
        <w:spacing w:before="240" w:after="0" w:line="276" w:lineRule="auto"/>
        <w:rPr>
          <w:rFonts w:ascii="ITC Avant Garde" w:hAnsi="ITC Avant Garde"/>
          <w:sz w:val="22"/>
          <w:szCs w:val="22"/>
        </w:rPr>
      </w:pPr>
      <w:r w:rsidRPr="002B640D">
        <w:rPr>
          <w:rFonts w:ascii="ITC Avant Garde" w:hAnsi="ITC Avant Garde"/>
          <w:sz w:val="22"/>
          <w:szCs w:val="22"/>
        </w:rPr>
        <w:t xml:space="preserve">Alojamiento de un cierre de empalme </w:t>
      </w:r>
    </w:p>
    <w:p w14:paraId="5D645028" w14:textId="77777777" w:rsidR="00DE0A93" w:rsidRPr="002B640D" w:rsidRDefault="00DE0A93" w:rsidP="002B640D">
      <w:pPr>
        <w:pStyle w:val="Texto"/>
        <w:numPr>
          <w:ilvl w:val="1"/>
          <w:numId w:val="30"/>
        </w:numPr>
        <w:spacing w:before="240" w:after="0" w:line="276" w:lineRule="auto"/>
        <w:rPr>
          <w:rFonts w:ascii="ITC Avant Garde" w:hAnsi="ITC Avant Garde"/>
          <w:sz w:val="22"/>
          <w:szCs w:val="22"/>
        </w:rPr>
      </w:pPr>
      <w:r w:rsidRPr="002B640D">
        <w:rPr>
          <w:rFonts w:ascii="ITC Avant Garde" w:hAnsi="ITC Avant Garde"/>
          <w:sz w:val="22"/>
          <w:szCs w:val="22"/>
        </w:rPr>
        <w:t xml:space="preserve">Alojamiento de una gaza de fibra óptica </w:t>
      </w:r>
    </w:p>
    <w:p w14:paraId="6C63F87A" w14:textId="77777777" w:rsidR="00DE0A93" w:rsidRPr="002B640D" w:rsidRDefault="00DE0A93" w:rsidP="002B640D">
      <w:pPr>
        <w:pStyle w:val="Texto"/>
        <w:numPr>
          <w:ilvl w:val="0"/>
          <w:numId w:val="30"/>
        </w:numPr>
        <w:spacing w:before="240" w:after="0" w:line="276" w:lineRule="auto"/>
        <w:rPr>
          <w:rFonts w:ascii="ITC Avant Garde" w:hAnsi="ITC Avant Garde"/>
          <w:sz w:val="22"/>
          <w:szCs w:val="22"/>
        </w:rPr>
      </w:pPr>
      <w:r w:rsidRPr="002B640D">
        <w:rPr>
          <w:rFonts w:ascii="ITC Avant Garde" w:hAnsi="ITC Avant Garde"/>
          <w:sz w:val="22"/>
          <w:szCs w:val="22"/>
        </w:rPr>
        <w:t>Postes:</w:t>
      </w:r>
    </w:p>
    <w:p w14:paraId="52405A61" w14:textId="77777777" w:rsidR="00DE0A93" w:rsidRPr="002B640D" w:rsidRDefault="00DE0A93" w:rsidP="002B640D">
      <w:pPr>
        <w:pStyle w:val="Texto"/>
        <w:numPr>
          <w:ilvl w:val="1"/>
          <w:numId w:val="30"/>
        </w:numPr>
        <w:spacing w:before="240" w:after="0" w:line="276" w:lineRule="auto"/>
        <w:rPr>
          <w:rFonts w:ascii="ITC Avant Garde" w:hAnsi="ITC Avant Garde"/>
          <w:sz w:val="22"/>
          <w:szCs w:val="22"/>
        </w:rPr>
      </w:pPr>
      <w:r w:rsidRPr="002B640D">
        <w:rPr>
          <w:rFonts w:ascii="ITC Avant Garde" w:hAnsi="ITC Avant Garde"/>
          <w:sz w:val="22"/>
          <w:szCs w:val="22"/>
        </w:rPr>
        <w:t>Por cable apoyado en el poste</w:t>
      </w:r>
    </w:p>
    <w:p w14:paraId="09D81109" w14:textId="77777777" w:rsidR="00DE0A93" w:rsidRPr="002B640D" w:rsidRDefault="00DE0A93" w:rsidP="002B640D">
      <w:pPr>
        <w:pStyle w:val="Texto"/>
        <w:numPr>
          <w:ilvl w:val="1"/>
          <w:numId w:val="30"/>
        </w:numPr>
        <w:spacing w:before="240" w:after="0" w:line="276" w:lineRule="auto"/>
        <w:rPr>
          <w:rFonts w:ascii="ITC Avant Garde" w:hAnsi="ITC Avant Garde"/>
          <w:sz w:val="22"/>
          <w:szCs w:val="22"/>
        </w:rPr>
      </w:pPr>
      <w:r w:rsidRPr="002B640D">
        <w:rPr>
          <w:rFonts w:ascii="ITC Avant Garde" w:hAnsi="ITC Avant Garde"/>
          <w:sz w:val="22"/>
          <w:szCs w:val="22"/>
        </w:rPr>
        <w:t xml:space="preserve">Por peso adicional en el poste </w:t>
      </w:r>
    </w:p>
    <w:p w14:paraId="2CF4336B" w14:textId="77777777" w:rsidR="002B640D" w:rsidRPr="002B640D" w:rsidRDefault="00DE0A93" w:rsidP="002B640D">
      <w:pPr>
        <w:pStyle w:val="Texto"/>
        <w:numPr>
          <w:ilvl w:val="1"/>
          <w:numId w:val="30"/>
        </w:numPr>
        <w:spacing w:before="240" w:after="0" w:line="276" w:lineRule="auto"/>
        <w:rPr>
          <w:rFonts w:ascii="ITC Avant Garde" w:hAnsi="ITC Avant Garde"/>
          <w:sz w:val="22"/>
          <w:szCs w:val="22"/>
        </w:rPr>
      </w:pPr>
      <w:r w:rsidRPr="002B640D">
        <w:rPr>
          <w:rFonts w:ascii="ITC Avant Garde" w:hAnsi="ITC Avant Garde"/>
          <w:sz w:val="22"/>
          <w:szCs w:val="22"/>
        </w:rPr>
        <w:t xml:space="preserve">Por apoyo de protecciones para subidas o </w:t>
      </w:r>
      <w:proofErr w:type="spellStart"/>
      <w:r w:rsidRPr="002B640D">
        <w:rPr>
          <w:rFonts w:ascii="ITC Avant Garde" w:hAnsi="ITC Avant Garde"/>
          <w:sz w:val="22"/>
          <w:szCs w:val="22"/>
        </w:rPr>
        <w:t>aterrizamientos</w:t>
      </w:r>
      <w:proofErr w:type="spellEnd"/>
      <w:r w:rsidRPr="002B640D">
        <w:rPr>
          <w:rFonts w:ascii="ITC Avant Garde" w:hAnsi="ITC Avant Garde"/>
          <w:sz w:val="22"/>
          <w:szCs w:val="22"/>
        </w:rPr>
        <w:t xml:space="preserve"> </w:t>
      </w:r>
    </w:p>
    <w:p w14:paraId="5DE35BD3" w14:textId="77777777" w:rsidR="002B640D" w:rsidRPr="002B640D" w:rsidRDefault="00DE0A93" w:rsidP="002B640D">
      <w:pPr>
        <w:pStyle w:val="Texto"/>
        <w:spacing w:before="240" w:after="0" w:line="276" w:lineRule="auto"/>
        <w:ind w:firstLine="0"/>
        <w:jc w:val="left"/>
        <w:rPr>
          <w:rFonts w:ascii="ITC Avant Garde" w:hAnsi="ITC Avant Garde"/>
          <w:sz w:val="22"/>
          <w:szCs w:val="22"/>
          <w:u w:val="single"/>
        </w:rPr>
      </w:pPr>
      <w:r w:rsidRPr="002B640D">
        <w:rPr>
          <w:rFonts w:ascii="ITC Avant Garde" w:hAnsi="ITC Avant Garde"/>
          <w:sz w:val="22"/>
          <w:szCs w:val="22"/>
          <w:u w:val="single"/>
        </w:rPr>
        <w:t>Servicio de tendido de cable sobre infraestructura desagregada:</w:t>
      </w:r>
    </w:p>
    <w:p w14:paraId="4BEDCB63" w14:textId="2F6557BB" w:rsidR="00DE0A93" w:rsidRPr="002B640D" w:rsidRDefault="00DE0A93" w:rsidP="002B640D">
      <w:pPr>
        <w:pStyle w:val="Texto"/>
        <w:numPr>
          <w:ilvl w:val="0"/>
          <w:numId w:val="30"/>
        </w:numPr>
        <w:spacing w:before="240" w:after="0" w:line="276" w:lineRule="auto"/>
        <w:rPr>
          <w:rFonts w:ascii="ITC Avant Garde" w:hAnsi="ITC Avant Garde"/>
          <w:sz w:val="22"/>
          <w:szCs w:val="22"/>
        </w:rPr>
      </w:pPr>
      <w:r w:rsidRPr="002B640D">
        <w:rPr>
          <w:rFonts w:ascii="ITC Avant Garde" w:hAnsi="ITC Avant Garde"/>
          <w:sz w:val="22"/>
          <w:szCs w:val="22"/>
        </w:rPr>
        <w:t xml:space="preserve">Instalación por tendido de cable </w:t>
      </w:r>
    </w:p>
    <w:p w14:paraId="7CA08282" w14:textId="77777777" w:rsidR="00DE0A93" w:rsidRPr="002B640D" w:rsidRDefault="00DE0A93" w:rsidP="002B640D">
      <w:pPr>
        <w:pStyle w:val="Texto"/>
        <w:numPr>
          <w:ilvl w:val="0"/>
          <w:numId w:val="30"/>
        </w:numPr>
        <w:spacing w:before="240" w:after="0" w:line="276" w:lineRule="auto"/>
        <w:rPr>
          <w:rFonts w:ascii="ITC Avant Garde" w:hAnsi="ITC Avant Garde"/>
          <w:sz w:val="22"/>
          <w:szCs w:val="22"/>
        </w:rPr>
      </w:pPr>
      <w:r w:rsidRPr="002B640D">
        <w:rPr>
          <w:rFonts w:ascii="ITC Avant Garde" w:hAnsi="ITC Avant Garde"/>
          <w:sz w:val="22"/>
          <w:szCs w:val="22"/>
        </w:rPr>
        <w:t>Empalme por hilo de fibra óptica /cobre.</w:t>
      </w:r>
    </w:p>
    <w:p w14:paraId="0F354B7F" w14:textId="77777777" w:rsidR="002B640D" w:rsidRPr="002B640D" w:rsidRDefault="00DE0A93" w:rsidP="002B640D">
      <w:pPr>
        <w:pStyle w:val="Texto"/>
        <w:numPr>
          <w:ilvl w:val="0"/>
          <w:numId w:val="30"/>
        </w:numPr>
        <w:spacing w:before="240" w:after="0" w:line="276" w:lineRule="auto"/>
        <w:rPr>
          <w:rFonts w:ascii="ITC Avant Garde" w:hAnsi="ITC Avant Garde"/>
          <w:sz w:val="22"/>
          <w:szCs w:val="22"/>
        </w:rPr>
      </w:pPr>
      <w:r w:rsidRPr="002B640D">
        <w:rPr>
          <w:rFonts w:ascii="ITC Avant Garde" w:hAnsi="ITC Avant Garde"/>
          <w:sz w:val="22"/>
          <w:szCs w:val="22"/>
        </w:rPr>
        <w:t>Uso y mantenimiento de la trayectoria para cable</w:t>
      </w:r>
    </w:p>
    <w:p w14:paraId="7B139AD2" w14:textId="7646A503" w:rsidR="00DE0A93" w:rsidRPr="002B640D" w:rsidRDefault="00DE0A93" w:rsidP="002B640D">
      <w:pPr>
        <w:pStyle w:val="IFTnormal"/>
        <w:spacing w:before="240"/>
        <w:rPr>
          <w:b/>
        </w:rPr>
      </w:pPr>
      <w:r w:rsidRPr="002B640D">
        <w:rPr>
          <w:b/>
        </w:rPr>
        <w:t>Implementación paramétrica</w:t>
      </w:r>
    </w:p>
    <w:p w14:paraId="3A2752D1" w14:textId="77777777" w:rsidR="00DE0A93" w:rsidRPr="002B640D" w:rsidRDefault="00DE0A93" w:rsidP="002B640D">
      <w:pPr>
        <w:pStyle w:val="IFTnormal"/>
        <w:spacing w:before="240"/>
      </w:pPr>
      <w:r w:rsidRPr="002B640D">
        <w:lastRenderedPageBreak/>
        <w:t xml:space="preserve">El </w:t>
      </w:r>
      <w:r w:rsidR="006E1F9E" w:rsidRPr="002B640D">
        <w:t xml:space="preserve">Modelo de </w:t>
      </w:r>
      <w:r w:rsidR="009767E8" w:rsidRPr="002B640D">
        <w:t>Red de Acceso Fijo</w:t>
      </w:r>
      <w:r w:rsidRPr="002B640D">
        <w:t xml:space="preserve"> sigue una implementación paramétrica, es decir permite al Instituto definir ciertas características de la demanda, parámetros de costos, de la red modelada y de los servicios a ser provistos a través de ésta.</w:t>
      </w:r>
    </w:p>
    <w:p w14:paraId="11A0DE64" w14:textId="77777777" w:rsidR="00DE0A93" w:rsidRPr="002B640D" w:rsidRDefault="00DE0A93" w:rsidP="002B640D">
      <w:pPr>
        <w:pStyle w:val="IFTnormal"/>
        <w:spacing w:before="240"/>
        <w:rPr>
          <w:b/>
        </w:rPr>
      </w:pPr>
      <w:r w:rsidRPr="002B640D">
        <w:rPr>
          <w:b/>
        </w:rPr>
        <w:t>Valoración de los activos</w:t>
      </w:r>
    </w:p>
    <w:p w14:paraId="63805A39" w14:textId="77777777" w:rsidR="00DE0A93" w:rsidRPr="002B640D" w:rsidRDefault="00DE0A93" w:rsidP="002B640D">
      <w:pPr>
        <w:pStyle w:val="IFTnormal"/>
        <w:spacing w:before="240"/>
      </w:pPr>
      <w:r w:rsidRPr="002B640D">
        <w:t>Los activos son valorados con base en activos modernos equivalentes, a partir de información proporcionada por el AEP o bien por terceros.</w:t>
      </w:r>
    </w:p>
    <w:p w14:paraId="4E1229E1" w14:textId="77777777" w:rsidR="00DE0A93" w:rsidRPr="002B640D" w:rsidRDefault="00DE0A93" w:rsidP="002B640D">
      <w:pPr>
        <w:pStyle w:val="IFTnormal"/>
        <w:spacing w:before="240"/>
      </w:pPr>
      <w:r w:rsidRPr="002B640D">
        <w:t>La decisión de utilizar dicha metodología, es decir emplear costos unitarios actuales de los activos modernos equivalentes que el operador desplegaría hoy en día y no exactamente los activos que ya están instalados, se basa en que los activos de la red del AEP son el resultado de inversiones hechas en el pasado con tecnologías disponibles diferentes de las actuales, lo que no refleja necesariamente la decisión que hoy en día tendría que enfrentar un nuevo operador entrante.</w:t>
      </w:r>
    </w:p>
    <w:p w14:paraId="29DD692B" w14:textId="77777777" w:rsidR="00DE0A93" w:rsidRPr="002B640D" w:rsidRDefault="00DE0A93" w:rsidP="002B640D">
      <w:pPr>
        <w:pStyle w:val="IFTnormal"/>
        <w:spacing w:before="240"/>
        <w:rPr>
          <w:b/>
        </w:rPr>
      </w:pPr>
      <w:r w:rsidRPr="002B640D">
        <w:rPr>
          <w:b/>
        </w:rPr>
        <w:t>Vida útil de los activos</w:t>
      </w:r>
    </w:p>
    <w:p w14:paraId="2E185497" w14:textId="77777777" w:rsidR="00DE0A93" w:rsidRPr="002B640D" w:rsidRDefault="00D9795D" w:rsidP="002B640D">
      <w:pPr>
        <w:pStyle w:val="IFTnormal"/>
        <w:spacing w:before="240"/>
        <w:rPr>
          <w:lang w:val="es-419"/>
        </w:rPr>
      </w:pPr>
      <w:r w:rsidRPr="002B640D">
        <w:rPr>
          <w:lang w:val="es-419"/>
        </w:rPr>
        <w:t>E</w:t>
      </w:r>
      <w:r w:rsidR="00324D35" w:rsidRPr="002B640D">
        <w:t>n las estimaciones del modelo se considera que la vida útil de los e</w:t>
      </w:r>
      <w:r w:rsidRPr="002B640D">
        <w:t xml:space="preserve">lementos a costear es económica, en razón </w:t>
      </w:r>
      <w:r w:rsidR="006B4E66" w:rsidRPr="002B640D">
        <w:rPr>
          <w:lang w:val="es-419"/>
        </w:rPr>
        <w:t>de que se refleje</w:t>
      </w:r>
      <w:r w:rsidRPr="002B640D">
        <w:rPr>
          <w:lang w:val="es-419"/>
        </w:rPr>
        <w:t xml:space="preserve"> el tiempo de uso de los activos</w:t>
      </w:r>
      <w:r w:rsidR="006B4E66" w:rsidRPr="002B640D">
        <w:rPr>
          <w:lang w:val="es-419"/>
        </w:rPr>
        <w:t>.</w:t>
      </w:r>
      <w:r w:rsidRPr="002B640D">
        <w:rPr>
          <w:lang w:val="es-419"/>
        </w:rPr>
        <w:t xml:space="preserve"> </w:t>
      </w:r>
    </w:p>
    <w:p w14:paraId="7671E0A5" w14:textId="77777777" w:rsidR="00DE0A93" w:rsidRPr="002B640D" w:rsidRDefault="00DE0A93" w:rsidP="002B640D">
      <w:pPr>
        <w:pStyle w:val="IFTnormal"/>
        <w:spacing w:before="240"/>
        <w:rPr>
          <w:b/>
        </w:rPr>
      </w:pPr>
      <w:r w:rsidRPr="002B640D">
        <w:rPr>
          <w:b/>
        </w:rPr>
        <w:t>Demanda mayorista y periodo modelado</w:t>
      </w:r>
    </w:p>
    <w:p w14:paraId="09C41833" w14:textId="77777777" w:rsidR="00DE0A93" w:rsidRPr="002B640D" w:rsidRDefault="00DE0A93" w:rsidP="002B640D">
      <w:pPr>
        <w:spacing w:before="240"/>
        <w:jc w:val="both"/>
      </w:pPr>
      <w:r w:rsidRPr="002B640D">
        <w:rPr>
          <w:rFonts w:ascii="ITC Avant Garde" w:hAnsi="ITC Avant Garde" w:cs="Arial"/>
          <w:color w:val="000000"/>
          <w:lang w:val="es-ES_tradnl" w:eastAsia="es-ES"/>
        </w:rPr>
        <w:t xml:space="preserve">En el </w:t>
      </w:r>
      <w:r w:rsidR="006E1F9E" w:rsidRPr="002B640D">
        <w:rPr>
          <w:rFonts w:ascii="ITC Avant Garde" w:hAnsi="ITC Avant Garde" w:cs="Arial"/>
          <w:color w:val="000000"/>
          <w:lang w:val="es-ES_tradnl" w:eastAsia="es-ES"/>
        </w:rPr>
        <w:t xml:space="preserve">Modelo de </w:t>
      </w:r>
      <w:r w:rsidR="009767E8" w:rsidRPr="002B640D">
        <w:rPr>
          <w:rFonts w:ascii="ITC Avant Garde" w:hAnsi="ITC Avant Garde" w:cs="Arial"/>
          <w:color w:val="000000"/>
          <w:lang w:val="es-ES_tradnl" w:eastAsia="es-ES"/>
        </w:rPr>
        <w:t>Red de Acceso Fijo</w:t>
      </w:r>
      <w:r w:rsidR="006E1F9E" w:rsidRPr="002B640D">
        <w:rPr>
          <w:rFonts w:ascii="ITC Avant Garde" w:hAnsi="ITC Avant Garde" w:cs="Arial"/>
          <w:color w:val="000000"/>
          <w:lang w:val="es-ES_tradnl" w:eastAsia="es-ES"/>
        </w:rPr>
        <w:t xml:space="preserve"> </w:t>
      </w:r>
      <w:r w:rsidRPr="002B640D">
        <w:rPr>
          <w:rFonts w:ascii="ITC Avant Garde" w:hAnsi="ITC Avant Garde" w:cs="Arial"/>
          <w:color w:val="000000"/>
          <w:lang w:val="es-ES_tradnl" w:eastAsia="es-ES"/>
        </w:rPr>
        <w:t>la demanda mayorista se basa en una estimación a partir del mercado minorista</w:t>
      </w:r>
      <w:r w:rsidRPr="002B640D">
        <w:rPr>
          <w:lang w:val="es-ES"/>
        </w:rPr>
        <w:t xml:space="preserve">. </w:t>
      </w:r>
      <w:r w:rsidRPr="002B640D">
        <w:rPr>
          <w:rFonts w:ascii="ITC Avant Garde" w:hAnsi="ITC Avant Garde" w:cs="Arial"/>
          <w:color w:val="000000"/>
          <w:lang w:val="es-ES_tradnl" w:eastAsia="es-ES"/>
        </w:rPr>
        <w:t>La demanda de servicios mayoristas depende de la demanda mayorista de forma directa e indirectamente de la demanda minorista proveniente del AEP y otros operadores.</w:t>
      </w:r>
    </w:p>
    <w:p w14:paraId="42E1128D" w14:textId="77777777" w:rsidR="00DE0A93" w:rsidRPr="002B640D" w:rsidRDefault="00DE0A93" w:rsidP="002B640D">
      <w:pPr>
        <w:pStyle w:val="IFTnormal"/>
        <w:spacing w:before="240"/>
      </w:pPr>
      <w:r w:rsidRPr="002B640D">
        <w:t>El AEP compra sólo los servicios activos para fines de “</w:t>
      </w:r>
      <w:proofErr w:type="spellStart"/>
      <w:r w:rsidRPr="002B640D">
        <w:t>self-supply</w:t>
      </w:r>
      <w:proofErr w:type="spellEnd"/>
      <w:r w:rsidRPr="002B640D">
        <w:t>”</w:t>
      </w:r>
      <w:r w:rsidR="00196BA1" w:rsidRPr="002B640D">
        <w:t>.</w:t>
      </w:r>
      <w:r w:rsidRPr="002B640D">
        <w:t xml:space="preserve"> </w:t>
      </w:r>
      <w:r w:rsidR="00196BA1" w:rsidRPr="002B640D">
        <w:t xml:space="preserve">Sin embargo, </w:t>
      </w:r>
      <w:r w:rsidRPr="002B640D">
        <w:t xml:space="preserve">los </w:t>
      </w:r>
      <w:r w:rsidR="00196BA1" w:rsidRPr="002B640D">
        <w:t xml:space="preserve">CS u </w:t>
      </w:r>
      <w:r w:rsidRPr="002B640D">
        <w:t xml:space="preserve">operadores alternativos tienen la opción de comprar una combinación de los servicios mayoristas del AEP, </w:t>
      </w:r>
      <w:r w:rsidR="00196BA1" w:rsidRPr="002B640D">
        <w:t xml:space="preserve">como por ejemplo </w:t>
      </w:r>
      <w:r w:rsidRPr="002B640D">
        <w:t>servicios de infraestructura (el acceso a los ductos</w:t>
      </w:r>
      <w:r w:rsidR="00196BA1" w:rsidRPr="002B640D">
        <w:t>, pozos, postes, etc.</w:t>
      </w:r>
      <w:r w:rsidRPr="002B640D">
        <w:t>)</w:t>
      </w:r>
      <w:r w:rsidR="002151A9" w:rsidRPr="002B640D">
        <w:rPr>
          <w:lang w:val="es-419"/>
        </w:rPr>
        <w:t xml:space="preserve"> y</w:t>
      </w:r>
      <w:r w:rsidRPr="002B640D">
        <w:t xml:space="preserve"> servicios de desagregación (servicio de desagregación total </w:t>
      </w:r>
      <w:r w:rsidR="00196BA1" w:rsidRPr="002B640D">
        <w:t xml:space="preserve">y compartida </w:t>
      </w:r>
      <w:r w:rsidRPr="002B640D">
        <w:t xml:space="preserve">del bucle </w:t>
      </w:r>
      <w:r w:rsidR="00196BA1" w:rsidRPr="002B640D">
        <w:t xml:space="preserve">y sub-bucle </w:t>
      </w:r>
      <w:r w:rsidRPr="002B640D">
        <w:t>local).</w:t>
      </w:r>
    </w:p>
    <w:p w14:paraId="67B5C0F3" w14:textId="77777777" w:rsidR="002B640D" w:rsidRPr="002B640D" w:rsidRDefault="00DE0A93" w:rsidP="002B640D">
      <w:pPr>
        <w:pStyle w:val="IFTnormal"/>
        <w:spacing w:before="240"/>
      </w:pPr>
      <w:r w:rsidRPr="002B640D">
        <w:t xml:space="preserve">En lo que respecta al periodo modelado, el </w:t>
      </w:r>
      <w:r w:rsidR="006E1F9E" w:rsidRPr="002B640D">
        <w:t xml:space="preserve">Modelo de </w:t>
      </w:r>
      <w:r w:rsidR="009767E8" w:rsidRPr="002B640D">
        <w:t>Red de Acceso Fijo</w:t>
      </w:r>
      <w:r w:rsidR="006E1F9E" w:rsidRPr="002B640D">
        <w:t xml:space="preserve"> </w:t>
      </w:r>
      <w:r w:rsidRPr="002B640D">
        <w:t>calcula el costo de los distintos servicios para un año de referencia determinado, asumiendo que la demanda y la cobertura de la red “</w:t>
      </w:r>
      <w:proofErr w:type="spellStart"/>
      <w:r w:rsidRPr="002B640D">
        <w:t>legacy</w:t>
      </w:r>
      <w:proofErr w:type="spellEnd"/>
      <w:r w:rsidRPr="002B640D">
        <w:t>” (cobre) – y actual – han permanecido relativamente constantes en los últimos años.</w:t>
      </w:r>
    </w:p>
    <w:p w14:paraId="1C73EAF2" w14:textId="65DB4BAC" w:rsidR="00DE0A93" w:rsidRPr="002B640D" w:rsidRDefault="00DE0A93" w:rsidP="002B640D">
      <w:pPr>
        <w:pStyle w:val="IFTnormal"/>
        <w:spacing w:before="240"/>
        <w:rPr>
          <w:b/>
        </w:rPr>
      </w:pPr>
      <w:r w:rsidRPr="002B640D">
        <w:rPr>
          <w:b/>
        </w:rPr>
        <w:lastRenderedPageBreak/>
        <w:t xml:space="preserve">Estimación de las inversiones y metodología de depreciación </w:t>
      </w:r>
    </w:p>
    <w:p w14:paraId="2608FA84" w14:textId="77777777" w:rsidR="00DE0A93" w:rsidRPr="002B640D" w:rsidRDefault="00DE0A93" w:rsidP="002B640D">
      <w:pPr>
        <w:pStyle w:val="IFTnormal"/>
        <w:spacing w:before="240"/>
      </w:pPr>
      <w:r w:rsidRPr="002B640D">
        <w:t xml:space="preserve">El dimensionamiento de los activos de la red ejecutado por el </w:t>
      </w:r>
      <w:r w:rsidR="006E1F9E" w:rsidRPr="002B640D">
        <w:t xml:space="preserve">Modelo de </w:t>
      </w:r>
      <w:r w:rsidR="009767E8" w:rsidRPr="002B640D">
        <w:t>Red de Acceso Fijo</w:t>
      </w:r>
      <w:r w:rsidR="006E1F9E" w:rsidRPr="002B640D">
        <w:t xml:space="preserve"> </w:t>
      </w:r>
      <w:r w:rsidRPr="002B640D">
        <w:t>permite dimensionar la cantidad y el tamaño de los activos involucrados en la prestación de los servicios.</w:t>
      </w:r>
    </w:p>
    <w:p w14:paraId="417F610F" w14:textId="77777777" w:rsidR="00DE0A93" w:rsidRPr="002B640D" w:rsidRDefault="00DE0A93" w:rsidP="002B640D">
      <w:pPr>
        <w:pStyle w:val="IFTnormal"/>
        <w:spacing w:before="240"/>
      </w:pPr>
      <w:r w:rsidRPr="002B640D">
        <w:t>Así, mediante dicha información y a partir de los costos de los activos asociados que forman parte a su vez de los datos de entrada del modelo, es posible estimar el total de inversiones incurridas en el despliegue de infraestructura.</w:t>
      </w:r>
    </w:p>
    <w:p w14:paraId="4EBB64C0" w14:textId="77777777" w:rsidR="00DE0A93" w:rsidRPr="002B640D" w:rsidRDefault="00DE0A93" w:rsidP="002B640D">
      <w:pPr>
        <w:pStyle w:val="IFTnormal"/>
        <w:spacing w:before="240"/>
      </w:pPr>
      <w:r w:rsidRPr="002B640D">
        <w:t xml:space="preserve">Usando una metodología de depreciación anual se logra traducir dentro del </w:t>
      </w:r>
      <w:r w:rsidR="00631FEA" w:rsidRPr="002B640D">
        <w:t xml:space="preserve">Modelo de </w:t>
      </w:r>
      <w:r w:rsidR="009767E8" w:rsidRPr="002B640D">
        <w:t>Red de Acceso Fijo</w:t>
      </w:r>
      <w:r w:rsidRPr="002B640D">
        <w:t xml:space="preserve"> los costos anuales correspondientes y añadir los costos operativos asociados, para posteriormente asignar las tarifas de acuerdo al uso de los activos a cada concesionario.</w:t>
      </w:r>
    </w:p>
    <w:p w14:paraId="0614ED99" w14:textId="77777777" w:rsidR="00DE0A93" w:rsidRPr="002B640D" w:rsidRDefault="00DE0A93" w:rsidP="002B640D">
      <w:pPr>
        <w:pStyle w:val="IFTnormal"/>
        <w:spacing w:before="240"/>
      </w:pPr>
      <w:r w:rsidRPr="002B640D">
        <w:rPr>
          <w:lang w:val="es-ES"/>
        </w:rPr>
        <w:t xml:space="preserve">Para la metodología de depreciación de las inversiones del </w:t>
      </w:r>
      <w:r w:rsidR="00631FEA" w:rsidRPr="002B640D">
        <w:rPr>
          <w:lang w:val="es-ES"/>
        </w:rPr>
        <w:t xml:space="preserve">Modelo de </w:t>
      </w:r>
      <w:r w:rsidR="009767E8" w:rsidRPr="002B640D">
        <w:rPr>
          <w:lang w:val="es-ES"/>
        </w:rPr>
        <w:t>Red de Acceso Fijo</w:t>
      </w:r>
      <w:r w:rsidR="00631FEA" w:rsidRPr="002B640D">
        <w:rPr>
          <w:lang w:val="es-ES"/>
        </w:rPr>
        <w:t xml:space="preserve"> </w:t>
      </w:r>
      <w:r w:rsidRPr="002B640D">
        <w:rPr>
          <w:lang w:val="es-ES"/>
        </w:rPr>
        <w:t xml:space="preserve">se consideran varios perfiles de depreciación, pero por defecto se prefija una metodología de anualidad </w:t>
      </w:r>
      <w:r w:rsidRPr="002B640D">
        <w:t xml:space="preserve">inclinada. Lo anterior debido a que el modelo es </w:t>
      </w:r>
      <w:proofErr w:type="spellStart"/>
      <w:r w:rsidRPr="002B640D">
        <w:t>uni</w:t>
      </w:r>
      <w:proofErr w:type="spellEnd"/>
      <w:r w:rsidRPr="002B640D">
        <w:t xml:space="preserve">-anual, por lo que su demanda no crece o decrece y es específica al año considerado. Se desarrolló de esta manera porque no se esperan cambios en la red de cobre del AEP </w:t>
      </w:r>
      <w:r w:rsidR="00261DF3" w:rsidRPr="002B640D">
        <w:t>en el corto plazo</w:t>
      </w:r>
      <w:r w:rsidRPr="002B640D">
        <w:t>. La anualidad inclinada conlleva un pago constante con suma fija que tiene en cuenta:</w:t>
      </w:r>
    </w:p>
    <w:p w14:paraId="6BEBC3DF" w14:textId="77777777" w:rsidR="00635790" w:rsidRPr="002B640D" w:rsidRDefault="00635790" w:rsidP="002B640D">
      <w:pPr>
        <w:pStyle w:val="IFTnormal"/>
        <w:numPr>
          <w:ilvl w:val="0"/>
          <w:numId w:val="38"/>
        </w:numPr>
        <w:spacing w:before="240"/>
      </w:pPr>
      <w:r w:rsidRPr="002B640D">
        <w:t xml:space="preserve">El CCPP nominal antes de impuestos para un operador fijo de telecomunicaciones que posee elementos de infraestructura pasiva susceptible de ser compartida. El CCPP nominal antes de impuestos utilizado para este </w:t>
      </w:r>
      <w:r w:rsidR="00631FEA" w:rsidRPr="002B640D">
        <w:t>modelo</w:t>
      </w:r>
      <w:r w:rsidRPr="002B640D">
        <w:t xml:space="preserve"> es de 9.91%</w:t>
      </w:r>
      <w:r w:rsidRPr="002B640D">
        <w:rPr>
          <w:rStyle w:val="Refdenotaalpie"/>
        </w:rPr>
        <w:footnoteReference w:id="3"/>
      </w:r>
      <w:r w:rsidRPr="002B640D">
        <w:t xml:space="preserve">. </w:t>
      </w:r>
    </w:p>
    <w:p w14:paraId="1797DD2D" w14:textId="77777777" w:rsidR="00635790" w:rsidRPr="002B640D" w:rsidRDefault="00635790" w:rsidP="002B640D">
      <w:pPr>
        <w:pStyle w:val="IFTnormal"/>
        <w:spacing w:before="240"/>
        <w:ind w:left="708"/>
      </w:pPr>
      <w:r w:rsidRPr="002B640D">
        <w:t xml:space="preserve">En este sentido, </w:t>
      </w:r>
      <w:r w:rsidR="00C34C77" w:rsidRPr="002B640D">
        <w:t xml:space="preserve">tanto </w:t>
      </w:r>
      <w:r w:rsidRPr="002B640D">
        <w:t xml:space="preserve">el cálculo </w:t>
      </w:r>
      <w:r w:rsidR="00C34C77" w:rsidRPr="002B640D">
        <w:t xml:space="preserve"> como las </w:t>
      </w:r>
      <w:r w:rsidRPr="002B640D">
        <w:t xml:space="preserve">consideraciones metodológicas para dicho CCPP resultan de lo establecido en el “ACUERDO MEDIANTE EL CUAL EL PLENO DEL INSTITUTO FEDERAL DE TELECOMUNICACIONES ESTABLECE LAS CONDICIONES TÉCNICAS MÍNIMAS ENTRE CONCESIONARIOS QUE OPEREN REDES PÚBLICAS DE TELECOMUNICACIONES Y DETERMINA LAS </w:t>
      </w:r>
      <w:r w:rsidRPr="002B640D">
        <w:lastRenderedPageBreak/>
        <w:t>TARIFAS DE INTERCONEXIÓN RESULTADO DE LA METODOLOGÍA PARA EL CÁLCULO DE COSTOS DE INTERCONEXIÓN QUE ESTARÁN VIGENTES DEL 1 DE ENERO AL 31 DE DICIEMBRE DE 2017.”</w:t>
      </w:r>
      <w:r w:rsidR="00C34C77" w:rsidRPr="002B640D">
        <w:t>, publicado en el Diario Oficial de la Federación el 3 de octubre de 2016.</w:t>
      </w:r>
      <w:r w:rsidRPr="002B640D">
        <w:t xml:space="preserve"> </w:t>
      </w:r>
    </w:p>
    <w:p w14:paraId="380CC5D7" w14:textId="77777777" w:rsidR="00635790" w:rsidRPr="002B640D" w:rsidRDefault="00635790" w:rsidP="002B640D">
      <w:pPr>
        <w:pStyle w:val="IFTnormal"/>
        <w:spacing w:before="240"/>
        <w:ind w:left="708"/>
      </w:pPr>
      <w:r w:rsidRPr="002B640D">
        <w:t>De esta forma los elementos que se consideraron para el cálculo del CCPP son:</w:t>
      </w:r>
    </w:p>
    <w:tbl>
      <w:tblPr>
        <w:tblStyle w:val="Tablaconcuadrcula"/>
        <w:tblW w:w="0" w:type="auto"/>
        <w:jc w:val="center"/>
        <w:tblLook w:val="04A0" w:firstRow="1" w:lastRow="0" w:firstColumn="1" w:lastColumn="0" w:noHBand="0" w:noVBand="1"/>
        <w:tblCaption w:val="Tabla"/>
        <w:tblDescription w:val="elementos que se consideraron para el cálculo del CCPP "/>
      </w:tblPr>
      <w:tblGrid>
        <w:gridCol w:w="3713"/>
        <w:gridCol w:w="1713"/>
      </w:tblGrid>
      <w:tr w:rsidR="00635790" w:rsidRPr="002B640D" w14:paraId="251CC788" w14:textId="77777777" w:rsidTr="00B11631">
        <w:trPr>
          <w:tblHeader/>
          <w:jc w:val="center"/>
        </w:trPr>
        <w:tc>
          <w:tcPr>
            <w:tcW w:w="3713" w:type="dxa"/>
            <w:shd w:val="clear" w:color="auto" w:fill="D9D9D9" w:themeFill="background1" w:themeFillShade="D9"/>
          </w:tcPr>
          <w:p w14:paraId="5D0E8F50" w14:textId="77777777" w:rsidR="00635790" w:rsidRPr="002B640D" w:rsidRDefault="00635790" w:rsidP="002B640D">
            <w:pPr>
              <w:jc w:val="center"/>
              <w:rPr>
                <w:rFonts w:ascii="ITC Avant Garde" w:hAnsi="ITC Avant Garde"/>
                <w:b/>
              </w:rPr>
            </w:pPr>
            <w:r w:rsidRPr="002B640D">
              <w:rPr>
                <w:rFonts w:ascii="ITC Avant Garde" w:hAnsi="ITC Avant Garde"/>
                <w:b/>
              </w:rPr>
              <w:t>Concepto</w:t>
            </w:r>
          </w:p>
        </w:tc>
        <w:tc>
          <w:tcPr>
            <w:tcW w:w="1713" w:type="dxa"/>
            <w:shd w:val="clear" w:color="auto" w:fill="D9D9D9" w:themeFill="background1" w:themeFillShade="D9"/>
          </w:tcPr>
          <w:p w14:paraId="129CD179" w14:textId="77777777" w:rsidR="00635790" w:rsidRPr="002B640D" w:rsidRDefault="00635790" w:rsidP="002B640D">
            <w:pPr>
              <w:jc w:val="center"/>
              <w:rPr>
                <w:rFonts w:ascii="ITC Avant Garde" w:hAnsi="ITC Avant Garde"/>
                <w:b/>
              </w:rPr>
            </w:pPr>
            <w:r w:rsidRPr="002B640D">
              <w:rPr>
                <w:rFonts w:ascii="ITC Avant Garde" w:hAnsi="ITC Avant Garde"/>
                <w:b/>
              </w:rPr>
              <w:t>Valor</w:t>
            </w:r>
          </w:p>
        </w:tc>
      </w:tr>
      <w:tr w:rsidR="00635790" w:rsidRPr="002B640D" w14:paraId="5D660D8E" w14:textId="77777777" w:rsidTr="00B11631">
        <w:trPr>
          <w:tblHeader/>
          <w:jc w:val="center"/>
        </w:trPr>
        <w:tc>
          <w:tcPr>
            <w:tcW w:w="3713" w:type="dxa"/>
          </w:tcPr>
          <w:p w14:paraId="5C1F6533" w14:textId="77777777" w:rsidR="00635790" w:rsidRPr="002B640D" w:rsidRDefault="00635790" w:rsidP="002B640D">
            <w:pPr>
              <w:pStyle w:val="Default"/>
              <w:rPr>
                <w:rFonts w:eastAsia="Arial Unicode MS" w:cs="Arial Unicode MS"/>
                <w:sz w:val="20"/>
                <w:szCs w:val="20"/>
              </w:rPr>
            </w:pPr>
            <w:r w:rsidRPr="002B640D">
              <w:rPr>
                <w:rFonts w:eastAsia="Arial Unicode MS" w:cs="Arial Unicode MS"/>
                <w:sz w:val="20"/>
                <w:szCs w:val="20"/>
              </w:rPr>
              <w:t>Tasa libre de riesgo</w:t>
            </w:r>
          </w:p>
        </w:tc>
        <w:tc>
          <w:tcPr>
            <w:tcW w:w="1713" w:type="dxa"/>
          </w:tcPr>
          <w:p w14:paraId="3B7A4998" w14:textId="77777777" w:rsidR="00635790" w:rsidRPr="002B640D" w:rsidRDefault="00635790" w:rsidP="002B640D">
            <w:pPr>
              <w:pStyle w:val="Default"/>
              <w:jc w:val="center"/>
              <w:rPr>
                <w:rFonts w:eastAsia="Arial Unicode MS" w:cs="Arial Unicode MS"/>
                <w:sz w:val="20"/>
                <w:szCs w:val="20"/>
              </w:rPr>
            </w:pPr>
            <w:r w:rsidRPr="002B640D">
              <w:rPr>
                <w:rFonts w:eastAsia="Arial Unicode MS" w:cs="Arial Unicode MS"/>
                <w:sz w:val="20"/>
                <w:szCs w:val="20"/>
              </w:rPr>
              <w:t>5.04%</w:t>
            </w:r>
          </w:p>
        </w:tc>
      </w:tr>
      <w:tr w:rsidR="00635790" w:rsidRPr="002B640D" w14:paraId="52CA3F96" w14:textId="77777777" w:rsidTr="00B11631">
        <w:trPr>
          <w:tblHeader/>
          <w:jc w:val="center"/>
        </w:trPr>
        <w:tc>
          <w:tcPr>
            <w:tcW w:w="3713" w:type="dxa"/>
          </w:tcPr>
          <w:p w14:paraId="2F22E969" w14:textId="77777777" w:rsidR="00635790" w:rsidRPr="002B640D" w:rsidRDefault="00635790" w:rsidP="002B640D">
            <w:pPr>
              <w:pStyle w:val="Default"/>
              <w:rPr>
                <w:rFonts w:eastAsia="Arial Unicode MS" w:cs="Arial Unicode MS"/>
                <w:sz w:val="20"/>
                <w:szCs w:val="20"/>
              </w:rPr>
            </w:pPr>
            <w:r w:rsidRPr="002B640D">
              <w:rPr>
                <w:rFonts w:eastAsia="Arial Unicode MS" w:cs="Arial Unicode MS"/>
                <w:sz w:val="20"/>
                <w:szCs w:val="20"/>
              </w:rPr>
              <w:t>Beta</w:t>
            </w:r>
          </w:p>
        </w:tc>
        <w:tc>
          <w:tcPr>
            <w:tcW w:w="1713" w:type="dxa"/>
          </w:tcPr>
          <w:p w14:paraId="69613F67" w14:textId="77777777" w:rsidR="00635790" w:rsidRPr="002B640D" w:rsidRDefault="00635790" w:rsidP="002B640D">
            <w:pPr>
              <w:pStyle w:val="Default"/>
              <w:jc w:val="center"/>
              <w:rPr>
                <w:rFonts w:eastAsia="Arial Unicode MS" w:cs="Arial Unicode MS"/>
                <w:sz w:val="20"/>
                <w:szCs w:val="20"/>
              </w:rPr>
            </w:pPr>
            <w:r w:rsidRPr="002B640D">
              <w:rPr>
                <w:rFonts w:eastAsia="Arial Unicode MS" w:cs="Arial Unicode MS"/>
                <w:sz w:val="20"/>
                <w:szCs w:val="20"/>
              </w:rPr>
              <w:t>0.90</w:t>
            </w:r>
          </w:p>
        </w:tc>
      </w:tr>
      <w:tr w:rsidR="00635790" w:rsidRPr="002B640D" w14:paraId="4C027D34" w14:textId="77777777" w:rsidTr="00B11631">
        <w:trPr>
          <w:tblHeader/>
          <w:jc w:val="center"/>
        </w:trPr>
        <w:tc>
          <w:tcPr>
            <w:tcW w:w="3713" w:type="dxa"/>
          </w:tcPr>
          <w:p w14:paraId="33F65049" w14:textId="77777777" w:rsidR="00635790" w:rsidRPr="002B640D" w:rsidRDefault="00635790" w:rsidP="002B640D">
            <w:pPr>
              <w:pStyle w:val="Default"/>
              <w:rPr>
                <w:rFonts w:eastAsia="Arial Unicode MS" w:cs="Arial Unicode MS"/>
                <w:sz w:val="20"/>
                <w:szCs w:val="20"/>
              </w:rPr>
            </w:pPr>
            <w:r w:rsidRPr="002B640D">
              <w:rPr>
                <w:rFonts w:eastAsia="Arial Unicode MS" w:cs="Arial Unicode MS"/>
                <w:sz w:val="20"/>
                <w:szCs w:val="20"/>
              </w:rPr>
              <w:t xml:space="preserve">Prima de mercado </w:t>
            </w:r>
          </w:p>
        </w:tc>
        <w:tc>
          <w:tcPr>
            <w:tcW w:w="1713" w:type="dxa"/>
          </w:tcPr>
          <w:p w14:paraId="0B72BE7D" w14:textId="77777777" w:rsidR="00635790" w:rsidRPr="002B640D" w:rsidRDefault="00635790" w:rsidP="002B640D">
            <w:pPr>
              <w:pStyle w:val="Default"/>
              <w:jc w:val="center"/>
              <w:rPr>
                <w:rFonts w:eastAsia="Arial Unicode MS" w:cs="Arial Unicode MS"/>
                <w:sz w:val="20"/>
                <w:szCs w:val="20"/>
              </w:rPr>
            </w:pPr>
            <w:r w:rsidRPr="002B640D">
              <w:rPr>
                <w:rFonts w:eastAsia="Arial Unicode MS" w:cs="Arial Unicode MS"/>
                <w:sz w:val="20"/>
                <w:szCs w:val="20"/>
              </w:rPr>
              <w:t>6.25%</w:t>
            </w:r>
          </w:p>
        </w:tc>
      </w:tr>
      <w:tr w:rsidR="00635790" w:rsidRPr="002B640D" w14:paraId="26BAA28B" w14:textId="77777777" w:rsidTr="00B11631">
        <w:trPr>
          <w:tblHeader/>
          <w:jc w:val="center"/>
        </w:trPr>
        <w:tc>
          <w:tcPr>
            <w:tcW w:w="3713" w:type="dxa"/>
          </w:tcPr>
          <w:p w14:paraId="168A0BC9" w14:textId="77777777" w:rsidR="00635790" w:rsidRPr="002B640D" w:rsidRDefault="00635790" w:rsidP="002B640D">
            <w:pPr>
              <w:pStyle w:val="Default"/>
              <w:rPr>
                <w:rFonts w:eastAsia="Arial Unicode MS" w:cs="Arial Unicode MS"/>
                <w:sz w:val="20"/>
                <w:szCs w:val="20"/>
              </w:rPr>
            </w:pPr>
            <w:r w:rsidRPr="002B640D">
              <w:rPr>
                <w:rFonts w:eastAsia="Arial Unicode MS" w:cs="Arial Unicode MS"/>
                <w:bCs/>
                <w:sz w:val="20"/>
                <w:szCs w:val="20"/>
              </w:rPr>
              <w:t>Costo de capital accionario</w:t>
            </w:r>
          </w:p>
        </w:tc>
        <w:tc>
          <w:tcPr>
            <w:tcW w:w="1713" w:type="dxa"/>
          </w:tcPr>
          <w:p w14:paraId="48F2D3F8" w14:textId="77777777" w:rsidR="00635790" w:rsidRPr="002B640D" w:rsidRDefault="00635790" w:rsidP="002B640D">
            <w:pPr>
              <w:pStyle w:val="Default"/>
              <w:jc w:val="center"/>
              <w:rPr>
                <w:rFonts w:eastAsia="Arial Unicode MS" w:cs="Arial Unicode MS"/>
                <w:sz w:val="20"/>
                <w:szCs w:val="20"/>
              </w:rPr>
            </w:pPr>
            <w:r w:rsidRPr="002B640D">
              <w:rPr>
                <w:rFonts w:eastAsia="Arial Unicode MS" w:cs="Arial Unicode MS"/>
                <w:sz w:val="20"/>
                <w:szCs w:val="20"/>
              </w:rPr>
              <w:t>15.21%</w:t>
            </w:r>
          </w:p>
        </w:tc>
      </w:tr>
      <w:tr w:rsidR="00635790" w:rsidRPr="002B640D" w14:paraId="12F73390" w14:textId="77777777" w:rsidTr="00B11631">
        <w:trPr>
          <w:tblHeader/>
          <w:jc w:val="center"/>
        </w:trPr>
        <w:tc>
          <w:tcPr>
            <w:tcW w:w="3713" w:type="dxa"/>
          </w:tcPr>
          <w:p w14:paraId="60FA72FB" w14:textId="77777777" w:rsidR="00635790" w:rsidRPr="002B640D" w:rsidRDefault="00635790" w:rsidP="002B640D">
            <w:pPr>
              <w:pStyle w:val="Default"/>
              <w:rPr>
                <w:rFonts w:eastAsia="Arial Unicode MS" w:cs="Arial Unicode MS"/>
                <w:sz w:val="20"/>
                <w:szCs w:val="20"/>
              </w:rPr>
            </w:pPr>
            <w:r w:rsidRPr="002B640D">
              <w:rPr>
                <w:rFonts w:eastAsia="Arial Unicode MS" w:cs="Arial Unicode MS"/>
                <w:bCs/>
                <w:sz w:val="20"/>
                <w:szCs w:val="20"/>
              </w:rPr>
              <w:t>Costo de la deuda</w:t>
            </w:r>
          </w:p>
        </w:tc>
        <w:tc>
          <w:tcPr>
            <w:tcW w:w="1713" w:type="dxa"/>
          </w:tcPr>
          <w:p w14:paraId="0319E1C7" w14:textId="77777777" w:rsidR="00635790" w:rsidRPr="002B640D" w:rsidRDefault="00635790" w:rsidP="002B640D">
            <w:pPr>
              <w:pStyle w:val="Default"/>
              <w:jc w:val="center"/>
              <w:rPr>
                <w:rFonts w:eastAsia="Arial Unicode MS" w:cs="Arial Unicode MS"/>
                <w:sz w:val="20"/>
                <w:szCs w:val="20"/>
              </w:rPr>
            </w:pPr>
            <w:r w:rsidRPr="002B640D">
              <w:rPr>
                <w:rFonts w:eastAsia="Arial Unicode MS" w:cs="Arial Unicode MS"/>
                <w:sz w:val="20"/>
                <w:szCs w:val="20"/>
              </w:rPr>
              <w:t>6.35%</w:t>
            </w:r>
          </w:p>
        </w:tc>
      </w:tr>
      <w:tr w:rsidR="00635790" w:rsidRPr="002B640D" w14:paraId="0B795096" w14:textId="77777777" w:rsidTr="00B11631">
        <w:trPr>
          <w:tblHeader/>
          <w:jc w:val="center"/>
        </w:trPr>
        <w:tc>
          <w:tcPr>
            <w:tcW w:w="3713" w:type="dxa"/>
          </w:tcPr>
          <w:p w14:paraId="3081CB7F" w14:textId="77777777" w:rsidR="00635790" w:rsidRPr="002B640D" w:rsidRDefault="00635790" w:rsidP="002B640D">
            <w:pPr>
              <w:pStyle w:val="Default"/>
              <w:rPr>
                <w:rFonts w:eastAsia="Arial Unicode MS" w:cs="Arial Unicode MS"/>
                <w:sz w:val="20"/>
                <w:szCs w:val="20"/>
              </w:rPr>
            </w:pPr>
            <w:r w:rsidRPr="002B640D">
              <w:rPr>
                <w:rFonts w:eastAsia="Arial Unicode MS" w:cs="Arial Unicode MS"/>
                <w:sz w:val="20"/>
                <w:szCs w:val="20"/>
              </w:rPr>
              <w:t>Apalancamiento</w:t>
            </w:r>
          </w:p>
        </w:tc>
        <w:tc>
          <w:tcPr>
            <w:tcW w:w="1713" w:type="dxa"/>
          </w:tcPr>
          <w:p w14:paraId="7E6889BF" w14:textId="77777777" w:rsidR="00635790" w:rsidRPr="002B640D" w:rsidRDefault="00635790" w:rsidP="002B640D">
            <w:pPr>
              <w:pStyle w:val="Default"/>
              <w:jc w:val="center"/>
              <w:rPr>
                <w:rFonts w:eastAsia="Arial Unicode MS" w:cs="Arial Unicode MS"/>
                <w:sz w:val="20"/>
                <w:szCs w:val="20"/>
              </w:rPr>
            </w:pPr>
            <w:r w:rsidRPr="002B640D">
              <w:rPr>
                <w:rFonts w:eastAsia="Arial Unicode MS" w:cs="Arial Unicode MS"/>
                <w:sz w:val="20"/>
                <w:szCs w:val="20"/>
              </w:rPr>
              <w:t>59.75%</w:t>
            </w:r>
          </w:p>
        </w:tc>
      </w:tr>
      <w:tr w:rsidR="00635790" w:rsidRPr="002B640D" w14:paraId="71FF8468" w14:textId="77777777" w:rsidTr="00B11631">
        <w:trPr>
          <w:tblHeader/>
          <w:jc w:val="center"/>
        </w:trPr>
        <w:tc>
          <w:tcPr>
            <w:tcW w:w="3713" w:type="dxa"/>
          </w:tcPr>
          <w:p w14:paraId="4815490F" w14:textId="77777777" w:rsidR="00635790" w:rsidRPr="002B640D" w:rsidRDefault="00635790" w:rsidP="002B640D">
            <w:pPr>
              <w:pStyle w:val="Default"/>
              <w:rPr>
                <w:rFonts w:eastAsia="Arial Unicode MS" w:cs="Arial Unicode MS"/>
                <w:sz w:val="20"/>
                <w:szCs w:val="20"/>
              </w:rPr>
            </w:pPr>
            <w:r w:rsidRPr="002B640D">
              <w:rPr>
                <w:rFonts w:eastAsia="Arial Unicode MS" w:cs="Arial Unicode MS"/>
                <w:sz w:val="20"/>
                <w:szCs w:val="20"/>
              </w:rPr>
              <w:t xml:space="preserve">Tasa de impuestos </w:t>
            </w:r>
          </w:p>
        </w:tc>
        <w:tc>
          <w:tcPr>
            <w:tcW w:w="1713" w:type="dxa"/>
          </w:tcPr>
          <w:p w14:paraId="73A0919F" w14:textId="77777777" w:rsidR="00635790" w:rsidRPr="002B640D" w:rsidRDefault="00635790" w:rsidP="002B640D">
            <w:pPr>
              <w:pStyle w:val="Default"/>
              <w:jc w:val="center"/>
              <w:rPr>
                <w:rFonts w:eastAsia="Arial Unicode MS" w:cs="Arial Unicode MS"/>
                <w:sz w:val="20"/>
                <w:szCs w:val="20"/>
              </w:rPr>
            </w:pPr>
            <w:r w:rsidRPr="002B640D">
              <w:rPr>
                <w:rFonts w:eastAsia="Arial Unicode MS" w:cs="Arial Unicode MS"/>
                <w:sz w:val="20"/>
                <w:szCs w:val="20"/>
              </w:rPr>
              <w:t>30.00%</w:t>
            </w:r>
          </w:p>
        </w:tc>
      </w:tr>
      <w:tr w:rsidR="00635790" w:rsidRPr="002B640D" w14:paraId="12806B97" w14:textId="77777777" w:rsidTr="00B11631">
        <w:trPr>
          <w:trHeight w:val="64"/>
          <w:tblHeader/>
          <w:jc w:val="center"/>
        </w:trPr>
        <w:tc>
          <w:tcPr>
            <w:tcW w:w="3713" w:type="dxa"/>
          </w:tcPr>
          <w:p w14:paraId="72878F87" w14:textId="77777777" w:rsidR="00635790" w:rsidRPr="002B640D" w:rsidRDefault="00635790" w:rsidP="002B640D">
            <w:pPr>
              <w:pStyle w:val="Default"/>
              <w:rPr>
                <w:rFonts w:eastAsia="Arial Unicode MS" w:cs="Arial Unicode MS"/>
                <w:b/>
                <w:sz w:val="20"/>
                <w:szCs w:val="20"/>
              </w:rPr>
            </w:pPr>
            <w:r w:rsidRPr="002B640D">
              <w:rPr>
                <w:rFonts w:eastAsia="Arial Unicode MS" w:cs="Arial Unicode MS"/>
                <w:b/>
                <w:bCs/>
                <w:sz w:val="20"/>
                <w:szCs w:val="20"/>
              </w:rPr>
              <w:t xml:space="preserve">CCPP nominal antes impuestos </w:t>
            </w:r>
          </w:p>
        </w:tc>
        <w:tc>
          <w:tcPr>
            <w:tcW w:w="1713" w:type="dxa"/>
          </w:tcPr>
          <w:p w14:paraId="559A10B9" w14:textId="77777777" w:rsidR="00635790" w:rsidRPr="002B640D" w:rsidRDefault="00635790" w:rsidP="002B640D">
            <w:pPr>
              <w:pStyle w:val="Default"/>
              <w:jc w:val="center"/>
              <w:rPr>
                <w:rFonts w:eastAsia="Arial Unicode MS" w:cs="Arial Unicode MS"/>
                <w:b/>
                <w:sz w:val="20"/>
                <w:szCs w:val="20"/>
              </w:rPr>
            </w:pPr>
            <w:r w:rsidRPr="002B640D">
              <w:rPr>
                <w:rFonts w:eastAsia="Arial Unicode MS" w:cs="Arial Unicode MS"/>
                <w:b/>
                <w:sz w:val="20"/>
                <w:szCs w:val="20"/>
              </w:rPr>
              <w:t>9.91%</w:t>
            </w:r>
          </w:p>
        </w:tc>
      </w:tr>
    </w:tbl>
    <w:p w14:paraId="1F500607" w14:textId="5CE68374" w:rsidR="004379DA" w:rsidRPr="002B640D" w:rsidRDefault="004379DA" w:rsidP="002B640D">
      <w:pPr>
        <w:pStyle w:val="IFTnormal"/>
        <w:spacing w:before="240"/>
        <w:ind w:left="720"/>
        <w:jc w:val="center"/>
      </w:pPr>
      <w:r w:rsidRPr="002B640D">
        <w:rPr>
          <w:b/>
          <w:sz w:val="18"/>
        </w:rPr>
        <w:t>Tabla 1</w:t>
      </w:r>
      <w:r w:rsidR="00AB5878" w:rsidRPr="002B640D">
        <w:rPr>
          <w:b/>
          <w:sz w:val="18"/>
        </w:rPr>
        <w:t>:</w:t>
      </w:r>
      <w:r w:rsidRPr="002B640D">
        <w:rPr>
          <w:sz w:val="18"/>
        </w:rPr>
        <w:t xml:space="preserve"> </w:t>
      </w:r>
      <w:r w:rsidR="00C730AD" w:rsidRPr="002B640D">
        <w:rPr>
          <w:sz w:val="18"/>
        </w:rPr>
        <w:t>Parámetros relacionados con el Costo de Capital Promedio Ponderado</w:t>
      </w:r>
      <w:r w:rsidR="00AB5878" w:rsidRPr="002B640D">
        <w:rPr>
          <w:sz w:val="18"/>
        </w:rPr>
        <w:t>.</w:t>
      </w:r>
      <w:r w:rsidR="00C730AD" w:rsidRPr="002B640D">
        <w:rPr>
          <w:sz w:val="18"/>
        </w:rPr>
        <w:t xml:space="preserve"> </w:t>
      </w:r>
    </w:p>
    <w:p w14:paraId="5C04029F" w14:textId="77777777" w:rsidR="000274E6" w:rsidRPr="002B640D" w:rsidRDefault="004D0176" w:rsidP="002B640D">
      <w:pPr>
        <w:pStyle w:val="IFTnormal"/>
        <w:numPr>
          <w:ilvl w:val="0"/>
          <w:numId w:val="38"/>
        </w:numPr>
        <w:spacing w:before="240"/>
      </w:pPr>
      <w:r w:rsidRPr="002B640D">
        <w:rPr>
          <w:lang w:val="es-419"/>
        </w:rPr>
        <w:t>L</w:t>
      </w:r>
      <w:r w:rsidR="00C34C77" w:rsidRPr="002B640D">
        <w:t xml:space="preserve">a </w:t>
      </w:r>
      <w:r w:rsidR="00DE0A93" w:rsidRPr="002B640D">
        <w:t>vida útil de los activos</w:t>
      </w:r>
      <w:r w:rsidR="00C34C77" w:rsidRPr="002B640D">
        <w:t xml:space="preserve">, </w:t>
      </w:r>
      <w:r w:rsidR="00F90479" w:rsidRPr="002B640D">
        <w:rPr>
          <w:lang w:val="es-419"/>
        </w:rPr>
        <w:t>y</w:t>
      </w:r>
    </w:p>
    <w:p w14:paraId="20E583ED" w14:textId="77777777" w:rsidR="00C34C77" w:rsidRPr="002B640D" w:rsidRDefault="004D0176" w:rsidP="002B640D">
      <w:pPr>
        <w:pStyle w:val="IFTnormal"/>
        <w:numPr>
          <w:ilvl w:val="0"/>
          <w:numId w:val="38"/>
        </w:numPr>
        <w:spacing w:before="240"/>
      </w:pPr>
      <w:r w:rsidRPr="002B640D">
        <w:rPr>
          <w:lang w:val="es-419"/>
        </w:rPr>
        <w:t>L</w:t>
      </w:r>
      <w:r w:rsidR="00C34C77" w:rsidRPr="002B640D">
        <w:t>a tendencia de los precios asociada a cada uno de estos.</w:t>
      </w:r>
    </w:p>
    <w:p w14:paraId="2002DFBC" w14:textId="77777777" w:rsidR="00DE0A93" w:rsidRPr="002B640D" w:rsidRDefault="00DE0A93" w:rsidP="002B640D">
      <w:pPr>
        <w:pStyle w:val="IFTnormal"/>
        <w:spacing w:before="240"/>
        <w:rPr>
          <w:b/>
        </w:rPr>
      </w:pPr>
      <w:r w:rsidRPr="002B640D">
        <w:rPr>
          <w:b/>
        </w:rPr>
        <w:t>Asignación de costos compartidos</w:t>
      </w:r>
    </w:p>
    <w:p w14:paraId="294DF176" w14:textId="77777777" w:rsidR="00DE0A93" w:rsidRPr="002B640D" w:rsidRDefault="00DE0A93" w:rsidP="002B640D">
      <w:pPr>
        <w:pStyle w:val="IFTnormal"/>
        <w:spacing w:before="240"/>
        <w:rPr>
          <w:lang w:val="es-ES"/>
        </w:rPr>
      </w:pPr>
      <w:r w:rsidRPr="002B640D">
        <w:t>La asignación de costos compartidos se basa</w:t>
      </w:r>
      <w:r w:rsidRPr="002B640D">
        <w:rPr>
          <w:rFonts w:cs="Times New Roman"/>
          <w:color w:val="auto"/>
          <w:lang w:val="es-ES" w:eastAsia="en-US"/>
        </w:rPr>
        <w:t xml:space="preserve"> en</w:t>
      </w:r>
      <w:r w:rsidRPr="002B640D">
        <w:rPr>
          <w:lang w:val="es-ES"/>
        </w:rPr>
        <w:t xml:space="preserve"> una matriz de enrutamiento (“</w:t>
      </w:r>
      <w:proofErr w:type="spellStart"/>
      <w:r w:rsidRPr="002B640D">
        <w:rPr>
          <w:lang w:val="es-ES"/>
        </w:rPr>
        <w:t>routing</w:t>
      </w:r>
      <w:proofErr w:type="spellEnd"/>
      <w:r w:rsidRPr="002B640D">
        <w:rPr>
          <w:lang w:val="es-ES"/>
        </w:rPr>
        <w:t xml:space="preserve"> </w:t>
      </w:r>
      <w:proofErr w:type="spellStart"/>
      <w:r w:rsidRPr="002B640D">
        <w:rPr>
          <w:lang w:val="es-ES"/>
        </w:rPr>
        <w:t>matrix</w:t>
      </w:r>
      <w:proofErr w:type="spellEnd"/>
      <w:r w:rsidRPr="002B640D">
        <w:rPr>
          <w:lang w:val="es-ES"/>
        </w:rPr>
        <w:t xml:space="preserve">”, de acuerdo a la terminología del modelo) que responde a una evolución de las matrices de enrutamiento tradicionalmente empleada en modelos similares, con “transfer </w:t>
      </w:r>
      <w:proofErr w:type="spellStart"/>
      <w:r w:rsidRPr="002B640D">
        <w:rPr>
          <w:lang w:val="es-ES"/>
        </w:rPr>
        <w:t>charge</w:t>
      </w:r>
      <w:proofErr w:type="spellEnd"/>
      <w:r w:rsidRPr="002B640D">
        <w:rPr>
          <w:rStyle w:val="Refdenotaalpie"/>
          <w:lang w:val="es-ES"/>
        </w:rPr>
        <w:footnoteReference w:id="4"/>
      </w:r>
      <w:r w:rsidRPr="002B640D">
        <w:rPr>
          <w:lang w:val="es-ES"/>
        </w:rPr>
        <w:t>” o precios de transferencia al costo.</w:t>
      </w:r>
    </w:p>
    <w:p w14:paraId="420ADAE8" w14:textId="77777777" w:rsidR="00DE0A93" w:rsidRPr="002B640D" w:rsidRDefault="00DE0A93" w:rsidP="002B640D">
      <w:pPr>
        <w:pStyle w:val="IFTnormal"/>
        <w:spacing w:before="240"/>
        <w:rPr>
          <w:lang w:val="es-ES"/>
        </w:rPr>
      </w:pPr>
      <w:r w:rsidRPr="002B640D">
        <w:rPr>
          <w:lang w:val="es-ES"/>
        </w:rPr>
        <w:t>Este método establece una relación entre la demanda de los distintos servicios modelados (por ejemplo, bucles y ductos) para determinar qué porcentaje de los costos de un servicio deberían ser asignados a otro servicio en función de la relación existente entre ambos servicios y la demanda relevante (por ejemplo, un bucle de X metros de longitud necesitará ductos de Y metros de longitud).</w:t>
      </w:r>
    </w:p>
    <w:p w14:paraId="357CC136" w14:textId="77777777" w:rsidR="00DE0A93" w:rsidRPr="002B640D" w:rsidRDefault="00DE0A93" w:rsidP="002B640D">
      <w:pPr>
        <w:pStyle w:val="IFTnormal"/>
        <w:spacing w:before="240"/>
        <w:rPr>
          <w:b/>
          <w:lang w:val="es-ES"/>
        </w:rPr>
      </w:pPr>
      <w:r w:rsidRPr="002B640D">
        <w:rPr>
          <w:b/>
          <w:lang w:val="es-ES"/>
        </w:rPr>
        <w:lastRenderedPageBreak/>
        <w:t>Asignación de costos comunes</w:t>
      </w:r>
    </w:p>
    <w:p w14:paraId="0E0D00AC" w14:textId="77777777" w:rsidR="00DE0A93" w:rsidRPr="002B640D" w:rsidRDefault="00DE0A93" w:rsidP="002B640D">
      <w:pPr>
        <w:pStyle w:val="IFTnormal"/>
        <w:spacing w:before="240"/>
        <w:rPr>
          <w:lang w:val="es-ES"/>
        </w:rPr>
      </w:pPr>
      <w:r w:rsidRPr="002B640D">
        <w:rPr>
          <w:lang w:val="es-ES"/>
        </w:rPr>
        <w:t xml:space="preserve">La asignación de costos comunes se basa en un reparto proporcional o EPMU (del inglés, </w:t>
      </w:r>
      <w:proofErr w:type="spellStart"/>
      <w:r w:rsidRPr="002B640D">
        <w:rPr>
          <w:lang w:val="es-ES"/>
        </w:rPr>
        <w:t>equi-proportional</w:t>
      </w:r>
      <w:proofErr w:type="spellEnd"/>
      <w:r w:rsidRPr="002B640D">
        <w:rPr>
          <w:lang w:val="es-ES"/>
        </w:rPr>
        <w:t xml:space="preserve"> </w:t>
      </w:r>
      <w:proofErr w:type="spellStart"/>
      <w:r w:rsidRPr="002B640D">
        <w:rPr>
          <w:lang w:val="es-ES"/>
        </w:rPr>
        <w:t>mark</w:t>
      </w:r>
      <w:proofErr w:type="spellEnd"/>
      <w:r w:rsidRPr="002B640D">
        <w:rPr>
          <w:lang w:val="es-ES"/>
        </w:rPr>
        <w:t>-up), en el que los costos comunes se recuperan en proporción al costo incremental asignado a los distintos servicios producidos. Su aplicación es sencilla, y resulta en un tratamiento uniforme de todos los servicios del negocio y no necesita parámetros adicionales. Es decir, el AEP recupera los costos comunes a través de un factor que se aplica de manera proporcional a los costos totales.</w:t>
      </w:r>
    </w:p>
    <w:p w14:paraId="23DF87F9" w14:textId="77777777" w:rsidR="00DE0A93" w:rsidRPr="002B640D" w:rsidRDefault="00DE0A93" w:rsidP="002B640D">
      <w:pPr>
        <w:pStyle w:val="IFTnormal"/>
        <w:spacing w:before="240"/>
        <w:rPr>
          <w:b/>
          <w:lang w:val="es-ES"/>
        </w:rPr>
      </w:pPr>
      <w:r w:rsidRPr="002B640D">
        <w:rPr>
          <w:b/>
          <w:lang w:val="es-ES"/>
        </w:rPr>
        <w:t>Cuota de mercado de operadores alternativos</w:t>
      </w:r>
    </w:p>
    <w:p w14:paraId="51702BDB" w14:textId="5318E583" w:rsidR="00DE0A93" w:rsidRPr="002B640D" w:rsidRDefault="00DE0A93" w:rsidP="002B640D">
      <w:pPr>
        <w:pStyle w:val="IFTnormal"/>
        <w:spacing w:before="240"/>
        <w:rPr>
          <w:lang w:val="es-ES"/>
        </w:rPr>
      </w:pPr>
      <w:r w:rsidRPr="002B640D">
        <w:rPr>
          <w:lang w:val="es-ES"/>
        </w:rPr>
        <w:t xml:space="preserve">El </w:t>
      </w:r>
      <w:r w:rsidR="00631FEA" w:rsidRPr="002B640D">
        <w:rPr>
          <w:lang w:val="es-ES"/>
        </w:rPr>
        <w:t xml:space="preserve">Modelo de </w:t>
      </w:r>
      <w:r w:rsidR="009767E8" w:rsidRPr="002B640D">
        <w:rPr>
          <w:lang w:val="es-ES"/>
        </w:rPr>
        <w:t>Red de Acceso Fijo</w:t>
      </w:r>
      <w:r w:rsidRPr="002B640D">
        <w:rPr>
          <w:lang w:val="es-ES"/>
        </w:rPr>
        <w:t xml:space="preserve"> considera la</w:t>
      </w:r>
      <w:r w:rsidR="00921A26" w:rsidRPr="002B640D">
        <w:rPr>
          <w:lang w:val="es-ES"/>
        </w:rPr>
        <w:t xml:space="preserve"> </w:t>
      </w:r>
      <w:r w:rsidR="00261DF3" w:rsidRPr="002B640D">
        <w:rPr>
          <w:lang w:val="es-ES"/>
        </w:rPr>
        <w:t xml:space="preserve">posibilidad de </w:t>
      </w:r>
      <w:r w:rsidR="00921A26" w:rsidRPr="002B640D">
        <w:rPr>
          <w:lang w:val="es-ES"/>
        </w:rPr>
        <w:t>incorpora</w:t>
      </w:r>
      <w:r w:rsidR="00261DF3" w:rsidRPr="002B640D">
        <w:rPr>
          <w:lang w:val="es-ES"/>
        </w:rPr>
        <w:t>r</w:t>
      </w:r>
      <w:r w:rsidR="00921A26" w:rsidRPr="002B640D">
        <w:rPr>
          <w:lang w:val="es-ES"/>
        </w:rPr>
        <w:t xml:space="preserve"> a futuro demanda </w:t>
      </w:r>
      <w:r w:rsidR="00C918A5" w:rsidRPr="002B640D">
        <w:rPr>
          <w:lang w:val="es-ES"/>
        </w:rPr>
        <w:t xml:space="preserve">efectiva </w:t>
      </w:r>
      <w:r w:rsidR="00921A26" w:rsidRPr="002B640D">
        <w:rPr>
          <w:lang w:val="es-ES"/>
        </w:rPr>
        <w:t xml:space="preserve">de servicios de acceso </w:t>
      </w:r>
      <w:r w:rsidR="00C918A5" w:rsidRPr="002B640D">
        <w:rPr>
          <w:lang w:val="es-ES"/>
        </w:rPr>
        <w:t>a la red local, a través del uso de bucles y sub-bucles locales, contratados al AEP por parte de operadores alternativos (</w:t>
      </w:r>
      <w:proofErr w:type="spellStart"/>
      <w:r w:rsidR="00C918A5" w:rsidRPr="002B640D">
        <w:rPr>
          <w:lang w:val="es-ES"/>
        </w:rPr>
        <w:t>Other</w:t>
      </w:r>
      <w:proofErr w:type="spellEnd"/>
      <w:r w:rsidR="00C918A5" w:rsidRPr="002B640D">
        <w:rPr>
          <w:lang w:val="es-ES"/>
        </w:rPr>
        <w:t xml:space="preserve"> </w:t>
      </w:r>
      <w:proofErr w:type="spellStart"/>
      <w:r w:rsidR="00C918A5" w:rsidRPr="002B640D">
        <w:rPr>
          <w:lang w:val="es-ES"/>
        </w:rPr>
        <w:t>Licensed</w:t>
      </w:r>
      <w:proofErr w:type="spellEnd"/>
      <w:r w:rsidR="00C918A5" w:rsidRPr="002B640D">
        <w:rPr>
          <w:lang w:val="es-ES"/>
        </w:rPr>
        <w:t xml:space="preserve"> </w:t>
      </w:r>
      <w:proofErr w:type="spellStart"/>
      <w:r w:rsidR="00C918A5" w:rsidRPr="002B640D">
        <w:rPr>
          <w:lang w:val="es-ES"/>
        </w:rPr>
        <w:t>Operator</w:t>
      </w:r>
      <w:proofErr w:type="spellEnd"/>
      <w:r w:rsidR="00C918A5" w:rsidRPr="002B640D">
        <w:rPr>
          <w:lang w:val="es-ES"/>
        </w:rPr>
        <w:t>, OLO por sus siglas en inglés</w:t>
      </w:r>
      <w:r w:rsidR="00C918A5" w:rsidRPr="002B640D">
        <w:rPr>
          <w:rFonts w:ascii="Verdana" w:hAnsi="Verdana"/>
          <w:color w:val="333333"/>
          <w:sz w:val="20"/>
          <w:szCs w:val="20"/>
          <w:shd w:val="clear" w:color="auto" w:fill="FFFFFF"/>
        </w:rPr>
        <w:t>);</w:t>
      </w:r>
      <w:r w:rsidRPr="002B640D">
        <w:rPr>
          <w:lang w:val="es-ES"/>
        </w:rPr>
        <w:t xml:space="preserve"> de modo que la penetración de la red del operador modelado tome en cuenta la cuota de mercado de éstos y los refleje en el dimensionamiento de la red y los accesos disponibles.</w:t>
      </w:r>
    </w:p>
    <w:p w14:paraId="75162C88" w14:textId="77777777" w:rsidR="00DE0A93" w:rsidRPr="002B640D" w:rsidRDefault="00DE0A93" w:rsidP="002B640D">
      <w:pPr>
        <w:pStyle w:val="IFTnormal"/>
        <w:spacing w:before="240"/>
        <w:rPr>
          <w:b/>
          <w:lang w:val="es-ES"/>
        </w:rPr>
      </w:pPr>
      <w:r w:rsidRPr="002B640D">
        <w:rPr>
          <w:b/>
          <w:lang w:val="es-ES"/>
        </w:rPr>
        <w:t>3.</w:t>
      </w:r>
      <w:r w:rsidR="00D77645" w:rsidRPr="002B640D">
        <w:rPr>
          <w:b/>
          <w:lang w:val="es-ES"/>
        </w:rPr>
        <w:t>1</w:t>
      </w:r>
      <w:r w:rsidRPr="002B640D">
        <w:rPr>
          <w:b/>
          <w:lang w:val="es-ES"/>
        </w:rPr>
        <w:t>.</w:t>
      </w:r>
      <w:r w:rsidR="00375294" w:rsidRPr="002B640D">
        <w:rPr>
          <w:b/>
          <w:lang w:val="es-ES"/>
        </w:rPr>
        <w:t>3</w:t>
      </w:r>
      <w:r w:rsidRPr="002B640D">
        <w:rPr>
          <w:b/>
          <w:lang w:val="es-ES"/>
        </w:rPr>
        <w:t xml:space="preserve"> </w:t>
      </w:r>
      <w:bookmarkStart w:id="2" w:name="_Toc445108791"/>
      <w:r w:rsidRPr="002B640D">
        <w:rPr>
          <w:b/>
        </w:rPr>
        <w:t>Aspectos relacionados con las especificaciones de la red de acceso modelada</w:t>
      </w:r>
      <w:bookmarkEnd w:id="2"/>
    </w:p>
    <w:p w14:paraId="6EB76540" w14:textId="77777777" w:rsidR="00DE0A93" w:rsidRPr="002B640D" w:rsidRDefault="00DE0A93" w:rsidP="002B640D">
      <w:pPr>
        <w:pStyle w:val="IFTnormal"/>
        <w:spacing w:before="240"/>
        <w:rPr>
          <w:b/>
        </w:rPr>
      </w:pPr>
      <w:r w:rsidRPr="002B640D">
        <w:rPr>
          <w:b/>
        </w:rPr>
        <w:t>Tecnología de la red de acceso</w:t>
      </w:r>
    </w:p>
    <w:p w14:paraId="0CB42E3B" w14:textId="77777777" w:rsidR="00DE0A93" w:rsidRPr="002B640D" w:rsidRDefault="00DE0A93" w:rsidP="002B640D">
      <w:pPr>
        <w:pStyle w:val="IFTnormal"/>
        <w:spacing w:before="240"/>
      </w:pPr>
      <w:r w:rsidRPr="002B640D">
        <w:t xml:space="preserve">La tecnología de la red de acceso implementada en el diseño de la red del </w:t>
      </w:r>
      <w:r w:rsidR="00B04D82" w:rsidRPr="002B640D">
        <w:t xml:space="preserve">Modelo de </w:t>
      </w:r>
      <w:r w:rsidR="009767E8" w:rsidRPr="002B640D">
        <w:t>Red de Acceso Fijo</w:t>
      </w:r>
      <w:r w:rsidR="00B04D82" w:rsidRPr="002B640D">
        <w:t xml:space="preserve"> </w:t>
      </w:r>
      <w:r w:rsidRPr="002B640D">
        <w:t>se basa en una red de tipo “</w:t>
      </w:r>
      <w:proofErr w:type="spellStart"/>
      <w:r w:rsidRPr="002B640D">
        <w:t>legacy</w:t>
      </w:r>
      <w:proofErr w:type="spellEnd"/>
      <w:r w:rsidRPr="002B640D">
        <w:t xml:space="preserve">” (en cobre), similar a la que posee el AEP. </w:t>
      </w:r>
    </w:p>
    <w:p w14:paraId="775E4926" w14:textId="5F9E4D45" w:rsidR="00DE0A93" w:rsidRPr="002B640D" w:rsidRDefault="00DE0A93" w:rsidP="002B640D">
      <w:pPr>
        <w:pStyle w:val="IFTnormal"/>
        <w:spacing w:before="240"/>
      </w:pPr>
      <w:r w:rsidRPr="002B640D">
        <w:t xml:space="preserve">Cabe mencionar que en el </w:t>
      </w:r>
      <w:r w:rsidR="00B04D82" w:rsidRPr="002B640D">
        <w:t xml:space="preserve">Modelo de </w:t>
      </w:r>
      <w:r w:rsidR="009767E8" w:rsidRPr="002B640D">
        <w:t>Red de Acceso Fijo</w:t>
      </w:r>
      <w:r w:rsidRPr="002B640D">
        <w:t xml:space="preserve"> no </w:t>
      </w:r>
      <w:r w:rsidR="004A67B8" w:rsidRPr="002B640D">
        <w:rPr>
          <w:lang w:val="es-419"/>
        </w:rPr>
        <w:t xml:space="preserve">se </w:t>
      </w:r>
      <w:r w:rsidR="00CC4EB7" w:rsidRPr="002B640D">
        <w:rPr>
          <w:lang w:val="es-419"/>
        </w:rPr>
        <w:t xml:space="preserve">modela una  </w:t>
      </w:r>
      <w:r w:rsidRPr="002B640D">
        <w:t>red de acceso de nueva generación (</w:t>
      </w:r>
      <w:proofErr w:type="spellStart"/>
      <w:r w:rsidRPr="002B640D">
        <w:t>next</w:t>
      </w:r>
      <w:proofErr w:type="spellEnd"/>
      <w:r w:rsidRPr="002B640D">
        <w:t xml:space="preserve"> </w:t>
      </w:r>
      <w:proofErr w:type="spellStart"/>
      <w:r w:rsidRPr="002B640D">
        <w:t>generation</w:t>
      </w:r>
      <w:proofErr w:type="spellEnd"/>
      <w:r w:rsidRPr="002B640D">
        <w:t xml:space="preserve"> </w:t>
      </w:r>
      <w:proofErr w:type="spellStart"/>
      <w:r w:rsidRPr="002B640D">
        <w:t>access</w:t>
      </w:r>
      <w:proofErr w:type="spellEnd"/>
      <w:r w:rsidRPr="002B640D">
        <w:t>, “NGA”)</w:t>
      </w:r>
      <w:r w:rsidR="00DD2E70" w:rsidRPr="002B640D">
        <w:t>;</w:t>
      </w:r>
      <w:r w:rsidRPr="002B640D">
        <w:t xml:space="preserve"> no obstante se ha tomado en cuenta </w:t>
      </w:r>
      <w:r w:rsidR="004A67B8" w:rsidRPr="002B640D">
        <w:rPr>
          <w:lang w:val="es-419"/>
        </w:rPr>
        <w:t xml:space="preserve">que la </w:t>
      </w:r>
      <w:proofErr w:type="spellStart"/>
      <w:r w:rsidR="00C03CA1" w:rsidRPr="002B640D">
        <w:rPr>
          <w:lang w:val="es-MX"/>
        </w:rPr>
        <w:t>co</w:t>
      </w:r>
      <w:proofErr w:type="spellEnd"/>
      <w:r w:rsidR="00C03CA1" w:rsidRPr="002B640D">
        <w:rPr>
          <w:lang w:val="es-MX"/>
        </w:rPr>
        <w:t>-</w:t>
      </w:r>
      <w:r w:rsidR="004A67B8" w:rsidRPr="002B640D">
        <w:rPr>
          <w:lang w:val="es-419"/>
        </w:rPr>
        <w:t xml:space="preserve">existencia de una red </w:t>
      </w:r>
      <w:r w:rsidR="00C03CA1" w:rsidRPr="002B640D">
        <w:rPr>
          <w:lang w:val="es-MX"/>
        </w:rPr>
        <w:t>tipo “</w:t>
      </w:r>
      <w:proofErr w:type="spellStart"/>
      <w:r w:rsidR="00C03CA1" w:rsidRPr="002B640D">
        <w:rPr>
          <w:lang w:val="es-MX"/>
        </w:rPr>
        <w:t>legacy</w:t>
      </w:r>
      <w:proofErr w:type="spellEnd"/>
      <w:r w:rsidR="00C03CA1" w:rsidRPr="002B640D">
        <w:rPr>
          <w:lang w:val="es-MX"/>
        </w:rPr>
        <w:t xml:space="preserve">” y una </w:t>
      </w:r>
      <w:r w:rsidR="004A67B8" w:rsidRPr="002B640D">
        <w:rPr>
          <w:lang w:val="es-419"/>
        </w:rPr>
        <w:t xml:space="preserve">NGA implica costos compartidos </w:t>
      </w:r>
      <w:r w:rsidR="009F2048" w:rsidRPr="002B640D">
        <w:rPr>
          <w:lang w:val="es-419"/>
        </w:rPr>
        <w:t xml:space="preserve">entre </w:t>
      </w:r>
      <w:r w:rsidR="00C03CA1" w:rsidRPr="002B640D">
        <w:rPr>
          <w:lang w:val="es-MX"/>
        </w:rPr>
        <w:t>ambas</w:t>
      </w:r>
      <w:r w:rsidR="009F2048" w:rsidRPr="002B640D">
        <w:rPr>
          <w:lang w:val="es-419"/>
        </w:rPr>
        <w:t xml:space="preserve"> </w:t>
      </w:r>
      <w:r w:rsidR="009F2048" w:rsidRPr="002B640D">
        <w:t xml:space="preserve">debido a la utilización </w:t>
      </w:r>
      <w:r w:rsidR="009F2048" w:rsidRPr="002B640D">
        <w:rPr>
          <w:lang w:val="es-419"/>
        </w:rPr>
        <w:t xml:space="preserve">conjunta </w:t>
      </w:r>
      <w:r w:rsidR="009F2048" w:rsidRPr="002B640D">
        <w:t xml:space="preserve">de ciertos elementos </w:t>
      </w:r>
      <w:r w:rsidR="00C03CA1" w:rsidRPr="002B640D">
        <w:t xml:space="preserve">de </w:t>
      </w:r>
      <w:r w:rsidR="009F2048" w:rsidRPr="002B640D">
        <w:t>infraestructura</w:t>
      </w:r>
      <w:r w:rsidR="009F2048" w:rsidRPr="002B640D">
        <w:rPr>
          <w:lang w:val="es-419"/>
        </w:rPr>
        <w:t>, por lo que se realizó una</w:t>
      </w:r>
      <w:r w:rsidRPr="002B640D">
        <w:t xml:space="preserve"> asignación de costos compartidos entre la red </w:t>
      </w:r>
      <w:r w:rsidR="009F2048" w:rsidRPr="002B640D">
        <w:t>l</w:t>
      </w:r>
      <w:r w:rsidR="009F2048" w:rsidRPr="002B640D">
        <w:rPr>
          <w:lang w:val="es-419"/>
        </w:rPr>
        <w:t>de cobre</w:t>
      </w:r>
      <w:r w:rsidR="009F2048" w:rsidRPr="002B640D">
        <w:t xml:space="preserve"> </w:t>
      </w:r>
      <w:r w:rsidRPr="002B640D">
        <w:t>y la red NGA</w:t>
      </w:r>
      <w:proofErr w:type="gramStart"/>
      <w:r w:rsidR="009F2048" w:rsidRPr="002B640D">
        <w:rPr>
          <w:lang w:val="es-419"/>
        </w:rPr>
        <w:t>.</w:t>
      </w:r>
      <w:r w:rsidRPr="002B640D">
        <w:t>.</w:t>
      </w:r>
      <w:proofErr w:type="gramEnd"/>
    </w:p>
    <w:p w14:paraId="248FFE88" w14:textId="77777777" w:rsidR="00DE0A93" w:rsidRPr="002B640D" w:rsidRDefault="00DE0A93" w:rsidP="002B640D">
      <w:pPr>
        <w:pStyle w:val="IFTnormal"/>
        <w:spacing w:before="240"/>
        <w:rPr>
          <w:b/>
        </w:rPr>
      </w:pPr>
      <w:r w:rsidRPr="002B640D">
        <w:rPr>
          <w:b/>
        </w:rPr>
        <w:t>Topología de red modelada en la red de acceso</w:t>
      </w:r>
    </w:p>
    <w:p w14:paraId="2B2EE5CB" w14:textId="77777777" w:rsidR="002B640D" w:rsidRPr="002B640D" w:rsidRDefault="00DE0A93" w:rsidP="002B640D">
      <w:pPr>
        <w:pStyle w:val="IFTnormal"/>
        <w:spacing w:before="240"/>
      </w:pPr>
      <w:r w:rsidRPr="002B640D">
        <w:lastRenderedPageBreak/>
        <w:t xml:space="preserve">Por otro lado, la topología de red modelada en la red de acceso es del tipo eficiente. En este sentido, si el CS optara por desplegar su propia red hoy en día, utilizaría una topología de red que le permitiría optimizar los costos de su despliegue. Esto es congruente con la metodología elegida para la implementación del </w:t>
      </w:r>
      <w:r w:rsidR="00B04D82" w:rsidRPr="002B640D">
        <w:t xml:space="preserve">Modelo de </w:t>
      </w:r>
      <w:r w:rsidR="009767E8" w:rsidRPr="002B640D">
        <w:t>Red de Acceso Fijo</w:t>
      </w:r>
      <w:r w:rsidR="00B04D82" w:rsidRPr="002B640D">
        <w:t xml:space="preserve"> </w:t>
      </w:r>
      <w:r w:rsidRPr="002B640D">
        <w:t>en el sentido de reflejar de un modo más realista la decisión del CS de construir su propia infraestructura o arrendar la del AEP.</w:t>
      </w:r>
    </w:p>
    <w:p w14:paraId="68DE6950" w14:textId="0D9E4914" w:rsidR="00DE0A93" w:rsidRPr="002B640D" w:rsidRDefault="00DE0A93" w:rsidP="002B640D">
      <w:pPr>
        <w:pStyle w:val="IFTnormal"/>
        <w:spacing w:before="240"/>
        <w:rPr>
          <w:b/>
        </w:rPr>
      </w:pPr>
      <w:r w:rsidRPr="002B640D">
        <w:rPr>
          <w:b/>
        </w:rPr>
        <w:t>Cobertura del operador modelado</w:t>
      </w:r>
    </w:p>
    <w:p w14:paraId="377B087E" w14:textId="77777777" w:rsidR="00DE0A93" w:rsidRPr="002B640D" w:rsidRDefault="00DE0A93" w:rsidP="002B640D">
      <w:pPr>
        <w:pStyle w:val="IFTnormal"/>
        <w:spacing w:before="240"/>
      </w:pPr>
      <w:r w:rsidRPr="002B640D">
        <w:t>La cobertura del operador modelado es la cobertura efectiva soportada por la red de acceso fija del operador. Dicha consideración refleja el tamaño real de la red del AEP y permite dimensionar adecuadamente la red diseñada.</w:t>
      </w:r>
    </w:p>
    <w:p w14:paraId="060188DE" w14:textId="77777777" w:rsidR="00DE0A93" w:rsidRPr="002B640D" w:rsidRDefault="00DE0A93" w:rsidP="002B640D">
      <w:pPr>
        <w:pStyle w:val="IFTnormal"/>
        <w:spacing w:before="240"/>
        <w:rPr>
          <w:b/>
        </w:rPr>
      </w:pPr>
      <w:r w:rsidRPr="002B640D">
        <w:rPr>
          <w:b/>
        </w:rPr>
        <w:t xml:space="preserve">Enfoque </w:t>
      </w:r>
      <w:proofErr w:type="spellStart"/>
      <w:r w:rsidRPr="002B640D">
        <w:rPr>
          <w:b/>
        </w:rPr>
        <w:t>scorching</w:t>
      </w:r>
      <w:proofErr w:type="spellEnd"/>
    </w:p>
    <w:p w14:paraId="03EC5DE1" w14:textId="77777777" w:rsidR="00DE0A93" w:rsidRPr="002B640D" w:rsidRDefault="00DE0A93" w:rsidP="002B640D">
      <w:pPr>
        <w:pStyle w:val="IFTnormal"/>
        <w:spacing w:before="240"/>
      </w:pPr>
      <w:r w:rsidRPr="002B640D">
        <w:t>Como ha sido mencionado previamente, el diseño de la red parte de las ubicaciones de las centrales del AEP que poseen acceso</w:t>
      </w:r>
      <w:r w:rsidR="00DD2E70" w:rsidRPr="002B640D">
        <w:t>s a los usuarios finales a través de</w:t>
      </w:r>
      <w:r w:rsidRPr="002B640D">
        <w:t xml:space="preserve"> par de cobre</w:t>
      </w:r>
      <w:r w:rsidR="00DD2E70" w:rsidRPr="002B640D">
        <w:t xml:space="preserve">, </w:t>
      </w:r>
      <w:r w:rsidRPr="002B640D">
        <w:t>siguiendo el enfoque “</w:t>
      </w:r>
      <w:proofErr w:type="spellStart"/>
      <w:r w:rsidRPr="002B640D">
        <w:t>modified</w:t>
      </w:r>
      <w:proofErr w:type="spellEnd"/>
      <w:r w:rsidRPr="002B640D">
        <w:t xml:space="preserve"> </w:t>
      </w:r>
      <w:proofErr w:type="spellStart"/>
      <w:r w:rsidRPr="002B640D">
        <w:t>scorched</w:t>
      </w:r>
      <w:proofErr w:type="spellEnd"/>
      <w:r w:rsidRPr="002B640D">
        <w:t xml:space="preserve"> </w:t>
      </w:r>
      <w:proofErr w:type="spellStart"/>
      <w:r w:rsidRPr="002B640D">
        <w:t>node</w:t>
      </w:r>
      <w:proofErr w:type="spellEnd"/>
      <w:r w:rsidRPr="002B640D">
        <w:t>”.</w:t>
      </w:r>
    </w:p>
    <w:p w14:paraId="1DDA412E" w14:textId="77777777" w:rsidR="00DE0A93" w:rsidRPr="002B640D" w:rsidRDefault="00DD2E70" w:rsidP="002B640D">
      <w:pPr>
        <w:pStyle w:val="IFTnormal"/>
        <w:spacing w:before="240"/>
      </w:pPr>
      <w:r w:rsidRPr="002B640D">
        <w:t xml:space="preserve">Este </w:t>
      </w:r>
      <w:r w:rsidR="00DE0A93" w:rsidRPr="002B640D">
        <w:t xml:space="preserve">enfoque determina el costo eficiente de una red en la ubicación de los nodos de la red del AEP que proporciona los mismos servicios que la red de telecomunicaciones del operador </w:t>
      </w:r>
      <w:proofErr w:type="spellStart"/>
      <w:r w:rsidR="00DE0A93" w:rsidRPr="002B640D">
        <w:t>incumbente</w:t>
      </w:r>
      <w:proofErr w:type="spellEnd"/>
      <w:r w:rsidR="00DE0A93" w:rsidRPr="002B640D">
        <w:t>, permitiendo eliminar ineficiencias en la ubicación de los nodos de la red del AEP manteniendo la topología de red existente.</w:t>
      </w:r>
    </w:p>
    <w:p w14:paraId="59033D47" w14:textId="77777777" w:rsidR="00DE0A93" w:rsidRPr="002B640D" w:rsidRDefault="00DE0A93" w:rsidP="002B640D">
      <w:pPr>
        <w:pStyle w:val="IFTnormal"/>
        <w:spacing w:before="240"/>
        <w:rPr>
          <w:b/>
        </w:rPr>
      </w:pPr>
      <w:r w:rsidRPr="002B640D">
        <w:rPr>
          <w:b/>
        </w:rPr>
        <w:t>Despliegue</w:t>
      </w:r>
    </w:p>
    <w:p w14:paraId="6C52B624" w14:textId="77777777" w:rsidR="00DE0A93" w:rsidRPr="002B640D" w:rsidRDefault="00DE0A93" w:rsidP="002B640D">
      <w:pPr>
        <w:pStyle w:val="IFTnormal"/>
        <w:spacing w:before="240"/>
        <w:rPr>
          <w:szCs w:val="18"/>
        </w:rPr>
      </w:pPr>
      <w:r w:rsidRPr="002B640D">
        <w:rPr>
          <w:szCs w:val="18"/>
        </w:rPr>
        <w:t>Bajo la consideración de que la demanda de los servicios de acceso y uso de infraestructura pasiva será relativamente estable en los próximos años se consideró que una aproximación anual de la demanda constante arrojará un resultado suficientemente representativo.</w:t>
      </w:r>
    </w:p>
    <w:p w14:paraId="44A95072" w14:textId="77777777" w:rsidR="002B640D" w:rsidRPr="002B640D" w:rsidRDefault="00DE0A93" w:rsidP="002B640D">
      <w:pPr>
        <w:pStyle w:val="IFTnormal"/>
        <w:spacing w:before="240"/>
      </w:pPr>
      <w:r w:rsidRPr="002B640D">
        <w:rPr>
          <w:szCs w:val="18"/>
        </w:rPr>
        <w:t xml:space="preserve">Por ello, el </w:t>
      </w:r>
      <w:r w:rsidR="00B04D82" w:rsidRPr="002B640D">
        <w:rPr>
          <w:szCs w:val="18"/>
        </w:rPr>
        <w:t xml:space="preserve">Modelo de </w:t>
      </w:r>
      <w:r w:rsidR="009767E8" w:rsidRPr="002B640D">
        <w:rPr>
          <w:szCs w:val="18"/>
        </w:rPr>
        <w:t>Red de Acceso Fijo</w:t>
      </w:r>
      <w:r w:rsidR="00B04D82" w:rsidRPr="002B640D">
        <w:rPr>
          <w:szCs w:val="18"/>
        </w:rPr>
        <w:t xml:space="preserve"> </w:t>
      </w:r>
      <w:r w:rsidRPr="002B640D">
        <w:rPr>
          <w:szCs w:val="18"/>
        </w:rPr>
        <w:t xml:space="preserve">asume que </w:t>
      </w:r>
      <w:r w:rsidRPr="002B640D">
        <w:t xml:space="preserve">toda la infraestructura pasiva de red es desplegada en el año corriente teniendo en cuenta únicamente la demanda para ese año. Una consecuencia es que los precios estimados por el </w:t>
      </w:r>
      <w:r w:rsidR="009968DB" w:rsidRPr="002B640D">
        <w:t xml:space="preserve">Modelo de </w:t>
      </w:r>
      <w:r w:rsidR="009767E8" w:rsidRPr="002B640D">
        <w:t>Red de Acceso Fijo</w:t>
      </w:r>
      <w:r w:rsidR="009968DB" w:rsidRPr="002B640D">
        <w:t xml:space="preserve"> </w:t>
      </w:r>
      <w:r w:rsidRPr="002B640D">
        <w:t xml:space="preserve">son válidos únicamente para el año seleccionado. Para el presente modelo las tarifas estimadas </w:t>
      </w:r>
      <w:r w:rsidR="000359DD" w:rsidRPr="002B640D">
        <w:t xml:space="preserve">con motivo de la </w:t>
      </w:r>
      <w:r w:rsidR="008F684D" w:rsidRPr="002B640D">
        <w:t xml:space="preserve">“RESOLUCIÓN </w:t>
      </w:r>
      <w:r w:rsidR="008F684D" w:rsidRPr="002B640D">
        <w:lastRenderedPageBreak/>
        <w:t xml:space="preserve">MEDIANTE LA CUAL EL PLENO DEL INSTITUTO FEDERAL DE TELECOMUNICACIONES MODIFICA Y </w:t>
      </w:r>
      <w:proofErr w:type="spellStart"/>
      <w:r w:rsidR="008F684D" w:rsidRPr="002B640D">
        <w:t>AUTORlZA</w:t>
      </w:r>
      <w:proofErr w:type="spellEnd"/>
      <w:r w:rsidR="008F684D" w:rsidRPr="002B640D">
        <w:t xml:space="preserve"> AL AGENTE ECONÓMICO PREPONDERANTE LOS TÉRMINOS Y CONDICIONES DE LA OFERTA DE REFERENCIA DE DESAGREGACIÓN EFECTIVA DE LA RED LOCAL DEL AGENTE ECONÓMICO PREPONDERANTE PRESENTADA POR TELÉFONOS DE MÉXICO, S.A.B. DE C.V., APLICABLES DEL 1º DE ENERO DE 2017 AL 31 DE DICIEMBRE DE 2018.” </w:t>
      </w:r>
      <w:r w:rsidR="000359DD" w:rsidRPr="002B640D">
        <w:t xml:space="preserve">del 24 de noviembre de 2016 </w:t>
      </w:r>
      <w:r w:rsidRPr="002B640D">
        <w:t xml:space="preserve">son válidas para </w:t>
      </w:r>
      <w:r w:rsidR="000359DD" w:rsidRPr="002B640D">
        <w:t xml:space="preserve">los elementos de infraestructura asociados a la Oferta de Referencia de Telmex y Oferta de Referencia de </w:t>
      </w:r>
      <w:proofErr w:type="spellStart"/>
      <w:r w:rsidR="000359DD" w:rsidRPr="002B640D">
        <w:t>Telnor</w:t>
      </w:r>
      <w:proofErr w:type="spellEnd"/>
      <w:r w:rsidR="000359DD" w:rsidRPr="002B640D">
        <w:t xml:space="preserve"> para el </w:t>
      </w:r>
      <w:r w:rsidRPr="002B640D">
        <w:t>año 201</w:t>
      </w:r>
      <w:r w:rsidR="00D77645" w:rsidRPr="002B640D">
        <w:t>7</w:t>
      </w:r>
      <w:r w:rsidRPr="002B640D">
        <w:t>.</w:t>
      </w:r>
    </w:p>
    <w:p w14:paraId="0F8C9B84" w14:textId="41326068" w:rsidR="00DE0A93" w:rsidRPr="002B640D" w:rsidRDefault="00DE0A93" w:rsidP="002B640D">
      <w:pPr>
        <w:pStyle w:val="IFTnormal"/>
        <w:spacing w:before="240"/>
        <w:rPr>
          <w:b/>
        </w:rPr>
      </w:pPr>
      <w:bookmarkStart w:id="3" w:name="_Toc445108792"/>
      <w:r w:rsidRPr="002B640D">
        <w:rPr>
          <w:b/>
        </w:rPr>
        <w:t>3.</w:t>
      </w:r>
      <w:r w:rsidR="00D77645" w:rsidRPr="002B640D">
        <w:rPr>
          <w:b/>
        </w:rPr>
        <w:t>1</w:t>
      </w:r>
      <w:r w:rsidRPr="002B640D">
        <w:rPr>
          <w:b/>
        </w:rPr>
        <w:t>.</w:t>
      </w:r>
      <w:r w:rsidR="00355374" w:rsidRPr="002B640D">
        <w:rPr>
          <w:b/>
        </w:rPr>
        <w:t>4</w:t>
      </w:r>
      <w:r w:rsidRPr="002B640D">
        <w:rPr>
          <w:b/>
        </w:rPr>
        <w:t xml:space="preserve"> Aspectos relacionados con la metodología del análisis geográfico y el diseño de la red</w:t>
      </w:r>
      <w:bookmarkEnd w:id="3"/>
    </w:p>
    <w:p w14:paraId="2036C69C" w14:textId="77777777" w:rsidR="00DE0A93" w:rsidRPr="002B640D" w:rsidRDefault="00DE0A93" w:rsidP="002B640D">
      <w:pPr>
        <w:pStyle w:val="IFTnormal"/>
        <w:spacing w:before="240"/>
        <w:rPr>
          <w:b/>
        </w:rPr>
      </w:pPr>
      <w:bookmarkStart w:id="4" w:name="_Toc422388114"/>
      <w:r w:rsidRPr="002B640D">
        <w:rPr>
          <w:b/>
        </w:rPr>
        <w:t>Análisis geográfico</w:t>
      </w:r>
      <w:bookmarkEnd w:id="4"/>
      <w:r w:rsidRPr="002B640D">
        <w:rPr>
          <w:b/>
        </w:rPr>
        <w:t xml:space="preserve"> y </w:t>
      </w:r>
      <w:proofErr w:type="spellStart"/>
      <w:r w:rsidRPr="002B640D">
        <w:rPr>
          <w:b/>
        </w:rPr>
        <w:t>geotipos</w:t>
      </w:r>
      <w:proofErr w:type="spellEnd"/>
    </w:p>
    <w:p w14:paraId="706E163A" w14:textId="7205BC8A" w:rsidR="00DE0A93" w:rsidRPr="002B640D" w:rsidRDefault="00DE0A93" w:rsidP="002B640D">
      <w:pPr>
        <w:pStyle w:val="IFTnormal"/>
        <w:spacing w:before="240"/>
      </w:pPr>
      <w:r w:rsidRPr="002B640D">
        <w:t xml:space="preserve">El análisis geográfico realizado se basa en la identificación de las particiones del territorio mexicano </w:t>
      </w:r>
      <w:r w:rsidR="009A5C7E" w:rsidRPr="002B640D">
        <w:rPr>
          <w:lang w:val="es-419"/>
        </w:rPr>
        <w:t xml:space="preserve">con base en la ubicación de las centrales </w:t>
      </w:r>
      <w:r w:rsidRPr="002B640D">
        <w:t>que poseen acceso basado en par de cobre</w:t>
      </w:r>
      <w:r w:rsidR="00076453" w:rsidRPr="002B640D">
        <w:rPr>
          <w:lang w:val="es-419"/>
        </w:rPr>
        <w:t>, proporcionada por el AEP</w:t>
      </w:r>
      <w:r w:rsidRPr="002B640D">
        <w:t>.</w:t>
      </w:r>
    </w:p>
    <w:p w14:paraId="7B3CAC6C" w14:textId="611EDED6" w:rsidR="00DE0A93" w:rsidRPr="002B640D" w:rsidRDefault="009A5C7E" w:rsidP="002B640D">
      <w:pPr>
        <w:pStyle w:val="IFTnormal"/>
        <w:spacing w:before="240"/>
      </w:pPr>
      <w:r w:rsidRPr="002B640D">
        <w:rPr>
          <w:lang w:val="es-419"/>
        </w:rPr>
        <w:t>En este sentido</w:t>
      </w:r>
      <w:r w:rsidR="00DE0A93" w:rsidRPr="002B640D">
        <w:t xml:space="preserve">, para </w:t>
      </w:r>
      <w:r w:rsidRPr="002B640D">
        <w:rPr>
          <w:lang w:val="es-419"/>
        </w:rPr>
        <w:t xml:space="preserve">realizar </w:t>
      </w:r>
      <w:r w:rsidR="00DE0A93" w:rsidRPr="002B640D">
        <w:t>el análisis geográfico</w:t>
      </w:r>
      <w:r w:rsidRPr="002B640D">
        <w:rPr>
          <w:lang w:val="es-419"/>
        </w:rPr>
        <w:t xml:space="preserve"> correspondiente </w:t>
      </w:r>
      <w:r w:rsidR="00DE0A93" w:rsidRPr="002B640D">
        <w:t>se modelaron unidades de partición del territorio mexicano a través de la ubicación de las localidades en las que el AEP cuenta con centrales que poseen acceso basado en par de cobre</w:t>
      </w:r>
      <w:r w:rsidR="00C03CA1" w:rsidRPr="002B640D">
        <w:t>,</w:t>
      </w:r>
      <w:r w:rsidR="00DE0A93" w:rsidRPr="002B640D">
        <w:t xml:space="preserve"> cubriendo un radio de al menos tres kilómetros. </w:t>
      </w:r>
    </w:p>
    <w:p w14:paraId="550BD5F5" w14:textId="77777777" w:rsidR="00DE0A93" w:rsidRPr="002B640D" w:rsidRDefault="00DE0A93" w:rsidP="002B640D">
      <w:pPr>
        <w:pStyle w:val="IFTnormal"/>
        <w:spacing w:before="240"/>
        <w:rPr>
          <w:lang w:val="es-MX"/>
        </w:rPr>
      </w:pPr>
      <w:r w:rsidRPr="002B640D">
        <w:rPr>
          <w:lang w:val="es-MX"/>
        </w:rPr>
        <w:t xml:space="preserve">Con base en esta selección, se agruparon para su estudio individual las localidades en </w:t>
      </w:r>
      <w:proofErr w:type="spellStart"/>
      <w:r w:rsidRPr="002B640D">
        <w:rPr>
          <w:lang w:val="es-MX"/>
        </w:rPr>
        <w:t>geotipos</w:t>
      </w:r>
      <w:proofErr w:type="spellEnd"/>
      <w:r w:rsidRPr="002B640D">
        <w:rPr>
          <w:lang w:val="es-MX"/>
        </w:rPr>
        <w:t xml:space="preserve">. Para ello, se utiliza como un criterio de clasificación la proporción de edificios por kilómetro de vialidad en cada localidad en la que el AEP cuenta con infraestructura fija, asignando cada una de estas localidades a un </w:t>
      </w:r>
      <w:proofErr w:type="spellStart"/>
      <w:r w:rsidRPr="002B640D">
        <w:rPr>
          <w:lang w:val="es-MX"/>
        </w:rPr>
        <w:t>geotipo</w:t>
      </w:r>
      <w:proofErr w:type="spellEnd"/>
      <w:r w:rsidRPr="002B640D">
        <w:rPr>
          <w:lang w:val="es-MX"/>
        </w:rPr>
        <w:t>. Se considera que ésta es la aproximación más adecuada en el sentido que dicho enfoque permite calcular la densidad de la infraestructura de la red del AEP.</w:t>
      </w:r>
    </w:p>
    <w:p w14:paraId="421C0B9E" w14:textId="77777777" w:rsidR="00287F59" w:rsidRPr="002B640D" w:rsidRDefault="00DE0A93" w:rsidP="002B640D">
      <w:pPr>
        <w:pStyle w:val="IFTnormal"/>
        <w:spacing w:before="240"/>
      </w:pPr>
      <w:r w:rsidRPr="002B640D">
        <w:rPr>
          <w:lang w:val="es-MX"/>
        </w:rPr>
        <w:t>Posteriormente</w:t>
      </w:r>
      <w:r w:rsidR="00FB2D27" w:rsidRPr="002B640D">
        <w:rPr>
          <w:lang w:val="es-MX"/>
        </w:rPr>
        <w:t>,</w:t>
      </w:r>
      <w:r w:rsidRPr="002B640D">
        <w:rPr>
          <w:lang w:val="es-MX"/>
        </w:rPr>
        <w:t xml:space="preserve"> </w:t>
      </w:r>
      <w:r w:rsidRPr="002B640D">
        <w:t xml:space="preserve">las localidades se agruparon de acuerdo a la densidad de la longitud de sus calles entre el número de edificios. Dichas agrupaciones se denominaron </w:t>
      </w:r>
      <w:proofErr w:type="spellStart"/>
      <w:r w:rsidRPr="002B640D">
        <w:t>geotipos</w:t>
      </w:r>
      <w:proofErr w:type="spellEnd"/>
      <w:r w:rsidRPr="002B640D">
        <w:t xml:space="preserve"> y corresponden a centrales con niveles similares de urbanidad.</w:t>
      </w:r>
      <w:bookmarkStart w:id="5" w:name="_Toc422388116"/>
    </w:p>
    <w:tbl>
      <w:tblPr>
        <w:tblStyle w:val="Tablaconcuadrcula"/>
        <w:tblW w:w="0" w:type="auto"/>
        <w:jc w:val="center"/>
        <w:tblLook w:val="04A0" w:firstRow="1" w:lastRow="0" w:firstColumn="1" w:lastColumn="0" w:noHBand="0" w:noVBand="1"/>
        <w:tblCaption w:val="Tabla"/>
        <w:tblDescription w:val="Geotipos"/>
      </w:tblPr>
      <w:tblGrid>
        <w:gridCol w:w="1904"/>
        <w:gridCol w:w="1979"/>
        <w:gridCol w:w="1576"/>
      </w:tblGrid>
      <w:tr w:rsidR="005C51A8" w:rsidRPr="002B640D" w14:paraId="7E275B78" w14:textId="77777777" w:rsidTr="00B11631">
        <w:trPr>
          <w:trHeight w:val="614"/>
          <w:tblHeader/>
          <w:jc w:val="center"/>
        </w:trPr>
        <w:tc>
          <w:tcPr>
            <w:tcW w:w="1904" w:type="dxa"/>
            <w:shd w:val="clear" w:color="auto" w:fill="D9D9D9" w:themeFill="background1" w:themeFillShade="D9"/>
            <w:vAlign w:val="center"/>
          </w:tcPr>
          <w:p w14:paraId="593D7A92" w14:textId="77777777" w:rsidR="005C51A8" w:rsidRPr="002B640D" w:rsidRDefault="005C51A8" w:rsidP="002B640D">
            <w:pPr>
              <w:jc w:val="center"/>
              <w:rPr>
                <w:rFonts w:ascii="ITC Avant Garde" w:hAnsi="ITC Avant Garde"/>
                <w:b/>
              </w:rPr>
            </w:pPr>
            <w:proofErr w:type="spellStart"/>
            <w:r w:rsidRPr="002B640D">
              <w:rPr>
                <w:rFonts w:ascii="ITC Avant Garde" w:hAnsi="ITC Avant Garde"/>
                <w:b/>
              </w:rPr>
              <w:lastRenderedPageBreak/>
              <w:t>Geotipo</w:t>
            </w:r>
            <w:proofErr w:type="spellEnd"/>
          </w:p>
        </w:tc>
        <w:tc>
          <w:tcPr>
            <w:tcW w:w="1979" w:type="dxa"/>
            <w:shd w:val="clear" w:color="auto" w:fill="D9D9D9" w:themeFill="background1" w:themeFillShade="D9"/>
            <w:vAlign w:val="center"/>
          </w:tcPr>
          <w:p w14:paraId="26940EFA" w14:textId="77777777" w:rsidR="005C51A8" w:rsidRPr="002B640D" w:rsidRDefault="005C51A8" w:rsidP="002B640D">
            <w:pPr>
              <w:jc w:val="center"/>
              <w:rPr>
                <w:rFonts w:ascii="ITC Avant Garde" w:hAnsi="ITC Avant Garde"/>
                <w:b/>
              </w:rPr>
            </w:pPr>
            <w:r w:rsidRPr="002B640D">
              <w:rPr>
                <w:rFonts w:ascii="ITC Avant Garde" w:hAnsi="ITC Avant Garde"/>
                <w:b/>
              </w:rPr>
              <w:t>Cantidad de Localidades</w:t>
            </w:r>
          </w:p>
        </w:tc>
        <w:tc>
          <w:tcPr>
            <w:tcW w:w="1576" w:type="dxa"/>
            <w:shd w:val="clear" w:color="auto" w:fill="D9D9D9" w:themeFill="background1" w:themeFillShade="D9"/>
            <w:vAlign w:val="center"/>
          </w:tcPr>
          <w:p w14:paraId="190F61CB" w14:textId="77777777" w:rsidR="005C51A8" w:rsidRPr="002B640D" w:rsidRDefault="005C51A8" w:rsidP="002B640D">
            <w:pPr>
              <w:jc w:val="center"/>
              <w:rPr>
                <w:rFonts w:ascii="ITC Avant Garde" w:hAnsi="ITC Avant Garde"/>
                <w:b/>
              </w:rPr>
            </w:pPr>
            <w:r w:rsidRPr="002B640D">
              <w:rPr>
                <w:rFonts w:ascii="ITC Avant Garde" w:hAnsi="ITC Avant Garde"/>
                <w:b/>
              </w:rPr>
              <w:t>Porcentaje</w:t>
            </w:r>
          </w:p>
        </w:tc>
      </w:tr>
      <w:tr w:rsidR="005C51A8" w:rsidRPr="002B640D" w14:paraId="2DE91E8B" w14:textId="77777777" w:rsidTr="00B11631">
        <w:trPr>
          <w:trHeight w:val="203"/>
          <w:tblHeader/>
          <w:jc w:val="center"/>
        </w:trPr>
        <w:tc>
          <w:tcPr>
            <w:tcW w:w="1904" w:type="dxa"/>
            <w:shd w:val="clear" w:color="auto" w:fill="auto"/>
            <w:vAlign w:val="center"/>
          </w:tcPr>
          <w:p w14:paraId="46ED09AC" w14:textId="77777777" w:rsidR="005C51A8" w:rsidRPr="002B640D" w:rsidRDefault="005C51A8" w:rsidP="002B640D">
            <w:pPr>
              <w:jc w:val="center"/>
              <w:rPr>
                <w:rFonts w:ascii="ITC Avant Garde" w:hAnsi="ITC Avant Garde"/>
              </w:rPr>
            </w:pPr>
            <w:r w:rsidRPr="002B640D">
              <w:rPr>
                <w:rFonts w:ascii="ITC Avant Garde" w:hAnsi="ITC Avant Garde"/>
              </w:rPr>
              <w:t>1</w:t>
            </w:r>
          </w:p>
        </w:tc>
        <w:tc>
          <w:tcPr>
            <w:tcW w:w="1979" w:type="dxa"/>
            <w:shd w:val="clear" w:color="auto" w:fill="auto"/>
            <w:vAlign w:val="center"/>
          </w:tcPr>
          <w:p w14:paraId="0E98E7B9" w14:textId="77777777" w:rsidR="005C51A8" w:rsidRPr="002B640D" w:rsidRDefault="005C51A8" w:rsidP="002B640D">
            <w:pPr>
              <w:jc w:val="center"/>
              <w:rPr>
                <w:rFonts w:ascii="ITC Avant Garde" w:hAnsi="ITC Avant Garde"/>
              </w:rPr>
            </w:pPr>
            <w:r w:rsidRPr="002B640D">
              <w:rPr>
                <w:rFonts w:ascii="ITC Avant Garde" w:hAnsi="ITC Avant Garde"/>
              </w:rPr>
              <w:t>998</w:t>
            </w:r>
          </w:p>
        </w:tc>
        <w:tc>
          <w:tcPr>
            <w:tcW w:w="1576" w:type="dxa"/>
            <w:shd w:val="clear" w:color="auto" w:fill="auto"/>
            <w:vAlign w:val="center"/>
          </w:tcPr>
          <w:p w14:paraId="1AFE6EB0" w14:textId="77777777" w:rsidR="005C51A8" w:rsidRPr="002B640D" w:rsidRDefault="005C51A8" w:rsidP="002B640D">
            <w:pPr>
              <w:jc w:val="center"/>
              <w:rPr>
                <w:rFonts w:ascii="ITC Avant Garde" w:hAnsi="ITC Avant Garde"/>
              </w:rPr>
            </w:pPr>
            <w:r w:rsidRPr="002B640D">
              <w:rPr>
                <w:rFonts w:ascii="ITC Avant Garde" w:hAnsi="ITC Avant Garde"/>
              </w:rPr>
              <w:t>16.88%</w:t>
            </w:r>
          </w:p>
        </w:tc>
      </w:tr>
      <w:tr w:rsidR="005C51A8" w:rsidRPr="002B640D" w14:paraId="7DCBE271" w14:textId="77777777" w:rsidTr="00B11631">
        <w:trPr>
          <w:trHeight w:val="218"/>
          <w:tblHeader/>
          <w:jc w:val="center"/>
        </w:trPr>
        <w:tc>
          <w:tcPr>
            <w:tcW w:w="1904" w:type="dxa"/>
            <w:shd w:val="clear" w:color="auto" w:fill="auto"/>
            <w:vAlign w:val="center"/>
          </w:tcPr>
          <w:p w14:paraId="634594B5" w14:textId="77777777" w:rsidR="005C51A8" w:rsidRPr="002B640D" w:rsidRDefault="005C51A8" w:rsidP="002B640D">
            <w:pPr>
              <w:jc w:val="center"/>
              <w:rPr>
                <w:rFonts w:ascii="ITC Avant Garde" w:hAnsi="ITC Avant Garde"/>
              </w:rPr>
            </w:pPr>
            <w:r w:rsidRPr="002B640D">
              <w:rPr>
                <w:rFonts w:ascii="ITC Avant Garde" w:hAnsi="ITC Avant Garde"/>
              </w:rPr>
              <w:t>2</w:t>
            </w:r>
          </w:p>
        </w:tc>
        <w:tc>
          <w:tcPr>
            <w:tcW w:w="1979" w:type="dxa"/>
            <w:shd w:val="clear" w:color="auto" w:fill="auto"/>
            <w:vAlign w:val="center"/>
          </w:tcPr>
          <w:p w14:paraId="7F66D844" w14:textId="77777777" w:rsidR="005C51A8" w:rsidRPr="002B640D" w:rsidRDefault="005C51A8" w:rsidP="002B640D">
            <w:pPr>
              <w:jc w:val="center"/>
              <w:rPr>
                <w:rFonts w:ascii="ITC Avant Garde" w:hAnsi="ITC Avant Garde"/>
              </w:rPr>
            </w:pPr>
            <w:r w:rsidRPr="002B640D">
              <w:rPr>
                <w:rFonts w:ascii="ITC Avant Garde" w:hAnsi="ITC Avant Garde"/>
              </w:rPr>
              <w:t>1,097</w:t>
            </w:r>
          </w:p>
        </w:tc>
        <w:tc>
          <w:tcPr>
            <w:tcW w:w="1576" w:type="dxa"/>
            <w:shd w:val="clear" w:color="auto" w:fill="auto"/>
            <w:vAlign w:val="center"/>
          </w:tcPr>
          <w:p w14:paraId="278393DA" w14:textId="77777777" w:rsidR="005C51A8" w:rsidRPr="002B640D" w:rsidRDefault="005C51A8" w:rsidP="002B640D">
            <w:pPr>
              <w:jc w:val="center"/>
              <w:rPr>
                <w:rFonts w:ascii="ITC Avant Garde" w:hAnsi="ITC Avant Garde"/>
              </w:rPr>
            </w:pPr>
            <w:r w:rsidRPr="002B640D">
              <w:rPr>
                <w:rFonts w:ascii="ITC Avant Garde" w:hAnsi="ITC Avant Garde"/>
              </w:rPr>
              <w:t>18.56%</w:t>
            </w:r>
          </w:p>
        </w:tc>
      </w:tr>
      <w:tr w:rsidR="005C51A8" w:rsidRPr="002B640D" w14:paraId="4988C598" w14:textId="77777777" w:rsidTr="00B11631">
        <w:trPr>
          <w:trHeight w:val="203"/>
          <w:tblHeader/>
          <w:jc w:val="center"/>
        </w:trPr>
        <w:tc>
          <w:tcPr>
            <w:tcW w:w="1904" w:type="dxa"/>
            <w:shd w:val="clear" w:color="auto" w:fill="auto"/>
            <w:vAlign w:val="center"/>
          </w:tcPr>
          <w:p w14:paraId="11BAF780" w14:textId="77777777" w:rsidR="005C51A8" w:rsidRPr="002B640D" w:rsidRDefault="005C51A8" w:rsidP="002B640D">
            <w:pPr>
              <w:jc w:val="center"/>
              <w:rPr>
                <w:rFonts w:ascii="ITC Avant Garde" w:hAnsi="ITC Avant Garde"/>
              </w:rPr>
            </w:pPr>
            <w:r w:rsidRPr="002B640D">
              <w:rPr>
                <w:rFonts w:ascii="ITC Avant Garde" w:hAnsi="ITC Avant Garde"/>
              </w:rPr>
              <w:t>3</w:t>
            </w:r>
          </w:p>
        </w:tc>
        <w:tc>
          <w:tcPr>
            <w:tcW w:w="1979" w:type="dxa"/>
            <w:shd w:val="clear" w:color="auto" w:fill="auto"/>
            <w:vAlign w:val="center"/>
          </w:tcPr>
          <w:p w14:paraId="4CB59316" w14:textId="77777777" w:rsidR="005C51A8" w:rsidRPr="002B640D" w:rsidRDefault="005C51A8" w:rsidP="002B640D">
            <w:pPr>
              <w:jc w:val="center"/>
              <w:rPr>
                <w:rFonts w:ascii="ITC Avant Garde" w:hAnsi="ITC Avant Garde"/>
              </w:rPr>
            </w:pPr>
            <w:r w:rsidRPr="002B640D">
              <w:rPr>
                <w:rFonts w:ascii="ITC Avant Garde" w:hAnsi="ITC Avant Garde"/>
              </w:rPr>
              <w:t>1,099</w:t>
            </w:r>
          </w:p>
        </w:tc>
        <w:tc>
          <w:tcPr>
            <w:tcW w:w="1576" w:type="dxa"/>
            <w:shd w:val="clear" w:color="auto" w:fill="auto"/>
            <w:vAlign w:val="center"/>
          </w:tcPr>
          <w:p w14:paraId="6CD88590" w14:textId="77777777" w:rsidR="005C51A8" w:rsidRPr="002B640D" w:rsidRDefault="005C51A8" w:rsidP="002B640D">
            <w:pPr>
              <w:jc w:val="center"/>
              <w:rPr>
                <w:rFonts w:ascii="ITC Avant Garde" w:hAnsi="ITC Avant Garde"/>
              </w:rPr>
            </w:pPr>
            <w:r w:rsidRPr="002B640D">
              <w:rPr>
                <w:rFonts w:ascii="ITC Avant Garde" w:hAnsi="ITC Avant Garde"/>
              </w:rPr>
              <w:t>18.59%</w:t>
            </w:r>
          </w:p>
        </w:tc>
      </w:tr>
      <w:tr w:rsidR="005C51A8" w:rsidRPr="002B640D" w14:paraId="0B95B88D" w14:textId="77777777" w:rsidTr="00B11631">
        <w:trPr>
          <w:trHeight w:val="203"/>
          <w:tblHeader/>
          <w:jc w:val="center"/>
        </w:trPr>
        <w:tc>
          <w:tcPr>
            <w:tcW w:w="1904" w:type="dxa"/>
            <w:shd w:val="clear" w:color="auto" w:fill="auto"/>
            <w:vAlign w:val="center"/>
          </w:tcPr>
          <w:p w14:paraId="1F1141CC" w14:textId="77777777" w:rsidR="005C51A8" w:rsidRPr="002B640D" w:rsidRDefault="005C51A8" w:rsidP="002B640D">
            <w:pPr>
              <w:jc w:val="center"/>
              <w:rPr>
                <w:rFonts w:ascii="ITC Avant Garde" w:hAnsi="ITC Avant Garde"/>
              </w:rPr>
            </w:pPr>
            <w:r w:rsidRPr="002B640D">
              <w:rPr>
                <w:rFonts w:ascii="ITC Avant Garde" w:hAnsi="ITC Avant Garde"/>
              </w:rPr>
              <w:t>4</w:t>
            </w:r>
          </w:p>
        </w:tc>
        <w:tc>
          <w:tcPr>
            <w:tcW w:w="1979" w:type="dxa"/>
            <w:shd w:val="clear" w:color="auto" w:fill="auto"/>
            <w:vAlign w:val="center"/>
          </w:tcPr>
          <w:p w14:paraId="7415DFF6" w14:textId="77777777" w:rsidR="005C51A8" w:rsidRPr="002B640D" w:rsidRDefault="005C51A8" w:rsidP="002B640D">
            <w:pPr>
              <w:jc w:val="center"/>
              <w:rPr>
                <w:rFonts w:ascii="ITC Avant Garde" w:hAnsi="ITC Avant Garde"/>
              </w:rPr>
            </w:pPr>
            <w:r w:rsidRPr="002B640D">
              <w:rPr>
                <w:rFonts w:ascii="ITC Avant Garde" w:hAnsi="ITC Avant Garde"/>
              </w:rPr>
              <w:t>570</w:t>
            </w:r>
          </w:p>
        </w:tc>
        <w:tc>
          <w:tcPr>
            <w:tcW w:w="1576" w:type="dxa"/>
            <w:shd w:val="clear" w:color="auto" w:fill="auto"/>
            <w:vAlign w:val="center"/>
          </w:tcPr>
          <w:p w14:paraId="063DCAB2" w14:textId="77777777" w:rsidR="005C51A8" w:rsidRPr="002B640D" w:rsidRDefault="005C51A8" w:rsidP="002B640D">
            <w:pPr>
              <w:jc w:val="center"/>
              <w:rPr>
                <w:rFonts w:ascii="ITC Avant Garde" w:hAnsi="ITC Avant Garde"/>
              </w:rPr>
            </w:pPr>
            <w:r w:rsidRPr="002B640D">
              <w:rPr>
                <w:rFonts w:ascii="ITC Avant Garde" w:hAnsi="ITC Avant Garde"/>
              </w:rPr>
              <w:t>9.64%</w:t>
            </w:r>
          </w:p>
        </w:tc>
      </w:tr>
      <w:tr w:rsidR="005C51A8" w:rsidRPr="002B640D" w14:paraId="3CC89ADC" w14:textId="77777777" w:rsidTr="00B11631">
        <w:trPr>
          <w:trHeight w:val="218"/>
          <w:tblHeader/>
          <w:jc w:val="center"/>
        </w:trPr>
        <w:tc>
          <w:tcPr>
            <w:tcW w:w="1904" w:type="dxa"/>
            <w:shd w:val="clear" w:color="auto" w:fill="auto"/>
            <w:vAlign w:val="center"/>
          </w:tcPr>
          <w:p w14:paraId="09D5C14F" w14:textId="77777777" w:rsidR="005C51A8" w:rsidRPr="002B640D" w:rsidRDefault="005C51A8" w:rsidP="002B640D">
            <w:pPr>
              <w:jc w:val="center"/>
              <w:rPr>
                <w:rFonts w:ascii="ITC Avant Garde" w:hAnsi="ITC Avant Garde"/>
              </w:rPr>
            </w:pPr>
            <w:r w:rsidRPr="002B640D">
              <w:rPr>
                <w:rFonts w:ascii="ITC Avant Garde" w:hAnsi="ITC Avant Garde"/>
              </w:rPr>
              <w:t>5</w:t>
            </w:r>
          </w:p>
        </w:tc>
        <w:tc>
          <w:tcPr>
            <w:tcW w:w="1979" w:type="dxa"/>
            <w:shd w:val="clear" w:color="auto" w:fill="auto"/>
            <w:vAlign w:val="center"/>
          </w:tcPr>
          <w:p w14:paraId="68659D22" w14:textId="77777777" w:rsidR="005C51A8" w:rsidRPr="002B640D" w:rsidRDefault="005C51A8" w:rsidP="002B640D">
            <w:pPr>
              <w:jc w:val="center"/>
              <w:rPr>
                <w:rFonts w:ascii="ITC Avant Garde" w:hAnsi="ITC Avant Garde"/>
              </w:rPr>
            </w:pPr>
            <w:r w:rsidRPr="002B640D">
              <w:rPr>
                <w:rFonts w:ascii="ITC Avant Garde" w:hAnsi="ITC Avant Garde"/>
              </w:rPr>
              <w:t>181</w:t>
            </w:r>
          </w:p>
        </w:tc>
        <w:tc>
          <w:tcPr>
            <w:tcW w:w="1576" w:type="dxa"/>
            <w:shd w:val="clear" w:color="auto" w:fill="auto"/>
            <w:vAlign w:val="center"/>
          </w:tcPr>
          <w:p w14:paraId="1D4A0C5A" w14:textId="77777777" w:rsidR="005C51A8" w:rsidRPr="002B640D" w:rsidRDefault="005C51A8" w:rsidP="002B640D">
            <w:pPr>
              <w:jc w:val="center"/>
              <w:rPr>
                <w:rFonts w:ascii="ITC Avant Garde" w:hAnsi="ITC Avant Garde"/>
              </w:rPr>
            </w:pPr>
            <w:r w:rsidRPr="002B640D">
              <w:rPr>
                <w:rFonts w:ascii="ITC Avant Garde" w:hAnsi="ITC Avant Garde"/>
              </w:rPr>
              <w:t>3.06%</w:t>
            </w:r>
          </w:p>
        </w:tc>
      </w:tr>
      <w:tr w:rsidR="005C51A8" w:rsidRPr="002B640D" w14:paraId="3F1C36E4" w14:textId="77777777" w:rsidTr="00B11631">
        <w:trPr>
          <w:trHeight w:val="203"/>
          <w:tblHeader/>
          <w:jc w:val="center"/>
        </w:trPr>
        <w:tc>
          <w:tcPr>
            <w:tcW w:w="1904" w:type="dxa"/>
            <w:shd w:val="clear" w:color="auto" w:fill="auto"/>
            <w:vAlign w:val="center"/>
          </w:tcPr>
          <w:p w14:paraId="76E9AC4E" w14:textId="77777777" w:rsidR="005C51A8" w:rsidRPr="002B640D" w:rsidRDefault="005C51A8" w:rsidP="002B640D">
            <w:pPr>
              <w:jc w:val="center"/>
              <w:rPr>
                <w:rFonts w:ascii="ITC Avant Garde" w:hAnsi="ITC Avant Garde"/>
              </w:rPr>
            </w:pPr>
            <w:r w:rsidRPr="002B640D">
              <w:rPr>
                <w:rFonts w:ascii="ITC Avant Garde" w:hAnsi="ITC Avant Garde"/>
              </w:rPr>
              <w:t>6</w:t>
            </w:r>
          </w:p>
        </w:tc>
        <w:tc>
          <w:tcPr>
            <w:tcW w:w="1979" w:type="dxa"/>
            <w:shd w:val="clear" w:color="auto" w:fill="auto"/>
            <w:vAlign w:val="center"/>
          </w:tcPr>
          <w:p w14:paraId="7D8429FD" w14:textId="77777777" w:rsidR="005C51A8" w:rsidRPr="002B640D" w:rsidRDefault="005C51A8" w:rsidP="002B640D">
            <w:pPr>
              <w:jc w:val="center"/>
              <w:rPr>
                <w:rFonts w:ascii="ITC Avant Garde" w:hAnsi="ITC Avant Garde"/>
              </w:rPr>
            </w:pPr>
            <w:r w:rsidRPr="002B640D">
              <w:rPr>
                <w:rFonts w:ascii="ITC Avant Garde" w:hAnsi="ITC Avant Garde"/>
              </w:rPr>
              <w:t>1,966</w:t>
            </w:r>
          </w:p>
        </w:tc>
        <w:tc>
          <w:tcPr>
            <w:tcW w:w="1576" w:type="dxa"/>
            <w:shd w:val="clear" w:color="auto" w:fill="auto"/>
            <w:vAlign w:val="center"/>
          </w:tcPr>
          <w:p w14:paraId="524BC047" w14:textId="77777777" w:rsidR="005C51A8" w:rsidRPr="002B640D" w:rsidRDefault="005C51A8" w:rsidP="002B640D">
            <w:pPr>
              <w:jc w:val="center"/>
              <w:rPr>
                <w:rFonts w:ascii="ITC Avant Garde" w:hAnsi="ITC Avant Garde"/>
              </w:rPr>
            </w:pPr>
            <w:r w:rsidRPr="002B640D">
              <w:rPr>
                <w:rFonts w:ascii="ITC Avant Garde" w:hAnsi="ITC Avant Garde"/>
              </w:rPr>
              <w:t>33.26%</w:t>
            </w:r>
          </w:p>
        </w:tc>
      </w:tr>
      <w:tr w:rsidR="005C51A8" w:rsidRPr="002B640D" w14:paraId="63E316BF" w14:textId="77777777" w:rsidTr="00B11631">
        <w:trPr>
          <w:trHeight w:val="68"/>
          <w:tblHeader/>
          <w:jc w:val="center"/>
        </w:trPr>
        <w:tc>
          <w:tcPr>
            <w:tcW w:w="1904" w:type="dxa"/>
            <w:shd w:val="clear" w:color="auto" w:fill="auto"/>
            <w:vAlign w:val="center"/>
          </w:tcPr>
          <w:p w14:paraId="38728D2A" w14:textId="77777777" w:rsidR="005C51A8" w:rsidRPr="002B640D" w:rsidRDefault="005C51A8" w:rsidP="002B640D">
            <w:pPr>
              <w:jc w:val="center"/>
              <w:rPr>
                <w:rFonts w:ascii="ITC Avant Garde" w:hAnsi="ITC Avant Garde"/>
                <w:b/>
              </w:rPr>
            </w:pPr>
            <w:r w:rsidRPr="002B640D">
              <w:rPr>
                <w:rFonts w:ascii="ITC Avant Garde" w:hAnsi="ITC Avant Garde"/>
                <w:b/>
              </w:rPr>
              <w:t>Total general</w:t>
            </w:r>
          </w:p>
        </w:tc>
        <w:tc>
          <w:tcPr>
            <w:tcW w:w="1979" w:type="dxa"/>
            <w:shd w:val="clear" w:color="auto" w:fill="auto"/>
            <w:vAlign w:val="center"/>
          </w:tcPr>
          <w:p w14:paraId="1D9E50E9" w14:textId="77777777" w:rsidR="005C51A8" w:rsidRPr="002B640D" w:rsidRDefault="005C51A8" w:rsidP="002B640D">
            <w:pPr>
              <w:jc w:val="center"/>
              <w:rPr>
                <w:rFonts w:ascii="ITC Avant Garde" w:hAnsi="ITC Avant Garde"/>
                <w:b/>
              </w:rPr>
            </w:pPr>
            <w:r w:rsidRPr="002B640D">
              <w:rPr>
                <w:rFonts w:ascii="ITC Avant Garde" w:hAnsi="ITC Avant Garde"/>
                <w:b/>
              </w:rPr>
              <w:t>5,911</w:t>
            </w:r>
          </w:p>
        </w:tc>
        <w:tc>
          <w:tcPr>
            <w:tcW w:w="1576" w:type="dxa"/>
            <w:shd w:val="clear" w:color="auto" w:fill="auto"/>
            <w:vAlign w:val="center"/>
          </w:tcPr>
          <w:p w14:paraId="5D92CD84" w14:textId="77777777" w:rsidR="005C51A8" w:rsidRPr="002B640D" w:rsidRDefault="005C51A8" w:rsidP="002B640D">
            <w:pPr>
              <w:jc w:val="center"/>
              <w:rPr>
                <w:rFonts w:ascii="ITC Avant Garde" w:hAnsi="ITC Avant Garde"/>
                <w:b/>
              </w:rPr>
            </w:pPr>
            <w:r w:rsidRPr="002B640D">
              <w:rPr>
                <w:rFonts w:ascii="ITC Avant Garde" w:hAnsi="ITC Avant Garde"/>
                <w:b/>
              </w:rPr>
              <w:t>100.00%</w:t>
            </w:r>
          </w:p>
        </w:tc>
      </w:tr>
    </w:tbl>
    <w:p w14:paraId="19EC7667" w14:textId="3487F588" w:rsidR="005C51A8" w:rsidRPr="002B640D" w:rsidRDefault="00AB5878" w:rsidP="002B640D">
      <w:pPr>
        <w:pStyle w:val="IFTnormal"/>
        <w:spacing w:before="240"/>
        <w:jc w:val="center"/>
      </w:pPr>
      <w:r w:rsidRPr="002B640D">
        <w:rPr>
          <w:b/>
          <w:sz w:val="18"/>
        </w:rPr>
        <w:t>Tabla 2:</w:t>
      </w:r>
      <w:r w:rsidRPr="002B640D">
        <w:rPr>
          <w:sz w:val="18"/>
        </w:rPr>
        <w:t xml:space="preserve"> </w:t>
      </w:r>
      <w:proofErr w:type="spellStart"/>
      <w:r w:rsidRPr="002B640D">
        <w:rPr>
          <w:sz w:val="18"/>
        </w:rPr>
        <w:t>Geotipos</w:t>
      </w:r>
      <w:proofErr w:type="spellEnd"/>
      <w:r w:rsidRPr="002B640D">
        <w:rPr>
          <w:sz w:val="18"/>
        </w:rPr>
        <w:t xml:space="preserve"> y localidades.</w:t>
      </w:r>
    </w:p>
    <w:p w14:paraId="1F871F2B" w14:textId="4A862DE6" w:rsidR="00DE0A93" w:rsidRPr="002B640D" w:rsidRDefault="00DE0A93" w:rsidP="002B640D">
      <w:pPr>
        <w:pStyle w:val="IFTnormal"/>
        <w:spacing w:before="240"/>
        <w:rPr>
          <w:b/>
        </w:rPr>
      </w:pPr>
      <w:r w:rsidRPr="002B640D">
        <w:rPr>
          <w:b/>
        </w:rPr>
        <w:t>Algoritmos de diseño de red</w:t>
      </w:r>
      <w:bookmarkEnd w:id="5"/>
    </w:p>
    <w:p w14:paraId="1DC36E9E" w14:textId="7F675275" w:rsidR="00DE0A93" w:rsidRPr="002B640D" w:rsidRDefault="00DE0A93" w:rsidP="002B640D">
      <w:pPr>
        <w:spacing w:before="240"/>
        <w:jc w:val="both"/>
        <w:rPr>
          <w:rFonts w:ascii="ITC Avant Garde" w:eastAsia="Times New Roman" w:hAnsi="ITC Avant Garde" w:cs="Arial"/>
          <w:iCs/>
        </w:rPr>
      </w:pPr>
      <w:r w:rsidRPr="002B640D">
        <w:rPr>
          <w:rFonts w:ascii="ITC Avant Garde" w:eastAsia="Times New Roman" w:hAnsi="ITC Avant Garde" w:cs="Arial"/>
          <w:iCs/>
        </w:rPr>
        <w:t>A partir de una muestra representativa</w:t>
      </w:r>
      <w:r w:rsidRPr="002B640D">
        <w:rPr>
          <w:rStyle w:val="Refdenotaalpie"/>
          <w:rFonts w:ascii="ITC Avant Garde" w:hAnsi="ITC Avant Garde"/>
        </w:rPr>
        <w:footnoteReference w:id="5"/>
      </w:r>
      <w:r w:rsidRPr="002B640D">
        <w:rPr>
          <w:rFonts w:ascii="ITC Avant Garde" w:eastAsia="Times New Roman" w:hAnsi="ITC Avant Garde" w:cs="Arial"/>
          <w:iCs/>
        </w:rPr>
        <w:t xml:space="preserve"> de las localidades se ejecutó una serie de algoritmos que permiten realizar el dimensionamiento de la red de acceso a partir de los resultados del análisis geográfico y que permiten diseñar una red sobre las áreas de centrales asociadas. La información resulta</w:t>
      </w:r>
      <w:r w:rsidR="00C874C7" w:rsidRPr="002B640D">
        <w:rPr>
          <w:rFonts w:ascii="ITC Avant Garde" w:eastAsia="Times New Roman" w:hAnsi="ITC Avant Garde" w:cs="Arial"/>
          <w:iCs/>
        </w:rPr>
        <w:t>nte</w:t>
      </w:r>
      <w:r w:rsidRPr="002B640D">
        <w:rPr>
          <w:rFonts w:ascii="ITC Avant Garde" w:eastAsia="Times New Roman" w:hAnsi="ITC Avant Garde" w:cs="Arial"/>
          <w:iCs/>
        </w:rPr>
        <w:t xml:space="preserve"> de este proceso se resume en una serie de parámetros que permiten ejecutar el dimensionamiento eficiente de la red, por cada </w:t>
      </w:r>
      <w:proofErr w:type="spellStart"/>
      <w:r w:rsidRPr="002B640D">
        <w:rPr>
          <w:rFonts w:ascii="ITC Avant Garde" w:eastAsia="Times New Roman" w:hAnsi="ITC Avant Garde" w:cs="Arial"/>
          <w:iCs/>
        </w:rPr>
        <w:t>geotipo</w:t>
      </w:r>
      <w:proofErr w:type="spellEnd"/>
      <w:r w:rsidRPr="002B640D">
        <w:rPr>
          <w:rFonts w:ascii="ITC Avant Garde" w:eastAsia="Times New Roman" w:hAnsi="ITC Avant Garde" w:cs="Arial"/>
          <w:iCs/>
        </w:rPr>
        <w:t xml:space="preserve"> considerado.</w:t>
      </w:r>
    </w:p>
    <w:p w14:paraId="34078B36" w14:textId="77777777" w:rsidR="00DE0A93" w:rsidRPr="002B640D" w:rsidRDefault="00DE0A93" w:rsidP="002B640D">
      <w:pPr>
        <w:spacing w:before="240"/>
        <w:rPr>
          <w:rFonts w:ascii="ITC Avant Garde" w:eastAsia="Times New Roman" w:hAnsi="ITC Avant Garde" w:cs="Arial"/>
          <w:iCs/>
        </w:rPr>
      </w:pPr>
      <w:r w:rsidRPr="002B640D">
        <w:rPr>
          <w:rFonts w:ascii="ITC Avant Garde" w:eastAsia="Times New Roman" w:hAnsi="ITC Avant Garde" w:cs="Arial"/>
          <w:iCs/>
        </w:rPr>
        <w:t>Entre los principales algoritmos utilizados están los siguientes:</w:t>
      </w:r>
    </w:p>
    <w:p w14:paraId="20746D03" w14:textId="77777777" w:rsidR="00DE0A93" w:rsidRPr="002B640D" w:rsidRDefault="00DE0A93" w:rsidP="002B640D">
      <w:pPr>
        <w:pStyle w:val="Listaconvietas"/>
        <w:numPr>
          <w:ilvl w:val="0"/>
          <w:numId w:val="2"/>
        </w:numPr>
        <w:spacing w:before="240"/>
      </w:pPr>
      <w:r w:rsidRPr="002B640D">
        <w:t>Agrupación de las localizaciones o edificios – En la práctica, este proceso consiste en agrupar los edificios de cada localidad. El algoritmo escogido es el “</w:t>
      </w:r>
      <w:proofErr w:type="spellStart"/>
      <w:r w:rsidRPr="002B640D">
        <w:t>clustering</w:t>
      </w:r>
      <w:proofErr w:type="spellEnd"/>
      <w:r w:rsidRPr="002B640D">
        <w:t xml:space="preserve"> top-</w:t>
      </w:r>
      <w:proofErr w:type="spellStart"/>
      <w:r w:rsidRPr="002B640D">
        <w:t>down</w:t>
      </w:r>
      <w:proofErr w:type="spellEnd"/>
      <w:r w:rsidRPr="002B640D">
        <w:t>”, que obtiene resultados más ajustados a la realidad frente a otros algoritmos como aquellos basados en cuadrículas o rejillas.</w:t>
      </w:r>
    </w:p>
    <w:p w14:paraId="2D86D020" w14:textId="77777777" w:rsidR="00DE0A93" w:rsidRPr="002B640D" w:rsidRDefault="00DE0A93" w:rsidP="002B640D">
      <w:pPr>
        <w:pStyle w:val="Listaconvietas"/>
        <w:numPr>
          <w:ilvl w:val="0"/>
          <w:numId w:val="2"/>
        </w:numPr>
        <w:spacing w:before="240"/>
      </w:pPr>
      <w:r w:rsidRPr="002B640D">
        <w:t>Obras civiles y cables – Permite estimar los despliegues de zanjas y cableado en las distintas localidades. El algoritmo utilizado es el de árbol expandido mínimo, el cual es menos costoso computacionalmente que otras alternativas pero que permite obtener datos lo suficientemente precisos para el modelo.</w:t>
      </w:r>
    </w:p>
    <w:p w14:paraId="27EB32C5" w14:textId="77777777" w:rsidR="00DE0A93" w:rsidRPr="002B640D" w:rsidRDefault="00DE0A93" w:rsidP="002B640D">
      <w:pPr>
        <w:pStyle w:val="Listaconvietas"/>
        <w:numPr>
          <w:ilvl w:val="0"/>
          <w:numId w:val="2"/>
        </w:numPr>
        <w:spacing w:before="240"/>
      </w:pPr>
      <w:r w:rsidRPr="002B640D">
        <w:lastRenderedPageBreak/>
        <w:t>Medición de distancias – Se utiliza una función ‘p’ con un parámetro margen que tiene en cuenta la altitud y tipología del terreno. La función ‘p’ es un algoritmo flexible y preciso que calcula entre otros el porcentaje de zanjas que es compartido por más de una localización o edificio.</w:t>
      </w:r>
    </w:p>
    <w:p w14:paraId="05076C90" w14:textId="77777777" w:rsidR="00DE0A93" w:rsidRPr="002B640D" w:rsidRDefault="00DE0A93" w:rsidP="002B640D">
      <w:pPr>
        <w:pStyle w:val="Listaconvietas"/>
        <w:numPr>
          <w:ilvl w:val="0"/>
          <w:numId w:val="2"/>
        </w:numPr>
        <w:spacing w:before="240"/>
      </w:pPr>
      <w:r w:rsidRPr="002B640D">
        <w:t xml:space="preserve">Localización del edificio por acometida – El </w:t>
      </w:r>
      <w:r w:rsidR="009968DB" w:rsidRPr="002B640D">
        <w:t xml:space="preserve">Modelo de </w:t>
      </w:r>
      <w:r w:rsidR="009767E8" w:rsidRPr="002B640D">
        <w:t>Red de Acceso Fijo</w:t>
      </w:r>
      <w:r w:rsidR="009968DB" w:rsidRPr="002B640D">
        <w:t xml:space="preserve"> </w:t>
      </w:r>
      <w:r w:rsidRPr="002B640D">
        <w:t>asume que la localización exacta del edificio se encuentra en el punto limítrofe con la vialidad.</w:t>
      </w:r>
    </w:p>
    <w:p w14:paraId="08DC7E3F" w14:textId="77777777" w:rsidR="00DE0A93" w:rsidRPr="002B640D" w:rsidRDefault="00DE0A93" w:rsidP="002B640D">
      <w:pPr>
        <w:pStyle w:val="Listaconvietas"/>
        <w:numPr>
          <w:ilvl w:val="0"/>
          <w:numId w:val="2"/>
        </w:numPr>
        <w:spacing w:before="240"/>
      </w:pPr>
      <w:r w:rsidRPr="002B640D">
        <w:t xml:space="preserve">Despliegues aéreos – Los despliegues aéreos se dimensionan en el </w:t>
      </w:r>
      <w:r w:rsidR="009968DB" w:rsidRPr="002B640D">
        <w:t xml:space="preserve">Modelo de </w:t>
      </w:r>
      <w:r w:rsidR="009767E8" w:rsidRPr="002B640D">
        <w:t>Red de Acceso Fijo</w:t>
      </w:r>
      <w:r w:rsidRPr="002B640D">
        <w:t>.</w:t>
      </w:r>
    </w:p>
    <w:p w14:paraId="0DE3F7A1" w14:textId="77777777" w:rsidR="00DE0A93" w:rsidRPr="002B640D" w:rsidRDefault="00DE0A93" w:rsidP="002B640D">
      <w:pPr>
        <w:pStyle w:val="Listaconvietas"/>
        <w:numPr>
          <w:ilvl w:val="0"/>
          <w:numId w:val="2"/>
        </w:numPr>
        <w:spacing w:before="240"/>
      </w:pPr>
      <w:r w:rsidRPr="002B640D">
        <w:t xml:space="preserve">Costos de excavación – Se calculan explícitamente los costos de excavación para garantizar una mayor precisión en los resultados del </w:t>
      </w:r>
      <w:r w:rsidR="009968DB" w:rsidRPr="002B640D">
        <w:t xml:space="preserve">Modelo de </w:t>
      </w:r>
      <w:r w:rsidR="009767E8" w:rsidRPr="002B640D">
        <w:t>Red de Acceso Fijo</w:t>
      </w:r>
      <w:r w:rsidRPr="002B640D">
        <w:t>.</w:t>
      </w:r>
    </w:p>
    <w:p w14:paraId="7D9F8C90" w14:textId="1C5E43AC" w:rsidR="00DE0A93" w:rsidRPr="002B640D" w:rsidRDefault="00DE0A93" w:rsidP="002B640D">
      <w:pPr>
        <w:pStyle w:val="Listaconvietas"/>
        <w:numPr>
          <w:ilvl w:val="0"/>
          <w:numId w:val="2"/>
        </w:numPr>
        <w:spacing w:before="240"/>
      </w:pPr>
      <w:r w:rsidRPr="002B640D">
        <w:t xml:space="preserve">Despliegues de ductos (tamaño del ducto) – </w:t>
      </w:r>
      <w:r w:rsidR="00E5084A" w:rsidRPr="002B640D">
        <w:rPr>
          <w:lang w:val="es-419"/>
        </w:rPr>
        <w:t>Para modelar la longitud de la red, s</w:t>
      </w:r>
      <w:r w:rsidRPr="002B640D">
        <w:t xml:space="preserve">e considera que el tamaño del ducto es siempre el mismo, ya que no reduce la precisión del análisis geográfico. Sin embargo, el </w:t>
      </w:r>
      <w:r w:rsidR="009968DB" w:rsidRPr="002B640D">
        <w:t xml:space="preserve">Modelo de </w:t>
      </w:r>
      <w:r w:rsidR="009767E8" w:rsidRPr="002B640D">
        <w:t>Red de Acceso Fijo</w:t>
      </w:r>
      <w:r w:rsidR="009968DB" w:rsidRPr="002B640D">
        <w:t xml:space="preserve"> </w:t>
      </w:r>
      <w:r w:rsidRPr="002B640D">
        <w:t>calcula los costos de varios tipos de ductos en función de su diámetro.</w:t>
      </w:r>
    </w:p>
    <w:p w14:paraId="4B18E6D9" w14:textId="52D7CA6C" w:rsidR="00B166B4" w:rsidRPr="002B640D" w:rsidRDefault="00B166B4" w:rsidP="002B640D">
      <w:pPr>
        <w:pStyle w:val="Listaconvietas"/>
        <w:numPr>
          <w:ilvl w:val="0"/>
          <w:numId w:val="0"/>
        </w:numPr>
        <w:spacing w:before="240"/>
        <w:ind w:left="360"/>
        <w:jc w:val="center"/>
      </w:pPr>
      <w:r w:rsidRPr="002B640D">
        <w:rPr>
          <w:noProof/>
          <w:lang w:val="es-MX" w:eastAsia="es-MX"/>
        </w:rPr>
        <w:lastRenderedPageBreak/>
        <w:drawing>
          <wp:inline distT="0" distB="0" distL="0" distR="0" wp14:anchorId="59E455EB" wp14:editId="7E48503D">
            <wp:extent cx="4374489" cy="4988951"/>
            <wp:effectExtent l="0" t="0" r="7620" b="2540"/>
            <wp:docPr id="3" name="Imagen 3" descr="Figura 1: Esquema de los algoritmos de dimensionamiento de la red por geotip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5324" cy="5001307"/>
                    </a:xfrm>
                    <a:prstGeom prst="rect">
                      <a:avLst/>
                    </a:prstGeom>
                    <a:noFill/>
                    <a:ln>
                      <a:noFill/>
                    </a:ln>
                  </pic:spPr>
                </pic:pic>
              </a:graphicData>
            </a:graphic>
          </wp:inline>
        </w:drawing>
      </w:r>
    </w:p>
    <w:p w14:paraId="6CF22F44" w14:textId="4DED57DA" w:rsidR="003E4B32" w:rsidRPr="002B640D" w:rsidRDefault="003E4B32" w:rsidP="002B640D">
      <w:pPr>
        <w:spacing w:before="240"/>
        <w:jc w:val="center"/>
        <w:rPr>
          <w:rFonts w:ascii="ITC Avant Garde" w:eastAsia="Times New Roman" w:hAnsi="ITC Avant Garde" w:cs="Arial"/>
          <w:iCs/>
          <w:sz w:val="20"/>
        </w:rPr>
      </w:pPr>
      <w:r w:rsidRPr="002B640D">
        <w:rPr>
          <w:rFonts w:ascii="ITC Avant Garde" w:hAnsi="ITC Avant Garde"/>
          <w:b/>
          <w:sz w:val="18"/>
        </w:rPr>
        <w:t>Figura 1:</w:t>
      </w:r>
      <w:r w:rsidRPr="002B640D">
        <w:rPr>
          <w:rFonts w:ascii="ITC Avant Garde" w:hAnsi="ITC Avant Garde"/>
          <w:sz w:val="18"/>
        </w:rPr>
        <w:t xml:space="preserve"> Esquema de los algoritmos de dimensionamiento de la red por </w:t>
      </w:r>
      <w:proofErr w:type="spellStart"/>
      <w:r w:rsidRPr="002B640D">
        <w:rPr>
          <w:rFonts w:ascii="ITC Avant Garde" w:hAnsi="ITC Avant Garde"/>
          <w:sz w:val="18"/>
        </w:rPr>
        <w:t>geotipo</w:t>
      </w:r>
      <w:proofErr w:type="spellEnd"/>
      <w:r w:rsidR="00AB5878" w:rsidRPr="002B640D">
        <w:rPr>
          <w:rFonts w:ascii="ITC Avant Garde" w:hAnsi="ITC Avant Garde"/>
          <w:sz w:val="18"/>
        </w:rPr>
        <w:t>.</w:t>
      </w:r>
    </w:p>
    <w:p w14:paraId="425B1471" w14:textId="77777777" w:rsidR="002B640D" w:rsidRPr="002B640D" w:rsidRDefault="00DE0A93" w:rsidP="002B640D">
      <w:pPr>
        <w:spacing w:before="240"/>
        <w:jc w:val="both"/>
        <w:rPr>
          <w:rFonts w:ascii="ITC Avant Garde" w:eastAsia="Times New Roman" w:hAnsi="ITC Avant Garde" w:cs="Arial"/>
        </w:rPr>
      </w:pPr>
      <w:r w:rsidRPr="002B640D">
        <w:rPr>
          <w:rFonts w:ascii="ITC Avant Garde" w:eastAsia="Times New Roman" w:hAnsi="ITC Avant Garde" w:cs="Arial"/>
          <w:iCs/>
        </w:rPr>
        <w:t xml:space="preserve">Los parámetros anteriores se extrapolan para diseñar una red a partir de las localidades donde se sabe que el AEP tiene centrales cuyo medio de acceso es cobre, de acuerdo al </w:t>
      </w:r>
      <w:proofErr w:type="spellStart"/>
      <w:r w:rsidRPr="002B640D">
        <w:rPr>
          <w:rFonts w:ascii="ITC Avant Garde" w:eastAsia="Times New Roman" w:hAnsi="ITC Avant Garde" w:cs="Arial"/>
          <w:iCs/>
        </w:rPr>
        <w:t>geotipo</w:t>
      </w:r>
      <w:proofErr w:type="spellEnd"/>
      <w:r w:rsidRPr="002B640D">
        <w:rPr>
          <w:rFonts w:ascii="ITC Avant Garde" w:eastAsia="Times New Roman" w:hAnsi="ITC Avant Garde" w:cs="Arial"/>
          <w:iCs/>
        </w:rPr>
        <w:t xml:space="preserve"> asociado a la central correspondiente.</w:t>
      </w:r>
      <w:bookmarkStart w:id="6" w:name="_Toc422388117"/>
    </w:p>
    <w:p w14:paraId="28611117" w14:textId="12BB9BF7" w:rsidR="004F52A4" w:rsidRPr="002B640D" w:rsidRDefault="004F52A4" w:rsidP="002B640D">
      <w:pPr>
        <w:spacing w:before="240"/>
        <w:jc w:val="center"/>
        <w:rPr>
          <w:b/>
        </w:rPr>
      </w:pPr>
      <w:bookmarkStart w:id="7" w:name="_Toc445108793"/>
      <w:r w:rsidRPr="002B640D">
        <w:rPr>
          <w:b/>
          <w:noProof/>
          <w:lang w:eastAsia="es-MX"/>
        </w:rPr>
        <w:lastRenderedPageBreak/>
        <w:drawing>
          <wp:inline distT="0" distB="0" distL="0" distR="0" wp14:anchorId="66D9C832" wp14:editId="4FD0B318">
            <wp:extent cx="4484218" cy="4484218"/>
            <wp:effectExtent l="0" t="0" r="0" b="0"/>
            <wp:docPr id="4" name="Imagen 4" descr="Figura 2: Esquema del algoritmo de dimensionamiento de la red."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9580" cy="4489580"/>
                    </a:xfrm>
                    <a:prstGeom prst="rect">
                      <a:avLst/>
                    </a:prstGeom>
                    <a:noFill/>
                    <a:ln>
                      <a:noFill/>
                    </a:ln>
                  </pic:spPr>
                </pic:pic>
              </a:graphicData>
            </a:graphic>
          </wp:inline>
        </w:drawing>
      </w:r>
    </w:p>
    <w:p w14:paraId="25AF24B7" w14:textId="77777777" w:rsidR="002B640D" w:rsidRPr="002B640D" w:rsidRDefault="003E4B32" w:rsidP="002B640D">
      <w:pPr>
        <w:spacing w:before="240"/>
        <w:jc w:val="center"/>
        <w:rPr>
          <w:rFonts w:ascii="ITC Avant Garde" w:eastAsia="Times New Roman" w:hAnsi="ITC Avant Garde" w:cs="Arial"/>
          <w:iCs/>
          <w:sz w:val="20"/>
        </w:rPr>
      </w:pPr>
      <w:r w:rsidRPr="002B640D">
        <w:rPr>
          <w:rFonts w:ascii="ITC Avant Garde" w:hAnsi="ITC Avant Garde"/>
          <w:b/>
          <w:sz w:val="18"/>
        </w:rPr>
        <w:t>Figura 2:</w:t>
      </w:r>
      <w:r w:rsidRPr="002B640D">
        <w:rPr>
          <w:rFonts w:ascii="ITC Avant Garde" w:hAnsi="ITC Avant Garde"/>
          <w:sz w:val="18"/>
        </w:rPr>
        <w:t xml:space="preserve"> Esquema del algoritmo de dimensionamiento de la red</w:t>
      </w:r>
      <w:r w:rsidR="00AB5878" w:rsidRPr="002B640D">
        <w:rPr>
          <w:rFonts w:ascii="ITC Avant Garde" w:hAnsi="ITC Avant Garde"/>
          <w:sz w:val="18"/>
        </w:rPr>
        <w:t>.</w:t>
      </w:r>
    </w:p>
    <w:p w14:paraId="2AEB95E6" w14:textId="3B2C185B" w:rsidR="00DE0A93" w:rsidRPr="002B640D" w:rsidRDefault="00DE0A93" w:rsidP="002B640D">
      <w:pPr>
        <w:pStyle w:val="IFTnormal"/>
        <w:spacing w:before="240"/>
        <w:rPr>
          <w:b/>
        </w:rPr>
      </w:pPr>
      <w:r w:rsidRPr="002B640D">
        <w:rPr>
          <w:b/>
        </w:rPr>
        <w:t>3.</w:t>
      </w:r>
      <w:r w:rsidR="00D60BFF" w:rsidRPr="002B640D">
        <w:rPr>
          <w:b/>
        </w:rPr>
        <w:t>1</w:t>
      </w:r>
      <w:r w:rsidRPr="002B640D">
        <w:rPr>
          <w:b/>
        </w:rPr>
        <w:t>.</w:t>
      </w:r>
      <w:r w:rsidR="00355374" w:rsidRPr="002B640D">
        <w:rPr>
          <w:b/>
        </w:rPr>
        <w:t>5</w:t>
      </w:r>
      <w:r w:rsidRPr="002B640D">
        <w:rPr>
          <w:b/>
        </w:rPr>
        <w:t xml:space="preserve"> Aspectos relacionados con el dimensionamiento del </w:t>
      </w:r>
      <w:bookmarkEnd w:id="7"/>
      <w:r w:rsidR="009968DB" w:rsidRPr="002B640D">
        <w:rPr>
          <w:b/>
        </w:rPr>
        <w:t xml:space="preserve">Modelo de </w:t>
      </w:r>
      <w:r w:rsidR="009767E8" w:rsidRPr="002B640D">
        <w:rPr>
          <w:b/>
        </w:rPr>
        <w:t>Red de Acceso Fijo</w:t>
      </w:r>
    </w:p>
    <w:p w14:paraId="2AE266A2" w14:textId="77777777" w:rsidR="00DE0A93" w:rsidRPr="002B640D" w:rsidRDefault="00DE0A93" w:rsidP="002B640D">
      <w:pPr>
        <w:spacing w:before="240"/>
        <w:rPr>
          <w:rFonts w:ascii="ITC Avant Garde" w:hAnsi="ITC Avant Garde"/>
          <w:b/>
        </w:rPr>
      </w:pPr>
      <w:r w:rsidRPr="002B640D">
        <w:rPr>
          <w:rFonts w:ascii="ITC Avant Garde" w:hAnsi="ITC Avant Garde"/>
          <w:b/>
          <w:color w:val="000000"/>
          <w:lang w:val="es-ES_tradnl" w:eastAsia="es-ES"/>
        </w:rPr>
        <w:t>Bases de datos en la herramienta</w:t>
      </w:r>
      <w:bookmarkEnd w:id="6"/>
    </w:p>
    <w:p w14:paraId="4A8812AB" w14:textId="680B7727" w:rsidR="00DE0A93" w:rsidRPr="002B640D" w:rsidRDefault="00DE0A93" w:rsidP="002B640D">
      <w:pPr>
        <w:pStyle w:val="IFTnormal"/>
        <w:spacing w:before="240"/>
        <w:rPr>
          <w:lang w:val="es-MX"/>
        </w:rPr>
      </w:pPr>
      <w:r w:rsidRPr="002B640D">
        <w:rPr>
          <w:lang w:val="es-MX"/>
        </w:rPr>
        <w:t xml:space="preserve">El </w:t>
      </w:r>
      <w:r w:rsidR="009968DB" w:rsidRPr="002B640D">
        <w:rPr>
          <w:lang w:val="es-MX"/>
        </w:rPr>
        <w:t xml:space="preserve">Modelo de </w:t>
      </w:r>
      <w:r w:rsidR="009767E8" w:rsidRPr="002B640D">
        <w:rPr>
          <w:lang w:val="es-MX"/>
        </w:rPr>
        <w:t>Red de Acceso Fijo</w:t>
      </w:r>
      <w:r w:rsidRPr="002B640D">
        <w:rPr>
          <w:lang w:val="es-MX"/>
        </w:rPr>
        <w:t xml:space="preserve"> contiene dos bases de datos en torno a las que giran las estimaciones que el modelo lleva a cabo. La primera de ellas, denominada Base principal, reúne información a nivel geográfico, demográfico y técnico relativa a 5,911 localidades que tienen centrales con acceso basado en par de cobre (en términos de las áreas de servicio local definidas con las ubicaciones de las localidades y el algoritmo de análisis ge</w:t>
      </w:r>
      <w:r w:rsidR="004F52A4" w:rsidRPr="002B640D">
        <w:rPr>
          <w:lang w:val="es-MX"/>
        </w:rPr>
        <w:t>ográfico previamente descrito).</w:t>
      </w:r>
    </w:p>
    <w:p w14:paraId="638F639C" w14:textId="77777777" w:rsidR="002B640D" w:rsidRPr="002B640D" w:rsidRDefault="00DE0A93" w:rsidP="002B640D">
      <w:pPr>
        <w:pStyle w:val="IFTnormal"/>
        <w:spacing w:before="240"/>
        <w:rPr>
          <w:lang w:val="es-MX"/>
        </w:rPr>
      </w:pPr>
      <w:r w:rsidRPr="002B640D">
        <w:rPr>
          <w:lang w:val="es-MX"/>
        </w:rPr>
        <w:lastRenderedPageBreak/>
        <w:t xml:space="preserve">Por otro lado, la segunda base de datos, denominada Base de Parámetros de Dimensionamiento contiene primordialmente los parámetros de dimensionamiento de los activos por </w:t>
      </w:r>
      <w:proofErr w:type="spellStart"/>
      <w:r w:rsidRPr="002B640D">
        <w:rPr>
          <w:lang w:val="es-MX"/>
        </w:rPr>
        <w:t>geotipo</w:t>
      </w:r>
      <w:proofErr w:type="spellEnd"/>
      <w:r w:rsidRPr="002B640D">
        <w:rPr>
          <w:lang w:val="es-MX"/>
        </w:rPr>
        <w:t>, resultado del análisis estadístico que se realizó sobre la muestra de 250 localidades.</w:t>
      </w:r>
    </w:p>
    <w:p w14:paraId="47E6C15A" w14:textId="6EB652B2" w:rsidR="00DE0A93" w:rsidRPr="002B640D" w:rsidRDefault="00DE0A93" w:rsidP="002B640D">
      <w:pPr>
        <w:pStyle w:val="IFTnormal"/>
        <w:spacing w:before="240"/>
        <w:rPr>
          <w:b/>
        </w:rPr>
      </w:pPr>
      <w:bookmarkStart w:id="8" w:name="_Toc422388118"/>
      <w:r w:rsidRPr="002B640D">
        <w:rPr>
          <w:b/>
        </w:rPr>
        <w:t>Base Principal</w:t>
      </w:r>
      <w:bookmarkEnd w:id="8"/>
    </w:p>
    <w:p w14:paraId="7A947F4B" w14:textId="77777777" w:rsidR="00DE0A93" w:rsidRPr="002B640D" w:rsidRDefault="00DE0A93" w:rsidP="002B640D">
      <w:pPr>
        <w:pStyle w:val="IFTnormal"/>
        <w:spacing w:before="240"/>
      </w:pPr>
      <w:r w:rsidRPr="002B640D">
        <w:rPr>
          <w:lang w:val="es-MX"/>
        </w:rPr>
        <w:t xml:space="preserve">Esta base de datos se encuentra en la hoja Input. </w:t>
      </w:r>
      <w:r w:rsidRPr="002B640D">
        <w:t>Las variables principales son resumidas a continuación:</w:t>
      </w:r>
    </w:p>
    <w:p w14:paraId="2DE46C23" w14:textId="77777777" w:rsidR="00DE0A93" w:rsidRPr="002B640D" w:rsidRDefault="00DE0A93" w:rsidP="002B640D">
      <w:pPr>
        <w:pStyle w:val="Niv2Bullets"/>
        <w:numPr>
          <w:ilvl w:val="0"/>
          <w:numId w:val="26"/>
        </w:numPr>
        <w:spacing w:before="240"/>
      </w:pPr>
      <w:r w:rsidRPr="002B640D">
        <w:t>Una clave de identificación para la localidad (ID nodo),</w:t>
      </w:r>
    </w:p>
    <w:p w14:paraId="2F15595A" w14:textId="77777777" w:rsidR="00DE0A93" w:rsidRPr="002B640D" w:rsidRDefault="00DE0A93" w:rsidP="002B640D">
      <w:pPr>
        <w:pStyle w:val="Niv2Bullets"/>
        <w:numPr>
          <w:ilvl w:val="0"/>
          <w:numId w:val="26"/>
        </w:numPr>
        <w:spacing w:before="240"/>
      </w:pPr>
      <w:r w:rsidRPr="002B640D">
        <w:t>El estado donde se encuentra la localidad,</w:t>
      </w:r>
    </w:p>
    <w:p w14:paraId="611194FB" w14:textId="77777777" w:rsidR="00DE0A93" w:rsidRPr="002B640D" w:rsidRDefault="00DE0A93" w:rsidP="002B640D">
      <w:pPr>
        <w:pStyle w:val="Niv2Bullets"/>
        <w:numPr>
          <w:ilvl w:val="0"/>
          <w:numId w:val="26"/>
        </w:numPr>
        <w:spacing w:before="240"/>
      </w:pPr>
      <w:r w:rsidRPr="002B640D">
        <w:t xml:space="preserve">Nombre de la localidad, </w:t>
      </w:r>
    </w:p>
    <w:p w14:paraId="7A8D3F5D" w14:textId="77777777" w:rsidR="00DE0A93" w:rsidRPr="002B640D" w:rsidRDefault="00DE0A93" w:rsidP="002B640D">
      <w:pPr>
        <w:pStyle w:val="Niv2Bullets"/>
        <w:numPr>
          <w:ilvl w:val="0"/>
          <w:numId w:val="26"/>
        </w:numPr>
        <w:spacing w:before="240"/>
      </w:pPr>
      <w:r w:rsidRPr="002B640D">
        <w:t xml:space="preserve">El tipo de área a la que corresponde (urbana o rural), </w:t>
      </w:r>
    </w:p>
    <w:p w14:paraId="17C4DF5A" w14:textId="77777777" w:rsidR="00DE0A93" w:rsidRPr="002B640D" w:rsidRDefault="00DE0A93" w:rsidP="002B640D">
      <w:pPr>
        <w:pStyle w:val="Niv2Bullets"/>
        <w:numPr>
          <w:ilvl w:val="0"/>
          <w:numId w:val="26"/>
        </w:numPr>
        <w:spacing w:before="240"/>
      </w:pPr>
      <w:r w:rsidRPr="002B640D">
        <w:t xml:space="preserve">El </w:t>
      </w:r>
      <w:proofErr w:type="spellStart"/>
      <w:r w:rsidRPr="002B640D">
        <w:t>geotipo</w:t>
      </w:r>
      <w:proofErr w:type="spellEnd"/>
      <w:r w:rsidRPr="002B640D">
        <w:t xml:space="preserve"> que fue asignado a la localidad en los algoritmos geográficos, </w:t>
      </w:r>
    </w:p>
    <w:p w14:paraId="76B9503D" w14:textId="77777777" w:rsidR="00DE0A93" w:rsidRPr="002B640D" w:rsidRDefault="00DE0A93" w:rsidP="002B640D">
      <w:pPr>
        <w:pStyle w:val="IFTnormal"/>
        <w:spacing w:before="240"/>
        <w:rPr>
          <w:lang w:val="es-MX"/>
        </w:rPr>
      </w:pPr>
      <w:r w:rsidRPr="002B640D">
        <w:rPr>
          <w:lang w:val="es-MX"/>
        </w:rPr>
        <w:t>También se ofrecen detalles por localidad, en términos de las áreas de servicio local definidas con las ubicaciones de las localidades:</w:t>
      </w:r>
    </w:p>
    <w:p w14:paraId="3E483E7A" w14:textId="77777777" w:rsidR="00DE0A93" w:rsidRPr="002B640D" w:rsidRDefault="00DE0A93" w:rsidP="002B640D">
      <w:pPr>
        <w:pStyle w:val="Niv2Bullets"/>
        <w:numPr>
          <w:ilvl w:val="0"/>
          <w:numId w:val="27"/>
        </w:numPr>
        <w:spacing w:before="240"/>
      </w:pPr>
      <w:r w:rsidRPr="002B640D">
        <w:t xml:space="preserve">Número de edificios, </w:t>
      </w:r>
    </w:p>
    <w:p w14:paraId="7491B425" w14:textId="77777777" w:rsidR="00DE0A93" w:rsidRPr="002B640D" w:rsidRDefault="00DE0A93" w:rsidP="002B640D">
      <w:pPr>
        <w:pStyle w:val="Niv2Bullets"/>
        <w:numPr>
          <w:ilvl w:val="0"/>
          <w:numId w:val="27"/>
        </w:numPr>
        <w:spacing w:before="240"/>
      </w:pPr>
      <w:r w:rsidRPr="002B640D">
        <w:t>Número de viviendas totales y habitadas,</w:t>
      </w:r>
    </w:p>
    <w:p w14:paraId="14B8E9E1" w14:textId="77777777" w:rsidR="00DE0A93" w:rsidRPr="002B640D" w:rsidRDefault="00DE0A93" w:rsidP="002B640D">
      <w:pPr>
        <w:pStyle w:val="Niv2Bullets"/>
        <w:numPr>
          <w:ilvl w:val="0"/>
          <w:numId w:val="27"/>
        </w:numPr>
        <w:spacing w:before="240"/>
      </w:pPr>
      <w:r w:rsidRPr="002B640D">
        <w:t>El número de accesos (líneas activas).</w:t>
      </w:r>
    </w:p>
    <w:p w14:paraId="14F108B9" w14:textId="77777777" w:rsidR="00DE0A93" w:rsidRPr="002B640D" w:rsidRDefault="00DE0A93" w:rsidP="002B640D">
      <w:pPr>
        <w:pStyle w:val="IFTnormal"/>
        <w:spacing w:before="240"/>
        <w:rPr>
          <w:lang w:val="es-MX"/>
        </w:rPr>
      </w:pPr>
      <w:r w:rsidRPr="002B640D">
        <w:rPr>
          <w:lang w:val="es-MX"/>
        </w:rPr>
        <w:t xml:space="preserve">Adicionalmente, la base de datos contiene estimaciones de demanda por cada una de las áreas de central a nivel red de acceso legado (cobre) y red de acceso de nueva generación (fibra óptica). </w:t>
      </w:r>
    </w:p>
    <w:p w14:paraId="7DE86C95" w14:textId="77777777" w:rsidR="00DE0A93" w:rsidRPr="002B640D" w:rsidRDefault="00DE0A93" w:rsidP="002B640D">
      <w:pPr>
        <w:pStyle w:val="IFTnormal"/>
        <w:spacing w:before="240"/>
        <w:rPr>
          <w:lang w:val="es-MX"/>
        </w:rPr>
      </w:pPr>
      <w:r w:rsidRPr="002B640D">
        <w:rPr>
          <w:lang w:val="es-MX"/>
        </w:rPr>
        <w:t>En términos precisos, para la red de cobre se recopilan datos de:</w:t>
      </w:r>
    </w:p>
    <w:p w14:paraId="589A85FD" w14:textId="77777777" w:rsidR="00DE0A93" w:rsidRPr="002B640D" w:rsidRDefault="00DE0A93" w:rsidP="002B640D">
      <w:pPr>
        <w:pStyle w:val="IFTnormal"/>
        <w:numPr>
          <w:ilvl w:val="0"/>
          <w:numId w:val="25"/>
        </w:numPr>
        <w:spacing w:before="240" w:after="160" w:line="259" w:lineRule="auto"/>
        <w:rPr>
          <w:lang w:val="es-MX"/>
        </w:rPr>
      </w:pPr>
      <w:r w:rsidRPr="002B640D">
        <w:rPr>
          <w:lang w:val="es-MX"/>
        </w:rPr>
        <w:t>El número de bucles activos de voz, llamados Bucles activas - Sólo voz en la herramienta, para servicios PSTN, ISDN BRA e ISDN PARA.</w:t>
      </w:r>
    </w:p>
    <w:p w14:paraId="3B133079" w14:textId="77777777" w:rsidR="00DE0A93" w:rsidRPr="002B640D" w:rsidRDefault="00DE0A93" w:rsidP="002B640D">
      <w:pPr>
        <w:pStyle w:val="IFTnormal"/>
        <w:numPr>
          <w:ilvl w:val="0"/>
          <w:numId w:val="25"/>
        </w:numPr>
        <w:spacing w:before="240" w:after="160" w:line="259" w:lineRule="auto"/>
        <w:rPr>
          <w:lang w:val="es-MX"/>
        </w:rPr>
      </w:pPr>
      <w:r w:rsidRPr="002B640D">
        <w:rPr>
          <w:lang w:val="es-MX"/>
        </w:rPr>
        <w:t>El número de bucles activos de banda ancha, denominado en la herramienta como Bucles activas - Sólo BA para servicios ADSL y (S</w:t>
      </w:r>
      <w:proofErr w:type="gramStart"/>
      <w:r w:rsidRPr="002B640D">
        <w:rPr>
          <w:lang w:val="es-MX"/>
        </w:rPr>
        <w:t>)HDSL</w:t>
      </w:r>
      <w:proofErr w:type="gramEnd"/>
      <w:r w:rsidRPr="002B640D">
        <w:rPr>
          <w:rStyle w:val="Refdenotaalpie"/>
          <w:lang w:val="es-MX"/>
        </w:rPr>
        <w:footnoteReference w:id="6"/>
      </w:r>
      <w:r w:rsidRPr="002B640D">
        <w:rPr>
          <w:lang w:val="es-MX"/>
        </w:rPr>
        <w:t xml:space="preserve">. </w:t>
      </w:r>
    </w:p>
    <w:p w14:paraId="6B26A32B" w14:textId="77777777" w:rsidR="00DE0A93" w:rsidRPr="002B640D" w:rsidRDefault="00DE0A93" w:rsidP="002B640D">
      <w:pPr>
        <w:pStyle w:val="IFTnormal"/>
        <w:numPr>
          <w:ilvl w:val="0"/>
          <w:numId w:val="25"/>
        </w:numPr>
        <w:spacing w:before="240" w:after="160" w:line="259" w:lineRule="auto"/>
        <w:rPr>
          <w:lang w:val="es-MX"/>
        </w:rPr>
      </w:pPr>
      <w:r w:rsidRPr="002B640D">
        <w:rPr>
          <w:lang w:val="es-MX"/>
        </w:rPr>
        <w:lastRenderedPageBreak/>
        <w:t xml:space="preserve">El número de bucles activos que proveen a la vez servicios de voz y banda ancha, denominados como Bucles activas - </w:t>
      </w:r>
      <w:proofErr w:type="spellStart"/>
      <w:r w:rsidRPr="002B640D">
        <w:rPr>
          <w:lang w:val="es-MX"/>
        </w:rPr>
        <w:t>Voz+BA</w:t>
      </w:r>
      <w:proofErr w:type="spellEnd"/>
      <w:r w:rsidRPr="002B640D">
        <w:rPr>
          <w:lang w:val="es-MX"/>
        </w:rPr>
        <w:t xml:space="preserve"> en la herramienta, para servicios</w:t>
      </w:r>
    </w:p>
    <w:p w14:paraId="444E8E60" w14:textId="77777777" w:rsidR="00DE0A93" w:rsidRPr="002B640D" w:rsidRDefault="00DE0A93" w:rsidP="002B640D">
      <w:pPr>
        <w:pStyle w:val="IFTnormal"/>
        <w:numPr>
          <w:ilvl w:val="0"/>
          <w:numId w:val="25"/>
        </w:numPr>
        <w:spacing w:before="240" w:after="160" w:line="259" w:lineRule="auto"/>
        <w:rPr>
          <w:lang w:val="es-MX"/>
        </w:rPr>
      </w:pPr>
      <w:r w:rsidRPr="002B640D">
        <w:rPr>
          <w:lang w:val="es-MX"/>
        </w:rPr>
        <w:t>El número de bucles terminados y activos en su totalidad.</w:t>
      </w:r>
    </w:p>
    <w:p w14:paraId="14B8C621" w14:textId="77777777" w:rsidR="00DE0A93" w:rsidRPr="002B640D" w:rsidRDefault="00DE0A93" w:rsidP="002B640D">
      <w:pPr>
        <w:pStyle w:val="Niv2C4"/>
        <w:spacing w:before="240"/>
        <w:ind w:left="567" w:hanging="567"/>
      </w:pPr>
      <w:bookmarkStart w:id="9" w:name="_Ref412198653"/>
      <w:bookmarkStart w:id="10" w:name="_Ref412198669"/>
      <w:bookmarkStart w:id="11" w:name="_Toc422388119"/>
      <w:r w:rsidRPr="002B640D">
        <w:t>Base de parámetros de red</w:t>
      </w:r>
      <w:bookmarkEnd w:id="9"/>
      <w:bookmarkEnd w:id="10"/>
      <w:bookmarkEnd w:id="11"/>
    </w:p>
    <w:p w14:paraId="0F959DE2" w14:textId="77777777" w:rsidR="00DE0A93" w:rsidRPr="002B640D" w:rsidRDefault="00DE0A93" w:rsidP="002B640D">
      <w:pPr>
        <w:pStyle w:val="IFTnormal"/>
        <w:spacing w:before="240"/>
      </w:pPr>
      <w:r w:rsidRPr="002B640D">
        <w:t xml:space="preserve">Esta base se encuentra en la hoja Inputs de red y es relativa a los parámetros de dimensionamiento de la red que se obtuvieron tras realizar un análisis estadístico sobre una muestra de localidades teniendo como base los </w:t>
      </w:r>
      <w:r w:rsidRPr="002B640D">
        <w:rPr>
          <w:lang w:val="es-ES"/>
        </w:rPr>
        <w:t>algoritmos</w:t>
      </w:r>
      <w:r w:rsidRPr="002B640D">
        <w:t xml:space="preserve"> geográficos y de diseño de red eficiente.</w:t>
      </w:r>
    </w:p>
    <w:p w14:paraId="79D69BEC" w14:textId="77777777" w:rsidR="00DE0A93" w:rsidRPr="002B640D" w:rsidRDefault="00DE0A93" w:rsidP="002B640D">
      <w:pPr>
        <w:pStyle w:val="IFTnormal"/>
        <w:spacing w:before="240"/>
        <w:rPr>
          <w:b/>
        </w:rPr>
      </w:pPr>
      <w:bookmarkStart w:id="12" w:name="_Toc422388121"/>
      <w:bookmarkStart w:id="13" w:name="_Ref422389780"/>
      <w:r w:rsidRPr="002B640D">
        <w:rPr>
          <w:b/>
        </w:rPr>
        <w:t>Dimensionamiento de los activos de red</w:t>
      </w:r>
      <w:bookmarkEnd w:id="12"/>
      <w:bookmarkEnd w:id="13"/>
    </w:p>
    <w:p w14:paraId="3928AF1C" w14:textId="32A61167" w:rsidR="00DE0A93" w:rsidRPr="002B640D" w:rsidRDefault="00DE0A93" w:rsidP="002B640D">
      <w:pPr>
        <w:pStyle w:val="IFTnormal"/>
        <w:spacing w:before="240"/>
      </w:pPr>
      <w:r w:rsidRPr="002B640D">
        <w:rPr>
          <w:lang w:val="es-MX"/>
        </w:rPr>
        <w:t>Para realizar una correcta estimación de las tarifas de los servicios de acceso es necesario calcular primero la cantidad y el tamaño de los activos requeridos para satisfacer la demanda de servicios de la red.</w:t>
      </w:r>
      <w:r w:rsidR="004F52A4" w:rsidRPr="002B640D">
        <w:rPr>
          <w:lang w:val="es-MX"/>
        </w:rPr>
        <w:t xml:space="preserve"> </w:t>
      </w:r>
      <w:r w:rsidR="008237A6" w:rsidRPr="002B640D">
        <w:rPr>
          <w:lang w:val="es-MX"/>
        </w:rPr>
        <w:t>Entre l</w:t>
      </w:r>
      <w:r w:rsidRPr="002B640D">
        <w:rPr>
          <w:lang w:val="es-MX"/>
        </w:rPr>
        <w:t xml:space="preserve">os factores </w:t>
      </w:r>
      <w:r w:rsidRPr="002B640D">
        <w:t xml:space="preserve">principales que se consideran en el </w:t>
      </w:r>
      <w:r w:rsidR="009968DB" w:rsidRPr="002B640D">
        <w:t xml:space="preserve">Modelo de </w:t>
      </w:r>
      <w:r w:rsidR="009767E8" w:rsidRPr="002B640D">
        <w:t>Red de Acceso Fijo</w:t>
      </w:r>
      <w:r w:rsidR="009968DB" w:rsidRPr="002B640D">
        <w:t xml:space="preserve"> </w:t>
      </w:r>
      <w:r w:rsidRPr="002B640D">
        <w:t xml:space="preserve">para tal efecto </w:t>
      </w:r>
      <w:r w:rsidR="008237A6" w:rsidRPr="002B640D">
        <w:t xml:space="preserve">se encuentran </w:t>
      </w:r>
      <w:r w:rsidRPr="002B640D">
        <w:t xml:space="preserve">los datos geográficos y demográficos de las localidades y los parámetros de dimensionamiento de la red de acceso, junto con algunos supuestos técnicos acerca de la red. </w:t>
      </w:r>
    </w:p>
    <w:p w14:paraId="68D2A11B" w14:textId="77777777" w:rsidR="00DE0A93" w:rsidRPr="002B640D" w:rsidRDefault="00DE0A93" w:rsidP="002B640D">
      <w:pPr>
        <w:pStyle w:val="IFTnormal"/>
        <w:spacing w:before="240"/>
        <w:rPr>
          <w:lang w:val="es-MX"/>
        </w:rPr>
      </w:pPr>
      <w:r w:rsidRPr="002B640D">
        <w:rPr>
          <w:lang w:val="es-MX"/>
        </w:rPr>
        <w:t xml:space="preserve">En este sentido, usando la demanda, es posible estimar la cantidad de activos necesaria. El </w:t>
      </w:r>
      <w:r w:rsidR="009968DB" w:rsidRPr="002B640D">
        <w:rPr>
          <w:lang w:val="es-MX"/>
        </w:rPr>
        <w:t xml:space="preserve">Modelo de </w:t>
      </w:r>
      <w:r w:rsidR="009767E8" w:rsidRPr="002B640D">
        <w:rPr>
          <w:lang w:val="es-MX"/>
        </w:rPr>
        <w:t>Red de Acceso Fijo</w:t>
      </w:r>
      <w:r w:rsidR="009968DB" w:rsidRPr="002B640D">
        <w:rPr>
          <w:lang w:val="es-MX"/>
        </w:rPr>
        <w:t xml:space="preserve"> </w:t>
      </w:r>
      <w:r w:rsidRPr="002B640D">
        <w:rPr>
          <w:lang w:val="es-MX"/>
        </w:rPr>
        <w:t>dimensiona la red utilizando los siguientes elementos:</w:t>
      </w:r>
    </w:p>
    <w:tbl>
      <w:tblPr>
        <w:tblStyle w:val="Tablanormal1"/>
        <w:tblW w:w="8891" w:type="dxa"/>
        <w:tblLook w:val="0620" w:firstRow="1" w:lastRow="0" w:firstColumn="0" w:lastColumn="0" w:noHBand="1" w:noVBand="1"/>
        <w:tblCaption w:val="Tabla"/>
        <w:tblDescription w:val="Tabla 3: Dimensionamiento de los activos en el Modelo de Red de Acceso Fijo."/>
      </w:tblPr>
      <w:tblGrid>
        <w:gridCol w:w="4809"/>
        <w:gridCol w:w="4082"/>
      </w:tblGrid>
      <w:tr w:rsidR="00DE0A93" w:rsidRPr="002B640D" w14:paraId="7E567468" w14:textId="77777777" w:rsidTr="005D7F51">
        <w:trPr>
          <w:cnfStyle w:val="100000000000" w:firstRow="1" w:lastRow="0" w:firstColumn="0" w:lastColumn="0" w:oddVBand="0" w:evenVBand="0" w:oddHBand="0" w:evenHBand="0" w:firstRowFirstColumn="0" w:firstRowLastColumn="0" w:lastRowFirstColumn="0" w:lastRowLastColumn="0"/>
          <w:trHeight w:val="315"/>
          <w:tblHeader/>
        </w:trPr>
        <w:tc>
          <w:tcPr>
            <w:tcW w:w="4809" w:type="dxa"/>
            <w:shd w:val="clear" w:color="auto" w:fill="D9D9D9" w:themeFill="background1" w:themeFillShade="D9"/>
          </w:tcPr>
          <w:p w14:paraId="737B8423" w14:textId="77777777" w:rsidR="00DE0A93" w:rsidRPr="002B640D" w:rsidRDefault="00DE0A93" w:rsidP="002B640D">
            <w:pPr>
              <w:pStyle w:val="IFTnormal"/>
              <w:spacing w:after="0"/>
              <w:jc w:val="center"/>
              <w:rPr>
                <w:color w:val="auto"/>
                <w:lang w:val="es-MX"/>
              </w:rPr>
            </w:pPr>
            <w:r w:rsidRPr="002B640D">
              <w:rPr>
                <w:color w:val="auto"/>
                <w:lang w:val="es-MX"/>
              </w:rPr>
              <w:t>Factores</w:t>
            </w:r>
          </w:p>
        </w:tc>
        <w:tc>
          <w:tcPr>
            <w:tcW w:w="4082" w:type="dxa"/>
            <w:shd w:val="clear" w:color="auto" w:fill="D9D9D9" w:themeFill="background1" w:themeFillShade="D9"/>
          </w:tcPr>
          <w:p w14:paraId="6489322A" w14:textId="77777777" w:rsidR="00DE0A93" w:rsidRPr="002B640D" w:rsidRDefault="00DE0A93" w:rsidP="002B640D">
            <w:pPr>
              <w:pStyle w:val="IFTnormal"/>
              <w:spacing w:after="0"/>
              <w:jc w:val="center"/>
              <w:rPr>
                <w:color w:val="auto"/>
                <w:lang w:val="es-MX"/>
              </w:rPr>
            </w:pPr>
            <w:r w:rsidRPr="002B640D">
              <w:rPr>
                <w:color w:val="auto"/>
                <w:lang w:val="es-MX"/>
              </w:rPr>
              <w:t>Variable estimada</w:t>
            </w:r>
          </w:p>
        </w:tc>
      </w:tr>
      <w:tr w:rsidR="00DE0A93" w:rsidRPr="002B640D" w14:paraId="2845B28F" w14:textId="77777777" w:rsidTr="005D7F51">
        <w:trPr>
          <w:trHeight w:val="750"/>
        </w:trPr>
        <w:tc>
          <w:tcPr>
            <w:tcW w:w="4809" w:type="dxa"/>
          </w:tcPr>
          <w:p w14:paraId="459F1A0E" w14:textId="42926123" w:rsidR="00DE0A93" w:rsidRPr="002B640D" w:rsidRDefault="00DE0A93" w:rsidP="002B640D">
            <w:pPr>
              <w:pStyle w:val="Niv2Bullets"/>
              <w:spacing w:after="0"/>
              <w:rPr>
                <w:vanish/>
              </w:rPr>
            </w:pPr>
            <w:r w:rsidRPr="002B640D">
              <w:t>Bucles necesarios por cada servicio.</w:t>
            </w:r>
          </w:p>
          <w:p w14:paraId="03B75412" w14:textId="77777777" w:rsidR="00DE0A93" w:rsidRPr="002B640D" w:rsidRDefault="00DE0A93" w:rsidP="002B640D">
            <w:pPr>
              <w:pStyle w:val="Niv2Bullets"/>
              <w:spacing w:after="0"/>
            </w:pPr>
            <w:r w:rsidRPr="002B640D">
              <w:t>Bucles promedio por caja terminal/de distribución; demanda de un servicio.</w:t>
            </w:r>
          </w:p>
        </w:tc>
        <w:tc>
          <w:tcPr>
            <w:tcW w:w="4082" w:type="dxa"/>
          </w:tcPr>
          <w:p w14:paraId="2B20E6DF" w14:textId="77777777" w:rsidR="00DE0A93" w:rsidRPr="002B640D" w:rsidRDefault="00DE0A93" w:rsidP="002B640D">
            <w:pPr>
              <w:pStyle w:val="Niv2Bullets"/>
              <w:spacing w:after="0"/>
            </w:pPr>
            <w:r w:rsidRPr="002B640D">
              <w:t xml:space="preserve">Número de cajas terminales/de distribución necesarias para satisfacer la demanda. </w:t>
            </w:r>
          </w:p>
        </w:tc>
      </w:tr>
      <w:tr w:rsidR="00DE0A93" w:rsidRPr="002B640D" w14:paraId="28A090B7" w14:textId="77777777" w:rsidTr="005D7F51">
        <w:trPr>
          <w:trHeight w:val="723"/>
        </w:trPr>
        <w:tc>
          <w:tcPr>
            <w:tcW w:w="4809" w:type="dxa"/>
          </w:tcPr>
          <w:p w14:paraId="14DFDE9C" w14:textId="77777777" w:rsidR="00DE0A93" w:rsidRPr="002B640D" w:rsidRDefault="00DE0A93" w:rsidP="002B640D">
            <w:pPr>
              <w:pStyle w:val="Niv2Bullets"/>
              <w:spacing w:after="0"/>
            </w:pPr>
            <w:r w:rsidRPr="002B640D">
              <w:t>Número de cajas de distribución.</w:t>
            </w:r>
          </w:p>
          <w:p w14:paraId="6B6BC529" w14:textId="77777777" w:rsidR="00DE0A93" w:rsidRPr="002B640D" w:rsidRDefault="00DE0A93" w:rsidP="002B640D">
            <w:pPr>
              <w:pStyle w:val="Niv2Bullets"/>
              <w:spacing w:after="0"/>
            </w:pPr>
            <w:r w:rsidRPr="002B640D">
              <w:t>Número cajas promedio por pozo.</w:t>
            </w:r>
          </w:p>
        </w:tc>
        <w:tc>
          <w:tcPr>
            <w:tcW w:w="4082" w:type="dxa"/>
          </w:tcPr>
          <w:p w14:paraId="2077A278" w14:textId="77777777" w:rsidR="00DE0A93" w:rsidRPr="002B640D" w:rsidRDefault="00DE0A93" w:rsidP="002B640D">
            <w:pPr>
              <w:pStyle w:val="Niv2Bullets"/>
              <w:spacing w:after="0"/>
            </w:pPr>
            <w:r w:rsidRPr="002B640D">
              <w:t>Número de pozos.</w:t>
            </w:r>
          </w:p>
        </w:tc>
      </w:tr>
      <w:tr w:rsidR="00DE0A93" w:rsidRPr="002B640D" w14:paraId="2EA3EDA3" w14:textId="77777777" w:rsidTr="005D7F51">
        <w:trPr>
          <w:trHeight w:val="648"/>
        </w:trPr>
        <w:tc>
          <w:tcPr>
            <w:tcW w:w="4809" w:type="dxa"/>
          </w:tcPr>
          <w:p w14:paraId="32DC7C05" w14:textId="77777777" w:rsidR="00DE0A93" w:rsidRPr="002B640D" w:rsidRDefault="00DE0A93" w:rsidP="002B640D">
            <w:pPr>
              <w:pStyle w:val="Niv2Bullets"/>
              <w:spacing w:after="0"/>
            </w:pPr>
            <w:r w:rsidRPr="002B640D">
              <w:t xml:space="preserve">Distancia promedio entre cajas (terminal y de distribución), </w:t>
            </w:r>
            <w:r w:rsidRPr="002B640D">
              <w:lastRenderedPageBreak/>
              <w:t>número de cajas terminales/de distribución necesarias para satisfacer tal demanda.</w:t>
            </w:r>
          </w:p>
        </w:tc>
        <w:tc>
          <w:tcPr>
            <w:tcW w:w="4082" w:type="dxa"/>
          </w:tcPr>
          <w:p w14:paraId="4F8EA6DB" w14:textId="77777777" w:rsidR="00DE0A93" w:rsidRPr="002B640D" w:rsidRDefault="00DE0A93" w:rsidP="002B640D">
            <w:pPr>
              <w:pStyle w:val="Niv2Bullets"/>
              <w:spacing w:after="0"/>
            </w:pPr>
            <w:r w:rsidRPr="002B640D">
              <w:lastRenderedPageBreak/>
              <w:t>Longitud de ruta.</w:t>
            </w:r>
          </w:p>
        </w:tc>
      </w:tr>
      <w:tr w:rsidR="00DE0A93" w:rsidRPr="002B640D" w14:paraId="0CA6E01E" w14:textId="77777777" w:rsidTr="005D7F51">
        <w:trPr>
          <w:trHeight w:val="448"/>
        </w:trPr>
        <w:tc>
          <w:tcPr>
            <w:tcW w:w="4809" w:type="dxa"/>
          </w:tcPr>
          <w:p w14:paraId="61E04407" w14:textId="77777777" w:rsidR="00DE0A93" w:rsidRPr="002B640D" w:rsidRDefault="00DE0A93" w:rsidP="002B640D">
            <w:pPr>
              <w:pStyle w:val="Niv2Bullets"/>
              <w:spacing w:after="0"/>
            </w:pPr>
            <w:r w:rsidRPr="002B640D">
              <w:lastRenderedPageBreak/>
              <w:t>Longitud de ruta.</w:t>
            </w:r>
          </w:p>
          <w:p w14:paraId="739EBB1F" w14:textId="77777777" w:rsidR="00DE0A93" w:rsidRPr="002B640D" w:rsidRDefault="00DE0A93" w:rsidP="002B640D">
            <w:pPr>
              <w:pStyle w:val="Niv2Bullets"/>
              <w:spacing w:after="0"/>
            </w:pPr>
            <w:r w:rsidRPr="002B640D">
              <w:t>Tasas de desglose por tipo de ruta.</w:t>
            </w:r>
          </w:p>
        </w:tc>
        <w:tc>
          <w:tcPr>
            <w:tcW w:w="4082" w:type="dxa"/>
          </w:tcPr>
          <w:p w14:paraId="2B7D9AC2" w14:textId="77777777" w:rsidR="00DE0A93" w:rsidRPr="002B640D" w:rsidRDefault="00DE0A93" w:rsidP="002B640D">
            <w:pPr>
              <w:pStyle w:val="Niv2Bullets"/>
              <w:spacing w:after="0"/>
            </w:pPr>
            <w:r w:rsidRPr="002B640D">
              <w:t>Longitud de ruta excavada y de ruta aérea.</w:t>
            </w:r>
          </w:p>
        </w:tc>
      </w:tr>
      <w:tr w:rsidR="00DE0A93" w:rsidRPr="002B640D" w14:paraId="41B9768E" w14:textId="77777777" w:rsidTr="005D7F51">
        <w:trPr>
          <w:trHeight w:val="498"/>
        </w:trPr>
        <w:tc>
          <w:tcPr>
            <w:tcW w:w="4809" w:type="dxa"/>
          </w:tcPr>
          <w:p w14:paraId="78F097FE" w14:textId="77777777" w:rsidR="00DE0A93" w:rsidRPr="002B640D" w:rsidRDefault="00DE0A93" w:rsidP="002B640D">
            <w:pPr>
              <w:pStyle w:val="Niv2Bullets"/>
              <w:spacing w:after="0"/>
            </w:pPr>
            <w:r w:rsidRPr="002B640D">
              <w:t>Longitud de ruta excavada.</w:t>
            </w:r>
          </w:p>
          <w:p w14:paraId="4103D4D9" w14:textId="77777777" w:rsidR="00DE0A93" w:rsidRPr="002B640D" w:rsidRDefault="00DE0A93" w:rsidP="002B640D">
            <w:pPr>
              <w:pStyle w:val="Niv2Bullets"/>
              <w:spacing w:after="0"/>
            </w:pPr>
            <w:r w:rsidRPr="002B640D">
              <w:t>Tasas de desglose por tipo de ruta excavada.</w:t>
            </w:r>
          </w:p>
        </w:tc>
        <w:tc>
          <w:tcPr>
            <w:tcW w:w="4082" w:type="dxa"/>
          </w:tcPr>
          <w:p w14:paraId="4B096020" w14:textId="77777777" w:rsidR="00DE0A93" w:rsidRPr="002B640D" w:rsidRDefault="00DE0A93" w:rsidP="002B640D">
            <w:pPr>
              <w:pStyle w:val="Niv2Bullets"/>
              <w:spacing w:after="0"/>
            </w:pPr>
            <w:r w:rsidRPr="002B640D">
              <w:t>Longitud de ruta que es relativa a zanjas, canalizaciones o a rutas con ductos.</w:t>
            </w:r>
          </w:p>
        </w:tc>
      </w:tr>
      <w:tr w:rsidR="00DE0A93" w:rsidRPr="002B640D" w14:paraId="58D5D26C" w14:textId="77777777" w:rsidTr="005D7F51">
        <w:trPr>
          <w:trHeight w:val="596"/>
        </w:trPr>
        <w:tc>
          <w:tcPr>
            <w:tcW w:w="4809" w:type="dxa"/>
          </w:tcPr>
          <w:p w14:paraId="0305F1A4" w14:textId="77777777" w:rsidR="00DE0A93" w:rsidRPr="002B640D" w:rsidRDefault="00DE0A93" w:rsidP="002B640D">
            <w:pPr>
              <w:pStyle w:val="Niv2Bullets"/>
              <w:spacing w:after="0"/>
            </w:pPr>
            <w:r w:rsidRPr="002B640D">
              <w:t>La longitud de la ruta excavada con ductos.</w:t>
            </w:r>
          </w:p>
          <w:p w14:paraId="1613E211" w14:textId="77777777" w:rsidR="00DE0A93" w:rsidRPr="002B640D" w:rsidRDefault="00DE0A93" w:rsidP="002B640D">
            <w:pPr>
              <w:pStyle w:val="Niv2Bullets"/>
              <w:spacing w:after="0"/>
            </w:pPr>
            <w:r w:rsidRPr="002B640D">
              <w:t>Tasas de desglose de la ruta por tipo de ductos.</w:t>
            </w:r>
          </w:p>
        </w:tc>
        <w:tc>
          <w:tcPr>
            <w:tcW w:w="4082" w:type="dxa"/>
          </w:tcPr>
          <w:p w14:paraId="13D47694" w14:textId="77777777" w:rsidR="00DE0A93" w:rsidRPr="002B640D" w:rsidRDefault="00DE0A93" w:rsidP="002B640D">
            <w:pPr>
              <w:pStyle w:val="Niv2Bullets"/>
              <w:spacing w:after="0"/>
            </w:pPr>
            <w:r w:rsidRPr="002B640D">
              <w:t>División de la ruta de uno de los tipos de ductos considerados (de acuerdo a su grosor), incluyendo a los que están vacíos y los que se usan para mantenimiento.</w:t>
            </w:r>
          </w:p>
        </w:tc>
      </w:tr>
      <w:tr w:rsidR="00DE0A93" w:rsidRPr="002B640D" w14:paraId="1E5EC0C8" w14:textId="77777777" w:rsidTr="005D7F51">
        <w:trPr>
          <w:trHeight w:val="632"/>
        </w:trPr>
        <w:tc>
          <w:tcPr>
            <w:tcW w:w="4809" w:type="dxa"/>
          </w:tcPr>
          <w:p w14:paraId="1DF65E17" w14:textId="77777777" w:rsidR="00DE0A93" w:rsidRPr="002B640D" w:rsidRDefault="00DE0A93" w:rsidP="002B640D">
            <w:pPr>
              <w:pStyle w:val="Niv2Bullets"/>
              <w:spacing w:after="0"/>
            </w:pPr>
            <w:r w:rsidRPr="002B640D">
              <w:t xml:space="preserve">Viviendas habitadas en el área considerada. </w:t>
            </w:r>
          </w:p>
          <w:p w14:paraId="0F845E91" w14:textId="77777777" w:rsidR="00DE0A93" w:rsidRPr="002B640D" w:rsidRDefault="00DE0A93" w:rsidP="002B640D">
            <w:pPr>
              <w:pStyle w:val="Niv2Bullets"/>
              <w:spacing w:after="0"/>
            </w:pPr>
            <w:r w:rsidRPr="002B640D">
              <w:t>Proporción del número de postes promedio por hogar.</w:t>
            </w:r>
          </w:p>
        </w:tc>
        <w:tc>
          <w:tcPr>
            <w:tcW w:w="4082" w:type="dxa"/>
          </w:tcPr>
          <w:p w14:paraId="642C9BB8" w14:textId="77777777" w:rsidR="00DE0A93" w:rsidRPr="002B640D" w:rsidRDefault="00DE0A93" w:rsidP="002B640D">
            <w:pPr>
              <w:pStyle w:val="Niv2Bullets"/>
              <w:spacing w:after="0"/>
            </w:pPr>
            <w:r w:rsidRPr="002B640D">
              <w:t>Número de postes.</w:t>
            </w:r>
          </w:p>
        </w:tc>
      </w:tr>
      <w:tr w:rsidR="00DE0A93" w:rsidRPr="002B640D" w14:paraId="014826AA" w14:textId="77777777" w:rsidTr="005D7F51">
        <w:trPr>
          <w:trHeight w:val="403"/>
        </w:trPr>
        <w:tc>
          <w:tcPr>
            <w:tcW w:w="4809" w:type="dxa"/>
          </w:tcPr>
          <w:p w14:paraId="34167174" w14:textId="77777777" w:rsidR="00DE0A93" w:rsidRPr="002B640D" w:rsidRDefault="00DE0A93" w:rsidP="002B640D">
            <w:pPr>
              <w:pStyle w:val="Niv2Bullets"/>
              <w:spacing w:after="0"/>
            </w:pPr>
            <w:r w:rsidRPr="002B640D">
              <w:t>Número de postes.</w:t>
            </w:r>
          </w:p>
          <w:p w14:paraId="5C0B3CD7" w14:textId="77777777" w:rsidR="00DE0A93" w:rsidRPr="002B640D" w:rsidRDefault="00DE0A93" w:rsidP="002B640D">
            <w:pPr>
              <w:pStyle w:val="Niv2Bullets"/>
              <w:spacing w:after="0"/>
            </w:pPr>
            <w:r w:rsidRPr="002B640D">
              <w:t>Distancia promedio entre postes.</w:t>
            </w:r>
          </w:p>
        </w:tc>
        <w:tc>
          <w:tcPr>
            <w:tcW w:w="4082" w:type="dxa"/>
          </w:tcPr>
          <w:p w14:paraId="3629EBCF" w14:textId="77777777" w:rsidR="00DE0A93" w:rsidRPr="002B640D" w:rsidRDefault="00DE0A93" w:rsidP="002B640D">
            <w:pPr>
              <w:pStyle w:val="Niv2Bullets"/>
              <w:spacing w:after="0"/>
            </w:pPr>
            <w:r w:rsidRPr="002B640D">
              <w:t>Longitud de la ruta de postes.</w:t>
            </w:r>
          </w:p>
        </w:tc>
      </w:tr>
      <w:tr w:rsidR="00DE0A93" w:rsidRPr="002B640D" w14:paraId="61364BF2" w14:textId="77777777" w:rsidTr="005D7F51">
        <w:trPr>
          <w:trHeight w:val="197"/>
        </w:trPr>
        <w:tc>
          <w:tcPr>
            <w:tcW w:w="4809" w:type="dxa"/>
          </w:tcPr>
          <w:p w14:paraId="47FFFFA7" w14:textId="77777777" w:rsidR="00DE0A93" w:rsidRPr="002B640D" w:rsidRDefault="00DE0A93" w:rsidP="002B640D">
            <w:pPr>
              <w:pStyle w:val="Niv2Bullets"/>
              <w:spacing w:after="0"/>
            </w:pPr>
            <w:r w:rsidRPr="002B640D">
              <w:t>Estimaciones de la longitud de la ruta</w:t>
            </w:r>
          </w:p>
          <w:p w14:paraId="42FF96D7" w14:textId="77777777" w:rsidR="00DE0A93" w:rsidRPr="002B640D" w:rsidRDefault="00DE0A93" w:rsidP="002B640D">
            <w:pPr>
              <w:pStyle w:val="Niv2Bullets"/>
              <w:numPr>
                <w:ilvl w:val="0"/>
                <w:numId w:val="0"/>
              </w:numPr>
              <w:spacing w:after="0"/>
              <w:ind w:left="360"/>
            </w:pPr>
          </w:p>
        </w:tc>
        <w:tc>
          <w:tcPr>
            <w:tcW w:w="4082" w:type="dxa"/>
          </w:tcPr>
          <w:p w14:paraId="624A8DFF" w14:textId="77777777" w:rsidR="00DE0A93" w:rsidRPr="002B640D" w:rsidRDefault="00DE0A93" w:rsidP="002B640D">
            <w:pPr>
              <w:pStyle w:val="Niv2Bullets"/>
              <w:spacing w:after="0"/>
            </w:pPr>
            <w:r w:rsidRPr="002B640D">
              <w:t>Longitud del cableado.</w:t>
            </w:r>
          </w:p>
        </w:tc>
      </w:tr>
    </w:tbl>
    <w:p w14:paraId="7B0C7AB9" w14:textId="42937659" w:rsidR="00F94058" w:rsidRPr="002B640D" w:rsidRDefault="00F94058" w:rsidP="002B640D">
      <w:pPr>
        <w:pStyle w:val="IFTnormal"/>
        <w:spacing w:before="240"/>
        <w:jc w:val="center"/>
        <w:rPr>
          <w:sz w:val="18"/>
        </w:rPr>
      </w:pPr>
      <w:r w:rsidRPr="002B640D">
        <w:rPr>
          <w:b/>
          <w:sz w:val="18"/>
        </w:rPr>
        <w:t xml:space="preserve">Tabla </w:t>
      </w:r>
      <w:r w:rsidR="00AB5878" w:rsidRPr="002B640D">
        <w:rPr>
          <w:b/>
          <w:sz w:val="18"/>
        </w:rPr>
        <w:t>3:</w:t>
      </w:r>
      <w:r w:rsidRPr="002B640D">
        <w:rPr>
          <w:sz w:val="18"/>
        </w:rPr>
        <w:t xml:space="preserve"> Dimensionamiento de los activos en el </w:t>
      </w:r>
      <w:r w:rsidR="009968DB" w:rsidRPr="002B640D">
        <w:rPr>
          <w:sz w:val="18"/>
        </w:rPr>
        <w:t xml:space="preserve">Modelo de </w:t>
      </w:r>
      <w:r w:rsidR="009767E8" w:rsidRPr="002B640D">
        <w:rPr>
          <w:sz w:val="18"/>
        </w:rPr>
        <w:t>Red de Acceso Fijo</w:t>
      </w:r>
      <w:r w:rsidR="00AB5878" w:rsidRPr="002B640D">
        <w:rPr>
          <w:sz w:val="18"/>
        </w:rPr>
        <w:t>.</w:t>
      </w:r>
    </w:p>
    <w:p w14:paraId="6B755C5F" w14:textId="77777777" w:rsidR="002B640D" w:rsidRPr="002B640D" w:rsidRDefault="008237A6" w:rsidP="002B640D">
      <w:pPr>
        <w:pStyle w:val="IFTnormal"/>
        <w:spacing w:before="240"/>
        <w:rPr>
          <w:lang w:val="es-MX"/>
        </w:rPr>
      </w:pPr>
      <w:r w:rsidRPr="002B640D">
        <w:rPr>
          <w:lang w:val="es-MX"/>
        </w:rPr>
        <w:t>Cabe destaca</w:t>
      </w:r>
      <w:r w:rsidR="00612827" w:rsidRPr="002B640D">
        <w:rPr>
          <w:lang w:val="es-419"/>
        </w:rPr>
        <w:t>r</w:t>
      </w:r>
      <w:r w:rsidRPr="002B640D">
        <w:rPr>
          <w:lang w:val="es-MX"/>
        </w:rPr>
        <w:t xml:space="preserve"> que e</w:t>
      </w:r>
      <w:r w:rsidR="00DE0A93" w:rsidRPr="002B640D">
        <w:rPr>
          <w:lang w:val="es-MX"/>
        </w:rPr>
        <w:t xml:space="preserve">l </w:t>
      </w:r>
      <w:r w:rsidR="009968DB" w:rsidRPr="002B640D">
        <w:rPr>
          <w:lang w:val="es-MX"/>
        </w:rPr>
        <w:t xml:space="preserve">Modelo de </w:t>
      </w:r>
      <w:r w:rsidR="009767E8" w:rsidRPr="002B640D">
        <w:rPr>
          <w:lang w:val="es-MX"/>
        </w:rPr>
        <w:t>Red de Acceso Fijo</w:t>
      </w:r>
      <w:r w:rsidR="00DE0A93" w:rsidRPr="002B640D">
        <w:rPr>
          <w:lang w:val="es-MX"/>
        </w:rPr>
        <w:t xml:space="preserve"> dimensiona los activos de la red primaria y secundaria en función de su demanda.</w:t>
      </w:r>
    </w:p>
    <w:p w14:paraId="573B06A5" w14:textId="77777777" w:rsidR="00DE0A93" w:rsidRPr="002B640D" w:rsidRDefault="00DE0A93" w:rsidP="002B640D">
      <w:pPr>
        <w:pStyle w:val="Niv2Bullets"/>
        <w:numPr>
          <w:ilvl w:val="0"/>
          <w:numId w:val="0"/>
        </w:numPr>
        <w:spacing w:before="240"/>
        <w:ind w:left="720"/>
      </w:pPr>
      <w:bookmarkStart w:id="14" w:name="_Toc413419646"/>
      <w:bookmarkStart w:id="15" w:name="_Toc419902147"/>
      <w:bookmarkStart w:id="16" w:name="_Toc419902909"/>
      <w:bookmarkStart w:id="17" w:name="_Toc419903242"/>
      <w:bookmarkStart w:id="18" w:name="_Toc419904432"/>
      <w:bookmarkStart w:id="19" w:name="_Toc419911725"/>
      <w:bookmarkStart w:id="20" w:name="_Toc419966328"/>
      <w:bookmarkStart w:id="21" w:name="_Toc419978645"/>
      <w:bookmarkStart w:id="22" w:name="_Toc419987470"/>
      <w:bookmarkStart w:id="23" w:name="_Toc419987522"/>
      <w:bookmarkStart w:id="24" w:name="_Toc420063246"/>
      <w:bookmarkStart w:id="25" w:name="_Toc420063297"/>
      <w:bookmarkStart w:id="26" w:name="_Toc422388122"/>
      <w:bookmarkStart w:id="27" w:name="_Toc411502569"/>
      <w:bookmarkStart w:id="28" w:name="_Toc411510441"/>
      <w:bookmarkStart w:id="29" w:name="_Toc411510477"/>
      <w:bookmarkStart w:id="30" w:name="_Toc411510590"/>
      <w:bookmarkStart w:id="31" w:name="_Toc411599102"/>
      <w:bookmarkStart w:id="32" w:name="_Toc411759665"/>
      <w:bookmarkStart w:id="33" w:name="_Toc411780848"/>
      <w:bookmarkStart w:id="34" w:name="_Toc411841687"/>
      <w:bookmarkStart w:id="35" w:name="_Toc411841842"/>
      <w:bookmarkStart w:id="36" w:name="_Toc411841997"/>
      <w:bookmarkStart w:id="37" w:name="_Toc411926646"/>
      <w:bookmarkStart w:id="38" w:name="_Toc411926802"/>
      <w:bookmarkStart w:id="39" w:name="_Toc411926945"/>
      <w:bookmarkStart w:id="40" w:name="_Toc411927088"/>
      <w:bookmarkStart w:id="41" w:name="_Toc411936615"/>
      <w:bookmarkStart w:id="42" w:name="_Toc411937919"/>
      <w:bookmarkStart w:id="43" w:name="_Toc411937946"/>
      <w:bookmarkStart w:id="44" w:name="_Toc412022028"/>
      <w:bookmarkStart w:id="45" w:name="_Toc412022279"/>
      <w:bookmarkStart w:id="46" w:name="_Toc412022361"/>
      <w:bookmarkStart w:id="47" w:name="_Toc422388123"/>
      <w:bookmarkStart w:id="48" w:name="_Toc44510879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2B640D">
        <w:rPr>
          <w:noProof/>
          <w:lang w:val="es-MX" w:eastAsia="es-MX"/>
        </w:rPr>
        <w:lastRenderedPageBreak/>
        <w:drawing>
          <wp:inline distT="0" distB="0" distL="0" distR="0" wp14:anchorId="68E2B0DF" wp14:editId="7B253380">
            <wp:extent cx="4868961" cy="4848330"/>
            <wp:effectExtent l="0" t="0" r="8255" b="0"/>
            <wp:docPr id="127" name="Imagen 127" descr="Figura 3: Esquema del dimensionamiento de la red."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69377" cy="4848744"/>
                    </a:xfrm>
                    <a:prstGeom prst="rect">
                      <a:avLst/>
                    </a:prstGeom>
                    <a:noFill/>
                    <a:ln>
                      <a:noFill/>
                    </a:ln>
                  </pic:spPr>
                </pic:pic>
              </a:graphicData>
            </a:graphic>
          </wp:inline>
        </w:drawing>
      </w:r>
    </w:p>
    <w:p w14:paraId="24CD1FD6" w14:textId="77777777" w:rsidR="002B640D" w:rsidRPr="002B640D" w:rsidRDefault="00F94058" w:rsidP="002B640D">
      <w:pPr>
        <w:pStyle w:val="IFTnormal"/>
        <w:spacing w:before="240"/>
        <w:jc w:val="center"/>
        <w:rPr>
          <w:sz w:val="18"/>
        </w:rPr>
      </w:pPr>
      <w:r w:rsidRPr="002B640D">
        <w:rPr>
          <w:b/>
          <w:sz w:val="18"/>
        </w:rPr>
        <w:t>Figura 3</w:t>
      </w:r>
      <w:r w:rsidR="00AB5878" w:rsidRPr="002B640D">
        <w:rPr>
          <w:b/>
          <w:sz w:val="18"/>
        </w:rPr>
        <w:t>:</w:t>
      </w:r>
      <w:r w:rsidRPr="002B640D">
        <w:rPr>
          <w:sz w:val="18"/>
        </w:rPr>
        <w:t xml:space="preserve"> Esquema del dimensionamiento de la red</w:t>
      </w:r>
      <w:r w:rsidR="00AB5878" w:rsidRPr="002B640D">
        <w:rPr>
          <w:sz w:val="18"/>
        </w:rPr>
        <w:t>.</w:t>
      </w:r>
    </w:p>
    <w:p w14:paraId="1557D39E" w14:textId="106599E2" w:rsidR="00DE0A93" w:rsidRPr="002B640D" w:rsidRDefault="00DE0A93" w:rsidP="002B640D">
      <w:pPr>
        <w:pStyle w:val="IFTnormal"/>
        <w:spacing w:before="240"/>
        <w:rPr>
          <w:b/>
        </w:rPr>
      </w:pPr>
      <w:r w:rsidRPr="002B640D">
        <w:rPr>
          <w:b/>
        </w:rPr>
        <w:t>3.</w:t>
      </w:r>
      <w:r w:rsidR="00D60BFF" w:rsidRPr="002B640D">
        <w:rPr>
          <w:b/>
        </w:rPr>
        <w:t>1</w:t>
      </w:r>
      <w:r w:rsidRPr="002B640D">
        <w:rPr>
          <w:b/>
        </w:rPr>
        <w:t>.</w:t>
      </w:r>
      <w:r w:rsidR="00355374" w:rsidRPr="002B640D">
        <w:rPr>
          <w:b/>
        </w:rPr>
        <w:t>6</w:t>
      </w:r>
      <w:r w:rsidRPr="002B640D">
        <w:rPr>
          <w:b/>
        </w:rPr>
        <w:t xml:space="preserve"> Estructura de la herramienta (diagrama de flujo)</w:t>
      </w:r>
      <w:bookmarkEnd w:id="47"/>
      <w:bookmarkEnd w:id="48"/>
    </w:p>
    <w:p w14:paraId="655E0F4A" w14:textId="77777777" w:rsidR="00DE0A93" w:rsidRPr="002B640D" w:rsidRDefault="00DE0A93" w:rsidP="002B640D">
      <w:pPr>
        <w:pStyle w:val="IFTnormal"/>
        <w:spacing w:before="240"/>
      </w:pPr>
      <w:r w:rsidRPr="002B640D">
        <w:t xml:space="preserve">El </w:t>
      </w:r>
      <w:r w:rsidR="009968DB" w:rsidRPr="002B640D">
        <w:t xml:space="preserve">Modelo de </w:t>
      </w:r>
      <w:r w:rsidR="009767E8" w:rsidRPr="002B640D">
        <w:t>Red de Acceso Fijo</w:t>
      </w:r>
      <w:r w:rsidRPr="002B640D">
        <w:t xml:space="preserve"> consta de dos módulos claramente diferenciados: una parte online o activa y una parte offline que alimenta la parte online. La parte offline del </w:t>
      </w:r>
      <w:r w:rsidR="009968DB" w:rsidRPr="002B640D">
        <w:t xml:space="preserve">Modelo de </w:t>
      </w:r>
      <w:r w:rsidR="009767E8" w:rsidRPr="002B640D">
        <w:t>Red de Acceso Fijo</w:t>
      </w:r>
      <w:r w:rsidRPr="002B640D">
        <w:t xml:space="preserve"> se divide en dos partes principales – análisis geográfico y algoritmos de red – mientras que la parte online define las especificaciones de la red, calcula el costo de sus activos y fija el precio de los servicios mayoristas.</w:t>
      </w:r>
    </w:p>
    <w:p w14:paraId="647D813E" w14:textId="77777777" w:rsidR="00DE0A93" w:rsidRPr="002B640D" w:rsidRDefault="00DE0A93" w:rsidP="002B640D">
      <w:pPr>
        <w:pStyle w:val="Border"/>
        <w:pBdr>
          <w:bottom w:val="none" w:sz="0" w:space="0" w:color="auto"/>
        </w:pBdr>
        <w:spacing w:before="240"/>
      </w:pPr>
      <w:r w:rsidRPr="002B640D">
        <w:rPr>
          <w:rFonts w:ascii="ITC Avant Garde" w:hAnsi="ITC Avant Garde"/>
          <w:noProof/>
          <w:sz w:val="18"/>
          <w:szCs w:val="18"/>
          <w:lang w:val="es-MX" w:eastAsia="es-MX"/>
        </w:rPr>
        <w:lastRenderedPageBreak/>
        <w:drawing>
          <wp:inline distT="0" distB="0" distL="0" distR="0" wp14:anchorId="63924C3B" wp14:editId="49B6CB9A">
            <wp:extent cx="5950896" cy="3253693"/>
            <wp:effectExtent l="0" t="0" r="0" b="0"/>
            <wp:docPr id="45" name="Picture 3" descr="Figura 4: Diagrama de flujo del Modelo de Red de Acceso Fij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54869" cy="3255865"/>
                    </a:xfrm>
                    <a:prstGeom prst="rect">
                      <a:avLst/>
                    </a:prstGeom>
                    <a:noFill/>
                    <a:ln>
                      <a:noFill/>
                    </a:ln>
                  </pic:spPr>
                </pic:pic>
              </a:graphicData>
            </a:graphic>
          </wp:inline>
        </w:drawing>
      </w:r>
    </w:p>
    <w:p w14:paraId="4A0BC745" w14:textId="77777777" w:rsidR="002B640D" w:rsidRPr="002B640D" w:rsidRDefault="00CA2F78" w:rsidP="002B640D">
      <w:pPr>
        <w:pStyle w:val="IFTnormal"/>
        <w:spacing w:before="240"/>
        <w:jc w:val="center"/>
        <w:rPr>
          <w:sz w:val="18"/>
        </w:rPr>
      </w:pPr>
      <w:r w:rsidRPr="002B640D">
        <w:rPr>
          <w:b/>
          <w:sz w:val="18"/>
        </w:rPr>
        <w:t>Figura 4</w:t>
      </w:r>
      <w:r w:rsidR="00AB5878" w:rsidRPr="002B640D">
        <w:rPr>
          <w:b/>
          <w:sz w:val="18"/>
        </w:rPr>
        <w:t>:</w:t>
      </w:r>
      <w:r w:rsidRPr="002B640D">
        <w:rPr>
          <w:sz w:val="18"/>
        </w:rPr>
        <w:t xml:space="preserve"> Diagrama de flujo del Modelo de </w:t>
      </w:r>
      <w:r w:rsidR="009767E8" w:rsidRPr="002B640D">
        <w:rPr>
          <w:sz w:val="18"/>
        </w:rPr>
        <w:t>Red de Acceso Fijo</w:t>
      </w:r>
      <w:r w:rsidR="00AB5878" w:rsidRPr="002B640D">
        <w:rPr>
          <w:sz w:val="18"/>
        </w:rPr>
        <w:t>.</w:t>
      </w:r>
    </w:p>
    <w:p w14:paraId="317799F9" w14:textId="77777777" w:rsidR="002B640D" w:rsidRPr="002B640D" w:rsidRDefault="00355374" w:rsidP="002B640D">
      <w:pPr>
        <w:pStyle w:val="IFTTexto"/>
        <w:spacing w:before="240" w:after="0"/>
        <w:rPr>
          <w:b/>
          <w:color w:val="auto"/>
          <w:lang w:val="es-MX"/>
        </w:rPr>
      </w:pPr>
      <w:r w:rsidRPr="002B640D">
        <w:rPr>
          <w:b/>
          <w:color w:val="auto"/>
          <w:lang w:val="es-MX"/>
        </w:rPr>
        <w:t xml:space="preserve">3.1.7 Tarifas estimadas por el Modelo de </w:t>
      </w:r>
      <w:r w:rsidR="009767E8" w:rsidRPr="002B640D">
        <w:rPr>
          <w:b/>
          <w:color w:val="auto"/>
          <w:lang w:val="es-MX"/>
        </w:rPr>
        <w:t>Red de Acceso Fijo</w:t>
      </w:r>
      <w:r w:rsidRPr="002B640D">
        <w:rPr>
          <w:b/>
          <w:color w:val="auto"/>
          <w:lang w:val="es-MX"/>
        </w:rPr>
        <w:t>.</w:t>
      </w:r>
    </w:p>
    <w:p w14:paraId="33E60C45" w14:textId="77777777" w:rsidR="002B640D" w:rsidRPr="002B640D" w:rsidRDefault="00355374" w:rsidP="002B640D">
      <w:pPr>
        <w:pStyle w:val="IFTTexto"/>
        <w:spacing w:before="240" w:after="0"/>
        <w:rPr>
          <w:color w:val="auto"/>
          <w:lang w:val="es-MX"/>
        </w:rPr>
      </w:pPr>
      <w:r w:rsidRPr="002B640D">
        <w:rPr>
          <w:color w:val="auto"/>
          <w:lang w:val="es-MX"/>
        </w:rPr>
        <w:t xml:space="preserve">Como consecuencia de lo anterior, las tarifas resultantes del </w:t>
      </w:r>
      <w:r w:rsidR="00E3773A" w:rsidRPr="002B640D">
        <w:rPr>
          <w:color w:val="auto"/>
          <w:lang w:val="es-MX"/>
        </w:rPr>
        <w:t>Modelo</w:t>
      </w:r>
      <w:r w:rsidRPr="002B640D">
        <w:rPr>
          <w:color w:val="auto"/>
          <w:lang w:val="es-MX"/>
        </w:rPr>
        <w:t xml:space="preserve"> de </w:t>
      </w:r>
      <w:r w:rsidR="009767E8" w:rsidRPr="002B640D">
        <w:rPr>
          <w:color w:val="auto"/>
          <w:lang w:val="es-MX"/>
        </w:rPr>
        <w:t>Red de Acceso Fijo</w:t>
      </w:r>
      <w:r w:rsidRPr="002B640D">
        <w:rPr>
          <w:color w:val="auto"/>
          <w:lang w:val="es-MX"/>
        </w:rPr>
        <w:t xml:space="preserve"> </w:t>
      </w:r>
      <w:r w:rsidR="00307ECB" w:rsidRPr="002B640D">
        <w:rPr>
          <w:color w:val="auto"/>
          <w:lang w:val="es-MX"/>
        </w:rPr>
        <w:t xml:space="preserve">aplicables </w:t>
      </w:r>
      <w:r w:rsidR="0077499D" w:rsidRPr="002B640D">
        <w:rPr>
          <w:color w:val="auto"/>
          <w:lang w:val="es-MX"/>
        </w:rPr>
        <w:t xml:space="preserve">tanto </w:t>
      </w:r>
      <w:r w:rsidR="00307ECB" w:rsidRPr="002B640D">
        <w:rPr>
          <w:color w:val="auto"/>
          <w:lang w:val="es-MX"/>
        </w:rPr>
        <w:t>a</w:t>
      </w:r>
      <w:r w:rsidRPr="002B640D">
        <w:rPr>
          <w:color w:val="auto"/>
          <w:lang w:val="es-MX"/>
        </w:rPr>
        <w:t xml:space="preserve"> la Oferta de Referencia </w:t>
      </w:r>
      <w:r w:rsidR="00307ECB" w:rsidRPr="002B640D">
        <w:rPr>
          <w:color w:val="auto"/>
          <w:lang w:val="es-MX"/>
        </w:rPr>
        <w:t>de</w:t>
      </w:r>
      <w:bookmarkStart w:id="49" w:name="_GoBack"/>
      <w:bookmarkEnd w:id="49"/>
      <w:r w:rsidR="00307ECB" w:rsidRPr="002B640D">
        <w:rPr>
          <w:color w:val="auto"/>
          <w:lang w:val="es-MX"/>
        </w:rPr>
        <w:t xml:space="preserve"> </w:t>
      </w:r>
      <w:r w:rsidR="00701F9E" w:rsidRPr="002B640D">
        <w:rPr>
          <w:color w:val="auto"/>
          <w:lang w:val="es-MX"/>
        </w:rPr>
        <w:t xml:space="preserve">Telmex </w:t>
      </w:r>
      <w:r w:rsidR="0077499D" w:rsidRPr="002B640D">
        <w:rPr>
          <w:color w:val="auto"/>
          <w:lang w:val="es-MX"/>
        </w:rPr>
        <w:t>como</w:t>
      </w:r>
      <w:r w:rsidR="00701F9E" w:rsidRPr="002B640D">
        <w:rPr>
          <w:color w:val="auto"/>
          <w:lang w:val="es-MX"/>
        </w:rPr>
        <w:t xml:space="preserve"> </w:t>
      </w:r>
      <w:r w:rsidR="0077499D" w:rsidRPr="002B640D">
        <w:rPr>
          <w:color w:val="auto"/>
          <w:lang w:val="es-MX"/>
        </w:rPr>
        <w:t xml:space="preserve">a la </w:t>
      </w:r>
      <w:r w:rsidR="00AD2DD1" w:rsidRPr="002B640D">
        <w:rPr>
          <w:color w:val="auto"/>
          <w:lang w:val="es-MX"/>
        </w:rPr>
        <w:t xml:space="preserve">Oferta de Referencia de </w:t>
      </w:r>
      <w:proofErr w:type="spellStart"/>
      <w:r w:rsidR="00701F9E" w:rsidRPr="002B640D">
        <w:rPr>
          <w:color w:val="auto"/>
          <w:lang w:val="es-MX"/>
        </w:rPr>
        <w:t>Telnor</w:t>
      </w:r>
      <w:proofErr w:type="spellEnd"/>
      <w:r w:rsidRPr="002B640D">
        <w:rPr>
          <w:color w:val="auto"/>
          <w:lang w:val="es-MX"/>
        </w:rPr>
        <w:t xml:space="preserve"> son l</w:t>
      </w:r>
      <w:r w:rsidR="00FD2090" w:rsidRPr="002B640D">
        <w:rPr>
          <w:color w:val="auto"/>
          <w:lang w:val="es-MX"/>
        </w:rPr>
        <w:t>a</w:t>
      </w:r>
      <w:r w:rsidRPr="002B640D">
        <w:rPr>
          <w:color w:val="auto"/>
          <w:lang w:val="es-MX"/>
        </w:rPr>
        <w:t>s siguientes:</w:t>
      </w:r>
    </w:p>
    <w:p w14:paraId="6F346692" w14:textId="77777777" w:rsidR="002B640D" w:rsidRPr="002B640D" w:rsidRDefault="00355374" w:rsidP="002B640D">
      <w:pPr>
        <w:pStyle w:val="Texto"/>
        <w:spacing w:before="240" w:after="0" w:line="276" w:lineRule="auto"/>
        <w:ind w:firstLine="0"/>
        <w:rPr>
          <w:rFonts w:ascii="ITC Avant Garde" w:hAnsi="ITC Avant Garde"/>
          <w:b/>
          <w:sz w:val="22"/>
          <w:szCs w:val="22"/>
        </w:rPr>
      </w:pPr>
      <w:r w:rsidRPr="002B640D">
        <w:rPr>
          <w:rFonts w:ascii="ITC Avant Garde" w:hAnsi="ITC Avant Garde"/>
          <w:b/>
          <w:sz w:val="22"/>
          <w:szCs w:val="22"/>
        </w:rPr>
        <w:t>Servicio de acceso y uso compartido de obra civil</w:t>
      </w:r>
      <w:r w:rsidR="00E3773A" w:rsidRPr="002B640D">
        <w:rPr>
          <w:rFonts w:ascii="ITC Avant Garde" w:hAnsi="ITC Avant Garde"/>
          <w:b/>
          <w:sz w:val="22"/>
          <w:szCs w:val="22"/>
        </w:rPr>
        <w:t>:</w:t>
      </w:r>
    </w:p>
    <w:p w14:paraId="27899152" w14:textId="1B719380" w:rsidR="00355374" w:rsidRPr="002B640D" w:rsidRDefault="00355374" w:rsidP="002B640D">
      <w:pPr>
        <w:pStyle w:val="Texto"/>
        <w:spacing w:before="240" w:after="0" w:line="276" w:lineRule="auto"/>
        <w:rPr>
          <w:rFonts w:ascii="ITC Avant Garde" w:hAnsi="ITC Avant Garde"/>
          <w:sz w:val="22"/>
          <w:szCs w:val="22"/>
        </w:rPr>
      </w:pPr>
      <w:r w:rsidRPr="002B640D">
        <w:rPr>
          <w:rFonts w:ascii="ITC Avant Garde" w:hAnsi="ITC Avant Garde"/>
          <w:sz w:val="22"/>
          <w:szCs w:val="22"/>
        </w:rPr>
        <w:t>Ductos:</w:t>
      </w:r>
    </w:p>
    <w:p w14:paraId="6398C922" w14:textId="1AF5802B" w:rsidR="00355374" w:rsidRPr="002B640D" w:rsidRDefault="00BE3709" w:rsidP="002B640D">
      <w:pPr>
        <w:pStyle w:val="Texto"/>
        <w:spacing w:before="240" w:after="0" w:line="276" w:lineRule="auto"/>
        <w:jc w:val="center"/>
        <w:rPr>
          <w:rFonts w:ascii="ITC Avant Garde" w:hAnsi="ITC Avant Garde"/>
          <w:sz w:val="22"/>
          <w:szCs w:val="22"/>
        </w:rPr>
      </w:pPr>
      <w:r w:rsidRPr="002B640D">
        <w:rPr>
          <w:rFonts w:ascii="ITC Avant Garde" w:hAnsi="ITC Avant Garde"/>
          <w:b/>
          <w:sz w:val="22"/>
          <w:szCs w:val="22"/>
        </w:rPr>
        <w:t>Contraprestación anual por metro lineal</w:t>
      </w:r>
    </w:p>
    <w:tbl>
      <w:tblPr>
        <w:tblStyle w:val="Tablaconcuadrcula"/>
        <w:tblW w:w="6837" w:type="dxa"/>
        <w:jc w:val="center"/>
        <w:tblLook w:val="04A0" w:firstRow="1" w:lastRow="0" w:firstColumn="1" w:lastColumn="0" w:noHBand="0" w:noVBand="1"/>
        <w:tblCaption w:val="Tabla"/>
        <w:tblDescription w:val="Tabla 4: Ductos: contraprestación anual por metro lineal."/>
      </w:tblPr>
      <w:tblGrid>
        <w:gridCol w:w="1809"/>
        <w:gridCol w:w="2656"/>
        <w:gridCol w:w="2372"/>
      </w:tblGrid>
      <w:tr w:rsidR="00355374" w:rsidRPr="002B640D" w14:paraId="7BDC44AB" w14:textId="77777777" w:rsidTr="00BE3709">
        <w:trPr>
          <w:trHeight w:val="227"/>
          <w:tblHeader/>
          <w:jc w:val="center"/>
        </w:trPr>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6281C" w14:textId="77777777" w:rsidR="00355374" w:rsidRPr="002B640D" w:rsidRDefault="00355374" w:rsidP="002B640D">
            <w:pPr>
              <w:pStyle w:val="TxtListado"/>
              <w:spacing w:after="0"/>
              <w:jc w:val="center"/>
              <w:rPr>
                <w:b/>
              </w:rPr>
            </w:pPr>
            <w:r w:rsidRPr="002B640D">
              <w:rPr>
                <w:b/>
                <w:szCs w:val="22"/>
              </w:rPr>
              <w:t>Diámetro por ducto</w:t>
            </w:r>
          </w:p>
        </w:tc>
        <w:tc>
          <w:tcPr>
            <w:tcW w:w="2656" w:type="dxa"/>
            <w:tcBorders>
              <w:left w:val="single" w:sz="4" w:space="0" w:color="auto"/>
            </w:tcBorders>
            <w:shd w:val="clear" w:color="auto" w:fill="D9D9D9" w:themeFill="background1" w:themeFillShade="D9"/>
            <w:vAlign w:val="center"/>
          </w:tcPr>
          <w:p w14:paraId="1FCD9D4E" w14:textId="77777777" w:rsidR="00355374" w:rsidRPr="002B640D" w:rsidRDefault="00355374" w:rsidP="002B640D">
            <w:pPr>
              <w:pStyle w:val="TxtListado"/>
              <w:spacing w:after="0"/>
              <w:jc w:val="center"/>
            </w:pPr>
            <w:r w:rsidRPr="002B640D">
              <w:rPr>
                <w:b/>
              </w:rPr>
              <w:t>Canalización en Banqueta</w:t>
            </w:r>
          </w:p>
        </w:tc>
        <w:tc>
          <w:tcPr>
            <w:tcW w:w="2372" w:type="dxa"/>
            <w:shd w:val="clear" w:color="auto" w:fill="D9D9D9" w:themeFill="background1" w:themeFillShade="D9"/>
            <w:vAlign w:val="center"/>
          </w:tcPr>
          <w:p w14:paraId="2E1878BA" w14:textId="77777777" w:rsidR="00355374" w:rsidRPr="002B640D" w:rsidRDefault="00355374" w:rsidP="002B640D">
            <w:pPr>
              <w:pStyle w:val="TxtListado"/>
              <w:spacing w:after="0"/>
              <w:jc w:val="center"/>
            </w:pPr>
            <w:r w:rsidRPr="002B640D">
              <w:rPr>
                <w:b/>
              </w:rPr>
              <w:t>Canalización en Arroyo</w:t>
            </w:r>
          </w:p>
        </w:tc>
      </w:tr>
      <w:tr w:rsidR="00355374" w:rsidRPr="002B640D" w14:paraId="36C4FFB1" w14:textId="77777777" w:rsidTr="00BE3709">
        <w:trPr>
          <w:trHeight w:val="350"/>
          <w:tblHeader/>
          <w:jc w:val="center"/>
        </w:trPr>
        <w:tc>
          <w:tcPr>
            <w:tcW w:w="1809" w:type="dxa"/>
            <w:tcBorders>
              <w:top w:val="single" w:sz="4" w:space="0" w:color="auto"/>
            </w:tcBorders>
            <w:shd w:val="clear" w:color="auto" w:fill="auto"/>
            <w:vAlign w:val="center"/>
          </w:tcPr>
          <w:p w14:paraId="4C4350CD" w14:textId="77777777" w:rsidR="00355374" w:rsidRPr="002B640D" w:rsidRDefault="00355374" w:rsidP="002B640D">
            <w:pPr>
              <w:pStyle w:val="TxtListado"/>
              <w:tabs>
                <w:tab w:val="center" w:pos="1878"/>
              </w:tabs>
              <w:spacing w:after="0"/>
              <w:jc w:val="center"/>
            </w:pPr>
            <w:r w:rsidRPr="002B640D">
              <w:t>35.5 mm</w:t>
            </w:r>
          </w:p>
        </w:tc>
        <w:tc>
          <w:tcPr>
            <w:tcW w:w="2656" w:type="dxa"/>
            <w:shd w:val="clear" w:color="auto" w:fill="auto"/>
            <w:vAlign w:val="center"/>
          </w:tcPr>
          <w:p w14:paraId="4D7FABE7" w14:textId="77777777" w:rsidR="00355374" w:rsidRPr="002B640D" w:rsidRDefault="00355374" w:rsidP="002B640D">
            <w:pPr>
              <w:pStyle w:val="TxtListado"/>
              <w:spacing w:after="0"/>
              <w:jc w:val="center"/>
            </w:pPr>
            <w:r w:rsidRPr="002B640D">
              <w:t>$</w:t>
            </w:r>
            <w:r w:rsidR="00355696" w:rsidRPr="002B640D">
              <w:t xml:space="preserve">8.70 </w:t>
            </w:r>
            <w:r w:rsidRPr="002B640D">
              <w:t>M.N.</w:t>
            </w:r>
          </w:p>
        </w:tc>
        <w:tc>
          <w:tcPr>
            <w:tcW w:w="2372" w:type="dxa"/>
            <w:vAlign w:val="center"/>
          </w:tcPr>
          <w:p w14:paraId="35F2982E" w14:textId="77777777" w:rsidR="00355374" w:rsidRPr="002B640D" w:rsidRDefault="00355374" w:rsidP="002B640D">
            <w:pPr>
              <w:pStyle w:val="TxtListado"/>
              <w:spacing w:after="0"/>
              <w:jc w:val="center"/>
            </w:pPr>
            <w:r w:rsidRPr="002B640D">
              <w:t>$</w:t>
            </w:r>
            <w:r w:rsidR="00355696" w:rsidRPr="002B640D">
              <w:t xml:space="preserve">16.52 </w:t>
            </w:r>
            <w:r w:rsidRPr="002B640D">
              <w:t>M.N.</w:t>
            </w:r>
          </w:p>
        </w:tc>
      </w:tr>
      <w:tr w:rsidR="00355374" w:rsidRPr="002B640D" w14:paraId="0F1AF5D6" w14:textId="77777777" w:rsidTr="00BE3709">
        <w:trPr>
          <w:trHeight w:val="350"/>
          <w:tblHeader/>
          <w:jc w:val="center"/>
        </w:trPr>
        <w:tc>
          <w:tcPr>
            <w:tcW w:w="1809" w:type="dxa"/>
            <w:shd w:val="clear" w:color="auto" w:fill="auto"/>
            <w:vAlign w:val="center"/>
          </w:tcPr>
          <w:p w14:paraId="3E92011E" w14:textId="77777777" w:rsidR="00355374" w:rsidRPr="002B640D" w:rsidRDefault="00355374" w:rsidP="002B640D">
            <w:pPr>
              <w:pStyle w:val="TxtListado"/>
              <w:spacing w:after="0"/>
              <w:jc w:val="center"/>
            </w:pPr>
            <w:r w:rsidRPr="002B640D">
              <w:t>45 mm</w:t>
            </w:r>
          </w:p>
        </w:tc>
        <w:tc>
          <w:tcPr>
            <w:tcW w:w="2656" w:type="dxa"/>
            <w:shd w:val="clear" w:color="auto" w:fill="auto"/>
            <w:vAlign w:val="center"/>
          </w:tcPr>
          <w:p w14:paraId="0241B13F" w14:textId="77777777" w:rsidR="00355374" w:rsidRPr="002B640D" w:rsidRDefault="00355374" w:rsidP="002B640D">
            <w:pPr>
              <w:pStyle w:val="TxtListado"/>
              <w:spacing w:after="0"/>
              <w:jc w:val="center"/>
            </w:pPr>
            <w:r w:rsidRPr="002B640D">
              <w:t>$</w:t>
            </w:r>
            <w:r w:rsidR="00355696" w:rsidRPr="002B640D">
              <w:t xml:space="preserve">11.05 </w:t>
            </w:r>
            <w:r w:rsidRPr="002B640D">
              <w:t>M.N.</w:t>
            </w:r>
          </w:p>
        </w:tc>
        <w:tc>
          <w:tcPr>
            <w:tcW w:w="2372" w:type="dxa"/>
            <w:vAlign w:val="center"/>
          </w:tcPr>
          <w:p w14:paraId="2D396D18" w14:textId="77777777" w:rsidR="00355374" w:rsidRPr="002B640D" w:rsidRDefault="00355374" w:rsidP="002B640D">
            <w:pPr>
              <w:pStyle w:val="TxtListado"/>
              <w:spacing w:after="0"/>
              <w:jc w:val="center"/>
            </w:pPr>
            <w:r w:rsidRPr="002B640D">
              <w:t>$</w:t>
            </w:r>
            <w:r w:rsidR="00355696" w:rsidRPr="002B640D">
              <w:t xml:space="preserve">25.19 </w:t>
            </w:r>
            <w:r w:rsidRPr="002B640D">
              <w:t>M.N.</w:t>
            </w:r>
          </w:p>
        </w:tc>
      </w:tr>
      <w:tr w:rsidR="00355374" w:rsidRPr="002B640D" w14:paraId="6ABF7CAF" w14:textId="77777777" w:rsidTr="00BE3709">
        <w:trPr>
          <w:trHeight w:val="350"/>
          <w:tblHeader/>
          <w:jc w:val="center"/>
        </w:trPr>
        <w:tc>
          <w:tcPr>
            <w:tcW w:w="1809" w:type="dxa"/>
            <w:shd w:val="clear" w:color="auto" w:fill="auto"/>
            <w:vAlign w:val="center"/>
          </w:tcPr>
          <w:p w14:paraId="1855BB22" w14:textId="77777777" w:rsidR="00355374" w:rsidRPr="002B640D" w:rsidRDefault="00355374" w:rsidP="002B640D">
            <w:pPr>
              <w:pStyle w:val="TxtListado"/>
              <w:spacing w:after="0"/>
              <w:jc w:val="center"/>
            </w:pPr>
            <w:r w:rsidRPr="002B640D">
              <w:t>60 mm</w:t>
            </w:r>
          </w:p>
        </w:tc>
        <w:tc>
          <w:tcPr>
            <w:tcW w:w="2656" w:type="dxa"/>
            <w:shd w:val="clear" w:color="auto" w:fill="auto"/>
            <w:vAlign w:val="center"/>
          </w:tcPr>
          <w:p w14:paraId="2BF8B728" w14:textId="77777777" w:rsidR="00355374" w:rsidRPr="002B640D" w:rsidRDefault="00355374" w:rsidP="002B640D">
            <w:pPr>
              <w:pStyle w:val="TxtListado"/>
              <w:spacing w:after="0"/>
              <w:jc w:val="center"/>
            </w:pPr>
            <w:r w:rsidRPr="002B640D">
              <w:t>$</w:t>
            </w:r>
            <w:r w:rsidR="00355696" w:rsidRPr="002B640D">
              <w:t>22.21</w:t>
            </w:r>
            <w:r w:rsidRPr="002B640D">
              <w:t xml:space="preserve"> M.N.</w:t>
            </w:r>
          </w:p>
        </w:tc>
        <w:tc>
          <w:tcPr>
            <w:tcW w:w="2372" w:type="dxa"/>
            <w:vAlign w:val="center"/>
          </w:tcPr>
          <w:p w14:paraId="7F974F05" w14:textId="77777777" w:rsidR="00355374" w:rsidRPr="002B640D" w:rsidRDefault="00355374" w:rsidP="002B640D">
            <w:pPr>
              <w:pStyle w:val="TxtListado"/>
              <w:spacing w:after="0"/>
              <w:jc w:val="center"/>
            </w:pPr>
            <w:r w:rsidRPr="002B640D">
              <w:t>$</w:t>
            </w:r>
            <w:r w:rsidR="00355696" w:rsidRPr="002B640D">
              <w:t>49.72</w:t>
            </w:r>
            <w:r w:rsidRPr="002B640D">
              <w:t xml:space="preserve"> M.N.</w:t>
            </w:r>
          </w:p>
        </w:tc>
      </w:tr>
      <w:tr w:rsidR="00355374" w:rsidRPr="002B640D" w14:paraId="0014BF76" w14:textId="77777777" w:rsidTr="00BE3709">
        <w:trPr>
          <w:trHeight w:val="350"/>
          <w:tblHeader/>
          <w:jc w:val="center"/>
        </w:trPr>
        <w:tc>
          <w:tcPr>
            <w:tcW w:w="1809" w:type="dxa"/>
            <w:shd w:val="clear" w:color="auto" w:fill="auto"/>
            <w:vAlign w:val="center"/>
          </w:tcPr>
          <w:p w14:paraId="4F1F27CE" w14:textId="77777777" w:rsidR="00355374" w:rsidRPr="002B640D" w:rsidRDefault="00355374" w:rsidP="002B640D">
            <w:pPr>
              <w:pStyle w:val="TxtListado"/>
              <w:spacing w:after="0"/>
              <w:jc w:val="center"/>
            </w:pPr>
            <w:r w:rsidRPr="002B640D">
              <w:t>80 mm</w:t>
            </w:r>
          </w:p>
        </w:tc>
        <w:tc>
          <w:tcPr>
            <w:tcW w:w="2656" w:type="dxa"/>
            <w:shd w:val="clear" w:color="auto" w:fill="auto"/>
            <w:vAlign w:val="center"/>
          </w:tcPr>
          <w:p w14:paraId="7946E8B1" w14:textId="77777777" w:rsidR="00355374" w:rsidRPr="002B640D" w:rsidRDefault="00355374" w:rsidP="002B640D">
            <w:pPr>
              <w:pStyle w:val="TxtListado"/>
              <w:tabs>
                <w:tab w:val="center" w:pos="1241"/>
              </w:tabs>
              <w:spacing w:after="0"/>
              <w:jc w:val="center"/>
            </w:pPr>
            <w:r w:rsidRPr="002B640D">
              <w:t>$</w:t>
            </w:r>
            <w:r w:rsidR="00355696" w:rsidRPr="002B640D">
              <w:t>33.98</w:t>
            </w:r>
            <w:r w:rsidRPr="002B640D">
              <w:t xml:space="preserve"> M.N</w:t>
            </w:r>
          </w:p>
        </w:tc>
        <w:tc>
          <w:tcPr>
            <w:tcW w:w="2372" w:type="dxa"/>
            <w:vAlign w:val="center"/>
          </w:tcPr>
          <w:p w14:paraId="3059CCDB" w14:textId="77777777" w:rsidR="00355374" w:rsidRPr="002B640D" w:rsidRDefault="00355374" w:rsidP="002B640D">
            <w:pPr>
              <w:pStyle w:val="TxtListado"/>
              <w:spacing w:after="0"/>
              <w:jc w:val="center"/>
            </w:pPr>
            <w:r w:rsidRPr="002B640D">
              <w:t>$</w:t>
            </w:r>
            <w:r w:rsidR="00355696" w:rsidRPr="002B640D">
              <w:t>70.71</w:t>
            </w:r>
            <w:r w:rsidRPr="002B640D">
              <w:t xml:space="preserve"> M.N.</w:t>
            </w:r>
          </w:p>
        </w:tc>
      </w:tr>
      <w:tr w:rsidR="00355374" w:rsidRPr="002B640D" w14:paraId="00B71E53" w14:textId="77777777" w:rsidTr="00BE3709">
        <w:trPr>
          <w:trHeight w:val="350"/>
          <w:tblHeader/>
          <w:jc w:val="center"/>
        </w:trPr>
        <w:tc>
          <w:tcPr>
            <w:tcW w:w="1809" w:type="dxa"/>
            <w:shd w:val="clear" w:color="auto" w:fill="auto"/>
            <w:vAlign w:val="center"/>
          </w:tcPr>
          <w:p w14:paraId="3701B370" w14:textId="77777777" w:rsidR="00355374" w:rsidRPr="002B640D" w:rsidRDefault="00355374" w:rsidP="002B640D">
            <w:pPr>
              <w:pStyle w:val="TxtListado"/>
              <w:spacing w:after="0"/>
              <w:jc w:val="center"/>
            </w:pPr>
            <w:r w:rsidRPr="002B640D">
              <w:t>100 mm</w:t>
            </w:r>
          </w:p>
        </w:tc>
        <w:tc>
          <w:tcPr>
            <w:tcW w:w="2656" w:type="dxa"/>
            <w:shd w:val="clear" w:color="auto" w:fill="auto"/>
            <w:vAlign w:val="center"/>
          </w:tcPr>
          <w:p w14:paraId="574D918D" w14:textId="77777777" w:rsidR="00355374" w:rsidRPr="002B640D" w:rsidRDefault="00355374" w:rsidP="002B640D">
            <w:pPr>
              <w:pStyle w:val="TxtListado"/>
              <w:spacing w:after="0"/>
              <w:jc w:val="center"/>
            </w:pPr>
            <w:r w:rsidRPr="002B640D">
              <w:t>$</w:t>
            </w:r>
            <w:r w:rsidR="00355696" w:rsidRPr="002B640D">
              <w:t>78.75</w:t>
            </w:r>
            <w:r w:rsidRPr="002B640D">
              <w:t xml:space="preserve"> M.N.</w:t>
            </w:r>
          </w:p>
        </w:tc>
        <w:tc>
          <w:tcPr>
            <w:tcW w:w="2372" w:type="dxa"/>
            <w:vAlign w:val="center"/>
          </w:tcPr>
          <w:p w14:paraId="55D5A8BC" w14:textId="77777777" w:rsidR="00355374" w:rsidRPr="002B640D" w:rsidRDefault="00355374" w:rsidP="002B640D">
            <w:pPr>
              <w:pStyle w:val="TxtListado"/>
              <w:spacing w:after="0"/>
              <w:jc w:val="center"/>
            </w:pPr>
            <w:r w:rsidRPr="002B640D">
              <w:t>$</w:t>
            </w:r>
            <w:r w:rsidR="00355696" w:rsidRPr="002B640D">
              <w:t>78.75</w:t>
            </w:r>
            <w:r w:rsidRPr="002B640D">
              <w:t xml:space="preserve"> M.N.</w:t>
            </w:r>
          </w:p>
        </w:tc>
      </w:tr>
    </w:tbl>
    <w:p w14:paraId="6C046386" w14:textId="0B78CD6C" w:rsidR="00AB5878" w:rsidRPr="002B640D" w:rsidRDefault="00AB5878" w:rsidP="002B640D">
      <w:pPr>
        <w:pStyle w:val="IFTnormal"/>
        <w:spacing w:before="240"/>
        <w:jc w:val="center"/>
        <w:rPr>
          <w:sz w:val="18"/>
        </w:rPr>
      </w:pPr>
      <w:r w:rsidRPr="002B640D">
        <w:rPr>
          <w:b/>
          <w:sz w:val="18"/>
        </w:rPr>
        <w:lastRenderedPageBreak/>
        <w:t>Tabla 4:</w:t>
      </w:r>
      <w:r w:rsidRPr="002B640D">
        <w:rPr>
          <w:sz w:val="18"/>
        </w:rPr>
        <w:t xml:space="preserve"> Ductos: contraprestación anual por metro lineal.</w:t>
      </w:r>
    </w:p>
    <w:p w14:paraId="13C5E217" w14:textId="50BF5AAB" w:rsidR="00355374" w:rsidRPr="002B640D" w:rsidRDefault="00355374" w:rsidP="002B640D">
      <w:pPr>
        <w:pStyle w:val="Texto"/>
        <w:spacing w:before="240" w:after="0" w:line="276" w:lineRule="auto"/>
        <w:rPr>
          <w:rFonts w:ascii="ITC Avant Garde" w:hAnsi="ITC Avant Garde"/>
          <w:sz w:val="22"/>
          <w:szCs w:val="22"/>
        </w:rPr>
      </w:pPr>
      <w:r w:rsidRPr="002B640D">
        <w:rPr>
          <w:rFonts w:ascii="ITC Avant Garde" w:hAnsi="ITC Avant Garde"/>
          <w:sz w:val="22"/>
          <w:szCs w:val="22"/>
        </w:rPr>
        <w:t>Pozos:</w:t>
      </w:r>
    </w:p>
    <w:tbl>
      <w:tblPr>
        <w:tblStyle w:val="Tablaconcuadrcula"/>
        <w:tblW w:w="5839" w:type="dxa"/>
        <w:jc w:val="center"/>
        <w:tblLook w:val="04A0" w:firstRow="1" w:lastRow="0" w:firstColumn="1" w:lastColumn="0" w:noHBand="0" w:noVBand="1"/>
        <w:tblCaption w:val="Tabla"/>
        <w:tblDescription w:val="Tabla 5: Pozos: contraprestación anual por entrada y/o salida de pozo."/>
      </w:tblPr>
      <w:tblGrid>
        <w:gridCol w:w="2573"/>
        <w:gridCol w:w="3266"/>
      </w:tblGrid>
      <w:tr w:rsidR="00355374" w:rsidRPr="002B640D" w14:paraId="7C62D97C" w14:textId="77777777" w:rsidTr="00BB40D2">
        <w:trPr>
          <w:trHeight w:val="58"/>
          <w:tblHeader/>
          <w:jc w:val="center"/>
        </w:trPr>
        <w:tc>
          <w:tcPr>
            <w:tcW w:w="2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F41A2" w14:textId="77777777" w:rsidR="00355374" w:rsidRPr="002B640D" w:rsidRDefault="00355374" w:rsidP="002B640D">
            <w:pPr>
              <w:pStyle w:val="TxtListado"/>
              <w:spacing w:after="0"/>
              <w:jc w:val="center"/>
              <w:rPr>
                <w:b/>
              </w:rPr>
            </w:pPr>
            <w:r w:rsidRPr="002B640D">
              <w:rPr>
                <w:b/>
              </w:rPr>
              <w:t>Uso de vía de acuerdo a tipo de pozo</w:t>
            </w:r>
          </w:p>
        </w:tc>
        <w:tc>
          <w:tcPr>
            <w:tcW w:w="3266" w:type="dxa"/>
            <w:tcBorders>
              <w:left w:val="single" w:sz="4" w:space="0" w:color="auto"/>
            </w:tcBorders>
            <w:shd w:val="clear" w:color="auto" w:fill="D9D9D9" w:themeFill="background1" w:themeFillShade="D9"/>
            <w:vAlign w:val="center"/>
          </w:tcPr>
          <w:p w14:paraId="12059CF3" w14:textId="77777777" w:rsidR="00355374" w:rsidRPr="002B640D" w:rsidRDefault="00355374" w:rsidP="002B640D">
            <w:pPr>
              <w:pStyle w:val="TxtListado"/>
              <w:spacing w:after="0"/>
              <w:jc w:val="center"/>
              <w:rPr>
                <w:b/>
              </w:rPr>
            </w:pPr>
            <w:r w:rsidRPr="002B640D">
              <w:rPr>
                <w:b/>
              </w:rPr>
              <w:t>Contraprestación anual por entrada y/o salida de pozo</w:t>
            </w:r>
          </w:p>
        </w:tc>
      </w:tr>
      <w:tr w:rsidR="00355374" w:rsidRPr="002B640D" w14:paraId="7C66BF06" w14:textId="77777777" w:rsidTr="00BB40D2">
        <w:trPr>
          <w:trHeight w:val="89"/>
          <w:tblHeader/>
          <w:jc w:val="center"/>
        </w:trPr>
        <w:tc>
          <w:tcPr>
            <w:tcW w:w="2573" w:type="dxa"/>
            <w:tcBorders>
              <w:top w:val="single" w:sz="4" w:space="0" w:color="auto"/>
            </w:tcBorders>
            <w:shd w:val="clear" w:color="auto" w:fill="auto"/>
            <w:vAlign w:val="center"/>
          </w:tcPr>
          <w:p w14:paraId="773E67A0" w14:textId="77777777" w:rsidR="00355374" w:rsidRPr="002B640D" w:rsidRDefault="00355374" w:rsidP="002B640D">
            <w:pPr>
              <w:pStyle w:val="TxtListado"/>
              <w:tabs>
                <w:tab w:val="center" w:pos="1878"/>
              </w:tabs>
              <w:spacing w:after="0"/>
              <w:jc w:val="center"/>
            </w:pPr>
            <w:r w:rsidRPr="002B640D">
              <w:t>L1T</w:t>
            </w:r>
          </w:p>
        </w:tc>
        <w:tc>
          <w:tcPr>
            <w:tcW w:w="3266" w:type="dxa"/>
            <w:shd w:val="clear" w:color="auto" w:fill="auto"/>
            <w:vAlign w:val="center"/>
          </w:tcPr>
          <w:p w14:paraId="301A4F73" w14:textId="77777777" w:rsidR="00355374" w:rsidRPr="002B640D" w:rsidRDefault="00355374" w:rsidP="002B640D">
            <w:pPr>
              <w:pStyle w:val="TxtListado"/>
              <w:spacing w:after="0"/>
              <w:jc w:val="center"/>
            </w:pPr>
            <w:r w:rsidRPr="002B640D">
              <w:t>$</w:t>
            </w:r>
            <w:r w:rsidR="008A5A75" w:rsidRPr="002B640D">
              <w:t>115.77</w:t>
            </w:r>
            <w:r w:rsidRPr="002B640D">
              <w:t xml:space="preserve"> M.N.</w:t>
            </w:r>
          </w:p>
        </w:tc>
      </w:tr>
      <w:tr w:rsidR="00355374" w:rsidRPr="002B640D" w14:paraId="2D023C7A" w14:textId="77777777" w:rsidTr="00BB40D2">
        <w:trPr>
          <w:trHeight w:val="89"/>
          <w:tblHeader/>
          <w:jc w:val="center"/>
        </w:trPr>
        <w:tc>
          <w:tcPr>
            <w:tcW w:w="2573" w:type="dxa"/>
            <w:shd w:val="clear" w:color="auto" w:fill="auto"/>
            <w:vAlign w:val="center"/>
          </w:tcPr>
          <w:p w14:paraId="0CBB37A1" w14:textId="77777777" w:rsidR="00355374" w:rsidRPr="002B640D" w:rsidRDefault="00355374" w:rsidP="002B640D">
            <w:pPr>
              <w:pStyle w:val="TxtListado"/>
              <w:spacing w:after="0"/>
              <w:jc w:val="center"/>
            </w:pPr>
            <w:r w:rsidRPr="002B640D">
              <w:t>L2T</w:t>
            </w:r>
          </w:p>
        </w:tc>
        <w:tc>
          <w:tcPr>
            <w:tcW w:w="3266" w:type="dxa"/>
            <w:shd w:val="clear" w:color="auto" w:fill="auto"/>
            <w:vAlign w:val="center"/>
          </w:tcPr>
          <w:p w14:paraId="0551C514" w14:textId="77777777" w:rsidR="00355374" w:rsidRPr="002B640D" w:rsidRDefault="00355374" w:rsidP="002B640D">
            <w:pPr>
              <w:pStyle w:val="TxtListado"/>
              <w:spacing w:after="0"/>
              <w:jc w:val="center"/>
            </w:pPr>
            <w:r w:rsidRPr="002B640D">
              <w:t>$</w:t>
            </w:r>
            <w:r w:rsidR="008A5A75" w:rsidRPr="002B640D">
              <w:t>167.32</w:t>
            </w:r>
            <w:r w:rsidRPr="002B640D">
              <w:t xml:space="preserve"> M.N.</w:t>
            </w:r>
          </w:p>
        </w:tc>
      </w:tr>
      <w:tr w:rsidR="00355374" w:rsidRPr="002B640D" w14:paraId="79D49AA4" w14:textId="77777777" w:rsidTr="00BB40D2">
        <w:trPr>
          <w:trHeight w:val="89"/>
          <w:tblHeader/>
          <w:jc w:val="center"/>
        </w:trPr>
        <w:tc>
          <w:tcPr>
            <w:tcW w:w="2573" w:type="dxa"/>
            <w:shd w:val="clear" w:color="auto" w:fill="auto"/>
            <w:vAlign w:val="center"/>
          </w:tcPr>
          <w:p w14:paraId="49D6CE3D" w14:textId="77777777" w:rsidR="00355374" w:rsidRPr="002B640D" w:rsidRDefault="00355374" w:rsidP="002B640D">
            <w:pPr>
              <w:pStyle w:val="TxtListado"/>
              <w:spacing w:after="0"/>
              <w:jc w:val="center"/>
            </w:pPr>
            <w:r w:rsidRPr="002B640D">
              <w:t>L3T</w:t>
            </w:r>
          </w:p>
        </w:tc>
        <w:tc>
          <w:tcPr>
            <w:tcW w:w="3266" w:type="dxa"/>
            <w:shd w:val="clear" w:color="auto" w:fill="auto"/>
            <w:vAlign w:val="center"/>
          </w:tcPr>
          <w:p w14:paraId="50B2E3A9" w14:textId="77777777" w:rsidR="00355374" w:rsidRPr="002B640D" w:rsidRDefault="00355374" w:rsidP="002B640D">
            <w:pPr>
              <w:pStyle w:val="TxtListado"/>
              <w:spacing w:after="0"/>
              <w:jc w:val="center"/>
            </w:pPr>
            <w:r w:rsidRPr="002B640D">
              <w:t>$</w:t>
            </w:r>
            <w:r w:rsidR="008A5A75" w:rsidRPr="002B640D">
              <w:t>113.68</w:t>
            </w:r>
            <w:r w:rsidRPr="002B640D">
              <w:t xml:space="preserve"> M.N.</w:t>
            </w:r>
          </w:p>
        </w:tc>
      </w:tr>
      <w:tr w:rsidR="00355374" w:rsidRPr="002B640D" w14:paraId="5EF4F6A2" w14:textId="77777777" w:rsidTr="00BB40D2">
        <w:trPr>
          <w:trHeight w:val="89"/>
          <w:tblHeader/>
          <w:jc w:val="center"/>
        </w:trPr>
        <w:tc>
          <w:tcPr>
            <w:tcW w:w="2573" w:type="dxa"/>
            <w:shd w:val="clear" w:color="auto" w:fill="auto"/>
            <w:vAlign w:val="center"/>
          </w:tcPr>
          <w:p w14:paraId="6C3D7405" w14:textId="77777777" w:rsidR="00355374" w:rsidRPr="002B640D" w:rsidRDefault="00355374" w:rsidP="002B640D">
            <w:pPr>
              <w:pStyle w:val="TxtListado"/>
              <w:spacing w:after="0"/>
              <w:jc w:val="center"/>
            </w:pPr>
            <w:r w:rsidRPr="002B640D">
              <w:t>L4T</w:t>
            </w:r>
          </w:p>
        </w:tc>
        <w:tc>
          <w:tcPr>
            <w:tcW w:w="3266" w:type="dxa"/>
            <w:shd w:val="clear" w:color="auto" w:fill="auto"/>
            <w:vAlign w:val="center"/>
          </w:tcPr>
          <w:p w14:paraId="0C98DA22" w14:textId="77777777" w:rsidR="00355374" w:rsidRPr="002B640D" w:rsidRDefault="00355374" w:rsidP="002B640D">
            <w:pPr>
              <w:pStyle w:val="TxtListado"/>
              <w:tabs>
                <w:tab w:val="center" w:pos="1241"/>
              </w:tabs>
              <w:spacing w:after="0"/>
              <w:jc w:val="center"/>
            </w:pPr>
            <w:r w:rsidRPr="002B640D">
              <w:t>$</w:t>
            </w:r>
            <w:r w:rsidR="008A5A75" w:rsidRPr="002B640D">
              <w:t>126.01</w:t>
            </w:r>
            <w:r w:rsidRPr="002B640D">
              <w:t xml:space="preserve"> M.N.</w:t>
            </w:r>
          </w:p>
        </w:tc>
      </w:tr>
      <w:tr w:rsidR="00355374" w:rsidRPr="002B640D" w14:paraId="0061BD5B" w14:textId="77777777" w:rsidTr="00BB40D2">
        <w:trPr>
          <w:trHeight w:val="89"/>
          <w:tblHeader/>
          <w:jc w:val="center"/>
        </w:trPr>
        <w:tc>
          <w:tcPr>
            <w:tcW w:w="2573" w:type="dxa"/>
            <w:shd w:val="clear" w:color="auto" w:fill="auto"/>
            <w:vAlign w:val="center"/>
          </w:tcPr>
          <w:p w14:paraId="76A68C1A" w14:textId="77777777" w:rsidR="00355374" w:rsidRPr="002B640D" w:rsidRDefault="00355374" w:rsidP="002B640D">
            <w:pPr>
              <w:pStyle w:val="TxtListado"/>
              <w:spacing w:after="0"/>
              <w:jc w:val="center"/>
            </w:pPr>
            <w:r w:rsidRPr="002B640D">
              <w:t>L5T</w:t>
            </w:r>
          </w:p>
        </w:tc>
        <w:tc>
          <w:tcPr>
            <w:tcW w:w="3266" w:type="dxa"/>
            <w:shd w:val="clear" w:color="auto" w:fill="auto"/>
            <w:vAlign w:val="center"/>
          </w:tcPr>
          <w:p w14:paraId="6E59A6D2" w14:textId="77777777" w:rsidR="00355374" w:rsidRPr="002B640D" w:rsidRDefault="00355374" w:rsidP="002B640D">
            <w:pPr>
              <w:pStyle w:val="TxtListado"/>
              <w:spacing w:after="0"/>
              <w:jc w:val="center"/>
            </w:pPr>
            <w:r w:rsidRPr="002B640D">
              <w:t>$</w:t>
            </w:r>
            <w:r w:rsidR="008A5A75" w:rsidRPr="002B640D">
              <w:t>146.39</w:t>
            </w:r>
            <w:r w:rsidRPr="002B640D">
              <w:t xml:space="preserve"> M.N.</w:t>
            </w:r>
          </w:p>
        </w:tc>
      </w:tr>
      <w:tr w:rsidR="00355374" w:rsidRPr="002B640D" w14:paraId="18EACB9A" w14:textId="77777777" w:rsidTr="00BB40D2">
        <w:trPr>
          <w:trHeight w:val="89"/>
          <w:tblHeader/>
          <w:jc w:val="center"/>
        </w:trPr>
        <w:tc>
          <w:tcPr>
            <w:tcW w:w="2573" w:type="dxa"/>
            <w:shd w:val="clear" w:color="auto" w:fill="auto"/>
            <w:vAlign w:val="center"/>
          </w:tcPr>
          <w:p w14:paraId="40A9F14C" w14:textId="77777777" w:rsidR="00355374" w:rsidRPr="002B640D" w:rsidRDefault="00355374" w:rsidP="002B640D">
            <w:pPr>
              <w:pStyle w:val="TxtListado"/>
              <w:spacing w:after="0"/>
              <w:jc w:val="center"/>
            </w:pPr>
            <w:r w:rsidRPr="002B640D">
              <w:t>L6T</w:t>
            </w:r>
          </w:p>
        </w:tc>
        <w:tc>
          <w:tcPr>
            <w:tcW w:w="3266" w:type="dxa"/>
            <w:shd w:val="clear" w:color="auto" w:fill="auto"/>
            <w:vAlign w:val="center"/>
          </w:tcPr>
          <w:p w14:paraId="529AD504" w14:textId="77777777" w:rsidR="00355374" w:rsidRPr="002B640D" w:rsidRDefault="00355374" w:rsidP="002B640D">
            <w:pPr>
              <w:pStyle w:val="TxtListado"/>
              <w:spacing w:after="0"/>
              <w:jc w:val="center"/>
            </w:pPr>
            <w:r w:rsidRPr="002B640D">
              <w:t>$</w:t>
            </w:r>
            <w:r w:rsidR="008A5A75" w:rsidRPr="002B640D">
              <w:t>280.56</w:t>
            </w:r>
            <w:r w:rsidRPr="002B640D">
              <w:t xml:space="preserve"> M.N.</w:t>
            </w:r>
          </w:p>
        </w:tc>
      </w:tr>
      <w:tr w:rsidR="00355374" w:rsidRPr="002B640D" w14:paraId="47DAA18C" w14:textId="77777777" w:rsidTr="00BB40D2">
        <w:trPr>
          <w:trHeight w:val="89"/>
          <w:tblHeader/>
          <w:jc w:val="center"/>
        </w:trPr>
        <w:tc>
          <w:tcPr>
            <w:tcW w:w="2573" w:type="dxa"/>
            <w:shd w:val="clear" w:color="auto" w:fill="auto"/>
            <w:vAlign w:val="center"/>
          </w:tcPr>
          <w:p w14:paraId="0291A1EC" w14:textId="77777777" w:rsidR="00355374" w:rsidRPr="002B640D" w:rsidRDefault="00355374" w:rsidP="002B640D">
            <w:pPr>
              <w:pStyle w:val="TxtListado"/>
              <w:spacing w:after="0"/>
              <w:jc w:val="center"/>
            </w:pPr>
            <w:r w:rsidRPr="002B640D">
              <w:t>K2C</w:t>
            </w:r>
          </w:p>
        </w:tc>
        <w:tc>
          <w:tcPr>
            <w:tcW w:w="3266" w:type="dxa"/>
            <w:shd w:val="clear" w:color="auto" w:fill="auto"/>
            <w:vAlign w:val="center"/>
          </w:tcPr>
          <w:p w14:paraId="27FD9F72" w14:textId="77777777" w:rsidR="00355374" w:rsidRPr="002B640D" w:rsidRDefault="00355374" w:rsidP="002B640D">
            <w:pPr>
              <w:pStyle w:val="TxtListado"/>
              <w:spacing w:after="0"/>
              <w:jc w:val="center"/>
            </w:pPr>
            <w:r w:rsidRPr="002B640D">
              <w:t>$</w:t>
            </w:r>
            <w:r w:rsidR="008A5A75" w:rsidRPr="002B640D">
              <w:t>346.54</w:t>
            </w:r>
            <w:r w:rsidRPr="002B640D">
              <w:t xml:space="preserve"> M.N.</w:t>
            </w:r>
          </w:p>
        </w:tc>
      </w:tr>
      <w:tr w:rsidR="00355374" w:rsidRPr="002B640D" w14:paraId="6F3F9E15" w14:textId="77777777" w:rsidTr="00BB40D2">
        <w:trPr>
          <w:trHeight w:val="89"/>
          <w:tblHeader/>
          <w:jc w:val="center"/>
        </w:trPr>
        <w:tc>
          <w:tcPr>
            <w:tcW w:w="2573" w:type="dxa"/>
            <w:shd w:val="clear" w:color="auto" w:fill="auto"/>
            <w:vAlign w:val="center"/>
          </w:tcPr>
          <w:p w14:paraId="29744D21" w14:textId="77777777" w:rsidR="00355374" w:rsidRPr="002B640D" w:rsidRDefault="00355374" w:rsidP="002B640D">
            <w:pPr>
              <w:pStyle w:val="TxtListado"/>
              <w:spacing w:after="0"/>
              <w:jc w:val="center"/>
            </w:pPr>
            <w:r w:rsidRPr="002B640D">
              <w:t>K3C</w:t>
            </w:r>
          </w:p>
        </w:tc>
        <w:tc>
          <w:tcPr>
            <w:tcW w:w="3266" w:type="dxa"/>
            <w:shd w:val="clear" w:color="auto" w:fill="auto"/>
            <w:vAlign w:val="center"/>
          </w:tcPr>
          <w:p w14:paraId="6DBFB996" w14:textId="77777777" w:rsidR="00355374" w:rsidRPr="002B640D" w:rsidRDefault="00355374" w:rsidP="002B640D">
            <w:pPr>
              <w:pStyle w:val="TxtListado"/>
              <w:spacing w:after="0"/>
              <w:jc w:val="center"/>
            </w:pPr>
            <w:r w:rsidRPr="002B640D">
              <w:t>$</w:t>
            </w:r>
            <w:r w:rsidR="008A5A75" w:rsidRPr="002B640D">
              <w:t>348.38</w:t>
            </w:r>
            <w:r w:rsidRPr="002B640D">
              <w:t xml:space="preserve"> M.N.</w:t>
            </w:r>
          </w:p>
        </w:tc>
      </w:tr>
      <w:tr w:rsidR="00355374" w:rsidRPr="002B640D" w14:paraId="6459FA5F" w14:textId="77777777" w:rsidTr="00BB40D2">
        <w:trPr>
          <w:trHeight w:val="89"/>
          <w:tblHeader/>
          <w:jc w:val="center"/>
        </w:trPr>
        <w:tc>
          <w:tcPr>
            <w:tcW w:w="2573" w:type="dxa"/>
            <w:shd w:val="clear" w:color="auto" w:fill="auto"/>
            <w:vAlign w:val="center"/>
          </w:tcPr>
          <w:p w14:paraId="76A08FB9" w14:textId="77777777" w:rsidR="00355374" w:rsidRPr="002B640D" w:rsidRDefault="00355374" w:rsidP="002B640D">
            <w:pPr>
              <w:pStyle w:val="TxtListado"/>
              <w:spacing w:after="0"/>
              <w:jc w:val="center"/>
            </w:pPr>
            <w:r w:rsidRPr="002B640D">
              <w:t>M2T</w:t>
            </w:r>
          </w:p>
        </w:tc>
        <w:tc>
          <w:tcPr>
            <w:tcW w:w="3266" w:type="dxa"/>
            <w:shd w:val="clear" w:color="auto" w:fill="auto"/>
            <w:vAlign w:val="center"/>
          </w:tcPr>
          <w:p w14:paraId="08B6B568" w14:textId="77777777" w:rsidR="00355374" w:rsidRPr="002B640D" w:rsidRDefault="00355374" w:rsidP="002B640D">
            <w:pPr>
              <w:pStyle w:val="TxtListado"/>
              <w:spacing w:after="0"/>
              <w:jc w:val="center"/>
            </w:pPr>
            <w:r w:rsidRPr="002B640D">
              <w:t>$</w:t>
            </w:r>
            <w:r w:rsidR="008A5A75" w:rsidRPr="002B640D">
              <w:t>349.60</w:t>
            </w:r>
            <w:r w:rsidRPr="002B640D">
              <w:t xml:space="preserve"> M.N.</w:t>
            </w:r>
          </w:p>
        </w:tc>
      </w:tr>
      <w:tr w:rsidR="00355374" w:rsidRPr="002B640D" w14:paraId="752693FA" w14:textId="77777777" w:rsidTr="00BB40D2">
        <w:trPr>
          <w:trHeight w:val="89"/>
          <w:tblHeader/>
          <w:jc w:val="center"/>
        </w:trPr>
        <w:tc>
          <w:tcPr>
            <w:tcW w:w="2573" w:type="dxa"/>
            <w:shd w:val="clear" w:color="auto" w:fill="auto"/>
            <w:vAlign w:val="center"/>
          </w:tcPr>
          <w:p w14:paraId="6AE6F310" w14:textId="77777777" w:rsidR="00355374" w:rsidRPr="002B640D" w:rsidRDefault="00355374" w:rsidP="002B640D">
            <w:pPr>
              <w:pStyle w:val="TxtListado"/>
              <w:spacing w:after="0"/>
              <w:jc w:val="center"/>
            </w:pPr>
            <w:r w:rsidRPr="002B640D">
              <w:t>M1C</w:t>
            </w:r>
          </w:p>
        </w:tc>
        <w:tc>
          <w:tcPr>
            <w:tcW w:w="3266" w:type="dxa"/>
            <w:shd w:val="clear" w:color="auto" w:fill="auto"/>
            <w:vAlign w:val="center"/>
          </w:tcPr>
          <w:p w14:paraId="3907A3E0" w14:textId="77777777" w:rsidR="00355374" w:rsidRPr="002B640D" w:rsidRDefault="00355374" w:rsidP="002B640D">
            <w:pPr>
              <w:pStyle w:val="TxtListado"/>
              <w:spacing w:after="0"/>
              <w:jc w:val="center"/>
            </w:pPr>
            <w:r w:rsidRPr="002B640D">
              <w:t>$</w:t>
            </w:r>
            <w:r w:rsidR="008A5A75" w:rsidRPr="002B640D">
              <w:t>331.56</w:t>
            </w:r>
            <w:r w:rsidRPr="002B640D">
              <w:t xml:space="preserve"> M.N.</w:t>
            </w:r>
          </w:p>
        </w:tc>
      </w:tr>
      <w:tr w:rsidR="00355374" w:rsidRPr="002B640D" w14:paraId="235AD827" w14:textId="77777777" w:rsidTr="00BB40D2">
        <w:trPr>
          <w:trHeight w:val="89"/>
          <w:tblHeader/>
          <w:jc w:val="center"/>
        </w:trPr>
        <w:tc>
          <w:tcPr>
            <w:tcW w:w="2573" w:type="dxa"/>
            <w:shd w:val="clear" w:color="auto" w:fill="auto"/>
            <w:vAlign w:val="center"/>
          </w:tcPr>
          <w:p w14:paraId="6407C239" w14:textId="77777777" w:rsidR="00355374" w:rsidRPr="002B640D" w:rsidRDefault="00355374" w:rsidP="002B640D">
            <w:pPr>
              <w:pStyle w:val="TxtListado"/>
              <w:spacing w:after="0"/>
              <w:jc w:val="center"/>
            </w:pPr>
            <w:r w:rsidRPr="002B640D">
              <w:t>M3C</w:t>
            </w:r>
          </w:p>
        </w:tc>
        <w:tc>
          <w:tcPr>
            <w:tcW w:w="3266" w:type="dxa"/>
            <w:shd w:val="clear" w:color="auto" w:fill="auto"/>
            <w:vAlign w:val="center"/>
          </w:tcPr>
          <w:p w14:paraId="18B2EDD6" w14:textId="77777777" w:rsidR="00355374" w:rsidRPr="002B640D" w:rsidRDefault="00355374" w:rsidP="002B640D">
            <w:pPr>
              <w:pStyle w:val="TxtListado"/>
              <w:spacing w:after="0"/>
              <w:jc w:val="center"/>
            </w:pPr>
            <w:r w:rsidRPr="002B640D">
              <w:t>$</w:t>
            </w:r>
            <w:r w:rsidR="008A5A75" w:rsidRPr="002B640D">
              <w:t>414.25</w:t>
            </w:r>
            <w:r w:rsidRPr="002B640D">
              <w:t xml:space="preserve"> M.N.</w:t>
            </w:r>
          </w:p>
        </w:tc>
      </w:tr>
      <w:tr w:rsidR="00355374" w:rsidRPr="002B640D" w14:paraId="4191F245" w14:textId="77777777" w:rsidTr="00BB40D2">
        <w:trPr>
          <w:trHeight w:val="89"/>
          <w:tblHeader/>
          <w:jc w:val="center"/>
        </w:trPr>
        <w:tc>
          <w:tcPr>
            <w:tcW w:w="2573" w:type="dxa"/>
            <w:shd w:val="clear" w:color="auto" w:fill="auto"/>
            <w:vAlign w:val="center"/>
          </w:tcPr>
          <w:p w14:paraId="6F23067D" w14:textId="77777777" w:rsidR="00355374" w:rsidRPr="002B640D" w:rsidRDefault="00355374" w:rsidP="002B640D">
            <w:pPr>
              <w:pStyle w:val="TxtListado"/>
              <w:spacing w:after="0"/>
              <w:jc w:val="center"/>
            </w:pPr>
            <w:r w:rsidRPr="002B640D">
              <w:t>P2T</w:t>
            </w:r>
          </w:p>
        </w:tc>
        <w:tc>
          <w:tcPr>
            <w:tcW w:w="3266" w:type="dxa"/>
            <w:shd w:val="clear" w:color="auto" w:fill="auto"/>
            <w:vAlign w:val="center"/>
          </w:tcPr>
          <w:p w14:paraId="2DBCDDB3" w14:textId="77777777" w:rsidR="00355374" w:rsidRPr="002B640D" w:rsidRDefault="00355374" w:rsidP="002B640D">
            <w:pPr>
              <w:pStyle w:val="TxtListado"/>
              <w:spacing w:after="0"/>
              <w:jc w:val="center"/>
            </w:pPr>
            <w:r w:rsidRPr="002B640D">
              <w:rPr>
                <w:sz w:val="22"/>
                <w:szCs w:val="22"/>
              </w:rPr>
              <w:t>$</w:t>
            </w:r>
            <w:r w:rsidR="008A5A75" w:rsidRPr="002B640D">
              <w:rPr>
                <w:sz w:val="22"/>
                <w:szCs w:val="22"/>
              </w:rPr>
              <w:t>418.13</w:t>
            </w:r>
            <w:r w:rsidRPr="002B640D">
              <w:rPr>
                <w:sz w:val="22"/>
                <w:szCs w:val="22"/>
              </w:rPr>
              <w:t xml:space="preserve"> M.N.</w:t>
            </w:r>
          </w:p>
        </w:tc>
      </w:tr>
      <w:tr w:rsidR="00355374" w:rsidRPr="002B640D" w14:paraId="15C76F35" w14:textId="77777777" w:rsidTr="00BB40D2">
        <w:trPr>
          <w:trHeight w:val="89"/>
          <w:tblHeader/>
          <w:jc w:val="center"/>
        </w:trPr>
        <w:tc>
          <w:tcPr>
            <w:tcW w:w="2573" w:type="dxa"/>
            <w:shd w:val="clear" w:color="auto" w:fill="auto"/>
            <w:vAlign w:val="center"/>
          </w:tcPr>
          <w:p w14:paraId="17081D88" w14:textId="77777777" w:rsidR="00355374" w:rsidRPr="002B640D" w:rsidRDefault="00355374" w:rsidP="002B640D">
            <w:pPr>
              <w:pStyle w:val="TxtListado"/>
              <w:spacing w:after="0"/>
              <w:jc w:val="center"/>
            </w:pPr>
            <w:r w:rsidRPr="002B640D">
              <w:t>P1C</w:t>
            </w:r>
          </w:p>
        </w:tc>
        <w:tc>
          <w:tcPr>
            <w:tcW w:w="3266" w:type="dxa"/>
            <w:shd w:val="clear" w:color="auto" w:fill="auto"/>
            <w:vAlign w:val="center"/>
          </w:tcPr>
          <w:p w14:paraId="2D61A36E" w14:textId="77777777" w:rsidR="00355374" w:rsidRPr="002B640D" w:rsidRDefault="00355374" w:rsidP="002B640D">
            <w:pPr>
              <w:pStyle w:val="TxtListado"/>
              <w:spacing w:after="0"/>
              <w:jc w:val="center"/>
            </w:pPr>
            <w:r w:rsidRPr="002B640D">
              <w:rPr>
                <w:sz w:val="22"/>
                <w:szCs w:val="22"/>
              </w:rPr>
              <w:t>$</w:t>
            </w:r>
            <w:r w:rsidR="008A5A75" w:rsidRPr="002B640D">
              <w:rPr>
                <w:sz w:val="22"/>
                <w:szCs w:val="22"/>
              </w:rPr>
              <w:t>693.10</w:t>
            </w:r>
            <w:r w:rsidRPr="002B640D">
              <w:rPr>
                <w:sz w:val="22"/>
                <w:szCs w:val="22"/>
              </w:rPr>
              <w:t xml:space="preserve"> M.N.</w:t>
            </w:r>
          </w:p>
        </w:tc>
      </w:tr>
      <w:tr w:rsidR="00355374" w:rsidRPr="002B640D" w14:paraId="3B4A6383" w14:textId="77777777" w:rsidTr="00BB40D2">
        <w:trPr>
          <w:trHeight w:val="95"/>
          <w:tblHeader/>
          <w:jc w:val="center"/>
        </w:trPr>
        <w:tc>
          <w:tcPr>
            <w:tcW w:w="2573" w:type="dxa"/>
            <w:shd w:val="clear" w:color="auto" w:fill="auto"/>
            <w:vAlign w:val="center"/>
          </w:tcPr>
          <w:p w14:paraId="1F01F93B" w14:textId="77777777" w:rsidR="00355374" w:rsidRPr="002B640D" w:rsidRDefault="00355374" w:rsidP="002B640D">
            <w:pPr>
              <w:pStyle w:val="TxtListado"/>
              <w:spacing w:after="0"/>
              <w:jc w:val="center"/>
            </w:pPr>
            <w:r w:rsidRPr="002B640D">
              <w:t>P2C</w:t>
            </w:r>
          </w:p>
        </w:tc>
        <w:tc>
          <w:tcPr>
            <w:tcW w:w="3266" w:type="dxa"/>
            <w:shd w:val="clear" w:color="auto" w:fill="auto"/>
            <w:vAlign w:val="center"/>
          </w:tcPr>
          <w:p w14:paraId="29C31005" w14:textId="77777777" w:rsidR="00355374" w:rsidRPr="002B640D" w:rsidRDefault="00355374" w:rsidP="002B640D">
            <w:pPr>
              <w:pStyle w:val="TxtListado"/>
              <w:spacing w:after="0"/>
              <w:jc w:val="center"/>
            </w:pPr>
            <w:r w:rsidRPr="002B640D">
              <w:t>$</w:t>
            </w:r>
            <w:r w:rsidR="008A5A75" w:rsidRPr="002B640D">
              <w:t>471.96</w:t>
            </w:r>
            <w:r w:rsidRPr="002B640D">
              <w:t xml:space="preserve"> M.N.</w:t>
            </w:r>
          </w:p>
        </w:tc>
      </w:tr>
      <w:tr w:rsidR="00355374" w:rsidRPr="002B640D" w14:paraId="0832DB42" w14:textId="77777777" w:rsidTr="00BB40D2">
        <w:trPr>
          <w:trHeight w:val="89"/>
          <w:tblHeader/>
          <w:jc w:val="center"/>
        </w:trPr>
        <w:tc>
          <w:tcPr>
            <w:tcW w:w="2573" w:type="dxa"/>
            <w:shd w:val="clear" w:color="auto" w:fill="auto"/>
            <w:vAlign w:val="center"/>
          </w:tcPr>
          <w:p w14:paraId="2FD86E4F" w14:textId="77777777" w:rsidR="00355374" w:rsidRPr="002B640D" w:rsidRDefault="00355374" w:rsidP="002B640D">
            <w:pPr>
              <w:pStyle w:val="TxtListado"/>
              <w:spacing w:after="0"/>
              <w:jc w:val="center"/>
            </w:pPr>
            <w:r w:rsidRPr="002B640D">
              <w:t>C1T</w:t>
            </w:r>
          </w:p>
        </w:tc>
        <w:tc>
          <w:tcPr>
            <w:tcW w:w="3266" w:type="dxa"/>
            <w:shd w:val="clear" w:color="auto" w:fill="auto"/>
            <w:vAlign w:val="center"/>
          </w:tcPr>
          <w:p w14:paraId="1D0C9EC0" w14:textId="77777777" w:rsidR="00355374" w:rsidRPr="002B640D" w:rsidRDefault="00355374" w:rsidP="002B640D">
            <w:pPr>
              <w:pStyle w:val="TxtListado"/>
              <w:spacing w:after="0"/>
              <w:jc w:val="center"/>
            </w:pPr>
            <w:r w:rsidRPr="002B640D">
              <w:t>$</w:t>
            </w:r>
            <w:r w:rsidR="008A5A75" w:rsidRPr="002B640D">
              <w:t>589.31</w:t>
            </w:r>
            <w:r w:rsidRPr="002B640D">
              <w:t xml:space="preserve"> M.N.</w:t>
            </w:r>
          </w:p>
        </w:tc>
      </w:tr>
      <w:tr w:rsidR="00355374" w:rsidRPr="002B640D" w14:paraId="43924CFD" w14:textId="77777777" w:rsidTr="00BB40D2">
        <w:trPr>
          <w:trHeight w:val="89"/>
          <w:tblHeader/>
          <w:jc w:val="center"/>
        </w:trPr>
        <w:tc>
          <w:tcPr>
            <w:tcW w:w="2573" w:type="dxa"/>
            <w:shd w:val="clear" w:color="auto" w:fill="auto"/>
            <w:vAlign w:val="center"/>
          </w:tcPr>
          <w:p w14:paraId="22122C99" w14:textId="77777777" w:rsidR="00355374" w:rsidRPr="002B640D" w:rsidRDefault="00355374" w:rsidP="002B640D">
            <w:pPr>
              <w:pStyle w:val="TxtListado"/>
              <w:spacing w:after="0"/>
              <w:jc w:val="center"/>
            </w:pPr>
            <w:r w:rsidRPr="002B640D">
              <w:t>C2T</w:t>
            </w:r>
          </w:p>
        </w:tc>
        <w:tc>
          <w:tcPr>
            <w:tcW w:w="3266" w:type="dxa"/>
            <w:shd w:val="clear" w:color="auto" w:fill="auto"/>
            <w:vAlign w:val="center"/>
          </w:tcPr>
          <w:p w14:paraId="2E45B736" w14:textId="77777777" w:rsidR="00355374" w:rsidRPr="002B640D" w:rsidRDefault="00355374" w:rsidP="002B640D">
            <w:pPr>
              <w:pStyle w:val="TxtListado"/>
              <w:spacing w:after="0"/>
              <w:jc w:val="center"/>
            </w:pPr>
            <w:r w:rsidRPr="002B640D">
              <w:t>$</w:t>
            </w:r>
            <w:r w:rsidR="008A5A75" w:rsidRPr="002B640D">
              <w:t>344.18</w:t>
            </w:r>
            <w:r w:rsidRPr="002B640D">
              <w:t xml:space="preserve"> M.N.</w:t>
            </w:r>
          </w:p>
        </w:tc>
      </w:tr>
      <w:tr w:rsidR="00355374" w:rsidRPr="002B640D" w14:paraId="04002CBA" w14:textId="77777777" w:rsidTr="00BB40D2">
        <w:trPr>
          <w:trHeight w:val="89"/>
          <w:tblHeader/>
          <w:jc w:val="center"/>
        </w:trPr>
        <w:tc>
          <w:tcPr>
            <w:tcW w:w="2573" w:type="dxa"/>
            <w:shd w:val="clear" w:color="auto" w:fill="auto"/>
            <w:vAlign w:val="center"/>
          </w:tcPr>
          <w:p w14:paraId="5EA04C7E" w14:textId="77777777" w:rsidR="00355374" w:rsidRPr="002B640D" w:rsidRDefault="00355374" w:rsidP="002B640D">
            <w:pPr>
              <w:pStyle w:val="TxtListado"/>
              <w:spacing w:after="0"/>
              <w:jc w:val="center"/>
            </w:pPr>
            <w:r w:rsidRPr="002B640D">
              <w:t>C3T</w:t>
            </w:r>
          </w:p>
        </w:tc>
        <w:tc>
          <w:tcPr>
            <w:tcW w:w="3266" w:type="dxa"/>
            <w:shd w:val="clear" w:color="auto" w:fill="auto"/>
            <w:vAlign w:val="center"/>
          </w:tcPr>
          <w:p w14:paraId="46A35BA9" w14:textId="77777777" w:rsidR="00355374" w:rsidRPr="002B640D" w:rsidRDefault="00355374" w:rsidP="002B640D">
            <w:pPr>
              <w:pStyle w:val="TxtListado"/>
              <w:spacing w:after="0"/>
              <w:jc w:val="center"/>
            </w:pPr>
            <w:r w:rsidRPr="002B640D">
              <w:t>$</w:t>
            </w:r>
            <w:r w:rsidR="008A5A75" w:rsidRPr="002B640D">
              <w:t>216.83</w:t>
            </w:r>
            <w:r w:rsidRPr="002B640D">
              <w:t xml:space="preserve"> M.N.</w:t>
            </w:r>
          </w:p>
        </w:tc>
      </w:tr>
      <w:tr w:rsidR="00355374" w:rsidRPr="002B640D" w14:paraId="63FC6ECC" w14:textId="77777777" w:rsidTr="00BB40D2">
        <w:trPr>
          <w:trHeight w:val="89"/>
          <w:tblHeader/>
          <w:jc w:val="center"/>
        </w:trPr>
        <w:tc>
          <w:tcPr>
            <w:tcW w:w="2573" w:type="dxa"/>
            <w:shd w:val="clear" w:color="auto" w:fill="auto"/>
            <w:vAlign w:val="center"/>
          </w:tcPr>
          <w:p w14:paraId="15C0963E" w14:textId="77777777" w:rsidR="00355374" w:rsidRPr="002B640D" w:rsidRDefault="00355374" w:rsidP="002B640D">
            <w:pPr>
              <w:pStyle w:val="TxtListado"/>
              <w:spacing w:after="0"/>
              <w:jc w:val="center"/>
            </w:pPr>
            <w:r w:rsidRPr="002B640D">
              <w:t>C1C</w:t>
            </w:r>
          </w:p>
        </w:tc>
        <w:tc>
          <w:tcPr>
            <w:tcW w:w="3266" w:type="dxa"/>
            <w:shd w:val="clear" w:color="auto" w:fill="auto"/>
            <w:vAlign w:val="center"/>
          </w:tcPr>
          <w:p w14:paraId="1850849E" w14:textId="77777777" w:rsidR="00355374" w:rsidRPr="002B640D" w:rsidRDefault="00355374" w:rsidP="002B640D">
            <w:pPr>
              <w:pStyle w:val="TxtListado"/>
              <w:spacing w:after="0"/>
              <w:jc w:val="center"/>
            </w:pPr>
            <w:r w:rsidRPr="002B640D">
              <w:t>$</w:t>
            </w:r>
            <w:r w:rsidR="008A5A75" w:rsidRPr="002B640D">
              <w:t>435.96</w:t>
            </w:r>
            <w:r w:rsidRPr="002B640D">
              <w:t xml:space="preserve"> M.N.</w:t>
            </w:r>
          </w:p>
        </w:tc>
      </w:tr>
      <w:tr w:rsidR="00355374" w:rsidRPr="002B640D" w14:paraId="562E4A22" w14:textId="77777777" w:rsidTr="00BB40D2">
        <w:trPr>
          <w:trHeight w:val="89"/>
          <w:tblHeader/>
          <w:jc w:val="center"/>
        </w:trPr>
        <w:tc>
          <w:tcPr>
            <w:tcW w:w="2573" w:type="dxa"/>
            <w:shd w:val="clear" w:color="auto" w:fill="auto"/>
            <w:vAlign w:val="center"/>
          </w:tcPr>
          <w:p w14:paraId="66337A4C" w14:textId="77777777" w:rsidR="00355374" w:rsidRPr="002B640D" w:rsidRDefault="00355374" w:rsidP="002B640D">
            <w:pPr>
              <w:pStyle w:val="TxtListado"/>
              <w:spacing w:after="0"/>
              <w:jc w:val="center"/>
            </w:pPr>
            <w:r w:rsidRPr="002B640D">
              <w:t>C2C</w:t>
            </w:r>
          </w:p>
        </w:tc>
        <w:tc>
          <w:tcPr>
            <w:tcW w:w="3266" w:type="dxa"/>
            <w:shd w:val="clear" w:color="auto" w:fill="auto"/>
            <w:vAlign w:val="center"/>
          </w:tcPr>
          <w:p w14:paraId="5FE7AEEB" w14:textId="77777777" w:rsidR="00355374" w:rsidRPr="002B640D" w:rsidRDefault="00355374" w:rsidP="002B640D">
            <w:pPr>
              <w:pStyle w:val="TxtListado"/>
              <w:spacing w:after="0"/>
              <w:jc w:val="center"/>
            </w:pPr>
            <w:r w:rsidRPr="002B640D">
              <w:t>$</w:t>
            </w:r>
            <w:r w:rsidR="008A5A75" w:rsidRPr="002B640D">
              <w:t>310.61</w:t>
            </w:r>
            <w:r w:rsidRPr="002B640D">
              <w:t xml:space="preserve"> M.N.</w:t>
            </w:r>
          </w:p>
        </w:tc>
      </w:tr>
    </w:tbl>
    <w:p w14:paraId="5F856B44" w14:textId="6E88B276" w:rsidR="00AB5878" w:rsidRPr="002B640D" w:rsidRDefault="00AB5878" w:rsidP="002B640D">
      <w:pPr>
        <w:pStyle w:val="IFTnormal"/>
        <w:spacing w:before="240"/>
        <w:jc w:val="center"/>
        <w:rPr>
          <w:sz w:val="18"/>
        </w:rPr>
      </w:pPr>
      <w:r w:rsidRPr="002B640D">
        <w:rPr>
          <w:b/>
          <w:sz w:val="18"/>
        </w:rPr>
        <w:t>Tabla 5:</w:t>
      </w:r>
      <w:r w:rsidRPr="002B640D">
        <w:rPr>
          <w:sz w:val="18"/>
        </w:rPr>
        <w:t xml:space="preserve"> Pozos: contraprestación anual por entrada y/o salida de pozo.</w:t>
      </w:r>
    </w:p>
    <w:tbl>
      <w:tblPr>
        <w:tblStyle w:val="Tablaconcuadrcula"/>
        <w:tblW w:w="8430" w:type="dxa"/>
        <w:jc w:val="center"/>
        <w:tblLook w:val="04A0" w:firstRow="1" w:lastRow="0" w:firstColumn="1" w:lastColumn="0" w:noHBand="0" w:noVBand="1"/>
        <w:tblCaption w:val="Tabla"/>
        <w:tblDescription w:val="Tabla 6: Alojamiento de cierre de empalme y alojamiento de gaza de fibra óptica en un pozo, contraprestación anual."/>
      </w:tblPr>
      <w:tblGrid>
        <w:gridCol w:w="4957"/>
        <w:gridCol w:w="3473"/>
      </w:tblGrid>
      <w:tr w:rsidR="00355374" w:rsidRPr="002B640D" w14:paraId="46C7BB59" w14:textId="77777777" w:rsidTr="00BB40D2">
        <w:trPr>
          <w:trHeight w:val="62"/>
          <w:tblHeader/>
          <w:jc w:val="center"/>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D90790" w14:textId="77777777" w:rsidR="00355374" w:rsidRPr="002B640D" w:rsidRDefault="00355374" w:rsidP="002B640D">
            <w:pPr>
              <w:pStyle w:val="TxtListado"/>
              <w:spacing w:after="0"/>
              <w:rPr>
                <w:b/>
                <w:szCs w:val="22"/>
              </w:rPr>
            </w:pPr>
            <w:r w:rsidRPr="002B640D">
              <w:rPr>
                <w:b/>
                <w:szCs w:val="22"/>
              </w:rPr>
              <w:t>Concepto</w:t>
            </w:r>
          </w:p>
        </w:tc>
        <w:tc>
          <w:tcPr>
            <w:tcW w:w="3473" w:type="dxa"/>
            <w:tcBorders>
              <w:left w:val="single" w:sz="4" w:space="0" w:color="auto"/>
            </w:tcBorders>
            <w:shd w:val="clear" w:color="auto" w:fill="D9D9D9" w:themeFill="background1" w:themeFillShade="D9"/>
            <w:vAlign w:val="center"/>
          </w:tcPr>
          <w:p w14:paraId="2F03FB2D" w14:textId="77777777" w:rsidR="00355374" w:rsidRPr="002B640D" w:rsidRDefault="00355374" w:rsidP="002B640D">
            <w:pPr>
              <w:pStyle w:val="TxtListado"/>
              <w:spacing w:after="0"/>
              <w:jc w:val="center"/>
              <w:rPr>
                <w:b/>
                <w:szCs w:val="22"/>
              </w:rPr>
            </w:pPr>
            <w:r w:rsidRPr="002B640D">
              <w:rPr>
                <w:b/>
                <w:szCs w:val="22"/>
              </w:rPr>
              <w:t xml:space="preserve">Contraprestación anual </w:t>
            </w:r>
          </w:p>
        </w:tc>
      </w:tr>
      <w:tr w:rsidR="00355374" w:rsidRPr="002B640D" w14:paraId="31503075" w14:textId="77777777" w:rsidTr="00BB40D2">
        <w:trPr>
          <w:trHeight w:val="96"/>
          <w:tblHeader/>
          <w:jc w:val="center"/>
        </w:trPr>
        <w:tc>
          <w:tcPr>
            <w:tcW w:w="4957" w:type="dxa"/>
            <w:tcBorders>
              <w:top w:val="single" w:sz="4" w:space="0" w:color="auto"/>
            </w:tcBorders>
            <w:shd w:val="clear" w:color="auto" w:fill="auto"/>
            <w:vAlign w:val="center"/>
          </w:tcPr>
          <w:p w14:paraId="776B228A" w14:textId="77777777" w:rsidR="00355374" w:rsidRPr="002B640D" w:rsidRDefault="00355374" w:rsidP="002B640D">
            <w:pPr>
              <w:pStyle w:val="TxtListado"/>
              <w:tabs>
                <w:tab w:val="center" w:pos="1878"/>
              </w:tabs>
              <w:spacing w:after="0"/>
              <w:jc w:val="both"/>
              <w:rPr>
                <w:szCs w:val="22"/>
              </w:rPr>
            </w:pPr>
            <w:r w:rsidRPr="002B640D">
              <w:rPr>
                <w:szCs w:val="22"/>
              </w:rPr>
              <w:t>Alojamiento de cierre de empalme</w:t>
            </w:r>
          </w:p>
        </w:tc>
        <w:tc>
          <w:tcPr>
            <w:tcW w:w="3473" w:type="dxa"/>
            <w:shd w:val="clear" w:color="auto" w:fill="auto"/>
            <w:vAlign w:val="center"/>
          </w:tcPr>
          <w:p w14:paraId="641906D6" w14:textId="77777777" w:rsidR="00355374" w:rsidRPr="002B640D" w:rsidRDefault="00355374" w:rsidP="002B640D">
            <w:pPr>
              <w:pStyle w:val="TxtListado"/>
              <w:spacing w:after="0"/>
              <w:jc w:val="center"/>
              <w:rPr>
                <w:szCs w:val="22"/>
              </w:rPr>
            </w:pPr>
            <w:r w:rsidRPr="002B640D">
              <w:rPr>
                <w:szCs w:val="22"/>
              </w:rPr>
              <w:t>$</w:t>
            </w:r>
            <w:r w:rsidR="002F08DD" w:rsidRPr="002B640D">
              <w:rPr>
                <w:szCs w:val="22"/>
              </w:rPr>
              <w:t>23.00</w:t>
            </w:r>
            <w:r w:rsidRPr="002B640D">
              <w:rPr>
                <w:szCs w:val="22"/>
              </w:rPr>
              <w:t xml:space="preserve"> M.N.</w:t>
            </w:r>
            <w:r w:rsidRPr="002B640D">
              <w:rPr>
                <w:rStyle w:val="Refdenotaalpie"/>
                <w:szCs w:val="22"/>
              </w:rPr>
              <w:t xml:space="preserve"> </w:t>
            </w:r>
            <w:r w:rsidRPr="002B640D">
              <w:rPr>
                <w:rStyle w:val="Refdenotaalpie"/>
                <w:szCs w:val="22"/>
              </w:rPr>
              <w:footnoteReference w:id="7"/>
            </w:r>
          </w:p>
        </w:tc>
      </w:tr>
      <w:tr w:rsidR="00355374" w:rsidRPr="002B640D" w14:paraId="507FF876" w14:textId="77777777" w:rsidTr="00BB40D2">
        <w:trPr>
          <w:trHeight w:val="96"/>
          <w:tblHeader/>
          <w:jc w:val="center"/>
        </w:trPr>
        <w:tc>
          <w:tcPr>
            <w:tcW w:w="4957" w:type="dxa"/>
            <w:shd w:val="clear" w:color="auto" w:fill="auto"/>
            <w:vAlign w:val="center"/>
          </w:tcPr>
          <w:p w14:paraId="6C5FBB1D" w14:textId="77777777" w:rsidR="00355374" w:rsidRPr="002B640D" w:rsidRDefault="00355374" w:rsidP="002B640D">
            <w:pPr>
              <w:pStyle w:val="TxtListado"/>
              <w:spacing w:after="0"/>
              <w:jc w:val="both"/>
              <w:rPr>
                <w:szCs w:val="22"/>
              </w:rPr>
            </w:pPr>
            <w:r w:rsidRPr="002B640D">
              <w:rPr>
                <w:szCs w:val="22"/>
              </w:rPr>
              <w:t>Alojamiento de gaza de fibra óptica en un pozo</w:t>
            </w:r>
          </w:p>
        </w:tc>
        <w:tc>
          <w:tcPr>
            <w:tcW w:w="3473" w:type="dxa"/>
            <w:shd w:val="clear" w:color="auto" w:fill="auto"/>
            <w:vAlign w:val="center"/>
          </w:tcPr>
          <w:p w14:paraId="2F9A33BC" w14:textId="77777777" w:rsidR="00355374" w:rsidRPr="002B640D" w:rsidRDefault="00355374" w:rsidP="002B640D">
            <w:pPr>
              <w:pStyle w:val="TxtListado"/>
              <w:spacing w:after="0"/>
              <w:jc w:val="center"/>
              <w:rPr>
                <w:szCs w:val="22"/>
              </w:rPr>
            </w:pPr>
            <w:r w:rsidRPr="002B640D">
              <w:rPr>
                <w:szCs w:val="22"/>
              </w:rPr>
              <w:t>$</w:t>
            </w:r>
            <w:r w:rsidR="002F08DD" w:rsidRPr="002B640D">
              <w:rPr>
                <w:szCs w:val="22"/>
              </w:rPr>
              <w:t>46.01</w:t>
            </w:r>
            <w:r w:rsidRPr="002B640D">
              <w:rPr>
                <w:szCs w:val="22"/>
              </w:rPr>
              <w:t xml:space="preserve"> M.N.</w:t>
            </w:r>
            <w:r w:rsidRPr="002B640D">
              <w:rPr>
                <w:rStyle w:val="Refdenotaalpie"/>
                <w:szCs w:val="22"/>
              </w:rPr>
              <w:t xml:space="preserve"> </w:t>
            </w:r>
            <w:r w:rsidRPr="002B640D">
              <w:rPr>
                <w:rStyle w:val="Refdenotaalpie"/>
                <w:szCs w:val="22"/>
              </w:rPr>
              <w:footnoteReference w:id="8"/>
            </w:r>
          </w:p>
        </w:tc>
      </w:tr>
    </w:tbl>
    <w:p w14:paraId="4EBF6754" w14:textId="77777777" w:rsidR="002B640D" w:rsidRPr="002B640D" w:rsidRDefault="00AB5878" w:rsidP="002B640D">
      <w:pPr>
        <w:pStyle w:val="ROMANOS"/>
        <w:spacing w:before="240" w:after="0" w:line="276" w:lineRule="auto"/>
        <w:ind w:left="0" w:firstLine="0"/>
        <w:jc w:val="center"/>
        <w:rPr>
          <w:rFonts w:ascii="ITC Avant Garde" w:eastAsia="Calibri" w:hAnsi="ITC Avant Garde"/>
          <w:color w:val="000000"/>
          <w:szCs w:val="22"/>
          <w:lang w:val="es-ES_tradnl"/>
        </w:rPr>
      </w:pPr>
      <w:r w:rsidRPr="002B640D">
        <w:rPr>
          <w:rFonts w:ascii="ITC Avant Garde" w:eastAsia="Calibri" w:hAnsi="ITC Avant Garde"/>
          <w:b/>
          <w:color w:val="000000"/>
          <w:szCs w:val="22"/>
          <w:lang w:val="es-ES_tradnl"/>
        </w:rPr>
        <w:t>Tabla 6:</w:t>
      </w:r>
      <w:r w:rsidRPr="002B640D">
        <w:rPr>
          <w:rFonts w:ascii="ITC Avant Garde" w:eastAsia="Calibri" w:hAnsi="ITC Avant Garde"/>
          <w:color w:val="000000"/>
          <w:szCs w:val="22"/>
          <w:lang w:val="es-ES_tradnl"/>
        </w:rPr>
        <w:t xml:space="preserve"> Alojamiento de cierre de empalme y alojamiento de gaza de fibra óptica en un pozo, contraprestación anual.</w:t>
      </w:r>
    </w:p>
    <w:p w14:paraId="34854B7A" w14:textId="2F865032" w:rsidR="00355374" w:rsidRPr="002B640D" w:rsidRDefault="00355374" w:rsidP="002B640D">
      <w:pPr>
        <w:pStyle w:val="Texto"/>
        <w:spacing w:before="240" w:after="0" w:line="276" w:lineRule="auto"/>
        <w:rPr>
          <w:rFonts w:ascii="ITC Avant Garde" w:hAnsi="ITC Avant Garde"/>
          <w:sz w:val="22"/>
          <w:szCs w:val="22"/>
        </w:rPr>
      </w:pPr>
      <w:r w:rsidRPr="002B640D">
        <w:rPr>
          <w:rFonts w:ascii="ITC Avant Garde" w:hAnsi="ITC Avant Garde"/>
          <w:sz w:val="22"/>
          <w:szCs w:val="22"/>
        </w:rPr>
        <w:t>Postes:</w:t>
      </w:r>
    </w:p>
    <w:tbl>
      <w:tblPr>
        <w:tblStyle w:val="Tablaconcuadrcula"/>
        <w:tblW w:w="8500" w:type="dxa"/>
        <w:jc w:val="center"/>
        <w:tblLook w:val="04A0" w:firstRow="1" w:lastRow="0" w:firstColumn="1" w:lastColumn="0" w:noHBand="0" w:noVBand="1"/>
        <w:tblCaption w:val="Tabla"/>
        <w:tblDescription w:val="Tabla 7: Postes: contraprestación."/>
      </w:tblPr>
      <w:tblGrid>
        <w:gridCol w:w="4995"/>
        <w:gridCol w:w="3505"/>
      </w:tblGrid>
      <w:tr w:rsidR="00355374" w:rsidRPr="002B640D" w14:paraId="75706E01" w14:textId="77777777" w:rsidTr="00BB40D2">
        <w:trPr>
          <w:trHeight w:val="48"/>
          <w:tblHeader/>
          <w:jc w:val="center"/>
        </w:trPr>
        <w:tc>
          <w:tcPr>
            <w:tcW w:w="4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A3077" w14:textId="77777777" w:rsidR="00355374" w:rsidRPr="002B640D" w:rsidRDefault="00355374" w:rsidP="002B640D">
            <w:pPr>
              <w:pStyle w:val="TxtListado"/>
              <w:spacing w:after="0"/>
              <w:rPr>
                <w:b/>
              </w:rPr>
            </w:pPr>
            <w:r w:rsidRPr="002B640D">
              <w:rPr>
                <w:b/>
              </w:rPr>
              <w:lastRenderedPageBreak/>
              <w:t>Uso del Poste</w:t>
            </w:r>
          </w:p>
        </w:tc>
        <w:tc>
          <w:tcPr>
            <w:tcW w:w="3505" w:type="dxa"/>
            <w:tcBorders>
              <w:left w:val="single" w:sz="4" w:space="0" w:color="auto"/>
            </w:tcBorders>
            <w:shd w:val="clear" w:color="auto" w:fill="D9D9D9" w:themeFill="background1" w:themeFillShade="D9"/>
            <w:vAlign w:val="center"/>
          </w:tcPr>
          <w:p w14:paraId="37E20898" w14:textId="77777777" w:rsidR="00355374" w:rsidRPr="002B640D" w:rsidRDefault="00355374" w:rsidP="002B640D">
            <w:pPr>
              <w:pStyle w:val="TxtListado"/>
              <w:spacing w:after="0"/>
              <w:jc w:val="center"/>
              <w:rPr>
                <w:b/>
              </w:rPr>
            </w:pPr>
            <w:r w:rsidRPr="002B640D">
              <w:rPr>
                <w:b/>
              </w:rPr>
              <w:t>Contraprestación</w:t>
            </w:r>
          </w:p>
        </w:tc>
      </w:tr>
      <w:tr w:rsidR="00355374" w:rsidRPr="002B640D" w14:paraId="113667A5" w14:textId="77777777" w:rsidTr="00BB40D2">
        <w:trPr>
          <w:trHeight w:val="76"/>
          <w:tblHeader/>
          <w:jc w:val="center"/>
        </w:trPr>
        <w:tc>
          <w:tcPr>
            <w:tcW w:w="4995" w:type="dxa"/>
            <w:tcBorders>
              <w:top w:val="single" w:sz="4" w:space="0" w:color="auto"/>
            </w:tcBorders>
            <w:shd w:val="clear" w:color="auto" w:fill="auto"/>
            <w:vAlign w:val="center"/>
          </w:tcPr>
          <w:p w14:paraId="753924CE" w14:textId="77777777" w:rsidR="00355374" w:rsidRPr="002B640D" w:rsidRDefault="00355374" w:rsidP="002B640D">
            <w:pPr>
              <w:pStyle w:val="TxtListado"/>
              <w:tabs>
                <w:tab w:val="center" w:pos="1878"/>
              </w:tabs>
              <w:spacing w:after="0"/>
              <w:jc w:val="both"/>
            </w:pPr>
            <w:r w:rsidRPr="002B640D">
              <w:t>Por cable apoyado en el poste</w:t>
            </w:r>
          </w:p>
        </w:tc>
        <w:tc>
          <w:tcPr>
            <w:tcW w:w="3505" w:type="dxa"/>
            <w:shd w:val="clear" w:color="auto" w:fill="auto"/>
            <w:vAlign w:val="center"/>
          </w:tcPr>
          <w:p w14:paraId="2C45EA33" w14:textId="77777777" w:rsidR="00355374" w:rsidRPr="002B640D" w:rsidRDefault="00355374" w:rsidP="002B640D">
            <w:pPr>
              <w:pStyle w:val="TxtListado"/>
              <w:spacing w:after="0"/>
              <w:jc w:val="center"/>
            </w:pPr>
            <w:r w:rsidRPr="002B640D">
              <w:t>$</w:t>
            </w:r>
            <w:r w:rsidR="002F08DD" w:rsidRPr="002B640D">
              <w:t>129.83</w:t>
            </w:r>
            <w:r w:rsidRPr="002B640D">
              <w:t xml:space="preserve"> M.N.</w:t>
            </w:r>
            <w:r w:rsidRPr="002B640D">
              <w:rPr>
                <w:rStyle w:val="Refdenotaalpie"/>
              </w:rPr>
              <w:t xml:space="preserve"> </w:t>
            </w:r>
            <w:r w:rsidRPr="002B640D">
              <w:t>(anual)</w:t>
            </w:r>
          </w:p>
        </w:tc>
      </w:tr>
      <w:tr w:rsidR="00355374" w:rsidRPr="002B640D" w14:paraId="35A1CA99" w14:textId="77777777" w:rsidTr="00BB40D2">
        <w:trPr>
          <w:trHeight w:val="76"/>
          <w:tblHeader/>
          <w:jc w:val="center"/>
        </w:trPr>
        <w:tc>
          <w:tcPr>
            <w:tcW w:w="4995" w:type="dxa"/>
            <w:shd w:val="clear" w:color="auto" w:fill="auto"/>
            <w:vAlign w:val="center"/>
          </w:tcPr>
          <w:p w14:paraId="6F32D27F" w14:textId="77777777" w:rsidR="00355374" w:rsidRPr="002B640D" w:rsidRDefault="00355374" w:rsidP="002B640D">
            <w:pPr>
              <w:pStyle w:val="TxtListado"/>
              <w:spacing w:after="0"/>
              <w:jc w:val="both"/>
            </w:pPr>
            <w:r w:rsidRPr="002B640D">
              <w:t>Por peso adicional  en un poste (1 kilogramo)</w:t>
            </w:r>
          </w:p>
        </w:tc>
        <w:tc>
          <w:tcPr>
            <w:tcW w:w="3505" w:type="dxa"/>
            <w:shd w:val="clear" w:color="auto" w:fill="auto"/>
            <w:vAlign w:val="center"/>
          </w:tcPr>
          <w:p w14:paraId="0BC23CC3" w14:textId="77777777" w:rsidR="00355374" w:rsidRPr="002B640D" w:rsidRDefault="00355374" w:rsidP="002B640D">
            <w:pPr>
              <w:pStyle w:val="TxtListado"/>
              <w:spacing w:after="0"/>
              <w:jc w:val="center"/>
            </w:pPr>
            <w:r w:rsidRPr="002B640D">
              <w:t>$2</w:t>
            </w:r>
            <w:r w:rsidR="007678E3" w:rsidRPr="002B640D">
              <w:t>.04</w:t>
            </w:r>
            <w:r w:rsidRPr="002B640D">
              <w:t xml:space="preserve"> M.N. (anual)</w:t>
            </w:r>
          </w:p>
        </w:tc>
      </w:tr>
      <w:tr w:rsidR="00355374" w:rsidRPr="002B640D" w14:paraId="15D48EA9" w14:textId="77777777" w:rsidTr="00BB40D2">
        <w:trPr>
          <w:trHeight w:val="76"/>
          <w:tblHeader/>
          <w:jc w:val="center"/>
        </w:trPr>
        <w:tc>
          <w:tcPr>
            <w:tcW w:w="4995" w:type="dxa"/>
            <w:shd w:val="clear" w:color="auto" w:fill="auto"/>
            <w:vAlign w:val="center"/>
          </w:tcPr>
          <w:p w14:paraId="1AE62D8B" w14:textId="77777777" w:rsidR="00355374" w:rsidRPr="002B640D" w:rsidRDefault="00355374" w:rsidP="002B640D">
            <w:pPr>
              <w:pStyle w:val="TxtListado"/>
              <w:spacing w:after="0"/>
              <w:jc w:val="both"/>
            </w:pPr>
            <w:r w:rsidRPr="002B640D">
              <w:t xml:space="preserve">Por apoyos de protecciones para subidas o </w:t>
            </w:r>
            <w:proofErr w:type="spellStart"/>
            <w:r w:rsidRPr="002B640D">
              <w:t>aterrizamientos</w:t>
            </w:r>
            <w:proofErr w:type="spellEnd"/>
          </w:p>
        </w:tc>
        <w:tc>
          <w:tcPr>
            <w:tcW w:w="3505" w:type="dxa"/>
            <w:shd w:val="clear" w:color="auto" w:fill="auto"/>
            <w:vAlign w:val="center"/>
          </w:tcPr>
          <w:p w14:paraId="0B6DFECC" w14:textId="77777777" w:rsidR="00355374" w:rsidRPr="002B640D" w:rsidRDefault="00355374" w:rsidP="002B640D">
            <w:pPr>
              <w:pStyle w:val="TxtListado"/>
              <w:spacing w:after="0"/>
              <w:jc w:val="center"/>
            </w:pPr>
            <w:r w:rsidRPr="002B640D">
              <w:t>$</w:t>
            </w:r>
            <w:r w:rsidR="002F08DD" w:rsidRPr="002B640D">
              <w:t>97.50</w:t>
            </w:r>
            <w:r w:rsidRPr="002B640D">
              <w:t xml:space="preserve"> M.N. (Por evento)</w:t>
            </w:r>
          </w:p>
        </w:tc>
      </w:tr>
    </w:tbl>
    <w:p w14:paraId="28133172" w14:textId="77777777" w:rsidR="002B640D" w:rsidRPr="002B640D" w:rsidRDefault="00AB5878" w:rsidP="002B640D">
      <w:pPr>
        <w:pStyle w:val="ROMANOS"/>
        <w:spacing w:before="240" w:after="0" w:line="276" w:lineRule="auto"/>
        <w:ind w:left="0" w:firstLine="0"/>
        <w:jc w:val="center"/>
        <w:rPr>
          <w:rFonts w:ascii="ITC Avant Garde" w:eastAsia="Calibri" w:hAnsi="ITC Avant Garde"/>
          <w:color w:val="000000"/>
          <w:szCs w:val="22"/>
          <w:lang w:val="es-ES_tradnl"/>
        </w:rPr>
      </w:pPr>
      <w:r w:rsidRPr="002B640D">
        <w:rPr>
          <w:rFonts w:ascii="ITC Avant Garde" w:eastAsia="Calibri" w:hAnsi="ITC Avant Garde"/>
          <w:b/>
          <w:color w:val="000000"/>
          <w:szCs w:val="22"/>
          <w:lang w:val="es-ES_tradnl"/>
        </w:rPr>
        <w:t>Tabla 7:</w:t>
      </w:r>
      <w:r w:rsidRPr="002B640D">
        <w:rPr>
          <w:rFonts w:ascii="ITC Avant Garde" w:eastAsia="Calibri" w:hAnsi="ITC Avant Garde"/>
          <w:color w:val="000000"/>
          <w:szCs w:val="22"/>
          <w:lang w:val="es-ES_tradnl"/>
        </w:rPr>
        <w:t xml:space="preserve"> Postes: contraprestación.</w:t>
      </w:r>
    </w:p>
    <w:p w14:paraId="14C09D0B" w14:textId="77777777" w:rsidR="002B640D" w:rsidRPr="002B640D" w:rsidRDefault="00355374" w:rsidP="002B640D">
      <w:pPr>
        <w:pStyle w:val="Texto"/>
        <w:spacing w:before="240" w:after="0" w:line="276" w:lineRule="auto"/>
        <w:ind w:firstLine="0"/>
        <w:rPr>
          <w:rFonts w:ascii="ITC Avant Garde" w:hAnsi="ITC Avant Garde"/>
          <w:b/>
          <w:sz w:val="22"/>
          <w:szCs w:val="22"/>
        </w:rPr>
      </w:pPr>
      <w:r w:rsidRPr="002B640D">
        <w:rPr>
          <w:rFonts w:ascii="ITC Avant Garde" w:hAnsi="ITC Avant Garde"/>
          <w:b/>
          <w:sz w:val="22"/>
          <w:szCs w:val="22"/>
        </w:rPr>
        <w:t>Servicio de tendido de cable sobre infraestructura desagregada:</w:t>
      </w:r>
    </w:p>
    <w:p w14:paraId="32D4EBF3" w14:textId="77777777" w:rsidR="002B640D" w:rsidRPr="002B640D" w:rsidRDefault="000F51FD" w:rsidP="002B640D">
      <w:pPr>
        <w:pStyle w:val="Listaconvietas"/>
        <w:spacing w:before="240"/>
      </w:pPr>
      <w:r w:rsidRPr="002B640D">
        <w:t>Instalación por tendido de cable</w:t>
      </w:r>
    </w:p>
    <w:p w14:paraId="3961C29A" w14:textId="77777777" w:rsidR="002B640D" w:rsidRPr="002B640D" w:rsidRDefault="000F51FD" w:rsidP="002B640D">
      <w:pPr>
        <w:pStyle w:val="Texto"/>
        <w:spacing w:before="240" w:line="276" w:lineRule="auto"/>
        <w:ind w:firstLine="0"/>
        <w:rPr>
          <w:rFonts w:ascii="ITC Avant Garde" w:hAnsi="ITC Avant Garde"/>
          <w:sz w:val="22"/>
          <w:szCs w:val="22"/>
        </w:rPr>
      </w:pPr>
      <w:r w:rsidRPr="002B640D">
        <w:rPr>
          <w:rFonts w:ascii="ITC Avant Garde" w:hAnsi="ITC Avant Garde"/>
          <w:sz w:val="22"/>
          <w:szCs w:val="22"/>
        </w:rPr>
        <w:t>La contraprestaci</w:t>
      </w:r>
      <w:r w:rsidR="009F7024" w:rsidRPr="002B640D">
        <w:rPr>
          <w:rFonts w:ascii="ITC Avant Garde" w:hAnsi="ITC Avant Garde"/>
          <w:sz w:val="22"/>
          <w:szCs w:val="22"/>
        </w:rPr>
        <w:t xml:space="preserve">ón </w:t>
      </w:r>
      <w:r w:rsidR="00F141CC" w:rsidRPr="002B640D">
        <w:rPr>
          <w:rFonts w:ascii="ITC Avant Garde" w:hAnsi="ITC Avant Garde"/>
          <w:sz w:val="22"/>
          <w:szCs w:val="22"/>
        </w:rPr>
        <w:t>(por evento)</w:t>
      </w:r>
      <w:r w:rsidR="009F7024" w:rsidRPr="002B640D">
        <w:rPr>
          <w:rFonts w:ascii="ITC Avant Garde" w:hAnsi="ITC Avant Garde"/>
          <w:sz w:val="22"/>
          <w:szCs w:val="22"/>
        </w:rPr>
        <w:t xml:space="preserve"> de</w:t>
      </w:r>
      <w:r w:rsidRPr="002B640D">
        <w:rPr>
          <w:rFonts w:ascii="ITC Avant Garde" w:hAnsi="ITC Avant Garde"/>
          <w:sz w:val="22"/>
          <w:szCs w:val="22"/>
        </w:rPr>
        <w:t xml:space="preserve"> </w:t>
      </w:r>
      <w:r w:rsidR="009F7024" w:rsidRPr="002B640D">
        <w:rPr>
          <w:rFonts w:ascii="ITC Avant Garde" w:hAnsi="ITC Avant Garde"/>
          <w:sz w:val="22"/>
          <w:szCs w:val="22"/>
        </w:rPr>
        <w:t>i</w:t>
      </w:r>
      <w:r w:rsidRPr="002B640D">
        <w:rPr>
          <w:rFonts w:ascii="ITC Avant Garde" w:hAnsi="ITC Avant Garde"/>
          <w:sz w:val="22"/>
          <w:szCs w:val="22"/>
        </w:rPr>
        <w:t xml:space="preserve">nstalación por tendido de cable </w:t>
      </w:r>
      <w:r w:rsidR="009F7024" w:rsidRPr="002B640D">
        <w:rPr>
          <w:rFonts w:ascii="ITC Avant Garde" w:hAnsi="ITC Avant Garde"/>
          <w:sz w:val="22"/>
          <w:szCs w:val="22"/>
        </w:rPr>
        <w:t xml:space="preserve">se </w:t>
      </w:r>
      <w:r w:rsidRPr="002B640D">
        <w:rPr>
          <w:rFonts w:ascii="ITC Avant Garde" w:hAnsi="ITC Avant Garde"/>
          <w:sz w:val="22"/>
          <w:szCs w:val="22"/>
        </w:rPr>
        <w:t>deberá determina</w:t>
      </w:r>
      <w:r w:rsidR="009F7024" w:rsidRPr="002B640D">
        <w:rPr>
          <w:rFonts w:ascii="ITC Avant Garde" w:hAnsi="ITC Avant Garde"/>
          <w:sz w:val="22"/>
          <w:szCs w:val="22"/>
        </w:rPr>
        <w:t>r</w:t>
      </w:r>
      <w:r w:rsidRPr="002B640D">
        <w:rPr>
          <w:rFonts w:ascii="ITC Avant Garde" w:hAnsi="ITC Avant Garde"/>
          <w:sz w:val="22"/>
          <w:szCs w:val="22"/>
        </w:rPr>
        <w:t xml:space="preserve"> </w:t>
      </w:r>
      <w:r w:rsidR="00F25525" w:rsidRPr="002B640D">
        <w:rPr>
          <w:rFonts w:ascii="ITC Avant Garde" w:hAnsi="ITC Avant Garde"/>
          <w:sz w:val="22"/>
          <w:szCs w:val="22"/>
        </w:rPr>
        <w:t>de acuerdo a la cantidad de hilos de fibra óptica en el interior del cable, como el resultado de</w:t>
      </w:r>
      <w:r w:rsidRPr="002B640D">
        <w:rPr>
          <w:rFonts w:ascii="ITC Avant Garde" w:hAnsi="ITC Avant Garde"/>
          <w:sz w:val="22"/>
          <w:szCs w:val="22"/>
        </w:rPr>
        <w:t xml:space="preserve"> la suma de dos componentes una fija</w:t>
      </w:r>
      <w:r w:rsidR="009F7024" w:rsidRPr="002B640D">
        <w:rPr>
          <w:rStyle w:val="Refdenotaalpie"/>
        </w:rPr>
        <w:footnoteReference w:id="9"/>
      </w:r>
      <w:r w:rsidRPr="002B640D">
        <w:rPr>
          <w:rFonts w:ascii="ITC Avant Garde" w:hAnsi="ITC Avant Garde"/>
          <w:sz w:val="22"/>
          <w:szCs w:val="22"/>
        </w:rPr>
        <w:t xml:space="preserve"> y otra variable (</w:t>
      </w:r>
      <w:r w:rsidR="009F7024" w:rsidRPr="002B640D">
        <w:rPr>
          <w:rFonts w:ascii="ITC Avant Garde" w:hAnsi="ITC Avant Garde"/>
          <w:sz w:val="22"/>
          <w:szCs w:val="22"/>
        </w:rPr>
        <w:t>dependiente de</w:t>
      </w:r>
      <w:r w:rsidRPr="002B640D">
        <w:rPr>
          <w:rFonts w:ascii="ITC Avant Garde" w:hAnsi="ITC Avant Garde"/>
          <w:sz w:val="22"/>
          <w:szCs w:val="22"/>
        </w:rPr>
        <w:t xml:space="preserve"> los metros lineales del cable involucrado), de conformidad con lo siguiente:</w:t>
      </w:r>
    </w:p>
    <w:tbl>
      <w:tblPr>
        <w:tblStyle w:val="Tablaconcuadrcula"/>
        <w:tblW w:w="0" w:type="auto"/>
        <w:jc w:val="center"/>
        <w:tblLook w:val="04A0" w:firstRow="1" w:lastRow="0" w:firstColumn="1" w:lastColumn="0" w:noHBand="0" w:noVBand="1"/>
        <w:tblCaption w:val="Tabla"/>
        <w:tblDescription w:val="Tabla 8: Instalación por tendido de cable, contraprestación."/>
      </w:tblPr>
      <w:tblGrid>
        <w:gridCol w:w="2925"/>
        <w:gridCol w:w="2926"/>
        <w:gridCol w:w="2926"/>
      </w:tblGrid>
      <w:tr w:rsidR="000F51FD" w:rsidRPr="002B640D" w14:paraId="0C92E873" w14:textId="77777777" w:rsidTr="00BB40D2">
        <w:trPr>
          <w:trHeight w:val="59"/>
          <w:tblHeader/>
          <w:jc w:val="center"/>
        </w:trPr>
        <w:tc>
          <w:tcPr>
            <w:tcW w:w="292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5030FB8" w14:textId="77777777" w:rsidR="000F51FD" w:rsidRPr="002B640D" w:rsidRDefault="000F51FD" w:rsidP="002B640D">
            <w:pPr>
              <w:pStyle w:val="TxtListado"/>
              <w:spacing w:after="0"/>
              <w:jc w:val="center"/>
              <w:rPr>
                <w:b/>
                <w:szCs w:val="22"/>
              </w:rPr>
            </w:pPr>
            <w:r w:rsidRPr="002B640D">
              <w:rPr>
                <w:b/>
              </w:rPr>
              <w:t>Instalación por tendido de cable</w:t>
            </w:r>
          </w:p>
        </w:tc>
        <w:tc>
          <w:tcPr>
            <w:tcW w:w="2926" w:type="dxa"/>
            <w:tcBorders>
              <w:left w:val="single" w:sz="4" w:space="0" w:color="auto"/>
            </w:tcBorders>
            <w:shd w:val="clear" w:color="auto" w:fill="DBDBDB" w:themeFill="accent3" w:themeFillTint="66"/>
            <w:vAlign w:val="center"/>
          </w:tcPr>
          <w:p w14:paraId="217ED8B7" w14:textId="77777777" w:rsidR="000F51FD" w:rsidRPr="002B640D" w:rsidRDefault="00F25525" w:rsidP="002B640D">
            <w:pPr>
              <w:pStyle w:val="TxtListado"/>
              <w:spacing w:after="0"/>
              <w:jc w:val="center"/>
              <w:rPr>
                <w:b/>
                <w:szCs w:val="22"/>
              </w:rPr>
            </w:pPr>
            <w:r w:rsidRPr="002B640D">
              <w:rPr>
                <w:b/>
                <w:szCs w:val="22"/>
              </w:rPr>
              <w:t>Cable de 48 fibras</w:t>
            </w:r>
          </w:p>
        </w:tc>
        <w:tc>
          <w:tcPr>
            <w:tcW w:w="2926" w:type="dxa"/>
            <w:tcBorders>
              <w:left w:val="single" w:sz="4" w:space="0" w:color="auto"/>
            </w:tcBorders>
            <w:shd w:val="clear" w:color="auto" w:fill="DBDBDB" w:themeFill="accent3" w:themeFillTint="66"/>
            <w:vAlign w:val="center"/>
          </w:tcPr>
          <w:p w14:paraId="1A4CBA47" w14:textId="77777777" w:rsidR="00F25525" w:rsidRPr="002B640D" w:rsidRDefault="00F25525" w:rsidP="002B640D">
            <w:pPr>
              <w:pStyle w:val="TxtListado"/>
              <w:spacing w:after="0"/>
              <w:jc w:val="center"/>
              <w:rPr>
                <w:b/>
                <w:szCs w:val="22"/>
              </w:rPr>
            </w:pPr>
            <w:r w:rsidRPr="002B640D">
              <w:rPr>
                <w:b/>
                <w:szCs w:val="22"/>
              </w:rPr>
              <w:t>Cable de 96 fibras</w:t>
            </w:r>
          </w:p>
        </w:tc>
      </w:tr>
      <w:tr w:rsidR="000F51FD" w:rsidRPr="002B640D" w14:paraId="36BA89B2" w14:textId="77777777" w:rsidTr="00BB40D2">
        <w:trPr>
          <w:trHeight w:val="92"/>
          <w:tblHeader/>
          <w:jc w:val="center"/>
        </w:trPr>
        <w:tc>
          <w:tcPr>
            <w:tcW w:w="2925" w:type="dxa"/>
            <w:tcBorders>
              <w:top w:val="single" w:sz="4" w:space="0" w:color="auto"/>
            </w:tcBorders>
            <w:shd w:val="clear" w:color="auto" w:fill="auto"/>
            <w:vAlign w:val="center"/>
          </w:tcPr>
          <w:p w14:paraId="7AEC2F28" w14:textId="77777777" w:rsidR="000F51FD" w:rsidRPr="002B640D" w:rsidRDefault="000F51FD" w:rsidP="002B640D">
            <w:pPr>
              <w:pStyle w:val="TxtListado"/>
              <w:tabs>
                <w:tab w:val="center" w:pos="1878"/>
              </w:tabs>
              <w:spacing w:after="0"/>
              <w:jc w:val="both"/>
            </w:pPr>
            <w:r w:rsidRPr="002B640D">
              <w:t>Componente fija</w:t>
            </w:r>
            <w:r w:rsidR="0000043A" w:rsidRPr="002B640D">
              <w:rPr>
                <w:rStyle w:val="Refdenotaalpie"/>
              </w:rPr>
              <w:footnoteReference w:id="10"/>
            </w:r>
          </w:p>
        </w:tc>
        <w:tc>
          <w:tcPr>
            <w:tcW w:w="2926" w:type="dxa"/>
            <w:shd w:val="clear" w:color="auto" w:fill="auto"/>
            <w:vAlign w:val="center"/>
          </w:tcPr>
          <w:p w14:paraId="36E13FDE" w14:textId="77777777" w:rsidR="000F51FD" w:rsidRPr="002B640D" w:rsidRDefault="000F51FD" w:rsidP="002B640D">
            <w:pPr>
              <w:pStyle w:val="TxtListado"/>
              <w:spacing w:after="0"/>
              <w:jc w:val="center"/>
            </w:pPr>
            <w:r w:rsidRPr="002B640D">
              <w:t>$</w:t>
            </w:r>
            <w:r w:rsidR="00F25525" w:rsidRPr="002B640D">
              <w:t>4,940.59</w:t>
            </w:r>
            <w:r w:rsidRPr="002B640D">
              <w:t xml:space="preserve"> M.N.</w:t>
            </w:r>
          </w:p>
        </w:tc>
        <w:tc>
          <w:tcPr>
            <w:tcW w:w="2926" w:type="dxa"/>
            <w:vAlign w:val="center"/>
          </w:tcPr>
          <w:p w14:paraId="7A5C01B6" w14:textId="77777777" w:rsidR="00F25525" w:rsidRPr="002B640D" w:rsidRDefault="00F25525" w:rsidP="002B640D">
            <w:pPr>
              <w:pStyle w:val="TxtListado"/>
              <w:spacing w:after="0"/>
              <w:jc w:val="center"/>
            </w:pPr>
            <w:r w:rsidRPr="002B640D">
              <w:t>$5,140.59 M.N.</w:t>
            </w:r>
          </w:p>
        </w:tc>
      </w:tr>
      <w:tr w:rsidR="000F51FD" w:rsidRPr="002B640D" w14:paraId="52163AA6" w14:textId="77777777" w:rsidTr="00BB40D2">
        <w:trPr>
          <w:trHeight w:val="92"/>
          <w:tblHeader/>
          <w:jc w:val="center"/>
        </w:trPr>
        <w:tc>
          <w:tcPr>
            <w:tcW w:w="2925" w:type="dxa"/>
            <w:shd w:val="clear" w:color="auto" w:fill="auto"/>
            <w:vAlign w:val="center"/>
          </w:tcPr>
          <w:p w14:paraId="2D413EC4" w14:textId="77777777" w:rsidR="000F51FD" w:rsidRPr="002B640D" w:rsidRDefault="000F51FD" w:rsidP="002B640D">
            <w:pPr>
              <w:pStyle w:val="TxtListado"/>
              <w:spacing w:after="0"/>
              <w:jc w:val="both"/>
            </w:pPr>
            <w:r w:rsidRPr="002B640D">
              <w:t xml:space="preserve">Componente variable (por metro lineal de </w:t>
            </w:r>
            <w:r w:rsidR="00066947" w:rsidRPr="002B640D">
              <w:t xml:space="preserve">tendido de </w:t>
            </w:r>
            <w:r w:rsidRPr="002B640D">
              <w:t>cable</w:t>
            </w:r>
            <w:r w:rsidR="00066947" w:rsidRPr="002B640D">
              <w:t xml:space="preserve"> desagregado)</w:t>
            </w:r>
            <w:r w:rsidR="003040C7" w:rsidRPr="002B640D">
              <w:t xml:space="preserve"> </w:t>
            </w:r>
          </w:p>
        </w:tc>
        <w:tc>
          <w:tcPr>
            <w:tcW w:w="2926" w:type="dxa"/>
            <w:shd w:val="clear" w:color="auto" w:fill="auto"/>
            <w:vAlign w:val="center"/>
          </w:tcPr>
          <w:p w14:paraId="3B11BB85" w14:textId="77777777" w:rsidR="000F51FD" w:rsidRPr="002B640D" w:rsidRDefault="000F51FD" w:rsidP="002B640D">
            <w:pPr>
              <w:pStyle w:val="TxtListado"/>
              <w:spacing w:after="0"/>
              <w:jc w:val="center"/>
            </w:pPr>
            <w:r w:rsidRPr="002B640D">
              <w:t>$</w:t>
            </w:r>
            <w:r w:rsidR="00F25525" w:rsidRPr="002B640D">
              <w:t>19.54</w:t>
            </w:r>
            <w:r w:rsidRPr="002B640D">
              <w:t xml:space="preserve"> M.N. / metro lineal</w:t>
            </w:r>
            <w:r w:rsidR="006C449F" w:rsidRPr="002B640D">
              <w:t xml:space="preserve"> de tendido de cable desagregado</w:t>
            </w:r>
          </w:p>
        </w:tc>
        <w:tc>
          <w:tcPr>
            <w:tcW w:w="2926" w:type="dxa"/>
            <w:vAlign w:val="center"/>
          </w:tcPr>
          <w:p w14:paraId="3253C0BF" w14:textId="77777777" w:rsidR="00F25525" w:rsidRPr="002B640D" w:rsidRDefault="00F25525" w:rsidP="002B640D">
            <w:pPr>
              <w:pStyle w:val="TxtListado"/>
              <w:spacing w:after="0"/>
              <w:jc w:val="center"/>
            </w:pPr>
            <w:r w:rsidRPr="002B640D">
              <w:t>$26.68 M.N. / metro lineal</w:t>
            </w:r>
            <w:r w:rsidR="006C449F" w:rsidRPr="002B640D">
              <w:t xml:space="preserve"> de tendido de cable desagregado</w:t>
            </w:r>
          </w:p>
        </w:tc>
      </w:tr>
    </w:tbl>
    <w:p w14:paraId="412860CF" w14:textId="77777777" w:rsidR="002B640D" w:rsidRPr="002B640D" w:rsidRDefault="00AB5878" w:rsidP="002B640D">
      <w:pPr>
        <w:pStyle w:val="ROMANOS"/>
        <w:spacing w:before="240" w:after="0" w:line="276" w:lineRule="auto"/>
        <w:ind w:left="0" w:firstLine="0"/>
        <w:jc w:val="center"/>
        <w:rPr>
          <w:rFonts w:ascii="ITC Avant Garde" w:eastAsia="Calibri" w:hAnsi="ITC Avant Garde"/>
          <w:color w:val="000000"/>
          <w:szCs w:val="22"/>
          <w:lang w:val="es-ES_tradnl"/>
        </w:rPr>
      </w:pPr>
      <w:r w:rsidRPr="002B640D">
        <w:rPr>
          <w:rFonts w:ascii="ITC Avant Garde" w:eastAsia="Calibri" w:hAnsi="ITC Avant Garde"/>
          <w:b/>
          <w:color w:val="000000"/>
          <w:szCs w:val="22"/>
          <w:lang w:val="es-ES_tradnl"/>
        </w:rPr>
        <w:t>Tabla 8:</w:t>
      </w:r>
      <w:r w:rsidRPr="002B640D">
        <w:rPr>
          <w:rFonts w:ascii="ITC Avant Garde" w:eastAsia="Calibri" w:hAnsi="ITC Avant Garde"/>
          <w:color w:val="000000"/>
          <w:szCs w:val="22"/>
          <w:lang w:val="es-ES_tradnl"/>
        </w:rPr>
        <w:t xml:space="preserve"> Instalación por tendido de cable, contraprestación.</w:t>
      </w:r>
    </w:p>
    <w:p w14:paraId="13A34035" w14:textId="77777777" w:rsidR="002B640D" w:rsidRPr="002B640D" w:rsidRDefault="009F7024" w:rsidP="002B640D">
      <w:pPr>
        <w:pStyle w:val="Listaconvietas"/>
        <w:spacing w:before="240"/>
        <w:rPr>
          <w:u w:val="single"/>
        </w:rPr>
      </w:pPr>
      <w:r w:rsidRPr="002B640D">
        <w:t>Empalme por hilo de fibra óptica /cobre</w:t>
      </w:r>
    </w:p>
    <w:p w14:paraId="6EC99D95" w14:textId="4516B825" w:rsidR="009F7024" w:rsidRPr="002B640D" w:rsidRDefault="009F7024" w:rsidP="002B640D">
      <w:pPr>
        <w:pStyle w:val="Texto"/>
        <w:spacing w:before="240" w:after="0" w:line="276" w:lineRule="auto"/>
        <w:ind w:firstLine="0"/>
        <w:rPr>
          <w:rFonts w:ascii="ITC Avant Garde" w:hAnsi="ITC Avant Garde"/>
          <w:sz w:val="22"/>
          <w:szCs w:val="22"/>
        </w:rPr>
      </w:pPr>
      <w:r w:rsidRPr="002B640D">
        <w:rPr>
          <w:rFonts w:ascii="ITC Avant Garde" w:hAnsi="ITC Avant Garde"/>
          <w:sz w:val="22"/>
          <w:szCs w:val="22"/>
        </w:rPr>
        <w:t xml:space="preserve">La contraprestación </w:t>
      </w:r>
      <w:r w:rsidR="00870F9A" w:rsidRPr="002B640D">
        <w:rPr>
          <w:rFonts w:ascii="ITC Avant Garde" w:hAnsi="ITC Avant Garde"/>
          <w:sz w:val="22"/>
          <w:szCs w:val="22"/>
        </w:rPr>
        <w:t>de cada</w:t>
      </w:r>
      <w:r w:rsidRPr="002B640D">
        <w:rPr>
          <w:rFonts w:ascii="ITC Avant Garde" w:hAnsi="ITC Avant Garde"/>
          <w:sz w:val="22"/>
          <w:szCs w:val="22"/>
        </w:rPr>
        <w:t xml:space="preserve"> empalme por hilo de fibra óptica /</w:t>
      </w:r>
      <w:r w:rsidR="00870F9A" w:rsidRPr="002B640D">
        <w:rPr>
          <w:rFonts w:ascii="ITC Avant Garde" w:hAnsi="ITC Avant Garde"/>
          <w:sz w:val="22"/>
          <w:szCs w:val="22"/>
        </w:rPr>
        <w:t xml:space="preserve"> </w:t>
      </w:r>
      <w:r w:rsidRPr="002B640D">
        <w:rPr>
          <w:rFonts w:ascii="ITC Avant Garde" w:hAnsi="ITC Avant Garde"/>
          <w:sz w:val="22"/>
          <w:szCs w:val="22"/>
        </w:rPr>
        <w:t>cobre se deberá determinar</w:t>
      </w:r>
      <w:r w:rsidR="00870F9A" w:rsidRPr="002B640D">
        <w:rPr>
          <w:rFonts w:ascii="ITC Avant Garde" w:hAnsi="ITC Avant Garde"/>
          <w:sz w:val="22"/>
          <w:szCs w:val="22"/>
        </w:rPr>
        <w:t xml:space="preserve"> por cada evento de acuerdo con lo siguiente:</w:t>
      </w:r>
    </w:p>
    <w:tbl>
      <w:tblPr>
        <w:tblStyle w:val="Tablaconcuadrcula"/>
        <w:tblW w:w="8051" w:type="dxa"/>
        <w:jc w:val="center"/>
        <w:tblLook w:val="04A0" w:firstRow="1" w:lastRow="0" w:firstColumn="1" w:lastColumn="0" w:noHBand="0" w:noVBand="1"/>
        <w:tblCaption w:val="Tabla"/>
        <w:tblDescription w:val="Tabla 9: Empalme por hilo de fibra óptica /cobre, contraprestación por evento."/>
      </w:tblPr>
      <w:tblGrid>
        <w:gridCol w:w="4680"/>
        <w:gridCol w:w="3371"/>
      </w:tblGrid>
      <w:tr w:rsidR="009F7024" w:rsidRPr="002B640D" w14:paraId="47226E7C" w14:textId="77777777" w:rsidTr="00BB40D2">
        <w:trPr>
          <w:trHeight w:val="59"/>
          <w:tblHeader/>
          <w:jc w:val="center"/>
        </w:trPr>
        <w:tc>
          <w:tcPr>
            <w:tcW w:w="468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CF87F13" w14:textId="77777777" w:rsidR="009F7024" w:rsidRPr="002B640D" w:rsidRDefault="00F25525" w:rsidP="002B640D">
            <w:pPr>
              <w:pStyle w:val="TxtListado"/>
              <w:spacing w:after="0"/>
              <w:rPr>
                <w:b/>
                <w:szCs w:val="22"/>
              </w:rPr>
            </w:pPr>
            <w:r w:rsidRPr="002B640D">
              <w:rPr>
                <w:b/>
              </w:rPr>
              <w:t>Concepto</w:t>
            </w:r>
          </w:p>
        </w:tc>
        <w:tc>
          <w:tcPr>
            <w:tcW w:w="3371" w:type="dxa"/>
            <w:tcBorders>
              <w:left w:val="single" w:sz="4" w:space="0" w:color="auto"/>
            </w:tcBorders>
            <w:shd w:val="clear" w:color="auto" w:fill="DBDBDB" w:themeFill="accent3" w:themeFillTint="66"/>
            <w:vAlign w:val="center"/>
          </w:tcPr>
          <w:p w14:paraId="542FC196" w14:textId="77777777" w:rsidR="009F7024" w:rsidRPr="002B640D" w:rsidRDefault="009F7024" w:rsidP="002B640D">
            <w:pPr>
              <w:pStyle w:val="TxtListado"/>
              <w:spacing w:after="0"/>
              <w:jc w:val="center"/>
              <w:rPr>
                <w:b/>
                <w:szCs w:val="22"/>
              </w:rPr>
            </w:pPr>
            <w:r w:rsidRPr="002B640D">
              <w:rPr>
                <w:b/>
                <w:szCs w:val="22"/>
              </w:rPr>
              <w:t xml:space="preserve">Contraprestación </w:t>
            </w:r>
            <w:r w:rsidRPr="002B640D">
              <w:rPr>
                <w:b/>
              </w:rPr>
              <w:t>(por evento)</w:t>
            </w:r>
          </w:p>
        </w:tc>
      </w:tr>
      <w:tr w:rsidR="009F7024" w:rsidRPr="002B640D" w14:paraId="0A1EF28F" w14:textId="77777777" w:rsidTr="00BB40D2">
        <w:trPr>
          <w:trHeight w:val="92"/>
          <w:tblHeader/>
          <w:jc w:val="center"/>
        </w:trPr>
        <w:tc>
          <w:tcPr>
            <w:tcW w:w="4680" w:type="dxa"/>
            <w:tcBorders>
              <w:top w:val="single" w:sz="4" w:space="0" w:color="auto"/>
            </w:tcBorders>
            <w:shd w:val="clear" w:color="auto" w:fill="auto"/>
            <w:vAlign w:val="center"/>
          </w:tcPr>
          <w:p w14:paraId="0EF56078" w14:textId="77777777" w:rsidR="009F7024" w:rsidRPr="002B640D" w:rsidRDefault="00F25525" w:rsidP="002B640D">
            <w:pPr>
              <w:pStyle w:val="TxtListado"/>
              <w:tabs>
                <w:tab w:val="center" w:pos="1878"/>
              </w:tabs>
              <w:spacing w:after="0"/>
              <w:jc w:val="both"/>
            </w:pPr>
            <w:r w:rsidRPr="002B640D">
              <w:t>Empalme por hilo de fibra óptica /cobre</w:t>
            </w:r>
          </w:p>
        </w:tc>
        <w:tc>
          <w:tcPr>
            <w:tcW w:w="3371" w:type="dxa"/>
            <w:shd w:val="clear" w:color="auto" w:fill="auto"/>
            <w:vAlign w:val="center"/>
          </w:tcPr>
          <w:p w14:paraId="768291C4" w14:textId="77777777" w:rsidR="009F7024" w:rsidRPr="002B640D" w:rsidRDefault="009F7024" w:rsidP="002B640D">
            <w:pPr>
              <w:pStyle w:val="TxtListado"/>
              <w:spacing w:after="0"/>
              <w:jc w:val="center"/>
            </w:pPr>
            <w:r w:rsidRPr="002B640D">
              <w:t>$</w:t>
            </w:r>
            <w:r w:rsidR="00870F9A" w:rsidRPr="002B640D">
              <w:t>4</w:t>
            </w:r>
            <w:r w:rsidRPr="002B640D">
              <w:t>.17 M.N. (por evento)</w:t>
            </w:r>
          </w:p>
        </w:tc>
      </w:tr>
    </w:tbl>
    <w:p w14:paraId="32AFF424" w14:textId="77777777" w:rsidR="002B640D" w:rsidRPr="002B640D" w:rsidRDefault="00AB5878" w:rsidP="002B640D">
      <w:pPr>
        <w:pStyle w:val="ROMANOS"/>
        <w:spacing w:before="240" w:after="0" w:line="276" w:lineRule="auto"/>
        <w:ind w:left="0" w:firstLine="0"/>
        <w:jc w:val="center"/>
        <w:rPr>
          <w:rFonts w:ascii="ITC Avant Garde" w:eastAsia="Calibri" w:hAnsi="ITC Avant Garde"/>
          <w:color w:val="000000"/>
          <w:szCs w:val="22"/>
          <w:lang w:val="es-ES_tradnl"/>
        </w:rPr>
      </w:pPr>
      <w:r w:rsidRPr="002B640D">
        <w:rPr>
          <w:rFonts w:ascii="ITC Avant Garde" w:eastAsia="Calibri" w:hAnsi="ITC Avant Garde"/>
          <w:b/>
          <w:color w:val="000000"/>
          <w:szCs w:val="22"/>
          <w:lang w:val="es-ES_tradnl"/>
        </w:rPr>
        <w:t>Tabla 9:</w:t>
      </w:r>
      <w:r w:rsidRPr="002B640D">
        <w:rPr>
          <w:rFonts w:ascii="ITC Avant Garde" w:eastAsia="Calibri" w:hAnsi="ITC Avant Garde"/>
          <w:color w:val="000000"/>
          <w:szCs w:val="22"/>
          <w:lang w:val="es-ES_tradnl"/>
        </w:rPr>
        <w:t xml:space="preserve"> Empalme por hilo de fibra óptica /cobre, contraprestación por evento.</w:t>
      </w:r>
    </w:p>
    <w:p w14:paraId="65C21DDE" w14:textId="77777777" w:rsidR="002B640D" w:rsidRPr="002B640D" w:rsidRDefault="00061301" w:rsidP="002B640D">
      <w:pPr>
        <w:pStyle w:val="Listaconvietas"/>
        <w:spacing w:before="240"/>
        <w:rPr>
          <w:u w:val="single"/>
        </w:rPr>
      </w:pPr>
      <w:r w:rsidRPr="002B640D">
        <w:lastRenderedPageBreak/>
        <w:t>Uso y mantenimiento de la trayectoria para cable</w:t>
      </w:r>
    </w:p>
    <w:p w14:paraId="7A81A9B4" w14:textId="2335E5EB" w:rsidR="00061301" w:rsidRPr="002B640D" w:rsidRDefault="00061301" w:rsidP="002B640D">
      <w:pPr>
        <w:pStyle w:val="Texto"/>
        <w:spacing w:before="240" w:line="276" w:lineRule="auto"/>
        <w:ind w:firstLine="0"/>
        <w:rPr>
          <w:rFonts w:ascii="ITC Avant Garde" w:hAnsi="ITC Avant Garde"/>
          <w:b/>
          <w:sz w:val="22"/>
          <w:szCs w:val="22"/>
        </w:rPr>
      </w:pPr>
      <w:r w:rsidRPr="002B640D">
        <w:rPr>
          <w:rFonts w:ascii="ITC Avant Garde" w:hAnsi="ITC Avant Garde"/>
          <w:sz w:val="22"/>
          <w:szCs w:val="22"/>
        </w:rPr>
        <w:t xml:space="preserve">La contraprestación </w:t>
      </w:r>
      <w:r w:rsidR="00F141CC" w:rsidRPr="002B640D">
        <w:rPr>
          <w:rFonts w:ascii="ITC Avant Garde" w:hAnsi="ITC Avant Garde"/>
          <w:sz w:val="22"/>
          <w:szCs w:val="22"/>
        </w:rPr>
        <w:t xml:space="preserve">anual por uso y mantenimiento de la trayectoria para cable se deberá determinar por </w:t>
      </w:r>
      <w:r w:rsidR="0045750B" w:rsidRPr="002B640D">
        <w:rPr>
          <w:rFonts w:ascii="ITC Avant Garde" w:hAnsi="ITC Avant Garde"/>
          <w:sz w:val="22"/>
          <w:szCs w:val="22"/>
          <w:lang w:val="es-419"/>
        </w:rPr>
        <w:t xml:space="preserve">la longitud del </w:t>
      </w:r>
      <w:r w:rsidR="00F141CC" w:rsidRPr="002B640D">
        <w:rPr>
          <w:rFonts w:ascii="ITC Avant Garde" w:hAnsi="ITC Avant Garde"/>
          <w:sz w:val="22"/>
          <w:szCs w:val="22"/>
        </w:rPr>
        <w:t xml:space="preserve">cable </w:t>
      </w:r>
      <w:r w:rsidR="0045750B" w:rsidRPr="002B640D">
        <w:rPr>
          <w:rFonts w:ascii="ITC Avant Garde" w:hAnsi="ITC Avant Garde"/>
          <w:sz w:val="22"/>
          <w:szCs w:val="22"/>
          <w:lang w:val="es-419"/>
        </w:rPr>
        <w:t xml:space="preserve">contratado </w:t>
      </w:r>
      <w:r w:rsidR="00F141CC" w:rsidRPr="002B640D">
        <w:rPr>
          <w:rFonts w:ascii="ITC Avant Garde" w:hAnsi="ITC Avant Garde"/>
          <w:sz w:val="22"/>
          <w:szCs w:val="22"/>
        </w:rPr>
        <w:t xml:space="preserve">en el servicio Instalación por tendido de cable. </w:t>
      </w:r>
      <w:r w:rsidR="00CF0911" w:rsidRPr="002B640D">
        <w:rPr>
          <w:rFonts w:ascii="ITC Avant Garde" w:hAnsi="ITC Avant Garde"/>
          <w:sz w:val="22"/>
          <w:szCs w:val="22"/>
        </w:rPr>
        <w:t>Dicho valor</w:t>
      </w:r>
      <w:r w:rsidR="00F141CC" w:rsidRPr="002B640D">
        <w:rPr>
          <w:rFonts w:ascii="ITC Avant Garde" w:hAnsi="ITC Avant Garde"/>
          <w:sz w:val="22"/>
          <w:szCs w:val="22"/>
        </w:rPr>
        <w:t xml:space="preserve"> se calculará como la suma de dos componentes una fija</w:t>
      </w:r>
      <w:r w:rsidR="00F141CC" w:rsidRPr="002B640D">
        <w:rPr>
          <w:rStyle w:val="Refdenotaalpie"/>
        </w:rPr>
        <w:footnoteReference w:id="11"/>
      </w:r>
      <w:r w:rsidR="00F141CC" w:rsidRPr="002B640D">
        <w:rPr>
          <w:rFonts w:ascii="ITC Avant Garde" w:hAnsi="ITC Avant Garde"/>
          <w:sz w:val="22"/>
          <w:szCs w:val="22"/>
        </w:rPr>
        <w:t xml:space="preserve"> y otra variable (dependiente de los metros lineales del cable </w:t>
      </w:r>
      <w:r w:rsidR="007310B1" w:rsidRPr="002B640D">
        <w:rPr>
          <w:rFonts w:ascii="ITC Avant Garde" w:hAnsi="ITC Avant Garde"/>
          <w:sz w:val="22"/>
          <w:szCs w:val="22"/>
        </w:rPr>
        <w:t>aludido</w:t>
      </w:r>
      <w:r w:rsidR="00F141CC" w:rsidRPr="002B640D">
        <w:rPr>
          <w:rFonts w:ascii="ITC Avant Garde" w:hAnsi="ITC Avant Garde"/>
          <w:sz w:val="22"/>
          <w:szCs w:val="22"/>
        </w:rPr>
        <w:t>), de conformidad con lo siguiente:</w:t>
      </w:r>
    </w:p>
    <w:tbl>
      <w:tblPr>
        <w:tblStyle w:val="Tablaconcuadrcula"/>
        <w:tblW w:w="5000" w:type="pct"/>
        <w:jc w:val="center"/>
        <w:tblLook w:val="04A0" w:firstRow="1" w:lastRow="0" w:firstColumn="1" w:lastColumn="0" w:noHBand="0" w:noVBand="1"/>
        <w:tblCaption w:val="Tabla"/>
        <w:tblDescription w:val="Tabla 10: Uso y mantenimiento de la trayectoria para cable, contraprestación anual."/>
      </w:tblPr>
      <w:tblGrid>
        <w:gridCol w:w="4388"/>
        <w:gridCol w:w="4389"/>
      </w:tblGrid>
      <w:tr w:rsidR="00F141CC" w:rsidRPr="002B640D" w14:paraId="6DECAF50" w14:textId="77777777" w:rsidTr="00BB40D2">
        <w:trPr>
          <w:trHeight w:val="59"/>
          <w:tblHeader/>
          <w:jc w:val="center"/>
        </w:trPr>
        <w:tc>
          <w:tcPr>
            <w:tcW w:w="2500"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D5C9FA5" w14:textId="77777777" w:rsidR="00F141CC" w:rsidRPr="002B640D" w:rsidRDefault="007310B1" w:rsidP="002B640D">
            <w:pPr>
              <w:pStyle w:val="TxtListado"/>
              <w:spacing w:after="0"/>
              <w:jc w:val="center"/>
              <w:rPr>
                <w:b/>
                <w:szCs w:val="22"/>
              </w:rPr>
            </w:pPr>
            <w:r w:rsidRPr="002B640D">
              <w:rPr>
                <w:b/>
              </w:rPr>
              <w:t>Uso y mantenimiento de la trayectoria para cable</w:t>
            </w:r>
          </w:p>
        </w:tc>
        <w:tc>
          <w:tcPr>
            <w:tcW w:w="2500" w:type="pct"/>
            <w:tcBorders>
              <w:left w:val="single" w:sz="4" w:space="0" w:color="auto"/>
            </w:tcBorders>
            <w:shd w:val="clear" w:color="auto" w:fill="DBDBDB" w:themeFill="accent3" w:themeFillTint="66"/>
            <w:vAlign w:val="center"/>
          </w:tcPr>
          <w:p w14:paraId="15656552" w14:textId="77777777" w:rsidR="00F141CC" w:rsidRPr="002B640D" w:rsidRDefault="007310B1" w:rsidP="002B640D">
            <w:pPr>
              <w:pStyle w:val="TxtListado"/>
              <w:spacing w:after="0"/>
              <w:jc w:val="center"/>
              <w:rPr>
                <w:b/>
                <w:szCs w:val="22"/>
              </w:rPr>
            </w:pPr>
            <w:r w:rsidRPr="002B640D">
              <w:rPr>
                <w:b/>
                <w:szCs w:val="22"/>
              </w:rPr>
              <w:t xml:space="preserve">Contraprestación </w:t>
            </w:r>
            <w:r w:rsidRPr="002B640D">
              <w:rPr>
                <w:b/>
              </w:rPr>
              <w:t>anual</w:t>
            </w:r>
          </w:p>
        </w:tc>
      </w:tr>
      <w:tr w:rsidR="00F141CC" w:rsidRPr="002B640D" w14:paraId="642A25C4" w14:textId="77777777" w:rsidTr="00BB40D2">
        <w:trPr>
          <w:trHeight w:val="92"/>
          <w:tblHeader/>
          <w:jc w:val="center"/>
        </w:trPr>
        <w:tc>
          <w:tcPr>
            <w:tcW w:w="2500" w:type="pct"/>
            <w:tcBorders>
              <w:top w:val="single" w:sz="4" w:space="0" w:color="auto"/>
            </w:tcBorders>
            <w:shd w:val="clear" w:color="auto" w:fill="auto"/>
            <w:vAlign w:val="center"/>
          </w:tcPr>
          <w:p w14:paraId="2C0E7691" w14:textId="77777777" w:rsidR="00F141CC" w:rsidRPr="002B640D" w:rsidRDefault="00F141CC" w:rsidP="002B640D">
            <w:pPr>
              <w:pStyle w:val="TxtListado"/>
              <w:tabs>
                <w:tab w:val="center" w:pos="1878"/>
              </w:tabs>
              <w:spacing w:after="0"/>
              <w:jc w:val="both"/>
            </w:pPr>
            <w:r w:rsidRPr="002B640D">
              <w:t>Componente fija</w:t>
            </w:r>
          </w:p>
        </w:tc>
        <w:tc>
          <w:tcPr>
            <w:tcW w:w="2500" w:type="pct"/>
            <w:shd w:val="clear" w:color="auto" w:fill="auto"/>
            <w:vAlign w:val="center"/>
          </w:tcPr>
          <w:p w14:paraId="41E75EBC" w14:textId="77777777" w:rsidR="00F141CC" w:rsidRPr="002B640D" w:rsidRDefault="00F141CC" w:rsidP="002B640D">
            <w:pPr>
              <w:pStyle w:val="TxtListado"/>
              <w:spacing w:after="0"/>
              <w:jc w:val="center"/>
            </w:pPr>
            <w:r w:rsidRPr="002B640D">
              <w:t>$</w:t>
            </w:r>
            <w:r w:rsidR="007310B1" w:rsidRPr="002B640D">
              <w:t>1,107.26</w:t>
            </w:r>
            <w:r w:rsidRPr="002B640D">
              <w:t xml:space="preserve"> M.N.</w:t>
            </w:r>
            <w:r w:rsidR="007310B1" w:rsidRPr="002B640D">
              <w:t xml:space="preserve"> </w:t>
            </w:r>
          </w:p>
        </w:tc>
      </w:tr>
      <w:tr w:rsidR="00F141CC" w:rsidRPr="002B640D" w14:paraId="29FDCF0D" w14:textId="77777777" w:rsidTr="00BB40D2">
        <w:trPr>
          <w:trHeight w:val="92"/>
          <w:tblHeader/>
          <w:jc w:val="center"/>
        </w:trPr>
        <w:tc>
          <w:tcPr>
            <w:tcW w:w="2500" w:type="pct"/>
            <w:shd w:val="clear" w:color="auto" w:fill="auto"/>
            <w:vAlign w:val="center"/>
          </w:tcPr>
          <w:p w14:paraId="3FF7B761" w14:textId="77777777" w:rsidR="00F141CC" w:rsidRPr="002B640D" w:rsidRDefault="00F141CC" w:rsidP="002B640D">
            <w:pPr>
              <w:pStyle w:val="TxtListado"/>
              <w:spacing w:after="0"/>
              <w:jc w:val="both"/>
            </w:pPr>
            <w:r w:rsidRPr="002B640D">
              <w:t xml:space="preserve">Componente variable (por metro lineal de </w:t>
            </w:r>
            <w:r w:rsidR="00066947" w:rsidRPr="002B640D">
              <w:t xml:space="preserve">tendido de </w:t>
            </w:r>
            <w:r w:rsidRPr="002B640D">
              <w:t>cable</w:t>
            </w:r>
            <w:r w:rsidR="00066947" w:rsidRPr="002B640D">
              <w:t xml:space="preserve"> desagregado</w:t>
            </w:r>
            <w:r w:rsidRPr="002B640D">
              <w:t>)</w:t>
            </w:r>
          </w:p>
        </w:tc>
        <w:tc>
          <w:tcPr>
            <w:tcW w:w="2500" w:type="pct"/>
            <w:shd w:val="clear" w:color="auto" w:fill="auto"/>
            <w:vAlign w:val="center"/>
          </w:tcPr>
          <w:p w14:paraId="1D42E2A6" w14:textId="77777777" w:rsidR="00F141CC" w:rsidRPr="002B640D" w:rsidRDefault="00F141CC" w:rsidP="002B640D">
            <w:pPr>
              <w:pStyle w:val="TxtListado"/>
              <w:spacing w:after="0"/>
              <w:jc w:val="center"/>
            </w:pPr>
            <w:r w:rsidRPr="002B640D">
              <w:t>$</w:t>
            </w:r>
            <w:r w:rsidR="00F62D27" w:rsidRPr="002B640D">
              <w:t>2.62</w:t>
            </w:r>
            <w:r w:rsidRPr="002B640D">
              <w:t xml:space="preserve"> M.N. / </w:t>
            </w:r>
            <w:r w:rsidR="006228A9" w:rsidRPr="002B640D">
              <w:t xml:space="preserve">por </w:t>
            </w:r>
            <w:r w:rsidRPr="002B640D">
              <w:t>metro lineal</w:t>
            </w:r>
            <w:r w:rsidR="006228A9" w:rsidRPr="002B640D">
              <w:t xml:space="preserve"> de tendido de cable desagregado</w:t>
            </w:r>
          </w:p>
        </w:tc>
      </w:tr>
    </w:tbl>
    <w:p w14:paraId="282CFA7C" w14:textId="744DD57D" w:rsidR="00AB5878" w:rsidRPr="002B640D" w:rsidRDefault="00AB5878" w:rsidP="002B640D">
      <w:pPr>
        <w:pStyle w:val="ROMANOS"/>
        <w:spacing w:before="240" w:after="0" w:line="276" w:lineRule="auto"/>
        <w:ind w:left="0" w:firstLine="0"/>
        <w:jc w:val="center"/>
        <w:rPr>
          <w:rFonts w:ascii="ITC Avant Garde" w:eastAsia="Calibri" w:hAnsi="ITC Avant Garde"/>
          <w:color w:val="000000"/>
          <w:szCs w:val="22"/>
          <w:lang w:val="es-ES_tradnl"/>
        </w:rPr>
      </w:pPr>
      <w:r w:rsidRPr="002B640D">
        <w:rPr>
          <w:rFonts w:ascii="ITC Avant Garde" w:eastAsia="Calibri" w:hAnsi="ITC Avant Garde"/>
          <w:b/>
          <w:color w:val="000000"/>
          <w:szCs w:val="22"/>
          <w:lang w:val="es-ES_tradnl"/>
        </w:rPr>
        <w:t>Tabla 10:</w:t>
      </w:r>
      <w:r w:rsidRPr="002B640D">
        <w:rPr>
          <w:rFonts w:ascii="ITC Avant Garde" w:eastAsia="Calibri" w:hAnsi="ITC Avant Garde"/>
          <w:color w:val="000000"/>
          <w:szCs w:val="22"/>
          <w:lang w:val="es-ES_tradnl"/>
        </w:rPr>
        <w:t xml:space="preserve"> Uso y mantenimiento de la trayectoria para cable, contraprestación anual.</w:t>
      </w:r>
    </w:p>
    <w:p w14:paraId="0A825EF2" w14:textId="77777777" w:rsidR="00F60E67" w:rsidRPr="002B640D" w:rsidRDefault="001578AE" w:rsidP="002B640D">
      <w:pPr>
        <w:spacing w:before="240"/>
        <w:jc w:val="both"/>
        <w:rPr>
          <w:rStyle w:val="IFTnormalCar"/>
        </w:rPr>
      </w:pPr>
      <w:r w:rsidRPr="002B640D">
        <w:rPr>
          <w:rFonts w:ascii="ITC Avant Garde" w:eastAsia="Calibri" w:hAnsi="ITC Avant Garde" w:cs="Arial"/>
          <w:b/>
          <w:lang w:eastAsia="es-ES"/>
        </w:rPr>
        <w:t xml:space="preserve">CUARTO.- </w:t>
      </w:r>
      <w:r w:rsidR="00337275" w:rsidRPr="002B640D">
        <w:rPr>
          <w:rFonts w:ascii="ITC Avant Garde" w:eastAsia="Calibri" w:hAnsi="ITC Avant Garde" w:cs="Arial"/>
          <w:b/>
          <w:lang w:eastAsia="es-ES"/>
        </w:rPr>
        <w:t>Modelo de Costos de Torres</w:t>
      </w:r>
      <w:r w:rsidRPr="002B640D">
        <w:rPr>
          <w:rFonts w:ascii="ITC Avant Garde" w:eastAsia="Calibri" w:hAnsi="ITC Avant Garde" w:cs="Arial"/>
          <w:b/>
          <w:lang w:eastAsia="es-ES"/>
        </w:rPr>
        <w:t xml:space="preserve">. </w:t>
      </w:r>
      <w:r w:rsidRPr="002B640D">
        <w:rPr>
          <w:rStyle w:val="IFTnormalCar"/>
        </w:rPr>
        <w:t xml:space="preserve">El modelo de costos que </w:t>
      </w:r>
      <w:r w:rsidR="006630FE" w:rsidRPr="002B640D">
        <w:rPr>
          <w:rStyle w:val="IFTnormalCar"/>
        </w:rPr>
        <w:t>se describe a continuación determina las tarifas para los Servicios de Acceso y Uso Compartido de Infraestructura Pasiva Fija asociada al Espacio en Torre y Espacio en Piso aplicables para el año 2017</w:t>
      </w:r>
      <w:r w:rsidR="006630FE" w:rsidRPr="002B640D" w:rsidDel="00444CD5">
        <w:rPr>
          <w:rStyle w:val="IFTnormalCar"/>
        </w:rPr>
        <w:t xml:space="preserve"> </w:t>
      </w:r>
      <w:r w:rsidR="006630FE" w:rsidRPr="002B640D">
        <w:rPr>
          <w:rStyle w:val="IFTnormalCar"/>
        </w:rPr>
        <w:t>(en lo sucesivo, “Modelo de Costos de Torres”)</w:t>
      </w:r>
      <w:r w:rsidR="0077499D" w:rsidRPr="002B640D">
        <w:rPr>
          <w:rStyle w:val="IFTnormalCar"/>
        </w:rPr>
        <w:t xml:space="preserve">, el cual </w:t>
      </w:r>
      <w:r w:rsidR="006630FE" w:rsidRPr="002B640D">
        <w:rPr>
          <w:rStyle w:val="IFTnormalCar"/>
        </w:rPr>
        <w:t>se desarrolló siguiendo una metodología de costos incrementales promedio de largo plazo de conformidad con lo establecido en la Medida TRIGÉSIMA NOVENA de las Medidas Fijas.</w:t>
      </w:r>
      <w:r w:rsidRPr="002B640D">
        <w:rPr>
          <w:rStyle w:val="IFTnormalCar"/>
        </w:rPr>
        <w:t xml:space="preserve"> </w:t>
      </w:r>
      <w:bookmarkStart w:id="50" w:name="_Toc426649746"/>
      <w:bookmarkStart w:id="51" w:name="_Toc426973641"/>
    </w:p>
    <w:p w14:paraId="0303BA35" w14:textId="77777777" w:rsidR="003E4CE8" w:rsidRPr="002B640D" w:rsidRDefault="00EB7FCC" w:rsidP="002B640D">
      <w:pPr>
        <w:pStyle w:val="IFTnormal"/>
        <w:spacing w:before="240"/>
      </w:pPr>
      <w:r w:rsidRPr="002B640D">
        <w:t>Cabe destacar que dicho modelo de costos</w:t>
      </w:r>
      <w:r w:rsidR="003E4CE8" w:rsidRPr="002B640D">
        <w:t xml:space="preserve"> incorpora las opiniones y comentarios vertidos en la Consulta Pública descrita en el </w:t>
      </w:r>
      <w:r w:rsidR="0077499D" w:rsidRPr="002B640D">
        <w:t>A</w:t>
      </w:r>
      <w:r w:rsidR="003E4CE8" w:rsidRPr="002B640D">
        <w:t xml:space="preserve">ntecedente V, </w:t>
      </w:r>
      <w:r w:rsidRPr="002B640D">
        <w:t>considerando</w:t>
      </w:r>
      <w:r w:rsidR="00E2487B" w:rsidRPr="002B640D">
        <w:t xml:space="preserve"> principalmente la siguiente</w:t>
      </w:r>
      <w:r w:rsidR="003E4CE8" w:rsidRPr="002B640D">
        <w:t xml:space="preserve"> adecuaci</w:t>
      </w:r>
      <w:r w:rsidR="00E2487B" w:rsidRPr="002B640D">
        <w:t>ón</w:t>
      </w:r>
      <w:r w:rsidR="003E4CE8" w:rsidRPr="002B640D">
        <w:t>:</w:t>
      </w:r>
    </w:p>
    <w:p w14:paraId="410B329C" w14:textId="77777777" w:rsidR="003E4CE8" w:rsidRPr="002B640D" w:rsidRDefault="003E4CE8" w:rsidP="002B640D">
      <w:pPr>
        <w:pStyle w:val="IFTTexto"/>
        <w:numPr>
          <w:ilvl w:val="0"/>
          <w:numId w:val="15"/>
        </w:numPr>
        <w:spacing w:before="240"/>
        <w:rPr>
          <w:lang w:val="es-MX"/>
        </w:rPr>
      </w:pPr>
      <w:r w:rsidRPr="002B640D">
        <w:rPr>
          <w:lang w:val="es-MX"/>
        </w:rPr>
        <w:t>Se modificó el enfoque de</w:t>
      </w:r>
      <w:r w:rsidR="0077499D" w:rsidRPr="002B640D">
        <w:rPr>
          <w:lang w:val="es-MX"/>
        </w:rPr>
        <w:t>l esquema de</w:t>
      </w:r>
      <w:r w:rsidRPr="002B640D">
        <w:rPr>
          <w:lang w:val="es-MX"/>
        </w:rPr>
        <w:t xml:space="preserve"> modelación pasando de una </w:t>
      </w:r>
      <w:r w:rsidR="0077499D" w:rsidRPr="002B640D">
        <w:rPr>
          <w:lang w:val="es-MX"/>
        </w:rPr>
        <w:t xml:space="preserve">estimación </w:t>
      </w:r>
      <w:r w:rsidRPr="002B640D">
        <w:rPr>
          <w:lang w:val="es-MX"/>
        </w:rPr>
        <w:t xml:space="preserve">“Sitio a sitio”, </w:t>
      </w:r>
      <w:r w:rsidR="0077499D" w:rsidRPr="002B640D">
        <w:rPr>
          <w:lang w:val="es-MX"/>
        </w:rPr>
        <w:t xml:space="preserve">a través de la cual </w:t>
      </w:r>
      <w:r w:rsidRPr="002B640D">
        <w:rPr>
          <w:lang w:val="es-MX"/>
        </w:rPr>
        <w:t>se modelaba un sitio particular para estimar las tarifas de los servicios de</w:t>
      </w:r>
      <w:r w:rsidRPr="002B640D">
        <w:t xml:space="preserve"> Acceso y Uso Compartido de Infraestructura Pasiva asociada al Espacio en Torre y Espacio en Piso</w:t>
      </w:r>
      <w:r w:rsidR="004E289C" w:rsidRPr="002B640D">
        <w:rPr>
          <w:lang w:val="es-MX"/>
        </w:rPr>
        <w:t xml:space="preserve">, </w:t>
      </w:r>
      <w:r w:rsidRPr="002B640D">
        <w:rPr>
          <w:lang w:val="es-MX"/>
        </w:rPr>
        <w:t xml:space="preserve">para modelar </w:t>
      </w:r>
      <w:r w:rsidRPr="002B640D">
        <w:t xml:space="preserve">un sitio característico de acuerdo a los diversos </w:t>
      </w:r>
      <w:proofErr w:type="spellStart"/>
      <w:r w:rsidRPr="002B640D">
        <w:t>geotipos</w:t>
      </w:r>
      <w:proofErr w:type="spellEnd"/>
      <w:r w:rsidR="00C128D1" w:rsidRPr="002B640D">
        <w:rPr>
          <w:rStyle w:val="Refdenotaalpie"/>
        </w:rPr>
        <w:footnoteReference w:id="12"/>
      </w:r>
      <w:r w:rsidRPr="002B640D">
        <w:t xml:space="preserve"> considerados en la Oferta de Referencia </w:t>
      </w:r>
      <w:r w:rsidR="00701F9E" w:rsidRPr="002B640D">
        <w:t xml:space="preserve">de Telmex y </w:t>
      </w:r>
      <w:r w:rsidR="0077499D" w:rsidRPr="002B640D">
        <w:t xml:space="preserve">en la Oferta de </w:t>
      </w:r>
      <w:r w:rsidR="0077499D" w:rsidRPr="002B640D">
        <w:lastRenderedPageBreak/>
        <w:t xml:space="preserve">Referencia de </w:t>
      </w:r>
      <w:proofErr w:type="spellStart"/>
      <w:r w:rsidR="00701F9E" w:rsidRPr="002B640D">
        <w:t>Telnor</w:t>
      </w:r>
      <w:proofErr w:type="spellEnd"/>
      <w:r w:rsidR="00701F9E" w:rsidRPr="002B640D">
        <w:t xml:space="preserve"> </w:t>
      </w:r>
      <w:r w:rsidRPr="002B640D">
        <w:t>autorizada</w:t>
      </w:r>
      <w:r w:rsidR="0077499D" w:rsidRPr="002B640D">
        <w:t>s</w:t>
      </w:r>
      <w:r w:rsidRPr="002B640D">
        <w:t xml:space="preserve"> por el Instituto, y con ello estimar las tarifas correspondientes.</w:t>
      </w:r>
    </w:p>
    <w:p w14:paraId="7A6EEBB6" w14:textId="77777777" w:rsidR="0078409C" w:rsidRPr="002B640D" w:rsidRDefault="0078409C" w:rsidP="002B640D">
      <w:pPr>
        <w:numPr>
          <w:ilvl w:val="0"/>
          <w:numId w:val="15"/>
        </w:numPr>
        <w:spacing w:before="240"/>
        <w:jc w:val="both"/>
      </w:pPr>
      <w:r w:rsidRPr="002B640D">
        <w:rPr>
          <w:rFonts w:ascii="ITC Avant Garde" w:eastAsia="Calibri" w:hAnsi="ITC Avant Garde" w:cs="Arial"/>
          <w:lang w:eastAsia="es-ES"/>
        </w:rPr>
        <w:t>Reducción a 33.33 años el parámetro de vida útil para torres</w:t>
      </w:r>
      <w:r w:rsidRPr="002B640D">
        <w:rPr>
          <w:rStyle w:val="Refdenotaalpie"/>
          <w:rFonts w:ascii="ITC Avant Garde" w:eastAsia="Calibri" w:hAnsi="ITC Avant Garde" w:cs="Arial"/>
          <w:lang w:eastAsia="es-ES"/>
        </w:rPr>
        <w:footnoteReference w:id="13"/>
      </w:r>
      <w:r w:rsidRPr="002B640D">
        <w:rPr>
          <w:rFonts w:ascii="ITC Avant Garde" w:eastAsia="Calibri" w:hAnsi="ITC Avant Garde" w:cs="Arial"/>
          <w:lang w:eastAsia="es-ES"/>
        </w:rPr>
        <w:t>.</w:t>
      </w:r>
    </w:p>
    <w:p w14:paraId="4C43F181" w14:textId="77777777" w:rsidR="003E4CE8" w:rsidRPr="002B640D" w:rsidRDefault="003E4CE8" w:rsidP="002B640D">
      <w:pPr>
        <w:pStyle w:val="IFTnormal"/>
        <w:spacing w:before="240"/>
      </w:pPr>
      <w:r w:rsidRPr="002B640D">
        <w:t>Adicionalmente, como resultado del análisis de información proporcionada por el AEP</w:t>
      </w:r>
      <w:r w:rsidR="00E2487B" w:rsidRPr="002B640D">
        <w:t xml:space="preserve">, </w:t>
      </w:r>
      <w:r w:rsidRPr="002B640D">
        <w:t>se realizaron las siguientes adecuaciones al modelo:</w:t>
      </w:r>
    </w:p>
    <w:p w14:paraId="6594C285" w14:textId="77777777" w:rsidR="00E2487B" w:rsidRPr="002B640D" w:rsidRDefault="00E2487B" w:rsidP="002B640D">
      <w:pPr>
        <w:pStyle w:val="IFTnormal"/>
        <w:numPr>
          <w:ilvl w:val="0"/>
          <w:numId w:val="16"/>
        </w:numPr>
        <w:spacing w:before="240"/>
      </w:pPr>
      <w:r w:rsidRPr="002B640D">
        <w:rPr>
          <w:lang w:val="es-MX"/>
        </w:rPr>
        <w:t xml:space="preserve">Se adaptó el enfoque de modelación del Espacio en Piso </w:t>
      </w:r>
      <w:r w:rsidRPr="002B640D">
        <w:t>de acuerdo a tres modalidades</w:t>
      </w:r>
      <w:r w:rsidRPr="002B640D">
        <w:rPr>
          <w:lang w:val="es-MX"/>
        </w:rPr>
        <w:t xml:space="preserve">, a efecto de reflejar si dicho </w:t>
      </w:r>
      <w:r w:rsidRPr="002B640D">
        <w:t xml:space="preserve">espacio vertical es demandado por el CS en un zona específica del sitio, es decir: </w:t>
      </w:r>
    </w:p>
    <w:p w14:paraId="16F74E4C" w14:textId="77777777" w:rsidR="00E2487B" w:rsidRPr="002B640D" w:rsidRDefault="00E2487B" w:rsidP="002B640D">
      <w:pPr>
        <w:pStyle w:val="IFTTexto"/>
        <w:numPr>
          <w:ilvl w:val="1"/>
          <w:numId w:val="16"/>
        </w:numPr>
        <w:spacing w:before="240"/>
      </w:pPr>
      <w:r w:rsidRPr="002B640D">
        <w:rPr>
          <w:bCs/>
        </w:rPr>
        <w:t>En Predio: relativo a un</w:t>
      </w:r>
      <w:r w:rsidRPr="002B640D">
        <w:t xml:space="preserve"> terreno (sitio físico, sin obra civil).</w:t>
      </w:r>
    </w:p>
    <w:p w14:paraId="28837541" w14:textId="77777777" w:rsidR="00E2487B" w:rsidRPr="002B640D" w:rsidRDefault="00E2487B" w:rsidP="002B640D">
      <w:pPr>
        <w:pStyle w:val="IFTTexto"/>
        <w:numPr>
          <w:ilvl w:val="1"/>
          <w:numId w:val="16"/>
        </w:numPr>
        <w:spacing w:before="240"/>
      </w:pPr>
      <w:r w:rsidRPr="002B640D">
        <w:rPr>
          <w:bCs/>
        </w:rPr>
        <w:t>En Azotea:</w:t>
      </w:r>
      <w:r w:rsidRPr="002B640D">
        <w:rPr>
          <w:b/>
          <w:bCs/>
        </w:rPr>
        <w:t xml:space="preserve"> </w:t>
      </w:r>
      <w:r w:rsidRPr="002B640D">
        <w:t>azotea de un edificio.</w:t>
      </w:r>
    </w:p>
    <w:p w14:paraId="56360891" w14:textId="77777777" w:rsidR="00E2487B" w:rsidRPr="002B640D" w:rsidRDefault="00E2487B" w:rsidP="002B640D">
      <w:pPr>
        <w:pStyle w:val="IFTTexto"/>
        <w:numPr>
          <w:ilvl w:val="1"/>
          <w:numId w:val="16"/>
        </w:numPr>
        <w:spacing w:before="240"/>
      </w:pPr>
      <w:r w:rsidRPr="002B640D">
        <w:rPr>
          <w:bCs/>
        </w:rPr>
        <w:t>En Caseta:</w:t>
      </w:r>
      <w:r w:rsidRPr="002B640D">
        <w:t xml:space="preserve"> espacio dentro de un edificio</w:t>
      </w:r>
      <w:r w:rsidRPr="002B640D">
        <w:rPr>
          <w:b/>
          <w:bCs/>
        </w:rPr>
        <w:t>.</w:t>
      </w:r>
    </w:p>
    <w:p w14:paraId="71F3873A" w14:textId="77777777" w:rsidR="003E4CE8" w:rsidRPr="002B640D" w:rsidRDefault="003E4CE8" w:rsidP="002B640D">
      <w:pPr>
        <w:numPr>
          <w:ilvl w:val="0"/>
          <w:numId w:val="16"/>
        </w:numPr>
        <w:spacing w:before="240"/>
        <w:jc w:val="both"/>
        <w:rPr>
          <w:rFonts w:ascii="ITC Avant Garde" w:eastAsia="Calibri" w:hAnsi="ITC Avant Garde" w:cs="Arial"/>
          <w:color w:val="000000"/>
          <w:lang w:eastAsia="es-ES"/>
        </w:rPr>
      </w:pPr>
      <w:r w:rsidRPr="002B640D">
        <w:rPr>
          <w:rFonts w:ascii="ITC Avant Garde" w:eastAsia="Calibri" w:hAnsi="ITC Avant Garde" w:cs="Arial"/>
          <w:color w:val="000000"/>
          <w:lang w:eastAsia="es-ES"/>
        </w:rPr>
        <w:t xml:space="preserve">Inclusión del CAPEX asociado </w:t>
      </w:r>
      <w:r w:rsidR="00EA134A" w:rsidRPr="002B640D">
        <w:rPr>
          <w:rFonts w:ascii="ITC Avant Garde" w:eastAsia="Calibri" w:hAnsi="ITC Avant Garde" w:cs="Arial"/>
          <w:color w:val="000000"/>
          <w:lang w:eastAsia="es-ES"/>
        </w:rPr>
        <w:t>a “Instalación de sistemas/equipos de seguridad”</w:t>
      </w:r>
      <w:r w:rsidR="00EA134A" w:rsidRPr="002B640D">
        <w:rPr>
          <w:rStyle w:val="Refdenotaalpie"/>
          <w:rFonts w:ascii="ITC Avant Garde" w:eastAsia="Calibri" w:hAnsi="ITC Avant Garde" w:cs="Arial"/>
          <w:color w:val="000000"/>
          <w:lang w:eastAsia="es-ES"/>
        </w:rPr>
        <w:footnoteReference w:id="14"/>
      </w:r>
      <w:r w:rsidR="00EA134A" w:rsidRPr="002B640D">
        <w:rPr>
          <w:rFonts w:ascii="ITC Avant Garde" w:eastAsia="Calibri" w:hAnsi="ITC Avant Garde" w:cs="Arial"/>
          <w:color w:val="000000"/>
          <w:lang w:eastAsia="es-ES"/>
        </w:rPr>
        <w:t xml:space="preserve">, de acuerdo con el espacio que ocupa la torre en el sitio y el porcentaje de azoteas por </w:t>
      </w:r>
      <w:proofErr w:type="spellStart"/>
      <w:r w:rsidR="00EA134A" w:rsidRPr="002B640D">
        <w:rPr>
          <w:rFonts w:ascii="ITC Avant Garde" w:eastAsia="Calibri" w:hAnsi="ITC Avant Garde" w:cs="Arial"/>
          <w:color w:val="000000"/>
          <w:lang w:eastAsia="es-ES"/>
        </w:rPr>
        <w:t>geotipo</w:t>
      </w:r>
      <w:proofErr w:type="spellEnd"/>
      <w:r w:rsidRPr="002B640D">
        <w:rPr>
          <w:rFonts w:ascii="ITC Avant Garde" w:eastAsia="Calibri" w:hAnsi="ITC Avant Garde" w:cs="Arial"/>
          <w:color w:val="000000"/>
          <w:lang w:eastAsia="es-ES"/>
        </w:rPr>
        <w:t>.</w:t>
      </w:r>
    </w:p>
    <w:p w14:paraId="24BFEAF5" w14:textId="77777777" w:rsidR="003E4CE8" w:rsidRPr="002B640D" w:rsidRDefault="003E4CE8" w:rsidP="002B640D">
      <w:pPr>
        <w:pStyle w:val="IFTnormal"/>
        <w:spacing w:before="240"/>
      </w:pPr>
      <w:r w:rsidRPr="002B640D">
        <w:t>Con estas modificaciones adicionales, el Modelo de Costos</w:t>
      </w:r>
      <w:r w:rsidR="002F5CDF" w:rsidRPr="002B640D">
        <w:t xml:space="preserve"> de Torres</w:t>
      </w:r>
      <w:r w:rsidRPr="002B640D">
        <w:t xml:space="preserve"> está construido bajo los siguientes principios:</w:t>
      </w:r>
    </w:p>
    <w:p w14:paraId="2F1FCA4D" w14:textId="77777777" w:rsidR="002B640D" w:rsidRPr="002B640D" w:rsidRDefault="008606B3" w:rsidP="002B640D">
      <w:pPr>
        <w:spacing w:before="240" w:after="0" w:line="276" w:lineRule="auto"/>
        <w:ind w:right="-93"/>
        <w:jc w:val="both"/>
        <w:rPr>
          <w:rFonts w:ascii="ITC Avant Garde" w:hAnsi="ITC Avant Garde" w:cs="Arial"/>
          <w:b/>
          <w:snapToGrid w:val="0"/>
        </w:rPr>
      </w:pPr>
      <w:r w:rsidRPr="002B640D">
        <w:rPr>
          <w:rFonts w:ascii="ITC Avant Garde" w:hAnsi="ITC Avant Garde" w:cs="Arial"/>
          <w:b/>
          <w:snapToGrid w:val="0"/>
        </w:rPr>
        <w:t>4</w:t>
      </w:r>
      <w:r w:rsidR="00F60E67" w:rsidRPr="002B640D">
        <w:rPr>
          <w:rFonts w:ascii="ITC Avant Garde" w:hAnsi="ITC Avant Garde" w:cs="Arial"/>
          <w:b/>
          <w:snapToGrid w:val="0"/>
        </w:rPr>
        <w:t>.1 Principios</w:t>
      </w:r>
      <w:r w:rsidR="0098433C" w:rsidRPr="002B640D">
        <w:rPr>
          <w:rFonts w:ascii="ITC Avant Garde" w:hAnsi="ITC Avant Garde" w:cs="Arial"/>
          <w:b/>
          <w:snapToGrid w:val="0"/>
        </w:rPr>
        <w:t xml:space="preserve"> de la</w:t>
      </w:r>
      <w:r w:rsidR="00F60E67" w:rsidRPr="002B640D">
        <w:rPr>
          <w:rFonts w:ascii="ITC Avant Garde" w:hAnsi="ITC Avant Garde" w:cs="Arial"/>
          <w:b/>
          <w:snapToGrid w:val="0"/>
        </w:rPr>
        <w:t xml:space="preserve"> m</w:t>
      </w:r>
      <w:r w:rsidR="0098433C" w:rsidRPr="002B640D">
        <w:rPr>
          <w:rFonts w:ascii="ITC Avant Garde" w:hAnsi="ITC Avant Garde" w:cs="Arial"/>
          <w:b/>
          <w:snapToGrid w:val="0"/>
        </w:rPr>
        <w:t>etodolo</w:t>
      </w:r>
      <w:r w:rsidR="00F60E67" w:rsidRPr="002B640D">
        <w:rPr>
          <w:rFonts w:ascii="ITC Avant Garde" w:hAnsi="ITC Avant Garde" w:cs="Arial"/>
          <w:b/>
          <w:snapToGrid w:val="0"/>
        </w:rPr>
        <w:t>g</w:t>
      </w:r>
      <w:r w:rsidR="0098433C" w:rsidRPr="002B640D">
        <w:rPr>
          <w:rFonts w:ascii="ITC Avant Garde" w:hAnsi="ITC Avant Garde" w:cs="Arial"/>
          <w:b/>
          <w:snapToGrid w:val="0"/>
        </w:rPr>
        <w:t>ía del Modelo de Costos para el Acceso y Uso Compartido de Torre</w:t>
      </w:r>
    </w:p>
    <w:p w14:paraId="455ADB1B" w14:textId="6300C203" w:rsidR="00125571" w:rsidRPr="002B640D" w:rsidRDefault="00125571" w:rsidP="002B640D">
      <w:pPr>
        <w:pStyle w:val="IFTnormal"/>
        <w:spacing w:before="240"/>
      </w:pPr>
      <w:r w:rsidRPr="002B640D">
        <w:t xml:space="preserve">El objetivo del modelo </w:t>
      </w:r>
      <w:r w:rsidR="007C432E" w:rsidRPr="002B640D">
        <w:t xml:space="preserve">de costos en cuestión </w:t>
      </w:r>
      <w:r w:rsidRPr="002B640D">
        <w:t xml:space="preserve">es estimar los costos previstos en que un operador incurriría si tuviera que desplegar sus sitios con infraestructura pasiva fija y sus torres en un mercado competitivo, de modo que le sea posible proveer todo un servicio o un incremento definido </w:t>
      </w:r>
      <w:r w:rsidR="0077499D" w:rsidRPr="002B640D">
        <w:t>por su</w:t>
      </w:r>
      <w:r w:rsidRPr="002B640D">
        <w:t xml:space="preserve"> demanda. </w:t>
      </w:r>
      <w:r w:rsidR="007C432E" w:rsidRPr="002B640D">
        <w:t>Dicho</w:t>
      </w:r>
      <w:r w:rsidRPr="002B640D">
        <w:t xml:space="preserve"> enfoque refleja </w:t>
      </w:r>
      <w:r w:rsidRPr="002B640D">
        <w:lastRenderedPageBreak/>
        <w:t>la decisión de un nuevo operador entrante sobre construir su propia red o rentar el acceso a la infraestructura pasiva del AEP.</w:t>
      </w:r>
    </w:p>
    <w:p w14:paraId="49947E8A" w14:textId="77777777" w:rsidR="005118AD" w:rsidRPr="002B640D" w:rsidRDefault="0092588A" w:rsidP="002B640D">
      <w:pPr>
        <w:pStyle w:val="IFTnormal"/>
        <w:spacing w:before="240"/>
      </w:pPr>
      <w:r w:rsidRPr="002B640D">
        <w:t>E</w:t>
      </w:r>
      <w:r w:rsidR="00840F3D" w:rsidRPr="002B640D">
        <w:t xml:space="preserve">l diseño del Modelo de Costos de Torres toma como base a un operador hipotético, considerando </w:t>
      </w:r>
      <w:r w:rsidR="005B4FCF" w:rsidRPr="002B640D">
        <w:t>las características</w:t>
      </w:r>
      <w:r w:rsidR="00840F3D" w:rsidRPr="002B640D">
        <w:t xml:space="preserve"> de </w:t>
      </w:r>
      <w:r w:rsidR="005B4FCF" w:rsidRPr="002B640D">
        <w:t xml:space="preserve">los </w:t>
      </w:r>
      <w:r w:rsidR="00840F3D" w:rsidRPr="002B640D">
        <w:t>sitios con los que cuenta el AEP</w:t>
      </w:r>
      <w:r w:rsidR="005375EB" w:rsidRPr="002B640D">
        <w:t xml:space="preserve"> así como </w:t>
      </w:r>
      <w:r w:rsidR="000F0C30" w:rsidRPr="002B640D">
        <w:rPr>
          <w:lang w:val="es-419"/>
        </w:rPr>
        <w:t xml:space="preserve">la </w:t>
      </w:r>
      <w:r w:rsidR="00F73646" w:rsidRPr="002B640D">
        <w:rPr>
          <w:lang w:val="es-MX"/>
        </w:rPr>
        <w:t>ocupación</w:t>
      </w:r>
      <w:r w:rsidR="00F73646" w:rsidRPr="002B640D">
        <w:rPr>
          <w:lang w:val="es-419"/>
        </w:rPr>
        <w:t xml:space="preserve"> </w:t>
      </w:r>
      <w:r w:rsidR="000F0C30" w:rsidRPr="002B640D">
        <w:rPr>
          <w:lang w:val="es-419"/>
        </w:rPr>
        <w:t>actual</w:t>
      </w:r>
      <w:r w:rsidR="005375EB" w:rsidRPr="002B640D">
        <w:t xml:space="preserve"> de su propia infraestructura</w:t>
      </w:r>
      <w:r w:rsidR="00840F3D" w:rsidRPr="002B640D">
        <w:t>. Por su parte, las tarifas de los servicios consideran únicamente la infraestructura que está estrictamente relacionad</w:t>
      </w:r>
      <w:r w:rsidR="00AD6402" w:rsidRPr="002B640D">
        <w:t>a</w:t>
      </w:r>
      <w:r w:rsidR="00840F3D" w:rsidRPr="002B640D">
        <w:t xml:space="preserve"> con la p</w:t>
      </w:r>
      <w:r w:rsidR="00BC7B94" w:rsidRPr="002B640D">
        <w:t xml:space="preserve">restación de </w:t>
      </w:r>
      <w:r w:rsidR="005375EB" w:rsidRPr="002B640D">
        <w:t xml:space="preserve">los </w:t>
      </w:r>
      <w:r w:rsidR="00840F3D" w:rsidRPr="002B640D">
        <w:t>servicios</w:t>
      </w:r>
      <w:r w:rsidR="00BC7B94" w:rsidRPr="002B640D">
        <w:t xml:space="preserve"> mayoristas</w:t>
      </w:r>
      <w:r w:rsidR="005375EB" w:rsidRPr="002B640D">
        <w:t xml:space="preserve"> en cuestión</w:t>
      </w:r>
      <w:r w:rsidR="00840F3D" w:rsidRPr="002B640D">
        <w:t>.</w:t>
      </w:r>
    </w:p>
    <w:p w14:paraId="60C744E7" w14:textId="77777777" w:rsidR="007C432E" w:rsidRPr="002B640D" w:rsidRDefault="00C23260" w:rsidP="002B640D">
      <w:pPr>
        <w:pStyle w:val="IFTnormal"/>
        <w:spacing w:before="240"/>
      </w:pPr>
      <w:r w:rsidRPr="002B640D">
        <w:t>Por otra parte</w:t>
      </w:r>
      <w:r w:rsidR="00125571" w:rsidRPr="002B640D">
        <w:t xml:space="preserve">, el enfoque </w:t>
      </w:r>
      <w:r w:rsidR="00994558" w:rsidRPr="002B640D">
        <w:t>desarrollado en el</w:t>
      </w:r>
      <w:r w:rsidR="00125571" w:rsidRPr="002B640D">
        <w:t xml:space="preserve"> </w:t>
      </w:r>
      <w:r w:rsidR="00994558" w:rsidRPr="002B640D">
        <w:t>Modelo de Costos de Torres</w:t>
      </w:r>
      <w:r w:rsidR="00125571" w:rsidRPr="002B640D">
        <w:t xml:space="preserve"> realiza una aproximación adecuada de los costos </w:t>
      </w:r>
      <w:r w:rsidR="0037791A" w:rsidRPr="002B640D">
        <w:t xml:space="preserve">incurridos por el AEP </w:t>
      </w:r>
      <w:r w:rsidR="00125571" w:rsidRPr="002B640D">
        <w:t xml:space="preserve">por proveer los servicios </w:t>
      </w:r>
      <w:r w:rsidR="00A415B1" w:rsidRPr="002B640D">
        <w:t xml:space="preserve">mayoristas correspondientes </w:t>
      </w:r>
      <w:r w:rsidR="00125571" w:rsidRPr="002B640D">
        <w:t xml:space="preserve">a través de la </w:t>
      </w:r>
      <w:r w:rsidR="008B021F" w:rsidRPr="002B640D">
        <w:t>infraestructura</w:t>
      </w:r>
      <w:r w:rsidR="00125571" w:rsidRPr="002B640D">
        <w:t xml:space="preserve"> </w:t>
      </w:r>
      <w:r w:rsidR="0037791A" w:rsidRPr="002B640D">
        <w:t>de este operador</w:t>
      </w:r>
      <w:r w:rsidR="00125571" w:rsidRPr="002B640D">
        <w:t xml:space="preserve">, pues </w:t>
      </w:r>
      <w:r w:rsidR="00A415B1" w:rsidRPr="002B640D">
        <w:t xml:space="preserve">considera las características de la misma y </w:t>
      </w:r>
      <w:r w:rsidR="000F0C30" w:rsidRPr="002B640D">
        <w:rPr>
          <w:lang w:val="es-419"/>
        </w:rPr>
        <w:t xml:space="preserve">la </w:t>
      </w:r>
      <w:r w:rsidR="0037791A" w:rsidRPr="002B640D">
        <w:rPr>
          <w:lang w:val="es-MX"/>
        </w:rPr>
        <w:t>ocupación</w:t>
      </w:r>
      <w:r w:rsidR="0037791A" w:rsidRPr="002B640D">
        <w:rPr>
          <w:lang w:val="es-419"/>
        </w:rPr>
        <w:t xml:space="preserve"> </w:t>
      </w:r>
      <w:r w:rsidR="000F0C30" w:rsidRPr="002B640D">
        <w:rPr>
          <w:lang w:val="es-419"/>
        </w:rPr>
        <w:t>actual</w:t>
      </w:r>
      <w:r w:rsidR="00A415B1" w:rsidRPr="002B640D">
        <w:rPr>
          <w:lang w:val="es-MX"/>
        </w:rPr>
        <w:t xml:space="preserve"> sobre</w:t>
      </w:r>
      <w:r w:rsidR="00A415B1" w:rsidRPr="002B640D">
        <w:t xml:space="preserve"> su propia infraestructura</w:t>
      </w:r>
      <w:r w:rsidR="005375EB" w:rsidRPr="002B640D">
        <w:rPr>
          <w:lang w:val="es-419"/>
        </w:rPr>
        <w:t xml:space="preserve"> para brindar servicios desde un sitio</w:t>
      </w:r>
      <w:r w:rsidR="00125571" w:rsidRPr="002B640D">
        <w:t>, y atribuir los respectivos costos comunes y compartidos a los servicios relevantes en función de la demanda de dichos servicios</w:t>
      </w:r>
      <w:r w:rsidR="00A415B1" w:rsidRPr="002B640D">
        <w:t>,</w:t>
      </w:r>
      <w:r w:rsidR="00125571" w:rsidRPr="002B640D">
        <w:t xml:space="preserve"> para asegurar que exista una recuperación de los costos de inversión en que </w:t>
      </w:r>
      <w:r w:rsidR="0037791A" w:rsidRPr="002B640D">
        <w:t>el AEP</w:t>
      </w:r>
      <w:r w:rsidR="00125571" w:rsidRPr="002B640D">
        <w:t xml:space="preserve"> incurre </w:t>
      </w:r>
      <w:r w:rsidR="007C432E" w:rsidRPr="002B640D">
        <w:t xml:space="preserve">para el despliegue </w:t>
      </w:r>
      <w:r w:rsidR="0037791A" w:rsidRPr="002B640D">
        <w:t>de los</w:t>
      </w:r>
      <w:r w:rsidR="007C432E" w:rsidRPr="002B640D">
        <w:t xml:space="preserve"> sitios</w:t>
      </w:r>
      <w:r w:rsidR="00383C92" w:rsidRPr="002B640D">
        <w:t xml:space="preserve"> donde se encuentran presente torres</w:t>
      </w:r>
      <w:r w:rsidR="007C432E" w:rsidRPr="002B640D">
        <w:t>.</w:t>
      </w:r>
    </w:p>
    <w:p w14:paraId="57AB4AC7" w14:textId="77777777" w:rsidR="007C23F9" w:rsidRPr="002B640D" w:rsidRDefault="007C23F9" w:rsidP="002B640D">
      <w:pPr>
        <w:pStyle w:val="IFTnormal"/>
        <w:spacing w:before="240"/>
      </w:pPr>
      <w:r w:rsidRPr="002B640D">
        <w:t>De conformidad con el alcance de los servicios de Acceso y Uso Compartido de Infraestructura Pasiva establecido en la Medida CUADRAGÉSIMA PRIMERA de las Medidas Fijas, los servicios que son considerados en el Modelo de Costos son los siguientes:</w:t>
      </w:r>
    </w:p>
    <w:p w14:paraId="61608D9B" w14:textId="77777777" w:rsidR="007C23F9" w:rsidRPr="002B640D" w:rsidRDefault="007C23F9" w:rsidP="002B640D">
      <w:pPr>
        <w:pStyle w:val="IFTnormal"/>
        <w:spacing w:before="240"/>
        <w:rPr>
          <w:b/>
          <w:color w:val="auto"/>
          <w:lang w:val="es-MX"/>
        </w:rPr>
      </w:pPr>
      <w:r w:rsidRPr="002B640D">
        <w:rPr>
          <w:b/>
          <w:color w:val="auto"/>
          <w:lang w:val="es-MX"/>
        </w:rPr>
        <w:t>Servicios de Acceso y Uso Compartido de Infraestructura Pasiva asociados a la Oferta de Referencia</w:t>
      </w:r>
      <w:r w:rsidR="00701F9E" w:rsidRPr="002B640D">
        <w:rPr>
          <w:b/>
          <w:color w:val="auto"/>
          <w:lang w:val="es-MX"/>
        </w:rPr>
        <w:t xml:space="preserve"> de Telmex y </w:t>
      </w:r>
      <w:r w:rsidR="00721CD5" w:rsidRPr="002B640D">
        <w:rPr>
          <w:b/>
          <w:color w:val="auto"/>
          <w:lang w:val="es-419"/>
        </w:rPr>
        <w:t>la</w:t>
      </w:r>
      <w:r w:rsidR="00721CD5" w:rsidRPr="002B640D">
        <w:rPr>
          <w:color w:val="auto"/>
          <w:lang w:val="es-MX"/>
        </w:rPr>
        <w:t xml:space="preserve"> </w:t>
      </w:r>
      <w:r w:rsidR="00721CD5" w:rsidRPr="002B640D">
        <w:rPr>
          <w:b/>
          <w:color w:val="auto"/>
          <w:lang w:val="es-MX"/>
        </w:rPr>
        <w:t>Oferta de Referencia de</w:t>
      </w:r>
      <w:r w:rsidR="00721CD5" w:rsidRPr="002B640D">
        <w:rPr>
          <w:b/>
          <w:color w:val="auto"/>
          <w:lang w:val="es-419"/>
        </w:rPr>
        <w:t xml:space="preserve"> </w:t>
      </w:r>
      <w:proofErr w:type="spellStart"/>
      <w:r w:rsidR="00701F9E" w:rsidRPr="002B640D">
        <w:rPr>
          <w:b/>
          <w:color w:val="auto"/>
          <w:lang w:val="es-MX"/>
        </w:rPr>
        <w:t>Telnor</w:t>
      </w:r>
      <w:proofErr w:type="spellEnd"/>
      <w:r w:rsidRPr="002B640D">
        <w:rPr>
          <w:rStyle w:val="Refdenotaalpie"/>
          <w:color w:val="auto"/>
          <w:lang w:val="es-MX"/>
        </w:rPr>
        <w:footnoteReference w:id="15"/>
      </w:r>
    </w:p>
    <w:p w14:paraId="45045A56" w14:textId="77777777" w:rsidR="007C23F9" w:rsidRPr="002B640D" w:rsidRDefault="007C23F9" w:rsidP="002B640D">
      <w:pPr>
        <w:pStyle w:val="Texto"/>
        <w:spacing w:before="240" w:after="0" w:line="276" w:lineRule="auto"/>
        <w:ind w:firstLine="0"/>
        <w:jc w:val="left"/>
        <w:rPr>
          <w:rFonts w:ascii="ITC Avant Garde" w:hAnsi="ITC Avant Garde"/>
          <w:sz w:val="22"/>
          <w:szCs w:val="22"/>
          <w:u w:val="single"/>
        </w:rPr>
      </w:pPr>
      <w:r w:rsidRPr="002B640D">
        <w:rPr>
          <w:rFonts w:ascii="ITC Avant Garde" w:hAnsi="ITC Avant Garde"/>
          <w:sz w:val="22"/>
          <w:szCs w:val="22"/>
          <w:u w:val="single"/>
        </w:rPr>
        <w:t>Servicio de Acceso y Uso Compartido de Torre</w:t>
      </w:r>
    </w:p>
    <w:p w14:paraId="530A60D8" w14:textId="77777777" w:rsidR="007C23F9" w:rsidRPr="002B640D" w:rsidRDefault="007C23F9" w:rsidP="002B640D">
      <w:pPr>
        <w:pStyle w:val="Texto"/>
        <w:numPr>
          <w:ilvl w:val="0"/>
          <w:numId w:val="30"/>
        </w:numPr>
        <w:spacing w:before="240" w:after="0" w:line="276" w:lineRule="auto"/>
        <w:rPr>
          <w:lang w:val="es-MX"/>
        </w:rPr>
      </w:pPr>
      <w:r w:rsidRPr="002B640D">
        <w:rPr>
          <w:rFonts w:ascii="ITC Avant Garde" w:hAnsi="ITC Avant Garde"/>
          <w:sz w:val="22"/>
          <w:lang w:val="es-MX"/>
        </w:rPr>
        <w:t>Por sistema instalado</w:t>
      </w:r>
      <w:r w:rsidRPr="002B640D">
        <w:rPr>
          <w:rStyle w:val="Refdenotaalpie"/>
          <w:rFonts w:ascii="ITC Avant Garde" w:hAnsi="ITC Avant Garde"/>
          <w:lang w:val="es-MX"/>
        </w:rPr>
        <w:footnoteReference w:id="16"/>
      </w:r>
      <w:r w:rsidRPr="002B640D">
        <w:rPr>
          <w:lang w:val="es-MX"/>
        </w:rPr>
        <w:t>.</w:t>
      </w:r>
    </w:p>
    <w:p w14:paraId="3F9810D2" w14:textId="77777777" w:rsidR="002B640D" w:rsidRPr="002B640D" w:rsidRDefault="007C23F9" w:rsidP="002B640D">
      <w:pPr>
        <w:pStyle w:val="Texto"/>
        <w:numPr>
          <w:ilvl w:val="0"/>
          <w:numId w:val="30"/>
        </w:numPr>
        <w:spacing w:before="240" w:after="0" w:line="276" w:lineRule="auto"/>
      </w:pPr>
      <w:r w:rsidRPr="002B640D">
        <w:rPr>
          <w:rFonts w:ascii="ITC Avant Garde" w:hAnsi="ITC Avant Garde"/>
          <w:sz w:val="22"/>
          <w:lang w:val="es-MX"/>
        </w:rPr>
        <w:t>Por el acceso y uso de Espacio Aprobado en Piso.</w:t>
      </w:r>
    </w:p>
    <w:p w14:paraId="184A99BC" w14:textId="71A0C44F" w:rsidR="0005541E" w:rsidRPr="002B640D" w:rsidRDefault="0005541E" w:rsidP="002B640D">
      <w:pPr>
        <w:pStyle w:val="IFTnormal"/>
        <w:spacing w:before="240"/>
        <w:rPr>
          <w:b/>
        </w:rPr>
      </w:pPr>
      <w:r w:rsidRPr="002B640D">
        <w:rPr>
          <w:b/>
        </w:rPr>
        <w:lastRenderedPageBreak/>
        <w:t>Implementación paramétrica</w:t>
      </w:r>
    </w:p>
    <w:p w14:paraId="00F88F3A" w14:textId="77777777" w:rsidR="0005541E" w:rsidRPr="002B640D" w:rsidRDefault="0005541E" w:rsidP="002B640D">
      <w:pPr>
        <w:pStyle w:val="IFTnormal"/>
        <w:spacing w:before="240"/>
      </w:pPr>
      <w:r w:rsidRPr="002B640D">
        <w:t xml:space="preserve">El modelo de costos sigue una implementación paramétrica, es decir permite al Instituto definir ciertas características de la demanda, </w:t>
      </w:r>
      <w:r w:rsidRPr="002B640D">
        <w:rPr>
          <w:lang w:val="es-419"/>
        </w:rPr>
        <w:t xml:space="preserve">de los sitios y </w:t>
      </w:r>
      <w:r w:rsidRPr="002B640D">
        <w:t>parámetros de costos</w:t>
      </w:r>
      <w:r w:rsidR="00F47D95" w:rsidRPr="002B640D">
        <w:rPr>
          <w:lang w:val="es-419"/>
        </w:rPr>
        <w:t>.</w:t>
      </w:r>
    </w:p>
    <w:p w14:paraId="5A9B53F3" w14:textId="77777777" w:rsidR="00AE12AB" w:rsidRPr="002B640D" w:rsidRDefault="00AE12AB" w:rsidP="002B640D">
      <w:pPr>
        <w:pStyle w:val="IFTnormal"/>
        <w:spacing w:before="240"/>
        <w:rPr>
          <w:b/>
        </w:rPr>
      </w:pPr>
      <w:r w:rsidRPr="002B640D">
        <w:rPr>
          <w:b/>
        </w:rPr>
        <w:t>Despliegue</w:t>
      </w:r>
    </w:p>
    <w:p w14:paraId="13F06DBE" w14:textId="77777777" w:rsidR="00AE12AB" w:rsidRPr="002B640D" w:rsidRDefault="00466EF7" w:rsidP="002B640D">
      <w:pPr>
        <w:pStyle w:val="IFTnormal"/>
        <w:spacing w:before="240"/>
        <w:rPr>
          <w:szCs w:val="18"/>
        </w:rPr>
      </w:pPr>
      <w:r w:rsidRPr="002B640D">
        <w:rPr>
          <w:szCs w:val="18"/>
          <w:lang w:val="es-419"/>
        </w:rPr>
        <w:t>E</w:t>
      </w:r>
      <w:r w:rsidR="00AE12AB" w:rsidRPr="002B640D">
        <w:rPr>
          <w:szCs w:val="18"/>
        </w:rPr>
        <w:t xml:space="preserve">l Modelo de Costos de Torres asume que toda la infraestructura pasiva es desplegada en el año corriente, por lo que los costos unitarios base siempre serán los del año de referencia, los cuales se actualizan para años posteriores según una tendencia de costos asignada a cada elemento a costear. </w:t>
      </w:r>
    </w:p>
    <w:p w14:paraId="09AED683" w14:textId="77777777" w:rsidR="00AE12AB" w:rsidRPr="002B640D" w:rsidRDefault="00AE12AB" w:rsidP="002B640D">
      <w:pPr>
        <w:pStyle w:val="IFTnormal"/>
        <w:spacing w:before="240"/>
        <w:rPr>
          <w:b/>
        </w:rPr>
      </w:pPr>
      <w:r w:rsidRPr="002B640D">
        <w:t xml:space="preserve">Derivado de lo anterior los precios estimados por el modelo son válidos únicamente para el año seleccionado. Para el presente modelo las tarifas estimadas </w:t>
      </w:r>
      <w:r w:rsidR="00834666" w:rsidRPr="002B640D">
        <w:t xml:space="preserve">serán las aplicables, en su caso, </w:t>
      </w:r>
      <w:r w:rsidRPr="002B640D">
        <w:t>para el año 2017.</w:t>
      </w:r>
    </w:p>
    <w:p w14:paraId="136813D1" w14:textId="77777777" w:rsidR="0005541E" w:rsidRPr="002B640D" w:rsidRDefault="0005541E" w:rsidP="002B640D">
      <w:pPr>
        <w:pStyle w:val="IFTnormal"/>
        <w:spacing w:before="240"/>
        <w:rPr>
          <w:b/>
        </w:rPr>
      </w:pPr>
      <w:r w:rsidRPr="002B640D">
        <w:rPr>
          <w:b/>
        </w:rPr>
        <w:t>Valoración de los activos</w:t>
      </w:r>
    </w:p>
    <w:p w14:paraId="1ACD038F" w14:textId="77777777" w:rsidR="000B5876" w:rsidRPr="002B640D" w:rsidRDefault="000B5876" w:rsidP="002B640D">
      <w:pPr>
        <w:pStyle w:val="IFTnormal"/>
        <w:spacing w:before="240"/>
      </w:pPr>
      <w:r w:rsidRPr="002B640D">
        <w:t>Para el costeo se considera un método de valoración de activos que calcula el valor de los activos a partir del costo actual de activos modernos equivalentes sujetos a reducciones de costos (conocido como MEA, por sus siglas en inglés).</w:t>
      </w:r>
    </w:p>
    <w:p w14:paraId="460E3521" w14:textId="77777777" w:rsidR="0005541E" w:rsidRPr="002B640D" w:rsidRDefault="000B5876" w:rsidP="002B640D">
      <w:pPr>
        <w:pStyle w:val="IFTnormal"/>
        <w:spacing w:before="240"/>
      </w:pPr>
      <w:r w:rsidRPr="002B640D">
        <w:t>En este sentido, l</w:t>
      </w:r>
      <w:r w:rsidR="0005541E" w:rsidRPr="002B640D">
        <w:t>os activos son valorados con base en activos modernos equivalentes, a partir de información proporcionada por el AEP o bien por terceros.</w:t>
      </w:r>
    </w:p>
    <w:p w14:paraId="2A1904F6" w14:textId="282C679F" w:rsidR="0005541E" w:rsidRPr="002B640D" w:rsidRDefault="0005541E" w:rsidP="002B640D">
      <w:pPr>
        <w:pStyle w:val="IFTnormal"/>
        <w:spacing w:before="240"/>
      </w:pPr>
      <w:r w:rsidRPr="002B640D">
        <w:rPr>
          <w:b/>
        </w:rPr>
        <w:t>Vida útil de los activos</w:t>
      </w:r>
    </w:p>
    <w:p w14:paraId="1CE02045" w14:textId="77777777" w:rsidR="006B4E66" w:rsidRPr="002B640D" w:rsidRDefault="006B4E66" w:rsidP="002B640D">
      <w:pPr>
        <w:pStyle w:val="IFTnormal"/>
        <w:spacing w:before="240"/>
        <w:rPr>
          <w:lang w:val="es-419"/>
        </w:rPr>
      </w:pPr>
      <w:r w:rsidRPr="002B640D">
        <w:rPr>
          <w:lang w:val="es-419"/>
        </w:rPr>
        <w:t>E</w:t>
      </w:r>
      <w:r w:rsidRPr="002B640D">
        <w:t xml:space="preserve">n las estimaciones del modelo se considera que la vida útil de los elementos a costear es económica, en razón </w:t>
      </w:r>
      <w:r w:rsidRPr="002B640D">
        <w:rPr>
          <w:lang w:val="es-419"/>
        </w:rPr>
        <w:t xml:space="preserve">de que se refleje el tiempo de uso de los activos. </w:t>
      </w:r>
    </w:p>
    <w:p w14:paraId="5D42B4CE" w14:textId="77777777" w:rsidR="0005541E" w:rsidRPr="002B640D" w:rsidRDefault="0005541E" w:rsidP="002B640D">
      <w:pPr>
        <w:pStyle w:val="IFTnormal"/>
        <w:spacing w:before="240"/>
        <w:rPr>
          <w:b/>
        </w:rPr>
      </w:pPr>
      <w:r w:rsidRPr="002B640D">
        <w:rPr>
          <w:b/>
        </w:rPr>
        <w:t>Demanda mayorista y periodo modelado</w:t>
      </w:r>
    </w:p>
    <w:p w14:paraId="631F3673" w14:textId="77777777" w:rsidR="0005541E" w:rsidRPr="002B640D" w:rsidRDefault="00837A8A" w:rsidP="002B640D">
      <w:pPr>
        <w:pStyle w:val="IFTnormal"/>
        <w:spacing w:before="240"/>
      </w:pPr>
      <w:r w:rsidRPr="002B640D">
        <w:t>La demanda mayorista de los Servicios de Acceso y Uso Compartido de Espacio en Torre y Espacio en Piso se basa en</w:t>
      </w:r>
      <w:r w:rsidR="00AE12AB" w:rsidRPr="002B640D">
        <w:t xml:space="preserve"> un análisis de la información proporcionada por el AEP, </w:t>
      </w:r>
      <w:r w:rsidR="00054948" w:rsidRPr="002B640D">
        <w:rPr>
          <w:lang w:val="es-419"/>
        </w:rPr>
        <w:t xml:space="preserve">de donde se desprende </w:t>
      </w:r>
      <w:r w:rsidR="004D249E" w:rsidRPr="002B640D">
        <w:rPr>
          <w:lang w:val="es-419"/>
        </w:rPr>
        <w:t xml:space="preserve">el cálculo de la demanda promedio actual </w:t>
      </w:r>
      <w:r w:rsidR="00054948" w:rsidRPr="002B640D">
        <w:rPr>
          <w:lang w:val="es-419"/>
        </w:rPr>
        <w:t>para cada uno de los sitios tipo</w:t>
      </w:r>
      <w:r w:rsidR="00834666" w:rsidRPr="002B640D">
        <w:rPr>
          <w:lang w:val="es-MX"/>
        </w:rPr>
        <w:t>. A</w:t>
      </w:r>
      <w:proofErr w:type="spellStart"/>
      <w:r w:rsidR="00054948" w:rsidRPr="002B640D">
        <w:rPr>
          <w:lang w:val="es-419"/>
        </w:rPr>
        <w:t>simismo</w:t>
      </w:r>
      <w:proofErr w:type="spellEnd"/>
      <w:r w:rsidR="00834666" w:rsidRPr="002B640D">
        <w:rPr>
          <w:lang w:val="es-MX"/>
        </w:rPr>
        <w:t>,</w:t>
      </w:r>
      <w:r w:rsidR="00054948" w:rsidRPr="002B640D">
        <w:rPr>
          <w:lang w:val="es-419"/>
        </w:rPr>
        <w:t xml:space="preserve"> para la estimación del posible espacio</w:t>
      </w:r>
      <w:r w:rsidR="00AE12AB" w:rsidRPr="002B640D">
        <w:t xml:space="preserve"> </w:t>
      </w:r>
      <w:r w:rsidR="00054948" w:rsidRPr="002B640D">
        <w:rPr>
          <w:lang w:val="es-419"/>
        </w:rPr>
        <w:t xml:space="preserve">ocupado por los CS en la torres del AEP se realizó un </w:t>
      </w:r>
      <w:r w:rsidR="00AE12AB" w:rsidRPr="002B640D">
        <w:t xml:space="preserve">análisis </w:t>
      </w:r>
      <w:r w:rsidR="00054948" w:rsidRPr="002B640D">
        <w:rPr>
          <w:lang w:val="es-419"/>
        </w:rPr>
        <w:t xml:space="preserve">de espacio solicitado para servicios similares </w:t>
      </w:r>
      <w:r w:rsidR="00AE12AB" w:rsidRPr="002B640D">
        <w:t xml:space="preserve">a </w:t>
      </w:r>
      <w:r w:rsidR="003F61B6" w:rsidRPr="002B640D">
        <w:t xml:space="preserve">través </w:t>
      </w:r>
      <w:r w:rsidR="003F61B6" w:rsidRPr="002B640D">
        <w:rPr>
          <w:lang w:val="es-419"/>
        </w:rPr>
        <w:t>de</w:t>
      </w:r>
      <w:r w:rsidR="00AE12AB" w:rsidRPr="002B640D">
        <w:rPr>
          <w:lang w:val="es-419"/>
        </w:rPr>
        <w:t xml:space="preserve"> </w:t>
      </w:r>
      <w:r w:rsidR="002E40C8" w:rsidRPr="002B640D">
        <w:rPr>
          <w:lang w:val="es-419"/>
        </w:rPr>
        <w:t xml:space="preserve">una muestra de </w:t>
      </w:r>
      <w:r w:rsidR="00AE12AB" w:rsidRPr="002B640D">
        <w:t xml:space="preserve">los convenios </w:t>
      </w:r>
      <w:r w:rsidR="00155E50" w:rsidRPr="002B640D">
        <w:rPr>
          <w:lang w:val="es-419"/>
        </w:rPr>
        <w:t xml:space="preserve">vigentes </w:t>
      </w:r>
      <w:r w:rsidR="00155E50" w:rsidRPr="002B640D">
        <w:t xml:space="preserve">que </w:t>
      </w:r>
      <w:r w:rsidR="002E40C8" w:rsidRPr="002B640D">
        <w:t>h</w:t>
      </w:r>
      <w:r w:rsidR="00155E50" w:rsidRPr="002B640D">
        <w:t xml:space="preserve">a </w:t>
      </w:r>
      <w:r w:rsidR="00155E50" w:rsidRPr="002B640D">
        <w:lastRenderedPageBreak/>
        <w:t>firmado</w:t>
      </w:r>
      <w:r w:rsidR="00AE12AB" w:rsidRPr="002B640D">
        <w:t xml:space="preserve"> </w:t>
      </w:r>
      <w:r w:rsidR="0059748C" w:rsidRPr="002B640D">
        <w:t xml:space="preserve">Operadora de </w:t>
      </w:r>
      <w:proofErr w:type="spellStart"/>
      <w:r w:rsidR="0059748C" w:rsidRPr="002B640D">
        <w:t>Sites</w:t>
      </w:r>
      <w:proofErr w:type="spellEnd"/>
      <w:r w:rsidR="0059748C" w:rsidRPr="002B640D">
        <w:t xml:space="preserve"> Mexicanos, S.A. de C.V. (en lo sucesivo, “</w:t>
      </w:r>
      <w:proofErr w:type="spellStart"/>
      <w:r w:rsidR="0059748C" w:rsidRPr="002B640D">
        <w:t>Telesites</w:t>
      </w:r>
      <w:proofErr w:type="spellEnd"/>
      <w:r w:rsidR="0059748C" w:rsidRPr="002B640D">
        <w:t>”) con otros concesionarios</w:t>
      </w:r>
      <w:r w:rsidR="002E40C8" w:rsidRPr="002B640D">
        <w:rPr>
          <w:lang w:val="es-419"/>
        </w:rPr>
        <w:t>.</w:t>
      </w:r>
    </w:p>
    <w:p w14:paraId="3F78BE08" w14:textId="60DE2FF2" w:rsidR="00AE12AB" w:rsidRPr="002B640D" w:rsidRDefault="00AE12AB" w:rsidP="002B640D">
      <w:pPr>
        <w:pStyle w:val="IFTnormal"/>
        <w:spacing w:before="240"/>
      </w:pPr>
      <w:r w:rsidRPr="002B640D">
        <w:t>A este respecto</w:t>
      </w:r>
      <w:r w:rsidR="00591A67" w:rsidRPr="002B640D">
        <w:t xml:space="preserve"> </w:t>
      </w:r>
      <w:r w:rsidR="00E114B0" w:rsidRPr="002B640D">
        <w:t xml:space="preserve">se supondrá </w:t>
      </w:r>
      <w:r w:rsidR="00E114B0" w:rsidRPr="002B640D">
        <w:rPr>
          <w:lang w:val="es-419"/>
        </w:rPr>
        <w:t xml:space="preserve">que el </w:t>
      </w:r>
      <w:r w:rsidRPr="002B640D">
        <w:t xml:space="preserve">Espacio en Torre </w:t>
      </w:r>
      <w:r w:rsidR="00E114B0" w:rsidRPr="002B640D">
        <w:rPr>
          <w:lang w:val="es-419"/>
        </w:rPr>
        <w:t xml:space="preserve">ocupado por </w:t>
      </w:r>
      <w:r w:rsidR="00701B35" w:rsidRPr="002B640D">
        <w:rPr>
          <w:lang w:val="es-419"/>
        </w:rPr>
        <w:t>los</w:t>
      </w:r>
      <w:r w:rsidR="00E114B0" w:rsidRPr="002B640D">
        <w:rPr>
          <w:lang w:val="es-419"/>
        </w:rPr>
        <w:t xml:space="preserve"> CS </w:t>
      </w:r>
      <w:r w:rsidRPr="002B640D">
        <w:t xml:space="preserve">corresponde a una </w:t>
      </w:r>
      <w:r w:rsidR="008E7D94" w:rsidRPr="002B640D">
        <w:rPr>
          <w:lang w:val="es-419"/>
        </w:rPr>
        <w:t>franja</w:t>
      </w:r>
      <w:r w:rsidRPr="002B640D">
        <w:t xml:space="preserve"> de 4 metros lineales para instalar sus equipos (en el caso de que la infraestructura así lo permita)</w:t>
      </w:r>
      <w:r w:rsidRPr="002B640D">
        <w:rPr>
          <w:rStyle w:val="Refdenotaalpie"/>
        </w:rPr>
        <w:footnoteReference w:id="17"/>
      </w:r>
      <w:r w:rsidR="00E114B0" w:rsidRPr="002B640D">
        <w:rPr>
          <w:lang w:val="es-419"/>
        </w:rPr>
        <w:t>, manteniendo la demanda promedio actual de uso de las torres del AEP.</w:t>
      </w:r>
    </w:p>
    <w:p w14:paraId="4152B8BB" w14:textId="46E24369" w:rsidR="00AE12AB" w:rsidRPr="002B640D" w:rsidRDefault="00AE12AB" w:rsidP="002B640D">
      <w:pPr>
        <w:pStyle w:val="IFTnormal"/>
        <w:spacing w:before="240"/>
      </w:pPr>
      <w:r w:rsidRPr="002B640D">
        <w:t xml:space="preserve">Por otra parte, relativo </w:t>
      </w:r>
      <w:r w:rsidR="00286601" w:rsidRPr="002B640D">
        <w:rPr>
          <w:lang w:val="es-419"/>
        </w:rPr>
        <w:t>al</w:t>
      </w:r>
      <w:r w:rsidRPr="002B640D">
        <w:t xml:space="preserve"> Espacio en Piso</w:t>
      </w:r>
      <w:r w:rsidR="00286601" w:rsidRPr="002B640D">
        <w:rPr>
          <w:lang w:val="es-419"/>
        </w:rPr>
        <w:t xml:space="preserve"> y siguiendo el análisis de la muestra de acuerdos de sitio de </w:t>
      </w:r>
      <w:proofErr w:type="spellStart"/>
      <w:r w:rsidR="00286601" w:rsidRPr="002B640D">
        <w:rPr>
          <w:lang w:val="es-419"/>
        </w:rPr>
        <w:t>Telesites</w:t>
      </w:r>
      <w:proofErr w:type="spellEnd"/>
      <w:r w:rsidR="00286601" w:rsidRPr="002B640D">
        <w:rPr>
          <w:lang w:val="es-419"/>
        </w:rPr>
        <w:t xml:space="preserve">, </w:t>
      </w:r>
      <w:r w:rsidRPr="002B640D">
        <w:t xml:space="preserve">se supondrá un valor </w:t>
      </w:r>
      <w:r w:rsidRPr="002B640D">
        <w:rPr>
          <w:lang w:val="es-MX"/>
        </w:rPr>
        <w:t>en</w:t>
      </w:r>
      <w:r w:rsidRPr="002B640D">
        <w:t xml:space="preserve"> 6.6 metros cuadrados</w:t>
      </w:r>
      <w:r w:rsidRPr="002B640D">
        <w:rPr>
          <w:sz w:val="18"/>
          <w:vertAlign w:val="superscript"/>
        </w:rPr>
        <w:footnoteReference w:id="18"/>
      </w:r>
      <w:r w:rsidR="00286601" w:rsidRPr="002B640D">
        <w:rPr>
          <w:lang w:val="es-419"/>
        </w:rPr>
        <w:t xml:space="preserve"> de ocupación </w:t>
      </w:r>
      <w:r w:rsidR="008845B6" w:rsidRPr="002B640D">
        <w:rPr>
          <w:lang w:val="es-419"/>
        </w:rPr>
        <w:t xml:space="preserve">ya sea en el predio, caseta o azotea del sitio. </w:t>
      </w:r>
      <w:r w:rsidR="00834666" w:rsidRPr="002B640D">
        <w:rPr>
          <w:lang w:val="es-MX"/>
        </w:rPr>
        <w:t xml:space="preserve">Adicional </w:t>
      </w:r>
      <w:r w:rsidR="008845B6" w:rsidRPr="002B640D">
        <w:rPr>
          <w:lang w:val="es-419"/>
        </w:rPr>
        <w:t xml:space="preserve">a lo anterior </w:t>
      </w:r>
      <w:r w:rsidR="002E4652" w:rsidRPr="002B640D">
        <w:rPr>
          <w:lang w:val="es-419"/>
        </w:rPr>
        <w:t xml:space="preserve">se asigna </w:t>
      </w:r>
      <w:r w:rsidR="002E4652" w:rsidRPr="002B640D">
        <w:rPr>
          <w:lang w:val="es-MX"/>
        </w:rPr>
        <w:t xml:space="preserve">un uso </w:t>
      </w:r>
      <w:r w:rsidR="00705DBD" w:rsidRPr="002B640D">
        <w:rPr>
          <w:lang w:val="es-MX"/>
        </w:rPr>
        <w:t>de espacio</w:t>
      </w:r>
      <w:r w:rsidR="00705DBD" w:rsidRPr="002B640D">
        <w:rPr>
          <w:lang w:val="es-419"/>
        </w:rPr>
        <w:t xml:space="preserve"> común de acuerdo al espacio </w:t>
      </w:r>
      <w:r w:rsidR="001338F9" w:rsidRPr="002B640D">
        <w:rPr>
          <w:lang w:val="es-419"/>
        </w:rPr>
        <w:t>en predio y el espacio</w:t>
      </w:r>
      <w:r w:rsidR="00F05716" w:rsidRPr="002B640D">
        <w:rPr>
          <w:lang w:val="es-419"/>
        </w:rPr>
        <w:t xml:space="preserve"> demandado</w:t>
      </w:r>
      <w:r w:rsidR="00225D24" w:rsidRPr="002B640D">
        <w:rPr>
          <w:rStyle w:val="Refdenotaalpie"/>
          <w:lang w:val="es-419"/>
        </w:rPr>
        <w:footnoteReference w:id="19"/>
      </w:r>
      <w:r w:rsidR="00705DBD" w:rsidRPr="002B640D">
        <w:rPr>
          <w:lang w:val="es-MX"/>
        </w:rPr>
        <w:t xml:space="preserve">, así como </w:t>
      </w:r>
      <w:r w:rsidR="00225D24" w:rsidRPr="002B640D">
        <w:rPr>
          <w:lang w:val="es-MX"/>
        </w:rPr>
        <w:t xml:space="preserve">una porción del </w:t>
      </w:r>
      <w:r w:rsidR="00705DBD" w:rsidRPr="002B640D">
        <w:rPr>
          <w:lang w:val="es-419"/>
        </w:rPr>
        <w:t>Espacio ocupado</w:t>
      </w:r>
      <w:r w:rsidR="00225D24" w:rsidRPr="002B640D">
        <w:rPr>
          <w:lang w:val="es-MX"/>
        </w:rPr>
        <w:t xml:space="preserve"> por la</w:t>
      </w:r>
      <w:r w:rsidR="00705DBD" w:rsidRPr="002B640D">
        <w:rPr>
          <w:lang w:val="es-419"/>
        </w:rPr>
        <w:t xml:space="preserve"> Base</w:t>
      </w:r>
      <w:r w:rsidR="00544196" w:rsidRPr="002B640D">
        <w:rPr>
          <w:lang w:val="es-MX"/>
        </w:rPr>
        <w:t xml:space="preserve"> de la torre</w:t>
      </w:r>
      <w:r w:rsidR="00544196" w:rsidRPr="002B640D">
        <w:rPr>
          <w:rStyle w:val="Refdenotaalpie"/>
          <w:lang w:val="es-MX"/>
        </w:rPr>
        <w:footnoteReference w:id="20"/>
      </w:r>
      <w:r w:rsidR="00701B35" w:rsidRPr="002B640D">
        <w:rPr>
          <w:lang w:val="es-419"/>
        </w:rPr>
        <w:t>.</w:t>
      </w:r>
    </w:p>
    <w:p w14:paraId="7DE74824" w14:textId="77777777" w:rsidR="0005541E" w:rsidRPr="002B640D" w:rsidRDefault="0005541E" w:rsidP="002B640D">
      <w:pPr>
        <w:pStyle w:val="IFTnormal"/>
        <w:spacing w:before="240"/>
        <w:rPr>
          <w:b/>
        </w:rPr>
      </w:pPr>
      <w:r w:rsidRPr="002B640D">
        <w:rPr>
          <w:b/>
        </w:rPr>
        <w:t xml:space="preserve">Estimación de las inversiones y metodología de depreciación </w:t>
      </w:r>
    </w:p>
    <w:p w14:paraId="2CC78FAE" w14:textId="77777777" w:rsidR="0005541E" w:rsidRPr="002B640D" w:rsidRDefault="0005541E" w:rsidP="002B640D">
      <w:pPr>
        <w:pStyle w:val="IFTnormal"/>
        <w:spacing w:before="240"/>
        <w:rPr>
          <w:color w:val="000000" w:themeColor="text1"/>
        </w:rPr>
      </w:pPr>
      <w:r w:rsidRPr="002B640D">
        <w:rPr>
          <w:color w:val="000000" w:themeColor="text1"/>
        </w:rPr>
        <w:t>A</w:t>
      </w:r>
      <w:r w:rsidR="00837A8A" w:rsidRPr="002B640D">
        <w:rPr>
          <w:color w:val="000000" w:themeColor="text1"/>
        </w:rPr>
        <w:t xml:space="preserve"> partir de </w:t>
      </w:r>
      <w:r w:rsidRPr="002B640D">
        <w:rPr>
          <w:color w:val="000000" w:themeColor="text1"/>
        </w:rPr>
        <w:t xml:space="preserve">la </w:t>
      </w:r>
      <w:r w:rsidR="00837A8A" w:rsidRPr="002B640D">
        <w:rPr>
          <w:color w:val="000000" w:themeColor="text1"/>
        </w:rPr>
        <w:t>información de demanda</w:t>
      </w:r>
      <w:r w:rsidRPr="002B640D">
        <w:rPr>
          <w:color w:val="000000" w:themeColor="text1"/>
        </w:rPr>
        <w:t xml:space="preserve"> de </w:t>
      </w:r>
      <w:r w:rsidR="00837A8A" w:rsidRPr="002B640D">
        <w:rPr>
          <w:color w:val="000000" w:themeColor="text1"/>
        </w:rPr>
        <w:t>Espacio en Torre y Espacio en Piso involucrado</w:t>
      </w:r>
      <w:r w:rsidRPr="002B640D">
        <w:rPr>
          <w:color w:val="000000" w:themeColor="text1"/>
          <w:lang w:val="es-419"/>
        </w:rPr>
        <w:t xml:space="preserve"> en la</w:t>
      </w:r>
      <w:r w:rsidRPr="002B640D">
        <w:rPr>
          <w:color w:val="000000" w:themeColor="text1"/>
        </w:rPr>
        <w:t xml:space="preserve"> prestación de los servicios</w:t>
      </w:r>
      <w:r w:rsidR="00837A8A" w:rsidRPr="002B640D">
        <w:rPr>
          <w:color w:val="000000" w:themeColor="text1"/>
        </w:rPr>
        <w:t xml:space="preserve">, así como de las características de los sitios </w:t>
      </w:r>
      <w:r w:rsidRPr="002B640D">
        <w:rPr>
          <w:color w:val="000000" w:themeColor="text1"/>
        </w:rPr>
        <w:t>y a partir de los costos de los activos asociados</w:t>
      </w:r>
      <w:r w:rsidR="00837A8A" w:rsidRPr="002B640D">
        <w:rPr>
          <w:color w:val="000000" w:themeColor="text1"/>
        </w:rPr>
        <w:t>,</w:t>
      </w:r>
      <w:r w:rsidRPr="002B640D">
        <w:rPr>
          <w:color w:val="000000" w:themeColor="text1"/>
        </w:rPr>
        <w:t xml:space="preserve"> que forman parte a su vez de los datos de entrada del modelo, es posible estimar el total de inversiones incurridas en el despliegue de infraestructura.</w:t>
      </w:r>
    </w:p>
    <w:p w14:paraId="7EDFD0C3" w14:textId="77777777" w:rsidR="0005541E" w:rsidRPr="002B640D" w:rsidRDefault="008D1C5C" w:rsidP="002B640D">
      <w:pPr>
        <w:pStyle w:val="IFTnormal"/>
        <w:spacing w:before="240"/>
        <w:rPr>
          <w:color w:val="000000" w:themeColor="text1"/>
        </w:rPr>
      </w:pPr>
      <w:r w:rsidRPr="002B640D">
        <w:rPr>
          <w:color w:val="000000" w:themeColor="text1"/>
        </w:rPr>
        <w:t>En este sentido, u</w:t>
      </w:r>
      <w:r w:rsidR="0005541E" w:rsidRPr="002B640D">
        <w:rPr>
          <w:color w:val="000000" w:themeColor="text1"/>
        </w:rPr>
        <w:t xml:space="preserve">sando una metodología de depreciación anual se logra traducir dentro del modelo, los costos anuales correspondientes y añadir los costos operativos asociados, para posteriormente asignar las tarifas de acuerdo al uso de los activos a cada </w:t>
      </w:r>
      <w:r w:rsidRPr="002B640D">
        <w:rPr>
          <w:color w:val="000000" w:themeColor="text1"/>
        </w:rPr>
        <w:t>CS</w:t>
      </w:r>
      <w:r w:rsidR="0005541E" w:rsidRPr="002B640D">
        <w:rPr>
          <w:color w:val="000000" w:themeColor="text1"/>
        </w:rPr>
        <w:t>.</w:t>
      </w:r>
    </w:p>
    <w:p w14:paraId="6B58BEC6" w14:textId="77777777" w:rsidR="0005541E" w:rsidRPr="002B640D" w:rsidRDefault="0005541E" w:rsidP="002B640D">
      <w:pPr>
        <w:pStyle w:val="IFTnormal"/>
        <w:spacing w:before="240"/>
        <w:rPr>
          <w:color w:val="000000" w:themeColor="text1"/>
        </w:rPr>
      </w:pPr>
      <w:r w:rsidRPr="002B640D">
        <w:rPr>
          <w:color w:val="000000" w:themeColor="text1"/>
        </w:rPr>
        <w:t>Para la metodología de depreciación de las inversiones</w:t>
      </w:r>
      <w:r w:rsidR="00C11765" w:rsidRPr="002B640D">
        <w:rPr>
          <w:color w:val="000000" w:themeColor="text1"/>
        </w:rPr>
        <w:t xml:space="preserve">, si bien </w:t>
      </w:r>
      <w:r w:rsidRPr="002B640D">
        <w:rPr>
          <w:color w:val="000000" w:themeColor="text1"/>
        </w:rPr>
        <w:t xml:space="preserve">el modelo </w:t>
      </w:r>
      <w:r w:rsidR="00C11765" w:rsidRPr="002B640D">
        <w:rPr>
          <w:color w:val="000000" w:themeColor="text1"/>
        </w:rPr>
        <w:t xml:space="preserve">puede </w:t>
      </w:r>
      <w:r w:rsidRPr="002B640D">
        <w:rPr>
          <w:color w:val="000000" w:themeColor="text1"/>
        </w:rPr>
        <w:t>considera</w:t>
      </w:r>
      <w:r w:rsidR="00C11765" w:rsidRPr="002B640D">
        <w:rPr>
          <w:color w:val="000000" w:themeColor="text1"/>
        </w:rPr>
        <w:t>r</w:t>
      </w:r>
      <w:r w:rsidRPr="002B640D">
        <w:rPr>
          <w:color w:val="000000" w:themeColor="text1"/>
        </w:rPr>
        <w:t xml:space="preserve"> varios perfiles de depreciación, se prefija una metodología de anualidad inclinada</w:t>
      </w:r>
      <w:r w:rsidR="00C11765" w:rsidRPr="002B640D">
        <w:rPr>
          <w:color w:val="000000" w:themeColor="text1"/>
        </w:rPr>
        <w:t xml:space="preserve"> </w:t>
      </w:r>
      <w:r w:rsidRPr="002B640D">
        <w:rPr>
          <w:color w:val="000000" w:themeColor="text1"/>
        </w:rPr>
        <w:t xml:space="preserve">debido a que el modelo es </w:t>
      </w:r>
      <w:proofErr w:type="spellStart"/>
      <w:r w:rsidRPr="002B640D">
        <w:rPr>
          <w:color w:val="000000" w:themeColor="text1"/>
        </w:rPr>
        <w:t>uni</w:t>
      </w:r>
      <w:proofErr w:type="spellEnd"/>
      <w:r w:rsidRPr="002B640D">
        <w:rPr>
          <w:color w:val="000000" w:themeColor="text1"/>
        </w:rPr>
        <w:t xml:space="preserve">-anual, por lo que su demanda no crece o decrece y es específica al año considerado. Se desarrolló de esta </w:t>
      </w:r>
      <w:r w:rsidRPr="002B640D">
        <w:rPr>
          <w:color w:val="000000" w:themeColor="text1"/>
        </w:rPr>
        <w:lastRenderedPageBreak/>
        <w:t xml:space="preserve">manera porque no se esperan cambios en </w:t>
      </w:r>
      <w:r w:rsidR="000C3722" w:rsidRPr="002B640D">
        <w:rPr>
          <w:color w:val="000000" w:themeColor="text1"/>
        </w:rPr>
        <w:t xml:space="preserve">la infraestructura </w:t>
      </w:r>
      <w:r w:rsidRPr="002B640D">
        <w:rPr>
          <w:color w:val="000000" w:themeColor="text1"/>
        </w:rPr>
        <w:t xml:space="preserve">del AEP en </w:t>
      </w:r>
      <w:r w:rsidR="00AE12AB" w:rsidRPr="002B640D">
        <w:rPr>
          <w:color w:val="000000" w:themeColor="text1"/>
        </w:rPr>
        <w:t>periodos</w:t>
      </w:r>
      <w:r w:rsidRPr="002B640D">
        <w:rPr>
          <w:color w:val="000000" w:themeColor="text1"/>
        </w:rPr>
        <w:t xml:space="preserve"> </w:t>
      </w:r>
      <w:r w:rsidR="000C3722" w:rsidRPr="002B640D">
        <w:rPr>
          <w:color w:val="000000" w:themeColor="text1"/>
        </w:rPr>
        <w:t>futuros</w:t>
      </w:r>
      <w:r w:rsidRPr="002B640D">
        <w:rPr>
          <w:color w:val="000000" w:themeColor="text1"/>
        </w:rPr>
        <w:t>. La anualidad inclinada conlleva un pago constante con suma fija que tiene en cuenta:</w:t>
      </w:r>
    </w:p>
    <w:p w14:paraId="469BAE89" w14:textId="77777777" w:rsidR="000C3722" w:rsidRPr="002B640D" w:rsidRDefault="00CC54ED" w:rsidP="002B640D">
      <w:pPr>
        <w:pStyle w:val="IFTnormal"/>
        <w:numPr>
          <w:ilvl w:val="0"/>
          <w:numId w:val="39"/>
        </w:numPr>
        <w:spacing w:before="240"/>
      </w:pPr>
      <w:r w:rsidRPr="002B640D">
        <w:t xml:space="preserve">El Modelo de Costos </w:t>
      </w:r>
      <w:r w:rsidR="00B51A0F" w:rsidRPr="002B640D">
        <w:t xml:space="preserve">de Torres </w:t>
      </w:r>
      <w:r w:rsidRPr="002B640D">
        <w:t>hace uso del CCPP nominal antes de impuestos para un operador fijo de telecomunicaciones que posee infraestructura pasiva relativa a torres susceptible de ser compartida. El CCPP nominal antes de impuestos utilizado para este Modelo de Costos</w:t>
      </w:r>
      <w:r w:rsidR="00B51A0F" w:rsidRPr="002B640D">
        <w:t xml:space="preserve"> de Torres</w:t>
      </w:r>
      <w:r w:rsidRPr="002B640D">
        <w:t xml:space="preserve"> es de </w:t>
      </w:r>
      <w:r w:rsidR="00104C30" w:rsidRPr="002B640D">
        <w:t>9.91</w:t>
      </w:r>
      <w:r w:rsidRPr="002B640D">
        <w:t>%</w:t>
      </w:r>
      <w:r w:rsidRPr="002B640D">
        <w:rPr>
          <w:rStyle w:val="Refdenotaalpie"/>
        </w:rPr>
        <w:footnoteReference w:id="21"/>
      </w:r>
      <w:r w:rsidRPr="002B640D">
        <w:t xml:space="preserve">. </w:t>
      </w:r>
    </w:p>
    <w:p w14:paraId="1CC388B1" w14:textId="77777777" w:rsidR="00CC54ED" w:rsidRPr="002B640D" w:rsidRDefault="00CC54ED" w:rsidP="002B640D">
      <w:pPr>
        <w:pStyle w:val="IFTnormal"/>
        <w:spacing w:before="240"/>
        <w:ind w:left="720"/>
      </w:pPr>
      <w:r w:rsidRPr="002B640D">
        <w:t xml:space="preserve">El cálculo del CCPP considera las dos alternativas que tienen las empresas para obtener capital para invertir en el despliegue de su </w:t>
      </w:r>
      <w:r w:rsidR="005375EB" w:rsidRPr="002B640D">
        <w:t>infraestructura</w:t>
      </w:r>
      <w:r w:rsidRPr="002B640D">
        <w:t>: deuda y capital accionario. Por tanto, los elementos que se consideraron para el cálculo del CCPP son:</w:t>
      </w:r>
    </w:p>
    <w:tbl>
      <w:tblPr>
        <w:tblStyle w:val="Tablaconcuadrcula"/>
        <w:tblW w:w="0" w:type="auto"/>
        <w:jc w:val="center"/>
        <w:tblLook w:val="04A0" w:firstRow="1" w:lastRow="0" w:firstColumn="1" w:lastColumn="0" w:noHBand="0" w:noVBand="1"/>
        <w:tblCaption w:val="Tabla"/>
        <w:tblDescription w:val="abla 11: Parámetros relacionados con el Costo de Capital Promedio Ponderado"/>
      </w:tblPr>
      <w:tblGrid>
        <w:gridCol w:w="3631"/>
        <w:gridCol w:w="1237"/>
      </w:tblGrid>
      <w:tr w:rsidR="00104C30" w:rsidRPr="002B640D" w14:paraId="3AE12257" w14:textId="77777777" w:rsidTr="00BB40D2">
        <w:trPr>
          <w:trHeight w:val="269"/>
          <w:tblHeader/>
          <w:jc w:val="center"/>
        </w:trPr>
        <w:tc>
          <w:tcPr>
            <w:tcW w:w="3631" w:type="dxa"/>
            <w:shd w:val="clear" w:color="auto" w:fill="D9D9D9" w:themeFill="background1" w:themeFillShade="D9"/>
          </w:tcPr>
          <w:p w14:paraId="145FA66D" w14:textId="77777777" w:rsidR="00104C30" w:rsidRPr="002B640D" w:rsidRDefault="00104C30" w:rsidP="002B640D">
            <w:pPr>
              <w:ind w:left="360"/>
              <w:jc w:val="center"/>
              <w:rPr>
                <w:rFonts w:ascii="ITC Avant Garde" w:hAnsi="ITC Avant Garde"/>
                <w:b/>
              </w:rPr>
            </w:pPr>
            <w:r w:rsidRPr="002B640D">
              <w:rPr>
                <w:rFonts w:ascii="ITC Avant Garde" w:hAnsi="ITC Avant Garde"/>
                <w:b/>
              </w:rPr>
              <w:t>Concepto</w:t>
            </w:r>
          </w:p>
        </w:tc>
        <w:tc>
          <w:tcPr>
            <w:tcW w:w="1237" w:type="dxa"/>
            <w:shd w:val="clear" w:color="auto" w:fill="D9D9D9" w:themeFill="background1" w:themeFillShade="D9"/>
          </w:tcPr>
          <w:p w14:paraId="348058F3" w14:textId="77777777" w:rsidR="00104C30" w:rsidRPr="002B640D" w:rsidRDefault="00104C30" w:rsidP="002B640D">
            <w:pPr>
              <w:ind w:left="360"/>
              <w:jc w:val="center"/>
              <w:rPr>
                <w:rFonts w:ascii="ITC Avant Garde" w:hAnsi="ITC Avant Garde"/>
                <w:lang w:val="es-419"/>
              </w:rPr>
            </w:pPr>
            <w:r w:rsidRPr="002B640D">
              <w:rPr>
                <w:rFonts w:ascii="ITC Avant Garde" w:hAnsi="ITC Avant Garde"/>
                <w:b/>
              </w:rPr>
              <w:t>Valor*</w:t>
            </w:r>
          </w:p>
        </w:tc>
      </w:tr>
      <w:tr w:rsidR="00104C30" w:rsidRPr="002B640D" w14:paraId="79B9126E" w14:textId="77777777" w:rsidTr="00BB40D2">
        <w:trPr>
          <w:trHeight w:val="187"/>
          <w:tblHeader/>
          <w:jc w:val="center"/>
        </w:trPr>
        <w:tc>
          <w:tcPr>
            <w:tcW w:w="3631" w:type="dxa"/>
          </w:tcPr>
          <w:p w14:paraId="69EF490E" w14:textId="77777777" w:rsidR="00104C30" w:rsidRPr="002B640D" w:rsidRDefault="00104C30" w:rsidP="002B640D">
            <w:pPr>
              <w:pStyle w:val="Default"/>
              <w:ind w:left="360"/>
              <w:rPr>
                <w:rFonts w:eastAsia="Arial Unicode MS" w:cs="Arial Unicode MS"/>
                <w:sz w:val="20"/>
                <w:szCs w:val="20"/>
              </w:rPr>
            </w:pPr>
            <w:r w:rsidRPr="002B640D">
              <w:rPr>
                <w:rFonts w:eastAsia="Arial Unicode MS" w:cs="Arial Unicode MS"/>
                <w:sz w:val="20"/>
                <w:szCs w:val="20"/>
              </w:rPr>
              <w:t>Tasa libre de riesgo</w:t>
            </w:r>
          </w:p>
        </w:tc>
        <w:tc>
          <w:tcPr>
            <w:tcW w:w="1237" w:type="dxa"/>
          </w:tcPr>
          <w:p w14:paraId="1BD29C0B" w14:textId="77777777" w:rsidR="00104C30" w:rsidRPr="002B640D" w:rsidRDefault="00104C30" w:rsidP="002B640D">
            <w:pPr>
              <w:pStyle w:val="Default"/>
              <w:ind w:left="360"/>
              <w:jc w:val="center"/>
              <w:rPr>
                <w:rFonts w:eastAsia="Arial Unicode MS" w:cs="Arial Unicode MS"/>
                <w:sz w:val="20"/>
                <w:szCs w:val="20"/>
              </w:rPr>
            </w:pPr>
            <w:r w:rsidRPr="002B640D">
              <w:rPr>
                <w:rFonts w:eastAsia="Arial Unicode MS" w:cs="Arial Unicode MS"/>
                <w:sz w:val="20"/>
                <w:szCs w:val="20"/>
              </w:rPr>
              <w:t>5.04%</w:t>
            </w:r>
          </w:p>
        </w:tc>
      </w:tr>
      <w:tr w:rsidR="00104C30" w:rsidRPr="002B640D" w14:paraId="2C60F1EA" w14:textId="77777777" w:rsidTr="00BB40D2">
        <w:trPr>
          <w:trHeight w:val="187"/>
          <w:tblHeader/>
          <w:jc w:val="center"/>
        </w:trPr>
        <w:tc>
          <w:tcPr>
            <w:tcW w:w="3631" w:type="dxa"/>
          </w:tcPr>
          <w:p w14:paraId="4C050E41" w14:textId="77777777" w:rsidR="00104C30" w:rsidRPr="002B640D" w:rsidRDefault="00104C30" w:rsidP="002B640D">
            <w:pPr>
              <w:pStyle w:val="Default"/>
              <w:ind w:left="360"/>
              <w:rPr>
                <w:rFonts w:eastAsia="Arial Unicode MS" w:cs="Arial Unicode MS"/>
                <w:sz w:val="20"/>
                <w:szCs w:val="20"/>
              </w:rPr>
            </w:pPr>
            <w:r w:rsidRPr="002B640D">
              <w:rPr>
                <w:rFonts w:eastAsia="Arial Unicode MS" w:cs="Arial Unicode MS"/>
                <w:sz w:val="20"/>
                <w:szCs w:val="20"/>
              </w:rPr>
              <w:t>Beta</w:t>
            </w:r>
          </w:p>
        </w:tc>
        <w:tc>
          <w:tcPr>
            <w:tcW w:w="1237" w:type="dxa"/>
          </w:tcPr>
          <w:p w14:paraId="7900BD09" w14:textId="77777777" w:rsidR="00104C30" w:rsidRPr="002B640D" w:rsidRDefault="00104C30" w:rsidP="002B640D">
            <w:pPr>
              <w:pStyle w:val="Default"/>
              <w:ind w:left="360"/>
              <w:jc w:val="center"/>
              <w:rPr>
                <w:rFonts w:eastAsia="Arial Unicode MS" w:cs="Arial Unicode MS"/>
                <w:sz w:val="20"/>
                <w:szCs w:val="20"/>
              </w:rPr>
            </w:pPr>
            <w:r w:rsidRPr="002B640D">
              <w:rPr>
                <w:rFonts w:eastAsia="Arial Unicode MS" w:cs="Arial Unicode MS"/>
                <w:sz w:val="20"/>
                <w:szCs w:val="20"/>
              </w:rPr>
              <w:t>0.90</w:t>
            </w:r>
          </w:p>
        </w:tc>
      </w:tr>
      <w:tr w:rsidR="00104C30" w:rsidRPr="002B640D" w14:paraId="376766EF" w14:textId="77777777" w:rsidTr="00BB40D2">
        <w:trPr>
          <w:trHeight w:val="187"/>
          <w:tblHeader/>
          <w:jc w:val="center"/>
        </w:trPr>
        <w:tc>
          <w:tcPr>
            <w:tcW w:w="3631" w:type="dxa"/>
          </w:tcPr>
          <w:p w14:paraId="1E2D6A5D" w14:textId="77777777" w:rsidR="00104C30" w:rsidRPr="002B640D" w:rsidRDefault="00104C30" w:rsidP="002B640D">
            <w:pPr>
              <w:pStyle w:val="Default"/>
              <w:ind w:left="360"/>
              <w:rPr>
                <w:rFonts w:eastAsia="Arial Unicode MS" w:cs="Arial Unicode MS"/>
                <w:sz w:val="20"/>
                <w:szCs w:val="20"/>
              </w:rPr>
            </w:pPr>
            <w:r w:rsidRPr="002B640D">
              <w:rPr>
                <w:rFonts w:eastAsia="Arial Unicode MS" w:cs="Arial Unicode MS"/>
                <w:sz w:val="20"/>
                <w:szCs w:val="20"/>
              </w:rPr>
              <w:t xml:space="preserve">Prima de mercado </w:t>
            </w:r>
          </w:p>
        </w:tc>
        <w:tc>
          <w:tcPr>
            <w:tcW w:w="1237" w:type="dxa"/>
          </w:tcPr>
          <w:p w14:paraId="4F5628C8" w14:textId="77777777" w:rsidR="00104C30" w:rsidRPr="002B640D" w:rsidRDefault="00104C30" w:rsidP="002B640D">
            <w:pPr>
              <w:pStyle w:val="Default"/>
              <w:ind w:left="360"/>
              <w:jc w:val="center"/>
              <w:rPr>
                <w:rFonts w:eastAsia="Arial Unicode MS" w:cs="Arial Unicode MS"/>
                <w:sz w:val="20"/>
                <w:szCs w:val="20"/>
              </w:rPr>
            </w:pPr>
            <w:r w:rsidRPr="002B640D">
              <w:rPr>
                <w:rFonts w:eastAsia="Arial Unicode MS" w:cs="Arial Unicode MS"/>
                <w:sz w:val="20"/>
                <w:szCs w:val="20"/>
              </w:rPr>
              <w:t>6.25%</w:t>
            </w:r>
          </w:p>
        </w:tc>
      </w:tr>
      <w:tr w:rsidR="00104C30" w:rsidRPr="002B640D" w14:paraId="580E39BD" w14:textId="77777777" w:rsidTr="00BB40D2">
        <w:trPr>
          <w:trHeight w:val="187"/>
          <w:tblHeader/>
          <w:jc w:val="center"/>
        </w:trPr>
        <w:tc>
          <w:tcPr>
            <w:tcW w:w="3631" w:type="dxa"/>
          </w:tcPr>
          <w:p w14:paraId="14E4B658" w14:textId="77777777" w:rsidR="00104C30" w:rsidRPr="002B640D" w:rsidRDefault="00104C30" w:rsidP="002B640D">
            <w:pPr>
              <w:pStyle w:val="Default"/>
              <w:ind w:left="360"/>
              <w:rPr>
                <w:rFonts w:eastAsia="Arial Unicode MS" w:cs="Arial Unicode MS"/>
                <w:sz w:val="20"/>
                <w:szCs w:val="20"/>
              </w:rPr>
            </w:pPr>
            <w:r w:rsidRPr="002B640D">
              <w:rPr>
                <w:rFonts w:eastAsia="Arial Unicode MS" w:cs="Arial Unicode MS"/>
                <w:bCs/>
                <w:sz w:val="20"/>
                <w:szCs w:val="20"/>
              </w:rPr>
              <w:t>Costo de capital accionario</w:t>
            </w:r>
          </w:p>
        </w:tc>
        <w:tc>
          <w:tcPr>
            <w:tcW w:w="1237" w:type="dxa"/>
          </w:tcPr>
          <w:p w14:paraId="25340771" w14:textId="77777777" w:rsidR="00104C30" w:rsidRPr="002B640D" w:rsidRDefault="00104C30" w:rsidP="002B640D">
            <w:pPr>
              <w:pStyle w:val="Default"/>
              <w:ind w:left="360"/>
              <w:jc w:val="center"/>
              <w:rPr>
                <w:rFonts w:eastAsia="Arial Unicode MS" w:cs="Arial Unicode MS"/>
                <w:sz w:val="20"/>
                <w:szCs w:val="20"/>
              </w:rPr>
            </w:pPr>
            <w:r w:rsidRPr="002B640D">
              <w:rPr>
                <w:rFonts w:eastAsia="Arial Unicode MS" w:cs="Arial Unicode MS"/>
                <w:sz w:val="20"/>
                <w:szCs w:val="20"/>
              </w:rPr>
              <w:t>15.21%</w:t>
            </w:r>
          </w:p>
        </w:tc>
      </w:tr>
      <w:tr w:rsidR="00104C30" w:rsidRPr="002B640D" w14:paraId="15E1A84A" w14:textId="77777777" w:rsidTr="00BB40D2">
        <w:trPr>
          <w:trHeight w:val="187"/>
          <w:tblHeader/>
          <w:jc w:val="center"/>
        </w:trPr>
        <w:tc>
          <w:tcPr>
            <w:tcW w:w="3631" w:type="dxa"/>
          </w:tcPr>
          <w:p w14:paraId="34C9F0A3" w14:textId="77777777" w:rsidR="00104C30" w:rsidRPr="002B640D" w:rsidRDefault="00104C30" w:rsidP="002B640D">
            <w:pPr>
              <w:pStyle w:val="Default"/>
              <w:ind w:left="360"/>
              <w:rPr>
                <w:rFonts w:eastAsia="Arial Unicode MS" w:cs="Arial Unicode MS"/>
                <w:sz w:val="20"/>
                <w:szCs w:val="20"/>
              </w:rPr>
            </w:pPr>
            <w:r w:rsidRPr="002B640D">
              <w:rPr>
                <w:rFonts w:eastAsia="Arial Unicode MS" w:cs="Arial Unicode MS"/>
                <w:bCs/>
                <w:sz w:val="20"/>
                <w:szCs w:val="20"/>
              </w:rPr>
              <w:t>Costo de la deuda</w:t>
            </w:r>
          </w:p>
        </w:tc>
        <w:tc>
          <w:tcPr>
            <w:tcW w:w="1237" w:type="dxa"/>
          </w:tcPr>
          <w:p w14:paraId="4221630C" w14:textId="77777777" w:rsidR="00104C30" w:rsidRPr="002B640D" w:rsidRDefault="00104C30" w:rsidP="002B640D">
            <w:pPr>
              <w:pStyle w:val="Default"/>
              <w:ind w:left="360"/>
              <w:jc w:val="center"/>
              <w:rPr>
                <w:rFonts w:eastAsia="Arial Unicode MS" w:cs="Arial Unicode MS"/>
                <w:sz w:val="20"/>
                <w:szCs w:val="20"/>
              </w:rPr>
            </w:pPr>
            <w:r w:rsidRPr="002B640D">
              <w:rPr>
                <w:rFonts w:eastAsia="Arial Unicode MS" w:cs="Arial Unicode MS"/>
                <w:sz w:val="20"/>
                <w:szCs w:val="20"/>
              </w:rPr>
              <w:t>6.35%</w:t>
            </w:r>
          </w:p>
        </w:tc>
      </w:tr>
      <w:tr w:rsidR="00104C30" w:rsidRPr="002B640D" w14:paraId="638C839B" w14:textId="77777777" w:rsidTr="00BB40D2">
        <w:trPr>
          <w:trHeight w:val="187"/>
          <w:tblHeader/>
          <w:jc w:val="center"/>
        </w:trPr>
        <w:tc>
          <w:tcPr>
            <w:tcW w:w="3631" w:type="dxa"/>
          </w:tcPr>
          <w:p w14:paraId="0D01EC10" w14:textId="77777777" w:rsidR="00104C30" w:rsidRPr="002B640D" w:rsidRDefault="00104C30" w:rsidP="002B640D">
            <w:pPr>
              <w:pStyle w:val="Default"/>
              <w:ind w:left="360"/>
              <w:rPr>
                <w:rFonts w:eastAsia="Arial Unicode MS" w:cs="Arial Unicode MS"/>
                <w:sz w:val="20"/>
                <w:szCs w:val="20"/>
              </w:rPr>
            </w:pPr>
            <w:r w:rsidRPr="002B640D">
              <w:rPr>
                <w:rFonts w:eastAsia="Arial Unicode MS" w:cs="Arial Unicode MS"/>
                <w:sz w:val="20"/>
                <w:szCs w:val="20"/>
              </w:rPr>
              <w:t>Apalancamiento</w:t>
            </w:r>
          </w:p>
        </w:tc>
        <w:tc>
          <w:tcPr>
            <w:tcW w:w="1237" w:type="dxa"/>
          </w:tcPr>
          <w:p w14:paraId="1DC9D8BD" w14:textId="77777777" w:rsidR="00104C30" w:rsidRPr="002B640D" w:rsidRDefault="00104C30" w:rsidP="002B640D">
            <w:pPr>
              <w:pStyle w:val="Default"/>
              <w:ind w:left="360"/>
              <w:jc w:val="center"/>
              <w:rPr>
                <w:rFonts w:eastAsia="Arial Unicode MS" w:cs="Arial Unicode MS"/>
                <w:sz w:val="20"/>
                <w:szCs w:val="20"/>
              </w:rPr>
            </w:pPr>
            <w:r w:rsidRPr="002B640D">
              <w:rPr>
                <w:rFonts w:eastAsia="Arial Unicode MS" w:cs="Arial Unicode MS"/>
                <w:sz w:val="20"/>
                <w:szCs w:val="20"/>
              </w:rPr>
              <w:t>59.75%</w:t>
            </w:r>
          </w:p>
        </w:tc>
      </w:tr>
      <w:tr w:rsidR="00104C30" w:rsidRPr="002B640D" w14:paraId="1612E917" w14:textId="77777777" w:rsidTr="00BB40D2">
        <w:trPr>
          <w:trHeight w:val="187"/>
          <w:tblHeader/>
          <w:jc w:val="center"/>
        </w:trPr>
        <w:tc>
          <w:tcPr>
            <w:tcW w:w="3631" w:type="dxa"/>
          </w:tcPr>
          <w:p w14:paraId="20A1ACF3" w14:textId="77777777" w:rsidR="00104C30" w:rsidRPr="002B640D" w:rsidRDefault="00104C30" w:rsidP="002B640D">
            <w:pPr>
              <w:pStyle w:val="Default"/>
              <w:ind w:left="360"/>
              <w:rPr>
                <w:rFonts w:eastAsia="Arial Unicode MS" w:cs="Arial Unicode MS"/>
                <w:sz w:val="20"/>
                <w:szCs w:val="20"/>
              </w:rPr>
            </w:pPr>
            <w:r w:rsidRPr="002B640D">
              <w:rPr>
                <w:rFonts w:eastAsia="Arial Unicode MS" w:cs="Arial Unicode MS"/>
                <w:sz w:val="20"/>
                <w:szCs w:val="20"/>
              </w:rPr>
              <w:t xml:space="preserve">Tasa de impuestos </w:t>
            </w:r>
          </w:p>
        </w:tc>
        <w:tc>
          <w:tcPr>
            <w:tcW w:w="1237" w:type="dxa"/>
          </w:tcPr>
          <w:p w14:paraId="75749F5F" w14:textId="77777777" w:rsidR="00104C30" w:rsidRPr="002B640D" w:rsidRDefault="00104C30" w:rsidP="002B640D">
            <w:pPr>
              <w:pStyle w:val="Default"/>
              <w:ind w:left="360"/>
              <w:jc w:val="center"/>
              <w:rPr>
                <w:rFonts w:eastAsia="Arial Unicode MS" w:cs="Arial Unicode MS"/>
                <w:sz w:val="20"/>
                <w:szCs w:val="20"/>
              </w:rPr>
            </w:pPr>
            <w:r w:rsidRPr="002B640D">
              <w:rPr>
                <w:rFonts w:eastAsia="Arial Unicode MS" w:cs="Arial Unicode MS"/>
                <w:sz w:val="20"/>
                <w:szCs w:val="20"/>
              </w:rPr>
              <w:t>30.00%</w:t>
            </w:r>
          </w:p>
        </w:tc>
      </w:tr>
      <w:tr w:rsidR="00104C30" w:rsidRPr="002B640D" w14:paraId="7E67FED3" w14:textId="77777777" w:rsidTr="00BB40D2">
        <w:trPr>
          <w:trHeight w:val="187"/>
          <w:tblHeader/>
          <w:jc w:val="center"/>
        </w:trPr>
        <w:tc>
          <w:tcPr>
            <w:tcW w:w="3631" w:type="dxa"/>
          </w:tcPr>
          <w:p w14:paraId="6E84C848" w14:textId="77777777" w:rsidR="00104C30" w:rsidRPr="002B640D" w:rsidRDefault="00104C30" w:rsidP="002B640D">
            <w:pPr>
              <w:pStyle w:val="Default"/>
              <w:ind w:left="360"/>
              <w:rPr>
                <w:rFonts w:eastAsia="Arial Unicode MS" w:cs="Arial Unicode MS"/>
                <w:b/>
                <w:sz w:val="20"/>
                <w:szCs w:val="20"/>
              </w:rPr>
            </w:pPr>
            <w:r w:rsidRPr="002B640D">
              <w:rPr>
                <w:rFonts w:eastAsia="Arial Unicode MS" w:cs="Arial Unicode MS"/>
                <w:b/>
                <w:bCs/>
                <w:sz w:val="20"/>
                <w:szCs w:val="20"/>
              </w:rPr>
              <w:t xml:space="preserve">CCPP nominal antes impuestos </w:t>
            </w:r>
          </w:p>
        </w:tc>
        <w:tc>
          <w:tcPr>
            <w:tcW w:w="1237" w:type="dxa"/>
          </w:tcPr>
          <w:p w14:paraId="77046372" w14:textId="77777777" w:rsidR="00104C30" w:rsidRPr="002B640D" w:rsidRDefault="00104C30" w:rsidP="002B640D">
            <w:pPr>
              <w:pStyle w:val="Default"/>
              <w:ind w:left="360"/>
              <w:jc w:val="center"/>
              <w:rPr>
                <w:rFonts w:eastAsia="Arial Unicode MS" w:cs="Arial Unicode MS"/>
                <w:b/>
                <w:sz w:val="20"/>
                <w:szCs w:val="20"/>
              </w:rPr>
            </w:pPr>
            <w:r w:rsidRPr="002B640D">
              <w:rPr>
                <w:rFonts w:eastAsia="Arial Unicode MS" w:cs="Arial Unicode MS"/>
                <w:b/>
                <w:sz w:val="20"/>
                <w:szCs w:val="20"/>
              </w:rPr>
              <w:t>9.91%</w:t>
            </w:r>
          </w:p>
        </w:tc>
      </w:tr>
    </w:tbl>
    <w:p w14:paraId="6D0B261A" w14:textId="65F36843" w:rsidR="007745BB" w:rsidRPr="002B640D" w:rsidRDefault="007745BB" w:rsidP="002B640D">
      <w:pPr>
        <w:pStyle w:val="IFTnormal"/>
        <w:spacing w:before="240"/>
        <w:ind w:left="720"/>
        <w:jc w:val="center"/>
      </w:pPr>
      <w:r w:rsidRPr="002B640D">
        <w:rPr>
          <w:b/>
          <w:sz w:val="18"/>
        </w:rPr>
        <w:t xml:space="preserve">Tabla </w:t>
      </w:r>
      <w:r w:rsidR="00AB5878" w:rsidRPr="002B640D">
        <w:rPr>
          <w:b/>
          <w:sz w:val="18"/>
        </w:rPr>
        <w:t>11:</w:t>
      </w:r>
      <w:r w:rsidRPr="002B640D">
        <w:rPr>
          <w:sz w:val="18"/>
        </w:rPr>
        <w:t xml:space="preserve"> Parámetros relacionados con el Costo de Capital Promedio Ponderado</w:t>
      </w:r>
    </w:p>
    <w:p w14:paraId="24C25CE1" w14:textId="77777777" w:rsidR="00CC54ED" w:rsidRPr="002B640D" w:rsidRDefault="00CC54ED" w:rsidP="002B640D">
      <w:pPr>
        <w:pStyle w:val="Prrafodelista"/>
        <w:spacing w:before="240"/>
        <w:jc w:val="both"/>
        <w:rPr>
          <w:rFonts w:ascii="ITC Avant Garde" w:hAnsi="ITC Avant Garde"/>
          <w:sz w:val="20"/>
          <w:lang w:val="es-ES_tradnl"/>
        </w:rPr>
      </w:pPr>
      <w:r w:rsidRPr="002B640D">
        <w:rPr>
          <w:rFonts w:ascii="ITC Avant Garde" w:hAnsi="ITC Avant Garde"/>
          <w:sz w:val="16"/>
          <w:lang w:val="es-419"/>
        </w:rPr>
        <w:t>*</w:t>
      </w:r>
      <w:r w:rsidR="000E1F45" w:rsidRPr="002B640D">
        <w:rPr>
          <w:rFonts w:ascii="ITC Avant Garde" w:hAnsi="ITC Avant Garde"/>
          <w:sz w:val="16"/>
        </w:rPr>
        <w:t xml:space="preserve">Valores de conformidad con </w:t>
      </w:r>
      <w:r w:rsidRPr="002B640D">
        <w:rPr>
          <w:rFonts w:ascii="ITC Avant Garde" w:hAnsi="ITC Avant Garde"/>
          <w:sz w:val="16"/>
          <w:lang w:val="es-419"/>
        </w:rPr>
        <w:t xml:space="preserve">la actualización del CCPP realizada por el Instituto y </w:t>
      </w:r>
      <w:r w:rsidR="00554B01" w:rsidRPr="002B640D">
        <w:rPr>
          <w:rFonts w:ascii="ITC Avant Garde" w:hAnsi="ITC Avant Garde"/>
          <w:sz w:val="16"/>
        </w:rPr>
        <w:t>empleada</w:t>
      </w:r>
      <w:r w:rsidRPr="002B640D">
        <w:rPr>
          <w:rFonts w:ascii="ITC Avant Garde" w:hAnsi="ITC Avant Garde"/>
          <w:sz w:val="16"/>
          <w:lang w:val="es-419"/>
        </w:rPr>
        <w:t xml:space="preserve"> en el</w:t>
      </w:r>
      <w:r w:rsidRPr="002B640D">
        <w:rPr>
          <w:sz w:val="16"/>
        </w:rPr>
        <w:t xml:space="preserve"> </w:t>
      </w:r>
      <w:r w:rsidRPr="002B640D">
        <w:rPr>
          <w:rFonts w:ascii="ITC Avant Garde" w:hAnsi="ITC Avant Garde"/>
          <w:sz w:val="16"/>
          <w:lang w:val="es-419"/>
        </w:rPr>
        <w:t>Acuerdo P/IFT/200916/503 denominado “</w:t>
      </w:r>
      <w:r w:rsidRPr="002B640D">
        <w:rPr>
          <w:rFonts w:ascii="ITC Avant Garde" w:hAnsi="ITC Avant Garde"/>
          <w:caps/>
          <w:sz w:val="16"/>
          <w:lang w:val="es-419"/>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2B640D">
        <w:rPr>
          <w:rFonts w:ascii="ITC Avant Garde" w:hAnsi="ITC Avant Garde"/>
          <w:sz w:val="16"/>
          <w:lang w:val="es-419"/>
        </w:rPr>
        <w:t>.”</w:t>
      </w:r>
    </w:p>
    <w:p w14:paraId="4F71E91F" w14:textId="77777777" w:rsidR="00543B5B" w:rsidRPr="002B640D" w:rsidRDefault="00543B5B" w:rsidP="002B640D">
      <w:pPr>
        <w:pStyle w:val="IFTnormal"/>
        <w:numPr>
          <w:ilvl w:val="0"/>
          <w:numId w:val="39"/>
        </w:numPr>
        <w:spacing w:before="240"/>
      </w:pPr>
      <w:r w:rsidRPr="002B640D">
        <w:rPr>
          <w:lang w:val="es-419"/>
        </w:rPr>
        <w:t>L</w:t>
      </w:r>
      <w:r w:rsidR="000C3722" w:rsidRPr="002B640D">
        <w:t>a vida útil de los activos</w:t>
      </w:r>
      <w:r w:rsidRPr="002B640D">
        <w:rPr>
          <w:lang w:val="es-419"/>
        </w:rPr>
        <w:t>; y</w:t>
      </w:r>
    </w:p>
    <w:p w14:paraId="60092BBE" w14:textId="77777777" w:rsidR="000C3722" w:rsidRPr="002B640D" w:rsidRDefault="00543B5B" w:rsidP="002B640D">
      <w:pPr>
        <w:pStyle w:val="IFTnormal"/>
        <w:numPr>
          <w:ilvl w:val="0"/>
          <w:numId w:val="39"/>
        </w:numPr>
        <w:spacing w:before="240"/>
      </w:pPr>
      <w:r w:rsidRPr="002B640D">
        <w:rPr>
          <w:lang w:val="es-419"/>
        </w:rPr>
        <w:lastRenderedPageBreak/>
        <w:t>L</w:t>
      </w:r>
      <w:r w:rsidR="000C3722" w:rsidRPr="002B640D">
        <w:t>a tendencia de los precios asociada a cada uno de estos.</w:t>
      </w:r>
    </w:p>
    <w:p w14:paraId="5ADFFDED" w14:textId="77777777" w:rsidR="000C3722" w:rsidRPr="002B640D" w:rsidRDefault="000C3722" w:rsidP="002B640D">
      <w:pPr>
        <w:pStyle w:val="IFTnormal"/>
        <w:spacing w:before="240"/>
        <w:rPr>
          <w:b/>
        </w:rPr>
      </w:pPr>
      <w:r w:rsidRPr="002B640D">
        <w:rPr>
          <w:b/>
        </w:rPr>
        <w:t>Asignación de costos compartidos</w:t>
      </w:r>
    </w:p>
    <w:p w14:paraId="5E1D4822" w14:textId="77777777" w:rsidR="000C3722" w:rsidRPr="002B640D" w:rsidRDefault="00714DC2" w:rsidP="002B640D">
      <w:pPr>
        <w:pStyle w:val="IFTnormal"/>
        <w:spacing w:before="240"/>
      </w:pPr>
      <w:r w:rsidRPr="002B640D">
        <w:t>En el modelo se ha considerado l</w:t>
      </w:r>
      <w:r w:rsidR="000C3722" w:rsidRPr="002B640D">
        <w:t>a asignación de costos compartidos</w:t>
      </w:r>
      <w:r w:rsidRPr="002B640D">
        <w:t xml:space="preserve"> a partir de la</w:t>
      </w:r>
      <w:r w:rsidR="00B47F45" w:rsidRPr="002B640D">
        <w:t>s dimensiones de los elementos de los sitios modelados, así como de la</w:t>
      </w:r>
      <w:r w:rsidRPr="002B640D">
        <w:t xml:space="preserve"> demanda de Espacio en Torre y Espacio en Piso (véase numeral 4.2.1.3).</w:t>
      </w:r>
    </w:p>
    <w:p w14:paraId="246534CB" w14:textId="77777777" w:rsidR="000C3722" w:rsidRPr="002B640D" w:rsidRDefault="000C3722" w:rsidP="002B640D">
      <w:pPr>
        <w:pStyle w:val="IFTnormal"/>
        <w:spacing w:before="240"/>
        <w:rPr>
          <w:b/>
          <w:lang w:val="es-ES"/>
        </w:rPr>
      </w:pPr>
      <w:r w:rsidRPr="002B640D">
        <w:rPr>
          <w:b/>
          <w:lang w:val="es-ES"/>
        </w:rPr>
        <w:t>Asignación de costos comunes</w:t>
      </w:r>
    </w:p>
    <w:p w14:paraId="59A70D90" w14:textId="77777777" w:rsidR="00CC54ED" w:rsidRPr="002B640D" w:rsidRDefault="000C3722" w:rsidP="002B640D">
      <w:pPr>
        <w:pStyle w:val="IFTnormal"/>
        <w:spacing w:before="240"/>
      </w:pPr>
      <w:r w:rsidRPr="002B640D">
        <w:rPr>
          <w:lang w:val="es-ES"/>
        </w:rPr>
        <w:t xml:space="preserve">La asignación de costos comunes se basa en un reparto proporcional o EPMU (del inglés, </w:t>
      </w:r>
      <w:proofErr w:type="spellStart"/>
      <w:r w:rsidRPr="002B640D">
        <w:rPr>
          <w:lang w:val="es-ES"/>
        </w:rPr>
        <w:t>equi-proportional</w:t>
      </w:r>
      <w:proofErr w:type="spellEnd"/>
      <w:r w:rsidRPr="002B640D">
        <w:rPr>
          <w:lang w:val="es-ES"/>
        </w:rPr>
        <w:t xml:space="preserve"> </w:t>
      </w:r>
      <w:proofErr w:type="spellStart"/>
      <w:r w:rsidRPr="002B640D">
        <w:rPr>
          <w:lang w:val="es-ES"/>
        </w:rPr>
        <w:t>mark</w:t>
      </w:r>
      <w:proofErr w:type="spellEnd"/>
      <w:r w:rsidRPr="002B640D">
        <w:rPr>
          <w:lang w:val="es-ES"/>
        </w:rPr>
        <w:t>-up), en el que los costos comunes se recuperan en proporción al costo asignado a los distintos servicios producidos. Su aplicación es sencilla, y resulta en un tratamiento uniforme de todos los servicios del negocio y no necesita parámetros adicionales. Es decir, el AEP recupera los costos comunes a través de un factor que se aplica de manera proporcional a los costos totales.</w:t>
      </w:r>
    </w:p>
    <w:p w14:paraId="78C02187" w14:textId="77777777" w:rsidR="00CC54ED" w:rsidRPr="002B640D" w:rsidRDefault="005700FA" w:rsidP="002B640D">
      <w:pPr>
        <w:pStyle w:val="IFT1"/>
        <w:spacing w:before="240"/>
        <w:rPr>
          <w:b/>
          <w:bCs/>
        </w:rPr>
      </w:pPr>
      <w:r w:rsidRPr="002B640D">
        <w:rPr>
          <w:b/>
        </w:rPr>
        <w:t>4</w:t>
      </w:r>
      <w:r w:rsidR="00CC54ED" w:rsidRPr="002B640D">
        <w:rPr>
          <w:b/>
        </w:rPr>
        <w:t>.2 Aspectos relacionados con la metodología del Modelo de Costos para el Acceso y Uso Compartido de Torre</w:t>
      </w:r>
    </w:p>
    <w:p w14:paraId="7DD33E89" w14:textId="77777777" w:rsidR="001222A9" w:rsidRPr="002B640D" w:rsidRDefault="00CC54ED" w:rsidP="002B640D">
      <w:pPr>
        <w:pStyle w:val="IFTnormal"/>
        <w:spacing w:before="240"/>
        <w:rPr>
          <w:lang w:val="es-MX"/>
        </w:rPr>
      </w:pPr>
      <w:r w:rsidRPr="002B640D">
        <w:rPr>
          <w:lang w:val="es-MX"/>
        </w:rPr>
        <w:t>El Modelo de Costos consta de dos etapas metodológicas</w:t>
      </w:r>
      <w:r w:rsidR="00C05E47" w:rsidRPr="002B640D">
        <w:rPr>
          <w:lang w:val="es-MX"/>
        </w:rPr>
        <w:t xml:space="preserve">. </w:t>
      </w:r>
      <w:r w:rsidR="00984DF4" w:rsidRPr="002B640D">
        <w:rPr>
          <w:lang w:val="es-MX"/>
        </w:rPr>
        <w:t>E</w:t>
      </w:r>
      <w:r w:rsidR="00C05E47" w:rsidRPr="002B640D">
        <w:rPr>
          <w:lang w:val="es-MX"/>
        </w:rPr>
        <w:t xml:space="preserve">n la primera </w:t>
      </w:r>
      <w:r w:rsidRPr="002B640D">
        <w:rPr>
          <w:lang w:val="es-MX"/>
        </w:rPr>
        <w:t>se realiza el dimensionamiento de sitio</w:t>
      </w:r>
      <w:r w:rsidR="00522881" w:rsidRPr="002B640D">
        <w:rPr>
          <w:lang w:val="es-419"/>
        </w:rPr>
        <w:t>s</w:t>
      </w:r>
      <w:r w:rsidRPr="002B640D">
        <w:rPr>
          <w:lang w:val="es-MX"/>
        </w:rPr>
        <w:t xml:space="preserve"> </w:t>
      </w:r>
      <w:r w:rsidR="00522881" w:rsidRPr="002B640D">
        <w:rPr>
          <w:lang w:val="es-419"/>
        </w:rPr>
        <w:t>tipo</w:t>
      </w:r>
      <w:r w:rsidR="00C11765" w:rsidRPr="002B640D">
        <w:rPr>
          <w:lang w:val="es-MX"/>
        </w:rPr>
        <w:t>,</w:t>
      </w:r>
      <w:r w:rsidR="001222A9" w:rsidRPr="002B640D">
        <w:rPr>
          <w:lang w:val="es-MX"/>
        </w:rPr>
        <w:t xml:space="preserve"> </w:t>
      </w:r>
      <w:r w:rsidR="00C11765" w:rsidRPr="002B640D">
        <w:rPr>
          <w:lang w:val="es-MX"/>
        </w:rPr>
        <w:t>e</w:t>
      </w:r>
      <w:r w:rsidR="00F1098F" w:rsidRPr="002B640D">
        <w:rPr>
          <w:lang w:val="es-MX"/>
        </w:rPr>
        <w:t>s decir,</w:t>
      </w:r>
      <w:r w:rsidR="00C05E47" w:rsidRPr="002B640D">
        <w:rPr>
          <w:lang w:val="es-MX"/>
        </w:rPr>
        <w:t xml:space="preserve"> se representa</w:t>
      </w:r>
      <w:r w:rsidR="00984DF4" w:rsidRPr="002B640D">
        <w:rPr>
          <w:lang w:val="es-MX"/>
        </w:rPr>
        <w:t xml:space="preserve"> a </w:t>
      </w:r>
      <w:r w:rsidRPr="002B640D">
        <w:rPr>
          <w:lang w:val="es-MX"/>
        </w:rPr>
        <w:t xml:space="preserve">un sitio </w:t>
      </w:r>
      <w:r w:rsidR="00984DF4" w:rsidRPr="002B640D">
        <w:rPr>
          <w:lang w:val="es-MX"/>
        </w:rPr>
        <w:t>característico</w:t>
      </w:r>
      <w:r w:rsidR="00C05E47" w:rsidRPr="002B640D">
        <w:rPr>
          <w:lang w:val="es-MX"/>
        </w:rPr>
        <w:t xml:space="preserve"> </w:t>
      </w:r>
      <w:r w:rsidR="001222A9" w:rsidRPr="002B640D">
        <w:rPr>
          <w:lang w:val="es-MX"/>
        </w:rPr>
        <w:t xml:space="preserve">del AEP </w:t>
      </w:r>
      <w:r w:rsidRPr="002B640D">
        <w:rPr>
          <w:lang w:val="es-MX"/>
        </w:rPr>
        <w:t xml:space="preserve">con infraestructura susceptible de ser compartida, </w:t>
      </w:r>
      <w:r w:rsidR="00984DF4" w:rsidRPr="002B640D">
        <w:rPr>
          <w:lang w:val="es-MX"/>
        </w:rPr>
        <w:t>en función de</w:t>
      </w:r>
      <w:r w:rsidR="00F1098F" w:rsidRPr="002B640D">
        <w:rPr>
          <w:lang w:val="es-MX"/>
        </w:rPr>
        <w:t xml:space="preserve"> las</w:t>
      </w:r>
      <w:r w:rsidR="00984DF4" w:rsidRPr="002B640D">
        <w:rPr>
          <w:lang w:val="es-MX"/>
        </w:rPr>
        <w:t xml:space="preserve"> siguiente</w:t>
      </w:r>
      <w:r w:rsidR="00F1098F" w:rsidRPr="002B640D">
        <w:rPr>
          <w:lang w:val="es-MX"/>
        </w:rPr>
        <w:t>s variables</w:t>
      </w:r>
      <w:r w:rsidR="001222A9" w:rsidRPr="002B640D">
        <w:rPr>
          <w:lang w:val="es-MX"/>
        </w:rPr>
        <w:t>:</w:t>
      </w:r>
    </w:p>
    <w:p w14:paraId="2C130FC6" w14:textId="77777777" w:rsidR="00C05E47" w:rsidRPr="002B640D" w:rsidRDefault="001222A9" w:rsidP="002B640D">
      <w:pPr>
        <w:pStyle w:val="IFTnormal"/>
        <w:numPr>
          <w:ilvl w:val="0"/>
          <w:numId w:val="13"/>
        </w:numPr>
        <w:spacing w:before="240"/>
        <w:rPr>
          <w:lang w:val="es-419"/>
        </w:rPr>
      </w:pPr>
      <w:r w:rsidRPr="002B640D">
        <w:rPr>
          <w:b/>
          <w:lang w:val="es-MX"/>
        </w:rPr>
        <w:t>Relativas a la torre:</w:t>
      </w:r>
      <w:r w:rsidRPr="002B640D">
        <w:rPr>
          <w:lang w:val="es-419"/>
        </w:rPr>
        <w:t xml:space="preserve"> </w:t>
      </w:r>
      <w:r w:rsidR="00984DF4" w:rsidRPr="002B640D">
        <w:rPr>
          <w:lang w:val="es-MX"/>
        </w:rPr>
        <w:t>u</w:t>
      </w:r>
      <w:r w:rsidR="00C05E47" w:rsidRPr="002B640D">
        <w:rPr>
          <w:lang w:val="es-MX"/>
        </w:rPr>
        <w:t xml:space="preserve">n </w:t>
      </w:r>
      <w:r w:rsidR="00C05E47" w:rsidRPr="002B640D">
        <w:rPr>
          <w:lang w:val="es-419"/>
        </w:rPr>
        <w:t>tipo</w:t>
      </w:r>
      <w:r w:rsidRPr="002B640D">
        <w:rPr>
          <w:lang w:val="es-419"/>
        </w:rPr>
        <w:t xml:space="preserve"> de torre</w:t>
      </w:r>
      <w:r w:rsidR="00C05E47" w:rsidRPr="002B640D">
        <w:rPr>
          <w:lang w:val="es-MX"/>
        </w:rPr>
        <w:t xml:space="preserve"> </w:t>
      </w:r>
      <w:r w:rsidR="00984DF4" w:rsidRPr="002B640D">
        <w:rPr>
          <w:lang w:val="es-MX"/>
        </w:rPr>
        <w:t>específico presente en el</w:t>
      </w:r>
      <w:r w:rsidR="00C05E47" w:rsidRPr="002B640D">
        <w:rPr>
          <w:lang w:val="es-MX"/>
        </w:rPr>
        <w:t xml:space="preserve"> sitio</w:t>
      </w:r>
      <w:r w:rsidRPr="002B640D">
        <w:rPr>
          <w:lang w:val="es-419"/>
        </w:rPr>
        <w:t xml:space="preserve">, </w:t>
      </w:r>
      <w:r w:rsidR="00984DF4" w:rsidRPr="002B640D">
        <w:rPr>
          <w:lang w:val="es-MX"/>
        </w:rPr>
        <w:t xml:space="preserve">así como </w:t>
      </w:r>
      <w:r w:rsidR="00C05E47" w:rsidRPr="002B640D">
        <w:rPr>
          <w:lang w:val="es-MX"/>
        </w:rPr>
        <w:t>el valor de su</w:t>
      </w:r>
      <w:r w:rsidR="00C05E47" w:rsidRPr="002B640D">
        <w:rPr>
          <w:lang w:val="es-419"/>
        </w:rPr>
        <w:t xml:space="preserve"> altura</w:t>
      </w:r>
      <w:r w:rsidR="00C05E47" w:rsidRPr="002B640D">
        <w:rPr>
          <w:lang w:val="es-MX"/>
        </w:rPr>
        <w:t xml:space="preserve"> y</w:t>
      </w:r>
      <w:r w:rsidRPr="002B640D">
        <w:rPr>
          <w:lang w:val="es-419"/>
        </w:rPr>
        <w:t xml:space="preserve"> </w:t>
      </w:r>
      <w:r w:rsidR="00984DF4" w:rsidRPr="002B640D">
        <w:rPr>
          <w:lang w:val="es-MX"/>
        </w:rPr>
        <w:t>carga</w:t>
      </w:r>
      <w:r w:rsidRPr="002B640D">
        <w:rPr>
          <w:lang w:val="es-419"/>
        </w:rPr>
        <w:t xml:space="preserve"> </w:t>
      </w:r>
      <w:r w:rsidR="00C05E47" w:rsidRPr="002B640D">
        <w:rPr>
          <w:lang w:val="es-MX"/>
        </w:rPr>
        <w:t xml:space="preserve">máxima </w:t>
      </w:r>
      <w:r w:rsidRPr="002B640D">
        <w:rPr>
          <w:lang w:val="es-419"/>
        </w:rPr>
        <w:t>de viento</w:t>
      </w:r>
      <w:r w:rsidR="00984DF4" w:rsidRPr="002B640D">
        <w:rPr>
          <w:lang w:val="es-MX"/>
        </w:rPr>
        <w:t>,</w:t>
      </w:r>
    </w:p>
    <w:p w14:paraId="7250D819" w14:textId="77777777" w:rsidR="001222A9" w:rsidRPr="002B640D" w:rsidRDefault="00C05E47" w:rsidP="002B640D">
      <w:pPr>
        <w:pStyle w:val="IFTnormal"/>
        <w:numPr>
          <w:ilvl w:val="0"/>
          <w:numId w:val="13"/>
        </w:numPr>
        <w:spacing w:before="240"/>
        <w:rPr>
          <w:lang w:val="es-419"/>
        </w:rPr>
      </w:pPr>
      <w:r w:rsidRPr="002B640D">
        <w:rPr>
          <w:b/>
          <w:lang w:val="es-MX"/>
        </w:rPr>
        <w:t>Relativos al sitio:</w:t>
      </w:r>
      <w:r w:rsidR="00D0491B" w:rsidRPr="002B640D">
        <w:rPr>
          <w:lang w:val="es-MX"/>
        </w:rPr>
        <w:t xml:space="preserve"> </w:t>
      </w:r>
      <w:r w:rsidR="00EE2E34" w:rsidRPr="002B640D">
        <w:rPr>
          <w:lang w:val="es-MX"/>
        </w:rPr>
        <w:t>las dimensiones</w:t>
      </w:r>
      <w:r w:rsidR="00EE2E34" w:rsidRPr="002B640D">
        <w:rPr>
          <w:lang w:val="es-419"/>
        </w:rPr>
        <w:t xml:space="preserve"> promedio </w:t>
      </w:r>
      <w:r w:rsidR="00EE2E34" w:rsidRPr="002B640D">
        <w:rPr>
          <w:lang w:val="es-MX"/>
        </w:rPr>
        <w:t xml:space="preserve">ocupadas por un </w:t>
      </w:r>
      <w:r w:rsidR="009C6343" w:rsidRPr="002B640D">
        <w:rPr>
          <w:lang w:val="es-MX"/>
        </w:rPr>
        <w:t>predio</w:t>
      </w:r>
      <w:r w:rsidR="00EE2E34" w:rsidRPr="002B640D">
        <w:rPr>
          <w:lang w:val="es-MX"/>
        </w:rPr>
        <w:t>,</w:t>
      </w:r>
      <w:r w:rsidR="001222A9" w:rsidRPr="002B640D">
        <w:rPr>
          <w:lang w:val="es-419"/>
        </w:rPr>
        <w:t xml:space="preserve"> </w:t>
      </w:r>
      <w:r w:rsidR="00EE2E34" w:rsidRPr="002B640D">
        <w:rPr>
          <w:lang w:val="es-MX"/>
        </w:rPr>
        <w:t xml:space="preserve">así como las correspondientes a la </w:t>
      </w:r>
      <w:r w:rsidR="001222A9" w:rsidRPr="002B640D">
        <w:rPr>
          <w:lang w:val="es-419"/>
        </w:rPr>
        <w:t>azotea</w:t>
      </w:r>
      <w:r w:rsidR="00EE2E34" w:rsidRPr="002B640D">
        <w:rPr>
          <w:lang w:val="es-MX"/>
        </w:rPr>
        <w:t xml:space="preserve"> de los edificios, y </w:t>
      </w:r>
      <w:r w:rsidR="009C6343" w:rsidRPr="002B640D">
        <w:rPr>
          <w:lang w:val="es-MX"/>
        </w:rPr>
        <w:t>el espacio de</w:t>
      </w:r>
      <w:r w:rsidR="00EE2E34" w:rsidRPr="002B640D">
        <w:rPr>
          <w:lang w:val="es-419"/>
        </w:rPr>
        <w:t xml:space="preserve"> caseta</w:t>
      </w:r>
      <w:r w:rsidR="00EE2E34" w:rsidRPr="002B640D">
        <w:rPr>
          <w:lang w:val="es-MX"/>
        </w:rPr>
        <w:t>.</w:t>
      </w:r>
    </w:p>
    <w:p w14:paraId="227F27A0" w14:textId="77777777" w:rsidR="00D00E4D" w:rsidRPr="002B640D" w:rsidRDefault="009C6343" w:rsidP="002B640D">
      <w:pPr>
        <w:pStyle w:val="IFTnormal"/>
        <w:numPr>
          <w:ilvl w:val="0"/>
          <w:numId w:val="13"/>
        </w:numPr>
        <w:spacing w:before="240"/>
        <w:rPr>
          <w:b/>
          <w:lang w:val="es-419"/>
        </w:rPr>
      </w:pPr>
      <w:r w:rsidRPr="002B640D">
        <w:rPr>
          <w:b/>
          <w:lang w:val="es-MX"/>
        </w:rPr>
        <w:t>Demanda de espacio</w:t>
      </w:r>
      <w:r w:rsidR="00D00E4D" w:rsidRPr="002B640D">
        <w:rPr>
          <w:b/>
          <w:lang w:val="es-MX"/>
        </w:rPr>
        <w:t xml:space="preserve">: </w:t>
      </w:r>
      <w:r w:rsidR="00DB77C9" w:rsidRPr="002B640D">
        <w:t xml:space="preserve">la demanda </w:t>
      </w:r>
      <w:r w:rsidRPr="002B640D">
        <w:t xml:space="preserve">promedio </w:t>
      </w:r>
      <w:r w:rsidR="00DB77C9" w:rsidRPr="002B640D">
        <w:t>de espacio vertical ocupado por el AEP en torre</w:t>
      </w:r>
      <w:r w:rsidR="00D00E4D" w:rsidRPr="002B640D">
        <w:rPr>
          <w:lang w:val="es-MX"/>
        </w:rPr>
        <w:t>.</w:t>
      </w:r>
    </w:p>
    <w:p w14:paraId="031FF860" w14:textId="339F2A2A" w:rsidR="00CC54ED" w:rsidRPr="002B640D" w:rsidRDefault="00EE2E34" w:rsidP="002B640D">
      <w:pPr>
        <w:pStyle w:val="IFTnormal"/>
        <w:spacing w:before="240"/>
        <w:rPr>
          <w:rFonts w:eastAsia="Times New Roman"/>
        </w:rPr>
      </w:pPr>
      <w:r w:rsidRPr="002B640D">
        <w:rPr>
          <w:lang w:val="es-MX"/>
        </w:rPr>
        <w:t>Los parámetros</w:t>
      </w:r>
      <w:r w:rsidR="00D00E4D" w:rsidRPr="002B640D">
        <w:rPr>
          <w:lang w:val="es-MX"/>
        </w:rPr>
        <w:t xml:space="preserve"> anteriores se obtienen </w:t>
      </w:r>
      <w:r w:rsidR="004D7C18" w:rsidRPr="002B640D">
        <w:rPr>
          <w:lang w:val="es-MX"/>
        </w:rPr>
        <w:t>a partir de la información sobre elementos de infraestructura proporcionada por el AEP,</w:t>
      </w:r>
      <w:r w:rsidR="00CC54ED" w:rsidRPr="002B640D">
        <w:rPr>
          <w:lang w:val="es-MX"/>
        </w:rPr>
        <w:t xml:space="preserve"> </w:t>
      </w:r>
      <w:r w:rsidR="00A86FCD" w:rsidRPr="002B640D">
        <w:rPr>
          <w:lang w:val="es-MX"/>
        </w:rPr>
        <w:t xml:space="preserve">así como reglas de dimensionamiento con base </w:t>
      </w:r>
      <w:r w:rsidR="00F73646" w:rsidRPr="002B640D">
        <w:rPr>
          <w:lang w:val="es-MX"/>
        </w:rPr>
        <w:t>en</w:t>
      </w:r>
      <w:r w:rsidR="00F73646" w:rsidRPr="002B640D">
        <w:t xml:space="preserve"> las características de sus sitios, y </w:t>
      </w:r>
      <w:r w:rsidR="00F73646" w:rsidRPr="002B640D">
        <w:rPr>
          <w:lang w:val="es-419"/>
        </w:rPr>
        <w:t xml:space="preserve">la </w:t>
      </w:r>
      <w:r w:rsidR="00F73646" w:rsidRPr="002B640D">
        <w:rPr>
          <w:lang w:val="es-MX"/>
        </w:rPr>
        <w:t>ocupación</w:t>
      </w:r>
      <w:r w:rsidR="00F73646" w:rsidRPr="002B640D">
        <w:rPr>
          <w:lang w:val="es-419"/>
        </w:rPr>
        <w:t xml:space="preserve"> actual</w:t>
      </w:r>
      <w:r w:rsidR="00F73646" w:rsidRPr="002B640D">
        <w:t xml:space="preserve"> de los elementos </w:t>
      </w:r>
      <w:r w:rsidR="00F73646" w:rsidRPr="002B640D">
        <w:lastRenderedPageBreak/>
        <w:t>involucrados</w:t>
      </w:r>
      <w:r w:rsidR="00A86FCD" w:rsidRPr="002B640D">
        <w:rPr>
          <w:lang w:val="es-MX"/>
        </w:rPr>
        <w:t>. C</w:t>
      </w:r>
      <w:r w:rsidR="00CC54ED" w:rsidRPr="002B640D">
        <w:rPr>
          <w:lang w:val="es-MX"/>
        </w:rPr>
        <w:t xml:space="preserve">on </w:t>
      </w:r>
      <w:r w:rsidR="00A86FCD" w:rsidRPr="002B640D">
        <w:rPr>
          <w:lang w:val="es-MX"/>
        </w:rPr>
        <w:t>dicha información</w:t>
      </w:r>
      <w:r w:rsidR="00CC54ED" w:rsidRPr="002B640D">
        <w:rPr>
          <w:lang w:val="es-MX"/>
        </w:rPr>
        <w:t xml:space="preserve"> se calcula</w:t>
      </w:r>
      <w:r w:rsidR="00CC54ED" w:rsidRPr="002B640D">
        <w:rPr>
          <w:rFonts w:eastAsia="Times New Roman"/>
        </w:rPr>
        <w:t>n las tarifas por sitio</w:t>
      </w:r>
      <w:r w:rsidR="00522881" w:rsidRPr="002B640D">
        <w:rPr>
          <w:rFonts w:eastAsia="Times New Roman"/>
          <w:lang w:val="es-419"/>
        </w:rPr>
        <w:t xml:space="preserve"> </w:t>
      </w:r>
      <w:r w:rsidR="00CC54ED" w:rsidRPr="002B640D">
        <w:rPr>
          <w:rFonts w:eastAsia="Times New Roman"/>
        </w:rPr>
        <w:t xml:space="preserve">de los servicios </w:t>
      </w:r>
      <w:r w:rsidR="00CC54ED" w:rsidRPr="002B640D">
        <w:t xml:space="preserve">que se prestarían en </w:t>
      </w:r>
      <w:r w:rsidR="00261379" w:rsidRPr="002B640D">
        <w:rPr>
          <w:lang w:val="es-419"/>
        </w:rPr>
        <w:t>cada</w:t>
      </w:r>
      <w:r w:rsidR="00CC54ED" w:rsidRPr="002B640D">
        <w:t xml:space="preserve"> sitio modelado</w:t>
      </w:r>
      <w:r w:rsidR="00CC54ED" w:rsidRPr="002B640D">
        <w:rPr>
          <w:rFonts w:eastAsia="Times New Roman"/>
        </w:rPr>
        <w:t>.</w:t>
      </w:r>
    </w:p>
    <w:p w14:paraId="7C8826C8" w14:textId="77777777" w:rsidR="00CC54ED" w:rsidRPr="002B640D" w:rsidRDefault="00CC54ED" w:rsidP="002B640D">
      <w:pPr>
        <w:pStyle w:val="IFTnormal"/>
        <w:spacing w:before="240"/>
      </w:pPr>
      <w:r w:rsidRPr="002B640D">
        <w:t xml:space="preserve">En una segunda etapa, el modelo estima tarifas relativas a los servicios referidos </w:t>
      </w:r>
      <w:r w:rsidR="00A86FCD" w:rsidRPr="002B640D">
        <w:t>según cada</w:t>
      </w:r>
      <w:r w:rsidRPr="002B640D">
        <w:t xml:space="preserve"> </w:t>
      </w:r>
      <w:proofErr w:type="spellStart"/>
      <w:r w:rsidRPr="002B640D">
        <w:t>geotipo</w:t>
      </w:r>
      <w:proofErr w:type="spellEnd"/>
      <w:r w:rsidRPr="002B640D">
        <w:t xml:space="preserve">. Para ello se ponderan las tarifas de los servicios de Espacio en Torre y Espacio en Piso por sitio considerando la distribución de torres por </w:t>
      </w:r>
      <w:proofErr w:type="spellStart"/>
      <w:r w:rsidRPr="002B640D">
        <w:t>geotipo</w:t>
      </w:r>
      <w:proofErr w:type="spellEnd"/>
      <w:r w:rsidRPr="002B640D">
        <w:t xml:space="preserve"> calculada con base en información provista por el AEP, de acuerdo con la Oferta de Referencia</w:t>
      </w:r>
      <w:r w:rsidR="00701F9E" w:rsidRPr="002B640D">
        <w:t xml:space="preserve"> de Telmex y </w:t>
      </w:r>
      <w:r w:rsidR="00721CD5" w:rsidRPr="002B640D">
        <w:rPr>
          <w:lang w:val="es-419"/>
        </w:rPr>
        <w:t>la</w:t>
      </w:r>
      <w:r w:rsidR="00721CD5" w:rsidRPr="002B640D">
        <w:rPr>
          <w:color w:val="auto"/>
          <w:lang w:val="es-MX"/>
        </w:rPr>
        <w:t xml:space="preserve"> </w:t>
      </w:r>
      <w:r w:rsidR="00721CD5" w:rsidRPr="002B640D">
        <w:rPr>
          <w:lang w:val="es-MX"/>
        </w:rPr>
        <w:t>Oferta de Referencia de</w:t>
      </w:r>
      <w:r w:rsidR="00721CD5" w:rsidRPr="002B640D">
        <w:rPr>
          <w:lang w:val="es-419"/>
        </w:rPr>
        <w:t xml:space="preserve"> </w:t>
      </w:r>
      <w:proofErr w:type="spellStart"/>
      <w:r w:rsidR="00701F9E" w:rsidRPr="002B640D">
        <w:t>Telnor</w:t>
      </w:r>
      <w:proofErr w:type="spellEnd"/>
      <w:r w:rsidR="007563CC" w:rsidRPr="002B640D">
        <w:rPr>
          <w:rStyle w:val="Refdenotaalpie"/>
        </w:rPr>
        <w:footnoteReference w:id="22"/>
      </w:r>
      <w:r w:rsidRPr="002B640D">
        <w:t xml:space="preserve"> aprobada por el Instituto.</w:t>
      </w:r>
    </w:p>
    <w:p w14:paraId="7C57B395" w14:textId="77777777" w:rsidR="002C69D1" w:rsidRPr="002B640D" w:rsidRDefault="00CC54ED" w:rsidP="002B640D">
      <w:pPr>
        <w:pStyle w:val="IFTnormal"/>
        <w:spacing w:before="240"/>
      </w:pPr>
      <w:r w:rsidRPr="002B640D">
        <w:t>En este tenor, se presentará con mayor detalle el proceso de cálculo de las tarifas de Espacio en Torre y Espacio en Piso generadas por el Modelo de Costos</w:t>
      </w:r>
      <w:r w:rsidR="00AF2F91" w:rsidRPr="002B640D">
        <w:t xml:space="preserve"> de Torres</w:t>
      </w:r>
      <w:r w:rsidRPr="002B640D">
        <w:t>.</w:t>
      </w:r>
    </w:p>
    <w:p w14:paraId="4B91472D" w14:textId="77777777" w:rsidR="00CC54ED" w:rsidRPr="002B640D" w:rsidRDefault="005700FA" w:rsidP="002B640D">
      <w:pPr>
        <w:pStyle w:val="IFT1"/>
        <w:spacing w:before="240"/>
        <w:rPr>
          <w:b/>
        </w:rPr>
      </w:pPr>
      <w:r w:rsidRPr="002B640D">
        <w:rPr>
          <w:b/>
        </w:rPr>
        <w:t>4</w:t>
      </w:r>
      <w:r w:rsidR="00CC54ED" w:rsidRPr="002B640D">
        <w:rPr>
          <w:b/>
        </w:rPr>
        <w:t>.2.1. Calculo sitio a sitio</w:t>
      </w:r>
    </w:p>
    <w:p w14:paraId="1F64607E" w14:textId="77777777" w:rsidR="00CC54ED" w:rsidRPr="002B640D" w:rsidRDefault="00CC54ED" w:rsidP="002B640D">
      <w:pPr>
        <w:pStyle w:val="IFTnormal"/>
        <w:spacing w:before="240"/>
      </w:pPr>
      <w:r w:rsidRPr="002B640D">
        <w:t xml:space="preserve">Como primera etapa el Modelo de Costos </w:t>
      </w:r>
      <w:r w:rsidR="00B23527" w:rsidRPr="002B640D">
        <w:t>considera</w:t>
      </w:r>
      <w:r w:rsidRPr="002B640D">
        <w:t xml:space="preserve"> las características técnicas de cada uno de los sitios a modelar, con base en la información provista por el AEP y algunos parámetros particulares que permitirán dimensionar cada uno de los sitios y calcular las tarifas de Espacio en Piso y Espacio en Torre. Para ello se considerarán parámetros de los sitios que se mantendrán fijos (en lo sucesivo, “parámetros fijos”) y otras que se modificarán de acuerdo al tipo de sitio a modelar (en lo sucesivo “parámetros variables”).</w:t>
      </w:r>
    </w:p>
    <w:p w14:paraId="68D67EC3" w14:textId="77777777" w:rsidR="007D79C4" w:rsidRPr="002B640D" w:rsidRDefault="005700FA" w:rsidP="002B640D">
      <w:pPr>
        <w:pStyle w:val="IFT1"/>
        <w:spacing w:before="240"/>
        <w:rPr>
          <w:b/>
        </w:rPr>
      </w:pPr>
      <w:r w:rsidRPr="002B640D">
        <w:rPr>
          <w:b/>
        </w:rPr>
        <w:t>4</w:t>
      </w:r>
      <w:r w:rsidR="00CC54ED" w:rsidRPr="002B640D">
        <w:rPr>
          <w:b/>
        </w:rPr>
        <w:t>.2.1.1. Parámetros fijos</w:t>
      </w:r>
    </w:p>
    <w:p w14:paraId="6A75643C" w14:textId="77777777" w:rsidR="00EE0A1D" w:rsidRPr="002B640D" w:rsidRDefault="00CC54ED" w:rsidP="002B640D">
      <w:pPr>
        <w:pStyle w:val="IFTnormal"/>
        <w:spacing w:before="240"/>
      </w:pPr>
      <w:r w:rsidRPr="002B640D">
        <w:t xml:space="preserve">Ciertas variables, sin importar el tipo de sitio, se mantendrán sin cambio en el proceso de costeo de tarifa individual que ayudará a generar las tarifas promedio por </w:t>
      </w:r>
      <w:proofErr w:type="spellStart"/>
      <w:r w:rsidRPr="002B640D">
        <w:t>geotipo</w:t>
      </w:r>
      <w:proofErr w:type="spellEnd"/>
      <w:r w:rsidRPr="002B640D">
        <w:t xml:space="preserve">. </w:t>
      </w:r>
    </w:p>
    <w:p w14:paraId="34934F9A" w14:textId="40B00616" w:rsidR="004A2FF2" w:rsidRPr="002B640D" w:rsidRDefault="00EE0A1D" w:rsidP="002B640D">
      <w:pPr>
        <w:pStyle w:val="IFTnormal"/>
        <w:spacing w:before="240"/>
      </w:pPr>
      <w:r w:rsidRPr="002B640D">
        <w:t xml:space="preserve">En lo referente al </w:t>
      </w:r>
      <w:r w:rsidR="004A2FF2" w:rsidRPr="002B640D">
        <w:t>Espacio en Torre</w:t>
      </w:r>
      <w:r w:rsidRPr="002B640D">
        <w:t xml:space="preserve">, se supondrá </w:t>
      </w:r>
      <w:r w:rsidR="00B63617" w:rsidRPr="002B640D">
        <w:t xml:space="preserve">que </w:t>
      </w:r>
      <w:r w:rsidR="002A2149" w:rsidRPr="002B640D">
        <w:rPr>
          <w:lang w:val="es-419"/>
        </w:rPr>
        <w:t>el espacio ocupado por los</w:t>
      </w:r>
      <w:r w:rsidR="00B63617" w:rsidRPr="002B640D">
        <w:t xml:space="preserve"> CS </w:t>
      </w:r>
      <w:r w:rsidR="00BE33EC" w:rsidRPr="002B640D">
        <w:rPr>
          <w:lang w:val="es-419"/>
        </w:rPr>
        <w:t>en una torre</w:t>
      </w:r>
      <w:r w:rsidR="00CC54ED" w:rsidRPr="002B640D">
        <w:t xml:space="preserve"> corresponde a una </w:t>
      </w:r>
      <w:r w:rsidR="00B94F4F" w:rsidRPr="002B640D">
        <w:rPr>
          <w:lang w:val="es-419"/>
        </w:rPr>
        <w:t>franja</w:t>
      </w:r>
      <w:r w:rsidR="00B94F4F" w:rsidRPr="002B640D">
        <w:t xml:space="preserve"> </w:t>
      </w:r>
      <w:r w:rsidR="00CC54ED" w:rsidRPr="002B640D">
        <w:t>de 4 metros lineales para instalar sus equipos (en el caso de que la infraestructura así lo permita)</w:t>
      </w:r>
      <w:r w:rsidR="007F36A4" w:rsidRPr="002B640D">
        <w:rPr>
          <w:rStyle w:val="Refdenotaalpie"/>
        </w:rPr>
        <w:footnoteReference w:id="23"/>
      </w:r>
      <w:r w:rsidR="00CC54ED" w:rsidRPr="002B640D">
        <w:t xml:space="preserve">. </w:t>
      </w:r>
    </w:p>
    <w:p w14:paraId="463CB25F" w14:textId="77777777" w:rsidR="00CC54ED" w:rsidRPr="002B640D" w:rsidRDefault="004A2FF2" w:rsidP="002B640D">
      <w:pPr>
        <w:pStyle w:val="IFTnormal"/>
        <w:spacing w:before="240"/>
        <w:rPr>
          <w:lang w:val="es-MX"/>
        </w:rPr>
      </w:pPr>
      <w:r w:rsidRPr="002B640D">
        <w:lastRenderedPageBreak/>
        <w:t>Por otra parte, en dicho enfoque</w:t>
      </w:r>
      <w:r w:rsidR="00CC54ED" w:rsidRPr="002B640D">
        <w:t xml:space="preserve"> se supone </w:t>
      </w:r>
      <w:r w:rsidR="00CC54ED" w:rsidRPr="002B640D">
        <w:rPr>
          <w:lang w:val="es-MX"/>
        </w:rPr>
        <w:t>que el</w:t>
      </w:r>
      <w:r w:rsidR="00CC54ED" w:rsidRPr="002B640D">
        <w:t xml:space="preserve"> Espacio en Piso </w:t>
      </w:r>
      <w:r w:rsidR="00CC54ED" w:rsidRPr="002B640D">
        <w:rPr>
          <w:lang w:val="es-MX"/>
        </w:rPr>
        <w:t xml:space="preserve">mínimo que pueda usar </w:t>
      </w:r>
      <w:r w:rsidR="005F1B36" w:rsidRPr="002B640D">
        <w:rPr>
          <w:lang w:val="es-MX"/>
        </w:rPr>
        <w:t>un concesionario</w:t>
      </w:r>
      <w:r w:rsidR="00CC54ED" w:rsidRPr="002B640D">
        <w:rPr>
          <w:lang w:val="es-MX"/>
        </w:rPr>
        <w:t xml:space="preserve"> para cualquier estructura, excluyendo el espacio necesario para la instalación de la torre, </w:t>
      </w:r>
      <w:r w:rsidR="00CC54ED" w:rsidRPr="002B640D">
        <w:t xml:space="preserve">es de </w:t>
      </w:r>
      <w:r w:rsidR="005700FA" w:rsidRPr="002B640D">
        <w:t>6.6</w:t>
      </w:r>
      <w:r w:rsidR="00CC54ED" w:rsidRPr="002B640D">
        <w:t xml:space="preserve"> metros cuadrados</w:t>
      </w:r>
      <w:r w:rsidR="007F36A4" w:rsidRPr="002B640D">
        <w:rPr>
          <w:sz w:val="18"/>
          <w:vertAlign w:val="superscript"/>
        </w:rPr>
        <w:footnoteReference w:id="24"/>
      </w:r>
      <w:r w:rsidR="00CC54ED" w:rsidRPr="002B640D">
        <w:rPr>
          <w:lang w:val="es-MX"/>
        </w:rPr>
        <w:t>.</w:t>
      </w:r>
    </w:p>
    <w:p w14:paraId="3E7D54E4" w14:textId="77777777" w:rsidR="00CC54ED" w:rsidRPr="002B640D" w:rsidRDefault="00CC54ED" w:rsidP="002B640D">
      <w:pPr>
        <w:pStyle w:val="IFTnormal"/>
        <w:spacing w:before="240"/>
      </w:pPr>
      <w:r w:rsidRPr="002B640D">
        <w:t xml:space="preserve">Adicionalmente, se supondrá que todos los sitios se localizan </w:t>
      </w:r>
      <w:r w:rsidR="0048722D" w:rsidRPr="002B640D">
        <w:t xml:space="preserve">en un sitio </w:t>
      </w:r>
      <w:r w:rsidRPr="002B640D">
        <w:t>en el que el AEP es poseedor de la propiedad</w:t>
      </w:r>
      <w:r w:rsidR="002E6973" w:rsidRPr="002B640D">
        <w:rPr>
          <w:rStyle w:val="Refdenotaalpie"/>
        </w:rPr>
        <w:footnoteReference w:id="25"/>
      </w:r>
      <w:r w:rsidRPr="002B640D">
        <w:t xml:space="preserve">.  </w:t>
      </w:r>
    </w:p>
    <w:p w14:paraId="383E054E" w14:textId="77777777" w:rsidR="0060187F" w:rsidRPr="002B640D" w:rsidRDefault="005700FA" w:rsidP="002B640D">
      <w:pPr>
        <w:pStyle w:val="IFT1"/>
        <w:spacing w:before="240"/>
        <w:rPr>
          <w:b/>
        </w:rPr>
      </w:pPr>
      <w:r w:rsidRPr="002B640D">
        <w:rPr>
          <w:b/>
        </w:rPr>
        <w:t>4</w:t>
      </w:r>
      <w:r w:rsidR="00CC54ED" w:rsidRPr="002B640D">
        <w:rPr>
          <w:b/>
        </w:rPr>
        <w:t>.2.1.2. Parámetros variables</w:t>
      </w:r>
    </w:p>
    <w:p w14:paraId="42449CE5" w14:textId="77777777" w:rsidR="0060187F" w:rsidRPr="002B640D" w:rsidRDefault="006A68A8" w:rsidP="002B640D">
      <w:pPr>
        <w:pStyle w:val="IFTnormal"/>
        <w:spacing w:before="240"/>
      </w:pPr>
      <w:r w:rsidRPr="002B640D">
        <w:t>Es relevante destacar que e</w:t>
      </w:r>
      <w:r w:rsidR="00CC54ED" w:rsidRPr="002B640D">
        <w:t>n esta primera</w:t>
      </w:r>
      <w:r w:rsidRPr="002B640D">
        <w:t xml:space="preserve"> etapa de cálculo de tarifas </w:t>
      </w:r>
      <w:r w:rsidR="00CC54ED" w:rsidRPr="002B640D">
        <w:t>sitio</w:t>
      </w:r>
      <w:r w:rsidRPr="002B640D">
        <w:t xml:space="preserve"> a sitio</w:t>
      </w:r>
      <w:r w:rsidR="00CC54ED" w:rsidRPr="002B640D">
        <w:t xml:space="preserve"> </w:t>
      </w:r>
      <w:r w:rsidR="002C39D4" w:rsidRPr="002B640D">
        <w:t xml:space="preserve">se identificaron </w:t>
      </w:r>
      <w:r w:rsidR="00CC54ED" w:rsidRPr="002B640D">
        <w:t xml:space="preserve">elementos que son variables y se ajustan a la infraestructura pasiva proporcionada por el AEP, de tal forma que la particularidad de los sitios corresponde con la especificación de sitios del AEP. </w:t>
      </w:r>
      <w:r w:rsidR="00281DD7" w:rsidRPr="002B640D">
        <w:t xml:space="preserve"> </w:t>
      </w:r>
      <w:r w:rsidR="00436CA5" w:rsidRPr="002B640D">
        <w:t>En</w:t>
      </w:r>
      <w:r w:rsidR="002C39D4" w:rsidRPr="002B640D">
        <w:t>tre</w:t>
      </w:r>
      <w:r w:rsidR="00436CA5" w:rsidRPr="002B640D">
        <w:t xml:space="preserve"> tales parámetros se encuentran: 1) tipo de torre, 2) altura de la torre, 3) carga de viento, 4) demanda de ocupación promedio de Espacio en Torre, 5) </w:t>
      </w:r>
      <w:r w:rsidR="004169B3" w:rsidRPr="002B640D">
        <w:t>dimensiones de diversos</w:t>
      </w:r>
      <w:r w:rsidR="00436CA5" w:rsidRPr="002B640D">
        <w:t xml:space="preserve"> elementos del predio</w:t>
      </w:r>
      <w:r w:rsidR="00436CA5" w:rsidRPr="002B640D">
        <w:rPr>
          <w:rStyle w:val="Refdenotaalpie"/>
        </w:rPr>
        <w:footnoteReference w:id="26"/>
      </w:r>
      <w:r w:rsidR="00436CA5" w:rsidRPr="002B640D">
        <w:t xml:space="preserve"> y 6)  </w:t>
      </w:r>
      <w:proofErr w:type="spellStart"/>
      <w:r w:rsidR="00436CA5" w:rsidRPr="002B640D">
        <w:t>geotipo</w:t>
      </w:r>
      <w:proofErr w:type="spellEnd"/>
      <w:r w:rsidR="00436CA5" w:rsidRPr="002B640D">
        <w:t>.</w:t>
      </w:r>
    </w:p>
    <w:p w14:paraId="0D7ACCA5" w14:textId="77777777" w:rsidR="00CC54ED" w:rsidRPr="002B640D" w:rsidRDefault="00CC54ED" w:rsidP="002B640D">
      <w:pPr>
        <w:pStyle w:val="IFTnormal"/>
        <w:spacing w:before="240"/>
      </w:pPr>
      <w:r w:rsidRPr="002B640D">
        <w:t xml:space="preserve">El tipo de torre es un parámetro ajustable de acuerdo al sitio que se pretende modelar. </w:t>
      </w:r>
      <w:r w:rsidR="009C6343" w:rsidRPr="002B640D">
        <w:t>De hecho, en</w:t>
      </w:r>
      <w:r w:rsidRPr="002B640D">
        <w:t xml:space="preserve"> </w:t>
      </w:r>
      <w:r w:rsidR="009C6343" w:rsidRPr="002B640D">
        <w:t xml:space="preserve">el modelo se </w:t>
      </w:r>
      <w:r w:rsidRPr="002B640D">
        <w:t xml:space="preserve">consideran </w:t>
      </w:r>
      <w:r w:rsidR="009C6343" w:rsidRPr="002B640D">
        <w:t>dos tipologías de torres</w:t>
      </w:r>
      <w:r w:rsidR="007F36A4" w:rsidRPr="002B640D">
        <w:t xml:space="preserve">: </w:t>
      </w:r>
      <w:r w:rsidR="00017114" w:rsidRPr="002B640D">
        <w:rPr>
          <w:lang w:val="es-419"/>
        </w:rPr>
        <w:t>a</w:t>
      </w:r>
      <w:proofErr w:type="spellStart"/>
      <w:r w:rsidR="007F36A4" w:rsidRPr="002B640D">
        <w:t>utosoportada</w:t>
      </w:r>
      <w:proofErr w:type="spellEnd"/>
      <w:r w:rsidR="007F36A4" w:rsidRPr="002B640D">
        <w:t xml:space="preserve"> y</w:t>
      </w:r>
      <w:r w:rsidR="00017114" w:rsidRPr="002B640D">
        <w:t xml:space="preserve"> </w:t>
      </w:r>
      <w:r w:rsidR="00017114" w:rsidRPr="002B640D">
        <w:rPr>
          <w:lang w:val="es-419"/>
        </w:rPr>
        <w:t>a</w:t>
      </w:r>
      <w:proofErr w:type="spellStart"/>
      <w:r w:rsidRPr="002B640D">
        <w:t>rriostrada</w:t>
      </w:r>
      <w:proofErr w:type="spellEnd"/>
      <w:r w:rsidR="007F36A4" w:rsidRPr="002B640D">
        <w:rPr>
          <w:rStyle w:val="Refdenotaalpie"/>
        </w:rPr>
        <w:footnoteReference w:id="27"/>
      </w:r>
      <w:r w:rsidRPr="002B640D">
        <w:t>.</w:t>
      </w:r>
    </w:p>
    <w:p w14:paraId="3DB2C4BC" w14:textId="77777777" w:rsidR="00CC54ED" w:rsidRPr="002B640D" w:rsidRDefault="00CC54ED" w:rsidP="002B640D">
      <w:pPr>
        <w:pStyle w:val="IFTnormal"/>
        <w:spacing w:before="240"/>
      </w:pPr>
      <w:r w:rsidRPr="002B640D">
        <w:t>La altura de la torre es otro parámetro que varía de acuerdo al tipo de torre presente en el sitio modelado y que es medido en metros. Además, la carga de viento máxima prevista para cada una de las torres también es variable, dicha cantidad mide el rango de carga de viento en kilómetros por hora (km/h).</w:t>
      </w:r>
    </w:p>
    <w:p w14:paraId="315B145A" w14:textId="77777777" w:rsidR="002B640D" w:rsidRPr="002B640D" w:rsidRDefault="0003548E" w:rsidP="002B640D">
      <w:pPr>
        <w:pStyle w:val="IFTnormal"/>
        <w:spacing w:before="240"/>
      </w:pPr>
      <w:r w:rsidRPr="002B640D">
        <w:t xml:space="preserve">Por otra parte, la demanda de ocupación promedio de Espacio en Torre se refiere al espacio lineal ocupado </w:t>
      </w:r>
      <w:r w:rsidR="002A2149" w:rsidRPr="002B640D">
        <w:rPr>
          <w:lang w:val="es-419"/>
        </w:rPr>
        <w:t>actualmente según la información presentada por el AEP</w:t>
      </w:r>
      <w:r w:rsidRPr="002B640D">
        <w:t xml:space="preserve"> </w:t>
      </w:r>
      <w:r w:rsidR="00542436" w:rsidRPr="002B640D">
        <w:rPr>
          <w:lang w:val="es-419"/>
        </w:rPr>
        <w:t>en cada</w:t>
      </w:r>
      <w:r w:rsidRPr="002B640D">
        <w:t xml:space="preserve"> sitio. Tal parámetro se estima a través de la cantidad de </w:t>
      </w:r>
      <w:r w:rsidR="008E7D94" w:rsidRPr="002B640D">
        <w:rPr>
          <w:lang w:val="es-419"/>
        </w:rPr>
        <w:t>franjas</w:t>
      </w:r>
      <w:r w:rsidR="008E7D94" w:rsidRPr="002B640D">
        <w:t xml:space="preserve"> </w:t>
      </w:r>
      <w:r w:rsidRPr="002B640D">
        <w:t>que éste ocupa a nivel promedio en todas las torres de sus sitios</w:t>
      </w:r>
      <w:r w:rsidR="00E95898" w:rsidRPr="002B640D">
        <w:rPr>
          <w:rStyle w:val="Refdenotaalpie"/>
        </w:rPr>
        <w:footnoteReference w:id="28"/>
      </w:r>
      <w:r w:rsidRPr="002B640D">
        <w:t>.</w:t>
      </w:r>
    </w:p>
    <w:p w14:paraId="033B6120" w14:textId="47CA2786" w:rsidR="00E95898" w:rsidRPr="002B640D" w:rsidRDefault="00E95898" w:rsidP="002B640D">
      <w:pPr>
        <w:pStyle w:val="IFTnormal"/>
        <w:spacing w:before="240"/>
      </w:pPr>
      <w:r w:rsidRPr="002B640D">
        <w:lastRenderedPageBreak/>
        <w:t xml:space="preserve">Asimismo, en el modelo también se </w:t>
      </w:r>
      <w:r w:rsidR="008A26F5" w:rsidRPr="002B640D">
        <w:t>involucra</w:t>
      </w:r>
      <w:r w:rsidRPr="002B640D">
        <w:t xml:space="preserve"> la </w:t>
      </w:r>
      <w:r w:rsidR="008A26F5" w:rsidRPr="002B640D">
        <w:t>dimensión</w:t>
      </w:r>
      <w:r w:rsidRPr="002B640D">
        <w:t xml:space="preserve"> promedio de</w:t>
      </w:r>
      <w:r w:rsidR="008A26F5" w:rsidRPr="002B640D">
        <w:t xml:space="preserve"> diversos elementos</w:t>
      </w:r>
      <w:r w:rsidR="00D220F4" w:rsidRPr="002B640D">
        <w:t xml:space="preserve"> que conforman al sitio modelado</w:t>
      </w:r>
      <w:r w:rsidR="008A26F5" w:rsidRPr="002B640D">
        <w:t>:</w:t>
      </w:r>
      <w:r w:rsidRPr="002B640D">
        <w:t xml:space="preserve"> 1) el predio</w:t>
      </w:r>
      <w:r w:rsidR="002C39D4" w:rsidRPr="002B640D">
        <w:t>,</w:t>
      </w:r>
      <w:r w:rsidRPr="002B640D">
        <w:t xml:space="preserve"> es decir, el área ocupada por el sitio</w:t>
      </w:r>
      <w:r w:rsidR="008A26F5" w:rsidRPr="002B640D">
        <w:t xml:space="preserve"> del AEP donde se ubica la torre, 2) </w:t>
      </w:r>
      <w:r w:rsidR="008A26F5" w:rsidRPr="002B640D">
        <w:rPr>
          <w:lang w:val="es-MX"/>
        </w:rPr>
        <w:t xml:space="preserve">la </w:t>
      </w:r>
      <w:r w:rsidR="008A26F5" w:rsidRPr="002B640D">
        <w:rPr>
          <w:lang w:val="es-419"/>
        </w:rPr>
        <w:t>azotea</w:t>
      </w:r>
      <w:r w:rsidR="008A26F5" w:rsidRPr="002B640D">
        <w:rPr>
          <w:lang w:val="es-MX"/>
        </w:rPr>
        <w:t xml:space="preserve"> de los edificios</w:t>
      </w:r>
      <w:r w:rsidR="008A26F5" w:rsidRPr="002B640D">
        <w:t xml:space="preserve"> presentes en el sitio, así como 3) la extensión de una caseta que forma parte del sitio</w:t>
      </w:r>
      <w:r w:rsidR="00C43CC4" w:rsidRPr="002B640D">
        <w:t>, 4) espacio ocupado por la base de la torre</w:t>
      </w:r>
      <w:r w:rsidR="002C39D4" w:rsidRPr="002B640D">
        <w:t>,</w:t>
      </w:r>
      <w:r w:rsidR="00C43CC4" w:rsidRPr="002B640D">
        <w:t xml:space="preserve"> esto es, el área que ocupa </w:t>
      </w:r>
      <w:r w:rsidR="00C81099" w:rsidRPr="002B640D">
        <w:t xml:space="preserve">la estructura que sirve de soporte a la torre y que se encuentra </w:t>
      </w:r>
      <w:r w:rsidR="00C43CC4" w:rsidRPr="002B640D">
        <w:t>dentro del predio</w:t>
      </w:r>
      <w:r w:rsidR="00C81099" w:rsidRPr="002B640D">
        <w:t xml:space="preserve"> modelado</w:t>
      </w:r>
      <w:r w:rsidR="00C43CC4" w:rsidRPr="002B640D">
        <w:t>.</w:t>
      </w:r>
      <w:r w:rsidRPr="002B640D">
        <w:t xml:space="preserve"> </w:t>
      </w:r>
    </w:p>
    <w:p w14:paraId="1809A972" w14:textId="77777777" w:rsidR="00436CA5" w:rsidRPr="002B640D" w:rsidRDefault="00CC54ED" w:rsidP="002B640D">
      <w:pPr>
        <w:pStyle w:val="IFTnormal"/>
        <w:spacing w:before="240"/>
      </w:pPr>
      <w:r w:rsidRPr="002B640D">
        <w:t xml:space="preserve">Finalmente, el </w:t>
      </w:r>
      <w:proofErr w:type="spellStart"/>
      <w:r w:rsidRPr="002B640D">
        <w:t>geotipo</w:t>
      </w:r>
      <w:proofErr w:type="spellEnd"/>
      <w:r w:rsidRPr="002B640D">
        <w:t xml:space="preserve"> es un parámetro variable con el que el AEP clasifica cada uno de sus sitios</w:t>
      </w:r>
      <w:r w:rsidR="00AE7712" w:rsidRPr="002B640D">
        <w:t>, según lo dispuesto en la Oferta de Referencia</w:t>
      </w:r>
      <w:r w:rsidR="00701F9E" w:rsidRPr="002B640D">
        <w:t xml:space="preserve"> de Telmex y </w:t>
      </w:r>
      <w:r w:rsidR="002C39D4" w:rsidRPr="002B640D">
        <w:t xml:space="preserve">Oferta de Referencia de </w:t>
      </w:r>
      <w:proofErr w:type="spellStart"/>
      <w:r w:rsidR="00701F9E" w:rsidRPr="002B640D">
        <w:t>Telnor</w:t>
      </w:r>
      <w:proofErr w:type="spellEnd"/>
      <w:r w:rsidRPr="002B640D">
        <w:t xml:space="preserve">. </w:t>
      </w:r>
      <w:r w:rsidR="00AE7712" w:rsidRPr="002B640D">
        <w:t xml:space="preserve">A este respecto, los </w:t>
      </w:r>
      <w:proofErr w:type="spellStart"/>
      <w:r w:rsidR="00AE7712" w:rsidRPr="002B640D">
        <w:t>geotipos</w:t>
      </w:r>
      <w:proofErr w:type="spellEnd"/>
      <w:r w:rsidR="00AE7712" w:rsidRPr="002B640D">
        <w:t xml:space="preserve"> considerados son los siguientes</w:t>
      </w:r>
      <w:r w:rsidRPr="002B640D">
        <w:t>: Nivel Alto (AAA), Nivel Medio Alto (AA), Nivel Medio (A), Nivel Bajo / Rural (B) y Nivel Industrial (I).</w:t>
      </w:r>
    </w:p>
    <w:p w14:paraId="45B64352" w14:textId="77777777" w:rsidR="00CC54ED" w:rsidRPr="002B640D" w:rsidRDefault="005700FA" w:rsidP="002B640D">
      <w:pPr>
        <w:pStyle w:val="IFT1"/>
        <w:spacing w:before="240"/>
        <w:rPr>
          <w:b/>
        </w:rPr>
      </w:pPr>
      <w:r w:rsidRPr="002B640D">
        <w:rPr>
          <w:b/>
        </w:rPr>
        <w:t>4</w:t>
      </w:r>
      <w:r w:rsidR="00CC54ED" w:rsidRPr="002B640D">
        <w:rPr>
          <w:b/>
        </w:rPr>
        <w:t>.2.1.3. Proceso de cálculo sitio a sitio</w:t>
      </w:r>
    </w:p>
    <w:p w14:paraId="78F8ADEA" w14:textId="2B1E517C" w:rsidR="00CC54ED" w:rsidRPr="002B640D" w:rsidRDefault="00CC54ED" w:rsidP="002B640D">
      <w:pPr>
        <w:pStyle w:val="IFTnormal"/>
        <w:spacing w:before="240"/>
      </w:pPr>
      <w:r w:rsidRPr="002B640D">
        <w:t>Una vez descritos los parámetros fijos y variables, se procede a calcular las tarifas asociadas por sitio</w:t>
      </w:r>
      <w:r w:rsidR="00542436" w:rsidRPr="002B640D">
        <w:rPr>
          <w:lang w:val="es-419"/>
        </w:rPr>
        <w:t xml:space="preserve"> </w:t>
      </w:r>
      <w:r w:rsidR="002C39D4" w:rsidRPr="002B640D">
        <w:rPr>
          <w:lang w:val="es-MX"/>
        </w:rPr>
        <w:t xml:space="preserve">utilizando </w:t>
      </w:r>
      <w:r w:rsidRPr="002B640D">
        <w:t>cada una de los parámetros anteriormente mencionados. De esta manera, se calcula el gasto anual para cada sitio</w:t>
      </w:r>
      <w:r w:rsidR="00542436" w:rsidRPr="002B640D">
        <w:rPr>
          <w:lang w:val="es-419"/>
        </w:rPr>
        <w:t xml:space="preserve"> </w:t>
      </w:r>
      <w:r w:rsidRPr="002B640D">
        <w:t xml:space="preserve">de los elementos necesarios para la provisión de los servicios de Espacio en Torre y Espacio en Piso. </w:t>
      </w:r>
    </w:p>
    <w:p w14:paraId="7734D7A0" w14:textId="4528C5A2" w:rsidR="00E509FE" w:rsidRPr="002B640D" w:rsidRDefault="00CC54ED" w:rsidP="002B640D">
      <w:pPr>
        <w:pStyle w:val="IFTnormal"/>
        <w:spacing w:before="240"/>
      </w:pPr>
      <w:r w:rsidRPr="002B640D">
        <w:t xml:space="preserve">Para las tarifas del Espacio en Piso por sitio se considerará que </w:t>
      </w:r>
      <w:r w:rsidR="00FD4F8F" w:rsidRPr="002B640D">
        <w:t xml:space="preserve">interviene el costo del espacio total modelado para el piso, así como los montos derivados de la obra civil por motivo de azoteas o casetas presentes en el </w:t>
      </w:r>
      <w:r w:rsidR="002162BC" w:rsidRPr="002B640D">
        <w:t>sitio en cuestión</w:t>
      </w:r>
      <w:r w:rsidR="00FD4F8F" w:rsidRPr="002B640D">
        <w:t>.</w:t>
      </w:r>
      <w:r w:rsidR="00E509FE" w:rsidRPr="002B640D">
        <w:t xml:space="preserve"> </w:t>
      </w:r>
    </w:p>
    <w:p w14:paraId="500D9621" w14:textId="77777777" w:rsidR="00CC54ED" w:rsidRPr="002B640D" w:rsidRDefault="00CC54ED" w:rsidP="002B640D">
      <w:pPr>
        <w:pStyle w:val="IFTnormal"/>
        <w:spacing w:before="240"/>
      </w:pPr>
      <w:r w:rsidRPr="002B640D">
        <w:t>Por su parte, para las tarifas de Espacio en Torre, únicamente se considerará</w:t>
      </w:r>
      <w:r w:rsidR="007B5301" w:rsidRPr="002B640D">
        <w:t>n</w:t>
      </w:r>
      <w:r w:rsidRPr="002B640D">
        <w:t xml:space="preserve"> </w:t>
      </w:r>
      <w:r w:rsidR="007B5301" w:rsidRPr="002B640D">
        <w:t>los costos asociados</w:t>
      </w:r>
      <w:r w:rsidRPr="002B640D">
        <w:t xml:space="preserve"> al propio elemento, es decir a la propia torre</w:t>
      </w:r>
      <w:r w:rsidR="007B5301" w:rsidRPr="002B640D">
        <w:t>, así como los derivados de obras civiles para construcción de torre, licenc</w:t>
      </w:r>
      <w:r w:rsidR="00D67723" w:rsidRPr="002B640D">
        <w:t xml:space="preserve">ias y permisos de construcción </w:t>
      </w:r>
      <w:r w:rsidR="007B5301" w:rsidRPr="002B640D">
        <w:t>de torre, y los relativos a la instalación de sistemas/equipos de seguridad para torre (en el caso de torres que se localizan en azoteas) y adicionales</w:t>
      </w:r>
      <w:r w:rsidR="00B760CA" w:rsidRPr="002B640D">
        <w:rPr>
          <w:rStyle w:val="Refdenotaalpie"/>
        </w:rPr>
        <w:footnoteReference w:id="29"/>
      </w:r>
      <w:r w:rsidR="007B5301" w:rsidRPr="002B640D">
        <w:t>.</w:t>
      </w:r>
    </w:p>
    <w:p w14:paraId="62EE8783" w14:textId="77777777" w:rsidR="00CC54ED" w:rsidRPr="002B640D" w:rsidRDefault="00CC54ED" w:rsidP="002B640D">
      <w:pPr>
        <w:pStyle w:val="IFTnormal"/>
        <w:spacing w:before="240"/>
      </w:pPr>
      <w:r w:rsidRPr="002B640D">
        <w:t xml:space="preserve">Una vez identificados estos elementos se obtiene el gasto anual por cada elemento necesario para la provisión de los servicios. Dicha cantidad por cada </w:t>
      </w:r>
      <w:r w:rsidRPr="002B640D">
        <w:lastRenderedPageBreak/>
        <w:t>elemento se obtiene de la suma del CAPEX y OPEX calculado conf</w:t>
      </w:r>
      <w:r w:rsidR="007C2444" w:rsidRPr="002B640D">
        <w:t>orme lo expuesto en la sección 4</w:t>
      </w:r>
      <w:r w:rsidRPr="002B640D">
        <w:t>.1.</w:t>
      </w:r>
    </w:p>
    <w:p w14:paraId="73D18F44" w14:textId="5975A5DD" w:rsidR="004708EF" w:rsidRPr="002B640D" w:rsidRDefault="00881FDB" w:rsidP="002B640D">
      <w:pPr>
        <w:pStyle w:val="IFTnormal"/>
        <w:spacing w:before="240"/>
      </w:pPr>
      <w:r w:rsidRPr="002B640D">
        <w:t>Cabe destacar que p</w:t>
      </w:r>
      <w:r w:rsidR="00CC54ED" w:rsidRPr="002B640D">
        <w:t>ara el caso del servicio de Espacio en Torre</w:t>
      </w:r>
      <w:r w:rsidR="00301469" w:rsidRPr="002B640D">
        <w:rPr>
          <w:lang w:val="es-419"/>
        </w:rPr>
        <w:t xml:space="preserve"> se asignan a los CS 4 metros lineales de la demanda promedio actual</w:t>
      </w:r>
      <w:r w:rsidR="00A2725D" w:rsidRPr="002B640D">
        <w:rPr>
          <w:lang w:val="es-MX"/>
        </w:rPr>
        <w:t xml:space="preserve">, </w:t>
      </w:r>
      <w:r w:rsidR="00AC5F4A" w:rsidRPr="002B640D">
        <w:rPr>
          <w:lang w:val="es-MX"/>
        </w:rPr>
        <w:t xml:space="preserve">la </w:t>
      </w:r>
      <w:r w:rsidR="00AC5F4A" w:rsidRPr="002B640D">
        <w:rPr>
          <w:lang w:val="es-419"/>
        </w:rPr>
        <w:t xml:space="preserve">cual corresponde a la </w:t>
      </w:r>
      <w:r w:rsidR="00AC5F4A" w:rsidRPr="002B640D">
        <w:rPr>
          <w:lang w:val="es-MX"/>
        </w:rPr>
        <w:t xml:space="preserve">demanda de ocupación promedio de Espacio en Torre ocupado </w:t>
      </w:r>
      <w:r w:rsidR="00AC5F4A" w:rsidRPr="002B640D">
        <w:rPr>
          <w:lang w:val="es-419"/>
        </w:rPr>
        <w:t>actualmente por el AEP</w:t>
      </w:r>
      <w:r w:rsidR="00AC5F4A" w:rsidRPr="002B640D">
        <w:rPr>
          <w:lang w:val="es-MX"/>
        </w:rPr>
        <w:t xml:space="preserve"> </w:t>
      </w:r>
      <w:r w:rsidR="00296F42" w:rsidRPr="002B640D">
        <w:rPr>
          <w:lang w:val="es-419"/>
        </w:rPr>
        <w:t>como se mencionó anteriormente</w:t>
      </w:r>
      <w:r w:rsidR="00FF69F9" w:rsidRPr="002B640D">
        <w:rPr>
          <w:lang w:val="es-419"/>
        </w:rPr>
        <w:t xml:space="preserve"> </w:t>
      </w:r>
      <w:r w:rsidR="00301469" w:rsidRPr="002B640D">
        <w:rPr>
          <w:lang w:val="es-419"/>
        </w:rPr>
        <w:t>y</w:t>
      </w:r>
      <w:r w:rsidR="00CC54ED" w:rsidRPr="002B640D">
        <w:t xml:space="preserve"> el gasto anual se reparte</w:t>
      </w:r>
      <w:r w:rsidR="00301469" w:rsidRPr="002B640D">
        <w:rPr>
          <w:lang w:val="es-419"/>
        </w:rPr>
        <w:t xml:space="preserve"> en proporción de estos 4 metros lineales para el supuesto CS entrante y el restante se le asigna al AEP</w:t>
      </w:r>
      <w:r w:rsidR="008852FB" w:rsidRPr="002B640D">
        <w:rPr>
          <w:rStyle w:val="Refdenotaalpie"/>
          <w:lang w:val="es-419"/>
        </w:rPr>
        <w:footnoteReference w:id="30"/>
      </w:r>
      <w:r w:rsidR="00CC54ED" w:rsidRPr="002B640D">
        <w:t xml:space="preserve">. </w:t>
      </w:r>
      <w:r w:rsidR="004708EF" w:rsidRPr="002B640D">
        <w:t xml:space="preserve">El gasto anual del espacio restante (es decir, el espacio vertical en torre que no es ocupado de manera directa por los operadores) se reparte de manera proporcional </w:t>
      </w:r>
      <w:r w:rsidR="003E1BDC" w:rsidRPr="002B640D">
        <w:t xml:space="preserve">(o pro-rata) </w:t>
      </w:r>
      <w:r w:rsidR="00570BA4" w:rsidRPr="002B640D">
        <w:rPr>
          <w:lang w:val="es-419"/>
        </w:rPr>
        <w:t>entre el AEP y el supuesto CS entrante</w:t>
      </w:r>
      <w:r w:rsidR="0019504A" w:rsidRPr="002B640D">
        <w:rPr>
          <w:lang w:val="es-419"/>
        </w:rPr>
        <w:t xml:space="preserve"> (50% - 50%)</w:t>
      </w:r>
      <w:r w:rsidR="00B67E71" w:rsidRPr="002B640D">
        <w:rPr>
          <w:lang w:val="es-419"/>
        </w:rPr>
        <w:t xml:space="preserve">, </w:t>
      </w:r>
      <w:r w:rsidR="00A2725D" w:rsidRPr="002B640D">
        <w:rPr>
          <w:lang w:val="es-MX"/>
        </w:rPr>
        <w:t xml:space="preserve">considerando </w:t>
      </w:r>
      <w:r w:rsidR="00B67E71" w:rsidRPr="002B640D">
        <w:rPr>
          <w:lang w:val="es-419"/>
        </w:rPr>
        <w:t xml:space="preserve">que la demanda actual de </w:t>
      </w:r>
      <w:r w:rsidR="00A2725D" w:rsidRPr="002B640D">
        <w:rPr>
          <w:lang w:val="es-MX"/>
        </w:rPr>
        <w:t xml:space="preserve">este </w:t>
      </w:r>
      <w:r w:rsidR="00B67E71" w:rsidRPr="002B640D">
        <w:rPr>
          <w:lang w:val="es-419"/>
        </w:rPr>
        <w:t>servicio mayorista es muy baja</w:t>
      </w:r>
      <w:r w:rsidR="004708EF" w:rsidRPr="002B640D">
        <w:t>.</w:t>
      </w:r>
    </w:p>
    <w:p w14:paraId="5E5C960B" w14:textId="77777777" w:rsidR="00CC54ED" w:rsidRPr="002B640D" w:rsidRDefault="006F2297" w:rsidP="002B640D">
      <w:pPr>
        <w:pStyle w:val="IFTnormal"/>
        <w:spacing w:before="240"/>
      </w:pPr>
      <w:r w:rsidRPr="002B640D">
        <w:t>Dicha</w:t>
      </w:r>
      <w:r w:rsidR="00CC54ED" w:rsidRPr="002B640D">
        <w:t xml:space="preserve"> asignación depende del dimensionamiento y de los parámetros fijos y variables utilizados para el cálculo sitio a sitio</w:t>
      </w:r>
      <w:r w:rsidRPr="002B640D">
        <w:t xml:space="preserve"> (véanse los numerales 4.2.1.1 y 4.2.1.2)</w:t>
      </w:r>
    </w:p>
    <w:p w14:paraId="20F507CE" w14:textId="77777777" w:rsidR="006352E2" w:rsidRPr="002B640D" w:rsidRDefault="00CC54ED" w:rsidP="002B640D">
      <w:pPr>
        <w:pStyle w:val="IFTnormal"/>
        <w:spacing w:before="240"/>
        <w:rPr>
          <w:lang w:val="es-419"/>
        </w:rPr>
      </w:pPr>
      <w:r w:rsidRPr="002B640D">
        <w:t>Por otro lado, para el caso de los servicios de Espacio en Piso, dado que se modela un sitio cuya propiedad es del AEP, se estima el valor del gast</w:t>
      </w:r>
      <w:r w:rsidR="006352E2" w:rsidRPr="002B640D">
        <w:t>o anual total en la superficie, así como de espacio de azotea y caseta presente en los sitios</w:t>
      </w:r>
      <w:r w:rsidRPr="002B640D">
        <w:t>.  Por tanto</w:t>
      </w:r>
      <w:r w:rsidR="003E1BDC" w:rsidRPr="002B640D">
        <w:t>,</w:t>
      </w:r>
      <w:r w:rsidRPr="002B640D">
        <w:t xml:space="preserve"> el gasto anual asignado por cada operador dependerá enteramente del gasto anual total de los elementos que intervienen para la prestación de los servicios, el cual deberá repartirse </w:t>
      </w:r>
      <w:r w:rsidR="0019504A" w:rsidRPr="002B640D">
        <w:rPr>
          <w:lang w:val="es-419"/>
        </w:rPr>
        <w:t xml:space="preserve">para los CS de </w:t>
      </w:r>
      <w:r w:rsidR="006A0263" w:rsidRPr="002B640D">
        <w:rPr>
          <w:lang w:val="es-419"/>
        </w:rPr>
        <w:t>acuerdo a la ocupación de 6.6 metros cuadrados,</w:t>
      </w:r>
      <w:r w:rsidR="006352E2" w:rsidRPr="002B640D">
        <w:t xml:space="preserve"> </w:t>
      </w:r>
      <w:r w:rsidR="006A0263" w:rsidRPr="002B640D">
        <w:rPr>
          <w:lang w:val="es-MX"/>
        </w:rPr>
        <w:t>un uso de espacio</w:t>
      </w:r>
      <w:r w:rsidR="006A0263" w:rsidRPr="002B640D">
        <w:rPr>
          <w:lang w:val="es-419"/>
        </w:rPr>
        <w:t xml:space="preserve"> común al espacio en predio y el espacio demandado</w:t>
      </w:r>
      <w:r w:rsidR="006A0263" w:rsidRPr="002B640D">
        <w:rPr>
          <w:vertAlign w:val="superscript"/>
          <w:lang w:val="es-419"/>
        </w:rPr>
        <w:footnoteReference w:id="31"/>
      </w:r>
      <w:r w:rsidR="006A0263" w:rsidRPr="002B640D">
        <w:rPr>
          <w:lang w:val="es-MX"/>
        </w:rPr>
        <w:t xml:space="preserve">, así como una porción del </w:t>
      </w:r>
      <w:r w:rsidR="006A0263" w:rsidRPr="002B640D">
        <w:rPr>
          <w:lang w:val="es-419"/>
        </w:rPr>
        <w:t>Espacio ocupado</w:t>
      </w:r>
      <w:r w:rsidR="006A0263" w:rsidRPr="002B640D">
        <w:rPr>
          <w:lang w:val="es-MX"/>
        </w:rPr>
        <w:t xml:space="preserve"> por la</w:t>
      </w:r>
      <w:r w:rsidR="006A0263" w:rsidRPr="002B640D">
        <w:rPr>
          <w:lang w:val="es-419"/>
        </w:rPr>
        <w:t xml:space="preserve"> Base</w:t>
      </w:r>
      <w:r w:rsidR="006A0263" w:rsidRPr="002B640D">
        <w:rPr>
          <w:lang w:val="es-MX"/>
        </w:rPr>
        <w:t xml:space="preserve"> de la torre</w:t>
      </w:r>
      <w:r w:rsidR="006A0263" w:rsidRPr="002B640D">
        <w:rPr>
          <w:vertAlign w:val="superscript"/>
          <w:lang w:val="es-MX"/>
        </w:rPr>
        <w:footnoteReference w:id="32"/>
      </w:r>
      <w:r w:rsidR="0019504A" w:rsidRPr="002B640D">
        <w:rPr>
          <w:lang w:val="es-419"/>
        </w:rPr>
        <w:t xml:space="preserve"> y para el AEP como el complemento del espacio total ocupado por el CS entrante.</w:t>
      </w:r>
      <w:r w:rsidR="00814064" w:rsidRPr="002B640D">
        <w:rPr>
          <w:lang w:val="es-419"/>
        </w:rPr>
        <w:t xml:space="preserve"> </w:t>
      </w:r>
    </w:p>
    <w:p w14:paraId="574D0BE6" w14:textId="1168FC4F" w:rsidR="006352E2" w:rsidRPr="002B640D" w:rsidRDefault="006352E2" w:rsidP="002B640D">
      <w:pPr>
        <w:pStyle w:val="IFTnormal"/>
        <w:spacing w:before="240"/>
      </w:pPr>
      <w:r w:rsidRPr="002B640D">
        <w:t>A efecto de facilitar el entendimiento del proceso de asignación de costos de Espacio en Torre y Espacio en Piso, implementado en el Modelo de Costos de Torre</w:t>
      </w:r>
      <w:r w:rsidR="003E1BDC" w:rsidRPr="002B640D">
        <w:t>s</w:t>
      </w:r>
      <w:r w:rsidRPr="002B640D">
        <w:t xml:space="preserve">, </w:t>
      </w:r>
      <w:r w:rsidR="003E1BDC" w:rsidRPr="002B640D">
        <w:t>en</w:t>
      </w:r>
      <w:r w:rsidRPr="002B640D">
        <w:t xml:space="preserve"> la siguiente tabla</w:t>
      </w:r>
      <w:r w:rsidR="003E1BDC" w:rsidRPr="002B640D">
        <w:t xml:space="preserve"> se describen los principales criterios de asignación</w:t>
      </w:r>
      <w:r w:rsidRPr="002B640D">
        <w:t>:</w:t>
      </w:r>
    </w:p>
    <w:tbl>
      <w:tblPr>
        <w:tblStyle w:val="Tabladecuadrcula4"/>
        <w:tblW w:w="8731" w:type="dxa"/>
        <w:tblLook w:val="0420" w:firstRow="1" w:lastRow="0" w:firstColumn="0" w:lastColumn="0" w:noHBand="0" w:noVBand="1"/>
        <w:tblCaption w:val="Figura 3: Estrutura del modelo de costos de coubicación móvil (Fuente: IFT, 2015)"/>
        <w:tblDescription w:val="Se divida en hoja de cálculo y descripción"/>
      </w:tblPr>
      <w:tblGrid>
        <w:gridCol w:w="2263"/>
        <w:gridCol w:w="6468"/>
      </w:tblGrid>
      <w:tr w:rsidR="002B640D" w:rsidRPr="002B640D" w14:paraId="40D290FC" w14:textId="77777777" w:rsidTr="002B640D">
        <w:trPr>
          <w:cnfStyle w:val="100000000000" w:firstRow="1" w:lastRow="0" w:firstColumn="0" w:lastColumn="0" w:oddVBand="0" w:evenVBand="0" w:oddHBand="0" w:evenHBand="0" w:firstRowFirstColumn="0" w:firstRowLastColumn="0" w:lastRowFirstColumn="0" w:lastRowLastColumn="0"/>
          <w:trHeight w:val="351"/>
          <w:tblHeader/>
        </w:trPr>
        <w:tc>
          <w:tcPr>
            <w:tcW w:w="2263" w:type="dxa"/>
            <w:shd w:val="clear" w:color="auto" w:fill="BFBFBF" w:themeFill="background1" w:themeFillShade="BF"/>
            <w:vAlign w:val="center"/>
          </w:tcPr>
          <w:p w14:paraId="41CE484D" w14:textId="77777777" w:rsidR="00881FDB" w:rsidRPr="002B640D" w:rsidRDefault="00881FDB" w:rsidP="002B640D">
            <w:pPr>
              <w:pStyle w:val="Tableheading"/>
              <w:spacing w:before="0" w:after="0"/>
              <w:jc w:val="center"/>
              <w:rPr>
                <w:rFonts w:ascii="ITC Avant Garde" w:hAnsi="ITC Avant Garde"/>
                <w:b/>
                <w:color w:val="000000" w:themeColor="text1"/>
                <w:szCs w:val="18"/>
                <w:lang w:val="es-ES_tradnl"/>
              </w:rPr>
            </w:pPr>
            <w:r w:rsidRPr="002B640D">
              <w:rPr>
                <w:rFonts w:ascii="ITC Avant Garde" w:hAnsi="ITC Avant Garde"/>
                <w:b/>
                <w:color w:val="000000" w:themeColor="text1"/>
                <w:szCs w:val="18"/>
                <w:lang w:val="es-ES_tradnl"/>
              </w:rPr>
              <w:t>Concepto</w:t>
            </w:r>
          </w:p>
        </w:tc>
        <w:tc>
          <w:tcPr>
            <w:tcW w:w="6468" w:type="dxa"/>
            <w:shd w:val="clear" w:color="auto" w:fill="BFBFBF" w:themeFill="background1" w:themeFillShade="BF"/>
            <w:vAlign w:val="center"/>
          </w:tcPr>
          <w:p w14:paraId="21B89255" w14:textId="77777777" w:rsidR="00881FDB" w:rsidRPr="002B640D" w:rsidRDefault="00881FDB" w:rsidP="002B640D">
            <w:pPr>
              <w:pStyle w:val="Tableheading"/>
              <w:spacing w:before="0" w:after="0"/>
              <w:jc w:val="center"/>
              <w:rPr>
                <w:rFonts w:ascii="ITC Avant Garde" w:hAnsi="ITC Avant Garde"/>
                <w:b/>
                <w:color w:val="000000" w:themeColor="text1"/>
                <w:szCs w:val="18"/>
                <w:lang w:val="es-ES_tradnl"/>
              </w:rPr>
            </w:pPr>
            <w:r w:rsidRPr="002B640D">
              <w:rPr>
                <w:rFonts w:ascii="ITC Avant Garde" w:hAnsi="ITC Avant Garde"/>
                <w:b/>
                <w:color w:val="000000" w:themeColor="text1"/>
                <w:szCs w:val="18"/>
                <w:lang w:val="es-ES_tradnl"/>
              </w:rPr>
              <w:t>Criterio de asignación de Costos</w:t>
            </w:r>
          </w:p>
        </w:tc>
      </w:tr>
      <w:tr w:rsidR="00CE1278" w:rsidRPr="002B640D" w14:paraId="1F8EFD00" w14:textId="77777777" w:rsidTr="00BB40D2">
        <w:trPr>
          <w:cnfStyle w:val="000000100000" w:firstRow="0" w:lastRow="0" w:firstColumn="0" w:lastColumn="0" w:oddVBand="0" w:evenVBand="0" w:oddHBand="1" w:evenHBand="0" w:firstRowFirstColumn="0" w:firstRowLastColumn="0" w:lastRowFirstColumn="0" w:lastRowLastColumn="0"/>
          <w:trHeight w:val="351"/>
        </w:trPr>
        <w:tc>
          <w:tcPr>
            <w:tcW w:w="2263" w:type="dxa"/>
          </w:tcPr>
          <w:p w14:paraId="6910DFAC" w14:textId="77777777" w:rsidR="00CE1278" w:rsidRPr="002B640D" w:rsidRDefault="00CE1278" w:rsidP="002B640D">
            <w:pPr>
              <w:pStyle w:val="Tablecells"/>
              <w:spacing w:before="0" w:after="0"/>
              <w:rPr>
                <w:rFonts w:ascii="ITC Avant Garde" w:hAnsi="ITC Avant Garde"/>
                <w:szCs w:val="18"/>
                <w:lang w:val="es-ES_tradnl"/>
              </w:rPr>
            </w:pPr>
            <w:r w:rsidRPr="002B640D">
              <w:rPr>
                <w:rFonts w:ascii="ITC Avant Garde" w:hAnsi="ITC Avant Garde"/>
                <w:b/>
                <w:szCs w:val="18"/>
                <w:lang w:val="es-ES_tradnl"/>
              </w:rPr>
              <w:t>Espacio en Torre</w:t>
            </w:r>
          </w:p>
        </w:tc>
        <w:tc>
          <w:tcPr>
            <w:tcW w:w="6468" w:type="dxa"/>
          </w:tcPr>
          <w:p w14:paraId="4761B84E" w14:textId="7256A41A" w:rsidR="00CE1278" w:rsidRPr="002B640D" w:rsidRDefault="00CE1278" w:rsidP="002B640D">
            <w:pPr>
              <w:pStyle w:val="Tablecells"/>
              <w:spacing w:before="0" w:after="0"/>
              <w:jc w:val="both"/>
              <w:rPr>
                <w:rFonts w:ascii="ITC Avant Garde" w:hAnsi="ITC Avant Garde"/>
                <w:szCs w:val="18"/>
                <w:lang w:val="es-ES_tradnl"/>
              </w:rPr>
            </w:pPr>
            <w:r w:rsidRPr="002B640D">
              <w:rPr>
                <w:rFonts w:ascii="ITC Avant Garde" w:hAnsi="ITC Avant Garde"/>
                <w:szCs w:val="18"/>
                <w:lang w:val="es-ES_tradnl"/>
              </w:rPr>
              <w:t xml:space="preserve">Costo de la torre proporcional al espacio </w:t>
            </w:r>
            <w:r w:rsidR="009A58F8" w:rsidRPr="002B640D">
              <w:rPr>
                <w:rFonts w:ascii="ITC Avant Garde" w:hAnsi="ITC Avant Garde"/>
                <w:szCs w:val="18"/>
                <w:lang w:val="es-ES_tradnl"/>
              </w:rPr>
              <w:t>vertical</w:t>
            </w:r>
            <w:r w:rsidR="00FA70D5" w:rsidRPr="002B640D">
              <w:rPr>
                <w:rFonts w:ascii="ITC Avant Garde" w:hAnsi="ITC Avant Garde"/>
                <w:szCs w:val="18"/>
                <w:lang w:val="es-419"/>
              </w:rPr>
              <w:t xml:space="preserve"> </w:t>
            </w:r>
            <w:r w:rsidRPr="002B640D">
              <w:rPr>
                <w:rFonts w:ascii="ITC Avant Garde" w:hAnsi="ITC Avant Garde"/>
                <w:szCs w:val="18"/>
                <w:lang w:val="es-ES_tradnl"/>
              </w:rPr>
              <w:t>empleado por AEP y CS, de acuerdo con lo siguiente:</w:t>
            </w:r>
          </w:p>
        </w:tc>
      </w:tr>
      <w:tr w:rsidR="00881FDB" w:rsidRPr="002B640D" w14:paraId="2EB9BAE3" w14:textId="77777777" w:rsidTr="00BB40D2">
        <w:tc>
          <w:tcPr>
            <w:tcW w:w="2263" w:type="dxa"/>
          </w:tcPr>
          <w:p w14:paraId="4B8C99C7" w14:textId="77777777" w:rsidR="00881FDB" w:rsidRPr="002B640D" w:rsidRDefault="00881FDB" w:rsidP="002B640D">
            <w:pPr>
              <w:pStyle w:val="Tablecells"/>
              <w:spacing w:before="0" w:after="0"/>
              <w:rPr>
                <w:rFonts w:ascii="ITC Avant Garde" w:hAnsi="ITC Avant Garde"/>
                <w:b/>
                <w:szCs w:val="18"/>
                <w:lang w:val="es-ES_tradnl"/>
              </w:rPr>
            </w:pPr>
          </w:p>
        </w:tc>
        <w:tc>
          <w:tcPr>
            <w:tcW w:w="6468" w:type="dxa"/>
          </w:tcPr>
          <w:p w14:paraId="42733CD8" w14:textId="77777777" w:rsidR="002B640D" w:rsidRPr="002B640D" w:rsidRDefault="00AB2FB7" w:rsidP="002B640D">
            <w:pPr>
              <w:pStyle w:val="Tablecells"/>
              <w:numPr>
                <w:ilvl w:val="0"/>
                <w:numId w:val="36"/>
              </w:numPr>
              <w:spacing w:before="0" w:after="0"/>
              <w:jc w:val="both"/>
              <w:rPr>
                <w:rFonts w:ascii="ITC Avant Garde" w:hAnsi="ITC Avant Garde"/>
                <w:szCs w:val="18"/>
                <w:lang w:val="es-ES_tradnl"/>
              </w:rPr>
            </w:pPr>
            <w:r w:rsidRPr="002B640D">
              <w:rPr>
                <w:rFonts w:ascii="ITC Avant Garde" w:hAnsi="ITC Avant Garde"/>
                <w:b/>
                <w:szCs w:val="18"/>
                <w:lang w:val="es-ES_tradnl"/>
              </w:rPr>
              <w:t>Espacio ocupado directamente por operadores:</w:t>
            </w:r>
            <w:r w:rsidRPr="002B640D">
              <w:rPr>
                <w:rFonts w:ascii="ITC Avant Garde" w:hAnsi="ITC Avant Garde"/>
                <w:szCs w:val="18"/>
                <w:lang w:val="es-ES_tradnl"/>
              </w:rPr>
              <w:t xml:space="preserve"> Proporcional a ocupación de metros lineales del AEP y CS.</w:t>
            </w:r>
          </w:p>
          <w:p w14:paraId="63FE52C2" w14:textId="0E287DEA" w:rsidR="00881FDB" w:rsidRPr="002B640D" w:rsidRDefault="00AB2FB7" w:rsidP="002B640D">
            <w:pPr>
              <w:pStyle w:val="Tablecells"/>
              <w:numPr>
                <w:ilvl w:val="0"/>
                <w:numId w:val="36"/>
              </w:numPr>
              <w:spacing w:before="0" w:after="0"/>
              <w:jc w:val="both"/>
              <w:rPr>
                <w:rFonts w:ascii="ITC Avant Garde" w:hAnsi="ITC Avant Garde"/>
                <w:szCs w:val="18"/>
                <w:lang w:val="es-ES_tradnl"/>
              </w:rPr>
            </w:pPr>
            <w:r w:rsidRPr="002B640D">
              <w:rPr>
                <w:rFonts w:ascii="ITC Avant Garde" w:hAnsi="ITC Avant Garde"/>
                <w:b/>
                <w:szCs w:val="18"/>
                <w:lang w:val="es-ES_tradnl"/>
              </w:rPr>
              <w:t>Espacio restante:</w:t>
            </w:r>
            <w:r w:rsidRPr="002B640D">
              <w:rPr>
                <w:rFonts w:ascii="ITC Avant Garde" w:hAnsi="ITC Avant Garde"/>
                <w:szCs w:val="18"/>
                <w:lang w:val="es-ES_tradnl"/>
              </w:rPr>
              <w:t xml:space="preserve"> Proporcional al número de operadores en torres (AEP y CS)</w:t>
            </w:r>
          </w:p>
        </w:tc>
      </w:tr>
      <w:tr w:rsidR="00881FDB" w:rsidRPr="002B640D" w14:paraId="302F2F8D" w14:textId="77777777" w:rsidTr="00BB40D2">
        <w:trPr>
          <w:cnfStyle w:val="000000100000" w:firstRow="0" w:lastRow="0" w:firstColumn="0" w:lastColumn="0" w:oddVBand="0" w:evenVBand="0" w:oddHBand="1" w:evenHBand="0" w:firstRowFirstColumn="0" w:firstRowLastColumn="0" w:lastRowFirstColumn="0" w:lastRowLastColumn="0"/>
        </w:trPr>
        <w:tc>
          <w:tcPr>
            <w:tcW w:w="2263" w:type="dxa"/>
          </w:tcPr>
          <w:p w14:paraId="26436B36" w14:textId="77777777" w:rsidR="00881FDB" w:rsidRPr="002B640D" w:rsidRDefault="00881FDB" w:rsidP="002B640D">
            <w:pPr>
              <w:pStyle w:val="Tablecells"/>
              <w:spacing w:before="0" w:after="0"/>
              <w:rPr>
                <w:rFonts w:ascii="ITC Avant Garde" w:hAnsi="ITC Avant Garde"/>
                <w:szCs w:val="18"/>
                <w:lang w:val="es-ES_tradnl"/>
              </w:rPr>
            </w:pPr>
            <w:r w:rsidRPr="002B640D">
              <w:rPr>
                <w:rFonts w:ascii="ITC Avant Garde" w:hAnsi="ITC Avant Garde"/>
                <w:b/>
                <w:szCs w:val="18"/>
                <w:lang w:val="es-ES_tradnl"/>
              </w:rPr>
              <w:t>Espacio en piso</w:t>
            </w:r>
          </w:p>
        </w:tc>
        <w:tc>
          <w:tcPr>
            <w:tcW w:w="6468" w:type="dxa"/>
          </w:tcPr>
          <w:p w14:paraId="0374BACE" w14:textId="77777777" w:rsidR="00881FDB" w:rsidRPr="002B640D" w:rsidRDefault="00881FDB" w:rsidP="002B640D">
            <w:pPr>
              <w:pStyle w:val="Tablecells"/>
              <w:spacing w:before="0" w:after="0"/>
              <w:jc w:val="both"/>
              <w:rPr>
                <w:rFonts w:ascii="ITC Avant Garde" w:hAnsi="ITC Avant Garde"/>
                <w:szCs w:val="18"/>
                <w:lang w:val="es-ES_tradnl"/>
              </w:rPr>
            </w:pPr>
            <w:r w:rsidRPr="002B640D">
              <w:rPr>
                <w:rFonts w:eastAsia="Times New Roman" w:cs="Arial"/>
                <w:color w:val="000000"/>
                <w:kern w:val="24"/>
                <w:sz w:val="20"/>
                <w:szCs w:val="20"/>
                <w:lang w:val="es-MX" w:eastAsia="es-MX"/>
              </w:rPr>
              <w:t xml:space="preserve"> </w:t>
            </w:r>
            <w:r w:rsidRPr="002B640D">
              <w:rPr>
                <w:rFonts w:ascii="ITC Avant Garde" w:hAnsi="ITC Avant Garde"/>
                <w:szCs w:val="18"/>
                <w:lang w:val="es-ES_tradnl"/>
              </w:rPr>
              <w:t>Costo de los activos Predio, Azotea y Caseta proporcional al espacio horizontal empleado por AEP y CS, de acuerdo con lo siguiente:</w:t>
            </w:r>
          </w:p>
        </w:tc>
      </w:tr>
      <w:tr w:rsidR="00881FDB" w:rsidRPr="002B640D" w14:paraId="08786AE5" w14:textId="77777777" w:rsidTr="00BB40D2">
        <w:tc>
          <w:tcPr>
            <w:tcW w:w="2263" w:type="dxa"/>
          </w:tcPr>
          <w:p w14:paraId="1D400F57" w14:textId="77777777" w:rsidR="00881FDB" w:rsidRPr="002B640D" w:rsidRDefault="00BB77EE" w:rsidP="002B640D">
            <w:pPr>
              <w:pStyle w:val="Tablecells"/>
              <w:spacing w:before="0" w:after="0"/>
              <w:ind w:left="313"/>
              <w:rPr>
                <w:rFonts w:ascii="ITC Avant Garde" w:hAnsi="ITC Avant Garde"/>
                <w:szCs w:val="18"/>
                <w:lang w:val="es-ES_tradnl"/>
              </w:rPr>
            </w:pPr>
            <w:r w:rsidRPr="002B640D">
              <w:rPr>
                <w:rFonts w:ascii="ITC Avant Garde" w:hAnsi="ITC Avant Garde"/>
                <w:szCs w:val="18"/>
                <w:lang w:val="es-ES_tradnl"/>
              </w:rPr>
              <w:t xml:space="preserve">En </w:t>
            </w:r>
            <w:r w:rsidR="00881FDB" w:rsidRPr="002B640D">
              <w:rPr>
                <w:rFonts w:ascii="ITC Avant Garde" w:hAnsi="ITC Avant Garde"/>
                <w:szCs w:val="18"/>
                <w:lang w:val="es-ES_tradnl"/>
              </w:rPr>
              <w:t>Predio</w:t>
            </w:r>
            <w:r w:rsidR="00CA54E3" w:rsidRPr="002B640D">
              <w:rPr>
                <w:rFonts w:ascii="ITC Avant Garde" w:hAnsi="ITC Avant Garde"/>
                <w:szCs w:val="18"/>
                <w:lang w:val="es-ES_tradnl"/>
              </w:rPr>
              <w:t>:</w:t>
            </w:r>
          </w:p>
        </w:tc>
        <w:tc>
          <w:tcPr>
            <w:tcW w:w="6468" w:type="dxa"/>
          </w:tcPr>
          <w:p w14:paraId="3D992B49" w14:textId="77777777" w:rsidR="00C16B27" w:rsidRPr="002B640D" w:rsidRDefault="00C16B27" w:rsidP="002B640D">
            <w:pPr>
              <w:pStyle w:val="Tablecells"/>
              <w:numPr>
                <w:ilvl w:val="0"/>
                <w:numId w:val="36"/>
              </w:numPr>
              <w:spacing w:before="0" w:after="0"/>
              <w:jc w:val="both"/>
              <w:rPr>
                <w:rFonts w:ascii="ITC Avant Garde" w:hAnsi="ITC Avant Garde"/>
                <w:b/>
                <w:szCs w:val="18"/>
                <w:lang w:val="es-ES_tradnl"/>
              </w:rPr>
            </w:pPr>
            <w:r w:rsidRPr="002B640D">
              <w:rPr>
                <w:rFonts w:ascii="ITC Avant Garde" w:hAnsi="ITC Avant Garde"/>
                <w:b/>
                <w:szCs w:val="18"/>
                <w:lang w:val="es-ES_tradnl"/>
              </w:rPr>
              <w:t>Espacio ocupado por el CS</w:t>
            </w:r>
            <w:r w:rsidR="009E31D8" w:rsidRPr="002B640D">
              <w:rPr>
                <w:rFonts w:ascii="ITC Avant Garde" w:hAnsi="ITC Avant Garde"/>
                <w:b/>
                <w:szCs w:val="18"/>
                <w:lang w:val="es-ES_tradnl"/>
              </w:rPr>
              <w:t>, obtenido como la suma de:</w:t>
            </w:r>
          </w:p>
          <w:p w14:paraId="381E6F94" w14:textId="77777777" w:rsidR="00C16B27" w:rsidRPr="002B640D" w:rsidRDefault="00C16B27" w:rsidP="002B640D">
            <w:pPr>
              <w:pStyle w:val="Tablecells"/>
              <w:numPr>
                <w:ilvl w:val="1"/>
                <w:numId w:val="13"/>
              </w:numPr>
              <w:spacing w:before="0" w:after="0"/>
              <w:jc w:val="both"/>
              <w:rPr>
                <w:rFonts w:ascii="ITC Avant Garde" w:hAnsi="ITC Avant Garde"/>
                <w:szCs w:val="18"/>
                <w:lang w:val="es-ES_tradnl"/>
              </w:rPr>
            </w:pPr>
            <w:r w:rsidRPr="002B640D">
              <w:rPr>
                <w:rFonts w:ascii="ITC Avant Garde" w:hAnsi="ITC Avant Garde"/>
                <w:szCs w:val="18"/>
                <w:lang w:val="es-ES_tradnl"/>
              </w:rPr>
              <w:t xml:space="preserve">Espacio demandado </w:t>
            </w:r>
          </w:p>
          <w:p w14:paraId="02AB555D" w14:textId="77777777" w:rsidR="00D04EF5" w:rsidRPr="002B640D" w:rsidRDefault="00D04EF5" w:rsidP="002B640D">
            <w:pPr>
              <w:pStyle w:val="Tablecells"/>
              <w:numPr>
                <w:ilvl w:val="1"/>
                <w:numId w:val="13"/>
              </w:numPr>
              <w:spacing w:before="0" w:after="0"/>
              <w:jc w:val="both"/>
              <w:rPr>
                <w:rFonts w:ascii="ITC Avant Garde" w:hAnsi="ITC Avant Garde"/>
                <w:szCs w:val="18"/>
                <w:lang w:val="es-ES_tradnl"/>
              </w:rPr>
            </w:pPr>
            <w:r w:rsidRPr="002B640D">
              <w:rPr>
                <w:rFonts w:ascii="ITC Avant Garde" w:hAnsi="ITC Avant Garde"/>
                <w:szCs w:val="18"/>
                <w:lang w:val="es-ES_tradnl"/>
              </w:rPr>
              <w:t>Espacio común de acuerdo al espacio demandado en Predio (10% del espacio demandado)</w:t>
            </w:r>
          </w:p>
          <w:p w14:paraId="01F6870A" w14:textId="77777777" w:rsidR="00C16B27" w:rsidRPr="002B640D" w:rsidRDefault="00C16B27" w:rsidP="002B640D">
            <w:pPr>
              <w:pStyle w:val="Tablecells"/>
              <w:numPr>
                <w:ilvl w:val="1"/>
                <w:numId w:val="13"/>
              </w:numPr>
              <w:spacing w:before="0" w:after="0"/>
              <w:jc w:val="both"/>
              <w:rPr>
                <w:rFonts w:ascii="ITC Avant Garde" w:hAnsi="ITC Avant Garde"/>
                <w:szCs w:val="18"/>
                <w:lang w:val="es-ES_tradnl"/>
              </w:rPr>
            </w:pPr>
            <w:r w:rsidRPr="002B640D">
              <w:rPr>
                <w:rFonts w:ascii="ITC Avant Garde" w:hAnsi="ITC Avant Garde"/>
                <w:szCs w:val="18"/>
                <w:lang w:val="es-ES_tradnl"/>
              </w:rPr>
              <w:t xml:space="preserve">Espacio ocupado </w:t>
            </w:r>
            <w:r w:rsidR="00071DEB" w:rsidRPr="002B640D">
              <w:rPr>
                <w:rFonts w:ascii="ITC Avant Garde" w:hAnsi="ITC Avant Garde"/>
                <w:szCs w:val="18"/>
                <w:lang w:val="es-ES_tradnl"/>
              </w:rPr>
              <w:t xml:space="preserve">por </w:t>
            </w:r>
            <w:r w:rsidRPr="002B640D">
              <w:rPr>
                <w:rFonts w:ascii="ITC Avant Garde" w:hAnsi="ITC Avant Garde"/>
                <w:szCs w:val="18"/>
                <w:lang w:val="es-ES_tradnl"/>
              </w:rPr>
              <w:t xml:space="preserve">Base de Torre </w:t>
            </w:r>
            <w:r w:rsidR="00AB2FB7" w:rsidRPr="002B640D">
              <w:rPr>
                <w:rFonts w:ascii="ITC Avant Garde" w:hAnsi="ITC Avant Garde"/>
                <w:szCs w:val="18"/>
                <w:lang w:val="es-ES_tradnl"/>
              </w:rPr>
              <w:t>(</w:t>
            </w:r>
            <w:r w:rsidRPr="002B640D">
              <w:rPr>
                <w:rFonts w:ascii="ITC Avant Garde" w:hAnsi="ITC Avant Garde"/>
                <w:szCs w:val="18"/>
                <w:lang w:val="es-ES_tradnl"/>
              </w:rPr>
              <w:t>proporcional al número de operadores</w:t>
            </w:r>
            <w:r w:rsidR="00AB2FB7" w:rsidRPr="002B640D">
              <w:rPr>
                <w:rFonts w:ascii="ITC Avant Garde" w:hAnsi="ITC Avant Garde"/>
                <w:szCs w:val="18"/>
                <w:lang w:val="es-ES_tradnl"/>
              </w:rPr>
              <w:t xml:space="preserve">; es decir </w:t>
            </w:r>
            <w:r w:rsidRPr="002B640D">
              <w:rPr>
                <w:rFonts w:ascii="ITC Avant Garde" w:hAnsi="ITC Avant Garde"/>
                <w:szCs w:val="18"/>
                <w:lang w:val="es-ES_tradnl"/>
              </w:rPr>
              <w:t>AEP + CS)</w:t>
            </w:r>
          </w:p>
          <w:p w14:paraId="34BE9AD2" w14:textId="77777777" w:rsidR="002B640D" w:rsidRPr="002B640D" w:rsidRDefault="00AB2FB7" w:rsidP="002B640D">
            <w:pPr>
              <w:pStyle w:val="Tablecells"/>
              <w:numPr>
                <w:ilvl w:val="1"/>
                <w:numId w:val="13"/>
              </w:numPr>
              <w:spacing w:before="0" w:after="0"/>
              <w:jc w:val="both"/>
              <w:rPr>
                <w:rFonts w:ascii="ITC Avant Garde" w:hAnsi="ITC Avant Garde"/>
                <w:szCs w:val="18"/>
                <w:lang w:val="es-ES_tradnl"/>
              </w:rPr>
            </w:pPr>
            <w:r w:rsidRPr="002B640D">
              <w:rPr>
                <w:rFonts w:ascii="ITC Avant Garde" w:hAnsi="ITC Avant Garde"/>
                <w:szCs w:val="18"/>
                <w:lang w:val="es-ES_tradnl"/>
              </w:rPr>
              <w:t xml:space="preserve">Espacio </w:t>
            </w:r>
            <w:proofErr w:type="spellStart"/>
            <w:r w:rsidRPr="002B640D">
              <w:rPr>
                <w:rFonts w:ascii="ITC Avant Garde" w:hAnsi="ITC Avant Garde"/>
                <w:szCs w:val="18"/>
                <w:lang w:val="es-ES_tradnl"/>
              </w:rPr>
              <w:t>Overheads</w:t>
            </w:r>
            <w:proofErr w:type="spellEnd"/>
            <w:r w:rsidRPr="002B640D">
              <w:rPr>
                <w:rFonts w:ascii="ITC Avant Garde" w:hAnsi="ITC Avant Garde"/>
                <w:szCs w:val="18"/>
                <w:lang w:val="es-ES_tradnl"/>
              </w:rPr>
              <w:t xml:space="preserve"> (10% de Espacio restante en predio)</w:t>
            </w:r>
          </w:p>
          <w:p w14:paraId="1C050AB4" w14:textId="59F20535" w:rsidR="00881FDB" w:rsidRPr="002B640D" w:rsidRDefault="00881FDB" w:rsidP="002B640D">
            <w:pPr>
              <w:pStyle w:val="Tablecells"/>
              <w:numPr>
                <w:ilvl w:val="0"/>
                <w:numId w:val="36"/>
              </w:numPr>
              <w:spacing w:before="0" w:after="0"/>
              <w:jc w:val="both"/>
              <w:rPr>
                <w:rFonts w:ascii="ITC Avant Garde" w:hAnsi="ITC Avant Garde"/>
                <w:szCs w:val="18"/>
                <w:lang w:val="es-ES_tradnl"/>
              </w:rPr>
            </w:pPr>
            <w:r w:rsidRPr="002B640D">
              <w:rPr>
                <w:rFonts w:ascii="ITC Avant Garde" w:hAnsi="ITC Avant Garde"/>
                <w:b/>
                <w:szCs w:val="18"/>
                <w:lang w:val="es-ES_tradnl"/>
              </w:rPr>
              <w:t xml:space="preserve">Espacio </w:t>
            </w:r>
            <w:r w:rsidR="009E31D8" w:rsidRPr="002B640D">
              <w:rPr>
                <w:rFonts w:ascii="ITC Avant Garde" w:hAnsi="ITC Avant Garde"/>
                <w:b/>
                <w:szCs w:val="18"/>
                <w:lang w:val="es-ES_tradnl"/>
              </w:rPr>
              <w:t xml:space="preserve">ocupado por el </w:t>
            </w:r>
            <w:r w:rsidRPr="002B640D">
              <w:rPr>
                <w:rFonts w:ascii="ITC Avant Garde" w:hAnsi="ITC Avant Garde"/>
                <w:b/>
                <w:szCs w:val="18"/>
                <w:lang w:val="es-ES_tradnl"/>
              </w:rPr>
              <w:t>AEP:</w:t>
            </w:r>
            <w:r w:rsidRPr="002B640D">
              <w:rPr>
                <w:rFonts w:ascii="ITC Avant Garde" w:hAnsi="ITC Avant Garde"/>
                <w:szCs w:val="18"/>
                <w:lang w:val="es-ES_tradnl"/>
              </w:rPr>
              <w:t xml:space="preserve"> </w:t>
            </w:r>
            <w:r w:rsidR="00C16B27" w:rsidRPr="002B640D">
              <w:rPr>
                <w:rFonts w:ascii="ITC Avant Garde" w:hAnsi="ITC Avant Garde"/>
                <w:szCs w:val="18"/>
                <w:lang w:val="es-ES_tradnl"/>
              </w:rPr>
              <w:t>Complemento del espacio ocupado por el CS</w:t>
            </w:r>
            <w:r w:rsidRPr="002B640D">
              <w:rPr>
                <w:rFonts w:ascii="ITC Avant Garde" w:hAnsi="ITC Avant Garde"/>
                <w:szCs w:val="18"/>
                <w:lang w:val="es-ES_tradnl"/>
              </w:rPr>
              <w:t>.</w:t>
            </w:r>
          </w:p>
        </w:tc>
      </w:tr>
      <w:tr w:rsidR="00881FDB" w:rsidRPr="002B640D" w14:paraId="29256695" w14:textId="77777777" w:rsidTr="00BB40D2">
        <w:trPr>
          <w:cnfStyle w:val="000000100000" w:firstRow="0" w:lastRow="0" w:firstColumn="0" w:lastColumn="0" w:oddVBand="0" w:evenVBand="0" w:oddHBand="1" w:evenHBand="0" w:firstRowFirstColumn="0" w:firstRowLastColumn="0" w:lastRowFirstColumn="0" w:lastRowLastColumn="0"/>
        </w:trPr>
        <w:tc>
          <w:tcPr>
            <w:tcW w:w="2263" w:type="dxa"/>
          </w:tcPr>
          <w:p w14:paraId="0EA97BF5" w14:textId="77777777" w:rsidR="00881FDB" w:rsidRPr="002B640D" w:rsidRDefault="00BB77EE" w:rsidP="002B640D">
            <w:pPr>
              <w:pStyle w:val="Tablecells"/>
              <w:spacing w:before="0" w:after="0"/>
              <w:ind w:left="313"/>
              <w:rPr>
                <w:rFonts w:ascii="ITC Avant Garde" w:hAnsi="ITC Avant Garde"/>
                <w:szCs w:val="18"/>
                <w:lang w:val="es-ES_tradnl"/>
              </w:rPr>
            </w:pPr>
            <w:r w:rsidRPr="002B640D">
              <w:rPr>
                <w:rFonts w:ascii="ITC Avant Garde" w:hAnsi="ITC Avant Garde"/>
                <w:szCs w:val="18"/>
                <w:lang w:val="es-ES_tradnl"/>
              </w:rPr>
              <w:t xml:space="preserve">En </w:t>
            </w:r>
            <w:r w:rsidR="00881FDB" w:rsidRPr="002B640D">
              <w:rPr>
                <w:rFonts w:ascii="ITC Avant Garde" w:hAnsi="ITC Avant Garde"/>
                <w:szCs w:val="18"/>
                <w:lang w:val="es-ES_tradnl"/>
              </w:rPr>
              <w:t>Azotea</w:t>
            </w:r>
            <w:r w:rsidR="00CA54E3" w:rsidRPr="002B640D">
              <w:rPr>
                <w:rFonts w:ascii="ITC Avant Garde" w:hAnsi="ITC Avant Garde"/>
                <w:szCs w:val="18"/>
                <w:lang w:val="es-ES_tradnl"/>
              </w:rPr>
              <w:t>:</w:t>
            </w:r>
          </w:p>
        </w:tc>
        <w:tc>
          <w:tcPr>
            <w:tcW w:w="6468" w:type="dxa"/>
          </w:tcPr>
          <w:p w14:paraId="1705124A" w14:textId="77777777" w:rsidR="009E31D8" w:rsidRPr="002B640D" w:rsidRDefault="009E31D8" w:rsidP="002B640D">
            <w:pPr>
              <w:pStyle w:val="Tablecells"/>
              <w:numPr>
                <w:ilvl w:val="0"/>
                <w:numId w:val="36"/>
              </w:numPr>
              <w:spacing w:before="0" w:after="0"/>
              <w:jc w:val="both"/>
              <w:rPr>
                <w:rFonts w:ascii="ITC Avant Garde" w:hAnsi="ITC Avant Garde"/>
                <w:b/>
                <w:szCs w:val="18"/>
                <w:lang w:val="es-ES_tradnl"/>
              </w:rPr>
            </w:pPr>
            <w:r w:rsidRPr="002B640D">
              <w:rPr>
                <w:rFonts w:ascii="ITC Avant Garde" w:hAnsi="ITC Avant Garde"/>
                <w:b/>
                <w:szCs w:val="18"/>
                <w:lang w:val="es-ES_tradnl"/>
              </w:rPr>
              <w:t>Espacio ocupado por el CS, obtenido como la suma de:</w:t>
            </w:r>
          </w:p>
          <w:p w14:paraId="389B61C6" w14:textId="77777777" w:rsidR="00BB77EE" w:rsidRPr="002B640D" w:rsidRDefault="00BB77EE" w:rsidP="002B640D">
            <w:pPr>
              <w:pStyle w:val="Tablecells"/>
              <w:numPr>
                <w:ilvl w:val="0"/>
                <w:numId w:val="37"/>
              </w:numPr>
              <w:spacing w:before="0" w:after="0"/>
              <w:jc w:val="both"/>
              <w:rPr>
                <w:rFonts w:ascii="ITC Avant Garde" w:hAnsi="ITC Avant Garde"/>
                <w:szCs w:val="18"/>
                <w:lang w:val="es-ES_tradnl"/>
              </w:rPr>
            </w:pPr>
            <w:r w:rsidRPr="002B640D">
              <w:rPr>
                <w:rFonts w:ascii="ITC Avant Garde" w:hAnsi="ITC Avant Garde"/>
                <w:szCs w:val="18"/>
                <w:lang w:val="es-ES_tradnl"/>
              </w:rPr>
              <w:t>Espacio ocupado por el CS En Predio</w:t>
            </w:r>
          </w:p>
          <w:p w14:paraId="3C02A7F2" w14:textId="77777777" w:rsidR="00BB77EE" w:rsidRPr="002B640D" w:rsidRDefault="00BB77EE" w:rsidP="002B640D">
            <w:pPr>
              <w:pStyle w:val="Tablecells"/>
              <w:numPr>
                <w:ilvl w:val="0"/>
                <w:numId w:val="37"/>
              </w:numPr>
              <w:spacing w:before="0" w:after="0"/>
              <w:jc w:val="both"/>
              <w:rPr>
                <w:rFonts w:ascii="ITC Avant Garde" w:hAnsi="ITC Avant Garde"/>
                <w:szCs w:val="18"/>
                <w:lang w:val="es-ES_tradnl"/>
              </w:rPr>
            </w:pPr>
            <w:r w:rsidRPr="002B640D">
              <w:rPr>
                <w:rFonts w:ascii="ITC Avant Garde" w:hAnsi="ITC Avant Garde"/>
                <w:szCs w:val="18"/>
                <w:lang w:val="es-ES_tradnl"/>
              </w:rPr>
              <w:t>Espacio demandado en azotea</w:t>
            </w:r>
          </w:p>
          <w:p w14:paraId="4CF1BF89" w14:textId="77777777" w:rsidR="00BB77EE" w:rsidRPr="002B640D" w:rsidRDefault="00C16B27" w:rsidP="002B640D">
            <w:pPr>
              <w:pStyle w:val="Tablecells"/>
              <w:numPr>
                <w:ilvl w:val="0"/>
                <w:numId w:val="37"/>
              </w:numPr>
              <w:spacing w:before="0" w:after="0"/>
              <w:jc w:val="both"/>
              <w:rPr>
                <w:rFonts w:ascii="ITC Avant Garde" w:hAnsi="ITC Avant Garde"/>
                <w:szCs w:val="18"/>
                <w:lang w:val="es-ES_tradnl"/>
              </w:rPr>
            </w:pPr>
            <w:r w:rsidRPr="002B640D">
              <w:rPr>
                <w:rFonts w:ascii="ITC Avant Garde" w:hAnsi="ITC Avant Garde"/>
                <w:szCs w:val="18"/>
                <w:lang w:val="es-ES_tradnl"/>
              </w:rPr>
              <w:t xml:space="preserve">Espacio </w:t>
            </w:r>
            <w:r w:rsidR="00BB77EE" w:rsidRPr="002B640D">
              <w:rPr>
                <w:rFonts w:ascii="ITC Avant Garde" w:hAnsi="ITC Avant Garde"/>
                <w:szCs w:val="18"/>
                <w:lang w:val="es-ES_tradnl"/>
              </w:rPr>
              <w:t>común de acuerdo al espacio demandado en azotea (10% del espacio demandado)</w:t>
            </w:r>
          </w:p>
          <w:p w14:paraId="714DD5B1" w14:textId="77777777" w:rsidR="009E31D8" w:rsidRPr="002B640D" w:rsidRDefault="00BB77EE" w:rsidP="002B640D">
            <w:pPr>
              <w:pStyle w:val="Tablecells"/>
              <w:spacing w:before="0" w:after="0"/>
              <w:jc w:val="both"/>
              <w:rPr>
                <w:rFonts w:ascii="ITC Avant Garde" w:hAnsi="ITC Avant Garde"/>
                <w:b/>
                <w:szCs w:val="18"/>
                <w:lang w:val="es-ES_tradnl"/>
              </w:rPr>
            </w:pPr>
            <w:r w:rsidRPr="002B640D">
              <w:rPr>
                <w:rFonts w:ascii="ITC Avant Garde" w:hAnsi="ITC Avant Garde"/>
                <w:b/>
                <w:szCs w:val="18"/>
                <w:lang w:val="es-ES_tradnl"/>
              </w:rPr>
              <w:t xml:space="preserve"> </w:t>
            </w:r>
          </w:p>
          <w:p w14:paraId="520BC8DB" w14:textId="77777777" w:rsidR="00881FDB" w:rsidRPr="002B640D" w:rsidRDefault="009E31D8" w:rsidP="002B640D">
            <w:pPr>
              <w:pStyle w:val="Tablecells"/>
              <w:numPr>
                <w:ilvl w:val="0"/>
                <w:numId w:val="36"/>
              </w:numPr>
              <w:spacing w:before="0" w:after="0"/>
              <w:jc w:val="both"/>
              <w:rPr>
                <w:rFonts w:ascii="ITC Avant Garde" w:hAnsi="ITC Avant Garde"/>
                <w:szCs w:val="18"/>
                <w:lang w:val="es-ES_tradnl"/>
              </w:rPr>
            </w:pPr>
            <w:r w:rsidRPr="002B640D">
              <w:rPr>
                <w:rFonts w:ascii="ITC Avant Garde" w:hAnsi="ITC Avant Garde"/>
                <w:b/>
                <w:szCs w:val="18"/>
                <w:lang w:val="es-ES_tradnl"/>
              </w:rPr>
              <w:t xml:space="preserve">Espacio ocupado por el </w:t>
            </w:r>
            <w:r w:rsidR="00C16B27" w:rsidRPr="002B640D">
              <w:rPr>
                <w:rFonts w:ascii="ITC Avant Garde" w:hAnsi="ITC Avant Garde"/>
                <w:b/>
                <w:szCs w:val="18"/>
                <w:lang w:val="es-ES_tradnl"/>
              </w:rPr>
              <w:t>AEP:</w:t>
            </w:r>
            <w:r w:rsidR="00C16B27" w:rsidRPr="002B640D">
              <w:rPr>
                <w:rFonts w:ascii="ITC Avant Garde" w:hAnsi="ITC Avant Garde"/>
                <w:szCs w:val="18"/>
                <w:lang w:val="es-ES_tradnl"/>
              </w:rPr>
              <w:t xml:space="preserve"> Complemento del espacio ocupado por el CS.</w:t>
            </w:r>
          </w:p>
        </w:tc>
      </w:tr>
      <w:tr w:rsidR="00881FDB" w:rsidRPr="002B640D" w14:paraId="2331DE30" w14:textId="77777777" w:rsidTr="00BB40D2">
        <w:tc>
          <w:tcPr>
            <w:tcW w:w="2263" w:type="dxa"/>
          </w:tcPr>
          <w:p w14:paraId="1ADD209F" w14:textId="77777777" w:rsidR="00881FDB" w:rsidRPr="002B640D" w:rsidRDefault="00BB77EE" w:rsidP="002B640D">
            <w:pPr>
              <w:pStyle w:val="Tablecells"/>
              <w:spacing w:before="0" w:after="0"/>
              <w:ind w:left="313"/>
              <w:rPr>
                <w:rFonts w:ascii="ITC Avant Garde" w:hAnsi="ITC Avant Garde"/>
                <w:szCs w:val="18"/>
                <w:lang w:val="es-ES_tradnl"/>
              </w:rPr>
            </w:pPr>
            <w:r w:rsidRPr="002B640D">
              <w:rPr>
                <w:rFonts w:ascii="ITC Avant Garde" w:hAnsi="ITC Avant Garde"/>
                <w:szCs w:val="18"/>
                <w:lang w:val="es-ES_tradnl"/>
              </w:rPr>
              <w:t xml:space="preserve">En </w:t>
            </w:r>
            <w:r w:rsidR="00881FDB" w:rsidRPr="002B640D">
              <w:rPr>
                <w:rFonts w:ascii="ITC Avant Garde" w:hAnsi="ITC Avant Garde"/>
                <w:szCs w:val="18"/>
                <w:lang w:val="es-ES_tradnl"/>
              </w:rPr>
              <w:t>Caseta</w:t>
            </w:r>
            <w:r w:rsidR="00CA54E3" w:rsidRPr="002B640D">
              <w:rPr>
                <w:rFonts w:ascii="ITC Avant Garde" w:hAnsi="ITC Avant Garde"/>
                <w:szCs w:val="18"/>
                <w:lang w:val="es-ES_tradnl"/>
              </w:rPr>
              <w:t>:</w:t>
            </w:r>
          </w:p>
        </w:tc>
        <w:tc>
          <w:tcPr>
            <w:tcW w:w="6468" w:type="dxa"/>
          </w:tcPr>
          <w:p w14:paraId="303939F9" w14:textId="77777777" w:rsidR="009E31D8" w:rsidRPr="002B640D" w:rsidRDefault="009E31D8" w:rsidP="002B640D">
            <w:pPr>
              <w:pStyle w:val="Tablecells"/>
              <w:numPr>
                <w:ilvl w:val="0"/>
                <w:numId w:val="36"/>
              </w:numPr>
              <w:spacing w:before="0" w:after="0"/>
              <w:jc w:val="both"/>
              <w:rPr>
                <w:rFonts w:ascii="ITC Avant Garde" w:hAnsi="ITC Avant Garde"/>
                <w:b/>
                <w:szCs w:val="18"/>
                <w:lang w:val="es-ES_tradnl"/>
              </w:rPr>
            </w:pPr>
            <w:r w:rsidRPr="002B640D">
              <w:rPr>
                <w:rFonts w:ascii="ITC Avant Garde" w:hAnsi="ITC Avant Garde"/>
                <w:b/>
                <w:szCs w:val="18"/>
                <w:lang w:val="es-ES_tradnl"/>
              </w:rPr>
              <w:t>Espacio ocupado por el CS, obtenido como la suma de:</w:t>
            </w:r>
          </w:p>
          <w:p w14:paraId="1E71C081" w14:textId="77777777" w:rsidR="009E31D8" w:rsidRPr="002B640D" w:rsidRDefault="009E31D8" w:rsidP="002B640D">
            <w:pPr>
              <w:pStyle w:val="Tablecells"/>
              <w:numPr>
                <w:ilvl w:val="1"/>
                <w:numId w:val="13"/>
              </w:numPr>
              <w:spacing w:before="0" w:after="0"/>
              <w:jc w:val="both"/>
              <w:rPr>
                <w:rFonts w:ascii="ITC Avant Garde" w:hAnsi="ITC Avant Garde"/>
                <w:szCs w:val="18"/>
                <w:lang w:val="es-ES_tradnl"/>
              </w:rPr>
            </w:pPr>
            <w:r w:rsidRPr="002B640D">
              <w:rPr>
                <w:rFonts w:ascii="ITC Avant Garde" w:hAnsi="ITC Avant Garde"/>
                <w:szCs w:val="18"/>
                <w:lang w:val="es-ES_tradnl"/>
              </w:rPr>
              <w:t xml:space="preserve">Espacio </w:t>
            </w:r>
            <w:r w:rsidR="00BB77EE" w:rsidRPr="002B640D">
              <w:rPr>
                <w:rFonts w:ascii="ITC Avant Garde" w:hAnsi="ITC Avant Garde"/>
                <w:szCs w:val="18"/>
                <w:lang w:val="es-ES_tradnl"/>
              </w:rPr>
              <w:t>ocupado por el CS En Predio</w:t>
            </w:r>
          </w:p>
          <w:p w14:paraId="0CF2CD70" w14:textId="46D673F0" w:rsidR="00BB77EE" w:rsidRPr="002B640D" w:rsidRDefault="00BB77EE" w:rsidP="002B640D">
            <w:pPr>
              <w:pStyle w:val="Tablecells"/>
              <w:numPr>
                <w:ilvl w:val="1"/>
                <w:numId w:val="13"/>
              </w:numPr>
              <w:spacing w:before="0" w:after="0"/>
              <w:jc w:val="both"/>
              <w:rPr>
                <w:rFonts w:ascii="ITC Avant Garde" w:hAnsi="ITC Avant Garde"/>
                <w:szCs w:val="18"/>
                <w:lang w:val="es-ES_tradnl"/>
              </w:rPr>
            </w:pPr>
            <w:r w:rsidRPr="002B640D">
              <w:rPr>
                <w:rFonts w:ascii="ITC Avant Garde" w:hAnsi="ITC Avant Garde"/>
                <w:szCs w:val="18"/>
                <w:lang w:val="es-ES_tradnl"/>
              </w:rPr>
              <w:t xml:space="preserve">Espacio demandado en </w:t>
            </w:r>
            <w:r w:rsidR="003768DF" w:rsidRPr="002B640D">
              <w:rPr>
                <w:rFonts w:ascii="ITC Avant Garde" w:hAnsi="ITC Avant Garde"/>
                <w:szCs w:val="18"/>
                <w:lang w:val="es-ES_tradnl"/>
              </w:rPr>
              <w:t>caseta</w:t>
            </w:r>
          </w:p>
          <w:p w14:paraId="13F5CB94" w14:textId="77777777" w:rsidR="002B640D" w:rsidRPr="002B640D" w:rsidRDefault="00881FDB" w:rsidP="002B640D">
            <w:pPr>
              <w:pStyle w:val="Tablecells"/>
              <w:numPr>
                <w:ilvl w:val="1"/>
                <w:numId w:val="13"/>
              </w:numPr>
              <w:spacing w:before="0" w:after="0"/>
              <w:jc w:val="both"/>
              <w:rPr>
                <w:rFonts w:ascii="ITC Avant Garde" w:hAnsi="ITC Avant Garde"/>
                <w:szCs w:val="18"/>
                <w:lang w:val="es-ES_tradnl"/>
              </w:rPr>
            </w:pPr>
            <w:r w:rsidRPr="002B640D">
              <w:rPr>
                <w:rFonts w:ascii="ITC Avant Garde" w:hAnsi="ITC Avant Garde"/>
                <w:szCs w:val="18"/>
                <w:lang w:val="es-ES_tradnl"/>
              </w:rPr>
              <w:t xml:space="preserve">Espacio </w:t>
            </w:r>
            <w:r w:rsidR="009E31D8" w:rsidRPr="002B640D">
              <w:rPr>
                <w:rFonts w:ascii="ITC Avant Garde" w:hAnsi="ITC Avant Garde"/>
                <w:szCs w:val="18"/>
                <w:lang w:val="es-ES_tradnl"/>
              </w:rPr>
              <w:t xml:space="preserve">común de acuerdo al espacio demandado </w:t>
            </w:r>
            <w:r w:rsidR="00BB77EE" w:rsidRPr="002B640D">
              <w:rPr>
                <w:rFonts w:ascii="ITC Avant Garde" w:hAnsi="ITC Avant Garde"/>
                <w:szCs w:val="18"/>
                <w:lang w:val="es-ES_tradnl"/>
              </w:rPr>
              <w:t xml:space="preserve">en </w:t>
            </w:r>
            <w:r w:rsidR="003768DF" w:rsidRPr="002B640D">
              <w:rPr>
                <w:rFonts w:ascii="ITC Avant Garde" w:hAnsi="ITC Avant Garde"/>
                <w:szCs w:val="18"/>
                <w:lang w:val="es-ES_tradnl"/>
              </w:rPr>
              <w:t xml:space="preserve">caseta </w:t>
            </w:r>
            <w:r w:rsidR="009E31D8" w:rsidRPr="002B640D">
              <w:rPr>
                <w:rFonts w:ascii="ITC Avant Garde" w:hAnsi="ITC Avant Garde"/>
                <w:szCs w:val="18"/>
                <w:lang w:val="es-ES_tradnl"/>
              </w:rPr>
              <w:t>(10% del espacio demandado)</w:t>
            </w:r>
          </w:p>
          <w:p w14:paraId="286E1BEB" w14:textId="0F463898" w:rsidR="00881FDB" w:rsidRPr="002B640D" w:rsidRDefault="009E31D8" w:rsidP="002B640D">
            <w:pPr>
              <w:pStyle w:val="Tablecells"/>
              <w:numPr>
                <w:ilvl w:val="0"/>
                <w:numId w:val="36"/>
              </w:numPr>
              <w:spacing w:before="0" w:after="0"/>
              <w:jc w:val="both"/>
              <w:rPr>
                <w:rFonts w:ascii="ITC Avant Garde" w:hAnsi="ITC Avant Garde"/>
                <w:szCs w:val="18"/>
                <w:lang w:val="es-ES_tradnl"/>
              </w:rPr>
            </w:pPr>
            <w:r w:rsidRPr="002B640D">
              <w:rPr>
                <w:rFonts w:ascii="ITC Avant Garde" w:hAnsi="ITC Avant Garde"/>
                <w:b/>
                <w:szCs w:val="18"/>
                <w:lang w:val="es-ES_tradnl"/>
              </w:rPr>
              <w:t xml:space="preserve">Espacio ocupado por el </w:t>
            </w:r>
            <w:r w:rsidR="00881FDB" w:rsidRPr="002B640D">
              <w:rPr>
                <w:rFonts w:ascii="ITC Avant Garde" w:hAnsi="ITC Avant Garde"/>
                <w:b/>
                <w:szCs w:val="18"/>
                <w:lang w:val="es-ES_tradnl"/>
              </w:rPr>
              <w:t>AEP:</w:t>
            </w:r>
            <w:r w:rsidR="00881FDB" w:rsidRPr="002B640D">
              <w:rPr>
                <w:rFonts w:ascii="ITC Avant Garde" w:hAnsi="ITC Avant Garde"/>
                <w:szCs w:val="18"/>
                <w:lang w:val="es-ES_tradnl"/>
              </w:rPr>
              <w:t xml:space="preserve"> </w:t>
            </w:r>
            <w:r w:rsidR="00C16B27" w:rsidRPr="002B640D">
              <w:rPr>
                <w:rFonts w:ascii="ITC Avant Garde" w:hAnsi="ITC Avant Garde"/>
                <w:szCs w:val="18"/>
                <w:lang w:val="es-ES_tradnl"/>
              </w:rPr>
              <w:t>Complemento del espacio ocupado por el CS.</w:t>
            </w:r>
          </w:p>
        </w:tc>
      </w:tr>
      <w:tr w:rsidR="00881FDB" w:rsidRPr="002B640D" w14:paraId="46198C62" w14:textId="77777777" w:rsidTr="00BB40D2">
        <w:trPr>
          <w:cnfStyle w:val="000000100000" w:firstRow="0" w:lastRow="0" w:firstColumn="0" w:lastColumn="0" w:oddVBand="0" w:evenVBand="0" w:oddHBand="1" w:evenHBand="0" w:firstRowFirstColumn="0" w:firstRowLastColumn="0" w:lastRowFirstColumn="0" w:lastRowLastColumn="0"/>
          <w:trHeight w:val="351"/>
          <w:tblHeader/>
        </w:trPr>
        <w:tc>
          <w:tcPr>
            <w:tcW w:w="2263" w:type="dxa"/>
          </w:tcPr>
          <w:p w14:paraId="1E30C6F5" w14:textId="77777777" w:rsidR="00881FDB" w:rsidRPr="002B640D" w:rsidRDefault="00881FDB" w:rsidP="002B640D">
            <w:pPr>
              <w:pStyle w:val="Tableheading"/>
              <w:spacing w:before="0" w:after="0"/>
              <w:rPr>
                <w:rFonts w:ascii="ITC Avant Garde" w:hAnsi="ITC Avant Garde"/>
                <w:b w:val="0"/>
                <w:szCs w:val="18"/>
                <w:lang w:val="es-ES_tradnl"/>
              </w:rPr>
            </w:pPr>
            <w:r w:rsidRPr="002B640D">
              <w:rPr>
                <w:rFonts w:ascii="ITC Avant Garde" w:hAnsi="ITC Avant Garde"/>
                <w:szCs w:val="18"/>
                <w:lang w:val="es-ES_tradnl"/>
              </w:rPr>
              <w:t>Concepto</w:t>
            </w:r>
          </w:p>
        </w:tc>
        <w:tc>
          <w:tcPr>
            <w:tcW w:w="6468" w:type="dxa"/>
          </w:tcPr>
          <w:p w14:paraId="504D71F4" w14:textId="77777777" w:rsidR="00881FDB" w:rsidRPr="002B640D" w:rsidRDefault="00881FDB" w:rsidP="002B640D">
            <w:pPr>
              <w:pStyle w:val="Tableheading"/>
              <w:spacing w:before="0" w:after="0"/>
              <w:rPr>
                <w:rFonts w:ascii="ITC Avant Garde" w:hAnsi="ITC Avant Garde"/>
                <w:b w:val="0"/>
                <w:szCs w:val="18"/>
                <w:lang w:val="es-ES_tradnl"/>
              </w:rPr>
            </w:pPr>
            <w:r w:rsidRPr="002B640D">
              <w:rPr>
                <w:rFonts w:ascii="ITC Avant Garde" w:hAnsi="ITC Avant Garde"/>
                <w:szCs w:val="18"/>
                <w:lang w:val="es-ES_tradnl"/>
              </w:rPr>
              <w:t>Criterio de asignación de Costos</w:t>
            </w:r>
          </w:p>
        </w:tc>
      </w:tr>
      <w:tr w:rsidR="00CE1278" w:rsidRPr="002B640D" w14:paraId="4EBAD0EC" w14:textId="77777777" w:rsidTr="00BB40D2">
        <w:trPr>
          <w:trHeight w:val="351"/>
        </w:trPr>
        <w:tc>
          <w:tcPr>
            <w:tcW w:w="2263" w:type="dxa"/>
          </w:tcPr>
          <w:p w14:paraId="5D2B7746" w14:textId="77777777" w:rsidR="00CE1278" w:rsidRPr="002B640D" w:rsidRDefault="00CE1278" w:rsidP="002B640D">
            <w:pPr>
              <w:pStyle w:val="Tablecells"/>
              <w:spacing w:before="0" w:after="0"/>
              <w:rPr>
                <w:rFonts w:ascii="ITC Avant Garde" w:hAnsi="ITC Avant Garde"/>
                <w:szCs w:val="18"/>
                <w:lang w:val="es-ES_tradnl"/>
              </w:rPr>
            </w:pPr>
            <w:r w:rsidRPr="002B640D">
              <w:rPr>
                <w:rFonts w:ascii="ITC Avant Garde" w:hAnsi="ITC Avant Garde"/>
                <w:b/>
                <w:szCs w:val="18"/>
                <w:lang w:val="es-ES_tradnl"/>
              </w:rPr>
              <w:t>Espacio en Torre</w:t>
            </w:r>
          </w:p>
        </w:tc>
        <w:tc>
          <w:tcPr>
            <w:tcW w:w="6468" w:type="dxa"/>
          </w:tcPr>
          <w:p w14:paraId="678B92F1" w14:textId="592EFD26" w:rsidR="00CE1278" w:rsidRPr="002B640D" w:rsidRDefault="00CE1278" w:rsidP="002B640D">
            <w:pPr>
              <w:pStyle w:val="Tablecells"/>
              <w:spacing w:before="0" w:after="0"/>
              <w:jc w:val="both"/>
              <w:rPr>
                <w:rFonts w:ascii="ITC Avant Garde" w:hAnsi="ITC Avant Garde"/>
                <w:szCs w:val="18"/>
                <w:lang w:val="es-ES_tradnl"/>
              </w:rPr>
            </w:pPr>
            <w:r w:rsidRPr="002B640D">
              <w:rPr>
                <w:rFonts w:ascii="ITC Avant Garde" w:hAnsi="ITC Avant Garde"/>
                <w:szCs w:val="18"/>
                <w:lang w:val="es-ES_tradnl"/>
              </w:rPr>
              <w:t xml:space="preserve">Costo de la torre proporcional al espacio </w:t>
            </w:r>
            <w:r w:rsidR="009A58F8" w:rsidRPr="002B640D">
              <w:rPr>
                <w:rFonts w:ascii="ITC Avant Garde" w:hAnsi="ITC Avant Garde"/>
                <w:szCs w:val="18"/>
                <w:lang w:val="es-ES_tradnl"/>
              </w:rPr>
              <w:t>vertical</w:t>
            </w:r>
            <w:r w:rsidR="00FA70D5" w:rsidRPr="002B640D">
              <w:rPr>
                <w:rFonts w:ascii="ITC Avant Garde" w:hAnsi="ITC Avant Garde"/>
                <w:szCs w:val="18"/>
                <w:lang w:val="es-419"/>
              </w:rPr>
              <w:t xml:space="preserve"> </w:t>
            </w:r>
            <w:r w:rsidRPr="002B640D">
              <w:rPr>
                <w:rFonts w:ascii="ITC Avant Garde" w:hAnsi="ITC Avant Garde"/>
                <w:szCs w:val="18"/>
                <w:lang w:val="es-ES_tradnl"/>
              </w:rPr>
              <w:t>empleado por AEP y CS, de acuerdo con lo siguiente:</w:t>
            </w:r>
          </w:p>
        </w:tc>
      </w:tr>
      <w:tr w:rsidR="00881FDB" w:rsidRPr="002B640D" w14:paraId="5F8FFDB4" w14:textId="77777777" w:rsidTr="00BB40D2">
        <w:trPr>
          <w:cnfStyle w:val="000000100000" w:firstRow="0" w:lastRow="0" w:firstColumn="0" w:lastColumn="0" w:oddVBand="0" w:evenVBand="0" w:oddHBand="1" w:evenHBand="0" w:firstRowFirstColumn="0" w:firstRowLastColumn="0" w:lastRowFirstColumn="0" w:lastRowLastColumn="0"/>
        </w:trPr>
        <w:tc>
          <w:tcPr>
            <w:tcW w:w="2263" w:type="dxa"/>
          </w:tcPr>
          <w:p w14:paraId="6FEDCE17" w14:textId="77777777" w:rsidR="00881FDB" w:rsidRPr="002B640D" w:rsidRDefault="00881FDB" w:rsidP="002B640D">
            <w:pPr>
              <w:pStyle w:val="Tablecells"/>
              <w:spacing w:before="0" w:after="0"/>
              <w:rPr>
                <w:rFonts w:ascii="ITC Avant Garde" w:hAnsi="ITC Avant Garde"/>
                <w:b/>
                <w:szCs w:val="18"/>
                <w:lang w:val="es-ES_tradnl"/>
              </w:rPr>
            </w:pPr>
          </w:p>
        </w:tc>
        <w:tc>
          <w:tcPr>
            <w:tcW w:w="6468" w:type="dxa"/>
          </w:tcPr>
          <w:p w14:paraId="3F111905" w14:textId="77777777" w:rsidR="002B640D" w:rsidRPr="002B640D" w:rsidRDefault="00AB2FB7" w:rsidP="002B640D">
            <w:pPr>
              <w:pStyle w:val="Tablecells"/>
              <w:numPr>
                <w:ilvl w:val="0"/>
                <w:numId w:val="36"/>
              </w:numPr>
              <w:spacing w:before="0" w:after="0"/>
              <w:jc w:val="both"/>
              <w:rPr>
                <w:rFonts w:ascii="ITC Avant Garde" w:hAnsi="ITC Avant Garde"/>
                <w:szCs w:val="18"/>
                <w:lang w:val="es-ES_tradnl"/>
              </w:rPr>
            </w:pPr>
            <w:r w:rsidRPr="002B640D">
              <w:rPr>
                <w:rFonts w:ascii="ITC Avant Garde" w:hAnsi="ITC Avant Garde"/>
                <w:b/>
                <w:szCs w:val="18"/>
                <w:lang w:val="es-ES_tradnl"/>
              </w:rPr>
              <w:t>Espacio ocupado directamente por operadores:</w:t>
            </w:r>
            <w:r w:rsidRPr="002B640D">
              <w:rPr>
                <w:rFonts w:ascii="ITC Avant Garde" w:hAnsi="ITC Avant Garde"/>
                <w:szCs w:val="18"/>
                <w:lang w:val="es-ES_tradnl"/>
              </w:rPr>
              <w:t xml:space="preserve"> Proporcional a ocupación de metros lineales del AEP y CS.</w:t>
            </w:r>
          </w:p>
          <w:p w14:paraId="4AD81AFB" w14:textId="578FB49F" w:rsidR="00881FDB" w:rsidRPr="002B640D" w:rsidRDefault="00AB2FB7" w:rsidP="002B640D">
            <w:pPr>
              <w:pStyle w:val="Tablecells"/>
              <w:numPr>
                <w:ilvl w:val="0"/>
                <w:numId w:val="36"/>
              </w:numPr>
              <w:spacing w:before="0" w:after="0"/>
              <w:jc w:val="both"/>
              <w:rPr>
                <w:rFonts w:ascii="ITC Avant Garde" w:hAnsi="ITC Avant Garde"/>
                <w:szCs w:val="18"/>
                <w:lang w:val="es-ES_tradnl"/>
              </w:rPr>
            </w:pPr>
            <w:r w:rsidRPr="002B640D">
              <w:rPr>
                <w:rFonts w:ascii="ITC Avant Garde" w:hAnsi="ITC Avant Garde"/>
                <w:b/>
                <w:szCs w:val="18"/>
                <w:lang w:val="es-ES_tradnl"/>
              </w:rPr>
              <w:t>Espacio restante:</w:t>
            </w:r>
            <w:r w:rsidRPr="002B640D">
              <w:rPr>
                <w:rFonts w:ascii="ITC Avant Garde" w:hAnsi="ITC Avant Garde"/>
                <w:szCs w:val="18"/>
                <w:lang w:val="es-ES_tradnl"/>
              </w:rPr>
              <w:t xml:space="preserve"> Proporcional al número de operadores en torres (AEP y CS)</w:t>
            </w:r>
          </w:p>
        </w:tc>
      </w:tr>
      <w:tr w:rsidR="00881FDB" w:rsidRPr="002B640D" w14:paraId="0841F0AF" w14:textId="77777777" w:rsidTr="00BB40D2">
        <w:tc>
          <w:tcPr>
            <w:tcW w:w="2263" w:type="dxa"/>
          </w:tcPr>
          <w:p w14:paraId="3204B929" w14:textId="77777777" w:rsidR="00881FDB" w:rsidRPr="002B640D" w:rsidRDefault="00881FDB" w:rsidP="002B640D">
            <w:pPr>
              <w:pStyle w:val="Tablecells"/>
              <w:spacing w:before="0" w:after="0"/>
              <w:rPr>
                <w:rFonts w:ascii="ITC Avant Garde" w:hAnsi="ITC Avant Garde"/>
                <w:szCs w:val="18"/>
                <w:lang w:val="es-ES_tradnl"/>
              </w:rPr>
            </w:pPr>
            <w:r w:rsidRPr="002B640D">
              <w:rPr>
                <w:rFonts w:ascii="ITC Avant Garde" w:hAnsi="ITC Avant Garde"/>
                <w:b/>
                <w:szCs w:val="18"/>
                <w:lang w:val="es-ES_tradnl"/>
              </w:rPr>
              <w:t>Espacio en piso</w:t>
            </w:r>
          </w:p>
        </w:tc>
        <w:tc>
          <w:tcPr>
            <w:tcW w:w="6468" w:type="dxa"/>
          </w:tcPr>
          <w:p w14:paraId="7A401A68" w14:textId="77777777" w:rsidR="00881FDB" w:rsidRPr="002B640D" w:rsidRDefault="00881FDB" w:rsidP="002B640D">
            <w:pPr>
              <w:pStyle w:val="Tablecells"/>
              <w:spacing w:before="0" w:after="0"/>
              <w:jc w:val="both"/>
              <w:rPr>
                <w:rFonts w:ascii="ITC Avant Garde" w:hAnsi="ITC Avant Garde"/>
                <w:szCs w:val="18"/>
                <w:lang w:val="es-ES_tradnl"/>
              </w:rPr>
            </w:pPr>
            <w:r w:rsidRPr="002B640D">
              <w:rPr>
                <w:rFonts w:eastAsia="Times New Roman" w:cs="Arial"/>
                <w:color w:val="000000"/>
                <w:kern w:val="24"/>
                <w:sz w:val="20"/>
                <w:szCs w:val="20"/>
                <w:lang w:val="es-MX" w:eastAsia="es-MX"/>
              </w:rPr>
              <w:t xml:space="preserve"> </w:t>
            </w:r>
            <w:r w:rsidRPr="002B640D">
              <w:rPr>
                <w:rFonts w:ascii="ITC Avant Garde" w:hAnsi="ITC Avant Garde"/>
                <w:szCs w:val="18"/>
                <w:lang w:val="es-ES_tradnl"/>
              </w:rPr>
              <w:t>Costo de los activos Predio, Azotea y Caseta proporcional al espacio horizontal empleado por AEP y CS, de acuerdo con lo siguiente:</w:t>
            </w:r>
          </w:p>
        </w:tc>
      </w:tr>
      <w:tr w:rsidR="00881FDB" w:rsidRPr="002B640D" w14:paraId="0C85271D" w14:textId="77777777" w:rsidTr="00BB40D2">
        <w:trPr>
          <w:cnfStyle w:val="000000100000" w:firstRow="0" w:lastRow="0" w:firstColumn="0" w:lastColumn="0" w:oddVBand="0" w:evenVBand="0" w:oddHBand="1" w:evenHBand="0" w:firstRowFirstColumn="0" w:firstRowLastColumn="0" w:lastRowFirstColumn="0" w:lastRowLastColumn="0"/>
        </w:trPr>
        <w:tc>
          <w:tcPr>
            <w:tcW w:w="2263" w:type="dxa"/>
          </w:tcPr>
          <w:p w14:paraId="64BB2870" w14:textId="77777777" w:rsidR="00881FDB" w:rsidRPr="002B640D" w:rsidRDefault="00BB77EE" w:rsidP="002B640D">
            <w:pPr>
              <w:pStyle w:val="Tablecells"/>
              <w:spacing w:before="0" w:after="0"/>
              <w:ind w:left="313"/>
              <w:rPr>
                <w:rFonts w:ascii="ITC Avant Garde" w:hAnsi="ITC Avant Garde"/>
                <w:szCs w:val="18"/>
                <w:lang w:val="es-ES_tradnl"/>
              </w:rPr>
            </w:pPr>
            <w:r w:rsidRPr="002B640D">
              <w:rPr>
                <w:rFonts w:ascii="ITC Avant Garde" w:hAnsi="ITC Avant Garde"/>
                <w:szCs w:val="18"/>
                <w:lang w:val="es-ES_tradnl"/>
              </w:rPr>
              <w:t xml:space="preserve">En </w:t>
            </w:r>
            <w:r w:rsidR="00881FDB" w:rsidRPr="002B640D">
              <w:rPr>
                <w:rFonts w:ascii="ITC Avant Garde" w:hAnsi="ITC Avant Garde"/>
                <w:szCs w:val="18"/>
                <w:lang w:val="es-ES_tradnl"/>
              </w:rPr>
              <w:t>Predio</w:t>
            </w:r>
            <w:r w:rsidR="00CA54E3" w:rsidRPr="002B640D">
              <w:rPr>
                <w:rFonts w:ascii="ITC Avant Garde" w:hAnsi="ITC Avant Garde"/>
                <w:szCs w:val="18"/>
                <w:lang w:val="es-ES_tradnl"/>
              </w:rPr>
              <w:t>:</w:t>
            </w:r>
          </w:p>
        </w:tc>
        <w:tc>
          <w:tcPr>
            <w:tcW w:w="6468" w:type="dxa"/>
          </w:tcPr>
          <w:p w14:paraId="7B0B39BC" w14:textId="77777777" w:rsidR="00C16B27" w:rsidRPr="002B640D" w:rsidRDefault="00C16B27" w:rsidP="002B640D">
            <w:pPr>
              <w:pStyle w:val="Tablecells"/>
              <w:numPr>
                <w:ilvl w:val="0"/>
                <w:numId w:val="36"/>
              </w:numPr>
              <w:spacing w:before="0" w:after="0"/>
              <w:jc w:val="both"/>
              <w:rPr>
                <w:rFonts w:ascii="ITC Avant Garde" w:hAnsi="ITC Avant Garde"/>
                <w:b/>
                <w:szCs w:val="18"/>
                <w:lang w:val="es-ES_tradnl"/>
              </w:rPr>
            </w:pPr>
            <w:r w:rsidRPr="002B640D">
              <w:rPr>
                <w:rFonts w:ascii="ITC Avant Garde" w:hAnsi="ITC Avant Garde"/>
                <w:b/>
                <w:szCs w:val="18"/>
                <w:lang w:val="es-ES_tradnl"/>
              </w:rPr>
              <w:t>Espacio ocupado por el CS</w:t>
            </w:r>
            <w:r w:rsidR="009E31D8" w:rsidRPr="002B640D">
              <w:rPr>
                <w:rFonts w:ascii="ITC Avant Garde" w:hAnsi="ITC Avant Garde"/>
                <w:b/>
                <w:szCs w:val="18"/>
                <w:lang w:val="es-ES_tradnl"/>
              </w:rPr>
              <w:t>, obtenido como la suma de:</w:t>
            </w:r>
          </w:p>
          <w:p w14:paraId="78B2D475" w14:textId="77777777" w:rsidR="00C16B27" w:rsidRPr="002B640D" w:rsidRDefault="00C16B27" w:rsidP="002B640D">
            <w:pPr>
              <w:pStyle w:val="Tablecells"/>
              <w:numPr>
                <w:ilvl w:val="1"/>
                <w:numId w:val="13"/>
              </w:numPr>
              <w:spacing w:before="0" w:after="0"/>
              <w:jc w:val="both"/>
              <w:rPr>
                <w:rFonts w:ascii="ITC Avant Garde" w:hAnsi="ITC Avant Garde"/>
                <w:szCs w:val="18"/>
                <w:lang w:val="es-ES_tradnl"/>
              </w:rPr>
            </w:pPr>
            <w:r w:rsidRPr="002B640D">
              <w:rPr>
                <w:rFonts w:ascii="ITC Avant Garde" w:hAnsi="ITC Avant Garde"/>
                <w:szCs w:val="18"/>
                <w:lang w:val="es-ES_tradnl"/>
              </w:rPr>
              <w:t xml:space="preserve">Espacio demandado </w:t>
            </w:r>
          </w:p>
          <w:p w14:paraId="7F8D93BF" w14:textId="77777777" w:rsidR="00D04EF5" w:rsidRPr="002B640D" w:rsidRDefault="00D04EF5" w:rsidP="002B640D">
            <w:pPr>
              <w:pStyle w:val="Tablecells"/>
              <w:numPr>
                <w:ilvl w:val="1"/>
                <w:numId w:val="13"/>
              </w:numPr>
              <w:spacing w:before="0" w:after="0"/>
              <w:jc w:val="both"/>
              <w:rPr>
                <w:rFonts w:ascii="ITC Avant Garde" w:hAnsi="ITC Avant Garde"/>
                <w:szCs w:val="18"/>
                <w:lang w:val="es-ES_tradnl"/>
              </w:rPr>
            </w:pPr>
            <w:r w:rsidRPr="002B640D">
              <w:rPr>
                <w:rFonts w:ascii="ITC Avant Garde" w:hAnsi="ITC Avant Garde"/>
                <w:szCs w:val="18"/>
                <w:lang w:val="es-ES_tradnl"/>
              </w:rPr>
              <w:t>Espacio común de acuerdo al espacio demandado en Predio (10% del espacio demandado)</w:t>
            </w:r>
          </w:p>
          <w:p w14:paraId="756A0157" w14:textId="77777777" w:rsidR="00C16B27" w:rsidRPr="002B640D" w:rsidRDefault="00C16B27" w:rsidP="002B640D">
            <w:pPr>
              <w:pStyle w:val="Tablecells"/>
              <w:numPr>
                <w:ilvl w:val="1"/>
                <w:numId w:val="13"/>
              </w:numPr>
              <w:spacing w:before="0" w:after="0"/>
              <w:jc w:val="both"/>
              <w:rPr>
                <w:rFonts w:ascii="ITC Avant Garde" w:hAnsi="ITC Avant Garde"/>
                <w:szCs w:val="18"/>
                <w:lang w:val="es-ES_tradnl"/>
              </w:rPr>
            </w:pPr>
            <w:r w:rsidRPr="002B640D">
              <w:rPr>
                <w:rFonts w:ascii="ITC Avant Garde" w:hAnsi="ITC Avant Garde"/>
                <w:szCs w:val="18"/>
                <w:lang w:val="es-ES_tradnl"/>
              </w:rPr>
              <w:lastRenderedPageBreak/>
              <w:t xml:space="preserve">Espacio ocupado </w:t>
            </w:r>
            <w:r w:rsidR="00071DEB" w:rsidRPr="002B640D">
              <w:rPr>
                <w:rFonts w:ascii="ITC Avant Garde" w:hAnsi="ITC Avant Garde"/>
                <w:szCs w:val="18"/>
                <w:lang w:val="es-ES_tradnl"/>
              </w:rPr>
              <w:t xml:space="preserve">por </w:t>
            </w:r>
            <w:r w:rsidRPr="002B640D">
              <w:rPr>
                <w:rFonts w:ascii="ITC Avant Garde" w:hAnsi="ITC Avant Garde"/>
                <w:szCs w:val="18"/>
                <w:lang w:val="es-ES_tradnl"/>
              </w:rPr>
              <w:t xml:space="preserve">Base de Torre </w:t>
            </w:r>
            <w:r w:rsidR="00AB2FB7" w:rsidRPr="002B640D">
              <w:rPr>
                <w:rFonts w:ascii="ITC Avant Garde" w:hAnsi="ITC Avant Garde"/>
                <w:szCs w:val="18"/>
                <w:lang w:val="es-ES_tradnl"/>
              </w:rPr>
              <w:t>(</w:t>
            </w:r>
            <w:r w:rsidRPr="002B640D">
              <w:rPr>
                <w:rFonts w:ascii="ITC Avant Garde" w:hAnsi="ITC Avant Garde"/>
                <w:szCs w:val="18"/>
                <w:lang w:val="es-ES_tradnl"/>
              </w:rPr>
              <w:t>proporcional al número de operadores</w:t>
            </w:r>
            <w:r w:rsidR="00AB2FB7" w:rsidRPr="002B640D">
              <w:rPr>
                <w:rFonts w:ascii="ITC Avant Garde" w:hAnsi="ITC Avant Garde"/>
                <w:szCs w:val="18"/>
                <w:lang w:val="es-ES_tradnl"/>
              </w:rPr>
              <w:t xml:space="preserve">; es decir </w:t>
            </w:r>
            <w:r w:rsidRPr="002B640D">
              <w:rPr>
                <w:rFonts w:ascii="ITC Avant Garde" w:hAnsi="ITC Avant Garde"/>
                <w:szCs w:val="18"/>
                <w:lang w:val="es-ES_tradnl"/>
              </w:rPr>
              <w:t>AEP + CS)</w:t>
            </w:r>
          </w:p>
          <w:p w14:paraId="3D5B03F7" w14:textId="77777777" w:rsidR="002B640D" w:rsidRPr="002B640D" w:rsidRDefault="00AB2FB7" w:rsidP="002B640D">
            <w:pPr>
              <w:pStyle w:val="Tablecells"/>
              <w:numPr>
                <w:ilvl w:val="1"/>
                <w:numId w:val="13"/>
              </w:numPr>
              <w:spacing w:before="0" w:after="0"/>
              <w:jc w:val="both"/>
              <w:rPr>
                <w:rFonts w:ascii="ITC Avant Garde" w:hAnsi="ITC Avant Garde"/>
                <w:szCs w:val="18"/>
                <w:lang w:val="es-ES_tradnl"/>
              </w:rPr>
            </w:pPr>
            <w:r w:rsidRPr="002B640D">
              <w:rPr>
                <w:rFonts w:ascii="ITC Avant Garde" w:hAnsi="ITC Avant Garde"/>
                <w:szCs w:val="18"/>
                <w:lang w:val="es-ES_tradnl"/>
              </w:rPr>
              <w:t xml:space="preserve">Espacio </w:t>
            </w:r>
            <w:proofErr w:type="spellStart"/>
            <w:r w:rsidRPr="002B640D">
              <w:rPr>
                <w:rFonts w:ascii="ITC Avant Garde" w:hAnsi="ITC Avant Garde"/>
                <w:szCs w:val="18"/>
                <w:lang w:val="es-ES_tradnl"/>
              </w:rPr>
              <w:t>Overheads</w:t>
            </w:r>
            <w:proofErr w:type="spellEnd"/>
            <w:r w:rsidRPr="002B640D">
              <w:rPr>
                <w:rFonts w:ascii="ITC Avant Garde" w:hAnsi="ITC Avant Garde"/>
                <w:szCs w:val="18"/>
                <w:lang w:val="es-ES_tradnl"/>
              </w:rPr>
              <w:t xml:space="preserve"> (10% de Espacio restante en predio)</w:t>
            </w:r>
          </w:p>
          <w:p w14:paraId="0045B032" w14:textId="0DF9A5D1" w:rsidR="00881FDB" w:rsidRPr="002B640D" w:rsidRDefault="00881FDB" w:rsidP="002B640D">
            <w:pPr>
              <w:pStyle w:val="Tablecells"/>
              <w:numPr>
                <w:ilvl w:val="0"/>
                <w:numId w:val="36"/>
              </w:numPr>
              <w:spacing w:before="0" w:after="0"/>
              <w:jc w:val="both"/>
              <w:rPr>
                <w:rFonts w:ascii="ITC Avant Garde" w:hAnsi="ITC Avant Garde"/>
                <w:szCs w:val="18"/>
                <w:lang w:val="es-ES_tradnl"/>
              </w:rPr>
            </w:pPr>
            <w:r w:rsidRPr="002B640D">
              <w:rPr>
                <w:rFonts w:ascii="ITC Avant Garde" w:hAnsi="ITC Avant Garde"/>
                <w:b/>
                <w:szCs w:val="18"/>
                <w:lang w:val="es-ES_tradnl"/>
              </w:rPr>
              <w:t xml:space="preserve">Espacio </w:t>
            </w:r>
            <w:r w:rsidR="009E31D8" w:rsidRPr="002B640D">
              <w:rPr>
                <w:rFonts w:ascii="ITC Avant Garde" w:hAnsi="ITC Avant Garde"/>
                <w:b/>
                <w:szCs w:val="18"/>
                <w:lang w:val="es-ES_tradnl"/>
              </w:rPr>
              <w:t xml:space="preserve">ocupado por el </w:t>
            </w:r>
            <w:r w:rsidRPr="002B640D">
              <w:rPr>
                <w:rFonts w:ascii="ITC Avant Garde" w:hAnsi="ITC Avant Garde"/>
                <w:b/>
                <w:szCs w:val="18"/>
                <w:lang w:val="es-ES_tradnl"/>
              </w:rPr>
              <w:t>AEP:</w:t>
            </w:r>
            <w:r w:rsidRPr="002B640D">
              <w:rPr>
                <w:rFonts w:ascii="ITC Avant Garde" w:hAnsi="ITC Avant Garde"/>
                <w:szCs w:val="18"/>
                <w:lang w:val="es-ES_tradnl"/>
              </w:rPr>
              <w:t xml:space="preserve"> </w:t>
            </w:r>
            <w:r w:rsidR="00C16B27" w:rsidRPr="002B640D">
              <w:rPr>
                <w:rFonts w:ascii="ITC Avant Garde" w:hAnsi="ITC Avant Garde"/>
                <w:szCs w:val="18"/>
                <w:lang w:val="es-ES_tradnl"/>
              </w:rPr>
              <w:t>Complemento del espacio ocupado por el CS</w:t>
            </w:r>
            <w:r w:rsidRPr="002B640D">
              <w:rPr>
                <w:rFonts w:ascii="ITC Avant Garde" w:hAnsi="ITC Avant Garde"/>
                <w:szCs w:val="18"/>
                <w:lang w:val="es-ES_tradnl"/>
              </w:rPr>
              <w:t>.</w:t>
            </w:r>
          </w:p>
        </w:tc>
      </w:tr>
      <w:tr w:rsidR="00881FDB" w:rsidRPr="002B640D" w14:paraId="3F152693" w14:textId="77777777" w:rsidTr="00BB40D2">
        <w:tc>
          <w:tcPr>
            <w:tcW w:w="2263" w:type="dxa"/>
          </w:tcPr>
          <w:p w14:paraId="6B3A38CF" w14:textId="77777777" w:rsidR="00881FDB" w:rsidRPr="002B640D" w:rsidRDefault="00BB77EE" w:rsidP="002B640D">
            <w:pPr>
              <w:pStyle w:val="Tablecells"/>
              <w:spacing w:before="0" w:after="0"/>
              <w:ind w:left="313"/>
              <w:rPr>
                <w:rFonts w:ascii="ITC Avant Garde" w:hAnsi="ITC Avant Garde"/>
                <w:szCs w:val="18"/>
                <w:lang w:val="es-ES_tradnl"/>
              </w:rPr>
            </w:pPr>
            <w:r w:rsidRPr="002B640D">
              <w:rPr>
                <w:rFonts w:ascii="ITC Avant Garde" w:hAnsi="ITC Avant Garde"/>
                <w:szCs w:val="18"/>
                <w:lang w:val="es-ES_tradnl"/>
              </w:rPr>
              <w:lastRenderedPageBreak/>
              <w:t xml:space="preserve">En </w:t>
            </w:r>
            <w:r w:rsidR="00881FDB" w:rsidRPr="002B640D">
              <w:rPr>
                <w:rFonts w:ascii="ITC Avant Garde" w:hAnsi="ITC Avant Garde"/>
                <w:szCs w:val="18"/>
                <w:lang w:val="es-ES_tradnl"/>
              </w:rPr>
              <w:t>Azotea</w:t>
            </w:r>
            <w:r w:rsidR="00CA54E3" w:rsidRPr="002B640D">
              <w:rPr>
                <w:rFonts w:ascii="ITC Avant Garde" w:hAnsi="ITC Avant Garde"/>
                <w:szCs w:val="18"/>
                <w:lang w:val="es-ES_tradnl"/>
              </w:rPr>
              <w:t>:</w:t>
            </w:r>
          </w:p>
        </w:tc>
        <w:tc>
          <w:tcPr>
            <w:tcW w:w="6468" w:type="dxa"/>
          </w:tcPr>
          <w:p w14:paraId="33A24B09" w14:textId="77777777" w:rsidR="009E31D8" w:rsidRPr="002B640D" w:rsidRDefault="009E31D8" w:rsidP="002B640D">
            <w:pPr>
              <w:pStyle w:val="Tablecells"/>
              <w:numPr>
                <w:ilvl w:val="0"/>
                <w:numId w:val="36"/>
              </w:numPr>
              <w:spacing w:before="0" w:after="0"/>
              <w:jc w:val="both"/>
              <w:rPr>
                <w:rFonts w:ascii="ITC Avant Garde" w:hAnsi="ITC Avant Garde"/>
                <w:b/>
                <w:szCs w:val="18"/>
                <w:lang w:val="es-ES_tradnl"/>
              </w:rPr>
            </w:pPr>
            <w:r w:rsidRPr="002B640D">
              <w:rPr>
                <w:rFonts w:ascii="ITC Avant Garde" w:hAnsi="ITC Avant Garde"/>
                <w:b/>
                <w:szCs w:val="18"/>
                <w:lang w:val="es-ES_tradnl"/>
              </w:rPr>
              <w:t>Espacio ocupado por el CS, obtenido como la suma de:</w:t>
            </w:r>
          </w:p>
          <w:p w14:paraId="74256DE9" w14:textId="77777777" w:rsidR="00BB77EE" w:rsidRPr="002B640D" w:rsidRDefault="00BB77EE" w:rsidP="002B640D">
            <w:pPr>
              <w:pStyle w:val="Tablecells"/>
              <w:numPr>
                <w:ilvl w:val="0"/>
                <w:numId w:val="37"/>
              </w:numPr>
              <w:spacing w:before="0" w:after="0"/>
              <w:jc w:val="both"/>
              <w:rPr>
                <w:rFonts w:ascii="ITC Avant Garde" w:hAnsi="ITC Avant Garde"/>
                <w:szCs w:val="18"/>
                <w:lang w:val="es-ES_tradnl"/>
              </w:rPr>
            </w:pPr>
            <w:r w:rsidRPr="002B640D">
              <w:rPr>
                <w:rFonts w:ascii="ITC Avant Garde" w:hAnsi="ITC Avant Garde"/>
                <w:szCs w:val="18"/>
                <w:lang w:val="es-ES_tradnl"/>
              </w:rPr>
              <w:t>Espacio ocupado por el CS En Predio</w:t>
            </w:r>
          </w:p>
          <w:p w14:paraId="5AF67516" w14:textId="77777777" w:rsidR="00BB77EE" w:rsidRPr="002B640D" w:rsidRDefault="00BB77EE" w:rsidP="002B640D">
            <w:pPr>
              <w:pStyle w:val="Tablecells"/>
              <w:numPr>
                <w:ilvl w:val="0"/>
                <w:numId w:val="37"/>
              </w:numPr>
              <w:spacing w:before="0" w:after="0"/>
              <w:jc w:val="both"/>
              <w:rPr>
                <w:rFonts w:ascii="ITC Avant Garde" w:hAnsi="ITC Avant Garde"/>
                <w:szCs w:val="18"/>
                <w:lang w:val="es-ES_tradnl"/>
              </w:rPr>
            </w:pPr>
            <w:r w:rsidRPr="002B640D">
              <w:rPr>
                <w:rFonts w:ascii="ITC Avant Garde" w:hAnsi="ITC Avant Garde"/>
                <w:szCs w:val="18"/>
                <w:lang w:val="es-ES_tradnl"/>
              </w:rPr>
              <w:t>Espacio demandado en azotea</w:t>
            </w:r>
          </w:p>
          <w:p w14:paraId="3BF6A722" w14:textId="77777777" w:rsidR="00BB77EE" w:rsidRPr="002B640D" w:rsidRDefault="00C16B27" w:rsidP="002B640D">
            <w:pPr>
              <w:pStyle w:val="Tablecells"/>
              <w:numPr>
                <w:ilvl w:val="0"/>
                <w:numId w:val="37"/>
              </w:numPr>
              <w:spacing w:before="0" w:after="0"/>
              <w:jc w:val="both"/>
              <w:rPr>
                <w:rFonts w:ascii="ITC Avant Garde" w:hAnsi="ITC Avant Garde"/>
                <w:szCs w:val="18"/>
                <w:lang w:val="es-ES_tradnl"/>
              </w:rPr>
            </w:pPr>
            <w:r w:rsidRPr="002B640D">
              <w:rPr>
                <w:rFonts w:ascii="ITC Avant Garde" w:hAnsi="ITC Avant Garde"/>
                <w:szCs w:val="18"/>
                <w:lang w:val="es-ES_tradnl"/>
              </w:rPr>
              <w:t xml:space="preserve">Espacio </w:t>
            </w:r>
            <w:r w:rsidR="00BB77EE" w:rsidRPr="002B640D">
              <w:rPr>
                <w:rFonts w:ascii="ITC Avant Garde" w:hAnsi="ITC Avant Garde"/>
                <w:szCs w:val="18"/>
                <w:lang w:val="es-ES_tradnl"/>
              </w:rPr>
              <w:t>común de acuerdo al espacio demandado en azotea (10% del espacio demandado)</w:t>
            </w:r>
          </w:p>
          <w:p w14:paraId="00768A8A" w14:textId="77777777" w:rsidR="009E31D8" w:rsidRPr="002B640D" w:rsidRDefault="00BB77EE" w:rsidP="002B640D">
            <w:pPr>
              <w:pStyle w:val="Tablecells"/>
              <w:spacing w:before="0" w:after="0"/>
              <w:jc w:val="both"/>
              <w:rPr>
                <w:rFonts w:ascii="ITC Avant Garde" w:hAnsi="ITC Avant Garde"/>
                <w:b/>
                <w:szCs w:val="18"/>
                <w:lang w:val="es-ES_tradnl"/>
              </w:rPr>
            </w:pPr>
            <w:r w:rsidRPr="002B640D">
              <w:rPr>
                <w:rFonts w:ascii="ITC Avant Garde" w:hAnsi="ITC Avant Garde"/>
                <w:b/>
                <w:szCs w:val="18"/>
                <w:lang w:val="es-ES_tradnl"/>
              </w:rPr>
              <w:t xml:space="preserve"> </w:t>
            </w:r>
          </w:p>
          <w:p w14:paraId="5EAD72AC" w14:textId="77777777" w:rsidR="00881FDB" w:rsidRPr="002B640D" w:rsidRDefault="009E31D8" w:rsidP="002B640D">
            <w:pPr>
              <w:pStyle w:val="Tablecells"/>
              <w:numPr>
                <w:ilvl w:val="0"/>
                <w:numId w:val="36"/>
              </w:numPr>
              <w:spacing w:before="0" w:after="0"/>
              <w:jc w:val="both"/>
              <w:rPr>
                <w:rFonts w:ascii="ITC Avant Garde" w:hAnsi="ITC Avant Garde"/>
                <w:szCs w:val="18"/>
                <w:lang w:val="es-ES_tradnl"/>
              </w:rPr>
            </w:pPr>
            <w:r w:rsidRPr="002B640D">
              <w:rPr>
                <w:rFonts w:ascii="ITC Avant Garde" w:hAnsi="ITC Avant Garde"/>
                <w:b/>
                <w:szCs w:val="18"/>
                <w:lang w:val="es-ES_tradnl"/>
              </w:rPr>
              <w:t xml:space="preserve">Espacio ocupado por el </w:t>
            </w:r>
            <w:r w:rsidR="00C16B27" w:rsidRPr="002B640D">
              <w:rPr>
                <w:rFonts w:ascii="ITC Avant Garde" w:hAnsi="ITC Avant Garde"/>
                <w:b/>
                <w:szCs w:val="18"/>
                <w:lang w:val="es-ES_tradnl"/>
              </w:rPr>
              <w:t>AEP:</w:t>
            </w:r>
            <w:r w:rsidR="00C16B27" w:rsidRPr="002B640D">
              <w:rPr>
                <w:rFonts w:ascii="ITC Avant Garde" w:hAnsi="ITC Avant Garde"/>
                <w:szCs w:val="18"/>
                <w:lang w:val="es-ES_tradnl"/>
              </w:rPr>
              <w:t xml:space="preserve"> Complemento del espacio ocupado por el CS.</w:t>
            </w:r>
          </w:p>
        </w:tc>
      </w:tr>
      <w:tr w:rsidR="00881FDB" w:rsidRPr="002B640D" w14:paraId="7A1D7CF0" w14:textId="77777777" w:rsidTr="00BB40D2">
        <w:trPr>
          <w:cnfStyle w:val="000000100000" w:firstRow="0" w:lastRow="0" w:firstColumn="0" w:lastColumn="0" w:oddVBand="0" w:evenVBand="0" w:oddHBand="1" w:evenHBand="0" w:firstRowFirstColumn="0" w:firstRowLastColumn="0" w:lastRowFirstColumn="0" w:lastRowLastColumn="0"/>
        </w:trPr>
        <w:tc>
          <w:tcPr>
            <w:tcW w:w="2263" w:type="dxa"/>
          </w:tcPr>
          <w:p w14:paraId="29759E89" w14:textId="77777777" w:rsidR="00881FDB" w:rsidRPr="002B640D" w:rsidRDefault="00BB77EE" w:rsidP="002B640D">
            <w:pPr>
              <w:pStyle w:val="Tablecells"/>
              <w:spacing w:before="0" w:after="0"/>
              <w:ind w:left="313"/>
              <w:rPr>
                <w:rFonts w:ascii="ITC Avant Garde" w:hAnsi="ITC Avant Garde"/>
                <w:szCs w:val="18"/>
                <w:lang w:val="es-ES_tradnl"/>
              </w:rPr>
            </w:pPr>
            <w:r w:rsidRPr="002B640D">
              <w:rPr>
                <w:rFonts w:ascii="ITC Avant Garde" w:hAnsi="ITC Avant Garde"/>
                <w:szCs w:val="18"/>
                <w:lang w:val="es-ES_tradnl"/>
              </w:rPr>
              <w:t xml:space="preserve">En </w:t>
            </w:r>
            <w:r w:rsidR="00881FDB" w:rsidRPr="002B640D">
              <w:rPr>
                <w:rFonts w:ascii="ITC Avant Garde" w:hAnsi="ITC Avant Garde"/>
                <w:szCs w:val="18"/>
                <w:lang w:val="es-ES_tradnl"/>
              </w:rPr>
              <w:t>Caseta</w:t>
            </w:r>
            <w:r w:rsidR="00CA54E3" w:rsidRPr="002B640D">
              <w:rPr>
                <w:rFonts w:ascii="ITC Avant Garde" w:hAnsi="ITC Avant Garde"/>
                <w:szCs w:val="18"/>
                <w:lang w:val="es-ES_tradnl"/>
              </w:rPr>
              <w:t>:</w:t>
            </w:r>
          </w:p>
        </w:tc>
        <w:tc>
          <w:tcPr>
            <w:tcW w:w="6468" w:type="dxa"/>
          </w:tcPr>
          <w:p w14:paraId="204FAC0A" w14:textId="77777777" w:rsidR="009E31D8" w:rsidRPr="002B640D" w:rsidRDefault="009E31D8" w:rsidP="002B640D">
            <w:pPr>
              <w:pStyle w:val="Tablecells"/>
              <w:numPr>
                <w:ilvl w:val="0"/>
                <w:numId w:val="36"/>
              </w:numPr>
              <w:spacing w:before="0" w:after="0"/>
              <w:jc w:val="both"/>
              <w:rPr>
                <w:rFonts w:ascii="ITC Avant Garde" w:hAnsi="ITC Avant Garde"/>
                <w:b/>
                <w:szCs w:val="18"/>
                <w:lang w:val="es-ES_tradnl"/>
              </w:rPr>
            </w:pPr>
            <w:r w:rsidRPr="002B640D">
              <w:rPr>
                <w:rFonts w:ascii="ITC Avant Garde" w:hAnsi="ITC Avant Garde"/>
                <w:b/>
                <w:szCs w:val="18"/>
                <w:lang w:val="es-ES_tradnl"/>
              </w:rPr>
              <w:t>Espacio ocupado por el CS, obtenido como la suma de:</w:t>
            </w:r>
          </w:p>
          <w:p w14:paraId="2B87ACF0" w14:textId="77777777" w:rsidR="009E31D8" w:rsidRPr="002B640D" w:rsidRDefault="009E31D8" w:rsidP="002B640D">
            <w:pPr>
              <w:pStyle w:val="Tablecells"/>
              <w:numPr>
                <w:ilvl w:val="1"/>
                <w:numId w:val="13"/>
              </w:numPr>
              <w:spacing w:before="0" w:after="0"/>
              <w:jc w:val="both"/>
              <w:rPr>
                <w:rFonts w:ascii="ITC Avant Garde" w:hAnsi="ITC Avant Garde"/>
                <w:szCs w:val="18"/>
                <w:lang w:val="es-ES_tradnl"/>
              </w:rPr>
            </w:pPr>
            <w:r w:rsidRPr="002B640D">
              <w:rPr>
                <w:rFonts w:ascii="ITC Avant Garde" w:hAnsi="ITC Avant Garde"/>
                <w:szCs w:val="18"/>
                <w:lang w:val="es-ES_tradnl"/>
              </w:rPr>
              <w:t xml:space="preserve">Espacio </w:t>
            </w:r>
            <w:r w:rsidR="00BB77EE" w:rsidRPr="002B640D">
              <w:rPr>
                <w:rFonts w:ascii="ITC Avant Garde" w:hAnsi="ITC Avant Garde"/>
                <w:szCs w:val="18"/>
                <w:lang w:val="es-ES_tradnl"/>
              </w:rPr>
              <w:t>ocupado por el CS En Predio</w:t>
            </w:r>
          </w:p>
          <w:p w14:paraId="0F023A99" w14:textId="5EE15513" w:rsidR="00BB77EE" w:rsidRPr="002B640D" w:rsidRDefault="00BB77EE" w:rsidP="002B640D">
            <w:pPr>
              <w:pStyle w:val="Tablecells"/>
              <w:numPr>
                <w:ilvl w:val="1"/>
                <w:numId w:val="13"/>
              </w:numPr>
              <w:spacing w:before="0" w:after="0"/>
              <w:jc w:val="both"/>
              <w:rPr>
                <w:rFonts w:ascii="ITC Avant Garde" w:hAnsi="ITC Avant Garde"/>
                <w:szCs w:val="18"/>
                <w:lang w:val="es-ES_tradnl"/>
              </w:rPr>
            </w:pPr>
            <w:r w:rsidRPr="002B640D">
              <w:rPr>
                <w:rFonts w:ascii="ITC Avant Garde" w:hAnsi="ITC Avant Garde"/>
                <w:szCs w:val="18"/>
                <w:lang w:val="es-ES_tradnl"/>
              </w:rPr>
              <w:t xml:space="preserve">Espacio demandado en </w:t>
            </w:r>
            <w:r w:rsidR="003768DF" w:rsidRPr="002B640D">
              <w:rPr>
                <w:rFonts w:ascii="ITC Avant Garde" w:hAnsi="ITC Avant Garde"/>
                <w:szCs w:val="18"/>
                <w:lang w:val="es-ES_tradnl"/>
              </w:rPr>
              <w:t>caseta</w:t>
            </w:r>
          </w:p>
          <w:p w14:paraId="7BCBECF4" w14:textId="77777777" w:rsidR="002B640D" w:rsidRPr="002B640D" w:rsidRDefault="00881FDB" w:rsidP="002B640D">
            <w:pPr>
              <w:pStyle w:val="Tablecells"/>
              <w:numPr>
                <w:ilvl w:val="1"/>
                <w:numId w:val="13"/>
              </w:numPr>
              <w:spacing w:before="0" w:after="0"/>
              <w:jc w:val="both"/>
              <w:rPr>
                <w:rFonts w:ascii="ITC Avant Garde" w:hAnsi="ITC Avant Garde"/>
                <w:szCs w:val="18"/>
                <w:lang w:val="es-ES_tradnl"/>
              </w:rPr>
            </w:pPr>
            <w:r w:rsidRPr="002B640D">
              <w:rPr>
                <w:rFonts w:ascii="ITC Avant Garde" w:hAnsi="ITC Avant Garde"/>
                <w:szCs w:val="18"/>
                <w:lang w:val="es-ES_tradnl"/>
              </w:rPr>
              <w:t xml:space="preserve">Espacio </w:t>
            </w:r>
            <w:r w:rsidR="009E31D8" w:rsidRPr="002B640D">
              <w:rPr>
                <w:rFonts w:ascii="ITC Avant Garde" w:hAnsi="ITC Avant Garde"/>
                <w:szCs w:val="18"/>
                <w:lang w:val="es-ES_tradnl"/>
              </w:rPr>
              <w:t xml:space="preserve">común de acuerdo al espacio demandado </w:t>
            </w:r>
            <w:r w:rsidR="00BB77EE" w:rsidRPr="002B640D">
              <w:rPr>
                <w:rFonts w:ascii="ITC Avant Garde" w:hAnsi="ITC Avant Garde"/>
                <w:szCs w:val="18"/>
                <w:lang w:val="es-ES_tradnl"/>
              </w:rPr>
              <w:t xml:space="preserve">en </w:t>
            </w:r>
            <w:r w:rsidR="003768DF" w:rsidRPr="002B640D">
              <w:rPr>
                <w:rFonts w:ascii="ITC Avant Garde" w:hAnsi="ITC Avant Garde"/>
                <w:szCs w:val="18"/>
                <w:lang w:val="es-ES_tradnl"/>
              </w:rPr>
              <w:t xml:space="preserve">caseta </w:t>
            </w:r>
            <w:r w:rsidR="009E31D8" w:rsidRPr="002B640D">
              <w:rPr>
                <w:rFonts w:ascii="ITC Avant Garde" w:hAnsi="ITC Avant Garde"/>
                <w:szCs w:val="18"/>
                <w:lang w:val="es-ES_tradnl"/>
              </w:rPr>
              <w:t>(10% del espacio demandado)</w:t>
            </w:r>
          </w:p>
          <w:p w14:paraId="228F9A41" w14:textId="67B3E7AE" w:rsidR="00881FDB" w:rsidRPr="002B640D" w:rsidRDefault="009E31D8" w:rsidP="002B640D">
            <w:pPr>
              <w:pStyle w:val="Tablecells"/>
              <w:numPr>
                <w:ilvl w:val="0"/>
                <w:numId w:val="36"/>
              </w:numPr>
              <w:spacing w:before="0" w:after="0"/>
              <w:jc w:val="both"/>
              <w:rPr>
                <w:rFonts w:ascii="ITC Avant Garde" w:hAnsi="ITC Avant Garde"/>
                <w:szCs w:val="18"/>
                <w:lang w:val="es-ES_tradnl"/>
              </w:rPr>
            </w:pPr>
            <w:r w:rsidRPr="002B640D">
              <w:rPr>
                <w:rFonts w:ascii="ITC Avant Garde" w:hAnsi="ITC Avant Garde"/>
                <w:b/>
                <w:szCs w:val="18"/>
                <w:lang w:val="es-ES_tradnl"/>
              </w:rPr>
              <w:t xml:space="preserve">Espacio ocupado por el </w:t>
            </w:r>
            <w:r w:rsidR="00881FDB" w:rsidRPr="002B640D">
              <w:rPr>
                <w:rFonts w:ascii="ITC Avant Garde" w:hAnsi="ITC Avant Garde"/>
                <w:b/>
                <w:szCs w:val="18"/>
                <w:lang w:val="es-ES_tradnl"/>
              </w:rPr>
              <w:t>AEP:</w:t>
            </w:r>
            <w:r w:rsidR="00881FDB" w:rsidRPr="002B640D">
              <w:rPr>
                <w:rFonts w:ascii="ITC Avant Garde" w:hAnsi="ITC Avant Garde"/>
                <w:szCs w:val="18"/>
                <w:lang w:val="es-ES_tradnl"/>
              </w:rPr>
              <w:t xml:space="preserve"> </w:t>
            </w:r>
            <w:r w:rsidR="00C16B27" w:rsidRPr="002B640D">
              <w:rPr>
                <w:rFonts w:ascii="ITC Avant Garde" w:hAnsi="ITC Avant Garde"/>
                <w:szCs w:val="18"/>
                <w:lang w:val="es-ES_tradnl"/>
              </w:rPr>
              <w:t>Complemento del espacio ocupado por el CS.</w:t>
            </w:r>
          </w:p>
        </w:tc>
      </w:tr>
    </w:tbl>
    <w:p w14:paraId="28D32FA7" w14:textId="77777777" w:rsidR="002B640D" w:rsidRPr="002B640D" w:rsidRDefault="007745BB" w:rsidP="002B640D">
      <w:pPr>
        <w:pStyle w:val="IFTnormal"/>
        <w:spacing w:before="240"/>
        <w:ind w:left="720"/>
        <w:jc w:val="center"/>
      </w:pPr>
      <w:r w:rsidRPr="002B640D">
        <w:rPr>
          <w:b/>
          <w:sz w:val="18"/>
        </w:rPr>
        <w:t xml:space="preserve">Tabla </w:t>
      </w:r>
      <w:r w:rsidR="00D85C28" w:rsidRPr="002B640D">
        <w:rPr>
          <w:b/>
          <w:sz w:val="18"/>
        </w:rPr>
        <w:t>12:</w:t>
      </w:r>
      <w:r w:rsidRPr="002B640D">
        <w:rPr>
          <w:sz w:val="18"/>
        </w:rPr>
        <w:t xml:space="preserve"> Principales criterio de asignación de costos</w:t>
      </w:r>
      <w:r w:rsidR="00CD6551" w:rsidRPr="002B640D">
        <w:rPr>
          <w:sz w:val="18"/>
        </w:rPr>
        <w:t xml:space="preserve"> del Modelo de Costos de To</w:t>
      </w:r>
      <w:r w:rsidRPr="002B640D">
        <w:rPr>
          <w:sz w:val="18"/>
        </w:rPr>
        <w:t>rres</w:t>
      </w:r>
    </w:p>
    <w:p w14:paraId="7F624A39" w14:textId="594E3850" w:rsidR="005700FA" w:rsidRPr="002B640D" w:rsidRDefault="00CC54ED" w:rsidP="002B640D">
      <w:pPr>
        <w:pStyle w:val="IFTnormal"/>
        <w:spacing w:before="240"/>
      </w:pPr>
      <w:r w:rsidRPr="002B640D">
        <w:t xml:space="preserve">Una vez obtenidos los montos que resultan de la asignación del gasto anual, se contabilizan aquellas aplicables para los CS en el sitio, de tal forma que para el Servicio de Espacio en Piso </w:t>
      </w:r>
      <w:r w:rsidR="0038416A" w:rsidRPr="002B640D">
        <w:t>se pueda obtener la tarifa por la ocupación efectiva de espacio en piso por mes</w:t>
      </w:r>
      <w:r w:rsidR="0038416A" w:rsidRPr="002B640D">
        <w:rPr>
          <w:rStyle w:val="Refdenotaalpie"/>
        </w:rPr>
        <w:footnoteReference w:id="33"/>
      </w:r>
      <w:r w:rsidRPr="002B640D">
        <w:t>; mientras que para la tarifa correspondiente a Espacio en Torre se obtiene en términos de 4 m</w:t>
      </w:r>
      <w:r w:rsidR="00287F59" w:rsidRPr="002B640D">
        <w:t xml:space="preserve">etros </w:t>
      </w:r>
      <w:r w:rsidRPr="002B640D">
        <w:t>l</w:t>
      </w:r>
      <w:r w:rsidR="00287F59" w:rsidRPr="002B640D">
        <w:t>ineales</w:t>
      </w:r>
      <w:r w:rsidRPr="002B640D">
        <w:t xml:space="preserve"> por CS.</w:t>
      </w:r>
    </w:p>
    <w:p w14:paraId="1904D330" w14:textId="77777777" w:rsidR="00CC54ED" w:rsidRPr="002B640D" w:rsidRDefault="005700FA" w:rsidP="002B640D">
      <w:pPr>
        <w:pStyle w:val="IFT1"/>
        <w:spacing w:before="240"/>
        <w:rPr>
          <w:b/>
        </w:rPr>
      </w:pPr>
      <w:r w:rsidRPr="002B640D">
        <w:rPr>
          <w:b/>
        </w:rPr>
        <w:t>4</w:t>
      </w:r>
      <w:r w:rsidR="00CC54ED" w:rsidRPr="002B640D">
        <w:rPr>
          <w:b/>
        </w:rPr>
        <w:t xml:space="preserve">.2.2. Calculo de tarifa por </w:t>
      </w:r>
      <w:proofErr w:type="spellStart"/>
      <w:r w:rsidR="00CC54ED" w:rsidRPr="002B640D">
        <w:rPr>
          <w:b/>
        </w:rPr>
        <w:t>geotipo</w:t>
      </w:r>
      <w:proofErr w:type="spellEnd"/>
    </w:p>
    <w:p w14:paraId="692698E0" w14:textId="77777777" w:rsidR="00CC54ED" w:rsidRPr="002B640D" w:rsidRDefault="00FD4F8F" w:rsidP="002B640D">
      <w:pPr>
        <w:pStyle w:val="IFTnormal"/>
        <w:spacing w:before="240"/>
      </w:pPr>
      <w:r w:rsidRPr="002B640D">
        <w:t>Como segunda etapa</w:t>
      </w:r>
      <w:r w:rsidR="00CC54ED" w:rsidRPr="002B640D">
        <w:t xml:space="preserve">, </w:t>
      </w:r>
      <w:r w:rsidRPr="002B640D">
        <w:t xml:space="preserve">y con base en los </w:t>
      </w:r>
      <w:r w:rsidR="00CC54ED" w:rsidRPr="002B640D">
        <w:t>cálculo</w:t>
      </w:r>
      <w:r w:rsidRPr="002B640D">
        <w:t>s</w:t>
      </w:r>
      <w:r w:rsidR="00CC54ED" w:rsidRPr="002B640D">
        <w:t xml:space="preserve"> de tarifas descritas en el num</w:t>
      </w:r>
      <w:r w:rsidR="00462CD1" w:rsidRPr="002B640D">
        <w:t>eral 4</w:t>
      </w:r>
      <w:r w:rsidR="00CC54ED" w:rsidRPr="002B640D">
        <w:t xml:space="preserve">.2.1., el Modelo de Costos </w:t>
      </w:r>
      <w:r w:rsidR="00B56800" w:rsidRPr="002B640D">
        <w:t>de Torres</w:t>
      </w:r>
      <w:r w:rsidR="00CC54ED" w:rsidRPr="002B640D">
        <w:t xml:space="preserve"> realiza el cálculo de las tarifas ponderadas por </w:t>
      </w:r>
      <w:proofErr w:type="spellStart"/>
      <w:r w:rsidR="00CC54ED" w:rsidRPr="002B640D">
        <w:t>geotipo</w:t>
      </w:r>
      <w:proofErr w:type="spellEnd"/>
      <w:r w:rsidR="00CC54ED" w:rsidRPr="002B640D">
        <w:t xml:space="preserve">, </w:t>
      </w:r>
      <w:r w:rsidR="000D2481" w:rsidRPr="002B640D">
        <w:t>emple</w:t>
      </w:r>
      <w:r w:rsidR="00F97844" w:rsidRPr="002B640D">
        <w:t>a</w:t>
      </w:r>
      <w:r w:rsidR="000D2481" w:rsidRPr="002B640D">
        <w:t>ndo</w:t>
      </w:r>
      <w:r w:rsidR="00CC54ED" w:rsidRPr="002B640D">
        <w:t xml:space="preserve"> la distribución de torres </w:t>
      </w:r>
      <w:r w:rsidR="00EB5105" w:rsidRPr="002B640D">
        <w:rPr>
          <w:lang w:val="es-419"/>
        </w:rPr>
        <w:t xml:space="preserve">entregada por el AEP </w:t>
      </w:r>
      <w:r w:rsidR="00CC54ED" w:rsidRPr="002B640D">
        <w:t xml:space="preserve">por </w:t>
      </w:r>
      <w:r w:rsidR="000D2481" w:rsidRPr="002B640D">
        <w:t xml:space="preserve">cada </w:t>
      </w:r>
      <w:proofErr w:type="spellStart"/>
      <w:r w:rsidR="00CC54ED" w:rsidRPr="002B640D">
        <w:t>geotipo</w:t>
      </w:r>
      <w:proofErr w:type="spellEnd"/>
      <w:r w:rsidR="000D2481" w:rsidRPr="002B640D">
        <w:t xml:space="preserve"> de la Oferta de Referencia</w:t>
      </w:r>
      <w:r w:rsidR="00701F9E" w:rsidRPr="002B640D">
        <w:t xml:space="preserve"> de Telmex y </w:t>
      </w:r>
      <w:r w:rsidR="003E1BDC" w:rsidRPr="002B640D">
        <w:t xml:space="preserve">de la Oferta de Referencia de </w:t>
      </w:r>
      <w:proofErr w:type="spellStart"/>
      <w:r w:rsidR="00701F9E" w:rsidRPr="002B640D">
        <w:t>Telnor</w:t>
      </w:r>
      <w:proofErr w:type="spellEnd"/>
      <w:r w:rsidR="00CC54ED" w:rsidRPr="002B640D">
        <w:t xml:space="preserve">. </w:t>
      </w:r>
    </w:p>
    <w:p w14:paraId="08C3AB4F" w14:textId="77777777" w:rsidR="00CC54ED" w:rsidRPr="002B640D" w:rsidRDefault="002A39D5" w:rsidP="002B640D">
      <w:pPr>
        <w:pStyle w:val="IFTnormal"/>
        <w:spacing w:before="240"/>
      </w:pPr>
      <w:r w:rsidRPr="002B640D">
        <w:lastRenderedPageBreak/>
        <w:t>Dicho</w:t>
      </w:r>
      <w:r w:rsidR="00CC54ED" w:rsidRPr="002B640D">
        <w:t xml:space="preserve"> proce</w:t>
      </w:r>
      <w:r w:rsidRPr="002B640D">
        <w:t>so</w:t>
      </w:r>
      <w:r w:rsidR="00CC54ED" w:rsidRPr="002B640D">
        <w:t xml:space="preserve"> inicia con el cálculo de todas las tarifas</w:t>
      </w:r>
      <w:r w:rsidR="00CC54ED" w:rsidRPr="002B640D">
        <w:rPr>
          <w:lang w:val="es-419"/>
        </w:rPr>
        <w:t xml:space="preserve"> </w:t>
      </w:r>
      <w:r w:rsidR="005D1775" w:rsidRPr="002B640D">
        <w:rPr>
          <w:lang w:val="es-419"/>
        </w:rPr>
        <w:t>de sitios tipo</w:t>
      </w:r>
      <w:r w:rsidR="00CC54ED" w:rsidRPr="002B640D">
        <w:t xml:space="preserve"> para Espacio en Piso y Espacio en Torre calculadas de forma anual y expresada en términos mensuales. </w:t>
      </w:r>
      <w:r w:rsidR="00D81270" w:rsidRPr="002B640D">
        <w:t>Cabe destacar que p</w:t>
      </w:r>
      <w:r w:rsidR="00CC54ED" w:rsidRPr="002B640D">
        <w:t xml:space="preserve">ara el caso de las tarifas para Espacio en </w:t>
      </w:r>
      <w:r w:rsidR="00FD4F8F" w:rsidRPr="002B640D">
        <w:t>Piso</w:t>
      </w:r>
      <w:r w:rsidR="00CC54ED" w:rsidRPr="002B640D">
        <w:t xml:space="preserve"> se </w:t>
      </w:r>
      <w:r w:rsidR="00D81270" w:rsidRPr="002B640D">
        <w:t>incorpora</w:t>
      </w:r>
      <w:r w:rsidR="00CC54ED" w:rsidRPr="002B640D">
        <w:t xml:space="preserve"> la posibilidad de que </w:t>
      </w:r>
      <w:r w:rsidR="00FD4F8F" w:rsidRPr="002B640D">
        <w:t>el CS demande espacio En Predio, En Azotea</w:t>
      </w:r>
      <w:r w:rsidR="00CC54ED" w:rsidRPr="002B640D">
        <w:t xml:space="preserve"> o </w:t>
      </w:r>
      <w:r w:rsidR="00FD4F8F" w:rsidRPr="002B640D">
        <w:t>En Caseta.</w:t>
      </w:r>
    </w:p>
    <w:p w14:paraId="558FB8AF" w14:textId="77777777" w:rsidR="00CC54ED" w:rsidRPr="002B640D" w:rsidRDefault="00CC54ED" w:rsidP="002B640D">
      <w:pPr>
        <w:pStyle w:val="IFTnormal"/>
        <w:spacing w:before="240"/>
      </w:pPr>
      <w:r w:rsidRPr="002B640D">
        <w:t xml:space="preserve">Por otra parte, de la información </w:t>
      </w:r>
      <w:r w:rsidR="005700FA" w:rsidRPr="002B640D">
        <w:t>proporcionada</w:t>
      </w:r>
      <w:r w:rsidRPr="002B640D">
        <w:t xml:space="preserve"> por el AEP sobre sus torres, en el Modelo de Costos </w:t>
      </w:r>
      <w:r w:rsidR="009C3C86" w:rsidRPr="002B640D">
        <w:t xml:space="preserve">de Torres </w:t>
      </w:r>
      <w:r w:rsidRPr="002B640D">
        <w:t xml:space="preserve">se presenta la distribución de torres por </w:t>
      </w:r>
      <w:proofErr w:type="spellStart"/>
      <w:r w:rsidRPr="002B640D">
        <w:t>geotipo</w:t>
      </w:r>
      <w:proofErr w:type="spellEnd"/>
      <w:r w:rsidRPr="002B640D">
        <w:t xml:space="preserve"> y por tipo de torre. Esta distribución se asigna a cada uno de los elementos que genera la combinación tipo de torre, altura y carga de viento, tomando como parámetro de asignación el número de rangos de carga de viento que tiene cada tipo de torre.</w:t>
      </w:r>
      <w:r w:rsidR="00E509FE" w:rsidRPr="002B640D">
        <w:rPr>
          <w:rStyle w:val="Refdenotaalpie"/>
        </w:rPr>
        <w:footnoteReference w:id="34"/>
      </w:r>
      <w:r w:rsidRPr="002B640D">
        <w:t xml:space="preserve">  </w:t>
      </w:r>
    </w:p>
    <w:p w14:paraId="58093992" w14:textId="77777777" w:rsidR="00CC54ED" w:rsidRPr="002B640D" w:rsidRDefault="00CC54ED" w:rsidP="002B640D">
      <w:pPr>
        <w:pStyle w:val="IFTnormal"/>
        <w:spacing w:before="240"/>
      </w:pPr>
      <w:r w:rsidRPr="002B640D">
        <w:t xml:space="preserve">Así, con la información de las tarifas </w:t>
      </w:r>
      <w:r w:rsidR="00793EBD" w:rsidRPr="002B640D">
        <w:t xml:space="preserve">obtenidas para los conceptos </w:t>
      </w:r>
      <w:r w:rsidRPr="002B640D">
        <w:t>de Espacio en Torre y Espacio en Piso se calcula el promedio ponderado de las tarifas para obtener la tarifa de Espacio en Torre y su correspondiente a Es</w:t>
      </w:r>
      <w:r w:rsidR="005700FA" w:rsidRPr="002B640D">
        <w:t xml:space="preserve">pacio en Piso por cada </w:t>
      </w:r>
      <w:proofErr w:type="spellStart"/>
      <w:r w:rsidR="005700FA" w:rsidRPr="002B640D">
        <w:t>geotipo</w:t>
      </w:r>
      <w:proofErr w:type="spellEnd"/>
      <w:r w:rsidR="005700FA" w:rsidRPr="002B640D">
        <w:t>.</w:t>
      </w:r>
    </w:p>
    <w:p w14:paraId="74F28B73" w14:textId="77777777" w:rsidR="00CC54ED" w:rsidRPr="002B640D" w:rsidRDefault="005700FA" w:rsidP="002B640D">
      <w:pPr>
        <w:pStyle w:val="IFT1"/>
        <w:spacing w:before="240"/>
        <w:rPr>
          <w:b/>
        </w:rPr>
      </w:pPr>
      <w:r w:rsidRPr="002B640D">
        <w:rPr>
          <w:b/>
        </w:rPr>
        <w:t>4</w:t>
      </w:r>
      <w:r w:rsidR="00CC54ED" w:rsidRPr="002B640D">
        <w:rPr>
          <w:b/>
        </w:rPr>
        <w:t>.3 Estructura del modelo</w:t>
      </w:r>
      <w:r w:rsidR="00B23527" w:rsidRPr="002B640D">
        <w:rPr>
          <w:b/>
        </w:rPr>
        <w:t xml:space="preserve"> (diagrama de flujo)</w:t>
      </w:r>
    </w:p>
    <w:p w14:paraId="07DEB974" w14:textId="14154166" w:rsidR="00B23527" w:rsidRPr="002B640D" w:rsidRDefault="00210466" w:rsidP="002B640D">
      <w:pPr>
        <w:pStyle w:val="IFTnormal"/>
        <w:spacing w:before="240"/>
      </w:pPr>
      <w:r w:rsidRPr="002B640D">
        <w:t>En línea con lo expuesto anteriormente, e</w:t>
      </w:r>
      <w:r w:rsidR="00B23527" w:rsidRPr="002B640D">
        <w:t xml:space="preserve">l Modelo de Costos de Torres consta de dos módulos claramente diferenciados: una parte que se encarga de estimar tarifas por sitio y una parte que estima tarifas por </w:t>
      </w:r>
      <w:proofErr w:type="spellStart"/>
      <w:r w:rsidR="00B23527" w:rsidRPr="002B640D">
        <w:t>geotipo</w:t>
      </w:r>
      <w:proofErr w:type="spellEnd"/>
      <w:r w:rsidR="00B23527" w:rsidRPr="002B640D">
        <w:t xml:space="preserve">, alimentándose de los cálculos </w:t>
      </w:r>
      <w:r w:rsidR="00FB2D27" w:rsidRPr="002B640D">
        <w:t>previamente</w:t>
      </w:r>
      <w:r w:rsidR="00B23527" w:rsidRPr="002B640D">
        <w:t xml:space="preserve"> realizados en la parte por sitios tipo. </w:t>
      </w:r>
    </w:p>
    <w:p w14:paraId="1D5E0E27" w14:textId="77777777" w:rsidR="002B640D" w:rsidRPr="002B640D" w:rsidRDefault="00B23527" w:rsidP="002B640D">
      <w:pPr>
        <w:pStyle w:val="IFTnormal"/>
        <w:spacing w:before="240"/>
      </w:pPr>
      <w:r w:rsidRPr="002B640D">
        <w:t>A continuación se presenta de manera esquemática las etapas de cálculo antes descritas que considera el modelo para llevar a cabo el cálculo de las tarifas de Espacio en Torre y Espacio en Piso generadas en el Modelo de Costos de Torres.</w:t>
      </w:r>
    </w:p>
    <w:p w14:paraId="0DA797F7" w14:textId="48D7E44C" w:rsidR="00B23527" w:rsidRPr="002B640D" w:rsidRDefault="007B6F3B" w:rsidP="002B640D">
      <w:pPr>
        <w:spacing w:before="240"/>
        <w:jc w:val="center"/>
      </w:pPr>
      <w:r w:rsidRPr="002B640D">
        <w:rPr>
          <w:noProof/>
          <w:lang w:eastAsia="es-MX"/>
        </w:rPr>
        <w:lastRenderedPageBreak/>
        <w:drawing>
          <wp:inline distT="0" distB="0" distL="0" distR="0" wp14:anchorId="6427AC25" wp14:editId="0AD97BDA">
            <wp:extent cx="5753100" cy="4286250"/>
            <wp:effectExtent l="0" t="0" r="0" b="0"/>
            <wp:docPr id="38" name="Imagen 37" descr="Figura 5: Diagrama de flujo del Modelo de Costos de Torres (los rectángulos representan una hoja del archivo Excel del model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7"/>
                    <pic:cNvPicPr>
                      <a:picLocks noChangeAspect="1" noChangeArrowheads="1"/>
                    </pic:cNvPicPr>
                  </pic:nvPicPr>
                  <pic:blipFill rotWithShape="1">
                    <a:blip r:embed="rId15">
                      <a:extLst>
                        <a:ext uri="{28A0092B-C50C-407E-A947-70E740481C1C}">
                          <a14:useLocalDpi xmlns:a14="http://schemas.microsoft.com/office/drawing/2010/main" val="0"/>
                        </a:ext>
                      </a:extLst>
                    </a:blip>
                    <a:srcRect t="3221" r="1520"/>
                    <a:stretch/>
                  </pic:blipFill>
                  <pic:spPr bwMode="auto">
                    <a:xfrm>
                      <a:off x="0" y="0"/>
                      <a:ext cx="5755881" cy="4288322"/>
                    </a:xfrm>
                    <a:prstGeom prst="rect">
                      <a:avLst/>
                    </a:prstGeom>
                    <a:noFill/>
                    <a:extLst/>
                  </pic:spPr>
                </pic:pic>
              </a:graphicData>
            </a:graphic>
          </wp:inline>
        </w:drawing>
      </w:r>
    </w:p>
    <w:p w14:paraId="2744F3FB" w14:textId="77777777" w:rsidR="002B640D" w:rsidRPr="002B640D" w:rsidRDefault="00B23527" w:rsidP="002B640D">
      <w:pPr>
        <w:spacing w:before="240"/>
        <w:jc w:val="center"/>
        <w:rPr>
          <w:rFonts w:ascii="ITC Avant Garde" w:hAnsi="ITC Avant Garde"/>
          <w:lang w:val="es-ES_tradnl"/>
        </w:rPr>
      </w:pPr>
      <w:r w:rsidRPr="002B640D">
        <w:rPr>
          <w:rFonts w:ascii="ITC Avant Garde" w:hAnsi="ITC Avant Garde"/>
          <w:b/>
          <w:sz w:val="18"/>
        </w:rPr>
        <w:t>Figura 5:</w:t>
      </w:r>
      <w:r w:rsidRPr="002B640D">
        <w:rPr>
          <w:rFonts w:ascii="ITC Avant Garde" w:hAnsi="ITC Avant Garde"/>
          <w:sz w:val="18"/>
        </w:rPr>
        <w:t xml:space="preserve"> Diagrama de flujo del Modelo de Costos de Torres (los rectángulos representan </w:t>
      </w:r>
      <w:r w:rsidR="00D02290" w:rsidRPr="002B640D">
        <w:rPr>
          <w:rFonts w:ascii="ITC Avant Garde" w:hAnsi="ITC Avant Garde"/>
          <w:sz w:val="18"/>
        </w:rPr>
        <w:t>un</w:t>
      </w:r>
      <w:r w:rsidRPr="002B640D">
        <w:rPr>
          <w:rFonts w:ascii="ITC Avant Garde" w:hAnsi="ITC Avant Garde"/>
          <w:sz w:val="18"/>
        </w:rPr>
        <w:t xml:space="preserve">a hoja </w:t>
      </w:r>
      <w:r w:rsidR="00D02290" w:rsidRPr="002B640D">
        <w:rPr>
          <w:rFonts w:ascii="ITC Avant Garde" w:hAnsi="ITC Avant Garde"/>
          <w:sz w:val="18"/>
        </w:rPr>
        <w:t xml:space="preserve">del archivo </w:t>
      </w:r>
      <w:r w:rsidRPr="002B640D">
        <w:rPr>
          <w:rFonts w:ascii="ITC Avant Garde" w:hAnsi="ITC Avant Garde"/>
          <w:sz w:val="18"/>
        </w:rPr>
        <w:t>Excel del modelo)</w:t>
      </w:r>
    </w:p>
    <w:p w14:paraId="7961ACCB" w14:textId="3C51C024" w:rsidR="00CC54ED" w:rsidRPr="002B640D" w:rsidRDefault="00B23527" w:rsidP="002B640D">
      <w:pPr>
        <w:spacing w:before="240"/>
        <w:jc w:val="both"/>
        <w:rPr>
          <w:rFonts w:ascii="ITC Avant Garde" w:hAnsi="ITC Avant Garde"/>
          <w:lang w:val="es-ES_tradnl"/>
        </w:rPr>
      </w:pPr>
      <w:r w:rsidRPr="002B640D">
        <w:rPr>
          <w:rFonts w:ascii="ITC Avant Garde" w:hAnsi="ITC Avant Garde"/>
          <w:lang w:val="es-ES_tradnl"/>
        </w:rPr>
        <w:t>Asimismo, l</w:t>
      </w:r>
      <w:r w:rsidR="00CC54ED" w:rsidRPr="002B640D">
        <w:rPr>
          <w:rFonts w:ascii="ITC Avant Garde" w:hAnsi="ITC Avant Garde"/>
          <w:lang w:val="es-ES_tradnl"/>
        </w:rPr>
        <w:t xml:space="preserve">a estructura </w:t>
      </w:r>
      <w:r w:rsidR="00793EBD" w:rsidRPr="002B640D">
        <w:rPr>
          <w:rFonts w:ascii="ITC Avant Garde" w:hAnsi="ITC Avant Garde"/>
          <w:lang w:val="es-ES_tradnl"/>
        </w:rPr>
        <w:t xml:space="preserve">del </w:t>
      </w:r>
      <w:r w:rsidR="00CC54ED" w:rsidRPr="002B640D">
        <w:rPr>
          <w:rFonts w:ascii="ITC Avant Garde" w:hAnsi="ITC Avant Garde"/>
          <w:lang w:val="es-ES_tradnl"/>
        </w:rPr>
        <w:t>archivo en formato Excel que contiene al Modelo de Costos</w:t>
      </w:r>
      <w:r w:rsidR="009C223D" w:rsidRPr="002B640D">
        <w:rPr>
          <w:rFonts w:ascii="ITC Avant Garde" w:hAnsi="ITC Avant Garde"/>
          <w:lang w:val="es-ES_tradnl"/>
        </w:rPr>
        <w:t xml:space="preserve"> de Torres</w:t>
      </w:r>
      <w:r w:rsidR="00CC54ED" w:rsidRPr="002B640D">
        <w:rPr>
          <w:rFonts w:ascii="ITC Avant Garde" w:hAnsi="ITC Avant Garde"/>
          <w:lang w:val="es-ES_tradnl"/>
        </w:rPr>
        <w:t xml:space="preserve"> se resume en la siguiente tabla:</w:t>
      </w:r>
    </w:p>
    <w:tbl>
      <w:tblPr>
        <w:tblStyle w:val="Tablaconcuadrcula"/>
        <w:tblW w:w="8731" w:type="dxa"/>
        <w:tblLook w:val="0420" w:firstRow="1" w:lastRow="0" w:firstColumn="0" w:lastColumn="0" w:noHBand="0" w:noVBand="1"/>
        <w:tblCaption w:val="Figura 3: Estrutura del modelo de costos de coubicación móvil (Fuente: IFT, 2015)"/>
        <w:tblDescription w:val="Se divida en hoja de cálculo y descripción"/>
      </w:tblPr>
      <w:tblGrid>
        <w:gridCol w:w="1843"/>
        <w:gridCol w:w="6888"/>
      </w:tblGrid>
      <w:tr w:rsidR="002B640D" w:rsidRPr="002B640D" w14:paraId="1BB6201A" w14:textId="77777777" w:rsidTr="002B640D">
        <w:trPr>
          <w:trHeight w:val="351"/>
          <w:tblHeader/>
        </w:trPr>
        <w:tc>
          <w:tcPr>
            <w:tcW w:w="1843" w:type="dxa"/>
            <w:shd w:val="clear" w:color="auto" w:fill="BFBFBF" w:themeFill="background1" w:themeFillShade="BF"/>
          </w:tcPr>
          <w:p w14:paraId="332EE374" w14:textId="77777777" w:rsidR="00CC54ED" w:rsidRPr="002B640D" w:rsidRDefault="00CC54ED" w:rsidP="002B640D">
            <w:pPr>
              <w:pStyle w:val="Tableheading"/>
              <w:spacing w:before="0" w:after="0"/>
              <w:jc w:val="center"/>
              <w:rPr>
                <w:rFonts w:ascii="ITC Avant Garde" w:hAnsi="ITC Avant Garde"/>
                <w:color w:val="000000" w:themeColor="text1"/>
                <w:szCs w:val="18"/>
                <w:lang w:val="es-ES_tradnl"/>
              </w:rPr>
            </w:pPr>
            <w:r w:rsidRPr="002B640D">
              <w:rPr>
                <w:rFonts w:ascii="ITC Avant Garde" w:hAnsi="ITC Avant Garde"/>
                <w:color w:val="000000" w:themeColor="text1"/>
                <w:szCs w:val="18"/>
                <w:lang w:val="es-ES_tradnl"/>
              </w:rPr>
              <w:t>Hoja de cálculo</w:t>
            </w:r>
          </w:p>
        </w:tc>
        <w:tc>
          <w:tcPr>
            <w:tcW w:w="6888" w:type="dxa"/>
            <w:shd w:val="clear" w:color="auto" w:fill="BFBFBF" w:themeFill="background1" w:themeFillShade="BF"/>
          </w:tcPr>
          <w:p w14:paraId="28D8AEC9" w14:textId="77777777" w:rsidR="00CC54ED" w:rsidRPr="002B640D" w:rsidRDefault="00CC54ED" w:rsidP="002B640D">
            <w:pPr>
              <w:pStyle w:val="Tableheading"/>
              <w:spacing w:before="0" w:after="0"/>
              <w:jc w:val="center"/>
              <w:rPr>
                <w:rFonts w:ascii="ITC Avant Garde" w:hAnsi="ITC Avant Garde"/>
                <w:color w:val="000000" w:themeColor="text1"/>
                <w:szCs w:val="18"/>
                <w:lang w:val="es-ES_tradnl"/>
              </w:rPr>
            </w:pPr>
            <w:r w:rsidRPr="002B640D">
              <w:rPr>
                <w:rFonts w:ascii="ITC Avant Garde" w:hAnsi="ITC Avant Garde"/>
                <w:color w:val="000000" w:themeColor="text1"/>
                <w:szCs w:val="18"/>
                <w:lang w:val="es-ES_tradnl"/>
              </w:rPr>
              <w:t>Descripción</w:t>
            </w:r>
          </w:p>
        </w:tc>
      </w:tr>
      <w:tr w:rsidR="00CC54ED" w:rsidRPr="002B640D" w14:paraId="1AF24DF4" w14:textId="77777777" w:rsidTr="002B640D">
        <w:tc>
          <w:tcPr>
            <w:tcW w:w="1843" w:type="dxa"/>
          </w:tcPr>
          <w:p w14:paraId="34FA3912" w14:textId="77777777" w:rsidR="00CC54ED" w:rsidRPr="002B640D" w:rsidRDefault="00CC54ED" w:rsidP="002B640D">
            <w:pPr>
              <w:pStyle w:val="Tablecells"/>
              <w:spacing w:before="0" w:after="0"/>
              <w:rPr>
                <w:rFonts w:ascii="ITC Avant Garde" w:hAnsi="ITC Avant Garde"/>
                <w:szCs w:val="18"/>
                <w:lang w:val="es-ES_tradnl"/>
              </w:rPr>
            </w:pPr>
            <w:r w:rsidRPr="002B640D">
              <w:rPr>
                <w:rFonts w:ascii="ITC Avant Garde" w:hAnsi="ITC Avant Garde"/>
                <w:szCs w:val="18"/>
                <w:lang w:val="es-ES_tradnl"/>
              </w:rPr>
              <w:t>Control</w:t>
            </w:r>
          </w:p>
        </w:tc>
        <w:tc>
          <w:tcPr>
            <w:tcW w:w="6888" w:type="dxa"/>
          </w:tcPr>
          <w:p w14:paraId="7E6C4725" w14:textId="77777777" w:rsidR="00CC54ED" w:rsidRPr="002B640D" w:rsidRDefault="00CC54ED" w:rsidP="002B640D">
            <w:pPr>
              <w:pStyle w:val="Tablecells"/>
              <w:spacing w:before="0" w:after="0"/>
              <w:jc w:val="both"/>
              <w:rPr>
                <w:rFonts w:ascii="ITC Avant Garde" w:hAnsi="ITC Avant Garde"/>
                <w:szCs w:val="18"/>
                <w:lang w:val="es-ES_tradnl"/>
              </w:rPr>
            </w:pPr>
            <w:r w:rsidRPr="002B640D">
              <w:rPr>
                <w:rFonts w:ascii="ITC Avant Garde" w:hAnsi="ITC Avant Garde"/>
                <w:szCs w:val="18"/>
                <w:lang w:val="es-ES_tradnl"/>
              </w:rPr>
              <w:t>Permite seleccionar el año de referencia, la configuración y las características del sitio a dimensionar, y los datos de demanda (AEP y CS) en términos espacio lineal en torre. También permite selecc</w:t>
            </w:r>
            <w:r w:rsidR="00AD7750" w:rsidRPr="002B640D">
              <w:rPr>
                <w:rFonts w:ascii="ITC Avant Garde" w:hAnsi="ITC Avant Garde"/>
                <w:szCs w:val="18"/>
                <w:lang w:val="es-ES_tradnl"/>
              </w:rPr>
              <w:t>ionar el</w:t>
            </w:r>
            <w:r w:rsidR="00F70D3E" w:rsidRPr="002B640D">
              <w:rPr>
                <w:rFonts w:ascii="ITC Avant Garde" w:hAnsi="ITC Avant Garde"/>
                <w:szCs w:val="18"/>
                <w:lang w:val="es-ES_tradnl"/>
              </w:rPr>
              <w:t xml:space="preserve"> Tipo de Uso de Sitio, Predio o Espacio Físico a modelar (Espacio en Predio, E</w:t>
            </w:r>
            <w:r w:rsidR="00793EBD" w:rsidRPr="002B640D">
              <w:rPr>
                <w:rFonts w:ascii="ITC Avant Garde" w:hAnsi="ITC Avant Garde"/>
                <w:szCs w:val="18"/>
                <w:lang w:val="es-ES_tradnl"/>
              </w:rPr>
              <w:t>spacio e</w:t>
            </w:r>
            <w:r w:rsidR="00F70D3E" w:rsidRPr="002B640D">
              <w:rPr>
                <w:rFonts w:ascii="ITC Avant Garde" w:hAnsi="ITC Avant Garde"/>
                <w:szCs w:val="18"/>
                <w:lang w:val="es-ES_tradnl"/>
              </w:rPr>
              <w:t>n Azotea o E</w:t>
            </w:r>
            <w:r w:rsidR="00793EBD" w:rsidRPr="002B640D">
              <w:rPr>
                <w:rFonts w:ascii="ITC Avant Garde" w:hAnsi="ITC Avant Garde"/>
                <w:szCs w:val="18"/>
                <w:lang w:val="es-ES_tradnl"/>
              </w:rPr>
              <w:t>spacio e</w:t>
            </w:r>
            <w:r w:rsidR="00F70D3E" w:rsidRPr="002B640D">
              <w:rPr>
                <w:rFonts w:ascii="ITC Avant Garde" w:hAnsi="ITC Avant Garde"/>
                <w:szCs w:val="18"/>
                <w:lang w:val="es-ES_tradnl"/>
              </w:rPr>
              <w:t>n Caseta)</w:t>
            </w:r>
            <w:r w:rsidRPr="002B640D">
              <w:rPr>
                <w:rFonts w:ascii="ITC Avant Garde" w:hAnsi="ITC Avant Garde"/>
                <w:szCs w:val="18"/>
                <w:lang w:val="es-ES_tradnl"/>
              </w:rPr>
              <w:t>.</w:t>
            </w:r>
          </w:p>
        </w:tc>
      </w:tr>
      <w:tr w:rsidR="00CC54ED" w:rsidRPr="002B640D" w14:paraId="464AE731" w14:textId="77777777" w:rsidTr="002B640D">
        <w:tc>
          <w:tcPr>
            <w:tcW w:w="1843" w:type="dxa"/>
          </w:tcPr>
          <w:p w14:paraId="5CA558B0" w14:textId="77777777" w:rsidR="00CC54ED" w:rsidRPr="002B640D" w:rsidRDefault="00CC54ED" w:rsidP="002B640D">
            <w:pPr>
              <w:pStyle w:val="Tablecells"/>
              <w:spacing w:before="0" w:after="0"/>
              <w:rPr>
                <w:rFonts w:ascii="ITC Avant Garde" w:hAnsi="ITC Avant Garde"/>
                <w:szCs w:val="18"/>
                <w:lang w:val="es-ES_tradnl"/>
              </w:rPr>
            </w:pPr>
            <w:r w:rsidRPr="002B640D">
              <w:rPr>
                <w:rFonts w:ascii="ITC Avant Garde" w:hAnsi="ITC Avant Garde"/>
                <w:szCs w:val="18"/>
                <w:lang w:val="es-ES_tradnl"/>
              </w:rPr>
              <w:t>Dimensionado</w:t>
            </w:r>
          </w:p>
        </w:tc>
        <w:tc>
          <w:tcPr>
            <w:tcW w:w="6888" w:type="dxa"/>
          </w:tcPr>
          <w:p w14:paraId="4E4849FA" w14:textId="77777777" w:rsidR="00CC54ED" w:rsidRPr="002B640D" w:rsidRDefault="00CC54ED" w:rsidP="002B640D">
            <w:pPr>
              <w:pStyle w:val="Tablecells"/>
              <w:spacing w:before="0" w:after="0"/>
              <w:jc w:val="both"/>
              <w:rPr>
                <w:rFonts w:ascii="ITC Avant Garde" w:hAnsi="ITC Avant Garde"/>
                <w:szCs w:val="18"/>
                <w:lang w:val="es-ES_tradnl"/>
              </w:rPr>
            </w:pPr>
            <w:r w:rsidRPr="002B640D">
              <w:rPr>
                <w:rFonts w:ascii="ITC Avant Garde" w:hAnsi="ITC Avant Garde"/>
                <w:szCs w:val="18"/>
                <w:lang w:val="es-ES_tradnl"/>
              </w:rPr>
              <w:t>Procesa la demanda y los otros parámetros de entrada al modelo para calcular el dimensionamiento del sitio a modelar. Produce como resultado el número de activos y su tamaño correspondiente</w:t>
            </w:r>
            <w:r w:rsidR="009D7223" w:rsidRPr="002B640D">
              <w:rPr>
                <w:rFonts w:ascii="ITC Avant Garde" w:hAnsi="ITC Avant Garde"/>
                <w:szCs w:val="18"/>
                <w:lang w:val="es-ES_tradnl"/>
              </w:rPr>
              <w:t>.</w:t>
            </w:r>
          </w:p>
        </w:tc>
      </w:tr>
      <w:tr w:rsidR="00CC54ED" w:rsidRPr="002B640D" w14:paraId="369BBF59" w14:textId="77777777" w:rsidTr="002B640D">
        <w:tc>
          <w:tcPr>
            <w:tcW w:w="1843" w:type="dxa"/>
          </w:tcPr>
          <w:p w14:paraId="429427CE" w14:textId="77777777" w:rsidR="00CC54ED" w:rsidRPr="002B640D" w:rsidRDefault="00CC54ED" w:rsidP="002B640D">
            <w:pPr>
              <w:pStyle w:val="Tablecells"/>
              <w:spacing w:before="0" w:after="0"/>
              <w:rPr>
                <w:rFonts w:ascii="ITC Avant Garde" w:hAnsi="ITC Avant Garde"/>
                <w:szCs w:val="18"/>
                <w:lang w:val="es-ES_tradnl"/>
              </w:rPr>
            </w:pPr>
            <w:r w:rsidRPr="002B640D">
              <w:rPr>
                <w:rFonts w:ascii="ITC Avant Garde" w:hAnsi="ITC Avant Garde"/>
                <w:szCs w:val="18"/>
                <w:lang w:val="es-ES_tradnl"/>
              </w:rPr>
              <w:t>Costeo</w:t>
            </w:r>
          </w:p>
        </w:tc>
        <w:tc>
          <w:tcPr>
            <w:tcW w:w="6888" w:type="dxa"/>
          </w:tcPr>
          <w:p w14:paraId="48C7DDFB" w14:textId="77777777" w:rsidR="00CC54ED" w:rsidRPr="002B640D" w:rsidRDefault="00CC54ED" w:rsidP="002B640D">
            <w:pPr>
              <w:pStyle w:val="Tablecells"/>
              <w:spacing w:before="0" w:after="0"/>
              <w:jc w:val="both"/>
              <w:rPr>
                <w:rFonts w:ascii="ITC Avant Garde" w:hAnsi="ITC Avant Garde"/>
                <w:spacing w:val="-4"/>
                <w:szCs w:val="18"/>
                <w:lang w:val="es-ES_tradnl"/>
              </w:rPr>
            </w:pPr>
            <w:r w:rsidRPr="002B640D">
              <w:rPr>
                <w:rFonts w:ascii="ITC Avant Garde" w:hAnsi="ITC Avant Garde"/>
                <w:spacing w:val="-4"/>
                <w:szCs w:val="18"/>
                <w:lang w:val="es-ES_tradnl"/>
              </w:rPr>
              <w:t>Toma los costos unitarios calculados en la hoja Costos unitarios y los multiplica por las unidades de activos obtenidos en la hoja Dimensionado</w:t>
            </w:r>
            <w:r w:rsidR="009D7223" w:rsidRPr="002B640D">
              <w:rPr>
                <w:rFonts w:ascii="ITC Avant Garde" w:hAnsi="ITC Avant Garde"/>
                <w:spacing w:val="-4"/>
                <w:szCs w:val="18"/>
                <w:lang w:val="es-ES_tradnl"/>
              </w:rPr>
              <w:t>.</w:t>
            </w:r>
          </w:p>
        </w:tc>
      </w:tr>
      <w:tr w:rsidR="00CC54ED" w:rsidRPr="002B640D" w14:paraId="047FD9E5" w14:textId="77777777" w:rsidTr="002B640D">
        <w:tc>
          <w:tcPr>
            <w:tcW w:w="1843" w:type="dxa"/>
          </w:tcPr>
          <w:p w14:paraId="10089905" w14:textId="77777777" w:rsidR="00CC54ED" w:rsidRPr="002B640D" w:rsidRDefault="00CC54ED" w:rsidP="002B640D">
            <w:pPr>
              <w:pStyle w:val="Tablecells"/>
              <w:spacing w:before="0" w:after="0"/>
              <w:rPr>
                <w:rFonts w:ascii="ITC Avant Garde" w:hAnsi="ITC Avant Garde"/>
                <w:szCs w:val="18"/>
                <w:lang w:val="es-ES_tradnl"/>
              </w:rPr>
            </w:pPr>
            <w:r w:rsidRPr="002B640D">
              <w:rPr>
                <w:rFonts w:ascii="ITC Avant Garde" w:hAnsi="ITC Avant Garde"/>
                <w:szCs w:val="18"/>
                <w:lang w:val="es-ES_tradnl"/>
              </w:rPr>
              <w:lastRenderedPageBreak/>
              <w:t>Precio</w:t>
            </w:r>
          </w:p>
        </w:tc>
        <w:tc>
          <w:tcPr>
            <w:tcW w:w="6888" w:type="dxa"/>
          </w:tcPr>
          <w:p w14:paraId="34E30692" w14:textId="77777777" w:rsidR="00CC54ED" w:rsidRPr="002B640D" w:rsidRDefault="00CC54ED" w:rsidP="002B640D">
            <w:pPr>
              <w:pStyle w:val="Tablecells"/>
              <w:spacing w:before="0" w:after="0"/>
              <w:jc w:val="both"/>
              <w:rPr>
                <w:rFonts w:ascii="ITC Avant Garde" w:hAnsi="ITC Avant Garde"/>
                <w:szCs w:val="18"/>
                <w:lang w:val="es-ES_tradnl"/>
              </w:rPr>
            </w:pPr>
            <w:r w:rsidRPr="002B640D">
              <w:rPr>
                <w:rFonts w:ascii="ITC Avant Garde" w:hAnsi="ITC Avant Garde"/>
                <w:szCs w:val="18"/>
                <w:lang w:val="es-ES_tradnl"/>
              </w:rPr>
              <w:t>Se asignan los costos de la red a los distintos servicios y se calcula el precio (en caso de precio igual al costo) final del servicio mayorista</w:t>
            </w:r>
            <w:r w:rsidR="009D7223" w:rsidRPr="002B640D">
              <w:rPr>
                <w:rFonts w:ascii="ITC Avant Garde" w:hAnsi="ITC Avant Garde"/>
                <w:szCs w:val="18"/>
                <w:lang w:val="es-ES_tradnl"/>
              </w:rPr>
              <w:t>.</w:t>
            </w:r>
          </w:p>
        </w:tc>
      </w:tr>
      <w:tr w:rsidR="00CC54ED" w:rsidRPr="002B640D" w14:paraId="4470E771" w14:textId="77777777" w:rsidTr="002B640D">
        <w:tc>
          <w:tcPr>
            <w:tcW w:w="1843" w:type="dxa"/>
          </w:tcPr>
          <w:p w14:paraId="37D6EB47" w14:textId="77777777" w:rsidR="00CC54ED" w:rsidRPr="002B640D" w:rsidRDefault="00CC54ED" w:rsidP="002B640D">
            <w:pPr>
              <w:pStyle w:val="Tablecells"/>
              <w:spacing w:before="0" w:after="0"/>
              <w:rPr>
                <w:rFonts w:ascii="ITC Avant Garde" w:hAnsi="ITC Avant Garde"/>
                <w:szCs w:val="18"/>
                <w:lang w:val="es-ES_tradnl"/>
              </w:rPr>
            </w:pPr>
            <w:r w:rsidRPr="002B640D">
              <w:rPr>
                <w:rFonts w:ascii="ITC Avant Garde" w:hAnsi="ITC Avant Garde"/>
                <w:szCs w:val="18"/>
                <w:lang w:val="es-ES_tradnl"/>
              </w:rPr>
              <w:t>Costos unitarios</w:t>
            </w:r>
          </w:p>
        </w:tc>
        <w:tc>
          <w:tcPr>
            <w:tcW w:w="6888" w:type="dxa"/>
          </w:tcPr>
          <w:p w14:paraId="4B0CC867" w14:textId="77777777" w:rsidR="00CC54ED" w:rsidRPr="002B640D" w:rsidRDefault="00CC54ED" w:rsidP="002B640D">
            <w:pPr>
              <w:pStyle w:val="Tablecells"/>
              <w:spacing w:before="0" w:after="0"/>
              <w:jc w:val="both"/>
              <w:rPr>
                <w:rFonts w:ascii="ITC Avant Garde" w:hAnsi="ITC Avant Garde"/>
                <w:szCs w:val="18"/>
                <w:lang w:val="es-ES_tradnl"/>
              </w:rPr>
            </w:pPr>
            <w:r w:rsidRPr="002B640D">
              <w:rPr>
                <w:rFonts w:ascii="ITC Avant Garde" w:hAnsi="ITC Avant Garde"/>
                <w:szCs w:val="18"/>
                <w:lang w:val="es-ES_tradnl"/>
              </w:rPr>
              <w:t xml:space="preserve">Incluye los costos unitarios del modelo para los diferentes activos. </w:t>
            </w:r>
          </w:p>
        </w:tc>
      </w:tr>
      <w:tr w:rsidR="00CC54ED" w:rsidRPr="002B640D" w14:paraId="2A367754" w14:textId="77777777" w:rsidTr="002B640D">
        <w:tc>
          <w:tcPr>
            <w:tcW w:w="1843" w:type="dxa"/>
          </w:tcPr>
          <w:p w14:paraId="3A6BB397" w14:textId="77777777" w:rsidR="00CC54ED" w:rsidRPr="002B640D" w:rsidRDefault="00CC54ED" w:rsidP="002B640D">
            <w:pPr>
              <w:pStyle w:val="Tablecells"/>
              <w:spacing w:before="0" w:after="0"/>
              <w:rPr>
                <w:rFonts w:ascii="ITC Avant Garde" w:hAnsi="ITC Avant Garde"/>
                <w:szCs w:val="18"/>
                <w:lang w:val="es-ES_tradnl"/>
              </w:rPr>
            </w:pPr>
            <w:r w:rsidRPr="002B640D">
              <w:rPr>
                <w:rFonts w:ascii="ITC Avant Garde" w:hAnsi="ITC Avant Garde"/>
                <w:szCs w:val="18"/>
                <w:lang w:val="es-ES_tradnl"/>
              </w:rPr>
              <w:t>Cálculos secundarios</w:t>
            </w:r>
          </w:p>
        </w:tc>
        <w:tc>
          <w:tcPr>
            <w:tcW w:w="6888" w:type="dxa"/>
          </w:tcPr>
          <w:p w14:paraId="50D58404" w14:textId="77777777" w:rsidR="00CC54ED" w:rsidRPr="002B640D" w:rsidRDefault="00CC54ED" w:rsidP="002B640D">
            <w:pPr>
              <w:pStyle w:val="Tablecells"/>
              <w:spacing w:before="0" w:after="0"/>
              <w:jc w:val="both"/>
              <w:rPr>
                <w:rFonts w:ascii="ITC Avant Garde" w:hAnsi="ITC Avant Garde"/>
                <w:szCs w:val="18"/>
                <w:lang w:val="es-ES_tradnl"/>
              </w:rPr>
            </w:pPr>
            <w:r w:rsidRPr="002B640D">
              <w:rPr>
                <w:rFonts w:ascii="ITC Avant Garde" w:hAnsi="ITC Avant Garde"/>
                <w:szCs w:val="18"/>
                <w:lang w:val="es-ES_tradnl"/>
              </w:rPr>
              <w:t xml:space="preserve">Agrupa cálculos adicionales requeridos para la asignación de costos relacionados con la ocupación de franjas promedio por torre, así como costos de mantenimiento y de </w:t>
            </w:r>
            <w:r w:rsidR="00867831" w:rsidRPr="002B640D">
              <w:rPr>
                <w:rFonts w:ascii="ITC Avant Garde" w:hAnsi="ITC Avant Garde"/>
                <w:szCs w:val="18"/>
                <w:lang w:val="es-ES_tradnl"/>
              </w:rPr>
              <w:t>CAPEX</w:t>
            </w:r>
            <w:r w:rsidRPr="002B640D">
              <w:rPr>
                <w:rFonts w:ascii="ITC Avant Garde" w:hAnsi="ITC Avant Garde"/>
                <w:szCs w:val="18"/>
                <w:lang w:val="es-ES_tradnl"/>
              </w:rPr>
              <w:t xml:space="preserve"> en razón de los diversos </w:t>
            </w:r>
            <w:proofErr w:type="spellStart"/>
            <w:r w:rsidRPr="002B640D">
              <w:rPr>
                <w:rFonts w:ascii="ITC Avant Garde" w:hAnsi="ITC Avant Garde"/>
                <w:szCs w:val="18"/>
                <w:lang w:val="es-ES_tradnl"/>
              </w:rPr>
              <w:t>geotipos</w:t>
            </w:r>
            <w:proofErr w:type="spellEnd"/>
            <w:r w:rsidRPr="002B640D">
              <w:rPr>
                <w:rFonts w:ascii="ITC Avant Garde" w:hAnsi="ITC Avant Garde"/>
                <w:szCs w:val="18"/>
                <w:lang w:val="es-ES_tradnl"/>
              </w:rPr>
              <w:t xml:space="preserve"> considerados en la Oferta de Referencia</w:t>
            </w:r>
            <w:r w:rsidR="00701F9E" w:rsidRPr="002B640D">
              <w:rPr>
                <w:rFonts w:ascii="ITC Avant Garde" w:hAnsi="ITC Avant Garde"/>
                <w:szCs w:val="18"/>
                <w:lang w:val="es-ES_tradnl"/>
              </w:rPr>
              <w:t xml:space="preserve"> de Telmex y</w:t>
            </w:r>
            <w:r w:rsidR="00810725" w:rsidRPr="002B640D">
              <w:rPr>
                <w:rFonts w:ascii="ITC Avant Garde" w:hAnsi="ITC Avant Garde"/>
                <w:szCs w:val="18"/>
                <w:lang w:val="es-419"/>
              </w:rPr>
              <w:t xml:space="preserve"> la</w:t>
            </w:r>
            <w:r w:rsidR="00810725" w:rsidRPr="002B640D">
              <w:rPr>
                <w:rFonts w:ascii="ITC Avant Garde" w:hAnsi="ITC Avant Garde" w:cs="Arial"/>
                <w:sz w:val="22"/>
                <w:lang w:val="es-MX"/>
              </w:rPr>
              <w:t xml:space="preserve"> </w:t>
            </w:r>
            <w:r w:rsidR="00810725" w:rsidRPr="002B640D">
              <w:rPr>
                <w:rFonts w:ascii="ITC Avant Garde" w:hAnsi="ITC Avant Garde"/>
                <w:szCs w:val="18"/>
                <w:lang w:val="es-MX"/>
              </w:rPr>
              <w:t>Oferta de Referencia de</w:t>
            </w:r>
            <w:r w:rsidR="00701F9E" w:rsidRPr="002B640D">
              <w:rPr>
                <w:rFonts w:ascii="ITC Avant Garde" w:hAnsi="ITC Avant Garde"/>
                <w:szCs w:val="18"/>
                <w:lang w:val="es-ES_tradnl"/>
              </w:rPr>
              <w:t xml:space="preserve"> </w:t>
            </w:r>
            <w:proofErr w:type="spellStart"/>
            <w:r w:rsidR="00701F9E" w:rsidRPr="002B640D">
              <w:rPr>
                <w:rFonts w:ascii="ITC Avant Garde" w:hAnsi="ITC Avant Garde"/>
                <w:szCs w:val="18"/>
                <w:lang w:val="es-ES_tradnl"/>
              </w:rPr>
              <w:t>Telnor</w:t>
            </w:r>
            <w:proofErr w:type="spellEnd"/>
            <w:r w:rsidR="009D7223" w:rsidRPr="002B640D">
              <w:rPr>
                <w:rFonts w:ascii="ITC Avant Garde" w:hAnsi="ITC Avant Garde"/>
                <w:szCs w:val="18"/>
                <w:lang w:val="es-ES_tradnl"/>
              </w:rPr>
              <w:t>.</w:t>
            </w:r>
          </w:p>
        </w:tc>
      </w:tr>
      <w:tr w:rsidR="009D7223" w:rsidRPr="002B640D" w14:paraId="128BE376" w14:textId="77777777" w:rsidTr="002B640D">
        <w:tc>
          <w:tcPr>
            <w:tcW w:w="1843" w:type="dxa"/>
          </w:tcPr>
          <w:p w14:paraId="068C9E3F" w14:textId="77777777" w:rsidR="009D7223" w:rsidRPr="002B640D" w:rsidRDefault="009D7223" w:rsidP="002B640D">
            <w:pPr>
              <w:pStyle w:val="Tablecells"/>
              <w:spacing w:before="0" w:after="0"/>
              <w:rPr>
                <w:rFonts w:ascii="ITC Avant Garde" w:hAnsi="ITC Avant Garde"/>
                <w:szCs w:val="18"/>
                <w:lang w:val="es-ES_tradnl"/>
              </w:rPr>
            </w:pPr>
            <w:r w:rsidRPr="002B640D">
              <w:rPr>
                <w:rFonts w:ascii="ITC Avant Garde" w:hAnsi="ITC Avant Garde"/>
                <w:szCs w:val="18"/>
                <w:lang w:val="es-ES_tradnl"/>
              </w:rPr>
              <w:t>Características técnicas</w:t>
            </w:r>
          </w:p>
        </w:tc>
        <w:tc>
          <w:tcPr>
            <w:tcW w:w="6888" w:type="dxa"/>
          </w:tcPr>
          <w:p w14:paraId="5B9F8A5C" w14:textId="77777777" w:rsidR="009D7223" w:rsidRPr="002B640D" w:rsidRDefault="009D7223" w:rsidP="002B640D">
            <w:pPr>
              <w:pStyle w:val="Tablecells"/>
              <w:spacing w:before="0" w:after="0"/>
              <w:jc w:val="both"/>
              <w:rPr>
                <w:rFonts w:ascii="ITC Avant Garde" w:hAnsi="ITC Avant Garde"/>
                <w:szCs w:val="18"/>
                <w:lang w:val="es-ES_tradnl"/>
              </w:rPr>
            </w:pPr>
            <w:r w:rsidRPr="002B640D">
              <w:rPr>
                <w:rFonts w:ascii="ITC Avant Garde" w:hAnsi="ITC Avant Garde"/>
                <w:szCs w:val="18"/>
                <w:lang w:val="es-ES_tradnl"/>
              </w:rPr>
              <w:t>Incluye los datos de superficie estimada para diferentes elementos de los sitios del AEP: Número de franjas ocupadas por tipo de Torre, Área Promedio de Terreno, Área Promedio de Base de Torre, Área Promedio de Azotea y Área Promedio de Base de Caseta.</w:t>
            </w:r>
          </w:p>
        </w:tc>
      </w:tr>
      <w:tr w:rsidR="00CC54ED" w:rsidRPr="002B640D" w14:paraId="505FAF9F" w14:textId="77777777" w:rsidTr="002B640D">
        <w:tc>
          <w:tcPr>
            <w:tcW w:w="1843" w:type="dxa"/>
          </w:tcPr>
          <w:p w14:paraId="1BA1D8E5" w14:textId="77777777" w:rsidR="00CC54ED" w:rsidRPr="002B640D" w:rsidRDefault="00CC54ED" w:rsidP="002B640D">
            <w:pPr>
              <w:pStyle w:val="Tablecells"/>
              <w:spacing w:before="0" w:after="0"/>
              <w:rPr>
                <w:rFonts w:ascii="ITC Avant Garde" w:hAnsi="ITC Avant Garde"/>
                <w:szCs w:val="18"/>
                <w:lang w:val="es-ES_tradnl"/>
              </w:rPr>
            </w:pPr>
            <w:r w:rsidRPr="002B640D">
              <w:rPr>
                <w:rFonts w:ascii="ITC Avant Garde" w:hAnsi="ITC Avant Garde"/>
                <w:szCs w:val="18"/>
                <w:lang w:val="es-ES_tradnl"/>
              </w:rPr>
              <w:t>Output AAA</w:t>
            </w:r>
          </w:p>
        </w:tc>
        <w:tc>
          <w:tcPr>
            <w:tcW w:w="6888" w:type="dxa"/>
          </w:tcPr>
          <w:p w14:paraId="2B0A976B" w14:textId="77777777" w:rsidR="00CC54ED" w:rsidRPr="002B640D" w:rsidRDefault="00CC54ED" w:rsidP="002B640D">
            <w:pPr>
              <w:pStyle w:val="Tablecells"/>
              <w:spacing w:before="0" w:after="0"/>
              <w:jc w:val="both"/>
              <w:rPr>
                <w:rFonts w:ascii="ITC Avant Garde" w:hAnsi="ITC Avant Garde"/>
                <w:szCs w:val="18"/>
                <w:lang w:val="es-ES_tradnl"/>
              </w:rPr>
            </w:pPr>
            <w:r w:rsidRPr="002B640D">
              <w:rPr>
                <w:rFonts w:ascii="ITC Avant Garde" w:hAnsi="ITC Avant Garde"/>
                <w:szCs w:val="18"/>
                <w:lang w:val="es-ES_tradnl"/>
              </w:rPr>
              <w:t>Agrupa cálculos adicionales requeridos para estimar las tarifas correspondiente</w:t>
            </w:r>
            <w:r w:rsidR="009D7223" w:rsidRPr="002B640D">
              <w:rPr>
                <w:rFonts w:ascii="ITC Avant Garde" w:hAnsi="ITC Avant Garde"/>
                <w:szCs w:val="18"/>
                <w:lang w:val="es-ES_tradnl"/>
              </w:rPr>
              <w:t>s</w:t>
            </w:r>
            <w:r w:rsidRPr="002B640D">
              <w:rPr>
                <w:rFonts w:ascii="ITC Avant Garde" w:hAnsi="ITC Avant Garde"/>
                <w:szCs w:val="18"/>
                <w:lang w:val="es-ES_tradnl"/>
              </w:rPr>
              <w:t xml:space="preserve"> al servicio de acceso y uso de espacio en torre y espacio en piso, para el </w:t>
            </w:r>
            <w:proofErr w:type="spellStart"/>
            <w:r w:rsidRPr="002B640D">
              <w:rPr>
                <w:rFonts w:ascii="ITC Avant Garde" w:hAnsi="ITC Avant Garde"/>
                <w:szCs w:val="18"/>
                <w:lang w:val="es-ES_tradnl"/>
              </w:rPr>
              <w:t>geotipo</w:t>
            </w:r>
            <w:proofErr w:type="spellEnd"/>
            <w:r w:rsidRPr="002B640D">
              <w:rPr>
                <w:rFonts w:ascii="ITC Avant Garde" w:hAnsi="ITC Avant Garde"/>
                <w:szCs w:val="18"/>
                <w:lang w:val="es-ES_tradnl"/>
              </w:rPr>
              <w:t xml:space="preserve"> denominado Nivel Alto</w:t>
            </w:r>
            <w:r w:rsidR="009D7223" w:rsidRPr="002B640D">
              <w:rPr>
                <w:rFonts w:ascii="ITC Avant Garde" w:hAnsi="ITC Avant Garde"/>
                <w:szCs w:val="18"/>
                <w:lang w:val="es-ES_tradnl"/>
              </w:rPr>
              <w:t xml:space="preserve"> </w:t>
            </w:r>
            <w:r w:rsidRPr="002B640D">
              <w:rPr>
                <w:rFonts w:ascii="ITC Avant Garde" w:hAnsi="ITC Avant Garde"/>
                <w:szCs w:val="18"/>
                <w:lang w:val="es-ES_tradnl"/>
              </w:rPr>
              <w:t>(AAA)</w:t>
            </w:r>
            <w:r w:rsidR="009D7223" w:rsidRPr="002B640D">
              <w:rPr>
                <w:rFonts w:ascii="ITC Avant Garde" w:hAnsi="ITC Avant Garde"/>
                <w:szCs w:val="18"/>
                <w:lang w:val="es-ES_tradnl"/>
              </w:rPr>
              <w:t>.</w:t>
            </w:r>
          </w:p>
        </w:tc>
      </w:tr>
      <w:tr w:rsidR="00CC54ED" w:rsidRPr="002B640D" w14:paraId="2D393A0A" w14:textId="77777777" w:rsidTr="002B640D">
        <w:tc>
          <w:tcPr>
            <w:tcW w:w="1843" w:type="dxa"/>
          </w:tcPr>
          <w:p w14:paraId="01E1591B" w14:textId="77777777" w:rsidR="00CC54ED" w:rsidRPr="002B640D" w:rsidRDefault="00CC54ED" w:rsidP="002B640D">
            <w:pPr>
              <w:pStyle w:val="Tablecells"/>
              <w:spacing w:before="0" w:after="0"/>
              <w:rPr>
                <w:rFonts w:ascii="ITC Avant Garde" w:hAnsi="ITC Avant Garde"/>
                <w:szCs w:val="18"/>
                <w:lang w:val="es-ES_tradnl"/>
              </w:rPr>
            </w:pPr>
            <w:r w:rsidRPr="002B640D">
              <w:rPr>
                <w:rFonts w:ascii="ITC Avant Garde" w:hAnsi="ITC Avant Garde"/>
                <w:szCs w:val="18"/>
                <w:lang w:val="es-ES_tradnl"/>
              </w:rPr>
              <w:t>Output AA</w:t>
            </w:r>
          </w:p>
        </w:tc>
        <w:tc>
          <w:tcPr>
            <w:tcW w:w="6888" w:type="dxa"/>
          </w:tcPr>
          <w:p w14:paraId="3D241B54" w14:textId="77777777" w:rsidR="00CC54ED" w:rsidRPr="002B640D" w:rsidRDefault="00CC54ED" w:rsidP="002B640D">
            <w:pPr>
              <w:pStyle w:val="Tablecells"/>
              <w:spacing w:before="0" w:after="0"/>
              <w:jc w:val="both"/>
              <w:rPr>
                <w:rFonts w:ascii="ITC Avant Garde" w:hAnsi="ITC Avant Garde"/>
                <w:szCs w:val="18"/>
                <w:lang w:val="es-ES_tradnl"/>
              </w:rPr>
            </w:pPr>
            <w:r w:rsidRPr="002B640D">
              <w:rPr>
                <w:rFonts w:ascii="ITC Avant Garde" w:hAnsi="ITC Avant Garde"/>
                <w:szCs w:val="18"/>
                <w:lang w:val="es-ES_tradnl"/>
              </w:rPr>
              <w:t>Agrupa cálculos adicionales requeridos para estimar las tarifas correspondiente</w:t>
            </w:r>
            <w:r w:rsidR="009D7223" w:rsidRPr="002B640D">
              <w:rPr>
                <w:rFonts w:ascii="ITC Avant Garde" w:hAnsi="ITC Avant Garde"/>
                <w:szCs w:val="18"/>
                <w:lang w:val="es-ES_tradnl"/>
              </w:rPr>
              <w:t>s</w:t>
            </w:r>
            <w:r w:rsidRPr="002B640D">
              <w:rPr>
                <w:rFonts w:ascii="ITC Avant Garde" w:hAnsi="ITC Avant Garde"/>
                <w:szCs w:val="18"/>
                <w:lang w:val="es-ES_tradnl"/>
              </w:rPr>
              <w:t xml:space="preserve"> al servicio de acceso y uso de espacio en torre y espacio en piso, para el </w:t>
            </w:r>
            <w:proofErr w:type="spellStart"/>
            <w:r w:rsidRPr="002B640D">
              <w:rPr>
                <w:rFonts w:ascii="ITC Avant Garde" w:hAnsi="ITC Avant Garde"/>
                <w:szCs w:val="18"/>
                <w:lang w:val="es-ES_tradnl"/>
              </w:rPr>
              <w:t>geotipo</w:t>
            </w:r>
            <w:proofErr w:type="spellEnd"/>
            <w:r w:rsidRPr="002B640D">
              <w:rPr>
                <w:rFonts w:ascii="ITC Avant Garde" w:hAnsi="ITC Avant Garde"/>
                <w:szCs w:val="18"/>
                <w:lang w:val="es-ES_tradnl"/>
              </w:rPr>
              <w:t xml:space="preserve"> denominado Nivel Medio Alto</w:t>
            </w:r>
            <w:r w:rsidR="009D7223" w:rsidRPr="002B640D">
              <w:rPr>
                <w:rFonts w:ascii="ITC Avant Garde" w:hAnsi="ITC Avant Garde"/>
                <w:szCs w:val="18"/>
                <w:lang w:val="es-ES_tradnl"/>
              </w:rPr>
              <w:t xml:space="preserve"> </w:t>
            </w:r>
            <w:r w:rsidRPr="002B640D">
              <w:rPr>
                <w:rFonts w:ascii="ITC Avant Garde" w:hAnsi="ITC Avant Garde"/>
                <w:szCs w:val="18"/>
                <w:lang w:val="es-ES_tradnl"/>
              </w:rPr>
              <w:t>(AA)</w:t>
            </w:r>
            <w:r w:rsidR="009D7223" w:rsidRPr="002B640D">
              <w:rPr>
                <w:rFonts w:ascii="ITC Avant Garde" w:hAnsi="ITC Avant Garde"/>
                <w:szCs w:val="18"/>
                <w:lang w:val="es-ES_tradnl"/>
              </w:rPr>
              <w:t>.</w:t>
            </w:r>
          </w:p>
        </w:tc>
      </w:tr>
      <w:tr w:rsidR="00CC54ED" w:rsidRPr="002B640D" w14:paraId="42124E6A" w14:textId="77777777" w:rsidTr="002B640D">
        <w:tc>
          <w:tcPr>
            <w:tcW w:w="1843" w:type="dxa"/>
          </w:tcPr>
          <w:p w14:paraId="077457EB" w14:textId="77777777" w:rsidR="00CC54ED" w:rsidRPr="002B640D" w:rsidRDefault="00CC54ED" w:rsidP="002B640D">
            <w:pPr>
              <w:pStyle w:val="Tablecells"/>
              <w:spacing w:before="0" w:after="0"/>
              <w:rPr>
                <w:rFonts w:ascii="ITC Avant Garde" w:hAnsi="ITC Avant Garde"/>
                <w:szCs w:val="18"/>
                <w:lang w:val="es-ES_tradnl"/>
              </w:rPr>
            </w:pPr>
            <w:r w:rsidRPr="002B640D">
              <w:rPr>
                <w:rFonts w:ascii="ITC Avant Garde" w:hAnsi="ITC Avant Garde"/>
                <w:szCs w:val="18"/>
                <w:lang w:val="es-ES_tradnl"/>
              </w:rPr>
              <w:t>Output A</w:t>
            </w:r>
          </w:p>
        </w:tc>
        <w:tc>
          <w:tcPr>
            <w:tcW w:w="6888" w:type="dxa"/>
          </w:tcPr>
          <w:p w14:paraId="155D9463" w14:textId="77777777" w:rsidR="00CC54ED" w:rsidRPr="002B640D" w:rsidRDefault="00CC54ED" w:rsidP="002B640D">
            <w:pPr>
              <w:pStyle w:val="Tablecells"/>
              <w:spacing w:before="0" w:after="0"/>
              <w:jc w:val="both"/>
              <w:rPr>
                <w:rFonts w:ascii="ITC Avant Garde" w:hAnsi="ITC Avant Garde"/>
                <w:szCs w:val="18"/>
                <w:lang w:val="es-ES_tradnl"/>
              </w:rPr>
            </w:pPr>
            <w:r w:rsidRPr="002B640D">
              <w:rPr>
                <w:rFonts w:ascii="ITC Avant Garde" w:hAnsi="ITC Avant Garde"/>
                <w:szCs w:val="18"/>
                <w:lang w:val="es-ES_tradnl"/>
              </w:rPr>
              <w:t>Agrupa cálculos adicionales requeridos para estimar las tarifas correspondiente</w:t>
            </w:r>
            <w:r w:rsidR="009D7223" w:rsidRPr="002B640D">
              <w:rPr>
                <w:rFonts w:ascii="ITC Avant Garde" w:hAnsi="ITC Avant Garde"/>
                <w:szCs w:val="18"/>
                <w:lang w:val="es-ES_tradnl"/>
              </w:rPr>
              <w:t>s</w:t>
            </w:r>
            <w:r w:rsidRPr="002B640D">
              <w:rPr>
                <w:rFonts w:ascii="ITC Avant Garde" w:hAnsi="ITC Avant Garde"/>
                <w:szCs w:val="18"/>
                <w:lang w:val="es-ES_tradnl"/>
              </w:rPr>
              <w:t xml:space="preserve"> al servicio de acceso y uso de espacio en torre y espacio en piso, para el </w:t>
            </w:r>
            <w:proofErr w:type="spellStart"/>
            <w:r w:rsidRPr="002B640D">
              <w:rPr>
                <w:rFonts w:ascii="ITC Avant Garde" w:hAnsi="ITC Avant Garde"/>
                <w:szCs w:val="18"/>
                <w:lang w:val="es-ES_tradnl"/>
              </w:rPr>
              <w:t>geotipo</w:t>
            </w:r>
            <w:proofErr w:type="spellEnd"/>
            <w:r w:rsidRPr="002B640D">
              <w:rPr>
                <w:rFonts w:ascii="ITC Avant Garde" w:hAnsi="ITC Avant Garde"/>
                <w:szCs w:val="18"/>
                <w:lang w:val="es-ES_tradnl"/>
              </w:rPr>
              <w:t xml:space="preserve"> denominado Nivel Medio (A)</w:t>
            </w:r>
            <w:r w:rsidR="009D7223" w:rsidRPr="002B640D">
              <w:rPr>
                <w:rFonts w:ascii="ITC Avant Garde" w:hAnsi="ITC Avant Garde"/>
                <w:szCs w:val="18"/>
                <w:lang w:val="es-ES_tradnl"/>
              </w:rPr>
              <w:t>.</w:t>
            </w:r>
          </w:p>
        </w:tc>
      </w:tr>
      <w:tr w:rsidR="00CC54ED" w:rsidRPr="002B640D" w14:paraId="380C1972" w14:textId="77777777" w:rsidTr="002B640D">
        <w:tc>
          <w:tcPr>
            <w:tcW w:w="1843" w:type="dxa"/>
          </w:tcPr>
          <w:p w14:paraId="5357180A" w14:textId="77777777" w:rsidR="00CC54ED" w:rsidRPr="002B640D" w:rsidRDefault="00CC54ED" w:rsidP="002B640D">
            <w:pPr>
              <w:pStyle w:val="Tablecells"/>
              <w:spacing w:before="0" w:after="0"/>
              <w:rPr>
                <w:rFonts w:ascii="ITC Avant Garde" w:hAnsi="ITC Avant Garde"/>
                <w:szCs w:val="18"/>
                <w:lang w:val="es-ES_tradnl"/>
              </w:rPr>
            </w:pPr>
            <w:r w:rsidRPr="002B640D">
              <w:rPr>
                <w:rFonts w:ascii="ITC Avant Garde" w:hAnsi="ITC Avant Garde"/>
                <w:szCs w:val="18"/>
                <w:lang w:val="es-ES_tradnl"/>
              </w:rPr>
              <w:t>Output B</w:t>
            </w:r>
          </w:p>
        </w:tc>
        <w:tc>
          <w:tcPr>
            <w:tcW w:w="6888" w:type="dxa"/>
          </w:tcPr>
          <w:p w14:paraId="4F42282D" w14:textId="77777777" w:rsidR="00CC54ED" w:rsidRPr="002B640D" w:rsidRDefault="00CC54ED" w:rsidP="002B640D">
            <w:pPr>
              <w:pStyle w:val="Tablecells"/>
              <w:spacing w:before="0" w:after="0"/>
              <w:jc w:val="both"/>
              <w:rPr>
                <w:rFonts w:ascii="ITC Avant Garde" w:hAnsi="ITC Avant Garde"/>
                <w:szCs w:val="18"/>
                <w:lang w:val="es-ES_tradnl"/>
              </w:rPr>
            </w:pPr>
            <w:r w:rsidRPr="002B640D">
              <w:rPr>
                <w:rFonts w:ascii="ITC Avant Garde" w:hAnsi="ITC Avant Garde"/>
                <w:szCs w:val="18"/>
                <w:lang w:val="es-ES_tradnl"/>
              </w:rPr>
              <w:t xml:space="preserve">Agrupa cálculos adicionales requeridos para estimar las tarifas </w:t>
            </w:r>
            <w:r w:rsidR="009D7223" w:rsidRPr="002B640D">
              <w:rPr>
                <w:rFonts w:ascii="ITC Avant Garde" w:hAnsi="ITC Avant Garde"/>
                <w:szCs w:val="18"/>
                <w:lang w:val="es-ES_tradnl"/>
              </w:rPr>
              <w:t>correspondientes</w:t>
            </w:r>
            <w:r w:rsidRPr="002B640D">
              <w:rPr>
                <w:rFonts w:ascii="ITC Avant Garde" w:hAnsi="ITC Avant Garde"/>
                <w:szCs w:val="18"/>
                <w:lang w:val="es-ES_tradnl"/>
              </w:rPr>
              <w:t xml:space="preserve"> al servicio de acceso y uso de espacio en torre y espacio en piso, para el </w:t>
            </w:r>
            <w:proofErr w:type="spellStart"/>
            <w:r w:rsidRPr="002B640D">
              <w:rPr>
                <w:rFonts w:ascii="ITC Avant Garde" w:hAnsi="ITC Avant Garde"/>
                <w:szCs w:val="18"/>
                <w:lang w:val="es-ES_tradnl"/>
              </w:rPr>
              <w:t>geotipo</w:t>
            </w:r>
            <w:proofErr w:type="spellEnd"/>
            <w:r w:rsidRPr="002B640D">
              <w:rPr>
                <w:rFonts w:ascii="ITC Avant Garde" w:hAnsi="ITC Avant Garde"/>
                <w:szCs w:val="18"/>
                <w:lang w:val="es-ES_tradnl"/>
              </w:rPr>
              <w:t xml:space="preserve"> denominado Nivel Bajo/Rural (B)</w:t>
            </w:r>
            <w:r w:rsidR="009D7223" w:rsidRPr="002B640D">
              <w:rPr>
                <w:rFonts w:ascii="ITC Avant Garde" w:hAnsi="ITC Avant Garde"/>
                <w:szCs w:val="18"/>
                <w:lang w:val="es-ES_tradnl"/>
              </w:rPr>
              <w:t>.</w:t>
            </w:r>
          </w:p>
        </w:tc>
      </w:tr>
      <w:tr w:rsidR="00CC54ED" w:rsidRPr="002B640D" w14:paraId="064B2A4B" w14:textId="77777777" w:rsidTr="002B640D">
        <w:tc>
          <w:tcPr>
            <w:tcW w:w="1843" w:type="dxa"/>
          </w:tcPr>
          <w:p w14:paraId="4338EEC0" w14:textId="77777777" w:rsidR="00CC54ED" w:rsidRPr="002B640D" w:rsidRDefault="00CC54ED" w:rsidP="002B640D">
            <w:pPr>
              <w:pStyle w:val="Tablecells"/>
              <w:spacing w:before="0" w:after="0"/>
              <w:rPr>
                <w:rFonts w:ascii="ITC Avant Garde" w:hAnsi="ITC Avant Garde"/>
                <w:szCs w:val="18"/>
                <w:lang w:val="es-ES_tradnl"/>
              </w:rPr>
            </w:pPr>
            <w:r w:rsidRPr="002B640D">
              <w:rPr>
                <w:rFonts w:ascii="ITC Avant Garde" w:hAnsi="ITC Avant Garde"/>
                <w:szCs w:val="18"/>
                <w:lang w:val="es-ES_tradnl"/>
              </w:rPr>
              <w:t>Output I</w:t>
            </w:r>
          </w:p>
        </w:tc>
        <w:tc>
          <w:tcPr>
            <w:tcW w:w="6888" w:type="dxa"/>
          </w:tcPr>
          <w:p w14:paraId="7A2C0866" w14:textId="77777777" w:rsidR="00CC54ED" w:rsidRPr="002B640D" w:rsidRDefault="00CC54ED" w:rsidP="002B640D">
            <w:pPr>
              <w:pStyle w:val="Tablecells"/>
              <w:spacing w:before="0" w:after="0"/>
              <w:jc w:val="both"/>
              <w:rPr>
                <w:rFonts w:ascii="ITC Avant Garde" w:hAnsi="ITC Avant Garde"/>
                <w:szCs w:val="18"/>
                <w:lang w:val="es-ES_tradnl"/>
              </w:rPr>
            </w:pPr>
            <w:r w:rsidRPr="002B640D">
              <w:rPr>
                <w:rFonts w:ascii="ITC Avant Garde" w:hAnsi="ITC Avant Garde"/>
                <w:szCs w:val="18"/>
                <w:lang w:val="es-ES_tradnl"/>
              </w:rPr>
              <w:t>Agrupa cálculos adicionales requeridos para estimar las tarifas correspondiente</w:t>
            </w:r>
            <w:r w:rsidR="009D7223" w:rsidRPr="002B640D">
              <w:rPr>
                <w:rFonts w:ascii="ITC Avant Garde" w:hAnsi="ITC Avant Garde"/>
                <w:szCs w:val="18"/>
                <w:lang w:val="es-ES_tradnl"/>
              </w:rPr>
              <w:t>s</w:t>
            </w:r>
            <w:r w:rsidRPr="002B640D">
              <w:rPr>
                <w:rFonts w:ascii="ITC Avant Garde" w:hAnsi="ITC Avant Garde"/>
                <w:szCs w:val="18"/>
                <w:lang w:val="es-ES_tradnl"/>
              </w:rPr>
              <w:t xml:space="preserve"> al servicio de acceso y uso de espacio en torre y espacio en piso, para el </w:t>
            </w:r>
            <w:proofErr w:type="spellStart"/>
            <w:r w:rsidRPr="002B640D">
              <w:rPr>
                <w:rFonts w:ascii="ITC Avant Garde" w:hAnsi="ITC Avant Garde"/>
                <w:szCs w:val="18"/>
                <w:lang w:val="es-ES_tradnl"/>
              </w:rPr>
              <w:t>geotipo</w:t>
            </w:r>
            <w:proofErr w:type="spellEnd"/>
            <w:r w:rsidRPr="002B640D">
              <w:rPr>
                <w:rFonts w:ascii="ITC Avant Garde" w:hAnsi="ITC Avant Garde"/>
                <w:szCs w:val="18"/>
                <w:lang w:val="es-ES_tradnl"/>
              </w:rPr>
              <w:t xml:space="preserve"> denominado Nivel Industrial (I)</w:t>
            </w:r>
            <w:r w:rsidR="009D7223" w:rsidRPr="002B640D">
              <w:rPr>
                <w:rFonts w:ascii="ITC Avant Garde" w:hAnsi="ITC Avant Garde"/>
                <w:szCs w:val="18"/>
                <w:lang w:val="es-ES_tradnl"/>
              </w:rPr>
              <w:t>.</w:t>
            </w:r>
          </w:p>
        </w:tc>
      </w:tr>
      <w:tr w:rsidR="00CC54ED" w:rsidRPr="002B640D" w14:paraId="0F5A72D1" w14:textId="77777777" w:rsidTr="002B640D">
        <w:tc>
          <w:tcPr>
            <w:tcW w:w="1843" w:type="dxa"/>
          </w:tcPr>
          <w:p w14:paraId="0CA22ED4" w14:textId="77777777" w:rsidR="00CC54ED" w:rsidRPr="002B640D" w:rsidRDefault="00CC54ED" w:rsidP="002B640D">
            <w:pPr>
              <w:pStyle w:val="Tablecells"/>
              <w:spacing w:before="0" w:after="0"/>
              <w:rPr>
                <w:rFonts w:ascii="ITC Avant Garde" w:hAnsi="ITC Avant Garde"/>
                <w:szCs w:val="18"/>
                <w:lang w:val="es-ES_tradnl"/>
              </w:rPr>
            </w:pPr>
            <w:r w:rsidRPr="002B640D">
              <w:rPr>
                <w:rFonts w:ascii="ITC Avant Garde" w:hAnsi="ITC Avant Garde"/>
                <w:szCs w:val="18"/>
                <w:lang w:val="es-ES_tradnl"/>
              </w:rPr>
              <w:t>Output</w:t>
            </w:r>
          </w:p>
        </w:tc>
        <w:tc>
          <w:tcPr>
            <w:tcW w:w="6888" w:type="dxa"/>
          </w:tcPr>
          <w:p w14:paraId="44EB3B9B" w14:textId="77777777" w:rsidR="00CC54ED" w:rsidRPr="002B640D" w:rsidRDefault="00CC54ED" w:rsidP="002B640D">
            <w:pPr>
              <w:pStyle w:val="Tablecells"/>
              <w:spacing w:before="0" w:after="0"/>
              <w:jc w:val="both"/>
              <w:rPr>
                <w:rFonts w:ascii="ITC Avant Garde" w:hAnsi="ITC Avant Garde"/>
                <w:szCs w:val="18"/>
                <w:lang w:val="es-ES_tradnl"/>
              </w:rPr>
            </w:pPr>
            <w:r w:rsidRPr="002B640D">
              <w:rPr>
                <w:rFonts w:ascii="ITC Avant Garde" w:hAnsi="ITC Avant Garde"/>
                <w:szCs w:val="18"/>
                <w:lang w:val="es-ES_tradnl"/>
              </w:rPr>
              <w:t xml:space="preserve">Contiene un botón con la leyenda “Ejecutar resultados” que acciona una macro mediante la cual el modelo simula diversos escenarios para calcular tarifas de los servicios de Espacio en Piso y, Espacio en Torre, diferenciados según </w:t>
            </w:r>
            <w:proofErr w:type="spellStart"/>
            <w:r w:rsidRPr="002B640D">
              <w:rPr>
                <w:rFonts w:ascii="ITC Avant Garde" w:hAnsi="ITC Avant Garde"/>
                <w:szCs w:val="18"/>
                <w:lang w:val="es-ES_tradnl"/>
              </w:rPr>
              <w:t>geotipo</w:t>
            </w:r>
            <w:proofErr w:type="spellEnd"/>
            <w:r w:rsidR="009D7223" w:rsidRPr="002B640D">
              <w:rPr>
                <w:rFonts w:ascii="ITC Avant Garde" w:hAnsi="ITC Avant Garde"/>
                <w:szCs w:val="18"/>
                <w:lang w:val="es-ES_tradnl"/>
              </w:rPr>
              <w:t>.</w:t>
            </w:r>
          </w:p>
        </w:tc>
      </w:tr>
    </w:tbl>
    <w:p w14:paraId="7F60CE58" w14:textId="77777777" w:rsidR="002B640D" w:rsidRPr="002B640D" w:rsidRDefault="00A5275D" w:rsidP="002B640D">
      <w:pPr>
        <w:spacing w:before="240"/>
        <w:jc w:val="center"/>
        <w:rPr>
          <w:rFonts w:ascii="ITC Avant Garde" w:hAnsi="ITC Avant Garde"/>
          <w:sz w:val="18"/>
        </w:rPr>
      </w:pPr>
      <w:r w:rsidRPr="002B640D">
        <w:rPr>
          <w:rFonts w:ascii="ITC Avant Garde" w:hAnsi="ITC Avant Garde"/>
          <w:b/>
          <w:sz w:val="18"/>
        </w:rPr>
        <w:t xml:space="preserve">Tabla </w:t>
      </w:r>
      <w:r w:rsidR="00D85C28" w:rsidRPr="002B640D">
        <w:rPr>
          <w:rFonts w:ascii="ITC Avant Garde" w:hAnsi="ITC Avant Garde"/>
          <w:b/>
          <w:sz w:val="18"/>
        </w:rPr>
        <w:t>13</w:t>
      </w:r>
      <w:r w:rsidR="00CC54ED" w:rsidRPr="002B640D">
        <w:rPr>
          <w:rFonts w:ascii="ITC Avant Garde" w:hAnsi="ITC Avant Garde"/>
          <w:b/>
          <w:sz w:val="18"/>
        </w:rPr>
        <w:t>:</w:t>
      </w:r>
      <w:r w:rsidR="00CC54ED" w:rsidRPr="002B640D">
        <w:rPr>
          <w:rFonts w:ascii="ITC Avant Garde" w:hAnsi="ITC Avant Garde"/>
          <w:sz w:val="18"/>
        </w:rPr>
        <w:t xml:space="preserve"> Resumen de la Estructura del Modelo de Costos de </w:t>
      </w:r>
      <w:r w:rsidR="009D7223" w:rsidRPr="002B640D">
        <w:rPr>
          <w:rFonts w:ascii="ITC Avant Garde" w:hAnsi="ITC Avant Garde"/>
          <w:sz w:val="18"/>
        </w:rPr>
        <w:t>T</w:t>
      </w:r>
      <w:r w:rsidR="00CC54ED" w:rsidRPr="002B640D">
        <w:rPr>
          <w:rFonts w:ascii="ITC Avant Garde" w:hAnsi="ITC Avant Garde"/>
          <w:sz w:val="18"/>
        </w:rPr>
        <w:t>orres</w:t>
      </w:r>
      <w:r w:rsidR="00D85C28" w:rsidRPr="002B640D">
        <w:rPr>
          <w:rFonts w:ascii="ITC Avant Garde" w:hAnsi="ITC Avant Garde"/>
          <w:sz w:val="18"/>
        </w:rPr>
        <w:t>.</w:t>
      </w:r>
    </w:p>
    <w:p w14:paraId="6ABD2F23" w14:textId="1B50A1ED" w:rsidR="00CC54ED" w:rsidRPr="002B640D" w:rsidRDefault="005700FA" w:rsidP="002B640D">
      <w:pPr>
        <w:pStyle w:val="IFT1"/>
        <w:spacing w:before="240"/>
        <w:rPr>
          <w:b/>
        </w:rPr>
      </w:pPr>
      <w:r w:rsidRPr="002B640D">
        <w:rPr>
          <w:b/>
        </w:rPr>
        <w:t>4</w:t>
      </w:r>
      <w:r w:rsidR="00CC54ED" w:rsidRPr="002B640D">
        <w:rPr>
          <w:b/>
        </w:rPr>
        <w:t>.4 Tarifas estimadas por el Modelo de Costos para los Servicios de Acceso y Uso Compartido de Infraestructura Pasiva de Torres.</w:t>
      </w:r>
    </w:p>
    <w:p w14:paraId="2F364D95" w14:textId="77777777" w:rsidR="00CC54ED" w:rsidRPr="002B640D" w:rsidRDefault="00CC54ED" w:rsidP="002B640D">
      <w:pPr>
        <w:spacing w:before="240"/>
        <w:jc w:val="both"/>
        <w:rPr>
          <w:rFonts w:ascii="ITC Avant Garde" w:hAnsi="ITC Avant Garde"/>
          <w:lang w:val="es-ES_tradnl"/>
        </w:rPr>
      </w:pPr>
      <w:r w:rsidRPr="002B640D">
        <w:rPr>
          <w:rFonts w:ascii="ITC Avant Garde" w:hAnsi="ITC Avant Garde"/>
          <w:lang w:val="es-ES_tradnl"/>
        </w:rPr>
        <w:t>El modelo calcula el costo unitario mensual de los siguientes servicios para cada operador:</w:t>
      </w:r>
    </w:p>
    <w:p w14:paraId="514B1549" w14:textId="77777777" w:rsidR="00CC54ED" w:rsidRPr="002B640D" w:rsidRDefault="00CC54ED" w:rsidP="002B640D">
      <w:pPr>
        <w:spacing w:before="240"/>
        <w:jc w:val="both"/>
        <w:rPr>
          <w:rFonts w:ascii="ITC Avant Garde" w:hAnsi="ITC Avant Garde"/>
          <w:b/>
          <w:lang w:val="es-ES_tradnl"/>
        </w:rPr>
      </w:pPr>
      <w:r w:rsidRPr="002B640D">
        <w:rPr>
          <w:rFonts w:ascii="ITC Avant Garde" w:hAnsi="ITC Avant Garde"/>
          <w:b/>
          <w:lang w:val="es-ES_tradnl"/>
        </w:rPr>
        <w:t>Acceso y Uso Compartido de Torre</w:t>
      </w:r>
    </w:p>
    <w:p w14:paraId="487C6849" w14:textId="77777777" w:rsidR="00CC54ED" w:rsidRPr="002B640D" w:rsidRDefault="00CC54ED" w:rsidP="002B640D">
      <w:pPr>
        <w:pStyle w:val="Listaconvietas"/>
        <w:spacing w:before="240"/>
      </w:pPr>
      <w:r w:rsidRPr="002B640D">
        <w:t>Por el sistema instalado: contraprestación mensual</w:t>
      </w:r>
      <w:r w:rsidRPr="002B640D" w:rsidDel="00ED7A38">
        <w:t xml:space="preserve"> </w:t>
      </w:r>
    </w:p>
    <w:p w14:paraId="779ABFFB" w14:textId="77777777" w:rsidR="00EC11E9" w:rsidRPr="002B640D" w:rsidRDefault="00EC11E9" w:rsidP="002B640D">
      <w:pPr>
        <w:pStyle w:val="Listaconvietas"/>
        <w:numPr>
          <w:ilvl w:val="0"/>
          <w:numId w:val="0"/>
        </w:numPr>
        <w:spacing w:before="240"/>
        <w:ind w:left="720"/>
      </w:pPr>
    </w:p>
    <w:tbl>
      <w:tblPr>
        <w:tblStyle w:val="Tablaconcuadrcula"/>
        <w:tblW w:w="5216" w:type="dxa"/>
        <w:jc w:val="center"/>
        <w:tblLook w:val="04A0" w:firstRow="1" w:lastRow="0" w:firstColumn="1" w:lastColumn="0" w:noHBand="0" w:noVBand="1"/>
        <w:tblCaption w:val="Tabla"/>
        <w:tblDescription w:val="Tabla 14: Tarifas mensuales por el sistema instalado."/>
      </w:tblPr>
      <w:tblGrid>
        <w:gridCol w:w="1553"/>
        <w:gridCol w:w="1537"/>
        <w:gridCol w:w="2126"/>
      </w:tblGrid>
      <w:tr w:rsidR="00CC54ED" w:rsidRPr="002B640D" w14:paraId="138A3204" w14:textId="77777777" w:rsidTr="00BB40D2">
        <w:trPr>
          <w:trHeight w:val="58"/>
          <w:tblHeader/>
          <w:jc w:val="center"/>
        </w:trPr>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99F65" w14:textId="77777777" w:rsidR="00CC54ED" w:rsidRPr="002B640D" w:rsidRDefault="00CC54ED" w:rsidP="002B640D">
            <w:pPr>
              <w:pStyle w:val="TxtListado"/>
              <w:spacing w:after="0"/>
              <w:jc w:val="center"/>
              <w:rPr>
                <w:b/>
              </w:rPr>
            </w:pPr>
            <w:proofErr w:type="spellStart"/>
            <w:r w:rsidRPr="002B640D">
              <w:rPr>
                <w:rFonts w:cs="Arial"/>
                <w:b/>
                <w:kern w:val="24"/>
                <w:lang w:val="en-US"/>
              </w:rPr>
              <w:t>Tipo</w:t>
            </w:r>
            <w:proofErr w:type="spellEnd"/>
            <w:r w:rsidRPr="002B640D">
              <w:rPr>
                <w:rFonts w:cs="Arial"/>
                <w:b/>
                <w:kern w:val="24"/>
                <w:lang w:val="en-US"/>
              </w:rPr>
              <w:t xml:space="preserve"> de </w:t>
            </w:r>
            <w:proofErr w:type="spellStart"/>
            <w:r w:rsidRPr="002B640D">
              <w:rPr>
                <w:rFonts w:cs="Arial"/>
                <w:b/>
                <w:kern w:val="24"/>
                <w:lang w:val="en-US"/>
              </w:rPr>
              <w:t>sitio</w:t>
            </w:r>
            <w:proofErr w:type="spellEnd"/>
            <w:r w:rsidRPr="002B640D">
              <w:rPr>
                <w:rFonts w:cs="Arial"/>
                <w:b/>
                <w:kern w:val="24"/>
                <w:lang w:val="en-US"/>
              </w:rPr>
              <w:t xml:space="preserve"> (</w:t>
            </w:r>
            <w:proofErr w:type="spellStart"/>
            <w:r w:rsidRPr="002B640D">
              <w:rPr>
                <w:rFonts w:cs="Arial"/>
                <w:b/>
                <w:kern w:val="24"/>
                <w:lang w:val="en-US"/>
              </w:rPr>
              <w:t>Geotipo</w:t>
            </w:r>
            <w:proofErr w:type="spellEnd"/>
            <w:r w:rsidRPr="002B640D">
              <w:rPr>
                <w:rFonts w:cs="Arial"/>
                <w:b/>
                <w:kern w:val="24"/>
                <w:lang w:val="en-US"/>
              </w:rPr>
              <w:t>)</w:t>
            </w:r>
          </w:p>
        </w:tc>
        <w:tc>
          <w:tcPr>
            <w:tcW w:w="1537" w:type="dxa"/>
            <w:tcBorders>
              <w:left w:val="single" w:sz="4" w:space="0" w:color="auto"/>
              <w:right w:val="single" w:sz="4" w:space="0" w:color="auto"/>
            </w:tcBorders>
            <w:shd w:val="clear" w:color="auto" w:fill="D9D9D9" w:themeFill="background1" w:themeFillShade="D9"/>
            <w:vAlign w:val="center"/>
          </w:tcPr>
          <w:p w14:paraId="5724CE97" w14:textId="77777777" w:rsidR="00CC54ED" w:rsidRPr="002B640D" w:rsidRDefault="00CC54ED" w:rsidP="002B640D">
            <w:pPr>
              <w:pStyle w:val="TxtListado"/>
              <w:spacing w:after="0"/>
              <w:jc w:val="center"/>
              <w:rPr>
                <w:b/>
              </w:rPr>
            </w:pPr>
            <w:proofErr w:type="spellStart"/>
            <w:r w:rsidRPr="002B640D">
              <w:rPr>
                <w:rFonts w:cs="Arial"/>
                <w:b/>
                <w:kern w:val="24"/>
                <w:lang w:val="en-US"/>
              </w:rPr>
              <w:t>Nivel</w:t>
            </w:r>
            <w:proofErr w:type="spellEnd"/>
          </w:p>
        </w:tc>
        <w:tc>
          <w:tcPr>
            <w:tcW w:w="2126" w:type="dxa"/>
            <w:tcBorders>
              <w:left w:val="single" w:sz="4" w:space="0" w:color="auto"/>
              <w:right w:val="single" w:sz="4" w:space="0" w:color="auto"/>
            </w:tcBorders>
            <w:shd w:val="clear" w:color="auto" w:fill="D9D9D9" w:themeFill="background1" w:themeFillShade="D9"/>
            <w:vAlign w:val="center"/>
          </w:tcPr>
          <w:p w14:paraId="3A165C16" w14:textId="77777777" w:rsidR="00CC54ED" w:rsidRPr="002B640D" w:rsidRDefault="00CC54ED" w:rsidP="002B640D">
            <w:pPr>
              <w:pStyle w:val="TxtListado"/>
              <w:spacing w:after="0"/>
              <w:jc w:val="center"/>
              <w:rPr>
                <w:b/>
              </w:rPr>
            </w:pPr>
            <w:r w:rsidRPr="002B640D">
              <w:rPr>
                <w:b/>
              </w:rPr>
              <w:t>Tarifa mensual</w:t>
            </w:r>
            <w:r w:rsidRPr="002B640D">
              <w:rPr>
                <w:rStyle w:val="Refdenotaalpie"/>
                <w:b/>
              </w:rPr>
              <w:footnoteReference w:id="35"/>
            </w:r>
            <w:r w:rsidRPr="002B640D">
              <w:rPr>
                <w:b/>
              </w:rPr>
              <w:t xml:space="preserve"> </w:t>
            </w:r>
          </w:p>
        </w:tc>
      </w:tr>
      <w:tr w:rsidR="00CC54ED" w:rsidRPr="002B640D" w14:paraId="525DA11B" w14:textId="77777777" w:rsidTr="00BB40D2">
        <w:trPr>
          <w:trHeight w:val="89"/>
          <w:tblHeader/>
          <w:jc w:val="center"/>
        </w:trPr>
        <w:tc>
          <w:tcPr>
            <w:tcW w:w="1553" w:type="dxa"/>
            <w:tcBorders>
              <w:top w:val="single" w:sz="4" w:space="0" w:color="auto"/>
            </w:tcBorders>
            <w:shd w:val="clear" w:color="auto" w:fill="auto"/>
            <w:vAlign w:val="center"/>
          </w:tcPr>
          <w:p w14:paraId="37AD7DE6" w14:textId="77777777" w:rsidR="00CC54ED" w:rsidRPr="002B640D" w:rsidRDefault="00CC54ED" w:rsidP="002B640D">
            <w:pPr>
              <w:pStyle w:val="TxtListado"/>
              <w:tabs>
                <w:tab w:val="center" w:pos="1878"/>
              </w:tabs>
              <w:spacing w:after="0"/>
              <w:jc w:val="center"/>
            </w:pPr>
            <w:r w:rsidRPr="002B640D">
              <w:rPr>
                <w:rFonts w:cs="Arial"/>
                <w:color w:val="000000"/>
                <w:kern w:val="24"/>
                <w:lang w:val="en-US"/>
              </w:rPr>
              <w:t>AAA</w:t>
            </w:r>
          </w:p>
        </w:tc>
        <w:tc>
          <w:tcPr>
            <w:tcW w:w="1537" w:type="dxa"/>
            <w:vAlign w:val="center"/>
          </w:tcPr>
          <w:p w14:paraId="15C3AE1C" w14:textId="77777777" w:rsidR="00CC54ED" w:rsidRPr="002B640D" w:rsidRDefault="00CC54ED" w:rsidP="002B640D">
            <w:pPr>
              <w:pStyle w:val="TxtListado"/>
              <w:spacing w:after="0"/>
              <w:jc w:val="center"/>
            </w:pPr>
            <w:r w:rsidRPr="002B640D">
              <w:rPr>
                <w:rFonts w:cs="Arial"/>
                <w:color w:val="000000"/>
                <w:kern w:val="24"/>
                <w:lang w:val="en-US"/>
              </w:rPr>
              <w:t>Alto</w:t>
            </w:r>
          </w:p>
        </w:tc>
        <w:tc>
          <w:tcPr>
            <w:tcW w:w="2126" w:type="dxa"/>
          </w:tcPr>
          <w:p w14:paraId="0EFB1B93" w14:textId="77777777" w:rsidR="00CC54ED" w:rsidRPr="002B640D" w:rsidRDefault="00CC54ED" w:rsidP="002B640D">
            <w:pPr>
              <w:pStyle w:val="TxtListado"/>
              <w:spacing w:after="0"/>
              <w:jc w:val="center"/>
              <w:rPr>
                <w:lang w:val="es-419"/>
              </w:rPr>
            </w:pPr>
            <w:r w:rsidRPr="002B640D">
              <w:rPr>
                <w:rFonts w:cs="Arial"/>
                <w:kern w:val="24"/>
              </w:rPr>
              <w:t xml:space="preserve"> $</w:t>
            </w:r>
            <w:r w:rsidR="009970FD" w:rsidRPr="002B640D">
              <w:rPr>
                <w:rFonts w:cs="Arial"/>
                <w:kern w:val="24"/>
              </w:rPr>
              <w:t>10,362.61</w:t>
            </w:r>
            <w:r w:rsidRPr="002B640D">
              <w:rPr>
                <w:rFonts w:cs="Arial"/>
                <w:kern w:val="24"/>
              </w:rPr>
              <w:t xml:space="preserve"> M.N.</w:t>
            </w:r>
          </w:p>
        </w:tc>
      </w:tr>
      <w:tr w:rsidR="00CC54ED" w:rsidRPr="002B640D" w14:paraId="334E4F4E" w14:textId="77777777" w:rsidTr="00BB40D2">
        <w:trPr>
          <w:trHeight w:val="89"/>
          <w:tblHeader/>
          <w:jc w:val="center"/>
        </w:trPr>
        <w:tc>
          <w:tcPr>
            <w:tcW w:w="1553" w:type="dxa"/>
            <w:shd w:val="clear" w:color="auto" w:fill="auto"/>
            <w:vAlign w:val="center"/>
          </w:tcPr>
          <w:p w14:paraId="6CFA6651" w14:textId="77777777" w:rsidR="00CC54ED" w:rsidRPr="002B640D" w:rsidRDefault="00CC54ED" w:rsidP="002B640D">
            <w:pPr>
              <w:pStyle w:val="TxtListado"/>
              <w:spacing w:after="0"/>
              <w:jc w:val="center"/>
            </w:pPr>
            <w:r w:rsidRPr="002B640D">
              <w:rPr>
                <w:rFonts w:cs="Arial"/>
                <w:color w:val="000000"/>
                <w:kern w:val="24"/>
                <w:lang w:val="en-US"/>
              </w:rPr>
              <w:t>AA</w:t>
            </w:r>
          </w:p>
        </w:tc>
        <w:tc>
          <w:tcPr>
            <w:tcW w:w="1537" w:type="dxa"/>
            <w:vAlign w:val="center"/>
          </w:tcPr>
          <w:p w14:paraId="5D3425A3" w14:textId="77777777" w:rsidR="00CC54ED" w:rsidRPr="002B640D" w:rsidRDefault="00CC54ED" w:rsidP="002B640D">
            <w:pPr>
              <w:pStyle w:val="TxtListado"/>
              <w:spacing w:after="0"/>
              <w:jc w:val="center"/>
            </w:pPr>
            <w:r w:rsidRPr="002B640D">
              <w:rPr>
                <w:rFonts w:cs="Arial"/>
                <w:color w:val="000000"/>
                <w:kern w:val="24"/>
                <w:lang w:val="en-US"/>
              </w:rPr>
              <w:t>Medio Alto</w:t>
            </w:r>
          </w:p>
        </w:tc>
        <w:tc>
          <w:tcPr>
            <w:tcW w:w="2126" w:type="dxa"/>
          </w:tcPr>
          <w:p w14:paraId="3494D3EE" w14:textId="77777777" w:rsidR="00CC54ED" w:rsidRPr="002B640D" w:rsidRDefault="001D6591" w:rsidP="002B640D">
            <w:pPr>
              <w:pStyle w:val="TxtListado"/>
              <w:spacing w:after="0"/>
              <w:jc w:val="center"/>
              <w:rPr>
                <w:lang w:val="es-419"/>
              </w:rPr>
            </w:pPr>
            <w:r w:rsidRPr="002B640D">
              <w:rPr>
                <w:rFonts w:cs="Arial"/>
                <w:kern w:val="24"/>
              </w:rPr>
              <w:t>$</w:t>
            </w:r>
            <w:r w:rsidR="009970FD" w:rsidRPr="002B640D">
              <w:rPr>
                <w:rFonts w:cs="Arial"/>
                <w:kern w:val="24"/>
              </w:rPr>
              <w:t>5,635.53</w:t>
            </w:r>
            <w:r w:rsidR="00CC54ED" w:rsidRPr="002B640D">
              <w:rPr>
                <w:rFonts w:cs="Arial"/>
                <w:kern w:val="24"/>
              </w:rPr>
              <w:t xml:space="preserve"> M.N.</w:t>
            </w:r>
          </w:p>
        </w:tc>
      </w:tr>
      <w:tr w:rsidR="00CC54ED" w:rsidRPr="002B640D" w14:paraId="66B6DFF2" w14:textId="77777777" w:rsidTr="00BB40D2">
        <w:trPr>
          <w:trHeight w:val="89"/>
          <w:tblHeader/>
          <w:jc w:val="center"/>
        </w:trPr>
        <w:tc>
          <w:tcPr>
            <w:tcW w:w="1553" w:type="dxa"/>
            <w:shd w:val="clear" w:color="auto" w:fill="auto"/>
            <w:vAlign w:val="center"/>
          </w:tcPr>
          <w:p w14:paraId="5E452964" w14:textId="77777777" w:rsidR="00CC54ED" w:rsidRPr="002B640D" w:rsidRDefault="00CC54ED" w:rsidP="002B640D">
            <w:pPr>
              <w:pStyle w:val="TxtListado"/>
              <w:spacing w:after="0"/>
              <w:jc w:val="center"/>
            </w:pPr>
            <w:r w:rsidRPr="002B640D">
              <w:rPr>
                <w:rFonts w:cs="Arial"/>
                <w:color w:val="000000"/>
                <w:kern w:val="24"/>
                <w:lang w:val="en-US"/>
              </w:rPr>
              <w:t>A</w:t>
            </w:r>
          </w:p>
        </w:tc>
        <w:tc>
          <w:tcPr>
            <w:tcW w:w="1537" w:type="dxa"/>
            <w:vAlign w:val="center"/>
          </w:tcPr>
          <w:p w14:paraId="1E51DB2A" w14:textId="77777777" w:rsidR="00CC54ED" w:rsidRPr="002B640D" w:rsidRDefault="00CC54ED" w:rsidP="002B640D">
            <w:pPr>
              <w:pStyle w:val="TxtListado"/>
              <w:spacing w:after="0"/>
              <w:jc w:val="center"/>
            </w:pPr>
            <w:r w:rsidRPr="002B640D">
              <w:rPr>
                <w:rFonts w:cs="Arial"/>
                <w:color w:val="000000"/>
                <w:kern w:val="24"/>
                <w:lang w:val="en-US"/>
              </w:rPr>
              <w:t>Medio</w:t>
            </w:r>
          </w:p>
        </w:tc>
        <w:tc>
          <w:tcPr>
            <w:tcW w:w="2126" w:type="dxa"/>
          </w:tcPr>
          <w:p w14:paraId="45519B12" w14:textId="77777777" w:rsidR="00CC54ED" w:rsidRPr="002B640D" w:rsidRDefault="001D6591" w:rsidP="002B640D">
            <w:pPr>
              <w:pStyle w:val="TxtListado"/>
              <w:spacing w:after="0"/>
              <w:jc w:val="center"/>
            </w:pPr>
            <w:r w:rsidRPr="002B640D">
              <w:rPr>
                <w:rFonts w:cs="Arial"/>
                <w:kern w:val="24"/>
              </w:rPr>
              <w:t>$</w:t>
            </w:r>
            <w:r w:rsidR="009970FD" w:rsidRPr="002B640D">
              <w:rPr>
                <w:rFonts w:cs="Arial"/>
                <w:kern w:val="24"/>
              </w:rPr>
              <w:t>7,359.98</w:t>
            </w:r>
            <w:r w:rsidR="00CC54ED" w:rsidRPr="002B640D">
              <w:rPr>
                <w:rFonts w:cs="Arial"/>
                <w:kern w:val="24"/>
              </w:rPr>
              <w:t xml:space="preserve"> M.N.</w:t>
            </w:r>
          </w:p>
        </w:tc>
      </w:tr>
      <w:tr w:rsidR="00AB3FBE" w:rsidRPr="002B640D" w14:paraId="56D4C166" w14:textId="77777777" w:rsidTr="00BB40D2">
        <w:trPr>
          <w:trHeight w:val="89"/>
          <w:tblHeader/>
          <w:jc w:val="center"/>
        </w:trPr>
        <w:tc>
          <w:tcPr>
            <w:tcW w:w="1553" w:type="dxa"/>
            <w:shd w:val="clear" w:color="auto" w:fill="auto"/>
            <w:vAlign w:val="center"/>
          </w:tcPr>
          <w:p w14:paraId="10BA4206" w14:textId="77777777" w:rsidR="00AB3FBE" w:rsidRPr="002B640D" w:rsidRDefault="00AB3FBE" w:rsidP="002B640D">
            <w:pPr>
              <w:pStyle w:val="TxtListado"/>
              <w:spacing w:after="0"/>
              <w:jc w:val="center"/>
              <w:rPr>
                <w:rFonts w:cs="Arial"/>
                <w:color w:val="000000"/>
                <w:kern w:val="24"/>
                <w:lang w:val="en-US"/>
              </w:rPr>
            </w:pPr>
            <w:r w:rsidRPr="002B640D">
              <w:rPr>
                <w:rFonts w:cs="Arial"/>
                <w:color w:val="000000"/>
                <w:kern w:val="24"/>
                <w:lang w:val="en-US"/>
              </w:rPr>
              <w:t>B</w:t>
            </w:r>
          </w:p>
        </w:tc>
        <w:tc>
          <w:tcPr>
            <w:tcW w:w="1537" w:type="dxa"/>
            <w:vAlign w:val="center"/>
          </w:tcPr>
          <w:p w14:paraId="5483A45D" w14:textId="77777777" w:rsidR="00AB3FBE" w:rsidRPr="002B640D" w:rsidRDefault="00AB3FBE" w:rsidP="002B640D">
            <w:pPr>
              <w:pStyle w:val="TxtListado"/>
              <w:spacing w:after="0"/>
              <w:jc w:val="center"/>
              <w:rPr>
                <w:rFonts w:cs="Arial"/>
                <w:color w:val="000000"/>
                <w:kern w:val="24"/>
                <w:lang w:val="en-US"/>
              </w:rPr>
            </w:pPr>
            <w:proofErr w:type="spellStart"/>
            <w:r w:rsidRPr="002B640D">
              <w:rPr>
                <w:rFonts w:cs="Arial"/>
                <w:color w:val="000000"/>
                <w:kern w:val="24"/>
                <w:lang w:val="en-US"/>
              </w:rPr>
              <w:t>Bajo</w:t>
            </w:r>
            <w:proofErr w:type="spellEnd"/>
            <w:r w:rsidRPr="002B640D">
              <w:rPr>
                <w:rFonts w:cs="Arial"/>
                <w:color w:val="000000"/>
                <w:kern w:val="24"/>
                <w:lang w:val="en-US"/>
              </w:rPr>
              <w:t xml:space="preserve"> / Rural</w:t>
            </w:r>
          </w:p>
        </w:tc>
        <w:tc>
          <w:tcPr>
            <w:tcW w:w="2126" w:type="dxa"/>
          </w:tcPr>
          <w:p w14:paraId="594568DD" w14:textId="77777777" w:rsidR="00AB3FBE" w:rsidRPr="002B640D" w:rsidRDefault="001D6591" w:rsidP="002B640D">
            <w:pPr>
              <w:pStyle w:val="TxtListado"/>
              <w:spacing w:after="0"/>
              <w:jc w:val="center"/>
              <w:rPr>
                <w:rFonts w:cs="Arial"/>
                <w:kern w:val="24"/>
              </w:rPr>
            </w:pPr>
            <w:r w:rsidRPr="002B640D">
              <w:rPr>
                <w:rFonts w:cs="Arial"/>
                <w:kern w:val="24"/>
              </w:rPr>
              <w:t>$</w:t>
            </w:r>
            <w:r w:rsidR="009970FD" w:rsidRPr="002B640D">
              <w:rPr>
                <w:rFonts w:cs="Arial"/>
                <w:kern w:val="24"/>
              </w:rPr>
              <w:t>7,459.70</w:t>
            </w:r>
            <w:r w:rsidR="00AB3FBE" w:rsidRPr="002B640D">
              <w:rPr>
                <w:rFonts w:cs="Arial"/>
                <w:kern w:val="24"/>
              </w:rPr>
              <w:t xml:space="preserve"> M.N.</w:t>
            </w:r>
          </w:p>
        </w:tc>
      </w:tr>
      <w:tr w:rsidR="00AB3FBE" w:rsidRPr="002B640D" w14:paraId="22005619" w14:textId="77777777" w:rsidTr="00BB40D2">
        <w:trPr>
          <w:trHeight w:val="89"/>
          <w:tblHeader/>
          <w:jc w:val="center"/>
        </w:trPr>
        <w:tc>
          <w:tcPr>
            <w:tcW w:w="1553" w:type="dxa"/>
            <w:shd w:val="clear" w:color="auto" w:fill="auto"/>
            <w:vAlign w:val="center"/>
          </w:tcPr>
          <w:p w14:paraId="3B0C3B19" w14:textId="77777777" w:rsidR="00AB3FBE" w:rsidRPr="002B640D" w:rsidRDefault="00AB3FBE" w:rsidP="002B640D">
            <w:pPr>
              <w:pStyle w:val="TxtListado"/>
              <w:spacing w:after="0"/>
              <w:jc w:val="center"/>
            </w:pPr>
            <w:r w:rsidRPr="002B640D">
              <w:rPr>
                <w:rFonts w:cs="Arial"/>
                <w:color w:val="000000"/>
                <w:kern w:val="24"/>
                <w:lang w:val="en-US"/>
              </w:rPr>
              <w:t>I</w:t>
            </w:r>
          </w:p>
        </w:tc>
        <w:tc>
          <w:tcPr>
            <w:tcW w:w="1537" w:type="dxa"/>
            <w:vAlign w:val="center"/>
          </w:tcPr>
          <w:p w14:paraId="5F440E23" w14:textId="77777777" w:rsidR="00AB3FBE" w:rsidRPr="002B640D" w:rsidRDefault="00AB3FBE" w:rsidP="002B640D">
            <w:pPr>
              <w:pStyle w:val="TxtListado"/>
              <w:tabs>
                <w:tab w:val="center" w:pos="1241"/>
              </w:tabs>
              <w:spacing w:after="0"/>
              <w:jc w:val="center"/>
            </w:pPr>
            <w:r w:rsidRPr="002B640D">
              <w:rPr>
                <w:rFonts w:cs="Arial"/>
                <w:color w:val="000000"/>
                <w:kern w:val="24"/>
                <w:lang w:val="en-US"/>
              </w:rPr>
              <w:t>Industrial</w:t>
            </w:r>
          </w:p>
        </w:tc>
        <w:tc>
          <w:tcPr>
            <w:tcW w:w="2126" w:type="dxa"/>
          </w:tcPr>
          <w:p w14:paraId="50DF4FAC" w14:textId="77777777" w:rsidR="00AB3FBE" w:rsidRPr="002B640D" w:rsidRDefault="001D6591" w:rsidP="002B640D">
            <w:pPr>
              <w:pStyle w:val="TxtListado"/>
              <w:tabs>
                <w:tab w:val="center" w:pos="1241"/>
              </w:tabs>
              <w:spacing w:after="0"/>
              <w:jc w:val="center"/>
            </w:pPr>
            <w:r w:rsidRPr="002B640D">
              <w:rPr>
                <w:rFonts w:cs="Arial"/>
                <w:kern w:val="24"/>
              </w:rPr>
              <w:t>$</w:t>
            </w:r>
            <w:r w:rsidR="009970FD" w:rsidRPr="002B640D">
              <w:rPr>
                <w:rFonts w:cs="Arial"/>
                <w:kern w:val="24"/>
              </w:rPr>
              <w:t>6,458.19</w:t>
            </w:r>
            <w:r w:rsidR="00AB3FBE" w:rsidRPr="002B640D">
              <w:rPr>
                <w:rFonts w:cs="Arial"/>
                <w:kern w:val="24"/>
              </w:rPr>
              <w:t xml:space="preserve"> M.N.</w:t>
            </w:r>
          </w:p>
        </w:tc>
      </w:tr>
    </w:tbl>
    <w:p w14:paraId="055E25D5" w14:textId="77777777" w:rsidR="002B640D" w:rsidRPr="002B640D" w:rsidRDefault="00A5275D" w:rsidP="002B640D">
      <w:pPr>
        <w:pStyle w:val="L1"/>
        <w:numPr>
          <w:ilvl w:val="0"/>
          <w:numId w:val="0"/>
        </w:numPr>
        <w:spacing w:before="240"/>
        <w:jc w:val="center"/>
        <w:rPr>
          <w:rFonts w:ascii="ITC Avant Garde Book" w:hAnsi="ITC Avant Garde Book"/>
          <w:sz w:val="20"/>
          <w:szCs w:val="20"/>
          <w:lang w:val="es-ES_tradnl"/>
        </w:rPr>
      </w:pPr>
      <w:r w:rsidRPr="002B640D">
        <w:rPr>
          <w:rFonts w:ascii="ITC Avant Garde" w:hAnsi="ITC Avant Garde"/>
          <w:b/>
          <w:sz w:val="18"/>
          <w:lang w:val="es-MX"/>
        </w:rPr>
        <w:t xml:space="preserve">Tabla </w:t>
      </w:r>
      <w:r w:rsidR="00D85C28" w:rsidRPr="002B640D">
        <w:rPr>
          <w:rFonts w:ascii="ITC Avant Garde" w:hAnsi="ITC Avant Garde"/>
          <w:b/>
          <w:sz w:val="18"/>
          <w:lang w:val="es-MX"/>
        </w:rPr>
        <w:t>14</w:t>
      </w:r>
      <w:r w:rsidR="00CC54ED" w:rsidRPr="002B640D">
        <w:rPr>
          <w:rFonts w:ascii="ITC Avant Garde" w:hAnsi="ITC Avant Garde"/>
          <w:b/>
          <w:sz w:val="18"/>
          <w:lang w:val="es-MX"/>
        </w:rPr>
        <w:t xml:space="preserve">: </w:t>
      </w:r>
      <w:r w:rsidR="00CC54ED" w:rsidRPr="002B640D">
        <w:rPr>
          <w:rFonts w:ascii="ITC Avant Garde" w:hAnsi="ITC Avant Garde"/>
          <w:sz w:val="18"/>
          <w:lang w:val="es-MX"/>
        </w:rPr>
        <w:t>Tarifas mensuales por el sistema instalado</w:t>
      </w:r>
      <w:r w:rsidR="00D85C28" w:rsidRPr="002B640D">
        <w:rPr>
          <w:rFonts w:ascii="ITC Avant Garde" w:hAnsi="ITC Avant Garde"/>
          <w:sz w:val="18"/>
          <w:lang w:val="es-MX"/>
        </w:rPr>
        <w:t>.</w:t>
      </w:r>
    </w:p>
    <w:p w14:paraId="6F7D1A6C" w14:textId="77777777" w:rsidR="002B640D" w:rsidRPr="002B640D" w:rsidRDefault="00CC54ED" w:rsidP="002B640D">
      <w:pPr>
        <w:pStyle w:val="IFTnormal"/>
        <w:spacing w:before="240"/>
      </w:pPr>
      <w:r w:rsidRPr="002B640D">
        <w:t>Cualquier excedente de los 8.5 m</w:t>
      </w:r>
      <w:r w:rsidRPr="002B640D">
        <w:rPr>
          <w:vertAlign w:val="superscript"/>
        </w:rPr>
        <w:t>2</w:t>
      </w:r>
      <w:r w:rsidRPr="002B640D">
        <w:t xml:space="preserve"> o de la </w:t>
      </w:r>
      <w:r w:rsidR="00B94F4F" w:rsidRPr="002B640D">
        <w:rPr>
          <w:lang w:val="es-419"/>
        </w:rPr>
        <w:t>franja</w:t>
      </w:r>
      <w:r w:rsidR="00B94F4F" w:rsidRPr="002B640D">
        <w:t xml:space="preserve"> </w:t>
      </w:r>
      <w:r w:rsidRPr="002B640D">
        <w:t>de los 4 m</w:t>
      </w:r>
      <w:r w:rsidR="00037422" w:rsidRPr="002B640D">
        <w:t xml:space="preserve">etros </w:t>
      </w:r>
      <w:r w:rsidRPr="002B640D">
        <w:t>l</w:t>
      </w:r>
      <w:r w:rsidR="00037422" w:rsidRPr="002B640D">
        <w:t>ineales</w:t>
      </w:r>
      <w:r w:rsidRPr="002B640D">
        <w:t>, será pagado de conformidad con la siguiente expresión:</w:t>
      </w:r>
    </w:p>
    <w:p w14:paraId="447E30AE" w14:textId="07DE1FF8" w:rsidR="00CC54ED" w:rsidRPr="002B640D" w:rsidRDefault="00CC54ED" w:rsidP="002B640D">
      <w:pPr>
        <w:pStyle w:val="IFTnormal"/>
        <w:spacing w:before="240"/>
        <w:ind w:left="708"/>
        <w:jc w:val="center"/>
      </w:pPr>
      <w:r w:rsidRPr="002B640D">
        <w:rPr>
          <w:sz w:val="20"/>
        </w:rPr>
        <w:t>Costo Adicional Mensual = Área de Antena * Altura NCR * Factor de cobro</w:t>
      </w:r>
    </w:p>
    <w:p w14:paraId="147EFE7A" w14:textId="77777777" w:rsidR="002B640D" w:rsidRPr="002B640D" w:rsidRDefault="00CC54ED" w:rsidP="002B640D">
      <w:pPr>
        <w:pStyle w:val="IFTnormal"/>
        <w:spacing w:before="240" w:after="0"/>
        <w:ind w:left="708"/>
      </w:pPr>
      <w:r w:rsidRPr="002B640D">
        <w:t>Donde:</w:t>
      </w:r>
    </w:p>
    <w:p w14:paraId="7FF5CC9D" w14:textId="2D6B9D51" w:rsidR="00CC54ED" w:rsidRPr="002B640D" w:rsidRDefault="00CC54ED" w:rsidP="002B640D">
      <w:pPr>
        <w:pStyle w:val="IFTnormal"/>
        <w:numPr>
          <w:ilvl w:val="0"/>
          <w:numId w:val="31"/>
        </w:numPr>
        <w:spacing w:before="240"/>
        <w:ind w:left="1428"/>
      </w:pPr>
      <w:r w:rsidRPr="002B640D">
        <w:rPr>
          <w:sz w:val="20"/>
        </w:rPr>
        <w:t>Área de Antena</w:t>
      </w:r>
      <w:r w:rsidRPr="002B640D">
        <w:t xml:space="preserve">, se refiere al área de la antena, en metros cuadrados, fuera de la </w:t>
      </w:r>
      <w:r w:rsidR="00B94F4F" w:rsidRPr="002B640D">
        <w:rPr>
          <w:lang w:val="es-419"/>
        </w:rPr>
        <w:t>franja</w:t>
      </w:r>
      <w:r w:rsidR="00B94F4F" w:rsidRPr="002B640D">
        <w:t xml:space="preserve"> </w:t>
      </w:r>
      <w:r w:rsidRPr="002B640D">
        <w:t>en comento.</w:t>
      </w:r>
    </w:p>
    <w:p w14:paraId="13B7B06E" w14:textId="77777777" w:rsidR="00CC54ED" w:rsidRPr="002B640D" w:rsidRDefault="00CC54ED" w:rsidP="002B640D">
      <w:pPr>
        <w:pStyle w:val="IFTnormal"/>
        <w:numPr>
          <w:ilvl w:val="0"/>
          <w:numId w:val="31"/>
        </w:numPr>
        <w:spacing w:before="240"/>
        <w:ind w:left="1428"/>
      </w:pPr>
      <w:r w:rsidRPr="002B640D">
        <w:rPr>
          <w:sz w:val="20"/>
        </w:rPr>
        <w:t>Altura NCR</w:t>
      </w:r>
      <w:r w:rsidRPr="002B640D">
        <w:t>, se refiere a la altura del centro de radiación de la antena (NCR), es decir la distancia del punto medio de la antena al suelo, medida en metros.</w:t>
      </w:r>
    </w:p>
    <w:p w14:paraId="08F81626" w14:textId="77777777" w:rsidR="00CC54ED" w:rsidRPr="002B640D" w:rsidRDefault="00CC54ED" w:rsidP="002B640D">
      <w:pPr>
        <w:pStyle w:val="IFTnormal"/>
        <w:numPr>
          <w:ilvl w:val="0"/>
          <w:numId w:val="31"/>
        </w:numPr>
        <w:spacing w:before="240"/>
        <w:ind w:left="1428"/>
      </w:pPr>
      <w:r w:rsidRPr="002B640D">
        <w:rPr>
          <w:sz w:val="20"/>
        </w:rPr>
        <w:t>Factor de cobro</w:t>
      </w:r>
      <w:r w:rsidRPr="002B640D">
        <w:t xml:space="preserve">, resulta del cociente entre la tarifa para el acceso y uso de espacio en torre por </w:t>
      </w:r>
      <w:proofErr w:type="spellStart"/>
      <w:r w:rsidRPr="002B640D">
        <w:t>geotipo</w:t>
      </w:r>
      <w:proofErr w:type="spellEnd"/>
      <w:r w:rsidRPr="002B640D">
        <w:t xml:space="preserve"> (M.N.), y el producto de la altura promedio ponderada de las torres por </w:t>
      </w:r>
      <w:proofErr w:type="spellStart"/>
      <w:r w:rsidRPr="002B640D">
        <w:t>geotipo</w:t>
      </w:r>
      <w:proofErr w:type="spellEnd"/>
      <w:r w:rsidRPr="002B640D">
        <w:t xml:space="preserve"> y el factor de utilización superficial (8.5 m</w:t>
      </w:r>
      <w:r w:rsidRPr="002B640D">
        <w:rPr>
          <w:vertAlign w:val="superscript"/>
        </w:rPr>
        <w:t>2</w:t>
      </w:r>
      <w:r w:rsidRPr="002B640D">
        <w:t>)</w:t>
      </w:r>
    </w:p>
    <w:p w14:paraId="30766D66" w14:textId="77777777" w:rsidR="00CC54ED" w:rsidRPr="002B640D" w:rsidRDefault="00AB3FBE" w:rsidP="002B640D">
      <w:pPr>
        <w:pStyle w:val="IFTnormal"/>
        <w:spacing w:before="240"/>
        <w:ind w:left="1428"/>
        <w:rPr>
          <w:sz w:val="20"/>
          <w:szCs w:val="20"/>
        </w:rPr>
      </w:pPr>
      <m:oMathPara>
        <m:oMath>
          <m:r>
            <m:rPr>
              <m:nor/>
            </m:rPr>
            <w:rPr>
              <w:sz w:val="20"/>
              <w:szCs w:val="20"/>
            </w:rPr>
            <m:t>Factor de cobro</m:t>
          </m:r>
          <m:r>
            <m:rPr>
              <m:nor/>
            </m:rPr>
            <w:rPr>
              <w:rFonts w:ascii="Cambria Math"/>
              <w:sz w:val="20"/>
              <w:szCs w:val="20"/>
            </w:rPr>
            <m:t xml:space="preserve"> </m:t>
          </m:r>
          <m:r>
            <m:rPr>
              <m:nor/>
            </m:rPr>
            <w:rPr>
              <w:sz w:val="20"/>
              <w:szCs w:val="20"/>
            </w:rPr>
            <m:t>=</m:t>
          </m:r>
          <m:r>
            <m:rPr>
              <m:nor/>
            </m:rPr>
            <w:rPr>
              <w:rFonts w:ascii="Cambria Math"/>
              <w:sz w:val="20"/>
              <w:szCs w:val="20"/>
            </w:rPr>
            <m:t xml:space="preserve"> </m:t>
          </m:r>
          <m:f>
            <m:fPr>
              <m:ctrlPr>
                <w:rPr>
                  <w:rFonts w:ascii="Cambria Math" w:hAnsi="Cambria Math"/>
                  <w:sz w:val="20"/>
                  <w:szCs w:val="20"/>
                </w:rPr>
              </m:ctrlPr>
            </m:fPr>
            <m:num>
              <m:r>
                <m:rPr>
                  <m:nor/>
                </m:rPr>
                <w:rPr>
                  <w:sz w:val="20"/>
                  <w:szCs w:val="20"/>
                </w:rPr>
                <m:t>Tarifa para el acceso y uso de espacio en torre</m:t>
              </m:r>
            </m:num>
            <m:den>
              <m:r>
                <m:rPr>
                  <m:nor/>
                </m:rPr>
                <w:rPr>
                  <w:sz w:val="20"/>
                  <w:szCs w:val="20"/>
                </w:rPr>
                <m:t xml:space="preserve">Altura promedio ponderada de torre *8.5 </m:t>
              </m:r>
              <m:sSup>
                <m:sSupPr>
                  <m:ctrlPr>
                    <w:rPr>
                      <w:rFonts w:ascii="Cambria Math" w:hAnsi="Cambria Math"/>
                      <w:sz w:val="20"/>
                      <w:szCs w:val="20"/>
                    </w:rPr>
                  </m:ctrlPr>
                </m:sSupPr>
                <m:e>
                  <m:r>
                    <m:rPr>
                      <m:nor/>
                    </m:rPr>
                    <w:rPr>
                      <w:sz w:val="20"/>
                      <w:szCs w:val="20"/>
                    </w:rPr>
                    <m:t>m</m:t>
                  </m:r>
                </m:e>
                <m:sup>
                  <m:r>
                    <m:rPr>
                      <m:nor/>
                    </m:rPr>
                    <w:rPr>
                      <w:sz w:val="20"/>
                      <w:szCs w:val="20"/>
                    </w:rPr>
                    <m:t>2</m:t>
                  </m:r>
                </m:sup>
              </m:sSup>
            </m:den>
          </m:f>
        </m:oMath>
      </m:oMathPara>
    </w:p>
    <w:p w14:paraId="1646A5EC" w14:textId="77777777" w:rsidR="00CC54ED" w:rsidRPr="002B640D" w:rsidRDefault="001D6591" w:rsidP="002B640D">
      <w:pPr>
        <w:pStyle w:val="IFTnormal"/>
        <w:spacing w:before="240"/>
        <w:ind w:left="1428"/>
      </w:pPr>
      <w:r w:rsidRPr="002B640D">
        <w:t>En donde los términos involucrados denotan</w:t>
      </w:r>
      <w:r w:rsidR="00CC54ED" w:rsidRPr="002B640D">
        <w:t>:</w:t>
      </w:r>
    </w:p>
    <w:p w14:paraId="2F580B5A" w14:textId="77777777" w:rsidR="00CC54ED" w:rsidRPr="002B640D" w:rsidRDefault="00AB3FBE" w:rsidP="002B640D">
      <w:pPr>
        <w:pStyle w:val="IFTnormal"/>
        <w:numPr>
          <w:ilvl w:val="2"/>
          <w:numId w:val="31"/>
        </w:numPr>
        <w:spacing w:before="240"/>
      </w:pPr>
      <m:oMath>
        <m:r>
          <m:rPr>
            <m:nor/>
          </m:rPr>
          <w:rPr>
            <w:sz w:val="20"/>
          </w:rPr>
          <w:lastRenderedPageBreak/>
          <m:t>Tarifa para el acceso y uso de espacio en torre</m:t>
        </m:r>
      </m:oMath>
      <w:r w:rsidR="00CC54ED" w:rsidRPr="002B640D">
        <w:t xml:space="preserve">, corresponde a la tarifa mensual para el acceso y uso de espacio en torre, por </w:t>
      </w:r>
      <w:proofErr w:type="spellStart"/>
      <w:r w:rsidR="00CC54ED" w:rsidRPr="002B640D">
        <w:t>geotipo</w:t>
      </w:r>
      <w:proofErr w:type="spellEnd"/>
      <w:r w:rsidR="00CC54ED" w:rsidRPr="002B640D">
        <w:t>.</w:t>
      </w:r>
    </w:p>
    <w:p w14:paraId="5FB85382" w14:textId="77777777" w:rsidR="00CC54ED" w:rsidRPr="002B640D" w:rsidRDefault="00AB3FBE" w:rsidP="002B640D">
      <w:pPr>
        <w:pStyle w:val="IFTnormal"/>
        <w:numPr>
          <w:ilvl w:val="2"/>
          <w:numId w:val="31"/>
        </w:numPr>
        <w:spacing w:before="240"/>
      </w:pPr>
      <m:oMath>
        <m:r>
          <m:rPr>
            <m:nor/>
          </m:rPr>
          <w:rPr>
            <w:sz w:val="20"/>
          </w:rPr>
          <m:t>Altura promedio ponderada de torre</m:t>
        </m:r>
      </m:oMath>
      <w:r w:rsidR="00CC54ED" w:rsidRPr="002B640D">
        <w:t xml:space="preserve">, se refiere a la altura promedio en metros lineales por </w:t>
      </w:r>
      <w:proofErr w:type="spellStart"/>
      <w:r w:rsidR="00CC54ED" w:rsidRPr="002B640D">
        <w:t>geotipo</w:t>
      </w:r>
      <w:proofErr w:type="spellEnd"/>
      <w:r w:rsidR="00CC54ED" w:rsidRPr="002B640D">
        <w:t xml:space="preserve">. Las alturas promedio por </w:t>
      </w:r>
      <w:proofErr w:type="spellStart"/>
      <w:r w:rsidR="00CC54ED" w:rsidRPr="002B640D">
        <w:t>geotipo</w:t>
      </w:r>
      <w:proofErr w:type="spellEnd"/>
      <w:r w:rsidR="00CC54ED" w:rsidRPr="002B640D">
        <w:t xml:space="preserve"> son:</w:t>
      </w:r>
    </w:p>
    <w:tbl>
      <w:tblPr>
        <w:tblStyle w:val="Tablaconcuadrcula"/>
        <w:tblW w:w="0" w:type="auto"/>
        <w:jc w:val="center"/>
        <w:tblLayout w:type="fixed"/>
        <w:tblLook w:val="04A0" w:firstRow="1" w:lastRow="0" w:firstColumn="1" w:lastColumn="0" w:noHBand="0" w:noVBand="1"/>
        <w:tblCaption w:val="Tabla"/>
        <w:tblDescription w:val="Tabla 15: Altura promedio por geotipo."/>
      </w:tblPr>
      <w:tblGrid>
        <w:gridCol w:w="1980"/>
        <w:gridCol w:w="981"/>
        <w:gridCol w:w="1086"/>
        <w:gridCol w:w="1086"/>
        <w:gridCol w:w="1086"/>
        <w:gridCol w:w="1086"/>
        <w:gridCol w:w="1086"/>
      </w:tblGrid>
      <w:tr w:rsidR="00CC54ED" w:rsidRPr="002B640D" w14:paraId="7199C269" w14:textId="77777777" w:rsidTr="00BB40D2">
        <w:trPr>
          <w:trHeight w:val="511"/>
          <w:tblHeader/>
          <w:jc w:val="center"/>
        </w:trPr>
        <w:tc>
          <w:tcPr>
            <w:tcW w:w="1980" w:type="dxa"/>
            <w:shd w:val="clear" w:color="auto" w:fill="D9D9D9" w:themeFill="background1" w:themeFillShade="D9"/>
            <w:noWrap/>
            <w:vAlign w:val="center"/>
          </w:tcPr>
          <w:p w14:paraId="3D689DEF" w14:textId="77777777" w:rsidR="00CC54ED" w:rsidRPr="002B640D" w:rsidRDefault="00CC54ED" w:rsidP="002B640D">
            <w:pPr>
              <w:jc w:val="center"/>
              <w:rPr>
                <w:rFonts w:ascii="ITC Avant Garde" w:hAnsi="ITC Avant Garde" w:cs="Arial"/>
                <w:b/>
                <w:bCs/>
                <w:sz w:val="18"/>
                <w:szCs w:val="18"/>
                <w:lang w:eastAsia="es-MX"/>
              </w:rPr>
            </w:pPr>
            <w:r w:rsidRPr="002B640D">
              <w:rPr>
                <w:rFonts w:ascii="ITC Avant Garde" w:hAnsi="ITC Avant Garde" w:cs="Arial"/>
                <w:b/>
                <w:bCs/>
                <w:sz w:val="18"/>
                <w:szCs w:val="18"/>
                <w:lang w:eastAsia="es-MX"/>
              </w:rPr>
              <w:t>Elemento</w:t>
            </w:r>
          </w:p>
        </w:tc>
        <w:tc>
          <w:tcPr>
            <w:tcW w:w="981" w:type="dxa"/>
            <w:shd w:val="clear" w:color="auto" w:fill="D9D9D9" w:themeFill="background1" w:themeFillShade="D9"/>
            <w:noWrap/>
            <w:vAlign w:val="center"/>
          </w:tcPr>
          <w:p w14:paraId="717FAF64" w14:textId="77777777" w:rsidR="00CC54ED" w:rsidRPr="002B640D" w:rsidRDefault="00CC54ED" w:rsidP="002B640D">
            <w:pPr>
              <w:jc w:val="center"/>
              <w:rPr>
                <w:rFonts w:ascii="ITC Avant Garde" w:hAnsi="ITC Avant Garde" w:cs="Arial"/>
                <w:b/>
                <w:bCs/>
                <w:sz w:val="18"/>
                <w:szCs w:val="18"/>
                <w:lang w:eastAsia="es-MX"/>
              </w:rPr>
            </w:pPr>
            <w:r w:rsidRPr="002B640D">
              <w:rPr>
                <w:rFonts w:ascii="ITC Avant Garde" w:hAnsi="ITC Avant Garde" w:cs="Arial"/>
                <w:b/>
                <w:bCs/>
                <w:sz w:val="18"/>
                <w:szCs w:val="18"/>
                <w:lang w:eastAsia="es-MX"/>
              </w:rPr>
              <w:t>Unidad</w:t>
            </w:r>
          </w:p>
        </w:tc>
        <w:tc>
          <w:tcPr>
            <w:tcW w:w="1086" w:type="dxa"/>
            <w:shd w:val="clear" w:color="auto" w:fill="D9D9D9" w:themeFill="background1" w:themeFillShade="D9"/>
            <w:noWrap/>
            <w:vAlign w:val="center"/>
          </w:tcPr>
          <w:p w14:paraId="4A7879CD" w14:textId="77777777" w:rsidR="00CC54ED" w:rsidRPr="002B640D" w:rsidRDefault="00CC54ED" w:rsidP="002B640D">
            <w:pPr>
              <w:jc w:val="center"/>
              <w:rPr>
                <w:rFonts w:ascii="ITC Avant Garde" w:hAnsi="ITC Avant Garde"/>
                <w:b/>
                <w:sz w:val="18"/>
                <w:lang w:eastAsia="es-MX"/>
              </w:rPr>
            </w:pPr>
            <w:r w:rsidRPr="002B640D">
              <w:rPr>
                <w:rFonts w:ascii="ITC Avant Garde" w:hAnsi="ITC Avant Garde"/>
                <w:b/>
                <w:sz w:val="18"/>
                <w:lang w:eastAsia="es-MX"/>
              </w:rPr>
              <w:t>Sitios AAA</w:t>
            </w:r>
          </w:p>
        </w:tc>
        <w:tc>
          <w:tcPr>
            <w:tcW w:w="1086" w:type="dxa"/>
            <w:shd w:val="clear" w:color="auto" w:fill="D9D9D9" w:themeFill="background1" w:themeFillShade="D9"/>
            <w:noWrap/>
            <w:vAlign w:val="center"/>
          </w:tcPr>
          <w:p w14:paraId="0AE58BA9" w14:textId="77777777" w:rsidR="00CC54ED" w:rsidRPr="002B640D" w:rsidRDefault="00CC54ED" w:rsidP="002B640D">
            <w:pPr>
              <w:jc w:val="center"/>
              <w:rPr>
                <w:rFonts w:ascii="ITC Avant Garde" w:hAnsi="ITC Avant Garde"/>
                <w:b/>
                <w:sz w:val="18"/>
                <w:lang w:eastAsia="es-MX"/>
              </w:rPr>
            </w:pPr>
            <w:r w:rsidRPr="002B640D">
              <w:rPr>
                <w:rFonts w:ascii="ITC Avant Garde" w:hAnsi="ITC Avant Garde"/>
                <w:b/>
                <w:sz w:val="18"/>
                <w:lang w:eastAsia="es-MX"/>
              </w:rPr>
              <w:t>Sitios AA</w:t>
            </w:r>
          </w:p>
        </w:tc>
        <w:tc>
          <w:tcPr>
            <w:tcW w:w="1086" w:type="dxa"/>
            <w:shd w:val="clear" w:color="auto" w:fill="D9D9D9" w:themeFill="background1" w:themeFillShade="D9"/>
            <w:noWrap/>
            <w:vAlign w:val="center"/>
          </w:tcPr>
          <w:p w14:paraId="232B923C" w14:textId="77777777" w:rsidR="00CC54ED" w:rsidRPr="002B640D" w:rsidRDefault="00CC54ED" w:rsidP="002B640D">
            <w:pPr>
              <w:jc w:val="center"/>
              <w:rPr>
                <w:rFonts w:ascii="ITC Avant Garde" w:hAnsi="ITC Avant Garde"/>
                <w:b/>
                <w:sz w:val="18"/>
                <w:lang w:eastAsia="es-MX"/>
              </w:rPr>
            </w:pPr>
            <w:r w:rsidRPr="002B640D">
              <w:rPr>
                <w:rFonts w:ascii="ITC Avant Garde" w:hAnsi="ITC Avant Garde"/>
                <w:b/>
                <w:sz w:val="18"/>
                <w:lang w:eastAsia="es-MX"/>
              </w:rPr>
              <w:t>Sitios A</w:t>
            </w:r>
          </w:p>
        </w:tc>
        <w:tc>
          <w:tcPr>
            <w:tcW w:w="1086" w:type="dxa"/>
            <w:shd w:val="clear" w:color="auto" w:fill="D9D9D9" w:themeFill="background1" w:themeFillShade="D9"/>
            <w:noWrap/>
            <w:vAlign w:val="center"/>
          </w:tcPr>
          <w:p w14:paraId="5995D858" w14:textId="77777777" w:rsidR="00CC54ED" w:rsidRPr="002B640D" w:rsidRDefault="00AB3FBE" w:rsidP="002B640D">
            <w:pPr>
              <w:jc w:val="center"/>
              <w:rPr>
                <w:rFonts w:ascii="ITC Avant Garde" w:hAnsi="ITC Avant Garde"/>
                <w:b/>
                <w:sz w:val="18"/>
                <w:lang w:eastAsia="es-MX"/>
              </w:rPr>
            </w:pPr>
            <w:r w:rsidRPr="002B640D">
              <w:rPr>
                <w:rFonts w:ascii="ITC Avant Garde" w:hAnsi="ITC Avant Garde"/>
                <w:b/>
                <w:sz w:val="18"/>
                <w:lang w:eastAsia="es-MX"/>
              </w:rPr>
              <w:t>Sitios B</w:t>
            </w:r>
          </w:p>
        </w:tc>
        <w:tc>
          <w:tcPr>
            <w:tcW w:w="1086" w:type="dxa"/>
            <w:shd w:val="clear" w:color="auto" w:fill="D9D9D9" w:themeFill="background1" w:themeFillShade="D9"/>
            <w:noWrap/>
            <w:vAlign w:val="center"/>
          </w:tcPr>
          <w:p w14:paraId="64998BEC" w14:textId="77777777" w:rsidR="00CC54ED" w:rsidRPr="002B640D" w:rsidRDefault="00AB3FBE" w:rsidP="002B640D">
            <w:pPr>
              <w:jc w:val="center"/>
              <w:rPr>
                <w:rFonts w:ascii="ITC Avant Garde" w:hAnsi="ITC Avant Garde"/>
                <w:b/>
                <w:sz w:val="18"/>
                <w:lang w:eastAsia="es-MX"/>
              </w:rPr>
            </w:pPr>
            <w:r w:rsidRPr="002B640D">
              <w:rPr>
                <w:rFonts w:ascii="ITC Avant Garde" w:hAnsi="ITC Avant Garde"/>
                <w:b/>
                <w:sz w:val="18"/>
                <w:lang w:eastAsia="es-MX"/>
              </w:rPr>
              <w:t>Sitios I</w:t>
            </w:r>
          </w:p>
        </w:tc>
      </w:tr>
      <w:tr w:rsidR="00CC54ED" w:rsidRPr="002B640D" w14:paraId="0DCCF592" w14:textId="77777777" w:rsidTr="00BB40D2">
        <w:trPr>
          <w:trHeight w:val="511"/>
          <w:tblHeader/>
          <w:jc w:val="center"/>
        </w:trPr>
        <w:tc>
          <w:tcPr>
            <w:tcW w:w="1980" w:type="dxa"/>
            <w:noWrap/>
            <w:vAlign w:val="center"/>
            <w:hideMark/>
          </w:tcPr>
          <w:p w14:paraId="32C422A4" w14:textId="77777777" w:rsidR="00CC54ED" w:rsidRPr="002B640D" w:rsidRDefault="00CC54ED" w:rsidP="002B640D">
            <w:pPr>
              <w:jc w:val="center"/>
              <w:rPr>
                <w:rFonts w:ascii="ITC Avant Garde" w:hAnsi="ITC Avant Garde" w:cs="Arial"/>
                <w:bCs/>
                <w:sz w:val="18"/>
                <w:szCs w:val="18"/>
                <w:lang w:eastAsia="es-MX"/>
              </w:rPr>
            </w:pPr>
            <w:r w:rsidRPr="002B640D">
              <w:rPr>
                <w:rFonts w:ascii="ITC Avant Garde" w:hAnsi="ITC Avant Garde" w:cs="Arial"/>
                <w:bCs/>
                <w:sz w:val="18"/>
                <w:szCs w:val="18"/>
                <w:lang w:eastAsia="es-MX"/>
              </w:rPr>
              <w:t xml:space="preserve">Altura promedio </w:t>
            </w:r>
          </w:p>
          <w:p w14:paraId="2971C805" w14:textId="77777777" w:rsidR="00CC54ED" w:rsidRPr="002B640D" w:rsidRDefault="005700FA" w:rsidP="002B640D">
            <w:pPr>
              <w:jc w:val="center"/>
              <w:rPr>
                <w:rFonts w:ascii="ITC Avant Garde" w:hAnsi="ITC Avant Garde" w:cs="Arial"/>
                <w:bCs/>
                <w:sz w:val="18"/>
                <w:szCs w:val="18"/>
                <w:lang w:eastAsia="es-MX"/>
              </w:rPr>
            </w:pPr>
            <w:r w:rsidRPr="002B640D">
              <w:rPr>
                <w:rFonts w:ascii="ITC Avant Garde" w:hAnsi="ITC Avant Garde" w:cs="Arial"/>
                <w:bCs/>
                <w:sz w:val="18"/>
                <w:szCs w:val="18"/>
                <w:lang w:eastAsia="es-MX"/>
              </w:rPr>
              <w:t>ponderada de torre</w:t>
            </w:r>
          </w:p>
        </w:tc>
        <w:tc>
          <w:tcPr>
            <w:tcW w:w="981" w:type="dxa"/>
            <w:noWrap/>
            <w:vAlign w:val="center"/>
            <w:hideMark/>
          </w:tcPr>
          <w:p w14:paraId="0D132483" w14:textId="77777777" w:rsidR="00CC54ED" w:rsidRPr="002B640D" w:rsidRDefault="009F5D40" w:rsidP="002B640D">
            <w:pPr>
              <w:jc w:val="center"/>
              <w:rPr>
                <w:rFonts w:ascii="ITC Avant Garde" w:hAnsi="ITC Avant Garde" w:cs="Arial"/>
                <w:b/>
                <w:bCs/>
                <w:sz w:val="18"/>
                <w:szCs w:val="18"/>
                <w:lang w:eastAsia="es-MX"/>
              </w:rPr>
            </w:pPr>
            <w:r w:rsidRPr="002B640D">
              <w:rPr>
                <w:rFonts w:ascii="ITC Avant Garde" w:hAnsi="ITC Avant Garde" w:cs="Arial"/>
                <w:sz w:val="18"/>
                <w:szCs w:val="18"/>
                <w:lang w:eastAsia="es-MX"/>
              </w:rPr>
              <w:t xml:space="preserve">Metros </w:t>
            </w:r>
            <w:r w:rsidR="00CC54ED" w:rsidRPr="002B640D">
              <w:rPr>
                <w:rFonts w:ascii="ITC Avant Garde" w:hAnsi="ITC Avant Garde" w:cs="Arial"/>
                <w:sz w:val="18"/>
                <w:szCs w:val="18"/>
                <w:lang w:eastAsia="es-MX"/>
              </w:rPr>
              <w:t>l</w:t>
            </w:r>
            <w:r w:rsidRPr="002B640D">
              <w:rPr>
                <w:rFonts w:ascii="ITC Avant Garde" w:hAnsi="ITC Avant Garde" w:cs="Arial"/>
                <w:sz w:val="18"/>
                <w:szCs w:val="18"/>
                <w:lang w:eastAsia="es-MX"/>
              </w:rPr>
              <w:t>ineales</w:t>
            </w:r>
          </w:p>
        </w:tc>
        <w:tc>
          <w:tcPr>
            <w:tcW w:w="1086" w:type="dxa"/>
            <w:shd w:val="clear" w:color="auto" w:fill="auto"/>
            <w:noWrap/>
            <w:vAlign w:val="center"/>
          </w:tcPr>
          <w:p w14:paraId="326C6E03" w14:textId="77777777" w:rsidR="00CC54ED" w:rsidRPr="002B640D" w:rsidRDefault="001D6591"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29.00</w:t>
            </w:r>
          </w:p>
        </w:tc>
        <w:tc>
          <w:tcPr>
            <w:tcW w:w="1086" w:type="dxa"/>
            <w:shd w:val="clear" w:color="auto" w:fill="auto"/>
            <w:noWrap/>
            <w:vAlign w:val="center"/>
          </w:tcPr>
          <w:p w14:paraId="04C53A51" w14:textId="77777777" w:rsidR="00CC54ED" w:rsidRPr="002B640D" w:rsidRDefault="001D6591"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31.65</w:t>
            </w:r>
          </w:p>
        </w:tc>
        <w:tc>
          <w:tcPr>
            <w:tcW w:w="1086" w:type="dxa"/>
            <w:shd w:val="clear" w:color="auto" w:fill="auto"/>
            <w:noWrap/>
            <w:vAlign w:val="center"/>
          </w:tcPr>
          <w:p w14:paraId="1D5AE502" w14:textId="77777777" w:rsidR="00CC54ED" w:rsidRPr="002B640D" w:rsidRDefault="001D6591"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30.17</w:t>
            </w:r>
          </w:p>
        </w:tc>
        <w:tc>
          <w:tcPr>
            <w:tcW w:w="1086" w:type="dxa"/>
            <w:shd w:val="clear" w:color="auto" w:fill="auto"/>
            <w:noWrap/>
            <w:vAlign w:val="center"/>
          </w:tcPr>
          <w:p w14:paraId="43103E51" w14:textId="77777777" w:rsidR="00CC54ED" w:rsidRPr="002B640D" w:rsidRDefault="008723AB"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33.24</w:t>
            </w:r>
          </w:p>
        </w:tc>
        <w:tc>
          <w:tcPr>
            <w:tcW w:w="1086" w:type="dxa"/>
            <w:shd w:val="clear" w:color="auto" w:fill="auto"/>
            <w:noWrap/>
            <w:vAlign w:val="center"/>
          </w:tcPr>
          <w:p w14:paraId="613372EE" w14:textId="77777777" w:rsidR="00CC54ED" w:rsidRPr="002B640D" w:rsidRDefault="008723AB"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 xml:space="preserve">31.17 </w:t>
            </w:r>
          </w:p>
        </w:tc>
      </w:tr>
    </w:tbl>
    <w:p w14:paraId="6951A7A2" w14:textId="77777777" w:rsidR="002B640D" w:rsidRPr="002B640D" w:rsidRDefault="00A5275D" w:rsidP="002B640D">
      <w:pPr>
        <w:pStyle w:val="L1"/>
        <w:numPr>
          <w:ilvl w:val="0"/>
          <w:numId w:val="0"/>
        </w:numPr>
        <w:spacing w:before="240"/>
        <w:jc w:val="center"/>
        <w:rPr>
          <w:rFonts w:ascii="ITC Avant Garde" w:hAnsi="ITC Avant Garde"/>
          <w:sz w:val="20"/>
          <w:lang w:val="es-MX"/>
        </w:rPr>
      </w:pPr>
      <w:r w:rsidRPr="002B640D">
        <w:rPr>
          <w:rFonts w:ascii="ITC Avant Garde" w:hAnsi="ITC Avant Garde"/>
          <w:b/>
          <w:sz w:val="18"/>
          <w:lang w:val="es-MX"/>
        </w:rPr>
        <w:t xml:space="preserve">Tabla </w:t>
      </w:r>
      <w:r w:rsidR="00D85C28" w:rsidRPr="002B640D">
        <w:rPr>
          <w:rFonts w:ascii="ITC Avant Garde" w:hAnsi="ITC Avant Garde"/>
          <w:b/>
          <w:sz w:val="18"/>
          <w:lang w:val="es-MX"/>
        </w:rPr>
        <w:t>15</w:t>
      </w:r>
      <w:r w:rsidR="00CC54ED" w:rsidRPr="002B640D">
        <w:rPr>
          <w:rFonts w:ascii="ITC Avant Garde" w:hAnsi="ITC Avant Garde"/>
          <w:b/>
          <w:sz w:val="18"/>
          <w:lang w:val="es-MX"/>
        </w:rPr>
        <w:t>:</w:t>
      </w:r>
      <w:r w:rsidR="00CC54ED" w:rsidRPr="002B640D">
        <w:rPr>
          <w:rFonts w:ascii="ITC Avant Garde" w:hAnsi="ITC Avant Garde"/>
          <w:sz w:val="20"/>
          <w:lang w:val="es-MX"/>
        </w:rPr>
        <w:t xml:space="preserve"> </w:t>
      </w:r>
      <w:r w:rsidR="00CC54ED" w:rsidRPr="002B640D">
        <w:rPr>
          <w:rFonts w:ascii="ITC Avant Garde" w:hAnsi="ITC Avant Garde"/>
          <w:sz w:val="18"/>
          <w:lang w:val="es-MX"/>
        </w:rPr>
        <w:t>Altura promedi</w:t>
      </w:r>
      <w:r w:rsidR="009F5D40" w:rsidRPr="002B640D">
        <w:rPr>
          <w:rFonts w:ascii="ITC Avant Garde" w:hAnsi="ITC Avant Garde"/>
          <w:sz w:val="18"/>
          <w:lang w:val="es-MX"/>
        </w:rPr>
        <w:t xml:space="preserve">o por </w:t>
      </w:r>
      <w:proofErr w:type="spellStart"/>
      <w:r w:rsidR="009F5D40" w:rsidRPr="002B640D">
        <w:rPr>
          <w:rFonts w:ascii="ITC Avant Garde" w:hAnsi="ITC Avant Garde"/>
          <w:sz w:val="18"/>
          <w:lang w:val="es-MX"/>
        </w:rPr>
        <w:t>geotipo</w:t>
      </w:r>
      <w:proofErr w:type="spellEnd"/>
      <w:r w:rsidR="00D85C28" w:rsidRPr="002B640D">
        <w:rPr>
          <w:rFonts w:ascii="ITC Avant Garde" w:hAnsi="ITC Avant Garde"/>
          <w:sz w:val="18"/>
          <w:lang w:val="es-MX"/>
        </w:rPr>
        <w:t>.</w:t>
      </w:r>
    </w:p>
    <w:p w14:paraId="7ABB6EC5" w14:textId="66F53DD3" w:rsidR="00CC54ED" w:rsidRPr="002B640D" w:rsidRDefault="00CC54ED" w:rsidP="002B640D">
      <w:pPr>
        <w:pStyle w:val="IFTnormal"/>
        <w:spacing w:before="240" w:line="240" w:lineRule="auto"/>
      </w:pPr>
      <w:r w:rsidRPr="002B640D">
        <w:t xml:space="preserve">En tales términos, el factor de cobro asociado por </w:t>
      </w:r>
      <w:proofErr w:type="spellStart"/>
      <w:r w:rsidRPr="002B640D">
        <w:t>geotipo</w:t>
      </w:r>
      <w:proofErr w:type="spellEnd"/>
      <w:r w:rsidRPr="002B640D">
        <w:t xml:space="preserve"> será el siguiente: </w:t>
      </w:r>
    </w:p>
    <w:tbl>
      <w:tblPr>
        <w:tblStyle w:val="Tablaconcuadrcula"/>
        <w:tblW w:w="4745" w:type="pct"/>
        <w:jc w:val="center"/>
        <w:tblLayout w:type="fixed"/>
        <w:tblLook w:val="04A0" w:firstRow="1" w:lastRow="0" w:firstColumn="1" w:lastColumn="0" w:noHBand="0" w:noVBand="1"/>
        <w:tblCaption w:val="Tabla"/>
        <w:tblDescription w:val="Tabla 16: Factor de cobro por geotipo."/>
      </w:tblPr>
      <w:tblGrid>
        <w:gridCol w:w="1838"/>
        <w:gridCol w:w="995"/>
        <w:gridCol w:w="1274"/>
        <w:gridCol w:w="1186"/>
        <w:gridCol w:w="1014"/>
        <w:gridCol w:w="1014"/>
        <w:gridCol w:w="1008"/>
      </w:tblGrid>
      <w:tr w:rsidR="00CC54ED" w:rsidRPr="002B640D" w14:paraId="74651B1F" w14:textId="77777777" w:rsidTr="00BB40D2">
        <w:trPr>
          <w:trHeight w:val="460"/>
          <w:tblHeader/>
          <w:jc w:val="center"/>
        </w:trPr>
        <w:tc>
          <w:tcPr>
            <w:tcW w:w="1103" w:type="pct"/>
            <w:shd w:val="clear" w:color="auto" w:fill="D9D9D9" w:themeFill="background1" w:themeFillShade="D9"/>
            <w:noWrap/>
            <w:vAlign w:val="center"/>
          </w:tcPr>
          <w:p w14:paraId="0395715C" w14:textId="77777777" w:rsidR="00CC54ED" w:rsidRPr="002B640D" w:rsidRDefault="00CC54ED" w:rsidP="002B640D">
            <w:pPr>
              <w:jc w:val="center"/>
              <w:rPr>
                <w:rFonts w:ascii="ITC Avant Garde" w:hAnsi="ITC Avant Garde" w:cs="Arial"/>
                <w:b/>
                <w:sz w:val="18"/>
                <w:szCs w:val="18"/>
                <w:lang w:eastAsia="es-MX"/>
              </w:rPr>
            </w:pPr>
            <w:r w:rsidRPr="002B640D">
              <w:rPr>
                <w:rFonts w:ascii="ITC Avant Garde" w:hAnsi="ITC Avant Garde" w:cs="Arial"/>
                <w:b/>
                <w:sz w:val="18"/>
                <w:szCs w:val="18"/>
                <w:lang w:eastAsia="es-MX"/>
              </w:rPr>
              <w:t>Elemento</w:t>
            </w:r>
          </w:p>
        </w:tc>
        <w:tc>
          <w:tcPr>
            <w:tcW w:w="597" w:type="pct"/>
            <w:shd w:val="clear" w:color="auto" w:fill="D9D9D9" w:themeFill="background1" w:themeFillShade="D9"/>
            <w:noWrap/>
            <w:vAlign w:val="center"/>
          </w:tcPr>
          <w:p w14:paraId="172A7838" w14:textId="77777777" w:rsidR="00CC54ED" w:rsidRPr="002B640D" w:rsidRDefault="00CC54ED" w:rsidP="002B640D">
            <w:pPr>
              <w:jc w:val="center"/>
              <w:rPr>
                <w:rFonts w:ascii="ITC Avant Garde" w:hAnsi="ITC Avant Garde" w:cs="Arial"/>
                <w:b/>
                <w:sz w:val="18"/>
                <w:szCs w:val="18"/>
                <w:lang w:eastAsia="es-MX"/>
              </w:rPr>
            </w:pPr>
            <w:r w:rsidRPr="002B640D">
              <w:rPr>
                <w:rFonts w:ascii="ITC Avant Garde" w:hAnsi="ITC Avant Garde" w:cs="Arial"/>
                <w:b/>
                <w:sz w:val="18"/>
                <w:szCs w:val="18"/>
                <w:lang w:eastAsia="es-MX"/>
              </w:rPr>
              <w:t>Unidad</w:t>
            </w:r>
          </w:p>
        </w:tc>
        <w:tc>
          <w:tcPr>
            <w:tcW w:w="765" w:type="pct"/>
            <w:shd w:val="clear" w:color="auto" w:fill="D9D9D9" w:themeFill="background1" w:themeFillShade="D9"/>
            <w:noWrap/>
            <w:vAlign w:val="center"/>
          </w:tcPr>
          <w:p w14:paraId="5352ACBF" w14:textId="77777777" w:rsidR="00CC54ED" w:rsidRPr="002B640D" w:rsidRDefault="00CC54ED" w:rsidP="002B640D">
            <w:pPr>
              <w:jc w:val="center"/>
              <w:rPr>
                <w:rFonts w:ascii="ITC Avant Garde" w:hAnsi="ITC Avant Garde"/>
                <w:b/>
                <w:sz w:val="18"/>
                <w:lang w:eastAsia="es-MX"/>
              </w:rPr>
            </w:pPr>
            <w:r w:rsidRPr="002B640D">
              <w:rPr>
                <w:rFonts w:ascii="ITC Avant Garde" w:hAnsi="ITC Avant Garde"/>
                <w:b/>
                <w:sz w:val="18"/>
                <w:lang w:eastAsia="es-MX"/>
              </w:rPr>
              <w:t>Sitios AAA</w:t>
            </w:r>
          </w:p>
        </w:tc>
        <w:tc>
          <w:tcPr>
            <w:tcW w:w="712" w:type="pct"/>
            <w:shd w:val="clear" w:color="auto" w:fill="D9D9D9" w:themeFill="background1" w:themeFillShade="D9"/>
            <w:noWrap/>
            <w:vAlign w:val="center"/>
          </w:tcPr>
          <w:p w14:paraId="25BA0244" w14:textId="77777777" w:rsidR="00CC54ED" w:rsidRPr="002B640D" w:rsidRDefault="00CC54ED" w:rsidP="002B640D">
            <w:pPr>
              <w:jc w:val="center"/>
              <w:rPr>
                <w:rFonts w:ascii="ITC Avant Garde" w:hAnsi="ITC Avant Garde"/>
                <w:b/>
                <w:sz w:val="18"/>
                <w:lang w:eastAsia="es-MX"/>
              </w:rPr>
            </w:pPr>
            <w:r w:rsidRPr="002B640D">
              <w:rPr>
                <w:rFonts w:ascii="ITC Avant Garde" w:hAnsi="ITC Avant Garde"/>
                <w:b/>
                <w:sz w:val="18"/>
                <w:lang w:eastAsia="es-MX"/>
              </w:rPr>
              <w:t>Sitios AA</w:t>
            </w:r>
          </w:p>
        </w:tc>
        <w:tc>
          <w:tcPr>
            <w:tcW w:w="609" w:type="pct"/>
            <w:shd w:val="clear" w:color="auto" w:fill="D9D9D9" w:themeFill="background1" w:themeFillShade="D9"/>
            <w:noWrap/>
            <w:vAlign w:val="center"/>
          </w:tcPr>
          <w:p w14:paraId="6BF5AD3D" w14:textId="77777777" w:rsidR="00CC54ED" w:rsidRPr="002B640D" w:rsidRDefault="00CC54ED" w:rsidP="002B640D">
            <w:pPr>
              <w:jc w:val="center"/>
              <w:rPr>
                <w:rFonts w:ascii="ITC Avant Garde" w:hAnsi="ITC Avant Garde"/>
                <w:b/>
                <w:sz w:val="18"/>
                <w:lang w:eastAsia="es-MX"/>
              </w:rPr>
            </w:pPr>
            <w:r w:rsidRPr="002B640D">
              <w:rPr>
                <w:rFonts w:ascii="ITC Avant Garde" w:hAnsi="ITC Avant Garde"/>
                <w:b/>
                <w:sz w:val="18"/>
                <w:lang w:eastAsia="es-MX"/>
              </w:rPr>
              <w:t>Sitios A</w:t>
            </w:r>
          </w:p>
        </w:tc>
        <w:tc>
          <w:tcPr>
            <w:tcW w:w="609" w:type="pct"/>
            <w:shd w:val="clear" w:color="auto" w:fill="D9D9D9" w:themeFill="background1" w:themeFillShade="D9"/>
            <w:noWrap/>
            <w:vAlign w:val="center"/>
          </w:tcPr>
          <w:p w14:paraId="4B03E263" w14:textId="77777777" w:rsidR="00CC54ED" w:rsidRPr="002B640D" w:rsidRDefault="00F673E1" w:rsidP="002B640D">
            <w:pPr>
              <w:jc w:val="center"/>
              <w:rPr>
                <w:rFonts w:ascii="ITC Avant Garde" w:hAnsi="ITC Avant Garde"/>
                <w:b/>
                <w:sz w:val="18"/>
                <w:lang w:eastAsia="es-MX"/>
              </w:rPr>
            </w:pPr>
            <w:r w:rsidRPr="002B640D">
              <w:rPr>
                <w:rFonts w:ascii="ITC Avant Garde" w:hAnsi="ITC Avant Garde"/>
                <w:b/>
                <w:sz w:val="18"/>
                <w:lang w:eastAsia="es-MX"/>
              </w:rPr>
              <w:t>Sitios B</w:t>
            </w:r>
          </w:p>
        </w:tc>
        <w:tc>
          <w:tcPr>
            <w:tcW w:w="605" w:type="pct"/>
            <w:shd w:val="clear" w:color="auto" w:fill="D9D9D9" w:themeFill="background1" w:themeFillShade="D9"/>
            <w:noWrap/>
            <w:vAlign w:val="center"/>
          </w:tcPr>
          <w:p w14:paraId="6F10D916" w14:textId="77777777" w:rsidR="00CC54ED" w:rsidRPr="002B640D" w:rsidRDefault="00F673E1" w:rsidP="002B640D">
            <w:pPr>
              <w:jc w:val="center"/>
              <w:rPr>
                <w:rFonts w:ascii="ITC Avant Garde" w:hAnsi="ITC Avant Garde"/>
                <w:b/>
                <w:sz w:val="18"/>
                <w:lang w:eastAsia="es-MX"/>
              </w:rPr>
            </w:pPr>
            <w:r w:rsidRPr="002B640D">
              <w:rPr>
                <w:rFonts w:ascii="ITC Avant Garde" w:hAnsi="ITC Avant Garde"/>
                <w:b/>
                <w:sz w:val="18"/>
                <w:lang w:eastAsia="es-MX"/>
              </w:rPr>
              <w:t>Sitios I</w:t>
            </w:r>
          </w:p>
        </w:tc>
      </w:tr>
      <w:tr w:rsidR="00CC54ED" w:rsidRPr="002B640D" w14:paraId="69D83965" w14:textId="77777777" w:rsidTr="00BB40D2">
        <w:trPr>
          <w:trHeight w:val="283"/>
          <w:tblHeader/>
          <w:jc w:val="center"/>
        </w:trPr>
        <w:tc>
          <w:tcPr>
            <w:tcW w:w="1103" w:type="pct"/>
            <w:noWrap/>
            <w:vAlign w:val="center"/>
            <w:hideMark/>
          </w:tcPr>
          <w:p w14:paraId="65CE7776" w14:textId="77777777" w:rsidR="00CC54ED" w:rsidRPr="002B640D" w:rsidRDefault="00CC54ED" w:rsidP="002B640D">
            <w:pPr>
              <w:jc w:val="center"/>
              <w:rPr>
                <w:rFonts w:ascii="ITC Avant Garde" w:hAnsi="ITC Avant Garde" w:cs="Arial"/>
                <w:b/>
                <w:sz w:val="18"/>
                <w:szCs w:val="18"/>
                <w:lang w:eastAsia="es-MX"/>
              </w:rPr>
            </w:pPr>
            <w:r w:rsidRPr="002B640D">
              <w:rPr>
                <w:rFonts w:ascii="ITC Avant Garde" w:hAnsi="ITC Avant Garde" w:cs="Arial"/>
                <w:sz w:val="18"/>
                <w:szCs w:val="18"/>
                <w:lang w:eastAsia="es-MX"/>
              </w:rPr>
              <w:t>Factor de cobro</w:t>
            </w:r>
          </w:p>
        </w:tc>
        <w:tc>
          <w:tcPr>
            <w:tcW w:w="597" w:type="pct"/>
            <w:noWrap/>
            <w:vAlign w:val="center"/>
            <w:hideMark/>
          </w:tcPr>
          <w:p w14:paraId="3CC9C5CE" w14:textId="77777777" w:rsidR="00CC54ED" w:rsidRPr="002B640D" w:rsidRDefault="00CC54ED" w:rsidP="002B640D">
            <w:pPr>
              <w:jc w:val="center"/>
              <w:rPr>
                <w:rFonts w:ascii="ITC Avant Garde" w:hAnsi="ITC Avant Garde" w:cs="Arial"/>
                <w:b/>
                <w:sz w:val="18"/>
                <w:szCs w:val="18"/>
                <w:vertAlign w:val="superscript"/>
                <w:lang w:eastAsia="es-MX"/>
              </w:rPr>
            </w:pPr>
            <w:r w:rsidRPr="002B640D">
              <w:rPr>
                <w:rFonts w:ascii="ITC Avant Garde" w:hAnsi="ITC Avant Garde" w:cs="Arial"/>
                <w:sz w:val="18"/>
                <w:szCs w:val="18"/>
                <w:lang w:eastAsia="es-MX"/>
              </w:rPr>
              <w:t>M.N./m</w:t>
            </w:r>
            <w:r w:rsidRPr="002B640D">
              <w:rPr>
                <w:rFonts w:ascii="ITC Avant Garde" w:hAnsi="ITC Avant Garde" w:cs="Arial"/>
                <w:sz w:val="18"/>
                <w:szCs w:val="18"/>
                <w:vertAlign w:val="superscript"/>
                <w:lang w:eastAsia="es-MX"/>
              </w:rPr>
              <w:t>3</w:t>
            </w:r>
          </w:p>
        </w:tc>
        <w:tc>
          <w:tcPr>
            <w:tcW w:w="765" w:type="pct"/>
            <w:noWrap/>
          </w:tcPr>
          <w:p w14:paraId="23B644CF" w14:textId="77777777" w:rsidR="00CC54ED" w:rsidRPr="002B640D" w:rsidRDefault="009970FD"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42.04</w:t>
            </w:r>
          </w:p>
        </w:tc>
        <w:tc>
          <w:tcPr>
            <w:tcW w:w="712" w:type="pct"/>
            <w:noWrap/>
          </w:tcPr>
          <w:p w14:paraId="227A6BEE" w14:textId="77777777" w:rsidR="00CC54ED" w:rsidRPr="002B640D" w:rsidRDefault="009970FD"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20.95</w:t>
            </w:r>
          </w:p>
        </w:tc>
        <w:tc>
          <w:tcPr>
            <w:tcW w:w="609" w:type="pct"/>
            <w:noWrap/>
          </w:tcPr>
          <w:p w14:paraId="4D8B3BD0" w14:textId="77777777" w:rsidR="00CC54ED" w:rsidRPr="002B640D" w:rsidRDefault="009970FD"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28.70</w:t>
            </w:r>
          </w:p>
        </w:tc>
        <w:tc>
          <w:tcPr>
            <w:tcW w:w="609" w:type="pct"/>
            <w:noWrap/>
            <w:vAlign w:val="center"/>
          </w:tcPr>
          <w:p w14:paraId="718276CC" w14:textId="77777777" w:rsidR="00CC54ED" w:rsidRPr="002B640D" w:rsidRDefault="009970FD"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26.40</w:t>
            </w:r>
          </w:p>
        </w:tc>
        <w:tc>
          <w:tcPr>
            <w:tcW w:w="605" w:type="pct"/>
            <w:noWrap/>
            <w:vAlign w:val="center"/>
          </w:tcPr>
          <w:p w14:paraId="351460F4" w14:textId="77777777" w:rsidR="00CC54ED" w:rsidRPr="002B640D" w:rsidRDefault="009970FD"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24.38</w:t>
            </w:r>
          </w:p>
        </w:tc>
      </w:tr>
    </w:tbl>
    <w:p w14:paraId="10B649D7" w14:textId="77777777" w:rsidR="002B640D" w:rsidRPr="002B640D" w:rsidRDefault="00A5275D" w:rsidP="002B640D">
      <w:pPr>
        <w:pStyle w:val="L1"/>
        <w:numPr>
          <w:ilvl w:val="0"/>
          <w:numId w:val="0"/>
        </w:numPr>
        <w:spacing w:before="240"/>
        <w:ind w:left="360" w:hanging="360"/>
        <w:jc w:val="center"/>
        <w:rPr>
          <w:rFonts w:ascii="ITC Avant Garde" w:hAnsi="ITC Avant Garde"/>
          <w:sz w:val="18"/>
          <w:lang w:val="es-MX"/>
        </w:rPr>
      </w:pPr>
      <w:r w:rsidRPr="002B640D">
        <w:rPr>
          <w:rFonts w:ascii="ITC Avant Garde" w:hAnsi="ITC Avant Garde"/>
          <w:b/>
          <w:sz w:val="18"/>
          <w:lang w:val="es-MX"/>
        </w:rPr>
        <w:t xml:space="preserve">Tabla </w:t>
      </w:r>
      <w:r w:rsidR="00D85C28" w:rsidRPr="002B640D">
        <w:rPr>
          <w:rFonts w:ascii="ITC Avant Garde" w:hAnsi="ITC Avant Garde"/>
          <w:b/>
          <w:sz w:val="18"/>
          <w:lang w:val="es-MX"/>
        </w:rPr>
        <w:t>16</w:t>
      </w:r>
      <w:r w:rsidR="00CC54ED" w:rsidRPr="002B640D">
        <w:rPr>
          <w:rFonts w:ascii="ITC Avant Garde" w:hAnsi="ITC Avant Garde"/>
          <w:b/>
          <w:sz w:val="18"/>
          <w:lang w:val="es-MX"/>
        </w:rPr>
        <w:t>:</w:t>
      </w:r>
      <w:r w:rsidR="00CC54ED" w:rsidRPr="002B640D">
        <w:rPr>
          <w:rFonts w:ascii="ITC Avant Garde" w:hAnsi="ITC Avant Garde"/>
          <w:sz w:val="20"/>
          <w:lang w:val="es-MX"/>
        </w:rPr>
        <w:t xml:space="preserve"> </w:t>
      </w:r>
      <w:r w:rsidR="00CC54ED" w:rsidRPr="002B640D">
        <w:rPr>
          <w:rFonts w:ascii="ITC Avant Garde" w:hAnsi="ITC Avant Garde"/>
          <w:sz w:val="18"/>
          <w:lang w:val="es-MX"/>
        </w:rPr>
        <w:t>Factor de cobr</w:t>
      </w:r>
      <w:r w:rsidR="005700FA" w:rsidRPr="002B640D">
        <w:rPr>
          <w:rFonts w:ascii="ITC Avant Garde" w:hAnsi="ITC Avant Garde"/>
          <w:sz w:val="18"/>
          <w:lang w:val="es-MX"/>
        </w:rPr>
        <w:t xml:space="preserve">o por </w:t>
      </w:r>
      <w:proofErr w:type="spellStart"/>
      <w:r w:rsidR="005700FA" w:rsidRPr="002B640D">
        <w:rPr>
          <w:rFonts w:ascii="ITC Avant Garde" w:hAnsi="ITC Avant Garde"/>
          <w:sz w:val="18"/>
          <w:lang w:val="es-MX"/>
        </w:rPr>
        <w:t>geotipo</w:t>
      </w:r>
      <w:proofErr w:type="spellEnd"/>
      <w:r w:rsidR="00D85C28" w:rsidRPr="002B640D">
        <w:rPr>
          <w:rFonts w:ascii="ITC Avant Garde" w:hAnsi="ITC Avant Garde"/>
          <w:sz w:val="18"/>
          <w:lang w:val="es-MX"/>
        </w:rPr>
        <w:t>.</w:t>
      </w:r>
    </w:p>
    <w:p w14:paraId="190059C6" w14:textId="7C98E5D6" w:rsidR="00CC54ED" w:rsidRPr="002B640D" w:rsidRDefault="00CC54ED" w:rsidP="002B640D">
      <w:pPr>
        <w:pStyle w:val="Listaconvietas"/>
        <w:spacing w:before="240"/>
      </w:pPr>
      <w:r w:rsidRPr="002B640D">
        <w:t>Por el acceso y uso de Espacio Aprobado en Piso</w:t>
      </w:r>
    </w:p>
    <w:p w14:paraId="3D80C9FC" w14:textId="1F8F3FA6" w:rsidR="00BE3709" w:rsidRPr="002B640D" w:rsidRDefault="00CC54ED" w:rsidP="002B640D">
      <w:pPr>
        <w:pStyle w:val="IFTnormal"/>
        <w:spacing w:before="240"/>
      </w:pPr>
      <w:r w:rsidRPr="002B640D">
        <w:t>La tarifa por el acceso y uso de Espacio Aprobado en Piso en el cual el AEP tenga propiedad, o aquella por cuya propiedad sean causahabientes o cesionarios de sus derechos o que resulten de reestructuras corporativas o modificaciones accionarias derivadas de concentraciones de cualquier tipo a agentes vinculados con el AEP, se seguirá el siguiente esquema de cobro:</w:t>
      </w:r>
    </w:p>
    <w:p w14:paraId="5391E872" w14:textId="6457F263" w:rsidR="009C24DE" w:rsidRPr="002B640D" w:rsidRDefault="00BE3709" w:rsidP="002B640D">
      <w:pPr>
        <w:pStyle w:val="IFTnormal"/>
        <w:spacing w:before="240"/>
        <w:jc w:val="center"/>
      </w:pPr>
      <w:r w:rsidRPr="002B640D">
        <w:rPr>
          <w:b/>
          <w:sz w:val="18"/>
          <w:lang w:eastAsia="es-MX"/>
        </w:rPr>
        <w:t>TARIFA MENSUAL</w:t>
      </w:r>
      <w:r w:rsidRPr="002B640D">
        <w:rPr>
          <w:rStyle w:val="Refdenotaalpie"/>
          <w:b/>
          <w:sz w:val="18"/>
          <w:lang w:eastAsia="es-MX"/>
        </w:rPr>
        <w:footnoteReference w:id="36"/>
      </w:r>
    </w:p>
    <w:tbl>
      <w:tblPr>
        <w:tblStyle w:val="Tablaconcuadrcula"/>
        <w:tblW w:w="5355" w:type="pct"/>
        <w:jc w:val="center"/>
        <w:tblLayout w:type="fixed"/>
        <w:tblLook w:val="04A0" w:firstRow="1" w:lastRow="0" w:firstColumn="1" w:lastColumn="0" w:noHBand="0" w:noVBand="1"/>
        <w:tblCaption w:val="Tabla"/>
        <w:tblDescription w:val="Tabla 17: Tarifas mensuales por el Espacio Aprobado en Piso."/>
      </w:tblPr>
      <w:tblGrid>
        <w:gridCol w:w="1270"/>
        <w:gridCol w:w="1846"/>
        <w:gridCol w:w="1570"/>
        <w:gridCol w:w="1570"/>
        <w:gridCol w:w="1570"/>
        <w:gridCol w:w="1574"/>
      </w:tblGrid>
      <w:tr w:rsidR="00BE3709" w:rsidRPr="002B640D" w14:paraId="1A1AD6C9" w14:textId="77777777" w:rsidTr="00BE3709">
        <w:trPr>
          <w:trHeight w:val="389"/>
          <w:tblHeader/>
          <w:jc w:val="center"/>
        </w:trPr>
        <w:tc>
          <w:tcPr>
            <w:tcW w:w="676" w:type="pct"/>
            <w:tcBorders>
              <w:top w:val="single" w:sz="4" w:space="0" w:color="auto"/>
            </w:tcBorders>
            <w:shd w:val="clear" w:color="auto" w:fill="D9D9D9" w:themeFill="background1" w:themeFillShade="D9"/>
            <w:noWrap/>
            <w:vAlign w:val="center"/>
          </w:tcPr>
          <w:p w14:paraId="2F3B21EF" w14:textId="5484822E" w:rsidR="00BE3709" w:rsidRPr="002B640D" w:rsidRDefault="00BE3709" w:rsidP="002B640D">
            <w:pPr>
              <w:jc w:val="center"/>
              <w:rPr>
                <w:rFonts w:ascii="ITC Avant Garde" w:hAnsi="ITC Avant Garde" w:cs="Arial"/>
                <w:bCs/>
                <w:sz w:val="18"/>
                <w:szCs w:val="18"/>
                <w:lang w:eastAsia="es-MX"/>
              </w:rPr>
            </w:pPr>
            <w:r w:rsidRPr="002B640D">
              <w:rPr>
                <w:rFonts w:ascii="ITC Avant Garde" w:hAnsi="ITC Avant Garde" w:cs="Arial"/>
                <w:b/>
                <w:bCs/>
                <w:sz w:val="18"/>
                <w:szCs w:val="18"/>
                <w:lang w:eastAsia="es-MX"/>
              </w:rPr>
              <w:lastRenderedPageBreak/>
              <w:t>Tipo de Espacio en Piso</w:t>
            </w:r>
          </w:p>
        </w:tc>
        <w:tc>
          <w:tcPr>
            <w:tcW w:w="982" w:type="pct"/>
            <w:tcBorders>
              <w:top w:val="single" w:sz="4" w:space="0" w:color="auto"/>
            </w:tcBorders>
            <w:shd w:val="clear" w:color="auto" w:fill="D9D9D9" w:themeFill="background1" w:themeFillShade="D9"/>
            <w:noWrap/>
            <w:vAlign w:val="center"/>
          </w:tcPr>
          <w:p w14:paraId="0A91A5A5" w14:textId="02A30BED"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b/>
                <w:sz w:val="18"/>
                <w:lang w:eastAsia="es-MX"/>
              </w:rPr>
              <w:t>Sitios AAA</w:t>
            </w:r>
          </w:p>
        </w:tc>
        <w:tc>
          <w:tcPr>
            <w:tcW w:w="835" w:type="pct"/>
            <w:tcBorders>
              <w:top w:val="single" w:sz="4" w:space="0" w:color="auto"/>
            </w:tcBorders>
            <w:shd w:val="clear" w:color="auto" w:fill="D9D9D9" w:themeFill="background1" w:themeFillShade="D9"/>
            <w:noWrap/>
            <w:vAlign w:val="center"/>
          </w:tcPr>
          <w:p w14:paraId="108C59ED" w14:textId="440D35F9"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b/>
                <w:sz w:val="18"/>
                <w:lang w:eastAsia="es-MX"/>
              </w:rPr>
              <w:t>Sitios AA</w:t>
            </w:r>
          </w:p>
        </w:tc>
        <w:tc>
          <w:tcPr>
            <w:tcW w:w="835" w:type="pct"/>
            <w:tcBorders>
              <w:top w:val="single" w:sz="4" w:space="0" w:color="auto"/>
            </w:tcBorders>
            <w:shd w:val="clear" w:color="auto" w:fill="D9D9D9" w:themeFill="background1" w:themeFillShade="D9"/>
            <w:noWrap/>
            <w:vAlign w:val="center"/>
          </w:tcPr>
          <w:p w14:paraId="7362884D" w14:textId="49DC781C"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b/>
                <w:sz w:val="18"/>
                <w:lang w:eastAsia="es-MX"/>
              </w:rPr>
              <w:t>Sitios A</w:t>
            </w:r>
          </w:p>
        </w:tc>
        <w:tc>
          <w:tcPr>
            <w:tcW w:w="835" w:type="pct"/>
            <w:tcBorders>
              <w:top w:val="single" w:sz="4" w:space="0" w:color="auto"/>
            </w:tcBorders>
            <w:shd w:val="clear" w:color="auto" w:fill="D9D9D9" w:themeFill="background1" w:themeFillShade="D9"/>
            <w:noWrap/>
            <w:vAlign w:val="center"/>
          </w:tcPr>
          <w:p w14:paraId="2613DC73" w14:textId="29F8B52C"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b/>
                <w:sz w:val="18"/>
                <w:lang w:eastAsia="es-MX"/>
              </w:rPr>
              <w:t>Sitios B</w:t>
            </w:r>
          </w:p>
        </w:tc>
        <w:tc>
          <w:tcPr>
            <w:tcW w:w="837" w:type="pct"/>
            <w:tcBorders>
              <w:top w:val="single" w:sz="4" w:space="0" w:color="auto"/>
            </w:tcBorders>
            <w:shd w:val="clear" w:color="auto" w:fill="D9D9D9" w:themeFill="background1" w:themeFillShade="D9"/>
            <w:noWrap/>
            <w:vAlign w:val="center"/>
          </w:tcPr>
          <w:p w14:paraId="62FCDF99" w14:textId="454B1B25"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b/>
                <w:sz w:val="18"/>
                <w:lang w:eastAsia="es-MX"/>
              </w:rPr>
              <w:t>Sitios I</w:t>
            </w:r>
          </w:p>
        </w:tc>
      </w:tr>
      <w:tr w:rsidR="00BE3709" w:rsidRPr="002B640D" w14:paraId="2D4B7906" w14:textId="77777777" w:rsidTr="00BE3709">
        <w:trPr>
          <w:trHeight w:val="389"/>
          <w:tblHeader/>
          <w:jc w:val="center"/>
        </w:trPr>
        <w:tc>
          <w:tcPr>
            <w:tcW w:w="676" w:type="pct"/>
            <w:tcBorders>
              <w:top w:val="single" w:sz="4" w:space="0" w:color="auto"/>
            </w:tcBorders>
            <w:noWrap/>
            <w:vAlign w:val="center"/>
          </w:tcPr>
          <w:p w14:paraId="4E26BED2" w14:textId="53522477" w:rsidR="00BE3709" w:rsidRPr="002B640D" w:rsidRDefault="00BE3709" w:rsidP="002B640D">
            <w:pPr>
              <w:jc w:val="center"/>
              <w:rPr>
                <w:rFonts w:ascii="ITC Avant Garde" w:hAnsi="ITC Avant Garde" w:cs="Arial"/>
                <w:bCs/>
                <w:sz w:val="18"/>
                <w:szCs w:val="18"/>
                <w:lang w:eastAsia="es-MX"/>
              </w:rPr>
            </w:pPr>
            <w:r w:rsidRPr="002B640D">
              <w:rPr>
                <w:rFonts w:ascii="ITC Avant Garde" w:hAnsi="ITC Avant Garde" w:cs="Arial"/>
                <w:bCs/>
                <w:sz w:val="18"/>
                <w:szCs w:val="18"/>
                <w:lang w:eastAsia="es-MX"/>
              </w:rPr>
              <w:t>En Predio</w:t>
            </w:r>
          </w:p>
        </w:tc>
        <w:tc>
          <w:tcPr>
            <w:tcW w:w="982" w:type="pct"/>
            <w:tcBorders>
              <w:top w:val="single" w:sz="4" w:space="0" w:color="auto"/>
            </w:tcBorders>
            <w:noWrap/>
            <w:vAlign w:val="center"/>
          </w:tcPr>
          <w:p w14:paraId="3F7357C1" w14:textId="114DBE34"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$15,787.04 M.N.</w:t>
            </w:r>
          </w:p>
        </w:tc>
        <w:tc>
          <w:tcPr>
            <w:tcW w:w="835" w:type="pct"/>
            <w:tcBorders>
              <w:top w:val="single" w:sz="4" w:space="0" w:color="auto"/>
            </w:tcBorders>
            <w:noWrap/>
            <w:vAlign w:val="center"/>
          </w:tcPr>
          <w:p w14:paraId="46FA5C4F" w14:textId="6E86839D"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$6,432.22 M.N.</w:t>
            </w:r>
          </w:p>
        </w:tc>
        <w:tc>
          <w:tcPr>
            <w:tcW w:w="835" w:type="pct"/>
            <w:tcBorders>
              <w:top w:val="single" w:sz="4" w:space="0" w:color="auto"/>
            </w:tcBorders>
            <w:noWrap/>
            <w:vAlign w:val="center"/>
          </w:tcPr>
          <w:p w14:paraId="0DB40A56" w14:textId="39741D1D"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$2,867.00 M.N.</w:t>
            </w:r>
          </w:p>
        </w:tc>
        <w:tc>
          <w:tcPr>
            <w:tcW w:w="835" w:type="pct"/>
            <w:tcBorders>
              <w:top w:val="single" w:sz="4" w:space="0" w:color="auto"/>
            </w:tcBorders>
            <w:noWrap/>
            <w:vAlign w:val="center"/>
          </w:tcPr>
          <w:p w14:paraId="4EFD2B3B" w14:textId="368DBDC6"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$496.86 M.N.</w:t>
            </w:r>
          </w:p>
        </w:tc>
        <w:tc>
          <w:tcPr>
            <w:tcW w:w="837" w:type="pct"/>
            <w:tcBorders>
              <w:top w:val="single" w:sz="4" w:space="0" w:color="auto"/>
            </w:tcBorders>
            <w:noWrap/>
            <w:vAlign w:val="center"/>
          </w:tcPr>
          <w:p w14:paraId="617053CB" w14:textId="76B61F68"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$3,528.39 M.N.</w:t>
            </w:r>
          </w:p>
        </w:tc>
      </w:tr>
      <w:tr w:rsidR="00BE3709" w:rsidRPr="002B640D" w14:paraId="25B49094" w14:textId="77777777" w:rsidTr="00BE3709">
        <w:trPr>
          <w:trHeight w:val="567"/>
          <w:tblHeader/>
          <w:jc w:val="center"/>
        </w:trPr>
        <w:tc>
          <w:tcPr>
            <w:tcW w:w="676" w:type="pct"/>
            <w:noWrap/>
            <w:vAlign w:val="center"/>
          </w:tcPr>
          <w:p w14:paraId="12AEAD92" w14:textId="77777777" w:rsidR="00BE3709" w:rsidRPr="002B640D" w:rsidRDefault="00BE3709" w:rsidP="002B640D">
            <w:pPr>
              <w:jc w:val="center"/>
              <w:rPr>
                <w:rFonts w:ascii="ITC Avant Garde" w:hAnsi="ITC Avant Garde" w:cs="Arial"/>
                <w:bCs/>
                <w:sz w:val="18"/>
                <w:szCs w:val="18"/>
                <w:lang w:eastAsia="es-MX"/>
              </w:rPr>
            </w:pPr>
            <w:r w:rsidRPr="002B640D">
              <w:rPr>
                <w:rFonts w:ascii="ITC Avant Garde" w:hAnsi="ITC Avant Garde" w:cs="Arial"/>
                <w:bCs/>
                <w:sz w:val="18"/>
                <w:szCs w:val="18"/>
                <w:lang w:eastAsia="es-MX"/>
              </w:rPr>
              <w:t>En Azotea</w:t>
            </w:r>
          </w:p>
        </w:tc>
        <w:tc>
          <w:tcPr>
            <w:tcW w:w="982" w:type="pct"/>
            <w:noWrap/>
            <w:vAlign w:val="center"/>
          </w:tcPr>
          <w:p w14:paraId="524577A1"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$16,163.80 M.N.</w:t>
            </w:r>
          </w:p>
        </w:tc>
        <w:tc>
          <w:tcPr>
            <w:tcW w:w="835" w:type="pct"/>
            <w:noWrap/>
            <w:vAlign w:val="center"/>
          </w:tcPr>
          <w:p w14:paraId="4E0B412A"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$6,808.97 M.N.</w:t>
            </w:r>
          </w:p>
        </w:tc>
        <w:tc>
          <w:tcPr>
            <w:tcW w:w="835" w:type="pct"/>
            <w:noWrap/>
            <w:vAlign w:val="center"/>
          </w:tcPr>
          <w:p w14:paraId="20CFD4C2"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$3,244.76 M.N.</w:t>
            </w:r>
          </w:p>
        </w:tc>
        <w:tc>
          <w:tcPr>
            <w:tcW w:w="835" w:type="pct"/>
            <w:noWrap/>
            <w:vAlign w:val="center"/>
          </w:tcPr>
          <w:p w14:paraId="6021CA8D"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$872.85 M.N.</w:t>
            </w:r>
          </w:p>
        </w:tc>
        <w:tc>
          <w:tcPr>
            <w:tcW w:w="837" w:type="pct"/>
            <w:noWrap/>
            <w:vAlign w:val="center"/>
          </w:tcPr>
          <w:p w14:paraId="0B646648"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 xml:space="preserve">$3,905.14 M.N. </w:t>
            </w:r>
          </w:p>
        </w:tc>
      </w:tr>
      <w:tr w:rsidR="00BE3709" w:rsidRPr="002B640D" w14:paraId="0452310F" w14:textId="77777777" w:rsidTr="00BE3709">
        <w:trPr>
          <w:trHeight w:val="567"/>
          <w:tblHeader/>
          <w:jc w:val="center"/>
        </w:trPr>
        <w:tc>
          <w:tcPr>
            <w:tcW w:w="676" w:type="pct"/>
            <w:noWrap/>
            <w:vAlign w:val="center"/>
          </w:tcPr>
          <w:p w14:paraId="1B1B4EFE" w14:textId="77777777" w:rsidR="00BE3709" w:rsidRPr="002B640D" w:rsidRDefault="00BE3709" w:rsidP="002B640D">
            <w:pPr>
              <w:jc w:val="center"/>
              <w:rPr>
                <w:rFonts w:ascii="ITC Avant Garde" w:hAnsi="ITC Avant Garde" w:cs="Arial"/>
                <w:bCs/>
                <w:sz w:val="18"/>
                <w:szCs w:val="18"/>
                <w:lang w:eastAsia="es-MX"/>
              </w:rPr>
            </w:pPr>
            <w:r w:rsidRPr="002B640D">
              <w:rPr>
                <w:rFonts w:ascii="ITC Avant Garde" w:hAnsi="ITC Avant Garde" w:cs="Arial"/>
                <w:bCs/>
                <w:sz w:val="18"/>
                <w:szCs w:val="18"/>
                <w:lang w:eastAsia="es-MX"/>
              </w:rPr>
              <w:t>En Caseta</w:t>
            </w:r>
          </w:p>
        </w:tc>
        <w:tc>
          <w:tcPr>
            <w:tcW w:w="982" w:type="pct"/>
            <w:noWrap/>
            <w:vAlign w:val="center"/>
          </w:tcPr>
          <w:p w14:paraId="01B215DB"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$17,243.83 M.N.</w:t>
            </w:r>
          </w:p>
        </w:tc>
        <w:tc>
          <w:tcPr>
            <w:tcW w:w="835" w:type="pct"/>
            <w:noWrap/>
            <w:vAlign w:val="center"/>
          </w:tcPr>
          <w:p w14:paraId="27FD3326"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$7,548.92 M.N.</w:t>
            </w:r>
          </w:p>
        </w:tc>
        <w:tc>
          <w:tcPr>
            <w:tcW w:w="835" w:type="pct"/>
            <w:noWrap/>
            <w:vAlign w:val="center"/>
          </w:tcPr>
          <w:p w14:paraId="37A00250"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$3,890.53 M.N.</w:t>
            </w:r>
          </w:p>
        </w:tc>
        <w:tc>
          <w:tcPr>
            <w:tcW w:w="835" w:type="pct"/>
            <w:noWrap/>
            <w:vAlign w:val="center"/>
          </w:tcPr>
          <w:p w14:paraId="108588D0"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$1,200.54 M.N.</w:t>
            </w:r>
          </w:p>
        </w:tc>
        <w:tc>
          <w:tcPr>
            <w:tcW w:w="837" w:type="pct"/>
            <w:noWrap/>
            <w:vAlign w:val="center"/>
          </w:tcPr>
          <w:p w14:paraId="6DDE4D8E"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 xml:space="preserve">$5,097.41 M.N. </w:t>
            </w:r>
          </w:p>
        </w:tc>
      </w:tr>
    </w:tbl>
    <w:p w14:paraId="523AB4B1" w14:textId="77777777" w:rsidR="002B640D" w:rsidRPr="002B640D" w:rsidRDefault="00A5275D" w:rsidP="002B640D">
      <w:pPr>
        <w:pStyle w:val="L1"/>
        <w:numPr>
          <w:ilvl w:val="0"/>
          <w:numId w:val="0"/>
        </w:numPr>
        <w:spacing w:before="240"/>
        <w:jc w:val="center"/>
        <w:rPr>
          <w:rFonts w:ascii="ITC Avant Garde Book" w:hAnsi="ITC Avant Garde Book"/>
          <w:b/>
          <w:sz w:val="20"/>
          <w:szCs w:val="20"/>
          <w:lang w:val="es-MX"/>
        </w:rPr>
      </w:pPr>
      <w:r w:rsidRPr="002B640D">
        <w:rPr>
          <w:rFonts w:ascii="ITC Avant Garde" w:hAnsi="ITC Avant Garde"/>
          <w:b/>
          <w:sz w:val="18"/>
          <w:lang w:val="es-MX"/>
        </w:rPr>
        <w:t>Tabla 1</w:t>
      </w:r>
      <w:r w:rsidR="00D85C28" w:rsidRPr="002B640D">
        <w:rPr>
          <w:rFonts w:ascii="ITC Avant Garde" w:hAnsi="ITC Avant Garde"/>
          <w:b/>
          <w:sz w:val="18"/>
          <w:lang w:val="es-MX"/>
        </w:rPr>
        <w:t>7</w:t>
      </w:r>
      <w:r w:rsidRPr="002B640D">
        <w:rPr>
          <w:rFonts w:ascii="ITC Avant Garde" w:hAnsi="ITC Avant Garde"/>
          <w:b/>
          <w:sz w:val="18"/>
          <w:lang w:val="es-MX"/>
        </w:rPr>
        <w:t xml:space="preserve">: </w:t>
      </w:r>
      <w:r w:rsidRPr="002B640D">
        <w:rPr>
          <w:rFonts w:ascii="ITC Avant Garde" w:hAnsi="ITC Avant Garde"/>
          <w:sz w:val="18"/>
          <w:lang w:val="es-MX"/>
        </w:rPr>
        <w:t xml:space="preserve">Tarifas mensuales por el Espacio </w:t>
      </w:r>
      <w:r w:rsidR="00695D0A" w:rsidRPr="002B640D">
        <w:rPr>
          <w:rFonts w:ascii="ITC Avant Garde" w:hAnsi="ITC Avant Garde"/>
          <w:sz w:val="18"/>
          <w:lang w:val="es-MX"/>
        </w:rPr>
        <w:t xml:space="preserve">Aprobado </w:t>
      </w:r>
      <w:r w:rsidRPr="002B640D">
        <w:rPr>
          <w:rFonts w:ascii="ITC Avant Garde" w:hAnsi="ITC Avant Garde"/>
          <w:sz w:val="18"/>
          <w:lang w:val="es-MX"/>
        </w:rPr>
        <w:t>en Piso</w:t>
      </w:r>
      <w:r w:rsidR="00D85C28" w:rsidRPr="002B640D">
        <w:rPr>
          <w:rFonts w:ascii="ITC Avant Garde" w:hAnsi="ITC Avant Garde"/>
          <w:sz w:val="18"/>
          <w:lang w:val="es-MX"/>
        </w:rPr>
        <w:t>.</w:t>
      </w:r>
    </w:p>
    <w:p w14:paraId="066A0A6C" w14:textId="77777777" w:rsidR="002B640D" w:rsidRPr="002B640D" w:rsidRDefault="00A5275D" w:rsidP="002B640D">
      <w:pPr>
        <w:pStyle w:val="IFTnormal"/>
        <w:spacing w:before="240"/>
      </w:pPr>
      <w:r w:rsidRPr="002B640D">
        <w:t xml:space="preserve">Por otra parte, </w:t>
      </w:r>
      <w:r w:rsidR="00FA4AB1" w:rsidRPr="002B640D">
        <w:t>en caso de que se requiera espacio adicional al considerado en la contraprestación anteriormente descrita</w:t>
      </w:r>
      <w:r w:rsidR="006D54BC" w:rsidRPr="002B640D">
        <w:t>, tendrá aplicación el siguiente esquema de cobro</w:t>
      </w:r>
      <w:r w:rsidR="00FD1B0C" w:rsidRPr="002B640D">
        <w:rPr>
          <w:lang w:val="es-419"/>
        </w:rPr>
        <w:t>, la cual depende enteramente del gasto mensual total por metro cuadrado del área residual calculada</w:t>
      </w:r>
      <w:r w:rsidR="00FD1B0C" w:rsidRPr="002B640D">
        <w:rPr>
          <w:rStyle w:val="Refdenotaalpie"/>
          <w:lang w:val="es-419"/>
        </w:rPr>
        <w:footnoteReference w:id="37"/>
      </w:r>
      <w:r w:rsidR="006D54BC" w:rsidRPr="002B640D">
        <w:t>:</w:t>
      </w:r>
    </w:p>
    <w:p w14:paraId="4EEF2C29" w14:textId="3132D6E0" w:rsidR="00BE3709" w:rsidRPr="002B640D" w:rsidRDefault="00BE3709" w:rsidP="002B640D">
      <w:pPr>
        <w:pStyle w:val="IFTnormal"/>
        <w:spacing w:before="240" w:after="0"/>
        <w:jc w:val="center"/>
      </w:pPr>
      <w:r w:rsidRPr="002B640D">
        <w:rPr>
          <w:b/>
          <w:sz w:val="18"/>
          <w:lang w:eastAsia="es-MX"/>
        </w:rPr>
        <w:t>TARIFA MENSUAL POR ESPACIO ADICIONAL  (Por metro cuadrado)</w:t>
      </w:r>
    </w:p>
    <w:tbl>
      <w:tblPr>
        <w:tblStyle w:val="Tablaconcuadrcula"/>
        <w:tblW w:w="5355" w:type="pct"/>
        <w:jc w:val="center"/>
        <w:tblLayout w:type="fixed"/>
        <w:tblLook w:val="04A0" w:firstRow="1" w:lastRow="0" w:firstColumn="1" w:lastColumn="0" w:noHBand="0" w:noVBand="1"/>
        <w:tblCaption w:val="Tabla"/>
        <w:tblDescription w:val="Tabla 18: Tarifas mensuales por el Espacio en Piso Adicional."/>
      </w:tblPr>
      <w:tblGrid>
        <w:gridCol w:w="1270"/>
        <w:gridCol w:w="1846"/>
        <w:gridCol w:w="1570"/>
        <w:gridCol w:w="1570"/>
        <w:gridCol w:w="1570"/>
        <w:gridCol w:w="1574"/>
      </w:tblGrid>
      <w:tr w:rsidR="00BE3709" w:rsidRPr="002B640D" w14:paraId="5BABE863" w14:textId="77777777" w:rsidTr="00BE3709">
        <w:trPr>
          <w:trHeight w:val="389"/>
          <w:tblHeader/>
          <w:jc w:val="center"/>
        </w:trPr>
        <w:tc>
          <w:tcPr>
            <w:tcW w:w="676" w:type="pct"/>
            <w:tcBorders>
              <w:top w:val="single" w:sz="4" w:space="0" w:color="auto"/>
            </w:tcBorders>
            <w:shd w:val="clear" w:color="auto" w:fill="D9D9D9" w:themeFill="background1" w:themeFillShade="D9"/>
            <w:noWrap/>
            <w:vAlign w:val="center"/>
          </w:tcPr>
          <w:p w14:paraId="601B9315" w14:textId="5930A298" w:rsidR="00BE3709" w:rsidRPr="002B640D" w:rsidRDefault="00BE3709" w:rsidP="002B640D">
            <w:pPr>
              <w:jc w:val="center"/>
              <w:rPr>
                <w:rFonts w:ascii="ITC Avant Garde" w:hAnsi="ITC Avant Garde" w:cs="Arial"/>
                <w:bCs/>
                <w:sz w:val="18"/>
                <w:szCs w:val="18"/>
                <w:lang w:eastAsia="es-MX"/>
              </w:rPr>
            </w:pPr>
            <w:r w:rsidRPr="002B640D">
              <w:rPr>
                <w:rFonts w:ascii="ITC Avant Garde" w:hAnsi="ITC Avant Garde" w:cs="Arial"/>
                <w:b/>
                <w:bCs/>
                <w:sz w:val="18"/>
                <w:szCs w:val="18"/>
                <w:lang w:eastAsia="es-MX"/>
              </w:rPr>
              <w:t>Tipo de Espacio en Piso</w:t>
            </w:r>
          </w:p>
        </w:tc>
        <w:tc>
          <w:tcPr>
            <w:tcW w:w="982" w:type="pct"/>
            <w:tcBorders>
              <w:top w:val="single" w:sz="4" w:space="0" w:color="auto"/>
            </w:tcBorders>
            <w:shd w:val="clear" w:color="auto" w:fill="D9D9D9" w:themeFill="background1" w:themeFillShade="D9"/>
            <w:noWrap/>
            <w:vAlign w:val="center"/>
          </w:tcPr>
          <w:p w14:paraId="1CE68245" w14:textId="0BB2FF36"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b/>
                <w:sz w:val="18"/>
                <w:lang w:eastAsia="es-MX"/>
              </w:rPr>
              <w:t>Sitios AAA</w:t>
            </w:r>
          </w:p>
        </w:tc>
        <w:tc>
          <w:tcPr>
            <w:tcW w:w="835" w:type="pct"/>
            <w:tcBorders>
              <w:top w:val="single" w:sz="4" w:space="0" w:color="auto"/>
            </w:tcBorders>
            <w:shd w:val="clear" w:color="auto" w:fill="D9D9D9" w:themeFill="background1" w:themeFillShade="D9"/>
            <w:noWrap/>
            <w:vAlign w:val="center"/>
          </w:tcPr>
          <w:p w14:paraId="52204B49" w14:textId="6CF5640D"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b/>
                <w:sz w:val="18"/>
                <w:lang w:eastAsia="es-MX"/>
              </w:rPr>
              <w:t>Sitios AA</w:t>
            </w:r>
          </w:p>
        </w:tc>
        <w:tc>
          <w:tcPr>
            <w:tcW w:w="835" w:type="pct"/>
            <w:tcBorders>
              <w:top w:val="single" w:sz="4" w:space="0" w:color="auto"/>
            </w:tcBorders>
            <w:shd w:val="clear" w:color="auto" w:fill="D9D9D9" w:themeFill="background1" w:themeFillShade="D9"/>
            <w:noWrap/>
            <w:vAlign w:val="center"/>
          </w:tcPr>
          <w:p w14:paraId="3BF50E87" w14:textId="1D0C31B9"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b/>
                <w:sz w:val="18"/>
                <w:lang w:eastAsia="es-MX"/>
              </w:rPr>
              <w:t>Sitios A</w:t>
            </w:r>
          </w:p>
        </w:tc>
        <w:tc>
          <w:tcPr>
            <w:tcW w:w="835" w:type="pct"/>
            <w:tcBorders>
              <w:top w:val="single" w:sz="4" w:space="0" w:color="auto"/>
            </w:tcBorders>
            <w:shd w:val="clear" w:color="auto" w:fill="D9D9D9" w:themeFill="background1" w:themeFillShade="D9"/>
            <w:noWrap/>
            <w:vAlign w:val="center"/>
          </w:tcPr>
          <w:p w14:paraId="433B372C" w14:textId="77DC485E"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b/>
                <w:sz w:val="18"/>
                <w:lang w:eastAsia="es-MX"/>
              </w:rPr>
              <w:t>Sitios B</w:t>
            </w:r>
          </w:p>
        </w:tc>
        <w:tc>
          <w:tcPr>
            <w:tcW w:w="837" w:type="pct"/>
            <w:tcBorders>
              <w:top w:val="single" w:sz="4" w:space="0" w:color="auto"/>
            </w:tcBorders>
            <w:shd w:val="clear" w:color="auto" w:fill="D9D9D9" w:themeFill="background1" w:themeFillShade="D9"/>
            <w:noWrap/>
            <w:vAlign w:val="center"/>
          </w:tcPr>
          <w:p w14:paraId="51C05C90" w14:textId="58D126E6"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b/>
                <w:sz w:val="18"/>
                <w:lang w:eastAsia="es-MX"/>
              </w:rPr>
              <w:t>Sitios I</w:t>
            </w:r>
          </w:p>
        </w:tc>
      </w:tr>
      <w:tr w:rsidR="00BE3709" w:rsidRPr="002B640D" w14:paraId="6C83F221" w14:textId="77777777" w:rsidTr="00BE3709">
        <w:trPr>
          <w:trHeight w:val="389"/>
          <w:tblHeader/>
          <w:jc w:val="center"/>
        </w:trPr>
        <w:tc>
          <w:tcPr>
            <w:tcW w:w="676" w:type="pct"/>
            <w:tcBorders>
              <w:top w:val="single" w:sz="4" w:space="0" w:color="auto"/>
            </w:tcBorders>
            <w:noWrap/>
            <w:vAlign w:val="center"/>
          </w:tcPr>
          <w:p w14:paraId="5BDA330F" w14:textId="673B17CD" w:rsidR="00BE3709" w:rsidRPr="002B640D" w:rsidRDefault="00BE3709" w:rsidP="002B640D">
            <w:pPr>
              <w:jc w:val="center"/>
              <w:rPr>
                <w:rFonts w:ascii="ITC Avant Garde" w:hAnsi="ITC Avant Garde" w:cs="Arial"/>
                <w:bCs/>
                <w:sz w:val="18"/>
                <w:szCs w:val="18"/>
                <w:lang w:eastAsia="es-MX"/>
              </w:rPr>
            </w:pPr>
            <w:r w:rsidRPr="002B640D">
              <w:rPr>
                <w:rFonts w:ascii="ITC Avant Garde" w:hAnsi="ITC Avant Garde" w:cs="Arial"/>
                <w:bCs/>
                <w:sz w:val="18"/>
                <w:szCs w:val="18"/>
                <w:lang w:eastAsia="es-MX"/>
              </w:rPr>
              <w:t>En Predio</w:t>
            </w:r>
          </w:p>
        </w:tc>
        <w:tc>
          <w:tcPr>
            <w:tcW w:w="982" w:type="pct"/>
            <w:tcBorders>
              <w:top w:val="single" w:sz="4" w:space="0" w:color="auto"/>
            </w:tcBorders>
            <w:noWrap/>
            <w:vAlign w:val="center"/>
          </w:tcPr>
          <w:p w14:paraId="5CE5AFB9" w14:textId="610CF600"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$165.14 M.N.</w:t>
            </w:r>
          </w:p>
        </w:tc>
        <w:tc>
          <w:tcPr>
            <w:tcW w:w="835" w:type="pct"/>
            <w:tcBorders>
              <w:top w:val="single" w:sz="4" w:space="0" w:color="auto"/>
            </w:tcBorders>
            <w:noWrap/>
            <w:vAlign w:val="center"/>
          </w:tcPr>
          <w:p w14:paraId="72932DE9" w14:textId="494658BB"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$91.88 M.N.</w:t>
            </w:r>
          </w:p>
        </w:tc>
        <w:tc>
          <w:tcPr>
            <w:tcW w:w="835" w:type="pct"/>
            <w:tcBorders>
              <w:top w:val="single" w:sz="4" w:space="0" w:color="auto"/>
            </w:tcBorders>
            <w:noWrap/>
            <w:vAlign w:val="center"/>
          </w:tcPr>
          <w:p w14:paraId="13553E74" w14:textId="2AC6EC01"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$31.73 M.N.</w:t>
            </w:r>
          </w:p>
        </w:tc>
        <w:tc>
          <w:tcPr>
            <w:tcW w:w="835" w:type="pct"/>
            <w:tcBorders>
              <w:top w:val="single" w:sz="4" w:space="0" w:color="auto"/>
            </w:tcBorders>
            <w:noWrap/>
            <w:vAlign w:val="center"/>
          </w:tcPr>
          <w:p w14:paraId="4849B6E4" w14:textId="2C58B5AF"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$5.79 M.N.</w:t>
            </w:r>
          </w:p>
        </w:tc>
        <w:tc>
          <w:tcPr>
            <w:tcW w:w="837" w:type="pct"/>
            <w:tcBorders>
              <w:top w:val="single" w:sz="4" w:space="0" w:color="auto"/>
            </w:tcBorders>
            <w:noWrap/>
            <w:vAlign w:val="center"/>
          </w:tcPr>
          <w:p w14:paraId="4EFA1EFF" w14:textId="623ED3D0"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$41.89 M.N.</w:t>
            </w:r>
          </w:p>
        </w:tc>
      </w:tr>
      <w:tr w:rsidR="00BE3709" w:rsidRPr="002B640D" w14:paraId="52AB1E25" w14:textId="77777777" w:rsidTr="00BE3709">
        <w:trPr>
          <w:trHeight w:val="567"/>
          <w:tblHeader/>
          <w:jc w:val="center"/>
        </w:trPr>
        <w:tc>
          <w:tcPr>
            <w:tcW w:w="676" w:type="pct"/>
            <w:noWrap/>
            <w:vAlign w:val="center"/>
          </w:tcPr>
          <w:p w14:paraId="6CFF0344" w14:textId="77777777" w:rsidR="00BE3709" w:rsidRPr="002B640D" w:rsidRDefault="00BE3709" w:rsidP="002B640D">
            <w:pPr>
              <w:jc w:val="center"/>
              <w:rPr>
                <w:rFonts w:ascii="ITC Avant Garde" w:hAnsi="ITC Avant Garde" w:cs="Arial"/>
                <w:bCs/>
                <w:sz w:val="18"/>
                <w:szCs w:val="18"/>
                <w:lang w:eastAsia="es-MX"/>
              </w:rPr>
            </w:pPr>
            <w:r w:rsidRPr="002B640D">
              <w:rPr>
                <w:rFonts w:ascii="ITC Avant Garde" w:hAnsi="ITC Avant Garde" w:cs="Arial"/>
                <w:bCs/>
                <w:sz w:val="18"/>
                <w:szCs w:val="18"/>
                <w:lang w:eastAsia="es-MX"/>
              </w:rPr>
              <w:t>En Azotea</w:t>
            </w:r>
          </w:p>
        </w:tc>
        <w:tc>
          <w:tcPr>
            <w:tcW w:w="982" w:type="pct"/>
            <w:noWrap/>
            <w:vAlign w:val="center"/>
          </w:tcPr>
          <w:p w14:paraId="0E2D37B9"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$217.04 M.N.</w:t>
            </w:r>
          </w:p>
        </w:tc>
        <w:tc>
          <w:tcPr>
            <w:tcW w:w="835" w:type="pct"/>
            <w:noWrap/>
            <w:vAlign w:val="center"/>
          </w:tcPr>
          <w:p w14:paraId="77BF7CF6"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$143.77 M.N.</w:t>
            </w:r>
          </w:p>
        </w:tc>
        <w:tc>
          <w:tcPr>
            <w:tcW w:w="835" w:type="pct"/>
            <w:noWrap/>
            <w:vAlign w:val="center"/>
          </w:tcPr>
          <w:p w14:paraId="0829D185"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$83.76 M.N.</w:t>
            </w:r>
          </w:p>
        </w:tc>
        <w:tc>
          <w:tcPr>
            <w:tcW w:w="835" w:type="pct"/>
            <w:noWrap/>
            <w:vAlign w:val="center"/>
          </w:tcPr>
          <w:p w14:paraId="4757A160"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$57.58 M.N.</w:t>
            </w:r>
          </w:p>
        </w:tc>
        <w:tc>
          <w:tcPr>
            <w:tcW w:w="837" w:type="pct"/>
            <w:noWrap/>
            <w:vAlign w:val="center"/>
          </w:tcPr>
          <w:p w14:paraId="07D6B359"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$93.78 M.N.</w:t>
            </w:r>
          </w:p>
        </w:tc>
      </w:tr>
      <w:tr w:rsidR="00BE3709" w:rsidRPr="002B640D" w14:paraId="19D7F576" w14:textId="77777777" w:rsidTr="00BE3709">
        <w:trPr>
          <w:trHeight w:val="567"/>
          <w:tblHeader/>
          <w:jc w:val="center"/>
        </w:trPr>
        <w:tc>
          <w:tcPr>
            <w:tcW w:w="676" w:type="pct"/>
            <w:noWrap/>
            <w:vAlign w:val="center"/>
          </w:tcPr>
          <w:p w14:paraId="09B04FDB" w14:textId="77777777" w:rsidR="00BE3709" w:rsidRPr="002B640D" w:rsidRDefault="00BE3709" w:rsidP="002B640D">
            <w:pPr>
              <w:jc w:val="center"/>
              <w:rPr>
                <w:rFonts w:ascii="ITC Avant Garde" w:hAnsi="ITC Avant Garde" w:cs="Arial"/>
                <w:bCs/>
                <w:sz w:val="18"/>
                <w:szCs w:val="18"/>
                <w:lang w:eastAsia="es-MX"/>
              </w:rPr>
            </w:pPr>
            <w:r w:rsidRPr="002B640D">
              <w:rPr>
                <w:rFonts w:ascii="ITC Avant Garde" w:hAnsi="ITC Avant Garde" w:cs="Arial"/>
                <w:bCs/>
                <w:sz w:val="18"/>
                <w:szCs w:val="18"/>
                <w:lang w:eastAsia="es-MX"/>
              </w:rPr>
              <w:t>En Caseta</w:t>
            </w:r>
          </w:p>
        </w:tc>
        <w:tc>
          <w:tcPr>
            <w:tcW w:w="982" w:type="pct"/>
            <w:noWrap/>
            <w:vAlign w:val="center"/>
          </w:tcPr>
          <w:p w14:paraId="4BF432F0"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$298.57 M.N.</w:t>
            </w:r>
          </w:p>
        </w:tc>
        <w:tc>
          <w:tcPr>
            <w:tcW w:w="835" w:type="pct"/>
            <w:noWrap/>
            <w:vAlign w:val="center"/>
          </w:tcPr>
          <w:p w14:paraId="72530BBC"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$178.47 M.N.</w:t>
            </w:r>
          </w:p>
        </w:tc>
        <w:tc>
          <w:tcPr>
            <w:tcW w:w="835" w:type="pct"/>
            <w:noWrap/>
            <w:vAlign w:val="center"/>
          </w:tcPr>
          <w:p w14:paraId="76F6105F"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$105.48 M.N.</w:t>
            </w:r>
          </w:p>
        </w:tc>
        <w:tc>
          <w:tcPr>
            <w:tcW w:w="835" w:type="pct"/>
            <w:noWrap/>
            <w:vAlign w:val="center"/>
          </w:tcPr>
          <w:p w14:paraId="58DF0E10"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$35.49 M.N.</w:t>
            </w:r>
          </w:p>
        </w:tc>
        <w:tc>
          <w:tcPr>
            <w:tcW w:w="837" w:type="pct"/>
            <w:noWrap/>
            <w:vAlign w:val="center"/>
          </w:tcPr>
          <w:p w14:paraId="002B57E7" w14:textId="77777777" w:rsidR="00BE3709" w:rsidRPr="002B640D" w:rsidRDefault="00BE3709" w:rsidP="002B640D">
            <w:pPr>
              <w:jc w:val="center"/>
              <w:rPr>
                <w:rFonts w:ascii="ITC Avant Garde" w:hAnsi="ITC Avant Garde" w:cs="Arial"/>
                <w:sz w:val="18"/>
                <w:szCs w:val="18"/>
                <w:lang w:eastAsia="es-MX"/>
              </w:rPr>
            </w:pPr>
            <w:r w:rsidRPr="002B640D">
              <w:rPr>
                <w:rFonts w:ascii="ITC Avant Garde" w:hAnsi="ITC Avant Garde" w:cs="Arial"/>
                <w:sz w:val="18"/>
                <w:szCs w:val="18"/>
                <w:lang w:eastAsia="es-MX"/>
              </w:rPr>
              <w:t>$190.77 M.N.</w:t>
            </w:r>
          </w:p>
        </w:tc>
      </w:tr>
    </w:tbl>
    <w:p w14:paraId="07998300" w14:textId="77777777" w:rsidR="002B640D" w:rsidRPr="002B640D" w:rsidRDefault="00FA4AB1" w:rsidP="002B640D">
      <w:pPr>
        <w:pStyle w:val="IFTnormal"/>
        <w:spacing w:before="240"/>
        <w:jc w:val="center"/>
        <w:rPr>
          <w:rFonts w:eastAsiaTheme="minorHAnsi" w:cstheme="minorBidi"/>
          <w:color w:val="auto"/>
          <w:sz w:val="18"/>
          <w:lang w:val="es-MX" w:eastAsia="en-US"/>
        </w:rPr>
      </w:pPr>
      <w:r w:rsidRPr="002B640D">
        <w:rPr>
          <w:rFonts w:eastAsiaTheme="minorHAnsi" w:cstheme="minorBidi"/>
          <w:b/>
          <w:color w:val="auto"/>
          <w:sz w:val="18"/>
          <w:lang w:val="es-MX" w:eastAsia="en-US"/>
        </w:rPr>
        <w:t>Tabla 1</w:t>
      </w:r>
      <w:r w:rsidR="00D85C28" w:rsidRPr="002B640D">
        <w:rPr>
          <w:rFonts w:eastAsiaTheme="minorHAnsi" w:cstheme="minorBidi"/>
          <w:b/>
          <w:color w:val="auto"/>
          <w:sz w:val="18"/>
          <w:lang w:val="es-MX" w:eastAsia="en-US"/>
        </w:rPr>
        <w:t>8</w:t>
      </w:r>
      <w:r w:rsidR="00D85C28" w:rsidRPr="002B640D">
        <w:rPr>
          <w:rFonts w:eastAsiaTheme="minorHAnsi" w:cstheme="minorBidi"/>
          <w:color w:val="auto"/>
          <w:sz w:val="18"/>
          <w:lang w:val="es-MX" w:eastAsia="en-US"/>
        </w:rPr>
        <w:t>:</w:t>
      </w:r>
      <w:r w:rsidRPr="002B640D">
        <w:rPr>
          <w:rFonts w:eastAsiaTheme="minorHAnsi" w:cstheme="minorBidi"/>
          <w:color w:val="auto"/>
          <w:sz w:val="18"/>
          <w:lang w:val="es-MX" w:eastAsia="en-US"/>
        </w:rPr>
        <w:t xml:space="preserve"> Tarifas mensuales por el Espacio en Piso Adicional</w:t>
      </w:r>
      <w:r w:rsidR="00D85C28" w:rsidRPr="002B640D">
        <w:rPr>
          <w:rFonts w:eastAsiaTheme="minorHAnsi" w:cstheme="minorBidi"/>
          <w:color w:val="auto"/>
          <w:sz w:val="18"/>
          <w:lang w:val="es-MX" w:eastAsia="en-US"/>
        </w:rPr>
        <w:t>.</w:t>
      </w:r>
    </w:p>
    <w:p w14:paraId="2C8BD950" w14:textId="2D1E89CF" w:rsidR="003866C5" w:rsidRPr="002B640D" w:rsidRDefault="003866C5" w:rsidP="002B640D">
      <w:pPr>
        <w:spacing w:before="240"/>
        <w:jc w:val="both"/>
        <w:rPr>
          <w:rFonts w:ascii="ITC Avant Garde" w:hAnsi="ITC Avant Garde" w:cs="Arial"/>
        </w:rPr>
      </w:pPr>
      <w:r w:rsidRPr="002B640D">
        <w:rPr>
          <w:rFonts w:ascii="ITC Avant Garde" w:hAnsi="ITC Avant Garde" w:cs="Arial"/>
        </w:rPr>
        <w:t>Con base en lo anterior y con fundamento en lo dispuesto por los artículos 28, párrafos décimo quinto y décimo sexto de la Constitución Política de los Estados Unidos Mexicanos; 15, fracción I, 17, fracción I, 176 y 177, fracción XXII de la Ley Federal de Telecomunicaciones y Radiodifusión; 4, fracción I y 6</w:t>
      </w:r>
      <w:r w:rsidR="000909F7" w:rsidRPr="002B640D">
        <w:rPr>
          <w:rFonts w:ascii="ITC Avant Garde" w:hAnsi="ITC Avant Garde" w:cs="Arial"/>
        </w:rPr>
        <w:t>, fracción XXXVII del Estatuto</w:t>
      </w:r>
      <w:r w:rsidRPr="002B640D">
        <w:rPr>
          <w:rFonts w:ascii="ITC Avant Garde" w:hAnsi="ITC Avant Garde" w:cs="Arial"/>
        </w:rPr>
        <w:t xml:space="preserve"> del Instituto Federal de Telecomunicaciones, y la Medida Quincuagésima Novena del Anexo 2 “MEDIDAS RELACIONADAS CON INFORMACIÓN, OFERTA Y CALIDAD DE SERVICIOS, ACUERDOS EN EXCLUSIVA, LIMITACIONES AL USO DE EQUIPOS TERMINALES ENTRE REDES, REGULACIÓN ASIMÉTRICA EN TARIFAS E INFRAESTRUCTURA DE RED, INCLUYENDO LA </w:t>
      </w:r>
      <w:r w:rsidRPr="002B640D">
        <w:rPr>
          <w:rFonts w:ascii="ITC Avant Garde" w:hAnsi="ITC Avant Garde" w:cs="Arial"/>
        </w:rPr>
        <w:lastRenderedPageBreak/>
        <w:t>DESAGREGACIÓN DE SUS ELEMENTOS ESENCIALES Y, EN SU CASO, LA SEPARACIÓN CONTABLE, FUNCIONAL O ESTRUCTURAL AL AGENTE ECONÓMICO PREPONDERANTE EN LOS SERVICIOS DE TELECOMUNICACIONES FIJOS” de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 el Pleno del Instituto Federal de Telecomunicaciones emite los siguientes:</w:t>
      </w:r>
    </w:p>
    <w:p w14:paraId="59BB50F1" w14:textId="77777777" w:rsidR="002B640D" w:rsidRPr="002B640D" w:rsidRDefault="003253D4" w:rsidP="002B640D">
      <w:pPr>
        <w:pStyle w:val="Ttulo2"/>
        <w:keepLines/>
        <w:spacing w:before="240" w:after="240"/>
        <w:jc w:val="center"/>
        <w:rPr>
          <w:rFonts w:eastAsiaTheme="majorEastAsia" w:cstheme="majorBidi"/>
          <w:bCs w:val="0"/>
          <w:color w:val="000000" w:themeColor="text1"/>
        </w:rPr>
      </w:pPr>
      <w:r w:rsidRPr="002B640D">
        <w:rPr>
          <w:rFonts w:eastAsiaTheme="majorEastAsia" w:cstheme="majorBidi"/>
          <w:bCs w:val="0"/>
          <w:color w:val="000000" w:themeColor="text1"/>
        </w:rPr>
        <w:t>ACUERDOS</w:t>
      </w:r>
    </w:p>
    <w:p w14:paraId="372B39A5" w14:textId="77777777" w:rsidR="002B640D" w:rsidRPr="002B640D" w:rsidRDefault="002541D7" w:rsidP="002B640D">
      <w:pPr>
        <w:spacing w:before="240" w:after="0" w:line="276" w:lineRule="auto"/>
        <w:ind w:right="-93"/>
        <w:jc w:val="both"/>
        <w:rPr>
          <w:rFonts w:ascii="ITC Avant Garde" w:hAnsi="ITC Avant Garde" w:cs="Arial"/>
          <w:snapToGrid w:val="0"/>
        </w:rPr>
      </w:pPr>
      <w:r w:rsidRPr="002B640D">
        <w:rPr>
          <w:rFonts w:ascii="ITC Avant Garde" w:hAnsi="ITC Avant Garde" w:cs="Arial"/>
          <w:b/>
          <w:snapToGrid w:val="0"/>
        </w:rPr>
        <w:t>PRIMERO.-</w:t>
      </w:r>
      <w:r w:rsidRPr="002B640D">
        <w:rPr>
          <w:rFonts w:ascii="ITC Avant Garde" w:hAnsi="ITC Avant Garde" w:cs="Arial"/>
          <w:snapToGrid w:val="0"/>
        </w:rPr>
        <w:t xml:space="preserve"> </w:t>
      </w:r>
      <w:r w:rsidR="00D77B7B" w:rsidRPr="002B640D">
        <w:rPr>
          <w:rFonts w:ascii="ITC Avant Garde" w:hAnsi="ITC Avant Garde"/>
        </w:rPr>
        <w:t>Se expide</w:t>
      </w:r>
      <w:r w:rsidR="00870E74" w:rsidRPr="002B640D">
        <w:rPr>
          <w:rFonts w:ascii="ITC Avant Garde" w:hAnsi="ITC Avant Garde"/>
        </w:rPr>
        <w:t xml:space="preserve"> el Modelo</w:t>
      </w:r>
      <w:r w:rsidR="00D77B7B" w:rsidRPr="002B640D">
        <w:rPr>
          <w:rFonts w:ascii="ITC Avant Garde" w:hAnsi="ITC Avant Garde"/>
        </w:rPr>
        <w:t xml:space="preserve"> de </w:t>
      </w:r>
      <w:r w:rsidR="009767E8" w:rsidRPr="002B640D">
        <w:rPr>
          <w:rFonts w:ascii="ITC Avant Garde" w:hAnsi="ITC Avant Garde"/>
        </w:rPr>
        <w:t>Red de Acceso Fijo</w:t>
      </w:r>
      <w:r w:rsidR="004C537D" w:rsidRPr="002B640D">
        <w:rPr>
          <w:rFonts w:ascii="ITC Avant Garde" w:hAnsi="ITC Avant Garde"/>
        </w:rPr>
        <w:t xml:space="preserve"> y el Modelo de Acceso a Torres para servicios de la </w:t>
      </w:r>
      <w:r w:rsidR="00AE57CE" w:rsidRPr="002B640D">
        <w:rPr>
          <w:rFonts w:ascii="ITC Avant Garde" w:hAnsi="ITC Avant Garde"/>
        </w:rPr>
        <w:t>Oferta de Referencia para la prestación del Servicio de Acceso y Uso Compartido de Infraestructura Pasiva Fija</w:t>
      </w:r>
      <w:r w:rsidR="00D77B7B" w:rsidRPr="002B640D">
        <w:rPr>
          <w:rFonts w:ascii="ITC Avant Garde" w:hAnsi="ITC Avant Garde"/>
        </w:rPr>
        <w:t xml:space="preserve">, en los términos a que se refiere </w:t>
      </w:r>
      <w:r w:rsidR="0006476B" w:rsidRPr="002B640D">
        <w:rPr>
          <w:rFonts w:ascii="ITC Avant Garde" w:hAnsi="ITC Avant Garde"/>
        </w:rPr>
        <w:t>los</w:t>
      </w:r>
      <w:r w:rsidR="00D77B7B" w:rsidRPr="002B640D">
        <w:rPr>
          <w:rFonts w:ascii="ITC Avant Garde" w:hAnsi="ITC Avant Garde"/>
        </w:rPr>
        <w:t xml:space="preserve"> Considerando</w:t>
      </w:r>
      <w:r w:rsidR="0006476B" w:rsidRPr="002B640D">
        <w:rPr>
          <w:rFonts w:ascii="ITC Avant Garde" w:hAnsi="ITC Avant Garde"/>
        </w:rPr>
        <w:t>s</w:t>
      </w:r>
      <w:r w:rsidR="00D77B7B" w:rsidRPr="002B640D">
        <w:rPr>
          <w:rFonts w:ascii="ITC Avant Garde" w:hAnsi="ITC Avant Garde"/>
        </w:rPr>
        <w:t xml:space="preserve"> Tercero</w:t>
      </w:r>
      <w:r w:rsidR="00870E74" w:rsidRPr="002B640D">
        <w:rPr>
          <w:rFonts w:ascii="ITC Avant Garde" w:hAnsi="ITC Avant Garde"/>
        </w:rPr>
        <w:t xml:space="preserve"> y Cuarto</w:t>
      </w:r>
      <w:r w:rsidR="00D77B7B" w:rsidRPr="002B640D">
        <w:rPr>
          <w:rFonts w:ascii="ITC Avant Garde" w:hAnsi="ITC Avant Garde"/>
        </w:rPr>
        <w:t>, por medio del cual se determinan las tarifas aplicables en caso de que las partes no lleguen a convenirlas.</w:t>
      </w:r>
    </w:p>
    <w:p w14:paraId="4A690C31" w14:textId="77777777" w:rsidR="002B640D" w:rsidRPr="002B640D" w:rsidRDefault="002541D7" w:rsidP="002B640D">
      <w:pPr>
        <w:spacing w:before="240" w:after="0"/>
        <w:jc w:val="both"/>
        <w:rPr>
          <w:rFonts w:ascii="ITC Avant Garde" w:hAnsi="ITC Avant Garde" w:cs="Arial"/>
        </w:rPr>
      </w:pPr>
      <w:r w:rsidRPr="002B640D">
        <w:rPr>
          <w:rFonts w:ascii="ITC Avant Garde" w:hAnsi="ITC Avant Garde"/>
          <w:b/>
        </w:rPr>
        <w:t>SEGUNDO.-</w:t>
      </w:r>
      <w:r w:rsidRPr="002B640D">
        <w:rPr>
          <w:rFonts w:ascii="ITC Avant Garde" w:hAnsi="ITC Avant Garde"/>
        </w:rPr>
        <w:t xml:space="preserve"> </w:t>
      </w:r>
      <w:r w:rsidR="00D77B7B" w:rsidRPr="002B640D">
        <w:rPr>
          <w:rFonts w:ascii="ITC Avant Garde" w:hAnsi="ITC Avant Garde"/>
        </w:rPr>
        <w:t xml:space="preserve">Las tarifas resultantes del Modelo de </w:t>
      </w:r>
      <w:r w:rsidR="0054321A" w:rsidRPr="002B640D">
        <w:rPr>
          <w:rFonts w:ascii="ITC Avant Garde" w:hAnsi="ITC Avant Garde"/>
        </w:rPr>
        <w:t xml:space="preserve">Red de </w:t>
      </w:r>
      <w:r w:rsidR="009767E8" w:rsidRPr="002B640D">
        <w:rPr>
          <w:rFonts w:ascii="ITC Avant Garde" w:hAnsi="ITC Avant Garde"/>
        </w:rPr>
        <w:t>Acceso Fijo</w:t>
      </w:r>
      <w:r w:rsidR="0054321A" w:rsidRPr="002B640D">
        <w:rPr>
          <w:rFonts w:ascii="ITC Avant Garde" w:hAnsi="ITC Avant Garde"/>
        </w:rPr>
        <w:t xml:space="preserve"> y el Modelo de Acceso a Torres para servicios de la Oferta de Referencia para la prestación del Servicio de Acceso y Uso Compartido de Infraestructura Pasiva Fija</w:t>
      </w:r>
      <w:r w:rsidR="00D77B7B" w:rsidRPr="002B640D">
        <w:rPr>
          <w:rFonts w:ascii="ITC Avant Garde" w:hAnsi="ITC Avant Garde"/>
        </w:rPr>
        <w:t xml:space="preserve"> previstas en l</w:t>
      </w:r>
      <w:r w:rsidR="0024487D" w:rsidRPr="002B640D">
        <w:rPr>
          <w:rFonts w:ascii="ITC Avant Garde" w:hAnsi="ITC Avant Garde"/>
        </w:rPr>
        <w:t>os</w:t>
      </w:r>
      <w:r w:rsidR="00D77B7B" w:rsidRPr="002B640D">
        <w:rPr>
          <w:rFonts w:ascii="ITC Avant Garde" w:hAnsi="ITC Avant Garde"/>
        </w:rPr>
        <w:t xml:space="preserve"> Considerando</w:t>
      </w:r>
      <w:r w:rsidR="0024487D" w:rsidRPr="002B640D">
        <w:rPr>
          <w:rFonts w:ascii="ITC Avant Garde" w:hAnsi="ITC Avant Garde"/>
        </w:rPr>
        <w:t>s</w:t>
      </w:r>
      <w:r w:rsidR="00D77B7B" w:rsidRPr="002B640D">
        <w:rPr>
          <w:rFonts w:ascii="ITC Avant Garde" w:hAnsi="ITC Avant Garde"/>
        </w:rPr>
        <w:t xml:space="preserve"> Tercero </w:t>
      </w:r>
      <w:r w:rsidR="0024487D" w:rsidRPr="002B640D">
        <w:rPr>
          <w:rFonts w:ascii="ITC Avant Garde" w:hAnsi="ITC Avant Garde"/>
        </w:rPr>
        <w:t>y Cuarto</w:t>
      </w:r>
      <w:r w:rsidR="00D77B7B" w:rsidRPr="002B640D">
        <w:rPr>
          <w:rFonts w:ascii="ITC Avant Garde" w:hAnsi="ITC Avant Garde"/>
        </w:rPr>
        <w:t xml:space="preserve"> serán aplicables del 1 de enero al 31 de diciembre de 201</w:t>
      </w:r>
      <w:r w:rsidR="005157D4" w:rsidRPr="002B640D">
        <w:rPr>
          <w:rFonts w:ascii="ITC Avant Garde" w:hAnsi="ITC Avant Garde"/>
        </w:rPr>
        <w:t>7</w:t>
      </w:r>
      <w:r w:rsidR="00D77B7B" w:rsidRPr="002B640D">
        <w:rPr>
          <w:rFonts w:ascii="ITC Avant Garde" w:hAnsi="ITC Avant Garde"/>
        </w:rPr>
        <w:t>.</w:t>
      </w:r>
    </w:p>
    <w:p w14:paraId="5BF67E4E" w14:textId="104F39CC" w:rsidR="002B640D" w:rsidRPr="002B640D" w:rsidRDefault="002541D7" w:rsidP="002B640D">
      <w:pPr>
        <w:spacing w:before="240" w:after="0"/>
        <w:jc w:val="both"/>
        <w:rPr>
          <w:rFonts w:ascii="ITC Avant Garde" w:hAnsi="ITC Avant Garde" w:cs="Arial"/>
        </w:rPr>
      </w:pPr>
      <w:r w:rsidRPr="002B640D">
        <w:rPr>
          <w:rFonts w:ascii="ITC Avant Garde" w:hAnsi="ITC Avant Garde"/>
          <w:b/>
        </w:rPr>
        <w:t>TERCERO.-</w:t>
      </w:r>
      <w:r w:rsidRPr="002B640D">
        <w:rPr>
          <w:rFonts w:ascii="ITC Avant Garde" w:hAnsi="ITC Avant Garde"/>
        </w:rPr>
        <w:t xml:space="preserve"> </w:t>
      </w:r>
      <w:r w:rsidR="00D77B7B" w:rsidRPr="002B640D">
        <w:rPr>
          <w:rFonts w:ascii="ITC Avant Garde" w:hAnsi="ITC Avant Garde" w:cs="Arial"/>
        </w:rPr>
        <w:t>Publíquese el presente Acuerdo en el portal de Internet del Instituto Federal de Telecomunicaciones.</w:t>
      </w:r>
    </w:p>
    <w:p w14:paraId="48BB0383" w14:textId="77777777" w:rsidR="002B640D" w:rsidRPr="002B640D" w:rsidRDefault="00CA1D96" w:rsidP="002B640D">
      <w:pPr>
        <w:spacing w:before="240" w:after="0"/>
        <w:jc w:val="both"/>
        <w:rPr>
          <w:rFonts w:ascii="ITC Avant Garde" w:hAnsi="ITC Avant Garde" w:cs="Arial"/>
        </w:rPr>
      </w:pPr>
      <w:r w:rsidRPr="002B640D">
        <w:rPr>
          <w:rFonts w:ascii="ITC Avant Garde" w:hAnsi="ITC Avant Garde"/>
        </w:rPr>
        <w:t xml:space="preserve">El </w:t>
      </w:r>
      <w:r w:rsidR="0054321A" w:rsidRPr="002B640D">
        <w:rPr>
          <w:rFonts w:ascii="ITC Avant Garde" w:hAnsi="ITC Avant Garde"/>
        </w:rPr>
        <w:t xml:space="preserve">Modelo de Red de </w:t>
      </w:r>
      <w:r w:rsidR="009767E8" w:rsidRPr="002B640D">
        <w:rPr>
          <w:rFonts w:ascii="ITC Avant Garde" w:hAnsi="ITC Avant Garde"/>
        </w:rPr>
        <w:t>Acceso Fijo</w:t>
      </w:r>
      <w:r w:rsidR="0054321A" w:rsidRPr="002B640D">
        <w:rPr>
          <w:rFonts w:ascii="ITC Avant Garde" w:hAnsi="ITC Avant Garde"/>
        </w:rPr>
        <w:t xml:space="preserve"> y el Modelo de Acceso a Torres para servicios de la Oferta de Referencia para la prestación del Servicio de Acceso y Uso Compartido de Infraestructura Pasiva Fija</w:t>
      </w:r>
      <w:r w:rsidRPr="002B640D">
        <w:rPr>
          <w:rStyle w:val="IFTnormalCar"/>
        </w:rPr>
        <w:t xml:space="preserve"> </w:t>
      </w:r>
      <w:r w:rsidR="00D77B7B" w:rsidRPr="002B640D">
        <w:rPr>
          <w:rStyle w:val="IFTnormalCar"/>
        </w:rPr>
        <w:t>será</w:t>
      </w:r>
      <w:r w:rsidRPr="002B640D">
        <w:rPr>
          <w:rStyle w:val="IFTnormalCar"/>
        </w:rPr>
        <w:t>n</w:t>
      </w:r>
      <w:r w:rsidR="00D77B7B" w:rsidRPr="002B640D">
        <w:rPr>
          <w:rStyle w:val="IFTnormalCar"/>
        </w:rPr>
        <w:t xml:space="preserve"> publicado</w:t>
      </w:r>
      <w:r w:rsidRPr="002B640D">
        <w:rPr>
          <w:rStyle w:val="IFTnormalCar"/>
        </w:rPr>
        <w:t>s</w:t>
      </w:r>
      <w:r w:rsidR="00D77B7B" w:rsidRPr="002B640D">
        <w:rPr>
          <w:rStyle w:val="IFTnormalCar"/>
        </w:rPr>
        <w:t xml:space="preserve"> en el portal del Instituto Federal de Telecomunicaciones en formato Excel de una manera “anonimizada” a efecto de salvaguardar la información contenida y provista por el Agente Económico Preponderante.</w:t>
      </w:r>
    </w:p>
    <w:p w14:paraId="2832DC06" w14:textId="432FF043" w:rsidR="002B640D" w:rsidRPr="002B640D" w:rsidRDefault="00D77B7B" w:rsidP="002B640D">
      <w:pPr>
        <w:spacing w:before="240" w:after="0"/>
        <w:jc w:val="both"/>
        <w:rPr>
          <w:rFonts w:ascii="ITC Avant Garde" w:hAnsi="ITC Avant Garde" w:cs="Arial"/>
        </w:rPr>
      </w:pPr>
      <w:r w:rsidRPr="002B640D">
        <w:rPr>
          <w:rFonts w:ascii="ITC Avant Garde" w:hAnsi="ITC Avant Garde" w:cs="Arial"/>
          <w:b/>
        </w:rPr>
        <w:t>CUARTO.-</w:t>
      </w:r>
      <w:r w:rsidRPr="002B640D">
        <w:rPr>
          <w:rFonts w:ascii="ITC Avant Garde" w:hAnsi="ITC Avant Garde" w:cs="Arial"/>
        </w:rPr>
        <w:t xml:space="preserve"> Inscríbase el presente Acuerdo en el Registro Público de Concesiones.</w:t>
      </w:r>
      <w:bookmarkEnd w:id="50"/>
      <w:bookmarkEnd w:id="51"/>
    </w:p>
    <w:p w14:paraId="03625B3F" w14:textId="6F32F64C" w:rsidR="00EC11E9" w:rsidRPr="002B640D" w:rsidRDefault="004C521A" w:rsidP="002B640D">
      <w:pPr>
        <w:spacing w:before="240" w:after="0" w:line="240" w:lineRule="auto"/>
        <w:ind w:right="-2"/>
        <w:jc w:val="both"/>
      </w:pPr>
      <w:r w:rsidRPr="002B640D">
        <w:rPr>
          <w:rFonts w:ascii="ITC Avant Garde" w:hAnsi="ITC Avant Garde"/>
          <w:sz w:val="14"/>
          <w:lang w:eastAsia="es-ES"/>
        </w:rPr>
        <w:lastRenderedPageBreak/>
        <w:t xml:space="preserve">El presente Acuerdo fue aprobado por el Pleno del Instituto Federal de Telecomunicaciones en su IX Sesión Extraordinaria celebrada el 7 de julio de 2017, por </w:t>
      </w:r>
      <w:r w:rsidRPr="002B640D">
        <w:rPr>
          <w:rFonts w:ascii="ITC Avant Garde" w:hAnsi="ITC Avant Garde"/>
          <w:bCs/>
          <w:sz w:val="14"/>
          <w:lang w:eastAsia="es-ES"/>
        </w:rPr>
        <w:t>unanimidad</w:t>
      </w:r>
      <w:r w:rsidRPr="002B640D">
        <w:rPr>
          <w:rFonts w:ascii="ITC Avant Garde" w:hAnsi="ITC Avant Garde"/>
          <w:sz w:val="14"/>
          <w:lang w:eastAsia="es-ES"/>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P/IFT/EXT/070717/164.</w:t>
      </w:r>
    </w:p>
    <w:sectPr w:rsidR="00EC11E9" w:rsidRPr="002B640D" w:rsidSect="002B640D">
      <w:footerReference w:type="default" r:id="rId16"/>
      <w:pgSz w:w="12240" w:h="15840"/>
      <w:pgMar w:top="2126" w:right="1752" w:bottom="226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3FA8B" w14:textId="77777777" w:rsidR="0035144F" w:rsidRDefault="0035144F" w:rsidP="002541D7">
      <w:pPr>
        <w:spacing w:after="0" w:line="240" w:lineRule="auto"/>
      </w:pPr>
      <w:r>
        <w:separator/>
      </w:r>
    </w:p>
  </w:endnote>
  <w:endnote w:type="continuationSeparator" w:id="0">
    <w:p w14:paraId="10FECD3B" w14:textId="77777777" w:rsidR="0035144F" w:rsidRDefault="0035144F" w:rsidP="002541D7">
      <w:pPr>
        <w:spacing w:after="0" w:line="240" w:lineRule="auto"/>
      </w:pPr>
      <w:r>
        <w:continuationSeparator/>
      </w:r>
    </w:p>
  </w:endnote>
  <w:endnote w:type="continuationNotice" w:id="1">
    <w:p w14:paraId="0DF5072A" w14:textId="77777777" w:rsidR="0035144F" w:rsidRDefault="00351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ITC Avant Garde Book">
    <w:altName w:val="Century Gothic"/>
    <w:panose1 w:val="020B0402020203020304"/>
    <w:charset w:val="00"/>
    <w:family w:val="auto"/>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368993"/>
      <w:docPartObj>
        <w:docPartGallery w:val="Page Numbers (Bottom of Page)"/>
        <w:docPartUnique/>
      </w:docPartObj>
    </w:sdtPr>
    <w:sdtEndPr>
      <w:rPr>
        <w:rFonts w:ascii="ITC Avant Garde" w:hAnsi="ITC Avant Garde"/>
      </w:rPr>
    </w:sdtEndPr>
    <w:sdtContent>
      <w:p w14:paraId="0FF9C54D" w14:textId="04419411" w:rsidR="00B11631" w:rsidRPr="00395CBF" w:rsidRDefault="00B11631" w:rsidP="002B640D">
        <w:pPr>
          <w:pStyle w:val="Piedepgina"/>
          <w:jc w:val="right"/>
          <w:rPr>
            <w:rFonts w:ascii="ITC Avant Garde" w:hAnsi="ITC Avant Garde"/>
          </w:rPr>
        </w:pPr>
        <w:r w:rsidRPr="00024C19">
          <w:rPr>
            <w:rFonts w:ascii="ITC Avant Garde" w:hAnsi="ITC Avant Garde"/>
          </w:rPr>
          <w:fldChar w:fldCharType="begin"/>
        </w:r>
        <w:r>
          <w:instrText>PAGE   \* MERGEFORMAT</w:instrText>
        </w:r>
        <w:r w:rsidRPr="00024C19">
          <w:rPr>
            <w:rFonts w:ascii="ITC Avant Garde" w:hAnsi="ITC Avant Garde"/>
          </w:rPr>
          <w:fldChar w:fldCharType="separate"/>
        </w:r>
        <w:r w:rsidR="002B640D" w:rsidRPr="002B640D">
          <w:rPr>
            <w:noProof/>
            <w:lang w:val="es-ES"/>
          </w:rPr>
          <w:t>28</w:t>
        </w:r>
        <w:r w:rsidRPr="00024C19">
          <w:rPr>
            <w:rFonts w:ascii="ITC Avant Garde" w:hAnsi="ITC Avant Garde"/>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5B7E7" w14:textId="77777777" w:rsidR="0035144F" w:rsidRDefault="0035144F" w:rsidP="002541D7">
      <w:pPr>
        <w:spacing w:after="0" w:line="240" w:lineRule="auto"/>
      </w:pPr>
      <w:r>
        <w:separator/>
      </w:r>
    </w:p>
  </w:footnote>
  <w:footnote w:type="continuationSeparator" w:id="0">
    <w:p w14:paraId="754D455A" w14:textId="77777777" w:rsidR="0035144F" w:rsidRDefault="0035144F" w:rsidP="002541D7">
      <w:pPr>
        <w:spacing w:after="0" w:line="240" w:lineRule="auto"/>
      </w:pPr>
      <w:r>
        <w:continuationSeparator/>
      </w:r>
    </w:p>
  </w:footnote>
  <w:footnote w:type="continuationNotice" w:id="1">
    <w:p w14:paraId="010696FF" w14:textId="77777777" w:rsidR="0035144F" w:rsidRDefault="0035144F">
      <w:pPr>
        <w:spacing w:after="0" w:line="240" w:lineRule="auto"/>
      </w:pPr>
    </w:p>
  </w:footnote>
  <w:footnote w:id="2">
    <w:p w14:paraId="0A8636A4" w14:textId="77777777" w:rsidR="00B11631" w:rsidRDefault="00B11631" w:rsidP="006A10B7">
      <w:pPr>
        <w:pStyle w:val="Textonotapie"/>
        <w:jc w:val="both"/>
      </w:pPr>
      <w:r w:rsidRPr="00127ED2">
        <w:rPr>
          <w:rStyle w:val="Refdenotaalpie"/>
          <w:rFonts w:ascii="ITC Avant Garde" w:hAnsi="ITC Avant Garde"/>
        </w:rPr>
        <w:footnoteRef/>
      </w:r>
      <w:r w:rsidRPr="00127ED2">
        <w:rPr>
          <w:rFonts w:ascii="ITC Avant Garde" w:hAnsi="ITC Avant Garde"/>
        </w:rPr>
        <w:t xml:space="preserve"> </w:t>
      </w:r>
      <w:r w:rsidRPr="00127ED2">
        <w:rPr>
          <w:rFonts w:ascii="ITC Avant Garde" w:hAnsi="ITC Avant Garde"/>
          <w:sz w:val="16"/>
        </w:rPr>
        <w:t>Conforme a</w:t>
      </w:r>
      <w:r>
        <w:rPr>
          <w:rFonts w:ascii="ITC Avant Garde" w:hAnsi="ITC Avant Garde"/>
          <w:sz w:val="16"/>
        </w:rPr>
        <w:t xml:space="preserve"> </w:t>
      </w:r>
      <w:r w:rsidRPr="00127ED2">
        <w:rPr>
          <w:rFonts w:ascii="ITC Avant Garde" w:hAnsi="ITC Avant Garde"/>
          <w:sz w:val="16"/>
        </w:rPr>
        <w:t>l</w:t>
      </w:r>
      <w:r>
        <w:rPr>
          <w:rFonts w:ascii="ITC Avant Garde" w:hAnsi="ITC Avant Garde"/>
          <w:sz w:val="16"/>
        </w:rPr>
        <w:t>os</w:t>
      </w:r>
      <w:r w:rsidRPr="00127ED2">
        <w:rPr>
          <w:rFonts w:ascii="ITC Avant Garde" w:hAnsi="ITC Avant Garde"/>
          <w:sz w:val="16"/>
        </w:rPr>
        <w:t xml:space="preserve"> num</w:t>
      </w:r>
      <w:r>
        <w:rPr>
          <w:rFonts w:ascii="ITC Avant Garde" w:hAnsi="ITC Avant Garde"/>
          <w:sz w:val="16"/>
        </w:rPr>
        <w:t>erales 1 y 4 del Anexo A “TARIFAS” del</w:t>
      </w:r>
      <w:r w:rsidRPr="00127ED2">
        <w:rPr>
          <w:rFonts w:ascii="ITC Avant Garde" w:hAnsi="ITC Avant Garde"/>
          <w:sz w:val="16"/>
        </w:rPr>
        <w:t xml:space="preserve"> C</w:t>
      </w:r>
      <w:r>
        <w:rPr>
          <w:rFonts w:ascii="ITC Avant Garde" w:hAnsi="ITC Avant Garde"/>
          <w:sz w:val="16"/>
        </w:rPr>
        <w:t xml:space="preserve">onvenio de la Oferta de Referencia de Telmex </w:t>
      </w:r>
      <w:r>
        <w:rPr>
          <w:rFonts w:ascii="ITC Avant Garde" w:hAnsi="ITC Avant Garde"/>
          <w:sz w:val="16"/>
          <w:lang w:val="es-419"/>
        </w:rPr>
        <w:t>la</w:t>
      </w:r>
      <w:r w:rsidRPr="00810725">
        <w:rPr>
          <w:rFonts w:ascii="ITC Avant Garde" w:hAnsi="ITC Avant Garde" w:cs="Arial"/>
          <w:sz w:val="22"/>
          <w:szCs w:val="22"/>
          <w:lang w:eastAsia="es-ES"/>
        </w:rPr>
        <w:t xml:space="preserve"> </w:t>
      </w:r>
      <w:r w:rsidRPr="00810725">
        <w:rPr>
          <w:rFonts w:ascii="ITC Avant Garde" w:hAnsi="ITC Avant Garde"/>
          <w:sz w:val="16"/>
        </w:rPr>
        <w:t>Oferta de Referencia de</w:t>
      </w:r>
      <w:r>
        <w:rPr>
          <w:rFonts w:ascii="ITC Avant Garde" w:hAnsi="ITC Avant Garde"/>
          <w:sz w:val="16"/>
          <w:lang w:val="es-419"/>
        </w:rPr>
        <w:t xml:space="preserve"> </w:t>
      </w:r>
      <w:r>
        <w:rPr>
          <w:rFonts w:ascii="ITC Avant Garde" w:hAnsi="ITC Avant Garde"/>
          <w:sz w:val="16"/>
        </w:rPr>
        <w:t xml:space="preserve">y </w:t>
      </w:r>
      <w:proofErr w:type="spellStart"/>
      <w:r>
        <w:rPr>
          <w:rFonts w:ascii="ITC Avant Garde" w:hAnsi="ITC Avant Garde"/>
          <w:sz w:val="16"/>
        </w:rPr>
        <w:t>Telnor</w:t>
      </w:r>
      <w:proofErr w:type="spellEnd"/>
      <w:r>
        <w:rPr>
          <w:rFonts w:ascii="ITC Avant Garde" w:hAnsi="ITC Avant Garde"/>
          <w:sz w:val="16"/>
        </w:rPr>
        <w:t>.</w:t>
      </w:r>
    </w:p>
  </w:footnote>
  <w:footnote w:id="3">
    <w:p w14:paraId="59EAD5C4" w14:textId="77777777" w:rsidR="00B11631" w:rsidRPr="00C96218" w:rsidRDefault="00B11631" w:rsidP="00635790">
      <w:pPr>
        <w:pStyle w:val="Textonotapie"/>
        <w:jc w:val="both"/>
        <w:rPr>
          <w:lang w:val="es-ES"/>
        </w:rPr>
      </w:pPr>
      <w:r w:rsidRPr="003462E6">
        <w:rPr>
          <w:rStyle w:val="Refdenotaalpie"/>
          <w:rFonts w:ascii="ITC Avant Garde Book" w:hAnsi="ITC Avant Garde Book"/>
        </w:rPr>
        <w:footnoteRef/>
      </w:r>
      <w:r w:rsidRPr="003462E6">
        <w:rPr>
          <w:rFonts w:ascii="ITC Avant Garde Book" w:hAnsi="ITC Avant Garde Book"/>
        </w:rPr>
        <w:t xml:space="preserve"> </w:t>
      </w:r>
      <w:r>
        <w:rPr>
          <w:rFonts w:ascii="ITC Avant Garde Book" w:hAnsi="ITC Avant Garde Book"/>
          <w:sz w:val="16"/>
        </w:rPr>
        <w:t>Es sustancial mencionar que</w:t>
      </w:r>
      <w:r w:rsidRPr="003462E6">
        <w:rPr>
          <w:rFonts w:ascii="ITC Avant Garde Book" w:hAnsi="ITC Avant Garde Book"/>
          <w:sz w:val="16"/>
        </w:rPr>
        <w:t xml:space="preserve"> se emplea el CCPP nominal en lugar del </w:t>
      </w:r>
      <w:r>
        <w:rPr>
          <w:rFonts w:ascii="ITC Avant Garde Book" w:hAnsi="ITC Avant Garde Book"/>
          <w:sz w:val="16"/>
        </w:rPr>
        <w:t xml:space="preserve">CCPP </w:t>
      </w:r>
      <w:r w:rsidRPr="003462E6">
        <w:rPr>
          <w:rFonts w:ascii="ITC Avant Garde Book" w:hAnsi="ITC Avant Garde Book"/>
          <w:sz w:val="16"/>
        </w:rPr>
        <w:t xml:space="preserve">real, ya que </w:t>
      </w:r>
      <w:r>
        <w:rPr>
          <w:rFonts w:ascii="ITC Avant Garde Book" w:hAnsi="ITC Avant Garde Book"/>
          <w:sz w:val="16"/>
        </w:rPr>
        <w:t xml:space="preserve">bajo el enfoque del modelo </w:t>
      </w:r>
      <w:r w:rsidRPr="003462E6">
        <w:rPr>
          <w:rFonts w:ascii="ITC Avant Garde Book" w:hAnsi="ITC Avant Garde Book"/>
          <w:sz w:val="16"/>
        </w:rPr>
        <w:t xml:space="preserve">se supone que el total de la inversión para desplegar la red se hace en un solo año y en la actualización de esta para años futuros se aplica un cambio en </w:t>
      </w:r>
      <w:r w:rsidRPr="003462E6">
        <w:rPr>
          <w:rFonts w:ascii="ITC Avant Garde Book" w:hAnsi="ITC Avant Garde Book"/>
          <w:sz w:val="16"/>
          <w:szCs w:val="16"/>
        </w:rPr>
        <w:t xml:space="preserve">precios, que se hace en el modelo con la denominada “tendencia de precio”. Bajo este enfoque, el flujo de efectivo de la empresa hipotética dentro del modelo toma en consideración flujos nominales en términos de la inversión al valor de los costos que se actualizan por su tendencia en precios, lo que permite desarrollar el modelo en términos nominales, en vez de los términos reales. </w:t>
      </w:r>
    </w:p>
  </w:footnote>
  <w:footnote w:id="4">
    <w:p w14:paraId="2117B624" w14:textId="77777777" w:rsidR="00B11631" w:rsidRPr="00B229A6" w:rsidRDefault="00B11631" w:rsidP="00DE0A93">
      <w:pPr>
        <w:pStyle w:val="Textonotapie"/>
        <w:ind w:left="142" w:hanging="142"/>
        <w:jc w:val="both"/>
        <w:rPr>
          <w:rFonts w:ascii="ITC Avant Garde" w:hAnsi="ITC Avant Garde"/>
          <w:sz w:val="16"/>
        </w:rPr>
      </w:pPr>
      <w:r w:rsidRPr="00B229A6">
        <w:rPr>
          <w:rStyle w:val="Refdenotaalpie"/>
          <w:rFonts w:ascii="ITC Avant Garde" w:hAnsi="ITC Avant Garde"/>
          <w:sz w:val="16"/>
        </w:rPr>
        <w:footnoteRef/>
      </w:r>
      <w:r w:rsidRPr="00B229A6">
        <w:rPr>
          <w:rFonts w:ascii="ITC Avant Garde" w:hAnsi="ITC Avant Garde"/>
          <w:sz w:val="16"/>
        </w:rPr>
        <w:t xml:space="preserve"> </w:t>
      </w:r>
      <w:r w:rsidRPr="00B229A6">
        <w:rPr>
          <w:rFonts w:ascii="ITC Avant Garde" w:hAnsi="ITC Avant Garde"/>
          <w:sz w:val="16"/>
          <w:lang w:val="es-ES"/>
        </w:rPr>
        <w:t xml:space="preserve">El enfoque de </w:t>
      </w:r>
      <w:r w:rsidRPr="00B229A6">
        <w:rPr>
          <w:rFonts w:ascii="ITC Avant Garde" w:hAnsi="ITC Avant Garde"/>
          <w:i/>
          <w:sz w:val="16"/>
          <w:lang w:val="es-ES"/>
        </w:rPr>
        <w:t xml:space="preserve">transfer </w:t>
      </w:r>
      <w:proofErr w:type="spellStart"/>
      <w:r w:rsidRPr="00B229A6">
        <w:rPr>
          <w:rFonts w:ascii="ITC Avant Garde" w:hAnsi="ITC Avant Garde"/>
          <w:i/>
          <w:sz w:val="16"/>
          <w:lang w:val="es-ES"/>
        </w:rPr>
        <w:t>charge</w:t>
      </w:r>
      <w:proofErr w:type="spellEnd"/>
      <w:r w:rsidRPr="00B229A6">
        <w:rPr>
          <w:rFonts w:ascii="ITC Avant Garde" w:hAnsi="ITC Avant Garde"/>
          <w:sz w:val="16"/>
          <w:lang w:val="es-ES"/>
        </w:rPr>
        <w:t xml:space="preserve"> al costo implica definir una relación entre la demanda indirecta de todos los servicios</w:t>
      </w:r>
      <w:r>
        <w:rPr>
          <w:rFonts w:ascii="ITC Avant Garde" w:hAnsi="ITC Avant Garde"/>
          <w:sz w:val="16"/>
          <w:lang w:val="es-ES"/>
        </w:rPr>
        <w:t xml:space="preserve"> </w:t>
      </w:r>
      <w:r w:rsidRPr="00B229A6">
        <w:rPr>
          <w:rFonts w:ascii="ITC Avant Garde" w:hAnsi="ITC Avant Garde"/>
          <w:sz w:val="16"/>
          <w:lang w:val="es-ES"/>
        </w:rPr>
        <w:t>modelados con el objetivo de reflejar los costos relevantes de cada servicio a otro servicio según la relación definida entre los servicios y la demanda relevante.</w:t>
      </w:r>
    </w:p>
  </w:footnote>
  <w:footnote w:id="5">
    <w:p w14:paraId="6C70BB82" w14:textId="652C4FD4" w:rsidR="00B11631" w:rsidRPr="002B640D" w:rsidRDefault="00B11631" w:rsidP="002B640D">
      <w:pPr>
        <w:pStyle w:val="NumeracinIFT"/>
        <w:ind w:left="0" w:firstLine="0"/>
        <w:rPr>
          <w:sz w:val="16"/>
          <w:szCs w:val="16"/>
        </w:rPr>
      </w:pPr>
      <w:r w:rsidRPr="00E36862">
        <w:rPr>
          <w:rStyle w:val="Refdenotaalpie"/>
          <w:sz w:val="16"/>
          <w:szCs w:val="16"/>
        </w:rPr>
        <w:footnoteRef/>
      </w:r>
      <w:r w:rsidRPr="00E36862">
        <w:rPr>
          <w:sz w:val="16"/>
          <w:szCs w:val="16"/>
        </w:rPr>
        <w:t xml:space="preserve"> Se trata de una muestra representativa de 250 localidades obtenida mediante una técnica de diseño estadístico llamada </w:t>
      </w:r>
      <w:r w:rsidRPr="00E36862">
        <w:rPr>
          <w:i/>
          <w:sz w:val="16"/>
          <w:szCs w:val="16"/>
        </w:rPr>
        <w:t>muestreo estratificado</w:t>
      </w:r>
      <w:r w:rsidRPr="00E36862">
        <w:rPr>
          <w:sz w:val="16"/>
          <w:szCs w:val="16"/>
        </w:rPr>
        <w:t xml:space="preserve">. Esta </w:t>
      </w:r>
      <w:r>
        <w:rPr>
          <w:sz w:val="16"/>
          <w:szCs w:val="16"/>
        </w:rPr>
        <w:t xml:space="preserve">muestra </w:t>
      </w:r>
      <w:r w:rsidRPr="00E36862">
        <w:rPr>
          <w:sz w:val="16"/>
          <w:szCs w:val="16"/>
        </w:rPr>
        <w:t xml:space="preserve">permite </w:t>
      </w:r>
      <w:r>
        <w:rPr>
          <w:sz w:val="16"/>
          <w:szCs w:val="16"/>
        </w:rPr>
        <w:t>reproducir</w:t>
      </w:r>
      <w:r w:rsidRPr="00E36862">
        <w:rPr>
          <w:sz w:val="16"/>
          <w:szCs w:val="16"/>
        </w:rPr>
        <w:t xml:space="preserve"> la distribución de los distintos </w:t>
      </w:r>
      <w:proofErr w:type="spellStart"/>
      <w:r w:rsidRPr="00E36862">
        <w:rPr>
          <w:sz w:val="16"/>
          <w:szCs w:val="16"/>
        </w:rPr>
        <w:t>geotipos</w:t>
      </w:r>
      <w:proofErr w:type="spellEnd"/>
      <w:r w:rsidRPr="00E36862">
        <w:rPr>
          <w:sz w:val="16"/>
          <w:szCs w:val="16"/>
        </w:rPr>
        <w:t xml:space="preserve"> de las localidades de la base de datos de la que se parte, es decir se obtiene una muestra que tiene una distribución estadísticamente significativa de acuerdo al nivel de urbanidad de las centrales.</w:t>
      </w:r>
    </w:p>
  </w:footnote>
  <w:footnote w:id="6">
    <w:p w14:paraId="3BD651DA" w14:textId="77777777" w:rsidR="00B11631" w:rsidRPr="00F66756" w:rsidRDefault="00B11631" w:rsidP="001D27EC">
      <w:pPr>
        <w:pStyle w:val="Textonotapie"/>
        <w:jc w:val="both"/>
        <w:rPr>
          <w:rFonts w:ascii="ITC Avant Garde" w:hAnsi="ITC Avant Garde"/>
          <w:sz w:val="16"/>
        </w:rPr>
      </w:pPr>
      <w:r w:rsidRPr="00F66756">
        <w:rPr>
          <w:rStyle w:val="Refdenotaalpie"/>
          <w:rFonts w:ascii="ITC Avant Garde" w:hAnsi="ITC Avant Garde"/>
          <w:sz w:val="16"/>
        </w:rPr>
        <w:footnoteRef/>
      </w:r>
      <w:r w:rsidRPr="00F66756">
        <w:rPr>
          <w:rFonts w:ascii="ITC Avant Garde" w:hAnsi="ITC Avant Garde"/>
          <w:sz w:val="16"/>
        </w:rPr>
        <w:t xml:space="preserve"> Esta categoría se refiere a los servicios HDSL y SHDSL en conjunto. </w:t>
      </w:r>
    </w:p>
  </w:footnote>
  <w:footnote w:id="7">
    <w:p w14:paraId="280EFA21" w14:textId="77777777" w:rsidR="00B11631" w:rsidRDefault="00B11631" w:rsidP="00355374">
      <w:pPr>
        <w:pStyle w:val="Textonotapie"/>
      </w:pPr>
      <w:r>
        <w:rPr>
          <w:rStyle w:val="Refdenotaalpie"/>
        </w:rPr>
        <w:footnoteRef/>
      </w:r>
      <w:r>
        <w:t xml:space="preserve"> </w:t>
      </w:r>
      <w:r w:rsidRPr="001D27EC">
        <w:rPr>
          <w:rFonts w:ascii="ITC Avant Garde" w:hAnsi="ITC Avant Garde"/>
          <w:sz w:val="16"/>
        </w:rPr>
        <w:t>Para un cable de fibra óptica con 36 hilos en su interior.</w:t>
      </w:r>
    </w:p>
  </w:footnote>
  <w:footnote w:id="8">
    <w:p w14:paraId="619E86F9" w14:textId="77777777" w:rsidR="00B11631" w:rsidRDefault="00B11631" w:rsidP="001D27EC">
      <w:pPr>
        <w:pStyle w:val="Textonotapie"/>
        <w:jc w:val="both"/>
      </w:pPr>
      <w:r>
        <w:rPr>
          <w:rStyle w:val="Refdenotaalpie"/>
        </w:rPr>
        <w:footnoteRef/>
      </w:r>
      <w:r>
        <w:t xml:space="preserve"> </w:t>
      </w:r>
      <w:r w:rsidRPr="001D27EC">
        <w:rPr>
          <w:rFonts w:ascii="ITC Avant Garde" w:hAnsi="ITC Avant Garde"/>
          <w:sz w:val="16"/>
        </w:rPr>
        <w:t>Para un cable de fibra óptica con 36 hilos en su interior.</w:t>
      </w:r>
    </w:p>
  </w:footnote>
  <w:footnote w:id="9">
    <w:p w14:paraId="19ACE722" w14:textId="77777777" w:rsidR="00B11631" w:rsidRDefault="00B11631" w:rsidP="009F7024">
      <w:pPr>
        <w:pStyle w:val="Textonotapie"/>
      </w:pPr>
      <w:r>
        <w:rPr>
          <w:rStyle w:val="Refdenotaalpie"/>
        </w:rPr>
        <w:footnoteRef/>
      </w:r>
      <w:r>
        <w:t xml:space="preserve"> </w:t>
      </w:r>
      <w:r w:rsidRPr="000F51FD">
        <w:rPr>
          <w:rFonts w:ascii="ITC Avant Garde" w:hAnsi="ITC Avant Garde"/>
          <w:sz w:val="16"/>
        </w:rPr>
        <w:t xml:space="preserve">Relativa a los diversos elementos de infraestructura </w:t>
      </w:r>
      <w:r>
        <w:rPr>
          <w:rFonts w:ascii="ITC Avant Garde" w:hAnsi="ITC Avant Garde"/>
          <w:sz w:val="16"/>
          <w:lang w:val="es-419"/>
        </w:rPr>
        <w:t>e instalación necesarios para brindar el servicio</w:t>
      </w:r>
      <w:r w:rsidRPr="000F51FD">
        <w:rPr>
          <w:rFonts w:ascii="ITC Avant Garde" w:hAnsi="ITC Avant Garde"/>
          <w:sz w:val="16"/>
        </w:rPr>
        <w:t>, sin considerar el cable</w:t>
      </w:r>
      <w:r>
        <w:rPr>
          <w:rFonts w:ascii="ITC Avant Garde" w:hAnsi="ITC Avant Garde"/>
          <w:sz w:val="16"/>
        </w:rPr>
        <w:t>.</w:t>
      </w:r>
    </w:p>
  </w:footnote>
  <w:footnote w:id="10">
    <w:p w14:paraId="192BD3AD" w14:textId="77777777" w:rsidR="00B11631" w:rsidRPr="0000043A" w:rsidRDefault="00B11631">
      <w:pPr>
        <w:pStyle w:val="Textonotapie"/>
        <w:rPr>
          <w:lang w:val="es-419"/>
        </w:rPr>
      </w:pPr>
      <w:r>
        <w:rPr>
          <w:rStyle w:val="Refdenotaalpie"/>
        </w:rPr>
        <w:footnoteRef/>
      </w:r>
      <w:r>
        <w:t xml:space="preserve"> </w:t>
      </w:r>
      <w:r w:rsidRPr="0000043A">
        <w:rPr>
          <w:rFonts w:ascii="ITC Avant Garde" w:hAnsi="ITC Avant Garde"/>
          <w:sz w:val="16"/>
        </w:rPr>
        <w:t>Incluye un cierre de empalme de las 48 o 96 fibras.</w:t>
      </w:r>
    </w:p>
  </w:footnote>
  <w:footnote w:id="11">
    <w:p w14:paraId="416462E6" w14:textId="77777777" w:rsidR="00B11631" w:rsidRDefault="00B11631" w:rsidP="00F141CC">
      <w:pPr>
        <w:pStyle w:val="Textonotapie"/>
      </w:pPr>
      <w:r>
        <w:rPr>
          <w:rStyle w:val="Refdenotaalpie"/>
        </w:rPr>
        <w:footnoteRef/>
      </w:r>
      <w:r>
        <w:t xml:space="preserve"> </w:t>
      </w:r>
      <w:r w:rsidRPr="000F51FD">
        <w:rPr>
          <w:rFonts w:ascii="ITC Avant Garde" w:hAnsi="ITC Avant Garde"/>
          <w:sz w:val="16"/>
        </w:rPr>
        <w:t>Relativa a los diversos elementos de infraestructura de los que hace uso dicho servicio</w:t>
      </w:r>
      <w:r>
        <w:rPr>
          <w:rFonts w:ascii="ITC Avant Garde" w:hAnsi="ITC Avant Garde"/>
          <w:sz w:val="16"/>
        </w:rPr>
        <w:t>.</w:t>
      </w:r>
    </w:p>
  </w:footnote>
  <w:footnote w:id="12">
    <w:p w14:paraId="5FF7C2D6" w14:textId="77777777" w:rsidR="00B11631" w:rsidRPr="003D7CA3" w:rsidRDefault="00B11631" w:rsidP="00C300D4">
      <w:pPr>
        <w:pStyle w:val="Textonotapie"/>
        <w:jc w:val="both"/>
        <w:rPr>
          <w:rFonts w:ascii="ITC Avant Garde" w:hAnsi="ITC Avant Garde"/>
          <w:sz w:val="16"/>
          <w:szCs w:val="16"/>
        </w:rPr>
      </w:pPr>
      <w:r w:rsidRPr="003D7CA3">
        <w:rPr>
          <w:rStyle w:val="Refdenotaalpie"/>
          <w:rFonts w:ascii="ITC Avant Garde" w:hAnsi="ITC Avant Garde"/>
        </w:rPr>
        <w:footnoteRef/>
      </w:r>
      <w:r w:rsidRPr="003D7CA3">
        <w:rPr>
          <w:rFonts w:ascii="ITC Avant Garde" w:hAnsi="ITC Avant Garde"/>
        </w:rPr>
        <w:t xml:space="preserve"> </w:t>
      </w:r>
      <w:r w:rsidRPr="003D7CA3">
        <w:rPr>
          <w:rFonts w:ascii="ITC Avant Garde" w:hAnsi="ITC Avant Garde"/>
          <w:sz w:val="16"/>
          <w:szCs w:val="16"/>
        </w:rPr>
        <w:t>En la O</w:t>
      </w:r>
      <w:r>
        <w:rPr>
          <w:rFonts w:ascii="ITC Avant Garde" w:hAnsi="ITC Avant Garde"/>
          <w:sz w:val="16"/>
          <w:szCs w:val="16"/>
        </w:rPr>
        <w:t>ferta de Referencia de Telmex y</w:t>
      </w:r>
      <w:r>
        <w:rPr>
          <w:rFonts w:ascii="ITC Avant Garde" w:hAnsi="ITC Avant Garde"/>
          <w:sz w:val="16"/>
          <w:szCs w:val="16"/>
          <w:lang w:val="es-419"/>
        </w:rPr>
        <w:t xml:space="preserve"> la</w:t>
      </w:r>
      <w:r w:rsidRPr="00810725">
        <w:rPr>
          <w:rFonts w:ascii="ITC Avant Garde" w:hAnsi="ITC Avant Garde" w:cs="Arial"/>
          <w:sz w:val="22"/>
          <w:szCs w:val="22"/>
          <w:lang w:eastAsia="es-ES"/>
        </w:rPr>
        <w:t xml:space="preserve"> </w:t>
      </w:r>
      <w:r w:rsidRPr="00810725">
        <w:rPr>
          <w:rFonts w:ascii="ITC Avant Garde" w:hAnsi="ITC Avant Garde"/>
          <w:sz w:val="16"/>
          <w:szCs w:val="16"/>
        </w:rPr>
        <w:t>Oferta de Referencia de</w:t>
      </w:r>
      <w:r>
        <w:rPr>
          <w:rFonts w:ascii="ITC Avant Garde" w:hAnsi="ITC Avant Garde"/>
          <w:sz w:val="16"/>
          <w:szCs w:val="16"/>
        </w:rPr>
        <w:t xml:space="preserve"> </w:t>
      </w:r>
      <w:proofErr w:type="spellStart"/>
      <w:r>
        <w:rPr>
          <w:rFonts w:ascii="ITC Avant Garde" w:hAnsi="ITC Avant Garde"/>
          <w:sz w:val="16"/>
          <w:szCs w:val="16"/>
        </w:rPr>
        <w:t>Telnor</w:t>
      </w:r>
      <w:proofErr w:type="spellEnd"/>
      <w:r>
        <w:rPr>
          <w:rFonts w:ascii="ITC Avant Garde" w:hAnsi="ITC Avant Garde"/>
          <w:sz w:val="16"/>
          <w:szCs w:val="16"/>
        </w:rPr>
        <w:t xml:space="preserve"> se consideran los siguientes </w:t>
      </w:r>
      <w:proofErr w:type="spellStart"/>
      <w:r>
        <w:rPr>
          <w:rFonts w:ascii="ITC Avant Garde" w:hAnsi="ITC Avant Garde"/>
          <w:sz w:val="16"/>
          <w:szCs w:val="16"/>
        </w:rPr>
        <w:t>geotipos</w:t>
      </w:r>
      <w:proofErr w:type="spellEnd"/>
      <w:r w:rsidRPr="00447201">
        <w:rPr>
          <w:rFonts w:ascii="ITC Avant Garde" w:hAnsi="ITC Avant Garde"/>
          <w:sz w:val="16"/>
          <w:szCs w:val="16"/>
        </w:rPr>
        <w:t>: Nivel Alto (AAA), Nivel Medio Alto (AA), Nivel Medio (A), Nivel Bajo / Rural (B) y Nivel Industrial (I)</w:t>
      </w:r>
      <w:r>
        <w:rPr>
          <w:rFonts w:ascii="ITC Avant Garde" w:hAnsi="ITC Avant Garde"/>
          <w:sz w:val="16"/>
          <w:szCs w:val="16"/>
        </w:rPr>
        <w:t>.</w:t>
      </w:r>
    </w:p>
  </w:footnote>
  <w:footnote w:id="13">
    <w:p w14:paraId="3EFA8640" w14:textId="6CB45CC3" w:rsidR="00B11631" w:rsidRDefault="00B11631" w:rsidP="0078409C">
      <w:pPr>
        <w:pStyle w:val="Textocomentario"/>
        <w:jc w:val="both"/>
      </w:pPr>
      <w:r w:rsidRPr="00693513">
        <w:rPr>
          <w:rStyle w:val="Refdenotaalpie"/>
          <w:rFonts w:ascii="ITC Avant Garde" w:hAnsi="ITC Avant Garde"/>
        </w:rPr>
        <w:footnoteRef/>
      </w:r>
      <w:r w:rsidRPr="00693513">
        <w:t xml:space="preserve"> </w:t>
      </w:r>
      <w:r w:rsidRPr="00727022">
        <w:rPr>
          <w:rFonts w:ascii="ITC Avant Garde" w:eastAsia="Calibri" w:hAnsi="ITC Avant Garde"/>
          <w:sz w:val="16"/>
          <w:szCs w:val="16"/>
          <w:lang w:eastAsia="en-US"/>
        </w:rPr>
        <w:t xml:space="preserve">Valor considerado </w:t>
      </w:r>
      <w:r>
        <w:rPr>
          <w:rFonts w:ascii="ITC Avant Garde" w:eastAsia="Calibri" w:hAnsi="ITC Avant Garde"/>
          <w:sz w:val="16"/>
          <w:szCs w:val="16"/>
          <w:lang w:eastAsia="en-US"/>
        </w:rPr>
        <w:t>a</w:t>
      </w:r>
      <w:r w:rsidRPr="00693513">
        <w:rPr>
          <w:rFonts w:ascii="ITC Avant Garde" w:eastAsia="Calibri" w:hAnsi="ITC Avant Garde"/>
          <w:sz w:val="16"/>
          <w:szCs w:val="16"/>
          <w:lang w:eastAsia="en-US"/>
        </w:rPr>
        <w:t xml:space="preserve"> partir del documento “RESOLUCIÓN SOBRE LA PROPUESTA DE VIDAS ÚTILES PARA LA CONTABILIDAD DE COSTES CORRIENTES DE TELEFÓNICA DE ESPAÑA S.A.U. PARA 2016” de la Comisión Nacional de los Mercados y la Competencia de España, disponible a través de la siguiente dirección electrónica: </w:t>
      </w:r>
      <w:r w:rsidRPr="00BB40D2">
        <w:rPr>
          <w:rFonts w:ascii="ITC Avant Garde" w:hAnsi="ITC Avant Garde"/>
          <w:sz w:val="16"/>
          <w:szCs w:val="16"/>
        </w:rPr>
        <w:t>https://www.cnmc.es/sites/default/files/1614271_0.pdf</w:t>
      </w:r>
      <w:r w:rsidRPr="00693513">
        <w:rPr>
          <w:rFonts w:ascii="ITC Avant Garde" w:hAnsi="ITC Avant Garde"/>
          <w:sz w:val="16"/>
          <w:szCs w:val="16"/>
        </w:rPr>
        <w:t xml:space="preserve"> (</w:t>
      </w:r>
      <w:r w:rsidRPr="00693513">
        <w:rPr>
          <w:rFonts w:ascii="ITC Avant Garde" w:eastAsia="Calibri" w:hAnsi="ITC Avant Garde"/>
          <w:sz w:val="16"/>
          <w:szCs w:val="16"/>
          <w:lang w:eastAsia="en-US"/>
        </w:rPr>
        <w:t>ver página 11, concepto “Estructuras soportes antenas”)</w:t>
      </w:r>
      <w:r>
        <w:rPr>
          <w:rFonts w:ascii="ITC Avant Garde" w:eastAsia="Calibri" w:hAnsi="ITC Avant Garde"/>
          <w:sz w:val="16"/>
          <w:szCs w:val="16"/>
          <w:lang w:eastAsia="en-US"/>
        </w:rPr>
        <w:t>.</w:t>
      </w:r>
    </w:p>
  </w:footnote>
  <w:footnote w:id="14">
    <w:p w14:paraId="2BFD1E6B" w14:textId="77777777" w:rsidR="00B11631" w:rsidRPr="00EA134A" w:rsidRDefault="00B11631" w:rsidP="00727022">
      <w:pPr>
        <w:pStyle w:val="Textonotapie"/>
        <w:jc w:val="both"/>
        <w:rPr>
          <w:rFonts w:ascii="ITC Avant Garde" w:hAnsi="ITC Avant Garde"/>
          <w:sz w:val="16"/>
          <w:szCs w:val="16"/>
        </w:rPr>
      </w:pPr>
      <w:r>
        <w:rPr>
          <w:rStyle w:val="Refdenotaalpie"/>
        </w:rPr>
        <w:footnoteRef/>
      </w:r>
      <w:r>
        <w:t xml:space="preserve"> </w:t>
      </w:r>
      <w:r w:rsidRPr="00EA134A">
        <w:rPr>
          <w:rFonts w:ascii="ITC Avant Garde" w:hAnsi="ITC Avant Garde"/>
          <w:sz w:val="16"/>
          <w:szCs w:val="16"/>
        </w:rPr>
        <w:t>De acuerdo a la información proporcionada por el AEP, este concepto es aplicable para aquellos casos en los que la torre se localiza en una azotea.</w:t>
      </w:r>
    </w:p>
  </w:footnote>
  <w:footnote w:id="15">
    <w:p w14:paraId="2884A831" w14:textId="77777777" w:rsidR="00B11631" w:rsidRDefault="00B11631" w:rsidP="001D27EC">
      <w:pPr>
        <w:pStyle w:val="Textonotapie"/>
        <w:jc w:val="both"/>
      </w:pPr>
      <w:r w:rsidRPr="00127ED2">
        <w:rPr>
          <w:rStyle w:val="Refdenotaalpie"/>
          <w:rFonts w:ascii="ITC Avant Garde" w:hAnsi="ITC Avant Garde"/>
        </w:rPr>
        <w:footnoteRef/>
      </w:r>
      <w:r w:rsidRPr="00127ED2">
        <w:rPr>
          <w:rFonts w:ascii="ITC Avant Garde" w:hAnsi="ITC Avant Garde"/>
        </w:rPr>
        <w:t xml:space="preserve"> </w:t>
      </w:r>
      <w:r w:rsidRPr="00127ED2">
        <w:rPr>
          <w:rFonts w:ascii="ITC Avant Garde" w:hAnsi="ITC Avant Garde"/>
          <w:sz w:val="16"/>
        </w:rPr>
        <w:t>Conforme al num</w:t>
      </w:r>
      <w:r>
        <w:rPr>
          <w:rFonts w:ascii="ITC Avant Garde" w:hAnsi="ITC Avant Garde"/>
          <w:sz w:val="16"/>
        </w:rPr>
        <w:t>eral 2 del Anexo A “TARIFAS” del</w:t>
      </w:r>
      <w:r w:rsidRPr="00127ED2">
        <w:rPr>
          <w:rFonts w:ascii="ITC Avant Garde" w:hAnsi="ITC Avant Garde"/>
          <w:sz w:val="16"/>
        </w:rPr>
        <w:t xml:space="preserve"> C</w:t>
      </w:r>
      <w:r>
        <w:rPr>
          <w:rFonts w:ascii="ITC Avant Garde" w:hAnsi="ITC Avant Garde"/>
          <w:sz w:val="16"/>
        </w:rPr>
        <w:t>onvenio de la Oferta de Referencia de Telmex y</w:t>
      </w:r>
      <w:r>
        <w:rPr>
          <w:rFonts w:ascii="ITC Avant Garde" w:hAnsi="ITC Avant Garde"/>
          <w:sz w:val="16"/>
          <w:lang w:val="es-419"/>
        </w:rPr>
        <w:t xml:space="preserve"> la</w:t>
      </w:r>
      <w:r w:rsidRPr="00810725">
        <w:rPr>
          <w:rFonts w:ascii="ITC Avant Garde" w:hAnsi="ITC Avant Garde" w:cs="Arial"/>
          <w:sz w:val="22"/>
          <w:szCs w:val="22"/>
          <w:lang w:eastAsia="es-ES"/>
        </w:rPr>
        <w:t xml:space="preserve"> </w:t>
      </w:r>
      <w:r w:rsidRPr="00810725">
        <w:rPr>
          <w:rFonts w:ascii="ITC Avant Garde" w:hAnsi="ITC Avant Garde"/>
          <w:sz w:val="16"/>
        </w:rPr>
        <w:t>Oferta de Referencia de</w:t>
      </w:r>
      <w:r>
        <w:rPr>
          <w:rFonts w:ascii="ITC Avant Garde" w:hAnsi="ITC Avant Garde"/>
          <w:sz w:val="16"/>
        </w:rPr>
        <w:t xml:space="preserve"> </w:t>
      </w:r>
      <w:proofErr w:type="spellStart"/>
      <w:r>
        <w:rPr>
          <w:rFonts w:ascii="ITC Avant Garde" w:hAnsi="ITC Avant Garde"/>
          <w:sz w:val="16"/>
        </w:rPr>
        <w:t>Telnor</w:t>
      </w:r>
      <w:proofErr w:type="spellEnd"/>
      <w:r>
        <w:rPr>
          <w:rFonts w:ascii="ITC Avant Garde" w:hAnsi="ITC Avant Garde"/>
          <w:sz w:val="16"/>
        </w:rPr>
        <w:t>.</w:t>
      </w:r>
    </w:p>
  </w:footnote>
  <w:footnote w:id="16">
    <w:p w14:paraId="043537EC" w14:textId="72072ED4" w:rsidR="00B11631" w:rsidRPr="005D7E37" w:rsidRDefault="00B11631" w:rsidP="007C23F9">
      <w:pPr>
        <w:pStyle w:val="Textonotapie"/>
        <w:jc w:val="both"/>
        <w:rPr>
          <w:rFonts w:ascii="ITC Avant Garde Book" w:hAnsi="ITC Avant Garde Book"/>
          <w:sz w:val="16"/>
          <w:lang w:val="es-419"/>
        </w:rPr>
      </w:pPr>
      <w:r w:rsidRPr="005E4EF2">
        <w:rPr>
          <w:rStyle w:val="Refdenotaalpie"/>
          <w:rFonts w:ascii="ITC Avant Garde" w:hAnsi="ITC Avant Garde"/>
        </w:rPr>
        <w:footnoteRef/>
      </w:r>
      <w:r w:rsidRPr="005E4EF2">
        <w:rPr>
          <w:rFonts w:ascii="ITC Avant Garde" w:hAnsi="ITC Avant Garde"/>
        </w:rPr>
        <w:t xml:space="preserve"> </w:t>
      </w:r>
      <w:r w:rsidRPr="007C4CB1">
        <w:rPr>
          <w:rFonts w:ascii="ITC Avant Garde Book" w:hAnsi="ITC Avant Garde Book"/>
          <w:sz w:val="16"/>
          <w:lang w:val="es-ES_tradnl"/>
        </w:rPr>
        <w:t xml:space="preserve">De acuerdo a la Oferta de Referencia </w:t>
      </w:r>
      <w:r>
        <w:rPr>
          <w:rFonts w:ascii="ITC Avant Garde Book" w:hAnsi="ITC Avant Garde Book"/>
          <w:sz w:val="16"/>
          <w:lang w:val="es-ES_tradnl"/>
        </w:rPr>
        <w:t>de Telmex y</w:t>
      </w:r>
      <w:r>
        <w:rPr>
          <w:rFonts w:ascii="ITC Avant Garde Book" w:hAnsi="ITC Avant Garde Book"/>
          <w:sz w:val="16"/>
          <w:lang w:val="es-419"/>
        </w:rPr>
        <w:t xml:space="preserve"> la</w:t>
      </w:r>
      <w:r w:rsidRPr="00810725">
        <w:rPr>
          <w:rFonts w:ascii="ITC Avant Garde" w:hAnsi="ITC Avant Garde" w:cs="Arial"/>
          <w:sz w:val="22"/>
          <w:szCs w:val="22"/>
          <w:lang w:eastAsia="es-ES"/>
        </w:rPr>
        <w:t xml:space="preserve"> </w:t>
      </w:r>
      <w:r w:rsidRPr="00810725">
        <w:rPr>
          <w:rFonts w:ascii="ITC Avant Garde Book" w:hAnsi="ITC Avant Garde Book"/>
          <w:sz w:val="16"/>
        </w:rPr>
        <w:t>Oferta de Referencia de</w:t>
      </w:r>
      <w:r>
        <w:rPr>
          <w:rFonts w:ascii="ITC Avant Garde Book" w:hAnsi="ITC Avant Garde Book"/>
          <w:sz w:val="16"/>
          <w:lang w:val="es-ES_tradnl"/>
        </w:rPr>
        <w:t xml:space="preserve"> </w:t>
      </w:r>
      <w:proofErr w:type="spellStart"/>
      <w:r>
        <w:rPr>
          <w:rFonts w:ascii="ITC Avant Garde Book" w:hAnsi="ITC Avant Garde Book"/>
          <w:sz w:val="16"/>
          <w:lang w:val="es-ES_tradnl"/>
        </w:rPr>
        <w:t>Telnor</w:t>
      </w:r>
      <w:proofErr w:type="spellEnd"/>
      <w:r>
        <w:rPr>
          <w:rFonts w:ascii="ITC Avant Garde Book" w:hAnsi="ITC Avant Garde Book"/>
          <w:sz w:val="16"/>
          <w:lang w:val="es-ES_tradnl"/>
        </w:rPr>
        <w:t xml:space="preserve"> </w:t>
      </w:r>
      <w:r w:rsidRPr="007C4CB1">
        <w:rPr>
          <w:rFonts w:ascii="ITC Avant Garde Book" w:hAnsi="ITC Avant Garde Book"/>
          <w:sz w:val="16"/>
          <w:lang w:val="es-ES_tradnl"/>
        </w:rPr>
        <w:t xml:space="preserve">corresponde a </w:t>
      </w:r>
      <w:r>
        <w:rPr>
          <w:rFonts w:ascii="ITC Avant Garde Book" w:hAnsi="ITC Avant Garde Book"/>
          <w:sz w:val="16"/>
          <w:lang w:val="es-ES_tradnl"/>
        </w:rPr>
        <w:t xml:space="preserve">la renta mensual por una sección correspondiente a </w:t>
      </w:r>
      <w:r w:rsidRPr="007C4CB1">
        <w:rPr>
          <w:rFonts w:ascii="ITC Avant Garde Book" w:hAnsi="ITC Avant Garde Book"/>
          <w:sz w:val="16"/>
          <w:lang w:val="es-ES_tradnl"/>
        </w:rPr>
        <w:t xml:space="preserve">una </w:t>
      </w:r>
      <w:r w:rsidRPr="00B94F4F">
        <w:rPr>
          <w:rFonts w:ascii="ITC Avant Garde Book" w:hAnsi="ITC Avant Garde Book"/>
          <w:sz w:val="16"/>
          <w:lang w:val="es-ES_tradnl"/>
        </w:rPr>
        <w:t>franja</w:t>
      </w:r>
      <w:r w:rsidRPr="007C4CB1">
        <w:rPr>
          <w:rFonts w:ascii="ITC Avant Garde Book" w:hAnsi="ITC Avant Garde Book"/>
          <w:sz w:val="16"/>
          <w:lang w:val="es-ES_tradnl"/>
        </w:rPr>
        <w:t xml:space="preserve"> de 4 metros lineales</w:t>
      </w:r>
      <w:r>
        <w:rPr>
          <w:rFonts w:ascii="ITC Avant Garde Book" w:hAnsi="ITC Avant Garde Book"/>
          <w:sz w:val="16"/>
          <w:lang w:val="es-419"/>
        </w:rPr>
        <w:t>, limitada por 8.5 m</w:t>
      </w:r>
      <w:r w:rsidRPr="005D7E37">
        <w:rPr>
          <w:rFonts w:ascii="ITC Avant Garde Book" w:hAnsi="ITC Avant Garde Book"/>
          <w:sz w:val="16"/>
          <w:vertAlign w:val="superscript"/>
          <w:lang w:val="es-419"/>
        </w:rPr>
        <w:t>2</w:t>
      </w:r>
      <w:r w:rsidRPr="007C4CB1">
        <w:rPr>
          <w:rFonts w:ascii="ITC Avant Garde Book" w:hAnsi="ITC Avant Garde Book"/>
          <w:sz w:val="16"/>
          <w:lang w:val="es-ES_tradnl"/>
        </w:rPr>
        <w:t xml:space="preserve"> de Espacio en Torre para instalar sus equipos</w:t>
      </w:r>
      <w:r>
        <w:rPr>
          <w:rFonts w:ascii="ITC Avant Garde Book" w:hAnsi="ITC Avant Garde Book"/>
          <w:sz w:val="16"/>
          <w:lang w:val="es-ES_tradnl"/>
        </w:rPr>
        <w:t>.</w:t>
      </w:r>
      <w:r>
        <w:rPr>
          <w:rFonts w:ascii="ITC Avant Garde Book" w:hAnsi="ITC Avant Garde Book"/>
          <w:sz w:val="16"/>
          <w:lang w:val="es-419"/>
        </w:rPr>
        <w:t xml:space="preserve"> </w:t>
      </w:r>
      <w:r w:rsidRPr="00D74B2D">
        <w:rPr>
          <w:rFonts w:ascii="ITC Avant Garde Book" w:hAnsi="ITC Avant Garde Book"/>
          <w:sz w:val="16"/>
          <w:lang w:val="es-ES_tradnl"/>
        </w:rPr>
        <w:t>Cualquier excedente de los 8.5 m</w:t>
      </w:r>
      <w:r w:rsidRPr="005D7E37">
        <w:rPr>
          <w:rFonts w:ascii="ITC Avant Garde Book" w:hAnsi="ITC Avant Garde Book"/>
          <w:sz w:val="16"/>
          <w:vertAlign w:val="superscript"/>
          <w:lang w:val="es-ES_tradnl"/>
        </w:rPr>
        <w:t>2</w:t>
      </w:r>
      <w:r w:rsidRPr="00D74B2D">
        <w:rPr>
          <w:rFonts w:ascii="ITC Avant Garde Book" w:hAnsi="ITC Avant Garde Book"/>
          <w:sz w:val="16"/>
          <w:lang w:val="es-ES_tradnl"/>
        </w:rPr>
        <w:t xml:space="preserve"> o de la </w:t>
      </w:r>
      <w:r w:rsidRPr="00B94F4F">
        <w:rPr>
          <w:rFonts w:ascii="ITC Avant Garde Book" w:hAnsi="ITC Avant Garde Book"/>
          <w:sz w:val="16"/>
          <w:lang w:val="es-ES_tradnl"/>
        </w:rPr>
        <w:t>franja</w:t>
      </w:r>
      <w:r w:rsidRPr="00D74B2D">
        <w:rPr>
          <w:rFonts w:ascii="ITC Avant Garde Book" w:hAnsi="ITC Avant Garde Book"/>
          <w:sz w:val="16"/>
          <w:lang w:val="es-ES_tradnl"/>
        </w:rPr>
        <w:t xml:space="preserve"> de los 4 m</w:t>
      </w:r>
      <w:r>
        <w:rPr>
          <w:rFonts w:ascii="ITC Avant Garde Book" w:hAnsi="ITC Avant Garde Book"/>
          <w:sz w:val="16"/>
          <w:lang w:val="es-ES_tradnl"/>
        </w:rPr>
        <w:t xml:space="preserve">etros </w:t>
      </w:r>
      <w:r w:rsidRPr="00D74B2D">
        <w:rPr>
          <w:rFonts w:ascii="ITC Avant Garde Book" w:hAnsi="ITC Avant Garde Book"/>
          <w:sz w:val="16"/>
          <w:lang w:val="es-ES_tradnl"/>
        </w:rPr>
        <w:t>l</w:t>
      </w:r>
      <w:r>
        <w:rPr>
          <w:rFonts w:ascii="ITC Avant Garde Book" w:hAnsi="ITC Avant Garde Book"/>
          <w:sz w:val="16"/>
          <w:lang w:val="es-ES_tradnl"/>
        </w:rPr>
        <w:t>ineales</w:t>
      </w:r>
      <w:r>
        <w:rPr>
          <w:rFonts w:ascii="ITC Avant Garde Book" w:hAnsi="ITC Avant Garde Book"/>
          <w:sz w:val="16"/>
          <w:lang w:val="es-419"/>
        </w:rPr>
        <w:t>, se cobrará dependiendo del espacio excedente utilizado.</w:t>
      </w:r>
    </w:p>
  </w:footnote>
  <w:footnote w:id="17">
    <w:p w14:paraId="08AEFD3A" w14:textId="77777777" w:rsidR="00B11631" w:rsidRDefault="00B11631" w:rsidP="00AE12AB">
      <w:pPr>
        <w:pStyle w:val="Textonotapie"/>
        <w:jc w:val="both"/>
      </w:pPr>
      <w:r w:rsidRPr="00257AE0">
        <w:rPr>
          <w:rStyle w:val="Refdenotaalpie"/>
          <w:rFonts w:ascii="ITC Avant Garde" w:hAnsi="ITC Avant Garde"/>
        </w:rPr>
        <w:footnoteRef/>
      </w:r>
      <w:r>
        <w:t xml:space="preserve"> </w:t>
      </w:r>
      <w:r w:rsidRPr="003462E6">
        <w:rPr>
          <w:rFonts w:ascii="ITC Avant Garde Book" w:hAnsi="ITC Avant Garde Book"/>
          <w:sz w:val="16"/>
        </w:rPr>
        <w:t>D</w:t>
      </w:r>
      <w:r>
        <w:rPr>
          <w:rFonts w:ascii="ITC Avant Garde Book" w:hAnsi="ITC Avant Garde Book"/>
          <w:sz w:val="16"/>
        </w:rPr>
        <w:t>atos de demanda de espacio vertical en torre promedio:</w:t>
      </w:r>
      <w:r w:rsidRPr="005700FA">
        <w:rPr>
          <w:rFonts w:ascii="ITC Avant Garde Book" w:hAnsi="ITC Avant Garde Book"/>
          <w:sz w:val="16"/>
        </w:rPr>
        <w:t xml:space="preserve"> una franja por CS</w:t>
      </w:r>
      <w:r>
        <w:rPr>
          <w:rFonts w:ascii="ITC Avant Garde Book" w:hAnsi="ITC Avant Garde Book"/>
          <w:sz w:val="16"/>
        </w:rPr>
        <w:t>,</w:t>
      </w:r>
      <w:r w:rsidRPr="005700FA">
        <w:rPr>
          <w:rFonts w:ascii="ITC Avant Garde Book" w:hAnsi="ITC Avant Garde Book"/>
          <w:sz w:val="16"/>
        </w:rPr>
        <w:t xml:space="preserve"> según análisis de </w:t>
      </w:r>
      <w:r w:rsidRPr="00257AE0">
        <w:rPr>
          <w:rFonts w:ascii="ITC Avant Garde Book" w:hAnsi="ITC Avant Garde Book"/>
          <w:sz w:val="16"/>
        </w:rPr>
        <w:t>una muestra de los convenios vigentes que ha firmado</w:t>
      </w:r>
      <w:r>
        <w:rPr>
          <w:rFonts w:ascii="ITC Avant Garde Book" w:hAnsi="ITC Avant Garde Book"/>
          <w:sz w:val="16"/>
        </w:rPr>
        <w:t xml:space="preserve"> </w:t>
      </w:r>
      <w:proofErr w:type="spellStart"/>
      <w:r w:rsidRPr="005700FA">
        <w:rPr>
          <w:rFonts w:ascii="ITC Avant Garde Book" w:hAnsi="ITC Avant Garde Book"/>
          <w:sz w:val="16"/>
        </w:rPr>
        <w:t>Telesites</w:t>
      </w:r>
      <w:proofErr w:type="spellEnd"/>
      <w:r>
        <w:rPr>
          <w:rFonts w:ascii="ITC Avant Garde Book" w:hAnsi="ITC Avant Garde Book"/>
          <w:sz w:val="16"/>
        </w:rPr>
        <w:t>.</w:t>
      </w:r>
    </w:p>
  </w:footnote>
  <w:footnote w:id="18">
    <w:p w14:paraId="3C355F28" w14:textId="604CEC3B" w:rsidR="00B11631" w:rsidRPr="003462E6" w:rsidRDefault="00B11631" w:rsidP="00AE12AB">
      <w:pPr>
        <w:pStyle w:val="Textonotapie"/>
        <w:jc w:val="both"/>
        <w:rPr>
          <w:rFonts w:ascii="ITC Avant Garde Book" w:hAnsi="ITC Avant Garde Book"/>
          <w:lang w:val="es-ES"/>
        </w:rPr>
      </w:pPr>
      <w:r w:rsidRPr="003462E6">
        <w:rPr>
          <w:rStyle w:val="Refdenotaalpie"/>
          <w:rFonts w:ascii="ITC Avant Garde Book" w:hAnsi="ITC Avant Garde Book"/>
        </w:rPr>
        <w:footnoteRef/>
      </w:r>
      <w:r w:rsidRPr="003462E6">
        <w:rPr>
          <w:rFonts w:ascii="ITC Avant Garde Book" w:hAnsi="ITC Avant Garde Book"/>
        </w:rPr>
        <w:t xml:space="preserve"> </w:t>
      </w:r>
      <w:r w:rsidRPr="003462E6">
        <w:rPr>
          <w:rFonts w:ascii="ITC Avant Garde Book" w:hAnsi="ITC Avant Garde Book"/>
          <w:sz w:val="16"/>
        </w:rPr>
        <w:t>D</w:t>
      </w:r>
      <w:r>
        <w:rPr>
          <w:rFonts w:ascii="ITC Avant Garde Book" w:hAnsi="ITC Avant Garde Book"/>
          <w:sz w:val="16"/>
        </w:rPr>
        <w:t>atos de demanda de espacio horizontal en piso: media</w:t>
      </w:r>
      <w:r>
        <w:rPr>
          <w:rFonts w:ascii="ITC Avant Garde Book" w:hAnsi="ITC Avant Garde Book"/>
          <w:sz w:val="16"/>
          <w:lang w:val="es-419"/>
        </w:rPr>
        <w:t>na</w:t>
      </w:r>
      <w:r>
        <w:rPr>
          <w:rFonts w:ascii="ITC Avant Garde Book" w:hAnsi="ITC Avant Garde Book"/>
          <w:sz w:val="16"/>
        </w:rPr>
        <w:t xml:space="preserve"> y moda observados en </w:t>
      </w:r>
      <w:r w:rsidRPr="00257AE0">
        <w:rPr>
          <w:rFonts w:ascii="ITC Avant Garde Book" w:hAnsi="ITC Avant Garde Book"/>
          <w:sz w:val="16"/>
        </w:rPr>
        <w:t>una muestra de los convenios vigentes que ha firmado</w:t>
      </w:r>
      <w:r>
        <w:rPr>
          <w:rFonts w:ascii="ITC Avant Garde Book" w:hAnsi="ITC Avant Garde Book"/>
          <w:sz w:val="16"/>
        </w:rPr>
        <w:t xml:space="preserve"> </w:t>
      </w:r>
      <w:proofErr w:type="spellStart"/>
      <w:r w:rsidRPr="005700FA">
        <w:rPr>
          <w:rFonts w:ascii="ITC Avant Garde Book" w:hAnsi="ITC Avant Garde Book"/>
          <w:sz w:val="16"/>
        </w:rPr>
        <w:t>Telesites</w:t>
      </w:r>
      <w:proofErr w:type="spellEnd"/>
      <w:r>
        <w:rPr>
          <w:rFonts w:ascii="ITC Avant Garde Book" w:hAnsi="ITC Avant Garde Book"/>
          <w:sz w:val="16"/>
        </w:rPr>
        <w:t xml:space="preserve"> y que se encuentran registrados en el Registro Público de Telecomunicaciones, disponible a través de la siguiente dirección electrónica: </w:t>
      </w:r>
      <w:r w:rsidRPr="00BB40D2">
        <w:rPr>
          <w:rFonts w:ascii="ITC Avant Garde Book" w:hAnsi="ITC Avant Garde Book"/>
          <w:sz w:val="16"/>
        </w:rPr>
        <w:t>http://ucsweb.ift.org.mx/vrpc/</w:t>
      </w:r>
    </w:p>
  </w:footnote>
  <w:footnote w:id="19">
    <w:p w14:paraId="66904723" w14:textId="77777777" w:rsidR="00B11631" w:rsidRDefault="00B11631">
      <w:pPr>
        <w:pStyle w:val="Textonotapie"/>
      </w:pPr>
      <w:r>
        <w:rPr>
          <w:rStyle w:val="Refdenotaalpie"/>
        </w:rPr>
        <w:footnoteRef/>
      </w:r>
      <w:r>
        <w:t xml:space="preserve"> </w:t>
      </w:r>
      <w:r>
        <w:rPr>
          <w:rFonts w:ascii="ITC Avant Garde Book" w:hAnsi="ITC Avant Garde Book"/>
          <w:sz w:val="16"/>
        </w:rPr>
        <w:t>A</w:t>
      </w:r>
      <w:r w:rsidRPr="00225D24">
        <w:rPr>
          <w:rFonts w:ascii="ITC Avant Garde Book" w:hAnsi="ITC Avant Garde Book"/>
          <w:sz w:val="16"/>
        </w:rPr>
        <w:t xml:space="preserve"> través de un margen de 10%, sobre el espacio demandado</w:t>
      </w:r>
      <w:r>
        <w:rPr>
          <w:rFonts w:ascii="ITC Avant Garde Book" w:hAnsi="ITC Avant Garde Book"/>
          <w:sz w:val="16"/>
          <w:lang w:val="es-419"/>
        </w:rPr>
        <w:t xml:space="preserve"> y sobre el espacio del predio excluyendo la base de la torre y la caseta</w:t>
      </w:r>
      <w:r>
        <w:rPr>
          <w:rFonts w:ascii="ITC Avant Garde Book" w:hAnsi="ITC Avant Garde Book"/>
          <w:sz w:val="16"/>
        </w:rPr>
        <w:t>.</w:t>
      </w:r>
    </w:p>
  </w:footnote>
  <w:footnote w:id="20">
    <w:p w14:paraId="4806001A" w14:textId="77777777" w:rsidR="00B11631" w:rsidRDefault="00B11631">
      <w:pPr>
        <w:pStyle w:val="Textonotapie"/>
      </w:pPr>
      <w:r>
        <w:rPr>
          <w:rStyle w:val="Refdenotaalpie"/>
        </w:rPr>
        <w:footnoteRef/>
      </w:r>
      <w:r>
        <w:t xml:space="preserve"> </w:t>
      </w:r>
      <w:r w:rsidRPr="00544196">
        <w:rPr>
          <w:rFonts w:ascii="ITC Avant Garde Book" w:hAnsi="ITC Avant Garde Book"/>
          <w:sz w:val="16"/>
        </w:rPr>
        <w:t>Asignación de espacio proporcional</w:t>
      </w:r>
      <w:r>
        <w:rPr>
          <w:rFonts w:ascii="ITC Avant Garde Book" w:hAnsi="ITC Avant Garde Book"/>
          <w:sz w:val="16"/>
          <w:lang w:val="es-419"/>
        </w:rPr>
        <w:t xml:space="preserve"> entre el AEP y el CS entrante</w:t>
      </w:r>
      <w:r w:rsidRPr="00544196">
        <w:rPr>
          <w:rFonts w:ascii="ITC Avant Garde Book" w:hAnsi="ITC Avant Garde Book"/>
          <w:sz w:val="16"/>
        </w:rPr>
        <w:t>.</w:t>
      </w:r>
    </w:p>
  </w:footnote>
  <w:footnote w:id="21">
    <w:p w14:paraId="293EBEFD" w14:textId="77777777" w:rsidR="00B11631" w:rsidRPr="00C96218" w:rsidRDefault="00B11631" w:rsidP="00CC54ED">
      <w:pPr>
        <w:pStyle w:val="Textonotapie"/>
        <w:jc w:val="both"/>
        <w:rPr>
          <w:lang w:val="es-ES"/>
        </w:rPr>
      </w:pPr>
      <w:r w:rsidRPr="003462E6">
        <w:rPr>
          <w:rStyle w:val="Refdenotaalpie"/>
          <w:rFonts w:ascii="ITC Avant Garde Book" w:hAnsi="ITC Avant Garde Book"/>
        </w:rPr>
        <w:footnoteRef/>
      </w:r>
      <w:r w:rsidRPr="003462E6">
        <w:rPr>
          <w:rFonts w:ascii="ITC Avant Garde Book" w:hAnsi="ITC Avant Garde Book"/>
        </w:rPr>
        <w:t xml:space="preserve"> </w:t>
      </w:r>
      <w:r>
        <w:rPr>
          <w:rFonts w:ascii="ITC Avant Garde Book" w:hAnsi="ITC Avant Garde Book"/>
          <w:sz w:val="16"/>
        </w:rPr>
        <w:t>Es sustancial mencionar que</w:t>
      </w:r>
      <w:r w:rsidRPr="003462E6">
        <w:rPr>
          <w:rFonts w:ascii="ITC Avant Garde Book" w:hAnsi="ITC Avant Garde Book"/>
          <w:sz w:val="16"/>
        </w:rPr>
        <w:t xml:space="preserve"> se emplea el CCPP nominal en lugar del </w:t>
      </w:r>
      <w:r>
        <w:rPr>
          <w:rFonts w:ascii="ITC Avant Garde Book" w:hAnsi="ITC Avant Garde Book"/>
          <w:sz w:val="16"/>
        </w:rPr>
        <w:t xml:space="preserve">CCPP </w:t>
      </w:r>
      <w:r w:rsidRPr="003462E6">
        <w:rPr>
          <w:rFonts w:ascii="ITC Avant Garde Book" w:hAnsi="ITC Avant Garde Book"/>
          <w:sz w:val="16"/>
        </w:rPr>
        <w:t xml:space="preserve">real, ya que </w:t>
      </w:r>
      <w:r>
        <w:rPr>
          <w:rFonts w:ascii="ITC Avant Garde Book" w:hAnsi="ITC Avant Garde Book"/>
          <w:sz w:val="16"/>
        </w:rPr>
        <w:t xml:space="preserve">bajo el enfoque del modelo </w:t>
      </w:r>
      <w:r w:rsidRPr="003462E6">
        <w:rPr>
          <w:rFonts w:ascii="ITC Avant Garde Book" w:hAnsi="ITC Avant Garde Book"/>
          <w:sz w:val="16"/>
        </w:rPr>
        <w:t xml:space="preserve">se supone que el total de la inversión para desplegar la red se hace en un solo año y en la actualización de esta para años futuros se aplica un cambio en </w:t>
      </w:r>
      <w:r w:rsidRPr="003462E6">
        <w:rPr>
          <w:rFonts w:ascii="ITC Avant Garde Book" w:hAnsi="ITC Avant Garde Book"/>
          <w:sz w:val="16"/>
          <w:szCs w:val="16"/>
        </w:rPr>
        <w:t xml:space="preserve">precios, que se hace en el modelo con la denominada “tendencia de precio”. Bajo este enfoque, el flujo de efectivo de la empresa hipotética dentro del modelo toma en consideración flujos nominales en términos de la inversión al valor de los costos que se actualizan por su tendencia en precios, lo que permite desarrollar el modelo en términos nominales, en vez de los términos reales. </w:t>
      </w:r>
    </w:p>
  </w:footnote>
  <w:footnote w:id="22">
    <w:p w14:paraId="6731A5B5" w14:textId="77777777" w:rsidR="00B11631" w:rsidRPr="003462E6" w:rsidRDefault="00B11631" w:rsidP="007563CC">
      <w:pPr>
        <w:pStyle w:val="Textonotapie"/>
        <w:jc w:val="both"/>
        <w:rPr>
          <w:rFonts w:ascii="ITC Avant Garde Book" w:hAnsi="ITC Avant Garde Book"/>
        </w:rPr>
      </w:pPr>
      <w:r w:rsidRPr="003462E6">
        <w:rPr>
          <w:rStyle w:val="Refdenotaalpie"/>
          <w:rFonts w:ascii="ITC Avant Garde Book" w:hAnsi="ITC Avant Garde Book"/>
        </w:rPr>
        <w:footnoteRef/>
      </w:r>
      <w:r w:rsidRPr="003462E6">
        <w:rPr>
          <w:rFonts w:ascii="ITC Avant Garde Book" w:hAnsi="ITC Avant Garde Book"/>
        </w:rPr>
        <w:t xml:space="preserve"> </w:t>
      </w:r>
      <w:r w:rsidRPr="00A86FCD">
        <w:rPr>
          <w:rFonts w:ascii="ITC Avant Garde Book" w:hAnsi="ITC Avant Garde Book"/>
          <w:sz w:val="16"/>
          <w:lang w:val="es-ES_tradnl"/>
        </w:rPr>
        <w:t>Se reitera que</w:t>
      </w:r>
      <w:r>
        <w:rPr>
          <w:rFonts w:ascii="ITC Avant Garde Book" w:hAnsi="ITC Avant Garde Book"/>
          <w:sz w:val="16"/>
          <w:lang w:val="es-ES_tradnl"/>
        </w:rPr>
        <w:t xml:space="preserve"> los </w:t>
      </w:r>
      <w:proofErr w:type="spellStart"/>
      <w:r>
        <w:rPr>
          <w:rFonts w:ascii="ITC Avant Garde Book" w:hAnsi="ITC Avant Garde Book"/>
          <w:sz w:val="16"/>
          <w:lang w:val="es-ES_tradnl"/>
        </w:rPr>
        <w:t>geotipos</w:t>
      </w:r>
      <w:proofErr w:type="spellEnd"/>
      <w:r>
        <w:rPr>
          <w:rFonts w:ascii="ITC Avant Garde Book" w:hAnsi="ITC Avant Garde Book"/>
          <w:sz w:val="16"/>
          <w:lang w:val="es-ES_tradnl"/>
        </w:rPr>
        <w:t xml:space="preserve"> descrito en la Oferta de Referencia de Telmex y</w:t>
      </w:r>
      <w:r>
        <w:rPr>
          <w:rFonts w:ascii="ITC Avant Garde Book" w:hAnsi="ITC Avant Garde Book"/>
          <w:sz w:val="16"/>
          <w:lang w:val="es-419"/>
        </w:rPr>
        <w:t xml:space="preserve"> la</w:t>
      </w:r>
      <w:r w:rsidRPr="00810725">
        <w:rPr>
          <w:rFonts w:ascii="ITC Avant Garde" w:hAnsi="ITC Avant Garde" w:cs="Arial"/>
          <w:sz w:val="22"/>
          <w:szCs w:val="22"/>
          <w:lang w:eastAsia="es-ES"/>
        </w:rPr>
        <w:t xml:space="preserve"> </w:t>
      </w:r>
      <w:r w:rsidRPr="00810725">
        <w:rPr>
          <w:rFonts w:ascii="ITC Avant Garde Book" w:hAnsi="ITC Avant Garde Book"/>
          <w:sz w:val="16"/>
        </w:rPr>
        <w:t>Oferta de Referencia de</w:t>
      </w:r>
      <w:r>
        <w:rPr>
          <w:rFonts w:ascii="ITC Avant Garde Book" w:hAnsi="ITC Avant Garde Book"/>
          <w:sz w:val="16"/>
          <w:lang w:val="es-ES_tradnl"/>
        </w:rPr>
        <w:t xml:space="preserve"> </w:t>
      </w:r>
      <w:proofErr w:type="spellStart"/>
      <w:r>
        <w:rPr>
          <w:rFonts w:ascii="ITC Avant Garde Book" w:hAnsi="ITC Avant Garde Book"/>
          <w:sz w:val="16"/>
          <w:lang w:val="es-ES_tradnl"/>
        </w:rPr>
        <w:t>Telnor</w:t>
      </w:r>
      <w:proofErr w:type="spellEnd"/>
      <w:r>
        <w:rPr>
          <w:rFonts w:ascii="ITC Avant Garde Book" w:hAnsi="ITC Avant Garde Book"/>
          <w:sz w:val="16"/>
          <w:lang w:val="es-ES_tradnl"/>
        </w:rPr>
        <w:t>,</w:t>
      </w:r>
      <w:r w:rsidRPr="003462E6">
        <w:rPr>
          <w:rFonts w:ascii="ITC Avant Garde Book" w:hAnsi="ITC Avant Garde Book"/>
          <w:sz w:val="16"/>
          <w:lang w:val="es-ES_tradnl"/>
        </w:rPr>
        <w:t xml:space="preserve"> son los siguientes: Nivel Alto (AAA), Nivel Medio Alto (AA), Nivel Medio (A), Nivel Bajo / Rural (B) y Nivel Industrial (I).</w:t>
      </w:r>
    </w:p>
  </w:footnote>
  <w:footnote w:id="23">
    <w:p w14:paraId="76AEFAA0" w14:textId="77777777" w:rsidR="00B11631" w:rsidRDefault="00B11631" w:rsidP="007F36A4">
      <w:pPr>
        <w:pStyle w:val="Textonotapie"/>
        <w:jc w:val="both"/>
      </w:pPr>
      <w:r>
        <w:rPr>
          <w:rStyle w:val="Refdenotaalpie"/>
        </w:rPr>
        <w:footnoteRef/>
      </w:r>
      <w:r>
        <w:t xml:space="preserve"> </w:t>
      </w:r>
      <w:r w:rsidRPr="003462E6">
        <w:rPr>
          <w:rFonts w:ascii="ITC Avant Garde Book" w:hAnsi="ITC Avant Garde Book"/>
          <w:sz w:val="16"/>
        </w:rPr>
        <w:t>D</w:t>
      </w:r>
      <w:r>
        <w:rPr>
          <w:rFonts w:ascii="ITC Avant Garde Book" w:hAnsi="ITC Avant Garde Book"/>
          <w:sz w:val="16"/>
        </w:rPr>
        <w:t>atos de demanda de espacio vertical en torre promedio:</w:t>
      </w:r>
      <w:r w:rsidRPr="005700FA">
        <w:rPr>
          <w:rFonts w:ascii="ITC Avant Garde Book" w:hAnsi="ITC Avant Garde Book"/>
          <w:sz w:val="16"/>
        </w:rPr>
        <w:t xml:space="preserve"> una franja por CS</w:t>
      </w:r>
      <w:r>
        <w:rPr>
          <w:rFonts w:ascii="ITC Avant Garde Book" w:hAnsi="ITC Avant Garde Book"/>
          <w:sz w:val="16"/>
        </w:rPr>
        <w:t>,</w:t>
      </w:r>
      <w:r w:rsidRPr="005700FA">
        <w:rPr>
          <w:rFonts w:ascii="ITC Avant Garde Book" w:hAnsi="ITC Avant Garde Book"/>
          <w:sz w:val="16"/>
        </w:rPr>
        <w:t xml:space="preserve"> según análisis de </w:t>
      </w:r>
      <w:r w:rsidRPr="006D3073">
        <w:rPr>
          <w:rFonts w:ascii="ITC Avant Garde Book" w:hAnsi="ITC Avant Garde Book"/>
          <w:sz w:val="16"/>
        </w:rPr>
        <w:t>una muestra de los convenios vigentes que ha firmado</w:t>
      </w:r>
      <w:r>
        <w:rPr>
          <w:rFonts w:ascii="ITC Avant Garde Book" w:hAnsi="ITC Avant Garde Book"/>
          <w:sz w:val="16"/>
        </w:rPr>
        <w:t xml:space="preserve"> </w:t>
      </w:r>
      <w:proofErr w:type="spellStart"/>
      <w:r>
        <w:rPr>
          <w:rFonts w:ascii="ITC Avant Garde Book" w:hAnsi="ITC Avant Garde Book"/>
          <w:sz w:val="16"/>
        </w:rPr>
        <w:t>Telesistes</w:t>
      </w:r>
      <w:proofErr w:type="spellEnd"/>
      <w:r>
        <w:rPr>
          <w:rFonts w:ascii="ITC Avant Garde Book" w:hAnsi="ITC Avant Garde Book"/>
          <w:sz w:val="16"/>
        </w:rPr>
        <w:t>.</w:t>
      </w:r>
    </w:p>
  </w:footnote>
  <w:footnote w:id="24">
    <w:p w14:paraId="31D1BF37" w14:textId="77777777" w:rsidR="00B11631" w:rsidRPr="003462E6" w:rsidRDefault="00B11631" w:rsidP="007F36A4">
      <w:pPr>
        <w:pStyle w:val="Textonotapie"/>
        <w:jc w:val="both"/>
        <w:rPr>
          <w:rFonts w:ascii="ITC Avant Garde Book" w:hAnsi="ITC Avant Garde Book"/>
          <w:lang w:val="es-ES"/>
        </w:rPr>
      </w:pPr>
      <w:r w:rsidRPr="003462E6">
        <w:rPr>
          <w:rStyle w:val="Refdenotaalpie"/>
          <w:rFonts w:ascii="ITC Avant Garde Book" w:hAnsi="ITC Avant Garde Book"/>
        </w:rPr>
        <w:footnoteRef/>
      </w:r>
      <w:r w:rsidRPr="003462E6">
        <w:rPr>
          <w:rFonts w:ascii="ITC Avant Garde Book" w:hAnsi="ITC Avant Garde Book"/>
        </w:rPr>
        <w:t xml:space="preserve"> </w:t>
      </w:r>
      <w:r w:rsidRPr="003462E6">
        <w:rPr>
          <w:rFonts w:ascii="ITC Avant Garde Book" w:hAnsi="ITC Avant Garde Book"/>
          <w:sz w:val="16"/>
        </w:rPr>
        <w:t>D</w:t>
      </w:r>
      <w:r>
        <w:rPr>
          <w:rFonts w:ascii="ITC Avant Garde Book" w:hAnsi="ITC Avant Garde Book"/>
          <w:sz w:val="16"/>
        </w:rPr>
        <w:t>atos de demanda de espacio horizontal en piso: media</w:t>
      </w:r>
      <w:r>
        <w:rPr>
          <w:rFonts w:ascii="ITC Avant Garde Book" w:hAnsi="ITC Avant Garde Book"/>
          <w:sz w:val="16"/>
          <w:lang w:val="es-419"/>
        </w:rPr>
        <w:t>na</w:t>
      </w:r>
      <w:r>
        <w:rPr>
          <w:rFonts w:ascii="ITC Avant Garde Book" w:hAnsi="ITC Avant Garde Book"/>
          <w:sz w:val="16"/>
        </w:rPr>
        <w:t xml:space="preserve"> y moda de los</w:t>
      </w:r>
      <w:r w:rsidRPr="002E7BED">
        <w:rPr>
          <w:rFonts w:ascii="ITC Avant Garde Book" w:hAnsi="ITC Avant Garde Book"/>
          <w:sz w:val="16"/>
        </w:rPr>
        <w:t xml:space="preserve"> </w:t>
      </w:r>
      <w:r>
        <w:rPr>
          <w:rFonts w:ascii="ITC Avant Garde Book" w:hAnsi="ITC Avant Garde Book"/>
          <w:sz w:val="16"/>
        </w:rPr>
        <w:t xml:space="preserve">datos observados en una </w:t>
      </w:r>
      <w:r w:rsidRPr="00257AE0">
        <w:rPr>
          <w:rFonts w:ascii="ITC Avant Garde Book" w:hAnsi="ITC Avant Garde Book"/>
          <w:sz w:val="16"/>
        </w:rPr>
        <w:t>muestra de los convenios vigentes que ha firmado</w:t>
      </w:r>
      <w:r>
        <w:rPr>
          <w:rFonts w:ascii="ITC Avant Garde Book" w:hAnsi="ITC Avant Garde Book"/>
          <w:sz w:val="16"/>
        </w:rPr>
        <w:t xml:space="preserve"> </w:t>
      </w:r>
      <w:proofErr w:type="spellStart"/>
      <w:r w:rsidRPr="005700FA">
        <w:rPr>
          <w:rFonts w:ascii="ITC Avant Garde Book" w:hAnsi="ITC Avant Garde Book"/>
          <w:sz w:val="16"/>
        </w:rPr>
        <w:t>Telesites</w:t>
      </w:r>
      <w:proofErr w:type="spellEnd"/>
      <w:r>
        <w:rPr>
          <w:rFonts w:ascii="ITC Avant Garde Book" w:hAnsi="ITC Avant Garde Book"/>
          <w:sz w:val="16"/>
        </w:rPr>
        <w:t>.</w:t>
      </w:r>
    </w:p>
  </w:footnote>
  <w:footnote w:id="25">
    <w:p w14:paraId="56A17AD2" w14:textId="77777777" w:rsidR="00B11631" w:rsidRDefault="00B11631" w:rsidP="002E6973">
      <w:pPr>
        <w:pStyle w:val="Textonotapie"/>
        <w:jc w:val="both"/>
      </w:pPr>
      <w:r>
        <w:rPr>
          <w:rStyle w:val="Refdenotaalpie"/>
        </w:rPr>
        <w:footnoteRef/>
      </w:r>
      <w:r>
        <w:t xml:space="preserve"> </w:t>
      </w:r>
      <w:r>
        <w:rPr>
          <w:rFonts w:ascii="ITC Avant Garde Book" w:hAnsi="ITC Avant Garde Book"/>
          <w:sz w:val="16"/>
        </w:rPr>
        <w:t>Según</w:t>
      </w:r>
      <w:r w:rsidRPr="007F36A4">
        <w:rPr>
          <w:rFonts w:ascii="ITC Avant Garde Book" w:hAnsi="ITC Avant Garde Book"/>
          <w:sz w:val="16"/>
        </w:rPr>
        <w:t xml:space="preserve"> la información </w:t>
      </w:r>
      <w:r>
        <w:rPr>
          <w:rFonts w:ascii="ITC Avant Garde Book" w:hAnsi="ITC Avant Garde Book"/>
          <w:sz w:val="16"/>
        </w:rPr>
        <w:t>proporcionada por el AEP, los sitios donde se ubican sus torres son de su propiedad.</w:t>
      </w:r>
    </w:p>
  </w:footnote>
  <w:footnote w:id="26">
    <w:p w14:paraId="0BF19BF7" w14:textId="77777777" w:rsidR="00B11631" w:rsidRDefault="00B11631" w:rsidP="00436CA5">
      <w:pPr>
        <w:pStyle w:val="Textonotapie"/>
        <w:jc w:val="both"/>
      </w:pPr>
      <w:r>
        <w:rPr>
          <w:rStyle w:val="Refdenotaalpie"/>
        </w:rPr>
        <w:footnoteRef/>
      </w:r>
      <w:r>
        <w:t xml:space="preserve"> </w:t>
      </w:r>
      <w:r w:rsidRPr="00436CA5">
        <w:rPr>
          <w:rFonts w:ascii="ITC Avant Garde Book" w:hAnsi="ITC Avant Garde Book"/>
          <w:sz w:val="16"/>
        </w:rPr>
        <w:t xml:space="preserve">Se refiere </w:t>
      </w:r>
      <w:r>
        <w:rPr>
          <w:rFonts w:ascii="ITC Avant Garde Book" w:hAnsi="ITC Avant Garde Book"/>
          <w:sz w:val="16"/>
        </w:rPr>
        <w:t>a los valores promedio del</w:t>
      </w:r>
      <w:r w:rsidRPr="00436CA5">
        <w:rPr>
          <w:rFonts w:ascii="ITC Avant Garde Book" w:hAnsi="ITC Avant Garde Book"/>
          <w:sz w:val="16"/>
        </w:rPr>
        <w:t xml:space="preserve"> área de </w:t>
      </w:r>
      <w:r>
        <w:rPr>
          <w:rFonts w:ascii="ITC Avant Garde Book" w:hAnsi="ITC Avant Garde Book"/>
          <w:sz w:val="16"/>
        </w:rPr>
        <w:t xml:space="preserve">1) </w:t>
      </w:r>
      <w:r w:rsidRPr="00436CA5">
        <w:rPr>
          <w:rFonts w:ascii="ITC Avant Garde Book" w:hAnsi="ITC Avant Garde Book"/>
          <w:sz w:val="16"/>
        </w:rPr>
        <w:t xml:space="preserve">predio, </w:t>
      </w:r>
      <w:r>
        <w:rPr>
          <w:rFonts w:ascii="ITC Avant Garde Book" w:hAnsi="ITC Avant Garde Book"/>
          <w:sz w:val="16"/>
        </w:rPr>
        <w:t>2) base de la torre presente en sitio</w:t>
      </w:r>
      <w:r w:rsidRPr="00436CA5">
        <w:rPr>
          <w:rFonts w:ascii="ITC Avant Garde Book" w:hAnsi="ITC Avant Garde Book"/>
          <w:sz w:val="16"/>
        </w:rPr>
        <w:t>,</w:t>
      </w:r>
      <w:r>
        <w:rPr>
          <w:rFonts w:ascii="ITC Avant Garde Book" w:hAnsi="ITC Avant Garde Book"/>
          <w:sz w:val="16"/>
        </w:rPr>
        <w:t xml:space="preserve"> 3) azotea y 4)</w:t>
      </w:r>
      <w:r w:rsidRPr="006F7B63">
        <w:rPr>
          <w:rFonts w:ascii="ITC Avant Garde Book" w:hAnsi="ITC Avant Garde Book"/>
          <w:sz w:val="16"/>
        </w:rPr>
        <w:t xml:space="preserve"> caseta</w:t>
      </w:r>
      <w:r>
        <w:rPr>
          <w:rFonts w:ascii="ITC Avant Garde Book" w:hAnsi="ITC Avant Garde Book"/>
          <w:sz w:val="16"/>
        </w:rPr>
        <w:t>, de acuerdo a las características de la torre</w:t>
      </w:r>
      <w:r w:rsidRPr="006F7B63">
        <w:rPr>
          <w:rFonts w:ascii="ITC Avant Garde Book" w:hAnsi="ITC Avant Garde Book"/>
          <w:sz w:val="16"/>
        </w:rPr>
        <w:t>.</w:t>
      </w:r>
    </w:p>
  </w:footnote>
  <w:footnote w:id="27">
    <w:p w14:paraId="4EF905C2" w14:textId="77777777" w:rsidR="00B11631" w:rsidRDefault="00B11631" w:rsidP="001D27EC">
      <w:pPr>
        <w:pStyle w:val="Textonotapie"/>
        <w:jc w:val="both"/>
      </w:pPr>
      <w:r>
        <w:rPr>
          <w:rStyle w:val="Refdenotaalpie"/>
        </w:rPr>
        <w:footnoteRef/>
      </w:r>
      <w:r>
        <w:t xml:space="preserve"> </w:t>
      </w:r>
      <w:r w:rsidRPr="007F36A4">
        <w:rPr>
          <w:rFonts w:ascii="ITC Avant Garde Book" w:hAnsi="ITC Avant Garde Book"/>
          <w:sz w:val="16"/>
        </w:rPr>
        <w:t xml:space="preserve">Tipologías de torres que poseen Telmex y </w:t>
      </w:r>
      <w:proofErr w:type="spellStart"/>
      <w:r w:rsidRPr="007F36A4">
        <w:rPr>
          <w:rFonts w:ascii="ITC Avant Garde Book" w:hAnsi="ITC Avant Garde Book"/>
          <w:sz w:val="16"/>
        </w:rPr>
        <w:t>Telnor</w:t>
      </w:r>
      <w:proofErr w:type="spellEnd"/>
      <w:r w:rsidRPr="007F36A4">
        <w:rPr>
          <w:rFonts w:ascii="ITC Avant Garde Book" w:hAnsi="ITC Avant Garde Book"/>
          <w:sz w:val="16"/>
        </w:rPr>
        <w:t>, de acuerdo a la información</w:t>
      </w:r>
      <w:r>
        <w:rPr>
          <w:rFonts w:ascii="ITC Avant Garde Book" w:hAnsi="ITC Avant Garde Book"/>
          <w:sz w:val="16"/>
        </w:rPr>
        <w:t xml:space="preserve"> proporcionada por el AEP.</w:t>
      </w:r>
    </w:p>
  </w:footnote>
  <w:footnote w:id="28">
    <w:p w14:paraId="425EB1B4" w14:textId="77777777" w:rsidR="00B11631" w:rsidRDefault="00B11631" w:rsidP="00E95898">
      <w:pPr>
        <w:pStyle w:val="Textonotapie"/>
        <w:jc w:val="both"/>
      </w:pPr>
      <w:r>
        <w:rPr>
          <w:rStyle w:val="Refdenotaalpie"/>
        </w:rPr>
        <w:footnoteRef/>
      </w:r>
      <w:r>
        <w:t xml:space="preserve"> </w:t>
      </w:r>
      <w:r w:rsidRPr="00377204">
        <w:rPr>
          <w:rFonts w:ascii="ITC Avant Garde Book" w:hAnsi="ITC Avant Garde Book"/>
          <w:sz w:val="16"/>
        </w:rPr>
        <w:t xml:space="preserve">Estimada de acuerdo a la </w:t>
      </w:r>
      <w:r>
        <w:rPr>
          <w:rFonts w:ascii="ITC Avant Garde Book" w:hAnsi="ITC Avant Garde Book"/>
          <w:sz w:val="16"/>
        </w:rPr>
        <w:t>ocupación de espacio vertical en torre, según</w:t>
      </w:r>
      <w:r w:rsidRPr="007F36A4">
        <w:rPr>
          <w:rFonts w:ascii="ITC Avant Garde Book" w:hAnsi="ITC Avant Garde Book"/>
          <w:sz w:val="16"/>
        </w:rPr>
        <w:t xml:space="preserve"> la información </w:t>
      </w:r>
      <w:r>
        <w:rPr>
          <w:rFonts w:ascii="ITC Avant Garde Book" w:hAnsi="ITC Avant Garde Book"/>
          <w:sz w:val="16"/>
        </w:rPr>
        <w:t>proporcionada por el AEP.</w:t>
      </w:r>
    </w:p>
  </w:footnote>
  <w:footnote w:id="29">
    <w:p w14:paraId="45D41225" w14:textId="77777777" w:rsidR="00B11631" w:rsidRPr="001D27EC" w:rsidRDefault="00B11631" w:rsidP="001D27EC">
      <w:pPr>
        <w:pStyle w:val="Textonotapie"/>
        <w:jc w:val="both"/>
        <w:rPr>
          <w:sz w:val="18"/>
        </w:rPr>
      </w:pPr>
      <w:r>
        <w:rPr>
          <w:rStyle w:val="Refdenotaalpie"/>
        </w:rPr>
        <w:footnoteRef/>
      </w:r>
      <w:r>
        <w:t xml:space="preserve"> </w:t>
      </w:r>
      <w:r w:rsidRPr="001D27EC">
        <w:rPr>
          <w:rFonts w:ascii="ITC Avant Garde" w:hAnsi="ITC Avant Garde" w:cs="Arial"/>
          <w:color w:val="000000"/>
          <w:sz w:val="16"/>
          <w:szCs w:val="22"/>
          <w:lang w:val="es-ES_tradnl" w:eastAsia="es-ES"/>
        </w:rPr>
        <w:t>Gastos de construcción de caminos y extensión de líneas eléctricas.</w:t>
      </w:r>
    </w:p>
  </w:footnote>
  <w:footnote w:id="30">
    <w:p w14:paraId="73C8E16A" w14:textId="77777777" w:rsidR="00B11631" w:rsidRPr="008852FB" w:rsidRDefault="00B11631" w:rsidP="001D27EC">
      <w:pPr>
        <w:pStyle w:val="Textonotapie"/>
        <w:jc w:val="both"/>
        <w:rPr>
          <w:lang w:val="es-419"/>
        </w:rPr>
      </w:pPr>
      <w:r>
        <w:rPr>
          <w:rStyle w:val="Refdenotaalpie"/>
        </w:rPr>
        <w:footnoteRef/>
      </w:r>
      <w:r>
        <w:t xml:space="preserve"> </w:t>
      </w:r>
      <w:r w:rsidRPr="001D27EC">
        <w:rPr>
          <w:rFonts w:ascii="ITC Avant Garde" w:hAnsi="ITC Avant Garde" w:cs="Arial"/>
          <w:color w:val="000000"/>
          <w:sz w:val="16"/>
          <w:szCs w:val="22"/>
          <w:lang w:val="es-ES_tradnl" w:eastAsia="es-ES"/>
        </w:rPr>
        <w:t>Esta asignación no modifica el promedio total de ocupación actual de las torres del AEP.</w:t>
      </w:r>
      <w:r w:rsidRPr="001D27EC">
        <w:rPr>
          <w:sz w:val="18"/>
          <w:lang w:val="es-419"/>
        </w:rPr>
        <w:t xml:space="preserve"> </w:t>
      </w:r>
    </w:p>
  </w:footnote>
  <w:footnote w:id="31">
    <w:p w14:paraId="7C7CA6C0" w14:textId="77777777" w:rsidR="00B11631" w:rsidRDefault="00B11631" w:rsidP="001D27EC">
      <w:pPr>
        <w:pStyle w:val="Textonotapie"/>
        <w:jc w:val="both"/>
      </w:pPr>
      <w:r>
        <w:rPr>
          <w:rStyle w:val="Refdenotaalpie"/>
        </w:rPr>
        <w:footnoteRef/>
      </w:r>
      <w:r>
        <w:t xml:space="preserve"> </w:t>
      </w:r>
      <w:r>
        <w:rPr>
          <w:rFonts w:ascii="ITC Avant Garde Book" w:hAnsi="ITC Avant Garde Book"/>
          <w:sz w:val="16"/>
        </w:rPr>
        <w:t>A</w:t>
      </w:r>
      <w:r w:rsidRPr="00225D24">
        <w:rPr>
          <w:rFonts w:ascii="ITC Avant Garde Book" w:hAnsi="ITC Avant Garde Book"/>
          <w:sz w:val="16"/>
        </w:rPr>
        <w:t xml:space="preserve"> través de un margen de 10%, sobre el espacio demandado</w:t>
      </w:r>
      <w:r>
        <w:rPr>
          <w:rFonts w:ascii="ITC Avant Garde Book" w:hAnsi="ITC Avant Garde Book"/>
          <w:sz w:val="16"/>
          <w:lang w:val="es-419"/>
        </w:rPr>
        <w:t xml:space="preserve"> y sobre el espacio del predio excluyendo la base de la torre y la caseta</w:t>
      </w:r>
      <w:r>
        <w:rPr>
          <w:rFonts w:ascii="ITC Avant Garde Book" w:hAnsi="ITC Avant Garde Book"/>
          <w:sz w:val="16"/>
        </w:rPr>
        <w:t>.</w:t>
      </w:r>
    </w:p>
  </w:footnote>
  <w:footnote w:id="32">
    <w:p w14:paraId="55160EB5" w14:textId="77777777" w:rsidR="00B11631" w:rsidRDefault="00B11631" w:rsidP="001D27EC">
      <w:pPr>
        <w:pStyle w:val="Textonotapie"/>
        <w:jc w:val="both"/>
      </w:pPr>
      <w:r>
        <w:rPr>
          <w:rStyle w:val="Refdenotaalpie"/>
        </w:rPr>
        <w:footnoteRef/>
      </w:r>
      <w:r>
        <w:t xml:space="preserve"> </w:t>
      </w:r>
      <w:r w:rsidRPr="00544196">
        <w:rPr>
          <w:rFonts w:ascii="ITC Avant Garde Book" w:hAnsi="ITC Avant Garde Book"/>
          <w:sz w:val="16"/>
        </w:rPr>
        <w:t>Asignación de espacio proporcional</w:t>
      </w:r>
      <w:r>
        <w:rPr>
          <w:rFonts w:ascii="ITC Avant Garde Book" w:hAnsi="ITC Avant Garde Book"/>
          <w:sz w:val="16"/>
          <w:lang w:val="es-419"/>
        </w:rPr>
        <w:t xml:space="preserve"> entre el AEP y el CS entrante (50% - 50%)</w:t>
      </w:r>
      <w:r w:rsidRPr="00814064">
        <w:rPr>
          <w:rFonts w:ascii="ITC Avant Garde Book" w:hAnsi="ITC Avant Garde Book"/>
          <w:sz w:val="16"/>
          <w:lang w:val="es-419"/>
        </w:rPr>
        <w:t>, ya que la demanda actual de servicios mayoristas es muy baja.</w:t>
      </w:r>
    </w:p>
  </w:footnote>
  <w:footnote w:id="33">
    <w:p w14:paraId="4A3F1271" w14:textId="458EEC55" w:rsidR="00B11631" w:rsidRDefault="00B11631" w:rsidP="0038416A">
      <w:pPr>
        <w:pStyle w:val="Textonotapie"/>
        <w:jc w:val="both"/>
      </w:pPr>
      <w:r>
        <w:rPr>
          <w:rStyle w:val="Refdenotaalpie"/>
        </w:rPr>
        <w:footnoteRef/>
      </w:r>
      <w:r>
        <w:t xml:space="preserve"> </w:t>
      </w:r>
      <w:r w:rsidRPr="0038416A">
        <w:rPr>
          <w:rFonts w:ascii="ITC Avant Garde Book" w:hAnsi="ITC Avant Garde Book"/>
          <w:sz w:val="16"/>
        </w:rPr>
        <w:t xml:space="preserve">Es decir, la correspondiente a </w:t>
      </w:r>
      <w:r>
        <w:rPr>
          <w:rFonts w:ascii="ITC Avant Garde Book" w:hAnsi="ITC Avant Garde Book"/>
          <w:sz w:val="16"/>
        </w:rPr>
        <w:t xml:space="preserve">la demanda de Espacio en Piso de </w:t>
      </w:r>
      <w:r w:rsidRPr="0038416A">
        <w:rPr>
          <w:rFonts w:ascii="ITC Avant Garde Book" w:hAnsi="ITC Avant Garde Book"/>
          <w:sz w:val="16"/>
        </w:rPr>
        <w:t xml:space="preserve">6.6 </w:t>
      </w:r>
      <w:r>
        <w:rPr>
          <w:rFonts w:ascii="ITC Avant Garde Book" w:hAnsi="ITC Avant Garde Book"/>
          <w:sz w:val="16"/>
        </w:rPr>
        <w:t>metros cuadrados, así como de las áreas comunes y compartidas.</w:t>
      </w:r>
    </w:p>
  </w:footnote>
  <w:footnote w:id="34">
    <w:p w14:paraId="70B346F9" w14:textId="77777777" w:rsidR="00B11631" w:rsidRDefault="00B11631" w:rsidP="00E509FE">
      <w:pPr>
        <w:pStyle w:val="Textonotapie"/>
        <w:jc w:val="both"/>
      </w:pPr>
      <w:r>
        <w:rPr>
          <w:rStyle w:val="Refdenotaalpie"/>
        </w:rPr>
        <w:footnoteRef/>
      </w:r>
      <w:r>
        <w:t xml:space="preserve"> </w:t>
      </w:r>
      <w:r w:rsidRPr="00E509FE">
        <w:rPr>
          <w:rFonts w:ascii="ITC Avant Garde" w:hAnsi="ITC Avant Garde"/>
          <w:sz w:val="16"/>
        </w:rPr>
        <w:t xml:space="preserve">Cabe destacar que en el modelo se considera un ajuste a la distribución de torres por cada </w:t>
      </w:r>
      <w:proofErr w:type="spellStart"/>
      <w:r w:rsidRPr="00E509FE">
        <w:rPr>
          <w:rFonts w:ascii="ITC Avant Garde" w:hAnsi="ITC Avant Garde"/>
          <w:sz w:val="16"/>
        </w:rPr>
        <w:t>geotipo</w:t>
      </w:r>
      <w:proofErr w:type="spellEnd"/>
      <w:r w:rsidRPr="00E509FE">
        <w:rPr>
          <w:rFonts w:ascii="ITC Avant Garde" w:hAnsi="ITC Avant Garde"/>
          <w:sz w:val="16"/>
        </w:rPr>
        <w:t xml:space="preserve"> para considera torres cuya altura es mayor o igual a los 15 metros lineales, dado que se observó que a nivel promedio las torres de menor altura no poseen suficiente espacio para la </w:t>
      </w:r>
      <w:proofErr w:type="spellStart"/>
      <w:r w:rsidRPr="00E509FE">
        <w:rPr>
          <w:rFonts w:ascii="ITC Avant Garde" w:hAnsi="ITC Avant Garde"/>
          <w:sz w:val="16"/>
        </w:rPr>
        <w:t>coubicación</w:t>
      </w:r>
      <w:proofErr w:type="spellEnd"/>
      <w:r w:rsidRPr="00E509FE">
        <w:rPr>
          <w:rFonts w:ascii="ITC Avant Garde" w:hAnsi="ITC Avant Garde"/>
          <w:sz w:val="16"/>
        </w:rPr>
        <w:t xml:space="preserve"> de un CS.</w:t>
      </w:r>
    </w:p>
  </w:footnote>
  <w:footnote w:id="35">
    <w:p w14:paraId="28B6BB11" w14:textId="77777777" w:rsidR="00B11631" w:rsidRDefault="00B11631" w:rsidP="001D27EC">
      <w:pPr>
        <w:pStyle w:val="Textonotapie"/>
        <w:jc w:val="both"/>
      </w:pPr>
      <w:r>
        <w:rPr>
          <w:rStyle w:val="Refdenotaalpie"/>
        </w:rPr>
        <w:footnoteRef/>
      </w:r>
      <w:r>
        <w:t xml:space="preserve"> </w:t>
      </w:r>
      <w:r>
        <w:rPr>
          <w:rFonts w:ascii="ITC Avant Garde" w:hAnsi="ITC Avant Garde"/>
          <w:sz w:val="16"/>
          <w:szCs w:val="16"/>
          <w:lang w:val="es-ES"/>
        </w:rPr>
        <w:t>D</w:t>
      </w:r>
      <w:r w:rsidRPr="00703DBE">
        <w:rPr>
          <w:rFonts w:ascii="ITC Avant Garde" w:hAnsi="ITC Avant Garde"/>
          <w:sz w:val="16"/>
          <w:szCs w:val="16"/>
          <w:lang w:val="es-ES"/>
        </w:rPr>
        <w:t>e 4 metros lineales en el cuerpo vertical en la torre para una superficie máxima de 8.5 m²</w:t>
      </w:r>
      <w:r>
        <w:rPr>
          <w:rFonts w:ascii="ITC Avant Garde" w:hAnsi="ITC Avant Garde"/>
          <w:sz w:val="16"/>
          <w:szCs w:val="16"/>
          <w:lang w:val="es-419"/>
        </w:rPr>
        <w:t>.</w:t>
      </w:r>
    </w:p>
  </w:footnote>
  <w:footnote w:id="36">
    <w:p w14:paraId="1CFA99A8" w14:textId="77777777" w:rsidR="00BE3709" w:rsidRDefault="00BE3709" w:rsidP="00BE3709">
      <w:pPr>
        <w:pStyle w:val="Textonotapie"/>
        <w:jc w:val="both"/>
      </w:pPr>
      <w:r>
        <w:rPr>
          <w:rStyle w:val="Refdenotaalpie"/>
        </w:rPr>
        <w:footnoteRef/>
      </w:r>
      <w:r>
        <w:t xml:space="preserve"> </w:t>
      </w:r>
      <w:r>
        <w:rPr>
          <w:rFonts w:ascii="ITC Avant Garde" w:hAnsi="ITC Avant Garde"/>
          <w:sz w:val="16"/>
          <w:szCs w:val="16"/>
        </w:rPr>
        <w:t>Tarifa por uso de 6.6</w:t>
      </w:r>
      <w:r w:rsidRPr="00057FF9">
        <w:rPr>
          <w:rFonts w:ascii="ITC Avant Garde" w:hAnsi="ITC Avant Garde"/>
          <w:sz w:val="16"/>
          <w:szCs w:val="16"/>
        </w:rPr>
        <w:t xml:space="preserve"> metros </w:t>
      </w:r>
      <w:r>
        <w:rPr>
          <w:rFonts w:ascii="ITC Avant Garde" w:hAnsi="ITC Avant Garde"/>
          <w:sz w:val="16"/>
          <w:szCs w:val="16"/>
        </w:rPr>
        <w:t>cuadrados de espacio horizontal, incluyendo el uso de espacios comunes y compartidos</w:t>
      </w:r>
      <w:r>
        <w:rPr>
          <w:rFonts w:ascii="ITC Avant Garde" w:hAnsi="ITC Avant Garde"/>
        </w:rPr>
        <w:t>.</w:t>
      </w:r>
    </w:p>
  </w:footnote>
  <w:footnote w:id="37">
    <w:p w14:paraId="17F909B0" w14:textId="77777777" w:rsidR="00B11631" w:rsidRPr="00FD1B0C" w:rsidRDefault="00B11631" w:rsidP="001D27EC">
      <w:pPr>
        <w:pStyle w:val="Textonotapie"/>
        <w:jc w:val="both"/>
        <w:rPr>
          <w:lang w:val="es-419"/>
        </w:rPr>
      </w:pPr>
      <w:r>
        <w:rPr>
          <w:rStyle w:val="Refdenotaalpie"/>
        </w:rPr>
        <w:footnoteRef/>
      </w:r>
      <w:r w:rsidRPr="00D72E0F">
        <w:rPr>
          <w:rStyle w:val="Refdenotaalpie"/>
        </w:rPr>
        <w:t xml:space="preserve"> </w:t>
      </w:r>
      <w:r w:rsidRPr="00D72E0F">
        <w:rPr>
          <w:rFonts w:ascii="ITC Avant Garde" w:hAnsi="ITC Avant Garde"/>
          <w:sz w:val="16"/>
          <w:szCs w:val="16"/>
        </w:rPr>
        <w:t>El área residual calculada es la que se desprende de restarle al área del predio las áreas necesarias para la base de la torre, la caseta y el espacio necesario para el CS</w:t>
      </w:r>
      <w:r>
        <w:rPr>
          <w:lang w:val="es-419"/>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40C7590"/>
    <w:lvl w:ilvl="0">
      <w:start w:val="1"/>
      <w:numFmt w:val="bullet"/>
      <w:lvlText w:val=""/>
      <w:lvlJc w:val="left"/>
      <w:pPr>
        <w:ind w:left="360" w:hanging="360"/>
      </w:pPr>
      <w:rPr>
        <w:rFonts w:ascii="Symbol" w:hAnsi="Symbol" w:hint="default"/>
        <w:b w:val="0"/>
        <w:i w:val="0"/>
        <w:sz w:val="20"/>
      </w:rPr>
    </w:lvl>
  </w:abstractNum>
  <w:abstractNum w:abstractNumId="1" w15:restartNumberingAfterBreak="0">
    <w:nsid w:val="001C519F"/>
    <w:multiLevelType w:val="hybridMultilevel"/>
    <w:tmpl w:val="573AA05E"/>
    <w:lvl w:ilvl="0" w:tplc="A9BC27E4">
      <w:start w:val="1"/>
      <w:numFmt w:val="upperRoman"/>
      <w:lvlText w:val="%1."/>
      <w:lvlJc w:val="righ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E03EA1"/>
    <w:multiLevelType w:val="multilevel"/>
    <w:tmpl w:val="465A6FC4"/>
    <w:lvl w:ilvl="0">
      <w:start w:val="4"/>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1A329C"/>
    <w:multiLevelType w:val="hybridMultilevel"/>
    <w:tmpl w:val="E7EAA4E0"/>
    <w:lvl w:ilvl="0" w:tplc="978E9CFE">
      <w:start w:val="1"/>
      <w:numFmt w:val="decimal"/>
      <w:pStyle w:val="TITULOCAP"/>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C42DB3"/>
    <w:multiLevelType w:val="hybridMultilevel"/>
    <w:tmpl w:val="DCE6F418"/>
    <w:lvl w:ilvl="0" w:tplc="FAB81296">
      <w:start w:val="1"/>
      <w:numFmt w:val="bullet"/>
      <w:lvlText w:val=""/>
      <w:lvlJc w:val="left"/>
      <w:pPr>
        <w:tabs>
          <w:tab w:val="num" w:pos="720"/>
        </w:tabs>
        <w:ind w:left="720" w:hanging="360"/>
      </w:pPr>
      <w:rPr>
        <w:rFonts w:ascii="Wingdings" w:hAnsi="Wingdings" w:hint="default"/>
      </w:rPr>
    </w:lvl>
    <w:lvl w:ilvl="1" w:tplc="4C7CA5EE" w:tentative="1">
      <w:start w:val="1"/>
      <w:numFmt w:val="bullet"/>
      <w:lvlText w:val=""/>
      <w:lvlJc w:val="left"/>
      <w:pPr>
        <w:tabs>
          <w:tab w:val="num" w:pos="1440"/>
        </w:tabs>
        <w:ind w:left="1440" w:hanging="360"/>
      </w:pPr>
      <w:rPr>
        <w:rFonts w:ascii="Wingdings" w:hAnsi="Wingdings" w:hint="default"/>
      </w:rPr>
    </w:lvl>
    <w:lvl w:ilvl="2" w:tplc="050E6B74" w:tentative="1">
      <w:start w:val="1"/>
      <w:numFmt w:val="bullet"/>
      <w:lvlText w:val=""/>
      <w:lvlJc w:val="left"/>
      <w:pPr>
        <w:tabs>
          <w:tab w:val="num" w:pos="2160"/>
        </w:tabs>
        <w:ind w:left="2160" w:hanging="360"/>
      </w:pPr>
      <w:rPr>
        <w:rFonts w:ascii="Wingdings" w:hAnsi="Wingdings" w:hint="default"/>
      </w:rPr>
    </w:lvl>
    <w:lvl w:ilvl="3" w:tplc="A7EA70FE" w:tentative="1">
      <w:start w:val="1"/>
      <w:numFmt w:val="bullet"/>
      <w:lvlText w:val=""/>
      <w:lvlJc w:val="left"/>
      <w:pPr>
        <w:tabs>
          <w:tab w:val="num" w:pos="2880"/>
        </w:tabs>
        <w:ind w:left="2880" w:hanging="360"/>
      </w:pPr>
      <w:rPr>
        <w:rFonts w:ascii="Wingdings" w:hAnsi="Wingdings" w:hint="default"/>
      </w:rPr>
    </w:lvl>
    <w:lvl w:ilvl="4" w:tplc="61963F00" w:tentative="1">
      <w:start w:val="1"/>
      <w:numFmt w:val="bullet"/>
      <w:lvlText w:val=""/>
      <w:lvlJc w:val="left"/>
      <w:pPr>
        <w:tabs>
          <w:tab w:val="num" w:pos="3600"/>
        </w:tabs>
        <w:ind w:left="3600" w:hanging="360"/>
      </w:pPr>
      <w:rPr>
        <w:rFonts w:ascii="Wingdings" w:hAnsi="Wingdings" w:hint="default"/>
      </w:rPr>
    </w:lvl>
    <w:lvl w:ilvl="5" w:tplc="31DE7C42" w:tentative="1">
      <w:start w:val="1"/>
      <w:numFmt w:val="bullet"/>
      <w:lvlText w:val=""/>
      <w:lvlJc w:val="left"/>
      <w:pPr>
        <w:tabs>
          <w:tab w:val="num" w:pos="4320"/>
        </w:tabs>
        <w:ind w:left="4320" w:hanging="360"/>
      </w:pPr>
      <w:rPr>
        <w:rFonts w:ascii="Wingdings" w:hAnsi="Wingdings" w:hint="default"/>
      </w:rPr>
    </w:lvl>
    <w:lvl w:ilvl="6" w:tplc="7E6801FC" w:tentative="1">
      <w:start w:val="1"/>
      <w:numFmt w:val="bullet"/>
      <w:lvlText w:val=""/>
      <w:lvlJc w:val="left"/>
      <w:pPr>
        <w:tabs>
          <w:tab w:val="num" w:pos="5040"/>
        </w:tabs>
        <w:ind w:left="5040" w:hanging="360"/>
      </w:pPr>
      <w:rPr>
        <w:rFonts w:ascii="Wingdings" w:hAnsi="Wingdings" w:hint="default"/>
      </w:rPr>
    </w:lvl>
    <w:lvl w:ilvl="7" w:tplc="98DA57F4" w:tentative="1">
      <w:start w:val="1"/>
      <w:numFmt w:val="bullet"/>
      <w:lvlText w:val=""/>
      <w:lvlJc w:val="left"/>
      <w:pPr>
        <w:tabs>
          <w:tab w:val="num" w:pos="5760"/>
        </w:tabs>
        <w:ind w:left="5760" w:hanging="360"/>
      </w:pPr>
      <w:rPr>
        <w:rFonts w:ascii="Wingdings" w:hAnsi="Wingdings" w:hint="default"/>
      </w:rPr>
    </w:lvl>
    <w:lvl w:ilvl="8" w:tplc="9AD2D1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020ACB"/>
    <w:multiLevelType w:val="hybridMultilevel"/>
    <w:tmpl w:val="601C785C"/>
    <w:lvl w:ilvl="0" w:tplc="EB6C3F06">
      <w:start w:val="1"/>
      <w:numFmt w:val="bullet"/>
      <w:pStyle w:val="Cita"/>
      <w:lvlText w:val=""/>
      <w:lvlJc w:val="left"/>
      <w:pPr>
        <w:ind w:left="2488" w:hanging="360"/>
      </w:pPr>
      <w:rPr>
        <w:rFonts w:ascii="Symbol" w:hAnsi="Symbol" w:hint="default"/>
      </w:rPr>
    </w:lvl>
    <w:lvl w:ilvl="1" w:tplc="080A0003" w:tentative="1">
      <w:start w:val="1"/>
      <w:numFmt w:val="bullet"/>
      <w:lvlText w:val="o"/>
      <w:lvlJc w:val="left"/>
      <w:pPr>
        <w:ind w:left="3208" w:hanging="360"/>
      </w:pPr>
      <w:rPr>
        <w:rFonts w:ascii="Courier New" w:hAnsi="Courier New" w:cs="Courier New" w:hint="default"/>
      </w:rPr>
    </w:lvl>
    <w:lvl w:ilvl="2" w:tplc="080A0005" w:tentative="1">
      <w:start w:val="1"/>
      <w:numFmt w:val="bullet"/>
      <w:lvlText w:val=""/>
      <w:lvlJc w:val="left"/>
      <w:pPr>
        <w:ind w:left="3928" w:hanging="360"/>
      </w:pPr>
      <w:rPr>
        <w:rFonts w:ascii="Wingdings" w:hAnsi="Wingdings" w:hint="default"/>
      </w:rPr>
    </w:lvl>
    <w:lvl w:ilvl="3" w:tplc="080A0001" w:tentative="1">
      <w:start w:val="1"/>
      <w:numFmt w:val="bullet"/>
      <w:lvlText w:val=""/>
      <w:lvlJc w:val="left"/>
      <w:pPr>
        <w:ind w:left="4648" w:hanging="360"/>
      </w:pPr>
      <w:rPr>
        <w:rFonts w:ascii="Symbol" w:hAnsi="Symbol" w:hint="default"/>
      </w:rPr>
    </w:lvl>
    <w:lvl w:ilvl="4" w:tplc="080A0003" w:tentative="1">
      <w:start w:val="1"/>
      <w:numFmt w:val="bullet"/>
      <w:lvlText w:val="o"/>
      <w:lvlJc w:val="left"/>
      <w:pPr>
        <w:ind w:left="5368" w:hanging="360"/>
      </w:pPr>
      <w:rPr>
        <w:rFonts w:ascii="Courier New" w:hAnsi="Courier New" w:cs="Courier New" w:hint="default"/>
      </w:rPr>
    </w:lvl>
    <w:lvl w:ilvl="5" w:tplc="080A0005" w:tentative="1">
      <w:start w:val="1"/>
      <w:numFmt w:val="bullet"/>
      <w:lvlText w:val=""/>
      <w:lvlJc w:val="left"/>
      <w:pPr>
        <w:ind w:left="6088" w:hanging="360"/>
      </w:pPr>
      <w:rPr>
        <w:rFonts w:ascii="Wingdings" w:hAnsi="Wingdings" w:hint="default"/>
      </w:rPr>
    </w:lvl>
    <w:lvl w:ilvl="6" w:tplc="080A0001" w:tentative="1">
      <w:start w:val="1"/>
      <w:numFmt w:val="bullet"/>
      <w:lvlText w:val=""/>
      <w:lvlJc w:val="left"/>
      <w:pPr>
        <w:ind w:left="6808" w:hanging="360"/>
      </w:pPr>
      <w:rPr>
        <w:rFonts w:ascii="Symbol" w:hAnsi="Symbol" w:hint="default"/>
      </w:rPr>
    </w:lvl>
    <w:lvl w:ilvl="7" w:tplc="080A0003" w:tentative="1">
      <w:start w:val="1"/>
      <w:numFmt w:val="bullet"/>
      <w:lvlText w:val="o"/>
      <w:lvlJc w:val="left"/>
      <w:pPr>
        <w:ind w:left="7528" w:hanging="360"/>
      </w:pPr>
      <w:rPr>
        <w:rFonts w:ascii="Courier New" w:hAnsi="Courier New" w:cs="Courier New" w:hint="default"/>
      </w:rPr>
    </w:lvl>
    <w:lvl w:ilvl="8" w:tplc="080A0005" w:tentative="1">
      <w:start w:val="1"/>
      <w:numFmt w:val="bullet"/>
      <w:lvlText w:val=""/>
      <w:lvlJc w:val="left"/>
      <w:pPr>
        <w:ind w:left="8248" w:hanging="360"/>
      </w:pPr>
      <w:rPr>
        <w:rFonts w:ascii="Wingdings" w:hAnsi="Wingdings" w:hint="default"/>
      </w:rPr>
    </w:lvl>
  </w:abstractNum>
  <w:abstractNum w:abstractNumId="6" w15:restartNumberingAfterBreak="0">
    <w:nsid w:val="0A871A25"/>
    <w:multiLevelType w:val="hybridMultilevel"/>
    <w:tmpl w:val="FAD8B8F6"/>
    <w:lvl w:ilvl="0" w:tplc="54CC7448">
      <w:start w:val="1"/>
      <w:numFmt w:val="bullet"/>
      <w:pStyle w:val="Niv2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6421E"/>
    <w:multiLevelType w:val="hybridMultilevel"/>
    <w:tmpl w:val="3ECC6E2E"/>
    <w:lvl w:ilvl="0" w:tplc="5C802E30">
      <w:start w:val="1"/>
      <w:numFmt w:val="bullet"/>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6752C5A"/>
    <w:multiLevelType w:val="hybridMultilevel"/>
    <w:tmpl w:val="878225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77C22AE"/>
    <w:multiLevelType w:val="hybridMultilevel"/>
    <w:tmpl w:val="3D14AD22"/>
    <w:lvl w:ilvl="0" w:tplc="9024267C">
      <w:start w:val="1"/>
      <w:numFmt w:val="bullet"/>
      <w:lvlText w:val="•"/>
      <w:lvlJc w:val="left"/>
      <w:pPr>
        <w:tabs>
          <w:tab w:val="num" w:pos="720"/>
        </w:tabs>
        <w:ind w:left="720" w:hanging="360"/>
      </w:pPr>
      <w:rPr>
        <w:rFonts w:ascii="Arial" w:hAnsi="Arial" w:hint="default"/>
      </w:rPr>
    </w:lvl>
    <w:lvl w:ilvl="1" w:tplc="C49AE5FA" w:tentative="1">
      <w:start w:val="1"/>
      <w:numFmt w:val="bullet"/>
      <w:lvlText w:val="•"/>
      <w:lvlJc w:val="left"/>
      <w:pPr>
        <w:tabs>
          <w:tab w:val="num" w:pos="1440"/>
        </w:tabs>
        <w:ind w:left="1440" w:hanging="360"/>
      </w:pPr>
      <w:rPr>
        <w:rFonts w:ascii="Arial" w:hAnsi="Arial" w:hint="default"/>
      </w:rPr>
    </w:lvl>
    <w:lvl w:ilvl="2" w:tplc="5D90F91E" w:tentative="1">
      <w:start w:val="1"/>
      <w:numFmt w:val="bullet"/>
      <w:lvlText w:val="•"/>
      <w:lvlJc w:val="left"/>
      <w:pPr>
        <w:tabs>
          <w:tab w:val="num" w:pos="2160"/>
        </w:tabs>
        <w:ind w:left="2160" w:hanging="360"/>
      </w:pPr>
      <w:rPr>
        <w:rFonts w:ascii="Arial" w:hAnsi="Arial" w:hint="default"/>
      </w:rPr>
    </w:lvl>
    <w:lvl w:ilvl="3" w:tplc="8162F3CC" w:tentative="1">
      <w:start w:val="1"/>
      <w:numFmt w:val="bullet"/>
      <w:lvlText w:val="•"/>
      <w:lvlJc w:val="left"/>
      <w:pPr>
        <w:tabs>
          <w:tab w:val="num" w:pos="2880"/>
        </w:tabs>
        <w:ind w:left="2880" w:hanging="360"/>
      </w:pPr>
      <w:rPr>
        <w:rFonts w:ascii="Arial" w:hAnsi="Arial" w:hint="default"/>
      </w:rPr>
    </w:lvl>
    <w:lvl w:ilvl="4" w:tplc="9F282EE0" w:tentative="1">
      <w:start w:val="1"/>
      <w:numFmt w:val="bullet"/>
      <w:lvlText w:val="•"/>
      <w:lvlJc w:val="left"/>
      <w:pPr>
        <w:tabs>
          <w:tab w:val="num" w:pos="3600"/>
        </w:tabs>
        <w:ind w:left="3600" w:hanging="360"/>
      </w:pPr>
      <w:rPr>
        <w:rFonts w:ascii="Arial" w:hAnsi="Arial" w:hint="default"/>
      </w:rPr>
    </w:lvl>
    <w:lvl w:ilvl="5" w:tplc="CCA44AE0" w:tentative="1">
      <w:start w:val="1"/>
      <w:numFmt w:val="bullet"/>
      <w:lvlText w:val="•"/>
      <w:lvlJc w:val="left"/>
      <w:pPr>
        <w:tabs>
          <w:tab w:val="num" w:pos="4320"/>
        </w:tabs>
        <w:ind w:left="4320" w:hanging="360"/>
      </w:pPr>
      <w:rPr>
        <w:rFonts w:ascii="Arial" w:hAnsi="Arial" w:hint="default"/>
      </w:rPr>
    </w:lvl>
    <w:lvl w:ilvl="6" w:tplc="CC0EF2C8" w:tentative="1">
      <w:start w:val="1"/>
      <w:numFmt w:val="bullet"/>
      <w:lvlText w:val="•"/>
      <w:lvlJc w:val="left"/>
      <w:pPr>
        <w:tabs>
          <w:tab w:val="num" w:pos="5040"/>
        </w:tabs>
        <w:ind w:left="5040" w:hanging="360"/>
      </w:pPr>
      <w:rPr>
        <w:rFonts w:ascii="Arial" w:hAnsi="Arial" w:hint="default"/>
      </w:rPr>
    </w:lvl>
    <w:lvl w:ilvl="7" w:tplc="99D036B8" w:tentative="1">
      <w:start w:val="1"/>
      <w:numFmt w:val="bullet"/>
      <w:lvlText w:val="•"/>
      <w:lvlJc w:val="left"/>
      <w:pPr>
        <w:tabs>
          <w:tab w:val="num" w:pos="5760"/>
        </w:tabs>
        <w:ind w:left="5760" w:hanging="360"/>
      </w:pPr>
      <w:rPr>
        <w:rFonts w:ascii="Arial" w:hAnsi="Arial" w:hint="default"/>
      </w:rPr>
    </w:lvl>
    <w:lvl w:ilvl="8" w:tplc="938025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EB50DD"/>
    <w:multiLevelType w:val="hybridMultilevel"/>
    <w:tmpl w:val="54E09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C6D7D"/>
    <w:multiLevelType w:val="multilevel"/>
    <w:tmpl w:val="E7008652"/>
    <w:lvl w:ilvl="0">
      <w:start w:val="1"/>
      <w:numFmt w:val="upperRoman"/>
      <w:lvlText w:val="%1."/>
      <w:lvlJc w:val="righ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3735F4"/>
    <w:multiLevelType w:val="multilevel"/>
    <w:tmpl w:val="040EF6E4"/>
    <w:lvl w:ilvl="0">
      <w:start w:val="1"/>
      <w:numFmt w:val="decimal"/>
      <w:lvlText w:val="%1"/>
      <w:lvlJc w:val="left"/>
      <w:pPr>
        <w:ind w:left="0" w:hanging="499"/>
      </w:pPr>
      <w:rPr>
        <w:rFonts w:ascii="Times New Roman" w:hAnsi="Times New Roman" w:hint="default"/>
        <w:b w:val="0"/>
        <w:i w:val="0"/>
        <w:sz w:val="36"/>
      </w:rPr>
    </w:lvl>
    <w:lvl w:ilvl="1">
      <w:start w:val="1"/>
      <w:numFmt w:val="decimal"/>
      <w:lvlRestart w:val="0"/>
      <w:lvlText w:val="%2"/>
      <w:lvlJc w:val="left"/>
      <w:pPr>
        <w:ind w:left="0" w:hanging="499"/>
      </w:pPr>
      <w:rPr>
        <w:rFonts w:ascii="ITC Avant Garde" w:hAnsi="ITC Avant Garde" w:hint="default"/>
        <w:b/>
        <w:i w:val="0"/>
        <w:sz w:val="18"/>
        <w:szCs w:val="18"/>
      </w:rPr>
    </w:lvl>
    <w:lvl w:ilvl="2">
      <w:start w:val="1"/>
      <w:numFmt w:val="decimal"/>
      <w:lvlText w:val="%2.%3"/>
      <w:lvlJc w:val="left"/>
      <w:pPr>
        <w:ind w:left="0" w:hanging="499"/>
      </w:pPr>
      <w:rPr>
        <w:rFonts w:ascii="ITC Avant Garde" w:hAnsi="ITC Avant Garde" w:hint="default"/>
        <w:b/>
        <w:i w:val="0"/>
        <w:sz w:val="18"/>
        <w:szCs w:val="18"/>
      </w:rPr>
    </w:lvl>
    <w:lvl w:ilvl="3">
      <w:start w:val="1"/>
      <w:numFmt w:val="none"/>
      <w:lvlRestart w:val="0"/>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3" w15:restartNumberingAfterBreak="0">
    <w:nsid w:val="2E9E0FDB"/>
    <w:multiLevelType w:val="hybridMultilevel"/>
    <w:tmpl w:val="232810D0"/>
    <w:lvl w:ilvl="0" w:tplc="6B40F3BE">
      <w:start w:val="1"/>
      <w:numFmt w:val="bullet"/>
      <w:pStyle w:val="Listaconvietas"/>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5A3834"/>
    <w:multiLevelType w:val="hybridMultilevel"/>
    <w:tmpl w:val="D5DC0DC6"/>
    <w:lvl w:ilvl="0" w:tplc="E5B4D460">
      <w:start w:val="1"/>
      <w:numFmt w:val="bullet"/>
      <w:lvlText w:val="•"/>
      <w:lvlJc w:val="left"/>
      <w:pPr>
        <w:tabs>
          <w:tab w:val="num" w:pos="-1182"/>
        </w:tabs>
        <w:ind w:left="-1182" w:hanging="360"/>
      </w:pPr>
      <w:rPr>
        <w:rFonts w:ascii="Arial" w:hAnsi="Arial" w:hint="default"/>
      </w:rPr>
    </w:lvl>
    <w:lvl w:ilvl="1" w:tplc="E54C1184" w:tentative="1">
      <w:start w:val="1"/>
      <w:numFmt w:val="bullet"/>
      <w:lvlText w:val="•"/>
      <w:lvlJc w:val="left"/>
      <w:pPr>
        <w:tabs>
          <w:tab w:val="num" w:pos="-462"/>
        </w:tabs>
        <w:ind w:left="-462" w:hanging="360"/>
      </w:pPr>
      <w:rPr>
        <w:rFonts w:ascii="Arial" w:hAnsi="Arial" w:hint="default"/>
      </w:rPr>
    </w:lvl>
    <w:lvl w:ilvl="2" w:tplc="76565EDC" w:tentative="1">
      <w:start w:val="1"/>
      <w:numFmt w:val="bullet"/>
      <w:lvlText w:val="•"/>
      <w:lvlJc w:val="left"/>
      <w:pPr>
        <w:tabs>
          <w:tab w:val="num" w:pos="258"/>
        </w:tabs>
        <w:ind w:left="258" w:hanging="360"/>
      </w:pPr>
      <w:rPr>
        <w:rFonts w:ascii="Arial" w:hAnsi="Arial" w:hint="default"/>
      </w:rPr>
    </w:lvl>
    <w:lvl w:ilvl="3" w:tplc="818AFCC2" w:tentative="1">
      <w:start w:val="1"/>
      <w:numFmt w:val="bullet"/>
      <w:lvlText w:val="•"/>
      <w:lvlJc w:val="left"/>
      <w:pPr>
        <w:tabs>
          <w:tab w:val="num" w:pos="978"/>
        </w:tabs>
        <w:ind w:left="978" w:hanging="360"/>
      </w:pPr>
      <w:rPr>
        <w:rFonts w:ascii="Arial" w:hAnsi="Arial" w:hint="default"/>
      </w:rPr>
    </w:lvl>
    <w:lvl w:ilvl="4" w:tplc="3E128250" w:tentative="1">
      <w:start w:val="1"/>
      <w:numFmt w:val="bullet"/>
      <w:lvlText w:val="•"/>
      <w:lvlJc w:val="left"/>
      <w:pPr>
        <w:tabs>
          <w:tab w:val="num" w:pos="1698"/>
        </w:tabs>
        <w:ind w:left="1698" w:hanging="360"/>
      </w:pPr>
      <w:rPr>
        <w:rFonts w:ascii="Arial" w:hAnsi="Arial" w:hint="default"/>
      </w:rPr>
    </w:lvl>
    <w:lvl w:ilvl="5" w:tplc="97CE1DC4" w:tentative="1">
      <w:start w:val="1"/>
      <w:numFmt w:val="bullet"/>
      <w:lvlText w:val="•"/>
      <w:lvlJc w:val="left"/>
      <w:pPr>
        <w:tabs>
          <w:tab w:val="num" w:pos="2418"/>
        </w:tabs>
        <w:ind w:left="2418" w:hanging="360"/>
      </w:pPr>
      <w:rPr>
        <w:rFonts w:ascii="Arial" w:hAnsi="Arial" w:hint="default"/>
      </w:rPr>
    </w:lvl>
    <w:lvl w:ilvl="6" w:tplc="55E215BC" w:tentative="1">
      <w:start w:val="1"/>
      <w:numFmt w:val="bullet"/>
      <w:lvlText w:val="•"/>
      <w:lvlJc w:val="left"/>
      <w:pPr>
        <w:tabs>
          <w:tab w:val="num" w:pos="3138"/>
        </w:tabs>
        <w:ind w:left="3138" w:hanging="360"/>
      </w:pPr>
      <w:rPr>
        <w:rFonts w:ascii="Arial" w:hAnsi="Arial" w:hint="default"/>
      </w:rPr>
    </w:lvl>
    <w:lvl w:ilvl="7" w:tplc="2BB2DAE4" w:tentative="1">
      <w:start w:val="1"/>
      <w:numFmt w:val="bullet"/>
      <w:lvlText w:val="•"/>
      <w:lvlJc w:val="left"/>
      <w:pPr>
        <w:tabs>
          <w:tab w:val="num" w:pos="3858"/>
        </w:tabs>
        <w:ind w:left="3858" w:hanging="360"/>
      </w:pPr>
      <w:rPr>
        <w:rFonts w:ascii="Arial" w:hAnsi="Arial" w:hint="default"/>
      </w:rPr>
    </w:lvl>
    <w:lvl w:ilvl="8" w:tplc="E36887C2" w:tentative="1">
      <w:start w:val="1"/>
      <w:numFmt w:val="bullet"/>
      <w:lvlText w:val="•"/>
      <w:lvlJc w:val="left"/>
      <w:pPr>
        <w:tabs>
          <w:tab w:val="num" w:pos="4578"/>
        </w:tabs>
        <w:ind w:left="4578" w:hanging="360"/>
      </w:pPr>
      <w:rPr>
        <w:rFonts w:ascii="Arial" w:hAnsi="Arial" w:hint="default"/>
      </w:rPr>
    </w:lvl>
  </w:abstractNum>
  <w:abstractNum w:abstractNumId="15" w15:restartNumberingAfterBreak="0">
    <w:nsid w:val="3A4C31C8"/>
    <w:multiLevelType w:val="hybridMultilevel"/>
    <w:tmpl w:val="E8B6253A"/>
    <w:lvl w:ilvl="0" w:tplc="08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D227B"/>
    <w:multiLevelType w:val="hybridMultilevel"/>
    <w:tmpl w:val="E64A4B84"/>
    <w:lvl w:ilvl="0" w:tplc="8278AA38">
      <w:start w:val="1"/>
      <w:numFmt w:val="bullet"/>
      <w:lvlText w:val="•"/>
      <w:lvlJc w:val="left"/>
      <w:pPr>
        <w:tabs>
          <w:tab w:val="num" w:pos="720"/>
        </w:tabs>
        <w:ind w:left="720" w:hanging="360"/>
      </w:pPr>
      <w:rPr>
        <w:rFonts w:ascii="Arial" w:hAnsi="Arial" w:hint="default"/>
      </w:rPr>
    </w:lvl>
    <w:lvl w:ilvl="1" w:tplc="BB682AF8">
      <w:numFmt w:val="bullet"/>
      <w:lvlText w:val="•"/>
      <w:lvlJc w:val="left"/>
      <w:pPr>
        <w:tabs>
          <w:tab w:val="num" w:pos="1440"/>
        </w:tabs>
        <w:ind w:left="1440" w:hanging="360"/>
      </w:pPr>
      <w:rPr>
        <w:rFonts w:ascii="Arial" w:hAnsi="Arial" w:hint="default"/>
      </w:rPr>
    </w:lvl>
    <w:lvl w:ilvl="2" w:tplc="E4CE3FFA" w:tentative="1">
      <w:start w:val="1"/>
      <w:numFmt w:val="bullet"/>
      <w:lvlText w:val="•"/>
      <w:lvlJc w:val="left"/>
      <w:pPr>
        <w:tabs>
          <w:tab w:val="num" w:pos="2160"/>
        </w:tabs>
        <w:ind w:left="2160" w:hanging="360"/>
      </w:pPr>
      <w:rPr>
        <w:rFonts w:ascii="Arial" w:hAnsi="Arial" w:hint="default"/>
      </w:rPr>
    </w:lvl>
    <w:lvl w:ilvl="3" w:tplc="CEBA5FA4" w:tentative="1">
      <w:start w:val="1"/>
      <w:numFmt w:val="bullet"/>
      <w:lvlText w:val="•"/>
      <w:lvlJc w:val="left"/>
      <w:pPr>
        <w:tabs>
          <w:tab w:val="num" w:pos="2880"/>
        </w:tabs>
        <w:ind w:left="2880" w:hanging="360"/>
      </w:pPr>
      <w:rPr>
        <w:rFonts w:ascii="Arial" w:hAnsi="Arial" w:hint="default"/>
      </w:rPr>
    </w:lvl>
    <w:lvl w:ilvl="4" w:tplc="AADC3880" w:tentative="1">
      <w:start w:val="1"/>
      <w:numFmt w:val="bullet"/>
      <w:lvlText w:val="•"/>
      <w:lvlJc w:val="left"/>
      <w:pPr>
        <w:tabs>
          <w:tab w:val="num" w:pos="3600"/>
        </w:tabs>
        <w:ind w:left="3600" w:hanging="360"/>
      </w:pPr>
      <w:rPr>
        <w:rFonts w:ascii="Arial" w:hAnsi="Arial" w:hint="default"/>
      </w:rPr>
    </w:lvl>
    <w:lvl w:ilvl="5" w:tplc="D8200496" w:tentative="1">
      <w:start w:val="1"/>
      <w:numFmt w:val="bullet"/>
      <w:lvlText w:val="•"/>
      <w:lvlJc w:val="left"/>
      <w:pPr>
        <w:tabs>
          <w:tab w:val="num" w:pos="4320"/>
        </w:tabs>
        <w:ind w:left="4320" w:hanging="360"/>
      </w:pPr>
      <w:rPr>
        <w:rFonts w:ascii="Arial" w:hAnsi="Arial" w:hint="default"/>
      </w:rPr>
    </w:lvl>
    <w:lvl w:ilvl="6" w:tplc="628C17FC" w:tentative="1">
      <w:start w:val="1"/>
      <w:numFmt w:val="bullet"/>
      <w:lvlText w:val="•"/>
      <w:lvlJc w:val="left"/>
      <w:pPr>
        <w:tabs>
          <w:tab w:val="num" w:pos="5040"/>
        </w:tabs>
        <w:ind w:left="5040" w:hanging="360"/>
      </w:pPr>
      <w:rPr>
        <w:rFonts w:ascii="Arial" w:hAnsi="Arial" w:hint="default"/>
      </w:rPr>
    </w:lvl>
    <w:lvl w:ilvl="7" w:tplc="66DA2F00" w:tentative="1">
      <w:start w:val="1"/>
      <w:numFmt w:val="bullet"/>
      <w:lvlText w:val="•"/>
      <w:lvlJc w:val="left"/>
      <w:pPr>
        <w:tabs>
          <w:tab w:val="num" w:pos="5760"/>
        </w:tabs>
        <w:ind w:left="5760" w:hanging="360"/>
      </w:pPr>
      <w:rPr>
        <w:rFonts w:ascii="Arial" w:hAnsi="Arial" w:hint="default"/>
      </w:rPr>
    </w:lvl>
    <w:lvl w:ilvl="8" w:tplc="6E5C42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B337B0"/>
    <w:multiLevelType w:val="hybridMultilevel"/>
    <w:tmpl w:val="5DC85D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C07CDE"/>
    <w:multiLevelType w:val="multilevel"/>
    <w:tmpl w:val="0809001D"/>
    <w:styleLink w:val="1ai"/>
    <w:lvl w:ilvl="0">
      <w:start w:val="1"/>
      <w:numFmt w:val="decimal"/>
      <w:pStyle w:val="L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463D4A4D"/>
    <w:multiLevelType w:val="hybridMultilevel"/>
    <w:tmpl w:val="84C60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CF0054"/>
    <w:multiLevelType w:val="hybridMultilevel"/>
    <w:tmpl w:val="89481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3E1A3E"/>
    <w:multiLevelType w:val="hybridMultilevel"/>
    <w:tmpl w:val="04A6BD04"/>
    <w:lvl w:ilvl="0" w:tplc="B22E00E0">
      <w:start w:val="1"/>
      <w:numFmt w:val="decimal"/>
      <w:lvlText w:val="%1"/>
      <w:lvlJc w:val="left"/>
      <w:pPr>
        <w:ind w:left="-4" w:hanging="495"/>
      </w:pPr>
      <w:rPr>
        <w:rFonts w:hint="default"/>
      </w:rPr>
    </w:lvl>
    <w:lvl w:ilvl="1" w:tplc="080A0019" w:tentative="1">
      <w:start w:val="1"/>
      <w:numFmt w:val="lowerLetter"/>
      <w:lvlText w:val="%2."/>
      <w:lvlJc w:val="left"/>
      <w:pPr>
        <w:ind w:left="581" w:hanging="360"/>
      </w:pPr>
    </w:lvl>
    <w:lvl w:ilvl="2" w:tplc="080A001B" w:tentative="1">
      <w:start w:val="1"/>
      <w:numFmt w:val="lowerRoman"/>
      <w:lvlText w:val="%3."/>
      <w:lvlJc w:val="right"/>
      <w:pPr>
        <w:ind w:left="1301" w:hanging="180"/>
      </w:pPr>
    </w:lvl>
    <w:lvl w:ilvl="3" w:tplc="080A000F" w:tentative="1">
      <w:start w:val="1"/>
      <w:numFmt w:val="decimal"/>
      <w:lvlText w:val="%4."/>
      <w:lvlJc w:val="left"/>
      <w:pPr>
        <w:ind w:left="2021" w:hanging="360"/>
      </w:pPr>
    </w:lvl>
    <w:lvl w:ilvl="4" w:tplc="080A0019" w:tentative="1">
      <w:start w:val="1"/>
      <w:numFmt w:val="lowerLetter"/>
      <w:lvlText w:val="%5."/>
      <w:lvlJc w:val="left"/>
      <w:pPr>
        <w:ind w:left="2741" w:hanging="360"/>
      </w:pPr>
    </w:lvl>
    <w:lvl w:ilvl="5" w:tplc="080A001B" w:tentative="1">
      <w:start w:val="1"/>
      <w:numFmt w:val="lowerRoman"/>
      <w:lvlText w:val="%6."/>
      <w:lvlJc w:val="right"/>
      <w:pPr>
        <w:ind w:left="3461" w:hanging="180"/>
      </w:pPr>
    </w:lvl>
    <w:lvl w:ilvl="6" w:tplc="080A000F" w:tentative="1">
      <w:start w:val="1"/>
      <w:numFmt w:val="decimal"/>
      <w:lvlText w:val="%7."/>
      <w:lvlJc w:val="left"/>
      <w:pPr>
        <w:ind w:left="4181" w:hanging="360"/>
      </w:pPr>
    </w:lvl>
    <w:lvl w:ilvl="7" w:tplc="080A0019" w:tentative="1">
      <w:start w:val="1"/>
      <w:numFmt w:val="lowerLetter"/>
      <w:lvlText w:val="%8."/>
      <w:lvlJc w:val="left"/>
      <w:pPr>
        <w:ind w:left="4901" w:hanging="360"/>
      </w:pPr>
    </w:lvl>
    <w:lvl w:ilvl="8" w:tplc="080A001B" w:tentative="1">
      <w:start w:val="1"/>
      <w:numFmt w:val="lowerRoman"/>
      <w:lvlText w:val="%9."/>
      <w:lvlJc w:val="right"/>
      <w:pPr>
        <w:ind w:left="5621" w:hanging="180"/>
      </w:pPr>
    </w:lvl>
  </w:abstractNum>
  <w:abstractNum w:abstractNumId="23" w15:restartNumberingAfterBreak="0">
    <w:nsid w:val="4B6E096C"/>
    <w:multiLevelType w:val="hybridMultilevel"/>
    <w:tmpl w:val="3E4C79E2"/>
    <w:lvl w:ilvl="0" w:tplc="A9BC27E4">
      <w:start w:val="1"/>
      <w:numFmt w:val="upperRoman"/>
      <w:lvlText w:val="%1."/>
      <w:lvlJc w:val="righ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521319"/>
    <w:multiLevelType w:val="hybridMultilevel"/>
    <w:tmpl w:val="A4ACEFFC"/>
    <w:lvl w:ilvl="0" w:tplc="080A0001">
      <w:start w:val="1"/>
      <w:numFmt w:val="bullet"/>
      <w:lvlText w:val=""/>
      <w:lvlJc w:val="left"/>
      <w:pPr>
        <w:ind w:left="1458" w:hanging="360"/>
      </w:pPr>
      <w:rPr>
        <w:rFonts w:ascii="Symbol" w:hAnsi="Symbol" w:hint="default"/>
      </w:rPr>
    </w:lvl>
    <w:lvl w:ilvl="1" w:tplc="080A0003" w:tentative="1">
      <w:start w:val="1"/>
      <w:numFmt w:val="bullet"/>
      <w:lvlText w:val="o"/>
      <w:lvlJc w:val="left"/>
      <w:pPr>
        <w:ind w:left="2178" w:hanging="360"/>
      </w:pPr>
      <w:rPr>
        <w:rFonts w:ascii="Courier New" w:hAnsi="Courier New" w:cs="Courier New" w:hint="default"/>
      </w:rPr>
    </w:lvl>
    <w:lvl w:ilvl="2" w:tplc="080A0005" w:tentative="1">
      <w:start w:val="1"/>
      <w:numFmt w:val="bullet"/>
      <w:lvlText w:val=""/>
      <w:lvlJc w:val="left"/>
      <w:pPr>
        <w:ind w:left="2898" w:hanging="360"/>
      </w:pPr>
      <w:rPr>
        <w:rFonts w:ascii="Wingdings" w:hAnsi="Wingdings" w:hint="default"/>
      </w:rPr>
    </w:lvl>
    <w:lvl w:ilvl="3" w:tplc="080A0001" w:tentative="1">
      <w:start w:val="1"/>
      <w:numFmt w:val="bullet"/>
      <w:lvlText w:val=""/>
      <w:lvlJc w:val="left"/>
      <w:pPr>
        <w:ind w:left="3618" w:hanging="360"/>
      </w:pPr>
      <w:rPr>
        <w:rFonts w:ascii="Symbol" w:hAnsi="Symbol" w:hint="default"/>
      </w:rPr>
    </w:lvl>
    <w:lvl w:ilvl="4" w:tplc="080A0003" w:tentative="1">
      <w:start w:val="1"/>
      <w:numFmt w:val="bullet"/>
      <w:lvlText w:val="o"/>
      <w:lvlJc w:val="left"/>
      <w:pPr>
        <w:ind w:left="4338" w:hanging="360"/>
      </w:pPr>
      <w:rPr>
        <w:rFonts w:ascii="Courier New" w:hAnsi="Courier New" w:cs="Courier New" w:hint="default"/>
      </w:rPr>
    </w:lvl>
    <w:lvl w:ilvl="5" w:tplc="080A0005" w:tentative="1">
      <w:start w:val="1"/>
      <w:numFmt w:val="bullet"/>
      <w:lvlText w:val=""/>
      <w:lvlJc w:val="left"/>
      <w:pPr>
        <w:ind w:left="5058" w:hanging="360"/>
      </w:pPr>
      <w:rPr>
        <w:rFonts w:ascii="Wingdings" w:hAnsi="Wingdings" w:hint="default"/>
      </w:rPr>
    </w:lvl>
    <w:lvl w:ilvl="6" w:tplc="080A0001" w:tentative="1">
      <w:start w:val="1"/>
      <w:numFmt w:val="bullet"/>
      <w:lvlText w:val=""/>
      <w:lvlJc w:val="left"/>
      <w:pPr>
        <w:ind w:left="5778" w:hanging="360"/>
      </w:pPr>
      <w:rPr>
        <w:rFonts w:ascii="Symbol" w:hAnsi="Symbol" w:hint="default"/>
      </w:rPr>
    </w:lvl>
    <w:lvl w:ilvl="7" w:tplc="080A0003" w:tentative="1">
      <w:start w:val="1"/>
      <w:numFmt w:val="bullet"/>
      <w:lvlText w:val="o"/>
      <w:lvlJc w:val="left"/>
      <w:pPr>
        <w:ind w:left="6498" w:hanging="360"/>
      </w:pPr>
      <w:rPr>
        <w:rFonts w:ascii="Courier New" w:hAnsi="Courier New" w:cs="Courier New" w:hint="default"/>
      </w:rPr>
    </w:lvl>
    <w:lvl w:ilvl="8" w:tplc="080A0005" w:tentative="1">
      <w:start w:val="1"/>
      <w:numFmt w:val="bullet"/>
      <w:lvlText w:val=""/>
      <w:lvlJc w:val="left"/>
      <w:pPr>
        <w:ind w:left="7218" w:hanging="360"/>
      </w:pPr>
      <w:rPr>
        <w:rFonts w:ascii="Wingdings" w:hAnsi="Wingdings" w:hint="default"/>
      </w:rPr>
    </w:lvl>
  </w:abstractNum>
  <w:abstractNum w:abstractNumId="25" w15:restartNumberingAfterBreak="0">
    <w:nsid w:val="50010E74"/>
    <w:multiLevelType w:val="hybridMultilevel"/>
    <w:tmpl w:val="830A8DBA"/>
    <w:lvl w:ilvl="0" w:tplc="C0C60AD4">
      <w:start w:val="1"/>
      <w:numFmt w:val="bullet"/>
      <w:pStyle w:val="Indentado1"/>
      <w:lvlText w:val=""/>
      <w:lvlJc w:val="left"/>
      <w:pPr>
        <w:ind w:left="6300" w:hanging="360"/>
      </w:pPr>
      <w:rPr>
        <w:rFonts w:ascii="Wingdings 3" w:hAnsi="Wingdings 3" w:hint="default"/>
        <w:color w:val="5B9BD5" w:themeColor="accent1"/>
      </w:rPr>
    </w:lvl>
    <w:lvl w:ilvl="1" w:tplc="040A0003">
      <w:start w:val="1"/>
      <w:numFmt w:val="bullet"/>
      <w:lvlText w:val="o"/>
      <w:lvlJc w:val="left"/>
      <w:pPr>
        <w:ind w:left="1444" w:hanging="360"/>
      </w:pPr>
      <w:rPr>
        <w:rFonts w:ascii="Courier New" w:hAnsi="Courier New" w:cs="Courier New" w:hint="default"/>
      </w:rPr>
    </w:lvl>
    <w:lvl w:ilvl="2" w:tplc="040A0005" w:tentative="1">
      <w:start w:val="1"/>
      <w:numFmt w:val="bullet"/>
      <w:lvlText w:val=""/>
      <w:lvlJc w:val="left"/>
      <w:pPr>
        <w:ind w:left="2164" w:hanging="360"/>
      </w:pPr>
      <w:rPr>
        <w:rFonts w:ascii="Wingdings" w:hAnsi="Wingdings" w:hint="default"/>
      </w:rPr>
    </w:lvl>
    <w:lvl w:ilvl="3" w:tplc="040A0001" w:tentative="1">
      <w:start w:val="1"/>
      <w:numFmt w:val="bullet"/>
      <w:lvlText w:val=""/>
      <w:lvlJc w:val="left"/>
      <w:pPr>
        <w:ind w:left="2884" w:hanging="360"/>
      </w:pPr>
      <w:rPr>
        <w:rFonts w:ascii="Symbol" w:hAnsi="Symbol" w:hint="default"/>
      </w:rPr>
    </w:lvl>
    <w:lvl w:ilvl="4" w:tplc="040A0003" w:tentative="1">
      <w:start w:val="1"/>
      <w:numFmt w:val="bullet"/>
      <w:lvlText w:val="o"/>
      <w:lvlJc w:val="left"/>
      <w:pPr>
        <w:ind w:left="3604" w:hanging="360"/>
      </w:pPr>
      <w:rPr>
        <w:rFonts w:ascii="Courier New" w:hAnsi="Courier New" w:cs="Courier New" w:hint="default"/>
      </w:rPr>
    </w:lvl>
    <w:lvl w:ilvl="5" w:tplc="040A0005" w:tentative="1">
      <w:start w:val="1"/>
      <w:numFmt w:val="bullet"/>
      <w:lvlText w:val=""/>
      <w:lvlJc w:val="left"/>
      <w:pPr>
        <w:ind w:left="4324" w:hanging="360"/>
      </w:pPr>
      <w:rPr>
        <w:rFonts w:ascii="Wingdings" w:hAnsi="Wingdings" w:hint="default"/>
      </w:rPr>
    </w:lvl>
    <w:lvl w:ilvl="6" w:tplc="040A0001" w:tentative="1">
      <w:start w:val="1"/>
      <w:numFmt w:val="bullet"/>
      <w:lvlText w:val=""/>
      <w:lvlJc w:val="left"/>
      <w:pPr>
        <w:ind w:left="5044" w:hanging="360"/>
      </w:pPr>
      <w:rPr>
        <w:rFonts w:ascii="Symbol" w:hAnsi="Symbol" w:hint="default"/>
      </w:rPr>
    </w:lvl>
    <w:lvl w:ilvl="7" w:tplc="040A0003" w:tentative="1">
      <w:start w:val="1"/>
      <w:numFmt w:val="bullet"/>
      <w:lvlText w:val="o"/>
      <w:lvlJc w:val="left"/>
      <w:pPr>
        <w:ind w:left="5764" w:hanging="360"/>
      </w:pPr>
      <w:rPr>
        <w:rFonts w:ascii="Courier New" w:hAnsi="Courier New" w:cs="Courier New" w:hint="default"/>
      </w:rPr>
    </w:lvl>
    <w:lvl w:ilvl="8" w:tplc="040A0005" w:tentative="1">
      <w:start w:val="1"/>
      <w:numFmt w:val="bullet"/>
      <w:lvlText w:val=""/>
      <w:lvlJc w:val="left"/>
      <w:pPr>
        <w:ind w:left="6484" w:hanging="360"/>
      </w:pPr>
      <w:rPr>
        <w:rFonts w:ascii="Wingdings" w:hAnsi="Wingdings" w:hint="default"/>
      </w:rPr>
    </w:lvl>
  </w:abstractNum>
  <w:abstractNum w:abstractNumId="26" w15:restartNumberingAfterBreak="0">
    <w:nsid w:val="51660997"/>
    <w:multiLevelType w:val="hybridMultilevel"/>
    <w:tmpl w:val="104441F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56D90542"/>
    <w:multiLevelType w:val="hybridMultilevel"/>
    <w:tmpl w:val="C504A392"/>
    <w:lvl w:ilvl="0" w:tplc="81A62C46">
      <w:start w:val="1"/>
      <w:numFmt w:val="bullet"/>
      <w:lvlText w:val="•"/>
      <w:lvlJc w:val="left"/>
      <w:pPr>
        <w:tabs>
          <w:tab w:val="num" w:pos="720"/>
        </w:tabs>
        <w:ind w:left="720" w:hanging="360"/>
      </w:pPr>
      <w:rPr>
        <w:rFonts w:ascii="Arial" w:hAnsi="Arial" w:hint="default"/>
      </w:rPr>
    </w:lvl>
    <w:lvl w:ilvl="1" w:tplc="F076756A">
      <w:start w:val="1"/>
      <w:numFmt w:val="bullet"/>
      <w:lvlText w:val="•"/>
      <w:lvlJc w:val="left"/>
      <w:pPr>
        <w:tabs>
          <w:tab w:val="num" w:pos="1440"/>
        </w:tabs>
        <w:ind w:left="1440" w:hanging="360"/>
      </w:pPr>
      <w:rPr>
        <w:rFonts w:ascii="Arial" w:hAnsi="Arial" w:hint="default"/>
      </w:rPr>
    </w:lvl>
    <w:lvl w:ilvl="2" w:tplc="088E6BD0" w:tentative="1">
      <w:start w:val="1"/>
      <w:numFmt w:val="bullet"/>
      <w:lvlText w:val="•"/>
      <w:lvlJc w:val="left"/>
      <w:pPr>
        <w:tabs>
          <w:tab w:val="num" w:pos="2160"/>
        </w:tabs>
        <w:ind w:left="2160" w:hanging="360"/>
      </w:pPr>
      <w:rPr>
        <w:rFonts w:ascii="Arial" w:hAnsi="Arial" w:hint="default"/>
      </w:rPr>
    </w:lvl>
    <w:lvl w:ilvl="3" w:tplc="963E2F24" w:tentative="1">
      <w:start w:val="1"/>
      <w:numFmt w:val="bullet"/>
      <w:lvlText w:val="•"/>
      <w:lvlJc w:val="left"/>
      <w:pPr>
        <w:tabs>
          <w:tab w:val="num" w:pos="2880"/>
        </w:tabs>
        <w:ind w:left="2880" w:hanging="360"/>
      </w:pPr>
      <w:rPr>
        <w:rFonts w:ascii="Arial" w:hAnsi="Arial" w:hint="default"/>
      </w:rPr>
    </w:lvl>
    <w:lvl w:ilvl="4" w:tplc="BEF44D96" w:tentative="1">
      <w:start w:val="1"/>
      <w:numFmt w:val="bullet"/>
      <w:lvlText w:val="•"/>
      <w:lvlJc w:val="left"/>
      <w:pPr>
        <w:tabs>
          <w:tab w:val="num" w:pos="3600"/>
        </w:tabs>
        <w:ind w:left="3600" w:hanging="360"/>
      </w:pPr>
      <w:rPr>
        <w:rFonts w:ascii="Arial" w:hAnsi="Arial" w:hint="default"/>
      </w:rPr>
    </w:lvl>
    <w:lvl w:ilvl="5" w:tplc="F67EE0C0" w:tentative="1">
      <w:start w:val="1"/>
      <w:numFmt w:val="bullet"/>
      <w:lvlText w:val="•"/>
      <w:lvlJc w:val="left"/>
      <w:pPr>
        <w:tabs>
          <w:tab w:val="num" w:pos="4320"/>
        </w:tabs>
        <w:ind w:left="4320" w:hanging="360"/>
      </w:pPr>
      <w:rPr>
        <w:rFonts w:ascii="Arial" w:hAnsi="Arial" w:hint="default"/>
      </w:rPr>
    </w:lvl>
    <w:lvl w:ilvl="6" w:tplc="A78C0F4A" w:tentative="1">
      <w:start w:val="1"/>
      <w:numFmt w:val="bullet"/>
      <w:lvlText w:val="•"/>
      <w:lvlJc w:val="left"/>
      <w:pPr>
        <w:tabs>
          <w:tab w:val="num" w:pos="5040"/>
        </w:tabs>
        <w:ind w:left="5040" w:hanging="360"/>
      </w:pPr>
      <w:rPr>
        <w:rFonts w:ascii="Arial" w:hAnsi="Arial" w:hint="default"/>
      </w:rPr>
    </w:lvl>
    <w:lvl w:ilvl="7" w:tplc="FC921332" w:tentative="1">
      <w:start w:val="1"/>
      <w:numFmt w:val="bullet"/>
      <w:lvlText w:val="•"/>
      <w:lvlJc w:val="left"/>
      <w:pPr>
        <w:tabs>
          <w:tab w:val="num" w:pos="5760"/>
        </w:tabs>
        <w:ind w:left="5760" w:hanging="360"/>
      </w:pPr>
      <w:rPr>
        <w:rFonts w:ascii="Arial" w:hAnsi="Arial" w:hint="default"/>
      </w:rPr>
    </w:lvl>
    <w:lvl w:ilvl="8" w:tplc="CB16A7A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3F790D"/>
    <w:multiLevelType w:val="hybridMultilevel"/>
    <w:tmpl w:val="2D7A2DA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5BA05B4B"/>
    <w:multiLevelType w:val="hybridMultilevel"/>
    <w:tmpl w:val="13867F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1E3FC6"/>
    <w:multiLevelType w:val="hybridMultilevel"/>
    <w:tmpl w:val="B7D2746A"/>
    <w:lvl w:ilvl="0" w:tplc="08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50FFD"/>
    <w:multiLevelType w:val="hybridMultilevel"/>
    <w:tmpl w:val="2CDC4D18"/>
    <w:lvl w:ilvl="0" w:tplc="05FE451E">
      <w:start w:val="1"/>
      <w:numFmt w:val="bullet"/>
      <w:lvlText w:val="•"/>
      <w:lvlJc w:val="left"/>
      <w:pPr>
        <w:tabs>
          <w:tab w:val="num" w:pos="720"/>
        </w:tabs>
        <w:ind w:left="720" w:hanging="360"/>
      </w:pPr>
      <w:rPr>
        <w:rFonts w:ascii="Arial" w:hAnsi="Arial" w:hint="default"/>
      </w:rPr>
    </w:lvl>
    <w:lvl w:ilvl="1" w:tplc="F508B4FA" w:tentative="1">
      <w:start w:val="1"/>
      <w:numFmt w:val="bullet"/>
      <w:lvlText w:val="•"/>
      <w:lvlJc w:val="left"/>
      <w:pPr>
        <w:tabs>
          <w:tab w:val="num" w:pos="1440"/>
        </w:tabs>
        <w:ind w:left="1440" w:hanging="360"/>
      </w:pPr>
      <w:rPr>
        <w:rFonts w:ascii="Arial" w:hAnsi="Arial" w:hint="default"/>
      </w:rPr>
    </w:lvl>
    <w:lvl w:ilvl="2" w:tplc="4C54BEF8" w:tentative="1">
      <w:start w:val="1"/>
      <w:numFmt w:val="bullet"/>
      <w:lvlText w:val="•"/>
      <w:lvlJc w:val="left"/>
      <w:pPr>
        <w:tabs>
          <w:tab w:val="num" w:pos="2160"/>
        </w:tabs>
        <w:ind w:left="2160" w:hanging="360"/>
      </w:pPr>
      <w:rPr>
        <w:rFonts w:ascii="Arial" w:hAnsi="Arial" w:hint="default"/>
      </w:rPr>
    </w:lvl>
    <w:lvl w:ilvl="3" w:tplc="C26431BA" w:tentative="1">
      <w:start w:val="1"/>
      <w:numFmt w:val="bullet"/>
      <w:lvlText w:val="•"/>
      <w:lvlJc w:val="left"/>
      <w:pPr>
        <w:tabs>
          <w:tab w:val="num" w:pos="2880"/>
        </w:tabs>
        <w:ind w:left="2880" w:hanging="360"/>
      </w:pPr>
      <w:rPr>
        <w:rFonts w:ascii="Arial" w:hAnsi="Arial" w:hint="default"/>
      </w:rPr>
    </w:lvl>
    <w:lvl w:ilvl="4" w:tplc="2738ECDA" w:tentative="1">
      <w:start w:val="1"/>
      <w:numFmt w:val="bullet"/>
      <w:lvlText w:val="•"/>
      <w:lvlJc w:val="left"/>
      <w:pPr>
        <w:tabs>
          <w:tab w:val="num" w:pos="3600"/>
        </w:tabs>
        <w:ind w:left="3600" w:hanging="360"/>
      </w:pPr>
      <w:rPr>
        <w:rFonts w:ascii="Arial" w:hAnsi="Arial" w:hint="default"/>
      </w:rPr>
    </w:lvl>
    <w:lvl w:ilvl="5" w:tplc="045C99CE" w:tentative="1">
      <w:start w:val="1"/>
      <w:numFmt w:val="bullet"/>
      <w:lvlText w:val="•"/>
      <w:lvlJc w:val="left"/>
      <w:pPr>
        <w:tabs>
          <w:tab w:val="num" w:pos="4320"/>
        </w:tabs>
        <w:ind w:left="4320" w:hanging="360"/>
      </w:pPr>
      <w:rPr>
        <w:rFonts w:ascii="Arial" w:hAnsi="Arial" w:hint="default"/>
      </w:rPr>
    </w:lvl>
    <w:lvl w:ilvl="6" w:tplc="DD76BA1A" w:tentative="1">
      <w:start w:val="1"/>
      <w:numFmt w:val="bullet"/>
      <w:lvlText w:val="•"/>
      <w:lvlJc w:val="left"/>
      <w:pPr>
        <w:tabs>
          <w:tab w:val="num" w:pos="5040"/>
        </w:tabs>
        <w:ind w:left="5040" w:hanging="360"/>
      </w:pPr>
      <w:rPr>
        <w:rFonts w:ascii="Arial" w:hAnsi="Arial" w:hint="default"/>
      </w:rPr>
    </w:lvl>
    <w:lvl w:ilvl="7" w:tplc="F932B7D8" w:tentative="1">
      <w:start w:val="1"/>
      <w:numFmt w:val="bullet"/>
      <w:lvlText w:val="•"/>
      <w:lvlJc w:val="left"/>
      <w:pPr>
        <w:tabs>
          <w:tab w:val="num" w:pos="5760"/>
        </w:tabs>
        <w:ind w:left="5760" w:hanging="360"/>
      </w:pPr>
      <w:rPr>
        <w:rFonts w:ascii="Arial" w:hAnsi="Arial" w:hint="default"/>
      </w:rPr>
    </w:lvl>
    <w:lvl w:ilvl="8" w:tplc="89C2601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5309B9"/>
    <w:multiLevelType w:val="hybridMultilevel"/>
    <w:tmpl w:val="61C41B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C51FBF"/>
    <w:multiLevelType w:val="hybridMultilevel"/>
    <w:tmpl w:val="3A762CE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751746"/>
    <w:multiLevelType w:val="hybridMultilevel"/>
    <w:tmpl w:val="3D6A8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F11A4F"/>
    <w:multiLevelType w:val="hybridMultilevel"/>
    <w:tmpl w:val="1D32784E"/>
    <w:lvl w:ilvl="0" w:tplc="2C200E84">
      <w:start w:val="1"/>
      <w:numFmt w:val="bullet"/>
      <w:lvlText w:val=""/>
      <w:lvlJc w:val="left"/>
      <w:pPr>
        <w:ind w:left="7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1B4583"/>
    <w:multiLevelType w:val="hybridMultilevel"/>
    <w:tmpl w:val="92A40680"/>
    <w:lvl w:ilvl="0" w:tplc="E0CC7ED6">
      <w:start w:val="1"/>
      <w:numFmt w:val="decimal"/>
      <w:pStyle w:val="5TitCin"/>
      <w:suff w:val="space"/>
      <w:lvlText w:val="4.2.2.1.%1."/>
      <w:lvlJc w:val="right"/>
      <w:pPr>
        <w:ind w:left="-964" w:firstLine="9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AC0525"/>
    <w:multiLevelType w:val="hybridMultilevel"/>
    <w:tmpl w:val="B908DB30"/>
    <w:lvl w:ilvl="0" w:tplc="659CA55A">
      <w:start w:val="1"/>
      <w:numFmt w:val="bullet"/>
      <w:lvlText w:val=""/>
      <w:lvlJc w:val="left"/>
      <w:pPr>
        <w:ind w:left="720" w:hanging="360"/>
      </w:pPr>
      <w:rPr>
        <w:rFonts w:ascii="Symbol" w:hAnsi="Symbol" w:hint="default"/>
      </w:rPr>
    </w:lvl>
    <w:lvl w:ilvl="1" w:tplc="7E18FA0A">
      <w:numFmt w:val="bullet"/>
      <w:lvlText w:val="-"/>
      <w:lvlJc w:val="left"/>
      <w:pPr>
        <w:ind w:left="1440" w:hanging="360"/>
      </w:pPr>
      <w:rPr>
        <w:rFonts w:ascii="ITC Avant Garde" w:eastAsia="Calibri" w:hAnsi="ITC Avant Gard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EB6F36"/>
    <w:multiLevelType w:val="hybridMultilevel"/>
    <w:tmpl w:val="3A123760"/>
    <w:lvl w:ilvl="0" w:tplc="AB3E1898">
      <w:start w:val="1"/>
      <w:numFmt w:val="bullet"/>
      <w:pStyle w:val="ListaCitaOtras"/>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9" w15:restartNumberingAfterBreak="0">
    <w:nsid w:val="7C372DC4"/>
    <w:multiLevelType w:val="hybridMultilevel"/>
    <w:tmpl w:val="F508EB8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7D0F7FB3"/>
    <w:multiLevelType w:val="hybridMultilevel"/>
    <w:tmpl w:val="B9129C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3E0DF8"/>
    <w:multiLevelType w:val="multilevel"/>
    <w:tmpl w:val="92D23072"/>
    <w:lvl w:ilvl="0">
      <w:start w:val="4"/>
      <w:numFmt w:val="decimal"/>
      <w:lvlText w:val="%1."/>
      <w:lvlJc w:val="left"/>
      <w:pPr>
        <w:ind w:left="360" w:hanging="360"/>
      </w:pPr>
      <w:rPr>
        <w:rFonts w:hint="default"/>
      </w:rPr>
    </w:lvl>
    <w:lvl w:ilvl="1">
      <w:start w:val="1"/>
      <w:numFmt w:val="decimal"/>
      <w:lvlText w:val="%1.%2."/>
      <w:lvlJc w:val="left"/>
      <w:pPr>
        <w:ind w:left="5678" w:hanging="432"/>
      </w:pPr>
      <w:rPr>
        <w:rFonts w:hint="default"/>
      </w:rPr>
    </w:lvl>
    <w:lvl w:ilvl="2">
      <w:start w:val="1"/>
      <w:numFmt w:val="decimal"/>
      <w:lvlText w:val="%1.%2.%3."/>
      <w:lvlJc w:val="left"/>
      <w:pPr>
        <w:ind w:left="1224" w:hanging="504"/>
      </w:pPr>
      <w:rPr>
        <w:rFonts w:hint="default"/>
      </w:rPr>
    </w:lvl>
    <w:lvl w:ilvl="3">
      <w:start w:val="1"/>
      <w:numFmt w:val="decimal"/>
      <w:pStyle w:val="4TitCuar"/>
      <w:lvlText w:val="%1.%2.%3.%4."/>
      <w:lvlJc w:val="left"/>
      <w:pPr>
        <w:ind w:left="1499" w:hanging="648"/>
      </w:pPr>
      <w:rPr>
        <w:b w:val="0"/>
        <w:bCs w:val="0"/>
        <w:i w:val="0"/>
        <w:iCs w:val="0"/>
        <w:caps w:val="0"/>
        <w:smallCaps w:val="0"/>
        <w:strike w:val="0"/>
        <w:dstrike w:val="0"/>
        <w:noProof w:val="0"/>
        <w:vanish w:val="0"/>
        <w:color w:val="000000"/>
        <w:spacing w:val="0"/>
        <w:kern w:val="0"/>
        <w:position w:val="0"/>
        <w:u w:val="none"/>
        <w:effect w:val="none"/>
        <w:vertAlign w:val="baseline"/>
        <w:em w:val="none"/>
        <w:lang w:val="es-ES_tradn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37"/>
  </w:num>
  <w:num w:numId="3">
    <w:abstractNumId w:val="5"/>
  </w:num>
  <w:num w:numId="4">
    <w:abstractNumId w:val="38"/>
  </w:num>
  <w:num w:numId="5">
    <w:abstractNumId w:val="41"/>
  </w:num>
  <w:num w:numId="6">
    <w:abstractNumId w:val="23"/>
  </w:num>
  <w:num w:numId="7">
    <w:abstractNumId w:val="36"/>
  </w:num>
  <w:num w:numId="8">
    <w:abstractNumId w:val="25"/>
  </w:num>
  <w:num w:numId="9">
    <w:abstractNumId w:val="0"/>
  </w:num>
  <w:num w:numId="10">
    <w:abstractNumId w:val="7"/>
  </w:num>
  <w:num w:numId="11">
    <w:abstractNumId w:val="12"/>
  </w:num>
  <w:num w:numId="12">
    <w:abstractNumId w:val="19"/>
  </w:num>
  <w:num w:numId="13">
    <w:abstractNumId w:val="32"/>
  </w:num>
  <w:num w:numId="14">
    <w:abstractNumId w:val="4"/>
  </w:num>
  <w:num w:numId="15">
    <w:abstractNumId w:val="8"/>
  </w:num>
  <w:num w:numId="16">
    <w:abstractNumId w:val="27"/>
  </w:num>
  <w:num w:numId="17">
    <w:abstractNumId w:val="22"/>
  </w:num>
  <w:num w:numId="18">
    <w:abstractNumId w:val="1"/>
  </w:num>
  <w:num w:numId="19">
    <w:abstractNumId w:val="11"/>
  </w:num>
  <w:num w:numId="20">
    <w:abstractNumId w:val="40"/>
  </w:num>
  <w:num w:numId="21">
    <w:abstractNumId w:val="16"/>
  </w:num>
  <w:num w:numId="22">
    <w:abstractNumId w:val="3"/>
  </w:num>
  <w:num w:numId="23">
    <w:abstractNumId w:val="2"/>
  </w:num>
  <w:num w:numId="24">
    <w:abstractNumId w:val="35"/>
  </w:num>
  <w:num w:numId="25">
    <w:abstractNumId w:val="39"/>
  </w:num>
  <w:num w:numId="26">
    <w:abstractNumId w:val="15"/>
  </w:num>
  <w:num w:numId="27">
    <w:abstractNumId w:val="30"/>
  </w:num>
  <w:num w:numId="28">
    <w:abstractNumId w:val="6"/>
  </w:num>
  <w:num w:numId="29">
    <w:abstractNumId w:val="24"/>
  </w:num>
  <w:num w:numId="30">
    <w:abstractNumId w:val="28"/>
  </w:num>
  <w:num w:numId="31">
    <w:abstractNumId w:val="33"/>
  </w:num>
  <w:num w:numId="32">
    <w:abstractNumId w:val="29"/>
  </w:num>
  <w:num w:numId="33">
    <w:abstractNumId w:val="9"/>
  </w:num>
  <w:num w:numId="34">
    <w:abstractNumId w:val="31"/>
  </w:num>
  <w:num w:numId="35">
    <w:abstractNumId w:val="14"/>
  </w:num>
  <w:num w:numId="36">
    <w:abstractNumId w:val="17"/>
  </w:num>
  <w:num w:numId="37">
    <w:abstractNumId w:val="26"/>
  </w:num>
  <w:num w:numId="38">
    <w:abstractNumId w:val="20"/>
  </w:num>
  <w:num w:numId="39">
    <w:abstractNumId w:val="34"/>
  </w:num>
  <w:num w:numId="40">
    <w:abstractNumId w:val="21"/>
  </w:num>
  <w:num w:numId="41">
    <w:abstractNumId w:val="10"/>
  </w:num>
  <w:num w:numId="4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D7"/>
    <w:rsid w:val="0000043A"/>
    <w:rsid w:val="00000B17"/>
    <w:rsid w:val="000018AC"/>
    <w:rsid w:val="00001DBD"/>
    <w:rsid w:val="000025F9"/>
    <w:rsid w:val="00006F52"/>
    <w:rsid w:val="000114C2"/>
    <w:rsid w:val="00012460"/>
    <w:rsid w:val="00015A9F"/>
    <w:rsid w:val="00015BC3"/>
    <w:rsid w:val="00015EB8"/>
    <w:rsid w:val="00017114"/>
    <w:rsid w:val="0001736D"/>
    <w:rsid w:val="00024C19"/>
    <w:rsid w:val="00026D59"/>
    <w:rsid w:val="00027004"/>
    <w:rsid w:val="000274E6"/>
    <w:rsid w:val="00027E0E"/>
    <w:rsid w:val="00032199"/>
    <w:rsid w:val="0003548E"/>
    <w:rsid w:val="000359DD"/>
    <w:rsid w:val="00037422"/>
    <w:rsid w:val="00044229"/>
    <w:rsid w:val="000443A5"/>
    <w:rsid w:val="00044AD4"/>
    <w:rsid w:val="00052FB0"/>
    <w:rsid w:val="00054948"/>
    <w:rsid w:val="0005541E"/>
    <w:rsid w:val="00055841"/>
    <w:rsid w:val="000563E2"/>
    <w:rsid w:val="000571B3"/>
    <w:rsid w:val="000579E3"/>
    <w:rsid w:val="00061301"/>
    <w:rsid w:val="00061410"/>
    <w:rsid w:val="00061DC5"/>
    <w:rsid w:val="00063734"/>
    <w:rsid w:val="0006476B"/>
    <w:rsid w:val="00066947"/>
    <w:rsid w:val="00067BE7"/>
    <w:rsid w:val="000700BC"/>
    <w:rsid w:val="000713C9"/>
    <w:rsid w:val="00071DEB"/>
    <w:rsid w:val="00071F21"/>
    <w:rsid w:val="00072F27"/>
    <w:rsid w:val="00076453"/>
    <w:rsid w:val="00076652"/>
    <w:rsid w:val="00082583"/>
    <w:rsid w:val="00084411"/>
    <w:rsid w:val="00084758"/>
    <w:rsid w:val="000859EB"/>
    <w:rsid w:val="00086065"/>
    <w:rsid w:val="0008693F"/>
    <w:rsid w:val="000909F7"/>
    <w:rsid w:val="00091DCC"/>
    <w:rsid w:val="00095F99"/>
    <w:rsid w:val="000A091C"/>
    <w:rsid w:val="000A2D3D"/>
    <w:rsid w:val="000A305C"/>
    <w:rsid w:val="000A377F"/>
    <w:rsid w:val="000A4FA2"/>
    <w:rsid w:val="000A62D8"/>
    <w:rsid w:val="000B06E5"/>
    <w:rsid w:val="000B5876"/>
    <w:rsid w:val="000B6693"/>
    <w:rsid w:val="000C0D27"/>
    <w:rsid w:val="000C1A7C"/>
    <w:rsid w:val="000C1E2D"/>
    <w:rsid w:val="000C3722"/>
    <w:rsid w:val="000C4630"/>
    <w:rsid w:val="000D06CF"/>
    <w:rsid w:val="000D1493"/>
    <w:rsid w:val="000D2481"/>
    <w:rsid w:val="000D26B6"/>
    <w:rsid w:val="000D31AE"/>
    <w:rsid w:val="000D4044"/>
    <w:rsid w:val="000D741F"/>
    <w:rsid w:val="000E0211"/>
    <w:rsid w:val="000E0FBE"/>
    <w:rsid w:val="000E1209"/>
    <w:rsid w:val="000E1F45"/>
    <w:rsid w:val="000E1F9E"/>
    <w:rsid w:val="000E5EAB"/>
    <w:rsid w:val="000E659E"/>
    <w:rsid w:val="000E79F3"/>
    <w:rsid w:val="000F0C30"/>
    <w:rsid w:val="000F0C8F"/>
    <w:rsid w:val="000F43E7"/>
    <w:rsid w:val="000F51FD"/>
    <w:rsid w:val="000F5CD8"/>
    <w:rsid w:val="000F63B5"/>
    <w:rsid w:val="001000AE"/>
    <w:rsid w:val="00100CF4"/>
    <w:rsid w:val="0010377F"/>
    <w:rsid w:val="001043F4"/>
    <w:rsid w:val="00104C30"/>
    <w:rsid w:val="001102C6"/>
    <w:rsid w:val="001222A9"/>
    <w:rsid w:val="001224D4"/>
    <w:rsid w:val="0012308F"/>
    <w:rsid w:val="001246F8"/>
    <w:rsid w:val="00125571"/>
    <w:rsid w:val="001338F9"/>
    <w:rsid w:val="00135357"/>
    <w:rsid w:val="0013706B"/>
    <w:rsid w:val="001370C0"/>
    <w:rsid w:val="00140D60"/>
    <w:rsid w:val="0014181B"/>
    <w:rsid w:val="001500DF"/>
    <w:rsid w:val="00152C5F"/>
    <w:rsid w:val="00155177"/>
    <w:rsid w:val="00155935"/>
    <w:rsid w:val="00155E50"/>
    <w:rsid w:val="00156997"/>
    <w:rsid w:val="00156E28"/>
    <w:rsid w:val="001578AE"/>
    <w:rsid w:val="00157DC2"/>
    <w:rsid w:val="001607C4"/>
    <w:rsid w:val="001611A0"/>
    <w:rsid w:val="00162FE2"/>
    <w:rsid w:val="00165859"/>
    <w:rsid w:val="00167FFD"/>
    <w:rsid w:val="00183DD1"/>
    <w:rsid w:val="001848EF"/>
    <w:rsid w:val="001849C4"/>
    <w:rsid w:val="001947A6"/>
    <w:rsid w:val="0019504A"/>
    <w:rsid w:val="00196BA1"/>
    <w:rsid w:val="001A1FD0"/>
    <w:rsid w:val="001A3DEE"/>
    <w:rsid w:val="001A5601"/>
    <w:rsid w:val="001A672C"/>
    <w:rsid w:val="001A79E2"/>
    <w:rsid w:val="001B188B"/>
    <w:rsid w:val="001B243D"/>
    <w:rsid w:val="001B5227"/>
    <w:rsid w:val="001B5C84"/>
    <w:rsid w:val="001B6FC8"/>
    <w:rsid w:val="001C0CB5"/>
    <w:rsid w:val="001D0B9B"/>
    <w:rsid w:val="001D27EC"/>
    <w:rsid w:val="001D3F11"/>
    <w:rsid w:val="001D6591"/>
    <w:rsid w:val="001D7342"/>
    <w:rsid w:val="001E0D3E"/>
    <w:rsid w:val="001E3ACD"/>
    <w:rsid w:val="001E4DD2"/>
    <w:rsid w:val="001E50AB"/>
    <w:rsid w:val="001E5293"/>
    <w:rsid w:val="001F4C4B"/>
    <w:rsid w:val="001F70C0"/>
    <w:rsid w:val="00201968"/>
    <w:rsid w:val="002022E4"/>
    <w:rsid w:val="0020251D"/>
    <w:rsid w:val="0020450A"/>
    <w:rsid w:val="0020624E"/>
    <w:rsid w:val="00206B97"/>
    <w:rsid w:val="00206F28"/>
    <w:rsid w:val="0020735A"/>
    <w:rsid w:val="00210466"/>
    <w:rsid w:val="0021061B"/>
    <w:rsid w:val="0021398D"/>
    <w:rsid w:val="002147BB"/>
    <w:rsid w:val="00214904"/>
    <w:rsid w:val="00214C21"/>
    <w:rsid w:val="002151A9"/>
    <w:rsid w:val="00215791"/>
    <w:rsid w:val="00215985"/>
    <w:rsid w:val="002162BC"/>
    <w:rsid w:val="0022478C"/>
    <w:rsid w:val="00224A69"/>
    <w:rsid w:val="00225D24"/>
    <w:rsid w:val="0023123E"/>
    <w:rsid w:val="00234048"/>
    <w:rsid w:val="00234ACC"/>
    <w:rsid w:val="0024487D"/>
    <w:rsid w:val="00245D20"/>
    <w:rsid w:val="00246892"/>
    <w:rsid w:val="00250387"/>
    <w:rsid w:val="00250A47"/>
    <w:rsid w:val="002541D7"/>
    <w:rsid w:val="00254907"/>
    <w:rsid w:val="00254CC8"/>
    <w:rsid w:val="00257AE0"/>
    <w:rsid w:val="00261344"/>
    <w:rsid w:val="00261379"/>
    <w:rsid w:val="00261B6B"/>
    <w:rsid w:val="00261DF3"/>
    <w:rsid w:val="00262230"/>
    <w:rsid w:val="0026312B"/>
    <w:rsid w:val="0026369B"/>
    <w:rsid w:val="00265BFE"/>
    <w:rsid w:val="00270753"/>
    <w:rsid w:val="002712E2"/>
    <w:rsid w:val="002719C7"/>
    <w:rsid w:val="00273E2D"/>
    <w:rsid w:val="00274489"/>
    <w:rsid w:val="00275726"/>
    <w:rsid w:val="00276101"/>
    <w:rsid w:val="002763C2"/>
    <w:rsid w:val="00281DD7"/>
    <w:rsid w:val="002831B7"/>
    <w:rsid w:val="0028478B"/>
    <w:rsid w:val="00286601"/>
    <w:rsid w:val="002875F1"/>
    <w:rsid w:val="00287F59"/>
    <w:rsid w:val="0029204F"/>
    <w:rsid w:val="00292A48"/>
    <w:rsid w:val="00292BC5"/>
    <w:rsid w:val="002956ED"/>
    <w:rsid w:val="00295C96"/>
    <w:rsid w:val="002966F6"/>
    <w:rsid w:val="00296BC9"/>
    <w:rsid w:val="00296F42"/>
    <w:rsid w:val="00297D3C"/>
    <w:rsid w:val="002A0195"/>
    <w:rsid w:val="002A0CD5"/>
    <w:rsid w:val="002A2149"/>
    <w:rsid w:val="002A39D5"/>
    <w:rsid w:val="002A5E4E"/>
    <w:rsid w:val="002A6322"/>
    <w:rsid w:val="002B0170"/>
    <w:rsid w:val="002B381C"/>
    <w:rsid w:val="002B640D"/>
    <w:rsid w:val="002B7588"/>
    <w:rsid w:val="002B7E87"/>
    <w:rsid w:val="002C19DB"/>
    <w:rsid w:val="002C23BA"/>
    <w:rsid w:val="002C39D4"/>
    <w:rsid w:val="002C3D95"/>
    <w:rsid w:val="002C4318"/>
    <w:rsid w:val="002C60EB"/>
    <w:rsid w:val="002C67D4"/>
    <w:rsid w:val="002C69D1"/>
    <w:rsid w:val="002C7D5E"/>
    <w:rsid w:val="002D6499"/>
    <w:rsid w:val="002E1020"/>
    <w:rsid w:val="002E2604"/>
    <w:rsid w:val="002E26BC"/>
    <w:rsid w:val="002E395D"/>
    <w:rsid w:val="002E40C8"/>
    <w:rsid w:val="002E4250"/>
    <w:rsid w:val="002E4652"/>
    <w:rsid w:val="002E5B25"/>
    <w:rsid w:val="002E6973"/>
    <w:rsid w:val="002E77BD"/>
    <w:rsid w:val="002E7BED"/>
    <w:rsid w:val="002E7C5F"/>
    <w:rsid w:val="002F01A2"/>
    <w:rsid w:val="002F08DD"/>
    <w:rsid w:val="002F391B"/>
    <w:rsid w:val="002F4410"/>
    <w:rsid w:val="002F5CDF"/>
    <w:rsid w:val="002F7481"/>
    <w:rsid w:val="00301469"/>
    <w:rsid w:val="00302D51"/>
    <w:rsid w:val="003040C7"/>
    <w:rsid w:val="00304E7C"/>
    <w:rsid w:val="003068E9"/>
    <w:rsid w:val="00307002"/>
    <w:rsid w:val="00307ECB"/>
    <w:rsid w:val="00313B36"/>
    <w:rsid w:val="003152D9"/>
    <w:rsid w:val="00315ABF"/>
    <w:rsid w:val="00316E73"/>
    <w:rsid w:val="00324818"/>
    <w:rsid w:val="00324D35"/>
    <w:rsid w:val="003251D2"/>
    <w:rsid w:val="003253D4"/>
    <w:rsid w:val="00330E06"/>
    <w:rsid w:val="00331D7E"/>
    <w:rsid w:val="00332456"/>
    <w:rsid w:val="00333ED7"/>
    <w:rsid w:val="0033707B"/>
    <w:rsid w:val="00337275"/>
    <w:rsid w:val="00341CFF"/>
    <w:rsid w:val="00342FC8"/>
    <w:rsid w:val="003434F2"/>
    <w:rsid w:val="00344C0C"/>
    <w:rsid w:val="00344C7A"/>
    <w:rsid w:val="00346963"/>
    <w:rsid w:val="003502C9"/>
    <w:rsid w:val="0035144F"/>
    <w:rsid w:val="003518E9"/>
    <w:rsid w:val="00352982"/>
    <w:rsid w:val="00352C54"/>
    <w:rsid w:val="0035453B"/>
    <w:rsid w:val="00354A6E"/>
    <w:rsid w:val="00355374"/>
    <w:rsid w:val="00355696"/>
    <w:rsid w:val="003609BB"/>
    <w:rsid w:val="00361025"/>
    <w:rsid w:val="0036502B"/>
    <w:rsid w:val="0036576C"/>
    <w:rsid w:val="003676DE"/>
    <w:rsid w:val="0037207F"/>
    <w:rsid w:val="0037493E"/>
    <w:rsid w:val="00375294"/>
    <w:rsid w:val="003768DF"/>
    <w:rsid w:val="00377204"/>
    <w:rsid w:val="0037791A"/>
    <w:rsid w:val="00381C67"/>
    <w:rsid w:val="00381CE3"/>
    <w:rsid w:val="00381F2F"/>
    <w:rsid w:val="00382E15"/>
    <w:rsid w:val="00383C92"/>
    <w:rsid w:val="0038416A"/>
    <w:rsid w:val="003848A1"/>
    <w:rsid w:val="0038586D"/>
    <w:rsid w:val="003866C5"/>
    <w:rsid w:val="0039200B"/>
    <w:rsid w:val="00392F8D"/>
    <w:rsid w:val="00394F90"/>
    <w:rsid w:val="00397712"/>
    <w:rsid w:val="003A0D22"/>
    <w:rsid w:val="003A1967"/>
    <w:rsid w:val="003A3BF2"/>
    <w:rsid w:val="003A3D51"/>
    <w:rsid w:val="003A400C"/>
    <w:rsid w:val="003A6673"/>
    <w:rsid w:val="003B0CDC"/>
    <w:rsid w:val="003B1A53"/>
    <w:rsid w:val="003B29E3"/>
    <w:rsid w:val="003B4C29"/>
    <w:rsid w:val="003B620C"/>
    <w:rsid w:val="003B670B"/>
    <w:rsid w:val="003B6807"/>
    <w:rsid w:val="003C1FB4"/>
    <w:rsid w:val="003C347C"/>
    <w:rsid w:val="003C40B6"/>
    <w:rsid w:val="003C7D15"/>
    <w:rsid w:val="003D1652"/>
    <w:rsid w:val="003D1725"/>
    <w:rsid w:val="003D3B81"/>
    <w:rsid w:val="003D4D53"/>
    <w:rsid w:val="003D6197"/>
    <w:rsid w:val="003D7DA7"/>
    <w:rsid w:val="003E1BDC"/>
    <w:rsid w:val="003E299F"/>
    <w:rsid w:val="003E300C"/>
    <w:rsid w:val="003E478C"/>
    <w:rsid w:val="003E4B32"/>
    <w:rsid w:val="003E4C32"/>
    <w:rsid w:val="003E4CE8"/>
    <w:rsid w:val="003F15FF"/>
    <w:rsid w:val="003F1728"/>
    <w:rsid w:val="003F20F0"/>
    <w:rsid w:val="003F2634"/>
    <w:rsid w:val="003F4C30"/>
    <w:rsid w:val="003F61B6"/>
    <w:rsid w:val="003F7369"/>
    <w:rsid w:val="00400481"/>
    <w:rsid w:val="00402839"/>
    <w:rsid w:val="00402930"/>
    <w:rsid w:val="00410A81"/>
    <w:rsid w:val="004110F3"/>
    <w:rsid w:val="0041198E"/>
    <w:rsid w:val="00415918"/>
    <w:rsid w:val="004169B3"/>
    <w:rsid w:val="00416B3A"/>
    <w:rsid w:val="004176ED"/>
    <w:rsid w:val="0042166E"/>
    <w:rsid w:val="00422A53"/>
    <w:rsid w:val="00426F2A"/>
    <w:rsid w:val="0042727F"/>
    <w:rsid w:val="00430846"/>
    <w:rsid w:val="00436CA5"/>
    <w:rsid w:val="004379BD"/>
    <w:rsid w:val="004379DA"/>
    <w:rsid w:val="00440B0F"/>
    <w:rsid w:val="004410EA"/>
    <w:rsid w:val="00444B62"/>
    <w:rsid w:val="00445FD0"/>
    <w:rsid w:val="00446FA0"/>
    <w:rsid w:val="0044738D"/>
    <w:rsid w:val="00450387"/>
    <w:rsid w:val="004506E4"/>
    <w:rsid w:val="00452464"/>
    <w:rsid w:val="00454B79"/>
    <w:rsid w:val="0045750B"/>
    <w:rsid w:val="00457DB0"/>
    <w:rsid w:val="00460CF2"/>
    <w:rsid w:val="00462812"/>
    <w:rsid w:val="00462CD1"/>
    <w:rsid w:val="00465870"/>
    <w:rsid w:val="00465DA4"/>
    <w:rsid w:val="00466EF7"/>
    <w:rsid w:val="004675A7"/>
    <w:rsid w:val="00467E64"/>
    <w:rsid w:val="004708EF"/>
    <w:rsid w:val="00470A0F"/>
    <w:rsid w:val="004721BF"/>
    <w:rsid w:val="004813A1"/>
    <w:rsid w:val="00482439"/>
    <w:rsid w:val="00482A0A"/>
    <w:rsid w:val="0048449F"/>
    <w:rsid w:val="004848E9"/>
    <w:rsid w:val="00485619"/>
    <w:rsid w:val="0048722D"/>
    <w:rsid w:val="0049173D"/>
    <w:rsid w:val="0049269B"/>
    <w:rsid w:val="00493353"/>
    <w:rsid w:val="00495374"/>
    <w:rsid w:val="004965D6"/>
    <w:rsid w:val="004A2861"/>
    <w:rsid w:val="004A2FF2"/>
    <w:rsid w:val="004A67B8"/>
    <w:rsid w:val="004A7346"/>
    <w:rsid w:val="004B1DE5"/>
    <w:rsid w:val="004B31EA"/>
    <w:rsid w:val="004B32A3"/>
    <w:rsid w:val="004B36F8"/>
    <w:rsid w:val="004B595A"/>
    <w:rsid w:val="004B6566"/>
    <w:rsid w:val="004C155F"/>
    <w:rsid w:val="004C2103"/>
    <w:rsid w:val="004C521A"/>
    <w:rsid w:val="004C537D"/>
    <w:rsid w:val="004C6BF3"/>
    <w:rsid w:val="004C6D41"/>
    <w:rsid w:val="004D0176"/>
    <w:rsid w:val="004D0882"/>
    <w:rsid w:val="004D10D7"/>
    <w:rsid w:val="004D1ACA"/>
    <w:rsid w:val="004D1E0D"/>
    <w:rsid w:val="004D249E"/>
    <w:rsid w:val="004D257A"/>
    <w:rsid w:val="004D4ACA"/>
    <w:rsid w:val="004D7BF4"/>
    <w:rsid w:val="004D7C18"/>
    <w:rsid w:val="004D7FEA"/>
    <w:rsid w:val="004E129F"/>
    <w:rsid w:val="004E1F38"/>
    <w:rsid w:val="004E2610"/>
    <w:rsid w:val="004E2786"/>
    <w:rsid w:val="004E289C"/>
    <w:rsid w:val="004E3FC2"/>
    <w:rsid w:val="004E4C6E"/>
    <w:rsid w:val="004E733E"/>
    <w:rsid w:val="004E7C82"/>
    <w:rsid w:val="004F05CF"/>
    <w:rsid w:val="004F0CF5"/>
    <w:rsid w:val="004F1679"/>
    <w:rsid w:val="004F52A4"/>
    <w:rsid w:val="004F7D3D"/>
    <w:rsid w:val="00502708"/>
    <w:rsid w:val="005047CA"/>
    <w:rsid w:val="005118AD"/>
    <w:rsid w:val="005157D4"/>
    <w:rsid w:val="00515AB8"/>
    <w:rsid w:val="00516889"/>
    <w:rsid w:val="00516DBE"/>
    <w:rsid w:val="00517691"/>
    <w:rsid w:val="00517D91"/>
    <w:rsid w:val="00522881"/>
    <w:rsid w:val="00524776"/>
    <w:rsid w:val="0052789D"/>
    <w:rsid w:val="00530851"/>
    <w:rsid w:val="0053393B"/>
    <w:rsid w:val="00536864"/>
    <w:rsid w:val="00537101"/>
    <w:rsid w:val="005375EB"/>
    <w:rsid w:val="00540EA4"/>
    <w:rsid w:val="00542436"/>
    <w:rsid w:val="0054321A"/>
    <w:rsid w:val="00543B5B"/>
    <w:rsid w:val="00544196"/>
    <w:rsid w:val="005446B3"/>
    <w:rsid w:val="0054536B"/>
    <w:rsid w:val="005464E2"/>
    <w:rsid w:val="00551A65"/>
    <w:rsid w:val="00554B01"/>
    <w:rsid w:val="00556BDE"/>
    <w:rsid w:val="00560625"/>
    <w:rsid w:val="00561EF3"/>
    <w:rsid w:val="005632D4"/>
    <w:rsid w:val="00567082"/>
    <w:rsid w:val="00567CCB"/>
    <w:rsid w:val="00567E6E"/>
    <w:rsid w:val="005700FA"/>
    <w:rsid w:val="00570BA4"/>
    <w:rsid w:val="00571717"/>
    <w:rsid w:val="00575B11"/>
    <w:rsid w:val="005760E2"/>
    <w:rsid w:val="005762E9"/>
    <w:rsid w:val="005822B6"/>
    <w:rsid w:val="0058445F"/>
    <w:rsid w:val="00585AFE"/>
    <w:rsid w:val="0058706E"/>
    <w:rsid w:val="00591A67"/>
    <w:rsid w:val="0059281B"/>
    <w:rsid w:val="0059328B"/>
    <w:rsid w:val="00594A46"/>
    <w:rsid w:val="00595307"/>
    <w:rsid w:val="0059748C"/>
    <w:rsid w:val="00597EA4"/>
    <w:rsid w:val="005A439F"/>
    <w:rsid w:val="005A7421"/>
    <w:rsid w:val="005B290E"/>
    <w:rsid w:val="005B2F18"/>
    <w:rsid w:val="005B4FCF"/>
    <w:rsid w:val="005B7E17"/>
    <w:rsid w:val="005C47CA"/>
    <w:rsid w:val="005C4CA8"/>
    <w:rsid w:val="005C51A8"/>
    <w:rsid w:val="005C5A56"/>
    <w:rsid w:val="005C6EE7"/>
    <w:rsid w:val="005D1775"/>
    <w:rsid w:val="005D2B02"/>
    <w:rsid w:val="005D36CF"/>
    <w:rsid w:val="005D6B7B"/>
    <w:rsid w:val="005D7F51"/>
    <w:rsid w:val="005E0E21"/>
    <w:rsid w:val="005E5BE1"/>
    <w:rsid w:val="005E6732"/>
    <w:rsid w:val="005E74AE"/>
    <w:rsid w:val="005E7BB6"/>
    <w:rsid w:val="005F1B36"/>
    <w:rsid w:val="005F24B2"/>
    <w:rsid w:val="005F4A7B"/>
    <w:rsid w:val="005F5589"/>
    <w:rsid w:val="005F5D86"/>
    <w:rsid w:val="005F6433"/>
    <w:rsid w:val="005F6618"/>
    <w:rsid w:val="0060187F"/>
    <w:rsid w:val="00602A8E"/>
    <w:rsid w:val="006044E9"/>
    <w:rsid w:val="00604EA1"/>
    <w:rsid w:val="006058BE"/>
    <w:rsid w:val="006104B6"/>
    <w:rsid w:val="00612827"/>
    <w:rsid w:val="006143AF"/>
    <w:rsid w:val="00614A94"/>
    <w:rsid w:val="0061521C"/>
    <w:rsid w:val="006168C9"/>
    <w:rsid w:val="006202C4"/>
    <w:rsid w:val="00620820"/>
    <w:rsid w:val="006228A9"/>
    <w:rsid w:val="00623B01"/>
    <w:rsid w:val="00627F2C"/>
    <w:rsid w:val="00631FEA"/>
    <w:rsid w:val="0063256B"/>
    <w:rsid w:val="006352E2"/>
    <w:rsid w:val="00635790"/>
    <w:rsid w:val="0064017B"/>
    <w:rsid w:val="00642498"/>
    <w:rsid w:val="0064338B"/>
    <w:rsid w:val="006433C4"/>
    <w:rsid w:val="00645E62"/>
    <w:rsid w:val="006503F4"/>
    <w:rsid w:val="00650885"/>
    <w:rsid w:val="00651DBE"/>
    <w:rsid w:val="006531A7"/>
    <w:rsid w:val="006538ED"/>
    <w:rsid w:val="00662476"/>
    <w:rsid w:val="0066284D"/>
    <w:rsid w:val="006630FE"/>
    <w:rsid w:val="006631F8"/>
    <w:rsid w:val="006648F2"/>
    <w:rsid w:val="0066623B"/>
    <w:rsid w:val="00672A1B"/>
    <w:rsid w:val="006730AA"/>
    <w:rsid w:val="00674EBA"/>
    <w:rsid w:val="00676914"/>
    <w:rsid w:val="006769E7"/>
    <w:rsid w:val="00680C27"/>
    <w:rsid w:val="006811D1"/>
    <w:rsid w:val="00682C92"/>
    <w:rsid w:val="00687B19"/>
    <w:rsid w:val="0069064E"/>
    <w:rsid w:val="00693513"/>
    <w:rsid w:val="0069411F"/>
    <w:rsid w:val="00695BC0"/>
    <w:rsid w:val="00695D0A"/>
    <w:rsid w:val="00696B0E"/>
    <w:rsid w:val="006A0263"/>
    <w:rsid w:val="006A10B7"/>
    <w:rsid w:val="006A486E"/>
    <w:rsid w:val="006A4D21"/>
    <w:rsid w:val="006A4DF4"/>
    <w:rsid w:val="006A5D77"/>
    <w:rsid w:val="006A68A8"/>
    <w:rsid w:val="006B47FF"/>
    <w:rsid w:val="006B4E66"/>
    <w:rsid w:val="006B5560"/>
    <w:rsid w:val="006B5B25"/>
    <w:rsid w:val="006C42A3"/>
    <w:rsid w:val="006C449F"/>
    <w:rsid w:val="006C57B8"/>
    <w:rsid w:val="006D1B9B"/>
    <w:rsid w:val="006D1DAE"/>
    <w:rsid w:val="006D3073"/>
    <w:rsid w:val="006D43CE"/>
    <w:rsid w:val="006D48C3"/>
    <w:rsid w:val="006D54BC"/>
    <w:rsid w:val="006D7D61"/>
    <w:rsid w:val="006D7F94"/>
    <w:rsid w:val="006E0E00"/>
    <w:rsid w:val="006E1F9E"/>
    <w:rsid w:val="006E224B"/>
    <w:rsid w:val="006F078D"/>
    <w:rsid w:val="006F2297"/>
    <w:rsid w:val="006F3B1E"/>
    <w:rsid w:val="006F405B"/>
    <w:rsid w:val="006F4E3D"/>
    <w:rsid w:val="006F5376"/>
    <w:rsid w:val="006F75D9"/>
    <w:rsid w:val="006F7859"/>
    <w:rsid w:val="006F7B63"/>
    <w:rsid w:val="00701B35"/>
    <w:rsid w:val="00701F9E"/>
    <w:rsid w:val="00702D79"/>
    <w:rsid w:val="00703A2A"/>
    <w:rsid w:val="00703DBE"/>
    <w:rsid w:val="0070452C"/>
    <w:rsid w:val="0070549E"/>
    <w:rsid w:val="00705DBD"/>
    <w:rsid w:val="00711609"/>
    <w:rsid w:val="00712F22"/>
    <w:rsid w:val="00714737"/>
    <w:rsid w:val="00714DC2"/>
    <w:rsid w:val="00714E6E"/>
    <w:rsid w:val="007156FE"/>
    <w:rsid w:val="007218DF"/>
    <w:rsid w:val="00721CD5"/>
    <w:rsid w:val="00727022"/>
    <w:rsid w:val="00727D96"/>
    <w:rsid w:val="007310B1"/>
    <w:rsid w:val="0073130B"/>
    <w:rsid w:val="00731423"/>
    <w:rsid w:val="00731FAB"/>
    <w:rsid w:val="00733ECE"/>
    <w:rsid w:val="00735840"/>
    <w:rsid w:val="00735DEA"/>
    <w:rsid w:val="00742C0F"/>
    <w:rsid w:val="00742DDC"/>
    <w:rsid w:val="00742E6D"/>
    <w:rsid w:val="007439A0"/>
    <w:rsid w:val="007448AE"/>
    <w:rsid w:val="00744C32"/>
    <w:rsid w:val="00745561"/>
    <w:rsid w:val="007456D9"/>
    <w:rsid w:val="007472FC"/>
    <w:rsid w:val="00750B60"/>
    <w:rsid w:val="007563CC"/>
    <w:rsid w:val="00761781"/>
    <w:rsid w:val="00763860"/>
    <w:rsid w:val="00764016"/>
    <w:rsid w:val="0076520F"/>
    <w:rsid w:val="00765839"/>
    <w:rsid w:val="007678E3"/>
    <w:rsid w:val="00770FFE"/>
    <w:rsid w:val="00771D89"/>
    <w:rsid w:val="00773769"/>
    <w:rsid w:val="007745BB"/>
    <w:rsid w:val="0077499D"/>
    <w:rsid w:val="00775E2B"/>
    <w:rsid w:val="0077659E"/>
    <w:rsid w:val="00776CD2"/>
    <w:rsid w:val="00780703"/>
    <w:rsid w:val="0078409C"/>
    <w:rsid w:val="007862B1"/>
    <w:rsid w:val="0078635F"/>
    <w:rsid w:val="00790D76"/>
    <w:rsid w:val="00793EBD"/>
    <w:rsid w:val="00796FDB"/>
    <w:rsid w:val="007A03A9"/>
    <w:rsid w:val="007A1315"/>
    <w:rsid w:val="007A1D51"/>
    <w:rsid w:val="007A25FC"/>
    <w:rsid w:val="007A3718"/>
    <w:rsid w:val="007B076B"/>
    <w:rsid w:val="007B1E33"/>
    <w:rsid w:val="007B4FA2"/>
    <w:rsid w:val="007B5301"/>
    <w:rsid w:val="007B6A15"/>
    <w:rsid w:val="007B6F3B"/>
    <w:rsid w:val="007C23F9"/>
    <w:rsid w:val="007C2444"/>
    <w:rsid w:val="007C3D6D"/>
    <w:rsid w:val="007C432E"/>
    <w:rsid w:val="007C4E96"/>
    <w:rsid w:val="007C7448"/>
    <w:rsid w:val="007D249B"/>
    <w:rsid w:val="007D33EC"/>
    <w:rsid w:val="007D4636"/>
    <w:rsid w:val="007D6172"/>
    <w:rsid w:val="007D6881"/>
    <w:rsid w:val="007D7459"/>
    <w:rsid w:val="007D79C4"/>
    <w:rsid w:val="007E1F01"/>
    <w:rsid w:val="007E1F9A"/>
    <w:rsid w:val="007E53B1"/>
    <w:rsid w:val="007E7D39"/>
    <w:rsid w:val="007F36A4"/>
    <w:rsid w:val="007F3799"/>
    <w:rsid w:val="007F40E6"/>
    <w:rsid w:val="007F54C5"/>
    <w:rsid w:val="007F57A4"/>
    <w:rsid w:val="007F62AA"/>
    <w:rsid w:val="007F68D0"/>
    <w:rsid w:val="007F6BC7"/>
    <w:rsid w:val="007F764A"/>
    <w:rsid w:val="00801125"/>
    <w:rsid w:val="008013B6"/>
    <w:rsid w:val="00802ACD"/>
    <w:rsid w:val="0080331E"/>
    <w:rsid w:val="008038B4"/>
    <w:rsid w:val="00804286"/>
    <w:rsid w:val="00810725"/>
    <w:rsid w:val="00811019"/>
    <w:rsid w:val="008122AA"/>
    <w:rsid w:val="0081280A"/>
    <w:rsid w:val="00814064"/>
    <w:rsid w:val="0081679E"/>
    <w:rsid w:val="008167BF"/>
    <w:rsid w:val="00820538"/>
    <w:rsid w:val="008212CB"/>
    <w:rsid w:val="0082157A"/>
    <w:rsid w:val="0082369A"/>
    <w:rsid w:val="008237A6"/>
    <w:rsid w:val="0082626E"/>
    <w:rsid w:val="008264D6"/>
    <w:rsid w:val="00826A0A"/>
    <w:rsid w:val="008277C4"/>
    <w:rsid w:val="008342A3"/>
    <w:rsid w:val="00834666"/>
    <w:rsid w:val="0083555C"/>
    <w:rsid w:val="00835854"/>
    <w:rsid w:val="00835C28"/>
    <w:rsid w:val="00837A8A"/>
    <w:rsid w:val="00840F3D"/>
    <w:rsid w:val="0084113A"/>
    <w:rsid w:val="008417A0"/>
    <w:rsid w:val="00842743"/>
    <w:rsid w:val="008431CB"/>
    <w:rsid w:val="0084363D"/>
    <w:rsid w:val="008440D7"/>
    <w:rsid w:val="00844667"/>
    <w:rsid w:val="008459FD"/>
    <w:rsid w:val="00847BB0"/>
    <w:rsid w:val="00850745"/>
    <w:rsid w:val="0085455A"/>
    <w:rsid w:val="0085529C"/>
    <w:rsid w:val="00855449"/>
    <w:rsid w:val="00855A01"/>
    <w:rsid w:val="00855DA7"/>
    <w:rsid w:val="00860091"/>
    <w:rsid w:val="008606B3"/>
    <w:rsid w:val="00862C4B"/>
    <w:rsid w:val="008644E8"/>
    <w:rsid w:val="00864FDB"/>
    <w:rsid w:val="00866458"/>
    <w:rsid w:val="00866AE5"/>
    <w:rsid w:val="00867831"/>
    <w:rsid w:val="00870E74"/>
    <w:rsid w:val="00870F9A"/>
    <w:rsid w:val="0087182D"/>
    <w:rsid w:val="00871A3F"/>
    <w:rsid w:val="008723AB"/>
    <w:rsid w:val="008778C9"/>
    <w:rsid w:val="008816B6"/>
    <w:rsid w:val="00881FDB"/>
    <w:rsid w:val="00882E56"/>
    <w:rsid w:val="008845B6"/>
    <w:rsid w:val="008852FB"/>
    <w:rsid w:val="00886314"/>
    <w:rsid w:val="00886553"/>
    <w:rsid w:val="00886D57"/>
    <w:rsid w:val="00887A2A"/>
    <w:rsid w:val="008916A6"/>
    <w:rsid w:val="0089194A"/>
    <w:rsid w:val="00894115"/>
    <w:rsid w:val="00895BC8"/>
    <w:rsid w:val="00897D6B"/>
    <w:rsid w:val="008A26F5"/>
    <w:rsid w:val="008A2896"/>
    <w:rsid w:val="008A5A75"/>
    <w:rsid w:val="008A7BAF"/>
    <w:rsid w:val="008B021F"/>
    <w:rsid w:val="008B0747"/>
    <w:rsid w:val="008B2345"/>
    <w:rsid w:val="008B2CDD"/>
    <w:rsid w:val="008B3AA8"/>
    <w:rsid w:val="008B6FA1"/>
    <w:rsid w:val="008B7999"/>
    <w:rsid w:val="008C2045"/>
    <w:rsid w:val="008C32AE"/>
    <w:rsid w:val="008C4A35"/>
    <w:rsid w:val="008C7073"/>
    <w:rsid w:val="008D08D4"/>
    <w:rsid w:val="008D1C5C"/>
    <w:rsid w:val="008D6DBF"/>
    <w:rsid w:val="008E0232"/>
    <w:rsid w:val="008E1D4D"/>
    <w:rsid w:val="008E4A86"/>
    <w:rsid w:val="008E627D"/>
    <w:rsid w:val="008E6D53"/>
    <w:rsid w:val="008E71DB"/>
    <w:rsid w:val="008E7D94"/>
    <w:rsid w:val="008F010A"/>
    <w:rsid w:val="008F5E42"/>
    <w:rsid w:val="008F684D"/>
    <w:rsid w:val="008F7540"/>
    <w:rsid w:val="00903EB5"/>
    <w:rsid w:val="00910846"/>
    <w:rsid w:val="00910CAB"/>
    <w:rsid w:val="00910D7E"/>
    <w:rsid w:val="00912092"/>
    <w:rsid w:val="009125E6"/>
    <w:rsid w:val="00912995"/>
    <w:rsid w:val="00914345"/>
    <w:rsid w:val="00914503"/>
    <w:rsid w:val="00914720"/>
    <w:rsid w:val="00914F6D"/>
    <w:rsid w:val="00916E55"/>
    <w:rsid w:val="0092074A"/>
    <w:rsid w:val="0092105F"/>
    <w:rsid w:val="00921A26"/>
    <w:rsid w:val="0092301B"/>
    <w:rsid w:val="0092588A"/>
    <w:rsid w:val="00927A38"/>
    <w:rsid w:val="00930B6C"/>
    <w:rsid w:val="00935002"/>
    <w:rsid w:val="0093558F"/>
    <w:rsid w:val="009377C5"/>
    <w:rsid w:val="00940622"/>
    <w:rsid w:val="009406BC"/>
    <w:rsid w:val="00943505"/>
    <w:rsid w:val="00943929"/>
    <w:rsid w:val="00946D49"/>
    <w:rsid w:val="0095099F"/>
    <w:rsid w:val="00952C7A"/>
    <w:rsid w:val="00953365"/>
    <w:rsid w:val="00954C4A"/>
    <w:rsid w:val="009557D4"/>
    <w:rsid w:val="00964DED"/>
    <w:rsid w:val="009657DA"/>
    <w:rsid w:val="00965E37"/>
    <w:rsid w:val="00967EEC"/>
    <w:rsid w:val="0097091F"/>
    <w:rsid w:val="0097093F"/>
    <w:rsid w:val="00971A84"/>
    <w:rsid w:val="00973CD9"/>
    <w:rsid w:val="009767E8"/>
    <w:rsid w:val="00981E3A"/>
    <w:rsid w:val="00983D86"/>
    <w:rsid w:val="0098433C"/>
    <w:rsid w:val="00984DF4"/>
    <w:rsid w:val="009859B5"/>
    <w:rsid w:val="00994558"/>
    <w:rsid w:val="009968DB"/>
    <w:rsid w:val="009970FD"/>
    <w:rsid w:val="0099781B"/>
    <w:rsid w:val="009A2ED7"/>
    <w:rsid w:val="009A4270"/>
    <w:rsid w:val="009A4DA0"/>
    <w:rsid w:val="009A58F8"/>
    <w:rsid w:val="009A5C7E"/>
    <w:rsid w:val="009B13FB"/>
    <w:rsid w:val="009B3C74"/>
    <w:rsid w:val="009B40D2"/>
    <w:rsid w:val="009B4C31"/>
    <w:rsid w:val="009C1F19"/>
    <w:rsid w:val="009C223D"/>
    <w:rsid w:val="009C24DE"/>
    <w:rsid w:val="009C3106"/>
    <w:rsid w:val="009C33BC"/>
    <w:rsid w:val="009C3C86"/>
    <w:rsid w:val="009C5F43"/>
    <w:rsid w:val="009C6343"/>
    <w:rsid w:val="009C6415"/>
    <w:rsid w:val="009D2237"/>
    <w:rsid w:val="009D27AB"/>
    <w:rsid w:val="009D32E7"/>
    <w:rsid w:val="009D63DD"/>
    <w:rsid w:val="009D6C33"/>
    <w:rsid w:val="009D7223"/>
    <w:rsid w:val="009D7227"/>
    <w:rsid w:val="009E03BF"/>
    <w:rsid w:val="009E31D8"/>
    <w:rsid w:val="009E3A29"/>
    <w:rsid w:val="009E467E"/>
    <w:rsid w:val="009E5A41"/>
    <w:rsid w:val="009F2048"/>
    <w:rsid w:val="009F2EFF"/>
    <w:rsid w:val="009F5D40"/>
    <w:rsid w:val="009F6EEC"/>
    <w:rsid w:val="009F7024"/>
    <w:rsid w:val="009F743E"/>
    <w:rsid w:val="009F76EB"/>
    <w:rsid w:val="00A0023E"/>
    <w:rsid w:val="00A015EC"/>
    <w:rsid w:val="00A0447F"/>
    <w:rsid w:val="00A05255"/>
    <w:rsid w:val="00A0688E"/>
    <w:rsid w:val="00A10C86"/>
    <w:rsid w:val="00A10F49"/>
    <w:rsid w:val="00A143D4"/>
    <w:rsid w:val="00A144BE"/>
    <w:rsid w:val="00A14EF3"/>
    <w:rsid w:val="00A16A49"/>
    <w:rsid w:val="00A16CD4"/>
    <w:rsid w:val="00A21960"/>
    <w:rsid w:val="00A21EB1"/>
    <w:rsid w:val="00A228BB"/>
    <w:rsid w:val="00A23674"/>
    <w:rsid w:val="00A23B2D"/>
    <w:rsid w:val="00A24D81"/>
    <w:rsid w:val="00A26E2C"/>
    <w:rsid w:val="00A2725D"/>
    <w:rsid w:val="00A305AC"/>
    <w:rsid w:val="00A31601"/>
    <w:rsid w:val="00A323FC"/>
    <w:rsid w:val="00A33B4F"/>
    <w:rsid w:val="00A359EF"/>
    <w:rsid w:val="00A415B1"/>
    <w:rsid w:val="00A416FC"/>
    <w:rsid w:val="00A42B9B"/>
    <w:rsid w:val="00A47A06"/>
    <w:rsid w:val="00A514BF"/>
    <w:rsid w:val="00A51DD3"/>
    <w:rsid w:val="00A5275D"/>
    <w:rsid w:val="00A5277F"/>
    <w:rsid w:val="00A52B5F"/>
    <w:rsid w:val="00A540D9"/>
    <w:rsid w:val="00A553EF"/>
    <w:rsid w:val="00A60596"/>
    <w:rsid w:val="00A60758"/>
    <w:rsid w:val="00A661DF"/>
    <w:rsid w:val="00A66988"/>
    <w:rsid w:val="00A67803"/>
    <w:rsid w:val="00A70F2A"/>
    <w:rsid w:val="00A71A45"/>
    <w:rsid w:val="00A732AC"/>
    <w:rsid w:val="00A739D4"/>
    <w:rsid w:val="00A77C54"/>
    <w:rsid w:val="00A8230B"/>
    <w:rsid w:val="00A82BCA"/>
    <w:rsid w:val="00A86FCD"/>
    <w:rsid w:val="00A87089"/>
    <w:rsid w:val="00A91D0A"/>
    <w:rsid w:val="00A924A8"/>
    <w:rsid w:val="00A93086"/>
    <w:rsid w:val="00A9389F"/>
    <w:rsid w:val="00AA2542"/>
    <w:rsid w:val="00AA6C63"/>
    <w:rsid w:val="00AB074C"/>
    <w:rsid w:val="00AB1364"/>
    <w:rsid w:val="00AB2FB7"/>
    <w:rsid w:val="00AB3FBE"/>
    <w:rsid w:val="00AB5494"/>
    <w:rsid w:val="00AB5878"/>
    <w:rsid w:val="00AB5B8B"/>
    <w:rsid w:val="00AC258D"/>
    <w:rsid w:val="00AC3E3A"/>
    <w:rsid w:val="00AC5F4A"/>
    <w:rsid w:val="00AD0BEB"/>
    <w:rsid w:val="00AD15FA"/>
    <w:rsid w:val="00AD1EDE"/>
    <w:rsid w:val="00AD21B0"/>
    <w:rsid w:val="00AD2DD1"/>
    <w:rsid w:val="00AD583A"/>
    <w:rsid w:val="00AD6402"/>
    <w:rsid w:val="00AD6CDB"/>
    <w:rsid w:val="00AD7750"/>
    <w:rsid w:val="00AD7EB1"/>
    <w:rsid w:val="00AE0045"/>
    <w:rsid w:val="00AE0AFB"/>
    <w:rsid w:val="00AE12AB"/>
    <w:rsid w:val="00AE3EBC"/>
    <w:rsid w:val="00AE57CE"/>
    <w:rsid w:val="00AE592F"/>
    <w:rsid w:val="00AE5A3C"/>
    <w:rsid w:val="00AE5C56"/>
    <w:rsid w:val="00AE7712"/>
    <w:rsid w:val="00AF2F91"/>
    <w:rsid w:val="00AF39C7"/>
    <w:rsid w:val="00AF7663"/>
    <w:rsid w:val="00AF7CF6"/>
    <w:rsid w:val="00B00B6B"/>
    <w:rsid w:val="00B02B51"/>
    <w:rsid w:val="00B04D82"/>
    <w:rsid w:val="00B07570"/>
    <w:rsid w:val="00B10FDD"/>
    <w:rsid w:val="00B11631"/>
    <w:rsid w:val="00B160FB"/>
    <w:rsid w:val="00B166B4"/>
    <w:rsid w:val="00B17628"/>
    <w:rsid w:val="00B208DA"/>
    <w:rsid w:val="00B22CB2"/>
    <w:rsid w:val="00B23527"/>
    <w:rsid w:val="00B236CE"/>
    <w:rsid w:val="00B2418F"/>
    <w:rsid w:val="00B24F0C"/>
    <w:rsid w:val="00B25B42"/>
    <w:rsid w:val="00B25FB0"/>
    <w:rsid w:val="00B26573"/>
    <w:rsid w:val="00B31FA9"/>
    <w:rsid w:val="00B33400"/>
    <w:rsid w:val="00B336FF"/>
    <w:rsid w:val="00B33772"/>
    <w:rsid w:val="00B3387B"/>
    <w:rsid w:val="00B33C10"/>
    <w:rsid w:val="00B34955"/>
    <w:rsid w:val="00B35836"/>
    <w:rsid w:val="00B3592F"/>
    <w:rsid w:val="00B40375"/>
    <w:rsid w:val="00B40AE4"/>
    <w:rsid w:val="00B42205"/>
    <w:rsid w:val="00B4246F"/>
    <w:rsid w:val="00B4255A"/>
    <w:rsid w:val="00B4497A"/>
    <w:rsid w:val="00B46478"/>
    <w:rsid w:val="00B46DC6"/>
    <w:rsid w:val="00B47CBB"/>
    <w:rsid w:val="00B47F45"/>
    <w:rsid w:val="00B501A8"/>
    <w:rsid w:val="00B51A0F"/>
    <w:rsid w:val="00B56800"/>
    <w:rsid w:val="00B60302"/>
    <w:rsid w:val="00B62E34"/>
    <w:rsid w:val="00B63617"/>
    <w:rsid w:val="00B67E71"/>
    <w:rsid w:val="00B751C3"/>
    <w:rsid w:val="00B760CA"/>
    <w:rsid w:val="00B76F26"/>
    <w:rsid w:val="00B805CA"/>
    <w:rsid w:val="00B80998"/>
    <w:rsid w:val="00B80AB0"/>
    <w:rsid w:val="00B84278"/>
    <w:rsid w:val="00B842F5"/>
    <w:rsid w:val="00B904C9"/>
    <w:rsid w:val="00B906AD"/>
    <w:rsid w:val="00B918FD"/>
    <w:rsid w:val="00B91F57"/>
    <w:rsid w:val="00B94F4F"/>
    <w:rsid w:val="00B95F9D"/>
    <w:rsid w:val="00B967F9"/>
    <w:rsid w:val="00B97C94"/>
    <w:rsid w:val="00BA0535"/>
    <w:rsid w:val="00BA165F"/>
    <w:rsid w:val="00BA1955"/>
    <w:rsid w:val="00BA350E"/>
    <w:rsid w:val="00BA4421"/>
    <w:rsid w:val="00BA7023"/>
    <w:rsid w:val="00BB1D72"/>
    <w:rsid w:val="00BB40D2"/>
    <w:rsid w:val="00BB4315"/>
    <w:rsid w:val="00BB4939"/>
    <w:rsid w:val="00BB77EE"/>
    <w:rsid w:val="00BC2681"/>
    <w:rsid w:val="00BC36D8"/>
    <w:rsid w:val="00BC3B49"/>
    <w:rsid w:val="00BC4597"/>
    <w:rsid w:val="00BC5169"/>
    <w:rsid w:val="00BC58D4"/>
    <w:rsid w:val="00BC5998"/>
    <w:rsid w:val="00BC7B94"/>
    <w:rsid w:val="00BD020C"/>
    <w:rsid w:val="00BD3D32"/>
    <w:rsid w:val="00BD6749"/>
    <w:rsid w:val="00BE0BC3"/>
    <w:rsid w:val="00BE1CC2"/>
    <w:rsid w:val="00BE3156"/>
    <w:rsid w:val="00BE33EC"/>
    <w:rsid w:val="00BE3709"/>
    <w:rsid w:val="00BE4FE2"/>
    <w:rsid w:val="00BF145E"/>
    <w:rsid w:val="00BF4F2D"/>
    <w:rsid w:val="00BF63CF"/>
    <w:rsid w:val="00BF6EA0"/>
    <w:rsid w:val="00C00808"/>
    <w:rsid w:val="00C00F1C"/>
    <w:rsid w:val="00C01DBB"/>
    <w:rsid w:val="00C01DD0"/>
    <w:rsid w:val="00C02BBD"/>
    <w:rsid w:val="00C03CA1"/>
    <w:rsid w:val="00C05E47"/>
    <w:rsid w:val="00C11765"/>
    <w:rsid w:val="00C11B3B"/>
    <w:rsid w:val="00C128D1"/>
    <w:rsid w:val="00C14EEF"/>
    <w:rsid w:val="00C16B27"/>
    <w:rsid w:val="00C179A3"/>
    <w:rsid w:val="00C2027D"/>
    <w:rsid w:val="00C23260"/>
    <w:rsid w:val="00C23AA5"/>
    <w:rsid w:val="00C24E2E"/>
    <w:rsid w:val="00C24EF1"/>
    <w:rsid w:val="00C25729"/>
    <w:rsid w:val="00C26E13"/>
    <w:rsid w:val="00C300D4"/>
    <w:rsid w:val="00C30BCF"/>
    <w:rsid w:val="00C32529"/>
    <w:rsid w:val="00C32603"/>
    <w:rsid w:val="00C34C77"/>
    <w:rsid w:val="00C34D40"/>
    <w:rsid w:val="00C36B74"/>
    <w:rsid w:val="00C408F9"/>
    <w:rsid w:val="00C4171C"/>
    <w:rsid w:val="00C43CC4"/>
    <w:rsid w:val="00C446C4"/>
    <w:rsid w:val="00C469CD"/>
    <w:rsid w:val="00C474F4"/>
    <w:rsid w:val="00C53FBF"/>
    <w:rsid w:val="00C5587A"/>
    <w:rsid w:val="00C55E4C"/>
    <w:rsid w:val="00C61C56"/>
    <w:rsid w:val="00C6461A"/>
    <w:rsid w:val="00C66846"/>
    <w:rsid w:val="00C70C41"/>
    <w:rsid w:val="00C71A28"/>
    <w:rsid w:val="00C730AD"/>
    <w:rsid w:val="00C734B6"/>
    <w:rsid w:val="00C770D3"/>
    <w:rsid w:val="00C81099"/>
    <w:rsid w:val="00C825B8"/>
    <w:rsid w:val="00C85516"/>
    <w:rsid w:val="00C874C7"/>
    <w:rsid w:val="00C91545"/>
    <w:rsid w:val="00C918A5"/>
    <w:rsid w:val="00C93065"/>
    <w:rsid w:val="00C94E73"/>
    <w:rsid w:val="00C951AF"/>
    <w:rsid w:val="00C95BA5"/>
    <w:rsid w:val="00C96FC1"/>
    <w:rsid w:val="00C97602"/>
    <w:rsid w:val="00CA1D96"/>
    <w:rsid w:val="00CA2F78"/>
    <w:rsid w:val="00CA38AF"/>
    <w:rsid w:val="00CA54E3"/>
    <w:rsid w:val="00CA6FDC"/>
    <w:rsid w:val="00CB0B3C"/>
    <w:rsid w:val="00CB2D94"/>
    <w:rsid w:val="00CC0BCA"/>
    <w:rsid w:val="00CC2A0C"/>
    <w:rsid w:val="00CC4EB7"/>
    <w:rsid w:val="00CC54ED"/>
    <w:rsid w:val="00CC56E6"/>
    <w:rsid w:val="00CC6187"/>
    <w:rsid w:val="00CD0875"/>
    <w:rsid w:val="00CD6551"/>
    <w:rsid w:val="00CD6DAE"/>
    <w:rsid w:val="00CE1278"/>
    <w:rsid w:val="00CE236C"/>
    <w:rsid w:val="00CE4FAE"/>
    <w:rsid w:val="00CF04A0"/>
    <w:rsid w:val="00CF0911"/>
    <w:rsid w:val="00CF31C6"/>
    <w:rsid w:val="00CF4241"/>
    <w:rsid w:val="00CF7ED9"/>
    <w:rsid w:val="00D003B8"/>
    <w:rsid w:val="00D00E4D"/>
    <w:rsid w:val="00D02290"/>
    <w:rsid w:val="00D0491B"/>
    <w:rsid w:val="00D04EF5"/>
    <w:rsid w:val="00D04FD4"/>
    <w:rsid w:val="00D10D21"/>
    <w:rsid w:val="00D1503A"/>
    <w:rsid w:val="00D150A6"/>
    <w:rsid w:val="00D1555D"/>
    <w:rsid w:val="00D16EE5"/>
    <w:rsid w:val="00D172B1"/>
    <w:rsid w:val="00D21A4C"/>
    <w:rsid w:val="00D220F4"/>
    <w:rsid w:val="00D25650"/>
    <w:rsid w:val="00D30C98"/>
    <w:rsid w:val="00D32BC1"/>
    <w:rsid w:val="00D36A5D"/>
    <w:rsid w:val="00D376D6"/>
    <w:rsid w:val="00D4301A"/>
    <w:rsid w:val="00D43598"/>
    <w:rsid w:val="00D43F1B"/>
    <w:rsid w:val="00D44134"/>
    <w:rsid w:val="00D446F5"/>
    <w:rsid w:val="00D473B0"/>
    <w:rsid w:val="00D47EC3"/>
    <w:rsid w:val="00D51B8C"/>
    <w:rsid w:val="00D51F7E"/>
    <w:rsid w:val="00D5284C"/>
    <w:rsid w:val="00D52CD2"/>
    <w:rsid w:val="00D54550"/>
    <w:rsid w:val="00D55F58"/>
    <w:rsid w:val="00D561DD"/>
    <w:rsid w:val="00D5643D"/>
    <w:rsid w:val="00D60BFF"/>
    <w:rsid w:val="00D61EAD"/>
    <w:rsid w:val="00D66F2C"/>
    <w:rsid w:val="00D67723"/>
    <w:rsid w:val="00D71D88"/>
    <w:rsid w:val="00D72E0F"/>
    <w:rsid w:val="00D74D7A"/>
    <w:rsid w:val="00D75AF6"/>
    <w:rsid w:val="00D75CFF"/>
    <w:rsid w:val="00D77645"/>
    <w:rsid w:val="00D776A2"/>
    <w:rsid w:val="00D77987"/>
    <w:rsid w:val="00D77B7B"/>
    <w:rsid w:val="00D81270"/>
    <w:rsid w:val="00D823D6"/>
    <w:rsid w:val="00D85C28"/>
    <w:rsid w:val="00D905CE"/>
    <w:rsid w:val="00D91114"/>
    <w:rsid w:val="00D92325"/>
    <w:rsid w:val="00D954C1"/>
    <w:rsid w:val="00D972DE"/>
    <w:rsid w:val="00D9795D"/>
    <w:rsid w:val="00DA0933"/>
    <w:rsid w:val="00DA1C92"/>
    <w:rsid w:val="00DA406E"/>
    <w:rsid w:val="00DA41E6"/>
    <w:rsid w:val="00DA4F27"/>
    <w:rsid w:val="00DA542D"/>
    <w:rsid w:val="00DA6F0C"/>
    <w:rsid w:val="00DB1372"/>
    <w:rsid w:val="00DB15F4"/>
    <w:rsid w:val="00DB1B62"/>
    <w:rsid w:val="00DB1E06"/>
    <w:rsid w:val="00DB3929"/>
    <w:rsid w:val="00DB3C8D"/>
    <w:rsid w:val="00DB43CE"/>
    <w:rsid w:val="00DB7533"/>
    <w:rsid w:val="00DB77C9"/>
    <w:rsid w:val="00DC44FC"/>
    <w:rsid w:val="00DC6BFD"/>
    <w:rsid w:val="00DC6DCF"/>
    <w:rsid w:val="00DD1436"/>
    <w:rsid w:val="00DD1FDC"/>
    <w:rsid w:val="00DD29BF"/>
    <w:rsid w:val="00DD2E70"/>
    <w:rsid w:val="00DD32D1"/>
    <w:rsid w:val="00DD62C9"/>
    <w:rsid w:val="00DD6BA5"/>
    <w:rsid w:val="00DE0A93"/>
    <w:rsid w:val="00DE56E0"/>
    <w:rsid w:val="00DE7CA7"/>
    <w:rsid w:val="00DF08FB"/>
    <w:rsid w:val="00DF161B"/>
    <w:rsid w:val="00DF3C6B"/>
    <w:rsid w:val="00DF477C"/>
    <w:rsid w:val="00DF48EA"/>
    <w:rsid w:val="00DF4D48"/>
    <w:rsid w:val="00DF5230"/>
    <w:rsid w:val="00DF75EC"/>
    <w:rsid w:val="00E01409"/>
    <w:rsid w:val="00E01F34"/>
    <w:rsid w:val="00E05B5B"/>
    <w:rsid w:val="00E109EE"/>
    <w:rsid w:val="00E114B0"/>
    <w:rsid w:val="00E12ED8"/>
    <w:rsid w:val="00E139E5"/>
    <w:rsid w:val="00E14EE6"/>
    <w:rsid w:val="00E229E6"/>
    <w:rsid w:val="00E24652"/>
    <w:rsid w:val="00E2487B"/>
    <w:rsid w:val="00E2621F"/>
    <w:rsid w:val="00E315B5"/>
    <w:rsid w:val="00E322DA"/>
    <w:rsid w:val="00E33A98"/>
    <w:rsid w:val="00E34329"/>
    <w:rsid w:val="00E3502B"/>
    <w:rsid w:val="00E3773A"/>
    <w:rsid w:val="00E37976"/>
    <w:rsid w:val="00E4176C"/>
    <w:rsid w:val="00E444B4"/>
    <w:rsid w:val="00E44638"/>
    <w:rsid w:val="00E5084A"/>
    <w:rsid w:val="00E509FE"/>
    <w:rsid w:val="00E52162"/>
    <w:rsid w:val="00E526F5"/>
    <w:rsid w:val="00E54701"/>
    <w:rsid w:val="00E549F4"/>
    <w:rsid w:val="00E65762"/>
    <w:rsid w:val="00E66D64"/>
    <w:rsid w:val="00E70384"/>
    <w:rsid w:val="00E70885"/>
    <w:rsid w:val="00E71088"/>
    <w:rsid w:val="00E72724"/>
    <w:rsid w:val="00E72B38"/>
    <w:rsid w:val="00E73E43"/>
    <w:rsid w:val="00E74808"/>
    <w:rsid w:val="00E74A68"/>
    <w:rsid w:val="00E76780"/>
    <w:rsid w:val="00E835F2"/>
    <w:rsid w:val="00E83D68"/>
    <w:rsid w:val="00E9107C"/>
    <w:rsid w:val="00E91A1F"/>
    <w:rsid w:val="00E929E3"/>
    <w:rsid w:val="00E95898"/>
    <w:rsid w:val="00EA134A"/>
    <w:rsid w:val="00EA249D"/>
    <w:rsid w:val="00EB17F4"/>
    <w:rsid w:val="00EB40AF"/>
    <w:rsid w:val="00EB466F"/>
    <w:rsid w:val="00EB5105"/>
    <w:rsid w:val="00EB7FCC"/>
    <w:rsid w:val="00EC0C86"/>
    <w:rsid w:val="00EC11E9"/>
    <w:rsid w:val="00EC1A91"/>
    <w:rsid w:val="00EC6E21"/>
    <w:rsid w:val="00ED1ECE"/>
    <w:rsid w:val="00ED3403"/>
    <w:rsid w:val="00ED540C"/>
    <w:rsid w:val="00ED7A38"/>
    <w:rsid w:val="00ED7DB9"/>
    <w:rsid w:val="00EE0A1D"/>
    <w:rsid w:val="00EE0FDA"/>
    <w:rsid w:val="00EE1A5E"/>
    <w:rsid w:val="00EE2E34"/>
    <w:rsid w:val="00EE65E2"/>
    <w:rsid w:val="00EF524F"/>
    <w:rsid w:val="00EF5A6B"/>
    <w:rsid w:val="00EF7C62"/>
    <w:rsid w:val="00F002A5"/>
    <w:rsid w:val="00F01431"/>
    <w:rsid w:val="00F02DD2"/>
    <w:rsid w:val="00F02E9F"/>
    <w:rsid w:val="00F04DE0"/>
    <w:rsid w:val="00F054E5"/>
    <w:rsid w:val="00F05716"/>
    <w:rsid w:val="00F06C5E"/>
    <w:rsid w:val="00F1098F"/>
    <w:rsid w:val="00F14192"/>
    <w:rsid w:val="00F141CC"/>
    <w:rsid w:val="00F1685E"/>
    <w:rsid w:val="00F176A3"/>
    <w:rsid w:val="00F21EC8"/>
    <w:rsid w:val="00F23E3A"/>
    <w:rsid w:val="00F25525"/>
    <w:rsid w:val="00F26623"/>
    <w:rsid w:val="00F303BF"/>
    <w:rsid w:val="00F3206A"/>
    <w:rsid w:val="00F33896"/>
    <w:rsid w:val="00F3423F"/>
    <w:rsid w:val="00F36C82"/>
    <w:rsid w:val="00F41036"/>
    <w:rsid w:val="00F41F66"/>
    <w:rsid w:val="00F4293B"/>
    <w:rsid w:val="00F432DA"/>
    <w:rsid w:val="00F43E81"/>
    <w:rsid w:val="00F4409F"/>
    <w:rsid w:val="00F44590"/>
    <w:rsid w:val="00F47D95"/>
    <w:rsid w:val="00F54AA3"/>
    <w:rsid w:val="00F55622"/>
    <w:rsid w:val="00F56B01"/>
    <w:rsid w:val="00F573DC"/>
    <w:rsid w:val="00F60E67"/>
    <w:rsid w:val="00F619EE"/>
    <w:rsid w:val="00F62D27"/>
    <w:rsid w:val="00F63C76"/>
    <w:rsid w:val="00F63F42"/>
    <w:rsid w:val="00F64369"/>
    <w:rsid w:val="00F64B0E"/>
    <w:rsid w:val="00F673E1"/>
    <w:rsid w:val="00F67ADE"/>
    <w:rsid w:val="00F70D3E"/>
    <w:rsid w:val="00F72DEE"/>
    <w:rsid w:val="00F733C7"/>
    <w:rsid w:val="00F73646"/>
    <w:rsid w:val="00F73D02"/>
    <w:rsid w:val="00F77F24"/>
    <w:rsid w:val="00F80D05"/>
    <w:rsid w:val="00F813B5"/>
    <w:rsid w:val="00F81469"/>
    <w:rsid w:val="00F81F93"/>
    <w:rsid w:val="00F82EB5"/>
    <w:rsid w:val="00F83FB9"/>
    <w:rsid w:val="00F8495A"/>
    <w:rsid w:val="00F87D0B"/>
    <w:rsid w:val="00F90479"/>
    <w:rsid w:val="00F90AE7"/>
    <w:rsid w:val="00F917B9"/>
    <w:rsid w:val="00F94058"/>
    <w:rsid w:val="00F97844"/>
    <w:rsid w:val="00FA17BE"/>
    <w:rsid w:val="00FA1840"/>
    <w:rsid w:val="00FA4587"/>
    <w:rsid w:val="00FA4AB1"/>
    <w:rsid w:val="00FA5203"/>
    <w:rsid w:val="00FA5B9E"/>
    <w:rsid w:val="00FA6D9F"/>
    <w:rsid w:val="00FA70D5"/>
    <w:rsid w:val="00FB026A"/>
    <w:rsid w:val="00FB2640"/>
    <w:rsid w:val="00FB2D27"/>
    <w:rsid w:val="00FB44F2"/>
    <w:rsid w:val="00FC0166"/>
    <w:rsid w:val="00FC2E30"/>
    <w:rsid w:val="00FC4BFE"/>
    <w:rsid w:val="00FC4D14"/>
    <w:rsid w:val="00FC5403"/>
    <w:rsid w:val="00FD03C2"/>
    <w:rsid w:val="00FD1B0C"/>
    <w:rsid w:val="00FD2090"/>
    <w:rsid w:val="00FD36EA"/>
    <w:rsid w:val="00FD3BB3"/>
    <w:rsid w:val="00FD3FF0"/>
    <w:rsid w:val="00FD456B"/>
    <w:rsid w:val="00FD4F8F"/>
    <w:rsid w:val="00FD50A7"/>
    <w:rsid w:val="00FD5A9F"/>
    <w:rsid w:val="00FD6AE9"/>
    <w:rsid w:val="00FD7794"/>
    <w:rsid w:val="00FD7861"/>
    <w:rsid w:val="00FD7A23"/>
    <w:rsid w:val="00FE4B75"/>
    <w:rsid w:val="00FE4EF9"/>
    <w:rsid w:val="00FE6BA7"/>
    <w:rsid w:val="00FE78A6"/>
    <w:rsid w:val="00FF1670"/>
    <w:rsid w:val="00FF1D9D"/>
    <w:rsid w:val="00FF21D0"/>
    <w:rsid w:val="00FF5FC8"/>
    <w:rsid w:val="00FF69F9"/>
    <w:rsid w:val="00FF70CC"/>
    <w:rsid w:val="00FF71D9"/>
    <w:rsid w:val="00FF7B8C"/>
    <w:rsid w:val="00FF7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8243"/>
  <w15:chartTrackingRefBased/>
  <w15:docId w15:val="{2E0EDEDF-F457-4E2F-ADD3-D170DBEF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1D7"/>
  </w:style>
  <w:style w:type="paragraph" w:styleId="Ttulo1">
    <w:name w:val="heading 1"/>
    <w:aliases w:val="h1,1,H1,l1,level 1 heading"/>
    <w:basedOn w:val="IFTnormal"/>
    <w:next w:val="Normal"/>
    <w:link w:val="Ttulo1Car"/>
    <w:uiPriority w:val="99"/>
    <w:qFormat/>
    <w:rsid w:val="002541D7"/>
    <w:pPr>
      <w:outlineLvl w:val="0"/>
    </w:pPr>
    <w:rPr>
      <w:b/>
      <w:lang w:val="es-ES"/>
    </w:rPr>
  </w:style>
  <w:style w:type="paragraph" w:styleId="Ttulo2">
    <w:name w:val="heading 2"/>
    <w:aliases w:val="2TitSec,KJL:1st Level,2,l2,level 2 heading"/>
    <w:basedOn w:val="Normal"/>
    <w:next w:val="Normal"/>
    <w:link w:val="Ttulo2Car"/>
    <w:uiPriority w:val="9"/>
    <w:unhideWhenUsed/>
    <w:qFormat/>
    <w:rsid w:val="002541D7"/>
    <w:pPr>
      <w:keepNext/>
      <w:spacing w:after="200" w:line="276" w:lineRule="auto"/>
      <w:jc w:val="both"/>
      <w:outlineLvl w:val="1"/>
    </w:pPr>
    <w:rPr>
      <w:rFonts w:ascii="ITC Avant Garde" w:eastAsia="Times New Roman" w:hAnsi="ITC Avant Garde" w:cs="Arial"/>
      <w:b/>
      <w:bCs/>
    </w:rPr>
  </w:style>
  <w:style w:type="paragraph" w:styleId="Ttulo3">
    <w:name w:val="heading 3"/>
    <w:aliases w:val="h3"/>
    <w:basedOn w:val="Normal"/>
    <w:next w:val="Normal"/>
    <w:link w:val="Ttulo3Car"/>
    <w:uiPriority w:val="99"/>
    <w:qFormat/>
    <w:rsid w:val="002541D7"/>
    <w:pPr>
      <w:keepNext/>
      <w:spacing w:after="0" w:line="240" w:lineRule="auto"/>
      <w:ind w:left="2630"/>
      <w:jc w:val="both"/>
      <w:outlineLvl w:val="2"/>
    </w:pPr>
    <w:rPr>
      <w:rFonts w:ascii="Arial" w:eastAsia="Times New Roman" w:hAnsi="Arial" w:cs="Times New Roman"/>
      <w:b/>
      <w:bCs/>
      <w:szCs w:val="20"/>
    </w:rPr>
  </w:style>
  <w:style w:type="paragraph" w:styleId="Ttulo4">
    <w:name w:val="heading 4"/>
    <w:basedOn w:val="Normal"/>
    <w:next w:val="Normal"/>
    <w:link w:val="Ttulo4Car"/>
    <w:uiPriority w:val="9"/>
    <w:qFormat/>
    <w:rsid w:val="002541D7"/>
    <w:pPr>
      <w:keepNext/>
      <w:spacing w:before="240" w:after="60" w:line="240" w:lineRule="auto"/>
      <w:jc w:val="both"/>
      <w:outlineLvl w:val="3"/>
    </w:pPr>
    <w:rPr>
      <w:rFonts w:ascii="Times New Roman" w:eastAsia="Times New Roman" w:hAnsi="Times New Roman" w:cs="Times New Roman"/>
      <w:b/>
      <w:bCs/>
      <w:sz w:val="28"/>
      <w:szCs w:val="28"/>
      <w:lang w:eastAsia="es-ES"/>
    </w:rPr>
  </w:style>
  <w:style w:type="paragraph" w:styleId="Ttulo5">
    <w:name w:val="heading 5"/>
    <w:aliases w:val="Considerando,Apartado_sub"/>
    <w:basedOn w:val="Normal"/>
    <w:next w:val="Normal"/>
    <w:link w:val="Ttulo5Car"/>
    <w:rsid w:val="002541D7"/>
    <w:pPr>
      <w:keepNext/>
      <w:spacing w:after="0" w:line="240" w:lineRule="auto"/>
      <w:jc w:val="both"/>
      <w:outlineLvl w:val="4"/>
    </w:pPr>
    <w:rPr>
      <w:rFonts w:ascii="Arial" w:eastAsia="Times New Roman" w:hAnsi="Arial" w:cs="Times New Roman"/>
      <w:b/>
      <w:sz w:val="20"/>
      <w:szCs w:val="20"/>
    </w:rPr>
  </w:style>
  <w:style w:type="paragraph" w:styleId="Ttulo6">
    <w:name w:val="heading 6"/>
    <w:basedOn w:val="Normal"/>
    <w:next w:val="Normal"/>
    <w:link w:val="Ttulo6Car"/>
    <w:rsid w:val="002541D7"/>
    <w:pPr>
      <w:spacing w:before="240" w:after="60" w:line="240" w:lineRule="auto"/>
      <w:jc w:val="both"/>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rsid w:val="002541D7"/>
    <w:pPr>
      <w:spacing w:before="240" w:after="60" w:line="240" w:lineRule="auto"/>
      <w:jc w:val="both"/>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rsid w:val="002541D7"/>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aliases w:val="Citaciones"/>
    <w:basedOn w:val="Normal"/>
    <w:next w:val="Normal"/>
    <w:link w:val="Ttulo9Car"/>
    <w:rsid w:val="002541D7"/>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1 Car,H1 Car,l1 Car,level 1 heading Car"/>
    <w:basedOn w:val="Fuentedeprrafopredeter"/>
    <w:link w:val="Ttulo1"/>
    <w:uiPriority w:val="9"/>
    <w:rsid w:val="002541D7"/>
    <w:rPr>
      <w:rFonts w:ascii="ITC Avant Garde" w:eastAsia="Calibri" w:hAnsi="ITC Avant Garde" w:cs="Arial"/>
      <w:b/>
      <w:color w:val="000000"/>
      <w:lang w:val="es-ES" w:eastAsia="es-ES"/>
    </w:rPr>
  </w:style>
  <w:style w:type="character" w:customStyle="1" w:styleId="Ttulo2Car">
    <w:name w:val="Título 2 Car"/>
    <w:aliases w:val="2TitSec Car,KJL:1st Level Car,2 Car,l2 Car,level 2 heading Car"/>
    <w:basedOn w:val="Fuentedeprrafopredeter"/>
    <w:link w:val="Ttulo2"/>
    <w:uiPriority w:val="9"/>
    <w:rsid w:val="002541D7"/>
    <w:rPr>
      <w:rFonts w:ascii="ITC Avant Garde" w:eastAsia="Times New Roman" w:hAnsi="ITC Avant Garde" w:cs="Arial"/>
      <w:b/>
      <w:bCs/>
    </w:rPr>
  </w:style>
  <w:style w:type="character" w:customStyle="1" w:styleId="Ttulo3Car">
    <w:name w:val="Título 3 Car"/>
    <w:aliases w:val="h3 Car"/>
    <w:basedOn w:val="Fuentedeprrafopredeter"/>
    <w:link w:val="Ttulo3"/>
    <w:rsid w:val="002541D7"/>
    <w:rPr>
      <w:rFonts w:ascii="Arial" w:eastAsia="Times New Roman" w:hAnsi="Arial" w:cs="Times New Roman"/>
      <w:b/>
      <w:bCs/>
      <w:szCs w:val="20"/>
    </w:rPr>
  </w:style>
  <w:style w:type="character" w:customStyle="1" w:styleId="Ttulo4Car">
    <w:name w:val="Título 4 Car"/>
    <w:basedOn w:val="Fuentedeprrafopredeter"/>
    <w:link w:val="Ttulo4"/>
    <w:uiPriority w:val="9"/>
    <w:rsid w:val="002541D7"/>
    <w:rPr>
      <w:rFonts w:ascii="Times New Roman" w:eastAsia="Times New Roman" w:hAnsi="Times New Roman" w:cs="Times New Roman"/>
      <w:b/>
      <w:bCs/>
      <w:sz w:val="28"/>
      <w:szCs w:val="28"/>
      <w:lang w:eastAsia="es-ES"/>
    </w:rPr>
  </w:style>
  <w:style w:type="character" w:customStyle="1" w:styleId="Ttulo5Car">
    <w:name w:val="Título 5 Car"/>
    <w:aliases w:val="Considerando Car,Apartado_sub Car"/>
    <w:basedOn w:val="Fuentedeprrafopredeter"/>
    <w:link w:val="Ttulo5"/>
    <w:rsid w:val="002541D7"/>
    <w:rPr>
      <w:rFonts w:ascii="Arial" w:eastAsia="Times New Roman" w:hAnsi="Arial" w:cs="Times New Roman"/>
      <w:b/>
      <w:sz w:val="20"/>
      <w:szCs w:val="20"/>
    </w:rPr>
  </w:style>
  <w:style w:type="character" w:customStyle="1" w:styleId="Ttulo6Car">
    <w:name w:val="Título 6 Car"/>
    <w:basedOn w:val="Fuentedeprrafopredeter"/>
    <w:link w:val="Ttulo6"/>
    <w:rsid w:val="002541D7"/>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2541D7"/>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2541D7"/>
    <w:rPr>
      <w:rFonts w:ascii="Arial" w:eastAsia="Times New Roman" w:hAnsi="Arial" w:cs="Times New Roman"/>
      <w:b/>
      <w:szCs w:val="20"/>
      <w:lang w:eastAsia="es-ES"/>
    </w:rPr>
  </w:style>
  <w:style w:type="character" w:customStyle="1" w:styleId="Ttulo9Car">
    <w:name w:val="Título 9 Car"/>
    <w:aliases w:val="Citaciones Car"/>
    <w:basedOn w:val="Fuentedeprrafopredeter"/>
    <w:link w:val="Ttulo9"/>
    <w:rsid w:val="002541D7"/>
    <w:rPr>
      <w:rFonts w:ascii="Arial" w:eastAsia="Times New Roman" w:hAnsi="Arial" w:cs="Arial"/>
      <w:lang w:eastAsia="es-ES"/>
    </w:rPr>
  </w:style>
  <w:style w:type="numbering" w:customStyle="1" w:styleId="Sinlista1">
    <w:name w:val="Sin lista1"/>
    <w:next w:val="Sinlista"/>
    <w:uiPriority w:val="99"/>
    <w:semiHidden/>
    <w:unhideWhenUsed/>
    <w:rsid w:val="002541D7"/>
  </w:style>
  <w:style w:type="paragraph" w:customStyle="1" w:styleId="Citaift">
    <w:name w:val="Cita ift"/>
    <w:basedOn w:val="Normal"/>
    <w:link w:val="CitaiftCar"/>
    <w:qFormat/>
    <w:rsid w:val="002541D7"/>
    <w:pPr>
      <w:adjustRightInd w:val="0"/>
      <w:spacing w:after="200" w:line="276" w:lineRule="auto"/>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2541D7"/>
    <w:rPr>
      <w:rFonts w:ascii="ITC Avant Garde" w:eastAsia="Times New Roman" w:hAnsi="ITC Avant Garde" w:cs="Arial"/>
      <w:i/>
      <w:color w:val="000000"/>
      <w:sz w:val="18"/>
      <w:szCs w:val="18"/>
      <w:lang w:eastAsia="es-ES"/>
    </w:rPr>
  </w:style>
  <w:style w:type="paragraph" w:styleId="Cita">
    <w:name w:val="Quote"/>
    <w:aliases w:val="Bullets cita"/>
    <w:basedOn w:val="Prrafodelista"/>
    <w:next w:val="Normal"/>
    <w:link w:val="CitaCar"/>
    <w:uiPriority w:val="29"/>
    <w:qFormat/>
    <w:rsid w:val="002541D7"/>
    <w:pPr>
      <w:numPr>
        <w:numId w:val="3"/>
      </w:numPr>
      <w:ind w:right="616"/>
      <w:jc w:val="both"/>
    </w:pPr>
    <w:rPr>
      <w:rFonts w:ascii="ITC Avant Garde" w:hAnsi="ITC Avant Garde"/>
      <w:i/>
      <w:sz w:val="18"/>
      <w:szCs w:val="18"/>
    </w:rPr>
  </w:style>
  <w:style w:type="character" w:customStyle="1" w:styleId="CitaCar">
    <w:name w:val="Cita Car"/>
    <w:aliases w:val="Bullets cita Car"/>
    <w:basedOn w:val="Fuentedeprrafopredeter"/>
    <w:link w:val="Cita"/>
    <w:uiPriority w:val="29"/>
    <w:rsid w:val="002541D7"/>
    <w:rPr>
      <w:rFonts w:ascii="ITC Avant Garde" w:eastAsia="Calibri" w:hAnsi="ITC Avant Garde" w:cs="Times New Roman"/>
      <w:i/>
      <w:sz w:val="18"/>
      <w:szCs w:val="18"/>
    </w:rPr>
  </w:style>
  <w:style w:type="paragraph" w:customStyle="1" w:styleId="IFTnormal">
    <w:name w:val="IFT normal"/>
    <w:basedOn w:val="Normal"/>
    <w:link w:val="IFTnormalCar"/>
    <w:qFormat/>
    <w:rsid w:val="002541D7"/>
    <w:pPr>
      <w:spacing w:after="200" w:line="276" w:lineRule="auto"/>
      <w:jc w:val="both"/>
    </w:pPr>
    <w:rPr>
      <w:rFonts w:ascii="ITC Avant Garde" w:eastAsia="Calibri" w:hAnsi="ITC Avant Garde" w:cs="Arial"/>
      <w:color w:val="000000"/>
      <w:lang w:val="es-ES_tradnl" w:eastAsia="es-ES"/>
    </w:rPr>
  </w:style>
  <w:style w:type="paragraph" w:styleId="Listaconvietas">
    <w:name w:val="List Bullet"/>
    <w:aliases w:val="Bullets texto"/>
    <w:basedOn w:val="Normal"/>
    <w:autoRedefine/>
    <w:uiPriority w:val="99"/>
    <w:unhideWhenUsed/>
    <w:qFormat/>
    <w:rsid w:val="00C469CD"/>
    <w:pPr>
      <w:numPr>
        <w:numId w:val="42"/>
      </w:numPr>
      <w:spacing w:after="240" w:line="320" w:lineRule="atLeast"/>
      <w:jc w:val="both"/>
    </w:pPr>
    <w:rPr>
      <w:rFonts w:ascii="ITC Avant Garde" w:eastAsia="Calibri" w:hAnsi="ITC Avant Garde" w:cs="Times New Roman"/>
      <w:b/>
      <w:iCs/>
      <w:lang w:val="es-ES_tradnl"/>
    </w:rPr>
  </w:style>
  <w:style w:type="paragraph" w:styleId="Prrafodelista">
    <w:name w:val="List Paragraph"/>
    <w:aliases w:val="prueba1"/>
    <w:basedOn w:val="Normal"/>
    <w:link w:val="PrrafodelistaCar"/>
    <w:uiPriority w:val="34"/>
    <w:qFormat/>
    <w:rsid w:val="002541D7"/>
    <w:pPr>
      <w:spacing w:after="200" w:line="276" w:lineRule="auto"/>
      <w:ind w:left="720"/>
      <w:contextualSpacing/>
    </w:pPr>
    <w:rPr>
      <w:rFonts w:ascii="Calibri" w:eastAsia="Calibri" w:hAnsi="Calibri" w:cs="Times New Roman"/>
    </w:rPr>
  </w:style>
  <w:style w:type="paragraph" w:customStyle="1" w:styleId="1TitPrin">
    <w:name w:val="1TitPrin"/>
    <w:basedOn w:val="Ttulo1"/>
    <w:link w:val="1TitPrinCar"/>
    <w:autoRedefine/>
    <w:qFormat/>
    <w:rsid w:val="00A47A06"/>
    <w:pPr>
      <w:spacing w:after="0"/>
      <w:ind w:right="-2"/>
    </w:pPr>
    <w:rPr>
      <w:lang w:val="es-ES_tradnl"/>
    </w:rPr>
  </w:style>
  <w:style w:type="character" w:customStyle="1" w:styleId="1TitPrinCar">
    <w:name w:val="1TitPrin Car"/>
    <w:link w:val="1TitPrin"/>
    <w:rsid w:val="002C60EB"/>
    <w:rPr>
      <w:rFonts w:ascii="ITC Avant Garde" w:eastAsia="Calibri" w:hAnsi="ITC Avant Garde" w:cs="Arial"/>
      <w:b/>
      <w:color w:val="000000"/>
      <w:lang w:val="es-ES_tradnl" w:eastAsia="es-ES"/>
    </w:rPr>
  </w:style>
  <w:style w:type="paragraph" w:customStyle="1" w:styleId="NumeracinIFT">
    <w:name w:val="Numeración IFT"/>
    <w:basedOn w:val="Normal"/>
    <w:link w:val="NumeracinIFTCar"/>
    <w:qFormat/>
    <w:rsid w:val="002541D7"/>
    <w:pPr>
      <w:tabs>
        <w:tab w:val="left" w:pos="1134"/>
      </w:tabs>
      <w:adjustRightInd w:val="0"/>
      <w:spacing w:after="200" w:line="276" w:lineRule="auto"/>
      <w:ind w:left="1134" w:hanging="992"/>
      <w:jc w:val="both"/>
    </w:pPr>
    <w:rPr>
      <w:rFonts w:ascii="ITC Avant Garde" w:eastAsia="Calibri" w:hAnsi="ITC Avant Garde" w:cs="Arial"/>
      <w:bCs/>
      <w:lang w:eastAsia="es-ES"/>
    </w:rPr>
  </w:style>
  <w:style w:type="character" w:customStyle="1" w:styleId="NumeracinIFTCar">
    <w:name w:val="Numeración IFT Car"/>
    <w:link w:val="NumeracinIFT"/>
    <w:rsid w:val="002541D7"/>
    <w:rPr>
      <w:rFonts w:ascii="ITC Avant Garde" w:eastAsia="Calibri" w:hAnsi="ITC Avant Garde" w:cs="Arial"/>
      <w:bCs/>
      <w:lang w:eastAsia="es-ES"/>
    </w:rPr>
  </w:style>
  <w:style w:type="paragraph" w:styleId="Encabezado">
    <w:name w:val="header"/>
    <w:basedOn w:val="Normal"/>
    <w:link w:val="EncabezadoCar"/>
    <w:unhideWhenUsed/>
    <w:rsid w:val="002541D7"/>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2541D7"/>
    <w:rPr>
      <w:rFonts w:ascii="Calibri" w:eastAsia="Calibri" w:hAnsi="Calibri" w:cs="Times New Roman"/>
    </w:rPr>
  </w:style>
  <w:style w:type="paragraph" w:styleId="Piedepgina">
    <w:name w:val="footer"/>
    <w:basedOn w:val="Normal"/>
    <w:link w:val="PiedepginaCar"/>
    <w:uiPriority w:val="99"/>
    <w:unhideWhenUsed/>
    <w:rsid w:val="002541D7"/>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2541D7"/>
    <w:rPr>
      <w:rFonts w:ascii="Calibri" w:eastAsia="Calibri" w:hAnsi="Calibri" w:cs="Times New Roman"/>
    </w:rPr>
  </w:style>
  <w:style w:type="paragraph" w:customStyle="1" w:styleId="Listamulticolor-nfasis11">
    <w:name w:val="Lista multicolor - Énfasis 11"/>
    <w:basedOn w:val="Normal"/>
    <w:link w:val="Listamulticolor-nfasis1Car"/>
    <w:uiPriority w:val="34"/>
    <w:rsid w:val="002541D7"/>
    <w:pPr>
      <w:spacing w:after="200" w:line="276" w:lineRule="auto"/>
      <w:ind w:left="720"/>
      <w:contextualSpacing/>
    </w:pPr>
    <w:rPr>
      <w:rFonts w:ascii="Calibri" w:eastAsia="Calibri" w:hAnsi="Calibri" w:cs="Times New Roman"/>
    </w:rPr>
  </w:style>
  <w:style w:type="character" w:styleId="Refdecomentario">
    <w:name w:val="annotation reference"/>
    <w:unhideWhenUsed/>
    <w:rsid w:val="002541D7"/>
    <w:rPr>
      <w:sz w:val="16"/>
      <w:szCs w:val="16"/>
    </w:rPr>
  </w:style>
  <w:style w:type="paragraph" w:styleId="Textocomentario">
    <w:name w:val="annotation text"/>
    <w:basedOn w:val="Normal"/>
    <w:link w:val="TextocomentarioCar"/>
    <w:uiPriority w:val="99"/>
    <w:unhideWhenUsed/>
    <w:rsid w:val="002541D7"/>
    <w:pPr>
      <w:spacing w:after="200"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2541D7"/>
    <w:rPr>
      <w:rFonts w:ascii="Calibri" w:eastAsia="Times New Roman" w:hAnsi="Calibri" w:cs="Times New Roman"/>
      <w:sz w:val="20"/>
      <w:szCs w:val="20"/>
      <w:lang w:eastAsia="es-MX"/>
    </w:rPr>
  </w:style>
  <w:style w:type="character" w:customStyle="1" w:styleId="Listamulticolor-nfasis1Car">
    <w:name w:val="Lista multicolor - Énfasis 1 Car"/>
    <w:link w:val="Listamulticolor-nfasis11"/>
    <w:uiPriority w:val="34"/>
    <w:rsid w:val="002541D7"/>
    <w:rPr>
      <w:rFonts w:ascii="Calibri" w:eastAsia="Calibri" w:hAnsi="Calibri" w:cs="Times New Roman"/>
    </w:rPr>
  </w:style>
  <w:style w:type="character" w:customStyle="1" w:styleId="PrrafodelistaCar">
    <w:name w:val="Párrafo de lista Car"/>
    <w:aliases w:val="prueba1 Car"/>
    <w:link w:val="Prrafodelista"/>
    <w:uiPriority w:val="34"/>
    <w:qFormat/>
    <w:rsid w:val="002541D7"/>
    <w:rPr>
      <w:rFonts w:ascii="Calibri" w:eastAsia="Calibri" w:hAnsi="Calibri" w:cs="Times New Roman"/>
    </w:rPr>
  </w:style>
  <w:style w:type="paragraph" w:styleId="Textodeglobo">
    <w:name w:val="Balloon Text"/>
    <w:basedOn w:val="Normal"/>
    <w:link w:val="TextodegloboCar"/>
    <w:uiPriority w:val="99"/>
    <w:unhideWhenUsed/>
    <w:rsid w:val="002541D7"/>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rsid w:val="002541D7"/>
    <w:rPr>
      <w:rFonts w:ascii="Segoe UI" w:eastAsia="Calibri" w:hAnsi="Segoe UI" w:cs="Segoe UI"/>
      <w:sz w:val="18"/>
      <w:szCs w:val="18"/>
    </w:rPr>
  </w:style>
  <w:style w:type="character" w:styleId="Hipervnculo">
    <w:name w:val="Hyperlink"/>
    <w:basedOn w:val="Fuentedeprrafopredeter"/>
    <w:uiPriority w:val="99"/>
    <w:unhideWhenUsed/>
    <w:rsid w:val="002541D7"/>
    <w:rPr>
      <w:color w:val="0563C1" w:themeColor="hyperlink"/>
      <w:u w:val="single"/>
    </w:rPr>
  </w:style>
  <w:style w:type="paragraph" w:styleId="NormalWeb">
    <w:name w:val="Normal (Web)"/>
    <w:basedOn w:val="Normal"/>
    <w:uiPriority w:val="99"/>
    <w:unhideWhenUsed/>
    <w:rsid w:val="002541D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2541D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de nota al pie,(NECG) Footnote Reference,o,fr,Style 3,Appel note de bas de p,Style 12,Style 124,Ref. de nota al pie 2,Style 6,Footnote Reference Superscript"/>
    <w:uiPriority w:val="99"/>
    <w:unhideWhenUsed/>
    <w:qFormat/>
    <w:rsid w:val="002541D7"/>
    <w:rPr>
      <w:vertAlign w:val="superscript"/>
    </w:rPr>
  </w:style>
  <w:style w:type="paragraph" w:customStyle="1" w:styleId="Cuadrculamediana21">
    <w:name w:val="Cuadrícula mediana 21"/>
    <w:uiPriority w:val="1"/>
    <w:rsid w:val="002541D7"/>
    <w:pPr>
      <w:spacing w:after="0" w:line="240" w:lineRule="auto"/>
    </w:pPr>
    <w:rPr>
      <w:rFonts w:ascii="Calibri" w:eastAsia="Calibri" w:hAnsi="Calibri" w:cs="Times New Roman"/>
    </w:rPr>
  </w:style>
  <w:style w:type="paragraph" w:styleId="Asuntodelcomentario">
    <w:name w:val="annotation subject"/>
    <w:basedOn w:val="Textocomentario"/>
    <w:next w:val="Textocomentario"/>
    <w:link w:val="AsuntodelcomentarioCar"/>
    <w:uiPriority w:val="99"/>
    <w:unhideWhenUsed/>
    <w:rsid w:val="002541D7"/>
    <w:rPr>
      <w:b/>
      <w:bCs/>
    </w:rPr>
  </w:style>
  <w:style w:type="character" w:customStyle="1" w:styleId="AsuntodelcomentarioCar">
    <w:name w:val="Asunto del comentario Car"/>
    <w:basedOn w:val="TextocomentarioCar"/>
    <w:link w:val="Asuntodelcomentario"/>
    <w:uiPriority w:val="99"/>
    <w:rsid w:val="002541D7"/>
    <w:rPr>
      <w:rFonts w:ascii="Calibri" w:eastAsia="Times New Roman" w:hAnsi="Calibri" w:cs="Times New Roman"/>
      <w:b/>
      <w:bCs/>
      <w:sz w:val="20"/>
      <w:szCs w:val="20"/>
      <w:lang w:eastAsia="es-MX"/>
    </w:rPr>
  </w:style>
  <w:style w:type="paragraph" w:styleId="Listaconvietas2">
    <w:name w:val="List Bullet 2"/>
    <w:basedOn w:val="Normal"/>
    <w:link w:val="Listaconvietas2Car"/>
    <w:uiPriority w:val="99"/>
    <w:unhideWhenUsed/>
    <w:qFormat/>
    <w:rsid w:val="002541D7"/>
    <w:pPr>
      <w:spacing w:after="200" w:line="276" w:lineRule="auto"/>
      <w:ind w:left="1077" w:hanging="360"/>
      <w:contextualSpacing/>
    </w:pPr>
    <w:rPr>
      <w:rFonts w:ascii="Calibri" w:eastAsia="Calibri" w:hAnsi="Calibri" w:cs="Times New Roman"/>
    </w:rPr>
  </w:style>
  <w:style w:type="character" w:styleId="CitaHTML">
    <w:name w:val="HTML Cite"/>
    <w:uiPriority w:val="99"/>
    <w:semiHidden/>
    <w:unhideWhenUsed/>
    <w:rsid w:val="002541D7"/>
    <w:rPr>
      <w:i/>
      <w:iCs/>
    </w:rPr>
  </w:style>
  <w:style w:type="paragraph" w:customStyle="1" w:styleId="Sombreadomulticolor-nfasis11">
    <w:name w:val="Sombreado multicolor - Énfasis 11"/>
    <w:hidden/>
    <w:uiPriority w:val="99"/>
    <w:semiHidden/>
    <w:rsid w:val="002541D7"/>
    <w:pPr>
      <w:spacing w:after="0" w:line="240" w:lineRule="auto"/>
    </w:pPr>
    <w:rPr>
      <w:rFonts w:ascii="Calibri" w:eastAsia="Calibri" w:hAnsi="Calibri" w:cs="Times New Roman"/>
    </w:rPr>
  </w:style>
  <w:style w:type="paragraph" w:styleId="Sangradetextonormal">
    <w:name w:val="Body Text Indent"/>
    <w:basedOn w:val="Normal"/>
    <w:link w:val="SangradetextonormalCar"/>
    <w:uiPriority w:val="99"/>
    <w:unhideWhenUsed/>
    <w:rsid w:val="002541D7"/>
    <w:pPr>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2541D7"/>
    <w:rPr>
      <w:rFonts w:ascii="Calibri" w:eastAsia="Calibri" w:hAnsi="Calibri" w:cs="Times New Roman"/>
    </w:rPr>
  </w:style>
  <w:style w:type="character" w:styleId="Nmerodepgina">
    <w:name w:val="page number"/>
    <w:rsid w:val="002541D7"/>
  </w:style>
  <w:style w:type="paragraph" w:styleId="Subttulo">
    <w:name w:val="Subtitle"/>
    <w:basedOn w:val="Normal"/>
    <w:link w:val="SubttuloCar"/>
    <w:rsid w:val="002541D7"/>
    <w:pPr>
      <w:spacing w:after="200" w:line="276" w:lineRule="auto"/>
      <w:jc w:val="both"/>
    </w:pPr>
    <w:rPr>
      <w:rFonts w:ascii="ITC Avant Garde" w:eastAsia="Calibri" w:hAnsi="ITC Avant Garde" w:cs="Times New Roman"/>
      <w:b/>
    </w:rPr>
  </w:style>
  <w:style w:type="character" w:customStyle="1" w:styleId="SubttuloCar">
    <w:name w:val="Subtítulo Car"/>
    <w:basedOn w:val="Fuentedeprrafopredeter"/>
    <w:link w:val="Subttulo"/>
    <w:rsid w:val="002541D7"/>
    <w:rPr>
      <w:rFonts w:ascii="ITC Avant Garde" w:eastAsia="Calibri" w:hAnsi="ITC Avant Garde" w:cs="Times New Roman"/>
      <w:b/>
    </w:rPr>
  </w:style>
  <w:style w:type="paragraph" w:styleId="Textosinformato">
    <w:name w:val="Plain Text"/>
    <w:basedOn w:val="Normal"/>
    <w:link w:val="TextosinformatoCar"/>
    <w:rsid w:val="002541D7"/>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2541D7"/>
    <w:rPr>
      <w:rFonts w:ascii="Courier New" w:eastAsia="Times New Roman" w:hAnsi="Courier New" w:cs="Courier New"/>
      <w:sz w:val="20"/>
      <w:szCs w:val="20"/>
      <w:lang w:eastAsia="es-ES"/>
    </w:rPr>
  </w:style>
  <w:style w:type="character" w:styleId="Hipervnculovisitado">
    <w:name w:val="FollowedHyperlink"/>
    <w:uiPriority w:val="99"/>
    <w:rsid w:val="002541D7"/>
    <w:rPr>
      <w:color w:val="800080"/>
      <w:u w:val="single"/>
    </w:rPr>
  </w:style>
  <w:style w:type="paragraph" w:styleId="Lista">
    <w:name w:val="List"/>
    <w:basedOn w:val="Normal"/>
    <w:rsid w:val="002541D7"/>
    <w:pPr>
      <w:spacing w:after="0" w:line="240" w:lineRule="auto"/>
      <w:ind w:left="283" w:hanging="283"/>
    </w:pPr>
    <w:rPr>
      <w:rFonts w:ascii="Times New Roman" w:eastAsia="Times New Roman" w:hAnsi="Times New Roman" w:cs="Times New Roman"/>
      <w:sz w:val="24"/>
      <w:szCs w:val="24"/>
      <w:lang w:val="es-ES" w:eastAsia="es-ES"/>
    </w:rPr>
  </w:style>
  <w:style w:type="paragraph" w:styleId="Encabezadodemensaje">
    <w:name w:val="Message Header"/>
    <w:basedOn w:val="Normal"/>
    <w:link w:val="EncabezadodemensajeCar"/>
    <w:rsid w:val="002541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2541D7"/>
    <w:rPr>
      <w:rFonts w:ascii="Arial" w:eastAsia="Times New Roman" w:hAnsi="Arial" w:cs="Arial"/>
      <w:sz w:val="24"/>
      <w:szCs w:val="24"/>
      <w:shd w:val="pct20" w:color="auto" w:fill="auto"/>
      <w:lang w:val="es-ES" w:eastAsia="es-ES"/>
    </w:rPr>
  </w:style>
  <w:style w:type="paragraph" w:styleId="Continuarlista">
    <w:name w:val="List Continue"/>
    <w:basedOn w:val="Normal"/>
    <w:rsid w:val="002541D7"/>
    <w:pPr>
      <w:spacing w:after="120" w:line="240" w:lineRule="auto"/>
      <w:ind w:left="283"/>
    </w:pPr>
    <w:rPr>
      <w:rFonts w:ascii="Times New Roman" w:eastAsia="Times New Roman" w:hAnsi="Times New Roman" w:cs="Times New Roman"/>
      <w:sz w:val="24"/>
      <w:szCs w:val="24"/>
      <w:lang w:val="es-ES" w:eastAsia="es-ES"/>
    </w:rPr>
  </w:style>
  <w:style w:type="paragraph" w:styleId="Listaconnmeros">
    <w:name w:val="List Number"/>
    <w:basedOn w:val="Normal"/>
    <w:uiPriority w:val="99"/>
    <w:rsid w:val="002541D7"/>
    <w:pPr>
      <w:tabs>
        <w:tab w:val="num" w:pos="360"/>
      </w:tabs>
      <w:spacing w:after="240" w:line="320" w:lineRule="atLeast"/>
      <w:ind w:left="360" w:hanging="360"/>
      <w:contextualSpacing/>
      <w:jc w:val="both"/>
    </w:pPr>
    <w:rPr>
      <w:rFonts w:ascii="Times New Roman" w:eastAsia="Calibri" w:hAnsi="Times New Roman" w:cs="Times New Roman"/>
      <w:lang w:val="es-ES"/>
    </w:rPr>
  </w:style>
  <w:style w:type="character" w:customStyle="1" w:styleId="Listaconvietas2Car">
    <w:name w:val="Lista con viñetas 2 Car"/>
    <w:link w:val="Listaconvietas2"/>
    <w:uiPriority w:val="99"/>
    <w:rsid w:val="002541D7"/>
    <w:rPr>
      <w:rFonts w:ascii="Calibri" w:eastAsia="Calibri" w:hAnsi="Calibri" w:cs="Times New Roman"/>
    </w:rPr>
  </w:style>
  <w:style w:type="numbering" w:styleId="1ai">
    <w:name w:val="Outline List 1"/>
    <w:basedOn w:val="Sinlista"/>
    <w:uiPriority w:val="99"/>
    <w:unhideWhenUsed/>
    <w:rsid w:val="002541D7"/>
    <w:pPr>
      <w:numPr>
        <w:numId w:val="1"/>
      </w:numPr>
    </w:pPr>
  </w:style>
  <w:style w:type="table" w:styleId="Tablaclsica2">
    <w:name w:val="Table Classic 2"/>
    <w:basedOn w:val="Tablanormal"/>
    <w:rsid w:val="002541D7"/>
    <w:pPr>
      <w:spacing w:after="0" w:line="240" w:lineRule="auto"/>
      <w:jc w:val="both"/>
    </w:pPr>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2541D7"/>
    <w:pPr>
      <w:spacing w:after="0" w:line="240" w:lineRule="auto"/>
      <w:jc w:val="both"/>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3">
    <w:name w:val="Table Classic 3"/>
    <w:basedOn w:val="Tablanormal"/>
    <w:rsid w:val="002541D7"/>
    <w:pPr>
      <w:spacing w:after="0" w:line="240" w:lineRule="auto"/>
      <w:jc w:val="both"/>
    </w:pPr>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uadrculamedia3-nfasis1">
    <w:name w:val="Medium Grid 3 Accent 1"/>
    <w:basedOn w:val="Tablanormal"/>
    <w:uiPriority w:val="64"/>
    <w:rsid w:val="002541D7"/>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2541D7"/>
    <w:pPr>
      <w:spacing w:after="0" w:line="240" w:lineRule="auto"/>
    </w:pPr>
    <w:rPr>
      <w:rFonts w:ascii="Calibri" w:eastAsia="Calibri" w:hAnsi="Calibri" w:cs="Times New Roman"/>
    </w:rPr>
  </w:style>
  <w:style w:type="paragraph" w:styleId="Revisin">
    <w:name w:val="Revision"/>
    <w:hidden/>
    <w:uiPriority w:val="99"/>
    <w:semiHidden/>
    <w:rsid w:val="002541D7"/>
    <w:pPr>
      <w:spacing w:after="0" w:line="240" w:lineRule="auto"/>
    </w:pPr>
    <w:rPr>
      <w:rFonts w:ascii="Calibri" w:eastAsia="Calibri" w:hAnsi="Calibri" w:cs="Times New Roman"/>
    </w:rPr>
  </w:style>
  <w:style w:type="paragraph" w:customStyle="1" w:styleId="PuntosC4">
    <w:name w:val="PuntosC4"/>
    <w:basedOn w:val="Normal"/>
    <w:link w:val="PuntosC4Car"/>
    <w:qFormat/>
    <w:rsid w:val="002541D7"/>
    <w:pPr>
      <w:spacing w:after="200" w:line="276" w:lineRule="auto"/>
      <w:ind w:left="716" w:hanging="432"/>
      <w:jc w:val="both"/>
    </w:pPr>
    <w:rPr>
      <w:rFonts w:ascii="ITC Avant Garde" w:eastAsia="Times New Roman" w:hAnsi="ITC Avant Garde" w:cs="Arial"/>
      <w:b/>
      <w:iCs/>
    </w:rPr>
  </w:style>
  <w:style w:type="paragraph" w:customStyle="1" w:styleId="Niv2Bullets">
    <w:name w:val="Niv2Bullets"/>
    <w:basedOn w:val="IFTnormal"/>
    <w:next w:val="IFTnormal"/>
    <w:autoRedefine/>
    <w:qFormat/>
    <w:rsid w:val="00850745"/>
    <w:pPr>
      <w:numPr>
        <w:numId w:val="28"/>
      </w:numPr>
      <w:ind w:right="379"/>
      <w:contextualSpacing/>
    </w:pPr>
  </w:style>
  <w:style w:type="paragraph" w:customStyle="1" w:styleId="ApartadoSub">
    <w:name w:val="ApartadoSub"/>
    <w:basedOn w:val="Normal"/>
    <w:qFormat/>
    <w:rsid w:val="002541D7"/>
    <w:pPr>
      <w:spacing w:after="200" w:line="276" w:lineRule="auto"/>
      <w:jc w:val="both"/>
    </w:pPr>
    <w:rPr>
      <w:rFonts w:ascii="ITC Avant Garde" w:eastAsia="Calibri" w:hAnsi="ITC Avant Garde" w:cs="Times New Roman"/>
      <w:u w:val="single"/>
    </w:rPr>
  </w:style>
  <w:style w:type="paragraph" w:customStyle="1" w:styleId="ListaCitaOtras">
    <w:name w:val="ListaCitaOtras"/>
    <w:basedOn w:val="Citaift"/>
    <w:link w:val="ListaCitaOtrasCar"/>
    <w:qFormat/>
    <w:rsid w:val="002541D7"/>
    <w:pPr>
      <w:numPr>
        <w:numId w:val="4"/>
      </w:numPr>
      <w:ind w:left="1570" w:hanging="357"/>
    </w:pPr>
  </w:style>
  <w:style w:type="character" w:customStyle="1" w:styleId="ListaCitaOtrasCar">
    <w:name w:val="ListaCitaOtras Car"/>
    <w:basedOn w:val="CitaiftCar"/>
    <w:link w:val="ListaCitaOtras"/>
    <w:rsid w:val="002541D7"/>
    <w:rPr>
      <w:rFonts w:ascii="ITC Avant Garde" w:eastAsia="Times New Roman" w:hAnsi="ITC Avant Garde" w:cs="Arial"/>
      <w:i/>
      <w:color w:val="000000"/>
      <w:sz w:val="18"/>
      <w:szCs w:val="18"/>
      <w:lang w:eastAsia="es-ES"/>
    </w:rPr>
  </w:style>
  <w:style w:type="paragraph" w:customStyle="1" w:styleId="Titulo1">
    <w:name w:val="Titulo 1"/>
    <w:basedOn w:val="Prrafodelista"/>
    <w:next w:val="Normal"/>
    <w:qFormat/>
    <w:rsid w:val="002541D7"/>
    <w:pPr>
      <w:adjustRightInd w:val="0"/>
      <w:spacing w:after="0" w:line="240" w:lineRule="auto"/>
      <w:ind w:left="0"/>
      <w:jc w:val="both"/>
    </w:pPr>
    <w:rPr>
      <w:rFonts w:ascii="ITC Avant Garde" w:eastAsia="Times New Roman" w:hAnsi="ITC Avant Garde" w:cs="Arial"/>
      <w:b/>
      <w:bCs/>
      <w:color w:val="000000"/>
      <w:lang w:val="es-ES" w:eastAsia="es-ES"/>
    </w:rPr>
  </w:style>
  <w:style w:type="table" w:styleId="Sombreadomedio2-nfasis1">
    <w:name w:val="Medium Shading 2 Accent 1"/>
    <w:basedOn w:val="Tablanormal"/>
    <w:uiPriority w:val="64"/>
    <w:rsid w:val="002541D7"/>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avistosa-nfasis1Car">
    <w:name w:val="Lista vistosa - Énfasis 1 Car"/>
    <w:link w:val="Listavistosa-nfasis1"/>
    <w:uiPriority w:val="34"/>
    <w:semiHidden/>
    <w:rsid w:val="002541D7"/>
    <w:rPr>
      <w:sz w:val="22"/>
      <w:szCs w:val="22"/>
      <w:lang w:eastAsia="en-US"/>
    </w:rPr>
  </w:style>
  <w:style w:type="table" w:styleId="Listavistosa-nfasis1">
    <w:name w:val="Colorful List Accent 1"/>
    <w:basedOn w:val="Tablanormal"/>
    <w:link w:val="Listavistosa-nfasis1Car"/>
    <w:uiPriority w:val="34"/>
    <w:semiHidden/>
    <w:unhideWhenUsed/>
    <w:rsid w:val="002541D7"/>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PuntosC5">
    <w:name w:val="PuntosC5"/>
    <w:basedOn w:val="PuntosC4"/>
    <w:link w:val="PuntosC5Car"/>
    <w:qFormat/>
    <w:rsid w:val="002541D7"/>
    <w:pPr>
      <w:ind w:left="792"/>
    </w:pPr>
  </w:style>
  <w:style w:type="paragraph" w:customStyle="1" w:styleId="Niv2C4">
    <w:name w:val="Niv2C4"/>
    <w:basedOn w:val="Subttulo"/>
    <w:link w:val="Niv2C4Car"/>
    <w:qFormat/>
    <w:rsid w:val="002541D7"/>
    <w:pPr>
      <w:ind w:left="1224" w:hanging="504"/>
    </w:pPr>
  </w:style>
  <w:style w:type="character" w:customStyle="1" w:styleId="PuntosC4Car">
    <w:name w:val="PuntosC4 Car"/>
    <w:basedOn w:val="Fuentedeprrafopredeter"/>
    <w:link w:val="PuntosC4"/>
    <w:rsid w:val="002541D7"/>
    <w:rPr>
      <w:rFonts w:ascii="ITC Avant Garde" w:eastAsia="Times New Roman" w:hAnsi="ITC Avant Garde" w:cs="Arial"/>
      <w:b/>
      <w:iCs/>
    </w:rPr>
  </w:style>
  <w:style w:type="character" w:customStyle="1" w:styleId="PuntosC5Car">
    <w:name w:val="PuntosC5 Car"/>
    <w:basedOn w:val="PuntosC4Car"/>
    <w:link w:val="PuntosC5"/>
    <w:rsid w:val="002541D7"/>
    <w:rPr>
      <w:rFonts w:ascii="ITC Avant Garde" w:eastAsia="Times New Roman" w:hAnsi="ITC Avant Garde" w:cs="Arial"/>
      <w:b/>
      <w:iCs/>
    </w:rPr>
  </w:style>
  <w:style w:type="paragraph" w:customStyle="1" w:styleId="Niv3C4">
    <w:name w:val="Niv3C4"/>
    <w:basedOn w:val="Subttulo"/>
    <w:link w:val="Niv3C4Car"/>
    <w:qFormat/>
    <w:rsid w:val="002541D7"/>
    <w:pPr>
      <w:ind w:left="1925" w:hanging="648"/>
    </w:pPr>
  </w:style>
  <w:style w:type="paragraph" w:customStyle="1" w:styleId="TxtListado">
    <w:name w:val="TxtListado"/>
    <w:basedOn w:val="Normal"/>
    <w:qFormat/>
    <w:rsid w:val="002541D7"/>
    <w:pPr>
      <w:spacing w:after="200" w:line="276" w:lineRule="auto"/>
    </w:pPr>
    <w:rPr>
      <w:rFonts w:ascii="ITC Avant Garde" w:eastAsia="Calibri" w:hAnsi="ITC Avant Garde" w:cs="Times New Roman"/>
      <w:sz w:val="20"/>
      <w:szCs w:val="20"/>
      <w:lang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nhideWhenUsed/>
    <w:qFormat/>
    <w:rsid w:val="002541D7"/>
    <w:pPr>
      <w:spacing w:after="0" w:line="240" w:lineRule="auto"/>
    </w:pPr>
    <w:rPr>
      <w:rFonts w:ascii="Calibri" w:eastAsia="Calibri" w:hAnsi="Calibri" w:cs="Times New Roman"/>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2541D7"/>
    <w:rPr>
      <w:rFonts w:ascii="Calibri" w:eastAsia="Calibri" w:hAnsi="Calibri" w:cs="Times New Roman"/>
      <w:sz w:val="20"/>
      <w:szCs w:val="20"/>
    </w:rPr>
  </w:style>
  <w:style w:type="paragraph" w:styleId="Mapadeldocumento">
    <w:name w:val="Document Map"/>
    <w:basedOn w:val="Normal"/>
    <w:link w:val="MapadeldocumentoCar"/>
    <w:semiHidden/>
    <w:unhideWhenUsed/>
    <w:rsid w:val="002541D7"/>
    <w:pPr>
      <w:spacing w:after="0" w:line="240" w:lineRule="auto"/>
    </w:pPr>
    <w:rPr>
      <w:rFonts w:ascii="Lucida Grande" w:eastAsia="Calibri" w:hAnsi="Lucida Grande" w:cs="Lucida Grande"/>
      <w:sz w:val="24"/>
      <w:szCs w:val="24"/>
    </w:rPr>
  </w:style>
  <w:style w:type="character" w:customStyle="1" w:styleId="MapadeldocumentoCar">
    <w:name w:val="Mapa del documento Car"/>
    <w:basedOn w:val="Fuentedeprrafopredeter"/>
    <w:link w:val="Mapadeldocumento"/>
    <w:semiHidden/>
    <w:rsid w:val="002541D7"/>
    <w:rPr>
      <w:rFonts w:ascii="Lucida Grande" w:eastAsia="Calibri" w:hAnsi="Lucida Grande" w:cs="Lucida Grande"/>
      <w:sz w:val="24"/>
      <w:szCs w:val="24"/>
    </w:rPr>
  </w:style>
  <w:style w:type="paragraph" w:customStyle="1" w:styleId="Texto">
    <w:name w:val="Texto"/>
    <w:basedOn w:val="Normal"/>
    <w:link w:val="TextoCar"/>
    <w:rsid w:val="002541D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541D7"/>
    <w:rPr>
      <w:rFonts w:ascii="Arial" w:eastAsia="Times New Roman" w:hAnsi="Arial" w:cs="Arial"/>
      <w:sz w:val="18"/>
      <w:szCs w:val="20"/>
      <w:lang w:val="es-ES" w:eastAsia="es-ES"/>
    </w:rPr>
  </w:style>
  <w:style w:type="paragraph" w:customStyle="1" w:styleId="z">
    <w:name w:val="z"/>
    <w:basedOn w:val="Normal"/>
    <w:link w:val="zCar"/>
    <w:qFormat/>
    <w:rsid w:val="002541D7"/>
    <w:pPr>
      <w:spacing w:after="200" w:line="276" w:lineRule="auto"/>
      <w:jc w:val="both"/>
    </w:pPr>
    <w:rPr>
      <w:rFonts w:ascii="ITC Avant Garde" w:eastAsia="Times New Roman" w:hAnsi="ITC Avant Garde" w:cs="Times New Roman"/>
      <w:iCs/>
    </w:rPr>
  </w:style>
  <w:style w:type="character" w:customStyle="1" w:styleId="zCar">
    <w:name w:val="z Car"/>
    <w:link w:val="z"/>
    <w:rsid w:val="002541D7"/>
    <w:rPr>
      <w:rFonts w:ascii="ITC Avant Garde" w:eastAsia="Times New Roman" w:hAnsi="ITC Avant Garde" w:cs="Times New Roman"/>
      <w:iCs/>
    </w:rPr>
  </w:style>
  <w:style w:type="paragraph" w:customStyle="1" w:styleId="Default">
    <w:name w:val="Default"/>
    <w:rsid w:val="002541D7"/>
    <w:pPr>
      <w:autoSpaceDE w:val="0"/>
      <w:autoSpaceDN w:val="0"/>
      <w:adjustRightInd w:val="0"/>
      <w:spacing w:after="0" w:line="240" w:lineRule="auto"/>
    </w:pPr>
    <w:rPr>
      <w:rFonts w:ascii="ITC Avant Garde" w:hAnsi="ITC Avant Garde" w:cs="ITC Avant Garde"/>
      <w:color w:val="000000"/>
      <w:sz w:val="24"/>
      <w:szCs w:val="24"/>
    </w:rPr>
  </w:style>
  <w:style w:type="paragraph" w:styleId="Textoindependiente3">
    <w:name w:val="Body Text 3"/>
    <w:basedOn w:val="Normal"/>
    <w:link w:val="Textoindependiente3Car"/>
    <w:unhideWhenUsed/>
    <w:rsid w:val="002541D7"/>
    <w:pPr>
      <w:spacing w:after="120" w:line="276"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2541D7"/>
    <w:rPr>
      <w:rFonts w:ascii="Calibri" w:eastAsia="Calibri" w:hAnsi="Calibri" w:cs="Times New Roman"/>
      <w:sz w:val="16"/>
      <w:szCs w:val="16"/>
    </w:rPr>
  </w:style>
  <w:style w:type="paragraph" w:customStyle="1" w:styleId="CondicionesFinales">
    <w:name w:val="CondicionesFinales"/>
    <w:basedOn w:val="Citaift"/>
    <w:qFormat/>
    <w:rsid w:val="002541D7"/>
    <w:rPr>
      <w:bCs/>
      <w:i w:val="0"/>
      <w:sz w:val="22"/>
      <w:szCs w:val="22"/>
      <w:lang w:val="es-ES_tradnl"/>
    </w:rPr>
  </w:style>
  <w:style w:type="character" w:styleId="nfasis">
    <w:name w:val="Emphasis"/>
    <w:aliases w:val="Título 4 (1.1.1)"/>
    <w:uiPriority w:val="20"/>
    <w:qFormat/>
    <w:rsid w:val="002541D7"/>
    <w:rPr>
      <w:rFonts w:ascii="Arial" w:eastAsia="Times New Roman" w:hAnsi="Arial" w:cs="Times New Roman"/>
      <w:b w:val="0"/>
      <w:bCs/>
      <w:caps w:val="0"/>
      <w:smallCaps w:val="0"/>
      <w:strike w:val="0"/>
      <w:dstrike w:val="0"/>
      <w:vanish w:val="0"/>
      <w:color w:val="auto"/>
      <w:sz w:val="22"/>
      <w:szCs w:val="28"/>
      <w:u w:val="single"/>
      <w:vertAlign w:val="baseline"/>
      <w:lang w:val="es-MX"/>
    </w:rPr>
  </w:style>
  <w:style w:type="paragraph" w:customStyle="1" w:styleId="ecxmsonormal">
    <w:name w:val="ecxmsonormal"/>
    <w:basedOn w:val="Normal"/>
    <w:uiPriority w:val="99"/>
    <w:rsid w:val="002541D7"/>
    <w:pPr>
      <w:spacing w:after="324" w:line="276" w:lineRule="auto"/>
      <w:jc w:val="both"/>
    </w:pPr>
    <w:rPr>
      <w:rFonts w:ascii="Arial" w:eastAsia="Calibri" w:hAnsi="Arial" w:cs="Arial"/>
    </w:rPr>
  </w:style>
  <w:style w:type="character" w:customStyle="1" w:styleId="IFTnormalCar">
    <w:name w:val="IFT normal Car"/>
    <w:basedOn w:val="Fuentedeprrafopredeter"/>
    <w:link w:val="IFTnormal"/>
    <w:qFormat/>
    <w:rsid w:val="002541D7"/>
    <w:rPr>
      <w:rFonts w:ascii="ITC Avant Garde" w:eastAsia="Calibri" w:hAnsi="ITC Avant Garde" w:cs="Arial"/>
      <w:color w:val="000000"/>
      <w:lang w:val="es-ES_tradnl" w:eastAsia="es-ES"/>
    </w:rPr>
  </w:style>
  <w:style w:type="paragraph" w:customStyle="1" w:styleId="03TitPrin">
    <w:name w:val="03TitPrin"/>
    <w:basedOn w:val="Niv3C4"/>
    <w:next w:val="Niv3C4"/>
    <w:link w:val="03TitPrinCar"/>
    <w:autoRedefine/>
    <w:qFormat/>
    <w:rsid w:val="002541D7"/>
    <w:pPr>
      <w:tabs>
        <w:tab w:val="left" w:pos="992"/>
        <w:tab w:val="left" w:pos="1276"/>
      </w:tabs>
      <w:spacing w:before="120"/>
      <w:ind w:left="648"/>
      <w:jc w:val="left"/>
    </w:pPr>
  </w:style>
  <w:style w:type="paragraph" w:customStyle="1" w:styleId="LosOdioAtodos">
    <w:name w:val="LosOdioAtodos"/>
    <w:basedOn w:val="Niv3C4"/>
    <w:link w:val="LosOdioAtodosCar"/>
    <w:qFormat/>
    <w:rsid w:val="002541D7"/>
    <w:pPr>
      <w:tabs>
        <w:tab w:val="left" w:pos="851"/>
        <w:tab w:val="left" w:pos="1276"/>
      </w:tabs>
      <w:outlineLvl w:val="2"/>
    </w:pPr>
  </w:style>
  <w:style w:type="character" w:customStyle="1" w:styleId="Niv3C4Car">
    <w:name w:val="Niv3C4 Car"/>
    <w:basedOn w:val="SubttuloCar"/>
    <w:link w:val="Niv3C4"/>
    <w:rsid w:val="002541D7"/>
    <w:rPr>
      <w:rFonts w:ascii="ITC Avant Garde" w:eastAsia="Calibri" w:hAnsi="ITC Avant Garde" w:cs="Times New Roman"/>
      <w:b/>
    </w:rPr>
  </w:style>
  <w:style w:type="character" w:customStyle="1" w:styleId="03TitPrinCar">
    <w:name w:val="03TitPrin Car"/>
    <w:basedOn w:val="Niv3C4Car"/>
    <w:link w:val="03TitPrin"/>
    <w:rsid w:val="002541D7"/>
    <w:rPr>
      <w:rFonts w:ascii="ITC Avant Garde" w:eastAsia="Calibri" w:hAnsi="ITC Avant Garde" w:cs="Times New Roman"/>
      <w:b/>
    </w:rPr>
  </w:style>
  <w:style w:type="paragraph" w:styleId="TDC1">
    <w:name w:val="toc 1"/>
    <w:basedOn w:val="Normal"/>
    <w:next w:val="Normal"/>
    <w:autoRedefine/>
    <w:uiPriority w:val="39"/>
    <w:unhideWhenUsed/>
    <w:rsid w:val="002541D7"/>
    <w:pPr>
      <w:spacing w:after="100"/>
    </w:pPr>
  </w:style>
  <w:style w:type="paragraph" w:styleId="TDC2">
    <w:name w:val="toc 2"/>
    <w:basedOn w:val="Normal"/>
    <w:next w:val="Normal"/>
    <w:autoRedefine/>
    <w:uiPriority w:val="39"/>
    <w:unhideWhenUsed/>
    <w:rsid w:val="002541D7"/>
    <w:pPr>
      <w:spacing w:after="100"/>
      <w:ind w:left="220"/>
    </w:pPr>
  </w:style>
  <w:style w:type="paragraph" w:styleId="TDC3">
    <w:name w:val="toc 3"/>
    <w:basedOn w:val="Normal"/>
    <w:next w:val="Normal"/>
    <w:autoRedefine/>
    <w:uiPriority w:val="39"/>
    <w:unhideWhenUsed/>
    <w:rsid w:val="002541D7"/>
    <w:pPr>
      <w:tabs>
        <w:tab w:val="left" w:pos="1540"/>
        <w:tab w:val="right" w:leader="dot" w:pos="8828"/>
      </w:tabs>
      <w:spacing w:after="100"/>
      <w:ind w:left="440"/>
    </w:pPr>
  </w:style>
  <w:style w:type="paragraph" w:customStyle="1" w:styleId="5TitCin">
    <w:name w:val="5TitCin"/>
    <w:basedOn w:val="LosOdioAtodos"/>
    <w:link w:val="5TitCinCar"/>
    <w:autoRedefine/>
    <w:qFormat/>
    <w:rsid w:val="002541D7"/>
    <w:pPr>
      <w:numPr>
        <w:numId w:val="7"/>
      </w:numPr>
      <w:tabs>
        <w:tab w:val="left" w:pos="709"/>
        <w:tab w:val="left" w:pos="1134"/>
      </w:tabs>
      <w:outlineLvl w:val="3"/>
    </w:pPr>
    <w:rPr>
      <w:b w:val="0"/>
    </w:rPr>
  </w:style>
  <w:style w:type="paragraph" w:customStyle="1" w:styleId="RIFT">
    <w:name w:val="R_IFT"/>
    <w:basedOn w:val="Ttulo2"/>
    <w:link w:val="RIFTCar"/>
    <w:qFormat/>
    <w:rsid w:val="002541D7"/>
  </w:style>
  <w:style w:type="character" w:customStyle="1" w:styleId="LosOdioAtodosCar">
    <w:name w:val="LosOdioAtodos Car"/>
    <w:basedOn w:val="Niv3C4Car"/>
    <w:link w:val="LosOdioAtodos"/>
    <w:rsid w:val="002541D7"/>
    <w:rPr>
      <w:rFonts w:ascii="ITC Avant Garde" w:eastAsia="Calibri" w:hAnsi="ITC Avant Garde" w:cs="Times New Roman"/>
      <w:b/>
    </w:rPr>
  </w:style>
  <w:style w:type="character" w:customStyle="1" w:styleId="5TitCinCar">
    <w:name w:val="5TitCin Car"/>
    <w:basedOn w:val="LosOdioAtodosCar"/>
    <w:link w:val="5TitCin"/>
    <w:rsid w:val="002541D7"/>
    <w:rPr>
      <w:rFonts w:ascii="ITC Avant Garde" w:eastAsia="Calibri" w:hAnsi="ITC Avant Garde" w:cs="Times New Roman"/>
      <w:b w:val="0"/>
    </w:rPr>
  </w:style>
  <w:style w:type="paragraph" w:customStyle="1" w:styleId="4TitCuar">
    <w:name w:val="4TitCuar"/>
    <w:basedOn w:val="Niv3C4"/>
    <w:link w:val="4TitCuarCar"/>
    <w:autoRedefine/>
    <w:qFormat/>
    <w:rsid w:val="002541D7"/>
    <w:pPr>
      <w:numPr>
        <w:ilvl w:val="3"/>
        <w:numId w:val="5"/>
      </w:numPr>
      <w:tabs>
        <w:tab w:val="left" w:pos="709"/>
        <w:tab w:val="left" w:leader="underscore" w:pos="1134"/>
      </w:tabs>
      <w:outlineLvl w:val="2"/>
    </w:pPr>
    <w:rPr>
      <w:b w:val="0"/>
    </w:rPr>
  </w:style>
  <w:style w:type="character" w:customStyle="1" w:styleId="RIFTCar">
    <w:name w:val="R_IFT Car"/>
    <w:basedOn w:val="Ttulo2Car"/>
    <w:link w:val="RIFT"/>
    <w:rsid w:val="002541D7"/>
    <w:rPr>
      <w:rFonts w:ascii="ITC Avant Garde" w:eastAsia="Times New Roman" w:hAnsi="ITC Avant Garde" w:cs="Arial"/>
      <w:b/>
      <w:bCs/>
    </w:rPr>
  </w:style>
  <w:style w:type="paragraph" w:customStyle="1" w:styleId="R2N4C4">
    <w:name w:val="R2N4C4"/>
    <w:basedOn w:val="4TitCuar"/>
    <w:link w:val="R2N4C4Car"/>
    <w:rsid w:val="002541D7"/>
    <w:pPr>
      <w:outlineLvl w:val="3"/>
    </w:pPr>
  </w:style>
  <w:style w:type="character" w:customStyle="1" w:styleId="4TitCuarCar">
    <w:name w:val="4TitCuar Car"/>
    <w:basedOn w:val="Niv3C4Car"/>
    <w:link w:val="4TitCuar"/>
    <w:rsid w:val="002541D7"/>
    <w:rPr>
      <w:rFonts w:ascii="ITC Avant Garde" w:eastAsia="Calibri" w:hAnsi="ITC Avant Garde" w:cs="Times New Roman"/>
      <w:b w:val="0"/>
    </w:rPr>
  </w:style>
  <w:style w:type="paragraph" w:customStyle="1" w:styleId="3TitTer">
    <w:name w:val="3TitTer"/>
    <w:basedOn w:val="Niv2C4"/>
    <w:link w:val="3TitTerCar"/>
    <w:autoRedefine/>
    <w:qFormat/>
    <w:rsid w:val="002541D7"/>
    <w:pPr>
      <w:ind w:left="0" w:firstLine="0"/>
      <w:outlineLvl w:val="1"/>
    </w:pPr>
  </w:style>
  <w:style w:type="character" w:customStyle="1" w:styleId="R2N4C4Car">
    <w:name w:val="R2N4C4 Car"/>
    <w:basedOn w:val="4TitCuarCar"/>
    <w:link w:val="R2N4C4"/>
    <w:rsid w:val="002541D7"/>
    <w:rPr>
      <w:rFonts w:ascii="ITC Avant Garde" w:eastAsia="Calibri" w:hAnsi="ITC Avant Garde" w:cs="Times New Roman"/>
      <w:b w:val="0"/>
    </w:rPr>
  </w:style>
  <w:style w:type="paragraph" w:customStyle="1" w:styleId="01TitPrin">
    <w:name w:val="01TitPrin"/>
    <w:basedOn w:val="Ttulo1"/>
    <w:link w:val="01TitPrinCar"/>
    <w:autoRedefine/>
    <w:qFormat/>
    <w:rsid w:val="002541D7"/>
  </w:style>
  <w:style w:type="character" w:customStyle="1" w:styleId="Niv2C4Car">
    <w:name w:val="Niv2C4 Car"/>
    <w:basedOn w:val="SubttuloCar"/>
    <w:link w:val="Niv2C4"/>
    <w:rsid w:val="002541D7"/>
    <w:rPr>
      <w:rFonts w:ascii="ITC Avant Garde" w:eastAsia="Calibri" w:hAnsi="ITC Avant Garde" w:cs="Times New Roman"/>
      <w:b/>
    </w:rPr>
  </w:style>
  <w:style w:type="character" w:customStyle="1" w:styleId="3TitTerCar">
    <w:name w:val="3TitTer Car"/>
    <w:basedOn w:val="Niv2C4Car"/>
    <w:link w:val="3TitTer"/>
    <w:rsid w:val="002541D7"/>
    <w:rPr>
      <w:rFonts w:ascii="ITC Avant Garde" w:eastAsia="Calibri" w:hAnsi="ITC Avant Garde" w:cs="Times New Roman"/>
      <w:b/>
    </w:rPr>
  </w:style>
  <w:style w:type="character" w:customStyle="1" w:styleId="01TitPrinCar">
    <w:name w:val="01TitPrin Car"/>
    <w:link w:val="01TitPrin"/>
    <w:rsid w:val="002541D7"/>
    <w:rPr>
      <w:rFonts w:ascii="ITC Avant Garde" w:eastAsia="Calibri" w:hAnsi="ITC Avant Garde" w:cs="Arial"/>
      <w:b/>
      <w:color w:val="000000"/>
      <w:lang w:val="es-ES" w:eastAsia="es-ES"/>
    </w:rPr>
  </w:style>
  <w:style w:type="paragraph" w:customStyle="1" w:styleId="N1IFT">
    <w:name w:val="N1 IFT"/>
    <w:basedOn w:val="Ttulo1"/>
    <w:autoRedefine/>
    <w:qFormat/>
    <w:rsid w:val="002541D7"/>
    <w:pPr>
      <w:ind w:left="792" w:hanging="432"/>
    </w:pPr>
  </w:style>
  <w:style w:type="paragraph" w:customStyle="1" w:styleId="T2IFT">
    <w:name w:val="T2 IFT"/>
    <w:basedOn w:val="Niv2C4"/>
    <w:autoRedefine/>
    <w:qFormat/>
    <w:rsid w:val="002C60EB"/>
    <w:pPr>
      <w:ind w:left="504"/>
      <w:jc w:val="left"/>
      <w:outlineLvl w:val="1"/>
    </w:pPr>
  </w:style>
  <w:style w:type="paragraph" w:styleId="TDC4">
    <w:name w:val="toc 4"/>
    <w:basedOn w:val="Normal"/>
    <w:next w:val="Normal"/>
    <w:autoRedefine/>
    <w:uiPriority w:val="39"/>
    <w:unhideWhenUsed/>
    <w:rsid w:val="002541D7"/>
    <w:pPr>
      <w:spacing w:after="100"/>
      <w:ind w:left="660"/>
    </w:pPr>
  </w:style>
  <w:style w:type="paragraph" w:styleId="TDC5">
    <w:name w:val="toc 5"/>
    <w:basedOn w:val="Normal"/>
    <w:next w:val="Normal"/>
    <w:autoRedefine/>
    <w:uiPriority w:val="39"/>
    <w:unhideWhenUsed/>
    <w:rsid w:val="002541D7"/>
    <w:pPr>
      <w:spacing w:after="100"/>
      <w:ind w:left="880"/>
    </w:pPr>
    <w:rPr>
      <w:rFonts w:eastAsiaTheme="minorEastAsia"/>
      <w:lang w:val="en-US"/>
    </w:rPr>
  </w:style>
  <w:style w:type="paragraph" w:styleId="TDC6">
    <w:name w:val="toc 6"/>
    <w:basedOn w:val="Normal"/>
    <w:next w:val="Normal"/>
    <w:autoRedefine/>
    <w:uiPriority w:val="39"/>
    <w:unhideWhenUsed/>
    <w:rsid w:val="002541D7"/>
    <w:pPr>
      <w:spacing w:after="100"/>
      <w:ind w:left="1100"/>
    </w:pPr>
    <w:rPr>
      <w:rFonts w:eastAsiaTheme="minorEastAsia"/>
      <w:lang w:val="en-US"/>
    </w:rPr>
  </w:style>
  <w:style w:type="paragraph" w:styleId="TDC7">
    <w:name w:val="toc 7"/>
    <w:basedOn w:val="Normal"/>
    <w:next w:val="Normal"/>
    <w:autoRedefine/>
    <w:uiPriority w:val="39"/>
    <w:unhideWhenUsed/>
    <w:rsid w:val="002541D7"/>
    <w:pPr>
      <w:spacing w:after="100"/>
      <w:ind w:left="1320"/>
    </w:pPr>
    <w:rPr>
      <w:rFonts w:eastAsiaTheme="minorEastAsia"/>
      <w:lang w:val="en-US"/>
    </w:rPr>
  </w:style>
  <w:style w:type="paragraph" w:styleId="TDC8">
    <w:name w:val="toc 8"/>
    <w:basedOn w:val="Normal"/>
    <w:next w:val="Normal"/>
    <w:autoRedefine/>
    <w:uiPriority w:val="39"/>
    <w:unhideWhenUsed/>
    <w:rsid w:val="002541D7"/>
    <w:pPr>
      <w:spacing w:after="100"/>
      <w:ind w:left="1540"/>
    </w:pPr>
    <w:rPr>
      <w:rFonts w:eastAsiaTheme="minorEastAsia"/>
      <w:lang w:val="en-US"/>
    </w:rPr>
  </w:style>
  <w:style w:type="paragraph" w:styleId="TDC9">
    <w:name w:val="toc 9"/>
    <w:basedOn w:val="Normal"/>
    <w:next w:val="Normal"/>
    <w:autoRedefine/>
    <w:uiPriority w:val="39"/>
    <w:unhideWhenUsed/>
    <w:rsid w:val="002541D7"/>
    <w:pPr>
      <w:spacing w:after="100"/>
      <w:ind w:left="1760"/>
    </w:pPr>
    <w:rPr>
      <w:rFonts w:eastAsiaTheme="minorEastAsia"/>
      <w:lang w:val="en-US"/>
    </w:rPr>
  </w:style>
  <w:style w:type="paragraph" w:styleId="Puesto">
    <w:name w:val="Title"/>
    <w:basedOn w:val="Normal"/>
    <w:next w:val="Normal"/>
    <w:link w:val="PuestoCar"/>
    <w:uiPriority w:val="10"/>
    <w:qFormat/>
    <w:rsid w:val="002541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541D7"/>
    <w:rPr>
      <w:rFonts w:asciiTheme="majorHAnsi" w:eastAsiaTheme="majorEastAsia" w:hAnsiTheme="majorHAnsi" w:cstheme="majorBidi"/>
      <w:spacing w:val="-10"/>
      <w:kern w:val="28"/>
      <w:sz w:val="56"/>
      <w:szCs w:val="56"/>
    </w:rPr>
  </w:style>
  <w:style w:type="character" w:styleId="nfasissutil">
    <w:name w:val="Subtle Emphasis"/>
    <w:basedOn w:val="Fuentedeprrafopredeter"/>
    <w:uiPriority w:val="19"/>
    <w:qFormat/>
    <w:rsid w:val="002541D7"/>
    <w:rPr>
      <w:i/>
      <w:iCs/>
      <w:color w:val="404040" w:themeColor="text1" w:themeTint="BF"/>
    </w:rPr>
  </w:style>
  <w:style w:type="paragraph" w:styleId="Textoindependiente">
    <w:name w:val="Body Text"/>
    <w:basedOn w:val="Normal"/>
    <w:link w:val="TextoindependienteCar"/>
    <w:uiPriority w:val="99"/>
    <w:unhideWhenUsed/>
    <w:rsid w:val="002541D7"/>
    <w:pPr>
      <w:spacing w:after="120"/>
    </w:pPr>
  </w:style>
  <w:style w:type="character" w:customStyle="1" w:styleId="TextoindependienteCar">
    <w:name w:val="Texto independiente Car"/>
    <w:basedOn w:val="Fuentedeprrafopredeter"/>
    <w:link w:val="Textoindependiente"/>
    <w:uiPriority w:val="99"/>
    <w:rsid w:val="002541D7"/>
  </w:style>
  <w:style w:type="paragraph" w:customStyle="1" w:styleId="CitaIFT0">
    <w:name w:val="Cita IFT"/>
    <w:basedOn w:val="IFTTexto"/>
    <w:link w:val="CitaIFTCar0"/>
    <w:qFormat/>
    <w:rsid w:val="002541D7"/>
    <w:pPr>
      <w:adjustRightInd w:val="0"/>
      <w:ind w:left="851" w:right="760"/>
    </w:pPr>
    <w:rPr>
      <w:rFonts w:eastAsia="Times New Roman"/>
      <w:bCs/>
      <w:i/>
      <w:sz w:val="18"/>
      <w:szCs w:val="18"/>
    </w:rPr>
  </w:style>
  <w:style w:type="character" w:customStyle="1" w:styleId="CitaIFTCar0">
    <w:name w:val="Cita IFT Car"/>
    <w:link w:val="CitaIFT0"/>
    <w:rsid w:val="002541D7"/>
    <w:rPr>
      <w:rFonts w:ascii="ITC Avant Garde" w:eastAsia="Times New Roman" w:hAnsi="ITC Avant Garde" w:cs="Arial"/>
      <w:bCs/>
      <w:i/>
      <w:color w:val="000000"/>
      <w:sz w:val="18"/>
      <w:szCs w:val="18"/>
      <w:lang w:val="es-ES_tradnl" w:eastAsia="es-ES"/>
    </w:rPr>
  </w:style>
  <w:style w:type="paragraph" w:customStyle="1" w:styleId="IFTTexto">
    <w:name w:val="IFT Texto"/>
    <w:link w:val="IFTTextoCar"/>
    <w:qFormat/>
    <w:rsid w:val="002541D7"/>
    <w:pPr>
      <w:spacing w:after="200"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2541D7"/>
    <w:rPr>
      <w:rFonts w:ascii="ITC Avant Garde" w:eastAsia="Calibri" w:hAnsi="ITC Avant Garde" w:cs="Arial"/>
      <w:color w:val="000000"/>
      <w:lang w:val="es-ES_tradnl" w:eastAsia="es-ES"/>
    </w:rPr>
  </w:style>
  <w:style w:type="paragraph" w:customStyle="1" w:styleId="estilo30">
    <w:name w:val="estilo30"/>
    <w:basedOn w:val="Normal"/>
    <w:rsid w:val="002541D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FT1">
    <w:name w:val="IFT 1"/>
    <w:basedOn w:val="Normal"/>
    <w:link w:val="IFT1Car"/>
    <w:qFormat/>
    <w:rsid w:val="002541D7"/>
    <w:pPr>
      <w:spacing w:after="200" w:line="276" w:lineRule="auto"/>
      <w:jc w:val="both"/>
    </w:pPr>
    <w:rPr>
      <w:rFonts w:ascii="ITC Avant Garde" w:eastAsia="Times New Roman" w:hAnsi="ITC Avant Garde" w:cs="Times New Roman"/>
      <w:iCs/>
    </w:rPr>
  </w:style>
  <w:style w:type="character" w:customStyle="1" w:styleId="IFT1Car">
    <w:name w:val="IFT 1 Car"/>
    <w:link w:val="IFT1"/>
    <w:rsid w:val="002541D7"/>
    <w:rPr>
      <w:rFonts w:ascii="ITC Avant Garde" w:eastAsia="Times New Roman" w:hAnsi="ITC Avant Garde" w:cs="Times New Roman"/>
      <w:iCs/>
    </w:rPr>
  </w:style>
  <w:style w:type="table" w:customStyle="1" w:styleId="TableNormal1">
    <w:name w:val="Table Normal1"/>
    <w:uiPriority w:val="2"/>
    <w:semiHidden/>
    <w:unhideWhenUsed/>
    <w:qFormat/>
    <w:rsid w:val="002541D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41D7"/>
    <w:pPr>
      <w:widowControl w:val="0"/>
      <w:spacing w:after="0" w:line="240" w:lineRule="auto"/>
    </w:pPr>
    <w:rPr>
      <w:lang w:val="en-US"/>
    </w:rPr>
  </w:style>
  <w:style w:type="paragraph" w:styleId="Descripcin">
    <w:name w:val="caption"/>
    <w:next w:val="Normal"/>
    <w:uiPriority w:val="35"/>
    <w:qFormat/>
    <w:rsid w:val="002541D7"/>
    <w:pPr>
      <w:keepNext/>
      <w:pBdr>
        <w:bottom w:val="single" w:sz="6" w:space="3" w:color="A6A6A6"/>
      </w:pBdr>
      <w:tabs>
        <w:tab w:val="left" w:pos="2041"/>
      </w:tabs>
      <w:spacing w:line="280" w:lineRule="atLeast"/>
    </w:pPr>
    <w:rPr>
      <w:rFonts w:ascii="Arial" w:hAnsi="Arial" w:cs="Arial"/>
      <w:bCs/>
      <w:i/>
      <w:sz w:val="18"/>
      <w:szCs w:val="18"/>
      <w:lang w:val="en-GB"/>
    </w:rPr>
  </w:style>
  <w:style w:type="paragraph" w:customStyle="1" w:styleId="Tablecells">
    <w:name w:val="Table: cells"/>
    <w:qFormat/>
    <w:rsid w:val="002541D7"/>
    <w:pPr>
      <w:spacing w:before="40" w:after="40" w:line="240" w:lineRule="exact"/>
      <w:ind w:right="113"/>
    </w:pPr>
    <w:rPr>
      <w:rFonts w:ascii="Arial" w:hAnsi="Arial"/>
      <w:sz w:val="18"/>
      <w:lang w:val="en-GB"/>
    </w:rPr>
  </w:style>
  <w:style w:type="paragraph" w:customStyle="1" w:styleId="Tableheading">
    <w:name w:val="Table: heading"/>
    <w:basedOn w:val="Tablecells"/>
    <w:next w:val="Tablecells"/>
    <w:qFormat/>
    <w:rsid w:val="002541D7"/>
    <w:pPr>
      <w:keepNext/>
    </w:pPr>
    <w:rPr>
      <w:b/>
      <w:color w:val="FFFFFF"/>
    </w:rPr>
  </w:style>
  <w:style w:type="paragraph" w:customStyle="1" w:styleId="TableCaption">
    <w:name w:val="Table Caption"/>
    <w:basedOn w:val="Descripcin"/>
    <w:qFormat/>
    <w:rsid w:val="002541D7"/>
    <w:pPr>
      <w:pBdr>
        <w:bottom w:val="none" w:sz="0" w:space="0" w:color="auto"/>
      </w:pBdr>
    </w:pPr>
  </w:style>
  <w:style w:type="paragraph" w:customStyle="1" w:styleId="ListBulletCompact">
    <w:name w:val="List Bullet Compact"/>
    <w:basedOn w:val="Normal"/>
    <w:qFormat/>
    <w:rsid w:val="002541D7"/>
    <w:pPr>
      <w:tabs>
        <w:tab w:val="num" w:pos="360"/>
      </w:tabs>
      <w:spacing w:after="0" w:line="320" w:lineRule="atLeast"/>
      <w:jc w:val="both"/>
    </w:pPr>
    <w:rPr>
      <w:rFonts w:ascii="Times New Roman" w:hAnsi="Times New Roman" w:cs="Times New Roman"/>
    </w:rPr>
  </w:style>
  <w:style w:type="paragraph" w:styleId="Sangra2detindependiente">
    <w:name w:val="Body Text Indent 2"/>
    <w:basedOn w:val="Normal"/>
    <w:link w:val="Sangra2detindependienteCar"/>
    <w:uiPriority w:val="99"/>
    <w:semiHidden/>
    <w:unhideWhenUsed/>
    <w:rsid w:val="002541D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541D7"/>
  </w:style>
  <w:style w:type="character" w:styleId="Textodelmarcadordeposicin">
    <w:name w:val="Placeholder Text"/>
    <w:basedOn w:val="Fuentedeprrafopredeter"/>
    <w:uiPriority w:val="99"/>
    <w:semiHidden/>
    <w:rsid w:val="002541D7"/>
    <w:rPr>
      <w:color w:val="808080"/>
    </w:rPr>
  </w:style>
  <w:style w:type="paragraph" w:customStyle="1" w:styleId="Border">
    <w:name w:val="Border"/>
    <w:next w:val="Descripcin"/>
    <w:qFormat/>
    <w:rsid w:val="002541D7"/>
    <w:pPr>
      <w:keepNext/>
      <w:pBdr>
        <w:bottom w:val="single" w:sz="6" w:space="1" w:color="auto"/>
      </w:pBdr>
      <w:spacing w:after="0" w:line="320" w:lineRule="atLeast"/>
      <w:jc w:val="center"/>
    </w:pPr>
    <w:rPr>
      <w:rFonts w:ascii="Times New Roman" w:hAnsi="Times New Roman"/>
      <w:lang w:val="en-GB"/>
    </w:rPr>
  </w:style>
  <w:style w:type="paragraph" w:customStyle="1" w:styleId="Indentado1">
    <w:name w:val="Indentado 1"/>
    <w:basedOn w:val="Normal"/>
    <w:link w:val="Indentado1Car"/>
    <w:qFormat/>
    <w:rsid w:val="002541D7"/>
    <w:pPr>
      <w:numPr>
        <w:numId w:val="8"/>
      </w:numPr>
      <w:spacing w:after="0" w:line="336" w:lineRule="auto"/>
      <w:ind w:left="360"/>
      <w:jc w:val="both"/>
    </w:pPr>
    <w:rPr>
      <w:rFonts w:ascii="Verdana" w:eastAsia="Times New Roman" w:hAnsi="Verdana" w:cs="Times New Roman"/>
      <w:sz w:val="20"/>
      <w:szCs w:val="24"/>
      <w:lang w:val="en-GB" w:eastAsia="es-ES"/>
    </w:rPr>
  </w:style>
  <w:style w:type="character" w:customStyle="1" w:styleId="Indentado1Car">
    <w:name w:val="Indentado 1 Car"/>
    <w:basedOn w:val="Fuentedeprrafopredeter"/>
    <w:link w:val="Indentado1"/>
    <w:rsid w:val="002541D7"/>
    <w:rPr>
      <w:rFonts w:ascii="Verdana" w:eastAsia="Times New Roman" w:hAnsi="Verdana" w:cs="Times New Roman"/>
      <w:sz w:val="20"/>
      <w:szCs w:val="24"/>
      <w:lang w:val="en-GB" w:eastAsia="es-ES"/>
    </w:rPr>
  </w:style>
  <w:style w:type="paragraph" w:customStyle="1" w:styleId="01">
    <w:name w:val="01"/>
    <w:basedOn w:val="Normal"/>
    <w:qFormat/>
    <w:rsid w:val="002541D7"/>
    <w:pPr>
      <w:spacing w:after="0" w:line="320" w:lineRule="atLeast"/>
      <w:jc w:val="both"/>
    </w:pPr>
    <w:rPr>
      <w:rFonts w:ascii="Times New Roman" w:eastAsia="Calibri" w:hAnsi="Times New Roman" w:cs="Times New Roman"/>
      <w:lang w:val="es-ES"/>
    </w:rPr>
  </w:style>
  <w:style w:type="paragraph" w:customStyle="1" w:styleId="ListBullet2Compact">
    <w:name w:val="List Bullet 2 Compact"/>
    <w:basedOn w:val="Listaconvietas2"/>
    <w:qFormat/>
    <w:rsid w:val="00536864"/>
    <w:pPr>
      <w:keepLines/>
      <w:numPr>
        <w:numId w:val="12"/>
      </w:numPr>
      <w:spacing w:after="0" w:line="320" w:lineRule="atLeast"/>
      <w:ind w:left="714" w:hanging="357"/>
      <w:contextualSpacing w:val="0"/>
      <w:jc w:val="both"/>
    </w:pPr>
    <w:rPr>
      <w:rFonts w:ascii="Times New Roman" w:eastAsiaTheme="minorHAnsi" w:hAnsi="Times New Roman" w:cstheme="minorBidi"/>
      <w:lang w:val="en-GB"/>
    </w:rPr>
  </w:style>
  <w:style w:type="paragraph" w:customStyle="1" w:styleId="II">
    <w:name w:val="II"/>
    <w:basedOn w:val="Listaconvietas2"/>
    <w:link w:val="IIChar"/>
    <w:qFormat/>
    <w:rsid w:val="00536864"/>
    <w:pPr>
      <w:keepLines/>
      <w:spacing w:after="240" w:line="320" w:lineRule="atLeast"/>
      <w:ind w:left="717"/>
      <w:contextualSpacing w:val="0"/>
      <w:jc w:val="both"/>
    </w:pPr>
    <w:rPr>
      <w:rFonts w:ascii="Times New Roman" w:hAnsi="Times New Roman"/>
      <w:lang w:val="en-GB"/>
    </w:rPr>
  </w:style>
  <w:style w:type="character" w:customStyle="1" w:styleId="IIChar">
    <w:name w:val="II Char"/>
    <w:basedOn w:val="Listaconvietas2Car"/>
    <w:link w:val="II"/>
    <w:rsid w:val="00536864"/>
    <w:rPr>
      <w:rFonts w:ascii="Times New Roman" w:eastAsia="Calibri" w:hAnsi="Times New Roman" w:cs="Times New Roman"/>
      <w:lang w:val="en-GB"/>
    </w:rPr>
  </w:style>
  <w:style w:type="paragraph" w:customStyle="1" w:styleId="LL">
    <w:name w:val="LL"/>
    <w:basedOn w:val="ListBullet2Compact"/>
    <w:rsid w:val="00536864"/>
  </w:style>
  <w:style w:type="paragraph" w:customStyle="1" w:styleId="L1">
    <w:name w:val="L1"/>
    <w:basedOn w:val="ListBulletCompact"/>
    <w:qFormat/>
    <w:rsid w:val="00536864"/>
    <w:pPr>
      <w:numPr>
        <w:numId w:val="1"/>
      </w:numPr>
    </w:pPr>
    <w:rPr>
      <w:rFonts w:cstheme="minorBidi"/>
      <w:lang w:val="en-GB"/>
    </w:rPr>
  </w:style>
  <w:style w:type="table" w:styleId="Tabladecuadrcula4">
    <w:name w:val="Grid Table 4"/>
    <w:basedOn w:val="Tablanormal"/>
    <w:uiPriority w:val="49"/>
    <w:rsid w:val="00A359E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3">
    <w:name w:val="Grid Table 4 Accent 3"/>
    <w:basedOn w:val="Tablanormal"/>
    <w:uiPriority w:val="49"/>
    <w:rsid w:val="00A359E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SinespaciadoCar">
    <w:name w:val="Sin espaciado Car"/>
    <w:basedOn w:val="Fuentedeprrafopredeter"/>
    <w:link w:val="Sinespaciado"/>
    <w:uiPriority w:val="1"/>
    <w:rsid w:val="00000B17"/>
    <w:rPr>
      <w:rFonts w:ascii="Calibri" w:eastAsia="Calibri" w:hAnsi="Calibri" w:cs="Times New Roman"/>
    </w:rPr>
  </w:style>
  <w:style w:type="paragraph" w:customStyle="1" w:styleId="TITULOCAP">
    <w:name w:val="TITULO CAP"/>
    <w:basedOn w:val="Normal"/>
    <w:qFormat/>
    <w:rsid w:val="00ED3403"/>
    <w:pPr>
      <w:widowControl w:val="0"/>
      <w:numPr>
        <w:numId w:val="22"/>
      </w:numPr>
      <w:autoSpaceDE w:val="0"/>
      <w:autoSpaceDN w:val="0"/>
      <w:spacing w:after="0" w:line="240" w:lineRule="auto"/>
    </w:pPr>
    <w:rPr>
      <w:rFonts w:ascii="Arial" w:eastAsia="Times New Roman" w:hAnsi="Arial" w:cs="Times New Roman"/>
      <w:b/>
      <w:bCs/>
      <w:sz w:val="24"/>
      <w:szCs w:val="24"/>
      <w:lang w:val="es-ES_tradnl" w:eastAsia="x-none"/>
    </w:rPr>
  </w:style>
  <w:style w:type="paragraph" w:customStyle="1" w:styleId="ROMANOS">
    <w:name w:val="ROMANOS"/>
    <w:basedOn w:val="Normal"/>
    <w:link w:val="ROMANOSCar"/>
    <w:rsid w:val="00354A6E"/>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354A6E"/>
    <w:rPr>
      <w:rFonts w:ascii="Arial" w:eastAsia="Times New Roman" w:hAnsi="Arial" w:cs="Arial"/>
      <w:sz w:val="18"/>
      <w:szCs w:val="18"/>
      <w:lang w:val="es-ES" w:eastAsia="es-ES"/>
    </w:rPr>
  </w:style>
  <w:style w:type="table" w:styleId="Tablanormal1">
    <w:name w:val="Plain Table 1"/>
    <w:basedOn w:val="Tablanormal"/>
    <w:uiPriority w:val="41"/>
    <w:rsid w:val="005D7F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5D7F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130">
      <w:bodyDiv w:val="1"/>
      <w:marLeft w:val="0"/>
      <w:marRight w:val="0"/>
      <w:marTop w:val="0"/>
      <w:marBottom w:val="0"/>
      <w:divBdr>
        <w:top w:val="none" w:sz="0" w:space="0" w:color="auto"/>
        <w:left w:val="none" w:sz="0" w:space="0" w:color="auto"/>
        <w:bottom w:val="none" w:sz="0" w:space="0" w:color="auto"/>
        <w:right w:val="none" w:sz="0" w:space="0" w:color="auto"/>
      </w:divBdr>
    </w:div>
    <w:div w:id="58482920">
      <w:bodyDiv w:val="1"/>
      <w:marLeft w:val="0"/>
      <w:marRight w:val="0"/>
      <w:marTop w:val="0"/>
      <w:marBottom w:val="0"/>
      <w:divBdr>
        <w:top w:val="none" w:sz="0" w:space="0" w:color="auto"/>
        <w:left w:val="none" w:sz="0" w:space="0" w:color="auto"/>
        <w:bottom w:val="none" w:sz="0" w:space="0" w:color="auto"/>
        <w:right w:val="none" w:sz="0" w:space="0" w:color="auto"/>
      </w:divBdr>
      <w:divsChild>
        <w:div w:id="239216977">
          <w:marLeft w:val="274"/>
          <w:marRight w:val="0"/>
          <w:marTop w:val="0"/>
          <w:marBottom w:val="0"/>
          <w:divBdr>
            <w:top w:val="none" w:sz="0" w:space="0" w:color="auto"/>
            <w:left w:val="none" w:sz="0" w:space="0" w:color="auto"/>
            <w:bottom w:val="none" w:sz="0" w:space="0" w:color="auto"/>
            <w:right w:val="none" w:sz="0" w:space="0" w:color="auto"/>
          </w:divBdr>
        </w:div>
        <w:div w:id="709034944">
          <w:marLeft w:val="274"/>
          <w:marRight w:val="0"/>
          <w:marTop w:val="0"/>
          <w:marBottom w:val="0"/>
          <w:divBdr>
            <w:top w:val="none" w:sz="0" w:space="0" w:color="auto"/>
            <w:left w:val="none" w:sz="0" w:space="0" w:color="auto"/>
            <w:bottom w:val="none" w:sz="0" w:space="0" w:color="auto"/>
            <w:right w:val="none" w:sz="0" w:space="0" w:color="auto"/>
          </w:divBdr>
        </w:div>
        <w:div w:id="1043020042">
          <w:marLeft w:val="274"/>
          <w:marRight w:val="0"/>
          <w:marTop w:val="0"/>
          <w:marBottom w:val="0"/>
          <w:divBdr>
            <w:top w:val="none" w:sz="0" w:space="0" w:color="auto"/>
            <w:left w:val="none" w:sz="0" w:space="0" w:color="auto"/>
            <w:bottom w:val="none" w:sz="0" w:space="0" w:color="auto"/>
            <w:right w:val="none" w:sz="0" w:space="0" w:color="auto"/>
          </w:divBdr>
        </w:div>
        <w:div w:id="1609848366">
          <w:marLeft w:val="274"/>
          <w:marRight w:val="0"/>
          <w:marTop w:val="0"/>
          <w:marBottom w:val="0"/>
          <w:divBdr>
            <w:top w:val="none" w:sz="0" w:space="0" w:color="auto"/>
            <w:left w:val="none" w:sz="0" w:space="0" w:color="auto"/>
            <w:bottom w:val="none" w:sz="0" w:space="0" w:color="auto"/>
            <w:right w:val="none" w:sz="0" w:space="0" w:color="auto"/>
          </w:divBdr>
        </w:div>
        <w:div w:id="1922257167">
          <w:marLeft w:val="274"/>
          <w:marRight w:val="0"/>
          <w:marTop w:val="0"/>
          <w:marBottom w:val="0"/>
          <w:divBdr>
            <w:top w:val="none" w:sz="0" w:space="0" w:color="auto"/>
            <w:left w:val="none" w:sz="0" w:space="0" w:color="auto"/>
            <w:bottom w:val="none" w:sz="0" w:space="0" w:color="auto"/>
            <w:right w:val="none" w:sz="0" w:space="0" w:color="auto"/>
          </w:divBdr>
        </w:div>
        <w:div w:id="2008634522">
          <w:marLeft w:val="274"/>
          <w:marRight w:val="0"/>
          <w:marTop w:val="0"/>
          <w:marBottom w:val="0"/>
          <w:divBdr>
            <w:top w:val="none" w:sz="0" w:space="0" w:color="auto"/>
            <w:left w:val="none" w:sz="0" w:space="0" w:color="auto"/>
            <w:bottom w:val="none" w:sz="0" w:space="0" w:color="auto"/>
            <w:right w:val="none" w:sz="0" w:space="0" w:color="auto"/>
          </w:divBdr>
        </w:div>
      </w:divsChild>
    </w:div>
    <w:div w:id="135686494">
      <w:bodyDiv w:val="1"/>
      <w:marLeft w:val="0"/>
      <w:marRight w:val="0"/>
      <w:marTop w:val="0"/>
      <w:marBottom w:val="0"/>
      <w:divBdr>
        <w:top w:val="none" w:sz="0" w:space="0" w:color="auto"/>
        <w:left w:val="none" w:sz="0" w:space="0" w:color="auto"/>
        <w:bottom w:val="none" w:sz="0" w:space="0" w:color="auto"/>
        <w:right w:val="none" w:sz="0" w:space="0" w:color="auto"/>
      </w:divBdr>
    </w:div>
    <w:div w:id="188644846">
      <w:bodyDiv w:val="1"/>
      <w:marLeft w:val="0"/>
      <w:marRight w:val="0"/>
      <w:marTop w:val="0"/>
      <w:marBottom w:val="0"/>
      <w:divBdr>
        <w:top w:val="none" w:sz="0" w:space="0" w:color="auto"/>
        <w:left w:val="none" w:sz="0" w:space="0" w:color="auto"/>
        <w:bottom w:val="none" w:sz="0" w:space="0" w:color="auto"/>
        <w:right w:val="none" w:sz="0" w:space="0" w:color="auto"/>
      </w:divBdr>
    </w:div>
    <w:div w:id="233972362">
      <w:bodyDiv w:val="1"/>
      <w:marLeft w:val="0"/>
      <w:marRight w:val="0"/>
      <w:marTop w:val="0"/>
      <w:marBottom w:val="0"/>
      <w:divBdr>
        <w:top w:val="none" w:sz="0" w:space="0" w:color="auto"/>
        <w:left w:val="none" w:sz="0" w:space="0" w:color="auto"/>
        <w:bottom w:val="none" w:sz="0" w:space="0" w:color="auto"/>
        <w:right w:val="none" w:sz="0" w:space="0" w:color="auto"/>
      </w:divBdr>
    </w:div>
    <w:div w:id="268585383">
      <w:bodyDiv w:val="1"/>
      <w:marLeft w:val="0"/>
      <w:marRight w:val="0"/>
      <w:marTop w:val="0"/>
      <w:marBottom w:val="0"/>
      <w:divBdr>
        <w:top w:val="none" w:sz="0" w:space="0" w:color="auto"/>
        <w:left w:val="none" w:sz="0" w:space="0" w:color="auto"/>
        <w:bottom w:val="none" w:sz="0" w:space="0" w:color="auto"/>
        <w:right w:val="none" w:sz="0" w:space="0" w:color="auto"/>
      </w:divBdr>
    </w:div>
    <w:div w:id="286816053">
      <w:bodyDiv w:val="1"/>
      <w:marLeft w:val="0"/>
      <w:marRight w:val="0"/>
      <w:marTop w:val="0"/>
      <w:marBottom w:val="0"/>
      <w:divBdr>
        <w:top w:val="none" w:sz="0" w:space="0" w:color="auto"/>
        <w:left w:val="none" w:sz="0" w:space="0" w:color="auto"/>
        <w:bottom w:val="none" w:sz="0" w:space="0" w:color="auto"/>
        <w:right w:val="none" w:sz="0" w:space="0" w:color="auto"/>
      </w:divBdr>
    </w:div>
    <w:div w:id="311300587">
      <w:bodyDiv w:val="1"/>
      <w:marLeft w:val="0"/>
      <w:marRight w:val="0"/>
      <w:marTop w:val="0"/>
      <w:marBottom w:val="0"/>
      <w:divBdr>
        <w:top w:val="none" w:sz="0" w:space="0" w:color="auto"/>
        <w:left w:val="none" w:sz="0" w:space="0" w:color="auto"/>
        <w:bottom w:val="none" w:sz="0" w:space="0" w:color="auto"/>
        <w:right w:val="none" w:sz="0" w:space="0" w:color="auto"/>
      </w:divBdr>
    </w:div>
    <w:div w:id="357661393">
      <w:bodyDiv w:val="1"/>
      <w:marLeft w:val="0"/>
      <w:marRight w:val="0"/>
      <w:marTop w:val="0"/>
      <w:marBottom w:val="0"/>
      <w:divBdr>
        <w:top w:val="none" w:sz="0" w:space="0" w:color="auto"/>
        <w:left w:val="none" w:sz="0" w:space="0" w:color="auto"/>
        <w:bottom w:val="none" w:sz="0" w:space="0" w:color="auto"/>
        <w:right w:val="none" w:sz="0" w:space="0" w:color="auto"/>
      </w:divBdr>
    </w:div>
    <w:div w:id="381637316">
      <w:bodyDiv w:val="1"/>
      <w:marLeft w:val="0"/>
      <w:marRight w:val="0"/>
      <w:marTop w:val="0"/>
      <w:marBottom w:val="0"/>
      <w:divBdr>
        <w:top w:val="none" w:sz="0" w:space="0" w:color="auto"/>
        <w:left w:val="none" w:sz="0" w:space="0" w:color="auto"/>
        <w:bottom w:val="none" w:sz="0" w:space="0" w:color="auto"/>
        <w:right w:val="none" w:sz="0" w:space="0" w:color="auto"/>
      </w:divBdr>
    </w:div>
    <w:div w:id="394596132">
      <w:bodyDiv w:val="1"/>
      <w:marLeft w:val="0"/>
      <w:marRight w:val="0"/>
      <w:marTop w:val="0"/>
      <w:marBottom w:val="0"/>
      <w:divBdr>
        <w:top w:val="none" w:sz="0" w:space="0" w:color="auto"/>
        <w:left w:val="none" w:sz="0" w:space="0" w:color="auto"/>
        <w:bottom w:val="none" w:sz="0" w:space="0" w:color="auto"/>
        <w:right w:val="none" w:sz="0" w:space="0" w:color="auto"/>
      </w:divBdr>
    </w:div>
    <w:div w:id="399909535">
      <w:bodyDiv w:val="1"/>
      <w:marLeft w:val="0"/>
      <w:marRight w:val="0"/>
      <w:marTop w:val="0"/>
      <w:marBottom w:val="0"/>
      <w:divBdr>
        <w:top w:val="none" w:sz="0" w:space="0" w:color="auto"/>
        <w:left w:val="none" w:sz="0" w:space="0" w:color="auto"/>
        <w:bottom w:val="none" w:sz="0" w:space="0" w:color="auto"/>
        <w:right w:val="none" w:sz="0" w:space="0" w:color="auto"/>
      </w:divBdr>
    </w:div>
    <w:div w:id="472022012">
      <w:bodyDiv w:val="1"/>
      <w:marLeft w:val="0"/>
      <w:marRight w:val="0"/>
      <w:marTop w:val="0"/>
      <w:marBottom w:val="0"/>
      <w:divBdr>
        <w:top w:val="none" w:sz="0" w:space="0" w:color="auto"/>
        <w:left w:val="none" w:sz="0" w:space="0" w:color="auto"/>
        <w:bottom w:val="none" w:sz="0" w:space="0" w:color="auto"/>
        <w:right w:val="none" w:sz="0" w:space="0" w:color="auto"/>
      </w:divBdr>
    </w:div>
    <w:div w:id="555119159">
      <w:bodyDiv w:val="1"/>
      <w:marLeft w:val="0"/>
      <w:marRight w:val="0"/>
      <w:marTop w:val="0"/>
      <w:marBottom w:val="0"/>
      <w:divBdr>
        <w:top w:val="none" w:sz="0" w:space="0" w:color="auto"/>
        <w:left w:val="none" w:sz="0" w:space="0" w:color="auto"/>
        <w:bottom w:val="none" w:sz="0" w:space="0" w:color="auto"/>
        <w:right w:val="none" w:sz="0" w:space="0" w:color="auto"/>
      </w:divBdr>
    </w:div>
    <w:div w:id="637733907">
      <w:bodyDiv w:val="1"/>
      <w:marLeft w:val="0"/>
      <w:marRight w:val="0"/>
      <w:marTop w:val="0"/>
      <w:marBottom w:val="0"/>
      <w:divBdr>
        <w:top w:val="none" w:sz="0" w:space="0" w:color="auto"/>
        <w:left w:val="none" w:sz="0" w:space="0" w:color="auto"/>
        <w:bottom w:val="none" w:sz="0" w:space="0" w:color="auto"/>
        <w:right w:val="none" w:sz="0" w:space="0" w:color="auto"/>
      </w:divBdr>
    </w:div>
    <w:div w:id="699474609">
      <w:bodyDiv w:val="1"/>
      <w:marLeft w:val="0"/>
      <w:marRight w:val="0"/>
      <w:marTop w:val="0"/>
      <w:marBottom w:val="0"/>
      <w:divBdr>
        <w:top w:val="none" w:sz="0" w:space="0" w:color="auto"/>
        <w:left w:val="none" w:sz="0" w:space="0" w:color="auto"/>
        <w:bottom w:val="none" w:sz="0" w:space="0" w:color="auto"/>
        <w:right w:val="none" w:sz="0" w:space="0" w:color="auto"/>
      </w:divBdr>
    </w:div>
    <w:div w:id="739138145">
      <w:bodyDiv w:val="1"/>
      <w:marLeft w:val="0"/>
      <w:marRight w:val="0"/>
      <w:marTop w:val="0"/>
      <w:marBottom w:val="0"/>
      <w:divBdr>
        <w:top w:val="none" w:sz="0" w:space="0" w:color="auto"/>
        <w:left w:val="none" w:sz="0" w:space="0" w:color="auto"/>
        <w:bottom w:val="none" w:sz="0" w:space="0" w:color="auto"/>
        <w:right w:val="none" w:sz="0" w:space="0" w:color="auto"/>
      </w:divBdr>
    </w:div>
    <w:div w:id="765536565">
      <w:bodyDiv w:val="1"/>
      <w:marLeft w:val="0"/>
      <w:marRight w:val="0"/>
      <w:marTop w:val="0"/>
      <w:marBottom w:val="0"/>
      <w:divBdr>
        <w:top w:val="none" w:sz="0" w:space="0" w:color="auto"/>
        <w:left w:val="none" w:sz="0" w:space="0" w:color="auto"/>
        <w:bottom w:val="none" w:sz="0" w:space="0" w:color="auto"/>
        <w:right w:val="none" w:sz="0" w:space="0" w:color="auto"/>
      </w:divBdr>
    </w:div>
    <w:div w:id="814493260">
      <w:bodyDiv w:val="1"/>
      <w:marLeft w:val="0"/>
      <w:marRight w:val="0"/>
      <w:marTop w:val="0"/>
      <w:marBottom w:val="0"/>
      <w:divBdr>
        <w:top w:val="none" w:sz="0" w:space="0" w:color="auto"/>
        <w:left w:val="none" w:sz="0" w:space="0" w:color="auto"/>
        <w:bottom w:val="none" w:sz="0" w:space="0" w:color="auto"/>
        <w:right w:val="none" w:sz="0" w:space="0" w:color="auto"/>
      </w:divBdr>
    </w:div>
    <w:div w:id="908927990">
      <w:bodyDiv w:val="1"/>
      <w:marLeft w:val="0"/>
      <w:marRight w:val="0"/>
      <w:marTop w:val="0"/>
      <w:marBottom w:val="0"/>
      <w:divBdr>
        <w:top w:val="none" w:sz="0" w:space="0" w:color="auto"/>
        <w:left w:val="none" w:sz="0" w:space="0" w:color="auto"/>
        <w:bottom w:val="none" w:sz="0" w:space="0" w:color="auto"/>
        <w:right w:val="none" w:sz="0" w:space="0" w:color="auto"/>
      </w:divBdr>
    </w:div>
    <w:div w:id="910190994">
      <w:bodyDiv w:val="1"/>
      <w:marLeft w:val="0"/>
      <w:marRight w:val="0"/>
      <w:marTop w:val="0"/>
      <w:marBottom w:val="0"/>
      <w:divBdr>
        <w:top w:val="none" w:sz="0" w:space="0" w:color="auto"/>
        <w:left w:val="none" w:sz="0" w:space="0" w:color="auto"/>
        <w:bottom w:val="none" w:sz="0" w:space="0" w:color="auto"/>
        <w:right w:val="none" w:sz="0" w:space="0" w:color="auto"/>
      </w:divBdr>
    </w:div>
    <w:div w:id="953444046">
      <w:bodyDiv w:val="1"/>
      <w:marLeft w:val="0"/>
      <w:marRight w:val="0"/>
      <w:marTop w:val="0"/>
      <w:marBottom w:val="0"/>
      <w:divBdr>
        <w:top w:val="none" w:sz="0" w:space="0" w:color="auto"/>
        <w:left w:val="none" w:sz="0" w:space="0" w:color="auto"/>
        <w:bottom w:val="none" w:sz="0" w:space="0" w:color="auto"/>
        <w:right w:val="none" w:sz="0" w:space="0" w:color="auto"/>
      </w:divBdr>
    </w:div>
    <w:div w:id="954681214">
      <w:bodyDiv w:val="1"/>
      <w:marLeft w:val="0"/>
      <w:marRight w:val="0"/>
      <w:marTop w:val="0"/>
      <w:marBottom w:val="0"/>
      <w:divBdr>
        <w:top w:val="none" w:sz="0" w:space="0" w:color="auto"/>
        <w:left w:val="none" w:sz="0" w:space="0" w:color="auto"/>
        <w:bottom w:val="none" w:sz="0" w:space="0" w:color="auto"/>
        <w:right w:val="none" w:sz="0" w:space="0" w:color="auto"/>
      </w:divBdr>
    </w:div>
    <w:div w:id="988363982">
      <w:bodyDiv w:val="1"/>
      <w:marLeft w:val="0"/>
      <w:marRight w:val="0"/>
      <w:marTop w:val="0"/>
      <w:marBottom w:val="0"/>
      <w:divBdr>
        <w:top w:val="none" w:sz="0" w:space="0" w:color="auto"/>
        <w:left w:val="none" w:sz="0" w:space="0" w:color="auto"/>
        <w:bottom w:val="none" w:sz="0" w:space="0" w:color="auto"/>
        <w:right w:val="none" w:sz="0" w:space="0" w:color="auto"/>
      </w:divBdr>
    </w:div>
    <w:div w:id="991367962">
      <w:bodyDiv w:val="1"/>
      <w:marLeft w:val="0"/>
      <w:marRight w:val="0"/>
      <w:marTop w:val="0"/>
      <w:marBottom w:val="0"/>
      <w:divBdr>
        <w:top w:val="none" w:sz="0" w:space="0" w:color="auto"/>
        <w:left w:val="none" w:sz="0" w:space="0" w:color="auto"/>
        <w:bottom w:val="none" w:sz="0" w:space="0" w:color="auto"/>
        <w:right w:val="none" w:sz="0" w:space="0" w:color="auto"/>
      </w:divBdr>
    </w:div>
    <w:div w:id="998264010">
      <w:bodyDiv w:val="1"/>
      <w:marLeft w:val="0"/>
      <w:marRight w:val="0"/>
      <w:marTop w:val="0"/>
      <w:marBottom w:val="0"/>
      <w:divBdr>
        <w:top w:val="none" w:sz="0" w:space="0" w:color="auto"/>
        <w:left w:val="none" w:sz="0" w:space="0" w:color="auto"/>
        <w:bottom w:val="none" w:sz="0" w:space="0" w:color="auto"/>
        <w:right w:val="none" w:sz="0" w:space="0" w:color="auto"/>
      </w:divBdr>
    </w:div>
    <w:div w:id="1000041354">
      <w:bodyDiv w:val="1"/>
      <w:marLeft w:val="0"/>
      <w:marRight w:val="0"/>
      <w:marTop w:val="0"/>
      <w:marBottom w:val="0"/>
      <w:divBdr>
        <w:top w:val="none" w:sz="0" w:space="0" w:color="auto"/>
        <w:left w:val="none" w:sz="0" w:space="0" w:color="auto"/>
        <w:bottom w:val="none" w:sz="0" w:space="0" w:color="auto"/>
        <w:right w:val="none" w:sz="0" w:space="0" w:color="auto"/>
      </w:divBdr>
    </w:div>
    <w:div w:id="1042904882">
      <w:bodyDiv w:val="1"/>
      <w:marLeft w:val="0"/>
      <w:marRight w:val="0"/>
      <w:marTop w:val="0"/>
      <w:marBottom w:val="0"/>
      <w:divBdr>
        <w:top w:val="none" w:sz="0" w:space="0" w:color="auto"/>
        <w:left w:val="none" w:sz="0" w:space="0" w:color="auto"/>
        <w:bottom w:val="none" w:sz="0" w:space="0" w:color="auto"/>
        <w:right w:val="none" w:sz="0" w:space="0" w:color="auto"/>
      </w:divBdr>
    </w:div>
    <w:div w:id="1044333385">
      <w:bodyDiv w:val="1"/>
      <w:marLeft w:val="0"/>
      <w:marRight w:val="0"/>
      <w:marTop w:val="0"/>
      <w:marBottom w:val="0"/>
      <w:divBdr>
        <w:top w:val="none" w:sz="0" w:space="0" w:color="auto"/>
        <w:left w:val="none" w:sz="0" w:space="0" w:color="auto"/>
        <w:bottom w:val="none" w:sz="0" w:space="0" w:color="auto"/>
        <w:right w:val="none" w:sz="0" w:space="0" w:color="auto"/>
      </w:divBdr>
    </w:div>
    <w:div w:id="1086419198">
      <w:bodyDiv w:val="1"/>
      <w:marLeft w:val="0"/>
      <w:marRight w:val="0"/>
      <w:marTop w:val="0"/>
      <w:marBottom w:val="0"/>
      <w:divBdr>
        <w:top w:val="none" w:sz="0" w:space="0" w:color="auto"/>
        <w:left w:val="none" w:sz="0" w:space="0" w:color="auto"/>
        <w:bottom w:val="none" w:sz="0" w:space="0" w:color="auto"/>
        <w:right w:val="none" w:sz="0" w:space="0" w:color="auto"/>
      </w:divBdr>
    </w:div>
    <w:div w:id="1109081182">
      <w:bodyDiv w:val="1"/>
      <w:marLeft w:val="0"/>
      <w:marRight w:val="0"/>
      <w:marTop w:val="0"/>
      <w:marBottom w:val="0"/>
      <w:divBdr>
        <w:top w:val="none" w:sz="0" w:space="0" w:color="auto"/>
        <w:left w:val="none" w:sz="0" w:space="0" w:color="auto"/>
        <w:bottom w:val="none" w:sz="0" w:space="0" w:color="auto"/>
        <w:right w:val="none" w:sz="0" w:space="0" w:color="auto"/>
      </w:divBdr>
      <w:divsChild>
        <w:div w:id="907808276">
          <w:marLeft w:val="274"/>
          <w:marRight w:val="0"/>
          <w:marTop w:val="0"/>
          <w:marBottom w:val="0"/>
          <w:divBdr>
            <w:top w:val="none" w:sz="0" w:space="0" w:color="auto"/>
            <w:left w:val="none" w:sz="0" w:space="0" w:color="auto"/>
            <w:bottom w:val="none" w:sz="0" w:space="0" w:color="auto"/>
            <w:right w:val="none" w:sz="0" w:space="0" w:color="auto"/>
          </w:divBdr>
        </w:div>
        <w:div w:id="985933756">
          <w:marLeft w:val="274"/>
          <w:marRight w:val="0"/>
          <w:marTop w:val="0"/>
          <w:marBottom w:val="0"/>
          <w:divBdr>
            <w:top w:val="none" w:sz="0" w:space="0" w:color="auto"/>
            <w:left w:val="none" w:sz="0" w:space="0" w:color="auto"/>
            <w:bottom w:val="none" w:sz="0" w:space="0" w:color="auto"/>
            <w:right w:val="none" w:sz="0" w:space="0" w:color="auto"/>
          </w:divBdr>
        </w:div>
        <w:div w:id="1178232008">
          <w:marLeft w:val="274"/>
          <w:marRight w:val="0"/>
          <w:marTop w:val="0"/>
          <w:marBottom w:val="0"/>
          <w:divBdr>
            <w:top w:val="none" w:sz="0" w:space="0" w:color="auto"/>
            <w:left w:val="none" w:sz="0" w:space="0" w:color="auto"/>
            <w:bottom w:val="none" w:sz="0" w:space="0" w:color="auto"/>
            <w:right w:val="none" w:sz="0" w:space="0" w:color="auto"/>
          </w:divBdr>
        </w:div>
        <w:div w:id="1888563925">
          <w:marLeft w:val="274"/>
          <w:marRight w:val="0"/>
          <w:marTop w:val="0"/>
          <w:marBottom w:val="0"/>
          <w:divBdr>
            <w:top w:val="none" w:sz="0" w:space="0" w:color="auto"/>
            <w:left w:val="none" w:sz="0" w:space="0" w:color="auto"/>
            <w:bottom w:val="none" w:sz="0" w:space="0" w:color="auto"/>
            <w:right w:val="none" w:sz="0" w:space="0" w:color="auto"/>
          </w:divBdr>
        </w:div>
        <w:div w:id="2071226931">
          <w:marLeft w:val="274"/>
          <w:marRight w:val="0"/>
          <w:marTop w:val="0"/>
          <w:marBottom w:val="0"/>
          <w:divBdr>
            <w:top w:val="none" w:sz="0" w:space="0" w:color="auto"/>
            <w:left w:val="none" w:sz="0" w:space="0" w:color="auto"/>
            <w:bottom w:val="none" w:sz="0" w:space="0" w:color="auto"/>
            <w:right w:val="none" w:sz="0" w:space="0" w:color="auto"/>
          </w:divBdr>
        </w:div>
        <w:div w:id="2144232792">
          <w:marLeft w:val="274"/>
          <w:marRight w:val="0"/>
          <w:marTop w:val="0"/>
          <w:marBottom w:val="0"/>
          <w:divBdr>
            <w:top w:val="none" w:sz="0" w:space="0" w:color="auto"/>
            <w:left w:val="none" w:sz="0" w:space="0" w:color="auto"/>
            <w:bottom w:val="none" w:sz="0" w:space="0" w:color="auto"/>
            <w:right w:val="none" w:sz="0" w:space="0" w:color="auto"/>
          </w:divBdr>
        </w:div>
      </w:divsChild>
    </w:div>
    <w:div w:id="1133524086">
      <w:bodyDiv w:val="1"/>
      <w:marLeft w:val="0"/>
      <w:marRight w:val="0"/>
      <w:marTop w:val="0"/>
      <w:marBottom w:val="0"/>
      <w:divBdr>
        <w:top w:val="none" w:sz="0" w:space="0" w:color="auto"/>
        <w:left w:val="none" w:sz="0" w:space="0" w:color="auto"/>
        <w:bottom w:val="none" w:sz="0" w:space="0" w:color="auto"/>
        <w:right w:val="none" w:sz="0" w:space="0" w:color="auto"/>
      </w:divBdr>
    </w:div>
    <w:div w:id="1136486098">
      <w:bodyDiv w:val="1"/>
      <w:marLeft w:val="0"/>
      <w:marRight w:val="0"/>
      <w:marTop w:val="0"/>
      <w:marBottom w:val="0"/>
      <w:divBdr>
        <w:top w:val="none" w:sz="0" w:space="0" w:color="auto"/>
        <w:left w:val="none" w:sz="0" w:space="0" w:color="auto"/>
        <w:bottom w:val="none" w:sz="0" w:space="0" w:color="auto"/>
        <w:right w:val="none" w:sz="0" w:space="0" w:color="auto"/>
      </w:divBdr>
    </w:div>
    <w:div w:id="1162501350">
      <w:bodyDiv w:val="1"/>
      <w:marLeft w:val="0"/>
      <w:marRight w:val="0"/>
      <w:marTop w:val="0"/>
      <w:marBottom w:val="0"/>
      <w:divBdr>
        <w:top w:val="none" w:sz="0" w:space="0" w:color="auto"/>
        <w:left w:val="none" w:sz="0" w:space="0" w:color="auto"/>
        <w:bottom w:val="none" w:sz="0" w:space="0" w:color="auto"/>
        <w:right w:val="none" w:sz="0" w:space="0" w:color="auto"/>
      </w:divBdr>
    </w:div>
    <w:div w:id="1187670569">
      <w:bodyDiv w:val="1"/>
      <w:marLeft w:val="0"/>
      <w:marRight w:val="0"/>
      <w:marTop w:val="0"/>
      <w:marBottom w:val="0"/>
      <w:divBdr>
        <w:top w:val="none" w:sz="0" w:space="0" w:color="auto"/>
        <w:left w:val="none" w:sz="0" w:space="0" w:color="auto"/>
        <w:bottom w:val="none" w:sz="0" w:space="0" w:color="auto"/>
        <w:right w:val="none" w:sz="0" w:space="0" w:color="auto"/>
      </w:divBdr>
    </w:div>
    <w:div w:id="1204518631">
      <w:bodyDiv w:val="1"/>
      <w:marLeft w:val="0"/>
      <w:marRight w:val="0"/>
      <w:marTop w:val="0"/>
      <w:marBottom w:val="0"/>
      <w:divBdr>
        <w:top w:val="none" w:sz="0" w:space="0" w:color="auto"/>
        <w:left w:val="none" w:sz="0" w:space="0" w:color="auto"/>
        <w:bottom w:val="none" w:sz="0" w:space="0" w:color="auto"/>
        <w:right w:val="none" w:sz="0" w:space="0" w:color="auto"/>
      </w:divBdr>
    </w:div>
    <w:div w:id="1302539413">
      <w:bodyDiv w:val="1"/>
      <w:marLeft w:val="0"/>
      <w:marRight w:val="0"/>
      <w:marTop w:val="0"/>
      <w:marBottom w:val="0"/>
      <w:divBdr>
        <w:top w:val="none" w:sz="0" w:space="0" w:color="auto"/>
        <w:left w:val="none" w:sz="0" w:space="0" w:color="auto"/>
        <w:bottom w:val="none" w:sz="0" w:space="0" w:color="auto"/>
        <w:right w:val="none" w:sz="0" w:space="0" w:color="auto"/>
      </w:divBdr>
    </w:div>
    <w:div w:id="1306935214">
      <w:bodyDiv w:val="1"/>
      <w:marLeft w:val="0"/>
      <w:marRight w:val="0"/>
      <w:marTop w:val="0"/>
      <w:marBottom w:val="0"/>
      <w:divBdr>
        <w:top w:val="none" w:sz="0" w:space="0" w:color="auto"/>
        <w:left w:val="none" w:sz="0" w:space="0" w:color="auto"/>
        <w:bottom w:val="none" w:sz="0" w:space="0" w:color="auto"/>
        <w:right w:val="none" w:sz="0" w:space="0" w:color="auto"/>
      </w:divBdr>
    </w:div>
    <w:div w:id="1397820272">
      <w:bodyDiv w:val="1"/>
      <w:marLeft w:val="0"/>
      <w:marRight w:val="0"/>
      <w:marTop w:val="0"/>
      <w:marBottom w:val="0"/>
      <w:divBdr>
        <w:top w:val="none" w:sz="0" w:space="0" w:color="auto"/>
        <w:left w:val="none" w:sz="0" w:space="0" w:color="auto"/>
        <w:bottom w:val="none" w:sz="0" w:space="0" w:color="auto"/>
        <w:right w:val="none" w:sz="0" w:space="0" w:color="auto"/>
      </w:divBdr>
    </w:div>
    <w:div w:id="1401252208">
      <w:bodyDiv w:val="1"/>
      <w:marLeft w:val="0"/>
      <w:marRight w:val="0"/>
      <w:marTop w:val="0"/>
      <w:marBottom w:val="0"/>
      <w:divBdr>
        <w:top w:val="none" w:sz="0" w:space="0" w:color="auto"/>
        <w:left w:val="none" w:sz="0" w:space="0" w:color="auto"/>
        <w:bottom w:val="none" w:sz="0" w:space="0" w:color="auto"/>
        <w:right w:val="none" w:sz="0" w:space="0" w:color="auto"/>
      </w:divBdr>
    </w:div>
    <w:div w:id="1403869740">
      <w:bodyDiv w:val="1"/>
      <w:marLeft w:val="0"/>
      <w:marRight w:val="0"/>
      <w:marTop w:val="0"/>
      <w:marBottom w:val="0"/>
      <w:divBdr>
        <w:top w:val="none" w:sz="0" w:space="0" w:color="auto"/>
        <w:left w:val="none" w:sz="0" w:space="0" w:color="auto"/>
        <w:bottom w:val="none" w:sz="0" w:space="0" w:color="auto"/>
        <w:right w:val="none" w:sz="0" w:space="0" w:color="auto"/>
      </w:divBdr>
    </w:div>
    <w:div w:id="1421829543">
      <w:bodyDiv w:val="1"/>
      <w:marLeft w:val="0"/>
      <w:marRight w:val="0"/>
      <w:marTop w:val="0"/>
      <w:marBottom w:val="0"/>
      <w:divBdr>
        <w:top w:val="none" w:sz="0" w:space="0" w:color="auto"/>
        <w:left w:val="none" w:sz="0" w:space="0" w:color="auto"/>
        <w:bottom w:val="none" w:sz="0" w:space="0" w:color="auto"/>
        <w:right w:val="none" w:sz="0" w:space="0" w:color="auto"/>
      </w:divBdr>
    </w:div>
    <w:div w:id="1468401938">
      <w:bodyDiv w:val="1"/>
      <w:marLeft w:val="0"/>
      <w:marRight w:val="0"/>
      <w:marTop w:val="0"/>
      <w:marBottom w:val="0"/>
      <w:divBdr>
        <w:top w:val="none" w:sz="0" w:space="0" w:color="auto"/>
        <w:left w:val="none" w:sz="0" w:space="0" w:color="auto"/>
        <w:bottom w:val="none" w:sz="0" w:space="0" w:color="auto"/>
        <w:right w:val="none" w:sz="0" w:space="0" w:color="auto"/>
      </w:divBdr>
    </w:div>
    <w:div w:id="1481269782">
      <w:bodyDiv w:val="1"/>
      <w:marLeft w:val="0"/>
      <w:marRight w:val="0"/>
      <w:marTop w:val="0"/>
      <w:marBottom w:val="0"/>
      <w:divBdr>
        <w:top w:val="none" w:sz="0" w:space="0" w:color="auto"/>
        <w:left w:val="none" w:sz="0" w:space="0" w:color="auto"/>
        <w:bottom w:val="none" w:sz="0" w:space="0" w:color="auto"/>
        <w:right w:val="none" w:sz="0" w:space="0" w:color="auto"/>
      </w:divBdr>
    </w:div>
    <w:div w:id="1484007363">
      <w:bodyDiv w:val="1"/>
      <w:marLeft w:val="0"/>
      <w:marRight w:val="0"/>
      <w:marTop w:val="0"/>
      <w:marBottom w:val="0"/>
      <w:divBdr>
        <w:top w:val="none" w:sz="0" w:space="0" w:color="auto"/>
        <w:left w:val="none" w:sz="0" w:space="0" w:color="auto"/>
        <w:bottom w:val="none" w:sz="0" w:space="0" w:color="auto"/>
        <w:right w:val="none" w:sz="0" w:space="0" w:color="auto"/>
      </w:divBdr>
    </w:div>
    <w:div w:id="1497500044">
      <w:bodyDiv w:val="1"/>
      <w:marLeft w:val="0"/>
      <w:marRight w:val="0"/>
      <w:marTop w:val="0"/>
      <w:marBottom w:val="0"/>
      <w:divBdr>
        <w:top w:val="none" w:sz="0" w:space="0" w:color="auto"/>
        <w:left w:val="none" w:sz="0" w:space="0" w:color="auto"/>
        <w:bottom w:val="none" w:sz="0" w:space="0" w:color="auto"/>
        <w:right w:val="none" w:sz="0" w:space="0" w:color="auto"/>
      </w:divBdr>
    </w:div>
    <w:div w:id="1501501680">
      <w:bodyDiv w:val="1"/>
      <w:marLeft w:val="0"/>
      <w:marRight w:val="0"/>
      <w:marTop w:val="0"/>
      <w:marBottom w:val="0"/>
      <w:divBdr>
        <w:top w:val="none" w:sz="0" w:space="0" w:color="auto"/>
        <w:left w:val="none" w:sz="0" w:space="0" w:color="auto"/>
        <w:bottom w:val="none" w:sz="0" w:space="0" w:color="auto"/>
        <w:right w:val="none" w:sz="0" w:space="0" w:color="auto"/>
      </w:divBdr>
    </w:div>
    <w:div w:id="1502350885">
      <w:bodyDiv w:val="1"/>
      <w:marLeft w:val="0"/>
      <w:marRight w:val="0"/>
      <w:marTop w:val="0"/>
      <w:marBottom w:val="0"/>
      <w:divBdr>
        <w:top w:val="none" w:sz="0" w:space="0" w:color="auto"/>
        <w:left w:val="none" w:sz="0" w:space="0" w:color="auto"/>
        <w:bottom w:val="none" w:sz="0" w:space="0" w:color="auto"/>
        <w:right w:val="none" w:sz="0" w:space="0" w:color="auto"/>
      </w:divBdr>
    </w:div>
    <w:div w:id="1503473030">
      <w:bodyDiv w:val="1"/>
      <w:marLeft w:val="0"/>
      <w:marRight w:val="0"/>
      <w:marTop w:val="0"/>
      <w:marBottom w:val="0"/>
      <w:divBdr>
        <w:top w:val="none" w:sz="0" w:space="0" w:color="auto"/>
        <w:left w:val="none" w:sz="0" w:space="0" w:color="auto"/>
        <w:bottom w:val="none" w:sz="0" w:space="0" w:color="auto"/>
        <w:right w:val="none" w:sz="0" w:space="0" w:color="auto"/>
      </w:divBdr>
      <w:divsChild>
        <w:div w:id="1663393868">
          <w:marLeft w:val="403"/>
          <w:marRight w:val="0"/>
          <w:marTop w:val="0"/>
          <w:marBottom w:val="60"/>
          <w:divBdr>
            <w:top w:val="none" w:sz="0" w:space="0" w:color="auto"/>
            <w:left w:val="none" w:sz="0" w:space="0" w:color="auto"/>
            <w:bottom w:val="none" w:sz="0" w:space="0" w:color="auto"/>
            <w:right w:val="none" w:sz="0" w:space="0" w:color="auto"/>
          </w:divBdr>
        </w:div>
        <w:div w:id="960262676">
          <w:marLeft w:val="403"/>
          <w:marRight w:val="0"/>
          <w:marTop w:val="0"/>
          <w:marBottom w:val="60"/>
          <w:divBdr>
            <w:top w:val="none" w:sz="0" w:space="0" w:color="auto"/>
            <w:left w:val="none" w:sz="0" w:space="0" w:color="auto"/>
            <w:bottom w:val="none" w:sz="0" w:space="0" w:color="auto"/>
            <w:right w:val="none" w:sz="0" w:space="0" w:color="auto"/>
          </w:divBdr>
        </w:div>
        <w:div w:id="1288388736">
          <w:marLeft w:val="403"/>
          <w:marRight w:val="0"/>
          <w:marTop w:val="0"/>
          <w:marBottom w:val="60"/>
          <w:divBdr>
            <w:top w:val="none" w:sz="0" w:space="0" w:color="auto"/>
            <w:left w:val="none" w:sz="0" w:space="0" w:color="auto"/>
            <w:bottom w:val="none" w:sz="0" w:space="0" w:color="auto"/>
            <w:right w:val="none" w:sz="0" w:space="0" w:color="auto"/>
          </w:divBdr>
        </w:div>
        <w:div w:id="1803695576">
          <w:marLeft w:val="403"/>
          <w:marRight w:val="0"/>
          <w:marTop w:val="0"/>
          <w:marBottom w:val="60"/>
          <w:divBdr>
            <w:top w:val="none" w:sz="0" w:space="0" w:color="auto"/>
            <w:left w:val="none" w:sz="0" w:space="0" w:color="auto"/>
            <w:bottom w:val="none" w:sz="0" w:space="0" w:color="auto"/>
            <w:right w:val="none" w:sz="0" w:space="0" w:color="auto"/>
          </w:divBdr>
        </w:div>
        <w:div w:id="1484663544">
          <w:marLeft w:val="403"/>
          <w:marRight w:val="0"/>
          <w:marTop w:val="0"/>
          <w:marBottom w:val="60"/>
          <w:divBdr>
            <w:top w:val="none" w:sz="0" w:space="0" w:color="auto"/>
            <w:left w:val="none" w:sz="0" w:space="0" w:color="auto"/>
            <w:bottom w:val="none" w:sz="0" w:space="0" w:color="auto"/>
            <w:right w:val="none" w:sz="0" w:space="0" w:color="auto"/>
          </w:divBdr>
        </w:div>
        <w:div w:id="1458833699">
          <w:marLeft w:val="403"/>
          <w:marRight w:val="0"/>
          <w:marTop w:val="0"/>
          <w:marBottom w:val="60"/>
          <w:divBdr>
            <w:top w:val="none" w:sz="0" w:space="0" w:color="auto"/>
            <w:left w:val="none" w:sz="0" w:space="0" w:color="auto"/>
            <w:bottom w:val="none" w:sz="0" w:space="0" w:color="auto"/>
            <w:right w:val="none" w:sz="0" w:space="0" w:color="auto"/>
          </w:divBdr>
        </w:div>
        <w:div w:id="1398623156">
          <w:marLeft w:val="403"/>
          <w:marRight w:val="0"/>
          <w:marTop w:val="0"/>
          <w:marBottom w:val="60"/>
          <w:divBdr>
            <w:top w:val="none" w:sz="0" w:space="0" w:color="auto"/>
            <w:left w:val="none" w:sz="0" w:space="0" w:color="auto"/>
            <w:bottom w:val="none" w:sz="0" w:space="0" w:color="auto"/>
            <w:right w:val="none" w:sz="0" w:space="0" w:color="auto"/>
          </w:divBdr>
        </w:div>
      </w:divsChild>
    </w:div>
    <w:div w:id="1522283680">
      <w:bodyDiv w:val="1"/>
      <w:marLeft w:val="0"/>
      <w:marRight w:val="0"/>
      <w:marTop w:val="0"/>
      <w:marBottom w:val="0"/>
      <w:divBdr>
        <w:top w:val="none" w:sz="0" w:space="0" w:color="auto"/>
        <w:left w:val="none" w:sz="0" w:space="0" w:color="auto"/>
        <w:bottom w:val="none" w:sz="0" w:space="0" w:color="auto"/>
        <w:right w:val="none" w:sz="0" w:space="0" w:color="auto"/>
      </w:divBdr>
    </w:div>
    <w:div w:id="1579245348">
      <w:bodyDiv w:val="1"/>
      <w:marLeft w:val="0"/>
      <w:marRight w:val="0"/>
      <w:marTop w:val="0"/>
      <w:marBottom w:val="0"/>
      <w:divBdr>
        <w:top w:val="none" w:sz="0" w:space="0" w:color="auto"/>
        <w:left w:val="none" w:sz="0" w:space="0" w:color="auto"/>
        <w:bottom w:val="none" w:sz="0" w:space="0" w:color="auto"/>
        <w:right w:val="none" w:sz="0" w:space="0" w:color="auto"/>
      </w:divBdr>
    </w:div>
    <w:div w:id="1585454872">
      <w:bodyDiv w:val="1"/>
      <w:marLeft w:val="0"/>
      <w:marRight w:val="0"/>
      <w:marTop w:val="0"/>
      <w:marBottom w:val="0"/>
      <w:divBdr>
        <w:top w:val="none" w:sz="0" w:space="0" w:color="auto"/>
        <w:left w:val="none" w:sz="0" w:space="0" w:color="auto"/>
        <w:bottom w:val="none" w:sz="0" w:space="0" w:color="auto"/>
        <w:right w:val="none" w:sz="0" w:space="0" w:color="auto"/>
      </w:divBdr>
    </w:div>
    <w:div w:id="1639796155">
      <w:bodyDiv w:val="1"/>
      <w:marLeft w:val="0"/>
      <w:marRight w:val="0"/>
      <w:marTop w:val="0"/>
      <w:marBottom w:val="0"/>
      <w:divBdr>
        <w:top w:val="none" w:sz="0" w:space="0" w:color="auto"/>
        <w:left w:val="none" w:sz="0" w:space="0" w:color="auto"/>
        <w:bottom w:val="none" w:sz="0" w:space="0" w:color="auto"/>
        <w:right w:val="none" w:sz="0" w:space="0" w:color="auto"/>
      </w:divBdr>
    </w:div>
    <w:div w:id="1640258535">
      <w:bodyDiv w:val="1"/>
      <w:marLeft w:val="0"/>
      <w:marRight w:val="0"/>
      <w:marTop w:val="0"/>
      <w:marBottom w:val="0"/>
      <w:divBdr>
        <w:top w:val="none" w:sz="0" w:space="0" w:color="auto"/>
        <w:left w:val="none" w:sz="0" w:space="0" w:color="auto"/>
        <w:bottom w:val="none" w:sz="0" w:space="0" w:color="auto"/>
        <w:right w:val="none" w:sz="0" w:space="0" w:color="auto"/>
      </w:divBdr>
      <w:divsChild>
        <w:div w:id="426122632">
          <w:marLeft w:val="446"/>
          <w:marRight w:val="0"/>
          <w:marTop w:val="0"/>
          <w:marBottom w:val="0"/>
          <w:divBdr>
            <w:top w:val="none" w:sz="0" w:space="0" w:color="auto"/>
            <w:left w:val="none" w:sz="0" w:space="0" w:color="auto"/>
            <w:bottom w:val="none" w:sz="0" w:space="0" w:color="auto"/>
            <w:right w:val="none" w:sz="0" w:space="0" w:color="auto"/>
          </w:divBdr>
        </w:div>
        <w:div w:id="624580896">
          <w:marLeft w:val="1166"/>
          <w:marRight w:val="0"/>
          <w:marTop w:val="0"/>
          <w:marBottom w:val="0"/>
          <w:divBdr>
            <w:top w:val="none" w:sz="0" w:space="0" w:color="auto"/>
            <w:left w:val="none" w:sz="0" w:space="0" w:color="auto"/>
            <w:bottom w:val="none" w:sz="0" w:space="0" w:color="auto"/>
            <w:right w:val="none" w:sz="0" w:space="0" w:color="auto"/>
          </w:divBdr>
        </w:div>
        <w:div w:id="1231623617">
          <w:marLeft w:val="1166"/>
          <w:marRight w:val="0"/>
          <w:marTop w:val="0"/>
          <w:marBottom w:val="0"/>
          <w:divBdr>
            <w:top w:val="none" w:sz="0" w:space="0" w:color="auto"/>
            <w:left w:val="none" w:sz="0" w:space="0" w:color="auto"/>
            <w:bottom w:val="none" w:sz="0" w:space="0" w:color="auto"/>
            <w:right w:val="none" w:sz="0" w:space="0" w:color="auto"/>
          </w:divBdr>
        </w:div>
        <w:div w:id="1763604157">
          <w:marLeft w:val="1166"/>
          <w:marRight w:val="0"/>
          <w:marTop w:val="0"/>
          <w:marBottom w:val="0"/>
          <w:divBdr>
            <w:top w:val="none" w:sz="0" w:space="0" w:color="auto"/>
            <w:left w:val="none" w:sz="0" w:space="0" w:color="auto"/>
            <w:bottom w:val="none" w:sz="0" w:space="0" w:color="auto"/>
            <w:right w:val="none" w:sz="0" w:space="0" w:color="auto"/>
          </w:divBdr>
        </w:div>
      </w:divsChild>
    </w:div>
    <w:div w:id="1644965315">
      <w:bodyDiv w:val="1"/>
      <w:marLeft w:val="0"/>
      <w:marRight w:val="0"/>
      <w:marTop w:val="0"/>
      <w:marBottom w:val="0"/>
      <w:divBdr>
        <w:top w:val="none" w:sz="0" w:space="0" w:color="auto"/>
        <w:left w:val="none" w:sz="0" w:space="0" w:color="auto"/>
        <w:bottom w:val="none" w:sz="0" w:space="0" w:color="auto"/>
        <w:right w:val="none" w:sz="0" w:space="0" w:color="auto"/>
      </w:divBdr>
    </w:div>
    <w:div w:id="1718433299">
      <w:bodyDiv w:val="1"/>
      <w:marLeft w:val="0"/>
      <w:marRight w:val="0"/>
      <w:marTop w:val="0"/>
      <w:marBottom w:val="0"/>
      <w:divBdr>
        <w:top w:val="none" w:sz="0" w:space="0" w:color="auto"/>
        <w:left w:val="none" w:sz="0" w:space="0" w:color="auto"/>
        <w:bottom w:val="none" w:sz="0" w:space="0" w:color="auto"/>
        <w:right w:val="none" w:sz="0" w:space="0" w:color="auto"/>
      </w:divBdr>
    </w:div>
    <w:div w:id="1718625915">
      <w:bodyDiv w:val="1"/>
      <w:marLeft w:val="0"/>
      <w:marRight w:val="0"/>
      <w:marTop w:val="0"/>
      <w:marBottom w:val="0"/>
      <w:divBdr>
        <w:top w:val="none" w:sz="0" w:space="0" w:color="auto"/>
        <w:left w:val="none" w:sz="0" w:space="0" w:color="auto"/>
        <w:bottom w:val="none" w:sz="0" w:space="0" w:color="auto"/>
        <w:right w:val="none" w:sz="0" w:space="0" w:color="auto"/>
      </w:divBdr>
      <w:divsChild>
        <w:div w:id="817113741">
          <w:marLeft w:val="446"/>
          <w:marRight w:val="0"/>
          <w:marTop w:val="0"/>
          <w:marBottom w:val="120"/>
          <w:divBdr>
            <w:top w:val="none" w:sz="0" w:space="0" w:color="auto"/>
            <w:left w:val="none" w:sz="0" w:space="0" w:color="auto"/>
            <w:bottom w:val="none" w:sz="0" w:space="0" w:color="auto"/>
            <w:right w:val="none" w:sz="0" w:space="0" w:color="auto"/>
          </w:divBdr>
        </w:div>
      </w:divsChild>
    </w:div>
    <w:div w:id="1732120245">
      <w:bodyDiv w:val="1"/>
      <w:marLeft w:val="0"/>
      <w:marRight w:val="0"/>
      <w:marTop w:val="0"/>
      <w:marBottom w:val="0"/>
      <w:divBdr>
        <w:top w:val="none" w:sz="0" w:space="0" w:color="auto"/>
        <w:left w:val="none" w:sz="0" w:space="0" w:color="auto"/>
        <w:bottom w:val="none" w:sz="0" w:space="0" w:color="auto"/>
        <w:right w:val="none" w:sz="0" w:space="0" w:color="auto"/>
      </w:divBdr>
    </w:div>
    <w:div w:id="1749696114">
      <w:bodyDiv w:val="1"/>
      <w:marLeft w:val="0"/>
      <w:marRight w:val="0"/>
      <w:marTop w:val="0"/>
      <w:marBottom w:val="0"/>
      <w:divBdr>
        <w:top w:val="none" w:sz="0" w:space="0" w:color="auto"/>
        <w:left w:val="none" w:sz="0" w:space="0" w:color="auto"/>
        <w:bottom w:val="none" w:sz="0" w:space="0" w:color="auto"/>
        <w:right w:val="none" w:sz="0" w:space="0" w:color="auto"/>
      </w:divBdr>
    </w:div>
    <w:div w:id="1751077240">
      <w:bodyDiv w:val="1"/>
      <w:marLeft w:val="0"/>
      <w:marRight w:val="0"/>
      <w:marTop w:val="0"/>
      <w:marBottom w:val="0"/>
      <w:divBdr>
        <w:top w:val="none" w:sz="0" w:space="0" w:color="auto"/>
        <w:left w:val="none" w:sz="0" w:space="0" w:color="auto"/>
        <w:bottom w:val="none" w:sz="0" w:space="0" w:color="auto"/>
        <w:right w:val="none" w:sz="0" w:space="0" w:color="auto"/>
      </w:divBdr>
    </w:div>
    <w:div w:id="1769349630">
      <w:bodyDiv w:val="1"/>
      <w:marLeft w:val="0"/>
      <w:marRight w:val="0"/>
      <w:marTop w:val="0"/>
      <w:marBottom w:val="0"/>
      <w:divBdr>
        <w:top w:val="none" w:sz="0" w:space="0" w:color="auto"/>
        <w:left w:val="none" w:sz="0" w:space="0" w:color="auto"/>
        <w:bottom w:val="none" w:sz="0" w:space="0" w:color="auto"/>
        <w:right w:val="none" w:sz="0" w:space="0" w:color="auto"/>
      </w:divBdr>
    </w:div>
    <w:div w:id="1781728994">
      <w:bodyDiv w:val="1"/>
      <w:marLeft w:val="0"/>
      <w:marRight w:val="0"/>
      <w:marTop w:val="0"/>
      <w:marBottom w:val="0"/>
      <w:divBdr>
        <w:top w:val="none" w:sz="0" w:space="0" w:color="auto"/>
        <w:left w:val="none" w:sz="0" w:space="0" w:color="auto"/>
        <w:bottom w:val="none" w:sz="0" w:space="0" w:color="auto"/>
        <w:right w:val="none" w:sz="0" w:space="0" w:color="auto"/>
      </w:divBdr>
    </w:div>
    <w:div w:id="1817644855">
      <w:bodyDiv w:val="1"/>
      <w:marLeft w:val="0"/>
      <w:marRight w:val="0"/>
      <w:marTop w:val="0"/>
      <w:marBottom w:val="0"/>
      <w:divBdr>
        <w:top w:val="none" w:sz="0" w:space="0" w:color="auto"/>
        <w:left w:val="none" w:sz="0" w:space="0" w:color="auto"/>
        <w:bottom w:val="none" w:sz="0" w:space="0" w:color="auto"/>
        <w:right w:val="none" w:sz="0" w:space="0" w:color="auto"/>
      </w:divBdr>
    </w:div>
    <w:div w:id="1839618296">
      <w:bodyDiv w:val="1"/>
      <w:marLeft w:val="0"/>
      <w:marRight w:val="0"/>
      <w:marTop w:val="0"/>
      <w:marBottom w:val="0"/>
      <w:divBdr>
        <w:top w:val="none" w:sz="0" w:space="0" w:color="auto"/>
        <w:left w:val="none" w:sz="0" w:space="0" w:color="auto"/>
        <w:bottom w:val="none" w:sz="0" w:space="0" w:color="auto"/>
        <w:right w:val="none" w:sz="0" w:space="0" w:color="auto"/>
      </w:divBdr>
    </w:div>
    <w:div w:id="1984698935">
      <w:bodyDiv w:val="1"/>
      <w:marLeft w:val="0"/>
      <w:marRight w:val="0"/>
      <w:marTop w:val="0"/>
      <w:marBottom w:val="0"/>
      <w:divBdr>
        <w:top w:val="none" w:sz="0" w:space="0" w:color="auto"/>
        <w:left w:val="none" w:sz="0" w:space="0" w:color="auto"/>
        <w:bottom w:val="none" w:sz="0" w:space="0" w:color="auto"/>
        <w:right w:val="none" w:sz="0" w:space="0" w:color="auto"/>
      </w:divBdr>
    </w:div>
    <w:div w:id="2001617395">
      <w:bodyDiv w:val="1"/>
      <w:marLeft w:val="0"/>
      <w:marRight w:val="0"/>
      <w:marTop w:val="0"/>
      <w:marBottom w:val="0"/>
      <w:divBdr>
        <w:top w:val="none" w:sz="0" w:space="0" w:color="auto"/>
        <w:left w:val="none" w:sz="0" w:space="0" w:color="auto"/>
        <w:bottom w:val="none" w:sz="0" w:space="0" w:color="auto"/>
        <w:right w:val="none" w:sz="0" w:space="0" w:color="auto"/>
      </w:divBdr>
    </w:div>
    <w:div w:id="2015954271">
      <w:bodyDiv w:val="1"/>
      <w:marLeft w:val="0"/>
      <w:marRight w:val="0"/>
      <w:marTop w:val="0"/>
      <w:marBottom w:val="0"/>
      <w:divBdr>
        <w:top w:val="none" w:sz="0" w:space="0" w:color="auto"/>
        <w:left w:val="none" w:sz="0" w:space="0" w:color="auto"/>
        <w:bottom w:val="none" w:sz="0" w:space="0" w:color="auto"/>
        <w:right w:val="none" w:sz="0" w:space="0" w:color="auto"/>
      </w:divBdr>
    </w:div>
    <w:div w:id="2033408974">
      <w:bodyDiv w:val="1"/>
      <w:marLeft w:val="0"/>
      <w:marRight w:val="0"/>
      <w:marTop w:val="0"/>
      <w:marBottom w:val="0"/>
      <w:divBdr>
        <w:top w:val="none" w:sz="0" w:space="0" w:color="auto"/>
        <w:left w:val="none" w:sz="0" w:space="0" w:color="auto"/>
        <w:bottom w:val="none" w:sz="0" w:space="0" w:color="auto"/>
        <w:right w:val="none" w:sz="0" w:space="0" w:color="auto"/>
      </w:divBdr>
    </w:div>
    <w:div w:id="2074228489">
      <w:bodyDiv w:val="1"/>
      <w:marLeft w:val="0"/>
      <w:marRight w:val="0"/>
      <w:marTop w:val="0"/>
      <w:marBottom w:val="0"/>
      <w:divBdr>
        <w:top w:val="none" w:sz="0" w:space="0" w:color="auto"/>
        <w:left w:val="none" w:sz="0" w:space="0" w:color="auto"/>
        <w:bottom w:val="none" w:sz="0" w:space="0" w:color="auto"/>
        <w:right w:val="none" w:sz="0" w:space="0" w:color="auto"/>
      </w:divBdr>
    </w:div>
    <w:div w:id="2093232931">
      <w:bodyDiv w:val="1"/>
      <w:marLeft w:val="0"/>
      <w:marRight w:val="0"/>
      <w:marTop w:val="0"/>
      <w:marBottom w:val="0"/>
      <w:divBdr>
        <w:top w:val="none" w:sz="0" w:space="0" w:color="auto"/>
        <w:left w:val="none" w:sz="0" w:space="0" w:color="auto"/>
        <w:bottom w:val="none" w:sz="0" w:space="0" w:color="auto"/>
        <w:right w:val="none" w:sz="0" w:space="0" w:color="auto"/>
      </w:divBdr>
    </w:div>
    <w:div w:id="21309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13E7-FFE6-47B6-A4F0-38F9F16B2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C2469A-94B1-4213-AE4A-63DF46501FD3}">
  <ds:schemaRefs>
    <ds:schemaRef ds:uri="http://schemas.microsoft.com/sharepoint/v3/contenttype/forms"/>
  </ds:schemaRefs>
</ds:datastoreItem>
</file>

<file path=customXml/itemProps3.xml><?xml version="1.0" encoding="utf-8"?>
<ds:datastoreItem xmlns:ds="http://schemas.openxmlformats.org/officeDocument/2006/customXml" ds:itemID="{6B109BF6-06EA-4577-BD7B-053B4BD9B2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797E66-1CBB-4297-BD6A-152A164A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49</Pages>
  <Words>12347</Words>
  <Characters>67913</Characters>
  <Application>Microsoft Office Word</Application>
  <DocSecurity>0</DocSecurity>
  <Lines>565</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Martinez Anell</dc:creator>
  <cp:keywords/>
  <dc:description/>
  <cp:lastModifiedBy>Maria del Consuelo Gonzalez Moreno</cp:lastModifiedBy>
  <cp:revision>24</cp:revision>
  <cp:lastPrinted>2017-07-11T17:47:00Z</cp:lastPrinted>
  <dcterms:created xsi:type="dcterms:W3CDTF">2017-07-10T17:59:00Z</dcterms:created>
  <dcterms:modified xsi:type="dcterms:W3CDTF">2017-08-02T18:08:00Z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