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F0" w:rsidRDefault="00205857" w:rsidP="00205857">
      <w:pPr>
        <w:pStyle w:val="Ttulo1"/>
        <w:jc w:val="both"/>
        <w:rPr>
          <w:rFonts w:ascii="ITC Avant Garde" w:hAnsi="ITC Avant Garde"/>
          <w:b/>
          <w:color w:val="auto"/>
          <w:sz w:val="24"/>
          <w:szCs w:val="24"/>
        </w:rPr>
      </w:pPr>
      <w:r w:rsidRPr="00205857">
        <w:rPr>
          <w:rFonts w:ascii="ITC Avant Garde" w:hAnsi="ITC Avant Garde"/>
          <w:b/>
          <w:color w:val="auto"/>
          <w:sz w:val="24"/>
          <w:szCs w:val="24"/>
        </w:rPr>
        <w:t>ACUERDO MEDIANTE EL CUAL EL PLENO DEL INSTITUTO FEDERAL DE TELECOMUNICACIONES ESTABLECE EL GRUPO DE TRANSICIÓN A QUE SE REFIEREN LAS MEDIDAS SEXAGÉSIMA QUINTA DEL ANEXO 2 Y CUADRAGÉSIMA SÉPTIMA DEL ANEXO 3.</w:t>
      </w:r>
    </w:p>
    <w:p w:rsidR="00205857" w:rsidRPr="00B570F0" w:rsidRDefault="00205857" w:rsidP="00B570F0">
      <w:pPr>
        <w:pStyle w:val="Ttulo2"/>
        <w:spacing w:after="240"/>
        <w:jc w:val="center"/>
        <w:rPr>
          <w:rFonts w:ascii="ITC Avant Garde" w:hAnsi="ITC Avant Garde"/>
          <w:b/>
          <w:color w:val="000000" w:themeColor="text1"/>
          <w:sz w:val="24"/>
          <w:szCs w:val="24"/>
        </w:rPr>
      </w:pPr>
      <w:r w:rsidRPr="00B570F0">
        <w:rPr>
          <w:rFonts w:ascii="ITC Avant Garde" w:hAnsi="ITC Avant Garde"/>
          <w:b/>
          <w:color w:val="000000" w:themeColor="text1"/>
          <w:sz w:val="24"/>
          <w:szCs w:val="24"/>
        </w:rPr>
        <w:t>ANTECEDENTES</w:t>
      </w:r>
    </w:p>
    <w:p w:rsidR="00B570F0" w:rsidRDefault="00205857" w:rsidP="00A00940">
      <w:pPr>
        <w:pStyle w:val="Prrafodelista"/>
        <w:numPr>
          <w:ilvl w:val="0"/>
          <w:numId w:val="3"/>
        </w:numPr>
        <w:jc w:val="both"/>
        <w:rPr>
          <w:rFonts w:ascii="ITC Avant Garde" w:hAnsi="ITC Avant Garde"/>
        </w:rPr>
      </w:pPr>
      <w:r w:rsidRPr="00A00940">
        <w:rPr>
          <w:rFonts w:ascii="ITC Avant Garde" w:hAnsi="ITC Avant Garde"/>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rsidR="00B570F0" w:rsidRDefault="00205857" w:rsidP="00A00940">
      <w:pPr>
        <w:pStyle w:val="Prrafodelista"/>
        <w:numPr>
          <w:ilvl w:val="0"/>
          <w:numId w:val="3"/>
        </w:numPr>
        <w:jc w:val="both"/>
        <w:rPr>
          <w:rFonts w:ascii="ITC Avant Garde" w:hAnsi="ITC Avant Garde"/>
        </w:rPr>
      </w:pPr>
      <w:r w:rsidRPr="00A00940">
        <w:rPr>
          <w:rFonts w:ascii="ITC Avant Garde" w:hAnsi="ITC Avant Garde"/>
        </w:rPr>
        <w:t>El 6 de marzo de 2014, el Pleno del Instituto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CONCURRENCIA”(sic) (en lo sucesivo, la “Resolución de AEP”), con dicha Resolución se emitieron los Anexos siguiente:</w:t>
      </w:r>
    </w:p>
    <w:p w:rsidR="00205857" w:rsidRPr="00205857" w:rsidRDefault="00205857" w:rsidP="00A00940">
      <w:pPr>
        <w:ind w:left="1418" w:right="758"/>
        <w:jc w:val="both"/>
        <w:rPr>
          <w:rFonts w:ascii="ITC Avant Garde" w:hAnsi="ITC Avant Garde"/>
          <w:i/>
          <w:sz w:val="18"/>
          <w:szCs w:val="18"/>
        </w:rPr>
      </w:pPr>
      <w:r w:rsidRPr="00205857">
        <w:rPr>
          <w:rFonts w:ascii="ITC Avant Garde" w:hAnsi="ITC Avant Garde"/>
          <w:i/>
          <w:sz w:val="18"/>
          <w:szCs w:val="18"/>
        </w:rPr>
        <w:t>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rsidR="00205857" w:rsidRPr="00205857" w:rsidRDefault="00205857" w:rsidP="00A00940">
      <w:pPr>
        <w:ind w:left="1418" w:right="758"/>
        <w:jc w:val="both"/>
        <w:rPr>
          <w:rFonts w:ascii="ITC Avant Garde" w:hAnsi="ITC Avant Garde"/>
          <w:i/>
          <w:sz w:val="18"/>
          <w:szCs w:val="18"/>
        </w:rPr>
      </w:pPr>
      <w:r w:rsidRPr="00205857">
        <w:rPr>
          <w:rFonts w:ascii="ITC Avant Garde" w:hAnsi="ITC Avant Garde"/>
          <w:i/>
          <w:sz w:val="18"/>
          <w:szCs w:val="18"/>
        </w:rPr>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p>
    <w:p w:rsidR="00205857" w:rsidRPr="00205857" w:rsidRDefault="00205857" w:rsidP="00A00940">
      <w:pPr>
        <w:ind w:left="1418" w:right="758"/>
        <w:jc w:val="both"/>
        <w:rPr>
          <w:rFonts w:ascii="ITC Avant Garde" w:hAnsi="ITC Avant Garde"/>
          <w:i/>
          <w:sz w:val="18"/>
          <w:szCs w:val="18"/>
        </w:rPr>
      </w:pPr>
      <w:r w:rsidRPr="00205857">
        <w:rPr>
          <w:rFonts w:ascii="ITC Avant Garde" w:hAnsi="ITC Avant Garde"/>
          <w:i/>
          <w:sz w:val="18"/>
          <w:szCs w:val="18"/>
        </w:rPr>
        <w:t>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p>
    <w:p w:rsidR="00205857" w:rsidRPr="00C74460" w:rsidRDefault="00205857" w:rsidP="00A00940">
      <w:pPr>
        <w:ind w:left="1418" w:right="758"/>
        <w:jc w:val="both"/>
        <w:rPr>
          <w:rFonts w:ascii="ITC Avant Garde" w:hAnsi="ITC Avant Garde"/>
          <w:i/>
          <w:sz w:val="18"/>
          <w:szCs w:val="18"/>
        </w:rPr>
      </w:pPr>
      <w:r w:rsidRPr="00C74460">
        <w:rPr>
          <w:rFonts w:ascii="ITC Avant Garde" w:hAnsi="ITC Avant Garde"/>
          <w:i/>
          <w:sz w:val="18"/>
          <w:szCs w:val="18"/>
        </w:rPr>
        <w:t>Anexo 4, MEDIDAS EN MATERIA DE CONTENIDOS AUDIOVISUALES QUE SE ESTABLECERÁN AL AGENTE ECONÓMICO PREPONDERANTE EN TELECOMUNICACIONES.</w:t>
      </w:r>
    </w:p>
    <w:p w:rsidR="00B570F0" w:rsidRDefault="00205857" w:rsidP="00A00940">
      <w:pPr>
        <w:ind w:left="1418" w:right="758"/>
        <w:jc w:val="both"/>
        <w:rPr>
          <w:rFonts w:ascii="ITC Avant Garde" w:hAnsi="ITC Avant Garde"/>
          <w:i/>
          <w:sz w:val="18"/>
          <w:szCs w:val="18"/>
        </w:rPr>
      </w:pPr>
      <w:r w:rsidRPr="00C74460">
        <w:rPr>
          <w:rFonts w:ascii="ITC Avant Garde" w:hAnsi="ITC Avant Garde"/>
          <w:i/>
          <w:sz w:val="18"/>
          <w:szCs w:val="18"/>
        </w:rPr>
        <w:lastRenderedPageBreak/>
        <w:t>Anexo 5, CONVENIO MARCO DE INTERCONEXIÓN ENTRE LAS REDES DE [RAZÓN SOCIAL DEL INTEGRANTE DEL AGENTE ECONÓMICO PREPONDERANTE] CON LA RED PÚBLICA DE TELECOMUNICACIONES DE [RAZÓN SOCIAL DEL CONCESIONARIO].</w:t>
      </w:r>
    </w:p>
    <w:p w:rsidR="00B570F0" w:rsidRDefault="00205857" w:rsidP="00A00940">
      <w:pPr>
        <w:pStyle w:val="Prrafodelista"/>
        <w:numPr>
          <w:ilvl w:val="0"/>
          <w:numId w:val="3"/>
        </w:numPr>
        <w:jc w:val="both"/>
        <w:rPr>
          <w:rFonts w:ascii="ITC Avant Garde" w:hAnsi="ITC Avant Garde"/>
        </w:rPr>
      </w:pPr>
      <w:r w:rsidRPr="00A00940">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la “Ley”) el 13 de agosto de 2014.</w:t>
      </w:r>
    </w:p>
    <w:p w:rsidR="00B570F0" w:rsidRDefault="00205857" w:rsidP="00A00940">
      <w:pPr>
        <w:pStyle w:val="Prrafodelista"/>
        <w:numPr>
          <w:ilvl w:val="0"/>
          <w:numId w:val="3"/>
        </w:numPr>
        <w:jc w:val="both"/>
        <w:rPr>
          <w:rFonts w:ascii="ITC Avant Garde" w:hAnsi="ITC Avant Garde"/>
        </w:rPr>
      </w:pPr>
      <w:r w:rsidRPr="00A00940">
        <w:rPr>
          <w:rFonts w:ascii="ITC Avant Garde" w:hAnsi="ITC Avant Garde"/>
        </w:rPr>
        <w:t>El 4 de septiembre de 2014 se publicó en el DOF el “Estatuto Orgánico del Instituto Federal de Telecomunicaciones” (en lo sucesivo, el “Estatuto Orgánico”), el cual entró en vigor el 26 de septiembre de 2014, y fue modificado mediante publicaciones en el medio de difusión citado, el 17 de octubre de 2014 y el 17 de octubre de 2016.</w:t>
      </w:r>
    </w:p>
    <w:p w:rsidR="00205857" w:rsidRPr="00A00940" w:rsidRDefault="00205857" w:rsidP="00A00940">
      <w:pPr>
        <w:pStyle w:val="Prrafodelista"/>
        <w:numPr>
          <w:ilvl w:val="0"/>
          <w:numId w:val="3"/>
        </w:numPr>
        <w:jc w:val="both"/>
        <w:rPr>
          <w:rFonts w:ascii="ITC Avant Garde" w:hAnsi="ITC Avant Garde"/>
        </w:rPr>
      </w:pPr>
      <w:r w:rsidRPr="00A00940">
        <w:rPr>
          <w:rFonts w:ascii="ITC Avant Garde" w:hAnsi="ITC Avant Garde"/>
        </w:rPr>
        <w:t>El 27 de febrero de 2017, el Pleno del Instituto emitió el Acuerdo P/IFT/EXT/270217/119 denominado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w:t>
      </w:r>
    </w:p>
    <w:p w:rsidR="00205857" w:rsidRPr="00205857" w:rsidRDefault="00205857" w:rsidP="00205857">
      <w:pPr>
        <w:jc w:val="both"/>
        <w:rPr>
          <w:rFonts w:ascii="ITC Avant Garde" w:hAnsi="ITC Avant Garde"/>
        </w:rPr>
      </w:pPr>
      <w:r w:rsidRPr="00205857">
        <w:rPr>
          <w:rFonts w:ascii="ITC Avant Garde" w:hAnsi="ITC Avant Garde"/>
        </w:rPr>
        <w:t>En virtud de los Antecedentes señalados y,</w:t>
      </w:r>
    </w:p>
    <w:p w:rsidR="00205857" w:rsidRPr="00B570F0" w:rsidRDefault="00205857" w:rsidP="00B570F0">
      <w:pPr>
        <w:pStyle w:val="Ttulo2"/>
        <w:spacing w:after="240"/>
        <w:jc w:val="center"/>
        <w:rPr>
          <w:rFonts w:ascii="ITC Avant Garde" w:hAnsi="ITC Avant Garde"/>
          <w:b/>
          <w:color w:val="000000" w:themeColor="text1"/>
          <w:sz w:val="24"/>
          <w:szCs w:val="24"/>
        </w:rPr>
      </w:pPr>
      <w:r w:rsidRPr="00B570F0">
        <w:rPr>
          <w:rFonts w:ascii="ITC Avant Garde" w:hAnsi="ITC Avant Garde"/>
          <w:b/>
          <w:color w:val="000000" w:themeColor="text1"/>
          <w:sz w:val="24"/>
          <w:szCs w:val="24"/>
        </w:rPr>
        <w:t>CONSIDERANDO</w:t>
      </w:r>
    </w:p>
    <w:p w:rsidR="00205857" w:rsidRPr="00205857" w:rsidRDefault="00205857" w:rsidP="00205857">
      <w:pPr>
        <w:jc w:val="both"/>
        <w:rPr>
          <w:rFonts w:ascii="ITC Avant Garde" w:hAnsi="ITC Avant Garde"/>
        </w:rPr>
      </w:pPr>
      <w:r w:rsidRPr="00C74460">
        <w:rPr>
          <w:rFonts w:ascii="ITC Avant Garde" w:hAnsi="ITC Avant Garde"/>
          <w:b/>
        </w:rPr>
        <w:t>PRIMERO. Competencia del Instituto</w:t>
      </w:r>
      <w:r w:rsidRPr="00205857">
        <w:rPr>
          <w:rFonts w:ascii="ITC Avant Garde" w:hAnsi="ITC Avant Garde"/>
        </w:rPr>
        <w:t>. De conformidad con lo dispuesto en el artículo 28, párrafos décimo quinto y décimo sexto de la Constitución Política de los Estados Unidos Mexicanos (en lo sucesivo, la “Constitución”); 2 y 7 de la Ley; y 1, 4, fracción I y 6 fracción XXXVIII del Estatuto Orgánico, el Instituto Federal de Telecomunicaciones (en lo sucesivo,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rsidR="00205857" w:rsidRPr="00205857" w:rsidRDefault="00205857" w:rsidP="00205857">
      <w:pPr>
        <w:jc w:val="both"/>
        <w:rPr>
          <w:rFonts w:ascii="ITC Avant Garde" w:hAnsi="ITC Avant Garde"/>
        </w:rPr>
      </w:pPr>
      <w:r w:rsidRPr="00205857">
        <w:rPr>
          <w:rFonts w:ascii="ITC Avant Garde" w:hAnsi="ITC Avant Garde"/>
        </w:rPr>
        <w:t xml:space="preserve">Para tal efecto, tiene a su cargo la regulación, promoción y supervisión del uso, aprovechamiento y explotación del espectro radioeléctrico, las redes públicas de telecomunicaciones y la prestación de los servicios de radiodifusión y de telecomunicaciones, así como del acceso a la infraestructura activa y pasiva y otros insumos esenciales. </w:t>
      </w:r>
    </w:p>
    <w:p w:rsidR="00B570F0" w:rsidRDefault="00205857" w:rsidP="00205857">
      <w:pPr>
        <w:jc w:val="both"/>
        <w:rPr>
          <w:rFonts w:ascii="ITC Avant Garde" w:hAnsi="ITC Avant Garde"/>
        </w:rPr>
      </w:pPr>
      <w:r w:rsidRPr="00205857">
        <w:rPr>
          <w:rFonts w:ascii="ITC Avant Garde" w:hAnsi="ITC Avant Garde"/>
        </w:rPr>
        <w:t>Como órgano máximo de gobierno del Instituto, el Pleno resulta competente para emitir el presente Acuerdo.</w:t>
      </w:r>
    </w:p>
    <w:p w:rsidR="00205857" w:rsidRPr="00205857" w:rsidRDefault="00205857" w:rsidP="00205857">
      <w:pPr>
        <w:jc w:val="both"/>
        <w:rPr>
          <w:rFonts w:ascii="ITC Avant Garde" w:hAnsi="ITC Avant Garde"/>
        </w:rPr>
      </w:pPr>
      <w:r w:rsidRPr="00C74460">
        <w:rPr>
          <w:rFonts w:ascii="ITC Avant Garde" w:hAnsi="ITC Avant Garde"/>
          <w:b/>
        </w:rPr>
        <w:t>SEGUNDO. Grupo de Transición</w:t>
      </w:r>
      <w:r w:rsidRPr="00205857">
        <w:rPr>
          <w:rFonts w:ascii="ITC Avant Garde" w:hAnsi="ITC Avant Garde"/>
        </w:rPr>
        <w:t xml:space="preserve">. Con la Resolución Bienal se ordenó la separación funcional del Agente Económico Preponderante con el fin de garantizar el acceso efectivo a la red </w:t>
      </w:r>
      <w:r w:rsidRPr="00205857">
        <w:rPr>
          <w:rFonts w:ascii="ITC Avant Garde" w:hAnsi="ITC Avant Garde"/>
        </w:rPr>
        <w:lastRenderedPageBreak/>
        <w:t xml:space="preserve">local, la infraestructura pasiva y los enlaces dedicados locales, en condiciones no discriminatorias. </w:t>
      </w:r>
    </w:p>
    <w:p w:rsidR="00205857" w:rsidRPr="00205857" w:rsidRDefault="00205857" w:rsidP="00205857">
      <w:pPr>
        <w:jc w:val="both"/>
        <w:rPr>
          <w:rFonts w:ascii="ITC Avant Garde" w:hAnsi="ITC Avant Garde"/>
        </w:rPr>
      </w:pPr>
      <w:r w:rsidRPr="00205857">
        <w:rPr>
          <w:rFonts w:ascii="ITC Avant Garde" w:hAnsi="ITC Avant Garde"/>
        </w:rPr>
        <w:t>Con el fin de facilitar la implementación de la medida, se consideró necesaria la participación del Instituto, en coordinación con el Agente Económico Preponderante, en un grupo multidisciplinario que coadyuvará con consultas, aclaraciones e implementación de la medida. Dicho Grupo de Transición se reunirá de manera periódica, conforme a la agenda de trabajo que el mismo determine, para tratar temas relacionados con su implementación.</w:t>
      </w:r>
    </w:p>
    <w:p w:rsidR="00B570F0" w:rsidRDefault="00205857" w:rsidP="00205857">
      <w:pPr>
        <w:jc w:val="both"/>
        <w:rPr>
          <w:rFonts w:ascii="ITC Avant Garde" w:hAnsi="ITC Avant Garde"/>
        </w:rPr>
      </w:pPr>
      <w:r w:rsidRPr="00205857">
        <w:rPr>
          <w:rFonts w:ascii="ITC Avant Garde" w:hAnsi="ITC Avant Garde"/>
        </w:rPr>
        <w:t>En ese sentido, en la medida Sexagésima Quinta y Segunda Transitoria del Anexo 2 y Cuadragésima Séptima y Segunda Transitoria del Anexo 3, se estableció lo siguiente:</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 xml:space="preserve">“El Agente Económico Preponderante deberá separar funcionalmente la provisión de servicios mayoristas objeto de las medidas, a través de la creación de una persona moral y de una división mayorista, de conformidad con lo siguiente: </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La persona moral que constituya prestará exclusivamente los servicios mayoristas relacionados al menos con los elementos de la red local o de acceso, así como los enlaces dedicados locales y la infraestructura pasiva, asociados a dicha red, entre otros servicios mayoristas. Asimismo, la división mayorista dentro de la(s) empresa(s) existente(s) prestará los demás servicios mayoristas sujetos a las medidas que no sean prestados por la persona moral de reciente constitución.</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La persona moral que constituya deberá:</w:t>
      </w:r>
    </w:p>
    <w:p w:rsidR="00B570F0" w:rsidRDefault="00205857" w:rsidP="00C74460">
      <w:pPr>
        <w:pStyle w:val="Prrafodelista"/>
        <w:numPr>
          <w:ilvl w:val="0"/>
          <w:numId w:val="1"/>
        </w:numPr>
        <w:spacing w:before="120" w:after="120"/>
        <w:ind w:right="758"/>
        <w:jc w:val="both"/>
        <w:rPr>
          <w:rFonts w:ascii="ITC Avant Garde" w:hAnsi="ITC Avant Garde"/>
          <w:i/>
          <w:sz w:val="18"/>
          <w:szCs w:val="18"/>
        </w:rPr>
      </w:pPr>
      <w:r w:rsidRPr="00C74460">
        <w:rPr>
          <w:rFonts w:ascii="ITC Avant Garde" w:hAnsi="ITC Avant Garde"/>
          <w:i/>
          <w:sz w:val="18"/>
          <w:szCs w:val="18"/>
        </w:rPr>
        <w:t>Tener por objeto social exclusivamente la prestación de servicios mayoristas de telecomunicaciones;</w:t>
      </w:r>
    </w:p>
    <w:p w:rsidR="00B570F0" w:rsidRDefault="00205857" w:rsidP="00C74460">
      <w:pPr>
        <w:pStyle w:val="Prrafodelista"/>
        <w:numPr>
          <w:ilvl w:val="0"/>
          <w:numId w:val="1"/>
        </w:numPr>
        <w:spacing w:after="120"/>
        <w:ind w:right="758"/>
        <w:jc w:val="both"/>
        <w:rPr>
          <w:rFonts w:ascii="ITC Avant Garde" w:hAnsi="ITC Avant Garde"/>
          <w:i/>
          <w:sz w:val="18"/>
          <w:szCs w:val="18"/>
        </w:rPr>
      </w:pPr>
      <w:r w:rsidRPr="00C74460">
        <w:rPr>
          <w:rFonts w:ascii="ITC Avant Garde" w:hAnsi="ITC Avant Garde"/>
          <w:i/>
          <w:sz w:val="18"/>
          <w:szCs w:val="18"/>
        </w:rPr>
        <w:t>Ser responsable ante el Instituto del cumplimiento de obligaciones asociadas a los servicios mayoristas que preste;</w:t>
      </w:r>
    </w:p>
    <w:p w:rsidR="00B570F0" w:rsidRDefault="00205857" w:rsidP="00C74460">
      <w:pPr>
        <w:pStyle w:val="Prrafodelista"/>
        <w:numPr>
          <w:ilvl w:val="0"/>
          <w:numId w:val="1"/>
        </w:numPr>
        <w:spacing w:after="120"/>
        <w:ind w:right="758"/>
        <w:jc w:val="both"/>
        <w:rPr>
          <w:rFonts w:ascii="ITC Avant Garde" w:hAnsi="ITC Avant Garde"/>
          <w:i/>
          <w:sz w:val="18"/>
          <w:szCs w:val="18"/>
        </w:rPr>
      </w:pPr>
      <w:r w:rsidRPr="00C74460">
        <w:rPr>
          <w:rFonts w:ascii="ITC Avant Garde" w:hAnsi="ITC Avant Garde"/>
          <w:i/>
          <w:sz w:val="18"/>
          <w:szCs w:val="18"/>
        </w:rPr>
        <w:t xml:space="preserve">Proveer los servicios mayoristas regulados a los Concesionarios Solicitantes y Autorizados Solicitantes, en términos no discriminatorios, respecto de las empresas vinculadas al Agente Económico Preponderante. </w:t>
      </w:r>
    </w:p>
    <w:p w:rsidR="00B570F0" w:rsidRDefault="00205857" w:rsidP="00C74460">
      <w:pPr>
        <w:pStyle w:val="Prrafodelista"/>
        <w:spacing w:after="120"/>
        <w:ind w:left="1571" w:right="758"/>
        <w:jc w:val="both"/>
        <w:rPr>
          <w:rFonts w:ascii="ITC Avant Garde" w:hAnsi="ITC Avant Garde"/>
          <w:i/>
          <w:sz w:val="18"/>
          <w:szCs w:val="18"/>
        </w:rPr>
      </w:pPr>
      <w:r w:rsidRPr="00C74460">
        <w:rPr>
          <w:rFonts w:ascii="ITC Avant Garde" w:hAnsi="ITC Avant Garde"/>
          <w:i/>
          <w:sz w:val="18"/>
          <w:szCs w:val="18"/>
        </w:rPr>
        <w:t>Por condiciones no discriminatorias se entenderá que debe ofrecer los mismos términos y condiciones, niveles de precios y calidad de servicio, plazos, sistemas, procesos y grado de fiabilidad.</w:t>
      </w:r>
    </w:p>
    <w:p w:rsidR="00B570F0" w:rsidRDefault="00205857" w:rsidP="00C74460">
      <w:pPr>
        <w:pStyle w:val="Prrafodelista"/>
        <w:numPr>
          <w:ilvl w:val="0"/>
          <w:numId w:val="1"/>
        </w:numPr>
        <w:spacing w:after="120"/>
        <w:ind w:right="758"/>
        <w:jc w:val="both"/>
        <w:rPr>
          <w:rFonts w:ascii="ITC Avant Garde" w:hAnsi="ITC Avant Garde"/>
          <w:i/>
          <w:sz w:val="18"/>
          <w:szCs w:val="18"/>
        </w:rPr>
      </w:pPr>
      <w:r w:rsidRPr="00C74460">
        <w:rPr>
          <w:rFonts w:ascii="ITC Avant Garde" w:hAnsi="ITC Avant Garde"/>
          <w:i/>
          <w:sz w:val="18"/>
          <w:szCs w:val="18"/>
        </w:rPr>
        <w:t>Contar con órganos de decisión, administración y gobierno corporativo o equivalentes, independientes de los integrantes del Agente Económico Preponderante que cuenten con un título de concesión en materia de telecomunicaciones.</w:t>
      </w:r>
    </w:p>
    <w:p w:rsidR="00B570F0" w:rsidRDefault="00205857" w:rsidP="00C74460">
      <w:pPr>
        <w:pStyle w:val="Prrafodelista"/>
        <w:spacing w:after="120"/>
        <w:ind w:left="1571" w:right="758"/>
        <w:jc w:val="both"/>
        <w:rPr>
          <w:rFonts w:ascii="ITC Avant Garde" w:hAnsi="ITC Avant Garde"/>
          <w:i/>
          <w:sz w:val="18"/>
          <w:szCs w:val="18"/>
        </w:rPr>
      </w:pPr>
      <w:r w:rsidRPr="00C74460">
        <w:rPr>
          <w:rFonts w:ascii="ITC Avant Garde" w:hAnsi="ITC Avant Garde"/>
          <w:i/>
          <w:sz w:val="18"/>
          <w:szCs w:val="18"/>
        </w:rPr>
        <w:t>Dichos órganos no podrán ser unipersonales y deberán contar con miembros independientes y, previa autorización del Instituto, con representantes de la industria, incluidos aquéllos de concesionarios integrantes del Agente Económico Preponderante en su carácter de usuarios de los servicios de la nueva persona moral. Asimismo, el director general y demás personal directivo deberá ser distinto al de los integrantes del Agente Económico Preponderante que cuenten con un título de concesión en materia de telecomunicaciones.</w:t>
      </w:r>
    </w:p>
    <w:p w:rsidR="00B570F0" w:rsidRDefault="00205857" w:rsidP="00C74460">
      <w:pPr>
        <w:pStyle w:val="Prrafodelista"/>
        <w:numPr>
          <w:ilvl w:val="0"/>
          <w:numId w:val="1"/>
        </w:numPr>
        <w:spacing w:after="120"/>
        <w:ind w:right="758"/>
        <w:jc w:val="both"/>
        <w:rPr>
          <w:rFonts w:ascii="ITC Avant Garde" w:hAnsi="ITC Avant Garde"/>
          <w:i/>
          <w:sz w:val="18"/>
          <w:szCs w:val="18"/>
        </w:rPr>
      </w:pPr>
      <w:r w:rsidRPr="00C74460">
        <w:rPr>
          <w:rFonts w:ascii="ITC Avant Garde" w:hAnsi="ITC Avant Garde"/>
          <w:i/>
          <w:sz w:val="18"/>
          <w:szCs w:val="18"/>
        </w:rPr>
        <w:t>Contar con domicilio e instalaciones distintos a los de los integrantes del Agente Económico Preponderante que cuenten con un título de concesión en materia de telecomunicaciones;</w:t>
      </w:r>
    </w:p>
    <w:p w:rsidR="00B570F0" w:rsidRDefault="00205857" w:rsidP="00C74460">
      <w:pPr>
        <w:pStyle w:val="Prrafodelista"/>
        <w:numPr>
          <w:ilvl w:val="0"/>
          <w:numId w:val="1"/>
        </w:numPr>
        <w:spacing w:after="120"/>
        <w:ind w:right="758"/>
        <w:jc w:val="both"/>
        <w:rPr>
          <w:rFonts w:ascii="ITC Avant Garde" w:hAnsi="ITC Avant Garde"/>
          <w:i/>
          <w:sz w:val="18"/>
          <w:szCs w:val="18"/>
        </w:rPr>
      </w:pPr>
      <w:r w:rsidRPr="00C74460">
        <w:rPr>
          <w:rFonts w:ascii="ITC Avant Garde" w:hAnsi="ITC Avant Garde"/>
          <w:i/>
          <w:sz w:val="18"/>
          <w:szCs w:val="18"/>
        </w:rPr>
        <w:t>Contar con una marca propia que sea distinta a las empleadas por los integrantes del Agente Económico Preponderante que cuenten con un título de concesión en materia de telecomunicaciones;</w:t>
      </w:r>
    </w:p>
    <w:p w:rsidR="00B570F0" w:rsidRDefault="00205857" w:rsidP="00C74460">
      <w:pPr>
        <w:pStyle w:val="Prrafodelista"/>
        <w:numPr>
          <w:ilvl w:val="0"/>
          <w:numId w:val="1"/>
        </w:numPr>
        <w:spacing w:after="120"/>
        <w:ind w:right="758"/>
        <w:jc w:val="both"/>
        <w:rPr>
          <w:rFonts w:ascii="ITC Avant Garde" w:hAnsi="ITC Avant Garde"/>
          <w:i/>
          <w:sz w:val="18"/>
          <w:szCs w:val="18"/>
        </w:rPr>
      </w:pPr>
      <w:r w:rsidRPr="00C74460">
        <w:rPr>
          <w:rFonts w:ascii="ITC Avant Garde" w:hAnsi="ITC Avant Garde"/>
          <w:i/>
          <w:sz w:val="18"/>
          <w:szCs w:val="18"/>
        </w:rPr>
        <w:lastRenderedPageBreak/>
        <w:t>Contar con sistemas operativos y de gestión independientes a los de los integrantes del Agente Económico Preponderante que cuenten con un título de concesión en materia de telecomunicaciones;</w:t>
      </w:r>
    </w:p>
    <w:p w:rsidR="00B570F0" w:rsidRDefault="00205857" w:rsidP="00C74460">
      <w:pPr>
        <w:pStyle w:val="Prrafodelista"/>
        <w:numPr>
          <w:ilvl w:val="0"/>
          <w:numId w:val="1"/>
        </w:numPr>
        <w:spacing w:after="120"/>
        <w:ind w:right="758"/>
        <w:jc w:val="both"/>
        <w:rPr>
          <w:rFonts w:ascii="ITC Avant Garde" w:hAnsi="ITC Avant Garde"/>
          <w:i/>
          <w:sz w:val="18"/>
          <w:szCs w:val="18"/>
        </w:rPr>
      </w:pPr>
      <w:r w:rsidRPr="00C74460">
        <w:rPr>
          <w:rFonts w:ascii="ITC Avant Garde" w:hAnsi="ITC Avant Garde"/>
          <w:i/>
          <w:sz w:val="18"/>
          <w:szCs w:val="18"/>
        </w:rPr>
        <w:t>Contar con personal independiente al de las empresas integrantes del Agente Económico Preponderante que cuenten con un título de concesión en materia de telecomunicaciones, y</w:t>
      </w:r>
    </w:p>
    <w:p w:rsidR="00B570F0" w:rsidRDefault="00205857" w:rsidP="00C74460">
      <w:pPr>
        <w:pStyle w:val="Prrafodelista"/>
        <w:numPr>
          <w:ilvl w:val="0"/>
          <w:numId w:val="1"/>
        </w:numPr>
        <w:spacing w:after="120"/>
        <w:ind w:right="758"/>
        <w:jc w:val="both"/>
        <w:rPr>
          <w:rFonts w:ascii="ITC Avant Garde" w:hAnsi="ITC Avant Garde"/>
          <w:i/>
          <w:sz w:val="18"/>
          <w:szCs w:val="18"/>
        </w:rPr>
      </w:pPr>
      <w:r w:rsidRPr="00C74460">
        <w:rPr>
          <w:rFonts w:ascii="ITC Avant Garde" w:hAnsi="ITC Avant Garde"/>
          <w:i/>
          <w:sz w:val="18"/>
          <w:szCs w:val="18"/>
        </w:rPr>
        <w:t>Contar con manuales de procedimientos y códigos de ética que garanticen la independencia del funcionamiento de la nueva empresa con relación al de los integrantes del Agente Económico Preponderante que cuenten con un título de concesión en materia de telecomunicaciones.</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A efecto de implementar la presente medida, el Instituto participará, en coordinación con el Agente Económico Preponderante, en un grupo multidisciplinario que coadyuvará con consultas, aclaraciones e implementación de la medida. Dicho grupo de transición se reunirá de manera periódica, conforme a la agenda de trabajo que el mismo determine, para tratar, entre otros temas, los siguientes:</w:t>
      </w:r>
    </w:p>
    <w:p w:rsidR="00B570F0" w:rsidRDefault="00205857" w:rsidP="00A00940">
      <w:pPr>
        <w:pStyle w:val="Prrafodelista"/>
        <w:numPr>
          <w:ilvl w:val="1"/>
          <w:numId w:val="7"/>
        </w:numPr>
        <w:ind w:left="1560" w:right="758"/>
        <w:jc w:val="both"/>
        <w:rPr>
          <w:rFonts w:ascii="ITC Avant Garde" w:hAnsi="ITC Avant Garde"/>
          <w:i/>
          <w:sz w:val="18"/>
          <w:szCs w:val="18"/>
        </w:rPr>
      </w:pPr>
      <w:r w:rsidRPr="00A00940">
        <w:rPr>
          <w:rFonts w:ascii="ITC Avant Garde" w:hAnsi="ITC Avant Garde"/>
          <w:i/>
          <w:sz w:val="18"/>
          <w:szCs w:val="18"/>
        </w:rPr>
        <w:t>Los servicios mayoristas que deberá prestar la persona moral de reciente constitución y aquéllos que podrá prestar la división mayorista de la(s) empresa(s) existente(s);</w:t>
      </w:r>
    </w:p>
    <w:p w:rsidR="00B570F0" w:rsidRDefault="00205857" w:rsidP="00A00940">
      <w:pPr>
        <w:pStyle w:val="Prrafodelista"/>
        <w:numPr>
          <w:ilvl w:val="1"/>
          <w:numId w:val="7"/>
        </w:numPr>
        <w:ind w:left="1560" w:right="758"/>
        <w:jc w:val="both"/>
        <w:rPr>
          <w:rFonts w:ascii="ITC Avant Garde" w:hAnsi="ITC Avant Garde"/>
          <w:i/>
          <w:sz w:val="18"/>
          <w:szCs w:val="18"/>
        </w:rPr>
      </w:pPr>
      <w:r w:rsidRPr="00A00940">
        <w:rPr>
          <w:rFonts w:ascii="ITC Avant Garde" w:hAnsi="ITC Avant Garde"/>
          <w:i/>
          <w:sz w:val="18"/>
          <w:szCs w:val="18"/>
        </w:rPr>
        <w:t>Los recursos que deberán ser aportados a la persona moral en condiciones que permitan el efectivo desempeño de su objeto social y el cumplimiento de las medidas aplicables;</w:t>
      </w:r>
    </w:p>
    <w:p w:rsidR="00B570F0" w:rsidRDefault="00205857" w:rsidP="00A00940">
      <w:pPr>
        <w:pStyle w:val="Prrafodelista"/>
        <w:numPr>
          <w:ilvl w:val="1"/>
          <w:numId w:val="7"/>
        </w:numPr>
        <w:ind w:left="1560" w:right="758"/>
        <w:jc w:val="both"/>
        <w:rPr>
          <w:rFonts w:ascii="ITC Avant Garde" w:hAnsi="ITC Avant Garde"/>
          <w:i/>
          <w:sz w:val="18"/>
          <w:szCs w:val="18"/>
        </w:rPr>
      </w:pPr>
      <w:r w:rsidRPr="00A00940">
        <w:rPr>
          <w:rFonts w:ascii="ITC Avant Garde" w:hAnsi="ITC Avant Garde"/>
          <w:i/>
          <w:sz w:val="18"/>
          <w:szCs w:val="18"/>
        </w:rPr>
        <w:t>El calendario para la implementación y ejecución de la presente medida;</w:t>
      </w:r>
    </w:p>
    <w:p w:rsidR="00B570F0" w:rsidRDefault="00205857" w:rsidP="00A00940">
      <w:pPr>
        <w:pStyle w:val="Prrafodelista"/>
        <w:numPr>
          <w:ilvl w:val="1"/>
          <w:numId w:val="7"/>
        </w:numPr>
        <w:ind w:left="1560" w:right="758"/>
        <w:jc w:val="both"/>
        <w:rPr>
          <w:rFonts w:ascii="ITC Avant Garde" w:hAnsi="ITC Avant Garde"/>
          <w:i/>
          <w:sz w:val="18"/>
          <w:szCs w:val="18"/>
        </w:rPr>
      </w:pPr>
      <w:r w:rsidRPr="00A00940">
        <w:rPr>
          <w:rFonts w:ascii="ITC Avant Garde" w:hAnsi="ITC Avant Garde"/>
          <w:i/>
          <w:sz w:val="18"/>
          <w:szCs w:val="18"/>
        </w:rPr>
        <w:t>En su caso, la inclusión de indicadores adicionales aplicables a la provisión de los servicios mayoristas, los cuales podrán ser considerados por el Instituto para supervisar que los servicios mayoristas se presten en condiciones que cumplan con las medidas, y</w:t>
      </w:r>
    </w:p>
    <w:p w:rsidR="00B570F0" w:rsidRDefault="00205857" w:rsidP="00A00940">
      <w:pPr>
        <w:pStyle w:val="Prrafodelista"/>
        <w:numPr>
          <w:ilvl w:val="1"/>
          <w:numId w:val="7"/>
        </w:numPr>
        <w:ind w:left="1560" w:right="758"/>
        <w:jc w:val="both"/>
        <w:rPr>
          <w:rFonts w:ascii="ITC Avant Garde" w:hAnsi="ITC Avant Garde"/>
          <w:i/>
          <w:sz w:val="18"/>
          <w:szCs w:val="18"/>
        </w:rPr>
      </w:pPr>
      <w:r w:rsidRPr="00A00940">
        <w:rPr>
          <w:rFonts w:ascii="ITC Avant Garde" w:hAnsi="ITC Avant Garde"/>
          <w:i/>
          <w:sz w:val="18"/>
          <w:szCs w:val="18"/>
        </w:rPr>
        <w:t>Cualquier aspecto necesario para la implementación y ejecución de la presente medida</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 xml:space="preserve">“Para implementar la </w:t>
      </w:r>
      <w:proofErr w:type="gramStart"/>
      <w:r w:rsidRPr="00C74460">
        <w:rPr>
          <w:rFonts w:ascii="ITC Avant Garde" w:hAnsi="ITC Avant Garde"/>
          <w:i/>
          <w:sz w:val="18"/>
          <w:szCs w:val="18"/>
        </w:rPr>
        <w:t>medida …</w:t>
      </w:r>
      <w:proofErr w:type="gramEnd"/>
      <w:r w:rsidRPr="00C74460">
        <w:rPr>
          <w:rFonts w:ascii="ITC Avant Garde" w:hAnsi="ITC Avant Garde"/>
          <w:i/>
          <w:sz w:val="18"/>
          <w:szCs w:val="18"/>
        </w:rPr>
        <w:t>, el Agente Económico Preponderante:</w:t>
      </w:r>
    </w:p>
    <w:p w:rsidR="00B570F0" w:rsidRDefault="00205857" w:rsidP="00A00940">
      <w:pPr>
        <w:pStyle w:val="Prrafodelista"/>
        <w:numPr>
          <w:ilvl w:val="0"/>
          <w:numId w:val="8"/>
        </w:numPr>
        <w:ind w:right="758"/>
        <w:jc w:val="both"/>
        <w:rPr>
          <w:rFonts w:ascii="ITC Avant Garde" w:hAnsi="ITC Avant Garde"/>
          <w:i/>
          <w:sz w:val="18"/>
          <w:szCs w:val="18"/>
        </w:rPr>
      </w:pPr>
      <w:r w:rsidRPr="00A00940">
        <w:rPr>
          <w:rFonts w:ascii="ITC Avant Garde" w:hAnsi="ITC Avant Garde"/>
          <w:i/>
          <w:sz w:val="18"/>
          <w:szCs w:val="18"/>
        </w:rPr>
        <w:t xml:space="preserve">Deberá presentar para autorización del Instituto, en un plazo no mayor a 65 días hábiles posteriores a que surtan efectos las presentes modificaciones, supresiones y adiciones, una propuesta de plan de implementación para la constitución de la persona moral y de la división mayorista. </w:t>
      </w:r>
    </w:p>
    <w:p w:rsidR="00B570F0" w:rsidRDefault="00205857" w:rsidP="006C69D4">
      <w:pPr>
        <w:pStyle w:val="Prrafodelista"/>
        <w:ind w:left="1571" w:right="758"/>
        <w:jc w:val="both"/>
        <w:rPr>
          <w:rFonts w:ascii="ITC Avant Garde" w:hAnsi="ITC Avant Garde"/>
          <w:i/>
          <w:sz w:val="18"/>
          <w:szCs w:val="18"/>
        </w:rPr>
      </w:pPr>
      <w:r w:rsidRPr="00A00940">
        <w:rPr>
          <w:rFonts w:ascii="ITC Avant Garde" w:hAnsi="ITC Avant Garde"/>
          <w:i/>
          <w:sz w:val="18"/>
          <w:szCs w:val="18"/>
        </w:rPr>
        <w:t>En su caso, deberá acompañar a dicho plan una propuesta integral que desarrolle los planteamientos contenidos en su escrito presentado al Instituto el 14 de febrero de 2017.</w:t>
      </w:r>
    </w:p>
    <w:p w:rsidR="00B570F0" w:rsidRDefault="00205857" w:rsidP="006C69D4">
      <w:pPr>
        <w:pStyle w:val="Prrafodelista"/>
        <w:ind w:left="1571" w:right="758"/>
        <w:jc w:val="both"/>
        <w:rPr>
          <w:rFonts w:ascii="ITC Avant Garde" w:hAnsi="ITC Avant Garde"/>
          <w:i/>
          <w:sz w:val="18"/>
          <w:szCs w:val="18"/>
        </w:rPr>
      </w:pPr>
      <w:r w:rsidRPr="00A00940">
        <w:rPr>
          <w:rFonts w:ascii="ITC Avant Garde" w:hAnsi="ITC Avant Garde"/>
          <w:i/>
          <w:sz w:val="18"/>
          <w:szCs w:val="18"/>
        </w:rPr>
        <w:t>El plazo podrá ser ampliado hasta por 30 días hábiles, por una sola ocasión, siempre que dicha ampliación se solicite previo al inicio de la última quinta parte del plazo original, y</w:t>
      </w:r>
    </w:p>
    <w:p w:rsidR="00B570F0" w:rsidRDefault="00205857" w:rsidP="00A00940">
      <w:pPr>
        <w:pStyle w:val="Prrafodelista"/>
        <w:numPr>
          <w:ilvl w:val="0"/>
          <w:numId w:val="8"/>
        </w:numPr>
        <w:ind w:right="758"/>
        <w:jc w:val="both"/>
        <w:rPr>
          <w:rFonts w:ascii="ITC Avant Garde" w:hAnsi="ITC Avant Garde"/>
          <w:i/>
          <w:sz w:val="18"/>
          <w:szCs w:val="18"/>
        </w:rPr>
      </w:pPr>
      <w:r w:rsidRPr="00A00940">
        <w:rPr>
          <w:rFonts w:ascii="ITC Avant Garde" w:hAnsi="ITC Avant Garde"/>
          <w:i/>
          <w:sz w:val="18"/>
          <w:szCs w:val="18"/>
        </w:rPr>
        <w:t>Deberá incluir en la propuesta de plan de implementación los recursos que serán aportados a la persona moral de reciente constitución, que garanticen el efectivo desempeño de su objeto social y el cumplimiento de las medidas aplicables.</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 xml:space="preserve">El Instituto evaluará la información y documentación presentada en un plazo no mayor a 65 días hábiles posteriores a su entrega. Dentro de este periodo, se determinará si se aprueba en los términos presentados o si se solicitan modificaciones al Agente Económico Preponderante, de forma tal que se asegure la eficacia de la separación funcional y el cumplimiento de los objetivos previstos en la reforma constitucional en materia de telecomunicaciones. </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 xml:space="preserve">En caso de que el Instituto solicite modificaciones por considerar que no se cumple con los objetivos señalados, el Agente Económico Preponderante contará con un plazo no mayor a 30 días hábiles a partir de la notificación de la decisión del Instituto, para presentar una nueva propuesta. </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lastRenderedPageBreak/>
        <w:t xml:space="preserve">El Instituto contará con un plazo no mayor a 30 días hábiles contados a partir de la recepción de la propuesta modificada para determinar si se acepta en sus términos o debe ser modificada nuevamente. En caso de que el Instituto determine que la propuesta modificada presentada por el Agente Económico Preponderante no cumple con lo solicitado, hará las modificaciones necesarias para que la documentación contenga los elementos que permitan implementar la medida Cuadragésima Séptima, y notificará al Agente Económico Preponderante la versión final del documento. </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El Agente Económico Preponderante contará con un plazo no mayor a dos años posteriores a la aprobación del plan de implementación, para que la persona moral y la división mayorista estén completamente conformadas y proveyendo en su totalidad los servicios mayoristas que les apliquen.</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En caso de que el Agente Económico Preponderante acredite que la falta de cumplimiento se debe a causas que no le son imputables, podrá solicitar al Instituto Federal de Telecomunicaciones una prórroga, la cual se podrá otorgar por un plazo de hasta 1 año, por única ocasión y siempre y cuando dichas causas se encuentren debidamente justificadas.</w:t>
      </w:r>
    </w:p>
    <w:p w:rsidR="00205857" w:rsidRPr="00C74460" w:rsidRDefault="00205857" w:rsidP="00C74460">
      <w:pPr>
        <w:ind w:left="851" w:right="758"/>
        <w:jc w:val="both"/>
        <w:rPr>
          <w:rFonts w:ascii="ITC Avant Garde" w:hAnsi="ITC Avant Garde"/>
          <w:i/>
          <w:sz w:val="18"/>
          <w:szCs w:val="18"/>
        </w:rPr>
      </w:pPr>
      <w:r w:rsidRPr="00C74460">
        <w:rPr>
          <w:rFonts w:ascii="ITC Avant Garde" w:hAnsi="ITC Avant Garde"/>
          <w:i/>
          <w:sz w:val="18"/>
          <w:szCs w:val="18"/>
        </w:rPr>
        <w:t xml:space="preserve">El Instituto, en un plazo no mayor a 30 días hábiles siguientes a que surtan efectos las presentes modificaciones, supresiones y adiciones, convocará al Agente Económico Preponderante para constituir el grupo de transición al que refiere la </w:t>
      </w:r>
      <w:proofErr w:type="gramStart"/>
      <w:r w:rsidRPr="00C74460">
        <w:rPr>
          <w:rFonts w:ascii="ITC Avant Garde" w:hAnsi="ITC Avant Garde"/>
          <w:i/>
          <w:sz w:val="18"/>
          <w:szCs w:val="18"/>
        </w:rPr>
        <w:t>medida …</w:t>
      </w:r>
      <w:proofErr w:type="gramEnd"/>
      <w:r w:rsidRPr="00C74460">
        <w:rPr>
          <w:rFonts w:ascii="ITC Avant Garde" w:hAnsi="ITC Avant Garde"/>
          <w:i/>
          <w:sz w:val="18"/>
          <w:szCs w:val="18"/>
        </w:rPr>
        <w:t>, y definir sus integrantes.”</w:t>
      </w:r>
    </w:p>
    <w:p w:rsidR="00B570F0" w:rsidRDefault="00205857" w:rsidP="00205857">
      <w:pPr>
        <w:jc w:val="both"/>
        <w:rPr>
          <w:rFonts w:ascii="ITC Avant Garde" w:hAnsi="ITC Avant Garde"/>
        </w:rPr>
      </w:pPr>
      <w:r w:rsidRPr="00205857">
        <w:rPr>
          <w:rFonts w:ascii="ITC Avant Garde" w:hAnsi="ITC Avant Garde"/>
        </w:rPr>
        <w:t>Por lo expuesto y con fundamento en los artículos 28 párrafos décimo quinto y décimo sexto de la Constitución Política de los Estados Unidos Mexicanos; 1, 2, 7, 15 fracción LXIII, 16 y 17 fracción XV de la Ley Federal de Telecomunicaciones y Radiodifusión; 1, 4 fracción I, 6 fracción XXXVIII y 97 fracción IV del Estatuto Orgánico del Instituto Federal de Telecomunicaciones, así como en las medidas Sexagésima Quinta y Segunda Transitoria del Anexo 2 y Cuadragésima Séptima y Segunda Transitoria del Anexo 3 de la Resolución P/IFT/EXT/270217/119 denominada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el Pleno de este Instituto Federal Telecomunicaciones emite el siguiente:</w:t>
      </w:r>
    </w:p>
    <w:p w:rsidR="00205857" w:rsidRPr="006C69D4" w:rsidRDefault="00205857" w:rsidP="006C69D4">
      <w:pPr>
        <w:jc w:val="center"/>
        <w:rPr>
          <w:rFonts w:ascii="ITC Avant Garde" w:hAnsi="ITC Avant Garde"/>
          <w:b/>
        </w:rPr>
      </w:pPr>
      <w:r w:rsidRPr="006C69D4">
        <w:rPr>
          <w:rFonts w:ascii="ITC Avant Garde" w:hAnsi="ITC Avant Garde"/>
          <w:b/>
        </w:rPr>
        <w:t>ACUERDO</w:t>
      </w:r>
    </w:p>
    <w:p w:rsidR="00205857" w:rsidRPr="00205857" w:rsidRDefault="00205857" w:rsidP="00205857">
      <w:pPr>
        <w:jc w:val="both"/>
        <w:rPr>
          <w:rFonts w:ascii="ITC Avant Garde" w:hAnsi="ITC Avant Garde"/>
        </w:rPr>
      </w:pPr>
      <w:r w:rsidRPr="006C69D4">
        <w:rPr>
          <w:rFonts w:ascii="ITC Avant Garde" w:hAnsi="ITC Avant Garde"/>
          <w:b/>
        </w:rPr>
        <w:t>PRIMERO.</w:t>
      </w:r>
      <w:r w:rsidRPr="00205857">
        <w:rPr>
          <w:rFonts w:ascii="ITC Avant Garde" w:hAnsi="ITC Avant Garde"/>
        </w:rPr>
        <w:t xml:space="preserve"> Se establece el Grupo de Transición a que se refieren las medidas Sexagésima Quinta y Segunda Transitoria del Anexo 2 y Cuadragésima Séptima y Segunda Transitoria del Anexo 3 de la Resolución Bienal.</w:t>
      </w:r>
    </w:p>
    <w:p w:rsidR="00205857" w:rsidRPr="00205857" w:rsidRDefault="00205857" w:rsidP="00205857">
      <w:pPr>
        <w:jc w:val="both"/>
        <w:rPr>
          <w:rFonts w:ascii="ITC Avant Garde" w:hAnsi="ITC Avant Garde"/>
        </w:rPr>
      </w:pPr>
      <w:r w:rsidRPr="006C69D4">
        <w:rPr>
          <w:rFonts w:ascii="ITC Avant Garde" w:hAnsi="ITC Avant Garde"/>
          <w:b/>
        </w:rPr>
        <w:t>SEGUNDO.</w:t>
      </w:r>
      <w:r w:rsidRPr="00205857">
        <w:rPr>
          <w:rFonts w:ascii="ITC Avant Garde" w:hAnsi="ITC Avant Garde"/>
        </w:rPr>
        <w:t xml:space="preserve"> El Grupo de Transición se integra de la siguiente manera:</w:t>
      </w:r>
    </w:p>
    <w:p w:rsidR="00205857" w:rsidRPr="00205857" w:rsidRDefault="00205857" w:rsidP="006C69D4">
      <w:pPr>
        <w:ind w:left="708"/>
        <w:jc w:val="both"/>
        <w:rPr>
          <w:rFonts w:ascii="ITC Avant Garde" w:hAnsi="ITC Avant Garde"/>
        </w:rPr>
      </w:pPr>
      <w:r w:rsidRPr="00205857">
        <w:rPr>
          <w:rFonts w:ascii="ITC Avant Garde" w:hAnsi="ITC Avant Garde"/>
        </w:rPr>
        <w:t></w:t>
      </w:r>
      <w:r w:rsidRPr="00205857">
        <w:rPr>
          <w:rFonts w:ascii="ITC Avant Garde" w:hAnsi="ITC Avant Garde"/>
        </w:rPr>
        <w:tab/>
        <w:t>El Coordinador Ejecutivo, quien fungirá como coordinador del mismo;</w:t>
      </w:r>
    </w:p>
    <w:p w:rsidR="00205857" w:rsidRPr="00205857" w:rsidRDefault="00205857" w:rsidP="006C69D4">
      <w:pPr>
        <w:ind w:left="708"/>
        <w:jc w:val="both"/>
        <w:rPr>
          <w:rFonts w:ascii="ITC Avant Garde" w:hAnsi="ITC Avant Garde"/>
        </w:rPr>
      </w:pPr>
      <w:r w:rsidRPr="00205857">
        <w:rPr>
          <w:rFonts w:ascii="ITC Avant Garde" w:hAnsi="ITC Avant Garde"/>
        </w:rPr>
        <w:t></w:t>
      </w:r>
      <w:r w:rsidRPr="00205857">
        <w:rPr>
          <w:rFonts w:ascii="ITC Avant Garde" w:hAnsi="ITC Avant Garde"/>
        </w:rPr>
        <w:tab/>
        <w:t>El Titular de la Unidad de Política Regulatoria;</w:t>
      </w:r>
    </w:p>
    <w:p w:rsidR="00205857" w:rsidRPr="00205857" w:rsidRDefault="00205857" w:rsidP="006C69D4">
      <w:pPr>
        <w:ind w:left="708"/>
        <w:jc w:val="both"/>
        <w:rPr>
          <w:rFonts w:ascii="ITC Avant Garde" w:hAnsi="ITC Avant Garde"/>
        </w:rPr>
      </w:pPr>
      <w:r w:rsidRPr="00205857">
        <w:rPr>
          <w:rFonts w:ascii="ITC Avant Garde" w:hAnsi="ITC Avant Garde"/>
        </w:rPr>
        <w:t></w:t>
      </w:r>
      <w:r w:rsidRPr="00205857">
        <w:rPr>
          <w:rFonts w:ascii="ITC Avant Garde" w:hAnsi="ITC Avant Garde"/>
        </w:rPr>
        <w:tab/>
        <w:t>El Titular de la Unidad de Cumplimiento;</w:t>
      </w:r>
    </w:p>
    <w:p w:rsidR="00205857" w:rsidRPr="00205857" w:rsidRDefault="00205857" w:rsidP="006C69D4">
      <w:pPr>
        <w:ind w:left="708"/>
        <w:jc w:val="both"/>
        <w:rPr>
          <w:rFonts w:ascii="ITC Avant Garde" w:hAnsi="ITC Avant Garde"/>
        </w:rPr>
      </w:pPr>
      <w:r w:rsidRPr="00205857">
        <w:rPr>
          <w:rFonts w:ascii="ITC Avant Garde" w:hAnsi="ITC Avant Garde"/>
        </w:rPr>
        <w:t></w:t>
      </w:r>
      <w:r w:rsidRPr="00205857">
        <w:rPr>
          <w:rFonts w:ascii="ITC Avant Garde" w:hAnsi="ITC Avant Garde"/>
        </w:rPr>
        <w:tab/>
        <w:t>La Titular de la Unida de Competencia Económica;</w:t>
      </w:r>
    </w:p>
    <w:p w:rsidR="00205857" w:rsidRPr="00205857" w:rsidRDefault="00205857" w:rsidP="006C69D4">
      <w:pPr>
        <w:ind w:left="708"/>
        <w:jc w:val="both"/>
        <w:rPr>
          <w:rFonts w:ascii="ITC Avant Garde" w:hAnsi="ITC Avant Garde"/>
        </w:rPr>
      </w:pPr>
      <w:r w:rsidRPr="00205857">
        <w:rPr>
          <w:rFonts w:ascii="ITC Avant Garde" w:hAnsi="ITC Avant Garde"/>
        </w:rPr>
        <w:lastRenderedPageBreak/>
        <w:t></w:t>
      </w:r>
      <w:r w:rsidRPr="00205857">
        <w:rPr>
          <w:rFonts w:ascii="ITC Avant Garde" w:hAnsi="ITC Avant Garde"/>
        </w:rPr>
        <w:tab/>
        <w:t>El Titular de la Unidad de Asuntos Jurídicos, y</w:t>
      </w:r>
    </w:p>
    <w:p w:rsidR="00205857" w:rsidRPr="00205857" w:rsidRDefault="00205857" w:rsidP="006C69D4">
      <w:pPr>
        <w:ind w:left="708"/>
        <w:jc w:val="both"/>
        <w:rPr>
          <w:rFonts w:ascii="ITC Avant Garde" w:hAnsi="ITC Avant Garde"/>
        </w:rPr>
      </w:pPr>
      <w:bookmarkStart w:id="0" w:name="_GoBack"/>
      <w:bookmarkEnd w:id="0"/>
      <w:r w:rsidRPr="00205857">
        <w:rPr>
          <w:rFonts w:ascii="ITC Avant Garde" w:hAnsi="ITC Avant Garde"/>
        </w:rPr>
        <w:t></w:t>
      </w:r>
      <w:r w:rsidRPr="00205857">
        <w:rPr>
          <w:rFonts w:ascii="ITC Avant Garde" w:hAnsi="ITC Avant Garde"/>
        </w:rPr>
        <w:tab/>
        <w:t>Cinco representantes designados por el Agente Económico Preponderante.</w:t>
      </w:r>
    </w:p>
    <w:p w:rsidR="00205857" w:rsidRPr="00205857" w:rsidRDefault="00205857" w:rsidP="00205857">
      <w:pPr>
        <w:jc w:val="both"/>
        <w:rPr>
          <w:rFonts w:ascii="ITC Avant Garde" w:hAnsi="ITC Avant Garde"/>
        </w:rPr>
      </w:pPr>
      <w:r w:rsidRPr="00205857">
        <w:rPr>
          <w:rFonts w:ascii="ITC Avant Garde" w:hAnsi="ITC Avant Garde"/>
        </w:rPr>
        <w:t>Los integrantes del Grupo de Transición designarán a un suplente, al menos con nivel de director general. Asimismo, durante las sesiones podrán acompañarse del personal interno y/o externo que se estime necesario, cuya participación se hará constar en el acta correspondiente.</w:t>
      </w:r>
    </w:p>
    <w:p w:rsidR="00B570F0" w:rsidRDefault="00205857" w:rsidP="00205857">
      <w:pPr>
        <w:jc w:val="both"/>
        <w:rPr>
          <w:rFonts w:ascii="ITC Avant Garde" w:hAnsi="ITC Avant Garde"/>
        </w:rPr>
      </w:pPr>
      <w:r w:rsidRPr="00205857">
        <w:rPr>
          <w:rFonts w:ascii="ITC Avant Garde" w:hAnsi="ITC Avant Garde"/>
        </w:rPr>
        <w:t>Los aspectos relativos al funcionamiento del Grupo de Transición, se establecerán en las Reglas de Operación que el mismo expida.</w:t>
      </w:r>
    </w:p>
    <w:p w:rsidR="00205857" w:rsidRPr="00B570F0" w:rsidRDefault="00205857" w:rsidP="00B570F0">
      <w:pPr>
        <w:pStyle w:val="Ttulo2"/>
        <w:spacing w:after="240"/>
        <w:jc w:val="center"/>
        <w:rPr>
          <w:rFonts w:ascii="ITC Avant Garde" w:hAnsi="ITC Avant Garde"/>
          <w:b/>
          <w:color w:val="000000" w:themeColor="text1"/>
          <w:sz w:val="24"/>
          <w:szCs w:val="24"/>
        </w:rPr>
      </w:pPr>
      <w:r w:rsidRPr="00B570F0">
        <w:rPr>
          <w:rFonts w:ascii="ITC Avant Garde" w:hAnsi="ITC Avant Garde"/>
          <w:b/>
          <w:color w:val="000000" w:themeColor="text1"/>
          <w:sz w:val="24"/>
          <w:szCs w:val="24"/>
        </w:rPr>
        <w:t>TRANSITORIOS</w:t>
      </w:r>
    </w:p>
    <w:p w:rsidR="00205857" w:rsidRPr="00205857" w:rsidRDefault="00205857" w:rsidP="00205857">
      <w:pPr>
        <w:jc w:val="both"/>
        <w:rPr>
          <w:rFonts w:ascii="ITC Avant Garde" w:hAnsi="ITC Avant Garde"/>
        </w:rPr>
      </w:pPr>
      <w:r w:rsidRPr="006C69D4">
        <w:rPr>
          <w:rFonts w:ascii="ITC Avant Garde" w:hAnsi="ITC Avant Garde"/>
          <w:b/>
        </w:rPr>
        <w:t>PRIMERO.</w:t>
      </w:r>
      <w:r w:rsidRPr="00205857">
        <w:rPr>
          <w:rFonts w:ascii="ITC Avant Garde" w:hAnsi="ITC Avant Garde"/>
        </w:rPr>
        <w:t xml:space="preserve"> Notifíquese el presente Acuerdo al Agente Económico Preponderante.</w:t>
      </w:r>
    </w:p>
    <w:p w:rsidR="00205857" w:rsidRPr="00205857" w:rsidRDefault="00205857" w:rsidP="00205857">
      <w:pPr>
        <w:jc w:val="both"/>
        <w:rPr>
          <w:rFonts w:ascii="ITC Avant Garde" w:hAnsi="ITC Avant Garde"/>
        </w:rPr>
      </w:pPr>
      <w:r w:rsidRPr="006C69D4">
        <w:rPr>
          <w:rFonts w:ascii="ITC Avant Garde" w:hAnsi="ITC Avant Garde"/>
          <w:b/>
        </w:rPr>
        <w:t>SEGUNDO.</w:t>
      </w:r>
      <w:r w:rsidRPr="00205857">
        <w:rPr>
          <w:rFonts w:ascii="ITC Avant Garde" w:hAnsi="ITC Avant Garde"/>
        </w:rPr>
        <w:t xml:space="preserve"> La sesión de instalación del Grupo de Trabajo tendrá verificativo el martes 18 de abril de 2017, de 17 a las 19 horas, en las instalaciones del Instituto Federal de Telecomunicaciones ubicadas en Av. Insurgentes Sur 1143, Colonia Nochebuena, Delegación Benito Juárez, Ciudad de México, C.P. 03720.</w:t>
      </w:r>
    </w:p>
    <w:p w:rsidR="00205857" w:rsidRPr="00205857" w:rsidRDefault="00205857" w:rsidP="00205857">
      <w:pPr>
        <w:jc w:val="both"/>
        <w:rPr>
          <w:rFonts w:ascii="ITC Avant Garde" w:hAnsi="ITC Avant Garde"/>
        </w:rPr>
      </w:pPr>
      <w:r w:rsidRPr="00205857">
        <w:rPr>
          <w:rFonts w:ascii="ITC Avant Garde" w:hAnsi="ITC Avant Garde"/>
        </w:rPr>
        <w:t>Para tal efecto, mediante el presente Acuerdo, se convoca al Agente Económico Preponderante a dicha sesión de trabajo, en la cual se tratarán los temas relacionados con (i) la formalización de la designación de los integrantes del Grupo de Transición, (ii) las generalidades de las Reglas de Operación, incluidos los aspectos relacionados con el mecanismo de trabajo y frecuencia de las reuniones, y (iii) la agenda de trabajo.</w:t>
      </w:r>
    </w:p>
    <w:p w:rsidR="00B570F0" w:rsidRPr="00B570F0" w:rsidRDefault="00205857" w:rsidP="00B570F0">
      <w:pPr>
        <w:spacing w:before="240" w:after="120" w:line="264" w:lineRule="auto"/>
        <w:jc w:val="both"/>
        <w:rPr>
          <w:rFonts w:ascii="ITC Avant Garde" w:hAnsi="ITC Avant Garde" w:cs="Arial"/>
          <w:color w:val="000000"/>
          <w:sz w:val="14"/>
          <w:szCs w:val="14"/>
          <w:lang w:val="es-ES_tradnl"/>
        </w:rPr>
      </w:pPr>
      <w:r w:rsidRPr="006C69D4">
        <w:rPr>
          <w:rFonts w:ascii="ITC Avant Garde" w:hAnsi="ITC Avant Garde" w:cs="Arial"/>
          <w:color w:val="000000"/>
          <w:sz w:val="14"/>
          <w:szCs w:val="14"/>
          <w:lang w:val="es-ES_tradnl"/>
        </w:rPr>
        <w:t xml:space="preserve">El presente Acuerdo fue aprobado por el Pleno del Instituto Federal de Telecomunicaciones en su VII Sesión Extraordinaria celebrada el 7 de abril de 2017, por unanimidad de votos de los Comisionados Gabriel Oswaldo Contreras Saldívar, Adriana Sofía </w:t>
      </w:r>
      <w:proofErr w:type="spellStart"/>
      <w:r w:rsidRPr="006C69D4">
        <w:rPr>
          <w:rFonts w:ascii="ITC Avant Garde" w:hAnsi="ITC Avant Garde" w:cs="Arial"/>
          <w:color w:val="000000"/>
          <w:sz w:val="14"/>
          <w:szCs w:val="14"/>
          <w:lang w:val="es-ES_tradnl"/>
        </w:rPr>
        <w:t>Labardini</w:t>
      </w:r>
      <w:proofErr w:type="spellEnd"/>
      <w:r w:rsidRPr="006C69D4">
        <w:rPr>
          <w:rFonts w:ascii="ITC Avant Garde" w:hAnsi="ITC Avant Garde" w:cs="Arial"/>
          <w:color w:val="000000"/>
          <w:sz w:val="14"/>
          <w:szCs w:val="14"/>
          <w:lang w:val="es-ES_tradnl"/>
        </w:rPr>
        <w:t xml:space="preserve"> </w:t>
      </w:r>
      <w:proofErr w:type="spellStart"/>
      <w:r w:rsidRPr="006C69D4">
        <w:rPr>
          <w:rFonts w:ascii="ITC Avant Garde" w:hAnsi="ITC Avant Garde" w:cs="Arial"/>
          <w:color w:val="000000"/>
          <w:sz w:val="14"/>
          <w:szCs w:val="14"/>
          <w:lang w:val="es-ES_tradnl"/>
        </w:rPr>
        <w:t>Inzunza</w:t>
      </w:r>
      <w:proofErr w:type="spellEnd"/>
      <w:r w:rsidRPr="006C69D4">
        <w:rPr>
          <w:rFonts w:ascii="ITC Avant Garde" w:hAnsi="ITC Avant Garde" w:cs="Arial"/>
          <w:color w:val="000000"/>
          <w:sz w:val="14"/>
          <w:szCs w:val="14"/>
          <w:lang w:val="es-ES_tradnl"/>
        </w:rPr>
        <w:t xml:space="preserve">, María Elena </w:t>
      </w:r>
      <w:proofErr w:type="spellStart"/>
      <w:r w:rsidRPr="006C69D4">
        <w:rPr>
          <w:rFonts w:ascii="ITC Avant Garde" w:hAnsi="ITC Avant Garde" w:cs="Arial"/>
          <w:color w:val="000000"/>
          <w:sz w:val="14"/>
          <w:szCs w:val="14"/>
          <w:lang w:val="es-ES_tradnl"/>
        </w:rPr>
        <w:t>Estavillo</w:t>
      </w:r>
      <w:proofErr w:type="spellEnd"/>
      <w:r w:rsidRPr="006C69D4">
        <w:rPr>
          <w:rFonts w:ascii="ITC Avant Garde" w:hAnsi="ITC Avant Garde" w:cs="Arial"/>
          <w:color w:val="000000"/>
          <w:sz w:val="14"/>
          <w:szCs w:val="14"/>
          <w:lang w:val="es-ES_tradnl"/>
        </w:rPr>
        <w:t xml:space="preserve"> Flores, Mario Germán </w:t>
      </w:r>
      <w:proofErr w:type="spellStart"/>
      <w:r w:rsidRPr="006C69D4">
        <w:rPr>
          <w:rFonts w:ascii="ITC Avant Garde" w:hAnsi="ITC Avant Garde" w:cs="Arial"/>
          <w:color w:val="000000"/>
          <w:sz w:val="14"/>
          <w:szCs w:val="14"/>
          <w:lang w:val="es-ES_tradnl"/>
        </w:rPr>
        <w:t>Fromow</w:t>
      </w:r>
      <w:proofErr w:type="spellEnd"/>
      <w:r w:rsidRPr="006C69D4">
        <w:rPr>
          <w:rFonts w:ascii="ITC Avant Garde" w:hAnsi="ITC Avant Garde" w:cs="Arial"/>
          <w:color w:val="000000"/>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P/IFT/EXT/070417/124.</w:t>
      </w:r>
    </w:p>
    <w:sectPr w:rsidR="00B570F0" w:rsidRPr="00B570F0" w:rsidSect="00B570F0">
      <w:footerReference w:type="default" r:id="rId7"/>
      <w:pgSz w:w="12240" w:h="15840"/>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12" w:rsidRDefault="00A87F12" w:rsidP="006C69D4">
      <w:pPr>
        <w:spacing w:after="0" w:line="240" w:lineRule="auto"/>
      </w:pPr>
      <w:r>
        <w:separator/>
      </w:r>
    </w:p>
  </w:endnote>
  <w:endnote w:type="continuationSeparator" w:id="0">
    <w:p w:rsidR="00A87F12" w:rsidRDefault="00A87F12" w:rsidP="006C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29832"/>
      <w:docPartObj>
        <w:docPartGallery w:val="Page Numbers (Bottom of Page)"/>
        <w:docPartUnique/>
      </w:docPartObj>
    </w:sdtPr>
    <w:sdtEndPr/>
    <w:sdtContent>
      <w:sdt>
        <w:sdtPr>
          <w:id w:val="1087810672"/>
          <w:docPartObj>
            <w:docPartGallery w:val="Page Numbers (Top of Page)"/>
            <w:docPartUnique/>
          </w:docPartObj>
        </w:sdtPr>
        <w:sdtEndPr/>
        <w:sdtContent>
          <w:p w:rsidR="006C69D4" w:rsidRDefault="006C69D4" w:rsidP="00B570F0">
            <w:pPr>
              <w:pStyle w:val="Piedepgina"/>
              <w:jc w:val="right"/>
            </w:pPr>
            <w:r>
              <w:rPr>
                <w:b/>
                <w:bCs/>
                <w:sz w:val="24"/>
                <w:szCs w:val="24"/>
              </w:rPr>
              <w:fldChar w:fldCharType="begin"/>
            </w:r>
            <w:r>
              <w:rPr>
                <w:b/>
                <w:bCs/>
              </w:rPr>
              <w:instrText>PAGE</w:instrText>
            </w:r>
            <w:r>
              <w:rPr>
                <w:b/>
                <w:bCs/>
                <w:sz w:val="24"/>
                <w:szCs w:val="24"/>
              </w:rPr>
              <w:fldChar w:fldCharType="separate"/>
            </w:r>
            <w:r w:rsidR="00B570F0">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70F0">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12" w:rsidRDefault="00A87F12" w:rsidP="006C69D4">
      <w:pPr>
        <w:spacing w:after="0" w:line="240" w:lineRule="auto"/>
      </w:pPr>
      <w:r>
        <w:separator/>
      </w:r>
    </w:p>
  </w:footnote>
  <w:footnote w:type="continuationSeparator" w:id="0">
    <w:p w:rsidR="00A87F12" w:rsidRDefault="00A87F12" w:rsidP="006C6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4E1A"/>
    <w:multiLevelType w:val="hybridMultilevel"/>
    <w:tmpl w:val="9D1CD39A"/>
    <w:lvl w:ilvl="0" w:tplc="87C053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1E138E"/>
    <w:multiLevelType w:val="hybridMultilevel"/>
    <w:tmpl w:val="BFF0FE86"/>
    <w:lvl w:ilvl="0" w:tplc="080A0017">
      <w:start w:val="1"/>
      <w:numFmt w:val="lowerLetter"/>
      <w:lvlText w:val="%1)"/>
      <w:lvlJc w:val="left"/>
      <w:pPr>
        <w:ind w:left="1571" w:hanging="360"/>
      </w:pPr>
    </w:lvl>
    <w:lvl w:ilvl="1" w:tplc="F154D7F6">
      <w:start w:val="1"/>
      <w:numFmt w:val="decimal"/>
      <w:lvlText w:val="%2)"/>
      <w:lvlJc w:val="left"/>
      <w:pPr>
        <w:ind w:left="2486" w:hanging="555"/>
      </w:pPr>
      <w:rPr>
        <w:rFonts w:hint="default"/>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1C5B769A"/>
    <w:multiLevelType w:val="hybridMultilevel"/>
    <w:tmpl w:val="37B6CA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12781B"/>
    <w:multiLevelType w:val="hybridMultilevel"/>
    <w:tmpl w:val="D52C8D7E"/>
    <w:lvl w:ilvl="0" w:tplc="080A0011">
      <w:start w:val="1"/>
      <w:numFmt w:val="decimal"/>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4736378E"/>
    <w:multiLevelType w:val="hybridMultilevel"/>
    <w:tmpl w:val="322E734E"/>
    <w:lvl w:ilvl="0" w:tplc="55E0088C">
      <w:start w:val="1"/>
      <w:numFmt w:val="lowerLetter"/>
      <w:lvlText w:val="%1)"/>
      <w:lvlJc w:val="left"/>
      <w:pPr>
        <w:ind w:left="1406" w:hanging="55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48BA4A6F"/>
    <w:multiLevelType w:val="hybridMultilevel"/>
    <w:tmpl w:val="B7A6E1DE"/>
    <w:lvl w:ilvl="0" w:tplc="080A0011">
      <w:start w:val="1"/>
      <w:numFmt w:val="decimal"/>
      <w:lvlText w:val="%1)"/>
      <w:lvlJc w:val="left"/>
      <w:pPr>
        <w:ind w:left="1571" w:hanging="360"/>
      </w:pPr>
    </w:lvl>
    <w:lvl w:ilvl="1" w:tplc="080A0011">
      <w:start w:val="1"/>
      <w:numFmt w:val="decimal"/>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71F8064E"/>
    <w:multiLevelType w:val="hybridMultilevel"/>
    <w:tmpl w:val="28A0ECD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773038D8"/>
    <w:multiLevelType w:val="hybridMultilevel"/>
    <w:tmpl w:val="EABE01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F65DB7"/>
    <w:multiLevelType w:val="hybridMultilevel"/>
    <w:tmpl w:val="D41E19E6"/>
    <w:lvl w:ilvl="0" w:tplc="969EBB1C">
      <w:start w:val="1"/>
      <w:numFmt w:val="lowerLetter"/>
      <w:lvlText w:val="%1)"/>
      <w:lvlJc w:val="left"/>
      <w:pPr>
        <w:ind w:left="1406" w:hanging="55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1"/>
  </w:num>
  <w:num w:numId="2">
    <w:abstractNumId w:val="8"/>
  </w:num>
  <w:num w:numId="3">
    <w:abstractNumId w:val="2"/>
  </w:num>
  <w:num w:numId="4">
    <w:abstractNumId w:val="0"/>
  </w:num>
  <w:num w:numId="5">
    <w:abstractNumId w:val="7"/>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57"/>
    <w:rsid w:val="00205857"/>
    <w:rsid w:val="004E41E2"/>
    <w:rsid w:val="006C69D4"/>
    <w:rsid w:val="009F01D3"/>
    <w:rsid w:val="00A00940"/>
    <w:rsid w:val="00A87F12"/>
    <w:rsid w:val="00B570F0"/>
    <w:rsid w:val="00C74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5FF80-59C5-49EE-A2B0-777B53C2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58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57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857"/>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C74460"/>
    <w:pPr>
      <w:ind w:left="720"/>
      <w:contextualSpacing/>
    </w:pPr>
  </w:style>
  <w:style w:type="paragraph" w:styleId="Encabezado">
    <w:name w:val="header"/>
    <w:basedOn w:val="Normal"/>
    <w:link w:val="EncabezadoCar"/>
    <w:uiPriority w:val="99"/>
    <w:unhideWhenUsed/>
    <w:rsid w:val="006C6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9D4"/>
  </w:style>
  <w:style w:type="paragraph" w:styleId="Piedepgina">
    <w:name w:val="footer"/>
    <w:basedOn w:val="Normal"/>
    <w:link w:val="PiedepginaCar"/>
    <w:uiPriority w:val="99"/>
    <w:unhideWhenUsed/>
    <w:rsid w:val="006C6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9D4"/>
  </w:style>
  <w:style w:type="character" w:customStyle="1" w:styleId="Ttulo2Car">
    <w:name w:val="Título 2 Car"/>
    <w:basedOn w:val="Fuentedeprrafopredeter"/>
    <w:link w:val="Ttulo2"/>
    <w:uiPriority w:val="9"/>
    <w:rsid w:val="00B570F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2661</Words>
  <Characters>14639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Alonso Cruz</dc:creator>
  <cp:keywords/>
  <dc:description/>
  <cp:lastModifiedBy>Maria del Consuelo Gonzalez Moreno</cp:lastModifiedBy>
  <cp:revision>3</cp:revision>
  <dcterms:created xsi:type="dcterms:W3CDTF">2017-04-18T16:02:00Z</dcterms:created>
  <dcterms:modified xsi:type="dcterms:W3CDTF">2017-06-02T16:22:00Z</dcterms:modified>
</cp:coreProperties>
</file>