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910" w:rsidRPr="003B64A4" w:rsidRDefault="00F33910" w:rsidP="003B64A4">
      <w:pPr>
        <w:pStyle w:val="Ttulo1"/>
        <w:spacing w:after="240"/>
        <w:jc w:val="both"/>
        <w:rPr>
          <w:rFonts w:ascii="ITC Avant Garde" w:hAnsi="ITC Avant Garde"/>
          <w:b/>
          <w:color w:val="000000" w:themeColor="text1"/>
          <w:sz w:val="24"/>
          <w:szCs w:val="24"/>
        </w:rPr>
      </w:pPr>
      <w:bookmarkStart w:id="0" w:name="_GoBack"/>
      <w:bookmarkEnd w:id="0"/>
      <w:r w:rsidRPr="003B64A4">
        <w:rPr>
          <w:rFonts w:ascii="ITC Avant Garde" w:hAnsi="ITC Avant Garde"/>
          <w:b/>
          <w:color w:val="000000" w:themeColor="text1"/>
          <w:sz w:val="24"/>
          <w:szCs w:val="24"/>
        </w:rPr>
        <w:t>ACUERDO MEDIANTE EL CUAL EL PLENO DEL INSTITUTO FEDERAL DE TELECOMUNICACIONES ADMITE A TRÁMITE LA SOLICITUD DE RESOLUCIÓN DE CONDICIONES, TÉRMINOS Y TARIFAS NO CONVENIDAS EN MATERIA DE ACCESO Y USO COMPARTIDO DE INFRAESTRUCTURA PASIVA ENTRE LA EMPRESA CABLEVISIÓN RED, S.A. DE C.V. Y LA EMPRESA TELÉFONOS DE MÉXICO, S.A.B. DE C.V.</w:t>
      </w:r>
    </w:p>
    <w:p w:rsidR="003B64A4" w:rsidRPr="003B64A4" w:rsidRDefault="003B64A4" w:rsidP="003B64A4">
      <w:pPr>
        <w:pStyle w:val="Ttulo2"/>
        <w:spacing w:after="240"/>
        <w:jc w:val="center"/>
        <w:rPr>
          <w:rFonts w:ascii="ITC Avant Garde" w:hAnsi="ITC Avant Garde"/>
          <w:b/>
          <w:color w:val="000000" w:themeColor="text1"/>
          <w:sz w:val="22"/>
          <w:szCs w:val="22"/>
        </w:rPr>
      </w:pPr>
      <w:r>
        <w:rPr>
          <w:rFonts w:ascii="ITC Avant Garde" w:hAnsi="ITC Avant Garde"/>
          <w:b/>
          <w:color w:val="000000" w:themeColor="text1"/>
          <w:sz w:val="22"/>
          <w:szCs w:val="22"/>
        </w:rPr>
        <w:t>ANTECEDENTES</w:t>
      </w:r>
    </w:p>
    <w:p w:rsidR="00F33910" w:rsidRPr="00AC1D4D" w:rsidRDefault="00F33910" w:rsidP="003B64A4">
      <w:pPr>
        <w:pStyle w:val="IFTnormal"/>
        <w:spacing w:before="240" w:after="240"/>
        <w:rPr>
          <w:szCs w:val="24"/>
        </w:rPr>
      </w:pPr>
      <w:r>
        <w:rPr>
          <w:b/>
        </w:rPr>
        <w:t xml:space="preserve">I.- </w:t>
      </w:r>
      <w:r w:rsidRPr="00AC1D4D">
        <w:rPr>
          <w:b/>
        </w:rPr>
        <w:t>Determinación del Agente Económico Preponderante</w:t>
      </w:r>
      <w:r w:rsidRPr="00AC1D4D">
        <w:t>. El 6 de marzo de 2014 el Pleno del Instituto</w:t>
      </w:r>
      <w:r>
        <w:t xml:space="preserve"> Federal de Telecomunicaciones (en lo sucesivo, el “Instituto”)</w:t>
      </w:r>
      <w:r w:rsidRPr="00AC1D4D">
        <w:t xml:space="preserve">, en su V Sesión Extraordinaria aprobó la </w:t>
      </w:r>
      <w:r w:rsidRPr="00AC1D4D">
        <w:rPr>
          <w:i/>
        </w:rPr>
        <w:t>“RESOLUCIÓN MEDIANTE LA CUAL EL PLENO DEL INSTITUTO FEDERAL DE TELECOMUNICACIONES DETERMINA AL GRUPO DE INTERÉS ECONÓMICO DEL QUE FORMAN PARTE AMÉRICA MÓVIL</w:t>
      </w:r>
      <w:r w:rsidRPr="00AC1D4D">
        <w:rPr>
          <w:i/>
          <w:szCs w:val="24"/>
        </w:rPr>
        <w:t>,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w:t>
      </w:r>
      <w:r w:rsidRPr="00AC1D4D">
        <w:rPr>
          <w:szCs w:val="24"/>
        </w:rPr>
        <w:t xml:space="preserve"> aprobada mediante Acuerdo P/IFT/EXT/060314/76 (en lo sucesivo, la “Resolución AEP”).</w:t>
      </w:r>
    </w:p>
    <w:p w:rsidR="00F33910" w:rsidRPr="007A2E3D" w:rsidRDefault="00F33910" w:rsidP="003B64A4">
      <w:pPr>
        <w:pStyle w:val="IFTnormal"/>
        <w:spacing w:before="240" w:after="240"/>
        <w:rPr>
          <w:szCs w:val="24"/>
        </w:rPr>
      </w:pPr>
      <w:r w:rsidRPr="00AC1D4D">
        <w:rPr>
          <w:szCs w:val="24"/>
        </w:rPr>
        <w:t>Dentro de</w:t>
      </w:r>
      <w:r>
        <w:rPr>
          <w:szCs w:val="24"/>
        </w:rPr>
        <w:t xml:space="preserve"> </w:t>
      </w:r>
      <w:r w:rsidRPr="00AC1D4D">
        <w:rPr>
          <w:szCs w:val="24"/>
        </w:rPr>
        <w:t>l</w:t>
      </w:r>
      <w:r>
        <w:rPr>
          <w:szCs w:val="24"/>
        </w:rPr>
        <w:t>a Resolución AEP, como A</w:t>
      </w:r>
      <w:r w:rsidRPr="00AC1D4D">
        <w:rPr>
          <w:szCs w:val="24"/>
        </w:rPr>
        <w:t>nexo 2</w:t>
      </w:r>
      <w:r>
        <w:rPr>
          <w:szCs w:val="24"/>
        </w:rPr>
        <w:t>,</w:t>
      </w:r>
      <w:r w:rsidRPr="00AC1D4D">
        <w:rPr>
          <w:szCs w:val="24"/>
        </w:rPr>
        <w:t xml:space="preserve"> el Pleno del Instituto aprobó las </w:t>
      </w:r>
      <w:r w:rsidRPr="00AC1D4D">
        <w:rPr>
          <w:i/>
          <w:szCs w:val="24"/>
        </w:rPr>
        <w:t>“MEDIDAS RELACIONADAS CON INFORMACIÓN, OFERTA Y CALIDAD DE SERVICIOS, ACUERDOS EN EXCLUSIVA</w:t>
      </w:r>
      <w:r>
        <w:rPr>
          <w:i/>
          <w:szCs w:val="24"/>
        </w:rPr>
        <w:t>,</w:t>
      </w:r>
      <w:r w:rsidRPr="00AC1D4D">
        <w:rPr>
          <w:i/>
          <w:szCs w:val="24"/>
        </w:rPr>
        <w:t xml:space="preserve">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w:t>
      </w:r>
      <w:r w:rsidRPr="00AC1D4D">
        <w:rPr>
          <w:szCs w:val="24"/>
        </w:rPr>
        <w:t xml:space="preserve"> (en lo sucesivo, las “Medidas Fijas”).</w:t>
      </w:r>
    </w:p>
    <w:p w:rsidR="00F33910" w:rsidRPr="003B64A4" w:rsidRDefault="00F33910" w:rsidP="003B64A4">
      <w:pPr>
        <w:spacing w:before="240" w:after="240" w:line="276" w:lineRule="auto"/>
        <w:jc w:val="both"/>
        <w:rPr>
          <w:rFonts w:ascii="ITC Avant Garde" w:eastAsia="Times New Roman" w:hAnsi="ITC Avant Garde" w:cs="Arial"/>
          <w:bCs/>
          <w:sz w:val="22"/>
          <w:szCs w:val="22"/>
          <w:lang w:eastAsia="es-ES"/>
        </w:rPr>
      </w:pPr>
      <w:r w:rsidRPr="003B64A4">
        <w:rPr>
          <w:rFonts w:ascii="ITC Avant Garde" w:eastAsia="Times New Roman" w:hAnsi="ITC Avant Garde" w:cs="Arial"/>
          <w:b/>
          <w:bCs/>
          <w:sz w:val="22"/>
          <w:szCs w:val="22"/>
          <w:lang w:eastAsia="es-ES"/>
        </w:rPr>
        <w:t>II.- Ofertas de Referencia</w:t>
      </w:r>
      <w:r w:rsidRPr="003B64A4">
        <w:rPr>
          <w:rFonts w:ascii="ITC Avant Garde" w:eastAsia="Times New Roman" w:hAnsi="ITC Avant Garde" w:cs="Arial"/>
          <w:bCs/>
          <w:sz w:val="22"/>
          <w:szCs w:val="22"/>
          <w:lang w:eastAsia="es-ES"/>
        </w:rPr>
        <w:t xml:space="preserve">. </w:t>
      </w:r>
      <w:bookmarkStart w:id="1" w:name="_Toc426649743"/>
      <w:bookmarkStart w:id="2" w:name="_Toc426973638"/>
      <w:r w:rsidRPr="003B64A4">
        <w:rPr>
          <w:rFonts w:ascii="ITC Avant Garde" w:eastAsia="Times New Roman" w:hAnsi="ITC Avant Garde" w:cs="Arial"/>
          <w:bCs/>
          <w:sz w:val="22"/>
          <w:szCs w:val="22"/>
          <w:lang w:eastAsia="es-ES"/>
        </w:rPr>
        <w:t>El 24 de noviembre de 2015, el Pleno del Instituto en su XLVI sesión Extraordinaria aprobó la “</w:t>
      </w:r>
      <w:bookmarkEnd w:id="1"/>
      <w:bookmarkEnd w:id="2"/>
      <w:r w:rsidRPr="003B64A4">
        <w:rPr>
          <w:rFonts w:ascii="ITC Avant Garde" w:eastAsia="Times New Roman" w:hAnsi="ITC Avant Garde" w:cs="Arial"/>
          <w:bCs/>
          <w:sz w:val="22"/>
          <w:szCs w:val="22"/>
          <w:lang w:eastAsia="es-ES"/>
        </w:rPr>
        <w:t>RESOLUCIÓN MEDIANTE LA CUAL EL PLENO DEL INSTITUTO FEDERAL DE TELECOMUNICACIONES MODIFICA Y AUTORIZA AL AGENTE ECONÓMICO PREPONDERANTE LOS TÉRMINOS Y CONDICIONES DE LA OFERTA DE REFERENCIA PARA EL ACCESO Y USO COMPARTIDO DE INFRAESTRUCTURA PASIVA, PRESENTADA POR TELÉFONOS DE MÉXICO, S.A.B. DE C.V., APLICABLES DEL 1 DE ENERO DE 2016 AL 31 DE DICIEMBRE DE 2017” (en lo sucesivo, “</w:t>
      </w:r>
      <w:r w:rsidRPr="003B64A4">
        <w:rPr>
          <w:rFonts w:eastAsia="Times New Roman"/>
          <w:bCs/>
          <w:sz w:val="22"/>
          <w:szCs w:val="22"/>
        </w:rPr>
        <w:t xml:space="preserve">Oferta de Referencia para </w:t>
      </w:r>
      <w:r w:rsidRPr="003B64A4">
        <w:rPr>
          <w:rFonts w:eastAsia="Times New Roman"/>
          <w:bCs/>
          <w:sz w:val="22"/>
          <w:szCs w:val="22"/>
        </w:rPr>
        <w:lastRenderedPageBreak/>
        <w:t>el Acceso y Uso Compartido de Infraestructura Pasiva”)</w:t>
      </w:r>
      <w:r w:rsidRPr="003B64A4">
        <w:rPr>
          <w:rFonts w:ascii="ITC Avant Garde" w:eastAsia="Times New Roman" w:hAnsi="ITC Avant Garde" w:cs="Arial"/>
          <w:bCs/>
          <w:sz w:val="22"/>
          <w:szCs w:val="22"/>
          <w:lang w:eastAsia="es-ES"/>
        </w:rPr>
        <w:t>, mediante Acuerdo P/IFT/EXT/241115/174.</w:t>
      </w:r>
    </w:p>
    <w:p w:rsidR="003B64A4" w:rsidRDefault="00F33910" w:rsidP="003B64A4">
      <w:pPr>
        <w:spacing w:before="240" w:after="240" w:line="276" w:lineRule="auto"/>
        <w:jc w:val="both"/>
        <w:rPr>
          <w:rFonts w:ascii="ITC Avant Garde" w:eastAsia="Times New Roman" w:hAnsi="ITC Avant Garde" w:cs="Arial"/>
          <w:bCs/>
          <w:sz w:val="22"/>
          <w:szCs w:val="22"/>
          <w:lang w:eastAsia="es-ES"/>
        </w:rPr>
      </w:pPr>
      <w:r w:rsidRPr="000C265E">
        <w:rPr>
          <w:rFonts w:ascii="ITC Avant Garde" w:eastAsia="Times New Roman" w:hAnsi="ITC Avant Garde" w:cs="Arial"/>
          <w:b/>
          <w:bCs/>
          <w:sz w:val="22"/>
          <w:szCs w:val="24"/>
          <w:lang w:eastAsia="es-ES"/>
        </w:rPr>
        <w:t>III.- Solicitud de Resoluci</w:t>
      </w:r>
      <w:r>
        <w:rPr>
          <w:rFonts w:ascii="ITC Avant Garde" w:eastAsia="Times New Roman" w:hAnsi="ITC Avant Garde" w:cs="Arial"/>
          <w:b/>
          <w:bCs/>
          <w:sz w:val="22"/>
          <w:szCs w:val="24"/>
          <w:lang w:eastAsia="es-ES"/>
        </w:rPr>
        <w:t>ón</w:t>
      </w:r>
      <w:r w:rsidRPr="000C265E">
        <w:rPr>
          <w:rFonts w:ascii="ITC Avant Garde" w:eastAsia="Times New Roman" w:hAnsi="ITC Avant Garde" w:cs="Arial"/>
          <w:b/>
          <w:bCs/>
          <w:sz w:val="22"/>
          <w:szCs w:val="24"/>
          <w:lang w:eastAsia="es-ES"/>
        </w:rPr>
        <w:t xml:space="preserve"> </w:t>
      </w:r>
      <w:r w:rsidRPr="000C265E">
        <w:rPr>
          <w:rFonts w:ascii="ITC Avant Garde" w:eastAsia="Times New Roman" w:hAnsi="ITC Avant Garde" w:cs="Arial"/>
          <w:b/>
          <w:bCs/>
          <w:sz w:val="22"/>
          <w:szCs w:val="22"/>
          <w:lang w:eastAsia="es-ES"/>
        </w:rPr>
        <w:t>de condiciones no convenidas</w:t>
      </w:r>
      <w:r>
        <w:rPr>
          <w:rFonts w:ascii="ITC Avant Garde" w:eastAsia="Times New Roman" w:hAnsi="ITC Avant Garde" w:cs="Arial"/>
          <w:b/>
          <w:bCs/>
          <w:sz w:val="22"/>
          <w:szCs w:val="22"/>
          <w:lang w:eastAsia="es-ES"/>
        </w:rPr>
        <w:t xml:space="preserve"> </w:t>
      </w:r>
      <w:r w:rsidRPr="000C265E">
        <w:rPr>
          <w:rFonts w:ascii="ITC Avant Garde" w:eastAsia="Times New Roman" w:hAnsi="ITC Avant Garde" w:cs="Arial"/>
          <w:b/>
          <w:bCs/>
          <w:sz w:val="22"/>
          <w:szCs w:val="22"/>
          <w:lang w:eastAsia="es-ES"/>
        </w:rPr>
        <w:t>en materia de</w:t>
      </w:r>
      <w:r>
        <w:rPr>
          <w:rFonts w:ascii="ITC Avant Garde" w:eastAsia="Times New Roman" w:hAnsi="ITC Avant Garde" w:cs="Arial"/>
          <w:b/>
          <w:bCs/>
          <w:sz w:val="22"/>
          <w:szCs w:val="22"/>
          <w:lang w:eastAsia="es-ES"/>
        </w:rPr>
        <w:t xml:space="preserve"> Acceso y Uso Compartido de Infraestructura Pasiva. </w:t>
      </w:r>
      <w:r w:rsidRPr="004F788D">
        <w:rPr>
          <w:rFonts w:ascii="ITC Avant Garde" w:eastAsia="Times New Roman" w:hAnsi="ITC Avant Garde" w:cs="Arial"/>
          <w:bCs/>
          <w:sz w:val="22"/>
          <w:szCs w:val="22"/>
          <w:lang w:eastAsia="es-ES"/>
        </w:rPr>
        <w:t xml:space="preserve">El </w:t>
      </w:r>
      <w:r>
        <w:rPr>
          <w:rFonts w:ascii="ITC Avant Garde" w:eastAsia="Times New Roman" w:hAnsi="ITC Avant Garde" w:cs="Arial"/>
          <w:bCs/>
          <w:sz w:val="22"/>
          <w:szCs w:val="22"/>
          <w:lang w:eastAsia="es-ES"/>
        </w:rPr>
        <w:t>13</w:t>
      </w:r>
      <w:r w:rsidRPr="004F788D">
        <w:rPr>
          <w:rFonts w:ascii="ITC Avant Garde" w:eastAsia="Times New Roman" w:hAnsi="ITC Avant Garde" w:cs="Arial"/>
          <w:bCs/>
          <w:sz w:val="22"/>
          <w:szCs w:val="22"/>
          <w:lang w:eastAsia="es-ES"/>
        </w:rPr>
        <w:t xml:space="preserve"> de octubre</w:t>
      </w:r>
      <w:r>
        <w:rPr>
          <w:rFonts w:ascii="ITC Avant Garde" w:eastAsia="Times New Roman" w:hAnsi="ITC Avant Garde" w:cs="Arial"/>
          <w:bCs/>
          <w:sz w:val="22"/>
          <w:szCs w:val="22"/>
          <w:lang w:eastAsia="es-ES"/>
        </w:rPr>
        <w:t xml:space="preserve"> de 2016 el apoderado legal de la empresa</w:t>
      </w:r>
      <w:r w:rsidRPr="004F788D">
        <w:rPr>
          <w:rFonts w:ascii="ITC Avant Garde" w:eastAsia="Times New Roman" w:hAnsi="ITC Avant Garde" w:cs="Arial"/>
          <w:bCs/>
          <w:sz w:val="22"/>
          <w:szCs w:val="22"/>
          <w:lang w:eastAsia="es-ES"/>
        </w:rPr>
        <w:t xml:space="preserve"> </w:t>
      </w:r>
      <w:r>
        <w:rPr>
          <w:rFonts w:ascii="ITC Avant Garde" w:eastAsia="Times New Roman" w:hAnsi="ITC Avant Garde" w:cs="Arial"/>
          <w:bCs/>
          <w:sz w:val="22"/>
          <w:szCs w:val="22"/>
          <w:lang w:eastAsia="es-ES"/>
        </w:rPr>
        <w:t>Cablevisión Red, S.A. de C.V. (en lo sucesivo, “Cablevisión Red</w:t>
      </w:r>
      <w:r w:rsidRPr="004F788D">
        <w:rPr>
          <w:rFonts w:ascii="ITC Avant Garde" w:eastAsia="Times New Roman" w:hAnsi="ITC Avant Garde" w:cs="Arial"/>
          <w:bCs/>
          <w:sz w:val="22"/>
          <w:szCs w:val="22"/>
          <w:lang w:eastAsia="es-ES"/>
        </w:rPr>
        <w:t xml:space="preserve">”) presentó ante la Oficialía </w:t>
      </w:r>
      <w:r>
        <w:rPr>
          <w:rFonts w:ascii="ITC Avant Garde" w:eastAsia="Times New Roman" w:hAnsi="ITC Avant Garde" w:cs="Arial"/>
          <w:bCs/>
          <w:sz w:val="22"/>
          <w:szCs w:val="22"/>
          <w:lang w:eastAsia="es-ES"/>
        </w:rPr>
        <w:t xml:space="preserve">de Partes </w:t>
      </w:r>
      <w:r w:rsidRPr="004F788D">
        <w:rPr>
          <w:rFonts w:ascii="ITC Avant Garde" w:eastAsia="Times New Roman" w:hAnsi="ITC Avant Garde" w:cs="Arial"/>
          <w:bCs/>
          <w:sz w:val="22"/>
          <w:szCs w:val="22"/>
          <w:lang w:eastAsia="es-ES"/>
        </w:rPr>
        <w:t>de</w:t>
      </w:r>
      <w:r w:rsidRPr="004F788D">
        <w:rPr>
          <w:rFonts w:ascii="ITC Avant Garde" w:hAnsi="ITC Avant Garde"/>
          <w:bCs/>
          <w:sz w:val="22"/>
          <w:szCs w:val="22"/>
        </w:rPr>
        <w:t xml:space="preserve"> </w:t>
      </w:r>
      <w:r w:rsidRPr="004F788D">
        <w:rPr>
          <w:rFonts w:ascii="ITC Avant Garde" w:eastAsia="Times New Roman" w:hAnsi="ITC Avant Garde" w:cs="Arial"/>
          <w:bCs/>
          <w:sz w:val="22"/>
          <w:szCs w:val="22"/>
          <w:lang w:eastAsia="es-ES"/>
        </w:rPr>
        <w:t>este Instituto, escrito mediante el cual solicitó su intervención a efecto de que proced</w:t>
      </w:r>
      <w:r>
        <w:rPr>
          <w:rFonts w:ascii="ITC Avant Garde" w:eastAsia="Times New Roman" w:hAnsi="ITC Avant Garde" w:cs="Arial"/>
          <w:bCs/>
          <w:sz w:val="22"/>
          <w:szCs w:val="22"/>
          <w:lang w:eastAsia="es-ES"/>
        </w:rPr>
        <w:t>iera</w:t>
      </w:r>
      <w:r w:rsidRPr="004F788D">
        <w:rPr>
          <w:rFonts w:ascii="ITC Avant Garde" w:eastAsia="Times New Roman" w:hAnsi="ITC Avant Garde" w:cs="Arial"/>
          <w:bCs/>
          <w:sz w:val="22"/>
          <w:szCs w:val="22"/>
          <w:lang w:eastAsia="es-ES"/>
        </w:rPr>
        <w:t xml:space="preserve"> a resolver las condiciones, términos y tarifas </w:t>
      </w:r>
      <w:r w:rsidRPr="0096265C">
        <w:rPr>
          <w:rFonts w:ascii="ITC Avant Garde" w:eastAsia="Times New Roman" w:hAnsi="ITC Avant Garde" w:cs="Arial"/>
          <w:bCs/>
          <w:sz w:val="22"/>
          <w:szCs w:val="22"/>
          <w:lang w:eastAsia="es-ES"/>
        </w:rPr>
        <w:t>en materia de Compartición de Infraestructura</w:t>
      </w:r>
      <w:r>
        <w:rPr>
          <w:rFonts w:ascii="ITC Avant Garde" w:eastAsia="Times New Roman" w:hAnsi="ITC Avant Garde" w:cs="Arial"/>
          <w:bCs/>
          <w:sz w:val="22"/>
          <w:szCs w:val="22"/>
          <w:lang w:eastAsia="es-ES"/>
        </w:rPr>
        <w:t xml:space="preserve"> (en lo sucesivo, la “Solicitud de Resolución”)</w:t>
      </w:r>
      <w:r w:rsidRPr="004F788D">
        <w:rPr>
          <w:rFonts w:ascii="ITC Avant Garde" w:eastAsia="Times New Roman" w:hAnsi="ITC Avant Garde" w:cs="Arial"/>
          <w:b/>
          <w:bCs/>
          <w:sz w:val="22"/>
          <w:szCs w:val="22"/>
          <w:lang w:eastAsia="es-ES"/>
        </w:rPr>
        <w:t xml:space="preserve"> </w:t>
      </w:r>
      <w:r w:rsidRPr="004F788D">
        <w:rPr>
          <w:rFonts w:ascii="ITC Avant Garde" w:eastAsia="Times New Roman" w:hAnsi="ITC Avant Garde" w:cs="Arial"/>
          <w:bCs/>
          <w:sz w:val="22"/>
          <w:szCs w:val="22"/>
          <w:lang w:eastAsia="es-ES"/>
        </w:rPr>
        <w:t xml:space="preserve">no convenidas con la empresa Teléfonos de México, S.A.B. de </w:t>
      </w:r>
      <w:r>
        <w:rPr>
          <w:rFonts w:ascii="ITC Avant Garde" w:eastAsia="Times New Roman" w:hAnsi="ITC Avant Garde" w:cs="Arial"/>
          <w:bCs/>
          <w:sz w:val="22"/>
          <w:szCs w:val="22"/>
          <w:lang w:eastAsia="es-ES"/>
        </w:rPr>
        <w:t>C.V. (en lo sucesivo, “Telmex”), de igual forma solicito se ordene a Telmex la prestación de los servicios de la Oferta de Referencia de Compartición de Infraestructura Pasiva, hasta en tanto no se resuelvan las tarifas correspondientes.</w:t>
      </w:r>
    </w:p>
    <w:p w:rsidR="003B64A4" w:rsidRDefault="00F33910" w:rsidP="003B64A4">
      <w:pPr>
        <w:spacing w:before="240" w:after="240" w:line="276" w:lineRule="auto"/>
        <w:jc w:val="both"/>
        <w:rPr>
          <w:rStyle w:val="IFTnormalCar"/>
        </w:rPr>
      </w:pPr>
      <w:r w:rsidRPr="00436D2A">
        <w:rPr>
          <w:rFonts w:ascii="ITC Avant Garde" w:eastAsia="Times New Roman" w:hAnsi="ITC Avant Garde" w:cs="Arial"/>
          <w:b/>
          <w:bCs/>
          <w:sz w:val="22"/>
          <w:szCs w:val="24"/>
          <w:lang w:eastAsia="es-ES"/>
        </w:rPr>
        <w:t>IV.-</w:t>
      </w:r>
      <w:r w:rsidRPr="00436D2A">
        <w:t xml:space="preserve"> </w:t>
      </w:r>
      <w:r w:rsidRPr="00944BCE">
        <w:rPr>
          <w:rStyle w:val="IFTnormalCar"/>
          <w:b/>
        </w:rPr>
        <w:t>Oficio de Requerimiento.</w:t>
      </w:r>
      <w:r>
        <w:t xml:space="preserve"> </w:t>
      </w:r>
      <w:r w:rsidRPr="00436D2A">
        <w:rPr>
          <w:rStyle w:val="IFTnormalCar"/>
        </w:rPr>
        <w:t>Median</w:t>
      </w:r>
      <w:r>
        <w:rPr>
          <w:rStyle w:val="IFTnormalCar"/>
        </w:rPr>
        <w:t>te Oficio IFT/221/UPR/DG-CIN/151/2016 de fecha 19</w:t>
      </w:r>
      <w:r w:rsidRPr="00436D2A">
        <w:rPr>
          <w:rStyle w:val="IFTnormalCar"/>
        </w:rPr>
        <w:t xml:space="preserve"> de octubre de 2</w:t>
      </w:r>
      <w:r>
        <w:rPr>
          <w:rStyle w:val="IFTnormalCar"/>
        </w:rPr>
        <w:t>016 (en lo sucesivo, el “Oficio de Requerimiento”), notificado a Cablevisión Red el 25</w:t>
      </w:r>
      <w:r w:rsidRPr="00436D2A">
        <w:rPr>
          <w:rStyle w:val="IFTnormalCar"/>
        </w:rPr>
        <w:t xml:space="preserve"> de octubre de 2016, </w:t>
      </w:r>
      <w:r>
        <w:rPr>
          <w:rStyle w:val="IFTnormalCar"/>
        </w:rPr>
        <w:t xml:space="preserve">se </w:t>
      </w:r>
      <w:r w:rsidRPr="00436D2A">
        <w:rPr>
          <w:rStyle w:val="IFTnormalCar"/>
        </w:rPr>
        <w:t xml:space="preserve">requirió a </w:t>
      </w:r>
      <w:r>
        <w:rPr>
          <w:rStyle w:val="IFTnormalCar"/>
        </w:rPr>
        <w:t>Cablevisión Red para que presentara ante este Instituto el documento idóneo que reúna los requisitos de fiabilidad legalmente previstos o en su caso que genere certeza con relación al correo electrónico de inicio de negociaciones presentado.</w:t>
      </w:r>
    </w:p>
    <w:p w:rsidR="003B64A4" w:rsidRDefault="00F33910" w:rsidP="003B64A4">
      <w:pPr>
        <w:spacing w:before="240" w:after="240" w:line="276" w:lineRule="auto"/>
        <w:jc w:val="both"/>
        <w:rPr>
          <w:rStyle w:val="IFTnormalCar"/>
        </w:rPr>
      </w:pPr>
      <w:r>
        <w:rPr>
          <w:rStyle w:val="IFTnormalCar"/>
        </w:rPr>
        <w:t xml:space="preserve">Asimismo, dentro del citado oficio, se requirió a Cablevisión Red el original del documento consistente en la cotización emitida por Construcción e Instalaciones Especiales de Redes Telefónicas, S.A. de C.V., ofrecido dentro de la Solicitud de Resolución como prueba documental.  </w:t>
      </w:r>
    </w:p>
    <w:p w:rsidR="003B64A4" w:rsidRDefault="00F33910" w:rsidP="003B64A4">
      <w:pPr>
        <w:spacing w:before="240" w:after="240" w:line="276" w:lineRule="auto"/>
        <w:jc w:val="both"/>
        <w:rPr>
          <w:rFonts w:ascii="ITC Avant Garde" w:eastAsia="Times New Roman" w:hAnsi="ITC Avant Garde" w:cs="Arial"/>
          <w:bCs/>
          <w:sz w:val="22"/>
          <w:szCs w:val="24"/>
          <w:lang w:eastAsia="es-ES"/>
        </w:rPr>
      </w:pPr>
      <w:r>
        <w:rPr>
          <w:rFonts w:ascii="ITC Avant Garde" w:eastAsia="Times New Roman" w:hAnsi="ITC Avant Garde" w:cs="Arial"/>
          <w:b/>
          <w:bCs/>
          <w:sz w:val="22"/>
          <w:szCs w:val="24"/>
          <w:lang w:eastAsia="es-ES"/>
        </w:rPr>
        <w:t>V</w:t>
      </w:r>
      <w:r w:rsidRPr="00436D2A">
        <w:rPr>
          <w:rFonts w:ascii="ITC Avant Garde" w:eastAsia="Times New Roman" w:hAnsi="ITC Avant Garde" w:cs="Arial"/>
          <w:b/>
          <w:bCs/>
          <w:sz w:val="22"/>
          <w:szCs w:val="24"/>
          <w:lang w:eastAsia="es-ES"/>
        </w:rPr>
        <w:t>.-</w:t>
      </w:r>
      <w:r>
        <w:rPr>
          <w:rFonts w:ascii="ITC Avant Garde" w:eastAsia="Times New Roman" w:hAnsi="ITC Avant Garde" w:cs="Arial"/>
          <w:b/>
          <w:bCs/>
          <w:sz w:val="22"/>
          <w:szCs w:val="24"/>
          <w:lang w:eastAsia="es-ES"/>
        </w:rPr>
        <w:t xml:space="preserve"> Escrito de Respuesta de Cablevisión Red. </w:t>
      </w:r>
      <w:r w:rsidRPr="00436D2A">
        <w:rPr>
          <w:rFonts w:ascii="ITC Avant Garde" w:eastAsia="Times New Roman" w:hAnsi="ITC Avant Garde" w:cs="Arial"/>
          <w:bCs/>
          <w:sz w:val="22"/>
          <w:szCs w:val="24"/>
          <w:lang w:eastAsia="es-ES"/>
        </w:rPr>
        <w:t xml:space="preserve">Mediante escrito presentado </w:t>
      </w:r>
      <w:r>
        <w:rPr>
          <w:rFonts w:ascii="ITC Avant Garde" w:eastAsia="Times New Roman" w:hAnsi="ITC Avant Garde" w:cs="Arial"/>
          <w:bCs/>
          <w:sz w:val="22"/>
          <w:szCs w:val="24"/>
          <w:lang w:eastAsia="es-ES"/>
        </w:rPr>
        <w:t xml:space="preserve">ante la </w:t>
      </w:r>
      <w:r w:rsidRPr="00436D2A">
        <w:rPr>
          <w:rFonts w:ascii="ITC Avant Garde" w:eastAsia="Times New Roman" w:hAnsi="ITC Avant Garde" w:cs="Arial"/>
          <w:bCs/>
          <w:sz w:val="22"/>
          <w:szCs w:val="24"/>
          <w:lang w:eastAsia="es-ES"/>
        </w:rPr>
        <w:t xml:space="preserve">Oficialía de Partes de este Instituto </w:t>
      </w:r>
      <w:r>
        <w:rPr>
          <w:rFonts w:ascii="ITC Avant Garde" w:eastAsia="Times New Roman" w:hAnsi="ITC Avant Garde" w:cs="Arial"/>
          <w:bCs/>
          <w:sz w:val="22"/>
          <w:szCs w:val="24"/>
          <w:lang w:eastAsia="es-ES"/>
        </w:rPr>
        <w:t xml:space="preserve">el 31 </w:t>
      </w:r>
      <w:r w:rsidRPr="00B92821">
        <w:rPr>
          <w:rFonts w:ascii="ITC Avant Garde" w:eastAsia="Times New Roman" w:hAnsi="ITC Avant Garde" w:cs="Arial"/>
          <w:bCs/>
          <w:sz w:val="22"/>
          <w:szCs w:val="24"/>
          <w:lang w:eastAsia="es-ES"/>
        </w:rPr>
        <w:t>d</w:t>
      </w:r>
      <w:r w:rsidRPr="000D4FA1">
        <w:rPr>
          <w:rFonts w:ascii="ITC Avant Garde" w:eastAsia="Times New Roman" w:hAnsi="ITC Avant Garde" w:cs="Arial"/>
          <w:bCs/>
          <w:sz w:val="22"/>
          <w:szCs w:val="24"/>
          <w:lang w:eastAsia="es-ES"/>
        </w:rPr>
        <w:t>e octubre de 2016</w:t>
      </w:r>
      <w:r>
        <w:rPr>
          <w:rFonts w:ascii="ITC Avant Garde" w:eastAsia="Times New Roman" w:hAnsi="ITC Avant Garde" w:cs="Arial"/>
          <w:bCs/>
          <w:sz w:val="22"/>
          <w:szCs w:val="24"/>
          <w:lang w:eastAsia="es-ES"/>
        </w:rPr>
        <w:t xml:space="preserve"> (en lo sucesivo, el “Escrito de Respuesta de Cablevisión Red”), el apoderado legal de Cablevisión Red</w:t>
      </w:r>
      <w:r w:rsidRPr="00436D2A">
        <w:rPr>
          <w:rFonts w:ascii="ITC Avant Garde" w:eastAsia="Times New Roman" w:hAnsi="ITC Avant Garde" w:cs="Arial"/>
          <w:bCs/>
          <w:sz w:val="22"/>
          <w:szCs w:val="24"/>
          <w:lang w:eastAsia="es-ES"/>
        </w:rPr>
        <w:t xml:space="preserve"> </w:t>
      </w:r>
      <w:r>
        <w:rPr>
          <w:rFonts w:ascii="ITC Avant Garde" w:eastAsia="Times New Roman" w:hAnsi="ITC Avant Garde" w:cs="Arial"/>
          <w:bCs/>
          <w:sz w:val="22"/>
          <w:szCs w:val="24"/>
          <w:lang w:eastAsia="es-ES"/>
        </w:rPr>
        <w:t>dio respuesta a</w:t>
      </w:r>
      <w:r w:rsidRPr="00436D2A">
        <w:rPr>
          <w:rFonts w:ascii="ITC Avant Garde" w:eastAsia="Times New Roman" w:hAnsi="ITC Avant Garde" w:cs="Arial"/>
          <w:bCs/>
          <w:sz w:val="22"/>
          <w:szCs w:val="24"/>
          <w:lang w:eastAsia="es-ES"/>
        </w:rPr>
        <w:t>l requerimiento de información a que hace referencia el numeral anterior</w:t>
      </w:r>
      <w:r w:rsidRPr="00C11F7E">
        <w:rPr>
          <w:rFonts w:ascii="ITC Avant Garde" w:eastAsia="Times New Roman" w:hAnsi="ITC Avant Garde" w:cs="Arial"/>
          <w:bCs/>
          <w:sz w:val="22"/>
          <w:szCs w:val="24"/>
          <w:lang w:eastAsia="es-ES"/>
        </w:rPr>
        <w:t xml:space="preserve">, presentando de manera anexa a su escrito </w:t>
      </w:r>
      <w:r>
        <w:rPr>
          <w:rFonts w:ascii="ITC Avant Garde" w:eastAsia="Times New Roman" w:hAnsi="ITC Avant Garde" w:cs="Arial"/>
          <w:bCs/>
          <w:sz w:val="22"/>
          <w:szCs w:val="24"/>
          <w:lang w:eastAsia="es-ES"/>
        </w:rPr>
        <w:t xml:space="preserve">la escritura pública </w:t>
      </w:r>
      <w:r w:rsidRPr="00EC17E7">
        <w:rPr>
          <w:rFonts w:ascii="ITC Avant Garde" w:eastAsia="Times New Roman" w:hAnsi="ITC Avant Garde" w:cs="Arial"/>
          <w:bCs/>
          <w:sz w:val="22"/>
          <w:szCs w:val="24"/>
          <w:lang w:eastAsia="es-ES"/>
        </w:rPr>
        <w:t xml:space="preserve">74,677 de fecha 25 de octubre de 2016, pasada ante la fe del </w:t>
      </w:r>
      <w:r>
        <w:rPr>
          <w:rFonts w:ascii="ITC Avant Garde" w:eastAsia="Times New Roman" w:hAnsi="ITC Avant Garde" w:cs="Arial"/>
          <w:bCs/>
          <w:sz w:val="22"/>
          <w:szCs w:val="24"/>
          <w:lang w:eastAsia="es-ES"/>
        </w:rPr>
        <w:t>N</w:t>
      </w:r>
      <w:r w:rsidRPr="00EC17E7">
        <w:rPr>
          <w:rFonts w:ascii="ITC Avant Garde" w:eastAsia="Times New Roman" w:hAnsi="ITC Avant Garde" w:cs="Arial"/>
          <w:bCs/>
          <w:sz w:val="22"/>
          <w:szCs w:val="24"/>
          <w:lang w:eastAsia="es-ES"/>
        </w:rPr>
        <w:t xml:space="preserve">otario </w:t>
      </w:r>
      <w:r>
        <w:rPr>
          <w:rFonts w:ascii="ITC Avant Garde" w:eastAsia="Times New Roman" w:hAnsi="ITC Avant Garde" w:cs="Arial"/>
          <w:bCs/>
          <w:sz w:val="22"/>
          <w:szCs w:val="24"/>
          <w:lang w:eastAsia="es-ES"/>
        </w:rPr>
        <w:t>P</w:t>
      </w:r>
      <w:r w:rsidRPr="00EC17E7">
        <w:rPr>
          <w:rFonts w:ascii="ITC Avant Garde" w:eastAsia="Times New Roman" w:hAnsi="ITC Avant Garde" w:cs="Arial"/>
          <w:bCs/>
          <w:sz w:val="22"/>
          <w:szCs w:val="24"/>
          <w:lang w:eastAsia="es-ES"/>
        </w:rPr>
        <w:t>úblico número 45, en la Ciudad de México, consistente en la fe de hecho</w:t>
      </w:r>
      <w:r>
        <w:rPr>
          <w:rFonts w:ascii="ITC Avant Garde" w:eastAsia="Times New Roman" w:hAnsi="ITC Avant Garde" w:cs="Arial"/>
          <w:bCs/>
          <w:sz w:val="22"/>
          <w:szCs w:val="24"/>
          <w:lang w:eastAsia="es-ES"/>
        </w:rPr>
        <w:t>s</w:t>
      </w:r>
      <w:r w:rsidRPr="00EC17E7">
        <w:rPr>
          <w:rFonts w:ascii="ITC Avant Garde" w:eastAsia="Times New Roman" w:hAnsi="ITC Avant Garde" w:cs="Arial"/>
          <w:bCs/>
          <w:sz w:val="22"/>
          <w:szCs w:val="24"/>
          <w:lang w:eastAsia="es-ES"/>
        </w:rPr>
        <w:t xml:space="preserve"> de la solicitud vía correo electrónico del inicio de negociaciones para el establecimiento de los términos, condiciones y tarifas relativas a la Oferta de Referencia para el Acceso y Uso Compartido de Infraestructura Pasiva efectuado al correo electrónico COMPERS@telmex.com de fecha 27 de julio de 2016</w:t>
      </w:r>
      <w:r>
        <w:rPr>
          <w:rFonts w:ascii="ITC Avant Garde" w:eastAsia="Times New Roman" w:hAnsi="ITC Avant Garde" w:cs="Arial"/>
          <w:bCs/>
          <w:sz w:val="22"/>
          <w:szCs w:val="24"/>
          <w:lang w:eastAsia="es-ES"/>
        </w:rPr>
        <w:t xml:space="preserve">. Asimismo </w:t>
      </w:r>
      <w:r>
        <w:rPr>
          <w:rStyle w:val="IFTnormalCar"/>
        </w:rPr>
        <w:t>exhibió el original de la cotización emitida por la empresa Construcción e Instalaciones Especiales de Redes Telefónicas, S.A. de C.V.</w:t>
      </w:r>
    </w:p>
    <w:p w:rsidR="003B64A4" w:rsidRPr="003B64A4" w:rsidRDefault="00F33910" w:rsidP="003B64A4">
      <w:pPr>
        <w:pStyle w:val="Ttulo2"/>
        <w:spacing w:after="240"/>
        <w:jc w:val="center"/>
        <w:rPr>
          <w:rFonts w:ascii="ITC Avant Garde" w:hAnsi="ITC Avant Garde"/>
          <w:b/>
          <w:color w:val="000000" w:themeColor="text1"/>
          <w:sz w:val="22"/>
          <w:szCs w:val="22"/>
        </w:rPr>
      </w:pPr>
      <w:r w:rsidRPr="003B64A4">
        <w:rPr>
          <w:rFonts w:ascii="ITC Avant Garde" w:hAnsi="ITC Avant Garde"/>
          <w:b/>
          <w:color w:val="000000" w:themeColor="text1"/>
          <w:sz w:val="22"/>
          <w:szCs w:val="22"/>
        </w:rPr>
        <w:lastRenderedPageBreak/>
        <w:t>CONSIDERANDO</w:t>
      </w:r>
    </w:p>
    <w:p w:rsidR="003B64A4" w:rsidRDefault="00F33910" w:rsidP="003B64A4">
      <w:pPr>
        <w:autoSpaceDE w:val="0"/>
        <w:autoSpaceDN w:val="0"/>
        <w:adjustRightInd w:val="0"/>
        <w:spacing w:before="240" w:after="240" w:line="276" w:lineRule="auto"/>
        <w:jc w:val="both"/>
        <w:rPr>
          <w:rFonts w:ascii="ITC Avant Garde" w:eastAsia="Times New Roman" w:hAnsi="ITC Avant Garde"/>
          <w:bCs/>
          <w:sz w:val="22"/>
          <w:szCs w:val="22"/>
          <w:lang w:val="es-ES" w:eastAsia="es-ES"/>
        </w:rPr>
      </w:pPr>
      <w:r>
        <w:rPr>
          <w:rFonts w:ascii="ITC Avant Garde" w:eastAsia="Times New Roman" w:hAnsi="ITC Avant Garde"/>
          <w:b/>
          <w:bCs/>
          <w:sz w:val="22"/>
          <w:szCs w:val="22"/>
          <w:lang w:eastAsia="en-US"/>
        </w:rPr>
        <w:t xml:space="preserve">PRIMERO.- </w:t>
      </w:r>
      <w:r w:rsidRPr="00AD3AEE">
        <w:rPr>
          <w:rFonts w:ascii="ITC Avant Garde" w:eastAsia="Times New Roman" w:hAnsi="ITC Avant Garde"/>
          <w:b/>
          <w:bCs/>
          <w:sz w:val="22"/>
          <w:szCs w:val="22"/>
          <w:lang w:val="es-ES" w:eastAsia="es-ES"/>
        </w:rPr>
        <w:t>Competencia del Instituto.</w:t>
      </w:r>
      <w:r w:rsidRPr="00AD3AEE">
        <w:rPr>
          <w:rFonts w:ascii="ITC Avant Garde" w:eastAsia="Times New Roman" w:hAnsi="ITC Avant Garde"/>
          <w:bCs/>
          <w:sz w:val="22"/>
          <w:szCs w:val="22"/>
          <w:lang w:val="es-ES" w:eastAsia="es-ES"/>
        </w:rPr>
        <w:t xml:space="preserve"> </w:t>
      </w:r>
      <w:r w:rsidRPr="00AD3AEE">
        <w:rPr>
          <w:rFonts w:ascii="ITC Avant Garde" w:hAnsi="ITC Avant Garde" w:cs="Arial"/>
          <w:sz w:val="22"/>
          <w:szCs w:val="22"/>
          <w:lang w:eastAsia="en-US"/>
        </w:rPr>
        <w:t xml:space="preserve">De conformidad con los artículos 6°, apartado B, fracción II y 28, párrafos décimo quinto y décimo sexto de la Constitución </w:t>
      </w:r>
      <w:r>
        <w:rPr>
          <w:rFonts w:ascii="ITC Avant Garde" w:hAnsi="ITC Avant Garde" w:cs="Arial"/>
          <w:sz w:val="22"/>
          <w:szCs w:val="22"/>
          <w:lang w:eastAsia="en-US"/>
        </w:rPr>
        <w:t xml:space="preserve">Política de los Estados Unidos Mexicanos (en lo sucesivo la “Constitución”) </w:t>
      </w:r>
      <w:r w:rsidRPr="00AD3AEE">
        <w:rPr>
          <w:rFonts w:ascii="ITC Avant Garde" w:hAnsi="ITC Avant Garde" w:cs="Arial"/>
          <w:sz w:val="22"/>
          <w:szCs w:val="22"/>
          <w:lang w:eastAsia="en-US"/>
        </w:rPr>
        <w:t>y 7</w:t>
      </w:r>
      <w:r>
        <w:rPr>
          <w:rFonts w:ascii="ITC Avant Garde" w:hAnsi="ITC Avant Garde" w:cs="Arial"/>
          <w:sz w:val="22"/>
          <w:szCs w:val="22"/>
          <w:lang w:eastAsia="en-US"/>
        </w:rPr>
        <w:t>,</w:t>
      </w:r>
      <w:r w:rsidRPr="00AD3AEE">
        <w:rPr>
          <w:rFonts w:ascii="ITC Avant Garde" w:hAnsi="ITC Avant Garde" w:cs="Arial"/>
          <w:sz w:val="22"/>
          <w:szCs w:val="22"/>
          <w:lang w:eastAsia="en-US"/>
        </w:rPr>
        <w:t xml:space="preserve"> primer párrafo de la L</w:t>
      </w:r>
      <w:r>
        <w:rPr>
          <w:rFonts w:ascii="ITC Avant Garde" w:hAnsi="ITC Avant Garde" w:cs="Arial"/>
          <w:sz w:val="22"/>
          <w:szCs w:val="22"/>
          <w:lang w:eastAsia="en-US"/>
        </w:rPr>
        <w:t xml:space="preserve">ey </w:t>
      </w:r>
      <w:r w:rsidRPr="00AD3AEE">
        <w:rPr>
          <w:rFonts w:ascii="ITC Avant Garde" w:hAnsi="ITC Avant Garde" w:cs="Arial"/>
          <w:sz w:val="22"/>
          <w:szCs w:val="22"/>
          <w:lang w:eastAsia="en-US"/>
        </w:rPr>
        <w:t>F</w:t>
      </w:r>
      <w:r>
        <w:rPr>
          <w:rFonts w:ascii="ITC Avant Garde" w:hAnsi="ITC Avant Garde" w:cs="Arial"/>
          <w:sz w:val="22"/>
          <w:szCs w:val="22"/>
          <w:lang w:eastAsia="en-US"/>
        </w:rPr>
        <w:t xml:space="preserve">ederal de </w:t>
      </w:r>
      <w:r w:rsidRPr="00AD3AEE">
        <w:rPr>
          <w:rFonts w:ascii="ITC Avant Garde" w:hAnsi="ITC Avant Garde" w:cs="Arial"/>
          <w:sz w:val="22"/>
          <w:szCs w:val="22"/>
          <w:lang w:eastAsia="en-US"/>
        </w:rPr>
        <w:t>T</w:t>
      </w:r>
      <w:r>
        <w:rPr>
          <w:rFonts w:ascii="ITC Avant Garde" w:hAnsi="ITC Avant Garde" w:cs="Arial"/>
          <w:sz w:val="22"/>
          <w:szCs w:val="22"/>
          <w:lang w:eastAsia="en-US"/>
        </w:rPr>
        <w:t xml:space="preserve">elecomunicaciones </w:t>
      </w:r>
      <w:r w:rsidRPr="00AD3AEE">
        <w:rPr>
          <w:rFonts w:ascii="ITC Avant Garde" w:hAnsi="ITC Avant Garde" w:cs="Arial"/>
          <w:sz w:val="22"/>
          <w:szCs w:val="22"/>
          <w:lang w:eastAsia="en-US"/>
        </w:rPr>
        <w:t>y</w:t>
      </w:r>
      <w:r>
        <w:rPr>
          <w:rFonts w:ascii="ITC Avant Garde" w:hAnsi="ITC Avant Garde" w:cs="Arial"/>
          <w:sz w:val="22"/>
          <w:szCs w:val="22"/>
          <w:lang w:eastAsia="en-US"/>
        </w:rPr>
        <w:t xml:space="preserve"> </w:t>
      </w:r>
      <w:r w:rsidRPr="00AD3AEE">
        <w:rPr>
          <w:rFonts w:ascii="ITC Avant Garde" w:hAnsi="ITC Avant Garde" w:cs="Arial"/>
          <w:sz w:val="22"/>
          <w:szCs w:val="22"/>
          <w:lang w:eastAsia="en-US"/>
        </w:rPr>
        <w:t>R</w:t>
      </w:r>
      <w:r>
        <w:rPr>
          <w:rFonts w:ascii="ITC Avant Garde" w:hAnsi="ITC Avant Garde" w:cs="Arial"/>
          <w:sz w:val="22"/>
          <w:szCs w:val="22"/>
          <w:lang w:eastAsia="en-US"/>
        </w:rPr>
        <w:t>adiodifusión (en lo sucesivo, la “</w:t>
      </w:r>
      <w:proofErr w:type="spellStart"/>
      <w:r>
        <w:rPr>
          <w:rFonts w:ascii="ITC Avant Garde" w:hAnsi="ITC Avant Garde" w:cs="Arial"/>
          <w:sz w:val="22"/>
          <w:szCs w:val="22"/>
          <w:lang w:eastAsia="en-US"/>
        </w:rPr>
        <w:t>LFTyR</w:t>
      </w:r>
      <w:proofErr w:type="spellEnd"/>
      <w:r>
        <w:rPr>
          <w:rFonts w:ascii="ITC Avant Garde" w:hAnsi="ITC Avant Garde" w:cs="Arial"/>
          <w:sz w:val="22"/>
          <w:szCs w:val="22"/>
          <w:lang w:eastAsia="en-US"/>
        </w:rPr>
        <w:t>”)</w:t>
      </w:r>
      <w:r w:rsidRPr="00AD3AEE">
        <w:rPr>
          <w:rFonts w:ascii="ITC Avant Garde" w:hAnsi="ITC Avant Garde" w:cs="Arial"/>
          <w:sz w:val="22"/>
          <w:szCs w:val="22"/>
          <w:lang w:eastAsia="en-U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confieren la Constitución y en los términos que fijan la </w:t>
      </w:r>
      <w:proofErr w:type="spellStart"/>
      <w:r w:rsidRPr="00AD3AEE">
        <w:rPr>
          <w:rFonts w:ascii="ITC Avant Garde" w:hAnsi="ITC Avant Garde" w:cs="Arial"/>
          <w:sz w:val="22"/>
          <w:szCs w:val="22"/>
          <w:lang w:eastAsia="en-US"/>
        </w:rPr>
        <w:t>LFTyR</w:t>
      </w:r>
      <w:proofErr w:type="spellEnd"/>
      <w:r w:rsidRPr="00AD3AEE">
        <w:rPr>
          <w:rFonts w:ascii="ITC Avant Garde" w:hAnsi="ITC Avant Garde" w:cs="Arial"/>
          <w:sz w:val="22"/>
          <w:szCs w:val="22"/>
          <w:lang w:eastAsia="en-US"/>
        </w:rPr>
        <w:t xml:space="preserve"> y demás disposiciones aplicables.</w:t>
      </w:r>
    </w:p>
    <w:p w:rsidR="003B64A4" w:rsidRDefault="00F33910" w:rsidP="003B64A4">
      <w:pPr>
        <w:autoSpaceDE w:val="0"/>
        <w:autoSpaceDN w:val="0"/>
        <w:adjustRightInd w:val="0"/>
        <w:spacing w:before="240" w:after="240" w:line="276" w:lineRule="auto"/>
        <w:jc w:val="both"/>
        <w:rPr>
          <w:rFonts w:ascii="ITC Avant Garde" w:eastAsia="Times New Roman" w:hAnsi="ITC Avant Garde"/>
          <w:sz w:val="22"/>
          <w:szCs w:val="22"/>
          <w:lang w:eastAsia="es-ES"/>
        </w:rPr>
      </w:pPr>
      <w:r w:rsidRPr="00494A7D">
        <w:rPr>
          <w:rFonts w:ascii="ITC Avant Garde" w:eastAsia="Times New Roman" w:hAnsi="ITC Avant Garde"/>
          <w:sz w:val="22"/>
          <w:szCs w:val="22"/>
          <w:lang w:eastAsia="es-ES"/>
        </w:rPr>
        <w:t>Con fundamento en los artículos 7, 15</w:t>
      </w:r>
      <w:r>
        <w:rPr>
          <w:rFonts w:ascii="ITC Avant Garde" w:eastAsia="Times New Roman" w:hAnsi="ITC Avant Garde"/>
          <w:sz w:val="22"/>
          <w:szCs w:val="22"/>
          <w:lang w:eastAsia="es-ES"/>
        </w:rPr>
        <w:t>,</w:t>
      </w:r>
      <w:r w:rsidRPr="00494A7D">
        <w:rPr>
          <w:rFonts w:ascii="ITC Avant Garde" w:eastAsia="Times New Roman" w:hAnsi="ITC Avant Garde"/>
          <w:sz w:val="22"/>
          <w:szCs w:val="22"/>
          <w:lang w:eastAsia="es-ES"/>
        </w:rPr>
        <w:t xml:space="preserve"> fracción XII</w:t>
      </w:r>
      <w:r>
        <w:rPr>
          <w:rFonts w:ascii="ITC Avant Garde" w:eastAsia="Times New Roman" w:hAnsi="ITC Avant Garde"/>
          <w:sz w:val="22"/>
          <w:szCs w:val="22"/>
          <w:lang w:eastAsia="es-ES"/>
        </w:rPr>
        <w:t xml:space="preserve"> y</w:t>
      </w:r>
      <w:r w:rsidRPr="00494A7D">
        <w:rPr>
          <w:rFonts w:ascii="ITC Avant Garde" w:eastAsia="Times New Roman" w:hAnsi="ITC Avant Garde"/>
          <w:sz w:val="22"/>
          <w:szCs w:val="22"/>
          <w:lang w:eastAsia="es-ES"/>
        </w:rPr>
        <w:t xml:space="preserve"> 16 de la </w:t>
      </w:r>
      <w:proofErr w:type="spellStart"/>
      <w:r w:rsidRPr="00494A7D">
        <w:rPr>
          <w:rFonts w:ascii="ITC Avant Garde" w:eastAsia="Times New Roman" w:hAnsi="ITC Avant Garde"/>
          <w:sz w:val="22"/>
          <w:szCs w:val="22"/>
          <w:lang w:eastAsia="es-ES"/>
        </w:rPr>
        <w:t>LFTyR</w:t>
      </w:r>
      <w:proofErr w:type="spellEnd"/>
      <w:r>
        <w:rPr>
          <w:rFonts w:ascii="ITC Avant Garde" w:eastAsia="Times New Roman" w:hAnsi="ITC Avant Garde"/>
          <w:sz w:val="22"/>
          <w:szCs w:val="22"/>
          <w:lang w:eastAsia="es-ES"/>
        </w:rPr>
        <w:t>,</w:t>
      </w:r>
      <w:r w:rsidRPr="00494A7D">
        <w:rPr>
          <w:rFonts w:ascii="ITC Avant Garde" w:eastAsia="Times New Roman" w:hAnsi="ITC Avant Garde"/>
          <w:sz w:val="22"/>
          <w:szCs w:val="22"/>
          <w:lang w:eastAsia="es-ES"/>
        </w:rPr>
        <w:t xml:space="preserve"> y SEXAGÉSIMA y SEXAGÉSIMA SEGUNDA de las Medidas Fijas, el Instituto está facultado para resolver los desacuerdos que se susciten entre el Agente Económico Preponderante (en lo sucesivo, el “AEP”) y los Concesionarios Solicitantes sobre la prestación de los servicios objeto de las Medidas Fijas, así como ordenar al AEP a otorgar la prestación de los servicios materia de la controversia, con independencia de que el Instituto resuelva con posterioridad sobre las tarifas respectivas, a condición de que se le otorgue una garantía para asegurar el cumplimiento de las obligaciones contractuales, una vez que se solicite su intervención.</w:t>
      </w:r>
      <w:r w:rsidRPr="00AD3AEE">
        <w:rPr>
          <w:rFonts w:ascii="ITC Avant Garde" w:eastAsia="Times New Roman" w:hAnsi="ITC Avant Garde"/>
          <w:sz w:val="22"/>
          <w:szCs w:val="22"/>
          <w:lang w:eastAsia="es-ES"/>
        </w:rPr>
        <w:t xml:space="preserve"> </w:t>
      </w:r>
    </w:p>
    <w:p w:rsidR="003B64A4" w:rsidRDefault="00F33910" w:rsidP="003B64A4">
      <w:pPr>
        <w:autoSpaceDE w:val="0"/>
        <w:autoSpaceDN w:val="0"/>
        <w:adjustRightInd w:val="0"/>
        <w:spacing w:before="240" w:after="240" w:line="276" w:lineRule="auto"/>
        <w:jc w:val="both"/>
        <w:rPr>
          <w:rStyle w:val="IFTnormalCar"/>
        </w:rPr>
      </w:pPr>
      <w:r w:rsidRPr="00494A7D">
        <w:rPr>
          <w:rFonts w:ascii="ITC Avant Garde" w:eastAsia="Times New Roman" w:hAnsi="ITC Avant Garde"/>
          <w:b/>
          <w:sz w:val="22"/>
          <w:szCs w:val="22"/>
          <w:lang w:eastAsia="es-ES"/>
        </w:rPr>
        <w:t>SEGUNDO.-</w:t>
      </w:r>
      <w:r w:rsidRPr="00BF3DE4">
        <w:rPr>
          <w:rFonts w:ascii="ITC Avant Garde" w:eastAsia="Times New Roman" w:hAnsi="ITC Avant Garde"/>
          <w:b/>
          <w:sz w:val="22"/>
          <w:szCs w:val="22"/>
          <w:lang w:eastAsia="es-ES"/>
        </w:rPr>
        <w:t xml:space="preserve"> Análisis de los requisitos</w:t>
      </w:r>
      <w:r w:rsidRPr="00065BC8">
        <w:rPr>
          <w:rFonts w:ascii="ITC Avant Garde" w:eastAsia="Times New Roman" w:hAnsi="ITC Avant Garde"/>
          <w:b/>
          <w:sz w:val="22"/>
          <w:szCs w:val="22"/>
          <w:lang w:eastAsia="es-ES"/>
        </w:rPr>
        <w:t xml:space="preserve"> de procedencia. </w:t>
      </w:r>
      <w:r w:rsidRPr="003E60B6">
        <w:rPr>
          <w:rStyle w:val="IFTnormalCar"/>
        </w:rPr>
        <w:t xml:space="preserve">El apoderado legal de </w:t>
      </w:r>
      <w:r>
        <w:rPr>
          <w:rStyle w:val="IFTnormalCar"/>
        </w:rPr>
        <w:t>Cablevisión Red</w:t>
      </w:r>
      <w:r w:rsidRPr="003E60B6">
        <w:rPr>
          <w:rStyle w:val="IFTnormalCar"/>
        </w:rPr>
        <w:t xml:space="preserve"> manifest</w:t>
      </w:r>
      <w:r>
        <w:rPr>
          <w:rStyle w:val="IFTnormalCar"/>
        </w:rPr>
        <w:t>ó</w:t>
      </w:r>
      <w:r w:rsidRPr="003E60B6">
        <w:rPr>
          <w:rStyle w:val="IFTnormalCar"/>
        </w:rPr>
        <w:t xml:space="preserve"> que mediante </w:t>
      </w:r>
      <w:r>
        <w:rPr>
          <w:rStyle w:val="IFTnormalCar"/>
        </w:rPr>
        <w:t xml:space="preserve">correo electrónico enviado el 27 de julio de 2016 a Telmex a la cuenta de correo electrónico </w:t>
      </w:r>
      <w:hyperlink r:id="rId7" w:history="1">
        <w:r w:rsidRPr="000E773E">
          <w:rPr>
            <w:rStyle w:val="Hipervnculo"/>
            <w:rFonts w:ascii="ITC Avant Garde" w:hAnsi="ITC Avant Garde"/>
            <w:sz w:val="22"/>
            <w:szCs w:val="22"/>
            <w:lang w:val="es-ES_tradnl" w:eastAsia="es-ES"/>
          </w:rPr>
          <w:t>COMPERS@telmex.com</w:t>
        </w:r>
      </w:hyperlink>
      <w:r>
        <w:rPr>
          <w:rStyle w:val="IFTnormalCar"/>
        </w:rPr>
        <w:t>, mencionando que el mismo corresponde a la Gerencia de Compartición de Telmex, se dio inicio a las negociaciones para el establecimiento de los términos, condiciones y tarifas relativas a la Oferta de Referencia para el Acceso y Uso Compartido de Infraestructura Pasiva.</w:t>
      </w:r>
    </w:p>
    <w:p w:rsidR="00F33910" w:rsidRPr="003E60B6" w:rsidRDefault="00F33910" w:rsidP="003B64A4">
      <w:pPr>
        <w:pStyle w:val="IFTnormal"/>
        <w:spacing w:before="240" w:after="240"/>
      </w:pPr>
      <w:r>
        <w:t>En este sentido, d</w:t>
      </w:r>
      <w:r w:rsidRPr="003E60B6">
        <w:t>el análisis efectuado a la Solicitud de Resolución se desprende que dentro de la misma</w:t>
      </w:r>
      <w:r>
        <w:t>, Cablevisión Red</w:t>
      </w:r>
      <w:r w:rsidRPr="003E60B6">
        <w:t xml:space="preserve"> solicita se resuelvan las tarifas en materia de compartición de infraestructura relativas a la Oferta de Referencia para el Acceso y Uso Compartido de Infraestructura Pasiva de Telmex para el periodo comprendido del 1 de enero al 31 de diciembre de 2016, respecto de los siguientes servicios:</w:t>
      </w:r>
    </w:p>
    <w:p w:rsidR="00F33910" w:rsidRPr="001D436B" w:rsidRDefault="00F33910" w:rsidP="003B64A4">
      <w:pPr>
        <w:pStyle w:val="IFTnormal"/>
        <w:numPr>
          <w:ilvl w:val="0"/>
          <w:numId w:val="1"/>
        </w:numPr>
        <w:spacing w:before="240" w:after="240"/>
        <w:rPr>
          <w:sz w:val="21"/>
          <w:szCs w:val="21"/>
        </w:rPr>
      </w:pPr>
      <w:r w:rsidRPr="001D436B">
        <w:rPr>
          <w:sz w:val="21"/>
          <w:szCs w:val="21"/>
        </w:rPr>
        <w:t>Servicio de acceso y uso compartido de torre.</w:t>
      </w:r>
    </w:p>
    <w:p w:rsidR="00F33910" w:rsidRPr="001D436B" w:rsidRDefault="00F33910" w:rsidP="003B64A4">
      <w:pPr>
        <w:pStyle w:val="IFTnormal"/>
        <w:numPr>
          <w:ilvl w:val="0"/>
          <w:numId w:val="1"/>
        </w:numPr>
        <w:spacing w:before="240" w:after="240"/>
        <w:rPr>
          <w:sz w:val="21"/>
          <w:szCs w:val="21"/>
        </w:rPr>
      </w:pPr>
      <w:r w:rsidRPr="001D436B">
        <w:rPr>
          <w:sz w:val="21"/>
          <w:szCs w:val="21"/>
        </w:rPr>
        <w:lastRenderedPageBreak/>
        <w:t>Servicio de uso de espacios físicos.</w:t>
      </w:r>
    </w:p>
    <w:p w:rsidR="00F33910" w:rsidRPr="001D436B" w:rsidRDefault="00F33910" w:rsidP="003B64A4">
      <w:pPr>
        <w:pStyle w:val="IFTnormal"/>
        <w:numPr>
          <w:ilvl w:val="0"/>
          <w:numId w:val="1"/>
        </w:numPr>
        <w:spacing w:before="240" w:after="240"/>
        <w:rPr>
          <w:sz w:val="21"/>
          <w:szCs w:val="21"/>
        </w:rPr>
      </w:pPr>
      <w:r w:rsidRPr="001D436B">
        <w:rPr>
          <w:sz w:val="21"/>
          <w:szCs w:val="21"/>
        </w:rPr>
        <w:t>Servicio de tendido de cable sobre la infraestructura desagregada.</w:t>
      </w:r>
    </w:p>
    <w:p w:rsidR="00F33910" w:rsidRPr="001D436B" w:rsidRDefault="00F33910" w:rsidP="003B64A4">
      <w:pPr>
        <w:pStyle w:val="IFTnormal"/>
        <w:numPr>
          <w:ilvl w:val="0"/>
          <w:numId w:val="1"/>
        </w:numPr>
        <w:spacing w:before="240" w:after="240"/>
        <w:rPr>
          <w:sz w:val="21"/>
          <w:szCs w:val="21"/>
        </w:rPr>
      </w:pPr>
      <w:r w:rsidRPr="001D436B">
        <w:rPr>
          <w:sz w:val="21"/>
          <w:szCs w:val="21"/>
        </w:rPr>
        <w:t>Canales ópticos de alta capacidad.</w:t>
      </w:r>
    </w:p>
    <w:p w:rsidR="00F33910" w:rsidRPr="001D436B" w:rsidRDefault="00F33910" w:rsidP="003B64A4">
      <w:pPr>
        <w:pStyle w:val="IFTnormal"/>
        <w:numPr>
          <w:ilvl w:val="0"/>
          <w:numId w:val="1"/>
        </w:numPr>
        <w:spacing w:before="240" w:after="240"/>
        <w:rPr>
          <w:sz w:val="21"/>
          <w:szCs w:val="21"/>
        </w:rPr>
      </w:pPr>
      <w:r w:rsidRPr="001D436B">
        <w:rPr>
          <w:sz w:val="21"/>
          <w:szCs w:val="21"/>
        </w:rPr>
        <w:t>Actividades de apoyo, tales como visitas técnicas, análisis de factibilidad e inspección.</w:t>
      </w:r>
    </w:p>
    <w:p w:rsidR="00F33910" w:rsidRPr="001D436B" w:rsidRDefault="00F33910" w:rsidP="003B64A4">
      <w:pPr>
        <w:pStyle w:val="IFTnormal"/>
        <w:numPr>
          <w:ilvl w:val="0"/>
          <w:numId w:val="1"/>
        </w:numPr>
        <w:spacing w:before="240" w:after="240"/>
        <w:rPr>
          <w:sz w:val="21"/>
          <w:szCs w:val="21"/>
        </w:rPr>
      </w:pPr>
      <w:r w:rsidRPr="001D436B">
        <w:rPr>
          <w:sz w:val="21"/>
          <w:szCs w:val="21"/>
        </w:rPr>
        <w:t>Trabajos especiales.</w:t>
      </w:r>
    </w:p>
    <w:p w:rsidR="00F33910" w:rsidRDefault="00F33910" w:rsidP="003B64A4">
      <w:pPr>
        <w:pStyle w:val="IFTnormal"/>
        <w:spacing w:before="240" w:after="240"/>
      </w:pPr>
      <w:r>
        <w:t>Por otro lado, Cablevisión Red solicitó a este Instituto se ordene a Telmex la prestación de los servicios de la Oferta de Referencia de Compartición de Infraestructura Pasiva, hasta en tanto no se resuelvan las tarifas correspondientes, sin perjuicio de que las partes deban ajustarse a las condiciones, términos y tarifas que ese Instituto determine en la resolución definitiva.</w:t>
      </w:r>
    </w:p>
    <w:p w:rsidR="00F33910" w:rsidRPr="00065BC8" w:rsidRDefault="00F33910" w:rsidP="003B64A4">
      <w:pPr>
        <w:pStyle w:val="IFTnormal"/>
        <w:spacing w:before="240" w:after="240"/>
        <w:rPr>
          <w:rFonts w:eastAsia="Times New Roman"/>
          <w:bCs/>
        </w:rPr>
      </w:pPr>
      <w:r>
        <w:t>En este mismo sentido</w:t>
      </w:r>
      <w:r w:rsidRPr="001D436B">
        <w:t xml:space="preserve">, se advierte que la </w:t>
      </w:r>
      <w:r>
        <w:t>Solicitud de Resolución</w:t>
      </w:r>
      <w:r w:rsidRPr="001D436B">
        <w:t xml:space="preserve"> fue presentada a este Instituto de conformidad con las Medidas VIGÉSIMA TERCERA, TRIGÉSIMA NOVENA y SEXAGÉSIMA SEGUNDA</w:t>
      </w:r>
      <w:r>
        <w:t xml:space="preserve"> de las Medidas Fijas</w:t>
      </w:r>
      <w:r w:rsidRPr="00CE3F12">
        <w:rPr>
          <w:rFonts w:eastAsia="Times New Roman"/>
          <w:bCs/>
        </w:rPr>
        <w:t>, las cuales disponen lo siguiente:</w:t>
      </w:r>
    </w:p>
    <w:p w:rsidR="003B64A4" w:rsidRDefault="00F33910" w:rsidP="003B64A4">
      <w:pPr>
        <w:autoSpaceDE w:val="0"/>
        <w:autoSpaceDN w:val="0"/>
        <w:adjustRightInd w:val="0"/>
        <w:spacing w:before="240" w:after="240" w:line="276" w:lineRule="auto"/>
        <w:ind w:left="851" w:right="616"/>
        <w:jc w:val="both"/>
        <w:rPr>
          <w:rFonts w:ascii="ITC Avant Garde" w:eastAsia="Times New Roman" w:hAnsi="ITC Avant Garde"/>
          <w:bCs/>
          <w:i/>
          <w:sz w:val="18"/>
          <w:szCs w:val="18"/>
          <w:lang w:eastAsia="es-ES"/>
        </w:rPr>
      </w:pPr>
      <w:r>
        <w:rPr>
          <w:rFonts w:ascii="ITC Avant Garde" w:eastAsia="Times New Roman" w:hAnsi="ITC Avant Garde"/>
          <w:bCs/>
          <w:i/>
          <w:sz w:val="18"/>
          <w:szCs w:val="18"/>
          <w:lang w:eastAsia="es-ES"/>
        </w:rPr>
        <w:t>“</w:t>
      </w:r>
      <w:r w:rsidRPr="000D4FA1">
        <w:rPr>
          <w:rFonts w:ascii="ITC Avant Garde" w:eastAsia="Times New Roman" w:hAnsi="ITC Avant Garde"/>
          <w:b/>
          <w:bCs/>
          <w:i/>
          <w:sz w:val="18"/>
          <w:szCs w:val="18"/>
          <w:lang w:eastAsia="es-ES"/>
        </w:rPr>
        <w:t>VIGÉSIMA TERCERA.-</w:t>
      </w:r>
      <w:r w:rsidRPr="006C5A81">
        <w:rPr>
          <w:rFonts w:ascii="ITC Avant Garde" w:eastAsia="Times New Roman" w:hAnsi="ITC Avant Garde"/>
          <w:bCs/>
          <w:i/>
          <w:sz w:val="18"/>
          <w:szCs w:val="18"/>
          <w:lang w:eastAsia="es-ES"/>
        </w:rPr>
        <w:t xml:space="preserve"> El Agente Económico Preponderante deberá permitir a concesionarios de redes públicas de telecomunicaciones el Acceso y Uso Compartido de la Infraestructura Pasiva que pos</w:t>
      </w:r>
      <w:r>
        <w:rPr>
          <w:rFonts w:ascii="ITC Avant Garde" w:eastAsia="Times New Roman" w:hAnsi="ITC Avant Garde"/>
          <w:bCs/>
          <w:i/>
          <w:sz w:val="18"/>
          <w:szCs w:val="18"/>
          <w:lang w:eastAsia="es-ES"/>
        </w:rPr>
        <w:t>ea bajo cualquier título legal.</w:t>
      </w:r>
    </w:p>
    <w:p w:rsidR="003B64A4" w:rsidRDefault="00F33910" w:rsidP="003B64A4">
      <w:pPr>
        <w:autoSpaceDE w:val="0"/>
        <w:autoSpaceDN w:val="0"/>
        <w:adjustRightInd w:val="0"/>
        <w:spacing w:before="240" w:after="240" w:line="276" w:lineRule="auto"/>
        <w:ind w:left="851" w:right="616"/>
        <w:jc w:val="both"/>
        <w:rPr>
          <w:rFonts w:ascii="ITC Avant Garde" w:eastAsia="Times New Roman" w:hAnsi="ITC Avant Garde"/>
          <w:bCs/>
          <w:i/>
          <w:sz w:val="18"/>
          <w:szCs w:val="18"/>
          <w:lang w:eastAsia="es-ES"/>
        </w:rPr>
      </w:pPr>
      <w:r w:rsidRPr="006C5A81">
        <w:rPr>
          <w:rFonts w:ascii="ITC Avant Garde" w:eastAsia="Times New Roman" w:hAnsi="ITC Avant Garde"/>
          <w:bCs/>
          <w:i/>
          <w:sz w:val="18"/>
          <w:szCs w:val="18"/>
          <w:lang w:eastAsia="es-ES"/>
        </w:rPr>
        <w:t>Dicha infraestructura deberá estar disponible a los concesionarios de redes públicas de telecomunicaciones sobre bases no discriminatorias considerando las condiciones ofrecidas a sus propias operaciones. El Agente Económico Preponderante no deberá otorgar el uso o aprovechamiento de dichos bienes con derechos de exclusividad.</w:t>
      </w:r>
      <w:r>
        <w:rPr>
          <w:rFonts w:ascii="ITC Avant Garde" w:eastAsia="Times New Roman" w:hAnsi="ITC Avant Garde"/>
          <w:bCs/>
          <w:i/>
          <w:sz w:val="18"/>
          <w:szCs w:val="18"/>
          <w:lang w:eastAsia="es-ES"/>
        </w:rPr>
        <w:t>”</w:t>
      </w:r>
    </w:p>
    <w:p w:rsidR="003B64A4" w:rsidRDefault="00F33910" w:rsidP="003B64A4">
      <w:pPr>
        <w:autoSpaceDE w:val="0"/>
        <w:autoSpaceDN w:val="0"/>
        <w:adjustRightInd w:val="0"/>
        <w:spacing w:before="240" w:after="240" w:line="276" w:lineRule="auto"/>
        <w:ind w:left="851" w:right="616"/>
        <w:jc w:val="both"/>
        <w:rPr>
          <w:rFonts w:ascii="ITC Avant Garde" w:eastAsia="Times New Roman" w:hAnsi="ITC Avant Garde"/>
          <w:bCs/>
          <w:i/>
          <w:sz w:val="18"/>
          <w:szCs w:val="18"/>
          <w:lang w:eastAsia="es-ES"/>
        </w:rPr>
      </w:pPr>
      <w:r w:rsidRPr="00CE3F12">
        <w:rPr>
          <w:rFonts w:ascii="ITC Avant Garde" w:eastAsia="Times New Roman" w:hAnsi="ITC Avant Garde"/>
          <w:bCs/>
          <w:i/>
          <w:sz w:val="18"/>
          <w:szCs w:val="18"/>
          <w:lang w:eastAsia="es-ES"/>
        </w:rPr>
        <w:t>“</w:t>
      </w:r>
      <w:r w:rsidRPr="00CE3F12">
        <w:rPr>
          <w:rFonts w:ascii="ITC Avant Garde" w:eastAsia="Times New Roman" w:hAnsi="ITC Avant Garde"/>
          <w:b/>
          <w:bCs/>
          <w:i/>
          <w:sz w:val="18"/>
          <w:szCs w:val="18"/>
          <w:lang w:eastAsia="es-ES"/>
        </w:rPr>
        <w:t xml:space="preserve">TRIGÉSIMA NOVENA.- </w:t>
      </w:r>
      <w:r w:rsidRPr="00CE3F12">
        <w:rPr>
          <w:rFonts w:ascii="ITC Avant Garde" w:eastAsia="Times New Roman" w:hAnsi="ITC Avant Garde"/>
          <w:bCs/>
          <w:i/>
          <w:sz w:val="18"/>
          <w:szCs w:val="18"/>
          <w:lang w:eastAsia="es-ES"/>
        </w:rPr>
        <w:t>Las tarifas aplicables a los servicios de Acceso y Uso Compartido de Infraestructura Pasiva se negociarán entre el Agente Económico Preponderante y el Concesionario Solicitante.</w:t>
      </w:r>
    </w:p>
    <w:p w:rsidR="003B64A4" w:rsidRDefault="00F33910" w:rsidP="003B64A4">
      <w:pPr>
        <w:autoSpaceDE w:val="0"/>
        <w:autoSpaceDN w:val="0"/>
        <w:adjustRightInd w:val="0"/>
        <w:spacing w:before="240" w:after="240" w:line="276" w:lineRule="auto"/>
        <w:ind w:left="851" w:right="616"/>
        <w:jc w:val="both"/>
        <w:rPr>
          <w:rFonts w:ascii="ITC Avant Garde" w:eastAsia="Times New Roman" w:hAnsi="ITC Avant Garde"/>
          <w:bCs/>
          <w:i/>
          <w:sz w:val="18"/>
          <w:szCs w:val="18"/>
          <w:lang w:eastAsia="es-ES"/>
        </w:rPr>
      </w:pPr>
      <w:r w:rsidRPr="00CE3F12">
        <w:rPr>
          <w:rFonts w:ascii="ITC Avant Garde" w:eastAsia="Times New Roman" w:hAnsi="ITC Avant Garde"/>
          <w:bCs/>
          <w:i/>
          <w:sz w:val="18"/>
          <w:szCs w:val="18"/>
          <w:lang w:eastAsia="es-ES"/>
        </w:rPr>
        <w:t xml:space="preserve">Transcurridos sesenta días naturales contados a partir del inicio de las negociaciones sin que las partes hayan celebrado un acuerdo, o antes si así lo solicitan ambas partes, el Instituto determinará las tarifas mediante una metodología de costos incrementales promedio de largo plazo. Las mencionadas tarifas deberán ofrecerse en términos no discriminatorios, y podrán diferenciarse por zonas geográficas. </w:t>
      </w:r>
    </w:p>
    <w:p w:rsidR="003B64A4" w:rsidRDefault="00F33910" w:rsidP="003B64A4">
      <w:pPr>
        <w:autoSpaceDE w:val="0"/>
        <w:autoSpaceDN w:val="0"/>
        <w:adjustRightInd w:val="0"/>
        <w:spacing w:before="240" w:after="240" w:line="276" w:lineRule="auto"/>
        <w:ind w:left="851" w:right="616"/>
        <w:jc w:val="both"/>
        <w:rPr>
          <w:rFonts w:ascii="ITC Avant Garde" w:eastAsia="Times New Roman" w:hAnsi="ITC Avant Garde"/>
          <w:bCs/>
          <w:i/>
          <w:sz w:val="18"/>
          <w:szCs w:val="18"/>
          <w:lang w:eastAsia="es-ES"/>
        </w:rPr>
      </w:pPr>
      <w:r w:rsidRPr="00CE3F12">
        <w:rPr>
          <w:rFonts w:ascii="ITC Avant Garde" w:eastAsia="Times New Roman" w:hAnsi="ITC Avant Garde"/>
          <w:bCs/>
          <w:i/>
          <w:sz w:val="18"/>
          <w:szCs w:val="18"/>
          <w:lang w:eastAsia="es-ES"/>
        </w:rPr>
        <w:lastRenderedPageBreak/>
        <w:t>Las tarifas negociadas entre las partes o determinadas por el Instituto deberán formar parte del Convenio de Servicio Mayorista para el Acceso y Uso Compartido de Infraestructura Pasiva, dicha información será considerada de carácter público.</w:t>
      </w:r>
      <w:r w:rsidRPr="009331B8">
        <w:rPr>
          <w:rFonts w:ascii="ITC Avant Garde" w:eastAsia="Times New Roman" w:hAnsi="ITC Avant Garde"/>
          <w:bCs/>
          <w:i/>
          <w:sz w:val="18"/>
          <w:szCs w:val="18"/>
          <w:lang w:eastAsia="es-ES"/>
        </w:rPr>
        <w:t>”</w:t>
      </w:r>
    </w:p>
    <w:p w:rsidR="003B64A4" w:rsidRDefault="00F33910" w:rsidP="003B64A4">
      <w:pPr>
        <w:autoSpaceDE w:val="0"/>
        <w:autoSpaceDN w:val="0"/>
        <w:adjustRightInd w:val="0"/>
        <w:spacing w:before="240" w:after="240" w:line="276" w:lineRule="auto"/>
        <w:ind w:left="851" w:right="616"/>
        <w:jc w:val="both"/>
        <w:rPr>
          <w:rFonts w:ascii="ITC Avant Garde" w:eastAsia="Times New Roman" w:hAnsi="ITC Avant Garde"/>
          <w:bCs/>
          <w:i/>
          <w:sz w:val="18"/>
          <w:szCs w:val="18"/>
          <w:lang w:eastAsia="es-ES"/>
        </w:rPr>
      </w:pPr>
      <w:r w:rsidDel="006C5A81">
        <w:t xml:space="preserve"> </w:t>
      </w:r>
      <w:r w:rsidRPr="00D328F9">
        <w:rPr>
          <w:rFonts w:ascii="ITC Avant Garde" w:eastAsia="Times New Roman" w:hAnsi="ITC Avant Garde"/>
          <w:bCs/>
          <w:sz w:val="18"/>
          <w:szCs w:val="18"/>
          <w:lang w:eastAsia="es-ES"/>
        </w:rPr>
        <w:t>“</w:t>
      </w:r>
      <w:r w:rsidRPr="00D328F9">
        <w:rPr>
          <w:rFonts w:ascii="ITC Avant Garde" w:eastAsia="Times New Roman" w:hAnsi="ITC Avant Garde"/>
          <w:b/>
          <w:bCs/>
          <w:i/>
          <w:sz w:val="18"/>
          <w:szCs w:val="18"/>
          <w:lang w:eastAsia="es-ES"/>
        </w:rPr>
        <w:t xml:space="preserve">SEXAGÉSIMA SEGUNDA.- </w:t>
      </w:r>
      <w:r w:rsidRPr="00D328F9">
        <w:rPr>
          <w:rFonts w:ascii="ITC Avant Garde" w:eastAsia="Times New Roman" w:hAnsi="ITC Avant Garde"/>
          <w:bCs/>
          <w:i/>
          <w:sz w:val="18"/>
          <w:szCs w:val="18"/>
          <w:lang w:eastAsia="es-ES"/>
        </w:rPr>
        <w:t>En caso de que se suscite un desacuerdo sobre las tarifas aplicables a los servicios objeto de las presentes medidas, el Instituto, una vez analizada la solicitud, podrá ordenar al Agente Económico Preponderante a otorgar la prestación de los servicios o el acceso a la infraestructura materia de la controversia, con independencia de que el Instituto resuelva con posterioridad sobre las tarifas respectivas, a condición de que se le otorgue una garantía</w:t>
      </w:r>
      <w:r w:rsidRPr="00D328F9">
        <w:rPr>
          <w:rFonts w:ascii="ITC Avant Garde" w:eastAsia="Times New Roman" w:hAnsi="ITC Avant Garde" w:hint="eastAsia"/>
          <w:bCs/>
          <w:i/>
          <w:sz w:val="18"/>
          <w:szCs w:val="18"/>
          <w:lang w:eastAsia="es-ES"/>
        </w:rPr>
        <w:t xml:space="preserve"> para asegurar el cumplimiento </w:t>
      </w:r>
      <w:r w:rsidRPr="00D328F9">
        <w:rPr>
          <w:rFonts w:ascii="ITC Avant Garde" w:eastAsia="Times New Roman" w:hAnsi="ITC Avant Garde"/>
          <w:bCs/>
          <w:i/>
          <w:sz w:val="18"/>
          <w:szCs w:val="18"/>
          <w:lang w:eastAsia="es-ES"/>
        </w:rPr>
        <w:t>de las obligaciones contractuales.</w:t>
      </w:r>
      <w:r w:rsidRPr="00D328F9">
        <w:rPr>
          <w:rFonts w:ascii="ITC Avant Garde" w:eastAsia="Times New Roman" w:hAnsi="ITC Avant Garde"/>
          <w:bCs/>
          <w:sz w:val="18"/>
          <w:szCs w:val="18"/>
          <w:lang w:eastAsia="es-ES"/>
        </w:rPr>
        <w:t>”</w:t>
      </w:r>
    </w:p>
    <w:p w:rsidR="003B64A4" w:rsidRDefault="00F33910" w:rsidP="003B64A4">
      <w:pPr>
        <w:autoSpaceDE w:val="0"/>
        <w:autoSpaceDN w:val="0"/>
        <w:adjustRightInd w:val="0"/>
        <w:spacing w:before="240" w:after="240" w:line="276" w:lineRule="auto"/>
        <w:jc w:val="both"/>
        <w:rPr>
          <w:rFonts w:ascii="ITC Avant Garde" w:eastAsia="Times New Roman" w:hAnsi="ITC Avant Garde"/>
          <w:bCs/>
          <w:sz w:val="22"/>
          <w:szCs w:val="22"/>
          <w:lang w:eastAsia="es-ES"/>
        </w:rPr>
      </w:pPr>
      <w:r>
        <w:rPr>
          <w:rFonts w:ascii="ITC Avant Garde" w:eastAsia="Times New Roman" w:hAnsi="ITC Avant Garde"/>
          <w:bCs/>
          <w:sz w:val="22"/>
          <w:szCs w:val="22"/>
          <w:lang w:eastAsia="es-ES"/>
        </w:rPr>
        <w:t>Finalmente</w:t>
      </w:r>
      <w:r w:rsidRPr="00065BC8">
        <w:rPr>
          <w:rFonts w:ascii="ITC Avant Garde" w:eastAsia="Times New Roman" w:hAnsi="ITC Avant Garde"/>
          <w:bCs/>
          <w:sz w:val="22"/>
          <w:szCs w:val="22"/>
          <w:lang w:eastAsia="es-ES"/>
        </w:rPr>
        <w:t xml:space="preserve">, las Medidas Fijas reconocen la posibilidad de que existan desacuerdos sobre diversos aspectos </w:t>
      </w:r>
      <w:r>
        <w:rPr>
          <w:rFonts w:ascii="ITC Avant Garde" w:eastAsia="Times New Roman" w:hAnsi="ITC Avant Garde"/>
          <w:bCs/>
          <w:sz w:val="22"/>
          <w:szCs w:val="22"/>
          <w:lang w:eastAsia="es-ES"/>
        </w:rPr>
        <w:t>en</w:t>
      </w:r>
      <w:r w:rsidRPr="00065BC8">
        <w:rPr>
          <w:rFonts w:ascii="ITC Avant Garde" w:eastAsia="Times New Roman" w:hAnsi="ITC Avant Garde"/>
          <w:bCs/>
          <w:sz w:val="22"/>
          <w:szCs w:val="22"/>
          <w:lang w:eastAsia="es-ES"/>
        </w:rPr>
        <w:t xml:space="preserve"> la prestación de</w:t>
      </w:r>
      <w:r>
        <w:rPr>
          <w:rFonts w:ascii="ITC Avant Garde" w:eastAsia="Times New Roman" w:hAnsi="ITC Avant Garde"/>
          <w:bCs/>
          <w:sz w:val="22"/>
          <w:szCs w:val="22"/>
          <w:lang w:eastAsia="es-ES"/>
        </w:rPr>
        <w:t xml:space="preserve"> </w:t>
      </w:r>
      <w:r w:rsidRPr="00065BC8">
        <w:rPr>
          <w:rFonts w:ascii="ITC Avant Garde" w:eastAsia="Times New Roman" w:hAnsi="ITC Avant Garde"/>
          <w:bCs/>
          <w:sz w:val="22"/>
          <w:szCs w:val="22"/>
          <w:lang w:eastAsia="es-ES"/>
        </w:rPr>
        <w:t>l</w:t>
      </w:r>
      <w:r>
        <w:rPr>
          <w:rFonts w:ascii="ITC Avant Garde" w:eastAsia="Times New Roman" w:hAnsi="ITC Avant Garde"/>
          <w:bCs/>
          <w:sz w:val="22"/>
          <w:szCs w:val="22"/>
          <w:lang w:eastAsia="es-ES"/>
        </w:rPr>
        <w:t>os</w:t>
      </w:r>
      <w:r w:rsidRPr="00065BC8">
        <w:rPr>
          <w:rFonts w:ascii="ITC Avant Garde" w:eastAsia="Times New Roman" w:hAnsi="ITC Avant Garde"/>
          <w:bCs/>
          <w:sz w:val="22"/>
          <w:szCs w:val="22"/>
          <w:lang w:eastAsia="es-ES"/>
        </w:rPr>
        <w:t xml:space="preserve"> servicio</w:t>
      </w:r>
      <w:r>
        <w:rPr>
          <w:rFonts w:ascii="ITC Avant Garde" w:eastAsia="Times New Roman" w:hAnsi="ITC Avant Garde"/>
          <w:bCs/>
          <w:sz w:val="22"/>
          <w:szCs w:val="22"/>
          <w:lang w:eastAsia="es-ES"/>
        </w:rPr>
        <w:t>s</w:t>
      </w:r>
      <w:r w:rsidRPr="00065BC8">
        <w:rPr>
          <w:rFonts w:ascii="ITC Avant Garde" w:eastAsia="Times New Roman" w:hAnsi="ITC Avant Garde"/>
          <w:bCs/>
          <w:sz w:val="22"/>
          <w:szCs w:val="22"/>
          <w:lang w:eastAsia="es-ES"/>
        </w:rPr>
        <w:t xml:space="preserve">, </w:t>
      </w:r>
      <w:r>
        <w:rPr>
          <w:rFonts w:ascii="ITC Avant Garde" w:eastAsia="Times New Roman" w:hAnsi="ITC Avant Garde"/>
          <w:bCs/>
          <w:sz w:val="22"/>
          <w:szCs w:val="22"/>
          <w:lang w:eastAsia="es-ES"/>
        </w:rPr>
        <w:t xml:space="preserve">y en particular </w:t>
      </w:r>
      <w:r w:rsidRPr="00065BC8">
        <w:rPr>
          <w:rFonts w:ascii="ITC Avant Garde" w:eastAsia="Times New Roman" w:hAnsi="ITC Avant Garde"/>
          <w:bCs/>
          <w:sz w:val="22"/>
          <w:szCs w:val="22"/>
          <w:lang w:eastAsia="es-ES"/>
        </w:rPr>
        <w:t xml:space="preserve">la Medida SEXAGÉSIMA </w:t>
      </w:r>
      <w:r>
        <w:rPr>
          <w:rFonts w:ascii="ITC Avant Garde" w:eastAsia="Times New Roman" w:hAnsi="ITC Avant Garde"/>
          <w:bCs/>
          <w:sz w:val="22"/>
          <w:szCs w:val="22"/>
          <w:lang w:eastAsia="es-ES"/>
        </w:rPr>
        <w:t xml:space="preserve">de las Medidas Fijas establece la atribución del Instituto </w:t>
      </w:r>
      <w:r w:rsidRPr="002944B3">
        <w:rPr>
          <w:rFonts w:ascii="ITC Avant Garde" w:eastAsia="Times New Roman" w:hAnsi="ITC Avant Garde"/>
          <w:bCs/>
          <w:sz w:val="22"/>
          <w:szCs w:val="22"/>
          <w:lang w:eastAsia="es-ES"/>
        </w:rPr>
        <w:t xml:space="preserve">para resolver </w:t>
      </w:r>
      <w:r>
        <w:rPr>
          <w:rFonts w:ascii="ITC Avant Garde" w:eastAsia="Times New Roman" w:hAnsi="ITC Avant Garde"/>
          <w:bCs/>
          <w:sz w:val="22"/>
          <w:szCs w:val="22"/>
          <w:lang w:eastAsia="es-ES"/>
        </w:rPr>
        <w:t>desacuerdos</w:t>
      </w:r>
      <w:r w:rsidRPr="002944B3">
        <w:rPr>
          <w:rFonts w:ascii="ITC Avant Garde" w:eastAsia="Times New Roman" w:hAnsi="ITC Avant Garde"/>
          <w:bCs/>
          <w:sz w:val="22"/>
          <w:szCs w:val="22"/>
          <w:lang w:eastAsia="es-ES"/>
        </w:rPr>
        <w:t xml:space="preserve"> </w:t>
      </w:r>
      <w:r w:rsidRPr="00065BC8">
        <w:rPr>
          <w:rFonts w:ascii="ITC Avant Garde" w:eastAsia="Times New Roman" w:hAnsi="ITC Avant Garde"/>
          <w:bCs/>
          <w:sz w:val="22"/>
          <w:szCs w:val="22"/>
          <w:lang w:eastAsia="es-ES"/>
        </w:rPr>
        <w:t xml:space="preserve">sobre la prestación </w:t>
      </w:r>
      <w:r>
        <w:rPr>
          <w:rFonts w:ascii="ITC Avant Garde" w:eastAsia="Times New Roman" w:hAnsi="ITC Avant Garde"/>
          <w:bCs/>
          <w:sz w:val="22"/>
          <w:szCs w:val="22"/>
          <w:lang w:eastAsia="es-ES"/>
        </w:rPr>
        <w:t>de los servicios objeto de las M</w:t>
      </w:r>
      <w:r w:rsidRPr="00065BC8">
        <w:rPr>
          <w:rFonts w:ascii="ITC Avant Garde" w:eastAsia="Times New Roman" w:hAnsi="ITC Avant Garde"/>
          <w:bCs/>
          <w:sz w:val="22"/>
          <w:szCs w:val="22"/>
          <w:lang w:eastAsia="es-ES"/>
        </w:rPr>
        <w:t xml:space="preserve">edidas, incluyendo el servicio </w:t>
      </w:r>
      <w:r>
        <w:rPr>
          <w:rFonts w:ascii="ITC Avant Garde" w:eastAsia="Times New Roman" w:hAnsi="ITC Avant Garde"/>
          <w:bCs/>
          <w:sz w:val="22"/>
          <w:szCs w:val="22"/>
          <w:lang w:eastAsia="es-ES"/>
        </w:rPr>
        <w:t>de Acceso y Uso Compartido de Infraestructura Pasiva.</w:t>
      </w:r>
    </w:p>
    <w:p w:rsidR="003B64A4" w:rsidRDefault="00F33910" w:rsidP="003B64A4">
      <w:pPr>
        <w:autoSpaceDE w:val="0"/>
        <w:autoSpaceDN w:val="0"/>
        <w:adjustRightInd w:val="0"/>
        <w:spacing w:before="240" w:after="240" w:line="276" w:lineRule="auto"/>
        <w:jc w:val="both"/>
        <w:rPr>
          <w:rFonts w:ascii="ITC Avant Garde" w:eastAsia="Times New Roman" w:hAnsi="ITC Avant Garde"/>
          <w:bCs/>
          <w:sz w:val="22"/>
          <w:szCs w:val="22"/>
          <w:lang w:eastAsia="es-ES"/>
        </w:rPr>
      </w:pPr>
      <w:r>
        <w:rPr>
          <w:rFonts w:ascii="ITC Avant Garde" w:eastAsia="Times New Roman" w:hAnsi="ITC Avant Garde"/>
          <w:bCs/>
          <w:sz w:val="22"/>
          <w:szCs w:val="22"/>
          <w:lang w:eastAsia="es-ES"/>
        </w:rPr>
        <w:t>La Medida SEXAGÉSIMA</w:t>
      </w:r>
      <w:r w:rsidRPr="00065BC8">
        <w:rPr>
          <w:rFonts w:ascii="ITC Avant Garde" w:eastAsia="Times New Roman" w:hAnsi="ITC Avant Garde"/>
          <w:bCs/>
          <w:sz w:val="22"/>
          <w:szCs w:val="22"/>
          <w:lang w:eastAsia="es-ES"/>
        </w:rPr>
        <w:t xml:space="preserve"> </w:t>
      </w:r>
      <w:r>
        <w:rPr>
          <w:rFonts w:ascii="ITC Avant Garde" w:eastAsia="Times New Roman" w:hAnsi="ITC Avant Garde"/>
          <w:bCs/>
          <w:sz w:val="22"/>
          <w:szCs w:val="22"/>
          <w:lang w:eastAsia="es-ES"/>
        </w:rPr>
        <w:t xml:space="preserve">de las Medidas Fijas </w:t>
      </w:r>
      <w:r w:rsidRPr="00065BC8">
        <w:rPr>
          <w:rFonts w:ascii="ITC Avant Garde" w:eastAsia="Times New Roman" w:hAnsi="ITC Avant Garde"/>
          <w:bCs/>
          <w:sz w:val="22"/>
          <w:szCs w:val="22"/>
          <w:lang w:eastAsia="es-ES"/>
        </w:rPr>
        <w:t>señala lo siguiente:</w:t>
      </w:r>
    </w:p>
    <w:p w:rsidR="003B64A4" w:rsidRDefault="00F33910" w:rsidP="003B64A4">
      <w:pPr>
        <w:autoSpaceDE w:val="0"/>
        <w:autoSpaceDN w:val="0"/>
        <w:adjustRightInd w:val="0"/>
        <w:spacing w:before="240" w:after="240" w:line="276" w:lineRule="auto"/>
        <w:ind w:left="851" w:right="616"/>
        <w:jc w:val="both"/>
        <w:rPr>
          <w:rFonts w:ascii="ITC Avant Garde" w:eastAsia="Times New Roman" w:hAnsi="ITC Avant Garde"/>
          <w:bCs/>
          <w:i/>
          <w:sz w:val="18"/>
          <w:szCs w:val="18"/>
          <w:lang w:eastAsia="es-ES"/>
        </w:rPr>
      </w:pPr>
      <w:r w:rsidRPr="00D328F9">
        <w:rPr>
          <w:rFonts w:ascii="ITC Avant Garde" w:eastAsia="Times New Roman" w:hAnsi="ITC Avant Garde"/>
          <w:bCs/>
          <w:sz w:val="18"/>
          <w:szCs w:val="18"/>
          <w:lang w:eastAsia="es-ES"/>
        </w:rPr>
        <w:t>“</w:t>
      </w:r>
      <w:r w:rsidRPr="009331B8">
        <w:rPr>
          <w:rFonts w:ascii="ITC Avant Garde" w:eastAsia="Times New Roman" w:hAnsi="ITC Avant Garde"/>
          <w:b/>
          <w:bCs/>
          <w:i/>
          <w:sz w:val="18"/>
          <w:szCs w:val="18"/>
          <w:lang w:eastAsia="es-ES"/>
        </w:rPr>
        <w:t xml:space="preserve">SEXAGÉSIMA.- </w:t>
      </w:r>
      <w:r w:rsidRPr="009331B8">
        <w:rPr>
          <w:rFonts w:ascii="ITC Avant Garde" w:eastAsia="Times New Roman" w:hAnsi="ITC Avant Garde"/>
          <w:bCs/>
          <w:i/>
          <w:sz w:val="18"/>
          <w:szCs w:val="18"/>
          <w:lang w:eastAsia="es-ES"/>
        </w:rPr>
        <w:t>El Instituto resolverá los desacuerdos que se susciten entre el Agente Económico Preponderante y los Concesionarios Solicitantes sobre la prestación de los servicios objeto de las presentes medidas.”</w:t>
      </w:r>
    </w:p>
    <w:p w:rsidR="003B64A4" w:rsidRDefault="00F33910" w:rsidP="003B64A4">
      <w:pPr>
        <w:autoSpaceDE w:val="0"/>
        <w:autoSpaceDN w:val="0"/>
        <w:adjustRightInd w:val="0"/>
        <w:spacing w:before="240" w:after="240" w:line="276" w:lineRule="auto"/>
        <w:jc w:val="both"/>
        <w:rPr>
          <w:rStyle w:val="IFTnormalCar"/>
        </w:rPr>
      </w:pPr>
      <w:r w:rsidRPr="00065BC8">
        <w:rPr>
          <w:rFonts w:ascii="ITC Avant Garde" w:eastAsia="Times New Roman" w:hAnsi="ITC Avant Garde"/>
          <w:bCs/>
          <w:sz w:val="22"/>
          <w:szCs w:val="22"/>
          <w:lang w:eastAsia="es-ES"/>
        </w:rPr>
        <w:t xml:space="preserve">A mayor abundamiento, la Medida </w:t>
      </w:r>
      <w:r>
        <w:rPr>
          <w:rFonts w:ascii="ITC Avant Garde" w:eastAsia="Times New Roman" w:hAnsi="ITC Avant Garde"/>
          <w:bCs/>
          <w:sz w:val="22"/>
          <w:szCs w:val="22"/>
          <w:lang w:eastAsia="es-ES"/>
        </w:rPr>
        <w:t>TRIGÉSIMA NOVENA</w:t>
      </w:r>
      <w:r w:rsidRPr="00065BC8">
        <w:rPr>
          <w:rFonts w:ascii="ITC Avant Garde" w:eastAsia="Times New Roman" w:hAnsi="ITC Avant Garde"/>
          <w:bCs/>
          <w:sz w:val="22"/>
          <w:szCs w:val="22"/>
          <w:lang w:eastAsia="es-ES"/>
        </w:rPr>
        <w:t xml:space="preserve"> de las Medidas Fijas</w:t>
      </w:r>
      <w:r>
        <w:rPr>
          <w:rFonts w:ascii="ITC Avant Garde" w:eastAsia="Times New Roman" w:hAnsi="ITC Avant Garde"/>
          <w:bCs/>
          <w:sz w:val="22"/>
          <w:szCs w:val="22"/>
          <w:lang w:eastAsia="es-ES"/>
        </w:rPr>
        <w:t xml:space="preserve"> citadas</w:t>
      </w:r>
      <w:r w:rsidRPr="00065BC8">
        <w:rPr>
          <w:rFonts w:ascii="ITC Avant Garde" w:eastAsia="Times New Roman" w:hAnsi="ITC Avant Garde"/>
          <w:bCs/>
          <w:sz w:val="22"/>
          <w:szCs w:val="22"/>
          <w:lang w:eastAsia="es-ES"/>
        </w:rPr>
        <w:t xml:space="preserve">, se refiere a los posibles </w:t>
      </w:r>
      <w:r>
        <w:rPr>
          <w:rFonts w:ascii="ITC Avant Garde" w:eastAsia="Times New Roman" w:hAnsi="ITC Avant Garde"/>
          <w:bCs/>
          <w:sz w:val="22"/>
          <w:szCs w:val="22"/>
          <w:lang w:eastAsia="es-ES"/>
        </w:rPr>
        <w:t>desacuerdo</w:t>
      </w:r>
      <w:r w:rsidRPr="00065BC8">
        <w:rPr>
          <w:rFonts w:ascii="ITC Avant Garde" w:eastAsia="Times New Roman" w:hAnsi="ITC Avant Garde"/>
          <w:bCs/>
          <w:sz w:val="22"/>
          <w:szCs w:val="22"/>
          <w:lang w:eastAsia="es-ES"/>
        </w:rPr>
        <w:t>s que pueden suscitarse en materia de tarifas</w:t>
      </w:r>
      <w:r>
        <w:rPr>
          <w:rFonts w:ascii="ITC Avant Garde" w:eastAsia="Times New Roman" w:hAnsi="ITC Avant Garde"/>
          <w:bCs/>
          <w:sz w:val="22"/>
          <w:szCs w:val="22"/>
          <w:lang w:eastAsia="es-ES"/>
        </w:rPr>
        <w:t>;</w:t>
      </w:r>
      <w:r w:rsidRPr="00065BC8">
        <w:rPr>
          <w:rFonts w:ascii="ITC Avant Garde" w:eastAsia="Times New Roman" w:hAnsi="ITC Avant Garde"/>
          <w:bCs/>
          <w:sz w:val="22"/>
          <w:szCs w:val="22"/>
          <w:lang w:eastAsia="es-ES"/>
        </w:rPr>
        <w:t xml:space="preserve"> en particular señala que las tarifas aplicables a los servicios </w:t>
      </w:r>
      <w:r>
        <w:rPr>
          <w:rFonts w:ascii="ITC Avant Garde" w:eastAsia="Times New Roman" w:hAnsi="ITC Avant Garde"/>
          <w:bCs/>
          <w:sz w:val="22"/>
          <w:szCs w:val="22"/>
          <w:lang w:eastAsia="es-ES"/>
        </w:rPr>
        <w:t>de Acceso y Uso Compartido de Infraestructura Pasiva</w:t>
      </w:r>
      <w:r w:rsidRPr="00065BC8">
        <w:rPr>
          <w:rFonts w:ascii="ITC Avant Garde" w:eastAsia="Times New Roman" w:hAnsi="ITC Avant Garde"/>
          <w:bCs/>
          <w:sz w:val="22"/>
          <w:szCs w:val="22"/>
          <w:lang w:eastAsia="es-ES"/>
        </w:rPr>
        <w:t xml:space="preserve"> </w:t>
      </w:r>
      <w:r>
        <w:rPr>
          <w:rFonts w:ascii="ITC Avant Garde" w:eastAsia="Times New Roman" w:hAnsi="ITC Avant Garde"/>
          <w:bCs/>
          <w:sz w:val="22"/>
          <w:szCs w:val="22"/>
          <w:lang w:eastAsia="es-ES"/>
        </w:rPr>
        <w:t>se negociarán</w:t>
      </w:r>
      <w:r w:rsidRPr="00065BC8">
        <w:rPr>
          <w:rFonts w:ascii="ITC Avant Garde" w:eastAsia="Times New Roman" w:hAnsi="ITC Avant Garde"/>
          <w:bCs/>
          <w:sz w:val="22"/>
          <w:szCs w:val="22"/>
          <w:lang w:eastAsia="es-ES"/>
        </w:rPr>
        <w:t xml:space="preserve"> entre el </w:t>
      </w:r>
      <w:r>
        <w:rPr>
          <w:rFonts w:ascii="ITC Avant Garde" w:eastAsia="Times New Roman" w:hAnsi="ITC Avant Garde"/>
          <w:bCs/>
          <w:sz w:val="22"/>
          <w:szCs w:val="22"/>
          <w:lang w:eastAsia="es-ES"/>
        </w:rPr>
        <w:t>AEP</w:t>
      </w:r>
      <w:r w:rsidRPr="00065BC8">
        <w:rPr>
          <w:rFonts w:ascii="ITC Avant Garde" w:eastAsia="Times New Roman" w:hAnsi="ITC Avant Garde"/>
          <w:bCs/>
          <w:sz w:val="22"/>
          <w:szCs w:val="22"/>
          <w:lang w:eastAsia="es-ES"/>
        </w:rPr>
        <w:t xml:space="preserve"> y el concesionario solicitante</w:t>
      </w:r>
      <w:r>
        <w:rPr>
          <w:rFonts w:ascii="ITC Avant Garde" w:eastAsia="Times New Roman" w:hAnsi="ITC Avant Garde"/>
          <w:bCs/>
          <w:sz w:val="22"/>
          <w:szCs w:val="22"/>
          <w:lang w:eastAsia="es-ES"/>
        </w:rPr>
        <w:t>. N</w:t>
      </w:r>
      <w:r w:rsidRPr="00065BC8">
        <w:rPr>
          <w:rFonts w:ascii="ITC Avant Garde" w:eastAsia="Times New Roman" w:hAnsi="ITC Avant Garde"/>
          <w:bCs/>
          <w:sz w:val="22"/>
          <w:szCs w:val="22"/>
          <w:lang w:eastAsia="es-ES"/>
        </w:rPr>
        <w:t xml:space="preserve">o obstante, si transcurridos sesenta días naturales contados a partir del inicio de las negociaciones las partes no han </w:t>
      </w:r>
      <w:r>
        <w:rPr>
          <w:rFonts w:ascii="ITC Avant Garde" w:eastAsia="Times New Roman" w:hAnsi="ITC Avant Garde"/>
          <w:bCs/>
          <w:sz w:val="22"/>
          <w:szCs w:val="22"/>
          <w:lang w:eastAsia="es-ES"/>
        </w:rPr>
        <w:t xml:space="preserve">llegado a </w:t>
      </w:r>
      <w:r w:rsidRPr="00065BC8">
        <w:rPr>
          <w:rFonts w:ascii="ITC Avant Garde" w:eastAsia="Times New Roman" w:hAnsi="ITC Avant Garde"/>
          <w:bCs/>
          <w:sz w:val="22"/>
          <w:szCs w:val="22"/>
          <w:lang w:eastAsia="es-ES"/>
        </w:rPr>
        <w:t>un acuerdo</w:t>
      </w:r>
      <w:r>
        <w:rPr>
          <w:rFonts w:ascii="ITC Avant Garde" w:eastAsia="Times New Roman" w:hAnsi="ITC Avant Garde"/>
          <w:bCs/>
          <w:sz w:val="22"/>
          <w:szCs w:val="22"/>
          <w:lang w:eastAsia="es-ES"/>
        </w:rPr>
        <w:t>,</w:t>
      </w:r>
      <w:r w:rsidRPr="00065BC8">
        <w:rPr>
          <w:rFonts w:ascii="ITC Avant Garde" w:eastAsia="Times New Roman" w:hAnsi="ITC Avant Garde"/>
          <w:bCs/>
          <w:sz w:val="22"/>
          <w:szCs w:val="22"/>
          <w:lang w:eastAsia="es-ES"/>
        </w:rPr>
        <w:t xml:space="preserve"> el Instituto</w:t>
      </w:r>
      <w:r>
        <w:rPr>
          <w:rFonts w:ascii="ITC Avant Garde" w:eastAsia="Times New Roman" w:hAnsi="ITC Avant Garde"/>
          <w:bCs/>
          <w:sz w:val="22"/>
          <w:szCs w:val="22"/>
          <w:lang w:eastAsia="es-ES"/>
        </w:rPr>
        <w:t>,</w:t>
      </w:r>
      <w:r w:rsidRPr="00065BC8">
        <w:rPr>
          <w:rFonts w:ascii="ITC Avant Garde" w:eastAsia="Times New Roman" w:hAnsi="ITC Avant Garde"/>
          <w:bCs/>
          <w:sz w:val="22"/>
          <w:szCs w:val="22"/>
          <w:lang w:eastAsia="es-ES"/>
        </w:rPr>
        <w:t xml:space="preserve"> </w:t>
      </w:r>
      <w:r>
        <w:rPr>
          <w:rFonts w:ascii="ITC Avant Garde" w:eastAsia="Times New Roman" w:hAnsi="ITC Avant Garde"/>
          <w:bCs/>
          <w:sz w:val="22"/>
          <w:szCs w:val="22"/>
          <w:lang w:eastAsia="es-ES"/>
        </w:rPr>
        <w:t xml:space="preserve">a </w:t>
      </w:r>
      <w:r w:rsidRPr="00F33910">
        <w:rPr>
          <w:rFonts w:ascii="ITC Avant Garde" w:eastAsia="Times New Roman" w:hAnsi="ITC Avant Garde"/>
          <w:bCs/>
          <w:sz w:val="22"/>
          <w:szCs w:val="22"/>
          <w:lang w:eastAsia="es-ES"/>
        </w:rPr>
        <w:t xml:space="preserve">solicitud de las partes, las determinará mediante una metodología de costos </w:t>
      </w:r>
      <w:r w:rsidRPr="00F33910">
        <w:rPr>
          <w:rStyle w:val="IFTnormalCar"/>
          <w:sz w:val="22"/>
          <w:szCs w:val="22"/>
        </w:rPr>
        <w:t>incrementales promedio de largo plazo.</w:t>
      </w:r>
    </w:p>
    <w:p w:rsidR="003B64A4" w:rsidRDefault="00F33910" w:rsidP="003B64A4">
      <w:pPr>
        <w:autoSpaceDE w:val="0"/>
        <w:autoSpaceDN w:val="0"/>
        <w:adjustRightInd w:val="0"/>
        <w:spacing w:before="240" w:after="240" w:line="276" w:lineRule="auto"/>
        <w:jc w:val="both"/>
        <w:rPr>
          <w:rFonts w:ascii="ITC Avant Garde" w:eastAsia="Times New Roman" w:hAnsi="ITC Avant Garde"/>
          <w:bCs/>
          <w:sz w:val="22"/>
          <w:szCs w:val="22"/>
          <w:lang w:eastAsia="es-ES"/>
        </w:rPr>
      </w:pPr>
      <w:r>
        <w:rPr>
          <w:rFonts w:ascii="ITC Avant Garde" w:eastAsia="Times New Roman" w:hAnsi="ITC Avant Garde"/>
          <w:bCs/>
          <w:sz w:val="22"/>
          <w:szCs w:val="22"/>
          <w:lang w:eastAsia="es-ES"/>
        </w:rPr>
        <w:t>De igual forma</w:t>
      </w:r>
      <w:r w:rsidRPr="00065BC8">
        <w:rPr>
          <w:rFonts w:ascii="ITC Avant Garde" w:eastAsia="Times New Roman" w:hAnsi="ITC Avant Garde"/>
          <w:bCs/>
          <w:sz w:val="22"/>
          <w:szCs w:val="22"/>
          <w:lang w:eastAsia="es-ES"/>
        </w:rPr>
        <w:t xml:space="preserve">, se advierte que la Medida SEXAGÉSIMA </w:t>
      </w:r>
      <w:r w:rsidRPr="00BB4C67">
        <w:rPr>
          <w:rFonts w:ascii="ITC Avant Garde" w:eastAsia="Times New Roman" w:hAnsi="ITC Avant Garde"/>
          <w:bCs/>
          <w:sz w:val="22"/>
          <w:szCs w:val="22"/>
          <w:lang w:eastAsia="es-ES"/>
        </w:rPr>
        <w:t xml:space="preserve">faculta al Instituto </w:t>
      </w:r>
      <w:r w:rsidRPr="009331B8">
        <w:rPr>
          <w:rFonts w:ascii="ITC Avant Garde" w:eastAsia="Times New Roman" w:hAnsi="ITC Avant Garde"/>
          <w:bCs/>
          <w:sz w:val="22"/>
          <w:szCs w:val="22"/>
          <w:lang w:eastAsia="es-ES"/>
        </w:rPr>
        <w:t xml:space="preserve">para resolver respecto de cualquier condición no convenida entre el </w:t>
      </w:r>
      <w:r>
        <w:rPr>
          <w:rFonts w:ascii="ITC Avant Garde" w:eastAsia="Times New Roman" w:hAnsi="ITC Avant Garde"/>
          <w:bCs/>
          <w:sz w:val="22"/>
          <w:szCs w:val="22"/>
          <w:lang w:eastAsia="es-ES"/>
        </w:rPr>
        <w:t>AEP</w:t>
      </w:r>
      <w:r w:rsidRPr="009331B8">
        <w:rPr>
          <w:rFonts w:ascii="ITC Avant Garde" w:eastAsia="Times New Roman" w:hAnsi="ITC Avant Garde"/>
          <w:bCs/>
          <w:sz w:val="22"/>
          <w:szCs w:val="22"/>
          <w:lang w:eastAsia="es-ES"/>
        </w:rPr>
        <w:t xml:space="preserve"> y los concesionarios solicitantes,</w:t>
      </w:r>
      <w:r w:rsidRPr="00065BC8">
        <w:rPr>
          <w:rFonts w:ascii="ITC Avant Garde" w:eastAsia="Times New Roman" w:hAnsi="ITC Avant Garde"/>
          <w:bCs/>
          <w:sz w:val="22"/>
          <w:szCs w:val="22"/>
          <w:lang w:eastAsia="es-ES"/>
        </w:rPr>
        <w:t xml:space="preserve"> </w:t>
      </w:r>
      <w:r>
        <w:rPr>
          <w:rFonts w:ascii="ITC Avant Garde" w:eastAsia="Times New Roman" w:hAnsi="ITC Avant Garde"/>
          <w:bCs/>
          <w:sz w:val="22"/>
          <w:szCs w:val="22"/>
          <w:lang w:eastAsia="es-ES"/>
        </w:rPr>
        <w:t xml:space="preserve">en el caso en concreto </w:t>
      </w:r>
      <w:r w:rsidRPr="00065BC8">
        <w:rPr>
          <w:rFonts w:ascii="ITC Avant Garde" w:eastAsia="Times New Roman" w:hAnsi="ITC Avant Garde"/>
          <w:bCs/>
          <w:sz w:val="22"/>
          <w:szCs w:val="22"/>
          <w:lang w:eastAsia="es-ES"/>
        </w:rPr>
        <w:t xml:space="preserve">sobre los servicios </w:t>
      </w:r>
      <w:r>
        <w:rPr>
          <w:rFonts w:ascii="ITC Avant Garde" w:eastAsia="Times New Roman" w:hAnsi="ITC Avant Garde"/>
          <w:bCs/>
          <w:sz w:val="22"/>
          <w:szCs w:val="22"/>
          <w:lang w:eastAsia="es-ES"/>
        </w:rPr>
        <w:t>de Acceso y Uso Compartido de Infraestructura Pasiva</w:t>
      </w:r>
      <w:r w:rsidRPr="00065BC8">
        <w:rPr>
          <w:rFonts w:ascii="ITC Avant Garde" w:eastAsia="Times New Roman" w:hAnsi="ITC Avant Garde"/>
          <w:bCs/>
          <w:sz w:val="22"/>
          <w:szCs w:val="22"/>
          <w:lang w:eastAsia="es-ES"/>
        </w:rPr>
        <w:t xml:space="preserve">; </w:t>
      </w:r>
      <w:r>
        <w:rPr>
          <w:rFonts w:ascii="ITC Avant Garde" w:eastAsia="Times New Roman" w:hAnsi="ITC Avant Garde"/>
          <w:bCs/>
          <w:sz w:val="22"/>
          <w:szCs w:val="22"/>
          <w:lang w:eastAsia="es-ES"/>
        </w:rPr>
        <w:t>por lo anterior,</w:t>
      </w:r>
      <w:r w:rsidRPr="00065BC8">
        <w:rPr>
          <w:rFonts w:ascii="ITC Avant Garde" w:eastAsia="Times New Roman" w:hAnsi="ITC Avant Garde"/>
          <w:bCs/>
          <w:sz w:val="22"/>
          <w:szCs w:val="22"/>
          <w:lang w:eastAsia="es-ES"/>
        </w:rPr>
        <w:t xml:space="preserve"> este Instituto resulta competente para conocer el presente desacuerdo.</w:t>
      </w:r>
    </w:p>
    <w:p w:rsidR="00F33910" w:rsidRPr="003E60B6" w:rsidRDefault="00F33910" w:rsidP="003B64A4">
      <w:pPr>
        <w:pStyle w:val="IFTnormal"/>
        <w:spacing w:before="240" w:after="240"/>
      </w:pPr>
      <w:r>
        <w:rPr>
          <w:rFonts w:eastAsia="Times New Roman"/>
          <w:bCs/>
        </w:rPr>
        <w:t>Al respecto</w:t>
      </w:r>
      <w:r w:rsidRPr="00065BC8">
        <w:rPr>
          <w:rFonts w:eastAsia="Times New Roman"/>
          <w:bCs/>
        </w:rPr>
        <w:t xml:space="preserve">, el plazo de sesenta días naturales establecido en la Medida </w:t>
      </w:r>
      <w:r>
        <w:rPr>
          <w:rFonts w:eastAsia="Times New Roman"/>
          <w:bCs/>
        </w:rPr>
        <w:t>TRIGÉSIMA NOVENA</w:t>
      </w:r>
      <w:r w:rsidRPr="00065BC8">
        <w:rPr>
          <w:rFonts w:eastAsia="Times New Roman"/>
          <w:bCs/>
        </w:rPr>
        <w:t xml:space="preserve"> de las Me</w:t>
      </w:r>
      <w:r>
        <w:rPr>
          <w:rFonts w:eastAsia="Times New Roman"/>
          <w:bCs/>
        </w:rPr>
        <w:t xml:space="preserve">didas Fijas para que Cablevisión Red y </w:t>
      </w:r>
      <w:r w:rsidRPr="00065BC8">
        <w:rPr>
          <w:rFonts w:eastAsia="Times New Roman"/>
          <w:bCs/>
        </w:rPr>
        <w:t xml:space="preserve">Telmex llegaran a un </w:t>
      </w:r>
      <w:r w:rsidRPr="00065BC8">
        <w:rPr>
          <w:rFonts w:eastAsia="Times New Roman"/>
          <w:bCs/>
        </w:rPr>
        <w:lastRenderedPageBreak/>
        <w:t xml:space="preserve">acuerdo sobre los términos, condiciones y tarifas para la prestación del servicio </w:t>
      </w:r>
      <w:r>
        <w:rPr>
          <w:rFonts w:eastAsia="Times New Roman"/>
          <w:bCs/>
        </w:rPr>
        <w:t>para el Acceso y Uso Compartido de Infraestructura Pasiva</w:t>
      </w:r>
      <w:r w:rsidRPr="00065BC8">
        <w:rPr>
          <w:rFonts w:eastAsia="Times New Roman"/>
          <w:bCs/>
        </w:rPr>
        <w:t>, ha fenecido</w:t>
      </w:r>
      <w:r>
        <w:rPr>
          <w:rFonts w:eastAsia="Times New Roman"/>
          <w:bCs/>
        </w:rPr>
        <w:t xml:space="preserve">, toda vez que éste corrió del </w:t>
      </w:r>
      <w:r>
        <w:t>27 de julio de 2016 al 24</w:t>
      </w:r>
      <w:r w:rsidRPr="00CC605D">
        <w:t xml:space="preserve"> de septiembre de 2016</w:t>
      </w:r>
      <w:r>
        <w:t xml:space="preserve"> y la Solicitud de Resolución </w:t>
      </w:r>
      <w:r>
        <w:rPr>
          <w:rFonts w:eastAsia="Times New Roman"/>
          <w:bCs/>
        </w:rPr>
        <w:t>se presentó el</w:t>
      </w:r>
      <w:r>
        <w:rPr>
          <w:rFonts w:eastAsia="Times New Roman"/>
          <w:b/>
          <w:bCs/>
        </w:rPr>
        <w:t xml:space="preserve"> </w:t>
      </w:r>
      <w:r w:rsidRPr="00CA7378">
        <w:rPr>
          <w:rFonts w:eastAsia="Times New Roman"/>
          <w:bCs/>
        </w:rPr>
        <w:t>13</w:t>
      </w:r>
      <w:r w:rsidRPr="00CA73EF">
        <w:rPr>
          <w:rFonts w:eastAsia="Times New Roman"/>
          <w:bCs/>
        </w:rPr>
        <w:t xml:space="preserve"> de octubre de 2016</w:t>
      </w:r>
      <w:r>
        <w:rPr>
          <w:rFonts w:eastAsia="Times New Roman"/>
          <w:bCs/>
        </w:rPr>
        <w:t xml:space="preserve"> ante el Instituto</w:t>
      </w:r>
      <w:r w:rsidRPr="00CC605D">
        <w:t>.</w:t>
      </w:r>
    </w:p>
    <w:p w:rsidR="003B64A4" w:rsidRDefault="00F33910" w:rsidP="003B64A4">
      <w:pPr>
        <w:autoSpaceDE w:val="0"/>
        <w:autoSpaceDN w:val="0"/>
        <w:adjustRightInd w:val="0"/>
        <w:spacing w:before="240" w:after="240" w:line="276" w:lineRule="auto"/>
        <w:jc w:val="both"/>
        <w:rPr>
          <w:rFonts w:ascii="ITC Avant Garde" w:eastAsia="Times New Roman" w:hAnsi="ITC Avant Garde"/>
          <w:bCs/>
          <w:sz w:val="22"/>
          <w:szCs w:val="22"/>
          <w:lang w:eastAsia="es-ES"/>
        </w:rPr>
      </w:pPr>
      <w:r w:rsidRPr="00065BC8">
        <w:rPr>
          <w:rFonts w:ascii="ITC Avant Garde" w:eastAsia="Times New Roman" w:hAnsi="ITC Avant Garde"/>
          <w:bCs/>
          <w:sz w:val="22"/>
          <w:szCs w:val="22"/>
          <w:lang w:eastAsia="es-ES"/>
        </w:rPr>
        <w:t xml:space="preserve">Por lo anterior, el supuesto normativo contenido en la Medida </w:t>
      </w:r>
      <w:r>
        <w:rPr>
          <w:rFonts w:ascii="ITC Avant Garde" w:eastAsia="Times New Roman" w:hAnsi="ITC Avant Garde"/>
          <w:bCs/>
          <w:sz w:val="22"/>
          <w:szCs w:val="22"/>
          <w:lang w:eastAsia="es-ES"/>
        </w:rPr>
        <w:t>TRIGÉSIMA NOVENA</w:t>
      </w:r>
      <w:r w:rsidRPr="00065BC8">
        <w:rPr>
          <w:rFonts w:ascii="ITC Avant Garde" w:eastAsia="Times New Roman" w:hAnsi="ITC Avant Garde"/>
          <w:bCs/>
          <w:sz w:val="22"/>
          <w:szCs w:val="22"/>
          <w:lang w:eastAsia="es-ES"/>
        </w:rPr>
        <w:t xml:space="preserve"> de las Medidas Fijas se actualiza en el caso concreto, por lo que este Instituto se encuentra en condiciones de </w:t>
      </w:r>
      <w:r>
        <w:rPr>
          <w:rFonts w:ascii="ITC Avant Garde" w:eastAsia="Times New Roman" w:hAnsi="ITC Avant Garde"/>
          <w:bCs/>
          <w:sz w:val="22"/>
          <w:szCs w:val="22"/>
          <w:lang w:eastAsia="es-ES"/>
        </w:rPr>
        <w:t xml:space="preserve">acordar la admisión del desacuerdo para posteriormente </w:t>
      </w:r>
      <w:r w:rsidRPr="00065BC8">
        <w:rPr>
          <w:rFonts w:ascii="ITC Avant Garde" w:eastAsia="Times New Roman" w:hAnsi="ITC Avant Garde"/>
          <w:bCs/>
          <w:sz w:val="22"/>
          <w:szCs w:val="22"/>
          <w:lang w:eastAsia="es-ES"/>
        </w:rPr>
        <w:t>resolver los términos</w:t>
      </w:r>
      <w:r>
        <w:rPr>
          <w:rFonts w:ascii="ITC Avant Garde" w:eastAsia="Times New Roman" w:hAnsi="ITC Avant Garde"/>
          <w:bCs/>
          <w:sz w:val="22"/>
          <w:szCs w:val="22"/>
          <w:lang w:eastAsia="es-ES"/>
        </w:rPr>
        <w:t>, tarifas</w:t>
      </w:r>
      <w:r w:rsidRPr="00065BC8">
        <w:rPr>
          <w:rFonts w:ascii="ITC Avant Garde" w:eastAsia="Times New Roman" w:hAnsi="ITC Avant Garde"/>
          <w:bCs/>
          <w:sz w:val="22"/>
          <w:szCs w:val="22"/>
          <w:lang w:eastAsia="es-ES"/>
        </w:rPr>
        <w:t xml:space="preserve"> y condiciones no convenidas que para la prestación del servicio </w:t>
      </w:r>
      <w:r>
        <w:rPr>
          <w:rFonts w:ascii="ITC Avant Garde" w:eastAsia="Times New Roman" w:hAnsi="ITC Avant Garde"/>
          <w:bCs/>
          <w:sz w:val="22"/>
          <w:szCs w:val="22"/>
          <w:lang w:eastAsia="es-ES"/>
        </w:rPr>
        <w:t xml:space="preserve">de Acceso y Uso Compartido de Infraestructura Pasiva </w:t>
      </w:r>
      <w:r w:rsidRPr="00065BC8">
        <w:rPr>
          <w:rFonts w:ascii="ITC Avant Garde" w:eastAsia="Times New Roman" w:hAnsi="ITC Avant Garde"/>
          <w:bCs/>
          <w:sz w:val="22"/>
          <w:szCs w:val="22"/>
          <w:lang w:eastAsia="es-ES"/>
        </w:rPr>
        <w:t xml:space="preserve">no han podido acordar las partes interesadas, en términos de la </w:t>
      </w:r>
      <w:r w:rsidRPr="0096265C">
        <w:rPr>
          <w:rFonts w:ascii="ITC Avant Garde" w:eastAsia="Times New Roman" w:hAnsi="ITC Avant Garde"/>
          <w:bCs/>
          <w:sz w:val="22"/>
          <w:szCs w:val="22"/>
          <w:lang w:eastAsia="es-ES"/>
        </w:rPr>
        <w:t>Solicitud de Resolución.</w:t>
      </w:r>
      <w:r>
        <w:rPr>
          <w:rFonts w:ascii="ITC Avant Garde" w:eastAsia="Times New Roman" w:hAnsi="ITC Avant Garde"/>
          <w:bCs/>
          <w:sz w:val="22"/>
          <w:szCs w:val="22"/>
          <w:lang w:eastAsia="es-ES"/>
        </w:rPr>
        <w:t xml:space="preserve"> </w:t>
      </w:r>
    </w:p>
    <w:p w:rsidR="003B64A4" w:rsidRDefault="00F33910" w:rsidP="003B64A4">
      <w:pPr>
        <w:autoSpaceDE w:val="0"/>
        <w:autoSpaceDN w:val="0"/>
        <w:adjustRightInd w:val="0"/>
        <w:spacing w:before="240" w:after="240" w:line="276" w:lineRule="auto"/>
        <w:jc w:val="both"/>
        <w:rPr>
          <w:rFonts w:ascii="ITC Avant Garde" w:eastAsia="Times New Roman" w:hAnsi="ITC Avant Garde"/>
          <w:bCs/>
          <w:sz w:val="22"/>
          <w:szCs w:val="22"/>
          <w:lang w:eastAsia="es-ES"/>
        </w:rPr>
      </w:pPr>
      <w:r>
        <w:rPr>
          <w:rFonts w:ascii="ITC Avant Garde" w:eastAsia="Times New Roman" w:hAnsi="ITC Avant Garde"/>
          <w:b/>
          <w:sz w:val="22"/>
          <w:szCs w:val="22"/>
          <w:lang w:eastAsia="es-ES"/>
        </w:rPr>
        <w:t>TERCERO.- Medida provisional.-</w:t>
      </w:r>
      <w:r w:rsidRPr="00CA73EF">
        <w:rPr>
          <w:rFonts w:ascii="ITC Avant Garde" w:eastAsia="Times New Roman" w:hAnsi="ITC Avant Garde"/>
          <w:b/>
          <w:sz w:val="22"/>
          <w:szCs w:val="22"/>
          <w:lang w:eastAsia="es-ES"/>
        </w:rPr>
        <w:t xml:space="preserve"> </w:t>
      </w:r>
      <w:r w:rsidRPr="00C64D14">
        <w:rPr>
          <w:rFonts w:ascii="ITC Avant Garde" w:eastAsia="Times New Roman" w:hAnsi="ITC Avant Garde"/>
          <w:bCs/>
          <w:sz w:val="22"/>
          <w:szCs w:val="22"/>
          <w:lang w:eastAsia="es-ES"/>
        </w:rPr>
        <w:t>Ahora bien,</w:t>
      </w:r>
      <w:r>
        <w:rPr>
          <w:rFonts w:ascii="ITC Avant Garde" w:eastAsia="Times New Roman" w:hAnsi="ITC Avant Garde"/>
          <w:bCs/>
          <w:sz w:val="22"/>
          <w:szCs w:val="22"/>
          <w:lang w:eastAsia="es-ES"/>
        </w:rPr>
        <w:t xml:space="preserve"> Cablevisión Red manifestó que el presente procedimiento lo iniciaba con fundamento en</w:t>
      </w:r>
      <w:r w:rsidRPr="00C64D14">
        <w:rPr>
          <w:rFonts w:ascii="ITC Avant Garde" w:eastAsia="Times New Roman" w:hAnsi="ITC Avant Garde"/>
          <w:bCs/>
          <w:sz w:val="22"/>
          <w:szCs w:val="22"/>
          <w:lang w:eastAsia="es-ES"/>
        </w:rPr>
        <w:t xml:space="preserve"> la medida SEXAGÉSIMA SEGUNDA de las Medidas Fijas</w:t>
      </w:r>
      <w:r>
        <w:rPr>
          <w:rFonts w:ascii="ITC Avant Garde" w:eastAsia="Times New Roman" w:hAnsi="ITC Avant Garde"/>
          <w:bCs/>
          <w:sz w:val="22"/>
          <w:szCs w:val="22"/>
          <w:lang w:eastAsia="es-ES"/>
        </w:rPr>
        <w:t xml:space="preserve"> que establece la posibilidad de que se presten servicios, condicionado al otorgamiento de garantía como medida provisional en lo que se determinan las tarifas definitivas.</w:t>
      </w:r>
    </w:p>
    <w:p w:rsidR="003B64A4" w:rsidRDefault="00F33910" w:rsidP="003B64A4">
      <w:pPr>
        <w:autoSpaceDE w:val="0"/>
        <w:autoSpaceDN w:val="0"/>
        <w:adjustRightInd w:val="0"/>
        <w:spacing w:before="240" w:after="240" w:line="276" w:lineRule="auto"/>
        <w:jc w:val="both"/>
        <w:rPr>
          <w:rFonts w:ascii="ITC Avant Garde" w:eastAsia="Times New Roman" w:hAnsi="ITC Avant Garde"/>
          <w:bCs/>
          <w:sz w:val="22"/>
          <w:szCs w:val="22"/>
          <w:lang w:eastAsia="es-ES"/>
        </w:rPr>
      </w:pPr>
      <w:r>
        <w:rPr>
          <w:rFonts w:ascii="ITC Avant Garde" w:eastAsia="Times New Roman" w:hAnsi="ITC Avant Garde"/>
          <w:bCs/>
          <w:sz w:val="22"/>
          <w:szCs w:val="22"/>
          <w:lang w:eastAsia="es-ES"/>
        </w:rPr>
        <w:t>En ese sentido, e</w:t>
      </w:r>
      <w:r w:rsidRPr="004B6887">
        <w:rPr>
          <w:rFonts w:ascii="ITC Avant Garde" w:eastAsia="Times New Roman" w:hAnsi="ITC Avant Garde"/>
          <w:bCs/>
          <w:sz w:val="22"/>
          <w:szCs w:val="22"/>
          <w:lang w:eastAsia="es-ES"/>
        </w:rPr>
        <w:t xml:space="preserve">l artículo 44 de la Ley Federal de Procedimiento Administrativo de aplicación supletoria a la </w:t>
      </w:r>
      <w:proofErr w:type="spellStart"/>
      <w:r w:rsidRPr="004B6887">
        <w:rPr>
          <w:rFonts w:ascii="ITC Avant Garde" w:eastAsia="Times New Roman" w:hAnsi="ITC Avant Garde"/>
          <w:bCs/>
          <w:sz w:val="22"/>
          <w:szCs w:val="22"/>
          <w:lang w:eastAsia="es-ES"/>
        </w:rPr>
        <w:t>LFTyR</w:t>
      </w:r>
      <w:proofErr w:type="spellEnd"/>
      <w:r w:rsidRPr="004B6887">
        <w:rPr>
          <w:rFonts w:ascii="ITC Avant Garde" w:eastAsia="Times New Roman" w:hAnsi="ITC Avant Garde"/>
          <w:bCs/>
          <w:sz w:val="22"/>
          <w:szCs w:val="22"/>
          <w:lang w:eastAsia="es-ES"/>
        </w:rPr>
        <w:t xml:space="preserve">, establece que </w:t>
      </w:r>
      <w:r>
        <w:rPr>
          <w:rFonts w:ascii="ITC Avant Garde" w:eastAsia="Times New Roman" w:hAnsi="ITC Avant Garde"/>
          <w:bCs/>
          <w:sz w:val="22"/>
          <w:szCs w:val="22"/>
          <w:lang w:eastAsia="es-ES"/>
        </w:rPr>
        <w:t>i</w:t>
      </w:r>
      <w:r w:rsidRPr="004B6887">
        <w:rPr>
          <w:rFonts w:ascii="ITC Avant Garde" w:eastAsia="Times New Roman" w:hAnsi="ITC Avant Garde"/>
          <w:bCs/>
          <w:sz w:val="22"/>
          <w:szCs w:val="22"/>
          <w:lang w:eastAsia="es-ES"/>
        </w:rPr>
        <w:t>niciado el procedimiento el órgano administrativo podrá adoptar las medidas provisionales para asegurar la eficacia de la resolución que pudiera recaer, si existieren suficientes elementos de juicio para ello.</w:t>
      </w:r>
    </w:p>
    <w:p w:rsidR="00F33910" w:rsidRPr="00E911CA" w:rsidRDefault="00F33910" w:rsidP="003B64A4">
      <w:pPr>
        <w:pStyle w:val="IFTnormal"/>
        <w:spacing w:before="240" w:after="240"/>
        <w:rPr>
          <w:rStyle w:val="IFTnormalCar"/>
        </w:rPr>
      </w:pPr>
      <w:r w:rsidRPr="00E911CA">
        <w:rPr>
          <w:rFonts w:eastAsia="Times New Roman"/>
          <w:bCs/>
        </w:rPr>
        <w:t xml:space="preserve">Del análisis efectuado a la Solicitud de Resolución, </w:t>
      </w:r>
      <w:r w:rsidRPr="00E911CA">
        <w:rPr>
          <w:rStyle w:val="IFTnormalCar"/>
        </w:rPr>
        <w:t xml:space="preserve">se advierte que el correo electrónico </w:t>
      </w:r>
      <w:r>
        <w:rPr>
          <w:rStyle w:val="IFTnormalCar"/>
        </w:rPr>
        <w:t xml:space="preserve">enviado el </w:t>
      </w:r>
      <w:r w:rsidRPr="00E911CA">
        <w:rPr>
          <w:rStyle w:val="IFTnormalCar"/>
        </w:rPr>
        <w:t xml:space="preserve">27 de julio de 2016 a Telmex a la cuenta de correo electrónico </w:t>
      </w:r>
      <w:hyperlink r:id="rId8" w:history="1">
        <w:r w:rsidRPr="00E911CA">
          <w:rPr>
            <w:rStyle w:val="Hipervnculo"/>
          </w:rPr>
          <w:t>COMPERS@telmex.com</w:t>
        </w:r>
      </w:hyperlink>
      <w:r w:rsidRPr="00E911CA">
        <w:rPr>
          <w:rStyle w:val="IFTnormalCar"/>
        </w:rPr>
        <w:t>, el cual se menciona corresponde a la Gerencia de Compartición de Telmex, mediante el cual se dio inicio a las negociaciones para el establecimiento de los términos, condiciones y tarifas relativas a la Oferta de Referencia para el Acceso y Uso Compartido de Infraestructura Pasiva fue presentado por Cablevisión Red en copia simple.</w:t>
      </w:r>
    </w:p>
    <w:p w:rsidR="00F33910" w:rsidRPr="00010152" w:rsidRDefault="00F33910" w:rsidP="003B64A4">
      <w:pPr>
        <w:pStyle w:val="IFTnormal"/>
        <w:spacing w:before="240" w:after="240"/>
        <w:rPr>
          <w:rStyle w:val="IFTnormalCar"/>
        </w:rPr>
      </w:pPr>
      <w:r w:rsidRPr="00010152">
        <w:rPr>
          <w:rStyle w:val="IFTnormalCar"/>
        </w:rPr>
        <w:t xml:space="preserve">Al respecto, mediante </w:t>
      </w:r>
      <w:r>
        <w:rPr>
          <w:rStyle w:val="IFTnormalCar"/>
        </w:rPr>
        <w:t xml:space="preserve">el </w:t>
      </w:r>
      <w:r w:rsidRPr="00010152">
        <w:rPr>
          <w:rStyle w:val="IFTnormalCar"/>
        </w:rPr>
        <w:t xml:space="preserve">Oficio </w:t>
      </w:r>
      <w:r>
        <w:rPr>
          <w:rStyle w:val="IFTnormalCar"/>
        </w:rPr>
        <w:t>de Requerimiento</w:t>
      </w:r>
      <w:r w:rsidRPr="00010152">
        <w:rPr>
          <w:rStyle w:val="IFTnormalCar"/>
        </w:rPr>
        <w:t xml:space="preserve">, se requirió a Cablevisión Red para que dentro de un plazo de diez días hábiles contados a partir del día hábil siguiente al que surtiera efectos la notificación, presentara ante este Instituto el documento </w:t>
      </w:r>
      <w:r>
        <w:rPr>
          <w:rStyle w:val="IFTnormalCar"/>
        </w:rPr>
        <w:t>para probar los elementos</w:t>
      </w:r>
      <w:r w:rsidRPr="00010152">
        <w:rPr>
          <w:rStyle w:val="IFTnormalCar"/>
        </w:rPr>
        <w:t xml:space="preserve"> legalmente previstos.</w:t>
      </w:r>
    </w:p>
    <w:p w:rsidR="00F33910" w:rsidRPr="006D17A8" w:rsidRDefault="00F33910" w:rsidP="003B64A4">
      <w:pPr>
        <w:pStyle w:val="IFTnormal"/>
        <w:spacing w:before="240" w:after="240"/>
        <w:rPr>
          <w:rStyle w:val="IFTnormalCar"/>
        </w:rPr>
      </w:pPr>
      <w:r w:rsidRPr="006D17A8">
        <w:rPr>
          <w:rStyle w:val="IFTnormalCar"/>
        </w:rPr>
        <w:lastRenderedPageBreak/>
        <w:t>De igual forma, del análisis efectuado a los documentos ofrecidos por Cablevisión Red</w:t>
      </w:r>
      <w:r>
        <w:rPr>
          <w:rStyle w:val="IFTnormalCar"/>
        </w:rPr>
        <w:t xml:space="preserve"> dentro de la Solicitud de Resolución</w:t>
      </w:r>
      <w:r w:rsidRPr="006D17A8">
        <w:rPr>
          <w:rStyle w:val="IFTnormalCar"/>
        </w:rPr>
        <w:t xml:space="preserve">, se advirtió que la prueba </w:t>
      </w:r>
      <w:r>
        <w:rPr>
          <w:rStyle w:val="IFTnormalCar"/>
        </w:rPr>
        <w:t xml:space="preserve">documental señalada en el numeral </w:t>
      </w:r>
      <w:r w:rsidRPr="006D17A8">
        <w:rPr>
          <w:rStyle w:val="IFTnormalCar"/>
        </w:rPr>
        <w:t>4</w:t>
      </w:r>
      <w:r>
        <w:rPr>
          <w:rStyle w:val="IFTnormalCar"/>
        </w:rPr>
        <w:t>,</w:t>
      </w:r>
      <w:r w:rsidRPr="006D17A8">
        <w:rPr>
          <w:rStyle w:val="IFTnormalCar"/>
        </w:rPr>
        <w:t xml:space="preserve"> consistente en “</w:t>
      </w:r>
      <w:r w:rsidRPr="006D17A8">
        <w:rPr>
          <w:rStyle w:val="IFTnormalCar"/>
          <w:i/>
        </w:rPr>
        <w:t>la cotización emitida por Construcción e Instalación Especiales de Redes Telefónicas, S.A. de C.V.</w:t>
      </w:r>
      <w:r w:rsidRPr="006D17A8">
        <w:rPr>
          <w:rStyle w:val="IFTnormalCar"/>
        </w:rPr>
        <w:t>”</w:t>
      </w:r>
      <w:r>
        <w:rPr>
          <w:rStyle w:val="IFTnormalCar"/>
        </w:rPr>
        <w:t xml:space="preserve"> fue</w:t>
      </w:r>
      <w:r w:rsidRPr="006D17A8">
        <w:rPr>
          <w:rStyle w:val="IFTnormalCar"/>
        </w:rPr>
        <w:t xml:space="preserve"> presentada en copia simple.</w:t>
      </w:r>
    </w:p>
    <w:p w:rsidR="00F33910" w:rsidRPr="006D17A8" w:rsidRDefault="00F33910" w:rsidP="003B64A4">
      <w:pPr>
        <w:pStyle w:val="IFTnormal"/>
        <w:spacing w:before="240" w:after="240"/>
        <w:rPr>
          <w:rStyle w:val="IFTnormalCar"/>
        </w:rPr>
      </w:pPr>
      <w:r>
        <w:rPr>
          <w:rStyle w:val="IFTnormalCar"/>
        </w:rPr>
        <w:t xml:space="preserve">En este sentido, </w:t>
      </w:r>
      <w:r w:rsidRPr="00010152">
        <w:rPr>
          <w:rStyle w:val="IFTnormalCar"/>
        </w:rPr>
        <w:t xml:space="preserve">mediante </w:t>
      </w:r>
      <w:r>
        <w:rPr>
          <w:rStyle w:val="IFTnormalCar"/>
        </w:rPr>
        <w:t xml:space="preserve">el </w:t>
      </w:r>
      <w:r w:rsidRPr="00010152">
        <w:rPr>
          <w:rStyle w:val="IFTnormalCar"/>
        </w:rPr>
        <w:t xml:space="preserve">Oficio </w:t>
      </w:r>
      <w:r>
        <w:rPr>
          <w:rStyle w:val="IFTnormalCar"/>
        </w:rPr>
        <w:t xml:space="preserve"> de Requerimiento</w:t>
      </w:r>
      <w:r w:rsidRPr="00010152">
        <w:rPr>
          <w:rStyle w:val="IFTnormalCar"/>
        </w:rPr>
        <w:t xml:space="preserve"> de fecha 19 de octubre de 2016,</w:t>
      </w:r>
      <w:r>
        <w:rPr>
          <w:rStyle w:val="IFTnormalCar"/>
        </w:rPr>
        <w:t xml:space="preserve"> se requirió a Cablevisión Red </w:t>
      </w:r>
      <w:r w:rsidRPr="00010152">
        <w:rPr>
          <w:rStyle w:val="IFTnormalCar"/>
        </w:rPr>
        <w:t>para que dentro de un plazo de diez días hábiles contados a partir del día hábil siguiente al que surtiera efectos la notificación</w:t>
      </w:r>
      <w:r>
        <w:rPr>
          <w:rStyle w:val="IFTnormalCar"/>
        </w:rPr>
        <w:t xml:space="preserve">, exhibiera el original del documento denominado </w:t>
      </w:r>
      <w:r w:rsidRPr="006D17A8">
        <w:rPr>
          <w:rStyle w:val="IFTnormalCar"/>
        </w:rPr>
        <w:t>“</w:t>
      </w:r>
      <w:r w:rsidRPr="006D17A8">
        <w:rPr>
          <w:rStyle w:val="IFTnormalCar"/>
          <w:i/>
        </w:rPr>
        <w:t>la cotización emitida por Construcción e Instalación Especiales de Redes Telefónicas, S.A. de C.V.</w:t>
      </w:r>
      <w:r w:rsidRPr="006D17A8">
        <w:rPr>
          <w:rStyle w:val="IFTnormalCar"/>
        </w:rPr>
        <w:t>” con la finalidad de que el documento pueda ser cotejado por este Instituto y se perfeccione el ofrecimiento de dicha prueba</w:t>
      </w:r>
      <w:r>
        <w:rPr>
          <w:rStyle w:val="IFTnormalCar"/>
        </w:rPr>
        <w:t>.</w:t>
      </w:r>
      <w:r w:rsidRPr="006D17A8">
        <w:rPr>
          <w:rStyle w:val="IFTnormalCar"/>
        </w:rPr>
        <w:t xml:space="preserve"> </w:t>
      </w:r>
    </w:p>
    <w:p w:rsidR="00F33910" w:rsidRDefault="00F33910" w:rsidP="003B64A4">
      <w:pPr>
        <w:pStyle w:val="IFTnormal"/>
        <w:spacing w:before="240" w:after="240"/>
        <w:rPr>
          <w:rStyle w:val="IFTnormalCar"/>
        </w:rPr>
      </w:pPr>
      <w:r w:rsidRPr="00257E68">
        <w:t>Derivad</w:t>
      </w:r>
      <w:r>
        <w:t xml:space="preserve">o de lo anterior, a través del </w:t>
      </w:r>
      <w:r>
        <w:rPr>
          <w:rStyle w:val="IFTnormalCar"/>
        </w:rPr>
        <w:t>Escrito de Respuesta de Cablevisión Red</w:t>
      </w:r>
      <w:r w:rsidRPr="00257E68">
        <w:t xml:space="preserve"> presentado ante la Oficialía de P</w:t>
      </w:r>
      <w:r>
        <w:t xml:space="preserve">artes de este Instituto el </w:t>
      </w:r>
      <w:r w:rsidRPr="00AC3DF2">
        <w:t>31</w:t>
      </w:r>
      <w:r>
        <w:t xml:space="preserve"> de octubre de 2016, el apoderado legal de Cablevisión Red exhibió la escritura pública número 74,677 de fecha 25 de octubre de 2016, pasada ante la fe del Notario Público número 45, en la Ciudad de México, consistente en la fe de hechos de la solicitud vía correo electrónico del inicio de negociaciones para el establecimiento de los términos, condiciones y tarifas relativas a la Oferta de Referencia para el Acceso y Uso Compartido de Infraestructura Pasiva efectuado al correo electrónico </w:t>
      </w:r>
      <w:hyperlink r:id="rId9" w:history="1">
        <w:r w:rsidRPr="00E911CA">
          <w:rPr>
            <w:rStyle w:val="Hipervnculo"/>
          </w:rPr>
          <w:t>COMPERS@telmex.com</w:t>
        </w:r>
      </w:hyperlink>
      <w:r>
        <w:rPr>
          <w:rStyle w:val="IFTnormalCar"/>
        </w:rPr>
        <w:t xml:space="preserve"> de fecha 27 de julio de 2016.</w:t>
      </w:r>
    </w:p>
    <w:p w:rsidR="00F33910" w:rsidRPr="004910D7" w:rsidRDefault="00F33910" w:rsidP="003B64A4">
      <w:pPr>
        <w:pStyle w:val="IFTnormal"/>
        <w:spacing w:before="240" w:after="240"/>
      </w:pPr>
      <w:r>
        <w:rPr>
          <w:rStyle w:val="IFTnormalCar"/>
        </w:rPr>
        <w:t xml:space="preserve">De igual forma en su escrito exhibió el original de la cotización emitida por la empresa Construcción e Instalaciones Especiales de Redes Telefónicas, S.A. de C.V. </w:t>
      </w:r>
      <w:r>
        <w:t xml:space="preserve"> </w:t>
      </w:r>
    </w:p>
    <w:p w:rsidR="003B64A4" w:rsidRDefault="00F33910" w:rsidP="003B64A4">
      <w:pPr>
        <w:autoSpaceDE w:val="0"/>
        <w:autoSpaceDN w:val="0"/>
        <w:adjustRightInd w:val="0"/>
        <w:spacing w:before="240" w:after="240" w:line="276" w:lineRule="auto"/>
        <w:jc w:val="both"/>
        <w:rPr>
          <w:rFonts w:ascii="ITC Avant Garde" w:eastAsia="Times New Roman" w:hAnsi="ITC Avant Garde"/>
          <w:bCs/>
          <w:sz w:val="22"/>
          <w:szCs w:val="22"/>
          <w:lang w:eastAsia="es-ES"/>
        </w:rPr>
      </w:pPr>
      <w:r w:rsidRPr="00EB5FBF">
        <w:rPr>
          <w:rFonts w:ascii="ITC Avant Garde" w:eastAsia="Times New Roman" w:hAnsi="ITC Avant Garde"/>
          <w:bCs/>
          <w:sz w:val="22"/>
          <w:szCs w:val="22"/>
          <w:lang w:eastAsia="es-ES"/>
        </w:rPr>
        <w:t>Por lo anterior, se considera procedente ordenar a Telmex otorgar la prestación de los siguientes servicios</w:t>
      </w:r>
      <w:r w:rsidRPr="00D22FA6">
        <w:rPr>
          <w:rFonts w:ascii="ITC Avant Garde" w:eastAsia="Times New Roman" w:hAnsi="ITC Avant Garde"/>
          <w:bCs/>
          <w:sz w:val="22"/>
          <w:szCs w:val="22"/>
          <w:lang w:eastAsia="es-ES"/>
        </w:rPr>
        <w:t>, en los términos y condiciones aprobados anteriormente por el Pleno del Instituto:</w:t>
      </w:r>
    </w:p>
    <w:p w:rsidR="00F33910" w:rsidRPr="001D436B" w:rsidRDefault="00F33910" w:rsidP="003B64A4">
      <w:pPr>
        <w:pStyle w:val="IFTnormal"/>
        <w:numPr>
          <w:ilvl w:val="0"/>
          <w:numId w:val="2"/>
        </w:numPr>
        <w:spacing w:before="240" w:after="240"/>
        <w:rPr>
          <w:sz w:val="21"/>
          <w:szCs w:val="21"/>
        </w:rPr>
      </w:pPr>
      <w:r w:rsidRPr="001D436B">
        <w:rPr>
          <w:sz w:val="21"/>
          <w:szCs w:val="21"/>
        </w:rPr>
        <w:t>Servicio de acceso y uso compartido de torre.</w:t>
      </w:r>
    </w:p>
    <w:p w:rsidR="00F33910" w:rsidRPr="001D436B" w:rsidRDefault="00F33910" w:rsidP="003B64A4">
      <w:pPr>
        <w:pStyle w:val="IFTnormal"/>
        <w:numPr>
          <w:ilvl w:val="0"/>
          <w:numId w:val="2"/>
        </w:numPr>
        <w:spacing w:before="240" w:after="240"/>
        <w:rPr>
          <w:sz w:val="21"/>
          <w:szCs w:val="21"/>
        </w:rPr>
      </w:pPr>
      <w:r w:rsidRPr="001D436B">
        <w:rPr>
          <w:sz w:val="21"/>
          <w:szCs w:val="21"/>
        </w:rPr>
        <w:t>Servicio de uso de espacios físicos.</w:t>
      </w:r>
    </w:p>
    <w:p w:rsidR="00F33910" w:rsidRPr="001D436B" w:rsidRDefault="00F33910" w:rsidP="003B64A4">
      <w:pPr>
        <w:pStyle w:val="IFTnormal"/>
        <w:numPr>
          <w:ilvl w:val="0"/>
          <w:numId w:val="2"/>
        </w:numPr>
        <w:spacing w:before="240" w:after="240"/>
        <w:rPr>
          <w:sz w:val="21"/>
          <w:szCs w:val="21"/>
        </w:rPr>
      </w:pPr>
      <w:r w:rsidRPr="001D436B">
        <w:rPr>
          <w:sz w:val="21"/>
          <w:szCs w:val="21"/>
        </w:rPr>
        <w:t>Servicio de tendido de cable sobre la infraestructura desagregada.</w:t>
      </w:r>
    </w:p>
    <w:p w:rsidR="00F33910" w:rsidRPr="001D436B" w:rsidRDefault="00F33910" w:rsidP="003B64A4">
      <w:pPr>
        <w:pStyle w:val="IFTnormal"/>
        <w:numPr>
          <w:ilvl w:val="0"/>
          <w:numId w:val="2"/>
        </w:numPr>
        <w:spacing w:before="240" w:after="240"/>
        <w:rPr>
          <w:sz w:val="21"/>
          <w:szCs w:val="21"/>
        </w:rPr>
      </w:pPr>
      <w:r w:rsidRPr="001D436B">
        <w:rPr>
          <w:sz w:val="21"/>
          <w:szCs w:val="21"/>
        </w:rPr>
        <w:t>Canales ópticos de alta capacidad.</w:t>
      </w:r>
    </w:p>
    <w:p w:rsidR="00F33910" w:rsidRPr="001D436B" w:rsidRDefault="00F33910" w:rsidP="003B64A4">
      <w:pPr>
        <w:pStyle w:val="IFTnormal"/>
        <w:numPr>
          <w:ilvl w:val="0"/>
          <w:numId w:val="2"/>
        </w:numPr>
        <w:spacing w:before="240" w:after="240"/>
        <w:rPr>
          <w:sz w:val="21"/>
          <w:szCs w:val="21"/>
        </w:rPr>
      </w:pPr>
      <w:r w:rsidRPr="001D436B">
        <w:rPr>
          <w:sz w:val="21"/>
          <w:szCs w:val="21"/>
        </w:rPr>
        <w:lastRenderedPageBreak/>
        <w:t>Actividades de apoyo, tales como visitas técnicas, análisis de factibilidad e inspección.</w:t>
      </w:r>
    </w:p>
    <w:p w:rsidR="00F33910" w:rsidRPr="00EB5FBF" w:rsidRDefault="00F33910" w:rsidP="003B64A4">
      <w:pPr>
        <w:pStyle w:val="IFTnormal"/>
        <w:numPr>
          <w:ilvl w:val="0"/>
          <w:numId w:val="2"/>
        </w:numPr>
        <w:spacing w:before="240" w:after="240"/>
        <w:rPr>
          <w:sz w:val="21"/>
          <w:szCs w:val="21"/>
        </w:rPr>
      </w:pPr>
      <w:r w:rsidRPr="001D436B">
        <w:rPr>
          <w:sz w:val="21"/>
          <w:szCs w:val="21"/>
        </w:rPr>
        <w:t>Trabajos especiales.</w:t>
      </w:r>
    </w:p>
    <w:p w:rsidR="003B64A4" w:rsidRDefault="00F33910" w:rsidP="003B64A4">
      <w:pPr>
        <w:autoSpaceDE w:val="0"/>
        <w:autoSpaceDN w:val="0"/>
        <w:adjustRightInd w:val="0"/>
        <w:spacing w:before="240" w:after="240" w:line="276" w:lineRule="auto"/>
        <w:jc w:val="both"/>
        <w:rPr>
          <w:rFonts w:ascii="ITC Avant Garde" w:eastAsia="Times New Roman" w:hAnsi="ITC Avant Garde"/>
          <w:bCs/>
          <w:sz w:val="22"/>
          <w:szCs w:val="22"/>
          <w:lang w:eastAsia="es-ES"/>
        </w:rPr>
      </w:pPr>
      <w:r>
        <w:rPr>
          <w:rFonts w:ascii="ITC Avant Garde" w:eastAsia="Times New Roman" w:hAnsi="ITC Avant Garde"/>
          <w:bCs/>
          <w:sz w:val="22"/>
          <w:szCs w:val="22"/>
          <w:lang w:eastAsia="es-ES"/>
        </w:rPr>
        <w:t>Ahora bien la propia medida SEXAGÉSIMA SEGUNDA prevé que la prestación por parte del AEP será a condición de que se le otorgue una garantía para asegurar el cumplimiento de las obligaciones contractuales del concesionario solicitante, es así que para dar cumplimiento a la medida SEXAGÉSIMA SEGUNDA, será obligación del concesionario solicitante el constituir la garantía señalada.</w:t>
      </w:r>
    </w:p>
    <w:p w:rsidR="003B64A4" w:rsidRDefault="00F33910" w:rsidP="003B64A4">
      <w:pPr>
        <w:autoSpaceDE w:val="0"/>
        <w:autoSpaceDN w:val="0"/>
        <w:adjustRightInd w:val="0"/>
        <w:spacing w:before="240" w:after="240" w:line="276" w:lineRule="auto"/>
        <w:jc w:val="both"/>
        <w:rPr>
          <w:rFonts w:ascii="ITC Avant Garde" w:eastAsia="Times New Roman" w:hAnsi="ITC Avant Garde"/>
          <w:bCs/>
          <w:sz w:val="22"/>
          <w:szCs w:val="22"/>
          <w:lang w:eastAsia="es-ES"/>
        </w:rPr>
      </w:pPr>
      <w:r>
        <w:rPr>
          <w:rFonts w:ascii="ITC Avant Garde" w:eastAsia="Times New Roman" w:hAnsi="ITC Avant Garde"/>
          <w:bCs/>
          <w:sz w:val="22"/>
          <w:szCs w:val="22"/>
          <w:lang w:eastAsia="es-ES"/>
        </w:rPr>
        <w:t>Toda vez que el propósito de la garantía es asegurar el cumplimiento de las obligaciones contractuales esta debe ser suficiente para remunerar al AEP por los servicios prestados, en tal sentido el monto de la misma debe ser acorde al monto de los servicios prestados, el cual a su vez depende de las tarifas aplicadas a la cantidad de los servicios prestados en el periodo de aplicación.</w:t>
      </w:r>
    </w:p>
    <w:p w:rsidR="003B64A4" w:rsidRDefault="00F33910" w:rsidP="003B64A4">
      <w:pPr>
        <w:spacing w:before="240" w:after="240" w:line="276" w:lineRule="auto"/>
        <w:jc w:val="both"/>
        <w:rPr>
          <w:rFonts w:ascii="ITC Avant Garde" w:hAnsi="ITC Avant Garde"/>
          <w:bCs/>
          <w:sz w:val="22"/>
          <w:szCs w:val="22"/>
        </w:rPr>
      </w:pPr>
      <w:r>
        <w:rPr>
          <w:rFonts w:ascii="ITC Avant Garde" w:eastAsia="Times New Roman" w:hAnsi="ITC Avant Garde"/>
          <w:bCs/>
          <w:sz w:val="22"/>
          <w:szCs w:val="22"/>
          <w:lang w:eastAsia="es-ES"/>
        </w:rPr>
        <w:t xml:space="preserve">En este sentido Cablevisión Red, </w:t>
      </w:r>
      <w:r>
        <w:rPr>
          <w:rFonts w:ascii="ITC Avant Garde" w:hAnsi="ITC Avant Garde"/>
          <w:bCs/>
          <w:sz w:val="22"/>
          <w:szCs w:val="22"/>
        </w:rPr>
        <w:t xml:space="preserve">deberán constituir a favor de Telmex de manera mensual una fianza o depósito en garantía por un monto equivalente a la cantidad que resulte de la aplicación de las tarifas, términos y condiciones, incluyendo descuentos, previstos en convenios suscritos por el AEP </w:t>
      </w:r>
      <w:r w:rsidRPr="00B56B5A">
        <w:rPr>
          <w:rFonts w:ascii="ITC Avant Garde" w:hAnsi="ITC Avant Garde"/>
          <w:bCs/>
          <w:sz w:val="22"/>
          <w:szCs w:val="22"/>
        </w:rPr>
        <w:t xml:space="preserve">en el marco de la </w:t>
      </w:r>
      <w:r>
        <w:rPr>
          <w:rFonts w:ascii="ITC Avant Garde" w:hAnsi="ITC Avant Garde"/>
          <w:bCs/>
          <w:sz w:val="22"/>
          <w:szCs w:val="22"/>
        </w:rPr>
        <w:t>Oferta de Referencia para el Acceso y Uso Compartido de Infraestructura Pasiva, a efecto de garantizar el cumplimiento de sus obligaciones contractuales</w:t>
      </w:r>
      <w:r w:rsidRPr="00E063AA">
        <w:rPr>
          <w:rFonts w:ascii="ITC Avant Garde" w:hAnsi="ITC Avant Garde"/>
          <w:bCs/>
          <w:sz w:val="22"/>
          <w:szCs w:val="22"/>
        </w:rPr>
        <w:t>, y sin perjuicio de que las partes deban ajustarse a las condiciones, términos y tarifas que el Instituto determine en resolución definitiva.</w:t>
      </w:r>
      <w:r>
        <w:rPr>
          <w:rFonts w:ascii="ITC Avant Garde" w:hAnsi="ITC Avant Garde"/>
          <w:bCs/>
          <w:sz w:val="22"/>
          <w:szCs w:val="22"/>
        </w:rPr>
        <w:t xml:space="preserve"> Para efectos de lo anterior, Cablevisión Red </w:t>
      </w:r>
      <w:r>
        <w:rPr>
          <w:rFonts w:ascii="ITC Avant Garde" w:hAnsi="ITC Avant Garde" w:cs="Arial"/>
          <w:iCs/>
          <w:sz w:val="22"/>
          <w:szCs w:val="22"/>
          <w:lang w:eastAsia="en-US"/>
        </w:rPr>
        <w:t>contarán con un plazo de 10 días hábiles para constituir la garantía.</w:t>
      </w:r>
    </w:p>
    <w:p w:rsidR="003B64A4" w:rsidRDefault="00F33910" w:rsidP="003B64A4">
      <w:pPr>
        <w:autoSpaceDE w:val="0"/>
        <w:autoSpaceDN w:val="0"/>
        <w:adjustRightInd w:val="0"/>
        <w:spacing w:before="240" w:after="240" w:line="276" w:lineRule="auto"/>
        <w:jc w:val="both"/>
        <w:rPr>
          <w:rFonts w:ascii="ITC Avant Garde" w:eastAsia="Times New Roman" w:hAnsi="ITC Avant Garde"/>
          <w:bCs/>
          <w:sz w:val="22"/>
          <w:szCs w:val="22"/>
          <w:lang w:eastAsia="es-ES"/>
        </w:rPr>
      </w:pPr>
      <w:r w:rsidRPr="00654E86">
        <w:rPr>
          <w:rFonts w:ascii="ITC Avant Garde" w:eastAsia="Times New Roman" w:hAnsi="ITC Avant Garde"/>
          <w:bCs/>
          <w:sz w:val="22"/>
          <w:szCs w:val="22"/>
          <w:lang w:eastAsia="es-ES"/>
        </w:rPr>
        <w:t xml:space="preserve">Lo anterior, con fundamento en los artículos 6º, tercer párrafo, </w:t>
      </w:r>
      <w:r>
        <w:rPr>
          <w:rFonts w:ascii="ITC Avant Garde" w:eastAsia="Times New Roman" w:hAnsi="ITC Avant Garde"/>
          <w:bCs/>
          <w:sz w:val="22"/>
          <w:szCs w:val="22"/>
          <w:lang w:eastAsia="es-ES"/>
        </w:rPr>
        <w:t>apartado</w:t>
      </w:r>
      <w:r w:rsidRPr="00654E86">
        <w:rPr>
          <w:rFonts w:ascii="ITC Avant Garde" w:eastAsia="Times New Roman" w:hAnsi="ITC Avant Garde"/>
          <w:bCs/>
          <w:sz w:val="22"/>
          <w:szCs w:val="22"/>
          <w:lang w:eastAsia="es-ES"/>
        </w:rPr>
        <w:t xml:space="preserve"> B</w:t>
      </w:r>
      <w:r>
        <w:rPr>
          <w:rFonts w:ascii="ITC Avant Garde" w:eastAsia="Times New Roman" w:hAnsi="ITC Avant Garde"/>
          <w:bCs/>
          <w:sz w:val="22"/>
          <w:szCs w:val="22"/>
          <w:lang w:eastAsia="es-ES"/>
        </w:rPr>
        <w:t xml:space="preserve"> y</w:t>
      </w:r>
      <w:r w:rsidRPr="00654E86">
        <w:rPr>
          <w:rFonts w:ascii="ITC Avant Garde" w:eastAsia="Times New Roman" w:hAnsi="ITC Avant Garde"/>
          <w:bCs/>
          <w:sz w:val="22"/>
          <w:szCs w:val="22"/>
          <w:lang w:eastAsia="es-ES"/>
        </w:rPr>
        <w:t xml:space="preserve"> 28, párrafo décimo quinto de la Constitución Política de los Estados Unidos Mexicanos; 2, 6, fracción IV y último párrafo, </w:t>
      </w:r>
      <w:r w:rsidR="007F5026" w:rsidRPr="00CA73EF">
        <w:rPr>
          <w:rFonts w:ascii="ITC Avant Garde" w:eastAsia="Times New Roman" w:hAnsi="ITC Avant Garde"/>
          <w:bCs/>
          <w:sz w:val="22"/>
          <w:szCs w:val="22"/>
          <w:lang w:eastAsia="es-ES"/>
        </w:rPr>
        <w:t>último párrafo, 7</w:t>
      </w:r>
      <w:r w:rsidR="007F5026">
        <w:rPr>
          <w:rFonts w:ascii="ITC Avant Garde" w:eastAsia="Times New Roman" w:hAnsi="ITC Avant Garde"/>
          <w:bCs/>
          <w:sz w:val="22"/>
          <w:szCs w:val="22"/>
          <w:lang w:eastAsia="es-ES"/>
        </w:rPr>
        <w:t>,</w:t>
      </w:r>
      <w:r w:rsidR="007F5026" w:rsidRPr="00CA73EF">
        <w:rPr>
          <w:rFonts w:ascii="ITC Avant Garde" w:eastAsia="Times New Roman" w:hAnsi="ITC Avant Garde"/>
          <w:bCs/>
          <w:sz w:val="22"/>
          <w:szCs w:val="22"/>
          <w:lang w:eastAsia="es-ES"/>
        </w:rPr>
        <w:t xml:space="preserve"> 15, fracción XII</w:t>
      </w:r>
      <w:r w:rsidR="007F5026">
        <w:rPr>
          <w:rFonts w:ascii="ITC Avant Garde" w:eastAsia="Times New Roman" w:hAnsi="ITC Avant Garde"/>
          <w:bCs/>
          <w:sz w:val="22"/>
          <w:szCs w:val="22"/>
          <w:lang w:eastAsia="es-ES"/>
        </w:rPr>
        <w:t xml:space="preserve">, 129 y 139 </w:t>
      </w:r>
      <w:r w:rsidRPr="00654E86">
        <w:rPr>
          <w:rFonts w:ascii="ITC Avant Garde" w:eastAsia="Times New Roman" w:hAnsi="ITC Avant Garde"/>
          <w:bCs/>
          <w:sz w:val="22"/>
          <w:szCs w:val="22"/>
          <w:lang w:eastAsia="es-ES"/>
        </w:rPr>
        <w:t xml:space="preserve">de la Ley Federal de Telecomunicaciones y Radiodifusión; 15, 19, 32, </w:t>
      </w:r>
      <w:r>
        <w:rPr>
          <w:rFonts w:ascii="ITC Avant Garde" w:eastAsia="Times New Roman" w:hAnsi="ITC Avant Garde"/>
          <w:bCs/>
          <w:sz w:val="22"/>
          <w:szCs w:val="22"/>
          <w:lang w:eastAsia="es-ES"/>
        </w:rPr>
        <w:t xml:space="preserve">35, fracción I, </w:t>
      </w:r>
      <w:r w:rsidRPr="00654E86">
        <w:rPr>
          <w:rFonts w:ascii="ITC Avant Garde" w:eastAsia="Times New Roman" w:hAnsi="ITC Avant Garde"/>
          <w:bCs/>
          <w:sz w:val="22"/>
          <w:szCs w:val="22"/>
          <w:lang w:eastAsia="es-ES"/>
        </w:rPr>
        <w:t>36, 38, 39 y 44 de la Ley Federal del Procedimiento Administrativo</w:t>
      </w:r>
      <w:r>
        <w:rPr>
          <w:rFonts w:ascii="ITC Avant Garde" w:eastAsia="Times New Roman" w:hAnsi="ITC Avant Garde"/>
          <w:bCs/>
          <w:sz w:val="22"/>
          <w:szCs w:val="22"/>
          <w:lang w:eastAsia="es-ES"/>
        </w:rPr>
        <w:t>; Medidas TRIGÉSIMA NOVENA, SEXAGÉSIMA y SEXAGÉSIMA SEGUNDA de las</w:t>
      </w:r>
      <w:r w:rsidRPr="00654E86">
        <w:rPr>
          <w:rFonts w:ascii="ITC Avant Garde" w:eastAsia="Times New Roman" w:hAnsi="ITC Avant Garde"/>
          <w:bCs/>
          <w:sz w:val="22"/>
          <w:szCs w:val="22"/>
          <w:lang w:eastAsia="es-ES"/>
        </w:rPr>
        <w:t xml:space="preserve"> </w:t>
      </w:r>
      <w:r w:rsidRPr="00E37FB3">
        <w:rPr>
          <w:rFonts w:ascii="ITC Avant Garde" w:eastAsia="Times New Roman" w:hAnsi="ITC Avant Garde"/>
          <w:bCs/>
          <w:i/>
          <w:sz w:val="22"/>
          <w:szCs w:val="22"/>
          <w:lang w:eastAsia="es-ES"/>
        </w:rPr>
        <w:t xml:space="preserve">“MEDIDAS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w:t>
      </w:r>
      <w:r w:rsidRPr="00E37FB3">
        <w:rPr>
          <w:rFonts w:ascii="ITC Avant Garde" w:eastAsia="Times New Roman" w:hAnsi="ITC Avant Garde"/>
          <w:bCs/>
          <w:i/>
          <w:sz w:val="22"/>
          <w:szCs w:val="22"/>
          <w:lang w:eastAsia="es-ES"/>
        </w:rPr>
        <w:lastRenderedPageBreak/>
        <w:t>EN LOS SERVICIOS DE TELECOMUNICACIONES FIJOS</w:t>
      </w:r>
      <w:r>
        <w:rPr>
          <w:rFonts w:ascii="ITC Avant Garde" w:eastAsia="Times New Roman" w:hAnsi="ITC Avant Garde"/>
          <w:bCs/>
          <w:sz w:val="22"/>
          <w:szCs w:val="22"/>
          <w:lang w:eastAsia="es-ES"/>
        </w:rPr>
        <w:t>”</w:t>
      </w:r>
      <w:r w:rsidRPr="00654E86">
        <w:rPr>
          <w:rFonts w:ascii="ITC Avant Garde" w:eastAsia="Times New Roman" w:hAnsi="ITC Avant Garde"/>
          <w:bCs/>
          <w:sz w:val="22"/>
          <w:szCs w:val="22"/>
          <w:lang w:eastAsia="es-ES"/>
        </w:rPr>
        <w:t>; 4, fracci</w:t>
      </w:r>
      <w:r>
        <w:rPr>
          <w:rFonts w:ascii="ITC Avant Garde" w:eastAsia="Times New Roman" w:hAnsi="ITC Avant Garde"/>
          <w:bCs/>
          <w:sz w:val="22"/>
          <w:szCs w:val="22"/>
          <w:lang w:eastAsia="es-ES"/>
        </w:rPr>
        <w:t>ón</w:t>
      </w:r>
      <w:r w:rsidRPr="00654E86">
        <w:rPr>
          <w:rFonts w:ascii="ITC Avant Garde" w:eastAsia="Times New Roman" w:hAnsi="ITC Avant Garde"/>
          <w:bCs/>
          <w:sz w:val="22"/>
          <w:szCs w:val="22"/>
          <w:lang w:eastAsia="es-ES"/>
        </w:rPr>
        <w:t xml:space="preserve"> </w:t>
      </w:r>
      <w:r>
        <w:rPr>
          <w:rFonts w:ascii="ITC Avant Garde" w:eastAsia="Times New Roman" w:hAnsi="ITC Avant Garde"/>
          <w:bCs/>
          <w:sz w:val="22"/>
          <w:szCs w:val="22"/>
          <w:lang w:eastAsia="es-ES"/>
        </w:rPr>
        <w:t xml:space="preserve">I, </w:t>
      </w:r>
      <w:r w:rsidRPr="00654E86">
        <w:rPr>
          <w:rFonts w:ascii="ITC Avant Garde" w:eastAsia="Times New Roman" w:hAnsi="ITC Avant Garde"/>
          <w:bCs/>
          <w:sz w:val="22"/>
          <w:szCs w:val="22"/>
          <w:lang w:eastAsia="es-ES"/>
        </w:rPr>
        <w:t>19, 20, fracci</w:t>
      </w:r>
      <w:r>
        <w:rPr>
          <w:rFonts w:ascii="ITC Avant Garde" w:eastAsia="Times New Roman" w:hAnsi="ITC Avant Garde"/>
          <w:bCs/>
          <w:sz w:val="22"/>
          <w:szCs w:val="22"/>
          <w:lang w:eastAsia="es-ES"/>
        </w:rPr>
        <w:t>ones</w:t>
      </w:r>
      <w:r w:rsidRPr="00654E86">
        <w:rPr>
          <w:rFonts w:ascii="ITC Avant Garde" w:eastAsia="Times New Roman" w:hAnsi="ITC Avant Garde"/>
          <w:bCs/>
          <w:sz w:val="22"/>
          <w:szCs w:val="22"/>
          <w:lang w:eastAsia="es-ES"/>
        </w:rPr>
        <w:t xml:space="preserve"> VIII y XVI, 21</w:t>
      </w:r>
      <w:r>
        <w:rPr>
          <w:rFonts w:ascii="ITC Avant Garde" w:eastAsia="Times New Roman" w:hAnsi="ITC Avant Garde"/>
          <w:bCs/>
          <w:sz w:val="22"/>
          <w:szCs w:val="22"/>
          <w:lang w:eastAsia="es-ES"/>
        </w:rPr>
        <w:t xml:space="preserve"> y</w:t>
      </w:r>
      <w:r w:rsidRPr="00654E86">
        <w:rPr>
          <w:rFonts w:ascii="ITC Avant Garde" w:eastAsia="Times New Roman" w:hAnsi="ITC Avant Garde"/>
          <w:bCs/>
          <w:sz w:val="22"/>
          <w:szCs w:val="22"/>
          <w:lang w:eastAsia="es-ES"/>
        </w:rPr>
        <w:t xml:space="preserve"> 2</w:t>
      </w:r>
      <w:r>
        <w:rPr>
          <w:rFonts w:ascii="ITC Avant Garde" w:eastAsia="Times New Roman" w:hAnsi="ITC Avant Garde"/>
          <w:bCs/>
          <w:sz w:val="22"/>
          <w:szCs w:val="22"/>
          <w:lang w:eastAsia="es-ES"/>
        </w:rPr>
        <w:t>6</w:t>
      </w:r>
      <w:r w:rsidRPr="00654E86">
        <w:rPr>
          <w:rFonts w:ascii="ITC Avant Garde" w:eastAsia="Times New Roman" w:hAnsi="ITC Avant Garde"/>
          <w:bCs/>
          <w:sz w:val="22"/>
          <w:szCs w:val="22"/>
          <w:lang w:eastAsia="es-ES"/>
        </w:rPr>
        <w:t>, fracción I del Estatuto Orgánico del Instituto Federal de Telecomunicaciones, se emiten los siguientes:</w:t>
      </w:r>
    </w:p>
    <w:p w:rsidR="003B64A4" w:rsidRPr="003B64A4" w:rsidRDefault="00F33910" w:rsidP="003B64A4">
      <w:pPr>
        <w:pStyle w:val="Ttulo2"/>
        <w:spacing w:after="240"/>
        <w:jc w:val="center"/>
        <w:rPr>
          <w:rFonts w:ascii="ITC Avant Garde" w:hAnsi="ITC Avant Garde"/>
          <w:b/>
          <w:color w:val="000000" w:themeColor="text1"/>
          <w:sz w:val="22"/>
          <w:szCs w:val="22"/>
        </w:rPr>
      </w:pPr>
      <w:r w:rsidRPr="003B64A4">
        <w:rPr>
          <w:rFonts w:ascii="ITC Avant Garde" w:hAnsi="ITC Avant Garde"/>
          <w:b/>
          <w:color w:val="000000" w:themeColor="text1"/>
          <w:sz w:val="22"/>
          <w:szCs w:val="22"/>
        </w:rPr>
        <w:t>ACUERDOS</w:t>
      </w:r>
    </w:p>
    <w:p w:rsidR="003B64A4" w:rsidRDefault="00F33910" w:rsidP="003B64A4">
      <w:pPr>
        <w:spacing w:before="240" w:after="240" w:line="276" w:lineRule="auto"/>
        <w:jc w:val="both"/>
        <w:rPr>
          <w:rFonts w:ascii="ITC Avant Garde" w:hAnsi="ITC Avant Garde" w:cs="Arial"/>
          <w:iCs/>
          <w:sz w:val="22"/>
          <w:szCs w:val="22"/>
          <w:lang w:eastAsia="en-US"/>
        </w:rPr>
      </w:pPr>
      <w:r>
        <w:rPr>
          <w:rFonts w:ascii="ITC Avant Garde" w:hAnsi="ITC Avant Garde"/>
          <w:b/>
          <w:bCs/>
          <w:sz w:val="22"/>
          <w:szCs w:val="22"/>
        </w:rPr>
        <w:t>PRIMERO</w:t>
      </w:r>
      <w:r w:rsidRPr="00E063AA">
        <w:rPr>
          <w:rFonts w:ascii="ITC Avant Garde" w:hAnsi="ITC Avant Garde"/>
          <w:b/>
          <w:bCs/>
          <w:sz w:val="22"/>
          <w:szCs w:val="22"/>
        </w:rPr>
        <w:t xml:space="preserve">.- </w:t>
      </w:r>
      <w:r w:rsidRPr="00E063AA">
        <w:rPr>
          <w:rFonts w:ascii="ITC Avant Garde" w:hAnsi="ITC Avant Garde"/>
          <w:bCs/>
          <w:sz w:val="22"/>
          <w:szCs w:val="22"/>
        </w:rPr>
        <w:t xml:space="preserve">Se admite a trámite la Solicitud de Resolución a efecto de que se proceda a resolver las condiciones, términos y tarifas materia del servicio </w:t>
      </w:r>
      <w:r>
        <w:rPr>
          <w:rFonts w:ascii="ITC Avant Garde" w:hAnsi="ITC Avant Garde"/>
          <w:bCs/>
          <w:sz w:val="22"/>
          <w:szCs w:val="22"/>
        </w:rPr>
        <w:t>para el Acceso y Uso Compartido de Infraestructura Pasiva</w:t>
      </w:r>
      <w:r w:rsidRPr="00E063AA">
        <w:rPr>
          <w:rFonts w:ascii="ITC Avant Garde" w:hAnsi="ITC Avant Garde"/>
          <w:bCs/>
          <w:sz w:val="22"/>
          <w:szCs w:val="22"/>
        </w:rPr>
        <w:t>, no convenidas entre la empresa</w:t>
      </w:r>
      <w:r w:rsidRPr="00BC7FD7">
        <w:rPr>
          <w:rFonts w:ascii="ITC Avant Garde" w:hAnsi="ITC Avant Garde" w:cs="Arial"/>
          <w:iCs/>
          <w:sz w:val="22"/>
          <w:szCs w:val="22"/>
          <w:lang w:eastAsia="en-US"/>
        </w:rPr>
        <w:t xml:space="preserve"> </w:t>
      </w:r>
      <w:r>
        <w:rPr>
          <w:rFonts w:ascii="ITC Avant Garde" w:hAnsi="ITC Avant Garde" w:cs="Arial"/>
          <w:iCs/>
          <w:sz w:val="22"/>
          <w:szCs w:val="22"/>
          <w:lang w:eastAsia="en-US"/>
        </w:rPr>
        <w:t xml:space="preserve">Cablevisión Red, S.A. de C.V. </w:t>
      </w:r>
      <w:r>
        <w:rPr>
          <w:rFonts w:ascii="ITC Avant Garde" w:hAnsi="ITC Avant Garde"/>
          <w:bCs/>
          <w:sz w:val="22"/>
          <w:szCs w:val="22"/>
        </w:rPr>
        <w:t>con la empresa</w:t>
      </w:r>
      <w:r w:rsidRPr="00E063AA">
        <w:rPr>
          <w:rFonts w:ascii="ITC Avant Garde" w:hAnsi="ITC Avant Garde"/>
          <w:bCs/>
          <w:sz w:val="22"/>
          <w:szCs w:val="22"/>
        </w:rPr>
        <w:t xml:space="preserve"> Teléfonos de México, S.A.B. de C.V. </w:t>
      </w:r>
    </w:p>
    <w:p w:rsidR="003B64A4" w:rsidRDefault="00F33910" w:rsidP="003B64A4">
      <w:pPr>
        <w:spacing w:before="240" w:after="240" w:line="276" w:lineRule="auto"/>
        <w:jc w:val="both"/>
        <w:rPr>
          <w:rFonts w:ascii="ITC Avant Garde" w:hAnsi="ITC Avant Garde"/>
          <w:bCs/>
          <w:sz w:val="22"/>
          <w:szCs w:val="22"/>
        </w:rPr>
      </w:pPr>
      <w:r>
        <w:rPr>
          <w:rFonts w:ascii="ITC Avant Garde" w:hAnsi="ITC Avant Garde"/>
          <w:b/>
          <w:bCs/>
          <w:sz w:val="22"/>
          <w:szCs w:val="22"/>
        </w:rPr>
        <w:t>SEGUNDO</w:t>
      </w:r>
      <w:r w:rsidRPr="00E063AA">
        <w:rPr>
          <w:rFonts w:ascii="ITC Avant Garde" w:hAnsi="ITC Avant Garde"/>
          <w:b/>
          <w:bCs/>
          <w:sz w:val="22"/>
          <w:szCs w:val="22"/>
        </w:rPr>
        <w:t>.-</w:t>
      </w:r>
      <w:r w:rsidRPr="00E063AA">
        <w:rPr>
          <w:rFonts w:ascii="ITC Avant Garde" w:hAnsi="ITC Avant Garde"/>
          <w:bCs/>
          <w:sz w:val="22"/>
          <w:szCs w:val="22"/>
        </w:rPr>
        <w:t xml:space="preserve"> Se ordena a Teléfonos de México, S.A.B. de C.V., otorgar a</w:t>
      </w:r>
      <w:r>
        <w:rPr>
          <w:rFonts w:ascii="ITC Avant Garde" w:hAnsi="ITC Avant Garde"/>
          <w:bCs/>
          <w:sz w:val="22"/>
          <w:szCs w:val="22"/>
        </w:rPr>
        <w:t xml:space="preserve"> la empresa </w:t>
      </w:r>
      <w:r>
        <w:rPr>
          <w:rFonts w:ascii="ITC Avant Garde" w:hAnsi="ITC Avant Garde" w:cs="Arial"/>
          <w:iCs/>
          <w:sz w:val="22"/>
          <w:szCs w:val="22"/>
          <w:lang w:eastAsia="en-US"/>
        </w:rPr>
        <w:t xml:space="preserve">Cablevisión Red, S.A. de C.V. </w:t>
      </w:r>
      <w:r w:rsidRPr="00E063AA">
        <w:rPr>
          <w:rFonts w:ascii="ITC Avant Garde" w:hAnsi="ITC Avant Garde"/>
          <w:bCs/>
          <w:sz w:val="22"/>
          <w:szCs w:val="22"/>
        </w:rPr>
        <w:t xml:space="preserve">los </w:t>
      </w:r>
      <w:r>
        <w:rPr>
          <w:rFonts w:ascii="ITC Avant Garde" w:hAnsi="ITC Avant Garde"/>
          <w:bCs/>
          <w:sz w:val="22"/>
          <w:szCs w:val="22"/>
        </w:rPr>
        <w:t xml:space="preserve">siguientes </w:t>
      </w:r>
      <w:r w:rsidRPr="00E063AA">
        <w:rPr>
          <w:rFonts w:ascii="ITC Avant Garde" w:hAnsi="ITC Avant Garde"/>
          <w:bCs/>
          <w:sz w:val="22"/>
          <w:szCs w:val="22"/>
        </w:rPr>
        <w:t>servicios</w:t>
      </w:r>
      <w:r>
        <w:rPr>
          <w:rFonts w:ascii="ITC Avant Garde" w:hAnsi="ITC Avant Garde"/>
          <w:bCs/>
          <w:sz w:val="22"/>
          <w:szCs w:val="22"/>
        </w:rPr>
        <w:t>:</w:t>
      </w:r>
    </w:p>
    <w:p w:rsidR="00F33910" w:rsidRPr="00CA73EF" w:rsidRDefault="00F33910" w:rsidP="003B64A4">
      <w:pPr>
        <w:pStyle w:val="IFTnormal"/>
        <w:numPr>
          <w:ilvl w:val="0"/>
          <w:numId w:val="3"/>
        </w:numPr>
        <w:spacing w:before="240" w:after="240"/>
      </w:pPr>
      <w:r w:rsidRPr="00CA73EF">
        <w:t>Servicio de acceso y uso compartido de torre.</w:t>
      </w:r>
    </w:p>
    <w:p w:rsidR="00F33910" w:rsidRPr="00CA73EF" w:rsidRDefault="00F33910" w:rsidP="003B64A4">
      <w:pPr>
        <w:pStyle w:val="IFTnormal"/>
        <w:numPr>
          <w:ilvl w:val="0"/>
          <w:numId w:val="3"/>
        </w:numPr>
        <w:spacing w:before="240" w:after="240"/>
      </w:pPr>
      <w:r w:rsidRPr="00CA73EF">
        <w:t>Servicio de uso de espacios físicos.</w:t>
      </w:r>
    </w:p>
    <w:p w:rsidR="00F33910" w:rsidRPr="00CA73EF" w:rsidRDefault="00F33910" w:rsidP="003B64A4">
      <w:pPr>
        <w:pStyle w:val="IFTnormal"/>
        <w:numPr>
          <w:ilvl w:val="0"/>
          <w:numId w:val="3"/>
        </w:numPr>
        <w:spacing w:before="240" w:after="240"/>
      </w:pPr>
      <w:r w:rsidRPr="00CA73EF">
        <w:t>Servicio de tendido de cable sobre la infraestructura desagregada.</w:t>
      </w:r>
    </w:p>
    <w:p w:rsidR="00F33910" w:rsidRPr="00CA73EF" w:rsidRDefault="00F33910" w:rsidP="003B64A4">
      <w:pPr>
        <w:pStyle w:val="IFTnormal"/>
        <w:numPr>
          <w:ilvl w:val="0"/>
          <w:numId w:val="3"/>
        </w:numPr>
        <w:spacing w:before="240" w:after="240"/>
      </w:pPr>
      <w:r w:rsidRPr="00CA73EF">
        <w:t>Canales ópticos de alta capacidad.</w:t>
      </w:r>
    </w:p>
    <w:p w:rsidR="00F33910" w:rsidRPr="00CA73EF" w:rsidRDefault="00F33910" w:rsidP="003B64A4">
      <w:pPr>
        <w:pStyle w:val="IFTnormal"/>
        <w:numPr>
          <w:ilvl w:val="0"/>
          <w:numId w:val="3"/>
        </w:numPr>
        <w:spacing w:before="240" w:after="240"/>
      </w:pPr>
      <w:r w:rsidRPr="00CA73EF">
        <w:t>Actividades de apoyo, tales como visitas técnicas, análisis de factibilidad e inspección.</w:t>
      </w:r>
    </w:p>
    <w:p w:rsidR="00F33910" w:rsidRPr="00CA73EF" w:rsidRDefault="00F33910" w:rsidP="003B64A4">
      <w:pPr>
        <w:pStyle w:val="IFTnormal"/>
        <w:numPr>
          <w:ilvl w:val="0"/>
          <w:numId w:val="3"/>
        </w:numPr>
        <w:spacing w:before="240" w:after="240"/>
      </w:pPr>
      <w:r w:rsidRPr="00CA73EF">
        <w:t>Trabajos especiales.</w:t>
      </w:r>
    </w:p>
    <w:p w:rsidR="003B64A4" w:rsidRDefault="00F33910" w:rsidP="003B64A4">
      <w:pPr>
        <w:spacing w:before="240" w:after="240" w:line="276" w:lineRule="auto"/>
        <w:jc w:val="both"/>
        <w:rPr>
          <w:rFonts w:ascii="ITC Avant Garde" w:hAnsi="ITC Avant Garde" w:cs="Arial"/>
          <w:iCs/>
          <w:sz w:val="22"/>
          <w:szCs w:val="22"/>
          <w:lang w:eastAsia="en-US"/>
        </w:rPr>
      </w:pPr>
      <w:r>
        <w:rPr>
          <w:rFonts w:ascii="ITC Avant Garde" w:hAnsi="ITC Avant Garde"/>
          <w:bCs/>
          <w:sz w:val="22"/>
          <w:szCs w:val="22"/>
        </w:rPr>
        <w:t xml:space="preserve">Los servicios anteriores, deben ser prestados en las localidades, rutas y/o ubicaciones que le sean solicitados </w:t>
      </w:r>
      <w:r w:rsidRPr="00E063AA">
        <w:rPr>
          <w:rFonts w:ascii="ITC Avant Garde" w:hAnsi="ITC Avant Garde"/>
          <w:bCs/>
          <w:sz w:val="22"/>
          <w:szCs w:val="22"/>
        </w:rPr>
        <w:t>con independencia de que el Instituto resuelva con posterioridad las tarifas respectivas en el presente procedimiento.</w:t>
      </w:r>
    </w:p>
    <w:p w:rsidR="003B64A4" w:rsidRDefault="00F33910" w:rsidP="003B64A4">
      <w:pPr>
        <w:spacing w:before="240" w:after="240" w:line="276" w:lineRule="auto"/>
        <w:jc w:val="both"/>
        <w:rPr>
          <w:rFonts w:ascii="ITC Avant Garde" w:hAnsi="ITC Avant Garde"/>
          <w:bCs/>
          <w:sz w:val="22"/>
          <w:szCs w:val="22"/>
        </w:rPr>
      </w:pPr>
      <w:r>
        <w:rPr>
          <w:rFonts w:ascii="ITC Avant Garde" w:hAnsi="ITC Avant Garde"/>
          <w:b/>
          <w:bCs/>
          <w:sz w:val="22"/>
          <w:szCs w:val="22"/>
        </w:rPr>
        <w:t>TERCERO</w:t>
      </w:r>
      <w:r w:rsidRPr="00E063AA">
        <w:rPr>
          <w:rFonts w:ascii="ITC Avant Garde" w:hAnsi="ITC Avant Garde"/>
          <w:b/>
          <w:bCs/>
          <w:sz w:val="22"/>
          <w:szCs w:val="22"/>
        </w:rPr>
        <w:t>.-</w:t>
      </w:r>
      <w:r w:rsidRPr="00E063AA">
        <w:rPr>
          <w:rFonts w:ascii="ITC Avant Garde" w:hAnsi="ITC Avant Garde"/>
          <w:bCs/>
          <w:sz w:val="22"/>
          <w:szCs w:val="22"/>
        </w:rPr>
        <w:t xml:space="preserve"> </w:t>
      </w:r>
      <w:r>
        <w:rPr>
          <w:rFonts w:ascii="ITC Avant Garde" w:hAnsi="ITC Avant Garde"/>
          <w:bCs/>
          <w:sz w:val="22"/>
          <w:szCs w:val="22"/>
        </w:rPr>
        <w:t xml:space="preserve">La empresa </w:t>
      </w:r>
      <w:r>
        <w:rPr>
          <w:rFonts w:ascii="ITC Avant Garde" w:hAnsi="ITC Avant Garde" w:cs="Arial"/>
          <w:iCs/>
          <w:sz w:val="22"/>
          <w:szCs w:val="22"/>
          <w:lang w:eastAsia="en-US"/>
        </w:rPr>
        <w:t xml:space="preserve">Cablevisión Red, S.A. de C.V., </w:t>
      </w:r>
      <w:r>
        <w:rPr>
          <w:rFonts w:ascii="ITC Avant Garde" w:hAnsi="ITC Avant Garde"/>
          <w:bCs/>
          <w:sz w:val="22"/>
          <w:szCs w:val="22"/>
        </w:rPr>
        <w:t xml:space="preserve">deberá constituir a favor de </w:t>
      </w:r>
      <w:r w:rsidRPr="00E063AA">
        <w:rPr>
          <w:rFonts w:ascii="ITC Avant Garde" w:hAnsi="ITC Avant Garde"/>
          <w:bCs/>
          <w:sz w:val="22"/>
          <w:szCs w:val="22"/>
        </w:rPr>
        <w:t xml:space="preserve">Teléfonos de México, S.A.B. de C.V. </w:t>
      </w:r>
      <w:r>
        <w:rPr>
          <w:rFonts w:ascii="ITC Avant Garde" w:hAnsi="ITC Avant Garde"/>
          <w:bCs/>
          <w:sz w:val="22"/>
          <w:szCs w:val="22"/>
        </w:rPr>
        <w:t xml:space="preserve">de manera mensual una fianza o depósito en garantía por un monto equivalente a la cantidad que resulte de la aplicación de las tarifas, términos y condiciones, incluyendo descuentos, previstos en convenios suscritos por el Agente Económico Preponderante </w:t>
      </w:r>
      <w:r w:rsidRPr="00B56B5A">
        <w:rPr>
          <w:rFonts w:ascii="ITC Avant Garde" w:hAnsi="ITC Avant Garde"/>
          <w:bCs/>
          <w:sz w:val="22"/>
          <w:szCs w:val="22"/>
        </w:rPr>
        <w:t xml:space="preserve">en el marco de la </w:t>
      </w:r>
      <w:r>
        <w:rPr>
          <w:rFonts w:ascii="ITC Avant Garde" w:hAnsi="ITC Avant Garde"/>
          <w:bCs/>
          <w:sz w:val="22"/>
          <w:szCs w:val="22"/>
        </w:rPr>
        <w:t>Oferta de Referencia para el Acceso y Uso Compartido de Infraestructura Pasiva, a efecto de garantizar el cumplimiento de sus obligaciones contractuales</w:t>
      </w:r>
      <w:r w:rsidRPr="00E063AA">
        <w:rPr>
          <w:rFonts w:ascii="ITC Avant Garde" w:hAnsi="ITC Avant Garde"/>
          <w:bCs/>
          <w:sz w:val="22"/>
          <w:szCs w:val="22"/>
        </w:rPr>
        <w:t xml:space="preserve">, y sin perjuicio de que </w:t>
      </w:r>
      <w:r w:rsidRPr="00E063AA">
        <w:rPr>
          <w:rFonts w:ascii="ITC Avant Garde" w:hAnsi="ITC Avant Garde"/>
          <w:bCs/>
          <w:sz w:val="22"/>
          <w:szCs w:val="22"/>
        </w:rPr>
        <w:lastRenderedPageBreak/>
        <w:t>las partes deban ajustarse a las condiciones, términos y tarifas que el Instituto determine en resolución definitiva.</w:t>
      </w:r>
    </w:p>
    <w:p w:rsidR="003B64A4" w:rsidRDefault="00F33910" w:rsidP="003B64A4">
      <w:pPr>
        <w:spacing w:before="240" w:after="240" w:line="276" w:lineRule="auto"/>
        <w:jc w:val="both"/>
        <w:rPr>
          <w:rFonts w:ascii="ITC Avant Garde" w:hAnsi="ITC Avant Garde"/>
          <w:bCs/>
          <w:sz w:val="22"/>
          <w:szCs w:val="22"/>
        </w:rPr>
      </w:pPr>
      <w:r>
        <w:rPr>
          <w:rFonts w:ascii="ITC Avant Garde" w:hAnsi="ITC Avant Garde"/>
          <w:bCs/>
          <w:sz w:val="22"/>
          <w:szCs w:val="22"/>
        </w:rPr>
        <w:t xml:space="preserve">Para efectos de lo anterior, </w:t>
      </w:r>
      <w:r w:rsidRPr="00E063AA">
        <w:rPr>
          <w:rFonts w:ascii="ITC Avant Garde" w:hAnsi="ITC Avant Garde"/>
          <w:bCs/>
          <w:sz w:val="22"/>
          <w:szCs w:val="22"/>
        </w:rPr>
        <w:t xml:space="preserve">Teléfonos de México, S.A.B. de C.V. </w:t>
      </w:r>
      <w:r>
        <w:rPr>
          <w:rFonts w:ascii="ITC Avant Garde" w:hAnsi="ITC Avant Garde"/>
          <w:bCs/>
          <w:sz w:val="22"/>
          <w:szCs w:val="22"/>
        </w:rPr>
        <w:t>notificará a la empresa Cablevisión Red, S.A. de C.V.</w:t>
      </w:r>
      <w:r>
        <w:rPr>
          <w:rFonts w:ascii="ITC Avant Garde" w:hAnsi="ITC Avant Garde" w:cs="Arial"/>
          <w:iCs/>
          <w:sz w:val="22"/>
          <w:szCs w:val="22"/>
          <w:lang w:eastAsia="en-US"/>
        </w:rPr>
        <w:t xml:space="preserve">, </w:t>
      </w:r>
      <w:r w:rsidRPr="00F94407">
        <w:rPr>
          <w:rFonts w:ascii="ITC Avant Garde" w:hAnsi="ITC Avant Garde" w:cs="Arial"/>
          <w:iCs/>
          <w:sz w:val="22"/>
          <w:szCs w:val="22"/>
          <w:lang w:eastAsia="en-US"/>
        </w:rPr>
        <w:t>el monto de los servicios prestados en el mes anterior que corresponda,</w:t>
      </w:r>
      <w:r>
        <w:rPr>
          <w:rFonts w:ascii="ITC Avant Garde" w:hAnsi="ITC Avant Garde" w:cs="Arial"/>
          <w:iCs/>
          <w:sz w:val="22"/>
          <w:szCs w:val="22"/>
          <w:lang w:eastAsia="en-US"/>
        </w:rPr>
        <w:t xml:space="preserve"> así como la forma de su determinación. Los concesionarios solicitantes contarán con un plazo de 10 días hábiles para constituir la garantía.</w:t>
      </w:r>
    </w:p>
    <w:p w:rsidR="003B64A4" w:rsidRDefault="00F33910" w:rsidP="003B64A4">
      <w:pPr>
        <w:spacing w:before="240" w:after="240" w:line="276" w:lineRule="auto"/>
        <w:jc w:val="both"/>
        <w:rPr>
          <w:rFonts w:ascii="ITC Avant Garde" w:hAnsi="ITC Avant Garde"/>
          <w:bCs/>
          <w:sz w:val="22"/>
          <w:szCs w:val="22"/>
        </w:rPr>
      </w:pPr>
      <w:r>
        <w:rPr>
          <w:rFonts w:ascii="ITC Avant Garde" w:hAnsi="ITC Avant Garde"/>
          <w:b/>
          <w:bCs/>
          <w:sz w:val="22"/>
          <w:szCs w:val="22"/>
        </w:rPr>
        <w:t>CUARTO</w:t>
      </w:r>
      <w:r w:rsidRPr="00BC37D8">
        <w:rPr>
          <w:rFonts w:ascii="ITC Avant Garde" w:hAnsi="ITC Avant Garde"/>
          <w:bCs/>
          <w:sz w:val="22"/>
          <w:szCs w:val="22"/>
        </w:rPr>
        <w:t xml:space="preserve">.- </w:t>
      </w:r>
      <w:r w:rsidR="00F37FBA" w:rsidRPr="00F37FBA">
        <w:rPr>
          <w:rFonts w:ascii="ITC Avant Garde" w:hAnsi="ITC Avant Garde"/>
          <w:bCs/>
          <w:sz w:val="22"/>
          <w:szCs w:val="22"/>
        </w:rPr>
        <w:t>En términos de los artículos 129 y 139 de la Ley Federal de Telecomunicaciones y Radiodifusión, con copia certificada de la Solicitud de Resolución y de la documentación adjunta a la misma, dese vista a Teléfonos de México, S.A.B. de C.V., para que en un plazo de cinco días hábiles contados a partir del día siguiente a que surta efectos legales su notificación, manifieste lo que a su derecho convenga e informe a este Instituto si existen condiciones que no ha podido convenir con la empresa Cablevisión Red, S.A. de C.V., y de ser el caso, señale expresamente en qué consisten dichas condiciones, fije su postura al respecto y ofrezca los elementos de prueba que estime pertinentes.</w:t>
      </w:r>
    </w:p>
    <w:p w:rsidR="003B64A4" w:rsidRDefault="00F33910" w:rsidP="003B64A4">
      <w:pPr>
        <w:spacing w:before="240" w:after="240" w:line="276" w:lineRule="auto"/>
        <w:jc w:val="both"/>
        <w:rPr>
          <w:rFonts w:ascii="ITC Avant Garde" w:hAnsi="ITC Avant Garde"/>
          <w:bCs/>
          <w:sz w:val="22"/>
          <w:szCs w:val="22"/>
        </w:rPr>
      </w:pPr>
      <w:r>
        <w:rPr>
          <w:rFonts w:ascii="ITC Avant Garde" w:hAnsi="ITC Avant Garde"/>
          <w:b/>
          <w:bCs/>
          <w:sz w:val="22"/>
          <w:szCs w:val="22"/>
        </w:rPr>
        <w:t>QUINTO</w:t>
      </w:r>
      <w:r w:rsidRPr="00BC7FD7">
        <w:rPr>
          <w:rFonts w:ascii="ITC Avant Garde" w:hAnsi="ITC Avant Garde"/>
          <w:b/>
          <w:bCs/>
          <w:sz w:val="22"/>
          <w:szCs w:val="22"/>
        </w:rPr>
        <w:t>.-</w:t>
      </w:r>
      <w:r>
        <w:rPr>
          <w:rFonts w:ascii="ITC Avant Garde" w:hAnsi="ITC Avant Garde"/>
          <w:bCs/>
          <w:sz w:val="22"/>
          <w:szCs w:val="22"/>
        </w:rPr>
        <w:t xml:space="preserve"> Se instruye a la Unidad de Política Regulatoria para que sustancie en lo subsecuente el presente procedimiento administrativo y proponga al Pleno la resolución correspondiente. </w:t>
      </w:r>
    </w:p>
    <w:p w:rsidR="003B64A4" w:rsidRDefault="00F33910" w:rsidP="003B64A4">
      <w:pPr>
        <w:spacing w:before="240" w:after="240" w:line="276" w:lineRule="auto"/>
        <w:jc w:val="both"/>
        <w:rPr>
          <w:rFonts w:ascii="ITC Avant Garde" w:hAnsi="ITC Avant Garde" w:cs="Arial"/>
          <w:sz w:val="22"/>
          <w:szCs w:val="22"/>
          <w:lang w:eastAsia="en-US"/>
        </w:rPr>
      </w:pPr>
      <w:r>
        <w:rPr>
          <w:rFonts w:ascii="ITC Avant Garde" w:hAnsi="ITC Avant Garde"/>
          <w:b/>
          <w:bCs/>
          <w:sz w:val="22"/>
          <w:szCs w:val="22"/>
        </w:rPr>
        <w:t>SEXTO</w:t>
      </w:r>
      <w:r w:rsidRPr="00CF3636">
        <w:rPr>
          <w:rFonts w:ascii="ITC Avant Garde" w:hAnsi="ITC Avant Garde"/>
          <w:b/>
          <w:bCs/>
          <w:sz w:val="22"/>
          <w:szCs w:val="22"/>
        </w:rPr>
        <w:t xml:space="preserve">.- </w:t>
      </w:r>
      <w:r w:rsidRPr="00CF3636">
        <w:rPr>
          <w:rFonts w:ascii="ITC Avant Garde" w:hAnsi="ITC Avant Garde" w:cs="Arial"/>
          <w:sz w:val="22"/>
          <w:szCs w:val="22"/>
          <w:lang w:eastAsia="en-US"/>
        </w:rPr>
        <w:t xml:space="preserve">Notifíquese personalmente a </w:t>
      </w:r>
      <w:r>
        <w:rPr>
          <w:rFonts w:ascii="ITC Avant Garde" w:hAnsi="ITC Avant Garde" w:cs="Arial"/>
          <w:sz w:val="22"/>
          <w:szCs w:val="22"/>
          <w:lang w:eastAsia="en-US"/>
        </w:rPr>
        <w:t>la empresa</w:t>
      </w:r>
      <w:r w:rsidRPr="00CF3636">
        <w:rPr>
          <w:rFonts w:ascii="ITC Avant Garde" w:hAnsi="ITC Avant Garde" w:cs="Arial"/>
          <w:sz w:val="22"/>
          <w:szCs w:val="22"/>
          <w:lang w:eastAsia="en-US"/>
        </w:rPr>
        <w:t xml:space="preserve"> </w:t>
      </w:r>
      <w:r w:rsidRPr="00CF3636">
        <w:rPr>
          <w:rFonts w:ascii="ITC Avant Garde" w:hAnsi="ITC Avant Garde"/>
          <w:sz w:val="22"/>
          <w:szCs w:val="22"/>
          <w:lang w:eastAsia="en-US"/>
        </w:rPr>
        <w:t xml:space="preserve">Teléfonos de México, S.A.B. de C.V., </w:t>
      </w:r>
      <w:r>
        <w:rPr>
          <w:rFonts w:ascii="ITC Avant Garde" w:hAnsi="ITC Avant Garde" w:cs="Arial"/>
          <w:sz w:val="22"/>
          <w:szCs w:val="22"/>
          <w:lang w:eastAsia="en-US"/>
        </w:rPr>
        <w:t>y</w:t>
      </w:r>
      <w:r>
        <w:rPr>
          <w:rFonts w:ascii="ITC Avant Garde" w:hAnsi="ITC Avant Garde" w:cs="Arial"/>
          <w:bCs/>
          <w:sz w:val="22"/>
          <w:szCs w:val="22"/>
          <w:lang w:eastAsia="en-US"/>
        </w:rPr>
        <w:t xml:space="preserve"> la empresa </w:t>
      </w:r>
      <w:r>
        <w:rPr>
          <w:rFonts w:ascii="ITC Avant Garde" w:hAnsi="ITC Avant Garde" w:cs="Arial"/>
          <w:iCs/>
          <w:sz w:val="22"/>
          <w:szCs w:val="22"/>
          <w:lang w:eastAsia="en-US"/>
        </w:rPr>
        <w:t xml:space="preserve">Cablevisión Red, S.A. de C.V. </w:t>
      </w:r>
      <w:r w:rsidRPr="00CF3636">
        <w:rPr>
          <w:rFonts w:ascii="ITC Avant Garde" w:hAnsi="ITC Avant Garde" w:cs="Arial"/>
          <w:bCs/>
          <w:sz w:val="22"/>
          <w:szCs w:val="22"/>
          <w:lang w:eastAsia="en-US"/>
        </w:rPr>
        <w:t>el</w:t>
      </w:r>
      <w:r w:rsidRPr="00CF3636">
        <w:rPr>
          <w:rFonts w:ascii="ITC Avant Garde" w:hAnsi="ITC Avant Garde" w:cs="Arial"/>
          <w:sz w:val="22"/>
          <w:szCs w:val="22"/>
          <w:lang w:eastAsia="en-US"/>
        </w:rPr>
        <w:t xml:space="preserve"> </w:t>
      </w:r>
      <w:r>
        <w:rPr>
          <w:rFonts w:ascii="ITC Avant Garde" w:hAnsi="ITC Avant Garde" w:cs="Arial"/>
          <w:sz w:val="22"/>
          <w:szCs w:val="22"/>
          <w:lang w:eastAsia="en-US"/>
        </w:rPr>
        <w:t>presente Acuerdo</w:t>
      </w:r>
      <w:r w:rsidRPr="00CF3636">
        <w:rPr>
          <w:rFonts w:ascii="ITC Avant Garde" w:hAnsi="ITC Avant Garde" w:cs="Arial"/>
          <w:sz w:val="22"/>
          <w:szCs w:val="22"/>
          <w:lang w:eastAsia="en-US"/>
        </w:rPr>
        <w:t>.</w:t>
      </w:r>
    </w:p>
    <w:p w:rsidR="003B64A4" w:rsidRDefault="005E4373" w:rsidP="003B64A4">
      <w:pPr>
        <w:pStyle w:val="Prrafodelista"/>
        <w:spacing w:before="240" w:after="240" w:line="240" w:lineRule="auto"/>
        <w:ind w:left="0"/>
        <w:jc w:val="both"/>
        <w:rPr>
          <w:rFonts w:ascii="ITC Avant Garde" w:hAnsi="ITC Avant Garde"/>
          <w:sz w:val="14"/>
          <w:szCs w:val="20"/>
          <w:lang w:val="es-ES_tradnl"/>
        </w:rPr>
      </w:pPr>
      <w:r w:rsidRPr="005E4373">
        <w:rPr>
          <w:rFonts w:ascii="ITC Avant Garde" w:hAnsi="ITC Avant Garde"/>
          <w:sz w:val="14"/>
          <w:szCs w:val="20"/>
        </w:rPr>
        <w:t>El presente Acuerdo fue aprobado por el Pleno del Instituto Federal de Telecomunicaciones en su XVI Sesión Extraordinaria celebrada el 4 de noviembre</w:t>
      </w:r>
      <w:r w:rsidRPr="005E4373">
        <w:rPr>
          <w:rFonts w:ascii="ITC Avant Garde" w:hAnsi="ITC Avant Garde"/>
          <w:sz w:val="14"/>
          <w:szCs w:val="20"/>
          <w:lang w:val="es-ES_tradnl"/>
        </w:rPr>
        <w:t xml:space="preserv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P/IFT/EXT/041116/30. </w:t>
      </w:r>
    </w:p>
    <w:p w:rsidR="005E4373" w:rsidRDefault="005E4373" w:rsidP="003B64A4">
      <w:pPr>
        <w:pStyle w:val="Prrafodelista"/>
        <w:spacing w:before="240" w:after="240" w:line="240" w:lineRule="auto"/>
        <w:ind w:left="0"/>
        <w:jc w:val="both"/>
        <w:rPr>
          <w:rFonts w:ascii="ITC Avant Garde" w:hAnsi="ITC Avant Garde"/>
          <w:bCs/>
        </w:rPr>
      </w:pPr>
      <w:r w:rsidRPr="005E4373">
        <w:rPr>
          <w:rFonts w:ascii="ITC Avant Garde" w:hAnsi="ITC Avant Garde"/>
          <w:sz w:val="14"/>
          <w:szCs w:val="20"/>
        </w:rPr>
        <w:t>La Comisionada Adriana Sofía Labardini Inzunza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5E4373" w:rsidSect="00F33910">
      <w:footerReference w:type="default" r:id="rId10"/>
      <w:pgSz w:w="12240" w:h="15840"/>
      <w:pgMar w:top="2127" w:right="1701" w:bottom="2127" w:left="1701" w:header="709" w:footer="7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D6C" w:rsidRDefault="00591D6C" w:rsidP="00F33910">
      <w:r>
        <w:separator/>
      </w:r>
    </w:p>
  </w:endnote>
  <w:endnote w:type="continuationSeparator" w:id="0">
    <w:p w:rsidR="00591D6C" w:rsidRDefault="00591D6C" w:rsidP="00F3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6D5" w:rsidRDefault="00F33910" w:rsidP="002456D5">
    <w:pPr>
      <w:pStyle w:val="Piedepgina"/>
      <w:jc w:val="right"/>
    </w:pPr>
    <w:r>
      <w:fldChar w:fldCharType="begin"/>
    </w:r>
    <w:r>
      <w:instrText xml:space="preserve"> PAGE   \* MERGEFORMAT </w:instrText>
    </w:r>
    <w:r>
      <w:fldChar w:fldCharType="separate"/>
    </w:r>
    <w:r w:rsidR="003B64A4">
      <w:rPr>
        <w:noProof/>
      </w:rPr>
      <w:t>2</w:t>
    </w:r>
    <w:r>
      <w:fldChar w:fldCharType="end"/>
    </w:r>
    <w:r>
      <w:t>/</w:t>
    </w:r>
    <w:r>
      <w:fldChar w:fldCharType="begin"/>
    </w:r>
    <w:r>
      <w:instrText xml:space="preserve"> NEXT  \* MERGEFORMAT </w:instrText>
    </w:r>
    <w:r>
      <w:fldChar w:fldCharType="end"/>
    </w:r>
    <w:r w:rsidR="00591D6C">
      <w:fldChar w:fldCharType="begin"/>
    </w:r>
    <w:r w:rsidR="00591D6C">
      <w:instrText xml:space="preserve"> NUMPAGES   \* MERGEFORMAT </w:instrText>
    </w:r>
    <w:r w:rsidR="00591D6C">
      <w:fldChar w:fldCharType="separate"/>
    </w:r>
    <w:r w:rsidR="003B64A4">
      <w:rPr>
        <w:noProof/>
      </w:rPr>
      <w:t>10</w:t>
    </w:r>
    <w:r w:rsidR="00591D6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D6C" w:rsidRDefault="00591D6C" w:rsidP="00F33910">
      <w:r>
        <w:separator/>
      </w:r>
    </w:p>
  </w:footnote>
  <w:footnote w:type="continuationSeparator" w:id="0">
    <w:p w:rsidR="00591D6C" w:rsidRDefault="00591D6C" w:rsidP="00F33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71BB7"/>
    <w:multiLevelType w:val="hybridMultilevel"/>
    <w:tmpl w:val="E96EAD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B171DE2"/>
    <w:multiLevelType w:val="hybridMultilevel"/>
    <w:tmpl w:val="E96EAD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4AD03C5"/>
    <w:multiLevelType w:val="hybridMultilevel"/>
    <w:tmpl w:val="E96EAD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910"/>
    <w:rsid w:val="003B64A4"/>
    <w:rsid w:val="00591D6C"/>
    <w:rsid w:val="005E4373"/>
    <w:rsid w:val="007F5026"/>
    <w:rsid w:val="00E54B36"/>
    <w:rsid w:val="00F33910"/>
    <w:rsid w:val="00F37F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73A76C-445D-48B5-9B2D-8B14A309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910"/>
    <w:pPr>
      <w:spacing w:after="0" w:line="240" w:lineRule="auto"/>
    </w:pPr>
    <w:rPr>
      <w:rFonts w:ascii="Calibri" w:eastAsia="Calibri" w:hAnsi="Calibri" w:cs="Times New Roman"/>
      <w:sz w:val="20"/>
      <w:szCs w:val="20"/>
      <w:lang w:eastAsia="es-MX"/>
    </w:rPr>
  </w:style>
  <w:style w:type="paragraph" w:styleId="Ttulo1">
    <w:name w:val="heading 1"/>
    <w:basedOn w:val="Normal"/>
    <w:next w:val="Normal"/>
    <w:link w:val="Ttulo1Car"/>
    <w:uiPriority w:val="9"/>
    <w:qFormat/>
    <w:rsid w:val="00F339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B64A4"/>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3910"/>
    <w:pPr>
      <w:tabs>
        <w:tab w:val="center" w:pos="4419"/>
        <w:tab w:val="right" w:pos="8838"/>
      </w:tabs>
    </w:pPr>
  </w:style>
  <w:style w:type="character" w:customStyle="1" w:styleId="EncabezadoCar">
    <w:name w:val="Encabezado Car"/>
    <w:basedOn w:val="Fuentedeprrafopredeter"/>
    <w:link w:val="Encabezado"/>
    <w:uiPriority w:val="99"/>
    <w:rsid w:val="00F33910"/>
    <w:rPr>
      <w:rFonts w:ascii="Calibri" w:eastAsia="Calibri" w:hAnsi="Calibri" w:cs="Times New Roman"/>
      <w:sz w:val="20"/>
      <w:szCs w:val="20"/>
      <w:lang w:eastAsia="es-MX"/>
    </w:rPr>
  </w:style>
  <w:style w:type="paragraph" w:styleId="Piedepgina">
    <w:name w:val="footer"/>
    <w:basedOn w:val="Normal"/>
    <w:link w:val="PiedepginaCar"/>
    <w:uiPriority w:val="99"/>
    <w:unhideWhenUsed/>
    <w:rsid w:val="00F33910"/>
    <w:pPr>
      <w:tabs>
        <w:tab w:val="center" w:pos="4419"/>
        <w:tab w:val="right" w:pos="8838"/>
      </w:tabs>
    </w:pPr>
  </w:style>
  <w:style w:type="character" w:customStyle="1" w:styleId="PiedepginaCar">
    <w:name w:val="Pie de página Car"/>
    <w:basedOn w:val="Fuentedeprrafopredeter"/>
    <w:link w:val="Piedepgina"/>
    <w:uiPriority w:val="99"/>
    <w:rsid w:val="00F33910"/>
    <w:rPr>
      <w:rFonts w:ascii="Calibri" w:eastAsia="Calibri" w:hAnsi="Calibri" w:cs="Times New Roman"/>
      <w:sz w:val="20"/>
      <w:szCs w:val="20"/>
      <w:lang w:eastAsia="es-MX"/>
    </w:rPr>
  </w:style>
  <w:style w:type="paragraph" w:customStyle="1" w:styleId="IFTnormal">
    <w:name w:val="IFT normal"/>
    <w:basedOn w:val="Normal"/>
    <w:link w:val="IFTnormalCar"/>
    <w:qFormat/>
    <w:rsid w:val="00F33910"/>
    <w:pPr>
      <w:spacing w:after="200" w:line="276" w:lineRule="auto"/>
      <w:jc w:val="both"/>
    </w:pPr>
    <w:rPr>
      <w:rFonts w:ascii="ITC Avant Garde" w:hAnsi="ITC Avant Garde" w:cs="Arial"/>
      <w:color w:val="000000"/>
      <w:sz w:val="22"/>
      <w:szCs w:val="22"/>
      <w:lang w:val="es-ES_tradnl" w:eastAsia="es-ES"/>
    </w:rPr>
  </w:style>
  <w:style w:type="character" w:customStyle="1" w:styleId="IFTnormalCar">
    <w:name w:val="IFT normal Car"/>
    <w:basedOn w:val="Fuentedeprrafopredeter"/>
    <w:link w:val="IFTnormal"/>
    <w:qFormat/>
    <w:rsid w:val="00F33910"/>
    <w:rPr>
      <w:rFonts w:ascii="ITC Avant Garde" w:eastAsia="Calibri" w:hAnsi="ITC Avant Garde" w:cs="Arial"/>
      <w:color w:val="000000"/>
      <w:lang w:val="es-ES_tradnl" w:eastAsia="es-ES"/>
    </w:rPr>
  </w:style>
  <w:style w:type="paragraph" w:customStyle="1" w:styleId="N1IFT">
    <w:name w:val="N1 IFT"/>
    <w:basedOn w:val="Ttulo1"/>
    <w:link w:val="N1IFTCar"/>
    <w:autoRedefine/>
    <w:qFormat/>
    <w:rsid w:val="00F33910"/>
    <w:pPr>
      <w:keepNext w:val="0"/>
      <w:keepLines w:val="0"/>
      <w:spacing w:before="0" w:after="200" w:line="276" w:lineRule="auto"/>
      <w:jc w:val="both"/>
    </w:pPr>
    <w:rPr>
      <w:rFonts w:ascii="ITC Avant Garde" w:eastAsia="Calibri" w:hAnsi="ITC Avant Garde" w:cs="Arial"/>
      <w:b/>
      <w:snapToGrid w:val="0"/>
      <w:color w:val="000000"/>
      <w:sz w:val="22"/>
      <w:szCs w:val="22"/>
      <w:lang w:val="es-ES" w:eastAsia="es-ES"/>
    </w:rPr>
  </w:style>
  <w:style w:type="character" w:customStyle="1" w:styleId="N1IFTCar">
    <w:name w:val="N1 IFT Car"/>
    <w:basedOn w:val="Fuentedeprrafopredeter"/>
    <w:link w:val="N1IFT"/>
    <w:rsid w:val="00F33910"/>
    <w:rPr>
      <w:rFonts w:ascii="ITC Avant Garde" w:eastAsia="Calibri" w:hAnsi="ITC Avant Garde" w:cs="Arial"/>
      <w:b/>
      <w:snapToGrid w:val="0"/>
      <w:color w:val="000000"/>
      <w:lang w:val="es-ES" w:eastAsia="es-ES"/>
    </w:rPr>
  </w:style>
  <w:style w:type="character" w:styleId="Hipervnculo">
    <w:name w:val="Hyperlink"/>
    <w:basedOn w:val="Fuentedeprrafopredeter"/>
    <w:uiPriority w:val="99"/>
    <w:unhideWhenUsed/>
    <w:rsid w:val="00F33910"/>
    <w:rPr>
      <w:color w:val="0563C1" w:themeColor="hyperlink"/>
      <w:u w:val="single"/>
    </w:rPr>
  </w:style>
  <w:style w:type="character" w:customStyle="1" w:styleId="Ttulo1Car">
    <w:name w:val="Título 1 Car"/>
    <w:basedOn w:val="Fuentedeprrafopredeter"/>
    <w:link w:val="Ttulo1"/>
    <w:uiPriority w:val="9"/>
    <w:rsid w:val="00F33910"/>
    <w:rPr>
      <w:rFonts w:asciiTheme="majorHAnsi" w:eastAsiaTheme="majorEastAsia" w:hAnsiTheme="majorHAnsi" w:cstheme="majorBidi"/>
      <w:color w:val="2E74B5" w:themeColor="accent1" w:themeShade="BF"/>
      <w:sz w:val="32"/>
      <w:szCs w:val="32"/>
      <w:lang w:eastAsia="es-MX"/>
    </w:rPr>
  </w:style>
  <w:style w:type="paragraph" w:styleId="Prrafodelista">
    <w:name w:val="List Paragraph"/>
    <w:basedOn w:val="Normal"/>
    <w:uiPriority w:val="34"/>
    <w:qFormat/>
    <w:rsid w:val="005E4373"/>
    <w:pPr>
      <w:spacing w:after="160" w:line="252" w:lineRule="auto"/>
      <w:ind w:left="720"/>
      <w:contextualSpacing/>
    </w:pPr>
    <w:rPr>
      <w:rFonts w:eastAsiaTheme="minorHAnsi"/>
      <w:sz w:val="22"/>
      <w:szCs w:val="22"/>
      <w:lang w:eastAsia="en-US"/>
    </w:rPr>
  </w:style>
  <w:style w:type="paragraph" w:styleId="Textodeglobo">
    <w:name w:val="Balloon Text"/>
    <w:basedOn w:val="Normal"/>
    <w:link w:val="TextodegloboCar"/>
    <w:uiPriority w:val="99"/>
    <w:semiHidden/>
    <w:unhideWhenUsed/>
    <w:rsid w:val="007F50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5026"/>
    <w:rPr>
      <w:rFonts w:ascii="Segoe UI" w:eastAsia="Calibri" w:hAnsi="Segoe UI" w:cs="Segoe UI"/>
      <w:sz w:val="18"/>
      <w:szCs w:val="18"/>
      <w:lang w:eastAsia="es-MX"/>
    </w:rPr>
  </w:style>
  <w:style w:type="character" w:customStyle="1" w:styleId="Ttulo2Car">
    <w:name w:val="Título 2 Car"/>
    <w:basedOn w:val="Fuentedeprrafopredeter"/>
    <w:link w:val="Ttulo2"/>
    <w:uiPriority w:val="9"/>
    <w:rsid w:val="003B64A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08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ERS@telmex.com" TargetMode="External"/><Relationship Id="rId3" Type="http://schemas.openxmlformats.org/officeDocument/2006/relationships/settings" Target="settings.xml"/><Relationship Id="rId7" Type="http://schemas.openxmlformats.org/officeDocument/2006/relationships/hyperlink" Target="mailto:COMPERS@telmex.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ERS@telmex.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3573</Words>
  <Characters>19656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Ameneyro Tapia</dc:creator>
  <cp:keywords/>
  <dc:description/>
  <cp:lastModifiedBy>Maria del Consuelo Gonzalez Moreno</cp:lastModifiedBy>
  <cp:revision>6</cp:revision>
  <cp:lastPrinted>2016-11-14T23:36:00Z</cp:lastPrinted>
  <dcterms:created xsi:type="dcterms:W3CDTF">2016-11-08T17:58:00Z</dcterms:created>
  <dcterms:modified xsi:type="dcterms:W3CDTF">2017-04-04T16:11:00Z</dcterms:modified>
</cp:coreProperties>
</file>