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42134" w14:textId="474A01EF" w:rsidR="006D40A8" w:rsidRPr="00195138" w:rsidRDefault="00195138" w:rsidP="00195138">
      <w:pPr>
        <w:keepNext/>
        <w:spacing w:after="0"/>
        <w:jc w:val="both"/>
        <w:outlineLvl w:val="1"/>
        <w:rPr>
          <w:rFonts w:ascii="ITC Avant Garde" w:eastAsia="Times New Roman" w:hAnsi="ITC Avant Garde"/>
          <w:b/>
          <w:bCs/>
          <w:lang w:val="es-ES" w:eastAsia="es-ES"/>
        </w:rPr>
      </w:pPr>
      <w:r w:rsidRPr="00195138">
        <w:rPr>
          <w:rFonts w:ascii="ITC Avant Garde" w:eastAsia="Times New Roman" w:hAnsi="ITC Avant Garde"/>
          <w:b/>
          <w:bCs/>
          <w:lang w:val="es-ES" w:eastAsia="es-ES"/>
        </w:rPr>
        <w:t xml:space="preserve">ACUERDO MEDIANTE EL CUAL EL PLENO DEL INSTITUTO FEDERAL DE TELECOMUNICACIONES EMITE OPINIÓN SOBRE LOS ANTEPROYECTOS DE “CRITERIOS TÉCNICOS DE LA COMISIÓN FEDERAL DE COMPETENCIA ECONÓMICA PARA LA SOLICITUD Y EMISIÓN DE MEDIDAS CAUTELARES, ASÍ COMO PARA LA FIJACIÓN DE CAUCIONES” Y “GUÍA </w:t>
      </w:r>
      <w:r w:rsidR="00175FEA" w:rsidRPr="00195138">
        <w:rPr>
          <w:rFonts w:ascii="ITC Avant Garde" w:eastAsia="Times New Roman" w:hAnsi="ITC Avant Garde"/>
          <w:b/>
          <w:bCs/>
          <w:lang w:val="es-ES" w:eastAsia="es-ES"/>
        </w:rPr>
        <w:t>PARA TRAMITAR UN PROCEDIMIENTO DE INVESTIGACIÓN POR PRÁCTICAS MONOPÓLICAS ABSOLUTAS</w:t>
      </w:r>
      <w:r w:rsidR="001154DC" w:rsidRPr="00195138">
        <w:rPr>
          <w:rFonts w:ascii="ITC Avant Garde" w:eastAsia="Times New Roman" w:hAnsi="ITC Avant Garde"/>
          <w:b/>
          <w:bCs/>
          <w:lang w:val="es-ES" w:eastAsia="es-ES"/>
        </w:rPr>
        <w:t>”</w:t>
      </w:r>
      <w:r w:rsidR="000F7B7D" w:rsidRPr="00195138">
        <w:rPr>
          <w:rFonts w:ascii="ITC Avant Garde" w:eastAsia="Times New Roman" w:hAnsi="ITC Avant Garde"/>
          <w:b/>
          <w:bCs/>
          <w:lang w:val="es-ES" w:eastAsia="es-ES"/>
        </w:rPr>
        <w:t>,</w:t>
      </w:r>
      <w:r w:rsidR="001154DC" w:rsidRPr="00195138">
        <w:rPr>
          <w:rFonts w:ascii="ITC Avant Garde" w:eastAsia="Times New Roman" w:hAnsi="ITC Avant Garde"/>
          <w:b/>
          <w:bCs/>
          <w:lang w:val="es-ES" w:eastAsia="es-ES"/>
        </w:rPr>
        <w:t xml:space="preserve"> </w:t>
      </w:r>
      <w:r w:rsidR="00432E38" w:rsidRPr="00195138">
        <w:rPr>
          <w:rFonts w:ascii="ITC Avant Garde" w:eastAsia="Times New Roman" w:hAnsi="ITC Avant Garde"/>
          <w:b/>
          <w:bCs/>
          <w:lang w:val="es-ES" w:eastAsia="es-ES"/>
        </w:rPr>
        <w:t>PUBLICADOS</w:t>
      </w:r>
      <w:r w:rsidR="006D40A8" w:rsidRPr="00195138">
        <w:rPr>
          <w:rFonts w:ascii="ITC Avant Garde" w:eastAsia="Times New Roman" w:hAnsi="ITC Avant Garde"/>
          <w:b/>
          <w:bCs/>
          <w:lang w:val="es-ES" w:eastAsia="es-ES"/>
        </w:rPr>
        <w:t xml:space="preserve"> POR LA COMISIÓN FEDERAL DE COMPETENCIA ECONÓMICA</w:t>
      </w:r>
      <w:r w:rsidR="00432E38" w:rsidRPr="00195138">
        <w:rPr>
          <w:rFonts w:ascii="ITC Avant Garde" w:eastAsia="Times New Roman" w:hAnsi="ITC Avant Garde"/>
          <w:b/>
          <w:bCs/>
          <w:lang w:val="es-ES" w:eastAsia="es-ES"/>
        </w:rPr>
        <w:t>.</w:t>
      </w:r>
    </w:p>
    <w:p w14:paraId="50B0B49C" w14:textId="77777777" w:rsidR="00BE4494" w:rsidRPr="00195138" w:rsidRDefault="00BE4494" w:rsidP="00E47AD5">
      <w:pPr>
        <w:pStyle w:val="Encabezado"/>
        <w:spacing w:line="288" w:lineRule="auto"/>
        <w:jc w:val="both"/>
        <w:rPr>
          <w:rFonts w:ascii="ITC Avant Garde" w:hAnsi="ITC Avant Garde"/>
          <w:b/>
          <w:caps/>
        </w:rPr>
      </w:pPr>
    </w:p>
    <w:p w14:paraId="557AAC4B" w14:textId="77777777" w:rsidR="006D40A8" w:rsidRPr="00195138" w:rsidRDefault="006D40A8" w:rsidP="00195138">
      <w:pPr>
        <w:pStyle w:val="Ttulo3"/>
        <w:keepNext w:val="0"/>
        <w:widowControl w:val="0"/>
        <w:numPr>
          <w:ilvl w:val="0"/>
          <w:numId w:val="3"/>
        </w:numPr>
        <w:spacing w:line="276" w:lineRule="auto"/>
        <w:ind w:left="0" w:firstLine="0"/>
        <w:jc w:val="center"/>
      </w:pPr>
      <w:r w:rsidRPr="00195138">
        <w:rPr>
          <w:rFonts w:ascii="ITC Avant Garde" w:hAnsi="ITC Avant Garde" w:cs="Times New Roman"/>
          <w:szCs w:val="22"/>
        </w:rPr>
        <w:t>ANTECEDENTES</w:t>
      </w:r>
    </w:p>
    <w:p w14:paraId="495B81B4" w14:textId="77777777" w:rsidR="00BE4494" w:rsidRPr="00195138" w:rsidRDefault="00BE4494" w:rsidP="00175FEA">
      <w:pPr>
        <w:pStyle w:val="Cuerpodeltexto0"/>
        <w:shd w:val="clear" w:color="auto" w:fill="auto"/>
        <w:spacing w:before="0" w:after="0" w:line="288" w:lineRule="auto"/>
        <w:ind w:right="40" w:firstLine="0"/>
        <w:jc w:val="both"/>
        <w:rPr>
          <w:rFonts w:ascii="ITC Avant Garde" w:hAnsi="ITC Avant Garde"/>
          <w:b/>
          <w:sz w:val="22"/>
          <w:szCs w:val="22"/>
        </w:rPr>
      </w:pPr>
    </w:p>
    <w:p w14:paraId="5E30A25E" w14:textId="2EC7FE29" w:rsidR="00785FCC" w:rsidRPr="00195138" w:rsidRDefault="00175FEA" w:rsidP="00175FEA">
      <w:pPr>
        <w:pStyle w:val="Cuerpodeltexto0"/>
        <w:shd w:val="clear" w:color="auto" w:fill="auto"/>
        <w:spacing w:before="0" w:after="0" w:line="288" w:lineRule="auto"/>
        <w:ind w:right="40" w:firstLine="0"/>
        <w:jc w:val="both"/>
        <w:rPr>
          <w:rFonts w:ascii="ITC Avant Garde" w:eastAsia="Calibri" w:hAnsi="ITC Avant Garde" w:cstheme="majorBidi"/>
          <w:bCs/>
          <w:sz w:val="22"/>
          <w:szCs w:val="22"/>
          <w:lang w:val="es-ES"/>
        </w:rPr>
      </w:pPr>
      <w:r w:rsidRPr="00195138">
        <w:rPr>
          <w:rFonts w:ascii="ITC Avant Garde" w:hAnsi="ITC Avant Garde"/>
          <w:b/>
          <w:sz w:val="22"/>
          <w:szCs w:val="22"/>
        </w:rPr>
        <w:t xml:space="preserve">PRIMERO. </w:t>
      </w:r>
      <w:r w:rsidRPr="00195138">
        <w:rPr>
          <w:rFonts w:ascii="ITC Avant Garde" w:hAnsi="ITC Avant Garde"/>
          <w:sz w:val="22"/>
          <w:szCs w:val="22"/>
        </w:rPr>
        <w:t xml:space="preserve">El </w:t>
      </w:r>
      <w:r w:rsidR="009A14B0" w:rsidRPr="00195138">
        <w:rPr>
          <w:rFonts w:ascii="ITC Avant Garde" w:hAnsi="ITC Avant Garde"/>
          <w:noProof/>
          <w:sz w:val="22"/>
          <w:szCs w:val="22"/>
        </w:rPr>
        <w:t xml:space="preserve">veintidós </w:t>
      </w:r>
      <w:r w:rsidRPr="00195138">
        <w:rPr>
          <w:rFonts w:ascii="ITC Avant Garde" w:hAnsi="ITC Avant Garde"/>
          <w:noProof/>
          <w:sz w:val="22"/>
          <w:szCs w:val="22"/>
        </w:rPr>
        <w:t>de septiembre de dos mil quince</w:t>
      </w:r>
      <w:r w:rsidRPr="00195138">
        <w:rPr>
          <w:rFonts w:ascii="ITC Avant Garde" w:hAnsi="ITC Avant Garde"/>
          <w:sz w:val="22"/>
          <w:szCs w:val="22"/>
        </w:rPr>
        <w:t xml:space="preserve">, la Comisión Federal de Competencia Económica (COFECE) solicitó, mediante Oficio No. </w:t>
      </w:r>
      <w:r w:rsidRPr="00195138">
        <w:rPr>
          <w:rFonts w:ascii="ITC Avant Garde" w:hAnsi="ITC Avant Garde"/>
          <w:noProof/>
          <w:sz w:val="22"/>
          <w:szCs w:val="22"/>
        </w:rPr>
        <w:t>ST-CFCE-2015-267</w:t>
      </w:r>
      <w:r w:rsidRPr="00195138">
        <w:rPr>
          <w:rFonts w:ascii="ITC Avant Garde" w:hAnsi="ITC Avant Garde"/>
          <w:sz w:val="22"/>
          <w:szCs w:val="22"/>
        </w:rPr>
        <w:t xml:space="preserve">, la opinión de este Instituto Federal de Telecomunicaciones (Instituto) respecto </w:t>
      </w:r>
      <w:r w:rsidRPr="00195138">
        <w:rPr>
          <w:rFonts w:ascii="ITC Avant Garde" w:eastAsia="Calibri" w:hAnsi="ITC Avant Garde" w:cstheme="majorBidi"/>
          <w:bCs/>
          <w:sz w:val="22"/>
          <w:szCs w:val="22"/>
        </w:rPr>
        <w:t xml:space="preserve">al </w:t>
      </w:r>
      <w:r w:rsidRPr="00195138">
        <w:rPr>
          <w:rFonts w:ascii="ITC Avant Garde" w:eastAsia="Calibri" w:hAnsi="ITC Avant Garde" w:cstheme="majorBidi"/>
          <w:bCs/>
          <w:sz w:val="22"/>
          <w:szCs w:val="22"/>
          <w:lang w:val="es-ES"/>
        </w:rPr>
        <w:t>Anteproyecto de “Criterios Técnicos de la Comisión Federal de Competencia Económica Para la Solicitud y Emisión de Medidas Cautelares, así como para la Fijación de Cauciones”</w:t>
      </w:r>
      <w:r w:rsidR="00785FCC" w:rsidRPr="00195138">
        <w:rPr>
          <w:rFonts w:ascii="ITC Avant Garde" w:eastAsia="Calibri" w:hAnsi="ITC Avant Garde" w:cstheme="majorBidi"/>
          <w:bCs/>
          <w:sz w:val="22"/>
          <w:szCs w:val="22"/>
          <w:lang w:val="es-ES"/>
        </w:rPr>
        <w:t>,</w:t>
      </w:r>
      <w:r w:rsidR="00785FCC" w:rsidRPr="00195138">
        <w:rPr>
          <w:sz w:val="22"/>
          <w:szCs w:val="22"/>
        </w:rPr>
        <w:t xml:space="preserve"> </w:t>
      </w:r>
      <w:r w:rsidR="00785FCC" w:rsidRPr="00195138">
        <w:rPr>
          <w:rFonts w:ascii="ITC Avant Garde" w:eastAsia="Calibri" w:hAnsi="ITC Avant Garde" w:cstheme="majorBidi"/>
          <w:bCs/>
          <w:sz w:val="22"/>
          <w:szCs w:val="22"/>
          <w:lang w:val="es-ES"/>
        </w:rPr>
        <w:t xml:space="preserve">cuyo extracto se publicó en el Diario Oficial de la Federación (DOF) y se encuentra en un periodo de consulta pública que concluye el tres de noviembre de dos mil quince. </w:t>
      </w:r>
    </w:p>
    <w:p w14:paraId="260DA5EF" w14:textId="77777777" w:rsidR="00BE4494" w:rsidRPr="00195138" w:rsidRDefault="00BE4494" w:rsidP="00175FEA">
      <w:pPr>
        <w:pStyle w:val="Cuerpodeltexto0"/>
        <w:shd w:val="clear" w:color="auto" w:fill="auto"/>
        <w:spacing w:before="0" w:after="0" w:line="288" w:lineRule="auto"/>
        <w:ind w:right="40" w:firstLine="0"/>
        <w:jc w:val="both"/>
        <w:rPr>
          <w:rFonts w:ascii="ITC Avant Garde" w:eastAsia="Calibri" w:hAnsi="ITC Avant Garde" w:cstheme="majorBidi"/>
          <w:bCs/>
          <w:sz w:val="20"/>
          <w:szCs w:val="22"/>
          <w:lang w:val="es-ES"/>
        </w:rPr>
      </w:pPr>
    </w:p>
    <w:p w14:paraId="3215A8D8" w14:textId="77777777" w:rsidR="00175FEA" w:rsidRPr="00195138" w:rsidRDefault="00785FCC" w:rsidP="00175FEA">
      <w:pPr>
        <w:pStyle w:val="Cuerpodeltexto0"/>
        <w:shd w:val="clear" w:color="auto" w:fill="auto"/>
        <w:spacing w:before="0" w:after="0" w:line="288" w:lineRule="auto"/>
        <w:ind w:right="40" w:firstLine="0"/>
        <w:jc w:val="both"/>
        <w:rPr>
          <w:rFonts w:ascii="ITC Avant Garde" w:hAnsi="ITC Avant Garde"/>
          <w:b/>
          <w:sz w:val="22"/>
          <w:szCs w:val="22"/>
        </w:rPr>
      </w:pPr>
      <w:r w:rsidRPr="00195138">
        <w:rPr>
          <w:rFonts w:ascii="ITC Avant Garde" w:hAnsi="ITC Avant Garde"/>
          <w:b/>
          <w:sz w:val="22"/>
          <w:szCs w:val="22"/>
        </w:rPr>
        <w:t>SEGUNDO.</w:t>
      </w:r>
      <w:r w:rsidR="00175FEA" w:rsidRPr="00195138">
        <w:rPr>
          <w:rFonts w:ascii="ITC Avant Garde" w:eastAsia="Calibri" w:hAnsi="ITC Avant Garde" w:cstheme="majorBidi"/>
          <w:bCs/>
          <w:sz w:val="22"/>
          <w:szCs w:val="22"/>
          <w:lang w:val="es-ES"/>
        </w:rPr>
        <w:t xml:space="preserve"> </w:t>
      </w:r>
      <w:r w:rsidRPr="00195138">
        <w:rPr>
          <w:rFonts w:ascii="ITC Avant Garde" w:eastAsia="Calibri" w:hAnsi="ITC Avant Garde" w:cstheme="majorBidi"/>
          <w:bCs/>
          <w:sz w:val="22"/>
          <w:szCs w:val="22"/>
          <w:lang w:val="es-ES"/>
        </w:rPr>
        <w:t>E</w:t>
      </w:r>
      <w:r w:rsidR="00175FEA" w:rsidRPr="00195138">
        <w:rPr>
          <w:rFonts w:ascii="ITC Avant Garde" w:eastAsia="Calibri" w:hAnsi="ITC Avant Garde" w:cstheme="majorBidi"/>
          <w:bCs/>
          <w:sz w:val="22"/>
          <w:szCs w:val="22"/>
          <w:lang w:val="es-ES"/>
        </w:rPr>
        <w:t>l veintiocho de septiembre de dos mil quince, la COFECE solicitó, mediante Oficio No. ST-CFCE-2015-270, la opinión de este Instituto respecto del Anteproyecto de “Guía Para Tramitar un Procedimiento de Investigación por Prácticas Monopólicas Absolutas”</w:t>
      </w:r>
      <w:r w:rsidR="00175FEA" w:rsidRPr="00195138">
        <w:rPr>
          <w:rFonts w:ascii="ITC Avant Garde" w:hAnsi="ITC Avant Garde"/>
          <w:sz w:val="22"/>
          <w:szCs w:val="22"/>
        </w:rPr>
        <w:t>, cuyo extracto se public</w:t>
      </w:r>
      <w:r w:rsidRPr="00195138">
        <w:rPr>
          <w:rFonts w:ascii="ITC Avant Garde" w:hAnsi="ITC Avant Garde"/>
          <w:sz w:val="22"/>
          <w:szCs w:val="22"/>
        </w:rPr>
        <w:t>ó</w:t>
      </w:r>
      <w:r w:rsidR="00175FEA" w:rsidRPr="00195138">
        <w:rPr>
          <w:rFonts w:ascii="ITC Avant Garde" w:hAnsi="ITC Avant Garde"/>
          <w:sz w:val="22"/>
          <w:szCs w:val="22"/>
        </w:rPr>
        <w:t xml:space="preserve"> en el Diario Oficial de la Federación (DOF) y se encuentran en </w:t>
      </w:r>
      <w:r w:rsidRPr="00195138">
        <w:rPr>
          <w:rFonts w:ascii="ITC Avant Garde" w:hAnsi="ITC Avant Garde"/>
          <w:sz w:val="22"/>
          <w:szCs w:val="22"/>
        </w:rPr>
        <w:t xml:space="preserve">un </w:t>
      </w:r>
      <w:r w:rsidR="00175FEA" w:rsidRPr="00195138">
        <w:rPr>
          <w:rFonts w:ascii="ITC Avant Garde" w:hAnsi="ITC Avant Garde"/>
          <w:sz w:val="22"/>
          <w:szCs w:val="22"/>
        </w:rPr>
        <w:t xml:space="preserve">periodo de consulta pública que concluye el </w:t>
      </w:r>
      <w:r w:rsidR="00175FEA" w:rsidRPr="00195138">
        <w:rPr>
          <w:rFonts w:ascii="ITC Avant Garde" w:hAnsi="ITC Avant Garde"/>
          <w:noProof/>
          <w:sz w:val="22"/>
          <w:szCs w:val="22"/>
        </w:rPr>
        <w:t>nueve de noviembre de dos mil quince</w:t>
      </w:r>
      <w:r w:rsidR="00175FEA" w:rsidRPr="00195138">
        <w:rPr>
          <w:rFonts w:ascii="ITC Avant Garde" w:hAnsi="ITC Avant Garde"/>
          <w:sz w:val="22"/>
          <w:szCs w:val="22"/>
        </w:rPr>
        <w:t>.</w:t>
      </w:r>
    </w:p>
    <w:p w14:paraId="74A38375" w14:textId="77777777" w:rsidR="00BE4494" w:rsidRPr="00195138" w:rsidRDefault="00BE4494" w:rsidP="00E47AD5">
      <w:pPr>
        <w:pStyle w:val="Cuerpodeltexto0"/>
        <w:shd w:val="clear" w:color="auto" w:fill="auto"/>
        <w:spacing w:before="0" w:after="0" w:line="288" w:lineRule="auto"/>
        <w:ind w:right="40" w:firstLine="0"/>
        <w:jc w:val="both"/>
        <w:rPr>
          <w:rFonts w:ascii="ITC Avant Garde" w:hAnsi="ITC Avant Garde"/>
          <w:b/>
          <w:sz w:val="20"/>
          <w:szCs w:val="22"/>
        </w:rPr>
      </w:pPr>
    </w:p>
    <w:p w14:paraId="5715DCEF" w14:textId="0DAC404A" w:rsidR="006D40A8" w:rsidRPr="00195138" w:rsidRDefault="00785FCC" w:rsidP="00E47AD5">
      <w:pPr>
        <w:pStyle w:val="Cuerpodeltexto0"/>
        <w:shd w:val="clear" w:color="auto" w:fill="auto"/>
        <w:spacing w:before="0" w:after="0" w:line="288" w:lineRule="auto"/>
        <w:ind w:right="40" w:firstLine="0"/>
        <w:jc w:val="both"/>
        <w:rPr>
          <w:rFonts w:ascii="ITC Avant Garde" w:hAnsi="ITC Avant Garde"/>
          <w:sz w:val="22"/>
          <w:szCs w:val="22"/>
        </w:rPr>
      </w:pPr>
      <w:r w:rsidRPr="00195138">
        <w:rPr>
          <w:rFonts w:ascii="ITC Avant Garde" w:hAnsi="ITC Avant Garde"/>
          <w:b/>
          <w:sz w:val="22"/>
          <w:szCs w:val="22"/>
        </w:rPr>
        <w:t>TERCERO</w:t>
      </w:r>
      <w:r w:rsidR="006D40A8" w:rsidRPr="00195138">
        <w:rPr>
          <w:rFonts w:ascii="ITC Avant Garde" w:hAnsi="ITC Avant Garde"/>
          <w:sz w:val="22"/>
          <w:szCs w:val="22"/>
        </w:rPr>
        <w:t xml:space="preserve">. La COFECE solicitó opinión del Instituto sobre </w:t>
      </w:r>
      <w:r w:rsidR="00EB22E2" w:rsidRPr="00195138">
        <w:rPr>
          <w:rFonts w:ascii="ITC Avant Garde" w:hAnsi="ITC Avant Garde"/>
          <w:sz w:val="22"/>
          <w:szCs w:val="22"/>
        </w:rPr>
        <w:t>los</w:t>
      </w:r>
      <w:r w:rsidR="006D40A8" w:rsidRPr="00195138">
        <w:rPr>
          <w:rFonts w:ascii="ITC Avant Garde" w:hAnsi="ITC Avant Garde"/>
          <w:sz w:val="22"/>
          <w:szCs w:val="22"/>
        </w:rPr>
        <w:t xml:space="preserve"> </w:t>
      </w:r>
      <w:r w:rsidRPr="00195138">
        <w:rPr>
          <w:rFonts w:ascii="ITC Avant Garde" w:hAnsi="ITC Avant Garde"/>
          <w:sz w:val="22"/>
          <w:szCs w:val="22"/>
        </w:rPr>
        <w:t>dos a</w:t>
      </w:r>
      <w:r w:rsidR="006D40A8" w:rsidRPr="00195138">
        <w:rPr>
          <w:rFonts w:ascii="ITC Avant Garde" w:hAnsi="ITC Avant Garde"/>
          <w:sz w:val="22"/>
          <w:szCs w:val="22"/>
        </w:rPr>
        <w:t>nteproyecto</w:t>
      </w:r>
      <w:r w:rsidR="00EB22E2" w:rsidRPr="00195138">
        <w:rPr>
          <w:rFonts w:ascii="ITC Avant Garde" w:hAnsi="ITC Avant Garde"/>
          <w:sz w:val="22"/>
          <w:szCs w:val="22"/>
        </w:rPr>
        <w:t>s</w:t>
      </w:r>
      <w:r w:rsidRPr="00195138">
        <w:rPr>
          <w:rFonts w:ascii="ITC Avant Garde" w:hAnsi="ITC Avant Garde"/>
          <w:sz w:val="22"/>
          <w:szCs w:val="22"/>
        </w:rPr>
        <w:t xml:space="preserve"> referidos (Anteproyectos)</w:t>
      </w:r>
      <w:r w:rsidR="006D40A8" w:rsidRPr="00195138">
        <w:rPr>
          <w:rFonts w:ascii="ITC Avant Garde" w:hAnsi="ITC Avant Garde"/>
          <w:sz w:val="22"/>
          <w:szCs w:val="22"/>
        </w:rPr>
        <w:t>, con fundamento en la fracción I del artículo 138 de la Ley Federal de Competencia Económica (LFCE)</w:t>
      </w:r>
      <w:r w:rsidR="00882013" w:rsidRPr="00195138">
        <w:rPr>
          <w:rFonts w:ascii="ITC Avant Garde" w:hAnsi="ITC Avant Garde"/>
          <w:sz w:val="22"/>
          <w:szCs w:val="22"/>
        </w:rPr>
        <w:t xml:space="preserve">, </w:t>
      </w:r>
      <w:r w:rsidR="006D40A8" w:rsidRPr="00195138">
        <w:rPr>
          <w:rFonts w:ascii="ITC Avant Garde" w:hAnsi="ITC Avant Garde"/>
          <w:sz w:val="22"/>
          <w:szCs w:val="22"/>
        </w:rPr>
        <w:t xml:space="preserve">disposición </w:t>
      </w:r>
      <w:r w:rsidR="00882013" w:rsidRPr="00195138">
        <w:rPr>
          <w:rFonts w:ascii="ITC Avant Garde" w:hAnsi="ITC Avant Garde"/>
          <w:sz w:val="22"/>
          <w:szCs w:val="22"/>
        </w:rPr>
        <w:t xml:space="preserve">que </w:t>
      </w:r>
      <w:r w:rsidR="006D40A8" w:rsidRPr="00195138">
        <w:rPr>
          <w:rFonts w:ascii="ITC Avant Garde" w:hAnsi="ITC Avant Garde"/>
          <w:sz w:val="22"/>
          <w:szCs w:val="22"/>
        </w:rPr>
        <w:t xml:space="preserve">establece lo siguiente: </w:t>
      </w:r>
    </w:p>
    <w:p w14:paraId="7CC99948" w14:textId="77777777" w:rsidR="00785FCC" w:rsidRPr="00195138" w:rsidRDefault="00785FCC" w:rsidP="00E47AD5">
      <w:pPr>
        <w:pStyle w:val="Cuerpodeltexto0"/>
        <w:shd w:val="clear" w:color="auto" w:fill="auto"/>
        <w:spacing w:before="0" w:after="0" w:line="288" w:lineRule="auto"/>
        <w:ind w:right="40" w:firstLine="0"/>
        <w:jc w:val="both"/>
        <w:rPr>
          <w:rFonts w:ascii="ITC Avant Garde" w:hAnsi="ITC Avant Garde"/>
          <w:sz w:val="20"/>
          <w:szCs w:val="20"/>
        </w:rPr>
      </w:pPr>
    </w:p>
    <w:p w14:paraId="5D0A64E7" w14:textId="77777777" w:rsidR="006D40A8" w:rsidRPr="00195138" w:rsidRDefault="006D40A8" w:rsidP="00E47AD5">
      <w:pPr>
        <w:pStyle w:val="Cuerpodeltexto0"/>
        <w:spacing w:before="0" w:after="120" w:line="240" w:lineRule="auto"/>
        <w:ind w:left="851" w:right="902" w:firstLine="0"/>
        <w:jc w:val="both"/>
        <w:rPr>
          <w:rFonts w:ascii="ITC Avant Garde" w:hAnsi="ITC Avant Garde"/>
          <w:bCs/>
          <w:color w:val="000000"/>
          <w:sz w:val="20"/>
          <w:szCs w:val="20"/>
        </w:rPr>
      </w:pPr>
      <w:r w:rsidRPr="00195138">
        <w:rPr>
          <w:rFonts w:ascii="ITC Avant Garde" w:hAnsi="ITC Avant Garde"/>
          <w:bCs/>
          <w:color w:val="000000"/>
          <w:sz w:val="20"/>
          <w:szCs w:val="20"/>
        </w:rPr>
        <w:t>“</w:t>
      </w:r>
      <w:r w:rsidRPr="00195138">
        <w:rPr>
          <w:rFonts w:ascii="ITC Avant Garde" w:hAnsi="ITC Avant Garde"/>
          <w:b/>
          <w:bCs/>
          <w:color w:val="000000"/>
          <w:sz w:val="20"/>
          <w:szCs w:val="20"/>
        </w:rPr>
        <w:t>Artículo 138</w:t>
      </w:r>
      <w:r w:rsidRPr="00195138">
        <w:rPr>
          <w:rFonts w:ascii="ITC Avant Garde" w:hAnsi="ITC Avant Garde"/>
          <w:bCs/>
          <w:color w:val="000000"/>
          <w:sz w:val="20"/>
          <w:szCs w:val="20"/>
        </w:rPr>
        <w:t>. En la elaboración y expedición de las disposiciones que contengan las directrices, guías, lineamientos y criterios técnicos a que hace referencia el artículo 12, fracción XXII, de esta Ley, se estará a lo siguiente:</w:t>
      </w:r>
    </w:p>
    <w:p w14:paraId="72CDD499" w14:textId="77777777" w:rsidR="006D40A8" w:rsidRPr="00195138" w:rsidRDefault="006D40A8" w:rsidP="00E47AD5">
      <w:pPr>
        <w:pStyle w:val="Cuerpodeltexto0"/>
        <w:spacing w:before="0" w:after="120" w:line="240" w:lineRule="auto"/>
        <w:ind w:left="851" w:right="902" w:firstLine="0"/>
        <w:jc w:val="both"/>
        <w:rPr>
          <w:rFonts w:ascii="ITC Avant Garde" w:hAnsi="ITC Avant Garde"/>
          <w:bCs/>
          <w:color w:val="000000"/>
          <w:sz w:val="20"/>
          <w:szCs w:val="20"/>
        </w:rPr>
      </w:pPr>
      <w:r w:rsidRPr="00195138">
        <w:rPr>
          <w:rFonts w:ascii="ITC Avant Garde" w:hAnsi="ITC Avant Garde"/>
          <w:bCs/>
          <w:color w:val="000000"/>
          <w:sz w:val="20"/>
          <w:szCs w:val="20"/>
        </w:rPr>
        <w:t>I. La Comisión mandará publicar un extracto del anteproyecto en el Diario Oficial de la Federación, e íntegramente en el sitio de Internet de la Comisión, a efecto de abrir un período de consulta pública por treinta días a fin de que cualquier interesado presente opiniones a la Comisión sobre el anteproyecto respectivo.</w:t>
      </w:r>
      <w:r w:rsidRPr="00195138">
        <w:rPr>
          <w:rFonts w:ascii="ITC Avant Garde" w:hAnsi="ITC Avant Garde"/>
          <w:bCs/>
          <w:color w:val="000000"/>
          <w:sz w:val="22"/>
          <w:szCs w:val="22"/>
        </w:rPr>
        <w:t xml:space="preserve"> </w:t>
      </w:r>
      <w:r w:rsidRPr="00195138">
        <w:rPr>
          <w:rFonts w:ascii="ITC Avant Garde" w:hAnsi="ITC Avant Garde"/>
          <w:bCs/>
          <w:color w:val="000000"/>
          <w:sz w:val="20"/>
          <w:szCs w:val="20"/>
        </w:rPr>
        <w:t xml:space="preserve">Asimismo, </w:t>
      </w:r>
      <w:r w:rsidRPr="00195138">
        <w:rPr>
          <w:rFonts w:ascii="ITC Avant Garde" w:hAnsi="ITC Avant Garde"/>
          <w:b/>
          <w:bCs/>
          <w:color w:val="000000"/>
          <w:sz w:val="20"/>
          <w:szCs w:val="20"/>
        </w:rPr>
        <w:t>se deberá solicitar, y en</w:t>
      </w:r>
      <w:r w:rsidRPr="00195138">
        <w:rPr>
          <w:rFonts w:ascii="ITC Avant Garde" w:hAnsi="ITC Avant Garde"/>
          <w:b/>
          <w:bCs/>
          <w:color w:val="000000"/>
          <w:sz w:val="22"/>
          <w:szCs w:val="22"/>
        </w:rPr>
        <w:t xml:space="preserve"> su </w:t>
      </w:r>
      <w:r w:rsidRPr="00195138">
        <w:rPr>
          <w:rFonts w:ascii="ITC Avant Garde" w:hAnsi="ITC Avant Garde"/>
          <w:b/>
          <w:bCs/>
          <w:color w:val="000000"/>
          <w:sz w:val="20"/>
          <w:szCs w:val="20"/>
        </w:rPr>
        <w:t>caso, recabar la opinión del Instituto Federal de Telecomunicaciones</w:t>
      </w:r>
      <w:r w:rsidRPr="00195138">
        <w:rPr>
          <w:rFonts w:ascii="ITC Avant Garde" w:hAnsi="ITC Avant Garde"/>
          <w:bCs/>
          <w:color w:val="000000"/>
          <w:sz w:val="20"/>
          <w:szCs w:val="20"/>
        </w:rPr>
        <w:t>;</w:t>
      </w:r>
    </w:p>
    <w:p w14:paraId="6682E690" w14:textId="77777777" w:rsidR="006D40A8" w:rsidRPr="00195138" w:rsidRDefault="006D40A8" w:rsidP="00195138">
      <w:pPr>
        <w:pStyle w:val="Ttulo3"/>
        <w:keepNext w:val="0"/>
        <w:widowControl w:val="0"/>
        <w:numPr>
          <w:ilvl w:val="0"/>
          <w:numId w:val="3"/>
        </w:numPr>
        <w:spacing w:line="276" w:lineRule="auto"/>
        <w:ind w:left="0" w:firstLine="0"/>
        <w:jc w:val="center"/>
      </w:pPr>
      <w:r w:rsidRPr="00195138">
        <w:rPr>
          <w:rFonts w:ascii="ITC Avant Garde" w:hAnsi="ITC Avant Garde" w:cs="Times New Roman"/>
          <w:szCs w:val="22"/>
        </w:rPr>
        <w:lastRenderedPageBreak/>
        <w:t>CONSIDERACIONES</w:t>
      </w:r>
    </w:p>
    <w:p w14:paraId="070E6415" w14:textId="77777777" w:rsidR="00BE4494" w:rsidRPr="00195138" w:rsidRDefault="00BE4494" w:rsidP="00BE4494">
      <w:pPr>
        <w:spacing w:after="0"/>
      </w:pPr>
    </w:p>
    <w:p w14:paraId="52EC773F" w14:textId="77777777" w:rsidR="006D40A8" w:rsidRPr="00195138" w:rsidRDefault="006D40A8" w:rsidP="00195138">
      <w:pPr>
        <w:spacing w:line="288" w:lineRule="auto"/>
        <w:jc w:val="both"/>
        <w:rPr>
          <w:rFonts w:ascii="ITC Avant Garde" w:hAnsi="ITC Avant Garde"/>
          <w:b/>
        </w:rPr>
      </w:pPr>
      <w:r w:rsidRPr="00195138">
        <w:rPr>
          <w:rFonts w:ascii="ITC Avant Garde" w:hAnsi="ITC Avant Garde"/>
          <w:b/>
        </w:rPr>
        <w:t xml:space="preserve">PRIMERA.- Competencia para emitir una Opinión </w:t>
      </w:r>
    </w:p>
    <w:p w14:paraId="54A78593" w14:textId="77777777" w:rsidR="006D40A8" w:rsidRPr="00195138" w:rsidRDefault="006D40A8" w:rsidP="00E47AD5">
      <w:pPr>
        <w:spacing w:line="288" w:lineRule="auto"/>
        <w:jc w:val="both"/>
        <w:rPr>
          <w:rFonts w:ascii="ITC Avant Garde" w:hAnsi="ITC Avant Garde"/>
        </w:rPr>
      </w:pPr>
      <w:r w:rsidRPr="00195138">
        <w:rPr>
          <w:rFonts w:ascii="ITC Avant Garde" w:hAnsi="ITC Avant Garde"/>
        </w:rPr>
        <w:t>De conformidad con lo establecido en los artículos 28, párrafos decimoquinto y decimosexto, de la Constitución Política de los Estados Unidos Mexicanos (CPEUM); 5 de la LFCE y 1 del Estatuto Orgánico del Instituto Federal de Telecomunicaciones, el Instituto es la autoridad en materia de competencia económica de los sectores de radiodifusión y telecomunicaciones, por lo que en éstos ejercerá en forma exclusiva las facultades que el artículo 28 de la CPEUM y las leyes establecen para la COFECE.</w:t>
      </w:r>
    </w:p>
    <w:p w14:paraId="39BC4280" w14:textId="77777777" w:rsidR="006D40A8" w:rsidRPr="00195138" w:rsidRDefault="006D40A8" w:rsidP="00E47AD5">
      <w:pPr>
        <w:pStyle w:val="Encabezado"/>
        <w:spacing w:line="288" w:lineRule="auto"/>
        <w:jc w:val="both"/>
        <w:rPr>
          <w:rFonts w:ascii="ITC Avant Garde" w:hAnsi="ITC Avant Garde"/>
        </w:rPr>
      </w:pPr>
      <w:r w:rsidRPr="00195138">
        <w:rPr>
          <w:rFonts w:ascii="ITC Avant Garde" w:hAnsi="ITC Avant Garde"/>
        </w:rPr>
        <w:t xml:space="preserve">La COFECE solicita la opinión del Instituto sobre </w:t>
      </w:r>
      <w:r w:rsidR="00F15084" w:rsidRPr="00195138">
        <w:rPr>
          <w:rFonts w:ascii="ITC Avant Garde" w:hAnsi="ITC Avant Garde"/>
        </w:rPr>
        <w:t xml:space="preserve">los </w:t>
      </w:r>
      <w:r w:rsidRPr="00195138">
        <w:rPr>
          <w:rFonts w:ascii="ITC Avant Garde" w:hAnsi="ITC Avant Garde"/>
        </w:rPr>
        <w:t>Anteproyecto</w:t>
      </w:r>
      <w:r w:rsidR="00F15084" w:rsidRPr="00195138">
        <w:rPr>
          <w:rFonts w:ascii="ITC Avant Garde" w:hAnsi="ITC Avant Garde"/>
        </w:rPr>
        <w:t>s</w:t>
      </w:r>
      <w:r w:rsidRPr="00195138">
        <w:rPr>
          <w:rFonts w:ascii="ITC Avant Garde" w:hAnsi="ITC Avant Garde"/>
        </w:rPr>
        <w:t xml:space="preserve"> con fundamento en la fracción I del artículo 138 de la LFCE. </w:t>
      </w:r>
      <w:r w:rsidR="00F15084" w:rsidRPr="00195138">
        <w:rPr>
          <w:rFonts w:ascii="ITC Avant Garde" w:hAnsi="ITC Avant Garde"/>
        </w:rPr>
        <w:t xml:space="preserve">Los </w:t>
      </w:r>
      <w:r w:rsidRPr="00195138">
        <w:rPr>
          <w:rFonts w:ascii="ITC Avant Garde" w:hAnsi="ITC Avant Garde"/>
        </w:rPr>
        <w:t>Anteproyecto</w:t>
      </w:r>
      <w:r w:rsidR="00F15084" w:rsidRPr="00195138">
        <w:rPr>
          <w:rFonts w:ascii="ITC Avant Garde" w:hAnsi="ITC Avant Garde"/>
        </w:rPr>
        <w:t>s</w:t>
      </w:r>
      <w:r w:rsidRPr="00195138">
        <w:rPr>
          <w:rFonts w:ascii="ITC Avant Garde" w:hAnsi="ITC Avant Garde"/>
        </w:rPr>
        <w:t xml:space="preserve"> que, hasta el día de hoy, se encuentra</w:t>
      </w:r>
      <w:r w:rsidR="00F15084" w:rsidRPr="00195138">
        <w:rPr>
          <w:rFonts w:ascii="ITC Avant Garde" w:hAnsi="ITC Avant Garde"/>
        </w:rPr>
        <w:t>n</w:t>
      </w:r>
      <w:r w:rsidRPr="00195138">
        <w:rPr>
          <w:rFonts w:ascii="ITC Avant Garde" w:hAnsi="ITC Avant Garde"/>
        </w:rPr>
        <w:t xml:space="preserve"> en un proceso de consulta pública, versa</w:t>
      </w:r>
      <w:r w:rsidR="00F15084" w:rsidRPr="00195138">
        <w:rPr>
          <w:rFonts w:ascii="ITC Avant Garde" w:hAnsi="ITC Avant Garde"/>
        </w:rPr>
        <w:t>n</w:t>
      </w:r>
      <w:r w:rsidRPr="00195138">
        <w:rPr>
          <w:rFonts w:ascii="ITC Avant Garde" w:hAnsi="ITC Avant Garde"/>
        </w:rPr>
        <w:t xml:space="preserve"> sobre </w:t>
      </w:r>
      <w:r w:rsidR="00175FEA" w:rsidRPr="00195138">
        <w:rPr>
          <w:rFonts w:ascii="ITC Avant Garde" w:hAnsi="ITC Avant Garde"/>
        </w:rPr>
        <w:t xml:space="preserve">criterios y guías </w:t>
      </w:r>
      <w:r w:rsidRPr="00195138">
        <w:rPr>
          <w:rFonts w:ascii="ITC Avant Garde" w:hAnsi="ITC Avant Garde"/>
        </w:rPr>
        <w:t>cuya emisión y aplicación corresponde a la COFECE en el ámbito de su competencia.</w:t>
      </w:r>
    </w:p>
    <w:p w14:paraId="06500A23" w14:textId="77777777" w:rsidR="006D40A8" w:rsidRPr="00195138" w:rsidRDefault="006D40A8" w:rsidP="00E47AD5">
      <w:pPr>
        <w:pStyle w:val="Encabezado"/>
        <w:spacing w:line="288" w:lineRule="auto"/>
        <w:jc w:val="both"/>
        <w:rPr>
          <w:rFonts w:ascii="ITC Avant Garde" w:hAnsi="ITC Avant Garde"/>
        </w:rPr>
      </w:pPr>
    </w:p>
    <w:p w14:paraId="47A187D4" w14:textId="36966E15" w:rsidR="006D40A8" w:rsidRPr="00195138" w:rsidRDefault="00432E38" w:rsidP="00E47AD5">
      <w:pPr>
        <w:pStyle w:val="Encabezado"/>
        <w:spacing w:line="288" w:lineRule="auto"/>
        <w:jc w:val="both"/>
        <w:rPr>
          <w:rFonts w:ascii="ITC Avant Garde" w:hAnsi="ITC Avant Garde"/>
        </w:rPr>
      </w:pPr>
      <w:r w:rsidRPr="00195138">
        <w:rPr>
          <w:rFonts w:ascii="ITC Avant Garde" w:hAnsi="ITC Avant Garde"/>
        </w:rPr>
        <w:t>C</w:t>
      </w:r>
      <w:r w:rsidR="006D40A8" w:rsidRPr="00195138">
        <w:rPr>
          <w:rFonts w:ascii="ITC Avant Garde" w:hAnsi="ITC Avant Garde"/>
        </w:rPr>
        <w:t xml:space="preserve">on fundamento en los artículos </w:t>
      </w:r>
      <w:r w:rsidR="009A14B0" w:rsidRPr="00195138">
        <w:rPr>
          <w:rFonts w:ascii="ITC Avant Garde" w:hAnsi="ITC Avant Garde"/>
        </w:rPr>
        <w:t xml:space="preserve">12, fracción XXX y </w:t>
      </w:r>
      <w:r w:rsidR="006D40A8" w:rsidRPr="00195138">
        <w:rPr>
          <w:rFonts w:ascii="ITC Avant Garde" w:hAnsi="ITC Avant Garde"/>
        </w:rPr>
        <w:t>138, fracción I, de la LFCE</w:t>
      </w:r>
      <w:r w:rsidRPr="00195138">
        <w:rPr>
          <w:rFonts w:ascii="ITC Avant Garde" w:hAnsi="ITC Avant Garde"/>
        </w:rPr>
        <w:t>,</w:t>
      </w:r>
      <w:r w:rsidR="006D40A8" w:rsidRPr="00195138">
        <w:rPr>
          <w:rFonts w:ascii="ITC Avant Garde" w:hAnsi="ITC Avant Garde"/>
        </w:rPr>
        <w:t xml:space="preserve"> </w:t>
      </w:r>
      <w:r w:rsidRPr="00195138">
        <w:rPr>
          <w:rFonts w:ascii="ITC Avant Garde" w:hAnsi="ITC Avant Garde"/>
        </w:rPr>
        <w:t>el Instituto es competente para emitir la presente opinión y, de conformidad con lo establecido en el artículo 6, fracción XXXVII, del Estatuto Orgánico del Instituto Federal de Telecomunicaciones, c</w:t>
      </w:r>
      <w:r w:rsidR="006D40A8" w:rsidRPr="00195138">
        <w:rPr>
          <w:rFonts w:ascii="ITC Avant Garde" w:hAnsi="ITC Avant Garde"/>
        </w:rPr>
        <w:t>orresponde al Pleno de este Instituto emitir la opinión solicitada por la COFECE</w:t>
      </w:r>
      <w:r w:rsidRPr="00195138">
        <w:rPr>
          <w:rFonts w:ascii="ITC Avant Garde" w:hAnsi="ITC Avant Garde"/>
        </w:rPr>
        <w:t>.</w:t>
      </w:r>
    </w:p>
    <w:p w14:paraId="03F46830" w14:textId="77777777" w:rsidR="00BE4494" w:rsidRPr="00195138" w:rsidRDefault="00BE4494" w:rsidP="00E47AD5">
      <w:pPr>
        <w:pStyle w:val="Encabezado"/>
        <w:spacing w:line="288" w:lineRule="auto"/>
        <w:jc w:val="both"/>
        <w:rPr>
          <w:rFonts w:ascii="ITC Avant Garde" w:hAnsi="ITC Avant Garde"/>
        </w:rPr>
      </w:pPr>
    </w:p>
    <w:p w14:paraId="5046D463" w14:textId="77777777" w:rsidR="006D40A8" w:rsidRPr="00195138" w:rsidRDefault="006D40A8" w:rsidP="00195138">
      <w:pPr>
        <w:spacing w:line="288" w:lineRule="auto"/>
        <w:jc w:val="both"/>
        <w:rPr>
          <w:rFonts w:ascii="ITC Avant Garde" w:hAnsi="ITC Avant Garde"/>
          <w:b/>
        </w:rPr>
      </w:pPr>
      <w:r w:rsidRPr="00195138">
        <w:rPr>
          <w:rFonts w:ascii="ITC Avant Garde" w:hAnsi="ITC Avant Garde"/>
          <w:b/>
        </w:rPr>
        <w:t>SEGUNDA.- Objeto de</w:t>
      </w:r>
      <w:r w:rsidR="00134E12" w:rsidRPr="00195138">
        <w:rPr>
          <w:rFonts w:ascii="ITC Avant Garde" w:hAnsi="ITC Avant Garde"/>
          <w:b/>
        </w:rPr>
        <w:t xml:space="preserve"> los</w:t>
      </w:r>
      <w:r w:rsidRPr="00195138">
        <w:rPr>
          <w:rFonts w:ascii="ITC Avant Garde" w:hAnsi="ITC Avant Garde"/>
          <w:b/>
        </w:rPr>
        <w:t xml:space="preserve"> Anteproyecto</w:t>
      </w:r>
      <w:r w:rsidR="00134E12" w:rsidRPr="00195138">
        <w:rPr>
          <w:rFonts w:ascii="ITC Avant Garde" w:hAnsi="ITC Avant Garde"/>
          <w:b/>
        </w:rPr>
        <w:t>s</w:t>
      </w:r>
      <w:r w:rsidRPr="00195138">
        <w:rPr>
          <w:rFonts w:ascii="ITC Avant Garde" w:hAnsi="ITC Avant Garde"/>
          <w:b/>
        </w:rPr>
        <w:t xml:space="preserve"> </w:t>
      </w:r>
    </w:p>
    <w:p w14:paraId="484EB71A" w14:textId="77777777" w:rsidR="006D40A8" w:rsidRPr="00195138" w:rsidRDefault="006D40A8" w:rsidP="00134E12">
      <w:pPr>
        <w:pStyle w:val="Encabezado"/>
        <w:spacing w:line="288" w:lineRule="auto"/>
        <w:jc w:val="both"/>
        <w:rPr>
          <w:rFonts w:ascii="ITC Avant Garde" w:hAnsi="ITC Avant Garde"/>
        </w:rPr>
      </w:pPr>
      <w:r w:rsidRPr="00195138">
        <w:rPr>
          <w:rFonts w:ascii="ITC Avant Garde" w:hAnsi="ITC Avant Garde"/>
        </w:rPr>
        <w:t>Conforme a</w:t>
      </w:r>
      <w:r w:rsidR="009005AF" w:rsidRPr="00195138">
        <w:rPr>
          <w:rFonts w:ascii="ITC Avant Garde" w:hAnsi="ITC Avant Garde"/>
        </w:rPr>
        <w:t xml:space="preserve">l </w:t>
      </w:r>
      <w:r w:rsidRPr="00195138">
        <w:rPr>
          <w:rFonts w:ascii="ITC Avant Garde" w:hAnsi="ITC Avant Garde"/>
        </w:rPr>
        <w:t xml:space="preserve">extracto publicado en el DOF el </w:t>
      </w:r>
      <w:r w:rsidR="00175FEA" w:rsidRPr="00195138">
        <w:rPr>
          <w:rFonts w:ascii="ITC Avant Garde" w:hAnsi="ITC Avant Garde"/>
        </w:rPr>
        <w:t xml:space="preserve">veintidós </w:t>
      </w:r>
      <w:r w:rsidRPr="00195138">
        <w:rPr>
          <w:rFonts w:ascii="ITC Avant Garde" w:hAnsi="ITC Avant Garde"/>
          <w:noProof/>
        </w:rPr>
        <w:t xml:space="preserve">de </w:t>
      </w:r>
      <w:r w:rsidR="00175FEA" w:rsidRPr="00195138">
        <w:rPr>
          <w:rFonts w:ascii="ITC Avant Garde" w:hAnsi="ITC Avant Garde"/>
          <w:noProof/>
        </w:rPr>
        <w:t xml:space="preserve">septiembre </w:t>
      </w:r>
      <w:r w:rsidRPr="00195138">
        <w:rPr>
          <w:rFonts w:ascii="ITC Avant Garde" w:hAnsi="ITC Avant Garde"/>
          <w:noProof/>
        </w:rPr>
        <w:t>de dos mil quince</w:t>
      </w:r>
      <w:r w:rsidRPr="00195138">
        <w:rPr>
          <w:rFonts w:ascii="ITC Avant Garde" w:hAnsi="ITC Avant Garde"/>
        </w:rPr>
        <w:t xml:space="preserve">, </w:t>
      </w:r>
      <w:r w:rsidR="009005AF" w:rsidRPr="00195138">
        <w:rPr>
          <w:rFonts w:ascii="ITC Avant Garde" w:hAnsi="ITC Avant Garde"/>
        </w:rPr>
        <w:t xml:space="preserve">el Anteproyecto de </w:t>
      </w:r>
      <w:r w:rsidR="00E83001" w:rsidRPr="00195138">
        <w:rPr>
          <w:rFonts w:ascii="ITC Avant Garde" w:hAnsi="ITC Avant Garde"/>
        </w:rPr>
        <w:t>“</w:t>
      </w:r>
      <w:r w:rsidR="00175FEA" w:rsidRPr="00195138">
        <w:rPr>
          <w:rFonts w:ascii="ITC Avant Garde" w:hAnsi="ITC Avant Garde"/>
        </w:rPr>
        <w:t>Criterios Técnicos de la Comisión Federal de Competencia Económica para la Solicitud y Emisión de Medidas Cautelares, así como para la Fijación de Cauciones</w:t>
      </w:r>
      <w:r w:rsidR="00E83001" w:rsidRPr="00195138">
        <w:rPr>
          <w:rFonts w:ascii="ITC Avant Garde" w:hAnsi="ITC Avant Garde"/>
        </w:rPr>
        <w:t>”</w:t>
      </w:r>
      <w:r w:rsidRPr="00195138">
        <w:rPr>
          <w:rFonts w:ascii="ITC Avant Garde" w:hAnsi="ITC Avant Garde"/>
        </w:rPr>
        <w:t xml:space="preserve"> </w:t>
      </w:r>
      <w:r w:rsidR="00411F0B" w:rsidRPr="00195138">
        <w:rPr>
          <w:rFonts w:ascii="ITC Avant Garde" w:hAnsi="ITC Avant Garde"/>
        </w:rPr>
        <w:t>contiene</w:t>
      </w:r>
      <w:r w:rsidRPr="00195138">
        <w:rPr>
          <w:rFonts w:ascii="ITC Avant Garde" w:hAnsi="ITC Avant Garde"/>
        </w:rPr>
        <w:t>:</w:t>
      </w:r>
    </w:p>
    <w:p w14:paraId="2DBAA15D" w14:textId="77777777" w:rsidR="0028658C" w:rsidRPr="00195138" w:rsidRDefault="0028658C" w:rsidP="00134E12">
      <w:pPr>
        <w:pStyle w:val="Encabezado"/>
        <w:spacing w:line="288" w:lineRule="auto"/>
        <w:jc w:val="both"/>
        <w:rPr>
          <w:rFonts w:ascii="ITC Avant Garde" w:hAnsi="ITC Avant Garde"/>
          <w:sz w:val="20"/>
          <w:szCs w:val="20"/>
        </w:rPr>
      </w:pPr>
    </w:p>
    <w:p w14:paraId="572B02CE" w14:textId="77777777" w:rsidR="006D40A8" w:rsidRPr="00195138" w:rsidRDefault="006D40A8" w:rsidP="00E47AD5">
      <w:pPr>
        <w:pStyle w:val="Cuerpodeltexto0"/>
        <w:spacing w:before="0" w:after="0" w:line="288" w:lineRule="auto"/>
        <w:ind w:left="851" w:right="900" w:firstLine="0"/>
        <w:jc w:val="both"/>
        <w:rPr>
          <w:rFonts w:ascii="ITC Avant Garde" w:hAnsi="ITC Avant Garde"/>
          <w:bCs/>
          <w:color w:val="000000"/>
          <w:sz w:val="20"/>
          <w:szCs w:val="20"/>
        </w:rPr>
      </w:pPr>
      <w:r w:rsidRPr="00195138">
        <w:rPr>
          <w:rFonts w:ascii="ITC Avant Garde" w:hAnsi="ITC Avant Garde"/>
          <w:bCs/>
          <w:color w:val="000000"/>
          <w:sz w:val="20"/>
          <w:szCs w:val="20"/>
        </w:rPr>
        <w:t>“</w:t>
      </w:r>
      <w:r w:rsidRPr="00195138">
        <w:rPr>
          <w:rFonts w:ascii="ITC Avant Garde" w:hAnsi="ITC Avant Garde"/>
          <w:bCs/>
          <w:noProof/>
          <w:color w:val="000000"/>
          <w:sz w:val="20"/>
          <w:szCs w:val="20"/>
        </w:rPr>
        <w:t xml:space="preserve">(…) </w:t>
      </w:r>
      <w:r w:rsidR="00411F0B" w:rsidRPr="00195138">
        <w:rPr>
          <w:rFonts w:ascii="ITC Avant Garde" w:hAnsi="ITC Avant Garde"/>
          <w:bCs/>
          <w:noProof/>
          <w:color w:val="000000"/>
          <w:sz w:val="20"/>
          <w:szCs w:val="20"/>
        </w:rPr>
        <w:t>definiciones, criterios y requisitos relacionados con el procedimiento para la solicitud y emisión de medidas cautelares, así como para la fijación de cauciones, y los aspectos que la Cofece valorará para otorgar, modificar o revocar una medida cautelar, de conformidad con lo establecido en la Ley Federal de Competencia Económica y las Disposiciones Regulatorias de la Ley Federal de Competencia Económica</w:t>
      </w:r>
      <w:r w:rsidRPr="00195138">
        <w:rPr>
          <w:rFonts w:ascii="ITC Avant Garde" w:hAnsi="ITC Avant Garde"/>
          <w:bCs/>
          <w:color w:val="000000"/>
          <w:sz w:val="20"/>
          <w:szCs w:val="20"/>
        </w:rPr>
        <w:t>”.</w:t>
      </w:r>
    </w:p>
    <w:p w14:paraId="791E7830" w14:textId="77777777" w:rsidR="00BE4494" w:rsidRPr="00195138" w:rsidRDefault="00BE4494" w:rsidP="00134E12">
      <w:pPr>
        <w:pStyle w:val="Encabezado"/>
        <w:spacing w:line="288" w:lineRule="auto"/>
        <w:rPr>
          <w:rFonts w:ascii="ITC Avant Garde" w:hAnsi="ITC Avant Garde"/>
          <w:sz w:val="20"/>
          <w:szCs w:val="20"/>
        </w:rPr>
      </w:pPr>
    </w:p>
    <w:p w14:paraId="2752001D" w14:textId="77777777" w:rsidR="00134E12" w:rsidRPr="00195138" w:rsidRDefault="00134E12" w:rsidP="00F77948">
      <w:pPr>
        <w:pStyle w:val="Encabezado"/>
        <w:spacing w:line="288" w:lineRule="auto"/>
        <w:jc w:val="both"/>
        <w:rPr>
          <w:rFonts w:ascii="ITC Avant Garde" w:hAnsi="ITC Avant Garde"/>
        </w:rPr>
      </w:pPr>
      <w:r w:rsidRPr="00195138">
        <w:rPr>
          <w:rFonts w:ascii="ITC Avant Garde" w:hAnsi="ITC Avant Garde"/>
        </w:rPr>
        <w:t xml:space="preserve">Por su parte, </w:t>
      </w:r>
      <w:r w:rsidR="009005AF" w:rsidRPr="00195138">
        <w:rPr>
          <w:rFonts w:ascii="ITC Avant Garde" w:hAnsi="ITC Avant Garde"/>
        </w:rPr>
        <w:t xml:space="preserve">conforme al extracto publicado en el DOF el veintiocho de septiembre de dos mil quince, el Anteproyecto de </w:t>
      </w:r>
      <w:r w:rsidR="00E83001" w:rsidRPr="00195138">
        <w:rPr>
          <w:rFonts w:ascii="ITC Avant Garde" w:hAnsi="ITC Avant Garde"/>
        </w:rPr>
        <w:t>“</w:t>
      </w:r>
      <w:r w:rsidRPr="00195138">
        <w:rPr>
          <w:rFonts w:ascii="ITC Avant Garde" w:hAnsi="ITC Avant Garde"/>
          <w:noProof/>
        </w:rPr>
        <w:t xml:space="preserve">Guía </w:t>
      </w:r>
      <w:r w:rsidR="00411F0B" w:rsidRPr="00195138">
        <w:rPr>
          <w:rFonts w:ascii="ITC Avant Garde" w:hAnsi="ITC Avant Garde"/>
          <w:noProof/>
        </w:rPr>
        <w:t xml:space="preserve">para Tramitar un </w:t>
      </w:r>
      <w:r w:rsidR="00411F0B" w:rsidRPr="00195138">
        <w:rPr>
          <w:rFonts w:ascii="ITC Avant Garde" w:hAnsi="ITC Avant Garde"/>
          <w:noProof/>
        </w:rPr>
        <w:lastRenderedPageBreak/>
        <w:t>Procedimiento de Investigación por Prácticas Monopólicas Absolutas</w:t>
      </w:r>
      <w:r w:rsidR="00E83001" w:rsidRPr="00195138">
        <w:rPr>
          <w:rFonts w:ascii="ITC Avant Garde" w:hAnsi="ITC Avant Garde"/>
          <w:noProof/>
        </w:rPr>
        <w:t>”</w:t>
      </w:r>
      <w:r w:rsidRPr="00195138">
        <w:rPr>
          <w:rFonts w:ascii="ITC Avant Garde" w:hAnsi="ITC Avant Garde"/>
        </w:rPr>
        <w:t xml:space="preserve"> tiene por objeto</w:t>
      </w:r>
      <w:r w:rsidR="00432E38" w:rsidRPr="00195138">
        <w:rPr>
          <w:rFonts w:ascii="ITC Avant Garde" w:hAnsi="ITC Avant Garde"/>
        </w:rPr>
        <w:t xml:space="preserve"> general</w:t>
      </w:r>
      <w:r w:rsidRPr="00195138">
        <w:rPr>
          <w:rFonts w:ascii="ITC Avant Garde" w:hAnsi="ITC Avant Garde"/>
        </w:rPr>
        <w:t>:</w:t>
      </w:r>
    </w:p>
    <w:p w14:paraId="0FDB329A" w14:textId="77777777" w:rsidR="00F77948" w:rsidRPr="00195138" w:rsidRDefault="00F77948" w:rsidP="00134E12">
      <w:pPr>
        <w:pStyle w:val="Encabezado"/>
        <w:spacing w:line="288" w:lineRule="auto"/>
        <w:rPr>
          <w:rFonts w:ascii="ITC Avant Garde" w:hAnsi="ITC Avant Garde"/>
          <w:sz w:val="20"/>
          <w:szCs w:val="20"/>
        </w:rPr>
      </w:pPr>
    </w:p>
    <w:p w14:paraId="6730FE28" w14:textId="4409FBC3" w:rsidR="00134E12" w:rsidRPr="00195138" w:rsidRDefault="00134E12" w:rsidP="00134E12">
      <w:pPr>
        <w:pStyle w:val="Cuerpodeltexto0"/>
        <w:spacing w:before="0" w:after="0" w:line="288" w:lineRule="auto"/>
        <w:ind w:left="851" w:right="900" w:firstLine="0"/>
        <w:jc w:val="both"/>
        <w:rPr>
          <w:rFonts w:ascii="ITC Avant Garde" w:hAnsi="ITC Avant Garde"/>
          <w:bCs/>
          <w:color w:val="000000"/>
          <w:sz w:val="20"/>
          <w:szCs w:val="20"/>
        </w:rPr>
      </w:pPr>
      <w:r w:rsidRPr="00195138">
        <w:rPr>
          <w:rFonts w:ascii="ITC Avant Garde" w:hAnsi="ITC Avant Garde"/>
          <w:bCs/>
          <w:color w:val="000000"/>
          <w:sz w:val="20"/>
          <w:szCs w:val="20"/>
        </w:rPr>
        <w:t>“</w:t>
      </w:r>
      <w:r w:rsidR="009A14B0" w:rsidRPr="00195138">
        <w:rPr>
          <w:rFonts w:ascii="ITC Avant Garde" w:hAnsi="ITC Avant Garde"/>
          <w:bCs/>
          <w:color w:val="000000"/>
          <w:sz w:val="20"/>
          <w:szCs w:val="20"/>
        </w:rPr>
        <w:t xml:space="preserve">(…) </w:t>
      </w:r>
      <w:r w:rsidR="009A14B0" w:rsidRPr="00195138">
        <w:rPr>
          <w:rFonts w:ascii="ITC Avant Garde" w:hAnsi="ITC Avant Garde"/>
          <w:bCs/>
          <w:noProof/>
          <w:color w:val="000000"/>
          <w:sz w:val="20"/>
          <w:szCs w:val="20"/>
        </w:rPr>
        <w:t>i</w:t>
      </w:r>
      <w:r w:rsidR="00411F0B" w:rsidRPr="00195138">
        <w:rPr>
          <w:rFonts w:ascii="ITC Avant Garde" w:hAnsi="ITC Avant Garde"/>
          <w:bCs/>
          <w:noProof/>
          <w:color w:val="000000"/>
          <w:sz w:val="20"/>
          <w:szCs w:val="20"/>
        </w:rPr>
        <w:t>dentificar y divulgar las etapas del procedimiento de la investigación por la posible realización de conductas que pudieran calificarse como prácticas monopólicas absolutas, con la finalidad de explicar al público en general, de manera clara y concreta, la metodología que la Autoridad Investigadora lleva a cabo en los procedimientos de investigación a efecto de otorgar certeza jurídica a los Agentes Económicos</w:t>
      </w:r>
      <w:r w:rsidRPr="00195138">
        <w:rPr>
          <w:rFonts w:ascii="ITC Avant Garde" w:hAnsi="ITC Avant Garde"/>
          <w:bCs/>
          <w:color w:val="000000"/>
          <w:sz w:val="20"/>
          <w:szCs w:val="20"/>
        </w:rPr>
        <w:t>”.</w:t>
      </w:r>
    </w:p>
    <w:p w14:paraId="786AAC70" w14:textId="77777777" w:rsidR="00BE4494" w:rsidRPr="00195138" w:rsidRDefault="00BE4494" w:rsidP="00134E12">
      <w:pPr>
        <w:pStyle w:val="Cuerpodeltexto0"/>
        <w:spacing w:before="0" w:after="0" w:line="288" w:lineRule="auto"/>
        <w:ind w:left="851" w:right="900" w:firstLine="0"/>
        <w:jc w:val="both"/>
        <w:rPr>
          <w:rFonts w:ascii="ITC Avant Garde" w:hAnsi="ITC Avant Garde"/>
          <w:bCs/>
          <w:color w:val="000000"/>
          <w:sz w:val="20"/>
          <w:szCs w:val="20"/>
        </w:rPr>
      </w:pPr>
    </w:p>
    <w:p w14:paraId="73D52815" w14:textId="77777777" w:rsidR="006D40A8" w:rsidRPr="00195138" w:rsidRDefault="006D40A8" w:rsidP="00195138">
      <w:pPr>
        <w:spacing w:line="288" w:lineRule="auto"/>
        <w:jc w:val="both"/>
        <w:rPr>
          <w:rFonts w:ascii="ITC Avant Garde" w:hAnsi="ITC Avant Garde"/>
          <w:b/>
        </w:rPr>
      </w:pPr>
      <w:r w:rsidRPr="00195138">
        <w:rPr>
          <w:rFonts w:ascii="ITC Avant Garde" w:hAnsi="ITC Avant Garde"/>
          <w:b/>
        </w:rPr>
        <w:t xml:space="preserve">TERCERA.- Consideraciones sobre </w:t>
      </w:r>
      <w:r w:rsidR="003209D8" w:rsidRPr="00195138">
        <w:rPr>
          <w:rFonts w:ascii="ITC Avant Garde" w:hAnsi="ITC Avant Garde"/>
          <w:b/>
        </w:rPr>
        <w:t>los</w:t>
      </w:r>
      <w:r w:rsidRPr="00195138">
        <w:rPr>
          <w:rFonts w:ascii="ITC Avant Garde" w:hAnsi="ITC Avant Garde"/>
          <w:b/>
        </w:rPr>
        <w:t xml:space="preserve"> Anteproyecto</w:t>
      </w:r>
      <w:r w:rsidR="003209D8" w:rsidRPr="00195138">
        <w:rPr>
          <w:rFonts w:ascii="ITC Avant Garde" w:hAnsi="ITC Avant Garde"/>
          <w:b/>
        </w:rPr>
        <w:t>s</w:t>
      </w:r>
    </w:p>
    <w:p w14:paraId="536F952E" w14:textId="05FFA8AB" w:rsidR="006D40A8" w:rsidRPr="00195138" w:rsidRDefault="006D40A8" w:rsidP="00E47AD5">
      <w:pPr>
        <w:pStyle w:val="Encabezado"/>
        <w:spacing w:line="288" w:lineRule="auto"/>
        <w:jc w:val="both"/>
        <w:rPr>
          <w:rFonts w:ascii="ITC Avant Garde" w:hAnsi="ITC Avant Garde"/>
        </w:rPr>
      </w:pPr>
      <w:r w:rsidRPr="00195138">
        <w:rPr>
          <w:rFonts w:ascii="ITC Avant Garde" w:hAnsi="ITC Avant Garde"/>
        </w:rPr>
        <w:t>Tras conocer y estudiar el contenido de</w:t>
      </w:r>
      <w:r w:rsidR="00134E12" w:rsidRPr="00195138">
        <w:rPr>
          <w:rFonts w:ascii="ITC Avant Garde" w:hAnsi="ITC Avant Garde"/>
        </w:rPr>
        <w:t xml:space="preserve"> los</w:t>
      </w:r>
      <w:r w:rsidRPr="00195138">
        <w:rPr>
          <w:rFonts w:ascii="ITC Avant Garde" w:hAnsi="ITC Avant Garde"/>
        </w:rPr>
        <w:t xml:space="preserve"> Anteproyecto</w:t>
      </w:r>
      <w:r w:rsidR="00134E12" w:rsidRPr="00195138">
        <w:rPr>
          <w:rFonts w:ascii="ITC Avant Garde" w:hAnsi="ITC Avant Garde"/>
        </w:rPr>
        <w:t>s</w:t>
      </w:r>
      <w:r w:rsidRPr="00195138">
        <w:rPr>
          <w:rFonts w:ascii="ITC Avant Garde" w:hAnsi="ITC Avant Garde"/>
        </w:rPr>
        <w:t xml:space="preserve">, se considera necesario presentar a la COFECE la sugerencia de que señale explícitamente en </w:t>
      </w:r>
      <w:r w:rsidR="00134E12" w:rsidRPr="00195138">
        <w:rPr>
          <w:rFonts w:ascii="ITC Avant Garde" w:hAnsi="ITC Avant Garde"/>
        </w:rPr>
        <w:t>los</w:t>
      </w:r>
      <w:r w:rsidRPr="00195138">
        <w:rPr>
          <w:rFonts w:ascii="ITC Avant Garde" w:hAnsi="ITC Avant Garde"/>
        </w:rPr>
        <w:t xml:space="preserve"> documento</w:t>
      </w:r>
      <w:r w:rsidR="00134E12" w:rsidRPr="00195138">
        <w:rPr>
          <w:rFonts w:ascii="ITC Avant Garde" w:hAnsi="ITC Avant Garde"/>
        </w:rPr>
        <w:t>s</w:t>
      </w:r>
      <w:r w:rsidRPr="00195138">
        <w:rPr>
          <w:rFonts w:ascii="ITC Avant Garde" w:hAnsi="ITC Avant Garde"/>
        </w:rPr>
        <w:t xml:space="preserve"> que en su caso emita, que los conceptos contenidos en dicha</w:t>
      </w:r>
      <w:r w:rsidR="00134E12" w:rsidRPr="00195138">
        <w:rPr>
          <w:rFonts w:ascii="ITC Avant Garde" w:hAnsi="ITC Avant Garde"/>
        </w:rPr>
        <w:t>s</w:t>
      </w:r>
      <w:r w:rsidRPr="00195138">
        <w:rPr>
          <w:rFonts w:ascii="ITC Avant Garde" w:hAnsi="ITC Avant Garde"/>
        </w:rPr>
        <w:t xml:space="preserve"> guía</w:t>
      </w:r>
      <w:r w:rsidR="00134E12" w:rsidRPr="00195138">
        <w:rPr>
          <w:rFonts w:ascii="ITC Avant Garde" w:hAnsi="ITC Avant Garde"/>
        </w:rPr>
        <w:t>s</w:t>
      </w:r>
      <w:r w:rsidRPr="00195138">
        <w:rPr>
          <w:rFonts w:ascii="ITC Avant Garde" w:hAnsi="ITC Avant Garde"/>
        </w:rPr>
        <w:t xml:space="preserve"> </w:t>
      </w:r>
      <w:r w:rsidR="00F77948" w:rsidRPr="00195138">
        <w:rPr>
          <w:rFonts w:ascii="ITC Avant Garde" w:hAnsi="ITC Avant Garde"/>
        </w:rPr>
        <w:t xml:space="preserve">o criterios </w:t>
      </w:r>
      <w:r w:rsidRPr="00195138">
        <w:rPr>
          <w:rFonts w:ascii="ITC Avant Garde" w:hAnsi="ITC Avant Garde"/>
        </w:rPr>
        <w:t xml:space="preserve">serán observables únicamente en el </w:t>
      </w:r>
      <w:r w:rsidR="00411F0B" w:rsidRPr="00195138">
        <w:rPr>
          <w:rFonts w:ascii="ITC Avant Garde" w:hAnsi="ITC Avant Garde"/>
        </w:rPr>
        <w:t>trámite de</w:t>
      </w:r>
      <w:r w:rsidR="00E83001" w:rsidRPr="00195138">
        <w:t xml:space="preserve"> </w:t>
      </w:r>
      <w:r w:rsidR="00E83001" w:rsidRPr="00195138">
        <w:rPr>
          <w:rFonts w:ascii="ITC Avant Garde" w:hAnsi="ITC Avant Garde"/>
        </w:rPr>
        <w:t>la Solicitud y Emisión de Medidas Cautelares, así como para la Fijación de Cauciones, así como en</w:t>
      </w:r>
      <w:r w:rsidR="00411F0B" w:rsidRPr="00195138">
        <w:rPr>
          <w:rFonts w:ascii="ITC Avant Garde" w:hAnsi="ITC Avant Garde"/>
        </w:rPr>
        <w:t xml:space="preserve"> procedimientos de investigación por prácticas monopólicas absolutas</w:t>
      </w:r>
      <w:r w:rsidR="00E83001" w:rsidRPr="00195138">
        <w:rPr>
          <w:rFonts w:ascii="ITC Avant Garde" w:hAnsi="ITC Avant Garde"/>
        </w:rPr>
        <w:t>,</w:t>
      </w:r>
      <w:r w:rsidR="00411F0B" w:rsidRPr="00195138">
        <w:rPr>
          <w:rFonts w:ascii="ITC Avant Garde" w:hAnsi="ITC Avant Garde"/>
        </w:rPr>
        <w:t xml:space="preserve"> </w:t>
      </w:r>
      <w:r w:rsidRPr="00195138">
        <w:rPr>
          <w:rFonts w:ascii="ITC Avant Garde" w:hAnsi="ITC Avant Garde"/>
        </w:rPr>
        <w:t>en torno a las actividades económicas que se encuentran en su ámbito de competencia, de conformidad con lo establecido en los artículos 28, párrafo décimo sexto, de la Constitución Política de los Estados Unidos Mexicanos y 5 de la LFCE.</w:t>
      </w:r>
      <w:r w:rsidR="00764DFF" w:rsidRPr="00195138">
        <w:t xml:space="preserve"> </w:t>
      </w:r>
      <w:r w:rsidR="00411F0B" w:rsidRPr="00195138">
        <w:rPr>
          <w:rFonts w:ascii="ITC Avant Garde" w:hAnsi="ITC Avant Garde"/>
        </w:rPr>
        <w:t>En los Anteproyectos</w:t>
      </w:r>
      <w:r w:rsidR="00764DFF" w:rsidRPr="00195138">
        <w:rPr>
          <w:rFonts w:ascii="ITC Avant Garde" w:hAnsi="ITC Avant Garde"/>
        </w:rPr>
        <w:t xml:space="preserve"> </w:t>
      </w:r>
      <w:r w:rsidR="00411F0B" w:rsidRPr="00195138">
        <w:rPr>
          <w:rFonts w:ascii="ITC Avant Garde" w:hAnsi="ITC Avant Garde"/>
        </w:rPr>
        <w:t xml:space="preserve">no se establece que </w:t>
      </w:r>
      <w:r w:rsidR="00764DFF" w:rsidRPr="00195138">
        <w:rPr>
          <w:rFonts w:ascii="ITC Avant Garde" w:hAnsi="ITC Avant Garde"/>
        </w:rPr>
        <w:t xml:space="preserve">el ámbito de competencia de la COFECE excluye los mercados relativos a la radiodifusión y las telecomunicaciones y tampoco se establece </w:t>
      </w:r>
      <w:r w:rsidR="00766D69" w:rsidRPr="00195138">
        <w:rPr>
          <w:rFonts w:ascii="ITC Avant Garde" w:hAnsi="ITC Avant Garde"/>
        </w:rPr>
        <w:t xml:space="preserve">esta exclusión </w:t>
      </w:r>
      <w:r w:rsidR="00764DFF" w:rsidRPr="00195138">
        <w:rPr>
          <w:rFonts w:ascii="ITC Avant Garde" w:hAnsi="ITC Avant Garde"/>
        </w:rPr>
        <w:t>explícitamente en los objetivos o alcances de los Anteproyectos.</w:t>
      </w:r>
    </w:p>
    <w:p w14:paraId="7ABAE0BF" w14:textId="77777777" w:rsidR="006D40A8" w:rsidRPr="00195138" w:rsidRDefault="006D40A8" w:rsidP="00E47AD5">
      <w:pPr>
        <w:pStyle w:val="Encabezado"/>
        <w:spacing w:line="288" w:lineRule="auto"/>
        <w:jc w:val="both"/>
        <w:rPr>
          <w:rFonts w:ascii="ITC Avant Garde" w:hAnsi="ITC Avant Garde"/>
          <w:sz w:val="20"/>
        </w:rPr>
      </w:pPr>
    </w:p>
    <w:p w14:paraId="6E4CF3D3" w14:textId="3BF64951" w:rsidR="006D40A8" w:rsidRPr="00195138" w:rsidRDefault="006D40A8" w:rsidP="00E47AD5">
      <w:pPr>
        <w:pStyle w:val="Encabezado"/>
        <w:spacing w:line="288" w:lineRule="auto"/>
        <w:jc w:val="both"/>
        <w:rPr>
          <w:rFonts w:ascii="ITC Avant Garde" w:hAnsi="ITC Avant Garde"/>
        </w:rPr>
      </w:pPr>
      <w:r w:rsidRPr="00195138">
        <w:rPr>
          <w:rFonts w:ascii="ITC Avant Garde" w:hAnsi="ITC Avant Garde"/>
        </w:rPr>
        <w:t>Lo anterior se estima necesario para delimitar el alcance de</w:t>
      </w:r>
      <w:r w:rsidR="00134E12" w:rsidRPr="00195138">
        <w:rPr>
          <w:rFonts w:ascii="ITC Avant Garde" w:hAnsi="ITC Avant Garde"/>
        </w:rPr>
        <w:t xml:space="preserve"> los </w:t>
      </w:r>
      <w:r w:rsidRPr="00195138">
        <w:rPr>
          <w:rFonts w:ascii="ITC Avant Garde" w:hAnsi="ITC Avant Garde"/>
        </w:rPr>
        <w:t>objetivo</w:t>
      </w:r>
      <w:r w:rsidR="00134E12" w:rsidRPr="00195138">
        <w:rPr>
          <w:rFonts w:ascii="ITC Avant Garde" w:hAnsi="ITC Avant Garde"/>
        </w:rPr>
        <w:t>s</w:t>
      </w:r>
      <w:r w:rsidRPr="00195138">
        <w:rPr>
          <w:rFonts w:ascii="ITC Avant Garde" w:hAnsi="ITC Avant Garde"/>
        </w:rPr>
        <w:t xml:space="preserve"> establecido</w:t>
      </w:r>
      <w:r w:rsidR="00134E12" w:rsidRPr="00195138">
        <w:rPr>
          <w:rFonts w:ascii="ITC Avant Garde" w:hAnsi="ITC Avant Garde"/>
        </w:rPr>
        <w:t>s</w:t>
      </w:r>
      <w:r w:rsidRPr="00195138">
        <w:rPr>
          <w:rFonts w:ascii="ITC Avant Garde" w:hAnsi="ITC Avant Garde"/>
        </w:rPr>
        <w:t xml:space="preserve"> en </w:t>
      </w:r>
      <w:r w:rsidR="00134E12" w:rsidRPr="00195138">
        <w:rPr>
          <w:rFonts w:ascii="ITC Avant Garde" w:hAnsi="ITC Avant Garde"/>
        </w:rPr>
        <w:t>los</w:t>
      </w:r>
      <w:r w:rsidRPr="00195138">
        <w:rPr>
          <w:rFonts w:ascii="ITC Avant Garde" w:hAnsi="ITC Avant Garde"/>
        </w:rPr>
        <w:t xml:space="preserve"> Anteproyecto</w:t>
      </w:r>
      <w:r w:rsidR="00134E12" w:rsidRPr="00195138">
        <w:rPr>
          <w:rFonts w:ascii="ITC Avant Garde" w:hAnsi="ITC Avant Garde"/>
        </w:rPr>
        <w:t>s</w:t>
      </w:r>
      <w:r w:rsidRPr="00195138">
        <w:rPr>
          <w:rFonts w:ascii="ITC Avant Garde" w:hAnsi="ITC Avant Garde"/>
        </w:rPr>
        <w:t xml:space="preserve">, ya que </w:t>
      </w:r>
      <w:r w:rsidR="00764DFF" w:rsidRPr="00195138">
        <w:rPr>
          <w:rFonts w:ascii="ITC Avant Garde" w:hAnsi="ITC Avant Garde"/>
        </w:rPr>
        <w:t>é</w:t>
      </w:r>
      <w:r w:rsidR="00134E12" w:rsidRPr="00195138">
        <w:rPr>
          <w:rFonts w:ascii="ITC Avant Garde" w:hAnsi="ITC Avant Garde"/>
        </w:rPr>
        <w:t>stos</w:t>
      </w:r>
      <w:r w:rsidRPr="00195138">
        <w:rPr>
          <w:rFonts w:ascii="ITC Avant Garde" w:hAnsi="ITC Avant Garde"/>
        </w:rPr>
        <w:t xml:space="preserve"> debe</w:t>
      </w:r>
      <w:r w:rsidR="00764DFF" w:rsidRPr="00195138">
        <w:rPr>
          <w:rFonts w:ascii="ITC Avant Garde" w:hAnsi="ITC Avant Garde"/>
        </w:rPr>
        <w:t>n</w:t>
      </w:r>
      <w:r w:rsidRPr="00195138">
        <w:rPr>
          <w:rFonts w:ascii="ITC Avant Garde" w:hAnsi="ITC Avant Garde"/>
        </w:rPr>
        <w:t xml:space="preserve"> quedar explícita</w:t>
      </w:r>
      <w:r w:rsidR="00764DFF" w:rsidRPr="00195138">
        <w:rPr>
          <w:rFonts w:ascii="ITC Avant Garde" w:hAnsi="ITC Avant Garde"/>
        </w:rPr>
        <w:t xml:space="preserve"> y única</w:t>
      </w:r>
      <w:r w:rsidRPr="00195138">
        <w:rPr>
          <w:rFonts w:ascii="ITC Avant Garde" w:hAnsi="ITC Avant Garde"/>
        </w:rPr>
        <w:t>mente circunscrito</w:t>
      </w:r>
      <w:r w:rsidR="00764DFF" w:rsidRPr="00195138">
        <w:rPr>
          <w:rFonts w:ascii="ITC Avant Garde" w:hAnsi="ITC Avant Garde"/>
        </w:rPr>
        <w:t>s</w:t>
      </w:r>
      <w:r w:rsidRPr="00195138">
        <w:rPr>
          <w:rFonts w:ascii="ITC Avant Garde" w:hAnsi="ITC Avant Garde"/>
        </w:rPr>
        <w:t xml:space="preserve"> al ámbito de competencia de la COFECE. </w:t>
      </w:r>
    </w:p>
    <w:p w14:paraId="4C7B846A" w14:textId="77777777" w:rsidR="00230452" w:rsidRPr="00195138" w:rsidRDefault="006D40A8" w:rsidP="00230452">
      <w:pPr>
        <w:pStyle w:val="Encabezado"/>
        <w:spacing w:line="288" w:lineRule="auto"/>
        <w:jc w:val="both"/>
        <w:rPr>
          <w:rFonts w:ascii="ITC Avant Garde" w:hAnsi="ITC Avant Garde"/>
        </w:rPr>
      </w:pPr>
      <w:r w:rsidRPr="00195138">
        <w:rPr>
          <w:rFonts w:ascii="ITC Avant Garde" w:hAnsi="ITC Avant Garde"/>
        </w:rPr>
        <w:t xml:space="preserve">Por ejemplo, </w:t>
      </w:r>
      <w:r w:rsidR="00766D69" w:rsidRPr="00195138">
        <w:rPr>
          <w:rFonts w:ascii="ITC Avant Garde" w:hAnsi="ITC Avant Garde"/>
        </w:rPr>
        <w:t>en el</w:t>
      </w:r>
      <w:r w:rsidRPr="00195138">
        <w:rPr>
          <w:rFonts w:ascii="ITC Avant Garde" w:hAnsi="ITC Avant Garde"/>
        </w:rPr>
        <w:t xml:space="preserve"> Anteproyecto</w:t>
      </w:r>
      <w:r w:rsidR="00134E12" w:rsidRPr="00195138">
        <w:rPr>
          <w:rFonts w:ascii="ITC Avant Garde" w:hAnsi="ITC Avant Garde"/>
        </w:rPr>
        <w:t xml:space="preserve"> </w:t>
      </w:r>
      <w:r w:rsidR="00FC2CE9" w:rsidRPr="00195138">
        <w:rPr>
          <w:rFonts w:ascii="ITC Avant Garde" w:hAnsi="ITC Avant Garde"/>
        </w:rPr>
        <w:t xml:space="preserve">de </w:t>
      </w:r>
      <w:r w:rsidR="00230452" w:rsidRPr="00195138">
        <w:rPr>
          <w:rFonts w:ascii="ITC Avant Garde" w:hAnsi="ITC Avant Garde" w:cstheme="majorBidi"/>
          <w:bCs/>
          <w:lang w:val="es-ES"/>
        </w:rPr>
        <w:t>“</w:t>
      </w:r>
      <w:r w:rsidR="00766D69" w:rsidRPr="00195138">
        <w:rPr>
          <w:rFonts w:ascii="ITC Avant Garde" w:hAnsi="ITC Avant Garde"/>
        </w:rPr>
        <w:t>Criterios Técnicos de la Comisión Federal de Competencia Económica para la Solicitud y Emisión de Medidas Cautelares, así como para la Fijación de Cauciones</w:t>
      </w:r>
      <w:r w:rsidR="00230452" w:rsidRPr="00195138">
        <w:rPr>
          <w:rFonts w:ascii="ITC Avant Garde" w:hAnsi="ITC Avant Garde" w:cstheme="majorBidi"/>
          <w:bCs/>
          <w:lang w:val="es-ES"/>
        </w:rPr>
        <w:t>”</w:t>
      </w:r>
      <w:r w:rsidR="00230452" w:rsidRPr="00195138">
        <w:rPr>
          <w:rFonts w:ascii="ITC Avant Garde" w:hAnsi="ITC Avant Garde"/>
        </w:rPr>
        <w:t xml:space="preserve">, </w:t>
      </w:r>
      <w:r w:rsidR="007944F6" w:rsidRPr="00195138">
        <w:rPr>
          <w:rFonts w:ascii="ITC Avant Garde" w:hAnsi="ITC Avant Garde"/>
        </w:rPr>
        <w:t xml:space="preserve">el alcance de los criterios se establece en el </w:t>
      </w:r>
      <w:r w:rsidR="00766D69" w:rsidRPr="00195138">
        <w:rPr>
          <w:rFonts w:ascii="ITC Avant Garde" w:hAnsi="ITC Avant Garde"/>
        </w:rPr>
        <w:t xml:space="preserve">artículo </w:t>
      </w:r>
      <w:r w:rsidR="007944F6" w:rsidRPr="00195138">
        <w:rPr>
          <w:rFonts w:ascii="ITC Avant Garde" w:hAnsi="ITC Avant Garde"/>
        </w:rPr>
        <w:t xml:space="preserve">SEGUNDO </w:t>
      </w:r>
      <w:r w:rsidR="00766D69" w:rsidRPr="00195138">
        <w:rPr>
          <w:rFonts w:ascii="ITC Avant Garde" w:hAnsi="ITC Avant Garde"/>
        </w:rPr>
        <w:t>transitorio</w:t>
      </w:r>
      <w:r w:rsidR="00230452" w:rsidRPr="00195138">
        <w:rPr>
          <w:rFonts w:ascii="ITC Avant Garde" w:hAnsi="ITC Avant Garde"/>
        </w:rPr>
        <w:t xml:space="preserve">, </w:t>
      </w:r>
      <w:r w:rsidR="007944F6" w:rsidRPr="00195138">
        <w:rPr>
          <w:rFonts w:ascii="ITC Avant Garde" w:hAnsi="ITC Avant Garde"/>
        </w:rPr>
        <w:t xml:space="preserve">en el que </w:t>
      </w:r>
      <w:r w:rsidR="00230452" w:rsidRPr="00195138">
        <w:rPr>
          <w:rFonts w:ascii="ITC Avant Garde" w:hAnsi="ITC Avant Garde"/>
        </w:rPr>
        <w:t>se lee:</w:t>
      </w:r>
    </w:p>
    <w:p w14:paraId="20F5CED0" w14:textId="77777777" w:rsidR="00BE4494" w:rsidRPr="00195138" w:rsidRDefault="00BE4494" w:rsidP="00230452">
      <w:pPr>
        <w:pStyle w:val="Encabezado"/>
        <w:spacing w:line="288" w:lineRule="auto"/>
        <w:jc w:val="both"/>
        <w:rPr>
          <w:rFonts w:ascii="ITC Avant Garde" w:hAnsi="ITC Avant Garde"/>
          <w:sz w:val="18"/>
        </w:rPr>
      </w:pPr>
    </w:p>
    <w:p w14:paraId="72A1AF56" w14:textId="0A8A41BD" w:rsidR="00230452" w:rsidRPr="00195138" w:rsidRDefault="00230452" w:rsidP="0028658C">
      <w:pPr>
        <w:pStyle w:val="Cuerpodeltexto0"/>
        <w:spacing w:before="0" w:after="0" w:line="288" w:lineRule="auto"/>
        <w:ind w:left="851" w:right="902" w:firstLine="0"/>
        <w:jc w:val="both"/>
        <w:rPr>
          <w:rFonts w:ascii="ITC Avant Garde" w:hAnsi="ITC Avant Garde"/>
          <w:bCs/>
          <w:noProof/>
          <w:color w:val="000000"/>
          <w:sz w:val="20"/>
          <w:szCs w:val="20"/>
        </w:rPr>
      </w:pPr>
      <w:r w:rsidRPr="00195138">
        <w:rPr>
          <w:rFonts w:ascii="ITC Avant Garde" w:hAnsi="ITC Avant Garde"/>
          <w:bCs/>
          <w:color w:val="000000"/>
          <w:sz w:val="20"/>
          <w:szCs w:val="20"/>
        </w:rPr>
        <w:t>“</w:t>
      </w:r>
      <w:r w:rsidR="007944F6" w:rsidRPr="00195138">
        <w:rPr>
          <w:rFonts w:ascii="ITC Avant Garde" w:hAnsi="ITC Avant Garde"/>
          <w:b/>
          <w:sz w:val="20"/>
          <w:szCs w:val="20"/>
        </w:rPr>
        <w:t>SEGUNDO</w:t>
      </w:r>
      <w:r w:rsidR="007944F6" w:rsidRPr="00195138">
        <w:rPr>
          <w:rFonts w:ascii="ITC Avant Garde" w:hAnsi="ITC Avant Garde"/>
          <w:sz w:val="20"/>
          <w:szCs w:val="20"/>
        </w:rPr>
        <w:t xml:space="preserve">. </w:t>
      </w:r>
      <w:r w:rsidR="00766D69" w:rsidRPr="00195138">
        <w:rPr>
          <w:rFonts w:ascii="ITC Avant Garde" w:hAnsi="ITC Avant Garde"/>
          <w:bCs/>
          <w:noProof/>
          <w:color w:val="000000"/>
          <w:sz w:val="20"/>
          <w:szCs w:val="20"/>
        </w:rPr>
        <w:t>A partir de su entrada en vigor, los presentes crite</w:t>
      </w:r>
      <w:r w:rsidR="00A8267B" w:rsidRPr="00195138">
        <w:rPr>
          <w:rFonts w:ascii="ITC Avant Garde" w:hAnsi="ITC Avant Garde"/>
          <w:bCs/>
          <w:noProof/>
          <w:color w:val="000000"/>
          <w:sz w:val="20"/>
          <w:szCs w:val="20"/>
        </w:rPr>
        <w:t>ri</w:t>
      </w:r>
      <w:r w:rsidR="00766D69" w:rsidRPr="00195138">
        <w:rPr>
          <w:rFonts w:ascii="ITC Avant Garde" w:hAnsi="ITC Avant Garde"/>
          <w:bCs/>
          <w:noProof/>
          <w:color w:val="000000"/>
          <w:sz w:val="20"/>
          <w:szCs w:val="20"/>
        </w:rPr>
        <w:t>os técnicos serán aplicables a todas las solicitudes de otorgamiento de una Medida Cautelar y de fijación de Caución que sean presentadas conforme a la Ley Federal de Competencia Económica, publicada en el Diario Oficial de la Federación el veintitrés de mayo de dos mil catorce</w:t>
      </w:r>
      <w:r w:rsidRPr="00195138">
        <w:rPr>
          <w:rFonts w:ascii="ITC Avant Garde" w:hAnsi="ITC Avant Garde"/>
          <w:bCs/>
          <w:noProof/>
          <w:color w:val="000000"/>
          <w:sz w:val="20"/>
          <w:szCs w:val="20"/>
        </w:rPr>
        <w:t>.</w:t>
      </w:r>
      <w:r w:rsidR="00766D69" w:rsidRPr="00195138">
        <w:rPr>
          <w:rFonts w:ascii="ITC Avant Garde" w:hAnsi="ITC Avant Garde"/>
          <w:bCs/>
          <w:noProof/>
          <w:color w:val="000000"/>
          <w:sz w:val="20"/>
          <w:szCs w:val="20"/>
        </w:rPr>
        <w:t>”</w:t>
      </w:r>
    </w:p>
    <w:p w14:paraId="2F664A49" w14:textId="77777777" w:rsidR="00BE4494" w:rsidRPr="00195138" w:rsidRDefault="00BE4494" w:rsidP="00230452">
      <w:pPr>
        <w:pStyle w:val="Encabezado"/>
        <w:spacing w:line="288" w:lineRule="auto"/>
        <w:jc w:val="both"/>
        <w:rPr>
          <w:rFonts w:ascii="ITC Avant Garde" w:hAnsi="ITC Avant Garde"/>
          <w:sz w:val="18"/>
        </w:rPr>
      </w:pPr>
    </w:p>
    <w:p w14:paraId="3A2932ED" w14:textId="77777777" w:rsidR="00230452" w:rsidRPr="00195138" w:rsidRDefault="00FC2CE9" w:rsidP="00230452">
      <w:pPr>
        <w:pStyle w:val="Encabezado"/>
        <w:spacing w:line="288" w:lineRule="auto"/>
        <w:jc w:val="both"/>
        <w:rPr>
          <w:rFonts w:ascii="ITC Avant Garde" w:hAnsi="ITC Avant Garde"/>
        </w:rPr>
      </w:pPr>
      <w:r w:rsidRPr="00195138">
        <w:rPr>
          <w:rFonts w:ascii="ITC Avant Garde" w:hAnsi="ITC Avant Garde"/>
        </w:rPr>
        <w:lastRenderedPageBreak/>
        <w:t xml:space="preserve">Por su parte, en </w:t>
      </w:r>
      <w:r w:rsidR="00766D69" w:rsidRPr="00195138">
        <w:rPr>
          <w:rFonts w:ascii="ITC Avant Garde" w:hAnsi="ITC Avant Garde"/>
        </w:rPr>
        <w:t>el</w:t>
      </w:r>
      <w:r w:rsidRPr="00195138">
        <w:rPr>
          <w:rFonts w:ascii="ITC Avant Garde" w:hAnsi="ITC Avant Garde"/>
        </w:rPr>
        <w:t xml:space="preserve"> Anteproyecto de </w:t>
      </w:r>
      <w:r w:rsidR="00230452" w:rsidRPr="00195138">
        <w:rPr>
          <w:rFonts w:ascii="ITC Avant Garde" w:hAnsi="ITC Avant Garde"/>
          <w:noProof/>
        </w:rPr>
        <w:t>“</w:t>
      </w:r>
      <w:r w:rsidR="00766D69" w:rsidRPr="00195138">
        <w:rPr>
          <w:rFonts w:ascii="ITC Avant Garde" w:hAnsi="ITC Avant Garde"/>
          <w:noProof/>
        </w:rPr>
        <w:t>Guía para Tramitar un Procedimiento de Investigación por Prácticas Monopólicas Absolutas</w:t>
      </w:r>
      <w:r w:rsidR="00230452" w:rsidRPr="00195138">
        <w:rPr>
          <w:rFonts w:ascii="ITC Avant Garde" w:hAnsi="ITC Avant Garde"/>
          <w:noProof/>
        </w:rPr>
        <w:t>”</w:t>
      </w:r>
      <w:r w:rsidR="00766D69" w:rsidRPr="00195138">
        <w:rPr>
          <w:rFonts w:ascii="ITC Avant Garde" w:hAnsi="ITC Avant Garde"/>
          <w:noProof/>
        </w:rPr>
        <w:t xml:space="preserve">, en </w:t>
      </w:r>
      <w:r w:rsidR="00561D0D" w:rsidRPr="00195138">
        <w:rPr>
          <w:rFonts w:ascii="ITC Avant Garde" w:hAnsi="ITC Avant Garde"/>
          <w:noProof/>
        </w:rPr>
        <w:t>la I</w:t>
      </w:r>
      <w:r w:rsidR="007944F6" w:rsidRPr="00195138">
        <w:rPr>
          <w:rFonts w:ascii="ITC Avant Garde" w:hAnsi="ITC Avant Garde"/>
          <w:noProof/>
        </w:rPr>
        <w:t>ntroducción</w:t>
      </w:r>
      <w:r w:rsidR="00561D0D" w:rsidRPr="00195138">
        <w:rPr>
          <w:rFonts w:ascii="ITC Avant Garde" w:hAnsi="ITC Avant Garde"/>
          <w:noProof/>
        </w:rPr>
        <w:t xml:space="preserve"> y</w:t>
      </w:r>
      <w:r w:rsidR="007944F6" w:rsidRPr="00195138">
        <w:rPr>
          <w:rFonts w:ascii="ITC Avant Garde" w:hAnsi="ITC Avant Garde"/>
          <w:noProof/>
        </w:rPr>
        <w:t xml:space="preserve"> </w:t>
      </w:r>
      <w:r w:rsidR="00766D69" w:rsidRPr="00195138">
        <w:rPr>
          <w:rFonts w:ascii="ITC Avant Garde" w:hAnsi="ITC Avant Garde"/>
          <w:noProof/>
        </w:rPr>
        <w:t xml:space="preserve">el párrafo primero de la sección </w:t>
      </w:r>
      <w:r w:rsidR="00CC5A57" w:rsidRPr="00195138">
        <w:rPr>
          <w:rFonts w:ascii="ITC Avant Garde" w:hAnsi="ITC Avant Garde"/>
          <w:noProof/>
        </w:rPr>
        <w:t>III</w:t>
      </w:r>
      <w:r w:rsidR="00230452" w:rsidRPr="00195138">
        <w:rPr>
          <w:rFonts w:ascii="ITC Avant Garde" w:hAnsi="ITC Avant Garde"/>
        </w:rPr>
        <w:t xml:space="preserve"> se lee</w:t>
      </w:r>
      <w:r w:rsidR="00CC5A57" w:rsidRPr="00195138">
        <w:rPr>
          <w:rFonts w:ascii="ITC Avant Garde" w:hAnsi="ITC Avant Garde"/>
        </w:rPr>
        <w:t>,</w:t>
      </w:r>
      <w:r w:rsidR="00561D0D" w:rsidRPr="00195138">
        <w:rPr>
          <w:rFonts w:ascii="ITC Avant Garde" w:hAnsi="ITC Avant Garde"/>
        </w:rPr>
        <w:t xml:space="preserve"> respectivamente</w:t>
      </w:r>
      <w:r w:rsidR="00230452" w:rsidRPr="00195138">
        <w:rPr>
          <w:rFonts w:ascii="ITC Avant Garde" w:hAnsi="ITC Avant Garde"/>
        </w:rPr>
        <w:t>:</w:t>
      </w:r>
    </w:p>
    <w:p w14:paraId="59937414" w14:textId="77777777" w:rsidR="007944F6" w:rsidRPr="00195138" w:rsidRDefault="007944F6" w:rsidP="007944F6">
      <w:pPr>
        <w:pStyle w:val="Cuerpodeltexto0"/>
        <w:spacing w:after="120" w:line="288" w:lineRule="auto"/>
        <w:ind w:left="851" w:right="902" w:firstLine="0"/>
        <w:jc w:val="both"/>
        <w:rPr>
          <w:rFonts w:ascii="ITC Avant Garde" w:hAnsi="ITC Avant Garde"/>
          <w:bCs/>
          <w:color w:val="000000"/>
          <w:sz w:val="20"/>
          <w:szCs w:val="20"/>
        </w:rPr>
      </w:pPr>
      <w:r w:rsidRPr="00195138">
        <w:rPr>
          <w:rFonts w:ascii="ITC Avant Garde" w:hAnsi="ITC Avant Garde"/>
          <w:bCs/>
          <w:color w:val="000000"/>
          <w:sz w:val="20"/>
          <w:szCs w:val="20"/>
        </w:rPr>
        <w:t xml:space="preserve">“El veintitrés de mayo de dos mil catorce, se publicó en el DOF el Decreto por medio del cual se expidió la LFCE y en cuyo texto se observa que la COFECE tiene, entre otras facultades, la de expedir directrices, guías, lineamientos y criterios técnicos que sean necesarios para el efectivo cumplimiento de la propia Ley.” </w:t>
      </w:r>
    </w:p>
    <w:p w14:paraId="08D91622" w14:textId="77777777" w:rsidR="00230452" w:rsidRPr="00195138" w:rsidRDefault="00230452" w:rsidP="00BE4494">
      <w:pPr>
        <w:pStyle w:val="Cuerpodeltexto0"/>
        <w:spacing w:before="0" w:after="0" w:line="288" w:lineRule="auto"/>
        <w:ind w:left="851" w:right="902" w:firstLine="0"/>
        <w:jc w:val="both"/>
        <w:rPr>
          <w:rFonts w:ascii="ITC Avant Garde" w:hAnsi="ITC Avant Garde"/>
          <w:bCs/>
          <w:color w:val="000000"/>
          <w:sz w:val="20"/>
          <w:szCs w:val="20"/>
        </w:rPr>
      </w:pPr>
      <w:r w:rsidRPr="00195138">
        <w:rPr>
          <w:rFonts w:ascii="ITC Avant Garde" w:hAnsi="ITC Avant Garde"/>
          <w:bCs/>
          <w:color w:val="000000"/>
          <w:sz w:val="20"/>
          <w:szCs w:val="20"/>
        </w:rPr>
        <w:t>“</w:t>
      </w:r>
      <w:r w:rsidR="00416F17" w:rsidRPr="00195138">
        <w:rPr>
          <w:rFonts w:ascii="ITC Avant Garde" w:hAnsi="ITC Avant Garde"/>
          <w:bCs/>
          <w:color w:val="000000"/>
          <w:sz w:val="20"/>
          <w:szCs w:val="20"/>
        </w:rPr>
        <w:t>La COFECE tiene como principal objeto garantizar la libre concurrencia y competencia económica, así como prevenir, investigar y combatir, entre otras, las prácticas monopólicas, las concentraciones ilícitas y demás restricciones al funcionamiento eficiente de los mercados</w:t>
      </w:r>
      <w:r w:rsidRPr="00195138">
        <w:rPr>
          <w:rFonts w:ascii="ITC Avant Garde" w:hAnsi="ITC Avant Garde"/>
          <w:bCs/>
          <w:color w:val="000000"/>
          <w:sz w:val="20"/>
          <w:szCs w:val="20"/>
        </w:rPr>
        <w:t>.</w:t>
      </w:r>
      <w:r w:rsidR="00561D0D" w:rsidRPr="00195138">
        <w:rPr>
          <w:rFonts w:ascii="ITC Avant Garde" w:hAnsi="ITC Avant Garde"/>
          <w:bCs/>
          <w:color w:val="000000"/>
          <w:sz w:val="20"/>
          <w:szCs w:val="20"/>
        </w:rPr>
        <w:t>”</w:t>
      </w:r>
    </w:p>
    <w:p w14:paraId="1CF8F60D" w14:textId="77777777" w:rsidR="00BE4494" w:rsidRPr="00195138" w:rsidRDefault="00BE4494" w:rsidP="00BE4494">
      <w:pPr>
        <w:pStyle w:val="Cuerpodeltexto0"/>
        <w:spacing w:before="0" w:after="0" w:line="288" w:lineRule="auto"/>
        <w:ind w:left="851" w:right="902" w:firstLine="0"/>
        <w:jc w:val="both"/>
        <w:rPr>
          <w:rFonts w:ascii="ITC Avant Garde" w:hAnsi="ITC Avant Garde"/>
          <w:bCs/>
          <w:color w:val="000000"/>
          <w:sz w:val="20"/>
          <w:szCs w:val="20"/>
        </w:rPr>
      </w:pPr>
    </w:p>
    <w:p w14:paraId="39135D8E" w14:textId="77777777" w:rsidR="006D40A8" w:rsidRPr="00195138" w:rsidRDefault="006D40A8" w:rsidP="00E47AD5">
      <w:pPr>
        <w:pStyle w:val="Encabezado"/>
        <w:spacing w:line="288" w:lineRule="auto"/>
        <w:jc w:val="both"/>
        <w:rPr>
          <w:rFonts w:ascii="ITC Avant Garde" w:hAnsi="ITC Avant Garde"/>
        </w:rPr>
      </w:pPr>
      <w:r w:rsidRPr="00195138">
        <w:rPr>
          <w:rFonts w:ascii="ITC Avant Garde" w:hAnsi="ITC Avant Garde"/>
        </w:rPr>
        <w:t xml:space="preserve">En atención a lo dispuesto en los artículos 28, párrafo decimosexto, de la Constitución Política de los Estados Unidos Mexicanos (CPEUM) y 5 de la LFCE, es necesario que </w:t>
      </w:r>
      <w:r w:rsidR="003209D8" w:rsidRPr="00195138">
        <w:rPr>
          <w:rFonts w:ascii="ITC Avant Garde" w:hAnsi="ITC Avant Garde"/>
        </w:rPr>
        <w:t xml:space="preserve">en </w:t>
      </w:r>
      <w:r w:rsidR="00EB22E2" w:rsidRPr="00195138">
        <w:rPr>
          <w:rFonts w:ascii="ITC Avant Garde" w:hAnsi="ITC Avant Garde"/>
        </w:rPr>
        <w:t xml:space="preserve">el </w:t>
      </w:r>
      <w:r w:rsidR="00416F17" w:rsidRPr="00195138">
        <w:rPr>
          <w:rFonts w:ascii="ITC Avant Garde" w:hAnsi="ITC Avant Garde"/>
        </w:rPr>
        <w:t xml:space="preserve">artículo </w:t>
      </w:r>
      <w:r w:rsidR="00561D0D" w:rsidRPr="00195138">
        <w:rPr>
          <w:rFonts w:ascii="ITC Avant Garde" w:hAnsi="ITC Avant Garde"/>
        </w:rPr>
        <w:t xml:space="preserve">SEGUNDO </w:t>
      </w:r>
      <w:r w:rsidR="00416F17" w:rsidRPr="00195138">
        <w:rPr>
          <w:rFonts w:ascii="ITC Avant Garde" w:hAnsi="ITC Avant Garde"/>
        </w:rPr>
        <w:t>transitorio</w:t>
      </w:r>
      <w:r w:rsidR="003209D8" w:rsidRPr="00195138">
        <w:rPr>
          <w:rFonts w:ascii="ITC Avant Garde" w:hAnsi="ITC Avant Garde"/>
        </w:rPr>
        <w:t xml:space="preserve"> del</w:t>
      </w:r>
      <w:r w:rsidR="003209D8" w:rsidRPr="00195138">
        <w:t xml:space="preserve"> </w:t>
      </w:r>
      <w:r w:rsidR="003209D8" w:rsidRPr="00195138">
        <w:rPr>
          <w:rFonts w:ascii="ITC Avant Garde" w:hAnsi="ITC Avant Garde"/>
        </w:rPr>
        <w:t>Anteproyecto de “</w:t>
      </w:r>
      <w:r w:rsidR="00416F17" w:rsidRPr="00195138">
        <w:rPr>
          <w:rFonts w:ascii="ITC Avant Garde" w:hAnsi="ITC Avant Garde"/>
        </w:rPr>
        <w:t>Criterios Técnicos de la Comisión Federal de Competencia Económica para la Solicitud y Emisión de Medidas Cautelares, así como la Fijación de Cauciones</w:t>
      </w:r>
      <w:r w:rsidR="00EB22E2" w:rsidRPr="00195138">
        <w:rPr>
          <w:rFonts w:ascii="ITC Avant Garde" w:hAnsi="ITC Avant Garde"/>
        </w:rPr>
        <w:t>”</w:t>
      </w:r>
      <w:r w:rsidR="00561D0D" w:rsidRPr="00195138">
        <w:rPr>
          <w:rFonts w:ascii="ITC Avant Garde" w:hAnsi="ITC Avant Garde"/>
        </w:rPr>
        <w:t>, así como</w:t>
      </w:r>
      <w:r w:rsidR="00EB22E2" w:rsidRPr="00195138">
        <w:rPr>
          <w:rFonts w:ascii="ITC Avant Garde" w:hAnsi="ITC Avant Garde"/>
        </w:rPr>
        <w:t xml:space="preserve"> </w:t>
      </w:r>
      <w:r w:rsidR="00561D0D" w:rsidRPr="00195138">
        <w:rPr>
          <w:rFonts w:ascii="ITC Avant Garde" w:hAnsi="ITC Avant Garde"/>
        </w:rPr>
        <w:t>en la Introducción</w:t>
      </w:r>
      <w:r w:rsidR="00CC5A57" w:rsidRPr="00195138">
        <w:rPr>
          <w:rFonts w:ascii="ITC Avant Garde" w:hAnsi="ITC Avant Garde"/>
        </w:rPr>
        <w:t xml:space="preserve"> y</w:t>
      </w:r>
      <w:r w:rsidR="00561D0D" w:rsidRPr="00195138">
        <w:rPr>
          <w:rFonts w:ascii="ITC Avant Garde" w:hAnsi="ITC Avant Garde"/>
        </w:rPr>
        <w:t xml:space="preserve"> el párrafo</w:t>
      </w:r>
      <w:r w:rsidR="00EB22E2" w:rsidRPr="00195138">
        <w:rPr>
          <w:rFonts w:ascii="ITC Avant Garde" w:hAnsi="ITC Avant Garde"/>
        </w:rPr>
        <w:t xml:space="preserve"> </w:t>
      </w:r>
      <w:r w:rsidR="00416F17" w:rsidRPr="00195138">
        <w:rPr>
          <w:rFonts w:ascii="ITC Avant Garde" w:hAnsi="ITC Avant Garde"/>
          <w:noProof/>
        </w:rPr>
        <w:t>primero de la sección</w:t>
      </w:r>
      <w:r w:rsidR="00416F17" w:rsidRPr="00195138">
        <w:rPr>
          <w:rFonts w:ascii="ITC Avant Garde" w:hAnsi="ITC Avant Garde"/>
        </w:rPr>
        <w:t xml:space="preserve"> </w:t>
      </w:r>
      <w:r w:rsidR="00CC5A57" w:rsidRPr="00195138">
        <w:rPr>
          <w:rFonts w:ascii="ITC Avant Garde" w:hAnsi="ITC Avant Garde"/>
        </w:rPr>
        <w:t xml:space="preserve">III, </w:t>
      </w:r>
      <w:r w:rsidR="00EB22E2" w:rsidRPr="00195138">
        <w:rPr>
          <w:rFonts w:ascii="ITC Avant Garde" w:hAnsi="ITC Avant Garde"/>
        </w:rPr>
        <w:t>del Anteproyecto de</w:t>
      </w:r>
      <w:r w:rsidR="00706D10" w:rsidRPr="00195138">
        <w:rPr>
          <w:rFonts w:ascii="ITC Avant Garde" w:hAnsi="ITC Avant Garde"/>
        </w:rPr>
        <w:t xml:space="preserve"> la</w:t>
      </w:r>
      <w:r w:rsidR="00EB22E2" w:rsidRPr="00195138">
        <w:rPr>
          <w:rFonts w:ascii="ITC Avant Garde" w:hAnsi="ITC Avant Garde"/>
        </w:rPr>
        <w:t xml:space="preserve"> “</w:t>
      </w:r>
      <w:r w:rsidR="00416F17" w:rsidRPr="00195138">
        <w:rPr>
          <w:rFonts w:ascii="ITC Avant Garde" w:hAnsi="ITC Avant Garde"/>
        </w:rPr>
        <w:t>Guía para Tramitar un Procedimiento de Investigación por Prácticas Monopólicas Absolutas</w:t>
      </w:r>
      <w:r w:rsidR="00EB22E2" w:rsidRPr="00195138">
        <w:rPr>
          <w:rFonts w:ascii="ITC Avant Garde" w:hAnsi="ITC Avant Garde"/>
        </w:rPr>
        <w:t xml:space="preserve">” </w:t>
      </w:r>
      <w:r w:rsidRPr="00195138">
        <w:rPr>
          <w:rFonts w:ascii="ITC Avant Garde" w:hAnsi="ITC Avant Garde"/>
        </w:rPr>
        <w:t xml:space="preserve">se aclare que los </w:t>
      </w:r>
      <w:r w:rsidR="003209D8" w:rsidRPr="00195138">
        <w:rPr>
          <w:rFonts w:ascii="ITC Avant Garde" w:hAnsi="ITC Avant Garde"/>
        </w:rPr>
        <w:t xml:space="preserve">procedimientos, atribuciones y criterios que ahí se describen </w:t>
      </w:r>
      <w:r w:rsidRPr="00195138">
        <w:rPr>
          <w:rFonts w:ascii="ITC Avant Garde" w:hAnsi="ITC Avant Garde"/>
        </w:rPr>
        <w:t xml:space="preserve">son aplicables </w:t>
      </w:r>
      <w:r w:rsidR="00764DFF" w:rsidRPr="00195138">
        <w:rPr>
          <w:rFonts w:ascii="ITC Avant Garde" w:hAnsi="ITC Avant Garde"/>
        </w:rPr>
        <w:t>únicamente</w:t>
      </w:r>
      <w:r w:rsidR="003209D8" w:rsidRPr="00195138">
        <w:rPr>
          <w:rFonts w:ascii="ITC Avant Garde" w:hAnsi="ITC Avant Garde"/>
        </w:rPr>
        <w:t xml:space="preserve"> respecto </w:t>
      </w:r>
      <w:r w:rsidR="00764DFF" w:rsidRPr="00195138">
        <w:rPr>
          <w:rFonts w:ascii="ITC Avant Garde" w:hAnsi="ITC Avant Garde"/>
        </w:rPr>
        <w:t>de</w:t>
      </w:r>
      <w:r w:rsidR="003209D8" w:rsidRPr="00195138">
        <w:rPr>
          <w:rFonts w:ascii="ITC Avant Garde" w:hAnsi="ITC Avant Garde"/>
        </w:rPr>
        <w:t xml:space="preserve"> las actividades económicas </w:t>
      </w:r>
      <w:r w:rsidRPr="00195138">
        <w:rPr>
          <w:rFonts w:ascii="ITC Avant Garde" w:hAnsi="ITC Avant Garde"/>
        </w:rPr>
        <w:t xml:space="preserve">que se encuentran </w:t>
      </w:r>
      <w:r w:rsidR="00764DFF" w:rsidRPr="00195138">
        <w:rPr>
          <w:rFonts w:ascii="ITC Avant Garde" w:hAnsi="ITC Avant Garde"/>
        </w:rPr>
        <w:t>dentro d</w:t>
      </w:r>
      <w:r w:rsidRPr="00195138">
        <w:rPr>
          <w:rFonts w:ascii="ITC Avant Garde" w:hAnsi="ITC Avant Garde"/>
        </w:rPr>
        <w:t>el ámbito de competencia de la COFECE. También es necesario que se precise que el ámbito de facultades de la COFECE no incluye las actividades económicas en los sectores de telecomunicaciones y radiodifusión, en los cuales este Instituto es la autoridad en materia de competencia económica.</w:t>
      </w:r>
      <w:r w:rsidR="003209D8" w:rsidRPr="00195138">
        <w:rPr>
          <w:rFonts w:ascii="ITC Avant Garde" w:hAnsi="ITC Avant Garde"/>
        </w:rPr>
        <w:t xml:space="preserve"> </w:t>
      </w:r>
    </w:p>
    <w:p w14:paraId="36F8E8DA" w14:textId="77777777" w:rsidR="003209D8" w:rsidRPr="00195138" w:rsidRDefault="003209D8" w:rsidP="00E47AD5">
      <w:pPr>
        <w:pStyle w:val="Encabezado"/>
        <w:spacing w:line="288" w:lineRule="auto"/>
        <w:jc w:val="both"/>
        <w:rPr>
          <w:rFonts w:ascii="ITC Avant Garde" w:hAnsi="ITC Avant Garde"/>
          <w:sz w:val="20"/>
        </w:rPr>
      </w:pPr>
    </w:p>
    <w:p w14:paraId="0609CBFD" w14:textId="77777777" w:rsidR="006D40A8" w:rsidRPr="00195138" w:rsidRDefault="006D40A8" w:rsidP="00E47AD5">
      <w:pPr>
        <w:pStyle w:val="Encabezado"/>
        <w:spacing w:line="288" w:lineRule="auto"/>
        <w:jc w:val="both"/>
        <w:rPr>
          <w:rFonts w:ascii="ITC Avant Garde" w:hAnsi="ITC Avant Garde"/>
        </w:rPr>
      </w:pPr>
      <w:r w:rsidRPr="00195138">
        <w:rPr>
          <w:rFonts w:ascii="ITC Avant Garde" w:hAnsi="ITC Avant Garde"/>
        </w:rPr>
        <w:t>La referencia explícita al ámbito de aplicación de l</w:t>
      </w:r>
      <w:r w:rsidR="00416F17" w:rsidRPr="00195138">
        <w:rPr>
          <w:rFonts w:ascii="ITC Avant Garde" w:hAnsi="ITC Avant Garde"/>
        </w:rPr>
        <w:t>os Criterios Técnicos y la</w:t>
      </w:r>
      <w:r w:rsidR="00EB22E2" w:rsidRPr="00195138">
        <w:rPr>
          <w:rFonts w:ascii="ITC Avant Garde" w:hAnsi="ITC Avant Garde"/>
        </w:rPr>
        <w:t xml:space="preserve"> Guía</w:t>
      </w:r>
      <w:r w:rsidRPr="00195138">
        <w:rPr>
          <w:rFonts w:ascii="ITC Avant Garde" w:hAnsi="ITC Avant Garde"/>
        </w:rPr>
        <w:t xml:space="preserve"> y de los respectivos ámbitos exclusivos para el ejercicio de facultades como autoridades de competencia, tanto de la COFECE como del Instituto, contribuirá a</w:t>
      </w:r>
      <w:r w:rsidR="00764DFF" w:rsidRPr="00195138">
        <w:rPr>
          <w:rFonts w:ascii="ITC Avant Garde" w:hAnsi="ITC Avant Garde"/>
        </w:rPr>
        <w:t xml:space="preserve"> proporcionar certeza jurídica a los Agentes Económicos, así como a</w:t>
      </w:r>
      <w:r w:rsidRPr="00195138">
        <w:rPr>
          <w:rFonts w:ascii="ITC Avant Garde" w:hAnsi="ITC Avant Garde"/>
        </w:rPr>
        <w:t xml:space="preserve"> facilitar el entendimiento y realización de procedimientos en el ámbito de competencia de cada órgano autónomo.</w:t>
      </w:r>
    </w:p>
    <w:p w14:paraId="7CA7AC8B" w14:textId="77777777" w:rsidR="00BE4494" w:rsidRPr="00195138" w:rsidRDefault="00BE4494" w:rsidP="00E47AD5">
      <w:pPr>
        <w:pStyle w:val="Encabezado"/>
        <w:spacing w:line="288" w:lineRule="auto"/>
        <w:jc w:val="both"/>
        <w:rPr>
          <w:rFonts w:ascii="ITC Avant Garde" w:hAnsi="ITC Avant Garde"/>
          <w:sz w:val="18"/>
        </w:rPr>
      </w:pPr>
    </w:p>
    <w:p w14:paraId="6EC36378" w14:textId="77777777" w:rsidR="006D40A8" w:rsidRDefault="006D40A8" w:rsidP="00E47AD5">
      <w:pPr>
        <w:pStyle w:val="Encabezado"/>
        <w:spacing w:line="288" w:lineRule="auto"/>
        <w:jc w:val="both"/>
        <w:rPr>
          <w:rFonts w:ascii="ITC Avant Garde" w:hAnsi="ITC Avant Garde"/>
        </w:rPr>
      </w:pPr>
      <w:r w:rsidRPr="00195138">
        <w:rPr>
          <w:rFonts w:ascii="ITC Avant Garde" w:hAnsi="ITC Avant Garde"/>
        </w:rPr>
        <w:t xml:space="preserve">Con base en lo anterior y con fundamento en lo dispuesto por los artículos 28, párrafos decimoquinto y decimosexto, de la Constitución Política de los Estados Unidos Mexicanos; 1, 2, 4, 5, párrafo primero, 12, fracción XXX, y 138, fracción I, de la Ley Federal de Competencia Económica publicada en el Diario Oficial de la Federación el veintitrés de mayo de dos mil catorce; y 1, párrafos primero y tercero, </w:t>
      </w:r>
      <w:r w:rsidRPr="00195138">
        <w:rPr>
          <w:rFonts w:ascii="ITC Avant Garde" w:hAnsi="ITC Avant Garde"/>
        </w:rPr>
        <w:lastRenderedPageBreak/>
        <w:t>2, fracción X, 4, fracción I, 6, fracción XXXVII, 7 y 8, del Estatuto Orgánico del Instituto Federal de Telecomunicaciones, publicado en el Diario Oficial de la Federación el cuatro de septiembre de dos mil catorce y modificado mediante acuerdo publicado en el Diario Oficial de la Federación el diecisiete de octubre de dos mil catorce, el Pleno del Instituto Federal de Telecomunicaciones emite los siguientes:</w:t>
      </w:r>
    </w:p>
    <w:p w14:paraId="242B0FFB" w14:textId="77777777" w:rsidR="00195138" w:rsidRPr="00195138" w:rsidRDefault="00195138" w:rsidP="00E47AD5">
      <w:pPr>
        <w:pStyle w:val="Encabezado"/>
        <w:spacing w:line="288" w:lineRule="auto"/>
        <w:jc w:val="both"/>
        <w:rPr>
          <w:rFonts w:ascii="ITC Avant Garde" w:hAnsi="ITC Avant Garde"/>
        </w:rPr>
      </w:pPr>
    </w:p>
    <w:p w14:paraId="20A78B08" w14:textId="77777777" w:rsidR="006D40A8" w:rsidRDefault="006D40A8" w:rsidP="00195138">
      <w:pPr>
        <w:pStyle w:val="Ttulo3"/>
        <w:keepNext w:val="0"/>
        <w:widowControl w:val="0"/>
        <w:numPr>
          <w:ilvl w:val="0"/>
          <w:numId w:val="3"/>
        </w:numPr>
        <w:spacing w:line="276" w:lineRule="auto"/>
        <w:ind w:left="0" w:firstLine="0"/>
        <w:jc w:val="center"/>
        <w:rPr>
          <w:rFonts w:ascii="ITC Avant Garde" w:hAnsi="ITC Avant Garde" w:cs="Times New Roman"/>
          <w:szCs w:val="22"/>
        </w:rPr>
      </w:pPr>
      <w:r w:rsidRPr="00195138">
        <w:rPr>
          <w:rFonts w:ascii="ITC Avant Garde" w:hAnsi="ITC Avant Garde" w:cs="Times New Roman"/>
          <w:szCs w:val="22"/>
        </w:rPr>
        <w:t>ACUERDOS</w:t>
      </w:r>
    </w:p>
    <w:p w14:paraId="2310D365" w14:textId="77777777" w:rsidR="00195138" w:rsidRPr="00195138" w:rsidRDefault="00195138" w:rsidP="00195138"/>
    <w:p w14:paraId="4793429D" w14:textId="447485BE" w:rsidR="00BE4494" w:rsidRPr="00195138" w:rsidRDefault="006D40A8" w:rsidP="00BE4494">
      <w:pPr>
        <w:pStyle w:val="Encabezado"/>
        <w:widowControl w:val="0"/>
        <w:spacing w:line="288" w:lineRule="auto"/>
        <w:jc w:val="both"/>
        <w:rPr>
          <w:rFonts w:ascii="ITC Avant Garde" w:hAnsi="ITC Avant Garde"/>
        </w:rPr>
      </w:pPr>
      <w:r w:rsidRPr="00195138">
        <w:rPr>
          <w:rFonts w:ascii="ITC Avant Garde" w:hAnsi="ITC Avant Garde"/>
          <w:b/>
        </w:rPr>
        <w:t>PRIMERO</w:t>
      </w:r>
      <w:r w:rsidRPr="00195138">
        <w:rPr>
          <w:rFonts w:ascii="ITC Avant Garde" w:hAnsi="ITC Avant Garde"/>
        </w:rPr>
        <w:t xml:space="preserve">.- Se emite opinión a la Comisión Federal de Competencia Económica en la que se sugiere incluir, en </w:t>
      </w:r>
      <w:r w:rsidR="00416F17" w:rsidRPr="00195138">
        <w:rPr>
          <w:rFonts w:ascii="ITC Avant Garde" w:hAnsi="ITC Avant Garde"/>
        </w:rPr>
        <w:t>los Criterios Técnicos de la Comisión Federal de Competencia Económica para la Solicitud y Emisión de Medidas Cautelares, así como la Fijación de Cauciones</w:t>
      </w:r>
      <w:r w:rsidRPr="00195138">
        <w:rPr>
          <w:rFonts w:ascii="ITC Avant Garde" w:hAnsi="ITC Avant Garde"/>
        </w:rPr>
        <w:t xml:space="preserve"> </w:t>
      </w:r>
      <w:r w:rsidR="00EB22E2" w:rsidRPr="00195138">
        <w:rPr>
          <w:rFonts w:ascii="ITC Avant Garde" w:hAnsi="ITC Avant Garde"/>
        </w:rPr>
        <w:t xml:space="preserve">y </w:t>
      </w:r>
      <w:r w:rsidR="00E27F6A" w:rsidRPr="00195138">
        <w:rPr>
          <w:rFonts w:ascii="ITC Avant Garde" w:hAnsi="ITC Avant Garde"/>
        </w:rPr>
        <w:t xml:space="preserve">en la </w:t>
      </w:r>
      <w:r w:rsidR="00EB22E2" w:rsidRPr="00195138">
        <w:rPr>
          <w:rFonts w:ascii="ITC Avant Garde" w:hAnsi="ITC Avant Garde"/>
        </w:rPr>
        <w:t xml:space="preserve">Guía </w:t>
      </w:r>
      <w:r w:rsidR="00416F17" w:rsidRPr="00195138">
        <w:rPr>
          <w:rFonts w:ascii="ITC Avant Garde" w:hAnsi="ITC Avant Garde"/>
        </w:rPr>
        <w:t xml:space="preserve">para Tramitar un Procedimiento de Investigación por Prácticas Monopólicas Absolutas </w:t>
      </w:r>
      <w:r w:rsidRPr="00195138">
        <w:rPr>
          <w:rFonts w:ascii="ITC Avant Garde" w:hAnsi="ITC Avant Garde"/>
        </w:rPr>
        <w:t xml:space="preserve">que en su caso emita, la mención explícita de que su aplicación tendrá lugar </w:t>
      </w:r>
      <w:r w:rsidR="00E27F6A" w:rsidRPr="00195138">
        <w:rPr>
          <w:rFonts w:ascii="ITC Avant Garde" w:hAnsi="ITC Avant Garde"/>
        </w:rPr>
        <w:t>únicamente</w:t>
      </w:r>
      <w:r w:rsidRPr="00195138">
        <w:rPr>
          <w:rFonts w:ascii="ITC Avant Garde" w:hAnsi="ITC Avant Garde"/>
        </w:rPr>
        <w:t xml:space="preserve"> respecto </w:t>
      </w:r>
      <w:r w:rsidR="00E27F6A" w:rsidRPr="00195138">
        <w:rPr>
          <w:rFonts w:ascii="ITC Avant Garde" w:hAnsi="ITC Avant Garde"/>
        </w:rPr>
        <w:t>de</w:t>
      </w:r>
      <w:r w:rsidRPr="00195138">
        <w:rPr>
          <w:rFonts w:ascii="ITC Avant Garde" w:hAnsi="ITC Avant Garde"/>
        </w:rPr>
        <w:t xml:space="preserve"> las actividades económicas que se encuentran en su ámbito de competencia</w:t>
      </w:r>
      <w:r w:rsidR="009A14B0" w:rsidRPr="00195138">
        <w:rPr>
          <w:rFonts w:ascii="ITC Avant Garde" w:hAnsi="ITC Avant Garde"/>
        </w:rPr>
        <w:t xml:space="preserve"> que</w:t>
      </w:r>
      <w:r w:rsidRPr="00195138">
        <w:rPr>
          <w:rFonts w:ascii="ITC Avant Garde" w:hAnsi="ITC Avant Garde"/>
        </w:rPr>
        <w:t xml:space="preserve"> no incluye los sectores de telecomunicaciones y radiodifusión, pues en ellos el Instituto Federal de Telecomunicaciones es la autoridad de competencia. Lo anterior de conformidad con el párrafo decimosexto del artículo 28 de la Constitución Política de los Estados Unidos Mexicanos y el artículo 5 de la Ley Federal de Competencia Económica.</w:t>
      </w:r>
    </w:p>
    <w:p w14:paraId="453BA6DC" w14:textId="77777777" w:rsidR="00BE4494" w:rsidRPr="00195138" w:rsidRDefault="00BE4494" w:rsidP="00BE4494">
      <w:pPr>
        <w:pStyle w:val="Encabezado"/>
        <w:widowControl w:val="0"/>
        <w:spacing w:line="288" w:lineRule="auto"/>
        <w:jc w:val="both"/>
        <w:rPr>
          <w:rFonts w:ascii="ITC Avant Garde" w:hAnsi="ITC Avant Garde"/>
        </w:rPr>
      </w:pPr>
    </w:p>
    <w:p w14:paraId="4040F1A0" w14:textId="77777777" w:rsidR="006D40A8" w:rsidRPr="00195138" w:rsidRDefault="006D40A8" w:rsidP="00BE4494">
      <w:pPr>
        <w:pStyle w:val="Encabezado"/>
        <w:widowControl w:val="0"/>
        <w:spacing w:line="288" w:lineRule="auto"/>
        <w:jc w:val="both"/>
        <w:rPr>
          <w:rFonts w:ascii="ITC Avant Garde" w:hAnsi="ITC Avant Garde"/>
        </w:rPr>
      </w:pPr>
      <w:r w:rsidRPr="00195138">
        <w:rPr>
          <w:rFonts w:ascii="ITC Avant Garde" w:hAnsi="ITC Avant Garde"/>
          <w:b/>
        </w:rPr>
        <w:t>SEGUNDO.-</w:t>
      </w:r>
      <w:r w:rsidRPr="00195138">
        <w:rPr>
          <w:rFonts w:ascii="ITC Avant Garde" w:hAnsi="ITC Avant Garde"/>
        </w:rPr>
        <w:t>Se instruye a la Unidad de Competencia Económica que comunique formalmente a la Comisión Federal de Competencia Económica este acuerdo emitido por el Pleno del Instituto Federal de Telecomunicaciones.</w:t>
      </w:r>
    </w:p>
    <w:p w14:paraId="78921763" w14:textId="77777777" w:rsidR="00BE4494" w:rsidRPr="00195138" w:rsidRDefault="00BE4494" w:rsidP="00BE4494">
      <w:pPr>
        <w:pStyle w:val="Encabezado"/>
        <w:widowControl w:val="0"/>
        <w:spacing w:line="288" w:lineRule="auto"/>
        <w:jc w:val="both"/>
        <w:rPr>
          <w:rFonts w:ascii="ITC Avant Garde" w:hAnsi="ITC Avant Garde"/>
        </w:rPr>
      </w:pPr>
    </w:p>
    <w:p w14:paraId="248F213B" w14:textId="77777777" w:rsidR="006D40A8" w:rsidRPr="00195138" w:rsidRDefault="006D40A8" w:rsidP="00195138">
      <w:pPr>
        <w:pStyle w:val="Encabezado"/>
        <w:widowControl w:val="0"/>
        <w:spacing w:line="288" w:lineRule="auto"/>
        <w:jc w:val="both"/>
        <w:rPr>
          <w:rFonts w:ascii="ITC Avant Garde" w:hAnsi="ITC Avant Garde"/>
        </w:rPr>
      </w:pPr>
      <w:r w:rsidRPr="00195138">
        <w:rPr>
          <w:rFonts w:ascii="ITC Avant Garde" w:hAnsi="ITC Avant Garde"/>
          <w:b/>
        </w:rPr>
        <w:t xml:space="preserve">TERCERO.- </w:t>
      </w:r>
      <w:r w:rsidRPr="00195138">
        <w:rPr>
          <w:rFonts w:ascii="ITC Avant Garde" w:hAnsi="ITC Avant Garde"/>
        </w:rPr>
        <w:t>Publíquese el presente acuerdo en la página de Internet del Instituto Federal de Telecomunicaciones.</w:t>
      </w:r>
    </w:p>
    <w:p w14:paraId="21FA90C1" w14:textId="77777777" w:rsidR="006D40A8" w:rsidRPr="00195138" w:rsidRDefault="006D40A8" w:rsidP="00195138">
      <w:pPr>
        <w:pStyle w:val="Encabezado"/>
        <w:widowControl w:val="0"/>
        <w:spacing w:line="288" w:lineRule="auto"/>
        <w:jc w:val="both"/>
        <w:rPr>
          <w:rFonts w:ascii="ITC Avant Garde" w:hAnsi="ITC Avant Garde"/>
        </w:rPr>
      </w:pPr>
    </w:p>
    <w:p w14:paraId="762252B2" w14:textId="77777777" w:rsidR="000F7B7D" w:rsidRPr="00195138" w:rsidRDefault="000F7B7D" w:rsidP="000F7B7D">
      <w:pPr>
        <w:spacing w:after="0" w:line="240" w:lineRule="auto"/>
        <w:jc w:val="both"/>
        <w:rPr>
          <w:rFonts w:eastAsiaTheme="minorHAnsi"/>
          <w:sz w:val="14"/>
        </w:rPr>
      </w:pPr>
      <w:r w:rsidRPr="00195138">
        <w:rPr>
          <w:rFonts w:ascii="ITC Avant Garde" w:hAnsi="ITC Avant Garde"/>
          <w:sz w:val="14"/>
        </w:rPr>
        <w:t>El presente Acuerdo fue aprobado por el Pleno del Instituto Federal de Telecomunicaciones en su XLI Sesión Extraordinaria celebrada el 2 de noviembre de 2015, por unanimidad de votos de los Comisionados Gabriel Oswaldo Contreras Saldívar, Luis Fernando Borjón Figueroa,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5 y 18 de la Ley Federal de Competencia Económica; así como en los artículos 1, 7, 8 y 12 del Estatuto Orgánico del Instituto Federal de Telecomunicaciones, mediante Acuerdo P/IFT/EXT/021115/155.</w:t>
      </w:r>
    </w:p>
    <w:p w14:paraId="1ED31478" w14:textId="5175BDE4" w:rsidR="000F7B7D" w:rsidRPr="00195138" w:rsidRDefault="000F7B7D" w:rsidP="000F7B7D">
      <w:pPr>
        <w:spacing w:after="0" w:line="240" w:lineRule="auto"/>
        <w:jc w:val="both"/>
        <w:rPr>
          <w:sz w:val="14"/>
        </w:rPr>
      </w:pPr>
      <w:r w:rsidRPr="00195138">
        <w:rPr>
          <w:rFonts w:ascii="ITC Avant Garde" w:hAnsi="ITC Avant Garde"/>
          <w:sz w:val="14"/>
        </w:rPr>
        <w:t>La Comisionada Adriana Sofía Labardini Inzunza asistió, participó y emitió su voto razonado en la Sesión, mediante comunicación electrónica a distancia, tal y como lo señala el artículo 45, cuarto párrafo, de la Ley Federal de Telecomunicaciones y Radiodifusión; y el artículo 8, tercer párrafo, del Estatuto Orgánico del Instituto Federal de Telecomunicaciones.</w:t>
      </w:r>
    </w:p>
    <w:p w14:paraId="51FE99B6" w14:textId="0116C820" w:rsidR="000F7B7D" w:rsidRPr="00195138" w:rsidRDefault="000F7B7D" w:rsidP="000F7B7D">
      <w:pPr>
        <w:spacing w:after="0" w:line="240" w:lineRule="auto"/>
        <w:jc w:val="both"/>
        <w:rPr>
          <w:rFonts w:ascii="ITC Avant Garde" w:hAnsi="ITC Avant Garde"/>
        </w:rPr>
      </w:pPr>
      <w:r w:rsidRPr="00195138">
        <w:rPr>
          <w:rFonts w:ascii="ITC Avant Garde" w:hAnsi="ITC Avant Garde"/>
          <w:sz w:val="14"/>
        </w:rPr>
        <w:t>Los Comisionados Luis Fernando Borjón Figueroa y Adolfo Cuevas Teja, previendo su ausencia justificada a la sesión, emitieron su voto razonado a favor por escrito, de conformidad con los artículos 5 y 18 párrafo segundo de la Ley Federal de Competencia Económica; 15 fracción XVIII, de la Ley Federal de Telecomunicaciones y Radiodifusión; y el artículo 8, segundo párrafo, del Estatuto Orgánico del Instituto Federal de Telecomunicaciones.</w:t>
      </w:r>
      <w:bookmarkStart w:id="0" w:name="_GoBack"/>
      <w:bookmarkEnd w:id="0"/>
    </w:p>
    <w:sectPr w:rsidR="000F7B7D" w:rsidRPr="00195138" w:rsidSect="0028658C">
      <w:headerReference w:type="even" r:id="rId11"/>
      <w:footerReference w:type="default" r:id="rId12"/>
      <w:headerReference w:type="first" r:id="rId13"/>
      <w:type w:val="continuous"/>
      <w:pgSz w:w="12240" w:h="15840"/>
      <w:pgMar w:top="1985" w:right="1750" w:bottom="851" w:left="1701" w:header="578"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95FAC" w14:textId="77777777" w:rsidR="001A34BF" w:rsidRDefault="001A34BF" w:rsidP="00447DA6">
      <w:pPr>
        <w:spacing w:after="0" w:line="240" w:lineRule="auto"/>
      </w:pPr>
      <w:r>
        <w:separator/>
      </w:r>
    </w:p>
    <w:p w14:paraId="7D483DC5" w14:textId="77777777" w:rsidR="001A34BF" w:rsidRDefault="001A34BF"/>
  </w:endnote>
  <w:endnote w:type="continuationSeparator" w:id="0">
    <w:p w14:paraId="7E919384" w14:textId="77777777" w:rsidR="001A34BF" w:rsidRDefault="001A34BF" w:rsidP="00447DA6">
      <w:pPr>
        <w:spacing w:after="0" w:line="240" w:lineRule="auto"/>
      </w:pPr>
      <w:r>
        <w:continuationSeparator/>
      </w:r>
    </w:p>
    <w:p w14:paraId="31D53BAB" w14:textId="77777777" w:rsidR="001A34BF" w:rsidRDefault="001A34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1477754"/>
      <w:docPartObj>
        <w:docPartGallery w:val="Page Numbers (Bottom of Page)"/>
        <w:docPartUnique/>
      </w:docPartObj>
    </w:sdtPr>
    <w:sdtEndPr>
      <w:rPr>
        <w:rFonts w:ascii="ITC Avant Garde" w:hAnsi="ITC Avant Garde"/>
        <w:sz w:val="20"/>
        <w:szCs w:val="20"/>
      </w:rPr>
    </w:sdtEndPr>
    <w:sdtContent>
      <w:p w14:paraId="704EE685" w14:textId="5F37A290" w:rsidR="0028658C" w:rsidRPr="0028658C" w:rsidRDefault="0028658C">
        <w:pPr>
          <w:pStyle w:val="Piedepgina"/>
          <w:jc w:val="right"/>
          <w:rPr>
            <w:rFonts w:ascii="ITC Avant Garde" w:hAnsi="ITC Avant Garde"/>
            <w:sz w:val="20"/>
            <w:szCs w:val="20"/>
          </w:rPr>
        </w:pPr>
        <w:r w:rsidRPr="0028658C">
          <w:rPr>
            <w:rFonts w:ascii="ITC Avant Garde" w:hAnsi="ITC Avant Garde"/>
            <w:sz w:val="20"/>
            <w:szCs w:val="20"/>
          </w:rPr>
          <w:fldChar w:fldCharType="begin"/>
        </w:r>
        <w:r w:rsidRPr="0028658C">
          <w:rPr>
            <w:rFonts w:ascii="ITC Avant Garde" w:hAnsi="ITC Avant Garde"/>
            <w:sz w:val="20"/>
            <w:szCs w:val="20"/>
          </w:rPr>
          <w:instrText>PAGE   \* MERGEFORMAT</w:instrText>
        </w:r>
        <w:r w:rsidRPr="0028658C">
          <w:rPr>
            <w:rFonts w:ascii="ITC Avant Garde" w:hAnsi="ITC Avant Garde"/>
            <w:sz w:val="20"/>
            <w:szCs w:val="20"/>
          </w:rPr>
          <w:fldChar w:fldCharType="separate"/>
        </w:r>
        <w:r w:rsidR="00195138" w:rsidRPr="00195138">
          <w:rPr>
            <w:rFonts w:ascii="ITC Avant Garde" w:hAnsi="ITC Avant Garde"/>
            <w:noProof/>
            <w:sz w:val="20"/>
            <w:szCs w:val="20"/>
            <w:lang w:val="es-ES"/>
          </w:rPr>
          <w:t>4</w:t>
        </w:r>
        <w:r w:rsidRPr="0028658C">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6E087" w14:textId="77777777" w:rsidR="001A34BF" w:rsidRDefault="001A34BF" w:rsidP="00447DA6">
      <w:pPr>
        <w:spacing w:after="0" w:line="240" w:lineRule="auto"/>
      </w:pPr>
      <w:r>
        <w:separator/>
      </w:r>
    </w:p>
    <w:p w14:paraId="43506AEB" w14:textId="77777777" w:rsidR="001A34BF" w:rsidRDefault="001A34BF"/>
  </w:footnote>
  <w:footnote w:type="continuationSeparator" w:id="0">
    <w:p w14:paraId="6A5428DC" w14:textId="77777777" w:rsidR="001A34BF" w:rsidRDefault="001A34BF" w:rsidP="00447DA6">
      <w:pPr>
        <w:spacing w:after="0" w:line="240" w:lineRule="auto"/>
      </w:pPr>
      <w:r>
        <w:continuationSeparator/>
      </w:r>
    </w:p>
    <w:p w14:paraId="39B0690C" w14:textId="77777777" w:rsidR="001A34BF" w:rsidRDefault="001A34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4502D" w14:textId="77777777" w:rsidR="00072BC8" w:rsidRDefault="001A34BF">
    <w:pPr>
      <w:pStyle w:val="Encabezado"/>
    </w:pPr>
    <w:r>
      <w:rPr>
        <w:noProof/>
        <w:lang w:eastAsia="es-MX"/>
      </w:rPr>
      <w:pict w14:anchorId="560F7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p w14:paraId="1294AA70" w14:textId="77777777" w:rsidR="0035102E" w:rsidRDefault="0035102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71589" w14:textId="77777777" w:rsidR="00072BC8" w:rsidRDefault="001A34BF">
    <w:pPr>
      <w:pStyle w:val="Encabezado"/>
    </w:pPr>
    <w:r>
      <w:rPr>
        <w:noProof/>
        <w:lang w:eastAsia="es-MX"/>
      </w:rPr>
      <w:pict w14:anchorId="069FEF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5168;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2454BE"/>
    <w:multiLevelType w:val="hybridMultilevel"/>
    <w:tmpl w:val="AF0E38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EE3AA6"/>
    <w:multiLevelType w:val="hybridMultilevel"/>
    <w:tmpl w:val="8884B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5C613BAA"/>
    <w:multiLevelType w:val="hybridMultilevel"/>
    <w:tmpl w:val="4214537A"/>
    <w:lvl w:ilvl="0" w:tplc="080A0013">
      <w:start w:val="1"/>
      <w:numFmt w:val="upperRoman"/>
      <w:lvlText w:val="%1."/>
      <w:lvlJc w:val="right"/>
      <w:pPr>
        <w:ind w:left="383" w:hanging="360"/>
      </w:pPr>
    </w:lvl>
    <w:lvl w:ilvl="1" w:tplc="080A0019" w:tentative="1">
      <w:start w:val="1"/>
      <w:numFmt w:val="lowerLetter"/>
      <w:lvlText w:val="%2."/>
      <w:lvlJc w:val="left"/>
      <w:pPr>
        <w:ind w:left="1103" w:hanging="360"/>
      </w:pPr>
    </w:lvl>
    <w:lvl w:ilvl="2" w:tplc="080A001B" w:tentative="1">
      <w:start w:val="1"/>
      <w:numFmt w:val="lowerRoman"/>
      <w:lvlText w:val="%3."/>
      <w:lvlJc w:val="right"/>
      <w:pPr>
        <w:ind w:left="1823" w:hanging="180"/>
      </w:pPr>
    </w:lvl>
    <w:lvl w:ilvl="3" w:tplc="080A000F" w:tentative="1">
      <w:start w:val="1"/>
      <w:numFmt w:val="decimal"/>
      <w:lvlText w:val="%4."/>
      <w:lvlJc w:val="left"/>
      <w:pPr>
        <w:ind w:left="2543" w:hanging="360"/>
      </w:pPr>
    </w:lvl>
    <w:lvl w:ilvl="4" w:tplc="080A0019" w:tentative="1">
      <w:start w:val="1"/>
      <w:numFmt w:val="lowerLetter"/>
      <w:lvlText w:val="%5."/>
      <w:lvlJc w:val="left"/>
      <w:pPr>
        <w:ind w:left="3263" w:hanging="360"/>
      </w:pPr>
    </w:lvl>
    <w:lvl w:ilvl="5" w:tplc="080A001B" w:tentative="1">
      <w:start w:val="1"/>
      <w:numFmt w:val="lowerRoman"/>
      <w:lvlText w:val="%6."/>
      <w:lvlJc w:val="right"/>
      <w:pPr>
        <w:ind w:left="3983" w:hanging="180"/>
      </w:pPr>
    </w:lvl>
    <w:lvl w:ilvl="6" w:tplc="080A000F" w:tentative="1">
      <w:start w:val="1"/>
      <w:numFmt w:val="decimal"/>
      <w:lvlText w:val="%7."/>
      <w:lvlJc w:val="left"/>
      <w:pPr>
        <w:ind w:left="4703" w:hanging="360"/>
      </w:pPr>
    </w:lvl>
    <w:lvl w:ilvl="7" w:tplc="080A0019" w:tentative="1">
      <w:start w:val="1"/>
      <w:numFmt w:val="lowerLetter"/>
      <w:lvlText w:val="%8."/>
      <w:lvlJc w:val="left"/>
      <w:pPr>
        <w:ind w:left="5423" w:hanging="360"/>
      </w:pPr>
    </w:lvl>
    <w:lvl w:ilvl="8" w:tplc="080A001B" w:tentative="1">
      <w:start w:val="1"/>
      <w:numFmt w:val="lowerRoman"/>
      <w:lvlText w:val="%9."/>
      <w:lvlJc w:val="right"/>
      <w:pPr>
        <w:ind w:left="6143" w:hanging="180"/>
      </w:pPr>
    </w:lvl>
  </w:abstractNum>
  <w:abstractNum w:abstractNumId="3" w15:restartNumberingAfterBreak="1">
    <w:nsid w:val="5CB71628"/>
    <w:multiLevelType w:val="hybridMultilevel"/>
    <w:tmpl w:val="E1481F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61C475C1"/>
    <w:multiLevelType w:val="hybridMultilevel"/>
    <w:tmpl w:val="4E847BCC"/>
    <w:lvl w:ilvl="0" w:tplc="BEF8B1CA">
      <w:start w:val="1"/>
      <w:numFmt w:val="upperRoman"/>
      <w:pStyle w:val="Ttulo1"/>
      <w:lvlText w:val="%1."/>
      <w:lvlJc w:val="right"/>
      <w:pPr>
        <w:ind w:left="720" w:hanging="360"/>
      </w:pPr>
      <w:rPr>
        <w:rFonts w:ascii="ITC Avant Garde" w:hAnsi="ITC Avant Garde" w:cs="Times New Roman" w:hint="default"/>
        <w:sz w:val="22"/>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74DC6884"/>
    <w:multiLevelType w:val="hybridMultilevel"/>
    <w:tmpl w:val="92FC3712"/>
    <w:lvl w:ilvl="0" w:tplc="10F01794">
      <w:start w:val="1"/>
      <w:numFmt w:val="decimal"/>
      <w:pStyle w:val="NormalIFT"/>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DA6"/>
    <w:rsid w:val="00010071"/>
    <w:rsid w:val="00023815"/>
    <w:rsid w:val="00024A3F"/>
    <w:rsid w:val="000373AF"/>
    <w:rsid w:val="00046AAF"/>
    <w:rsid w:val="00051423"/>
    <w:rsid w:val="0008113A"/>
    <w:rsid w:val="000851D3"/>
    <w:rsid w:val="000C0B05"/>
    <w:rsid w:val="000C7294"/>
    <w:rsid w:val="000D2289"/>
    <w:rsid w:val="000E5A1C"/>
    <w:rsid w:val="000F2797"/>
    <w:rsid w:val="000F7B7D"/>
    <w:rsid w:val="00107706"/>
    <w:rsid w:val="00110AF0"/>
    <w:rsid w:val="001154DC"/>
    <w:rsid w:val="0012160E"/>
    <w:rsid w:val="00134E12"/>
    <w:rsid w:val="00141215"/>
    <w:rsid w:val="00175DB1"/>
    <w:rsid w:val="00175FEA"/>
    <w:rsid w:val="00183183"/>
    <w:rsid w:val="00183BC1"/>
    <w:rsid w:val="0019043C"/>
    <w:rsid w:val="00195138"/>
    <w:rsid w:val="001A34BF"/>
    <w:rsid w:val="001C572F"/>
    <w:rsid w:val="00205C1D"/>
    <w:rsid w:val="00214A9A"/>
    <w:rsid w:val="002209B8"/>
    <w:rsid w:val="00230452"/>
    <w:rsid w:val="002361C1"/>
    <w:rsid w:val="0024488D"/>
    <w:rsid w:val="0025636A"/>
    <w:rsid w:val="00270D6E"/>
    <w:rsid w:val="00283B91"/>
    <w:rsid w:val="0028580F"/>
    <w:rsid w:val="002863AE"/>
    <w:rsid w:val="0028658C"/>
    <w:rsid w:val="00297811"/>
    <w:rsid w:val="002A7B94"/>
    <w:rsid w:val="002B27EE"/>
    <w:rsid w:val="002C3408"/>
    <w:rsid w:val="002C3BFB"/>
    <w:rsid w:val="002E3C7D"/>
    <w:rsid w:val="003209D8"/>
    <w:rsid w:val="00324352"/>
    <w:rsid w:val="00325C65"/>
    <w:rsid w:val="003440DF"/>
    <w:rsid w:val="0035102E"/>
    <w:rsid w:val="003615AA"/>
    <w:rsid w:val="00367B4B"/>
    <w:rsid w:val="00372A32"/>
    <w:rsid w:val="00385E4E"/>
    <w:rsid w:val="003B1261"/>
    <w:rsid w:val="003B686F"/>
    <w:rsid w:val="003C795F"/>
    <w:rsid w:val="003D6E94"/>
    <w:rsid w:val="003D7A44"/>
    <w:rsid w:val="003E0117"/>
    <w:rsid w:val="003E0720"/>
    <w:rsid w:val="003F75EC"/>
    <w:rsid w:val="00405C64"/>
    <w:rsid w:val="00411F0B"/>
    <w:rsid w:val="00416F17"/>
    <w:rsid w:val="004221CD"/>
    <w:rsid w:val="004230D7"/>
    <w:rsid w:val="00430BF1"/>
    <w:rsid w:val="00432E38"/>
    <w:rsid w:val="004341A0"/>
    <w:rsid w:val="00436D1A"/>
    <w:rsid w:val="00447DA6"/>
    <w:rsid w:val="00462403"/>
    <w:rsid w:val="004625E4"/>
    <w:rsid w:val="00472B56"/>
    <w:rsid w:val="00485763"/>
    <w:rsid w:val="00495847"/>
    <w:rsid w:val="00495A3E"/>
    <w:rsid w:val="00495AA4"/>
    <w:rsid w:val="004B1559"/>
    <w:rsid w:val="004C3EAD"/>
    <w:rsid w:val="004D140D"/>
    <w:rsid w:val="004F1EC4"/>
    <w:rsid w:val="00505025"/>
    <w:rsid w:val="005266F3"/>
    <w:rsid w:val="0053031D"/>
    <w:rsid w:val="00530F0D"/>
    <w:rsid w:val="00541902"/>
    <w:rsid w:val="00543986"/>
    <w:rsid w:val="00551DED"/>
    <w:rsid w:val="00552951"/>
    <w:rsid w:val="00561D0D"/>
    <w:rsid w:val="00580F6B"/>
    <w:rsid w:val="00590E04"/>
    <w:rsid w:val="005D184A"/>
    <w:rsid w:val="005E1A73"/>
    <w:rsid w:val="005E7A32"/>
    <w:rsid w:val="005F1F99"/>
    <w:rsid w:val="005F4180"/>
    <w:rsid w:val="006078C2"/>
    <w:rsid w:val="0062247D"/>
    <w:rsid w:val="0062450B"/>
    <w:rsid w:val="00657271"/>
    <w:rsid w:val="006613F8"/>
    <w:rsid w:val="00663BBB"/>
    <w:rsid w:val="00667A89"/>
    <w:rsid w:val="0067262D"/>
    <w:rsid w:val="00693B95"/>
    <w:rsid w:val="00694F5B"/>
    <w:rsid w:val="006A6002"/>
    <w:rsid w:val="006C2060"/>
    <w:rsid w:val="006D2646"/>
    <w:rsid w:val="006D3B9A"/>
    <w:rsid w:val="006D40A8"/>
    <w:rsid w:val="006F3934"/>
    <w:rsid w:val="006F5545"/>
    <w:rsid w:val="006F7CE3"/>
    <w:rsid w:val="007035F8"/>
    <w:rsid w:val="00706D10"/>
    <w:rsid w:val="00716A49"/>
    <w:rsid w:val="00760F15"/>
    <w:rsid w:val="00762207"/>
    <w:rsid w:val="00764DFF"/>
    <w:rsid w:val="00766D69"/>
    <w:rsid w:val="00767EE9"/>
    <w:rsid w:val="007757EC"/>
    <w:rsid w:val="00785FCC"/>
    <w:rsid w:val="007944F6"/>
    <w:rsid w:val="007A608F"/>
    <w:rsid w:val="007B5A91"/>
    <w:rsid w:val="007C74DF"/>
    <w:rsid w:val="007E43A6"/>
    <w:rsid w:val="00801C49"/>
    <w:rsid w:val="008057B9"/>
    <w:rsid w:val="00810BE1"/>
    <w:rsid w:val="0082002F"/>
    <w:rsid w:val="00820A5D"/>
    <w:rsid w:val="0082116F"/>
    <w:rsid w:val="008221B8"/>
    <w:rsid w:val="00823074"/>
    <w:rsid w:val="00825B41"/>
    <w:rsid w:val="008371EE"/>
    <w:rsid w:val="008501D6"/>
    <w:rsid w:val="0085304C"/>
    <w:rsid w:val="00860CE1"/>
    <w:rsid w:val="00862365"/>
    <w:rsid w:val="008645E4"/>
    <w:rsid w:val="00864E0F"/>
    <w:rsid w:val="00882013"/>
    <w:rsid w:val="008B2E25"/>
    <w:rsid w:val="008C3748"/>
    <w:rsid w:val="008D1C53"/>
    <w:rsid w:val="008D76DB"/>
    <w:rsid w:val="009005AF"/>
    <w:rsid w:val="00910B2C"/>
    <w:rsid w:val="00924FBB"/>
    <w:rsid w:val="00926E7C"/>
    <w:rsid w:val="009420E5"/>
    <w:rsid w:val="00954959"/>
    <w:rsid w:val="00956C80"/>
    <w:rsid w:val="0096106D"/>
    <w:rsid w:val="00962B03"/>
    <w:rsid w:val="00962D69"/>
    <w:rsid w:val="009750FC"/>
    <w:rsid w:val="009852D8"/>
    <w:rsid w:val="00986768"/>
    <w:rsid w:val="00995584"/>
    <w:rsid w:val="009A14B0"/>
    <w:rsid w:val="009A4104"/>
    <w:rsid w:val="009A4A90"/>
    <w:rsid w:val="009D541D"/>
    <w:rsid w:val="009F0714"/>
    <w:rsid w:val="009F43A7"/>
    <w:rsid w:val="009F65F0"/>
    <w:rsid w:val="00A00116"/>
    <w:rsid w:val="00A0793B"/>
    <w:rsid w:val="00A112A6"/>
    <w:rsid w:val="00A32EC5"/>
    <w:rsid w:val="00A3706E"/>
    <w:rsid w:val="00A422B1"/>
    <w:rsid w:val="00A6346D"/>
    <w:rsid w:val="00A80C25"/>
    <w:rsid w:val="00A81F02"/>
    <w:rsid w:val="00A8267B"/>
    <w:rsid w:val="00A82742"/>
    <w:rsid w:val="00A93144"/>
    <w:rsid w:val="00AC5696"/>
    <w:rsid w:val="00AC66FB"/>
    <w:rsid w:val="00AE0BBC"/>
    <w:rsid w:val="00AE5DB0"/>
    <w:rsid w:val="00B00F55"/>
    <w:rsid w:val="00B044BE"/>
    <w:rsid w:val="00B365AA"/>
    <w:rsid w:val="00B42CAE"/>
    <w:rsid w:val="00B43A5D"/>
    <w:rsid w:val="00B45268"/>
    <w:rsid w:val="00B47D91"/>
    <w:rsid w:val="00B55EF9"/>
    <w:rsid w:val="00B63517"/>
    <w:rsid w:val="00B65376"/>
    <w:rsid w:val="00B72C1E"/>
    <w:rsid w:val="00B732EE"/>
    <w:rsid w:val="00B917DD"/>
    <w:rsid w:val="00B956BE"/>
    <w:rsid w:val="00B97D46"/>
    <w:rsid w:val="00BA0F7F"/>
    <w:rsid w:val="00BB1933"/>
    <w:rsid w:val="00BC191A"/>
    <w:rsid w:val="00BD3A02"/>
    <w:rsid w:val="00BE4494"/>
    <w:rsid w:val="00BE70FB"/>
    <w:rsid w:val="00BF5682"/>
    <w:rsid w:val="00C01E40"/>
    <w:rsid w:val="00C131B0"/>
    <w:rsid w:val="00C20683"/>
    <w:rsid w:val="00C26180"/>
    <w:rsid w:val="00C27C0E"/>
    <w:rsid w:val="00C51E85"/>
    <w:rsid w:val="00C5456B"/>
    <w:rsid w:val="00C568D4"/>
    <w:rsid w:val="00C5752C"/>
    <w:rsid w:val="00C818E1"/>
    <w:rsid w:val="00C82FCA"/>
    <w:rsid w:val="00CA0A46"/>
    <w:rsid w:val="00CA5104"/>
    <w:rsid w:val="00CA7B2B"/>
    <w:rsid w:val="00CB6E70"/>
    <w:rsid w:val="00CC0390"/>
    <w:rsid w:val="00CC5A57"/>
    <w:rsid w:val="00CD77DE"/>
    <w:rsid w:val="00CE5B00"/>
    <w:rsid w:val="00CF4A5C"/>
    <w:rsid w:val="00D129E2"/>
    <w:rsid w:val="00D32BC2"/>
    <w:rsid w:val="00D46FB8"/>
    <w:rsid w:val="00D50B3D"/>
    <w:rsid w:val="00D53F46"/>
    <w:rsid w:val="00D62984"/>
    <w:rsid w:val="00D71161"/>
    <w:rsid w:val="00D71997"/>
    <w:rsid w:val="00D766F5"/>
    <w:rsid w:val="00D8103A"/>
    <w:rsid w:val="00D84234"/>
    <w:rsid w:val="00D97E4E"/>
    <w:rsid w:val="00DA1D64"/>
    <w:rsid w:val="00DA7B54"/>
    <w:rsid w:val="00DB0A5D"/>
    <w:rsid w:val="00DC7A35"/>
    <w:rsid w:val="00DD0BF4"/>
    <w:rsid w:val="00DD4403"/>
    <w:rsid w:val="00DE4EE5"/>
    <w:rsid w:val="00DF3698"/>
    <w:rsid w:val="00E05231"/>
    <w:rsid w:val="00E15252"/>
    <w:rsid w:val="00E26DB5"/>
    <w:rsid w:val="00E27F6A"/>
    <w:rsid w:val="00E34F66"/>
    <w:rsid w:val="00E404C7"/>
    <w:rsid w:val="00E47AD5"/>
    <w:rsid w:val="00E83001"/>
    <w:rsid w:val="00EA4B00"/>
    <w:rsid w:val="00EB22E2"/>
    <w:rsid w:val="00EB38DF"/>
    <w:rsid w:val="00EC60B2"/>
    <w:rsid w:val="00ED6B78"/>
    <w:rsid w:val="00EF594B"/>
    <w:rsid w:val="00F12D34"/>
    <w:rsid w:val="00F15084"/>
    <w:rsid w:val="00F16B78"/>
    <w:rsid w:val="00F21B6D"/>
    <w:rsid w:val="00F27A8F"/>
    <w:rsid w:val="00F43EBA"/>
    <w:rsid w:val="00F564FF"/>
    <w:rsid w:val="00F77948"/>
    <w:rsid w:val="00F94B36"/>
    <w:rsid w:val="00FB1F2E"/>
    <w:rsid w:val="00FB26B7"/>
    <w:rsid w:val="00FC2CE9"/>
    <w:rsid w:val="00FC3868"/>
    <w:rsid w:val="00FC64F5"/>
    <w:rsid w:val="00FD29DF"/>
    <w:rsid w:val="00FF41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F2D7BA"/>
  <w15:chartTrackingRefBased/>
  <w15:docId w15:val="{5F527CAC-4850-4A35-B2A7-918EEDD6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DA6"/>
    <w:pPr>
      <w:spacing w:after="200" w:line="276" w:lineRule="auto"/>
    </w:pPr>
    <w:rPr>
      <w:rFonts w:ascii="Calibri" w:eastAsia="Calibri" w:hAnsi="Calibri" w:cs="Times New Roman"/>
    </w:rPr>
  </w:style>
  <w:style w:type="paragraph" w:styleId="Ttulo1">
    <w:name w:val="heading 1"/>
    <w:basedOn w:val="Prrafodelista"/>
    <w:next w:val="Normal"/>
    <w:link w:val="Ttulo1Car"/>
    <w:qFormat/>
    <w:rsid w:val="00472B56"/>
    <w:pPr>
      <w:numPr>
        <w:numId w:val="3"/>
      </w:numPr>
      <w:spacing w:before="200" w:after="0" w:line="240" w:lineRule="auto"/>
      <w:jc w:val="center"/>
      <w:outlineLvl w:val="0"/>
    </w:pPr>
    <w:rPr>
      <w:rFonts w:ascii="ITC Avant Garde" w:eastAsiaTheme="minorHAnsi" w:hAnsi="ITC Avant Garde"/>
      <w:b/>
    </w:rPr>
  </w:style>
  <w:style w:type="paragraph" w:styleId="Ttulo2">
    <w:name w:val="heading 2"/>
    <w:basedOn w:val="Normal"/>
    <w:next w:val="Normal"/>
    <w:link w:val="Ttulo2Car"/>
    <w:autoRedefine/>
    <w:uiPriority w:val="9"/>
    <w:unhideWhenUsed/>
    <w:qFormat/>
    <w:rsid w:val="00472B56"/>
    <w:pPr>
      <w:keepNext/>
      <w:keepLines/>
      <w:spacing w:before="240" w:after="120" w:line="240" w:lineRule="auto"/>
      <w:ind w:left="1134" w:hanging="1134"/>
      <w:jc w:val="both"/>
      <w:outlineLvl w:val="1"/>
    </w:pPr>
    <w:rPr>
      <w:rFonts w:ascii="ITC Avant Garde" w:eastAsiaTheme="minorHAnsi" w:hAnsi="ITC Avant Garde"/>
      <w:b/>
    </w:rPr>
  </w:style>
  <w:style w:type="paragraph" w:styleId="Ttulo3">
    <w:name w:val="heading 3"/>
    <w:aliases w:val="h3"/>
    <w:basedOn w:val="Normal"/>
    <w:next w:val="Normal"/>
    <w:link w:val="Ttulo3Car"/>
    <w:uiPriority w:val="9"/>
    <w:qFormat/>
    <w:rsid w:val="00195138"/>
    <w:pPr>
      <w:keepNext/>
      <w:spacing w:after="0" w:line="240" w:lineRule="auto"/>
      <w:ind w:left="2630"/>
      <w:jc w:val="both"/>
      <w:outlineLvl w:val="2"/>
    </w:pPr>
    <w:rPr>
      <w:rFonts w:ascii="Arial" w:eastAsia="Times New Roman" w:hAnsi="Arial" w:cs="Arial"/>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üG·"/>
    <w:basedOn w:val="Normal"/>
    <w:link w:val="EncabezadoCar"/>
    <w:uiPriority w:val="99"/>
    <w:unhideWhenUsed/>
    <w:rsid w:val="00447DA6"/>
    <w:pPr>
      <w:tabs>
        <w:tab w:val="center" w:pos="4419"/>
        <w:tab w:val="right" w:pos="8838"/>
      </w:tabs>
      <w:spacing w:after="0" w:line="240" w:lineRule="auto"/>
    </w:pPr>
  </w:style>
  <w:style w:type="character" w:customStyle="1" w:styleId="EncabezadoCar">
    <w:name w:val="Encabezado Car"/>
    <w:aliases w:val="Encabezado1 Car,.üG· Car"/>
    <w:basedOn w:val="Fuentedeprrafopredeter"/>
    <w:link w:val="Encabezado"/>
    <w:uiPriority w:val="99"/>
    <w:rsid w:val="00447DA6"/>
    <w:rPr>
      <w:rFonts w:ascii="Calibri" w:eastAsia="Calibri" w:hAnsi="Calibri" w:cs="Times New Roman"/>
    </w:rPr>
  </w:style>
  <w:style w:type="paragraph" w:styleId="Piedepgina">
    <w:name w:val="footer"/>
    <w:basedOn w:val="Normal"/>
    <w:link w:val="PiedepginaCar"/>
    <w:uiPriority w:val="99"/>
    <w:unhideWhenUsed/>
    <w:rsid w:val="00447D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7DA6"/>
    <w:rPr>
      <w:rFonts w:ascii="Calibri" w:eastAsia="Calibri" w:hAnsi="Calibri" w:cs="Times New Roman"/>
    </w:rPr>
  </w:style>
  <w:style w:type="paragraph" w:customStyle="1" w:styleId="estilo30">
    <w:name w:val="estilo30"/>
    <w:basedOn w:val="Normal"/>
    <w:rsid w:val="00447DA6"/>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Cuerpodeltexto">
    <w:name w:val="Cuerpo del texto_"/>
    <w:link w:val="Cuerpodeltexto0"/>
    <w:rsid w:val="00447DA6"/>
    <w:rPr>
      <w:rFonts w:ascii="Times New Roman" w:eastAsia="Times New Roman" w:hAnsi="Times New Roman"/>
      <w:sz w:val="23"/>
      <w:szCs w:val="23"/>
      <w:shd w:val="clear" w:color="auto" w:fill="FFFFFF"/>
    </w:rPr>
  </w:style>
  <w:style w:type="paragraph" w:customStyle="1" w:styleId="Cuerpodeltexto0">
    <w:name w:val="Cuerpo del texto"/>
    <w:basedOn w:val="Normal"/>
    <w:link w:val="Cuerpodeltexto"/>
    <w:rsid w:val="00447DA6"/>
    <w:pPr>
      <w:shd w:val="clear" w:color="auto" w:fill="FFFFFF"/>
      <w:spacing w:before="240" w:after="600" w:line="0" w:lineRule="atLeast"/>
      <w:ind w:hanging="260"/>
      <w:jc w:val="right"/>
    </w:pPr>
    <w:rPr>
      <w:rFonts w:ascii="Times New Roman" w:eastAsia="Times New Roman" w:hAnsi="Times New Roman" w:cstheme="minorBidi"/>
      <w:sz w:val="23"/>
      <w:szCs w:val="23"/>
    </w:rPr>
  </w:style>
  <w:style w:type="character" w:styleId="Refdecomentario">
    <w:name w:val="annotation reference"/>
    <w:basedOn w:val="Fuentedeprrafopredeter"/>
    <w:uiPriority w:val="99"/>
    <w:semiHidden/>
    <w:unhideWhenUsed/>
    <w:rsid w:val="00447DA6"/>
    <w:rPr>
      <w:sz w:val="16"/>
      <w:szCs w:val="16"/>
    </w:rPr>
  </w:style>
  <w:style w:type="paragraph" w:styleId="Textocomentario">
    <w:name w:val="annotation text"/>
    <w:basedOn w:val="Normal"/>
    <w:link w:val="TextocomentarioCar"/>
    <w:uiPriority w:val="99"/>
    <w:unhideWhenUsed/>
    <w:rsid w:val="00447DA6"/>
    <w:pPr>
      <w:spacing w:line="240" w:lineRule="auto"/>
    </w:pPr>
    <w:rPr>
      <w:sz w:val="20"/>
      <w:szCs w:val="20"/>
    </w:rPr>
  </w:style>
  <w:style w:type="character" w:customStyle="1" w:styleId="TextocomentarioCar">
    <w:name w:val="Texto comentario Car"/>
    <w:basedOn w:val="Fuentedeprrafopredeter"/>
    <w:link w:val="Textocomentario"/>
    <w:uiPriority w:val="99"/>
    <w:rsid w:val="00447DA6"/>
    <w:rPr>
      <w:rFonts w:ascii="Calibri" w:eastAsia="Calibri" w:hAnsi="Calibri" w:cs="Times New Roman"/>
      <w:sz w:val="20"/>
      <w:szCs w:val="20"/>
    </w:rPr>
  </w:style>
  <w:style w:type="paragraph" w:styleId="Textonotapie">
    <w:name w:val="footnote text"/>
    <w:basedOn w:val="Normal"/>
    <w:link w:val="TextonotapieCar"/>
    <w:uiPriority w:val="99"/>
    <w:semiHidden/>
    <w:unhideWhenUsed/>
    <w:rsid w:val="00447DA6"/>
    <w:pPr>
      <w:spacing w:after="0" w:line="240" w:lineRule="auto"/>
      <w:jc w:val="both"/>
    </w:pPr>
    <w:rPr>
      <w:rFonts w:ascii="Times New Roman" w:hAnsi="Times New Roman"/>
      <w:sz w:val="20"/>
      <w:szCs w:val="20"/>
    </w:rPr>
  </w:style>
  <w:style w:type="character" w:customStyle="1" w:styleId="TextonotapieCar">
    <w:name w:val="Texto nota pie Car"/>
    <w:basedOn w:val="Fuentedeprrafopredeter"/>
    <w:link w:val="Textonotapie"/>
    <w:uiPriority w:val="99"/>
    <w:semiHidden/>
    <w:rsid w:val="00447DA6"/>
    <w:rPr>
      <w:rFonts w:ascii="Times New Roman" w:eastAsia="Calibri" w:hAnsi="Times New Roman" w:cs="Times New Roman"/>
      <w:sz w:val="20"/>
      <w:szCs w:val="20"/>
    </w:rPr>
  </w:style>
  <w:style w:type="character" w:styleId="Refdenotaalpie">
    <w:name w:val="footnote reference"/>
    <w:uiPriority w:val="99"/>
    <w:semiHidden/>
    <w:unhideWhenUsed/>
    <w:rsid w:val="00447DA6"/>
    <w:rPr>
      <w:vertAlign w:val="superscript"/>
    </w:rPr>
  </w:style>
  <w:style w:type="paragraph" w:customStyle="1" w:styleId="Default">
    <w:name w:val="Default"/>
    <w:rsid w:val="00447DA6"/>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447DA6"/>
    <w:rPr>
      <w:color w:val="0563C1" w:themeColor="hyperlink"/>
      <w:u w:val="single"/>
    </w:rPr>
  </w:style>
  <w:style w:type="paragraph" w:styleId="Textodeglobo">
    <w:name w:val="Balloon Text"/>
    <w:basedOn w:val="Normal"/>
    <w:link w:val="TextodegloboCar"/>
    <w:uiPriority w:val="99"/>
    <w:semiHidden/>
    <w:unhideWhenUsed/>
    <w:rsid w:val="00447D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7DA6"/>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9F65F0"/>
    <w:rPr>
      <w:b/>
      <w:bCs/>
    </w:rPr>
  </w:style>
  <w:style w:type="character" w:customStyle="1" w:styleId="AsuntodelcomentarioCar">
    <w:name w:val="Asunto del comentario Car"/>
    <w:basedOn w:val="TextocomentarioCar"/>
    <w:link w:val="Asuntodelcomentario"/>
    <w:uiPriority w:val="99"/>
    <w:semiHidden/>
    <w:rsid w:val="009F65F0"/>
    <w:rPr>
      <w:rFonts w:ascii="Calibri" w:eastAsia="Calibri" w:hAnsi="Calibri" w:cs="Times New Roman"/>
      <w:b/>
      <w:bCs/>
      <w:sz w:val="20"/>
      <w:szCs w:val="20"/>
    </w:rPr>
  </w:style>
  <w:style w:type="paragraph" w:styleId="Prrafodelista">
    <w:name w:val="List Paragraph"/>
    <w:basedOn w:val="Normal"/>
    <w:uiPriority w:val="34"/>
    <w:qFormat/>
    <w:rsid w:val="005E1A73"/>
    <w:pPr>
      <w:ind w:left="720"/>
      <w:contextualSpacing/>
    </w:pPr>
  </w:style>
  <w:style w:type="paragraph" w:customStyle="1" w:styleId="CitaTextual">
    <w:name w:val="CitaTextual"/>
    <w:link w:val="CitaTextualCar"/>
    <w:qFormat/>
    <w:rsid w:val="00962B03"/>
    <w:pPr>
      <w:spacing w:before="120" w:after="120" w:line="240" w:lineRule="auto"/>
      <w:ind w:left="851" w:right="902"/>
      <w:jc w:val="both"/>
    </w:pPr>
    <w:rPr>
      <w:rFonts w:ascii="ITC Avant Garde" w:hAnsi="ITC Avant Garde"/>
      <w:sz w:val="20"/>
      <w:szCs w:val="20"/>
      <w:lang w:val="en-US"/>
    </w:rPr>
  </w:style>
  <w:style w:type="character" w:customStyle="1" w:styleId="CitaTextualCar">
    <w:name w:val="CitaTextual Car"/>
    <w:basedOn w:val="Fuentedeprrafopredeter"/>
    <w:link w:val="CitaTextual"/>
    <w:rsid w:val="00962B03"/>
    <w:rPr>
      <w:rFonts w:ascii="ITC Avant Garde" w:hAnsi="ITC Avant Garde"/>
      <w:sz w:val="20"/>
      <w:szCs w:val="20"/>
      <w:lang w:val="en-US"/>
    </w:rPr>
  </w:style>
  <w:style w:type="paragraph" w:styleId="Revisin">
    <w:name w:val="Revision"/>
    <w:hidden/>
    <w:uiPriority w:val="99"/>
    <w:semiHidden/>
    <w:rsid w:val="00CE5B00"/>
    <w:pPr>
      <w:spacing w:after="0" w:line="240" w:lineRule="auto"/>
    </w:pPr>
    <w:rPr>
      <w:rFonts w:ascii="Calibri" w:eastAsia="Calibri" w:hAnsi="Calibri" w:cs="Times New Roman"/>
    </w:rPr>
  </w:style>
  <w:style w:type="character" w:customStyle="1" w:styleId="Ttulo1Car">
    <w:name w:val="Título 1 Car"/>
    <w:basedOn w:val="Fuentedeprrafopredeter"/>
    <w:link w:val="Ttulo1"/>
    <w:rsid w:val="00472B56"/>
    <w:rPr>
      <w:rFonts w:ascii="ITC Avant Garde" w:hAnsi="ITC Avant Garde" w:cs="Times New Roman"/>
      <w:b/>
    </w:rPr>
  </w:style>
  <w:style w:type="character" w:customStyle="1" w:styleId="Ttulo2Car">
    <w:name w:val="Título 2 Car"/>
    <w:basedOn w:val="Fuentedeprrafopredeter"/>
    <w:link w:val="Ttulo2"/>
    <w:uiPriority w:val="9"/>
    <w:rsid w:val="00472B56"/>
    <w:rPr>
      <w:rFonts w:ascii="ITC Avant Garde" w:hAnsi="ITC Avant Garde" w:cs="Times New Roman"/>
      <w:b/>
    </w:rPr>
  </w:style>
  <w:style w:type="paragraph" w:styleId="Sinespaciado">
    <w:name w:val="No Spacing"/>
    <w:uiPriority w:val="1"/>
    <w:qFormat/>
    <w:rsid w:val="00472B56"/>
    <w:pPr>
      <w:spacing w:after="0" w:line="240" w:lineRule="auto"/>
    </w:pPr>
    <w:rPr>
      <w:rFonts w:ascii="Calibri" w:eastAsia="Calibri" w:hAnsi="Calibri" w:cs="Times New Roman"/>
    </w:rPr>
  </w:style>
  <w:style w:type="paragraph" w:customStyle="1" w:styleId="NormalIFT">
    <w:name w:val="Normal IFT"/>
    <w:basedOn w:val="Prrafodelista"/>
    <w:link w:val="NormalIFTCar"/>
    <w:qFormat/>
    <w:rsid w:val="00472B56"/>
    <w:pPr>
      <w:numPr>
        <w:numId w:val="4"/>
      </w:numPr>
      <w:autoSpaceDE w:val="0"/>
      <w:autoSpaceDN w:val="0"/>
      <w:adjustRightInd w:val="0"/>
      <w:spacing w:after="0" w:line="240" w:lineRule="auto"/>
      <w:contextualSpacing w:val="0"/>
      <w:jc w:val="both"/>
    </w:pPr>
    <w:rPr>
      <w:rFonts w:ascii="ITC Avant Garde" w:eastAsia="Times New Roman" w:hAnsi="ITC Avant Garde"/>
      <w:bCs/>
      <w:color w:val="000000"/>
      <w:sz w:val="24"/>
      <w:szCs w:val="24"/>
      <w:lang w:val="es-ES_tradnl" w:eastAsia="es-ES"/>
    </w:rPr>
  </w:style>
  <w:style w:type="character" w:customStyle="1" w:styleId="NormalIFTCar">
    <w:name w:val="Normal IFT Car"/>
    <w:link w:val="NormalIFT"/>
    <w:rsid w:val="00472B56"/>
    <w:rPr>
      <w:rFonts w:ascii="ITC Avant Garde" w:eastAsia="Times New Roman" w:hAnsi="ITC Avant Garde" w:cs="Times New Roman"/>
      <w:bCs/>
      <w:color w:val="000000"/>
      <w:sz w:val="24"/>
      <w:szCs w:val="24"/>
      <w:lang w:val="es-ES_tradnl" w:eastAsia="es-ES"/>
    </w:rPr>
  </w:style>
  <w:style w:type="character" w:customStyle="1" w:styleId="Ttulo3Car">
    <w:name w:val="Título 3 Car"/>
    <w:aliases w:val="h3 Car"/>
    <w:basedOn w:val="Fuentedeprrafopredeter"/>
    <w:link w:val="Ttulo3"/>
    <w:uiPriority w:val="9"/>
    <w:rsid w:val="00195138"/>
    <w:rPr>
      <w:rFonts w:ascii="Arial" w:eastAsia="Times New Roman" w:hAnsi="Arial" w:cs="Arial"/>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64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E12A381C69BBB40A41F4905B54F69B7" ma:contentTypeVersion="0" ma:contentTypeDescription="Crear nuevo documento." ma:contentTypeScope="" ma:versionID="7fdd3910c246c363038fa5a52eccbfc0">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CDC70-A2A8-4F89-8B09-19A0CB3C26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AC4428-A29A-4E85-943D-7FBD25A01593}">
  <ds:schemaRefs>
    <ds:schemaRef ds:uri="http://schemas.microsoft.com/sharepoint/v3/contenttype/forms"/>
  </ds:schemaRefs>
</ds:datastoreItem>
</file>

<file path=customXml/itemProps3.xml><?xml version="1.0" encoding="utf-8"?>
<ds:datastoreItem xmlns:ds="http://schemas.openxmlformats.org/officeDocument/2006/customXml" ds:itemID="{274551DE-10A5-4F05-88B8-98330B854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B6CBE8F-3B18-45E2-8988-CA411FBE3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1973</Words>
  <Characters>10856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Torres Moreno</dc:creator>
  <cp:keywords/>
  <dc:description/>
  <cp:lastModifiedBy>Maria del Consuelo Gonzalez Moreno</cp:lastModifiedBy>
  <cp:revision>7</cp:revision>
  <cp:lastPrinted>2015-05-05T23:52:00Z</cp:lastPrinted>
  <dcterms:created xsi:type="dcterms:W3CDTF">2015-10-30T17:35:00Z</dcterms:created>
  <dcterms:modified xsi:type="dcterms:W3CDTF">2016-06-21T23:11:00Z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0x0101009E12A381C69BBB40A41F4905B54F69B7</vt:lpwstr>
  </property>
</Properties>
</file>