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31997" w14:textId="77777777" w:rsidR="00AF2924" w:rsidRPr="00AF2924" w:rsidRDefault="007E0AB3" w:rsidP="00AF2924">
      <w:pPr>
        <w:pStyle w:val="Ttulo1"/>
        <w:spacing w:after="240" w:line="240" w:lineRule="auto"/>
        <w:jc w:val="both"/>
        <w:rPr>
          <w:rFonts w:ascii="ITC Avant Garde" w:hAnsi="ITC Avant Garde"/>
          <w:b/>
          <w:color w:val="000000" w:themeColor="text1"/>
          <w:sz w:val="22"/>
          <w:szCs w:val="22"/>
          <w:lang w:eastAsia="es-MX"/>
        </w:rPr>
      </w:pPr>
      <w:r w:rsidRPr="00AF2924">
        <w:rPr>
          <w:rFonts w:ascii="ITC Avant Garde" w:hAnsi="ITC Avant Garde"/>
          <w:b/>
          <w:color w:val="000000" w:themeColor="text1"/>
          <w:sz w:val="22"/>
          <w:szCs w:val="22"/>
          <w:lang w:eastAsia="es-MX"/>
        </w:rPr>
        <w:t xml:space="preserve">RESOLUCIÓN </w:t>
      </w:r>
      <w:r w:rsidR="00F96CC7" w:rsidRPr="00AF2924">
        <w:rPr>
          <w:rFonts w:ascii="ITC Avant Garde" w:hAnsi="ITC Avant Garde"/>
          <w:b/>
          <w:color w:val="000000" w:themeColor="text1"/>
          <w:sz w:val="22"/>
          <w:szCs w:val="22"/>
          <w:lang w:eastAsia="es-MX"/>
        </w:rPr>
        <w:t xml:space="preserve">MEDIANTE </w:t>
      </w:r>
      <w:r w:rsidRPr="00AF2924">
        <w:rPr>
          <w:rFonts w:ascii="ITC Avant Garde" w:hAnsi="ITC Avant Garde"/>
          <w:b/>
          <w:color w:val="000000" w:themeColor="text1"/>
          <w:sz w:val="22"/>
          <w:szCs w:val="22"/>
          <w:lang w:eastAsia="es-MX"/>
        </w:rPr>
        <w:t xml:space="preserve">LA CUAL EL PLENO DEL INSTITUTO FEDERAL DE TELECOMUNICACIONES </w:t>
      </w:r>
      <w:r w:rsidR="00812F92" w:rsidRPr="00AF2924">
        <w:rPr>
          <w:rFonts w:ascii="ITC Avant Garde" w:hAnsi="ITC Avant Garde"/>
          <w:b/>
          <w:color w:val="000000" w:themeColor="text1"/>
          <w:sz w:val="22"/>
          <w:szCs w:val="22"/>
          <w:lang w:eastAsia="es-MX"/>
        </w:rPr>
        <w:t>MODIFICA</w:t>
      </w:r>
      <w:r w:rsidR="00EF5E63" w:rsidRPr="00AF2924">
        <w:rPr>
          <w:rFonts w:ascii="ITC Avant Garde" w:hAnsi="ITC Avant Garde"/>
          <w:b/>
          <w:color w:val="000000" w:themeColor="text1"/>
          <w:sz w:val="22"/>
          <w:szCs w:val="22"/>
          <w:lang w:eastAsia="es-MX"/>
        </w:rPr>
        <w:t xml:space="preserve"> EL </w:t>
      </w:r>
      <w:r w:rsidR="00BA21F0" w:rsidRPr="00AF2924">
        <w:rPr>
          <w:rFonts w:ascii="ITC Avant Garde" w:hAnsi="ITC Avant Garde"/>
          <w:b/>
          <w:color w:val="000000" w:themeColor="text1"/>
          <w:sz w:val="22"/>
          <w:szCs w:val="22"/>
          <w:lang w:eastAsia="es-MX"/>
        </w:rPr>
        <w:t>TÍTULO DE CONCESIÓN PARA USAR, APROVECHAR Y EXPLOTAR BANDAS DE FRECUENCIAS DEL ESPECTRO RADIOELÉCTRICO PARA USO COMERCIAL</w:t>
      </w:r>
      <w:r w:rsidR="00A765CB" w:rsidRPr="00AF2924">
        <w:rPr>
          <w:rFonts w:ascii="ITC Avant Garde" w:hAnsi="ITC Avant Garde"/>
          <w:b/>
          <w:color w:val="000000" w:themeColor="text1"/>
          <w:sz w:val="22"/>
          <w:szCs w:val="22"/>
          <w:lang w:eastAsia="es-MX"/>
        </w:rPr>
        <w:t>,</w:t>
      </w:r>
      <w:r w:rsidR="005C1B5D" w:rsidRPr="00AF2924">
        <w:rPr>
          <w:rFonts w:ascii="ITC Avant Garde" w:hAnsi="ITC Avant Garde"/>
          <w:b/>
          <w:color w:val="000000" w:themeColor="text1"/>
          <w:sz w:val="22"/>
          <w:szCs w:val="22"/>
          <w:lang w:eastAsia="es-MX"/>
        </w:rPr>
        <w:t xml:space="preserve"> </w:t>
      </w:r>
      <w:r w:rsidR="00AE7753" w:rsidRPr="00AF2924">
        <w:rPr>
          <w:rFonts w:ascii="ITC Avant Garde" w:hAnsi="ITC Avant Garde"/>
          <w:b/>
          <w:color w:val="000000" w:themeColor="text1"/>
          <w:sz w:val="22"/>
          <w:szCs w:val="22"/>
          <w:lang w:eastAsia="es-MX"/>
        </w:rPr>
        <w:t>OTORGADO</w:t>
      </w:r>
      <w:r w:rsidR="00527B0F" w:rsidRPr="00AF2924">
        <w:rPr>
          <w:rFonts w:ascii="ITC Avant Garde" w:hAnsi="ITC Avant Garde"/>
          <w:b/>
          <w:color w:val="000000" w:themeColor="text1"/>
          <w:sz w:val="22"/>
          <w:szCs w:val="22"/>
          <w:lang w:eastAsia="es-MX"/>
        </w:rPr>
        <w:t xml:space="preserve"> </w:t>
      </w:r>
      <w:r w:rsidR="00AE7753" w:rsidRPr="00AF2924">
        <w:rPr>
          <w:rFonts w:ascii="ITC Avant Garde" w:hAnsi="ITC Avant Garde"/>
          <w:b/>
          <w:color w:val="000000" w:themeColor="text1"/>
          <w:sz w:val="22"/>
          <w:szCs w:val="22"/>
          <w:lang w:eastAsia="es-MX"/>
        </w:rPr>
        <w:t xml:space="preserve">A </w:t>
      </w:r>
      <w:r w:rsidR="005C1B5D" w:rsidRPr="00AF2924">
        <w:rPr>
          <w:rFonts w:ascii="ITC Avant Garde" w:hAnsi="ITC Avant Garde"/>
          <w:b/>
          <w:color w:val="000000" w:themeColor="text1"/>
          <w:sz w:val="22"/>
          <w:szCs w:val="22"/>
          <w:lang w:eastAsia="es-MX"/>
        </w:rPr>
        <w:t>COMUNICACIONES RADIOTELEFÓNICAS PENINSULARES</w:t>
      </w:r>
      <w:r w:rsidR="00AE7753" w:rsidRPr="00AF2924">
        <w:rPr>
          <w:rFonts w:ascii="ITC Avant Garde" w:hAnsi="ITC Avant Garde"/>
          <w:b/>
          <w:color w:val="000000" w:themeColor="text1"/>
          <w:sz w:val="22"/>
          <w:szCs w:val="22"/>
          <w:lang w:eastAsia="es-MX"/>
        </w:rPr>
        <w:t>, S.</w:t>
      </w:r>
      <w:r w:rsidR="005C1B5D" w:rsidRPr="00AF2924">
        <w:rPr>
          <w:rFonts w:ascii="ITC Avant Garde" w:hAnsi="ITC Avant Garde"/>
          <w:b/>
          <w:color w:val="000000" w:themeColor="text1"/>
          <w:sz w:val="22"/>
          <w:szCs w:val="22"/>
          <w:lang w:eastAsia="es-MX"/>
        </w:rPr>
        <w:t>A.</w:t>
      </w:r>
      <w:r w:rsidR="00AE7753" w:rsidRPr="00AF2924">
        <w:rPr>
          <w:rFonts w:ascii="ITC Avant Garde" w:hAnsi="ITC Avant Garde"/>
          <w:b/>
          <w:color w:val="000000" w:themeColor="text1"/>
          <w:sz w:val="22"/>
          <w:szCs w:val="22"/>
          <w:lang w:eastAsia="es-MX"/>
        </w:rPr>
        <w:t xml:space="preserve"> DE C.V.</w:t>
      </w:r>
      <w:r w:rsidR="00A765CB" w:rsidRPr="00AF2924">
        <w:rPr>
          <w:rFonts w:ascii="ITC Avant Garde" w:hAnsi="ITC Avant Garde"/>
          <w:b/>
          <w:color w:val="000000" w:themeColor="text1"/>
          <w:sz w:val="22"/>
          <w:szCs w:val="22"/>
          <w:lang w:eastAsia="es-MX"/>
        </w:rPr>
        <w:t xml:space="preserve">, </w:t>
      </w:r>
      <w:r w:rsidR="00527B0F" w:rsidRPr="00AF2924">
        <w:rPr>
          <w:rFonts w:ascii="ITC Avant Garde" w:hAnsi="ITC Avant Garde"/>
          <w:b/>
          <w:color w:val="000000" w:themeColor="text1"/>
          <w:sz w:val="22"/>
          <w:szCs w:val="22"/>
          <w:lang w:eastAsia="es-MX"/>
        </w:rPr>
        <w:t xml:space="preserve">COMO CONSECUENCIA DE LA PRÓRROGA DE VIGENCIA AUTORIZADA </w:t>
      </w:r>
      <w:r w:rsidR="00A765CB" w:rsidRPr="00AF2924">
        <w:rPr>
          <w:rFonts w:ascii="ITC Avant Garde" w:hAnsi="ITC Avant Garde"/>
          <w:b/>
          <w:color w:val="000000" w:themeColor="text1"/>
          <w:sz w:val="22"/>
          <w:szCs w:val="22"/>
          <w:lang w:eastAsia="es-MX"/>
        </w:rPr>
        <w:t>EL 27 DE ENERO DE 2016.</w:t>
      </w:r>
    </w:p>
    <w:p w14:paraId="61FF8930" w14:textId="77777777" w:rsidR="00AF2924" w:rsidRPr="00AF2924" w:rsidRDefault="00CE0F87" w:rsidP="00AF2924">
      <w:pPr>
        <w:pStyle w:val="Ttulo2"/>
        <w:spacing w:after="240"/>
        <w:jc w:val="center"/>
        <w:rPr>
          <w:rFonts w:ascii="ITC Avant Garde" w:hAnsi="ITC Avant Garde"/>
          <w:b/>
          <w:color w:val="000000" w:themeColor="text1"/>
          <w:sz w:val="22"/>
          <w:szCs w:val="22"/>
        </w:rPr>
      </w:pPr>
      <w:r w:rsidRPr="00AF2924">
        <w:rPr>
          <w:rFonts w:ascii="ITC Avant Garde" w:hAnsi="ITC Avant Garde"/>
          <w:b/>
          <w:color w:val="000000" w:themeColor="text1"/>
          <w:sz w:val="22"/>
          <w:szCs w:val="22"/>
        </w:rPr>
        <w:t>ANTECEDENTES</w:t>
      </w:r>
    </w:p>
    <w:p w14:paraId="3D0DD6DA" w14:textId="77777777" w:rsidR="00AF2924" w:rsidRPr="00AF2924" w:rsidRDefault="00FC427A" w:rsidP="00AF2924">
      <w:pPr>
        <w:numPr>
          <w:ilvl w:val="0"/>
          <w:numId w:val="23"/>
        </w:numPr>
        <w:spacing w:before="240" w:line="240" w:lineRule="auto"/>
        <w:jc w:val="both"/>
        <w:rPr>
          <w:rFonts w:ascii="ITC Avant Garde" w:hAnsi="ITC Avant Garde"/>
          <w:bCs/>
          <w:color w:val="000000"/>
          <w:lang w:eastAsia="es-MX"/>
        </w:rPr>
      </w:pPr>
      <w:r w:rsidRPr="00AF2924">
        <w:rPr>
          <w:rFonts w:ascii="ITC Avant Garde" w:eastAsia="Times New Roman" w:hAnsi="ITC Avant Garde"/>
          <w:b/>
          <w:bCs/>
          <w:color w:val="000000"/>
          <w:lang w:val="es-ES" w:eastAsia="es-MX"/>
        </w:rPr>
        <w:t>Otorgamiento de la Concesión</w:t>
      </w:r>
      <w:r w:rsidR="002E4549" w:rsidRPr="00AF2924">
        <w:rPr>
          <w:rFonts w:ascii="ITC Avant Garde" w:eastAsia="Times New Roman" w:hAnsi="ITC Avant Garde"/>
          <w:b/>
          <w:bCs/>
          <w:color w:val="000000"/>
          <w:lang w:val="es-ES" w:eastAsia="es-MX"/>
        </w:rPr>
        <w:t xml:space="preserve"> Original</w:t>
      </w:r>
      <w:r w:rsidRPr="00AF2924">
        <w:rPr>
          <w:rFonts w:ascii="ITC Avant Garde" w:eastAsia="Times New Roman" w:hAnsi="ITC Avant Garde"/>
          <w:b/>
          <w:bCs/>
          <w:color w:val="000000"/>
          <w:lang w:val="es-ES" w:eastAsia="es-MX"/>
        </w:rPr>
        <w:t>.</w:t>
      </w:r>
      <w:r w:rsidRPr="00AF2924">
        <w:rPr>
          <w:rFonts w:ascii="ITC Avant Garde" w:hAnsi="ITC Avant Garde"/>
          <w:bCs/>
          <w:color w:val="000000" w:themeColor="text1"/>
          <w:lang w:eastAsia="es-MX"/>
        </w:rPr>
        <w:t xml:space="preserve"> </w:t>
      </w:r>
      <w:r w:rsidRPr="00AF2924">
        <w:rPr>
          <w:rFonts w:ascii="ITC Avant Garde" w:eastAsia="Times New Roman" w:hAnsi="ITC Avant Garde"/>
          <w:bCs/>
          <w:color w:val="000000"/>
          <w:lang w:val="es-ES" w:eastAsia="es-MX"/>
        </w:rPr>
        <w:t>El 15 de junio de 1992, la Secretaría de Comunicaciones y Transportes (la “Secretaría”), otorgó a favor de Comunicaciones Radiotelefónicas Peninsulares, S.A. de C.V.</w:t>
      </w:r>
      <w:r w:rsidR="00296B0B" w:rsidRPr="00AF2924">
        <w:rPr>
          <w:rFonts w:ascii="ITC Avant Garde" w:eastAsia="Times New Roman" w:hAnsi="ITC Avant Garde"/>
          <w:bCs/>
          <w:color w:val="000000"/>
          <w:lang w:val="es-ES" w:eastAsia="es-MX"/>
        </w:rPr>
        <w:t xml:space="preserve"> (“Comunicaciones Radiotelefónicas Peninsulares</w:t>
      </w:r>
      <w:r w:rsidR="00A41B73" w:rsidRPr="00AF2924">
        <w:rPr>
          <w:rFonts w:ascii="ITC Avant Garde" w:eastAsia="Times New Roman" w:hAnsi="ITC Avant Garde"/>
          <w:bCs/>
          <w:color w:val="000000"/>
          <w:lang w:val="es-ES" w:eastAsia="es-MX"/>
        </w:rPr>
        <w:t>”</w:t>
      </w:r>
      <w:r w:rsidR="00296B0B" w:rsidRPr="00AF2924">
        <w:rPr>
          <w:rFonts w:ascii="ITC Avant Garde" w:eastAsia="Times New Roman" w:hAnsi="ITC Avant Garde"/>
          <w:bCs/>
          <w:color w:val="000000"/>
          <w:lang w:val="es-ES" w:eastAsia="es-MX"/>
        </w:rPr>
        <w:t>)</w:t>
      </w:r>
      <w:r w:rsidRPr="00AF2924">
        <w:rPr>
          <w:rFonts w:ascii="ITC Avant Garde" w:eastAsia="Times New Roman" w:hAnsi="ITC Avant Garde"/>
          <w:bCs/>
          <w:color w:val="000000"/>
          <w:lang w:val="es-ES" w:eastAsia="es-MX"/>
        </w:rPr>
        <w:t>, un título de concesión para construir, instalar, mantener, operar y explotar por un periodo de 15 (quince) años, una red pública de radiocomunicación móvil para prestar el servicio público de radiocomunicación móvil especializada con tecnología de frecuencias portadoras compartidas en: Tuxtla Gutiérrez, Chiapas, Villahermosa, Tabasco, Mérida, Yucatán, y Cancún, Quintana Roo, pudiendo comunicar áreas rurales en la zona de influencia económica de dichas ciudades (la “Concesión</w:t>
      </w:r>
      <w:r w:rsidR="002E4549" w:rsidRPr="00AF2924">
        <w:rPr>
          <w:rFonts w:ascii="ITC Avant Garde" w:eastAsia="Times New Roman" w:hAnsi="ITC Avant Garde"/>
          <w:bCs/>
          <w:color w:val="000000"/>
          <w:lang w:val="es-ES" w:eastAsia="es-MX"/>
        </w:rPr>
        <w:t xml:space="preserve"> </w:t>
      </w:r>
      <w:r w:rsidR="00C80922" w:rsidRPr="00AF2924">
        <w:rPr>
          <w:rFonts w:ascii="ITC Avant Garde" w:eastAsia="Times New Roman" w:hAnsi="ITC Avant Garde"/>
          <w:bCs/>
          <w:color w:val="000000"/>
          <w:lang w:val="es-ES" w:eastAsia="es-MX"/>
        </w:rPr>
        <w:t>1992</w:t>
      </w:r>
      <w:r w:rsidRPr="00AF2924">
        <w:rPr>
          <w:rFonts w:ascii="ITC Avant Garde" w:eastAsia="Times New Roman" w:hAnsi="ITC Avant Garde"/>
          <w:bCs/>
          <w:color w:val="000000"/>
          <w:lang w:val="es-ES" w:eastAsia="es-MX"/>
        </w:rPr>
        <w:t>”)</w:t>
      </w:r>
      <w:r w:rsidR="005D35A7" w:rsidRPr="00AF2924">
        <w:rPr>
          <w:rFonts w:ascii="ITC Avant Garde" w:eastAsia="Times New Roman" w:hAnsi="ITC Avant Garde"/>
          <w:bCs/>
          <w:color w:val="000000"/>
          <w:lang w:val="es-ES" w:eastAsia="es-MX"/>
        </w:rPr>
        <w:t>,</w:t>
      </w:r>
      <w:r w:rsidR="006560F1" w:rsidRPr="00AF2924">
        <w:rPr>
          <w:rFonts w:ascii="ITC Avant Garde" w:eastAsia="Times New Roman" w:hAnsi="ITC Avant Garde"/>
          <w:bCs/>
          <w:color w:val="000000"/>
          <w:lang w:val="es-ES" w:eastAsia="es-MX"/>
        </w:rPr>
        <w:t xml:space="preserve"> mediante el uso de diversos pares de frecuencias en la banda 806-821/851-866 MHz,</w:t>
      </w:r>
      <w:r w:rsidR="005D35A7" w:rsidRPr="00AF2924">
        <w:rPr>
          <w:rFonts w:ascii="ITC Avant Garde" w:eastAsia="Times New Roman" w:hAnsi="ITC Avant Garde"/>
          <w:bCs/>
          <w:color w:val="000000"/>
          <w:lang w:val="es-ES" w:eastAsia="es-MX"/>
        </w:rPr>
        <w:t xml:space="preserve"> la cual fue modificada con oficios de la Secretaría números 110.-0867 y 114.-6346 de fechas 19 de marzo de 1993 y 28 de noviembre de 1994, respectivamente, mediante los cuales se asignaron pares de frecuencias adicionales</w:t>
      </w:r>
      <w:r w:rsidR="00577DFB" w:rsidRPr="00AF2924">
        <w:rPr>
          <w:rFonts w:ascii="ITC Avant Garde" w:eastAsia="Times New Roman" w:hAnsi="ITC Avant Garde"/>
          <w:bCs/>
          <w:color w:val="000000"/>
          <w:lang w:val="es-ES" w:eastAsia="es-MX"/>
        </w:rPr>
        <w:t>.</w:t>
      </w:r>
      <w:r w:rsidR="003D1EDA" w:rsidRPr="00AF2924">
        <w:rPr>
          <w:rFonts w:ascii="ITC Avant Garde" w:hAnsi="ITC Avant Garde"/>
          <w:bCs/>
          <w:color w:val="000000"/>
          <w:lang w:eastAsia="es-MX"/>
        </w:rPr>
        <w:t xml:space="preserve"> </w:t>
      </w:r>
    </w:p>
    <w:p w14:paraId="0C532BE7" w14:textId="77777777" w:rsidR="00AF2924" w:rsidRPr="00AF2924" w:rsidRDefault="00106EE8" w:rsidP="00AF2924">
      <w:pPr>
        <w:pStyle w:val="Prrafodelista"/>
        <w:numPr>
          <w:ilvl w:val="0"/>
          <w:numId w:val="23"/>
        </w:numPr>
        <w:spacing w:before="240" w:after="200"/>
        <w:ind w:right="45"/>
        <w:jc w:val="both"/>
        <w:rPr>
          <w:rFonts w:ascii="ITC Avant Garde" w:hAnsi="ITC Avant Garde"/>
          <w:bCs/>
          <w:color w:val="000000"/>
          <w:sz w:val="22"/>
          <w:szCs w:val="22"/>
          <w:lang w:eastAsia="es-MX"/>
        </w:rPr>
      </w:pPr>
      <w:r w:rsidRPr="00AF2924">
        <w:rPr>
          <w:rFonts w:ascii="ITC Avant Garde" w:hAnsi="ITC Avant Garde"/>
          <w:b/>
          <w:bCs/>
          <w:color w:val="000000"/>
          <w:sz w:val="22"/>
          <w:szCs w:val="22"/>
          <w:lang w:eastAsia="es-MX"/>
        </w:rPr>
        <w:t xml:space="preserve">Decreto de Reforma Constitucional. </w:t>
      </w:r>
      <w:r w:rsidRPr="00AF2924">
        <w:rPr>
          <w:rFonts w:ascii="ITC Avant Garde"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2BDC732A" w14:textId="77777777" w:rsidR="00AF2924" w:rsidRPr="00AF2924" w:rsidRDefault="00106EE8" w:rsidP="00AF2924">
      <w:pPr>
        <w:pStyle w:val="Prrafodelista"/>
        <w:numPr>
          <w:ilvl w:val="0"/>
          <w:numId w:val="23"/>
        </w:numPr>
        <w:spacing w:before="240" w:after="200"/>
        <w:ind w:right="45"/>
        <w:jc w:val="both"/>
        <w:rPr>
          <w:rFonts w:ascii="ITC Avant Garde" w:hAnsi="ITC Avant Garde"/>
          <w:bCs/>
          <w:color w:val="000000"/>
          <w:sz w:val="22"/>
          <w:szCs w:val="22"/>
          <w:lang w:eastAsia="es-MX"/>
        </w:rPr>
      </w:pPr>
      <w:r w:rsidRPr="00AF2924">
        <w:rPr>
          <w:rFonts w:ascii="ITC Avant Garde" w:hAnsi="ITC Avant Garde"/>
          <w:b/>
          <w:bCs/>
          <w:color w:val="000000"/>
          <w:sz w:val="22"/>
          <w:szCs w:val="22"/>
          <w:lang w:eastAsia="es-MX"/>
        </w:rPr>
        <w:t xml:space="preserve">Decreto de Ley. </w:t>
      </w:r>
      <w:r w:rsidRPr="00AF2924">
        <w:rPr>
          <w:rFonts w:ascii="ITC Avant Garde" w:hAnsi="ITC Avant Garde"/>
          <w:bCs/>
          <w:color w:val="000000"/>
          <w:sz w:val="22"/>
          <w:szCs w:val="22"/>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14:paraId="44CB6069" w14:textId="77777777" w:rsidR="00AF2924" w:rsidRPr="00AF2924" w:rsidRDefault="00106EE8" w:rsidP="00AF2924">
      <w:pPr>
        <w:pStyle w:val="Prrafodelista"/>
        <w:numPr>
          <w:ilvl w:val="0"/>
          <w:numId w:val="23"/>
        </w:numPr>
        <w:spacing w:before="240" w:after="200"/>
        <w:ind w:right="45"/>
        <w:jc w:val="both"/>
        <w:rPr>
          <w:rFonts w:ascii="ITC Avant Garde" w:hAnsi="ITC Avant Garde"/>
          <w:bCs/>
          <w:color w:val="000000"/>
          <w:sz w:val="22"/>
          <w:szCs w:val="22"/>
          <w:lang w:eastAsia="es-MX"/>
        </w:rPr>
      </w:pPr>
      <w:r w:rsidRPr="00AF2924">
        <w:rPr>
          <w:rFonts w:ascii="ITC Avant Garde" w:hAnsi="ITC Avant Garde"/>
          <w:b/>
          <w:bCs/>
          <w:color w:val="000000"/>
          <w:sz w:val="22"/>
          <w:szCs w:val="22"/>
          <w:lang w:eastAsia="es-MX"/>
        </w:rPr>
        <w:t xml:space="preserve">Estatuto Orgánico. </w:t>
      </w:r>
      <w:r w:rsidRPr="00AF2924">
        <w:rPr>
          <w:rFonts w:ascii="ITC Avant Garde" w:hAnsi="ITC Avant Garde"/>
          <w:bCs/>
          <w:color w:val="000000"/>
          <w:sz w:val="22"/>
          <w:szCs w:val="22"/>
          <w:lang w:eastAsia="es-MX"/>
        </w:rPr>
        <w:t>El 4 de septiembre de 2014, se publicó en el Diario Oficial de la Federación el “Estatuto Orgánico del Instituto Federal de Telecomunicaciones” (el “Estatuto Orgánico”), mismo que entró en vigor el 26 de septiembre de 2014 y fue modificado por última vez el 17 de octubre de 2016.</w:t>
      </w:r>
    </w:p>
    <w:p w14:paraId="7E12C144" w14:textId="77777777" w:rsidR="00AF2924" w:rsidRPr="00AF2924" w:rsidRDefault="009B3B97" w:rsidP="00AF2924">
      <w:pPr>
        <w:pStyle w:val="Prrafodelista"/>
        <w:numPr>
          <w:ilvl w:val="0"/>
          <w:numId w:val="23"/>
        </w:numPr>
        <w:tabs>
          <w:tab w:val="left" w:pos="567"/>
        </w:tabs>
        <w:spacing w:before="240" w:after="200"/>
        <w:ind w:right="45"/>
        <w:jc w:val="both"/>
        <w:rPr>
          <w:rFonts w:ascii="ITC Avant Garde" w:hAnsi="ITC Avant Garde"/>
          <w:bCs/>
          <w:color w:val="000000"/>
          <w:sz w:val="22"/>
          <w:szCs w:val="22"/>
        </w:rPr>
      </w:pPr>
      <w:r w:rsidRPr="00AF2924">
        <w:rPr>
          <w:rFonts w:ascii="ITC Avant Garde" w:hAnsi="ITC Avant Garde"/>
          <w:b/>
          <w:bCs/>
          <w:color w:val="000000"/>
          <w:sz w:val="22"/>
          <w:szCs w:val="22"/>
          <w:lang w:eastAsia="es-MX"/>
        </w:rPr>
        <w:lastRenderedPageBreak/>
        <w:t>Prórroga de vigencia de la Concesión 1992.</w:t>
      </w:r>
      <w:r w:rsidRPr="00AF2924">
        <w:rPr>
          <w:rFonts w:ascii="ITC Avant Garde" w:hAnsi="ITC Avant Garde"/>
          <w:bCs/>
          <w:color w:val="000000"/>
          <w:sz w:val="22"/>
          <w:szCs w:val="22"/>
          <w:lang w:eastAsia="es-MX"/>
        </w:rPr>
        <w:t xml:space="preserve"> El Pleno del </w:t>
      </w:r>
      <w:r w:rsidRPr="00AF2924">
        <w:rPr>
          <w:rFonts w:ascii="ITC Avant Garde" w:hAnsi="ITC Avant Garde"/>
          <w:bCs/>
          <w:color w:val="000000"/>
          <w:sz w:val="22"/>
          <w:szCs w:val="22"/>
        </w:rPr>
        <w:t>Instituto, mediante</w:t>
      </w:r>
      <w:r w:rsidR="00155991" w:rsidRPr="00AF2924">
        <w:rPr>
          <w:rFonts w:ascii="ITC Avant Garde" w:hAnsi="ITC Avant Garde"/>
          <w:bCs/>
          <w:color w:val="000000"/>
          <w:sz w:val="22"/>
          <w:szCs w:val="22"/>
        </w:rPr>
        <w:t xml:space="preserve"> Resolución con número de</w:t>
      </w:r>
      <w:r w:rsidRPr="00AF2924">
        <w:rPr>
          <w:rFonts w:ascii="ITC Avant Garde" w:hAnsi="ITC Avant Garde"/>
          <w:bCs/>
          <w:color w:val="000000"/>
          <w:sz w:val="22"/>
          <w:szCs w:val="22"/>
        </w:rPr>
        <w:t xml:space="preserve"> Acuerdo P/IFT/270116/21 de fecha 27 de enero de 2016, resolvió autorizar la prórroga de vigencia de la Concesión 1992</w:t>
      </w:r>
      <w:r w:rsidR="00A765CB" w:rsidRPr="00AF2924">
        <w:rPr>
          <w:rFonts w:ascii="ITC Avant Garde" w:hAnsi="ITC Avant Garde"/>
          <w:bCs/>
          <w:color w:val="000000"/>
          <w:sz w:val="22"/>
          <w:szCs w:val="22"/>
        </w:rPr>
        <w:t xml:space="preserve"> </w:t>
      </w:r>
      <w:r w:rsidR="00CE60C3" w:rsidRPr="00AF2924">
        <w:rPr>
          <w:rFonts w:ascii="ITC Avant Garde" w:hAnsi="ITC Avant Garde"/>
          <w:bCs/>
          <w:color w:val="000000"/>
          <w:sz w:val="22"/>
          <w:szCs w:val="22"/>
        </w:rPr>
        <w:t>(la “Resolución de Prórroga”)</w:t>
      </w:r>
      <w:r w:rsidR="00A765CB" w:rsidRPr="00AF2924">
        <w:rPr>
          <w:rFonts w:ascii="ITC Avant Garde" w:hAnsi="ITC Avant Garde"/>
          <w:bCs/>
          <w:color w:val="000000"/>
          <w:sz w:val="22"/>
          <w:szCs w:val="22"/>
        </w:rPr>
        <w:t>. Dicha autorización quedó</w:t>
      </w:r>
      <w:r w:rsidRPr="00AF2924">
        <w:rPr>
          <w:rFonts w:ascii="ITC Avant Garde" w:hAnsi="ITC Avant Garde"/>
          <w:bCs/>
          <w:color w:val="000000"/>
          <w:sz w:val="22"/>
          <w:szCs w:val="22"/>
        </w:rPr>
        <w:t xml:space="preserve"> sujeta</w:t>
      </w:r>
      <w:r w:rsidR="00A765CB" w:rsidRPr="00AF2924">
        <w:rPr>
          <w:rFonts w:ascii="ITC Avant Garde" w:hAnsi="ITC Avant Garde"/>
          <w:bCs/>
          <w:color w:val="000000"/>
          <w:sz w:val="22"/>
          <w:szCs w:val="22"/>
        </w:rPr>
        <w:t>,</w:t>
      </w:r>
      <w:r w:rsidRPr="00AF2924">
        <w:rPr>
          <w:rFonts w:ascii="ITC Avant Garde" w:hAnsi="ITC Avant Garde"/>
          <w:bCs/>
          <w:color w:val="000000"/>
          <w:sz w:val="22"/>
          <w:szCs w:val="22"/>
        </w:rPr>
        <w:t xml:space="preserve"> entre otras, a la aceptación de las condiciones contenidas los títulos de concesión que se señalan en los Antecedentes VI y VII siguientes. </w:t>
      </w:r>
    </w:p>
    <w:p w14:paraId="35912A72" w14:textId="77777777" w:rsidR="00AF2924" w:rsidRPr="00AF2924" w:rsidRDefault="009B3B97" w:rsidP="00AF2924">
      <w:pPr>
        <w:autoSpaceDE w:val="0"/>
        <w:autoSpaceDN w:val="0"/>
        <w:adjustRightInd w:val="0"/>
        <w:spacing w:before="240" w:line="240" w:lineRule="auto"/>
        <w:ind w:left="567"/>
        <w:jc w:val="both"/>
        <w:rPr>
          <w:rFonts w:ascii="ITC Avant Garde" w:eastAsia="Times New Roman" w:hAnsi="ITC Avant Garde"/>
          <w:bCs/>
          <w:color w:val="000000"/>
          <w:lang w:val="es-ES" w:eastAsia="es-ES"/>
        </w:rPr>
      </w:pPr>
      <w:r w:rsidRPr="00AF2924">
        <w:rPr>
          <w:rFonts w:ascii="ITC Avant Garde" w:eastAsia="Times New Roman" w:hAnsi="ITC Avant Garde"/>
          <w:bCs/>
          <w:color w:val="000000"/>
          <w:lang w:val="es-ES" w:eastAsia="es-ES"/>
        </w:rPr>
        <w:t xml:space="preserve">Al respecto, dado que la Concesión 1992 no permitía definir de manera precisa el área </w:t>
      </w:r>
      <w:r w:rsidR="00A765CB" w:rsidRPr="00AF2924">
        <w:rPr>
          <w:rFonts w:ascii="ITC Avant Garde" w:eastAsia="Times New Roman" w:hAnsi="ITC Avant Garde"/>
          <w:bCs/>
          <w:color w:val="000000"/>
          <w:lang w:val="es-ES" w:eastAsia="es-ES"/>
        </w:rPr>
        <w:t xml:space="preserve">de cobertura </w:t>
      </w:r>
      <w:r w:rsidRPr="00AF2924">
        <w:rPr>
          <w:rFonts w:ascii="ITC Avant Garde" w:eastAsia="Times New Roman" w:hAnsi="ITC Avant Garde"/>
          <w:bCs/>
          <w:color w:val="000000"/>
          <w:lang w:val="es-ES" w:eastAsia="es-ES"/>
        </w:rPr>
        <w:t>en la cual se prestaba el servicio</w:t>
      </w:r>
      <w:r w:rsidR="00A765CB" w:rsidRPr="00AF2924">
        <w:rPr>
          <w:rFonts w:ascii="ITC Avant Garde" w:eastAsia="Times New Roman" w:hAnsi="ITC Avant Garde"/>
          <w:bCs/>
          <w:color w:val="000000"/>
          <w:lang w:val="es-ES" w:eastAsia="es-ES"/>
        </w:rPr>
        <w:t xml:space="preserve"> de telecomunicaciones</w:t>
      </w:r>
      <w:r w:rsidRPr="00AF2924">
        <w:rPr>
          <w:rFonts w:ascii="ITC Avant Garde" w:eastAsia="Times New Roman" w:hAnsi="ITC Avant Garde"/>
          <w:bCs/>
          <w:color w:val="000000"/>
          <w:lang w:val="es-ES" w:eastAsia="es-ES"/>
        </w:rPr>
        <w:t>,</w:t>
      </w:r>
      <w:r w:rsidRPr="00AF2924" w:rsidDel="007B3E01">
        <w:rPr>
          <w:rFonts w:ascii="ITC Avant Garde" w:eastAsia="Times New Roman" w:hAnsi="ITC Avant Garde"/>
          <w:bCs/>
          <w:color w:val="000000"/>
          <w:lang w:val="es-ES" w:eastAsia="es-ES"/>
        </w:rPr>
        <w:t xml:space="preserve"> </w:t>
      </w:r>
      <w:r w:rsidR="00155991" w:rsidRPr="00AF2924">
        <w:rPr>
          <w:rFonts w:ascii="ITC Avant Garde" w:eastAsia="Times New Roman" w:hAnsi="ITC Avant Garde"/>
          <w:bCs/>
          <w:color w:val="000000"/>
          <w:lang w:val="es-ES" w:eastAsia="es-ES"/>
        </w:rPr>
        <w:t xml:space="preserve">la </w:t>
      </w:r>
      <w:r w:rsidR="0089122D" w:rsidRPr="00AF2924">
        <w:rPr>
          <w:rFonts w:ascii="ITC Avant Garde" w:hAnsi="ITC Avant Garde"/>
          <w:bCs/>
          <w:color w:val="000000"/>
        </w:rPr>
        <w:t>Resolución de Prórroga</w:t>
      </w:r>
      <w:r w:rsidRPr="00AF2924">
        <w:rPr>
          <w:rFonts w:ascii="ITC Avant Garde" w:eastAsia="Times New Roman" w:hAnsi="ITC Avant Garde"/>
          <w:bCs/>
          <w:color w:val="000000"/>
          <w:lang w:val="es-ES" w:eastAsia="es-ES"/>
        </w:rPr>
        <w:t xml:space="preserve"> consideró </w:t>
      </w:r>
      <w:r w:rsidR="00A765CB" w:rsidRPr="00AF2924">
        <w:rPr>
          <w:rFonts w:ascii="ITC Avant Garde" w:eastAsia="Times New Roman" w:hAnsi="ITC Avant Garde"/>
          <w:bCs/>
          <w:color w:val="000000"/>
          <w:lang w:val="es-ES" w:eastAsia="es-ES"/>
        </w:rPr>
        <w:t>al municipio como</w:t>
      </w:r>
      <w:r w:rsidRPr="00AF2924">
        <w:rPr>
          <w:rFonts w:ascii="ITC Avant Garde" w:eastAsia="Times New Roman" w:hAnsi="ITC Avant Garde"/>
          <w:bCs/>
          <w:color w:val="000000"/>
          <w:lang w:val="es-ES" w:eastAsia="es-ES"/>
        </w:rPr>
        <w:t xml:space="preserve"> la unidad mínima para establecer </w:t>
      </w:r>
      <w:r w:rsidR="00700C71" w:rsidRPr="00AF2924">
        <w:rPr>
          <w:rFonts w:ascii="ITC Avant Garde" w:eastAsia="Times New Roman" w:hAnsi="ITC Avant Garde"/>
          <w:bCs/>
          <w:color w:val="000000"/>
          <w:lang w:val="es-ES" w:eastAsia="es-ES"/>
        </w:rPr>
        <w:t>de manera clara,</w:t>
      </w:r>
      <w:r w:rsidR="00A765CB" w:rsidRPr="00AF2924">
        <w:rPr>
          <w:rFonts w:ascii="ITC Avant Garde" w:eastAsia="Times New Roman" w:hAnsi="ITC Avant Garde"/>
          <w:bCs/>
          <w:color w:val="000000"/>
          <w:lang w:val="es-ES" w:eastAsia="es-ES"/>
        </w:rPr>
        <w:t xml:space="preserve"> el área de </w:t>
      </w:r>
      <w:r w:rsidRPr="00AF2924">
        <w:rPr>
          <w:rFonts w:ascii="ITC Avant Garde" w:eastAsia="Times New Roman" w:hAnsi="ITC Avant Garde"/>
          <w:bCs/>
          <w:color w:val="000000"/>
          <w:lang w:val="es-ES" w:eastAsia="es-ES"/>
        </w:rPr>
        <w:t>cobertura en los títulos de concesión que</w:t>
      </w:r>
      <w:r w:rsidR="00A765CB" w:rsidRPr="00AF2924">
        <w:rPr>
          <w:rFonts w:ascii="ITC Avant Garde" w:eastAsia="Times New Roman" w:hAnsi="ITC Avant Garde"/>
          <w:bCs/>
          <w:color w:val="000000"/>
          <w:lang w:val="es-ES" w:eastAsia="es-ES"/>
        </w:rPr>
        <w:t xml:space="preserve"> en su momento</w:t>
      </w:r>
      <w:r w:rsidRPr="00AF2924">
        <w:rPr>
          <w:rFonts w:ascii="ITC Avant Garde" w:eastAsia="Times New Roman" w:hAnsi="ITC Avant Garde"/>
          <w:bCs/>
          <w:color w:val="000000"/>
          <w:lang w:val="es-ES" w:eastAsia="es-ES"/>
        </w:rPr>
        <w:t xml:space="preserve"> </w:t>
      </w:r>
      <w:r w:rsidR="00AF015C" w:rsidRPr="00AF2924">
        <w:rPr>
          <w:rFonts w:ascii="ITC Avant Garde" w:eastAsia="Times New Roman" w:hAnsi="ITC Avant Garde"/>
          <w:bCs/>
          <w:color w:val="000000"/>
          <w:lang w:val="es-ES" w:eastAsia="es-ES"/>
        </w:rPr>
        <w:t>se otorgara</w:t>
      </w:r>
      <w:r w:rsidR="00A765CB" w:rsidRPr="00AF2924">
        <w:rPr>
          <w:rFonts w:ascii="ITC Avant Garde" w:eastAsia="Times New Roman" w:hAnsi="ITC Avant Garde"/>
          <w:bCs/>
          <w:color w:val="000000"/>
          <w:lang w:val="es-ES" w:eastAsia="es-ES"/>
        </w:rPr>
        <w:t xml:space="preserve">n a Comunicaciones </w:t>
      </w:r>
      <w:r w:rsidR="00700C71" w:rsidRPr="00AF2924">
        <w:rPr>
          <w:rFonts w:ascii="ITC Avant Garde" w:eastAsia="Times New Roman" w:hAnsi="ITC Avant Garde"/>
          <w:bCs/>
          <w:color w:val="000000"/>
          <w:lang w:val="es-ES" w:eastAsia="es-ES"/>
        </w:rPr>
        <w:t>Radiot</w:t>
      </w:r>
      <w:r w:rsidR="00A765CB" w:rsidRPr="00AF2924">
        <w:rPr>
          <w:rFonts w:ascii="ITC Avant Garde" w:eastAsia="Times New Roman" w:hAnsi="ITC Avant Garde"/>
          <w:bCs/>
          <w:color w:val="000000"/>
          <w:lang w:val="es-ES" w:eastAsia="es-ES"/>
        </w:rPr>
        <w:t>elefónicas Peninsulares</w:t>
      </w:r>
      <w:r w:rsidR="00700C71" w:rsidRPr="00AF2924">
        <w:rPr>
          <w:rFonts w:ascii="ITC Avant Garde" w:eastAsia="Times New Roman" w:hAnsi="ITC Avant Garde"/>
          <w:bCs/>
          <w:color w:val="000000"/>
          <w:lang w:val="es-ES" w:eastAsia="es-ES"/>
        </w:rPr>
        <w:t>,</w:t>
      </w:r>
      <w:r w:rsidR="00A765CB" w:rsidRPr="00AF2924">
        <w:rPr>
          <w:rFonts w:ascii="ITC Avant Garde" w:eastAsia="Times New Roman" w:hAnsi="ITC Avant Garde"/>
          <w:bCs/>
          <w:color w:val="000000"/>
          <w:lang w:val="es-ES" w:eastAsia="es-ES"/>
        </w:rPr>
        <w:t xml:space="preserve"> con motivo de la </w:t>
      </w:r>
      <w:r w:rsidR="00700C71" w:rsidRPr="00AF2924">
        <w:rPr>
          <w:rFonts w:ascii="ITC Avant Garde" w:eastAsia="Times New Roman" w:hAnsi="ITC Avant Garde"/>
          <w:bCs/>
          <w:color w:val="000000"/>
          <w:lang w:val="es-ES" w:eastAsia="es-ES"/>
        </w:rPr>
        <w:t>citada resolución</w:t>
      </w:r>
      <w:r w:rsidRPr="00AF2924">
        <w:rPr>
          <w:rFonts w:ascii="ITC Avant Garde" w:eastAsia="Times New Roman" w:hAnsi="ITC Avant Garde"/>
          <w:bCs/>
          <w:color w:val="000000"/>
          <w:lang w:val="es-ES" w:eastAsia="es-ES"/>
        </w:rPr>
        <w:t>.</w:t>
      </w:r>
    </w:p>
    <w:p w14:paraId="77190008" w14:textId="77777777" w:rsidR="00AF2924" w:rsidRPr="00AF2924" w:rsidRDefault="00812F92" w:rsidP="00AF2924">
      <w:pPr>
        <w:pStyle w:val="Prrafodelista"/>
        <w:numPr>
          <w:ilvl w:val="0"/>
          <w:numId w:val="23"/>
        </w:numPr>
        <w:spacing w:before="240" w:after="200"/>
        <w:ind w:right="45"/>
        <w:jc w:val="both"/>
        <w:rPr>
          <w:rFonts w:ascii="ITC Avant Garde" w:hAnsi="ITC Avant Garde"/>
          <w:bCs/>
          <w:color w:val="000000"/>
          <w:sz w:val="22"/>
          <w:szCs w:val="22"/>
          <w:lang w:eastAsia="es-MX"/>
        </w:rPr>
      </w:pPr>
      <w:r w:rsidRPr="00AF2924">
        <w:rPr>
          <w:rFonts w:ascii="ITC Avant Garde" w:hAnsi="ITC Avant Garde"/>
          <w:b/>
          <w:bCs/>
          <w:color w:val="000000"/>
          <w:sz w:val="22"/>
          <w:szCs w:val="22"/>
          <w:lang w:eastAsia="es-MX"/>
        </w:rPr>
        <w:t>Otorgamiento de la</w:t>
      </w:r>
      <w:r w:rsidR="00927AAA" w:rsidRPr="00AF2924">
        <w:rPr>
          <w:rFonts w:ascii="ITC Avant Garde" w:hAnsi="ITC Avant Garde"/>
          <w:b/>
          <w:bCs/>
          <w:color w:val="000000"/>
          <w:sz w:val="22"/>
          <w:szCs w:val="22"/>
          <w:lang w:eastAsia="es-MX"/>
        </w:rPr>
        <w:t xml:space="preserve"> </w:t>
      </w:r>
      <w:r w:rsidRPr="00AF2924">
        <w:rPr>
          <w:rFonts w:ascii="ITC Avant Garde" w:hAnsi="ITC Avant Garde"/>
          <w:b/>
          <w:bCs/>
          <w:color w:val="000000"/>
          <w:sz w:val="22"/>
          <w:szCs w:val="22"/>
          <w:lang w:eastAsia="es-MX"/>
        </w:rPr>
        <w:t>Concesión</w:t>
      </w:r>
      <w:r w:rsidR="00CE68F5" w:rsidRPr="00AF2924">
        <w:rPr>
          <w:rFonts w:ascii="ITC Avant Garde" w:hAnsi="ITC Avant Garde"/>
          <w:b/>
          <w:bCs/>
          <w:color w:val="000000"/>
          <w:sz w:val="22"/>
          <w:szCs w:val="22"/>
          <w:lang w:eastAsia="es-MX"/>
        </w:rPr>
        <w:t xml:space="preserve"> de Espectro Radioeléctrico</w:t>
      </w:r>
      <w:r w:rsidR="00D428A1" w:rsidRPr="00AF2924">
        <w:rPr>
          <w:rFonts w:ascii="ITC Avant Garde" w:hAnsi="ITC Avant Garde"/>
          <w:b/>
          <w:bCs/>
          <w:color w:val="000000"/>
          <w:sz w:val="22"/>
          <w:szCs w:val="22"/>
          <w:lang w:eastAsia="es-MX"/>
        </w:rPr>
        <w:t xml:space="preserve"> para uso comercial</w:t>
      </w:r>
      <w:r w:rsidR="00927AAA" w:rsidRPr="00AF2924">
        <w:rPr>
          <w:rFonts w:ascii="ITC Avant Garde" w:hAnsi="ITC Avant Garde"/>
          <w:b/>
          <w:bCs/>
          <w:color w:val="000000"/>
          <w:sz w:val="22"/>
          <w:szCs w:val="22"/>
          <w:lang w:eastAsia="es-MX"/>
        </w:rPr>
        <w:t xml:space="preserve">. </w:t>
      </w:r>
      <w:r w:rsidR="00700C71" w:rsidRPr="00AF2924">
        <w:rPr>
          <w:rFonts w:ascii="ITC Avant Garde" w:hAnsi="ITC Avant Garde"/>
          <w:bCs/>
          <w:color w:val="000000"/>
          <w:sz w:val="22"/>
          <w:szCs w:val="22"/>
          <w:lang w:eastAsia="es-MX"/>
        </w:rPr>
        <w:t>El 13 de junio de 2016,</w:t>
      </w:r>
      <w:r w:rsidR="00700C71" w:rsidRPr="00AF2924">
        <w:rPr>
          <w:rFonts w:ascii="ITC Avant Garde" w:hAnsi="ITC Avant Garde"/>
          <w:b/>
          <w:bCs/>
          <w:color w:val="000000"/>
          <w:sz w:val="22"/>
          <w:szCs w:val="22"/>
          <w:lang w:eastAsia="es-MX"/>
        </w:rPr>
        <w:t xml:space="preserve"> </w:t>
      </w:r>
      <w:r w:rsidR="00700C71" w:rsidRPr="00AF2924">
        <w:rPr>
          <w:rFonts w:ascii="ITC Avant Garde" w:hAnsi="ITC Avant Garde"/>
          <w:bCs/>
          <w:color w:val="000000"/>
          <w:sz w:val="22"/>
          <w:szCs w:val="22"/>
          <w:lang w:eastAsia="es-MX"/>
        </w:rPr>
        <w:t>c</w:t>
      </w:r>
      <w:r w:rsidR="00A41B73" w:rsidRPr="00AF2924">
        <w:rPr>
          <w:rFonts w:ascii="ITC Avant Garde" w:hAnsi="ITC Avant Garde"/>
          <w:bCs/>
          <w:color w:val="000000"/>
          <w:sz w:val="22"/>
          <w:szCs w:val="22"/>
          <w:lang w:eastAsia="es-MX"/>
        </w:rPr>
        <w:t xml:space="preserve">on motivo de la prórroga de la Concesión 1992, </w:t>
      </w:r>
      <w:r w:rsidR="00FF0EA5" w:rsidRPr="00AF2924">
        <w:rPr>
          <w:rFonts w:ascii="ITC Avant Garde" w:hAnsi="ITC Avant Garde"/>
          <w:bCs/>
          <w:color w:val="000000"/>
          <w:sz w:val="22"/>
          <w:szCs w:val="22"/>
          <w:lang w:eastAsia="es-MX"/>
        </w:rPr>
        <w:t xml:space="preserve">el </w:t>
      </w:r>
      <w:r w:rsidR="00CE68F5" w:rsidRPr="00AF2924">
        <w:rPr>
          <w:rFonts w:ascii="ITC Avant Garde" w:hAnsi="ITC Avant Garde"/>
          <w:bCs/>
          <w:color w:val="000000"/>
          <w:sz w:val="22"/>
          <w:szCs w:val="22"/>
          <w:lang w:eastAsia="es-MX"/>
        </w:rPr>
        <w:t xml:space="preserve">Instituto </w:t>
      </w:r>
      <w:r w:rsidR="00927AAA" w:rsidRPr="00AF2924">
        <w:rPr>
          <w:rFonts w:ascii="ITC Avant Garde" w:hAnsi="ITC Avant Garde"/>
          <w:bCs/>
          <w:color w:val="000000"/>
          <w:sz w:val="22"/>
          <w:szCs w:val="22"/>
          <w:lang w:eastAsia="es-MX"/>
        </w:rPr>
        <w:t xml:space="preserve">otorgó </w:t>
      </w:r>
      <w:r w:rsidR="00890DB4" w:rsidRPr="00AF2924">
        <w:rPr>
          <w:rFonts w:ascii="ITC Avant Garde" w:hAnsi="ITC Avant Garde"/>
          <w:bCs/>
          <w:color w:val="000000"/>
          <w:sz w:val="22"/>
          <w:szCs w:val="22"/>
          <w:lang w:eastAsia="es-MX"/>
        </w:rPr>
        <w:t xml:space="preserve">a </w:t>
      </w:r>
      <w:r w:rsidR="00CE68F5" w:rsidRPr="00AF2924">
        <w:rPr>
          <w:rFonts w:ascii="ITC Avant Garde" w:hAnsi="ITC Avant Garde"/>
          <w:bCs/>
          <w:color w:val="000000"/>
          <w:sz w:val="22"/>
          <w:szCs w:val="22"/>
          <w:lang w:eastAsia="es-MX"/>
        </w:rPr>
        <w:t>Comunicaciones Radiotelefónicas Peninsulares</w:t>
      </w:r>
      <w:r w:rsidR="00890DB4" w:rsidRPr="00AF2924">
        <w:rPr>
          <w:rFonts w:ascii="ITC Avant Garde" w:hAnsi="ITC Avant Garde"/>
          <w:bCs/>
          <w:color w:val="000000"/>
          <w:sz w:val="22"/>
          <w:szCs w:val="22"/>
          <w:lang w:eastAsia="es-MX"/>
        </w:rPr>
        <w:t xml:space="preserve"> </w:t>
      </w:r>
      <w:r w:rsidR="009E248D" w:rsidRPr="00AF2924">
        <w:rPr>
          <w:rFonts w:ascii="ITC Avant Garde" w:hAnsi="ITC Avant Garde"/>
          <w:bCs/>
          <w:color w:val="000000"/>
          <w:sz w:val="22"/>
          <w:szCs w:val="22"/>
          <w:lang w:eastAsia="es-MX"/>
        </w:rPr>
        <w:t xml:space="preserve">un título de concesión </w:t>
      </w:r>
      <w:r w:rsidR="00CE68F5" w:rsidRPr="00AF2924">
        <w:rPr>
          <w:rFonts w:ascii="ITC Avant Garde" w:hAnsi="ITC Avant Garde"/>
          <w:bCs/>
          <w:color w:val="000000"/>
          <w:sz w:val="22"/>
          <w:szCs w:val="22"/>
          <w:lang w:eastAsia="es-MX"/>
        </w:rPr>
        <w:t xml:space="preserve">para usar, aprovechar y explotar bandas de frecuencias del espectro radioeléctrico para uso comercial, para prestar el servicio </w:t>
      </w:r>
      <w:r w:rsidR="005D35A7" w:rsidRPr="00AF2924">
        <w:rPr>
          <w:rFonts w:ascii="ITC Avant Garde" w:hAnsi="ITC Avant Garde"/>
          <w:bCs/>
          <w:color w:val="000000"/>
          <w:sz w:val="22"/>
          <w:szCs w:val="22"/>
          <w:lang w:eastAsia="es-MX"/>
        </w:rPr>
        <w:t>móvil de radiocomunicación especializada de flotillas</w:t>
      </w:r>
      <w:r w:rsidR="00CE68F5" w:rsidRPr="00AF2924">
        <w:rPr>
          <w:rFonts w:ascii="ITC Avant Garde" w:hAnsi="ITC Avant Garde"/>
          <w:bCs/>
          <w:color w:val="000000"/>
          <w:sz w:val="22"/>
          <w:szCs w:val="22"/>
          <w:lang w:eastAsia="es-MX"/>
        </w:rPr>
        <w:t>, con cobertura en diversos municipios de las entidades federativas Chiapas, Tabasco, Yucatán y Quintana Roo, con una vigencia de 20 años contados a partir del 16 de junio de 2007</w:t>
      </w:r>
      <w:r w:rsidR="008828D8" w:rsidRPr="00AF2924">
        <w:rPr>
          <w:rFonts w:ascii="ITC Avant Garde" w:hAnsi="ITC Avant Garde"/>
          <w:bCs/>
          <w:color w:val="000000"/>
          <w:sz w:val="22"/>
          <w:szCs w:val="22"/>
          <w:lang w:eastAsia="es-MX"/>
        </w:rPr>
        <w:t xml:space="preserve"> </w:t>
      </w:r>
      <w:r w:rsidR="00B31DBE" w:rsidRPr="00AF2924">
        <w:rPr>
          <w:rFonts w:ascii="ITC Avant Garde" w:hAnsi="ITC Avant Garde"/>
          <w:bCs/>
          <w:color w:val="000000"/>
          <w:sz w:val="22"/>
          <w:szCs w:val="22"/>
          <w:lang w:eastAsia="es-MX"/>
        </w:rPr>
        <w:t>(la “Concesión</w:t>
      </w:r>
      <w:r w:rsidR="00D428A1" w:rsidRPr="00AF2924">
        <w:rPr>
          <w:rFonts w:ascii="ITC Avant Garde" w:hAnsi="ITC Avant Garde"/>
          <w:bCs/>
          <w:color w:val="000000"/>
          <w:sz w:val="22"/>
          <w:szCs w:val="22"/>
          <w:lang w:eastAsia="es-MX"/>
        </w:rPr>
        <w:t xml:space="preserve"> de Espectro Radioeléctrico</w:t>
      </w:r>
      <w:r w:rsidR="00D137E5" w:rsidRPr="00AF2924">
        <w:rPr>
          <w:rFonts w:ascii="ITC Avant Garde" w:hAnsi="ITC Avant Garde"/>
          <w:bCs/>
          <w:color w:val="000000"/>
          <w:sz w:val="22"/>
          <w:szCs w:val="22"/>
          <w:lang w:eastAsia="es-MX"/>
        </w:rPr>
        <w:t>”</w:t>
      </w:r>
      <w:r w:rsidR="00B31DBE" w:rsidRPr="00AF2924">
        <w:rPr>
          <w:rFonts w:ascii="ITC Avant Garde" w:hAnsi="ITC Avant Garde"/>
          <w:bCs/>
          <w:color w:val="000000"/>
          <w:sz w:val="22"/>
          <w:szCs w:val="22"/>
          <w:lang w:eastAsia="es-MX"/>
        </w:rPr>
        <w:t>)</w:t>
      </w:r>
      <w:r w:rsidR="004A3547" w:rsidRPr="00AF2924">
        <w:rPr>
          <w:rFonts w:ascii="ITC Avant Garde" w:hAnsi="ITC Avant Garde"/>
          <w:bCs/>
          <w:color w:val="000000"/>
          <w:sz w:val="22"/>
          <w:szCs w:val="22"/>
          <w:lang w:eastAsia="es-MX"/>
        </w:rPr>
        <w:t>.</w:t>
      </w:r>
    </w:p>
    <w:p w14:paraId="0304E3FE" w14:textId="77777777" w:rsidR="00AF2924" w:rsidRPr="00AF2924" w:rsidRDefault="00D428A1" w:rsidP="00AF2924">
      <w:pPr>
        <w:pStyle w:val="Prrafodelista"/>
        <w:numPr>
          <w:ilvl w:val="0"/>
          <w:numId w:val="23"/>
        </w:numPr>
        <w:spacing w:before="240" w:after="200"/>
        <w:ind w:right="45"/>
        <w:jc w:val="both"/>
        <w:rPr>
          <w:rFonts w:ascii="ITC Avant Garde" w:hAnsi="ITC Avant Garde"/>
          <w:bCs/>
          <w:color w:val="000000"/>
          <w:sz w:val="22"/>
          <w:szCs w:val="22"/>
          <w:lang w:eastAsia="es-MX"/>
        </w:rPr>
      </w:pPr>
      <w:r w:rsidRPr="00AF2924">
        <w:rPr>
          <w:rFonts w:ascii="ITC Avant Garde" w:hAnsi="ITC Avant Garde"/>
          <w:b/>
          <w:bCs/>
          <w:color w:val="000000"/>
          <w:sz w:val="22"/>
          <w:szCs w:val="22"/>
          <w:lang w:eastAsia="es-MX"/>
        </w:rPr>
        <w:t xml:space="preserve">Otorgamiento de la Concesión Única para uso comercial. </w:t>
      </w:r>
      <w:r w:rsidR="00700C71" w:rsidRPr="00AF2924">
        <w:rPr>
          <w:rFonts w:ascii="ITC Avant Garde" w:hAnsi="ITC Avant Garde"/>
          <w:bCs/>
          <w:color w:val="000000"/>
          <w:sz w:val="22"/>
          <w:szCs w:val="22"/>
          <w:lang w:eastAsia="es-MX"/>
        </w:rPr>
        <w:t>El 13 de junio de 2016,</w:t>
      </w:r>
      <w:r w:rsidR="00700C71" w:rsidRPr="00AF2924">
        <w:rPr>
          <w:rFonts w:ascii="ITC Avant Garde" w:hAnsi="ITC Avant Garde"/>
          <w:b/>
          <w:bCs/>
          <w:color w:val="000000"/>
          <w:sz w:val="22"/>
          <w:szCs w:val="22"/>
          <w:lang w:eastAsia="es-MX"/>
        </w:rPr>
        <w:t xml:space="preserve"> </w:t>
      </w:r>
      <w:r w:rsidR="00700C71" w:rsidRPr="00AF2924">
        <w:rPr>
          <w:rFonts w:ascii="ITC Avant Garde" w:hAnsi="ITC Avant Garde"/>
          <w:bCs/>
          <w:color w:val="000000"/>
          <w:sz w:val="22"/>
          <w:szCs w:val="22"/>
          <w:lang w:eastAsia="es-MX"/>
        </w:rPr>
        <w:t>c</w:t>
      </w:r>
      <w:r w:rsidR="00A41B73" w:rsidRPr="00AF2924">
        <w:rPr>
          <w:rFonts w:ascii="ITC Avant Garde" w:hAnsi="ITC Avant Garde"/>
          <w:bCs/>
          <w:color w:val="000000"/>
          <w:sz w:val="22"/>
          <w:szCs w:val="22"/>
          <w:lang w:eastAsia="es-MX"/>
        </w:rPr>
        <w:t xml:space="preserve">on motivo de la prórroga de la Concesión 1992, </w:t>
      </w:r>
      <w:r w:rsidRPr="00AF2924">
        <w:rPr>
          <w:rFonts w:ascii="ITC Avant Garde" w:hAnsi="ITC Avant Garde"/>
          <w:bCs/>
          <w:color w:val="000000"/>
          <w:sz w:val="22"/>
          <w:szCs w:val="22"/>
          <w:lang w:eastAsia="es-MX"/>
        </w:rPr>
        <w:t xml:space="preserve">el Instituto otorgó a Comunicaciones Radiotelefónicas Peninsulares un título de concesión </w:t>
      </w:r>
      <w:r w:rsidR="00D137E5" w:rsidRPr="00AF2924">
        <w:rPr>
          <w:rFonts w:ascii="ITC Avant Garde" w:hAnsi="ITC Avant Garde"/>
          <w:bCs/>
          <w:color w:val="000000"/>
          <w:sz w:val="22"/>
          <w:szCs w:val="22"/>
          <w:lang w:eastAsia="es-MX"/>
        </w:rPr>
        <w:t xml:space="preserve">única para uso comercial con cobertura a nivel nacional, con una vigencia de 30 años contados a partir del 16 de junio de 2007 </w:t>
      </w:r>
      <w:r w:rsidRPr="00AF2924">
        <w:rPr>
          <w:rFonts w:ascii="ITC Avant Garde" w:hAnsi="ITC Avant Garde"/>
          <w:bCs/>
          <w:color w:val="000000"/>
          <w:sz w:val="22"/>
          <w:szCs w:val="22"/>
          <w:lang w:eastAsia="es-MX"/>
        </w:rPr>
        <w:t xml:space="preserve">(la “Concesión </w:t>
      </w:r>
      <w:r w:rsidR="00D137E5" w:rsidRPr="00AF2924">
        <w:rPr>
          <w:rFonts w:ascii="ITC Avant Garde" w:hAnsi="ITC Avant Garde"/>
          <w:bCs/>
          <w:color w:val="000000"/>
          <w:sz w:val="22"/>
          <w:szCs w:val="22"/>
          <w:lang w:eastAsia="es-MX"/>
        </w:rPr>
        <w:t>Única</w:t>
      </w:r>
      <w:r w:rsidRPr="00AF2924">
        <w:rPr>
          <w:rFonts w:ascii="ITC Avant Garde" w:hAnsi="ITC Avant Garde"/>
          <w:bCs/>
          <w:color w:val="000000"/>
          <w:sz w:val="22"/>
          <w:szCs w:val="22"/>
          <w:lang w:eastAsia="es-MX"/>
        </w:rPr>
        <w:t>”</w:t>
      </w:r>
      <w:r w:rsidR="00D137E5" w:rsidRPr="00AF2924">
        <w:rPr>
          <w:rFonts w:ascii="ITC Avant Garde" w:hAnsi="ITC Avant Garde"/>
          <w:bCs/>
          <w:color w:val="000000"/>
          <w:sz w:val="22"/>
          <w:szCs w:val="22"/>
          <w:lang w:eastAsia="es-MX"/>
        </w:rPr>
        <w:t xml:space="preserve"> y de manera conjunta con la Concesión de Espectro Radioeléctrico, las “Concesiones”</w:t>
      </w:r>
      <w:r w:rsidRPr="00AF2924">
        <w:rPr>
          <w:rFonts w:ascii="ITC Avant Garde" w:hAnsi="ITC Avant Garde"/>
          <w:bCs/>
          <w:color w:val="000000"/>
          <w:sz w:val="22"/>
          <w:szCs w:val="22"/>
          <w:lang w:eastAsia="es-MX"/>
        </w:rPr>
        <w:t>).</w:t>
      </w:r>
    </w:p>
    <w:p w14:paraId="5EABB5E5" w14:textId="77777777" w:rsidR="00AF2924" w:rsidRPr="00AF2924" w:rsidRDefault="008A0129" w:rsidP="00AF2924">
      <w:pPr>
        <w:pStyle w:val="Prrafodelista"/>
        <w:numPr>
          <w:ilvl w:val="0"/>
          <w:numId w:val="23"/>
        </w:numPr>
        <w:spacing w:before="240" w:after="200"/>
        <w:jc w:val="both"/>
        <w:rPr>
          <w:rFonts w:ascii="ITC Avant Garde" w:hAnsi="ITC Avant Garde"/>
          <w:bCs/>
          <w:color w:val="000000"/>
          <w:lang w:eastAsia="es-MX"/>
        </w:rPr>
      </w:pPr>
      <w:r w:rsidRPr="00AF2924">
        <w:rPr>
          <w:rFonts w:ascii="ITC Avant Garde" w:eastAsia="Calibri" w:hAnsi="ITC Avant Garde"/>
          <w:b/>
          <w:bCs/>
          <w:color w:val="000000"/>
          <w:sz w:val="22"/>
          <w:szCs w:val="22"/>
          <w:lang w:val="es-MX" w:eastAsia="es-MX"/>
        </w:rPr>
        <w:t xml:space="preserve">Solicitud de </w:t>
      </w:r>
      <w:r w:rsidR="00BB02C6" w:rsidRPr="00AF2924">
        <w:rPr>
          <w:rFonts w:ascii="ITC Avant Garde" w:eastAsia="Calibri" w:hAnsi="ITC Avant Garde"/>
          <w:b/>
          <w:bCs/>
          <w:color w:val="000000"/>
          <w:sz w:val="22"/>
          <w:szCs w:val="22"/>
          <w:lang w:val="es-MX" w:eastAsia="es-MX"/>
        </w:rPr>
        <w:t>Modificación</w:t>
      </w:r>
      <w:r w:rsidR="0025645F" w:rsidRPr="00AF2924">
        <w:rPr>
          <w:rFonts w:ascii="ITC Avant Garde" w:eastAsia="Calibri" w:hAnsi="ITC Avant Garde"/>
          <w:b/>
          <w:bCs/>
          <w:color w:val="000000"/>
          <w:sz w:val="22"/>
          <w:szCs w:val="22"/>
          <w:lang w:val="es-MX" w:eastAsia="es-MX"/>
        </w:rPr>
        <w:t xml:space="preserve"> de </w:t>
      </w:r>
      <w:r w:rsidR="00603089" w:rsidRPr="00AF2924">
        <w:rPr>
          <w:rFonts w:ascii="ITC Avant Garde" w:eastAsia="Calibri" w:hAnsi="ITC Avant Garde"/>
          <w:b/>
          <w:bCs/>
          <w:color w:val="000000"/>
          <w:sz w:val="22"/>
          <w:szCs w:val="22"/>
          <w:lang w:val="es-MX" w:eastAsia="es-MX"/>
        </w:rPr>
        <w:t xml:space="preserve">la </w:t>
      </w:r>
      <w:r w:rsidR="0025645F" w:rsidRPr="00AF2924">
        <w:rPr>
          <w:rFonts w:ascii="ITC Avant Garde" w:eastAsia="Calibri" w:hAnsi="ITC Avant Garde"/>
          <w:b/>
          <w:bCs/>
          <w:color w:val="000000"/>
          <w:sz w:val="22"/>
          <w:szCs w:val="22"/>
          <w:lang w:val="es-MX" w:eastAsia="es-MX"/>
        </w:rPr>
        <w:t>Concesión</w:t>
      </w:r>
      <w:r w:rsidR="00603089" w:rsidRPr="00AF2924">
        <w:rPr>
          <w:rFonts w:ascii="ITC Avant Garde" w:eastAsia="Calibri" w:hAnsi="ITC Avant Garde"/>
          <w:b/>
          <w:bCs/>
          <w:color w:val="000000"/>
          <w:sz w:val="22"/>
          <w:szCs w:val="22"/>
          <w:lang w:val="es-MX" w:eastAsia="es-MX"/>
        </w:rPr>
        <w:t xml:space="preserve"> de Espectro Radioeléctrico</w:t>
      </w:r>
      <w:r w:rsidRPr="00AF2924">
        <w:rPr>
          <w:rFonts w:ascii="ITC Avant Garde" w:eastAsia="Calibri" w:hAnsi="ITC Avant Garde"/>
          <w:b/>
          <w:bCs/>
          <w:color w:val="000000"/>
          <w:sz w:val="22"/>
          <w:szCs w:val="22"/>
          <w:lang w:val="es-MX" w:eastAsia="es-MX"/>
        </w:rPr>
        <w:t>.</w:t>
      </w:r>
      <w:r w:rsidRPr="00AF2924">
        <w:rPr>
          <w:rFonts w:ascii="ITC Avant Garde" w:eastAsia="Calibri" w:hAnsi="ITC Avant Garde"/>
          <w:bCs/>
          <w:color w:val="000000"/>
          <w:sz w:val="22"/>
          <w:szCs w:val="22"/>
          <w:lang w:val="es-MX" w:eastAsia="es-MX"/>
        </w:rPr>
        <w:t xml:space="preserve"> Con escrito presentado ante el </w:t>
      </w:r>
      <w:r w:rsidR="00EA0EF2" w:rsidRPr="00AF2924">
        <w:rPr>
          <w:rFonts w:ascii="ITC Avant Garde" w:eastAsia="Calibri" w:hAnsi="ITC Avant Garde"/>
          <w:bCs/>
          <w:color w:val="000000"/>
          <w:sz w:val="22"/>
          <w:szCs w:val="22"/>
          <w:lang w:val="es-MX" w:eastAsia="es-MX"/>
        </w:rPr>
        <w:t>Instituto</w:t>
      </w:r>
      <w:r w:rsidRPr="00AF2924">
        <w:rPr>
          <w:rFonts w:ascii="ITC Avant Garde" w:eastAsia="Calibri" w:hAnsi="ITC Avant Garde"/>
          <w:bCs/>
          <w:color w:val="000000"/>
          <w:sz w:val="22"/>
          <w:szCs w:val="22"/>
          <w:lang w:val="es-MX" w:eastAsia="es-MX"/>
        </w:rPr>
        <w:t xml:space="preserve"> </w:t>
      </w:r>
      <w:r w:rsidR="00A04F64" w:rsidRPr="00AF2924">
        <w:rPr>
          <w:rFonts w:ascii="ITC Avant Garde" w:eastAsia="Calibri" w:hAnsi="ITC Avant Garde"/>
          <w:bCs/>
          <w:color w:val="000000"/>
          <w:sz w:val="22"/>
          <w:szCs w:val="22"/>
          <w:lang w:val="es-MX" w:eastAsia="es-MX"/>
        </w:rPr>
        <w:t>el</w:t>
      </w:r>
      <w:r w:rsidR="00311C32" w:rsidRPr="00AF2924">
        <w:rPr>
          <w:rFonts w:ascii="ITC Avant Garde" w:eastAsia="Calibri" w:hAnsi="ITC Avant Garde"/>
          <w:bCs/>
          <w:color w:val="000000"/>
          <w:sz w:val="22"/>
          <w:szCs w:val="22"/>
          <w:lang w:val="es-MX" w:eastAsia="es-MX"/>
        </w:rPr>
        <w:t xml:space="preserve"> </w:t>
      </w:r>
      <w:r w:rsidR="00376AEC" w:rsidRPr="00AF2924">
        <w:rPr>
          <w:rFonts w:ascii="ITC Avant Garde" w:eastAsia="Calibri" w:hAnsi="ITC Avant Garde"/>
          <w:bCs/>
          <w:color w:val="000000"/>
          <w:sz w:val="22"/>
          <w:szCs w:val="22"/>
          <w:lang w:val="es-MX" w:eastAsia="es-MX"/>
        </w:rPr>
        <w:t>13</w:t>
      </w:r>
      <w:r w:rsidR="00A01E40" w:rsidRPr="00AF2924">
        <w:rPr>
          <w:rFonts w:ascii="ITC Avant Garde" w:eastAsia="Calibri" w:hAnsi="ITC Avant Garde"/>
          <w:bCs/>
          <w:color w:val="000000"/>
          <w:sz w:val="22"/>
          <w:szCs w:val="22"/>
          <w:lang w:val="es-MX" w:eastAsia="es-MX"/>
        </w:rPr>
        <w:t xml:space="preserve"> de </w:t>
      </w:r>
      <w:r w:rsidR="00376AEC" w:rsidRPr="00AF2924">
        <w:rPr>
          <w:rFonts w:ascii="ITC Avant Garde" w:eastAsia="Calibri" w:hAnsi="ITC Avant Garde"/>
          <w:bCs/>
          <w:color w:val="000000"/>
          <w:sz w:val="22"/>
          <w:szCs w:val="22"/>
          <w:lang w:val="es-MX" w:eastAsia="es-MX"/>
        </w:rPr>
        <w:t xml:space="preserve">junio </w:t>
      </w:r>
      <w:r w:rsidRPr="00AF2924">
        <w:rPr>
          <w:rFonts w:ascii="ITC Avant Garde" w:eastAsia="Calibri" w:hAnsi="ITC Avant Garde"/>
          <w:bCs/>
          <w:color w:val="000000"/>
          <w:sz w:val="22"/>
          <w:szCs w:val="22"/>
          <w:lang w:val="es-MX" w:eastAsia="es-MX"/>
        </w:rPr>
        <w:t>de 201</w:t>
      </w:r>
      <w:r w:rsidR="00AE4F77" w:rsidRPr="00AF2924">
        <w:rPr>
          <w:rFonts w:ascii="ITC Avant Garde" w:eastAsia="Calibri" w:hAnsi="ITC Avant Garde"/>
          <w:bCs/>
          <w:color w:val="000000"/>
          <w:sz w:val="22"/>
          <w:szCs w:val="22"/>
          <w:lang w:val="es-MX" w:eastAsia="es-MX"/>
        </w:rPr>
        <w:t>6</w:t>
      </w:r>
      <w:r w:rsidRPr="00AF2924">
        <w:rPr>
          <w:rFonts w:ascii="ITC Avant Garde" w:eastAsia="Calibri" w:hAnsi="ITC Avant Garde"/>
          <w:bCs/>
          <w:color w:val="000000"/>
          <w:sz w:val="22"/>
          <w:szCs w:val="22"/>
          <w:lang w:val="es-MX" w:eastAsia="es-MX"/>
        </w:rPr>
        <w:t xml:space="preserve">, </w:t>
      </w:r>
      <w:r w:rsidR="00376AEC" w:rsidRPr="00AF2924">
        <w:rPr>
          <w:rFonts w:ascii="ITC Avant Garde" w:eastAsia="Calibri" w:hAnsi="ITC Avant Garde"/>
          <w:bCs/>
          <w:color w:val="000000"/>
          <w:sz w:val="22"/>
          <w:szCs w:val="22"/>
          <w:lang w:val="es-MX" w:eastAsia="es-MX"/>
        </w:rPr>
        <w:t xml:space="preserve">el </w:t>
      </w:r>
      <w:r w:rsidRPr="00AF2924">
        <w:rPr>
          <w:rFonts w:ascii="ITC Avant Garde" w:eastAsia="Calibri" w:hAnsi="ITC Avant Garde"/>
          <w:bCs/>
          <w:color w:val="000000"/>
          <w:sz w:val="22"/>
          <w:szCs w:val="22"/>
          <w:lang w:val="es-MX" w:eastAsia="es-MX"/>
        </w:rPr>
        <w:t>representante legal de</w:t>
      </w:r>
      <w:r w:rsidR="00421AD0" w:rsidRPr="00AF2924">
        <w:rPr>
          <w:rFonts w:ascii="ITC Avant Garde" w:eastAsia="Calibri" w:hAnsi="ITC Avant Garde"/>
          <w:bCs/>
          <w:color w:val="000000"/>
          <w:sz w:val="22"/>
          <w:szCs w:val="22"/>
          <w:lang w:val="es-MX" w:eastAsia="es-MX"/>
        </w:rPr>
        <w:t xml:space="preserve"> </w:t>
      </w:r>
      <w:r w:rsidR="00106EE8" w:rsidRPr="00AF2924">
        <w:rPr>
          <w:rFonts w:ascii="ITC Avant Garde" w:eastAsia="Calibri" w:hAnsi="ITC Avant Garde"/>
          <w:bCs/>
          <w:color w:val="000000"/>
          <w:sz w:val="22"/>
          <w:szCs w:val="22"/>
          <w:lang w:val="es-MX" w:eastAsia="es-MX"/>
        </w:rPr>
        <w:t>Comunicaciones Radiotelefónicas Peninsulares</w:t>
      </w:r>
      <w:r w:rsidRPr="00AF2924">
        <w:rPr>
          <w:rFonts w:ascii="ITC Avant Garde" w:eastAsia="Calibri" w:hAnsi="ITC Avant Garde"/>
          <w:bCs/>
          <w:color w:val="000000"/>
          <w:sz w:val="22"/>
          <w:szCs w:val="22"/>
          <w:lang w:val="es-MX" w:eastAsia="es-MX"/>
        </w:rPr>
        <w:t xml:space="preserve"> solicit</w:t>
      </w:r>
      <w:r w:rsidR="00A04F64" w:rsidRPr="00AF2924">
        <w:rPr>
          <w:rFonts w:ascii="ITC Avant Garde" w:eastAsia="Calibri" w:hAnsi="ITC Avant Garde"/>
          <w:bCs/>
          <w:color w:val="000000"/>
          <w:sz w:val="22"/>
          <w:szCs w:val="22"/>
          <w:lang w:val="es-MX" w:eastAsia="es-MX"/>
        </w:rPr>
        <w:t>ó</w:t>
      </w:r>
      <w:r w:rsidRPr="00AF2924">
        <w:rPr>
          <w:rFonts w:ascii="ITC Avant Garde" w:eastAsia="Calibri" w:hAnsi="ITC Avant Garde"/>
          <w:bCs/>
          <w:color w:val="000000"/>
          <w:sz w:val="22"/>
          <w:szCs w:val="22"/>
          <w:lang w:val="es-MX" w:eastAsia="es-MX"/>
        </w:rPr>
        <w:t xml:space="preserve"> </w:t>
      </w:r>
      <w:r w:rsidR="00A41B73" w:rsidRPr="00AF2924">
        <w:rPr>
          <w:rFonts w:ascii="ITC Avant Garde" w:eastAsia="Calibri" w:hAnsi="ITC Avant Garde"/>
          <w:bCs/>
          <w:color w:val="000000"/>
          <w:sz w:val="22"/>
          <w:szCs w:val="22"/>
          <w:lang w:val="es-MX" w:eastAsia="es-MX"/>
        </w:rPr>
        <w:t>lo siguiente: “[…] Que en la medida de lo posible, ese Instituto Federal de Telecomunicaciones reconsidere los términos de las áreas de cobertura otorgados en el título de concesión prorrogado, para que le sea respetada a mi representada el área de cobertura en los términos que en su concesión original. Es decir, a las ‘ciudades de Tuxtla Gutiérrez, Chiapas; Villa hermosa, Tabasco; Mérida, Yucatán, y Cancún, Quintana Roo, pudiendo comunicar áreas rurales en la zona de influencia económica de dichas</w:t>
      </w:r>
      <w:r w:rsidR="00DC1C06" w:rsidRPr="00AF2924">
        <w:rPr>
          <w:rFonts w:ascii="ITC Avant Garde" w:eastAsia="Calibri" w:hAnsi="ITC Avant Garde"/>
          <w:bCs/>
          <w:color w:val="000000"/>
          <w:sz w:val="22"/>
          <w:szCs w:val="22"/>
          <w:lang w:val="es-MX" w:eastAsia="es-MX"/>
        </w:rPr>
        <w:t xml:space="preserve"> </w:t>
      </w:r>
      <w:r w:rsidR="00A41B73" w:rsidRPr="00AF2924">
        <w:rPr>
          <w:rFonts w:ascii="ITC Avant Garde" w:eastAsia="Calibri" w:hAnsi="ITC Avant Garde"/>
          <w:bCs/>
          <w:color w:val="000000"/>
          <w:sz w:val="22"/>
          <w:szCs w:val="22"/>
          <w:lang w:val="es-MX" w:eastAsia="es-MX"/>
        </w:rPr>
        <w:t xml:space="preserve">ciudades’, </w:t>
      </w:r>
      <w:r w:rsidR="00A41B73" w:rsidRPr="00AF2924">
        <w:rPr>
          <w:rFonts w:ascii="ITC Avant Garde" w:eastAsia="Calibri" w:hAnsi="ITC Avant Garde"/>
          <w:bCs/>
          <w:color w:val="000000"/>
          <w:sz w:val="22"/>
          <w:szCs w:val="22"/>
          <w:u w:val="single"/>
          <w:lang w:val="es-MX" w:eastAsia="es-MX"/>
        </w:rPr>
        <w:t>y respetando las coberturas ya atendidas</w:t>
      </w:r>
      <w:r w:rsidR="00CE60C3" w:rsidRPr="00AF2924">
        <w:rPr>
          <w:rFonts w:ascii="ITC Avant Garde" w:eastAsia="Calibri" w:hAnsi="ITC Avant Garde"/>
          <w:bCs/>
          <w:color w:val="000000"/>
          <w:sz w:val="22"/>
          <w:szCs w:val="22"/>
          <w:u w:val="single"/>
          <w:lang w:val="es-MX" w:eastAsia="es-MX"/>
        </w:rPr>
        <w:t>.</w:t>
      </w:r>
      <w:r w:rsidR="00867E3A" w:rsidRPr="00AF2924">
        <w:rPr>
          <w:rFonts w:ascii="ITC Avant Garde" w:eastAsia="Calibri" w:hAnsi="ITC Avant Garde"/>
          <w:bCs/>
          <w:color w:val="000000"/>
          <w:sz w:val="22"/>
          <w:szCs w:val="22"/>
          <w:lang w:val="es-MX" w:eastAsia="es-MX"/>
        </w:rPr>
        <w:t xml:space="preserve">” </w:t>
      </w:r>
      <w:r w:rsidR="00CE60C3" w:rsidRPr="00AF2924">
        <w:rPr>
          <w:rFonts w:ascii="ITC Avant Garde" w:eastAsia="Calibri" w:hAnsi="ITC Avant Garde"/>
          <w:bCs/>
          <w:color w:val="000000"/>
          <w:sz w:val="22"/>
          <w:szCs w:val="22"/>
          <w:lang w:val="es-MX" w:eastAsia="es-MX"/>
        </w:rPr>
        <w:t>[</w:t>
      </w:r>
      <w:r w:rsidR="00286947" w:rsidRPr="00AF2924">
        <w:rPr>
          <w:rFonts w:ascii="ITC Avant Garde" w:eastAsia="Calibri" w:hAnsi="ITC Avant Garde"/>
          <w:bCs/>
          <w:color w:val="000000"/>
          <w:sz w:val="22"/>
          <w:szCs w:val="22"/>
          <w:lang w:val="es-MX" w:eastAsia="es-MX"/>
        </w:rPr>
        <w:t xml:space="preserve">sic] </w:t>
      </w:r>
      <w:r w:rsidR="00D72480" w:rsidRPr="00AF2924">
        <w:rPr>
          <w:rFonts w:ascii="ITC Avant Garde" w:eastAsia="Calibri" w:hAnsi="ITC Avant Garde"/>
          <w:bCs/>
          <w:color w:val="000000"/>
          <w:sz w:val="22"/>
          <w:szCs w:val="22"/>
          <w:lang w:val="es-MX" w:eastAsia="es-MX"/>
        </w:rPr>
        <w:t>(</w:t>
      </w:r>
      <w:r w:rsidR="009A432F" w:rsidRPr="00AF2924">
        <w:rPr>
          <w:rFonts w:ascii="ITC Avant Garde" w:eastAsia="Calibri" w:hAnsi="ITC Avant Garde"/>
          <w:bCs/>
          <w:color w:val="000000"/>
          <w:sz w:val="22"/>
          <w:szCs w:val="22"/>
          <w:lang w:val="es-MX" w:eastAsia="es-MX"/>
        </w:rPr>
        <w:t xml:space="preserve">la </w:t>
      </w:r>
      <w:r w:rsidR="00D72480" w:rsidRPr="00AF2924">
        <w:rPr>
          <w:rFonts w:ascii="ITC Avant Garde" w:eastAsia="Calibri" w:hAnsi="ITC Avant Garde"/>
          <w:bCs/>
          <w:color w:val="000000"/>
          <w:sz w:val="22"/>
          <w:szCs w:val="22"/>
          <w:lang w:val="es-MX" w:eastAsia="es-MX"/>
        </w:rPr>
        <w:t>“Solicitud de Modificación”).</w:t>
      </w:r>
    </w:p>
    <w:p w14:paraId="2D335C9D" w14:textId="6DAB4610" w:rsidR="00286947" w:rsidRPr="00AF2924" w:rsidRDefault="00286947" w:rsidP="00AF2924">
      <w:pPr>
        <w:pStyle w:val="Prrafodelista"/>
        <w:numPr>
          <w:ilvl w:val="0"/>
          <w:numId w:val="23"/>
        </w:numPr>
        <w:spacing w:before="240" w:after="200"/>
        <w:ind w:right="45"/>
        <w:jc w:val="both"/>
        <w:rPr>
          <w:rFonts w:ascii="ITC Avant Garde" w:hAnsi="ITC Avant Garde"/>
          <w:bCs/>
          <w:color w:val="000000"/>
          <w:lang w:eastAsia="es-MX"/>
        </w:rPr>
      </w:pPr>
      <w:r w:rsidRPr="00AF2924">
        <w:rPr>
          <w:rFonts w:ascii="ITC Avant Garde" w:hAnsi="ITC Avant Garde"/>
          <w:b/>
          <w:bCs/>
          <w:color w:val="000000"/>
          <w:sz w:val="22"/>
          <w:szCs w:val="22"/>
          <w:lang w:eastAsia="es-MX"/>
        </w:rPr>
        <w:t xml:space="preserve">Remisión de la Solicitud de Modificación a la Unidad de Espectro Radioeléctrico. </w:t>
      </w:r>
      <w:r w:rsidRPr="00AF2924">
        <w:rPr>
          <w:rFonts w:ascii="ITC Avant Garde" w:hAnsi="ITC Avant Garde"/>
          <w:bCs/>
          <w:color w:val="000000"/>
          <w:sz w:val="22"/>
          <w:szCs w:val="22"/>
          <w:lang w:eastAsia="es-MX"/>
        </w:rPr>
        <w:t xml:space="preserve">Mediante oficio IFT/223/UCS/DG-CTEL/1361/2016 de fecha 16 de junio de 2016, la Unidad de Concesiones y Servicios, a través de la Dirección General de Concesiones de Telecomunicaciones, remitió a la Unidad de Espectro </w:t>
      </w:r>
      <w:r w:rsidRPr="00AF2924">
        <w:rPr>
          <w:rFonts w:ascii="ITC Avant Garde" w:hAnsi="ITC Avant Garde"/>
          <w:bCs/>
          <w:color w:val="000000"/>
          <w:sz w:val="22"/>
          <w:szCs w:val="22"/>
          <w:lang w:eastAsia="es-MX"/>
        </w:rPr>
        <w:lastRenderedPageBreak/>
        <w:t>Radioeléctrico la Solicitud de Modificación, a efecto de que dicha unidad procediera con el trámite correspondiente.</w:t>
      </w:r>
    </w:p>
    <w:p w14:paraId="22212844" w14:textId="77777777" w:rsidR="00AF2924" w:rsidRPr="00AF2924" w:rsidRDefault="00352303" w:rsidP="00AF2924">
      <w:pPr>
        <w:pStyle w:val="Prrafodelista"/>
        <w:numPr>
          <w:ilvl w:val="0"/>
          <w:numId w:val="23"/>
        </w:numPr>
        <w:spacing w:before="240" w:after="200"/>
        <w:ind w:right="45"/>
        <w:jc w:val="both"/>
        <w:rPr>
          <w:rFonts w:ascii="ITC Avant Garde" w:hAnsi="ITC Avant Garde"/>
          <w:bCs/>
          <w:color w:val="000000"/>
          <w:lang w:eastAsia="es-MX"/>
        </w:rPr>
      </w:pPr>
      <w:r w:rsidRPr="00AF2924">
        <w:rPr>
          <w:rFonts w:ascii="ITC Avant Garde" w:hAnsi="ITC Avant Garde"/>
          <w:b/>
          <w:bCs/>
          <w:color w:val="000000"/>
          <w:sz w:val="22"/>
          <w:szCs w:val="22"/>
          <w:lang w:eastAsia="es-MX"/>
        </w:rPr>
        <w:t>Opini</w:t>
      </w:r>
      <w:r w:rsidR="00106EE8" w:rsidRPr="00AF2924">
        <w:rPr>
          <w:rFonts w:ascii="ITC Avant Garde" w:hAnsi="ITC Avant Garde"/>
          <w:b/>
          <w:bCs/>
          <w:color w:val="000000"/>
          <w:sz w:val="22"/>
          <w:szCs w:val="22"/>
          <w:lang w:eastAsia="es-MX"/>
        </w:rPr>
        <w:t>ó</w:t>
      </w:r>
      <w:r w:rsidRPr="00AF2924">
        <w:rPr>
          <w:rFonts w:ascii="ITC Avant Garde" w:hAnsi="ITC Avant Garde"/>
          <w:b/>
          <w:bCs/>
          <w:color w:val="000000"/>
          <w:sz w:val="22"/>
          <w:szCs w:val="22"/>
          <w:lang w:eastAsia="es-MX"/>
        </w:rPr>
        <w:t>n</w:t>
      </w:r>
      <w:r w:rsidR="00F3138A" w:rsidRPr="00AF2924">
        <w:rPr>
          <w:rFonts w:ascii="ITC Avant Garde" w:hAnsi="ITC Avant Garde"/>
          <w:b/>
          <w:bCs/>
          <w:color w:val="000000"/>
          <w:sz w:val="22"/>
          <w:szCs w:val="22"/>
          <w:lang w:eastAsia="es-MX"/>
        </w:rPr>
        <w:t xml:space="preserve"> de la Unidad de Espectro Radioeléctrico. </w:t>
      </w:r>
      <w:r w:rsidR="00F3138A" w:rsidRPr="00AF2924">
        <w:rPr>
          <w:rFonts w:ascii="ITC Avant Garde" w:hAnsi="ITC Avant Garde"/>
          <w:bCs/>
          <w:color w:val="000000"/>
          <w:sz w:val="22"/>
          <w:szCs w:val="22"/>
          <w:lang w:eastAsia="es-MX"/>
        </w:rPr>
        <w:t>Mediante</w:t>
      </w:r>
      <w:r w:rsidRPr="00AF2924">
        <w:rPr>
          <w:rFonts w:ascii="ITC Avant Garde" w:hAnsi="ITC Avant Garde"/>
          <w:bCs/>
          <w:color w:val="000000"/>
          <w:sz w:val="22"/>
          <w:szCs w:val="22"/>
          <w:lang w:eastAsia="es-MX"/>
        </w:rPr>
        <w:t xml:space="preserve"> </w:t>
      </w:r>
      <w:r w:rsidR="00106EE8" w:rsidRPr="00AF2924">
        <w:rPr>
          <w:rFonts w:ascii="ITC Avant Garde" w:hAnsi="ITC Avant Garde"/>
          <w:bCs/>
          <w:color w:val="000000"/>
          <w:sz w:val="22"/>
          <w:szCs w:val="22"/>
          <w:lang w:eastAsia="es-MX"/>
        </w:rPr>
        <w:t>e</w:t>
      </w:r>
      <w:r w:rsidRPr="00AF2924">
        <w:rPr>
          <w:rFonts w:ascii="ITC Avant Garde" w:hAnsi="ITC Avant Garde"/>
          <w:bCs/>
          <w:color w:val="000000"/>
          <w:sz w:val="22"/>
          <w:szCs w:val="22"/>
          <w:lang w:eastAsia="es-MX"/>
        </w:rPr>
        <w:t>l</w:t>
      </w:r>
      <w:r w:rsidR="00F3138A" w:rsidRPr="00AF2924">
        <w:rPr>
          <w:rFonts w:ascii="ITC Avant Garde" w:hAnsi="ITC Avant Garde"/>
          <w:bCs/>
          <w:color w:val="000000"/>
          <w:sz w:val="22"/>
          <w:szCs w:val="22"/>
          <w:lang w:eastAsia="es-MX"/>
        </w:rPr>
        <w:t xml:space="preserve"> oficio IFT/222/UER/DG-</w:t>
      </w:r>
      <w:r w:rsidR="009B3B97" w:rsidRPr="00AF2924">
        <w:rPr>
          <w:rFonts w:ascii="ITC Avant Garde" w:hAnsi="ITC Avant Garde"/>
          <w:bCs/>
          <w:color w:val="000000"/>
          <w:sz w:val="22"/>
          <w:szCs w:val="22"/>
          <w:lang w:eastAsia="es-MX"/>
        </w:rPr>
        <w:t>IEET</w:t>
      </w:r>
      <w:r w:rsidR="00F3138A" w:rsidRPr="00AF2924">
        <w:rPr>
          <w:rFonts w:ascii="ITC Avant Garde" w:hAnsi="ITC Avant Garde"/>
          <w:bCs/>
          <w:color w:val="000000"/>
          <w:sz w:val="22"/>
          <w:szCs w:val="22"/>
          <w:lang w:eastAsia="es-MX"/>
        </w:rPr>
        <w:t>/</w:t>
      </w:r>
      <w:r w:rsidR="00A01E40" w:rsidRPr="00AF2924">
        <w:rPr>
          <w:rFonts w:ascii="ITC Avant Garde" w:hAnsi="ITC Avant Garde"/>
          <w:bCs/>
          <w:color w:val="000000"/>
          <w:sz w:val="22"/>
          <w:szCs w:val="22"/>
          <w:lang w:eastAsia="es-MX"/>
        </w:rPr>
        <w:t>0</w:t>
      </w:r>
      <w:r w:rsidR="00BC13B9" w:rsidRPr="00AF2924">
        <w:rPr>
          <w:rFonts w:ascii="ITC Avant Garde" w:hAnsi="ITC Avant Garde"/>
          <w:bCs/>
          <w:color w:val="000000"/>
          <w:sz w:val="22"/>
          <w:szCs w:val="22"/>
          <w:lang w:eastAsia="es-MX"/>
        </w:rPr>
        <w:t>153</w:t>
      </w:r>
      <w:r w:rsidR="00F3138A" w:rsidRPr="00AF2924">
        <w:rPr>
          <w:rFonts w:ascii="ITC Avant Garde" w:hAnsi="ITC Avant Garde"/>
          <w:bCs/>
          <w:color w:val="000000"/>
          <w:sz w:val="22"/>
          <w:szCs w:val="22"/>
          <w:lang w:eastAsia="es-MX"/>
        </w:rPr>
        <w:t>/201</w:t>
      </w:r>
      <w:r w:rsidR="00BC13B9" w:rsidRPr="00AF2924">
        <w:rPr>
          <w:rFonts w:ascii="ITC Avant Garde" w:hAnsi="ITC Avant Garde"/>
          <w:bCs/>
          <w:color w:val="000000"/>
          <w:sz w:val="22"/>
          <w:szCs w:val="22"/>
          <w:lang w:eastAsia="es-MX"/>
        </w:rPr>
        <w:t>7</w:t>
      </w:r>
      <w:r w:rsidR="00F8710B" w:rsidRPr="00AF2924">
        <w:rPr>
          <w:rFonts w:ascii="ITC Avant Garde" w:hAnsi="ITC Avant Garde"/>
          <w:bCs/>
          <w:color w:val="000000"/>
          <w:sz w:val="22"/>
          <w:szCs w:val="22"/>
          <w:lang w:eastAsia="es-MX"/>
        </w:rPr>
        <w:t xml:space="preserve"> de fecha 1</w:t>
      </w:r>
      <w:r w:rsidR="00BC13B9" w:rsidRPr="00AF2924">
        <w:rPr>
          <w:rFonts w:ascii="ITC Avant Garde" w:hAnsi="ITC Avant Garde"/>
          <w:bCs/>
          <w:color w:val="000000"/>
          <w:sz w:val="22"/>
          <w:szCs w:val="22"/>
          <w:lang w:eastAsia="es-MX"/>
        </w:rPr>
        <w:t>3</w:t>
      </w:r>
      <w:r w:rsidR="00F8710B" w:rsidRPr="00AF2924">
        <w:rPr>
          <w:rFonts w:ascii="ITC Avant Garde" w:hAnsi="ITC Avant Garde"/>
          <w:bCs/>
          <w:color w:val="000000"/>
          <w:sz w:val="22"/>
          <w:szCs w:val="22"/>
          <w:lang w:eastAsia="es-MX"/>
        </w:rPr>
        <w:t xml:space="preserve"> de </w:t>
      </w:r>
      <w:r w:rsidR="00BC13B9" w:rsidRPr="00AF2924">
        <w:rPr>
          <w:rFonts w:ascii="ITC Avant Garde" w:hAnsi="ITC Avant Garde"/>
          <w:bCs/>
          <w:color w:val="000000"/>
          <w:sz w:val="22"/>
          <w:szCs w:val="22"/>
          <w:lang w:eastAsia="es-MX"/>
        </w:rPr>
        <w:t xml:space="preserve">febrero </w:t>
      </w:r>
      <w:r w:rsidR="00F8710B" w:rsidRPr="00AF2924">
        <w:rPr>
          <w:rFonts w:ascii="ITC Avant Garde" w:hAnsi="ITC Avant Garde"/>
          <w:bCs/>
          <w:color w:val="000000"/>
          <w:sz w:val="22"/>
          <w:szCs w:val="22"/>
          <w:lang w:eastAsia="es-MX"/>
        </w:rPr>
        <w:t>de 201</w:t>
      </w:r>
      <w:r w:rsidR="00BC13B9" w:rsidRPr="00AF2924">
        <w:rPr>
          <w:rFonts w:ascii="ITC Avant Garde" w:hAnsi="ITC Avant Garde"/>
          <w:bCs/>
          <w:color w:val="000000"/>
          <w:sz w:val="22"/>
          <w:szCs w:val="22"/>
          <w:lang w:eastAsia="es-MX"/>
        </w:rPr>
        <w:t>7</w:t>
      </w:r>
      <w:r w:rsidR="00F3138A" w:rsidRPr="00AF2924">
        <w:rPr>
          <w:rFonts w:ascii="ITC Avant Garde" w:hAnsi="ITC Avant Garde"/>
          <w:bCs/>
          <w:color w:val="000000"/>
          <w:sz w:val="22"/>
          <w:szCs w:val="22"/>
          <w:lang w:eastAsia="es-MX"/>
        </w:rPr>
        <w:t xml:space="preserve">, la </w:t>
      </w:r>
      <w:r w:rsidR="00E0705C" w:rsidRPr="00AF2924">
        <w:rPr>
          <w:rFonts w:ascii="ITC Avant Garde" w:hAnsi="ITC Avant Garde"/>
          <w:bCs/>
          <w:color w:val="000000"/>
          <w:sz w:val="22"/>
          <w:szCs w:val="22"/>
          <w:lang w:eastAsia="es-MX"/>
        </w:rPr>
        <w:t xml:space="preserve">Dirección General de </w:t>
      </w:r>
      <w:r w:rsidR="00BC13B9" w:rsidRPr="00AF2924">
        <w:rPr>
          <w:rFonts w:ascii="ITC Avant Garde" w:hAnsi="ITC Avant Garde"/>
          <w:bCs/>
          <w:color w:val="000000"/>
          <w:sz w:val="22"/>
          <w:szCs w:val="22"/>
          <w:lang w:eastAsia="es-MX"/>
        </w:rPr>
        <w:t xml:space="preserve">Ingeniería </w:t>
      </w:r>
      <w:r w:rsidR="00E0705C" w:rsidRPr="00AF2924">
        <w:rPr>
          <w:rFonts w:ascii="ITC Avant Garde" w:hAnsi="ITC Avant Garde"/>
          <w:bCs/>
          <w:color w:val="000000"/>
          <w:sz w:val="22"/>
          <w:szCs w:val="22"/>
          <w:lang w:eastAsia="es-MX"/>
        </w:rPr>
        <w:t xml:space="preserve">del </w:t>
      </w:r>
      <w:r w:rsidR="00F8710B" w:rsidRPr="00AF2924">
        <w:rPr>
          <w:rFonts w:ascii="ITC Avant Garde" w:hAnsi="ITC Avant Garde"/>
          <w:bCs/>
          <w:color w:val="000000"/>
          <w:sz w:val="22"/>
          <w:szCs w:val="22"/>
          <w:lang w:eastAsia="es-MX"/>
        </w:rPr>
        <w:t>E</w:t>
      </w:r>
      <w:r w:rsidR="00E0705C" w:rsidRPr="00AF2924">
        <w:rPr>
          <w:rFonts w:ascii="ITC Avant Garde" w:hAnsi="ITC Avant Garde"/>
          <w:bCs/>
          <w:color w:val="000000"/>
          <w:sz w:val="22"/>
          <w:szCs w:val="22"/>
          <w:lang w:eastAsia="es-MX"/>
        </w:rPr>
        <w:t xml:space="preserve">spectro y </w:t>
      </w:r>
      <w:r w:rsidR="00BC13B9" w:rsidRPr="00AF2924">
        <w:rPr>
          <w:rFonts w:ascii="ITC Avant Garde" w:hAnsi="ITC Avant Garde"/>
          <w:bCs/>
          <w:color w:val="000000"/>
          <w:sz w:val="22"/>
          <w:szCs w:val="22"/>
          <w:lang w:eastAsia="es-MX"/>
        </w:rPr>
        <w:t>Estudios Técnicos</w:t>
      </w:r>
      <w:r w:rsidR="00E0705C" w:rsidRPr="00AF2924">
        <w:rPr>
          <w:rFonts w:ascii="ITC Avant Garde" w:hAnsi="ITC Avant Garde"/>
          <w:bCs/>
          <w:color w:val="000000"/>
          <w:sz w:val="22"/>
          <w:szCs w:val="22"/>
          <w:lang w:eastAsia="es-MX"/>
        </w:rPr>
        <w:t xml:space="preserve"> de la </w:t>
      </w:r>
      <w:r w:rsidR="00F3138A" w:rsidRPr="00AF2924">
        <w:rPr>
          <w:rFonts w:ascii="ITC Avant Garde" w:hAnsi="ITC Avant Garde"/>
          <w:bCs/>
          <w:color w:val="000000"/>
          <w:sz w:val="22"/>
          <w:szCs w:val="22"/>
          <w:lang w:eastAsia="es-MX"/>
        </w:rPr>
        <w:t xml:space="preserve">Unidad de Espectro Radioeléctrico, emitió opinión respecto a </w:t>
      </w:r>
      <w:r w:rsidR="00F8710B" w:rsidRPr="00AF2924">
        <w:rPr>
          <w:rFonts w:ascii="ITC Avant Garde" w:hAnsi="ITC Avant Garde"/>
          <w:bCs/>
          <w:color w:val="000000"/>
          <w:sz w:val="22"/>
          <w:szCs w:val="22"/>
          <w:lang w:eastAsia="es-MX"/>
        </w:rPr>
        <w:t>la Solicitud de Modificación</w:t>
      </w:r>
      <w:r w:rsidR="00F3138A" w:rsidRPr="00AF2924">
        <w:rPr>
          <w:rFonts w:ascii="ITC Avant Garde" w:hAnsi="ITC Avant Garde"/>
          <w:bCs/>
          <w:color w:val="000000"/>
          <w:sz w:val="22"/>
          <w:szCs w:val="22"/>
          <w:lang w:eastAsia="es-MX"/>
        </w:rPr>
        <w:t>.</w:t>
      </w:r>
    </w:p>
    <w:p w14:paraId="7B61BD9D" w14:textId="77777777" w:rsidR="00AF2924" w:rsidRPr="00AF2924" w:rsidRDefault="00927AAA" w:rsidP="00AF2924">
      <w:pPr>
        <w:autoSpaceDE w:val="0"/>
        <w:autoSpaceDN w:val="0"/>
        <w:adjustRightInd w:val="0"/>
        <w:spacing w:before="240" w:line="240" w:lineRule="auto"/>
        <w:jc w:val="both"/>
        <w:rPr>
          <w:rFonts w:ascii="ITC Avant Garde" w:hAnsi="ITC Avant Garde"/>
          <w:bCs/>
          <w:color w:val="000000"/>
          <w:lang w:eastAsia="es-MX"/>
        </w:rPr>
      </w:pPr>
      <w:r w:rsidRPr="00AF2924">
        <w:rPr>
          <w:rFonts w:ascii="ITC Avant Garde" w:hAnsi="ITC Avant Garde"/>
          <w:bCs/>
          <w:color w:val="000000"/>
          <w:lang w:eastAsia="es-MX"/>
        </w:rPr>
        <w:t xml:space="preserve">En virtud </w:t>
      </w:r>
      <w:r w:rsidR="00032F19" w:rsidRPr="00AF2924">
        <w:rPr>
          <w:rFonts w:ascii="ITC Avant Garde" w:hAnsi="ITC Avant Garde"/>
          <w:bCs/>
          <w:color w:val="000000"/>
          <w:lang w:eastAsia="es-MX"/>
        </w:rPr>
        <w:t>de los Antecedentes referidos y</w:t>
      </w:r>
      <w:r w:rsidR="00CE2F0E" w:rsidRPr="00AF2924">
        <w:rPr>
          <w:rFonts w:ascii="ITC Avant Garde" w:hAnsi="ITC Avant Garde"/>
          <w:bCs/>
          <w:color w:val="000000"/>
          <w:lang w:eastAsia="es-MX"/>
        </w:rPr>
        <w:t xml:space="preserve"> </w:t>
      </w:r>
    </w:p>
    <w:p w14:paraId="6F9CDB0A" w14:textId="77777777" w:rsidR="00AF2924" w:rsidRPr="00AF2924" w:rsidRDefault="00B048BA" w:rsidP="00AF2924">
      <w:pPr>
        <w:pStyle w:val="Ttulo2"/>
        <w:spacing w:after="240"/>
        <w:jc w:val="center"/>
        <w:rPr>
          <w:rFonts w:ascii="ITC Avant Garde" w:hAnsi="ITC Avant Garde"/>
          <w:b/>
          <w:color w:val="000000" w:themeColor="text1"/>
          <w:sz w:val="22"/>
          <w:szCs w:val="22"/>
        </w:rPr>
      </w:pPr>
      <w:r w:rsidRPr="00AF2924">
        <w:rPr>
          <w:rFonts w:ascii="ITC Avant Garde" w:hAnsi="ITC Avant Garde"/>
          <w:b/>
          <w:color w:val="000000" w:themeColor="text1"/>
          <w:sz w:val="22"/>
          <w:szCs w:val="22"/>
        </w:rPr>
        <w:t>CONSIDERANDO</w:t>
      </w:r>
    </w:p>
    <w:p w14:paraId="6BFC6FA8" w14:textId="77777777" w:rsidR="00AF2924" w:rsidRPr="00AF2924" w:rsidRDefault="00820862" w:rsidP="00AF2924">
      <w:pPr>
        <w:autoSpaceDE w:val="0"/>
        <w:autoSpaceDN w:val="0"/>
        <w:adjustRightInd w:val="0"/>
        <w:spacing w:before="240" w:line="240" w:lineRule="auto"/>
        <w:jc w:val="both"/>
        <w:rPr>
          <w:rFonts w:ascii="ITC Avant Garde" w:hAnsi="ITC Avant Garde"/>
          <w:bCs/>
          <w:highlight w:val="yellow"/>
        </w:rPr>
      </w:pPr>
      <w:r w:rsidRPr="00AF2924">
        <w:rPr>
          <w:rFonts w:ascii="ITC Avant Garde" w:hAnsi="ITC Avant Garde"/>
          <w:b/>
          <w:bCs/>
        </w:rPr>
        <w:t>Primero.-</w:t>
      </w:r>
      <w:r w:rsidRPr="00AF2924">
        <w:rPr>
          <w:rFonts w:ascii="ITC Avant Garde" w:hAnsi="ITC Avant Garde"/>
          <w:bCs/>
        </w:rPr>
        <w:t xml:space="preserve"> </w:t>
      </w:r>
      <w:r w:rsidRPr="00AF2924">
        <w:rPr>
          <w:rFonts w:ascii="ITC Avant Garde" w:hAnsi="ITC Avant Garde"/>
          <w:b/>
          <w:bCs/>
        </w:rPr>
        <w:t>Competencia.</w:t>
      </w:r>
      <w:r w:rsidRPr="00AF2924">
        <w:rPr>
          <w:rFonts w:ascii="ITC Avant Garde" w:hAnsi="ITC Avant Garde"/>
          <w:bCs/>
        </w:rPr>
        <w:t xml:space="preserve"> Conforme lo dispone el artículo 28 párrafos décimo quinto, décimo sexto y décimo séptimo de la Constitución</w:t>
      </w:r>
      <w:r w:rsidR="00F87780" w:rsidRPr="00AF2924">
        <w:rPr>
          <w:rFonts w:ascii="ITC Avant Garde" w:hAnsi="ITC Avant Garde"/>
          <w:bCs/>
        </w:rPr>
        <w:t xml:space="preserve"> Política de los Estados Unidos Mexicanos (la “Constitución”)</w:t>
      </w:r>
      <w:r w:rsidRPr="00AF2924">
        <w:rPr>
          <w:rFonts w:ascii="ITC Avant Garde" w:hAnsi="ITC Avant Garde"/>
          <w:bCs/>
        </w:rPr>
        <w:t xml:space="preserve">, el Instituto es </w:t>
      </w:r>
      <w:r w:rsidR="00EE42F1" w:rsidRPr="00AF2924">
        <w:rPr>
          <w:rFonts w:ascii="ITC Avant Garde" w:hAnsi="ITC Avant Garde"/>
          <w:bCs/>
        </w:rPr>
        <w:t>un</w:t>
      </w:r>
      <w:r w:rsidRPr="00AF2924">
        <w:rPr>
          <w:rFonts w:ascii="ITC Avant Garde" w:hAnsi="ITC Avant Garde"/>
          <w:bCs/>
        </w:rPr>
        <w:t xml:space="preserve"> órgano autónomo con personalid</w:t>
      </w:r>
      <w:r w:rsidR="00710A03" w:rsidRPr="00AF2924">
        <w:rPr>
          <w:rFonts w:ascii="ITC Avant Garde" w:hAnsi="ITC Avant Garde"/>
          <w:bCs/>
        </w:rPr>
        <w:t>ad jurídica y patrimonio propio</w:t>
      </w:r>
      <w:r w:rsidRPr="00AF2924">
        <w:rPr>
          <w:rFonts w:ascii="ITC Avant Garde" w:hAnsi="ITC Avant Garde"/>
          <w:bCs/>
        </w:rPr>
        <w:t xml:space="preserve">,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w:t>
      </w:r>
      <w:r w:rsidR="00F87780" w:rsidRPr="00AF2924">
        <w:rPr>
          <w:rFonts w:ascii="ITC Avant Garde" w:hAnsi="ITC Avant Garde"/>
          <w:bCs/>
        </w:rPr>
        <w:t>de la Constitución</w:t>
      </w:r>
      <w:r w:rsidRPr="00AF2924">
        <w:rPr>
          <w:rFonts w:ascii="ITC Avant Garde" w:hAnsi="ITC Avant Garde"/>
          <w:bCs/>
        </w:rPr>
        <w:t>.</w:t>
      </w:r>
    </w:p>
    <w:p w14:paraId="1AD3CF07" w14:textId="77777777" w:rsidR="00AF2924" w:rsidRPr="00AF2924" w:rsidRDefault="00820862"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Cs/>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EEE4779" w14:textId="77777777" w:rsidR="00AF2924" w:rsidRPr="00AF2924" w:rsidRDefault="00820862"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Cs/>
        </w:rPr>
        <w:t>Ahora bien, corresponde al Pleno del Instituto conforme a lo establecido en los artículos 15 fracción IV y 17 fracción I de la Ley Federal de Telecomunicaciones y Radiodifusión</w:t>
      </w:r>
      <w:r w:rsidR="0037762D" w:rsidRPr="00AF2924">
        <w:rPr>
          <w:rFonts w:ascii="ITC Avant Garde" w:hAnsi="ITC Avant Garde"/>
          <w:bCs/>
        </w:rPr>
        <w:t xml:space="preserve"> (la “Ley”)</w:t>
      </w:r>
      <w:r w:rsidRPr="00AF2924">
        <w:rPr>
          <w:rFonts w:ascii="ITC Avant Garde" w:hAnsi="ITC Avant Garde"/>
          <w:bCs/>
        </w:rPr>
        <w:t xml:space="preserve"> el otorgamiento de concesiones, así como resolver respecto de las prórrogas, modificación o terminación de las mismas.</w:t>
      </w:r>
    </w:p>
    <w:p w14:paraId="7CC49F8B" w14:textId="77777777" w:rsidR="00AF2924" w:rsidRPr="00AF2924" w:rsidRDefault="00820862"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BC78A1F" w14:textId="77777777" w:rsidR="00AF2924" w:rsidRPr="00AF2924" w:rsidRDefault="004B3B26"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Cs/>
        </w:rPr>
        <w:t>Por otro lado</w:t>
      </w:r>
      <w:r w:rsidR="00820862" w:rsidRPr="00AF2924">
        <w:rPr>
          <w:rFonts w:ascii="ITC Avant Garde" w:hAnsi="ITC Avant Garde"/>
          <w:bCs/>
        </w:rPr>
        <w:t>,</w:t>
      </w:r>
      <w:r w:rsidR="00820862" w:rsidRPr="00AF2924">
        <w:rPr>
          <w:rFonts w:ascii="ITC Avant Garde" w:hAnsi="ITC Avant Garde" w:cs="Tahoma"/>
          <w:bCs/>
          <w:lang w:eastAsia="es-MX"/>
        </w:rPr>
        <w:t xml:space="preserve"> conforme a los artículos 32 y 33 fracción II</w:t>
      </w:r>
      <w:r w:rsidR="00820862" w:rsidRPr="00AF2924">
        <w:rPr>
          <w:rFonts w:ascii="ITC Avant Garde" w:hAnsi="ITC Avant Garde"/>
          <w:bCs/>
        </w:rPr>
        <w:t xml:space="preserve"> del Estatuto Orgánico, corresponde a </w:t>
      </w:r>
      <w:r w:rsidR="00820862" w:rsidRPr="00AF2924">
        <w:rPr>
          <w:rFonts w:ascii="ITC Avant Garde" w:hAnsi="ITC Avant Garde" w:cs="Tahoma"/>
          <w:bCs/>
          <w:lang w:eastAsia="es-MX"/>
        </w:rPr>
        <w:t>la Unidad de Concesiones y Servicios</w:t>
      </w:r>
      <w:r w:rsidR="0037762D" w:rsidRPr="00AF2924">
        <w:rPr>
          <w:rFonts w:ascii="ITC Avant Garde" w:hAnsi="ITC Avant Garde" w:cs="Tahoma"/>
          <w:bCs/>
          <w:lang w:eastAsia="es-MX"/>
        </w:rPr>
        <w:t>,</w:t>
      </w:r>
      <w:r w:rsidR="00820862" w:rsidRPr="00AF2924">
        <w:rPr>
          <w:rFonts w:ascii="ITC Avant Garde" w:hAnsi="ITC Avant Garde" w:cs="Tahoma"/>
          <w:bCs/>
          <w:lang w:eastAsia="es-MX"/>
        </w:rPr>
        <w:t xml:space="preserve"> a través de la Dirección General </w:t>
      </w:r>
      <w:r w:rsidR="00820862" w:rsidRPr="00AF2924">
        <w:rPr>
          <w:rFonts w:ascii="ITC Avant Garde" w:hAnsi="ITC Avant Garde" w:cs="Tahoma"/>
          <w:bCs/>
          <w:lang w:eastAsia="es-MX"/>
        </w:rPr>
        <w:lastRenderedPageBreak/>
        <w:t xml:space="preserve">de Concesiones de Telecomunicaciones, </w:t>
      </w:r>
      <w:r w:rsidR="00820862" w:rsidRPr="00AF2924">
        <w:rPr>
          <w:rFonts w:ascii="ITC Avant Garde" w:hAnsi="ITC Avant Garde"/>
          <w:lang w:val="es-ES_tradnl"/>
        </w:rPr>
        <w:t xml:space="preserve">tramitar y evaluar las solicitudes de cesión, modificación o </w:t>
      </w:r>
      <w:r w:rsidR="00820862" w:rsidRPr="00AF2924">
        <w:rPr>
          <w:rFonts w:ascii="ITC Avant Garde" w:hAnsi="ITC Avant Garde"/>
          <w:bCs/>
        </w:rPr>
        <w:t>prórroga de las concesiones en materia de telecomunicaciones, para someterlas a consideración del Pleno.</w:t>
      </w:r>
    </w:p>
    <w:p w14:paraId="3E7763C4" w14:textId="77777777" w:rsidR="00AF2924" w:rsidRPr="00AF2924" w:rsidRDefault="00820862"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Cs/>
        </w:rPr>
        <w:t>En este orden de ideas, y considerando que el Instituto tiene a su cargo la regulación, promoción y supervisión de las telecomunicaciones, así como la facultad de otorgar concesiones y resolver sobre la prórroga, modificación o terminación de las mismas, el Pleno, como órgano máximo de gobierno y decisión del Instituto, se encuentra plenamente facultado para resolver la Solicitud de Modificación.</w:t>
      </w:r>
    </w:p>
    <w:p w14:paraId="4A9DA872" w14:textId="77777777" w:rsidR="00AF2924" w:rsidRPr="00AF2924" w:rsidRDefault="00A110BB"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
          <w:bCs/>
        </w:rPr>
        <w:t>Segundo.-</w:t>
      </w:r>
      <w:r w:rsidRPr="00AF2924">
        <w:rPr>
          <w:rFonts w:ascii="ITC Avant Garde" w:hAnsi="ITC Avant Garde"/>
          <w:bCs/>
        </w:rPr>
        <w:t xml:space="preserve"> </w:t>
      </w:r>
      <w:r w:rsidRPr="00AF2924">
        <w:rPr>
          <w:rFonts w:ascii="ITC Avant Garde" w:hAnsi="ITC Avant Garde"/>
          <w:b/>
          <w:bCs/>
        </w:rPr>
        <w:t>Marco legal aplicable a las modificaciones de concesiones en materia de telecomunicaciones.</w:t>
      </w:r>
      <w:r w:rsidRPr="00AF2924">
        <w:rPr>
          <w:rFonts w:ascii="ITC Avant Garde" w:hAnsi="ITC Avant Garde"/>
          <w:bCs/>
        </w:rPr>
        <w:t xml:space="preserve"> </w:t>
      </w:r>
      <w:r w:rsidR="004A084F" w:rsidRPr="00AF2924">
        <w:rPr>
          <w:rFonts w:ascii="ITC Avant Garde" w:hAnsi="ITC Avant Garde"/>
          <w:bCs/>
        </w:rPr>
        <w:t>L</w:t>
      </w:r>
      <w:r w:rsidR="004A084F" w:rsidRPr="00AF2924">
        <w:rPr>
          <w:rFonts w:ascii="ITC Avant Garde" w:hAnsi="ITC Avant Garde"/>
          <w:bCs/>
          <w:color w:val="000000"/>
          <w:lang w:eastAsia="es-MX"/>
        </w:rPr>
        <w:t>a normatividad aplicable</w:t>
      </w:r>
      <w:r w:rsidR="004A084F" w:rsidRPr="00AF2924">
        <w:rPr>
          <w:rFonts w:ascii="ITC Avant Garde" w:hAnsi="ITC Avant Garde"/>
          <w:bCs/>
        </w:rPr>
        <w:t xml:space="preserve"> que establece los requisitos de procedencia para solicitar y, en su caso, obtener la autorización para modificar títulos de concesión </w:t>
      </w:r>
      <w:r w:rsidR="007E5DA8" w:rsidRPr="00AF2924">
        <w:rPr>
          <w:rFonts w:ascii="ITC Avant Garde" w:hAnsi="ITC Avant Garde"/>
          <w:bCs/>
        </w:rPr>
        <w:t>en materia de telecomunicaciones</w:t>
      </w:r>
      <w:r w:rsidR="004A084F" w:rsidRPr="00AF2924">
        <w:rPr>
          <w:rFonts w:ascii="ITC Avant Garde" w:hAnsi="ITC Avant Garde"/>
          <w:bCs/>
        </w:rPr>
        <w:t>, se encuentra contenida en la L</w:t>
      </w:r>
      <w:r w:rsidR="0037762D" w:rsidRPr="00AF2924">
        <w:rPr>
          <w:rFonts w:ascii="ITC Avant Garde" w:hAnsi="ITC Avant Garde"/>
          <w:bCs/>
        </w:rPr>
        <w:t>ey</w:t>
      </w:r>
      <w:r w:rsidR="00C00884" w:rsidRPr="00AF2924">
        <w:rPr>
          <w:rFonts w:ascii="ITC Avant Garde" w:hAnsi="ITC Avant Garde"/>
          <w:bCs/>
        </w:rPr>
        <w:t xml:space="preserve"> </w:t>
      </w:r>
      <w:r w:rsidR="004A084F" w:rsidRPr="00AF2924">
        <w:rPr>
          <w:rFonts w:ascii="ITC Avant Garde" w:hAnsi="ITC Avant Garde"/>
          <w:bCs/>
        </w:rPr>
        <w:t>y lo establecido en los propios títulos de concesión.</w:t>
      </w:r>
    </w:p>
    <w:p w14:paraId="3724E299" w14:textId="77777777" w:rsidR="00AF2924" w:rsidRPr="00AF2924" w:rsidRDefault="00B46212" w:rsidP="00AF2924">
      <w:pPr>
        <w:autoSpaceDE w:val="0"/>
        <w:autoSpaceDN w:val="0"/>
        <w:adjustRightInd w:val="0"/>
        <w:spacing w:before="240" w:line="240" w:lineRule="auto"/>
        <w:jc w:val="both"/>
        <w:rPr>
          <w:rFonts w:ascii="ITC Avant Garde" w:hAnsi="ITC Avant Garde"/>
          <w:bCs/>
          <w:color w:val="000000" w:themeColor="text1"/>
          <w:lang w:eastAsia="es-MX"/>
        </w:rPr>
      </w:pPr>
      <w:r w:rsidRPr="00AF2924">
        <w:rPr>
          <w:rFonts w:ascii="ITC Avant Garde" w:hAnsi="ITC Avant Garde"/>
          <w:bCs/>
          <w:color w:val="000000" w:themeColor="text1"/>
          <w:lang w:eastAsia="es-MX"/>
        </w:rPr>
        <w:t xml:space="preserve">En ese sentido, es importante señalar que </w:t>
      </w:r>
      <w:r w:rsidR="00092C05" w:rsidRPr="00AF2924">
        <w:rPr>
          <w:rFonts w:ascii="ITC Avant Garde" w:hAnsi="ITC Avant Garde"/>
          <w:bCs/>
          <w:color w:val="000000" w:themeColor="text1"/>
          <w:lang w:eastAsia="es-MX"/>
        </w:rPr>
        <w:t>la Concesión de Espectro Radioeléctrico</w:t>
      </w:r>
      <w:r w:rsidRPr="00AF2924">
        <w:rPr>
          <w:rFonts w:ascii="ITC Avant Garde" w:hAnsi="ITC Avant Garde"/>
          <w:bCs/>
          <w:color w:val="000000" w:themeColor="text1"/>
          <w:lang w:eastAsia="es-MX"/>
        </w:rPr>
        <w:t xml:space="preserve"> establece de manera particular las condiciones </w:t>
      </w:r>
      <w:r w:rsidR="00092C05" w:rsidRPr="00AF2924">
        <w:rPr>
          <w:rFonts w:ascii="ITC Avant Garde" w:hAnsi="ITC Avant Garde"/>
          <w:bCs/>
          <w:color w:val="000000" w:themeColor="text1"/>
          <w:lang w:eastAsia="es-MX"/>
        </w:rPr>
        <w:t xml:space="preserve">técnicas </w:t>
      </w:r>
      <w:r w:rsidRPr="00AF2924">
        <w:rPr>
          <w:rFonts w:ascii="ITC Avant Garde" w:hAnsi="ITC Avant Garde"/>
          <w:bCs/>
          <w:color w:val="000000" w:themeColor="text1"/>
          <w:lang w:eastAsia="es-MX"/>
        </w:rPr>
        <w:t xml:space="preserve">de operación </w:t>
      </w:r>
      <w:r w:rsidR="00092C05" w:rsidRPr="00AF2924">
        <w:rPr>
          <w:rFonts w:ascii="ITC Avant Garde" w:hAnsi="ITC Avant Garde"/>
          <w:bCs/>
          <w:color w:val="000000" w:themeColor="text1"/>
          <w:lang w:eastAsia="es-MX"/>
        </w:rPr>
        <w:t>para el uso, aprovechamiento y explotación de las bandas de frecuencias que ampara la misma</w:t>
      </w:r>
      <w:r w:rsidRPr="00AF2924">
        <w:rPr>
          <w:rFonts w:ascii="ITC Avant Garde" w:hAnsi="ITC Avant Garde"/>
          <w:bCs/>
          <w:color w:val="000000" w:themeColor="text1"/>
          <w:lang w:eastAsia="es-MX"/>
        </w:rPr>
        <w:t>, por lo que las modificaciones que</w:t>
      </w:r>
      <w:r w:rsidR="00092C05" w:rsidRPr="00AF2924">
        <w:rPr>
          <w:rFonts w:ascii="ITC Avant Garde" w:hAnsi="ITC Avant Garde"/>
          <w:bCs/>
          <w:color w:val="000000" w:themeColor="text1"/>
          <w:lang w:eastAsia="es-MX"/>
        </w:rPr>
        <w:t>,</w:t>
      </w:r>
      <w:r w:rsidRPr="00AF2924">
        <w:rPr>
          <w:rFonts w:ascii="ITC Avant Garde" w:hAnsi="ITC Avant Garde"/>
          <w:bCs/>
          <w:color w:val="000000" w:themeColor="text1"/>
          <w:lang w:eastAsia="es-MX"/>
        </w:rPr>
        <w:t xml:space="preserve"> en su caso, </w:t>
      </w:r>
      <w:r w:rsidR="0037762D" w:rsidRPr="00AF2924">
        <w:rPr>
          <w:rFonts w:ascii="ITC Avant Garde" w:hAnsi="ITC Avant Garde"/>
          <w:bCs/>
          <w:color w:val="000000" w:themeColor="text1"/>
          <w:lang w:eastAsia="es-MX"/>
        </w:rPr>
        <w:t xml:space="preserve">se </w:t>
      </w:r>
      <w:r w:rsidRPr="00AF2924">
        <w:rPr>
          <w:rFonts w:ascii="ITC Avant Garde" w:hAnsi="ITC Avant Garde"/>
          <w:bCs/>
          <w:color w:val="000000" w:themeColor="text1"/>
          <w:lang w:eastAsia="es-MX"/>
        </w:rPr>
        <w:t>pretendan llevar a cabo</w:t>
      </w:r>
      <w:r w:rsidR="0037762D" w:rsidRPr="00AF2924">
        <w:rPr>
          <w:rFonts w:ascii="ITC Avant Garde" w:hAnsi="ITC Avant Garde"/>
          <w:bCs/>
          <w:color w:val="000000" w:themeColor="text1"/>
          <w:lang w:eastAsia="es-MX"/>
        </w:rPr>
        <w:t>,</w:t>
      </w:r>
      <w:r w:rsidRPr="00AF2924">
        <w:rPr>
          <w:rFonts w:ascii="ITC Avant Garde" w:hAnsi="ITC Avant Garde"/>
          <w:bCs/>
          <w:color w:val="000000" w:themeColor="text1"/>
          <w:lang w:eastAsia="es-MX"/>
        </w:rPr>
        <w:t xml:space="preserve"> tendrán que apegarse a lo establecido en el respectivo título de concesión.</w:t>
      </w:r>
    </w:p>
    <w:p w14:paraId="6C83F1BF" w14:textId="77777777" w:rsidR="00AF2924" w:rsidRPr="00AF2924" w:rsidRDefault="00762CF6"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Cs/>
          <w:color w:val="000000" w:themeColor="text1"/>
          <w:lang w:eastAsia="es-MX"/>
        </w:rPr>
        <w:t>Al respecto, l</w:t>
      </w:r>
      <w:r w:rsidR="00BF5B56" w:rsidRPr="00AF2924">
        <w:rPr>
          <w:rFonts w:ascii="ITC Avant Garde" w:hAnsi="ITC Avant Garde"/>
          <w:bCs/>
          <w:color w:val="000000" w:themeColor="text1"/>
          <w:lang w:eastAsia="es-MX"/>
        </w:rPr>
        <w:t>a Condición 1</w:t>
      </w:r>
      <w:r w:rsidR="003B5D6C" w:rsidRPr="00AF2924">
        <w:rPr>
          <w:rFonts w:ascii="ITC Avant Garde" w:hAnsi="ITC Avant Garde"/>
          <w:bCs/>
          <w:color w:val="000000" w:themeColor="text1"/>
          <w:lang w:eastAsia="es-MX"/>
        </w:rPr>
        <w:t>2</w:t>
      </w:r>
      <w:r w:rsidR="00BF5B56" w:rsidRPr="00AF2924">
        <w:rPr>
          <w:rFonts w:ascii="ITC Avant Garde" w:hAnsi="ITC Avant Garde"/>
          <w:bCs/>
          <w:color w:val="000000" w:themeColor="text1"/>
          <w:lang w:eastAsia="es-MX"/>
        </w:rPr>
        <w:t xml:space="preserve"> “</w:t>
      </w:r>
      <w:r w:rsidR="003B5D6C" w:rsidRPr="00AF2924">
        <w:rPr>
          <w:rFonts w:ascii="ITC Avant Garde" w:hAnsi="ITC Avant Garde"/>
          <w:bCs/>
          <w:color w:val="000000" w:themeColor="text1"/>
          <w:lang w:eastAsia="es-MX"/>
        </w:rPr>
        <w:t>Modificaciones Técnicas</w:t>
      </w:r>
      <w:r w:rsidR="00BF5B56" w:rsidRPr="00AF2924">
        <w:rPr>
          <w:rFonts w:ascii="ITC Avant Garde" w:hAnsi="ITC Avant Garde"/>
          <w:bCs/>
          <w:color w:val="000000" w:themeColor="text1"/>
          <w:lang w:eastAsia="es-MX"/>
        </w:rPr>
        <w:t xml:space="preserve">” de </w:t>
      </w:r>
      <w:r w:rsidR="004C09FE" w:rsidRPr="00AF2924">
        <w:rPr>
          <w:rFonts w:ascii="ITC Avant Garde" w:hAnsi="ITC Avant Garde"/>
          <w:bCs/>
          <w:color w:val="000000" w:themeColor="text1"/>
          <w:lang w:eastAsia="es-MX"/>
        </w:rPr>
        <w:t>la</w:t>
      </w:r>
      <w:r w:rsidR="00BF5B56" w:rsidRPr="00AF2924">
        <w:rPr>
          <w:rFonts w:ascii="ITC Avant Garde" w:hAnsi="ITC Avant Garde"/>
          <w:bCs/>
          <w:color w:val="000000" w:themeColor="text1"/>
          <w:lang w:eastAsia="es-MX"/>
        </w:rPr>
        <w:t xml:space="preserve"> </w:t>
      </w:r>
      <w:r w:rsidR="004C09FE" w:rsidRPr="00AF2924">
        <w:rPr>
          <w:rFonts w:ascii="ITC Avant Garde" w:hAnsi="ITC Avant Garde"/>
          <w:bCs/>
          <w:color w:val="000000" w:themeColor="text1"/>
          <w:lang w:eastAsia="es-MX"/>
        </w:rPr>
        <w:t>C</w:t>
      </w:r>
      <w:r w:rsidR="00BF5B56" w:rsidRPr="00AF2924">
        <w:rPr>
          <w:rFonts w:ascii="ITC Avant Garde" w:hAnsi="ITC Avant Garde"/>
          <w:bCs/>
          <w:color w:val="000000" w:themeColor="text1"/>
          <w:lang w:eastAsia="es-MX"/>
        </w:rPr>
        <w:t>oncesión</w:t>
      </w:r>
      <w:r w:rsidR="003B5D6C" w:rsidRPr="00AF2924">
        <w:rPr>
          <w:rFonts w:ascii="ITC Avant Garde" w:hAnsi="ITC Avant Garde"/>
          <w:bCs/>
          <w:color w:val="000000" w:themeColor="text1"/>
          <w:lang w:eastAsia="es-MX"/>
        </w:rPr>
        <w:t xml:space="preserve"> de Espectro Radioeléctrico</w:t>
      </w:r>
      <w:r w:rsidR="00A04F64" w:rsidRPr="00AF2924" w:rsidDel="00A04F64">
        <w:rPr>
          <w:rFonts w:ascii="ITC Avant Garde" w:hAnsi="ITC Avant Garde"/>
          <w:bCs/>
        </w:rPr>
        <w:t xml:space="preserve"> </w:t>
      </w:r>
      <w:r w:rsidR="00B46212" w:rsidRPr="00AF2924">
        <w:rPr>
          <w:rFonts w:ascii="ITC Avant Garde" w:hAnsi="ITC Avant Garde"/>
          <w:bCs/>
        </w:rPr>
        <w:t>señala textualmente:</w:t>
      </w:r>
    </w:p>
    <w:p w14:paraId="11C075D9" w14:textId="77777777" w:rsidR="00AF2924" w:rsidRPr="00AF2924" w:rsidRDefault="00B46212"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w:t>
      </w:r>
      <w:r w:rsidR="008F4830" w:rsidRPr="00AF2924">
        <w:rPr>
          <w:rFonts w:ascii="ITC Avant Garde" w:hAnsi="ITC Avant Garde"/>
          <w:b/>
          <w:bCs/>
          <w:sz w:val="18"/>
          <w:szCs w:val="18"/>
        </w:rPr>
        <w:t>1</w:t>
      </w:r>
      <w:r w:rsidR="003B5D6C" w:rsidRPr="00AF2924">
        <w:rPr>
          <w:rFonts w:ascii="ITC Avant Garde" w:hAnsi="ITC Avant Garde"/>
          <w:b/>
          <w:bCs/>
          <w:sz w:val="18"/>
          <w:szCs w:val="18"/>
        </w:rPr>
        <w:t>2</w:t>
      </w:r>
      <w:r w:rsidR="008F4830" w:rsidRPr="00AF2924">
        <w:rPr>
          <w:rFonts w:ascii="ITC Avant Garde" w:hAnsi="ITC Avant Garde"/>
          <w:b/>
          <w:bCs/>
          <w:sz w:val="18"/>
          <w:szCs w:val="18"/>
        </w:rPr>
        <w:t xml:space="preserve"> Modificaci</w:t>
      </w:r>
      <w:r w:rsidR="003B5D6C" w:rsidRPr="00AF2924">
        <w:rPr>
          <w:rFonts w:ascii="ITC Avant Garde" w:hAnsi="ITC Avant Garde"/>
          <w:b/>
          <w:bCs/>
          <w:sz w:val="18"/>
          <w:szCs w:val="18"/>
        </w:rPr>
        <w:t>ones T</w:t>
      </w:r>
      <w:r w:rsidR="008F4830" w:rsidRPr="00AF2924">
        <w:rPr>
          <w:rFonts w:ascii="ITC Avant Garde" w:hAnsi="ITC Avant Garde"/>
          <w:b/>
          <w:bCs/>
          <w:sz w:val="18"/>
          <w:szCs w:val="18"/>
        </w:rPr>
        <w:t>écnicas.</w:t>
      </w:r>
      <w:r w:rsidR="008F4830" w:rsidRPr="00AF2924">
        <w:rPr>
          <w:rFonts w:ascii="ITC Avant Garde" w:hAnsi="ITC Avant Garde"/>
          <w:bCs/>
          <w:sz w:val="18"/>
          <w:szCs w:val="18"/>
        </w:rPr>
        <w:t xml:space="preserve"> </w:t>
      </w:r>
      <w:r w:rsidR="003B5D6C" w:rsidRPr="00AF2924">
        <w:rPr>
          <w:rFonts w:ascii="ITC Avant Garde" w:hAnsi="ITC Avant Garde"/>
          <w:bCs/>
          <w:sz w:val="18"/>
          <w:szCs w:val="18"/>
          <w:u w:val="single"/>
        </w:rPr>
        <w:t>El Instituto podrá determinar modificaciones a</w:t>
      </w:r>
      <w:r w:rsidR="003B5D6C" w:rsidRPr="00AF2924">
        <w:rPr>
          <w:rFonts w:ascii="ITC Avant Garde" w:hAnsi="ITC Avant Garde"/>
          <w:bCs/>
          <w:sz w:val="18"/>
          <w:szCs w:val="18"/>
        </w:rPr>
        <w:t xml:space="preserve"> las condiciones técnicas de operación del presente título, según sea necesario para la adecuada introducción, implantación y operación de los servicios de telecomunicaciones o radiodifusión, las cuales podrán versar sobre el uso de una banda de frecuencias; la banda en que actualmente se proveen los servicios de telecomunicaciones o en una diferente; </w:t>
      </w:r>
      <w:r w:rsidR="003B5D6C" w:rsidRPr="00AF2924">
        <w:rPr>
          <w:rFonts w:ascii="ITC Avant Garde" w:hAnsi="ITC Avant Garde"/>
          <w:bCs/>
          <w:sz w:val="18"/>
          <w:szCs w:val="18"/>
          <w:u w:val="single"/>
        </w:rPr>
        <w:t>la Cobertura Geográfica que deberá cubrir el Concesionario</w:t>
      </w:r>
      <w:r w:rsidR="003B5D6C" w:rsidRPr="00AF2924">
        <w:rPr>
          <w:rFonts w:ascii="ITC Avant Garde" w:hAnsi="ITC Avant Garde"/>
          <w:bCs/>
          <w:sz w:val="18"/>
          <w:szCs w:val="18"/>
        </w:rPr>
        <w:t>; la potencia; los horarios de operación, o cualquier otra que determine el Instituto.</w:t>
      </w:r>
      <w:r w:rsidRPr="00AF2924">
        <w:rPr>
          <w:rFonts w:ascii="ITC Avant Garde" w:hAnsi="ITC Avant Garde"/>
          <w:bCs/>
          <w:sz w:val="18"/>
          <w:szCs w:val="18"/>
        </w:rPr>
        <w:t>”</w:t>
      </w:r>
    </w:p>
    <w:p w14:paraId="0363F117" w14:textId="77777777" w:rsidR="00AF2924" w:rsidRPr="00AF2924" w:rsidRDefault="00364FBF"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Cs/>
        </w:rPr>
        <w:t xml:space="preserve">De esta manera, la Concesión </w:t>
      </w:r>
      <w:r w:rsidR="007E5DA8" w:rsidRPr="00AF2924">
        <w:rPr>
          <w:rFonts w:ascii="ITC Avant Garde" w:hAnsi="ITC Avant Garde"/>
          <w:bCs/>
        </w:rPr>
        <w:t xml:space="preserve">de Espectro Radioeléctrico </w:t>
      </w:r>
      <w:r w:rsidR="009A6BE2" w:rsidRPr="00AF2924">
        <w:rPr>
          <w:rFonts w:ascii="ITC Avant Garde" w:hAnsi="ITC Avant Garde"/>
          <w:bCs/>
        </w:rPr>
        <w:t>establece</w:t>
      </w:r>
      <w:r w:rsidRPr="00AF2924">
        <w:rPr>
          <w:rFonts w:ascii="ITC Avant Garde" w:hAnsi="ITC Avant Garde"/>
          <w:bCs/>
        </w:rPr>
        <w:t xml:space="preserve"> que </w:t>
      </w:r>
      <w:r w:rsidR="00B75ADC" w:rsidRPr="00AF2924">
        <w:rPr>
          <w:rFonts w:ascii="ITC Avant Garde" w:hAnsi="ITC Avant Garde"/>
          <w:bCs/>
        </w:rPr>
        <w:t xml:space="preserve">el Instituto podrá determinar modificaciones a las condiciones técnicas de operación de la </w:t>
      </w:r>
      <w:r w:rsidR="007E5DA8" w:rsidRPr="00AF2924">
        <w:rPr>
          <w:rFonts w:ascii="ITC Avant Garde" w:hAnsi="ITC Avant Garde"/>
          <w:bCs/>
        </w:rPr>
        <w:t>misma</w:t>
      </w:r>
      <w:r w:rsidR="00B75ADC" w:rsidRPr="00AF2924">
        <w:rPr>
          <w:rFonts w:ascii="ITC Avant Garde" w:hAnsi="ITC Avant Garde"/>
          <w:bCs/>
        </w:rPr>
        <w:t xml:space="preserve">, según sea necesario para la operación de los servicios de telecomunicaciones, los cuales podrán versar, entre otros, en la cobertura geográfica que deberá cubrir </w:t>
      </w:r>
      <w:r w:rsidR="00106EE8" w:rsidRPr="00AF2924">
        <w:rPr>
          <w:rFonts w:ascii="ITC Avant Garde" w:hAnsi="ITC Avant Garde"/>
          <w:bCs/>
        </w:rPr>
        <w:t>Comunicaciones Radiotelefónicas Peninsulares</w:t>
      </w:r>
      <w:r w:rsidR="009A6BE2" w:rsidRPr="00AF2924">
        <w:rPr>
          <w:rFonts w:ascii="ITC Avant Garde" w:hAnsi="ITC Avant Garde"/>
          <w:bCs/>
        </w:rPr>
        <w:t>.</w:t>
      </w:r>
    </w:p>
    <w:p w14:paraId="15AE5569" w14:textId="77777777" w:rsidR="00AF2924" w:rsidRPr="00AF2924" w:rsidRDefault="0044440A"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
          <w:bCs/>
        </w:rPr>
        <w:t xml:space="preserve">Tercero.- </w:t>
      </w:r>
      <w:r w:rsidR="005E5219" w:rsidRPr="00AF2924">
        <w:rPr>
          <w:rFonts w:ascii="ITC Avant Garde" w:hAnsi="ITC Avant Garde"/>
          <w:b/>
          <w:bCs/>
        </w:rPr>
        <w:t>Análisis de la Solicitud de Modificación</w:t>
      </w:r>
      <w:r w:rsidRPr="00AF2924">
        <w:rPr>
          <w:rFonts w:ascii="ITC Avant Garde" w:hAnsi="ITC Avant Garde"/>
          <w:b/>
          <w:bCs/>
        </w:rPr>
        <w:t>.</w:t>
      </w:r>
      <w:r w:rsidR="003507F3" w:rsidRPr="00AF2924">
        <w:rPr>
          <w:rFonts w:ascii="ITC Avant Garde" w:hAnsi="ITC Avant Garde"/>
          <w:bCs/>
        </w:rPr>
        <w:t xml:space="preserve"> </w:t>
      </w:r>
      <w:r w:rsidR="005A1EEA" w:rsidRPr="00AF2924">
        <w:rPr>
          <w:rFonts w:ascii="ITC Avant Garde" w:hAnsi="ITC Avant Garde"/>
          <w:bCs/>
        </w:rPr>
        <w:t>La Concesión 1992 señalaba, en su Condición 1-2 “Área de Concesión”, lo siguiente:</w:t>
      </w:r>
    </w:p>
    <w:p w14:paraId="52135B41" w14:textId="77777777" w:rsidR="00AF2924" w:rsidRPr="00AF2924" w:rsidRDefault="005A1EEA" w:rsidP="00AF2924">
      <w:pPr>
        <w:autoSpaceDE w:val="0"/>
        <w:autoSpaceDN w:val="0"/>
        <w:adjustRightInd w:val="0"/>
        <w:spacing w:before="240" w:line="240" w:lineRule="auto"/>
        <w:ind w:left="567" w:right="615"/>
        <w:jc w:val="both"/>
        <w:rPr>
          <w:rFonts w:ascii="ITC Avant Garde" w:hAnsi="ITC Avant Garde"/>
          <w:b/>
          <w:bCs/>
          <w:sz w:val="18"/>
          <w:szCs w:val="18"/>
        </w:rPr>
      </w:pPr>
      <w:r w:rsidRPr="00AF2924">
        <w:rPr>
          <w:rFonts w:ascii="ITC Avant Garde" w:hAnsi="ITC Avant Garde"/>
          <w:bCs/>
          <w:sz w:val="18"/>
          <w:szCs w:val="18"/>
        </w:rPr>
        <w:t>“</w:t>
      </w:r>
      <w:r w:rsidRPr="00AF2924">
        <w:rPr>
          <w:rFonts w:ascii="ITC Avant Garde" w:hAnsi="ITC Avant Garde"/>
          <w:b/>
          <w:bCs/>
          <w:sz w:val="18"/>
          <w:szCs w:val="18"/>
        </w:rPr>
        <w:t>1-2 AREA DE CONCESION</w:t>
      </w:r>
    </w:p>
    <w:p w14:paraId="6C18ED94" w14:textId="77777777" w:rsidR="00AF2924" w:rsidRPr="00AF2924" w:rsidRDefault="005A1EEA"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El área de servicio concesionada se integra por las siguientes ciudades:</w:t>
      </w:r>
    </w:p>
    <w:p w14:paraId="08276BA4" w14:textId="4BA09FA2" w:rsidR="00605640" w:rsidRPr="00AF2924" w:rsidRDefault="005A1EEA"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 xml:space="preserve">Tuxtla Gutiérrez, Chis., Villahermosa, Tab., Mérida, Yuc., y Cancún, Q. Roo, </w:t>
      </w:r>
      <w:r w:rsidRPr="00AF2924">
        <w:rPr>
          <w:rFonts w:ascii="ITC Avant Garde" w:hAnsi="ITC Avant Garde"/>
          <w:b/>
          <w:bCs/>
          <w:sz w:val="18"/>
          <w:szCs w:val="18"/>
        </w:rPr>
        <w:t>pudiendo comunicar áreas rurales en la zona de influencia económica de dichas ciudades.</w:t>
      </w:r>
      <w:r w:rsidRPr="00AF2924">
        <w:rPr>
          <w:rFonts w:ascii="ITC Avant Garde" w:hAnsi="ITC Avant Garde"/>
          <w:bCs/>
          <w:sz w:val="18"/>
          <w:szCs w:val="18"/>
        </w:rPr>
        <w:t>”</w:t>
      </w:r>
      <w:r w:rsidR="00605640" w:rsidRPr="00AF2924">
        <w:rPr>
          <w:rFonts w:ascii="ITC Avant Garde" w:hAnsi="ITC Avant Garde"/>
          <w:bCs/>
          <w:sz w:val="18"/>
          <w:szCs w:val="18"/>
        </w:rPr>
        <w:t xml:space="preserve"> </w:t>
      </w:r>
    </w:p>
    <w:p w14:paraId="71B2EBE6" w14:textId="6B5932B7" w:rsidR="005A1EEA" w:rsidRPr="00AF2924" w:rsidRDefault="00605640"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lastRenderedPageBreak/>
        <w:t>[Énfasis añadido]</w:t>
      </w:r>
    </w:p>
    <w:p w14:paraId="47D69990" w14:textId="77777777" w:rsidR="00AF2924" w:rsidRPr="00AF2924" w:rsidRDefault="00605640" w:rsidP="00AF2924">
      <w:pPr>
        <w:autoSpaceDE w:val="0"/>
        <w:autoSpaceDN w:val="0"/>
        <w:adjustRightInd w:val="0"/>
        <w:spacing w:before="240" w:line="240" w:lineRule="auto"/>
        <w:jc w:val="both"/>
        <w:rPr>
          <w:rFonts w:ascii="ITC Avant Garde" w:eastAsia="Times New Roman" w:hAnsi="ITC Avant Garde"/>
          <w:bCs/>
          <w:color w:val="000000"/>
          <w:lang w:val="es-ES" w:eastAsia="es-ES"/>
        </w:rPr>
      </w:pPr>
      <w:r w:rsidRPr="00AF2924">
        <w:rPr>
          <w:rFonts w:ascii="ITC Avant Garde" w:hAnsi="ITC Avant Garde"/>
          <w:bCs/>
        </w:rPr>
        <w:t>Al respecto</w:t>
      </w:r>
      <w:r w:rsidR="007E5DA8" w:rsidRPr="00AF2924">
        <w:rPr>
          <w:rFonts w:ascii="ITC Avant Garde" w:hAnsi="ITC Avant Garde"/>
          <w:bCs/>
        </w:rPr>
        <w:t>, como ya se señaló en el Antecedente V de la presente Resolución, e</w:t>
      </w:r>
      <w:r w:rsidR="007E5DA8" w:rsidRPr="00AF2924">
        <w:rPr>
          <w:rFonts w:ascii="ITC Avant Garde" w:hAnsi="ITC Avant Garde"/>
          <w:bCs/>
          <w:color w:val="000000"/>
          <w:lang w:eastAsia="es-MX"/>
        </w:rPr>
        <w:t xml:space="preserve">l Pleno del </w:t>
      </w:r>
      <w:r w:rsidR="007E5DA8" w:rsidRPr="00AF2924">
        <w:rPr>
          <w:rFonts w:ascii="ITC Avant Garde" w:hAnsi="ITC Avant Garde"/>
          <w:bCs/>
          <w:color w:val="000000"/>
        </w:rPr>
        <w:t xml:space="preserve">Instituto, mediante Resolución con número de Acuerdo P/IFT/270116/21 de fecha 27 de enero de 2016, resolvió autorizar la prórroga de vigencia de la Concesión 1992 sujeta, entre otras, a la aceptación de las condiciones contenidas en la Concesión de Espectro Radioeléctrico. </w:t>
      </w:r>
      <w:r w:rsidR="00873421" w:rsidRPr="00AF2924">
        <w:rPr>
          <w:rFonts w:ascii="ITC Avant Garde" w:hAnsi="ITC Avant Garde"/>
          <w:bCs/>
          <w:color w:val="000000"/>
        </w:rPr>
        <w:t xml:space="preserve">En ese sentido, </w:t>
      </w:r>
      <w:r w:rsidR="007E5DA8" w:rsidRPr="00AF2924">
        <w:rPr>
          <w:rFonts w:ascii="ITC Avant Garde" w:eastAsia="Times New Roman" w:hAnsi="ITC Avant Garde"/>
          <w:bCs/>
          <w:color w:val="000000"/>
          <w:lang w:val="es-ES" w:eastAsia="es-ES"/>
        </w:rPr>
        <w:t>dado que la Concesión 1992 no permitía definir de manera precisa el área en la cual se prestaba el servicio,</w:t>
      </w:r>
      <w:r w:rsidR="007E5DA8" w:rsidRPr="00AF2924" w:rsidDel="007B3E01">
        <w:rPr>
          <w:rFonts w:ascii="ITC Avant Garde" w:eastAsia="Times New Roman" w:hAnsi="ITC Avant Garde"/>
          <w:bCs/>
          <w:color w:val="000000"/>
          <w:lang w:val="es-ES" w:eastAsia="es-ES"/>
        </w:rPr>
        <w:t xml:space="preserve"> </w:t>
      </w:r>
      <w:r w:rsidR="007E5DA8" w:rsidRPr="00AF2924">
        <w:rPr>
          <w:rFonts w:ascii="ITC Avant Garde" w:eastAsia="Times New Roman" w:hAnsi="ITC Avant Garde"/>
          <w:bCs/>
          <w:color w:val="000000"/>
          <w:lang w:val="es-ES" w:eastAsia="es-ES"/>
        </w:rPr>
        <w:t xml:space="preserve">la </w:t>
      </w:r>
      <w:r w:rsidR="007719B8" w:rsidRPr="00AF2924">
        <w:rPr>
          <w:rFonts w:ascii="ITC Avant Garde" w:eastAsia="Times New Roman" w:hAnsi="ITC Avant Garde"/>
          <w:bCs/>
          <w:color w:val="000000"/>
          <w:lang w:val="es-ES" w:eastAsia="es-ES"/>
        </w:rPr>
        <w:t>Resolución con número de Acuerdo P/IFT/270116/21</w:t>
      </w:r>
      <w:r w:rsidR="007E5DA8" w:rsidRPr="00AF2924">
        <w:rPr>
          <w:rFonts w:ascii="ITC Avant Garde" w:eastAsia="Times New Roman" w:hAnsi="ITC Avant Garde"/>
          <w:bCs/>
          <w:color w:val="000000"/>
          <w:lang w:val="es-ES" w:eastAsia="es-ES"/>
        </w:rPr>
        <w:t xml:space="preserve"> consideró </w:t>
      </w:r>
      <w:r w:rsidR="007719B8" w:rsidRPr="00AF2924">
        <w:rPr>
          <w:rFonts w:ascii="ITC Avant Garde" w:eastAsia="Times New Roman" w:hAnsi="ITC Avant Garde"/>
          <w:bCs/>
          <w:color w:val="000000"/>
          <w:lang w:val="es-ES" w:eastAsia="es-ES"/>
        </w:rPr>
        <w:t xml:space="preserve">al municipio como </w:t>
      </w:r>
      <w:r w:rsidR="007E5DA8" w:rsidRPr="00AF2924">
        <w:rPr>
          <w:rFonts w:ascii="ITC Avant Garde" w:eastAsia="Times New Roman" w:hAnsi="ITC Avant Garde"/>
          <w:bCs/>
          <w:color w:val="000000"/>
          <w:lang w:val="es-ES" w:eastAsia="es-ES"/>
        </w:rPr>
        <w:t xml:space="preserve">la unidad mínima para establecer la cobertura en </w:t>
      </w:r>
      <w:r w:rsidR="00873421" w:rsidRPr="00AF2924">
        <w:rPr>
          <w:rFonts w:ascii="ITC Avant Garde" w:eastAsia="Times New Roman" w:hAnsi="ITC Avant Garde"/>
          <w:bCs/>
          <w:color w:val="000000"/>
          <w:lang w:val="es-ES" w:eastAsia="es-ES"/>
        </w:rPr>
        <w:t xml:space="preserve">la </w:t>
      </w:r>
      <w:r w:rsidR="00873421" w:rsidRPr="00AF2924">
        <w:rPr>
          <w:rFonts w:ascii="ITC Avant Garde" w:hAnsi="ITC Avant Garde"/>
          <w:bCs/>
        </w:rPr>
        <w:t>Concesión de Espectro Radioeléctrico</w:t>
      </w:r>
      <w:r w:rsidR="00873421" w:rsidRPr="00AF2924">
        <w:rPr>
          <w:rFonts w:ascii="ITC Avant Garde" w:eastAsia="Times New Roman" w:hAnsi="ITC Avant Garde"/>
          <w:bCs/>
          <w:color w:val="000000"/>
          <w:lang w:val="es-ES" w:eastAsia="es-ES"/>
        </w:rPr>
        <w:t>.</w:t>
      </w:r>
    </w:p>
    <w:p w14:paraId="125E49B2" w14:textId="77777777" w:rsidR="00AF2924" w:rsidRPr="00AF2924" w:rsidRDefault="00873421" w:rsidP="00AF2924">
      <w:pPr>
        <w:autoSpaceDE w:val="0"/>
        <w:autoSpaceDN w:val="0"/>
        <w:adjustRightInd w:val="0"/>
        <w:spacing w:before="240" w:line="240" w:lineRule="auto"/>
        <w:jc w:val="both"/>
        <w:rPr>
          <w:rFonts w:ascii="ITC Avant Garde" w:hAnsi="ITC Avant Garde"/>
          <w:bCs/>
        </w:rPr>
      </w:pPr>
      <w:r w:rsidRPr="00AF2924">
        <w:rPr>
          <w:rFonts w:ascii="ITC Avant Garde" w:eastAsia="Times New Roman" w:hAnsi="ITC Avant Garde"/>
          <w:bCs/>
          <w:color w:val="000000"/>
          <w:lang w:val="es-ES" w:eastAsia="es-ES"/>
        </w:rPr>
        <w:t xml:space="preserve">En atención a lo anterior, </w:t>
      </w:r>
      <w:r w:rsidRPr="00AF2924">
        <w:rPr>
          <w:rFonts w:ascii="ITC Avant Garde" w:hAnsi="ITC Avant Garde"/>
          <w:bCs/>
        </w:rPr>
        <w:t>la Condición 5 de la Concesión de Espectro Radioeléctrico señala lo siguiente:</w:t>
      </w:r>
    </w:p>
    <w:p w14:paraId="6CAF662C" w14:textId="0ECE1091" w:rsidR="00873421" w:rsidRPr="00AF2924" w:rsidRDefault="00873421" w:rsidP="00AF2924">
      <w:pPr>
        <w:tabs>
          <w:tab w:val="left" w:pos="8789"/>
        </w:tabs>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w:t>
      </w:r>
      <w:r w:rsidRPr="00AF2924">
        <w:rPr>
          <w:rFonts w:ascii="ITC Avant Garde" w:hAnsi="ITC Avant Garde"/>
          <w:b/>
          <w:bCs/>
          <w:sz w:val="18"/>
          <w:szCs w:val="18"/>
        </w:rPr>
        <w:t>5. Cobertura de la Concesión de Espectro Radioeléctrico.</w:t>
      </w:r>
      <w:r w:rsidRPr="00AF2924">
        <w:rPr>
          <w:rFonts w:ascii="ITC Avant Garde" w:hAnsi="ITC Avant Garde"/>
          <w:bCs/>
          <w:sz w:val="18"/>
          <w:szCs w:val="18"/>
        </w:rPr>
        <w:t xml:space="preserve"> El concesionario deberá usar, aprovechar y explotar las bandas de frecuencias que ampara la presente Concesión de Espectro Radioeléctrico, exclusivamente en la Cobertura Geográfica que se describe a continuación, de conformidad con el siguiente plan de asignación de cobertura:</w:t>
      </w:r>
    </w:p>
    <w:tbl>
      <w:tblPr>
        <w:tblStyle w:val="Tablaconcuadrcula"/>
        <w:tblW w:w="3295" w:type="pct"/>
        <w:jc w:val="center"/>
        <w:tblLook w:val="04A0" w:firstRow="1" w:lastRow="0" w:firstColumn="1" w:lastColumn="0" w:noHBand="0" w:noVBand="1"/>
        <w:tblCaption w:val="Cobertura Concesión de Espectro"/>
        <w:tblDescription w:val="En una tabla de 3 columnas, se proporciona la cobertura por estado y municipio y los grupos de frecuencia."/>
      </w:tblPr>
      <w:tblGrid>
        <w:gridCol w:w="1123"/>
        <w:gridCol w:w="2736"/>
        <w:gridCol w:w="2332"/>
      </w:tblGrid>
      <w:tr w:rsidR="00AF2924" w:rsidRPr="00AF2924" w14:paraId="6F2F5B04" w14:textId="77777777" w:rsidTr="00AF2924">
        <w:trPr>
          <w:trHeight w:val="257"/>
          <w:tblHeader/>
          <w:jc w:val="center"/>
        </w:trPr>
        <w:tc>
          <w:tcPr>
            <w:tcW w:w="907" w:type="pct"/>
            <w:shd w:val="clear" w:color="auto" w:fill="BFBFBF" w:themeFill="background1" w:themeFillShade="BF"/>
            <w:vAlign w:val="center"/>
          </w:tcPr>
          <w:p w14:paraId="66A12DB2" w14:textId="188DE80E" w:rsidR="00AF2924" w:rsidRPr="00AF2924" w:rsidRDefault="00AF2924" w:rsidP="00AF2924">
            <w:pPr>
              <w:spacing w:after="0" w:line="240" w:lineRule="auto"/>
              <w:jc w:val="center"/>
              <w:rPr>
                <w:rFonts w:ascii="ITC Avant Garde" w:eastAsia="Times New Roman" w:hAnsi="ITC Avant Garde"/>
                <w:sz w:val="18"/>
                <w:szCs w:val="18"/>
              </w:rPr>
            </w:pPr>
            <w:r>
              <w:rPr>
                <w:rFonts w:ascii="ITC Avant Garde" w:eastAsia="Times New Roman" w:hAnsi="ITC Avant Garde"/>
                <w:b/>
                <w:sz w:val="18"/>
                <w:szCs w:val="18"/>
              </w:rPr>
              <w:t xml:space="preserve">Cobertura por </w:t>
            </w:r>
            <w:r w:rsidRPr="00AF2924">
              <w:rPr>
                <w:rFonts w:ascii="ITC Avant Garde" w:eastAsia="Times New Roman" w:hAnsi="ITC Avant Garde"/>
                <w:b/>
                <w:sz w:val="18"/>
                <w:szCs w:val="18"/>
              </w:rPr>
              <w:t>Estado</w:t>
            </w:r>
          </w:p>
        </w:tc>
        <w:tc>
          <w:tcPr>
            <w:tcW w:w="2210" w:type="pct"/>
            <w:shd w:val="clear" w:color="auto" w:fill="BFBFBF" w:themeFill="background1" w:themeFillShade="BF"/>
            <w:vAlign w:val="center"/>
          </w:tcPr>
          <w:p w14:paraId="5062FA54" w14:textId="170C22CD"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b/>
                <w:sz w:val="18"/>
                <w:szCs w:val="18"/>
              </w:rPr>
              <w:t>Cobertura</w:t>
            </w:r>
            <w:r w:rsidRPr="00AF2924">
              <w:rPr>
                <w:rFonts w:ascii="ITC Avant Garde" w:eastAsia="Times New Roman" w:hAnsi="ITC Avant Garde"/>
                <w:b/>
                <w:sz w:val="18"/>
                <w:szCs w:val="18"/>
              </w:rPr>
              <w:t xml:space="preserve"> </w:t>
            </w:r>
            <w:r>
              <w:rPr>
                <w:rFonts w:ascii="ITC Avant Garde" w:eastAsia="Times New Roman" w:hAnsi="ITC Avant Garde"/>
                <w:b/>
                <w:sz w:val="18"/>
                <w:szCs w:val="18"/>
              </w:rPr>
              <w:t xml:space="preserve">por </w:t>
            </w:r>
            <w:r w:rsidRPr="00AF2924">
              <w:rPr>
                <w:rFonts w:ascii="ITC Avant Garde" w:eastAsia="Times New Roman" w:hAnsi="ITC Avant Garde"/>
                <w:b/>
                <w:sz w:val="18"/>
                <w:szCs w:val="18"/>
              </w:rPr>
              <w:t>Municipios</w:t>
            </w:r>
          </w:p>
        </w:tc>
        <w:tc>
          <w:tcPr>
            <w:tcW w:w="1883" w:type="pct"/>
            <w:shd w:val="clear" w:color="auto" w:fill="BFBFBF" w:themeFill="background1" w:themeFillShade="BF"/>
            <w:vAlign w:val="center"/>
          </w:tcPr>
          <w:p w14:paraId="002A3B3E" w14:textId="2E462204"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b/>
                <w:sz w:val="18"/>
                <w:szCs w:val="18"/>
              </w:rPr>
              <w:t>Grupos de frecuencia asignados en la banda de 400 MHz</w:t>
            </w:r>
          </w:p>
        </w:tc>
      </w:tr>
      <w:tr w:rsidR="00AF2924" w:rsidRPr="00AF2924" w14:paraId="676B40C2" w14:textId="77777777" w:rsidTr="00AF2924">
        <w:trPr>
          <w:trHeight w:val="257"/>
          <w:jc w:val="center"/>
        </w:trPr>
        <w:tc>
          <w:tcPr>
            <w:tcW w:w="907" w:type="pct"/>
          </w:tcPr>
          <w:p w14:paraId="5544CB64"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Chiapas</w:t>
            </w:r>
          </w:p>
        </w:tc>
        <w:tc>
          <w:tcPr>
            <w:tcW w:w="2210" w:type="pct"/>
          </w:tcPr>
          <w:p w14:paraId="4B3B90F9" w14:textId="77777777" w:rsidR="00AF2924" w:rsidRPr="00AF2924" w:rsidRDefault="00AF2924" w:rsidP="00AF2924">
            <w:pPr>
              <w:spacing w:after="0" w:line="240" w:lineRule="auto"/>
              <w:rPr>
                <w:rFonts w:ascii="ITC Avant Garde" w:eastAsia="Times New Roman" w:hAnsi="ITC Avant Garde"/>
                <w:color w:val="000000"/>
                <w:sz w:val="18"/>
                <w:szCs w:val="18"/>
              </w:rPr>
            </w:pPr>
            <w:r w:rsidRPr="00AF2924">
              <w:rPr>
                <w:rFonts w:ascii="ITC Avant Garde" w:eastAsia="Times New Roman" w:hAnsi="ITC Avant Garde"/>
                <w:sz w:val="18"/>
                <w:szCs w:val="18"/>
              </w:rPr>
              <w:t>Tuxtla Gutiérrez y Chiapa de Corzo.</w:t>
            </w:r>
          </w:p>
        </w:tc>
        <w:tc>
          <w:tcPr>
            <w:tcW w:w="1883" w:type="pct"/>
          </w:tcPr>
          <w:p w14:paraId="47356B89"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1, 2, 3, 4, 5, 6, 7 y 8</w:t>
            </w:r>
          </w:p>
        </w:tc>
      </w:tr>
      <w:tr w:rsidR="00AF2924" w:rsidRPr="00AF2924" w14:paraId="44A480CC" w14:textId="77777777" w:rsidTr="00AF2924">
        <w:trPr>
          <w:trHeight w:val="278"/>
          <w:jc w:val="center"/>
        </w:trPr>
        <w:tc>
          <w:tcPr>
            <w:tcW w:w="907" w:type="pct"/>
          </w:tcPr>
          <w:p w14:paraId="18A03216"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Tabasco</w:t>
            </w:r>
          </w:p>
        </w:tc>
        <w:tc>
          <w:tcPr>
            <w:tcW w:w="2210" w:type="pct"/>
          </w:tcPr>
          <w:p w14:paraId="54AE4723" w14:textId="77777777" w:rsidR="00AF2924" w:rsidRPr="00AF2924" w:rsidRDefault="00AF2924" w:rsidP="00AF2924">
            <w:pPr>
              <w:spacing w:after="0" w:line="240" w:lineRule="auto"/>
              <w:rPr>
                <w:rFonts w:ascii="ITC Avant Garde" w:eastAsia="Times New Roman" w:hAnsi="ITC Avant Garde"/>
                <w:color w:val="000000"/>
                <w:sz w:val="18"/>
                <w:szCs w:val="18"/>
              </w:rPr>
            </w:pPr>
            <w:r w:rsidRPr="00AF2924">
              <w:rPr>
                <w:rFonts w:ascii="ITC Avant Garde" w:eastAsia="Times New Roman" w:hAnsi="ITC Avant Garde"/>
                <w:sz w:val="18"/>
                <w:szCs w:val="18"/>
              </w:rPr>
              <w:t>Centro y Nacajuca.</w:t>
            </w:r>
          </w:p>
        </w:tc>
        <w:tc>
          <w:tcPr>
            <w:tcW w:w="1883" w:type="pct"/>
          </w:tcPr>
          <w:p w14:paraId="3CEBFF0E" w14:textId="48DD2298" w:rsidR="00AF2924" w:rsidRPr="00AF2924" w:rsidRDefault="00AF2924" w:rsidP="00AF2924">
            <w:pPr>
              <w:spacing w:after="0" w:line="240" w:lineRule="auto"/>
              <w:jc w:val="center"/>
              <w:rPr>
                <w:rFonts w:ascii="ITC Avant Garde" w:eastAsia="Times New Roman" w:hAnsi="ITC Avant Garde"/>
                <w:sz w:val="18"/>
                <w:szCs w:val="18"/>
              </w:rPr>
            </w:pPr>
            <w:r w:rsidRPr="00FD754D">
              <w:rPr>
                <w:rFonts w:ascii="ITC Avant Garde" w:eastAsia="Times New Roman" w:hAnsi="ITC Avant Garde"/>
                <w:sz w:val="18"/>
                <w:szCs w:val="18"/>
              </w:rPr>
              <w:t>1, 2, 3, 4, 5, 6, 7 y 8</w:t>
            </w:r>
          </w:p>
        </w:tc>
      </w:tr>
      <w:tr w:rsidR="00AF2924" w:rsidRPr="00AF2924" w14:paraId="01FAB201" w14:textId="77777777" w:rsidTr="00AF2924">
        <w:trPr>
          <w:trHeight w:val="102"/>
          <w:jc w:val="center"/>
        </w:trPr>
        <w:tc>
          <w:tcPr>
            <w:tcW w:w="907" w:type="pct"/>
          </w:tcPr>
          <w:p w14:paraId="75EDDB3D"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Yucatán</w:t>
            </w:r>
          </w:p>
        </w:tc>
        <w:tc>
          <w:tcPr>
            <w:tcW w:w="2210" w:type="pct"/>
          </w:tcPr>
          <w:p w14:paraId="410097CA" w14:textId="77777777" w:rsidR="00AF2924" w:rsidRPr="00AF2924" w:rsidRDefault="00AF2924" w:rsidP="00AF2924">
            <w:pPr>
              <w:spacing w:after="0" w:line="240" w:lineRule="auto"/>
              <w:rPr>
                <w:rFonts w:ascii="ITC Avant Garde" w:eastAsia="Times New Roman" w:hAnsi="ITC Avant Garde"/>
                <w:color w:val="000000"/>
                <w:sz w:val="18"/>
                <w:szCs w:val="18"/>
              </w:rPr>
            </w:pPr>
            <w:r w:rsidRPr="00AF2924">
              <w:rPr>
                <w:rFonts w:ascii="ITC Avant Garde" w:eastAsia="Times New Roman" w:hAnsi="ITC Avant Garde"/>
                <w:sz w:val="18"/>
                <w:szCs w:val="18"/>
              </w:rPr>
              <w:t>Mérida, Kanasín, Umán, Ucú y Conkal.</w:t>
            </w:r>
          </w:p>
        </w:tc>
        <w:tc>
          <w:tcPr>
            <w:tcW w:w="1883" w:type="pct"/>
          </w:tcPr>
          <w:p w14:paraId="4ECBF820" w14:textId="6684FE94" w:rsidR="00AF2924" w:rsidRPr="00AF2924" w:rsidRDefault="00AF2924" w:rsidP="00AF2924">
            <w:pPr>
              <w:spacing w:after="0" w:line="240" w:lineRule="auto"/>
              <w:jc w:val="center"/>
              <w:rPr>
                <w:rFonts w:ascii="ITC Avant Garde" w:eastAsia="Times New Roman" w:hAnsi="ITC Avant Garde"/>
                <w:sz w:val="18"/>
                <w:szCs w:val="18"/>
              </w:rPr>
            </w:pPr>
            <w:r w:rsidRPr="00FD754D">
              <w:rPr>
                <w:rFonts w:ascii="ITC Avant Garde" w:eastAsia="Times New Roman" w:hAnsi="ITC Avant Garde"/>
                <w:sz w:val="18"/>
                <w:szCs w:val="18"/>
              </w:rPr>
              <w:t>1, 2, 3, 4, 5, 6, 7 y 8</w:t>
            </w:r>
          </w:p>
        </w:tc>
      </w:tr>
      <w:tr w:rsidR="00AF2924" w:rsidRPr="00AF2924" w14:paraId="3FF542AE" w14:textId="77777777" w:rsidTr="00AF2924">
        <w:trPr>
          <w:trHeight w:val="268"/>
          <w:jc w:val="center"/>
        </w:trPr>
        <w:tc>
          <w:tcPr>
            <w:tcW w:w="907" w:type="pct"/>
          </w:tcPr>
          <w:p w14:paraId="098B83B1"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Quintana Roo</w:t>
            </w:r>
          </w:p>
        </w:tc>
        <w:tc>
          <w:tcPr>
            <w:tcW w:w="2210" w:type="pct"/>
          </w:tcPr>
          <w:p w14:paraId="4847E10A" w14:textId="77777777" w:rsidR="00AF2924" w:rsidRPr="00AF2924" w:rsidRDefault="00AF2924" w:rsidP="00AF2924">
            <w:pPr>
              <w:spacing w:after="0" w:line="240" w:lineRule="auto"/>
              <w:rPr>
                <w:rFonts w:ascii="ITC Avant Garde" w:eastAsia="Times New Roman" w:hAnsi="ITC Avant Garde"/>
                <w:color w:val="000000"/>
                <w:sz w:val="18"/>
                <w:szCs w:val="18"/>
              </w:rPr>
            </w:pPr>
            <w:r w:rsidRPr="00AF2924">
              <w:rPr>
                <w:rFonts w:ascii="ITC Avant Garde" w:eastAsia="Times New Roman" w:hAnsi="ITC Avant Garde"/>
                <w:sz w:val="18"/>
                <w:szCs w:val="18"/>
              </w:rPr>
              <w:t>Benito Juárez e Isla Mujeres.</w:t>
            </w:r>
          </w:p>
        </w:tc>
        <w:tc>
          <w:tcPr>
            <w:tcW w:w="1883" w:type="pct"/>
          </w:tcPr>
          <w:p w14:paraId="08910EE6" w14:textId="17275A0C" w:rsidR="00AF2924" w:rsidRPr="00AF2924" w:rsidRDefault="00AF2924" w:rsidP="00AF2924">
            <w:pPr>
              <w:spacing w:after="0" w:line="240" w:lineRule="auto"/>
              <w:jc w:val="center"/>
              <w:rPr>
                <w:rFonts w:ascii="ITC Avant Garde" w:eastAsia="Times New Roman" w:hAnsi="ITC Avant Garde"/>
                <w:sz w:val="18"/>
                <w:szCs w:val="18"/>
              </w:rPr>
            </w:pPr>
            <w:r w:rsidRPr="00FD754D">
              <w:rPr>
                <w:rFonts w:ascii="ITC Avant Garde" w:eastAsia="Times New Roman" w:hAnsi="ITC Avant Garde"/>
                <w:sz w:val="18"/>
                <w:szCs w:val="18"/>
              </w:rPr>
              <w:t>1, 2, 3, 4, 5, 6, 7 y 8</w:t>
            </w:r>
          </w:p>
        </w:tc>
      </w:tr>
    </w:tbl>
    <w:p w14:paraId="4E2AD7A8" w14:textId="77777777" w:rsidR="00AF2924" w:rsidRPr="00AF2924" w:rsidRDefault="00873421" w:rsidP="00AF2924">
      <w:pPr>
        <w:pStyle w:val="estilo30"/>
        <w:spacing w:before="240" w:beforeAutospacing="0" w:after="200" w:afterAutospacing="0"/>
        <w:ind w:left="567" w:right="615"/>
        <w:jc w:val="both"/>
        <w:rPr>
          <w:rFonts w:ascii="ITC Avant Garde" w:eastAsia="Calibri" w:hAnsi="ITC Avant Garde"/>
          <w:bCs/>
          <w:sz w:val="18"/>
          <w:szCs w:val="18"/>
          <w:lang w:eastAsia="en-US"/>
        </w:rPr>
      </w:pPr>
      <w:r w:rsidRPr="00AF2924">
        <w:rPr>
          <w:rFonts w:ascii="ITC Avant Garde" w:eastAsia="Calibri" w:hAnsi="ITC Avant Garde"/>
          <w:bCs/>
          <w:sz w:val="18"/>
          <w:szCs w:val="18"/>
          <w:lang w:eastAsia="en-US"/>
        </w:rPr>
        <w:t>El Concesionario deberá seleccionar los sitios de transmisión, definir patrones de radiación de antenas, potencia radiada aparente, alturas de antenas y distribución de frecuencias asignadas, a efecto de asegurar la cobertura efectiva del servicio en la Cobertura Geográfica señalada en la presente condición.”</w:t>
      </w:r>
    </w:p>
    <w:p w14:paraId="07684C5E" w14:textId="77777777" w:rsidR="00AF2924" w:rsidRPr="00AF2924" w:rsidRDefault="00A767A0" w:rsidP="00AF2924">
      <w:pPr>
        <w:autoSpaceDE w:val="0"/>
        <w:autoSpaceDN w:val="0"/>
        <w:adjustRightInd w:val="0"/>
        <w:spacing w:before="240" w:line="240" w:lineRule="auto"/>
        <w:jc w:val="both"/>
        <w:rPr>
          <w:rFonts w:ascii="ITC Avant Garde" w:hAnsi="ITC Avant Garde"/>
          <w:bCs/>
          <w:u w:val="single"/>
        </w:rPr>
      </w:pPr>
      <w:r w:rsidRPr="00AF2924">
        <w:rPr>
          <w:rFonts w:ascii="ITC Avant Garde" w:hAnsi="ITC Avant Garde"/>
          <w:bCs/>
        </w:rPr>
        <w:t xml:space="preserve">Derivado de lo anterior, </w:t>
      </w:r>
      <w:r w:rsidR="003614EB" w:rsidRPr="00AF2924">
        <w:rPr>
          <w:rFonts w:ascii="ITC Avant Garde" w:hAnsi="ITC Avant Garde"/>
          <w:bCs/>
        </w:rPr>
        <w:t>Comunicaciones Radi</w:t>
      </w:r>
      <w:r w:rsidRPr="00AF2924">
        <w:rPr>
          <w:rFonts w:ascii="ITC Avant Garde" w:hAnsi="ITC Avant Garde"/>
          <w:bCs/>
        </w:rPr>
        <w:t>otelefónicas Peninsulares señaló</w:t>
      </w:r>
      <w:r w:rsidR="003614EB" w:rsidRPr="00AF2924">
        <w:rPr>
          <w:rFonts w:ascii="ITC Avant Garde" w:hAnsi="ITC Avant Garde"/>
          <w:bCs/>
        </w:rPr>
        <w:t xml:space="preserve"> en la Solicitud de Modificación</w:t>
      </w:r>
      <w:r w:rsidR="001360BC" w:rsidRPr="00AF2924">
        <w:rPr>
          <w:rFonts w:ascii="ITC Avant Garde" w:hAnsi="ITC Avant Garde"/>
          <w:bCs/>
        </w:rPr>
        <w:t>, entre otras cosas, lo siguiente:</w:t>
      </w:r>
    </w:p>
    <w:p w14:paraId="724561D6" w14:textId="77777777" w:rsidR="00AF2924" w:rsidRPr="00AF2924" w:rsidRDefault="001360BC"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w:t>
      </w:r>
    </w:p>
    <w:p w14:paraId="7C31FFF7" w14:textId="77777777" w:rsidR="00AF2924" w:rsidRPr="00AF2924" w:rsidRDefault="001360BC"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 xml:space="preserve">Como es del conocimiento de ese Instituto Federal de Telecomunicaciones, el título de concesión con el que venía originalmente operando mi representada, en su Condición 1-2 estipulaba como área de cobertura para </w:t>
      </w:r>
      <w:r w:rsidR="00A767A0" w:rsidRPr="00AF2924">
        <w:rPr>
          <w:rFonts w:ascii="ITC Avant Garde" w:hAnsi="ITC Avant Garde"/>
          <w:bCs/>
          <w:sz w:val="18"/>
          <w:szCs w:val="18"/>
        </w:rPr>
        <w:t>la concesión a las ciudades de ‘</w:t>
      </w:r>
      <w:r w:rsidRPr="00AF2924">
        <w:rPr>
          <w:rFonts w:ascii="ITC Avant Garde" w:hAnsi="ITC Avant Garde"/>
          <w:b/>
          <w:bCs/>
          <w:sz w:val="18"/>
          <w:szCs w:val="18"/>
        </w:rPr>
        <w:t xml:space="preserve">Tuxtla Gutiérrez, Chiapas; Villa hermosa, Tabasco; Mérida, Yucatán, y Cancún, Quintana Roo, pudiendo comunicar </w:t>
      </w:r>
      <w:r w:rsidRPr="00AF2924">
        <w:rPr>
          <w:rFonts w:ascii="ITC Avant Garde" w:hAnsi="ITC Avant Garde"/>
          <w:b/>
          <w:bCs/>
          <w:sz w:val="18"/>
          <w:szCs w:val="18"/>
          <w:u w:val="single"/>
        </w:rPr>
        <w:t>áreas rurales en la zona de influencia económica de dichas ciudades</w:t>
      </w:r>
      <w:r w:rsidR="00A767A0" w:rsidRPr="00AF2924">
        <w:rPr>
          <w:rFonts w:ascii="ITC Avant Garde" w:hAnsi="ITC Avant Garde"/>
          <w:bCs/>
          <w:sz w:val="18"/>
          <w:szCs w:val="18"/>
        </w:rPr>
        <w:t>’</w:t>
      </w:r>
      <w:r w:rsidRPr="00AF2924">
        <w:rPr>
          <w:rFonts w:ascii="ITC Avant Garde" w:hAnsi="ITC Avant Garde"/>
          <w:bCs/>
          <w:sz w:val="18"/>
          <w:szCs w:val="18"/>
        </w:rPr>
        <w:t xml:space="preserve">. Derivado de ello, mi mandante ha venido prestando legítimamente sus servicios en las áreas que se mencionan en la </w:t>
      </w:r>
      <w:r w:rsidRPr="00AF2924">
        <w:rPr>
          <w:rFonts w:ascii="ITC Avant Garde" w:hAnsi="ITC Avant Garde"/>
          <w:b/>
          <w:bCs/>
          <w:sz w:val="18"/>
          <w:szCs w:val="18"/>
        </w:rPr>
        <w:t>Tabla 1</w:t>
      </w:r>
      <w:r w:rsidRPr="00AF2924">
        <w:rPr>
          <w:rFonts w:ascii="ITC Avant Garde" w:hAnsi="ITC Avant Garde"/>
          <w:bCs/>
          <w:sz w:val="18"/>
          <w:szCs w:val="18"/>
        </w:rPr>
        <w:t xml:space="preserve"> (anexo 1 del presente escrito), mismas que podrían quedar sin cobertura, de aplicarse las áreas del nuevo título de concesión</w:t>
      </w:r>
      <w:r w:rsidR="00A767A0" w:rsidRPr="00AF2924">
        <w:rPr>
          <w:rFonts w:ascii="ITC Avant Garde" w:hAnsi="ITC Avant Garde"/>
          <w:bCs/>
          <w:sz w:val="18"/>
          <w:szCs w:val="18"/>
        </w:rPr>
        <w:t xml:space="preserve"> otorgado a mi mandante. Lo anterior, toda vez que en el nuevo título de concesión, en su condición 5 ‘</w:t>
      </w:r>
      <w:r w:rsidRPr="00AF2924">
        <w:rPr>
          <w:rFonts w:ascii="ITC Avant Garde" w:hAnsi="ITC Avant Garde"/>
          <w:b/>
          <w:bCs/>
          <w:sz w:val="18"/>
          <w:szCs w:val="18"/>
        </w:rPr>
        <w:t>Cobertura de la Concesi</w:t>
      </w:r>
      <w:r w:rsidR="00A767A0" w:rsidRPr="00AF2924">
        <w:rPr>
          <w:rFonts w:ascii="ITC Avant Garde" w:hAnsi="ITC Avant Garde"/>
          <w:b/>
          <w:bCs/>
          <w:sz w:val="18"/>
          <w:szCs w:val="18"/>
        </w:rPr>
        <w:t>ón del espectro Radioeléctrico’,</w:t>
      </w:r>
      <w:r w:rsidRPr="00AF2924">
        <w:rPr>
          <w:rFonts w:ascii="ITC Avant Garde" w:hAnsi="ITC Avant Garde"/>
          <w:bCs/>
          <w:sz w:val="18"/>
          <w:szCs w:val="18"/>
        </w:rPr>
        <w:t xml:space="preserve"> se acotaron las áreas de cobertura originalmente otorgadas a los municipios de Tuxtla Gutiérrez y Chiapa de Corzo, en Chiapas; Centro y Nacajuca, en Tabasco; Mérida, Kanasín, Umán, Ucú y Conkal, en Yucatán, y Benito Juárez e </w:t>
      </w:r>
      <w:r w:rsidRPr="00AF2924">
        <w:rPr>
          <w:rFonts w:ascii="ITC Avant Garde" w:hAnsi="ITC Avant Garde"/>
          <w:bCs/>
          <w:sz w:val="18"/>
          <w:szCs w:val="18"/>
        </w:rPr>
        <w:lastRenderedPageBreak/>
        <w:t>Isla Mujeres en Quintana Roo. Esto sin tomar en cuenta que mi representada, al haber ejercido los derechos concesionados conforme a la literalidad de su título anterior, legalmente llevó a cabo la construcción, instalación, mantenimiento, operación y explotación del servicio, en una cantidad con</w:t>
      </w:r>
      <w:r w:rsidR="009A0345" w:rsidRPr="00AF2924">
        <w:rPr>
          <w:rFonts w:ascii="ITC Avant Garde" w:hAnsi="ITC Avant Garde"/>
          <w:bCs/>
          <w:sz w:val="18"/>
          <w:szCs w:val="18"/>
        </w:rPr>
        <w:t>siderable de los municipios que integran las mencionadas áreas rurales en la zona de influencia económica de dichas ciudades concesionadas (y no sólo en algunos de sus municipios conurbados), como se mencionó anteriormente. Más allá del hecho de que los pagos por el usos y aprovechamiento del espectro utilizado se pagó sin ningún problema mientras duró la concesión, la interpretación de los que deben comprender las áreas rurales de la zona de influencia económica no es solo de una interpretación subjetiva. Solo como un ejemplo, de la Enciclopedia de los Municipios y delegaciones de México, cuya primera edición impresa fue publicada en 1986, por el Centro Nacional de Desarrollo Municipal (CEDEMUN) ahora Instituto Nacional para el Federalismo y el Desarrollo Municipal (INAFED), en coordinación de los Estados y Municipios (</w:t>
      </w:r>
      <w:r w:rsidR="009A0345" w:rsidRPr="00AF2924">
        <w:rPr>
          <w:rFonts w:ascii="ITC Avant Garde" w:hAnsi="ITC Avant Garde"/>
          <w:b/>
          <w:bCs/>
          <w:sz w:val="18"/>
          <w:szCs w:val="18"/>
        </w:rPr>
        <w:t>anexo 2</w:t>
      </w:r>
      <w:r w:rsidR="009A0345" w:rsidRPr="00AF2924">
        <w:rPr>
          <w:rFonts w:ascii="ITC Avant Garde" w:hAnsi="ITC Avant Garde"/>
          <w:bCs/>
          <w:sz w:val="18"/>
          <w:szCs w:val="18"/>
        </w:rPr>
        <w:t>), lo que ha determinado claramente dichos conceptos. Por citar algunos ejemplos, en dicho estudio, por lo que respecta a Quintana Roo, se engloban claramente en la denominada Región Norte, por sus actividades preponderantemente turísticas, que comprende las entidades de Cancún, Cozumel, Isla Mujeres, Playa del Carmen y el corredor turístico Cancún-Tulúm (</w:t>
      </w:r>
      <w:r w:rsidR="009A0345" w:rsidRPr="00AF2924">
        <w:rPr>
          <w:rFonts w:ascii="ITC Avant Garde" w:hAnsi="ITC Avant Garde"/>
          <w:b/>
          <w:bCs/>
          <w:sz w:val="18"/>
          <w:szCs w:val="18"/>
        </w:rPr>
        <w:t>anexo 3</w:t>
      </w:r>
      <w:r w:rsidR="009A0345" w:rsidRPr="00AF2924">
        <w:rPr>
          <w:rFonts w:ascii="ITC Avant Garde" w:hAnsi="ITC Avant Garde"/>
          <w:bCs/>
          <w:sz w:val="18"/>
          <w:szCs w:val="18"/>
        </w:rPr>
        <w:t>). Destacando también, ahí mismo, los principales puertos del estado como Puerto Morelos, que posteriormente, en el mes de octubre de 2015, se creo a manera de municipio Puerto Morelos, a iniciativa del gobierno aprobada en el Congreso Estatal, dividiendo la mitad del territorio de Benito Juárez, cuya cabecera está en Cancún, misma entidad que de igual manara quedó dividida (</w:t>
      </w:r>
      <w:r w:rsidR="009A0345" w:rsidRPr="00AF2924">
        <w:rPr>
          <w:rFonts w:ascii="ITC Avant Garde" w:hAnsi="ITC Avant Garde"/>
          <w:b/>
          <w:bCs/>
          <w:sz w:val="18"/>
          <w:szCs w:val="18"/>
        </w:rPr>
        <w:t>anexo 4</w:t>
      </w:r>
      <w:r w:rsidR="009A0345" w:rsidRPr="00AF2924">
        <w:rPr>
          <w:rFonts w:ascii="ITC Avant Garde" w:hAnsi="ITC Avant Garde"/>
          <w:bCs/>
          <w:sz w:val="18"/>
          <w:szCs w:val="18"/>
        </w:rPr>
        <w:t xml:space="preserve">). </w:t>
      </w:r>
      <w:r w:rsidR="004311D6" w:rsidRPr="00AF2924">
        <w:rPr>
          <w:rFonts w:ascii="ITC Avant Garde" w:hAnsi="ITC Avant Garde"/>
          <w:bCs/>
          <w:sz w:val="18"/>
          <w:szCs w:val="18"/>
        </w:rPr>
        <w:t>De esta manera, al otorgársele a CRP como parte de su cobertura, tan solo</w:t>
      </w:r>
      <w:r w:rsidR="00AB10DB" w:rsidRPr="00AF2924">
        <w:rPr>
          <w:rFonts w:ascii="ITC Avant Garde" w:hAnsi="ITC Avant Garde"/>
          <w:bCs/>
          <w:sz w:val="18"/>
          <w:szCs w:val="18"/>
        </w:rPr>
        <w:t xml:space="preserve"> el municipio de ‘</w:t>
      </w:r>
      <w:r w:rsidR="004311D6" w:rsidRPr="00AF2924">
        <w:rPr>
          <w:rFonts w:ascii="ITC Avant Garde" w:hAnsi="ITC Avant Garde"/>
          <w:bCs/>
          <w:sz w:val="18"/>
          <w:szCs w:val="18"/>
        </w:rPr>
        <w:t xml:space="preserve">Benito Juárez e Isla </w:t>
      </w:r>
      <w:r w:rsidR="00AB10DB" w:rsidRPr="00AF2924">
        <w:rPr>
          <w:rFonts w:ascii="ITC Avant Garde" w:hAnsi="ITC Avant Garde"/>
          <w:bCs/>
          <w:sz w:val="18"/>
          <w:szCs w:val="18"/>
        </w:rPr>
        <w:t>Mujeres en Quintana Roo’</w:t>
      </w:r>
      <w:r w:rsidR="004311D6" w:rsidRPr="00AF2924">
        <w:rPr>
          <w:rFonts w:ascii="ITC Avant Garde" w:hAnsi="ITC Avant Garde"/>
          <w:bCs/>
          <w:sz w:val="18"/>
          <w:szCs w:val="18"/>
        </w:rPr>
        <w:t xml:space="preserve">, dejando fuera el municipio de </w:t>
      </w:r>
      <w:r w:rsidR="004311D6" w:rsidRPr="00AF2924">
        <w:rPr>
          <w:rFonts w:ascii="ITC Avant Garde" w:hAnsi="ITC Avant Garde"/>
          <w:b/>
          <w:bCs/>
          <w:sz w:val="18"/>
          <w:szCs w:val="18"/>
        </w:rPr>
        <w:t>Puerto Morelos</w:t>
      </w:r>
      <w:r w:rsidR="004311D6" w:rsidRPr="00AF2924">
        <w:rPr>
          <w:rFonts w:ascii="ITC Avant Garde" w:hAnsi="ITC Avant Garde"/>
          <w:bCs/>
          <w:sz w:val="18"/>
          <w:szCs w:val="18"/>
        </w:rPr>
        <w:t xml:space="preserve">, se está partiendo a la mitad la cobertura originalmente otorgada (y de manera expresa) para Cancún, de igual manera, al dejar fuera las áreas de influencia econíomica, </w:t>
      </w:r>
      <w:r w:rsidR="00480BF6" w:rsidRPr="00AF2924">
        <w:rPr>
          <w:rFonts w:ascii="ITC Avant Garde" w:hAnsi="ITC Avant Garde"/>
          <w:bCs/>
          <w:sz w:val="18"/>
          <w:szCs w:val="18"/>
        </w:rPr>
        <w:t xml:space="preserve">como es el caso de </w:t>
      </w:r>
      <w:r w:rsidR="00480BF6" w:rsidRPr="00AF2924">
        <w:rPr>
          <w:rFonts w:ascii="ITC Avant Garde" w:hAnsi="ITC Avant Garde"/>
          <w:b/>
          <w:bCs/>
          <w:sz w:val="18"/>
          <w:szCs w:val="18"/>
        </w:rPr>
        <w:t>Solidaridad (Playa del Cármen), Cozumel y Tulúm,</w:t>
      </w:r>
      <w:r w:rsidR="00480BF6" w:rsidRPr="00AF2924">
        <w:rPr>
          <w:rFonts w:ascii="ITC Avant Garde" w:hAnsi="ITC Avant Garde"/>
          <w:bCs/>
          <w:sz w:val="18"/>
          <w:szCs w:val="18"/>
        </w:rPr>
        <w:t xml:space="preserve"> se afecta la operación con que a la fecha contaba mi mandante. De igual manera, solo para continuar con la ejemplificación, la ya antes citada Enciclopedia de los Municipios y delegaciones de México, engloba en dentro de una sola región denominada de Influencia Metropolitana, a la Ciudad de Mérida, y adicionalmente a los municipios otorgados en el título de concesión, otros municipios que se dejaron fuera y que ya comprendían parte de la cobertura de operación de CRP (</w:t>
      </w:r>
      <w:r w:rsidR="00480BF6" w:rsidRPr="00AF2924">
        <w:rPr>
          <w:rFonts w:ascii="ITC Avant Garde" w:hAnsi="ITC Avant Garde"/>
          <w:b/>
          <w:bCs/>
          <w:sz w:val="18"/>
          <w:szCs w:val="18"/>
        </w:rPr>
        <w:t>anexo 5</w:t>
      </w:r>
      <w:r w:rsidR="00480BF6" w:rsidRPr="00AF2924">
        <w:rPr>
          <w:rFonts w:ascii="ITC Avant Garde" w:hAnsi="ITC Avant Garde"/>
          <w:bCs/>
          <w:sz w:val="18"/>
          <w:szCs w:val="18"/>
        </w:rPr>
        <w:t xml:space="preserve">), como es el caso de </w:t>
      </w:r>
      <w:r w:rsidR="00480BF6" w:rsidRPr="00AF2924">
        <w:rPr>
          <w:rFonts w:ascii="ITC Avant Garde" w:hAnsi="ITC Avant Garde"/>
          <w:b/>
          <w:bCs/>
          <w:sz w:val="18"/>
          <w:szCs w:val="18"/>
        </w:rPr>
        <w:t>Progreso</w:t>
      </w:r>
      <w:r w:rsidR="00480BF6" w:rsidRPr="00AF2924">
        <w:rPr>
          <w:rFonts w:ascii="ITC Avant Garde" w:hAnsi="ITC Avant Garde"/>
          <w:bCs/>
          <w:sz w:val="18"/>
          <w:szCs w:val="18"/>
        </w:rPr>
        <w:t>, población que evidentemente forma parte de la vida cotidiana de los habitantes de Mérida. Como es lógico, muchas de las poblaciones que fueron originalmente de carácter rural, han tenido un crecimiento importante debido al desarrollo económico de las mismas, pero esto también es gracias a las comunicaciones y al desarrollo de la infraestructura, como es el caso del servicio que brinda mi representada.</w:t>
      </w:r>
    </w:p>
    <w:p w14:paraId="13E50C82" w14:textId="77777777" w:rsidR="00AF2924" w:rsidRPr="00AF2924" w:rsidRDefault="00480BF6"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 xml:space="preserve">Por tal motivo consideramos que el título entregado a mi mandante, significa </w:t>
      </w:r>
      <w:r w:rsidRPr="00AF2924">
        <w:rPr>
          <w:rFonts w:ascii="ITC Avant Garde" w:hAnsi="ITC Avant Garde"/>
          <w:b/>
          <w:bCs/>
          <w:sz w:val="18"/>
          <w:szCs w:val="18"/>
        </w:rPr>
        <w:t>una importante reducción de las áreas de cobertura originalmente asignadas</w:t>
      </w:r>
      <w:r w:rsidRPr="00AF2924">
        <w:rPr>
          <w:rFonts w:ascii="ITC Avant Garde" w:hAnsi="ITC Avant Garde"/>
          <w:bCs/>
          <w:sz w:val="18"/>
          <w:szCs w:val="18"/>
        </w:rPr>
        <w:t>, lo que de no corregirse implicaría que un servicio de interés público, de importancia relevante en diferentes áreas estratégicas de la economía (como lo es la seguridad y el reparto), dejara de ofrecer sus servicios en detrimento del concesionario y de los propios usuarios cuyo interés debe ser garantizado por el Estado.</w:t>
      </w:r>
    </w:p>
    <w:p w14:paraId="6B83F45C" w14:textId="77777777" w:rsidR="00AF2924" w:rsidRPr="00AF2924" w:rsidRDefault="00480BF6"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Por último, es de llamar la atención de mi representada, que en el caso de otros prestadores de frecuencias y servicios idénticos a los que tenía concesionado CRP en su título original, cuya cobertura era sobre rutas carreteras, recibieron un mejor trato en ese respecto, siendo que a estos en los proyectos de sus títulos propuestos, se les concedía la cobertura total de las Ciudades que tocaban las redes carreteras por las que pasaba su primera cobertura, y no solo determinados</w:t>
      </w:r>
      <w:r w:rsidR="00A054C0" w:rsidRPr="00AF2924">
        <w:rPr>
          <w:rFonts w:ascii="ITC Avant Garde" w:hAnsi="ITC Avant Garde"/>
          <w:bCs/>
          <w:sz w:val="18"/>
          <w:szCs w:val="18"/>
        </w:rPr>
        <w:t xml:space="preserve"> municipio</w:t>
      </w:r>
      <w:r w:rsidR="00AB10DB" w:rsidRPr="00AF2924">
        <w:rPr>
          <w:rFonts w:ascii="ITC Avant Garde" w:hAnsi="ITC Avant Garde"/>
          <w:bCs/>
          <w:sz w:val="18"/>
          <w:szCs w:val="18"/>
        </w:rPr>
        <w:t>s</w:t>
      </w:r>
      <w:r w:rsidR="00A054C0" w:rsidRPr="00AF2924">
        <w:rPr>
          <w:rFonts w:ascii="ITC Avant Garde" w:hAnsi="ITC Avant Garde"/>
          <w:bCs/>
          <w:sz w:val="18"/>
          <w:szCs w:val="18"/>
        </w:rPr>
        <w:t>. Por lo anterior, y en la confianza de que dicha circunstancia y las situaciones antes expuestas se debieron más a posibles errores al momento de hacer los estudios técnicos para uso de espectro, producto quizás del tiempo excesivo que transcurrió desde que se solicitó la prórroga de la concesión (3 de marzo de 2003) y ésta es concedida, estando ante circunstancias diferentes, solicito nuevamente que se pueda favorecer a CRP en su petición, misma que hace con un ánimo de actuar en coordinación con esa Autoridad, a fin de favorecer el servicio prestado.</w:t>
      </w:r>
    </w:p>
    <w:p w14:paraId="4C6967D8" w14:textId="77777777" w:rsidR="00AF2924" w:rsidRPr="00AF2924" w:rsidRDefault="00AB10DB" w:rsidP="00AF2924">
      <w:pPr>
        <w:autoSpaceDE w:val="0"/>
        <w:autoSpaceDN w:val="0"/>
        <w:adjustRightInd w:val="0"/>
        <w:spacing w:before="240" w:line="240" w:lineRule="auto"/>
        <w:ind w:left="567" w:right="615"/>
        <w:jc w:val="center"/>
        <w:rPr>
          <w:rFonts w:ascii="ITC Avant Garde" w:hAnsi="ITC Avant Garde"/>
          <w:b/>
          <w:bCs/>
          <w:sz w:val="18"/>
          <w:szCs w:val="18"/>
        </w:rPr>
      </w:pPr>
      <w:r w:rsidRPr="00AF2924">
        <w:rPr>
          <w:rFonts w:ascii="ITC Avant Garde" w:hAnsi="ITC Avant Garde"/>
          <w:b/>
          <w:bCs/>
          <w:sz w:val="18"/>
          <w:szCs w:val="18"/>
        </w:rPr>
        <w:lastRenderedPageBreak/>
        <w:t>PETITORIOS</w:t>
      </w:r>
    </w:p>
    <w:p w14:paraId="5A3578C6" w14:textId="77777777" w:rsidR="00AF2924" w:rsidRPr="00AF2924" w:rsidRDefault="00AB10DB"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
          <w:bCs/>
          <w:sz w:val="18"/>
          <w:szCs w:val="18"/>
        </w:rPr>
        <w:t xml:space="preserve">PRIMERO.- </w:t>
      </w:r>
      <w:r w:rsidRPr="00AF2924">
        <w:rPr>
          <w:rFonts w:ascii="ITC Avant Garde" w:hAnsi="ITC Avant Garde"/>
          <w:bCs/>
          <w:sz w:val="18"/>
          <w:szCs w:val="18"/>
        </w:rPr>
        <w:t>Tenerme por presentado con este escrito, solicitando nuevamente a nombre de mi mandante que se busque favorecer a CRP en su petición de otorgar las coberturas de frecuencia originales en la medida de lo posible.</w:t>
      </w:r>
    </w:p>
    <w:p w14:paraId="21DC357D" w14:textId="77777777" w:rsidR="00AF2924" w:rsidRPr="00AF2924" w:rsidRDefault="00AB10DB" w:rsidP="00AF2924">
      <w:pPr>
        <w:autoSpaceDE w:val="0"/>
        <w:autoSpaceDN w:val="0"/>
        <w:adjustRightInd w:val="0"/>
        <w:spacing w:before="240" w:line="240" w:lineRule="auto"/>
        <w:ind w:left="567" w:right="615"/>
        <w:jc w:val="both"/>
        <w:rPr>
          <w:rFonts w:ascii="ITC Avant Garde" w:hAnsi="ITC Avant Garde"/>
          <w:bCs/>
          <w:sz w:val="18"/>
          <w:szCs w:val="18"/>
          <w:u w:val="single"/>
        </w:rPr>
      </w:pPr>
      <w:r w:rsidRPr="00AF2924">
        <w:rPr>
          <w:rFonts w:ascii="ITC Avant Garde" w:hAnsi="ITC Avant Garde"/>
          <w:b/>
          <w:bCs/>
          <w:sz w:val="18"/>
          <w:szCs w:val="18"/>
        </w:rPr>
        <w:t xml:space="preserve">SEGUNDO.- </w:t>
      </w:r>
      <w:r w:rsidRPr="00AF2924">
        <w:rPr>
          <w:rFonts w:ascii="ITC Avant Garde" w:hAnsi="ITC Avant Garde"/>
          <w:bCs/>
          <w:sz w:val="18"/>
          <w:szCs w:val="18"/>
        </w:rPr>
        <w:t xml:space="preserve">Que en la medida de lo posible, ese Instituto Federal de Telecomunicaciones reconsidere los términos de las áreas de cobertura otorgados en el título de concesión prorrogado, para que le sea respetada a mi representada el área de cobertura en los mismos términos que en su concesión original. Es decir, a las ‘ciudades de Tuxtla Gutiérrez, Chiapas; Villa hermosa, Tabasco; Mérida, Yucatán, y Cancún, Quintana Roo, pudiendo comunicar áreas rurales en la zona de influencia económica de dichas ciudades’, </w:t>
      </w:r>
      <w:r w:rsidRPr="00AF2924">
        <w:rPr>
          <w:rFonts w:ascii="ITC Avant Garde" w:hAnsi="ITC Avant Garde"/>
          <w:bCs/>
          <w:sz w:val="18"/>
          <w:szCs w:val="18"/>
          <w:u w:val="single"/>
        </w:rPr>
        <w:t>y respetando las coberturas ya atendidas.</w:t>
      </w:r>
    </w:p>
    <w:p w14:paraId="581079CD" w14:textId="77777777" w:rsidR="00AF2924" w:rsidRPr="00AF2924" w:rsidRDefault="00A054C0"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w:t>
      </w:r>
      <w:r w:rsidR="008A65F2" w:rsidRPr="00AF2924">
        <w:rPr>
          <w:rFonts w:ascii="ITC Avant Garde" w:hAnsi="ITC Avant Garde"/>
          <w:bCs/>
          <w:sz w:val="18"/>
          <w:szCs w:val="18"/>
        </w:rPr>
        <w:t xml:space="preserve"> </w:t>
      </w:r>
      <w:r w:rsidR="00AB10DB" w:rsidRPr="00AF2924">
        <w:rPr>
          <w:rFonts w:ascii="ITC Avant Garde" w:hAnsi="ITC Avant Garde"/>
          <w:bCs/>
          <w:sz w:val="18"/>
          <w:szCs w:val="18"/>
        </w:rPr>
        <w:t>[Sic]</w:t>
      </w:r>
    </w:p>
    <w:p w14:paraId="0AB9AD40" w14:textId="77777777" w:rsidR="00AF2924" w:rsidRPr="00AF2924" w:rsidRDefault="008A65F2"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Cs/>
        </w:rPr>
        <w:t>Al respecto,</w:t>
      </w:r>
      <w:r w:rsidR="00CE60C3" w:rsidRPr="00AF2924">
        <w:rPr>
          <w:rFonts w:ascii="ITC Avant Garde" w:hAnsi="ITC Avant Garde"/>
          <w:bCs/>
        </w:rPr>
        <w:t xml:space="preserve"> tomando en cuenta lo establecido por la Condición 12 “Modificaciones Técnicas” de la Concesión de Espectro Radioeléctrico, señalada en el Considerando Segundo de la presente Resolución, y </w:t>
      </w:r>
      <w:r w:rsidR="00F17AA8" w:rsidRPr="00AF2924">
        <w:rPr>
          <w:rFonts w:ascii="ITC Avant Garde" w:hAnsi="ITC Avant Garde"/>
          <w:bCs/>
        </w:rPr>
        <w:t>a fin</w:t>
      </w:r>
      <w:r w:rsidRPr="00AF2924">
        <w:rPr>
          <w:rFonts w:ascii="ITC Avant Garde" w:hAnsi="ITC Avant Garde"/>
          <w:bCs/>
        </w:rPr>
        <w:t xml:space="preserve"> de contar con mayores elementos </w:t>
      </w:r>
      <w:r w:rsidR="00F17AA8" w:rsidRPr="00AF2924">
        <w:rPr>
          <w:rFonts w:ascii="ITC Avant Garde" w:hAnsi="ITC Avant Garde"/>
          <w:bCs/>
        </w:rPr>
        <w:t>para el</w:t>
      </w:r>
      <w:r w:rsidRPr="00AF2924">
        <w:rPr>
          <w:rFonts w:ascii="ITC Avant Garde" w:hAnsi="ITC Avant Garde"/>
          <w:bCs/>
        </w:rPr>
        <w:t xml:space="preserve"> análisis de la Solicitud de Modificación, c</w:t>
      </w:r>
      <w:r w:rsidR="00FC45E8" w:rsidRPr="00AF2924">
        <w:rPr>
          <w:rFonts w:ascii="ITC Avant Garde" w:hAnsi="ITC Avant Garde"/>
          <w:bCs/>
        </w:rPr>
        <w:t>on oficio IFT/223/UCS/DG-CTEL/1361/2016 de fecha 16 de junio de 2016, la Unidad de Concesiones y Servicios, a través de la Dirección General de Concesiones de Telecomunicaciones, remitió</w:t>
      </w:r>
      <w:r w:rsidR="00F17AA8" w:rsidRPr="00AF2924">
        <w:rPr>
          <w:rFonts w:ascii="ITC Avant Garde" w:hAnsi="ITC Avant Garde"/>
          <w:bCs/>
        </w:rPr>
        <w:t xml:space="preserve"> </w:t>
      </w:r>
      <w:r w:rsidR="00FC45E8" w:rsidRPr="00AF2924">
        <w:rPr>
          <w:rFonts w:ascii="ITC Avant Garde" w:hAnsi="ITC Avant Garde"/>
          <w:bCs/>
        </w:rPr>
        <w:t>a la Unidad de Espectro Radioeléctrico, entre otros documentos, la Solicitud de Modificación</w:t>
      </w:r>
      <w:r w:rsidR="00603089" w:rsidRPr="00AF2924">
        <w:rPr>
          <w:rFonts w:ascii="ITC Avant Garde" w:hAnsi="ITC Avant Garde"/>
          <w:bCs/>
        </w:rPr>
        <w:t>.</w:t>
      </w:r>
      <w:r w:rsidR="00FC45E8" w:rsidRPr="00AF2924">
        <w:rPr>
          <w:rFonts w:ascii="ITC Avant Garde" w:hAnsi="ITC Avant Garde"/>
          <w:bCs/>
        </w:rPr>
        <w:t xml:space="preserve"> </w:t>
      </w:r>
    </w:p>
    <w:p w14:paraId="54F325EA" w14:textId="77777777" w:rsidR="00AF2924" w:rsidRPr="00AF2924" w:rsidRDefault="00A25B54" w:rsidP="00AF2924">
      <w:pPr>
        <w:autoSpaceDE w:val="0"/>
        <w:autoSpaceDN w:val="0"/>
        <w:adjustRightInd w:val="0"/>
        <w:spacing w:before="240" w:line="240" w:lineRule="auto"/>
        <w:jc w:val="both"/>
        <w:rPr>
          <w:rFonts w:ascii="ITC Avant Garde" w:hAnsi="ITC Avant Garde"/>
          <w:bCs/>
          <w:color w:val="000000"/>
        </w:rPr>
      </w:pPr>
      <w:r w:rsidRPr="00AF2924">
        <w:rPr>
          <w:rFonts w:ascii="ITC Avant Garde" w:hAnsi="ITC Avant Garde"/>
          <w:bCs/>
          <w:color w:val="000000"/>
          <w:lang w:eastAsia="es-MX"/>
        </w:rPr>
        <w:t xml:space="preserve">En </w:t>
      </w:r>
      <w:r w:rsidR="00603089" w:rsidRPr="00AF2924">
        <w:rPr>
          <w:rFonts w:ascii="ITC Avant Garde" w:hAnsi="ITC Avant Garde"/>
          <w:bCs/>
          <w:color w:val="000000"/>
          <w:lang w:eastAsia="es-MX"/>
        </w:rPr>
        <w:t xml:space="preserve">atención al oficio señalado en el párrafo </w:t>
      </w:r>
      <w:r w:rsidRPr="00AF2924">
        <w:rPr>
          <w:rFonts w:ascii="ITC Avant Garde" w:hAnsi="ITC Avant Garde"/>
          <w:bCs/>
          <w:color w:val="000000"/>
          <w:lang w:eastAsia="es-MX"/>
        </w:rPr>
        <w:t xml:space="preserve">anterior, la Dirección General de </w:t>
      </w:r>
      <w:r w:rsidR="00603089" w:rsidRPr="00AF2924">
        <w:rPr>
          <w:rFonts w:ascii="ITC Avant Garde" w:hAnsi="ITC Avant Garde"/>
          <w:bCs/>
          <w:color w:val="000000"/>
          <w:lang w:eastAsia="es-MX"/>
        </w:rPr>
        <w:t>Ingeniería del Espectro y Estudios Técnicos</w:t>
      </w:r>
      <w:r w:rsidRPr="00AF2924">
        <w:rPr>
          <w:rFonts w:ascii="ITC Avant Garde" w:hAnsi="ITC Avant Garde"/>
          <w:bCs/>
          <w:color w:val="000000"/>
          <w:lang w:eastAsia="es-MX"/>
        </w:rPr>
        <w:t>, adscrita a la Unidad de Espectro Radioeléctrico, remitió el oficio IFT/222/UER/DG-</w:t>
      </w:r>
      <w:r w:rsidR="0099192C" w:rsidRPr="00AF2924">
        <w:rPr>
          <w:rFonts w:ascii="ITC Avant Garde" w:hAnsi="ITC Avant Garde"/>
          <w:bCs/>
          <w:color w:val="000000"/>
          <w:lang w:eastAsia="es-MX"/>
        </w:rPr>
        <w:t>IEET</w:t>
      </w:r>
      <w:r w:rsidRPr="00AF2924">
        <w:rPr>
          <w:rFonts w:ascii="ITC Avant Garde" w:hAnsi="ITC Avant Garde"/>
          <w:bCs/>
          <w:color w:val="000000"/>
          <w:lang w:eastAsia="es-MX"/>
        </w:rPr>
        <w:t>/0</w:t>
      </w:r>
      <w:r w:rsidR="0099192C" w:rsidRPr="00AF2924">
        <w:rPr>
          <w:rFonts w:ascii="ITC Avant Garde" w:hAnsi="ITC Avant Garde"/>
          <w:bCs/>
          <w:color w:val="000000"/>
          <w:lang w:eastAsia="es-MX"/>
        </w:rPr>
        <w:t>153</w:t>
      </w:r>
      <w:r w:rsidRPr="00AF2924">
        <w:rPr>
          <w:rFonts w:ascii="ITC Avant Garde" w:hAnsi="ITC Avant Garde"/>
          <w:bCs/>
          <w:color w:val="000000"/>
          <w:lang w:eastAsia="es-MX"/>
        </w:rPr>
        <w:t>/201</w:t>
      </w:r>
      <w:r w:rsidR="0099192C" w:rsidRPr="00AF2924">
        <w:rPr>
          <w:rFonts w:ascii="ITC Avant Garde" w:hAnsi="ITC Avant Garde"/>
          <w:bCs/>
          <w:color w:val="000000"/>
          <w:lang w:eastAsia="es-MX"/>
        </w:rPr>
        <w:t>7</w:t>
      </w:r>
      <w:r w:rsidRPr="00AF2924">
        <w:rPr>
          <w:rFonts w:ascii="ITC Avant Garde" w:hAnsi="ITC Avant Garde"/>
          <w:bCs/>
          <w:color w:val="000000"/>
          <w:lang w:eastAsia="es-MX"/>
        </w:rPr>
        <w:t xml:space="preserve"> de fecha 1</w:t>
      </w:r>
      <w:r w:rsidR="0099192C" w:rsidRPr="00AF2924">
        <w:rPr>
          <w:rFonts w:ascii="ITC Avant Garde" w:hAnsi="ITC Avant Garde"/>
          <w:bCs/>
          <w:color w:val="000000"/>
          <w:lang w:eastAsia="es-MX"/>
        </w:rPr>
        <w:t>3</w:t>
      </w:r>
      <w:r w:rsidRPr="00AF2924">
        <w:rPr>
          <w:rFonts w:ascii="ITC Avant Garde" w:hAnsi="ITC Avant Garde"/>
          <w:bCs/>
          <w:color w:val="000000"/>
          <w:lang w:eastAsia="es-MX"/>
        </w:rPr>
        <w:t xml:space="preserve"> de </w:t>
      </w:r>
      <w:r w:rsidR="0099192C" w:rsidRPr="00AF2924">
        <w:rPr>
          <w:rFonts w:ascii="ITC Avant Garde" w:hAnsi="ITC Avant Garde"/>
          <w:bCs/>
          <w:color w:val="000000"/>
          <w:lang w:eastAsia="es-MX"/>
        </w:rPr>
        <w:t xml:space="preserve">febrero </w:t>
      </w:r>
      <w:r w:rsidRPr="00AF2924">
        <w:rPr>
          <w:rFonts w:ascii="ITC Avant Garde" w:hAnsi="ITC Avant Garde"/>
          <w:bCs/>
          <w:color w:val="000000"/>
          <w:lang w:eastAsia="es-MX"/>
        </w:rPr>
        <w:t>de 201</w:t>
      </w:r>
      <w:r w:rsidR="0099192C" w:rsidRPr="00AF2924">
        <w:rPr>
          <w:rFonts w:ascii="ITC Avant Garde" w:hAnsi="ITC Avant Garde"/>
          <w:bCs/>
          <w:color w:val="000000"/>
          <w:lang w:eastAsia="es-MX"/>
        </w:rPr>
        <w:t>7</w:t>
      </w:r>
      <w:r w:rsidRPr="00AF2924">
        <w:rPr>
          <w:rFonts w:ascii="ITC Avant Garde" w:hAnsi="ITC Avant Garde"/>
          <w:bCs/>
          <w:color w:val="000000"/>
          <w:lang w:eastAsia="es-MX"/>
        </w:rPr>
        <w:t xml:space="preserve">, </w:t>
      </w:r>
      <w:r w:rsidRPr="00AF2924">
        <w:rPr>
          <w:rFonts w:ascii="ITC Avant Garde" w:hAnsi="ITC Avant Garde" w:cs="Arial"/>
          <w:bCs/>
          <w:color w:val="000000"/>
          <w:shd w:val="clear" w:color="auto" w:fill="FFFFFF"/>
        </w:rPr>
        <w:t>en el que manifestó, entre otros aspectos, lo siguiente:</w:t>
      </w:r>
    </w:p>
    <w:p w14:paraId="68DAE1E1" w14:textId="77777777" w:rsidR="00AF2924" w:rsidRPr="00AF2924" w:rsidRDefault="00C65C97" w:rsidP="00AF2924">
      <w:pPr>
        <w:autoSpaceDE w:val="0"/>
        <w:autoSpaceDN w:val="0"/>
        <w:adjustRightInd w:val="0"/>
        <w:spacing w:before="240" w:line="240" w:lineRule="auto"/>
        <w:ind w:left="851" w:right="612" w:hanging="284"/>
        <w:jc w:val="both"/>
        <w:rPr>
          <w:rFonts w:ascii="ITC Avant Garde" w:hAnsi="ITC Avant Garde"/>
          <w:bCs/>
          <w:sz w:val="18"/>
        </w:rPr>
      </w:pPr>
      <w:r w:rsidRPr="00AF2924">
        <w:rPr>
          <w:rFonts w:ascii="ITC Avant Garde" w:hAnsi="ITC Avant Garde"/>
          <w:bCs/>
          <w:sz w:val="18"/>
        </w:rPr>
        <w:t>“</w:t>
      </w:r>
      <w:r w:rsidR="002259D2" w:rsidRPr="00AF2924">
        <w:rPr>
          <w:rFonts w:ascii="ITC Avant Garde" w:hAnsi="ITC Avant Garde"/>
          <w:bCs/>
          <w:sz w:val="18"/>
        </w:rPr>
        <w:t>[…]</w:t>
      </w:r>
    </w:p>
    <w:p w14:paraId="352E5484" w14:textId="77777777" w:rsidR="00AF2924" w:rsidRPr="00AF2924" w:rsidRDefault="00C65C97" w:rsidP="00AF2924">
      <w:pPr>
        <w:autoSpaceDE w:val="0"/>
        <w:autoSpaceDN w:val="0"/>
        <w:adjustRightInd w:val="0"/>
        <w:spacing w:before="240" w:line="240" w:lineRule="auto"/>
        <w:ind w:left="851" w:right="612" w:hanging="284"/>
        <w:jc w:val="both"/>
        <w:rPr>
          <w:rFonts w:ascii="ITC Avant Garde" w:hAnsi="ITC Avant Garde"/>
          <w:b/>
          <w:bCs/>
          <w:sz w:val="18"/>
        </w:rPr>
      </w:pPr>
      <w:r w:rsidRPr="00AF2924">
        <w:rPr>
          <w:rFonts w:ascii="ITC Avant Garde" w:hAnsi="ITC Avant Garde"/>
          <w:b/>
          <w:bCs/>
          <w:sz w:val="18"/>
        </w:rPr>
        <w:t>I.</w:t>
      </w:r>
      <w:r w:rsidRPr="00AF2924">
        <w:rPr>
          <w:rFonts w:ascii="ITC Avant Garde" w:hAnsi="ITC Avant Garde"/>
          <w:b/>
          <w:bCs/>
          <w:sz w:val="18"/>
        </w:rPr>
        <w:tab/>
        <w:t>Cobertura del Título de Concesión (1992)</w:t>
      </w:r>
    </w:p>
    <w:p w14:paraId="6FABAA47" w14:textId="77777777" w:rsidR="00AF2924" w:rsidRPr="00AF2924" w:rsidRDefault="00C65C97"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El 15 de junio de 1992, la Secretaría de </w:t>
      </w:r>
      <w:r w:rsidR="0078016E" w:rsidRPr="00AF2924">
        <w:rPr>
          <w:rFonts w:ascii="ITC Avant Garde" w:hAnsi="ITC Avant Garde"/>
          <w:bCs/>
          <w:sz w:val="18"/>
        </w:rPr>
        <w:t>Comunicaciones y Transportes ot</w:t>
      </w:r>
      <w:r w:rsidRPr="00AF2924">
        <w:rPr>
          <w:rFonts w:ascii="ITC Avant Garde" w:hAnsi="ITC Avant Garde"/>
          <w:bCs/>
          <w:sz w:val="18"/>
        </w:rPr>
        <w:t>o</w:t>
      </w:r>
      <w:r w:rsidR="0078016E" w:rsidRPr="00AF2924">
        <w:rPr>
          <w:rFonts w:ascii="ITC Avant Garde" w:hAnsi="ITC Avant Garde"/>
          <w:bCs/>
          <w:sz w:val="18"/>
        </w:rPr>
        <w:t>r</w:t>
      </w:r>
      <w:r w:rsidRPr="00AF2924">
        <w:rPr>
          <w:rFonts w:ascii="ITC Avant Garde" w:hAnsi="ITC Avant Garde"/>
          <w:bCs/>
          <w:sz w:val="18"/>
        </w:rPr>
        <w:t>gó a favor de la empresa Comunicaciones Radiotelefónicas Peninsulares, S.A. de C.V un título de concesión para instalar, operar y explotar una red pública de radiocomunicación especializada de flotillas en las siguientes ciudades y sus áreas de influencia: Tuxtla Gutiérrez, Chis., Villahermosa, Tab., Mérida, Yuc., y Cancún, Q. Roo.</w:t>
      </w:r>
    </w:p>
    <w:p w14:paraId="32B09721" w14:textId="77777777" w:rsidR="00AF2924" w:rsidRPr="00AF2924" w:rsidRDefault="00C65C97"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Así, en la sección 1-2 de dicha título quedó establecida la siguiente área de concesión:</w:t>
      </w:r>
    </w:p>
    <w:p w14:paraId="6931CCD5" w14:textId="77777777" w:rsidR="00AF2924" w:rsidRPr="00AF2924" w:rsidRDefault="0078016E"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w:t>
      </w:r>
      <w:r w:rsidR="00C65C97" w:rsidRPr="00AF2924">
        <w:rPr>
          <w:rFonts w:ascii="ITC Avant Garde" w:hAnsi="ITC Avant Garde"/>
          <w:bCs/>
          <w:sz w:val="18"/>
        </w:rPr>
        <w:t>El área de servicio concesionada se integra por las siguientes ciudades:</w:t>
      </w:r>
    </w:p>
    <w:p w14:paraId="055438FA" w14:textId="3BA2A21B" w:rsidR="00C65C97" w:rsidRPr="00AF2924" w:rsidRDefault="00C65C97"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Tuxtla Gutiérrez, Chis., Villahermosa, Tab., Mérida, Yuc., y Cancún, Q. Roo, pudiendo comunicar </w:t>
      </w:r>
      <w:r w:rsidRPr="00AF2924">
        <w:rPr>
          <w:rFonts w:ascii="ITC Avant Garde" w:hAnsi="ITC Avant Garde"/>
          <w:b/>
          <w:bCs/>
          <w:sz w:val="18"/>
        </w:rPr>
        <w:t>áreas rurales en la zona de influencia económica de dichas ciudades</w:t>
      </w:r>
      <w:r w:rsidR="0078016E" w:rsidRPr="00AF2924">
        <w:rPr>
          <w:rFonts w:ascii="ITC Avant Garde" w:hAnsi="ITC Avant Garde"/>
          <w:bCs/>
          <w:sz w:val="18"/>
        </w:rPr>
        <w:t>’</w:t>
      </w:r>
      <w:r w:rsidRPr="00AF2924">
        <w:rPr>
          <w:rFonts w:ascii="ITC Avant Garde" w:hAnsi="ITC Avant Garde"/>
          <w:bCs/>
          <w:sz w:val="18"/>
        </w:rPr>
        <w:t>.</w:t>
      </w:r>
    </w:p>
    <w:p w14:paraId="33A460F8" w14:textId="77777777" w:rsidR="00AF2924" w:rsidRPr="00AF2924" w:rsidRDefault="00C65C97"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w:t>
      </w:r>
    </w:p>
    <w:p w14:paraId="6C61A029" w14:textId="77777777" w:rsidR="00AF2924" w:rsidRPr="00AF2924" w:rsidRDefault="00C65C97" w:rsidP="00AF2924">
      <w:pPr>
        <w:autoSpaceDE w:val="0"/>
        <w:autoSpaceDN w:val="0"/>
        <w:adjustRightInd w:val="0"/>
        <w:spacing w:before="240" w:line="240" w:lineRule="auto"/>
        <w:ind w:left="851" w:right="612" w:hanging="284"/>
        <w:jc w:val="both"/>
        <w:rPr>
          <w:rFonts w:ascii="ITC Avant Garde" w:hAnsi="ITC Avant Garde"/>
          <w:b/>
          <w:bCs/>
          <w:sz w:val="18"/>
        </w:rPr>
      </w:pPr>
      <w:r w:rsidRPr="00AF2924">
        <w:rPr>
          <w:rFonts w:ascii="ITC Avant Garde" w:hAnsi="ITC Avant Garde"/>
          <w:b/>
          <w:bCs/>
          <w:sz w:val="18"/>
        </w:rPr>
        <w:t>II.</w:t>
      </w:r>
      <w:r w:rsidRPr="00AF2924">
        <w:rPr>
          <w:rFonts w:ascii="ITC Avant Garde" w:hAnsi="ITC Avant Garde"/>
          <w:b/>
          <w:bCs/>
          <w:sz w:val="18"/>
        </w:rPr>
        <w:tab/>
        <w:t>Criterio de cobertura implementado en el Acuerdo P/IFT/270116/21.</w:t>
      </w:r>
    </w:p>
    <w:p w14:paraId="54E7BACA" w14:textId="77777777" w:rsidR="00AF2924" w:rsidRPr="00AF2924" w:rsidRDefault="001360BC"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El 27 de enero de 2016, el Pleno del Instituto Federal de Telecomunicaciones emitió la Resolución con número de Acuerdo P/</w:t>
      </w:r>
      <w:r w:rsidR="0078016E" w:rsidRPr="00AF2924">
        <w:rPr>
          <w:rFonts w:ascii="ITC Avant Garde" w:hAnsi="ITC Avant Garde"/>
          <w:bCs/>
          <w:sz w:val="18"/>
        </w:rPr>
        <w:t>IFT/270116/21 mediante la cual ‘</w:t>
      </w:r>
      <w:r w:rsidRPr="00AF2924">
        <w:rPr>
          <w:rFonts w:ascii="ITC Avant Garde" w:hAnsi="ITC Avant Garde"/>
          <w:bCs/>
          <w:sz w:val="18"/>
        </w:rPr>
        <w:t xml:space="preserve">prorroga la </w:t>
      </w:r>
      <w:r w:rsidRPr="00AF2924">
        <w:rPr>
          <w:rFonts w:ascii="ITC Avant Garde" w:hAnsi="ITC Avant Garde"/>
          <w:bCs/>
          <w:sz w:val="18"/>
        </w:rPr>
        <w:lastRenderedPageBreak/>
        <w:t>concesión para construir, instalar, mantener, operar y explotar una red pública de radiocomunicación móvil para prestar el servicio público de radiocomunicación móvil especializada con tecnología de frecuencias portadoras compartidas, otorgada a favor de Comunicaciones Radiotelefónicas Peninsulares, S.A. d</w:t>
      </w:r>
      <w:r w:rsidR="0078016E" w:rsidRPr="00AF2924">
        <w:rPr>
          <w:rFonts w:ascii="ITC Avant Garde" w:hAnsi="ITC Avant Garde"/>
          <w:bCs/>
          <w:sz w:val="18"/>
        </w:rPr>
        <w:t>e C.V., el 15 de junio de 1992.’</w:t>
      </w:r>
    </w:p>
    <w:p w14:paraId="672C0BE4" w14:textId="77777777" w:rsidR="00AF2924" w:rsidRPr="00AF2924" w:rsidRDefault="001360BC"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En dicha Resolución, se establecieron los términos y condiciones para </w:t>
      </w:r>
      <w:r w:rsidR="002259D2" w:rsidRPr="00AF2924">
        <w:rPr>
          <w:rFonts w:ascii="ITC Avant Garde" w:hAnsi="ITC Avant Garde"/>
          <w:bCs/>
          <w:sz w:val="18"/>
        </w:rPr>
        <w:t>la procedencia de la prórroga del Título de Concesión de CRP. Por lo anterior, en el numeral X de la Resolución se establece lo siguiente:</w:t>
      </w:r>
    </w:p>
    <w:p w14:paraId="3360A7F2" w14:textId="77777777" w:rsidR="00AF2924" w:rsidRPr="00AF2924" w:rsidRDefault="0078016E" w:rsidP="00AF2924">
      <w:pPr>
        <w:autoSpaceDE w:val="0"/>
        <w:autoSpaceDN w:val="0"/>
        <w:adjustRightInd w:val="0"/>
        <w:spacing w:before="240" w:line="240" w:lineRule="auto"/>
        <w:ind w:left="851" w:right="612"/>
        <w:jc w:val="both"/>
        <w:rPr>
          <w:rFonts w:ascii="ITC Avant Garde" w:hAnsi="ITC Avant Garde"/>
          <w:b/>
          <w:bCs/>
          <w:sz w:val="18"/>
        </w:rPr>
      </w:pPr>
      <w:r w:rsidRPr="00AF2924">
        <w:rPr>
          <w:rFonts w:ascii="ITC Avant Garde" w:hAnsi="ITC Avant Garde"/>
          <w:b/>
          <w:bCs/>
          <w:sz w:val="18"/>
        </w:rPr>
        <w:t>‘</w:t>
      </w:r>
      <w:r w:rsidR="002259D2" w:rsidRPr="00AF2924">
        <w:rPr>
          <w:rFonts w:ascii="ITC Avant Garde" w:hAnsi="ITC Avant Garde"/>
          <w:b/>
          <w:bCs/>
          <w:sz w:val="18"/>
        </w:rPr>
        <w:t>Opinión de la Dirección General de Ingeniería del Espectro y Estudios Técnicos respecto a la solicitud de prórroga:</w:t>
      </w:r>
    </w:p>
    <w:p w14:paraId="0FC87972" w14:textId="77777777" w:rsidR="00AF2924" w:rsidRPr="00AF2924" w:rsidRDefault="002259D2"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Con oficio IFT/222/UER/DG-IEET/625/2015 de fecha 19 de junio de 2015, la Dirección General de Ingeniería del Espectro y Estudios Técnicos, adscrita a la Unidad de Espectro Radioeléctrico del Instituto, propuso la canalización</w:t>
      </w:r>
      <w:r w:rsidR="003C1A02" w:rsidRPr="00AF2924">
        <w:rPr>
          <w:rFonts w:ascii="ITC Avant Garde" w:hAnsi="ITC Avant Garde"/>
          <w:bCs/>
          <w:sz w:val="18"/>
        </w:rPr>
        <w:t xml:space="preserve"> del segmento 410-430 MHz, así como las frecuencias de operación, área de cobertura y las características técnico operativas que busquen evitar o minimizar riesgos de interferencias perjudiciales para diversas empresas que solicitan prórroga de vigencia de títulos de concesión para la prestación del servicio móvil de radiocomunicación especializada de flotillas, entre las que se enco</w:t>
      </w:r>
      <w:r w:rsidR="0078016E" w:rsidRPr="00AF2924">
        <w:rPr>
          <w:rFonts w:ascii="ITC Avant Garde" w:hAnsi="ITC Avant Garde"/>
          <w:bCs/>
          <w:sz w:val="18"/>
        </w:rPr>
        <w:t>ntraba la Solicitud de Prórroga’</w:t>
      </w:r>
      <w:r w:rsidR="003C1A02" w:rsidRPr="00AF2924">
        <w:rPr>
          <w:rFonts w:ascii="ITC Avant Garde" w:hAnsi="ITC Avant Garde"/>
          <w:bCs/>
          <w:sz w:val="18"/>
        </w:rPr>
        <w:t>.</w:t>
      </w:r>
    </w:p>
    <w:p w14:paraId="0F3E508D" w14:textId="77777777" w:rsidR="00AF2924" w:rsidRPr="00AF2924" w:rsidRDefault="003C1A02"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En consecuencia, de igual forma enunciado dentro de la Resolución, en el apartado Octavo de la sección de Conside</w:t>
      </w:r>
      <w:r w:rsidR="0078016E" w:rsidRPr="00AF2924">
        <w:rPr>
          <w:rFonts w:ascii="ITC Avant Garde" w:hAnsi="ITC Avant Garde"/>
          <w:bCs/>
          <w:sz w:val="18"/>
        </w:rPr>
        <w:t>randos, ‘</w:t>
      </w:r>
      <w:r w:rsidRPr="00AF2924">
        <w:rPr>
          <w:rFonts w:ascii="ITC Avant Garde" w:hAnsi="ITC Avant Garde"/>
          <w:bCs/>
          <w:sz w:val="18"/>
        </w:rPr>
        <w:t>Opiniones técnicas resp</w:t>
      </w:r>
      <w:r w:rsidR="0078016E" w:rsidRPr="00AF2924">
        <w:rPr>
          <w:rFonts w:ascii="ITC Avant Garde" w:hAnsi="ITC Avant Garde"/>
          <w:bCs/>
          <w:sz w:val="18"/>
        </w:rPr>
        <w:t>ecto a la Solicitud de Prórroga’</w:t>
      </w:r>
      <w:r w:rsidRPr="00AF2924">
        <w:rPr>
          <w:rFonts w:ascii="ITC Avant Garde" w:hAnsi="ITC Avant Garde"/>
          <w:bCs/>
          <w:sz w:val="18"/>
        </w:rPr>
        <w:t>, en el numeral III se menciona lo siguiente:</w:t>
      </w:r>
    </w:p>
    <w:p w14:paraId="2844D1E7" w14:textId="77777777" w:rsidR="00AF2924" w:rsidRPr="00AF2924" w:rsidRDefault="003C1A02" w:rsidP="00AF2924">
      <w:pPr>
        <w:autoSpaceDE w:val="0"/>
        <w:autoSpaceDN w:val="0"/>
        <w:adjustRightInd w:val="0"/>
        <w:spacing w:before="240" w:line="240" w:lineRule="auto"/>
        <w:ind w:left="851" w:right="612"/>
        <w:jc w:val="both"/>
        <w:rPr>
          <w:rFonts w:ascii="ITC Avant Garde" w:hAnsi="ITC Avant Garde"/>
          <w:b/>
          <w:bCs/>
          <w:sz w:val="18"/>
        </w:rPr>
      </w:pPr>
      <w:r w:rsidRPr="00AF2924">
        <w:rPr>
          <w:rFonts w:ascii="ITC Avant Garde" w:hAnsi="ITC Avant Garde"/>
          <w:b/>
          <w:bCs/>
          <w:sz w:val="18"/>
        </w:rPr>
        <w:t>III. Definición de criterios respecto a las prórrogas citadas.</w:t>
      </w:r>
    </w:p>
    <w:p w14:paraId="610887ED" w14:textId="77777777" w:rsidR="00AF2924" w:rsidRPr="00AF2924" w:rsidRDefault="003C1A02" w:rsidP="00AF2924">
      <w:pPr>
        <w:pStyle w:val="Prrafodelista"/>
        <w:numPr>
          <w:ilvl w:val="0"/>
          <w:numId w:val="25"/>
        </w:numPr>
        <w:autoSpaceDE w:val="0"/>
        <w:autoSpaceDN w:val="0"/>
        <w:adjustRightInd w:val="0"/>
        <w:spacing w:before="240" w:after="200"/>
        <w:ind w:right="612"/>
        <w:jc w:val="both"/>
        <w:rPr>
          <w:rFonts w:ascii="ITC Avant Garde" w:hAnsi="ITC Avant Garde"/>
          <w:b/>
          <w:bCs/>
          <w:sz w:val="18"/>
        </w:rPr>
      </w:pPr>
      <w:r w:rsidRPr="00AF2924">
        <w:rPr>
          <w:rFonts w:ascii="ITC Avant Garde" w:hAnsi="ITC Avant Garde"/>
          <w:b/>
          <w:bCs/>
          <w:sz w:val="18"/>
        </w:rPr>
        <w:t>Criterios definidos para la asignación de cobertura.</w:t>
      </w:r>
    </w:p>
    <w:p w14:paraId="5E778AA6" w14:textId="77777777" w:rsidR="00AF2924" w:rsidRPr="00AF2924" w:rsidRDefault="003C1A02"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Los títulos de concesión de referencia, contienen condiciones acordes al Marco Jurídico vigente en la fecha de su otorgamiento, tal es el caso de las c</w:t>
      </w:r>
      <w:r w:rsidR="0078016E" w:rsidRPr="00AF2924">
        <w:rPr>
          <w:rFonts w:ascii="ITC Avant Garde" w:hAnsi="ITC Avant Garde"/>
          <w:bCs/>
          <w:sz w:val="18"/>
        </w:rPr>
        <w:t>ondiciones relacionadas con el ‘área de servicio’</w:t>
      </w:r>
      <w:r w:rsidRPr="00AF2924">
        <w:rPr>
          <w:rFonts w:ascii="ITC Avant Garde" w:hAnsi="ITC Avant Garde"/>
          <w:bCs/>
          <w:sz w:val="18"/>
        </w:rPr>
        <w:t xml:space="preserve"> (cobertura), donde se manejan criterios de cobertura diferentes en cada título, tales como rutas carreteras, estados, ciudades específicas, zonas metropolitanas o la ubicación geográfica de las estaciones transmisoras pertenecientes al concesionario.</w:t>
      </w:r>
    </w:p>
    <w:p w14:paraId="46FE23D5" w14:textId="1F536C89" w:rsidR="003C1A02" w:rsidRPr="00AF2924" w:rsidRDefault="003C1A02"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Debido a lo anterior, </w:t>
      </w:r>
      <w:r w:rsidRPr="00AF2924">
        <w:rPr>
          <w:rFonts w:ascii="ITC Avant Garde" w:hAnsi="ITC Avant Garde"/>
          <w:bCs/>
          <w:sz w:val="18"/>
          <w:u w:val="single"/>
        </w:rPr>
        <w:t>resultó necesario definir de forma precisa la cobertura de cada título de concesión prorrogado, lo cual tiene como finalidad eliminar ambigüedades respecto a la cobertura de cada uno de los títulos</w:t>
      </w:r>
      <w:r w:rsidRPr="00AF2924">
        <w:rPr>
          <w:rFonts w:ascii="ITC Avant Garde" w:hAnsi="ITC Avant Garde"/>
          <w:bCs/>
          <w:sz w:val="18"/>
        </w:rPr>
        <w:t>, especialmente aquella</w:t>
      </w:r>
      <w:r w:rsidR="0078016E" w:rsidRPr="00AF2924">
        <w:rPr>
          <w:rFonts w:ascii="ITC Avant Garde" w:hAnsi="ITC Avant Garde"/>
          <w:bCs/>
          <w:sz w:val="18"/>
        </w:rPr>
        <w:t>s definidas por ruta carretera y</w:t>
      </w:r>
      <w:r w:rsidRPr="00AF2924">
        <w:rPr>
          <w:rFonts w:ascii="ITC Avant Garde" w:hAnsi="ITC Avant Garde"/>
          <w:bCs/>
          <w:sz w:val="18"/>
        </w:rPr>
        <w:t xml:space="preserve"> repetidores…</w:t>
      </w:r>
    </w:p>
    <w:p w14:paraId="78E8D204" w14:textId="77777777" w:rsidR="00AF2924" w:rsidRPr="00AF2924" w:rsidRDefault="003C1A02"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De este modo, </w:t>
      </w:r>
      <w:r w:rsidRPr="00AF2924">
        <w:rPr>
          <w:rFonts w:ascii="ITC Avant Garde" w:hAnsi="ITC Avant Garde"/>
          <w:bCs/>
          <w:sz w:val="18"/>
          <w:u w:val="single"/>
        </w:rPr>
        <w:t>se propone que la unidad mínima de referencia para establecer la cobertura, de cada uno de los concesionarios sea el municipio y/o delegación</w:t>
      </w:r>
      <w:r w:rsidRPr="00AF2924">
        <w:rPr>
          <w:rFonts w:ascii="ITC Avant Garde" w:hAnsi="ITC Avant Garde"/>
          <w:bCs/>
          <w:sz w:val="18"/>
        </w:rPr>
        <w:t>, para lo cual debieron establecerse ciertos criterios para asignar las áreas de cobertura, los cuales se mencionan a continuación:</w:t>
      </w:r>
    </w:p>
    <w:p w14:paraId="74F0E6C6" w14:textId="77777777" w:rsidR="00AF2924" w:rsidRPr="00AF2924" w:rsidRDefault="003C1A02"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w:t>
      </w:r>
    </w:p>
    <w:p w14:paraId="1260AF72" w14:textId="77777777" w:rsidR="00AF2924" w:rsidRPr="00AF2924" w:rsidRDefault="003C1A02"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b) Zonas Metropolitanas.</w:t>
      </w:r>
    </w:p>
    <w:p w14:paraId="7E19B832" w14:textId="58D22EF7" w:rsidR="003C1A02" w:rsidRPr="00AF2924" w:rsidRDefault="003C1A02" w:rsidP="00AF2924">
      <w:pPr>
        <w:autoSpaceDE w:val="0"/>
        <w:autoSpaceDN w:val="0"/>
        <w:adjustRightInd w:val="0"/>
        <w:spacing w:before="240" w:line="240" w:lineRule="auto"/>
        <w:ind w:left="851" w:right="612"/>
        <w:jc w:val="both"/>
        <w:rPr>
          <w:rFonts w:ascii="ITC Avant Garde" w:hAnsi="ITC Avant Garde"/>
          <w:bCs/>
          <w:sz w:val="18"/>
          <w:u w:val="single"/>
        </w:rPr>
      </w:pPr>
      <w:r w:rsidRPr="00AF2924">
        <w:rPr>
          <w:rFonts w:ascii="ITC Avant Garde" w:hAnsi="ITC Avant Garde"/>
          <w:bCs/>
          <w:sz w:val="18"/>
        </w:rPr>
        <w:t xml:space="preserve">Algunos títulos de concesión incluidos en las solicitudes de prórroga tienen definidas sus áreas de cobertura por ciudades y/o zonas conurbadas por lo que en los casos donde estas </w:t>
      </w:r>
      <w:r w:rsidRPr="00AF2924">
        <w:rPr>
          <w:rFonts w:ascii="ITC Avant Garde" w:hAnsi="ITC Avant Garde"/>
          <w:bCs/>
          <w:sz w:val="18"/>
        </w:rPr>
        <w:lastRenderedPageBreak/>
        <w:t>coberturas tratasen de municipios centrales, se decidió unificar estos</w:t>
      </w:r>
      <w:r w:rsidRPr="00AF2924">
        <w:rPr>
          <w:rFonts w:ascii="ITC Avant Garde" w:hAnsi="ITC Avant Garde"/>
          <w:bCs/>
          <w:sz w:val="18"/>
          <w:u w:val="single"/>
        </w:rPr>
        <w:t xml:space="preserve"> criterios de acuerdo a lo definido por el INEGI en el documento ZMM</w:t>
      </w:r>
      <w:r w:rsidR="0078016E" w:rsidRPr="00AF2924">
        <w:rPr>
          <w:rStyle w:val="Refdenotaalpie"/>
          <w:rFonts w:ascii="ITC Avant Garde" w:hAnsi="ITC Avant Garde"/>
          <w:bCs/>
          <w:sz w:val="18"/>
          <w:u w:val="single"/>
        </w:rPr>
        <w:footnoteReference w:id="1"/>
      </w:r>
      <w:r w:rsidRPr="00AF2924">
        <w:rPr>
          <w:rFonts w:ascii="ITC Avant Garde" w:hAnsi="ITC Avant Garde"/>
          <w:bCs/>
          <w:sz w:val="18"/>
          <w:u w:val="single"/>
        </w:rPr>
        <w:t>:</w:t>
      </w:r>
    </w:p>
    <w:p w14:paraId="44078AC4" w14:textId="72D14F0F" w:rsidR="003C1A02" w:rsidRPr="00AF2924" w:rsidRDefault="003C1A02"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w:t>
      </w:r>
    </w:p>
    <w:p w14:paraId="42DB13D5" w14:textId="77777777" w:rsidR="00AF2924" w:rsidRPr="00AF2924" w:rsidRDefault="000B69A9" w:rsidP="00AF2924">
      <w:pPr>
        <w:autoSpaceDE w:val="0"/>
        <w:autoSpaceDN w:val="0"/>
        <w:adjustRightInd w:val="0"/>
        <w:spacing w:before="240" w:line="240" w:lineRule="auto"/>
        <w:ind w:left="851" w:right="612"/>
        <w:jc w:val="both"/>
        <w:rPr>
          <w:rFonts w:ascii="ITC Avant Garde" w:hAnsi="ITC Avant Garde"/>
          <w:bCs/>
          <w:sz w:val="18"/>
          <w:u w:val="single"/>
        </w:rPr>
      </w:pPr>
      <w:r w:rsidRPr="00AF2924">
        <w:rPr>
          <w:rFonts w:ascii="ITC Avant Garde" w:hAnsi="ITC Avant Garde"/>
          <w:bCs/>
          <w:sz w:val="18"/>
          <w:u w:val="single"/>
        </w:rPr>
        <w:t>Así, para aquel concesionario cuya área de cobertura estuviera definida por ciudad (y ésta fuera parte de un municipio central) y/o zona conurbada, se asignaron los municipios pertenecientes a la zona metropolitana asociada, de acuerdo al documento ZMM.</w:t>
      </w:r>
    </w:p>
    <w:p w14:paraId="09857C2A" w14:textId="77777777" w:rsidR="00AF2924" w:rsidRPr="00AF2924" w:rsidRDefault="000B69A9"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w:t>
      </w:r>
    </w:p>
    <w:p w14:paraId="4C294AF6" w14:textId="77777777" w:rsidR="00AF2924" w:rsidRPr="00AF2924" w:rsidRDefault="000B69A9" w:rsidP="00AF2924">
      <w:pPr>
        <w:autoSpaceDE w:val="0"/>
        <w:autoSpaceDN w:val="0"/>
        <w:adjustRightInd w:val="0"/>
        <w:spacing w:before="240" w:line="240" w:lineRule="auto"/>
        <w:ind w:left="851" w:right="612" w:hanging="284"/>
        <w:jc w:val="both"/>
        <w:rPr>
          <w:rFonts w:ascii="ITC Avant Garde" w:hAnsi="ITC Avant Garde"/>
          <w:b/>
          <w:bCs/>
          <w:sz w:val="18"/>
        </w:rPr>
      </w:pPr>
      <w:r w:rsidRPr="00AF2924">
        <w:rPr>
          <w:rFonts w:ascii="ITC Avant Garde" w:hAnsi="ITC Avant Garde"/>
          <w:b/>
          <w:bCs/>
          <w:sz w:val="18"/>
        </w:rPr>
        <w:t>III. Análisis del criterio de cobertura implementado en el Acuerdo P/IFT/270116/21.</w:t>
      </w:r>
    </w:p>
    <w:p w14:paraId="5C0AB009" w14:textId="77777777" w:rsidR="00AF2924" w:rsidRPr="00AF2924" w:rsidRDefault="000B69A9" w:rsidP="00AF2924">
      <w:pPr>
        <w:pStyle w:val="Prrafodelista"/>
        <w:numPr>
          <w:ilvl w:val="0"/>
          <w:numId w:val="33"/>
        </w:numPr>
        <w:tabs>
          <w:tab w:val="left" w:pos="851"/>
        </w:tabs>
        <w:autoSpaceDE w:val="0"/>
        <w:autoSpaceDN w:val="0"/>
        <w:adjustRightInd w:val="0"/>
        <w:spacing w:before="240" w:after="200"/>
        <w:ind w:left="851" w:right="612" w:firstLine="0"/>
        <w:jc w:val="both"/>
        <w:rPr>
          <w:rFonts w:ascii="ITC Avant Garde" w:hAnsi="ITC Avant Garde"/>
          <w:b/>
          <w:bCs/>
          <w:sz w:val="18"/>
        </w:rPr>
      </w:pPr>
      <w:r w:rsidRPr="00AF2924">
        <w:rPr>
          <w:rFonts w:ascii="ITC Avant Garde" w:hAnsi="ITC Avant Garde"/>
          <w:b/>
          <w:bCs/>
          <w:sz w:val="18"/>
        </w:rPr>
        <w:t>Sobre la validez del documento Delimitación de las Zonas Metropolitanas de México 2010.</w:t>
      </w:r>
    </w:p>
    <w:p w14:paraId="05A0BE02" w14:textId="77777777" w:rsidR="00AF2924" w:rsidRPr="00AF2924" w:rsidRDefault="000B69A9"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El criterio de cobertura establecido por la Dirección General de Ingeniería del Espectro y Estudios Técnicos (DGIEET) en la Resoluci</w:t>
      </w:r>
      <w:r w:rsidR="000E6F2F" w:rsidRPr="00AF2924">
        <w:rPr>
          <w:rFonts w:ascii="ITC Avant Garde" w:hAnsi="ITC Avant Garde"/>
          <w:bCs/>
          <w:sz w:val="18"/>
        </w:rPr>
        <w:t>ón está basado en el documento ‘</w:t>
      </w:r>
      <w:r w:rsidRPr="00AF2924">
        <w:rPr>
          <w:rFonts w:ascii="ITC Avant Garde" w:hAnsi="ITC Avant Garde"/>
          <w:bCs/>
          <w:sz w:val="18"/>
        </w:rPr>
        <w:t>Delimitación de las Zonas</w:t>
      </w:r>
      <w:r w:rsidR="000E6F2F" w:rsidRPr="00AF2924">
        <w:rPr>
          <w:rFonts w:ascii="ITC Avant Garde" w:hAnsi="ITC Avant Garde"/>
          <w:bCs/>
          <w:sz w:val="18"/>
        </w:rPr>
        <w:t xml:space="preserve"> Metropolitanas de México 2010’ (‘ZMM’</w:t>
      </w:r>
      <w:r w:rsidRPr="00AF2924">
        <w:rPr>
          <w:rFonts w:ascii="ITC Avant Garde" w:hAnsi="ITC Avant Garde"/>
          <w:bCs/>
          <w:sz w:val="18"/>
        </w:rPr>
        <w:t>), el cual fue emitido por los siguientes organismos: el Instituto Nacional de Estadística y Geográfica (INEGI), el Consejo Nacional de Población (CONAPO) y la Secretaría de Desarrollo Social (SEDESOL). El objetivo buscado por estos organismos mediante la emisión de este documento, fue delimitar las zonas metropolitanas con la finalidad de establecer un marco de referencia común cuyo objetivo es el de fortalecer y mejorar las acciones de los órdenes de gobierno en la planeación y gestión del desarrollo metropolitano.</w:t>
      </w:r>
    </w:p>
    <w:p w14:paraId="3679A85D" w14:textId="77777777" w:rsidR="00AF2924" w:rsidRPr="00AF2924" w:rsidRDefault="000B69A9"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Cabe resaltar que los organismos mencionados son los responsables de estudiar los fenómenos económicos y sociales que afectan o </w:t>
      </w:r>
      <w:r w:rsidR="000E6F2F" w:rsidRPr="00AF2924">
        <w:rPr>
          <w:rFonts w:ascii="ITC Avant Garde" w:hAnsi="ITC Avant Garde"/>
          <w:bCs/>
          <w:sz w:val="18"/>
        </w:rPr>
        <w:t>son provocados por la población.</w:t>
      </w:r>
      <w:r w:rsidRPr="00AF2924">
        <w:rPr>
          <w:rFonts w:ascii="ITC Avant Garde" w:hAnsi="ITC Avant Garde"/>
          <w:bCs/>
          <w:sz w:val="18"/>
        </w:rPr>
        <w:t xml:space="preserve"> INEGI es el organismo responsable de captar y difundir información de México en cuanto al </w:t>
      </w:r>
      <w:r w:rsidRPr="00AF2924">
        <w:rPr>
          <w:rFonts w:ascii="ITC Avant Garde" w:hAnsi="ITC Avant Garde"/>
          <w:bCs/>
          <w:sz w:val="18"/>
          <w:u w:val="single"/>
        </w:rPr>
        <w:t>territorio, los recursos, la población y economía</w:t>
      </w:r>
      <w:r w:rsidR="000E6F2F" w:rsidRPr="00AF2924">
        <w:rPr>
          <w:rStyle w:val="Refdenotaalpie"/>
          <w:rFonts w:ascii="ITC Avant Garde" w:hAnsi="ITC Avant Garde"/>
          <w:bCs/>
          <w:sz w:val="18"/>
          <w:u w:val="single"/>
        </w:rPr>
        <w:footnoteReference w:id="2"/>
      </w:r>
      <w:r w:rsidRPr="00AF2924">
        <w:rPr>
          <w:rFonts w:ascii="ITC Avant Garde" w:hAnsi="ITC Avant Garde"/>
          <w:bCs/>
          <w:sz w:val="18"/>
        </w:rPr>
        <w:t xml:space="preserve">; el CONAPO es el encargado de la </w:t>
      </w:r>
      <w:r w:rsidRPr="00AF2924">
        <w:rPr>
          <w:rFonts w:ascii="ITC Avant Garde" w:hAnsi="ITC Avant Garde"/>
          <w:bCs/>
          <w:sz w:val="18"/>
          <w:u w:val="single"/>
        </w:rPr>
        <w:t>planeación demográfica del país</w:t>
      </w:r>
      <w:r w:rsidRPr="00AF2924">
        <w:rPr>
          <w:rFonts w:ascii="ITC Avant Garde" w:hAnsi="ITC Avant Garde"/>
          <w:bCs/>
          <w:sz w:val="18"/>
        </w:rPr>
        <w:t xml:space="preserve"> a fin de incluir a la población en los programas de </w:t>
      </w:r>
      <w:r w:rsidRPr="00AF2924">
        <w:rPr>
          <w:rFonts w:ascii="ITC Avant Garde" w:hAnsi="ITC Avant Garde"/>
          <w:bCs/>
          <w:sz w:val="18"/>
          <w:u w:val="single"/>
        </w:rPr>
        <w:t>desarrollo económico y social</w:t>
      </w:r>
      <w:r w:rsidRPr="00AF2924">
        <w:rPr>
          <w:rFonts w:ascii="ITC Avant Garde" w:hAnsi="ITC Avant Garde"/>
          <w:bCs/>
          <w:sz w:val="18"/>
        </w:rPr>
        <w:t xml:space="preserve"> que se formulen dentro del sector gubernamental y vincular sus objetivos a las necesidades que plantean los fenómenos demográficos</w:t>
      </w:r>
      <w:r w:rsidR="000E6F2F" w:rsidRPr="00AF2924">
        <w:rPr>
          <w:rStyle w:val="Refdenotaalpie"/>
          <w:rFonts w:ascii="ITC Avant Garde" w:hAnsi="ITC Avant Garde"/>
          <w:bCs/>
          <w:sz w:val="18"/>
        </w:rPr>
        <w:footnoteReference w:id="3"/>
      </w:r>
      <w:r w:rsidRPr="00AF2924">
        <w:rPr>
          <w:rFonts w:ascii="ITC Avant Garde" w:hAnsi="ITC Avant Garde"/>
          <w:bCs/>
          <w:sz w:val="18"/>
        </w:rPr>
        <w:t xml:space="preserve">, </w:t>
      </w:r>
      <w:r w:rsidR="00332887" w:rsidRPr="00AF2924">
        <w:rPr>
          <w:rFonts w:ascii="ITC Avant Garde" w:hAnsi="ITC Avant Garde"/>
          <w:bCs/>
          <w:sz w:val="18"/>
        </w:rPr>
        <w:t xml:space="preserve">y el objetivo de SEDESOL es el de formular </w:t>
      </w:r>
      <w:r w:rsidR="00332887" w:rsidRPr="00AF2924">
        <w:rPr>
          <w:rFonts w:ascii="ITC Avant Garde" w:hAnsi="ITC Avant Garde"/>
          <w:bCs/>
          <w:sz w:val="18"/>
          <w:u w:val="single"/>
        </w:rPr>
        <w:t>políticas de desarrollo social</w:t>
      </w:r>
      <w:r w:rsidR="00332887" w:rsidRPr="00AF2924">
        <w:rPr>
          <w:rFonts w:ascii="ITC Avant Garde" w:hAnsi="ITC Avant Garde"/>
          <w:bCs/>
          <w:sz w:val="18"/>
        </w:rPr>
        <w:t xml:space="preserve"> para contribuir a la construcción de una sociedad en la que todas las personas tengan garantizado el cumplimiento de sus derechos sociales, privilegiando la atención a los sectores sociales más desprotegidos</w:t>
      </w:r>
      <w:r w:rsidR="00EA2F9D" w:rsidRPr="00AF2924">
        <w:rPr>
          <w:rStyle w:val="Refdenotaalpie"/>
          <w:rFonts w:ascii="ITC Avant Garde" w:hAnsi="ITC Avant Garde"/>
          <w:bCs/>
          <w:sz w:val="18"/>
        </w:rPr>
        <w:footnoteReference w:id="4"/>
      </w:r>
      <w:r w:rsidR="00332887" w:rsidRPr="00AF2924">
        <w:rPr>
          <w:rFonts w:ascii="ITC Avant Garde" w:hAnsi="ITC Avant Garde"/>
          <w:bCs/>
          <w:sz w:val="18"/>
        </w:rPr>
        <w:t>.</w:t>
      </w:r>
    </w:p>
    <w:p w14:paraId="5D316510" w14:textId="77777777" w:rsidR="00AF2924" w:rsidRPr="00AF2924" w:rsidRDefault="00332887"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Por otra parte, citando el argumento presentado en el Oficio, en el cual se hace referencia al criterio adoptado por la </w:t>
      </w:r>
      <w:r w:rsidR="002B1754" w:rsidRPr="00AF2924">
        <w:rPr>
          <w:rFonts w:ascii="ITC Avant Garde" w:hAnsi="ITC Avant Garde"/>
          <w:bCs/>
          <w:sz w:val="18"/>
        </w:rPr>
        <w:t>DGIEET en donde se comenta que ‘</w:t>
      </w:r>
      <w:r w:rsidRPr="00AF2924">
        <w:rPr>
          <w:rFonts w:ascii="ITC Avant Garde" w:hAnsi="ITC Avant Garde"/>
          <w:bCs/>
          <w:sz w:val="18"/>
        </w:rPr>
        <w:t xml:space="preserve">… la interpretación de los [municipios] que deben comprender las áreas rurales de la zona de influencia económica no es solo de una </w:t>
      </w:r>
      <w:r w:rsidRPr="00AF2924">
        <w:rPr>
          <w:rFonts w:ascii="ITC Avant Garde" w:hAnsi="ITC Avant Garde"/>
          <w:bCs/>
          <w:sz w:val="18"/>
          <w:u w:val="single"/>
        </w:rPr>
        <w:t>interpretación subjetiva</w:t>
      </w:r>
      <w:r w:rsidRPr="00AF2924">
        <w:rPr>
          <w:rFonts w:ascii="ITC Avant Garde" w:hAnsi="ITC Avant Garde"/>
          <w:bCs/>
          <w:sz w:val="18"/>
        </w:rPr>
        <w:t xml:space="preserve">… La enciclopedia de los Municipios y Delegaciones de México… publicada por </w:t>
      </w:r>
      <w:r w:rsidRPr="00AF2924">
        <w:rPr>
          <w:rFonts w:ascii="ITC Avant Garde" w:hAnsi="ITC Avant Garde"/>
          <w:bCs/>
          <w:sz w:val="18"/>
          <w:u w:val="single"/>
        </w:rPr>
        <w:t>el Instituto Nacional para el Federalismo y el Desarrollo Municipal (INAFED) en coordinación de los Estados y Municipios ha determinado claramente dichos conceptos.</w:t>
      </w:r>
      <w:r w:rsidR="002B1754" w:rsidRPr="00AF2924">
        <w:rPr>
          <w:rFonts w:ascii="ITC Avant Garde" w:hAnsi="ITC Avant Garde"/>
          <w:bCs/>
          <w:sz w:val="18"/>
        </w:rPr>
        <w:t>’</w:t>
      </w:r>
      <w:r w:rsidRPr="00AF2924">
        <w:rPr>
          <w:rFonts w:ascii="ITC Avant Garde" w:hAnsi="ITC Avant Garde"/>
          <w:bCs/>
          <w:sz w:val="18"/>
        </w:rPr>
        <w:t xml:space="preserve"> […]</w:t>
      </w:r>
    </w:p>
    <w:p w14:paraId="363150FD" w14:textId="77777777" w:rsidR="00AF2924" w:rsidRPr="00AF2924" w:rsidRDefault="00332887"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En consecuencia, derivado del argumento antes expresado, </w:t>
      </w:r>
      <w:r w:rsidRPr="00AF2924">
        <w:rPr>
          <w:rFonts w:ascii="ITC Avant Garde" w:hAnsi="ITC Avant Garde"/>
          <w:bCs/>
          <w:sz w:val="18"/>
          <w:u w:val="single"/>
        </w:rPr>
        <w:t>el INAFED no es la institución encargada de establecer, definir y resolver criterios en materia de territorio, población, urbanización y/o desarrollo social</w:t>
      </w:r>
      <w:r w:rsidRPr="00AF2924">
        <w:rPr>
          <w:rFonts w:ascii="ITC Avant Garde" w:hAnsi="ITC Avant Garde"/>
          <w:bCs/>
          <w:sz w:val="18"/>
        </w:rPr>
        <w:t xml:space="preserve">, cuyas funciones distan totalmente a las atribuidas a </w:t>
      </w:r>
      <w:r w:rsidRPr="00AF2924">
        <w:rPr>
          <w:rFonts w:ascii="ITC Avant Garde" w:hAnsi="ITC Avant Garde"/>
          <w:bCs/>
          <w:sz w:val="18"/>
        </w:rPr>
        <w:lastRenderedPageBreak/>
        <w:t>INEGI, CONAPO y SEDESOL. Además, el objetivo de la Enciclopedia</w:t>
      </w:r>
      <w:r w:rsidR="00327A3E" w:rsidRPr="00AF2924">
        <w:rPr>
          <w:rStyle w:val="Refdenotaalpie"/>
          <w:rFonts w:ascii="ITC Avant Garde" w:hAnsi="ITC Avant Garde"/>
          <w:bCs/>
          <w:sz w:val="18"/>
        </w:rPr>
        <w:footnoteReference w:id="5"/>
      </w:r>
      <w:r w:rsidRPr="00AF2924">
        <w:rPr>
          <w:rFonts w:ascii="ITC Avant Garde" w:hAnsi="ITC Avant Garde"/>
          <w:bCs/>
          <w:sz w:val="18"/>
        </w:rPr>
        <w:t xml:space="preserve"> argumentada por CRP en el Oficio, es describir un contexto histórico-social para cada entidad federativa y cuyas fuentes </w:t>
      </w:r>
      <w:r w:rsidR="00382235" w:rsidRPr="00AF2924">
        <w:rPr>
          <w:rFonts w:ascii="ITC Avant Garde" w:hAnsi="ITC Avant Garde"/>
          <w:bCs/>
          <w:sz w:val="18"/>
        </w:rPr>
        <w:t>de consulta son diversas, de la</w:t>
      </w:r>
      <w:r w:rsidRPr="00AF2924">
        <w:rPr>
          <w:rFonts w:ascii="ITC Avant Garde" w:hAnsi="ITC Avant Garde"/>
          <w:bCs/>
          <w:sz w:val="18"/>
        </w:rPr>
        <w:t xml:space="preserve"> cuales se desconoce su metodología de su investigación. Así, dicha Enciclopedia sustenta una investigación con argumentos </w:t>
      </w:r>
      <w:r w:rsidRPr="00AF2924">
        <w:rPr>
          <w:rFonts w:ascii="ITC Avant Garde" w:hAnsi="ITC Avant Garde"/>
          <w:bCs/>
          <w:sz w:val="18"/>
          <w:u w:val="single"/>
        </w:rPr>
        <w:t>valorativos y no así objetivos</w:t>
      </w:r>
      <w:r w:rsidRPr="00AF2924">
        <w:rPr>
          <w:rFonts w:ascii="ITC Avant Garde" w:hAnsi="ITC Avant Garde"/>
          <w:bCs/>
          <w:sz w:val="18"/>
        </w:rPr>
        <w:t>.</w:t>
      </w:r>
    </w:p>
    <w:p w14:paraId="5C904C18" w14:textId="4AFF10B8" w:rsidR="00332887" w:rsidRPr="00AF2924" w:rsidRDefault="00332887" w:rsidP="00AF2924">
      <w:pPr>
        <w:autoSpaceDE w:val="0"/>
        <w:autoSpaceDN w:val="0"/>
        <w:adjustRightInd w:val="0"/>
        <w:spacing w:before="240" w:line="240" w:lineRule="auto"/>
        <w:ind w:left="851" w:right="612"/>
        <w:jc w:val="both"/>
        <w:rPr>
          <w:rFonts w:ascii="ITC Avant Garde" w:hAnsi="ITC Avant Garde"/>
          <w:b/>
          <w:bCs/>
          <w:sz w:val="18"/>
        </w:rPr>
      </w:pPr>
      <w:r w:rsidRPr="00AF2924">
        <w:rPr>
          <w:rFonts w:ascii="ITC Avant Garde" w:hAnsi="ITC Avant Garde"/>
          <w:b/>
          <w:bCs/>
          <w:sz w:val="18"/>
        </w:rPr>
        <w:t>b) Considerandos para establecer los municipios que conforman una Zona Metropolitana</w:t>
      </w:r>
    </w:p>
    <w:p w14:paraId="2A657DA6" w14:textId="77777777" w:rsidR="00AF2924" w:rsidRPr="00AF2924" w:rsidRDefault="00332887"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Con base en el inciso anterior, el documento ZMM detalla de forma precisa los considerandos en los que se basaron para definir las Zonas Metropolitanas, los cuales son los siguientes:</w:t>
      </w:r>
    </w:p>
    <w:p w14:paraId="07953F92" w14:textId="77777777" w:rsidR="00AF2924" w:rsidRPr="00AF2924" w:rsidRDefault="00332887" w:rsidP="00AF2924">
      <w:pPr>
        <w:autoSpaceDE w:val="0"/>
        <w:autoSpaceDN w:val="0"/>
        <w:adjustRightInd w:val="0"/>
        <w:spacing w:before="240" w:line="240" w:lineRule="auto"/>
        <w:ind w:left="1418" w:right="612" w:hanging="284"/>
        <w:jc w:val="both"/>
        <w:rPr>
          <w:rFonts w:ascii="ITC Avant Garde" w:hAnsi="ITC Avant Garde"/>
          <w:b/>
          <w:bCs/>
          <w:sz w:val="18"/>
        </w:rPr>
      </w:pPr>
      <w:r w:rsidRPr="00AF2924">
        <w:rPr>
          <w:rFonts w:ascii="ITC Avant Garde" w:hAnsi="ITC Avant Garde"/>
          <w:b/>
          <w:bCs/>
          <w:sz w:val="18"/>
        </w:rPr>
        <w:t>III. Zona metropolitana: definiciones y criterios de delimitación</w:t>
      </w:r>
    </w:p>
    <w:p w14:paraId="0CBF1621" w14:textId="129209F9" w:rsidR="00332887" w:rsidRPr="00AF2924" w:rsidRDefault="00332887"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 xml:space="preserve">Se define como zona metropolitana </w:t>
      </w:r>
      <w:r w:rsidRPr="00AF2924">
        <w:rPr>
          <w:rFonts w:ascii="ITC Avant Garde" w:hAnsi="ITC Avant Garde"/>
          <w:bCs/>
          <w:sz w:val="18"/>
          <w:u w:val="single"/>
        </w:rPr>
        <w:t xml:space="preserve">al conjunto de dos o más municipios </w:t>
      </w:r>
      <w:r w:rsidRPr="00AF2924">
        <w:rPr>
          <w:rFonts w:ascii="ITC Avant Garde" w:hAnsi="ITC Avant Garde"/>
          <w:bCs/>
          <w:sz w:val="18"/>
        </w:rPr>
        <w:t>donde se localiza una ciudad de 50 mil o más habitantes,</w:t>
      </w:r>
      <w:r w:rsidRPr="00AF2924">
        <w:rPr>
          <w:rFonts w:ascii="ITC Avant Garde" w:hAnsi="ITC Avant Garde"/>
          <w:bCs/>
          <w:sz w:val="18"/>
          <w:u w:val="single"/>
        </w:rPr>
        <w:t xml:space="preserve">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w:t>
      </w:r>
      <w:r w:rsidRPr="00AF2924">
        <w:rPr>
          <w:rFonts w:ascii="ITC Avant Garde" w:hAnsi="ITC Avant Garde"/>
          <w:bCs/>
          <w:sz w:val="18"/>
        </w:rPr>
        <w:t xml:space="preserve"> También se incluyen a aquellos municipios</w:t>
      </w:r>
      <w:r w:rsidR="00770BDB" w:rsidRPr="00AF2924">
        <w:rPr>
          <w:rFonts w:ascii="ITC Avant Garde" w:hAnsi="ITC Avant Garde"/>
          <w:bCs/>
          <w:sz w:val="18"/>
        </w:rPr>
        <w:t xml:space="preserve"> que por sus características particulares son relevantes para la planeación y política urbanas de las zonas metropolitanas en cuestión.</w:t>
      </w:r>
    </w:p>
    <w:p w14:paraId="3DD28F32" w14:textId="77777777" w:rsidR="00AF2924" w:rsidRPr="00AF2924" w:rsidRDefault="00770BDB"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w:t>
      </w:r>
    </w:p>
    <w:p w14:paraId="2263D9B2" w14:textId="77777777" w:rsidR="00AF2924" w:rsidRPr="00AF2924" w:rsidRDefault="00770BDB" w:rsidP="00AF2924">
      <w:pPr>
        <w:autoSpaceDE w:val="0"/>
        <w:autoSpaceDN w:val="0"/>
        <w:adjustRightInd w:val="0"/>
        <w:spacing w:before="240" w:line="240" w:lineRule="auto"/>
        <w:ind w:left="1134" w:right="612"/>
        <w:jc w:val="both"/>
        <w:rPr>
          <w:rFonts w:ascii="ITC Avant Garde" w:hAnsi="ITC Avant Garde"/>
          <w:b/>
          <w:bCs/>
          <w:sz w:val="18"/>
        </w:rPr>
      </w:pPr>
      <w:r w:rsidRPr="00AF2924">
        <w:rPr>
          <w:rFonts w:ascii="ITC Avant Garde" w:hAnsi="ITC Avant Garde"/>
          <w:b/>
          <w:bCs/>
          <w:sz w:val="18"/>
        </w:rPr>
        <w:t>Municipios metropolitanos y criterios de delimitación</w:t>
      </w:r>
    </w:p>
    <w:p w14:paraId="73B28447" w14:textId="77777777" w:rsidR="00AF2924" w:rsidRPr="00AF2924" w:rsidRDefault="00770BDB"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Para la delimitación de las zonas metropolitanas se definieron a su vez tres grupos de municipios metropolitanos, con sus respectivos criterios.</w:t>
      </w:r>
    </w:p>
    <w:p w14:paraId="0F321615" w14:textId="77777777" w:rsidR="00AF2924" w:rsidRPr="00AF2924" w:rsidRDefault="00770BDB" w:rsidP="00AF2924">
      <w:pPr>
        <w:pStyle w:val="Prrafodelista"/>
        <w:numPr>
          <w:ilvl w:val="0"/>
          <w:numId w:val="28"/>
        </w:numPr>
        <w:autoSpaceDE w:val="0"/>
        <w:autoSpaceDN w:val="0"/>
        <w:adjustRightInd w:val="0"/>
        <w:spacing w:before="240" w:after="200"/>
        <w:ind w:right="612"/>
        <w:jc w:val="both"/>
        <w:rPr>
          <w:rFonts w:ascii="ITC Avant Garde" w:hAnsi="ITC Avant Garde"/>
          <w:b/>
          <w:bCs/>
          <w:sz w:val="18"/>
        </w:rPr>
      </w:pPr>
      <w:r w:rsidRPr="00AF2924">
        <w:rPr>
          <w:rFonts w:ascii="ITC Avant Garde" w:hAnsi="ITC Avant Garde"/>
          <w:b/>
          <w:bCs/>
          <w:sz w:val="18"/>
        </w:rPr>
        <w:t>Municipios centrales.</w:t>
      </w:r>
      <w:r w:rsidRPr="00AF2924">
        <w:rPr>
          <w:rFonts w:ascii="ITC Avant Garde" w:hAnsi="ITC Avant Garde"/>
          <w:bCs/>
          <w:sz w:val="18"/>
        </w:rPr>
        <w:t xml:space="preserve"> Corresponden a los municipios donde se localiza la ciudad central que da origen a la zona metropolitana, los cuales se identificaron a partir de las siguientes características:</w:t>
      </w:r>
    </w:p>
    <w:p w14:paraId="513E109C" w14:textId="22897AA0" w:rsidR="00770BDB" w:rsidRPr="00AF2924" w:rsidRDefault="00770BDB"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t xml:space="preserve">1a. Municipios que comparten una </w:t>
      </w:r>
      <w:r w:rsidRPr="00AF2924">
        <w:rPr>
          <w:rFonts w:ascii="ITC Avant Garde" w:hAnsi="ITC Avant Garde"/>
          <w:bCs/>
          <w:sz w:val="18"/>
          <w:u w:val="single"/>
        </w:rPr>
        <w:t>conurbación intermunicipal</w:t>
      </w:r>
      <w:r w:rsidRPr="00AF2924">
        <w:rPr>
          <w:rFonts w:ascii="ITC Avant Garde" w:hAnsi="ITC Avant Garde"/>
          <w:bCs/>
          <w:sz w:val="18"/>
        </w:rPr>
        <w:t xml:space="preserve">, definida como la </w:t>
      </w:r>
      <w:r w:rsidRPr="00AF2924">
        <w:rPr>
          <w:rFonts w:ascii="ITC Avant Garde" w:hAnsi="ITC Avant Garde"/>
          <w:bCs/>
          <w:sz w:val="18"/>
          <w:u w:val="single"/>
        </w:rPr>
        <w:t>unión física entre dos o más localidades geoestadísticas urbanas de diferentes municipios</w:t>
      </w:r>
      <w:r w:rsidRPr="00AF2924">
        <w:rPr>
          <w:rFonts w:ascii="ITC Avant Garde" w:hAnsi="ITC Avant Garde"/>
          <w:bCs/>
          <w:sz w:val="18"/>
        </w:rPr>
        <w:t xml:space="preserve"> y cuya población en conjunto asciende a 50 mil o más habitantes (ciudad central) y cuyos municipios integrantes poseen también características urbanas, entendiéndose por la </w:t>
      </w:r>
      <w:r w:rsidRPr="00AF2924">
        <w:rPr>
          <w:rFonts w:ascii="ITC Avant Garde" w:hAnsi="ITC Avant Garde"/>
          <w:bCs/>
          <w:sz w:val="18"/>
          <w:u w:val="single"/>
        </w:rPr>
        <w:t>unión entre localidades geo estadísticas urbanas a la continuidad en la conformación de amanzanamiento.</w:t>
      </w:r>
    </w:p>
    <w:p w14:paraId="79326AD4" w14:textId="72B438EC" w:rsidR="00770BDB" w:rsidRPr="00AF2924" w:rsidRDefault="00770BDB"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t xml:space="preserve">1b. Municipios con localidades de 50 mil o más habitantes que </w:t>
      </w:r>
      <w:r w:rsidRPr="00AF2924">
        <w:rPr>
          <w:rFonts w:ascii="ITC Avant Garde" w:hAnsi="ITC Avant Garde"/>
          <w:bCs/>
          <w:sz w:val="18"/>
          <w:u w:val="single"/>
        </w:rPr>
        <w:t>muestran un alto grado de integración física y funcional con municipios vecinos urbanos.</w:t>
      </w:r>
    </w:p>
    <w:p w14:paraId="06F89BCA" w14:textId="79225C96" w:rsidR="00770BDB" w:rsidRPr="00AF2924" w:rsidRDefault="00770BDB"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t>1c. Municipios con ciudades de un millón o más habitantes.</w:t>
      </w:r>
    </w:p>
    <w:p w14:paraId="6A311C94" w14:textId="5505FE6C" w:rsidR="00770BDB" w:rsidRPr="00AF2924" w:rsidRDefault="00770BDB"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t xml:space="preserve">1d. Municipios con ciudades que </w:t>
      </w:r>
      <w:r w:rsidRPr="00AF2924">
        <w:rPr>
          <w:rFonts w:ascii="ITC Avant Garde" w:hAnsi="ITC Avant Garde"/>
          <w:bCs/>
          <w:sz w:val="18"/>
          <w:u w:val="single"/>
        </w:rPr>
        <w:t xml:space="preserve">forman parte de una zona metropolitana </w:t>
      </w:r>
      <w:r w:rsidR="00382235" w:rsidRPr="00AF2924">
        <w:rPr>
          <w:rFonts w:ascii="ITC Avant Garde" w:hAnsi="ITC Avant Garde"/>
          <w:bCs/>
          <w:sz w:val="18"/>
          <w:u w:val="single"/>
        </w:rPr>
        <w:t>trans</w:t>
      </w:r>
      <w:r w:rsidRPr="00AF2924">
        <w:rPr>
          <w:rFonts w:ascii="ITC Avant Garde" w:hAnsi="ITC Avant Garde"/>
          <w:bCs/>
          <w:sz w:val="18"/>
          <w:u w:val="single"/>
        </w:rPr>
        <w:t>fronteriza</w:t>
      </w:r>
      <w:r w:rsidRPr="00AF2924">
        <w:rPr>
          <w:rFonts w:ascii="ITC Avant Garde" w:hAnsi="ITC Avant Garde"/>
          <w:bCs/>
          <w:sz w:val="18"/>
        </w:rPr>
        <w:t>, con 250 mil o más habitantes.</w:t>
      </w:r>
    </w:p>
    <w:p w14:paraId="1E3505FD" w14:textId="77777777" w:rsidR="00AF2924" w:rsidRPr="00AF2924" w:rsidRDefault="00770BDB"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w:t>
      </w:r>
    </w:p>
    <w:p w14:paraId="7EDD3B59" w14:textId="0F85E1D3" w:rsidR="00770BDB" w:rsidRPr="00AF2924" w:rsidRDefault="00770BDB" w:rsidP="00AF2924">
      <w:pPr>
        <w:autoSpaceDE w:val="0"/>
        <w:autoSpaceDN w:val="0"/>
        <w:adjustRightInd w:val="0"/>
        <w:spacing w:before="240" w:line="240" w:lineRule="auto"/>
        <w:ind w:left="1134" w:right="612"/>
        <w:jc w:val="both"/>
        <w:rPr>
          <w:rFonts w:ascii="ITC Avant Garde" w:hAnsi="ITC Avant Garde"/>
          <w:bCs/>
          <w:sz w:val="18"/>
          <w:u w:val="single"/>
        </w:rPr>
      </w:pPr>
      <w:r w:rsidRPr="00AF2924">
        <w:rPr>
          <w:rFonts w:ascii="ITC Avant Garde" w:hAnsi="ITC Avant Garde"/>
          <w:bCs/>
          <w:sz w:val="18"/>
          <w:u w:val="single"/>
        </w:rPr>
        <w:lastRenderedPageBreak/>
        <w:t>La ciudad central es la localidad geo estadística urbana o conurbación que da origen a la zona metropolitana;</w:t>
      </w:r>
      <w:r w:rsidRPr="00AF2924">
        <w:rPr>
          <w:rFonts w:ascii="ITC Avant Garde" w:hAnsi="ITC Avant Garde"/>
          <w:bCs/>
          <w:sz w:val="18"/>
        </w:rPr>
        <w:t xml:space="preserve"> el umbral mínimo de población de ésta se fijó en 50 mil habitantes, pues se ha comprobado que las ciudades que han alcanzado este volumen presentan una estructura de uso del suelo diferenciada, </w:t>
      </w:r>
      <w:r w:rsidRPr="00AF2924">
        <w:rPr>
          <w:rFonts w:ascii="ITC Avant Garde" w:hAnsi="ITC Avant Garde"/>
          <w:bCs/>
          <w:sz w:val="18"/>
          <w:u w:val="single"/>
        </w:rPr>
        <w:t>donde es posible distinguir zonas especializadas en actividades industriales, comerciales y de servicios, que además de satisfacer la demanda de su propia población, proveen de empleo, bienes y servicios a población de otras localidades ubicadas dentro de su área de influencia.</w:t>
      </w:r>
    </w:p>
    <w:p w14:paraId="1AB95420" w14:textId="77777777" w:rsidR="00AF2924" w:rsidRPr="00AF2924" w:rsidRDefault="00770BDB"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w:t>
      </w:r>
    </w:p>
    <w:p w14:paraId="06B82C7F" w14:textId="77777777" w:rsidR="00AF2924" w:rsidRPr="00AF2924" w:rsidRDefault="00D04A17"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En las zonas metropolitanas con dos o más conurbaciones de 50 mil habitantes o más se considera como ciudad central a la de mayor tamaño de población. En el caso de las ciudades mayores de un millón de habitantes que no están conurbadas con otro municipio, se parte del supuesto de que su área de influencia directa abarca como mínimo al resto de localidades del propio municipio, con las que integra una zona metropolitana, la cual eventualmente puede incorporar a otras unidades político-administrativas.</w:t>
      </w:r>
    </w:p>
    <w:p w14:paraId="13AC6AA2" w14:textId="52DD1695" w:rsidR="004F0DD5" w:rsidRPr="00AF2924" w:rsidRDefault="004F0DD5" w:rsidP="00AF2924">
      <w:pPr>
        <w:pStyle w:val="Prrafodelista"/>
        <w:numPr>
          <w:ilvl w:val="0"/>
          <w:numId w:val="28"/>
        </w:numPr>
        <w:autoSpaceDE w:val="0"/>
        <w:autoSpaceDN w:val="0"/>
        <w:adjustRightInd w:val="0"/>
        <w:spacing w:before="240" w:after="200"/>
        <w:ind w:right="612"/>
        <w:jc w:val="both"/>
        <w:rPr>
          <w:rFonts w:ascii="ITC Avant Garde" w:hAnsi="ITC Avant Garde"/>
          <w:b/>
          <w:bCs/>
          <w:sz w:val="18"/>
        </w:rPr>
      </w:pPr>
      <w:r w:rsidRPr="00AF2924">
        <w:rPr>
          <w:rFonts w:ascii="ITC Avant Garde" w:hAnsi="ITC Avant Garde"/>
          <w:b/>
          <w:bCs/>
          <w:sz w:val="18"/>
        </w:rPr>
        <w:t>Municipios exteriores definidos con base en criterios estadísticos y geográficos.</w:t>
      </w:r>
    </w:p>
    <w:p w14:paraId="3EDA0FD4" w14:textId="77777777" w:rsidR="00AF2924" w:rsidRPr="00AF2924" w:rsidRDefault="004F0DD5"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 xml:space="preserve">Son municipios contiguos a los anteriores, cuyas localidades geo estadísticas urbanas no están conurbadas a la ciudad central, pero que manifiestan un carácter predominantemente urbano, al tiempo que </w:t>
      </w:r>
      <w:r w:rsidRPr="00AF2924">
        <w:rPr>
          <w:rFonts w:ascii="ITC Avant Garde" w:hAnsi="ITC Avant Garde"/>
          <w:bCs/>
          <w:sz w:val="18"/>
          <w:u w:val="single"/>
        </w:rPr>
        <w:t>mantienen un alto grado de integración funcional con los municipios centrales de la zona metropolitana</w:t>
      </w:r>
      <w:r w:rsidRPr="00AF2924">
        <w:rPr>
          <w:rFonts w:ascii="ITC Avant Garde" w:hAnsi="ITC Avant Garde"/>
          <w:bCs/>
          <w:sz w:val="18"/>
        </w:rPr>
        <w:t>, determinados a través del cumplimiento de cada una de las siguientes condiciones:</w:t>
      </w:r>
    </w:p>
    <w:p w14:paraId="7F001C53" w14:textId="628FB9DC" w:rsidR="004F0DD5" w:rsidRPr="00AF2924" w:rsidRDefault="003720B0" w:rsidP="00AF2924">
      <w:pPr>
        <w:autoSpaceDE w:val="0"/>
        <w:autoSpaceDN w:val="0"/>
        <w:adjustRightInd w:val="0"/>
        <w:spacing w:before="240" w:line="240" w:lineRule="auto"/>
        <w:ind w:left="1701" w:right="612"/>
        <w:jc w:val="both"/>
        <w:rPr>
          <w:rFonts w:ascii="ITC Avant Garde" w:hAnsi="ITC Avant Garde"/>
          <w:bCs/>
          <w:sz w:val="18"/>
          <w:u w:val="single"/>
        </w:rPr>
      </w:pPr>
      <w:r w:rsidRPr="00AF2924">
        <w:rPr>
          <w:rFonts w:ascii="ITC Avant Garde" w:hAnsi="ITC Avant Garde"/>
          <w:bCs/>
          <w:sz w:val="18"/>
        </w:rPr>
        <w:t xml:space="preserve">2a. Distancia a la ciudad central. Su localidad geo estadística principal, de tipo urbana, aquella con el mayor número de habitantes, </w:t>
      </w:r>
      <w:r w:rsidRPr="00AF2924">
        <w:rPr>
          <w:rFonts w:ascii="ITC Avant Garde" w:hAnsi="ITC Avant Garde"/>
          <w:bCs/>
          <w:sz w:val="18"/>
          <w:u w:val="single"/>
        </w:rPr>
        <w:t>está ubicada a no más de 10 kilómetros por carretera pavimentada y de doble carril de los límites de la ciudad central.</w:t>
      </w:r>
    </w:p>
    <w:p w14:paraId="3E0743F3" w14:textId="76FE8216" w:rsidR="003720B0" w:rsidRPr="00AF2924" w:rsidRDefault="003720B0"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t xml:space="preserve">2b. Integración funcional por lugar de trabajo. </w:t>
      </w:r>
      <w:r w:rsidRPr="00AF2924">
        <w:rPr>
          <w:rFonts w:ascii="ITC Avant Garde" w:hAnsi="ITC Avant Garde"/>
          <w:bCs/>
          <w:sz w:val="18"/>
          <w:u w:val="single"/>
        </w:rPr>
        <w:t>Al menos 15 por ciento de su población ocupada residente trabaja en los municipios centrales de la zona metropolitana, o bien, 10 por ciento o más de la población que trabaja en el municipio reside en los municipios centrales de esta última.</w:t>
      </w:r>
    </w:p>
    <w:p w14:paraId="1CD18D77" w14:textId="06929651" w:rsidR="003720B0" w:rsidRPr="00AF2924" w:rsidRDefault="003720B0"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t xml:space="preserve">2c. Población ocupada en actividades no primarias. Porcentaje de población </w:t>
      </w:r>
      <w:r w:rsidRPr="00AF2924">
        <w:rPr>
          <w:rFonts w:ascii="ITC Avant Garde" w:hAnsi="ITC Avant Garde"/>
          <w:bCs/>
          <w:sz w:val="18"/>
          <w:u w:val="single"/>
        </w:rPr>
        <w:t>ocupada en actividades secundarias y terciarias mayor o igual a 75 por ciento.</w:t>
      </w:r>
    </w:p>
    <w:p w14:paraId="409D4338" w14:textId="4A0BE526" w:rsidR="003720B0" w:rsidRPr="00AF2924" w:rsidRDefault="003720B0"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t>2d. Densidad media urbana. Este indicador se debe ubicar en por lo menos 20 habitantes por hectárea.</w:t>
      </w:r>
    </w:p>
    <w:p w14:paraId="1FC6DFC0" w14:textId="77777777" w:rsidR="00AF2924" w:rsidRPr="00AF2924" w:rsidRDefault="003720B0"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w:t>
      </w:r>
    </w:p>
    <w:p w14:paraId="4CF2148C" w14:textId="77777777" w:rsidR="00AF2924" w:rsidRPr="00AF2924" w:rsidRDefault="003720B0" w:rsidP="00AF2924">
      <w:pPr>
        <w:pStyle w:val="Prrafodelista"/>
        <w:numPr>
          <w:ilvl w:val="0"/>
          <w:numId w:val="28"/>
        </w:numPr>
        <w:autoSpaceDE w:val="0"/>
        <w:autoSpaceDN w:val="0"/>
        <w:adjustRightInd w:val="0"/>
        <w:spacing w:before="240" w:after="200"/>
        <w:ind w:right="612"/>
        <w:jc w:val="both"/>
        <w:rPr>
          <w:rFonts w:ascii="ITC Avant Garde" w:hAnsi="ITC Avant Garde"/>
          <w:b/>
          <w:bCs/>
          <w:sz w:val="18"/>
        </w:rPr>
      </w:pPr>
      <w:r w:rsidRPr="00AF2924">
        <w:rPr>
          <w:rFonts w:ascii="ITC Avant Garde" w:hAnsi="ITC Avant Garde"/>
          <w:b/>
          <w:bCs/>
          <w:sz w:val="18"/>
        </w:rPr>
        <w:t>Municipios exteriores definidos con base en criterios de planeación y política urbana.</w:t>
      </w:r>
      <w:r w:rsidRPr="00AF2924">
        <w:rPr>
          <w:rFonts w:ascii="ITC Avant Garde" w:hAnsi="ITC Avant Garde"/>
          <w:bCs/>
          <w:sz w:val="18"/>
        </w:rPr>
        <w:t xml:space="preserve"> </w:t>
      </w:r>
      <w:r w:rsidRPr="00AF2924">
        <w:rPr>
          <w:rFonts w:ascii="ITC Avant Garde" w:hAnsi="ITC Avant Garde"/>
          <w:bCs/>
          <w:sz w:val="18"/>
          <w:u w:val="single"/>
        </w:rPr>
        <w:t>Son municipios que se encuentran reconocidos por los gobiernos, federal y locales, como parte de una zona metropolitana, a través de una serie de instrumentos que regulan su desarrollo urbano y la ordenación de su territorio, además de que presentan un carácter predominantemente urbano y mantienen un alto grado de integración funcional con los municipios centrales.</w:t>
      </w:r>
    </w:p>
    <w:p w14:paraId="08B9F3FB" w14:textId="77777777" w:rsidR="00AF2924" w:rsidRPr="00AF2924" w:rsidRDefault="003720B0"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w:t>
      </w:r>
    </w:p>
    <w:p w14:paraId="6596EA56" w14:textId="77777777" w:rsidR="00AF2924" w:rsidRPr="00AF2924" w:rsidRDefault="003720B0"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Para su incorporación, se tomó en cuenta el cumplimiento de los criterios 2b, 2c, 2d y al menos una de las siguientes condiciones:</w:t>
      </w:r>
    </w:p>
    <w:p w14:paraId="444E0E7D" w14:textId="60D1A43F" w:rsidR="003720B0" w:rsidRPr="00AF2924" w:rsidRDefault="003720B0"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lastRenderedPageBreak/>
        <w:t>3a. Estar incluidos en la declaratoria de zona conurbada o zona metropolitana correspondiente.</w:t>
      </w:r>
    </w:p>
    <w:p w14:paraId="40432321" w14:textId="5F6C9654" w:rsidR="003720B0" w:rsidRPr="00AF2924" w:rsidRDefault="003720B0"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t>3b. Estar considerados en el respectivo programa de ordenación de zona conurbada o zona metropolitana.</w:t>
      </w:r>
    </w:p>
    <w:p w14:paraId="0F20DBF8" w14:textId="77777777" w:rsidR="00AF2924" w:rsidRPr="00AF2924" w:rsidRDefault="003720B0" w:rsidP="00AF2924">
      <w:pPr>
        <w:autoSpaceDE w:val="0"/>
        <w:autoSpaceDN w:val="0"/>
        <w:adjustRightInd w:val="0"/>
        <w:spacing w:before="240" w:line="240" w:lineRule="auto"/>
        <w:ind w:left="1701" w:right="612"/>
        <w:jc w:val="both"/>
        <w:rPr>
          <w:rFonts w:ascii="ITC Avant Garde" w:hAnsi="ITC Avant Garde"/>
          <w:bCs/>
          <w:sz w:val="18"/>
        </w:rPr>
      </w:pPr>
      <w:r w:rsidRPr="00AF2924">
        <w:rPr>
          <w:rFonts w:ascii="ITC Avant Garde" w:hAnsi="ITC Avant Garde"/>
          <w:bCs/>
          <w:sz w:val="18"/>
        </w:rPr>
        <w:t>3c. Estar considerados en el Programa Nacional de Desarrollo Urbano y Ordenación del Territorio.</w:t>
      </w:r>
    </w:p>
    <w:p w14:paraId="6BBF60BE" w14:textId="77777777" w:rsidR="00AF2924" w:rsidRPr="00AF2924" w:rsidRDefault="003720B0" w:rsidP="00AF2924">
      <w:pPr>
        <w:autoSpaceDE w:val="0"/>
        <w:autoSpaceDN w:val="0"/>
        <w:adjustRightInd w:val="0"/>
        <w:spacing w:before="240" w:line="240" w:lineRule="auto"/>
        <w:ind w:left="1134" w:right="612"/>
        <w:jc w:val="both"/>
        <w:rPr>
          <w:rFonts w:ascii="ITC Avant Garde" w:hAnsi="ITC Avant Garde"/>
          <w:bCs/>
          <w:sz w:val="18"/>
        </w:rPr>
      </w:pPr>
      <w:r w:rsidRPr="00AF2924">
        <w:rPr>
          <w:rFonts w:ascii="ITC Avant Garde" w:hAnsi="ITC Avant Garde"/>
          <w:bCs/>
          <w:sz w:val="18"/>
        </w:rPr>
        <w:t>Lo anterior con apego a la Ley General de Asentamientos Humanos (LGAH) y a la legislación urbana de cada entidad federativa. En este sentido, la LGAH establece que cuando el fenómeno de conurbación involucre a municipios de dos o más entidades federativas</w:t>
      </w:r>
      <w:r w:rsidR="00AC2C98" w:rsidRPr="00AF2924">
        <w:rPr>
          <w:rFonts w:ascii="ITC Avant Garde" w:hAnsi="ITC Avant Garde"/>
          <w:bCs/>
          <w:sz w:val="18"/>
        </w:rPr>
        <w:t>, su planeación y regulación conjunta estará a cargo de la Federación, las entidades federativas y los municipios respectivos, en el ámbito de sus competencias, entre las que se encuentran el convenir la delimitación de la zona conurbada correspondiente (Arts. 20 y 21 de la LGAH). A su vez, los fenómenos de conurbación ubicados dentro de los límites de una misma entidad federativa se rigen por lo que establece la legislación local (Art. 26).</w:t>
      </w:r>
    </w:p>
    <w:p w14:paraId="20BE002B" w14:textId="77777777" w:rsidR="00AF2924" w:rsidRPr="00AF2924" w:rsidRDefault="00AC2C98"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Como podemos observar del análisis anterior, la determinación y definición de los criterios para definir las Zonas Metropolitanas por parte de INEGI, CONAPO y SEDESOL no derivan de un análisis subjetivo. Por lo anterior, la determinación de la cobertura (municipios) por parte de esta </w:t>
      </w:r>
      <w:r w:rsidR="000E5A33" w:rsidRPr="00AF2924">
        <w:rPr>
          <w:rFonts w:ascii="ITC Avant Garde" w:hAnsi="ITC Avant Garde"/>
          <w:bCs/>
          <w:sz w:val="18"/>
        </w:rPr>
        <w:t>Dirección General no derivó de ‘</w:t>
      </w:r>
      <w:r w:rsidRPr="00AF2924">
        <w:rPr>
          <w:rFonts w:ascii="ITC Avant Garde" w:hAnsi="ITC Avant Garde"/>
          <w:bCs/>
          <w:sz w:val="18"/>
        </w:rPr>
        <w:t>errores al momento al hacer los estudios</w:t>
      </w:r>
      <w:r w:rsidR="000E5A33" w:rsidRPr="00AF2924">
        <w:rPr>
          <w:rFonts w:ascii="ITC Avant Garde" w:hAnsi="ITC Avant Garde"/>
          <w:bCs/>
          <w:sz w:val="18"/>
        </w:rPr>
        <w:t xml:space="preserve"> técnicos para uso del espectro’</w:t>
      </w:r>
      <w:r w:rsidRPr="00AF2924">
        <w:rPr>
          <w:rFonts w:ascii="ITC Avant Garde" w:hAnsi="ITC Avant Garde"/>
          <w:bCs/>
          <w:sz w:val="18"/>
        </w:rPr>
        <w:t xml:space="preserve">, sino que se realizó adoptando los criterios descritos en el documento ZMM. </w:t>
      </w:r>
    </w:p>
    <w:p w14:paraId="47A1F45C" w14:textId="77777777" w:rsidR="00AF2924" w:rsidRPr="00AF2924" w:rsidRDefault="00AC2C98" w:rsidP="00AF2924">
      <w:pPr>
        <w:autoSpaceDE w:val="0"/>
        <w:autoSpaceDN w:val="0"/>
        <w:adjustRightInd w:val="0"/>
        <w:spacing w:before="240" w:line="240" w:lineRule="auto"/>
        <w:ind w:left="851" w:right="612" w:hanging="284"/>
        <w:jc w:val="both"/>
        <w:rPr>
          <w:rFonts w:ascii="ITC Avant Garde" w:hAnsi="ITC Avant Garde"/>
          <w:b/>
          <w:bCs/>
          <w:sz w:val="18"/>
        </w:rPr>
      </w:pPr>
      <w:r w:rsidRPr="00AF2924">
        <w:rPr>
          <w:rFonts w:ascii="ITC Avant Garde" w:hAnsi="ITC Avant Garde"/>
          <w:b/>
          <w:bCs/>
          <w:sz w:val="18"/>
        </w:rPr>
        <w:t>IV. Análisis de la solicitud presentada por CRP.</w:t>
      </w:r>
    </w:p>
    <w:p w14:paraId="44E37442" w14:textId="77777777" w:rsidR="00AF2924" w:rsidRPr="00AF2924" w:rsidRDefault="00AC2C98"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Con base en la información presentada por CRP en el Oficio, en la siguiente tabla se compara la cobertura en municipios en los que CRP declara que presta servicios y aquellos municipios definidos en la Resolución los cuales derivan de la definición realizada en el documento ZMM:</w:t>
      </w:r>
    </w:p>
    <w:p w14:paraId="1A86B992" w14:textId="2B285221" w:rsidR="00AC2C98" w:rsidRPr="00AF2924" w:rsidRDefault="00AC2C98" w:rsidP="00AF2924">
      <w:pPr>
        <w:autoSpaceDE w:val="0"/>
        <w:autoSpaceDN w:val="0"/>
        <w:adjustRightInd w:val="0"/>
        <w:spacing w:before="240" w:line="240" w:lineRule="auto"/>
        <w:ind w:left="1418" w:right="1182"/>
        <w:jc w:val="both"/>
        <w:rPr>
          <w:rFonts w:ascii="ITC Avant Garde" w:hAnsi="ITC Avant Garde"/>
          <w:b/>
          <w:bCs/>
          <w:sz w:val="16"/>
          <w:szCs w:val="16"/>
        </w:rPr>
      </w:pPr>
      <w:r w:rsidRPr="00AF2924">
        <w:rPr>
          <w:rFonts w:ascii="ITC Avant Garde" w:hAnsi="ITC Avant Garde"/>
          <w:b/>
          <w:bCs/>
          <w:sz w:val="16"/>
          <w:szCs w:val="16"/>
        </w:rPr>
        <w:t>Tabla 1. Diferencias de los municipios de acuerdo a la interpretación de cobertura.</w:t>
      </w:r>
    </w:p>
    <w:tbl>
      <w:tblPr>
        <w:tblStyle w:val="Tablaconcuadrcula"/>
        <w:tblW w:w="0" w:type="auto"/>
        <w:jc w:val="center"/>
        <w:tblLook w:val="04A0" w:firstRow="1" w:lastRow="0" w:firstColumn="1" w:lastColumn="0" w:noHBand="0" w:noVBand="1"/>
        <w:tblCaption w:val="Tabla 1. Diferencias de los municipios de acuerdo a la interpretación de cobertura"/>
        <w:tblDescription w:val="En una tabla de 3 columnas, se proporciona la cobertura por estado y municipio. "/>
      </w:tblPr>
      <w:tblGrid>
        <w:gridCol w:w="1985"/>
        <w:gridCol w:w="1984"/>
        <w:gridCol w:w="1843"/>
      </w:tblGrid>
      <w:tr w:rsidR="00DC2CB8" w:rsidRPr="00AF2924" w14:paraId="6198DF66" w14:textId="77777777" w:rsidTr="00AF2924">
        <w:trPr>
          <w:tblHeader/>
          <w:jc w:val="center"/>
        </w:trPr>
        <w:tc>
          <w:tcPr>
            <w:tcW w:w="1985" w:type="dxa"/>
            <w:shd w:val="clear" w:color="auto" w:fill="BFBFBF" w:themeFill="background1" w:themeFillShade="BF"/>
            <w:vAlign w:val="center"/>
          </w:tcPr>
          <w:p w14:paraId="5D519F69" w14:textId="48B75B30" w:rsidR="00AC2C98" w:rsidRPr="00AF2924" w:rsidRDefault="00AC2C98" w:rsidP="00AF2924">
            <w:pPr>
              <w:autoSpaceDE w:val="0"/>
              <w:autoSpaceDN w:val="0"/>
              <w:adjustRightInd w:val="0"/>
              <w:spacing w:after="0" w:line="240" w:lineRule="auto"/>
              <w:ind w:right="-108"/>
              <w:jc w:val="center"/>
              <w:rPr>
                <w:rFonts w:ascii="ITC Avant Garde" w:hAnsi="ITC Avant Garde"/>
                <w:b/>
                <w:bCs/>
                <w:sz w:val="16"/>
                <w:szCs w:val="16"/>
              </w:rPr>
            </w:pPr>
            <w:r w:rsidRPr="00AF2924">
              <w:rPr>
                <w:rFonts w:ascii="ITC Avant Garde" w:hAnsi="ITC Avant Garde"/>
                <w:b/>
                <w:bCs/>
                <w:sz w:val="16"/>
                <w:szCs w:val="16"/>
              </w:rPr>
              <w:t>Estado</w:t>
            </w:r>
          </w:p>
        </w:tc>
        <w:tc>
          <w:tcPr>
            <w:tcW w:w="1984" w:type="dxa"/>
            <w:shd w:val="clear" w:color="auto" w:fill="BFBFBF" w:themeFill="background1" w:themeFillShade="BF"/>
            <w:vAlign w:val="center"/>
          </w:tcPr>
          <w:p w14:paraId="1F5D6BB8" w14:textId="3D322092" w:rsidR="00AC2C98" w:rsidRPr="00AF2924" w:rsidRDefault="00AC2C98" w:rsidP="00AF2924">
            <w:pPr>
              <w:autoSpaceDE w:val="0"/>
              <w:autoSpaceDN w:val="0"/>
              <w:adjustRightInd w:val="0"/>
              <w:spacing w:after="0" w:line="240" w:lineRule="auto"/>
              <w:ind w:right="-102"/>
              <w:jc w:val="center"/>
              <w:rPr>
                <w:rFonts w:ascii="ITC Avant Garde" w:hAnsi="ITC Avant Garde"/>
                <w:b/>
                <w:bCs/>
                <w:sz w:val="16"/>
                <w:szCs w:val="16"/>
              </w:rPr>
            </w:pPr>
            <w:r w:rsidRPr="00AF2924">
              <w:rPr>
                <w:rFonts w:ascii="ITC Avant Garde" w:hAnsi="ITC Avant Garde"/>
                <w:b/>
                <w:bCs/>
                <w:sz w:val="16"/>
                <w:szCs w:val="16"/>
              </w:rPr>
              <w:t>Municipios en los que actualmente presta servicio CRP</w:t>
            </w:r>
          </w:p>
        </w:tc>
        <w:tc>
          <w:tcPr>
            <w:tcW w:w="1843" w:type="dxa"/>
            <w:shd w:val="clear" w:color="auto" w:fill="BFBFBF" w:themeFill="background1" w:themeFillShade="BF"/>
            <w:vAlign w:val="center"/>
          </w:tcPr>
          <w:p w14:paraId="5DFA2CE3" w14:textId="289EE80F" w:rsidR="00AC2C98" w:rsidRPr="00AF2924" w:rsidRDefault="00AC2C98" w:rsidP="00AF2924">
            <w:pPr>
              <w:autoSpaceDE w:val="0"/>
              <w:autoSpaceDN w:val="0"/>
              <w:adjustRightInd w:val="0"/>
              <w:spacing w:after="0" w:line="240" w:lineRule="auto"/>
              <w:ind w:right="-108"/>
              <w:jc w:val="center"/>
              <w:rPr>
                <w:rFonts w:ascii="ITC Avant Garde" w:hAnsi="ITC Avant Garde"/>
                <w:b/>
                <w:bCs/>
                <w:sz w:val="16"/>
                <w:szCs w:val="16"/>
              </w:rPr>
            </w:pPr>
            <w:r w:rsidRPr="00AF2924">
              <w:rPr>
                <w:rFonts w:ascii="ITC Avant Garde" w:hAnsi="ITC Avant Garde"/>
                <w:b/>
                <w:bCs/>
                <w:sz w:val="16"/>
                <w:szCs w:val="16"/>
              </w:rPr>
              <w:t>Cobertura definida en la Resolución</w:t>
            </w:r>
          </w:p>
        </w:tc>
      </w:tr>
      <w:tr w:rsidR="00DC2CB8" w:rsidRPr="00AF2924" w14:paraId="516D1F78" w14:textId="77777777" w:rsidTr="00AF2924">
        <w:trPr>
          <w:jc w:val="center"/>
        </w:trPr>
        <w:tc>
          <w:tcPr>
            <w:tcW w:w="1985" w:type="dxa"/>
          </w:tcPr>
          <w:p w14:paraId="40BF2B37" w14:textId="5C5079CE" w:rsidR="00AC2C98" w:rsidRPr="00AF2924" w:rsidRDefault="00DC2CB8" w:rsidP="00AF2924">
            <w:pPr>
              <w:autoSpaceDE w:val="0"/>
              <w:autoSpaceDN w:val="0"/>
              <w:adjustRightInd w:val="0"/>
              <w:spacing w:after="0" w:line="240" w:lineRule="auto"/>
              <w:ind w:right="-45"/>
              <w:jc w:val="center"/>
              <w:rPr>
                <w:rFonts w:ascii="ITC Avant Garde" w:hAnsi="ITC Avant Garde"/>
                <w:bCs/>
                <w:sz w:val="16"/>
                <w:szCs w:val="16"/>
              </w:rPr>
            </w:pPr>
            <w:r w:rsidRPr="00AF2924">
              <w:rPr>
                <w:rFonts w:ascii="ITC Avant Garde" w:hAnsi="ITC Avant Garde"/>
                <w:bCs/>
                <w:sz w:val="16"/>
                <w:szCs w:val="16"/>
              </w:rPr>
              <w:t>Chiapas</w:t>
            </w:r>
          </w:p>
        </w:tc>
        <w:tc>
          <w:tcPr>
            <w:tcW w:w="1984" w:type="dxa"/>
          </w:tcPr>
          <w:p w14:paraId="2A39D9AE" w14:textId="77777777" w:rsidR="00DC2CB8" w:rsidRPr="00AF2924" w:rsidRDefault="00AC2C98" w:rsidP="00AF2924">
            <w:pPr>
              <w:autoSpaceDE w:val="0"/>
              <w:autoSpaceDN w:val="0"/>
              <w:adjustRightInd w:val="0"/>
              <w:spacing w:after="0" w:line="240" w:lineRule="auto"/>
              <w:ind w:right="-108"/>
              <w:rPr>
                <w:rFonts w:ascii="ITC Avant Garde" w:hAnsi="ITC Avant Garde"/>
                <w:bCs/>
                <w:sz w:val="16"/>
                <w:szCs w:val="16"/>
              </w:rPr>
            </w:pPr>
            <w:r w:rsidRPr="00AF2924">
              <w:rPr>
                <w:rFonts w:ascii="ITC Avant Garde" w:hAnsi="ITC Avant Garde"/>
                <w:bCs/>
                <w:sz w:val="16"/>
                <w:szCs w:val="16"/>
              </w:rPr>
              <w:t>1</w:t>
            </w:r>
            <w:r w:rsidR="00DC2CB8" w:rsidRPr="00AF2924">
              <w:rPr>
                <w:rFonts w:ascii="ITC Avant Garde" w:hAnsi="ITC Avant Garde"/>
                <w:bCs/>
                <w:sz w:val="16"/>
                <w:szCs w:val="16"/>
              </w:rPr>
              <w:t>. Tuxtla Gutiérrez</w:t>
            </w:r>
          </w:p>
          <w:p w14:paraId="5644B36C" w14:textId="77777777" w:rsidR="00DC2CB8" w:rsidRPr="00AF2924" w:rsidRDefault="00DC2CB8" w:rsidP="00AF2924">
            <w:pPr>
              <w:autoSpaceDE w:val="0"/>
              <w:autoSpaceDN w:val="0"/>
              <w:adjustRightInd w:val="0"/>
              <w:spacing w:after="0" w:line="240" w:lineRule="auto"/>
              <w:ind w:right="-108"/>
              <w:rPr>
                <w:rFonts w:ascii="ITC Avant Garde" w:hAnsi="ITC Avant Garde"/>
                <w:bCs/>
                <w:sz w:val="16"/>
                <w:szCs w:val="16"/>
              </w:rPr>
            </w:pPr>
            <w:r w:rsidRPr="00AF2924">
              <w:rPr>
                <w:rFonts w:ascii="ITC Avant Garde" w:hAnsi="ITC Avant Garde"/>
                <w:bCs/>
                <w:sz w:val="16"/>
                <w:szCs w:val="16"/>
              </w:rPr>
              <w:t>2. Chiapa de Corzo</w:t>
            </w:r>
          </w:p>
          <w:p w14:paraId="110BC504" w14:textId="77777777" w:rsidR="00DC2CB8" w:rsidRPr="00AF2924" w:rsidRDefault="00DC2CB8" w:rsidP="00AF2924">
            <w:pPr>
              <w:autoSpaceDE w:val="0"/>
              <w:autoSpaceDN w:val="0"/>
              <w:adjustRightInd w:val="0"/>
              <w:spacing w:after="0" w:line="240" w:lineRule="auto"/>
              <w:ind w:left="175" w:right="-108" w:hanging="175"/>
              <w:rPr>
                <w:rFonts w:ascii="ITC Avant Garde" w:hAnsi="ITC Avant Garde"/>
                <w:bCs/>
                <w:sz w:val="16"/>
                <w:szCs w:val="16"/>
              </w:rPr>
            </w:pPr>
            <w:r w:rsidRPr="00AF2924">
              <w:rPr>
                <w:rFonts w:ascii="ITC Avant Garde" w:hAnsi="ITC Avant Garde"/>
                <w:bCs/>
                <w:sz w:val="16"/>
                <w:szCs w:val="16"/>
              </w:rPr>
              <w:t>3. San Cristóbal de las   Casas</w:t>
            </w:r>
          </w:p>
          <w:p w14:paraId="7751D5BD" w14:textId="77777777" w:rsidR="00DC2CB8" w:rsidRPr="00AF2924" w:rsidRDefault="00DC2CB8" w:rsidP="00AF2924">
            <w:pPr>
              <w:autoSpaceDE w:val="0"/>
              <w:autoSpaceDN w:val="0"/>
              <w:adjustRightInd w:val="0"/>
              <w:spacing w:after="0" w:line="240" w:lineRule="auto"/>
              <w:ind w:left="175" w:right="-108" w:hanging="175"/>
              <w:rPr>
                <w:rFonts w:ascii="ITC Avant Garde" w:hAnsi="ITC Avant Garde"/>
                <w:bCs/>
                <w:sz w:val="16"/>
                <w:szCs w:val="16"/>
              </w:rPr>
            </w:pPr>
            <w:r w:rsidRPr="00AF2924">
              <w:rPr>
                <w:rFonts w:ascii="ITC Avant Garde" w:hAnsi="ITC Avant Garde"/>
                <w:bCs/>
                <w:sz w:val="16"/>
                <w:szCs w:val="16"/>
              </w:rPr>
              <w:t>4. Villaflores</w:t>
            </w:r>
          </w:p>
          <w:p w14:paraId="00E9AAAF" w14:textId="5C395CE9" w:rsidR="00AC2C98" w:rsidRPr="00AF2924" w:rsidRDefault="00DC2CB8" w:rsidP="00AF2924">
            <w:pPr>
              <w:autoSpaceDE w:val="0"/>
              <w:autoSpaceDN w:val="0"/>
              <w:adjustRightInd w:val="0"/>
              <w:spacing w:after="0" w:line="240" w:lineRule="auto"/>
              <w:ind w:left="175" w:right="-108" w:hanging="175"/>
              <w:rPr>
                <w:rFonts w:ascii="ITC Avant Garde" w:hAnsi="ITC Avant Garde"/>
                <w:bCs/>
                <w:sz w:val="16"/>
                <w:szCs w:val="16"/>
              </w:rPr>
            </w:pPr>
            <w:r w:rsidRPr="00AF2924">
              <w:rPr>
                <w:rFonts w:ascii="ITC Avant Garde" w:hAnsi="ITC Avant Garde"/>
                <w:bCs/>
                <w:sz w:val="16"/>
                <w:szCs w:val="16"/>
              </w:rPr>
              <w:t xml:space="preserve">5. Comitán  </w:t>
            </w:r>
          </w:p>
        </w:tc>
        <w:tc>
          <w:tcPr>
            <w:tcW w:w="1843" w:type="dxa"/>
          </w:tcPr>
          <w:p w14:paraId="76D3EB94" w14:textId="77777777" w:rsidR="00AC2C98" w:rsidRPr="00AF2924" w:rsidRDefault="00DC2CB8" w:rsidP="00AF2924">
            <w:pPr>
              <w:autoSpaceDE w:val="0"/>
              <w:autoSpaceDN w:val="0"/>
              <w:adjustRightInd w:val="0"/>
              <w:spacing w:after="0" w:line="240" w:lineRule="auto"/>
              <w:ind w:right="-108"/>
              <w:rPr>
                <w:rFonts w:ascii="ITC Avant Garde" w:hAnsi="ITC Avant Garde"/>
                <w:bCs/>
                <w:sz w:val="16"/>
                <w:szCs w:val="16"/>
              </w:rPr>
            </w:pPr>
            <w:r w:rsidRPr="00AF2924">
              <w:rPr>
                <w:rFonts w:ascii="ITC Avant Garde" w:hAnsi="ITC Avant Garde"/>
                <w:bCs/>
                <w:sz w:val="16"/>
                <w:szCs w:val="16"/>
              </w:rPr>
              <w:t>1. Tuxtla Gutiérrez</w:t>
            </w:r>
          </w:p>
          <w:p w14:paraId="1F45BCEA" w14:textId="470B0683" w:rsidR="00DC2CB8" w:rsidRPr="00AF2924" w:rsidRDefault="00DC2CB8" w:rsidP="00AF2924">
            <w:pPr>
              <w:autoSpaceDE w:val="0"/>
              <w:autoSpaceDN w:val="0"/>
              <w:adjustRightInd w:val="0"/>
              <w:spacing w:after="0" w:line="240" w:lineRule="auto"/>
              <w:ind w:right="-108"/>
              <w:rPr>
                <w:rFonts w:ascii="ITC Avant Garde" w:hAnsi="ITC Avant Garde"/>
                <w:bCs/>
                <w:sz w:val="16"/>
                <w:szCs w:val="16"/>
              </w:rPr>
            </w:pPr>
            <w:r w:rsidRPr="00AF2924">
              <w:rPr>
                <w:rFonts w:ascii="ITC Avant Garde" w:hAnsi="ITC Avant Garde"/>
                <w:bCs/>
                <w:sz w:val="16"/>
                <w:szCs w:val="16"/>
              </w:rPr>
              <w:t>2. Chiapa de Corzo</w:t>
            </w:r>
          </w:p>
        </w:tc>
      </w:tr>
      <w:tr w:rsidR="00AC2C98" w:rsidRPr="00AF2924" w14:paraId="1A47CBEA" w14:textId="77777777" w:rsidTr="00AF2924">
        <w:trPr>
          <w:jc w:val="center"/>
        </w:trPr>
        <w:tc>
          <w:tcPr>
            <w:tcW w:w="1985" w:type="dxa"/>
          </w:tcPr>
          <w:p w14:paraId="625D285A" w14:textId="784AAF36" w:rsidR="00DC2CB8" w:rsidRPr="00AF2924" w:rsidRDefault="00DC2CB8" w:rsidP="00AF2924">
            <w:pPr>
              <w:autoSpaceDE w:val="0"/>
              <w:autoSpaceDN w:val="0"/>
              <w:adjustRightInd w:val="0"/>
              <w:spacing w:after="0" w:line="240" w:lineRule="auto"/>
              <w:ind w:right="-60"/>
              <w:jc w:val="center"/>
              <w:rPr>
                <w:rFonts w:ascii="ITC Avant Garde" w:hAnsi="ITC Avant Garde"/>
                <w:bCs/>
                <w:sz w:val="16"/>
                <w:szCs w:val="16"/>
              </w:rPr>
            </w:pPr>
            <w:r w:rsidRPr="00AF2924">
              <w:rPr>
                <w:rFonts w:ascii="ITC Avant Garde" w:hAnsi="ITC Avant Garde"/>
                <w:bCs/>
                <w:sz w:val="16"/>
                <w:szCs w:val="16"/>
              </w:rPr>
              <w:t>Tabasco</w:t>
            </w:r>
          </w:p>
        </w:tc>
        <w:tc>
          <w:tcPr>
            <w:tcW w:w="1984" w:type="dxa"/>
          </w:tcPr>
          <w:p w14:paraId="08455A84"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1. Centro</w:t>
            </w:r>
          </w:p>
          <w:p w14:paraId="1F0EF246"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2. Nacajuca</w:t>
            </w:r>
          </w:p>
          <w:p w14:paraId="60E7DC7F"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3. Centla</w:t>
            </w:r>
          </w:p>
          <w:p w14:paraId="1DC94643" w14:textId="0CBC0E5A"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4. Jonutla</w:t>
            </w:r>
          </w:p>
          <w:p w14:paraId="2AE2007A" w14:textId="2217F09A" w:rsidR="00AC2C9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 xml:space="preserve">5. Cárdenas   </w:t>
            </w:r>
          </w:p>
        </w:tc>
        <w:tc>
          <w:tcPr>
            <w:tcW w:w="1843" w:type="dxa"/>
          </w:tcPr>
          <w:p w14:paraId="4F4EC5C3" w14:textId="77777777" w:rsidR="00AC2C9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1. Centro</w:t>
            </w:r>
          </w:p>
          <w:p w14:paraId="3B3924DB" w14:textId="21CF2014"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2. Nacajuca</w:t>
            </w:r>
          </w:p>
        </w:tc>
      </w:tr>
      <w:tr w:rsidR="00AC2C98" w:rsidRPr="00AF2924" w14:paraId="75961997" w14:textId="77777777" w:rsidTr="00AF2924">
        <w:trPr>
          <w:jc w:val="center"/>
        </w:trPr>
        <w:tc>
          <w:tcPr>
            <w:tcW w:w="1985" w:type="dxa"/>
          </w:tcPr>
          <w:p w14:paraId="4F668821" w14:textId="43177BD4" w:rsidR="00DC2CB8" w:rsidRPr="00AF2924" w:rsidRDefault="00DC2CB8" w:rsidP="00AF2924">
            <w:pPr>
              <w:autoSpaceDE w:val="0"/>
              <w:autoSpaceDN w:val="0"/>
              <w:adjustRightInd w:val="0"/>
              <w:spacing w:after="0" w:line="240" w:lineRule="auto"/>
              <w:ind w:right="-108"/>
              <w:jc w:val="center"/>
              <w:rPr>
                <w:rFonts w:ascii="ITC Avant Garde" w:hAnsi="ITC Avant Garde"/>
                <w:bCs/>
                <w:sz w:val="16"/>
                <w:szCs w:val="16"/>
              </w:rPr>
            </w:pPr>
            <w:r w:rsidRPr="00AF2924">
              <w:rPr>
                <w:rFonts w:ascii="ITC Avant Garde" w:hAnsi="ITC Avant Garde"/>
                <w:bCs/>
                <w:sz w:val="16"/>
                <w:szCs w:val="16"/>
              </w:rPr>
              <w:t>Yucatán</w:t>
            </w:r>
          </w:p>
        </w:tc>
        <w:tc>
          <w:tcPr>
            <w:tcW w:w="1984" w:type="dxa"/>
          </w:tcPr>
          <w:p w14:paraId="67859CCB"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1. Mérida</w:t>
            </w:r>
          </w:p>
          <w:p w14:paraId="2D4B0005"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2. Kanasín</w:t>
            </w:r>
          </w:p>
          <w:p w14:paraId="6DBCA114"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3. Umán</w:t>
            </w:r>
          </w:p>
          <w:p w14:paraId="2B2B0640"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4. Ucú</w:t>
            </w:r>
          </w:p>
          <w:p w14:paraId="05850F3E"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5. Conkal</w:t>
            </w:r>
          </w:p>
          <w:p w14:paraId="2B8135B4" w14:textId="7697D232" w:rsidR="00AC2C9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 xml:space="preserve">6. Progreso </w:t>
            </w:r>
          </w:p>
        </w:tc>
        <w:tc>
          <w:tcPr>
            <w:tcW w:w="1843" w:type="dxa"/>
          </w:tcPr>
          <w:p w14:paraId="2C4BB667"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1. Mérida</w:t>
            </w:r>
          </w:p>
          <w:p w14:paraId="3241FED2"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2. Kanasín</w:t>
            </w:r>
          </w:p>
          <w:p w14:paraId="32CBA4DB"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3. Umán</w:t>
            </w:r>
          </w:p>
          <w:p w14:paraId="60E3E7B5"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4. Ucú</w:t>
            </w:r>
          </w:p>
          <w:p w14:paraId="16F5FA75" w14:textId="6AE9E7C7" w:rsidR="00AC2C9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 xml:space="preserve">5. Conkal </w:t>
            </w:r>
          </w:p>
        </w:tc>
      </w:tr>
      <w:tr w:rsidR="00AC2C98" w:rsidRPr="00AF2924" w14:paraId="35FE85B4" w14:textId="77777777" w:rsidTr="00AF2924">
        <w:trPr>
          <w:jc w:val="center"/>
        </w:trPr>
        <w:tc>
          <w:tcPr>
            <w:tcW w:w="1985" w:type="dxa"/>
          </w:tcPr>
          <w:p w14:paraId="1A60B3D0" w14:textId="15A9A63A" w:rsidR="00DC2CB8" w:rsidRPr="00AF2924" w:rsidRDefault="00DC2CB8" w:rsidP="00AF2924">
            <w:pPr>
              <w:autoSpaceDE w:val="0"/>
              <w:autoSpaceDN w:val="0"/>
              <w:adjustRightInd w:val="0"/>
              <w:spacing w:after="0" w:line="240" w:lineRule="auto"/>
              <w:ind w:right="-108"/>
              <w:jc w:val="center"/>
              <w:rPr>
                <w:rFonts w:ascii="ITC Avant Garde" w:hAnsi="ITC Avant Garde"/>
                <w:bCs/>
                <w:sz w:val="16"/>
                <w:szCs w:val="16"/>
              </w:rPr>
            </w:pPr>
            <w:r w:rsidRPr="00AF2924">
              <w:rPr>
                <w:rFonts w:ascii="ITC Avant Garde" w:hAnsi="ITC Avant Garde"/>
                <w:bCs/>
                <w:sz w:val="16"/>
                <w:szCs w:val="16"/>
              </w:rPr>
              <w:t>Quintana Roo</w:t>
            </w:r>
          </w:p>
        </w:tc>
        <w:tc>
          <w:tcPr>
            <w:tcW w:w="1984" w:type="dxa"/>
          </w:tcPr>
          <w:p w14:paraId="69D85CF8"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1. Benito Juárez</w:t>
            </w:r>
          </w:p>
          <w:p w14:paraId="46F97B1F"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2. Isla mujeres</w:t>
            </w:r>
          </w:p>
          <w:p w14:paraId="5A321AE6"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lastRenderedPageBreak/>
              <w:t>3. Solidaridad (Playa del Cármen)</w:t>
            </w:r>
          </w:p>
          <w:p w14:paraId="35762FE4" w14:textId="3FDDFD7A"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4. Cozumel</w:t>
            </w:r>
          </w:p>
          <w:p w14:paraId="5F9FDFC8"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5. Puerto Morelos</w:t>
            </w:r>
          </w:p>
          <w:p w14:paraId="0ADEF314" w14:textId="4761522B"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6. Tulúm</w:t>
            </w:r>
          </w:p>
        </w:tc>
        <w:tc>
          <w:tcPr>
            <w:tcW w:w="1843" w:type="dxa"/>
          </w:tcPr>
          <w:p w14:paraId="764470D2" w14:textId="77777777" w:rsidR="00DC2CB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lastRenderedPageBreak/>
              <w:t>1. Benito Juárez</w:t>
            </w:r>
          </w:p>
          <w:p w14:paraId="262008CE" w14:textId="4DA38049" w:rsidR="00AC2C98" w:rsidRPr="00AF2924" w:rsidRDefault="00DC2CB8" w:rsidP="00AF2924">
            <w:pPr>
              <w:autoSpaceDE w:val="0"/>
              <w:autoSpaceDN w:val="0"/>
              <w:adjustRightInd w:val="0"/>
              <w:spacing w:after="0" w:line="240" w:lineRule="auto"/>
              <w:ind w:right="-108"/>
              <w:jc w:val="both"/>
              <w:rPr>
                <w:rFonts w:ascii="ITC Avant Garde" w:hAnsi="ITC Avant Garde"/>
                <w:bCs/>
                <w:sz w:val="16"/>
                <w:szCs w:val="16"/>
              </w:rPr>
            </w:pPr>
            <w:r w:rsidRPr="00AF2924">
              <w:rPr>
                <w:rFonts w:ascii="ITC Avant Garde" w:hAnsi="ITC Avant Garde"/>
                <w:bCs/>
                <w:sz w:val="16"/>
                <w:szCs w:val="16"/>
              </w:rPr>
              <w:t xml:space="preserve">2. Isla Mujeres </w:t>
            </w:r>
          </w:p>
        </w:tc>
      </w:tr>
    </w:tbl>
    <w:p w14:paraId="0D38380B" w14:textId="77777777" w:rsidR="00AF2924" w:rsidRPr="00AF2924" w:rsidRDefault="0007143E"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lastRenderedPageBreak/>
        <w:t>Haciendo un análisis más detallado de los municipios en los cuales CRP manifiesta que presta el servicio troncalizado, en el Anexo 1 de este documento se observan los mapas tanto de población como de territorio que componen a cada uno de las Zonas Metropolitanas en cuestión (mapas 1-4).</w:t>
      </w:r>
    </w:p>
    <w:p w14:paraId="39BCAF81" w14:textId="77777777" w:rsidR="00AF2924" w:rsidRPr="00AF2924" w:rsidRDefault="0007143E" w:rsidP="00AF2924">
      <w:pPr>
        <w:autoSpaceDE w:val="0"/>
        <w:autoSpaceDN w:val="0"/>
        <w:adjustRightInd w:val="0"/>
        <w:spacing w:before="240" w:line="240" w:lineRule="auto"/>
        <w:ind w:left="851" w:right="612"/>
        <w:jc w:val="both"/>
        <w:rPr>
          <w:rFonts w:ascii="ITC Avant Garde" w:hAnsi="ITC Avant Garde"/>
          <w:bCs/>
          <w:sz w:val="18"/>
          <w:u w:val="single"/>
        </w:rPr>
      </w:pPr>
      <w:r w:rsidRPr="00AF2924">
        <w:rPr>
          <w:rFonts w:ascii="ITC Avant Garde" w:hAnsi="ITC Avant Garde"/>
          <w:bCs/>
          <w:sz w:val="18"/>
        </w:rPr>
        <w:t xml:space="preserve">Derivado de lo anterior, todos los municipios adicionales en los que CRP argumenta dar cobertura para la prestación del servicio trunking </w:t>
      </w:r>
      <w:r w:rsidRPr="00AF2924">
        <w:rPr>
          <w:rFonts w:ascii="ITC Avant Garde" w:hAnsi="ITC Avant Garde"/>
          <w:bCs/>
          <w:sz w:val="18"/>
          <w:u w:val="single"/>
        </w:rPr>
        <w:t>no cumplen con los criterios establecidos en el documento ZMM.</w:t>
      </w:r>
    </w:p>
    <w:p w14:paraId="6C3C33A5" w14:textId="77777777" w:rsidR="00AF2924" w:rsidRPr="00AF2924" w:rsidRDefault="00226245"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4.1 Municipio de Puerto Morelos.</w:t>
      </w:r>
    </w:p>
    <w:p w14:paraId="5E3A17DD" w14:textId="77777777" w:rsidR="00AF2924" w:rsidRDefault="00226245" w:rsidP="00AF2924">
      <w:pPr>
        <w:autoSpaceDE w:val="0"/>
        <w:autoSpaceDN w:val="0"/>
        <w:adjustRightInd w:val="0"/>
        <w:spacing w:before="240" w:line="240" w:lineRule="auto"/>
        <w:ind w:left="851" w:right="612"/>
        <w:jc w:val="both"/>
        <w:rPr>
          <w:rFonts w:ascii="ITC Avant Garde" w:hAnsi="ITC Avant Garde"/>
          <w:bCs/>
          <w:noProof/>
          <w:sz w:val="18"/>
          <w:lang w:eastAsia="es-MX"/>
        </w:rPr>
      </w:pPr>
      <w:r w:rsidRPr="00AF2924">
        <w:rPr>
          <w:rFonts w:ascii="ITC Avant Garde" w:hAnsi="ITC Avant Garde"/>
          <w:bCs/>
          <w:sz w:val="18"/>
        </w:rPr>
        <w:t>El 6 de noviembre de 2015 se publicó en el Diario Oficial del Estado de Quintana Ro</w:t>
      </w:r>
      <w:r w:rsidR="000E5A33" w:rsidRPr="00AF2924">
        <w:rPr>
          <w:rFonts w:ascii="ITC Avant Garde" w:hAnsi="ITC Avant Garde"/>
          <w:bCs/>
          <w:sz w:val="18"/>
        </w:rPr>
        <w:t>o el ‘</w:t>
      </w:r>
      <w:r w:rsidRPr="00AF2924">
        <w:rPr>
          <w:rFonts w:ascii="ITC Avant Garde" w:hAnsi="ITC Avant Garde"/>
          <w:bCs/>
          <w:sz w:val="18"/>
        </w:rPr>
        <w:t>DECRETO NÚMERO: 342 POR EL QUE SE CREA EL MUNICIPIO DE PUERTO MOR</w:t>
      </w:r>
      <w:r w:rsidR="000E5A33" w:rsidRPr="00AF2924">
        <w:rPr>
          <w:rFonts w:ascii="ITC Avant Garde" w:hAnsi="ITC Avant Garde"/>
          <w:bCs/>
          <w:sz w:val="18"/>
        </w:rPr>
        <w:t>ELOS DEL ESTADO DE QUINTANA ROO’</w:t>
      </w:r>
      <w:r w:rsidR="000E5A33" w:rsidRPr="00AF2924">
        <w:rPr>
          <w:rStyle w:val="Refdenotaalpie"/>
          <w:rFonts w:ascii="ITC Avant Garde" w:hAnsi="ITC Avant Garde"/>
          <w:bCs/>
          <w:sz w:val="18"/>
        </w:rPr>
        <w:footnoteReference w:id="6"/>
      </w:r>
      <w:r w:rsidR="00556C30" w:rsidRPr="00AF2924">
        <w:rPr>
          <w:rFonts w:ascii="ITC Avant Garde" w:hAnsi="ITC Avant Garde"/>
          <w:bCs/>
          <w:sz w:val="18"/>
        </w:rPr>
        <w:t xml:space="preserve"> (‘</w:t>
      </w:r>
      <w:r w:rsidRPr="00AF2924">
        <w:rPr>
          <w:rFonts w:ascii="ITC Avant Garde" w:hAnsi="ITC Avant Garde"/>
          <w:bCs/>
          <w:sz w:val="18"/>
        </w:rPr>
        <w:t>el Decreto</w:t>
      </w:r>
      <w:r w:rsidR="00556C30" w:rsidRPr="00AF2924">
        <w:rPr>
          <w:rFonts w:ascii="ITC Avant Garde" w:hAnsi="ITC Avant Garde"/>
          <w:bCs/>
          <w:sz w:val="18"/>
        </w:rPr>
        <w:t>’</w:t>
      </w:r>
      <w:r w:rsidRPr="00AF2924">
        <w:rPr>
          <w:rFonts w:ascii="ITC Avant Garde" w:hAnsi="ITC Avant Garde"/>
          <w:bCs/>
          <w:sz w:val="18"/>
        </w:rPr>
        <w:t xml:space="preserve">). La creación del municipio de Puerto Morelos resulta de dividir en dos al territorio que anteriormente comprendería el municipio de Benito Juárez, resultando así el municipio de Benito Juárez (reducido en territorio) y el municipio de Puerto Morelos, lo cual es ejemplificado en la </w:t>
      </w:r>
      <w:r w:rsidRPr="00AF2924">
        <w:rPr>
          <w:rFonts w:ascii="ITC Avant Garde" w:hAnsi="ITC Avant Garde"/>
          <w:b/>
          <w:bCs/>
          <w:sz w:val="18"/>
        </w:rPr>
        <w:t>Figura 1</w:t>
      </w:r>
      <w:r w:rsidRPr="00AF2924">
        <w:rPr>
          <w:rFonts w:ascii="ITC Avant Garde" w:hAnsi="ITC Avant Garde"/>
          <w:bCs/>
          <w:sz w:val="18"/>
        </w:rPr>
        <w:t>.</w:t>
      </w:r>
    </w:p>
    <w:p w14:paraId="2C304140" w14:textId="75B2524C" w:rsidR="00226245" w:rsidRPr="00AF2924" w:rsidRDefault="00AF2924" w:rsidP="00AF2924">
      <w:pPr>
        <w:autoSpaceDE w:val="0"/>
        <w:autoSpaceDN w:val="0"/>
        <w:adjustRightInd w:val="0"/>
        <w:spacing w:before="240" w:line="240" w:lineRule="auto"/>
        <w:ind w:left="1985" w:right="612"/>
        <w:jc w:val="both"/>
        <w:rPr>
          <w:rFonts w:ascii="ITC Avant Garde" w:hAnsi="ITC Avant Garde"/>
          <w:bCs/>
          <w:sz w:val="18"/>
        </w:rPr>
      </w:pPr>
      <w:r>
        <w:rPr>
          <w:rFonts w:ascii="ITC Avant Garde" w:hAnsi="ITC Avant Garde"/>
          <w:bCs/>
          <w:noProof/>
          <w:sz w:val="18"/>
          <w:lang w:eastAsia="es-MX"/>
        </w:rPr>
        <w:drawing>
          <wp:inline distT="0" distB="0" distL="0" distR="0" wp14:anchorId="331B23D0" wp14:editId="3339A241">
            <wp:extent cx="3579136" cy="1854573"/>
            <wp:effectExtent l="0" t="0" r="2540" b="0"/>
            <wp:docPr id="12" name="Imagen 12" descr="La figura muestra comparativo de la mancha poblacional antes y después de publicado el Decreto." title="Figura 1. División Territorial del municipio de Benito Juárez: a) Antes de la publicación del Decreto; b) Después de la publicación del Dec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136" cy="1854573"/>
                    </a:xfrm>
                    <a:prstGeom prst="rect">
                      <a:avLst/>
                    </a:prstGeom>
                    <a:noFill/>
                    <a:ln>
                      <a:noFill/>
                    </a:ln>
                  </pic:spPr>
                </pic:pic>
              </a:graphicData>
            </a:graphic>
          </wp:inline>
        </w:drawing>
      </w:r>
    </w:p>
    <w:p w14:paraId="3883CFFA" w14:textId="77777777" w:rsidR="00AF2924" w:rsidRPr="00AF2924" w:rsidRDefault="00AF2924" w:rsidP="00AF2924">
      <w:pPr>
        <w:ind w:left="2127" w:right="1749"/>
        <w:jc w:val="center"/>
        <w:rPr>
          <w:rFonts w:ascii="ITC Avant Garde" w:hAnsi="ITC Avant Garde"/>
          <w:b/>
          <w:color w:val="000000" w:themeColor="text1"/>
          <w:sz w:val="14"/>
          <w:szCs w:val="18"/>
        </w:rPr>
      </w:pPr>
      <w:r w:rsidRPr="00AF2924">
        <w:rPr>
          <w:rFonts w:ascii="ITC Avant Garde" w:hAnsi="ITC Avant Garde"/>
          <w:b/>
          <w:color w:val="000000" w:themeColor="text1"/>
          <w:sz w:val="14"/>
          <w:szCs w:val="18"/>
        </w:rPr>
        <w:t>Figura 1. División Territorial del municipio de Benito Juárez: a) Antes de la publicación del Decreto; b) Después de la publicación del Decreto.</w:t>
      </w:r>
    </w:p>
    <w:p w14:paraId="06A50FCA" w14:textId="3370F0E5" w:rsidR="00AF2924" w:rsidRPr="00AF2924" w:rsidRDefault="00226245"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Lo establecido en el Decreto antes mencionado modificó la Constitución del Estado de Quintana Roo en su el artículo 127, en el cual se mencionan los municipios que constituyen al estado de Quintana Roo; y el artículo 128, donde se actualizaron los límites territoriales del municipio de Benito Juárez y se establecieron los límites territoriales del nuevo municipio de Puerto Morelos. Cabe resaltar que las actualizaciones territoriales antes mencionadas aún no son reflejadas en la base de datos del INEGI.</w:t>
      </w:r>
    </w:p>
    <w:p w14:paraId="1CCA652D" w14:textId="77777777" w:rsidR="00AF2924" w:rsidRPr="00AF2924" w:rsidRDefault="00226245"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Por consiguiente, dado que el Decreto fue emitido posteriormente a la publicación del documento ZMM y en consecuencia a la publicación de la Resolución, ésta última no incorpora el municipio de Puerto Morelos como parte de la Zona Metropolitana de Cancún, </w:t>
      </w:r>
      <w:r w:rsidRPr="00AF2924">
        <w:rPr>
          <w:rFonts w:ascii="ITC Avant Garde" w:hAnsi="ITC Avant Garde"/>
          <w:bCs/>
          <w:sz w:val="18"/>
        </w:rPr>
        <w:lastRenderedPageBreak/>
        <w:t>por lo tanto, dicho municipio no aparece contemplado en la cobertura del Concesionario en el estado de Quintana Roo.</w:t>
      </w:r>
    </w:p>
    <w:p w14:paraId="3AACFA16" w14:textId="77777777" w:rsidR="00AF2924" w:rsidRPr="00AF2924" w:rsidRDefault="00A753B7" w:rsidP="00AF2924">
      <w:pPr>
        <w:autoSpaceDE w:val="0"/>
        <w:autoSpaceDN w:val="0"/>
        <w:adjustRightInd w:val="0"/>
        <w:spacing w:before="240" w:line="240" w:lineRule="auto"/>
        <w:ind w:left="851" w:right="612"/>
        <w:jc w:val="both"/>
        <w:rPr>
          <w:rFonts w:ascii="ITC Avant Garde" w:hAnsi="ITC Avant Garde"/>
          <w:b/>
          <w:bCs/>
          <w:sz w:val="18"/>
        </w:rPr>
      </w:pPr>
      <w:r w:rsidRPr="00AF2924">
        <w:rPr>
          <w:rFonts w:ascii="ITC Avant Garde" w:hAnsi="ITC Avant Garde"/>
          <w:b/>
          <w:bCs/>
          <w:sz w:val="18"/>
        </w:rPr>
        <w:t>V. Opinión respecto a la solicitud</w:t>
      </w:r>
    </w:p>
    <w:p w14:paraId="2484D370" w14:textId="1B983EC6" w:rsidR="00A753B7" w:rsidRPr="00AF2924" w:rsidRDefault="00A753B7"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rPr>
        <w:t xml:space="preserve">En vista de los argumentos presentados en los anteriores numerales y tomando en cuenta las definiciones establecidas en el documento ZMM, en opinión de esta Dirección General, se observa como </w:t>
      </w:r>
      <w:r w:rsidRPr="00AF2924">
        <w:rPr>
          <w:rFonts w:ascii="ITC Avant Garde" w:hAnsi="ITC Avant Garde"/>
          <w:b/>
          <w:bCs/>
          <w:sz w:val="18"/>
        </w:rPr>
        <w:t>NO PROCEDENTE</w:t>
      </w:r>
      <w:r w:rsidRPr="00AF2924">
        <w:rPr>
          <w:rFonts w:ascii="ITC Avant Garde" w:hAnsi="ITC Avant Garde"/>
          <w:bCs/>
          <w:sz w:val="18"/>
        </w:rPr>
        <w:t xml:space="preserve"> la incorporación de los municipios adicionales argumentados por CRP dentro de la cobertura establecida en la Resolución para los estados de Yucatán, Tabasco y Chiapas. No obstante lo anterior, para el caso de Quintana Roo y particularmente para el municipio de Puerto Morelos, dado que agregar éste municipio </w:t>
      </w:r>
      <w:r w:rsidR="0038219D" w:rsidRPr="00AF2924">
        <w:rPr>
          <w:rFonts w:ascii="ITC Avant Garde" w:hAnsi="ITC Avant Garde"/>
          <w:bCs/>
          <w:sz w:val="18"/>
        </w:rPr>
        <w:t xml:space="preserve">no implica la adición o sustracción de territorio a la cobertura previamente contemplada en la Resolución, sino únicamente oficializa la asignación de lo que le corresponde en derecho a CRP en términos de cobertura dentro de la Zona Metropolitana de Cancún definida en el documento ZMM, se observa como </w:t>
      </w:r>
      <w:r w:rsidR="0038219D" w:rsidRPr="00AF2924">
        <w:rPr>
          <w:rFonts w:ascii="ITC Avant Garde" w:hAnsi="ITC Avant Garde"/>
          <w:b/>
          <w:bCs/>
          <w:sz w:val="18"/>
        </w:rPr>
        <w:t>PROCEDENTE</w:t>
      </w:r>
      <w:r w:rsidR="0038219D" w:rsidRPr="00AF2924">
        <w:rPr>
          <w:rFonts w:ascii="ITC Avant Garde" w:hAnsi="ITC Avant Garde"/>
          <w:bCs/>
          <w:sz w:val="18"/>
        </w:rPr>
        <w:t xml:space="preserve"> la adición </w:t>
      </w:r>
      <w:r w:rsidR="0038219D" w:rsidRPr="00AF2924">
        <w:rPr>
          <w:rFonts w:ascii="ITC Avant Garde" w:hAnsi="ITC Avant Garde"/>
          <w:bCs/>
          <w:sz w:val="18"/>
          <w:u w:val="single"/>
        </w:rPr>
        <w:t>únicamente</w:t>
      </w:r>
      <w:r w:rsidR="0038219D" w:rsidRPr="00AF2924">
        <w:rPr>
          <w:rFonts w:ascii="ITC Avant Garde" w:hAnsi="ITC Avant Garde"/>
          <w:bCs/>
          <w:sz w:val="18"/>
        </w:rPr>
        <w:t xml:space="preserve"> del municipio de </w:t>
      </w:r>
      <w:r w:rsidR="0038219D" w:rsidRPr="00AF2924">
        <w:rPr>
          <w:rFonts w:ascii="ITC Avant Garde" w:hAnsi="ITC Avant Garde"/>
          <w:b/>
          <w:bCs/>
          <w:sz w:val="18"/>
        </w:rPr>
        <w:t>Puerto Morelos</w:t>
      </w:r>
      <w:r w:rsidR="0038219D" w:rsidRPr="00AF2924">
        <w:rPr>
          <w:rFonts w:ascii="ITC Avant Garde" w:hAnsi="ITC Avant Garde"/>
          <w:bCs/>
          <w:sz w:val="18"/>
        </w:rPr>
        <w:t xml:space="preserve"> a la cobertura de CRP en el estado de Quintana Roo.</w:t>
      </w:r>
    </w:p>
    <w:p w14:paraId="21749D5B" w14:textId="77777777" w:rsidR="00AF2924" w:rsidRPr="00AF2924" w:rsidRDefault="0038219D" w:rsidP="00AF2924">
      <w:pPr>
        <w:autoSpaceDE w:val="0"/>
        <w:autoSpaceDN w:val="0"/>
        <w:adjustRightInd w:val="0"/>
        <w:spacing w:before="240" w:line="240" w:lineRule="auto"/>
        <w:ind w:left="851" w:right="612"/>
        <w:jc w:val="both"/>
        <w:rPr>
          <w:rFonts w:ascii="ITC Avant Garde" w:hAnsi="ITC Avant Garde"/>
          <w:bCs/>
          <w:sz w:val="18"/>
        </w:rPr>
      </w:pPr>
      <w:r w:rsidRPr="00AF2924">
        <w:rPr>
          <w:rFonts w:ascii="ITC Avant Garde" w:hAnsi="ITC Avant Garde"/>
          <w:bCs/>
          <w:sz w:val="18"/>
          <w:szCs w:val="18"/>
        </w:rPr>
        <w:t xml:space="preserve">[…].” </w:t>
      </w:r>
      <w:r w:rsidR="00EE1A9E" w:rsidRPr="00AF2924">
        <w:rPr>
          <w:rFonts w:ascii="ITC Avant Garde" w:hAnsi="ITC Avant Garde"/>
          <w:bCs/>
          <w:sz w:val="18"/>
          <w:szCs w:val="18"/>
        </w:rPr>
        <w:t>[Sic]</w:t>
      </w:r>
    </w:p>
    <w:p w14:paraId="65F07E5C" w14:textId="1902F4C3" w:rsidR="00B1293B" w:rsidRPr="00AF2924" w:rsidRDefault="00CB0144" w:rsidP="00AF2924">
      <w:pPr>
        <w:spacing w:before="240" w:line="240" w:lineRule="auto"/>
        <w:jc w:val="both"/>
        <w:rPr>
          <w:rFonts w:ascii="ITC Avant Garde" w:hAnsi="ITC Avant Garde"/>
          <w:bCs/>
          <w:color w:val="000000"/>
          <w:lang w:eastAsia="es-MX"/>
        </w:rPr>
      </w:pPr>
      <w:r w:rsidRPr="00AF2924">
        <w:rPr>
          <w:rFonts w:ascii="ITC Avant Garde" w:hAnsi="ITC Avant Garde"/>
          <w:bCs/>
          <w:color w:val="000000"/>
          <w:lang w:eastAsia="es-MX"/>
        </w:rPr>
        <w:t>De lo anterior se desprende que</w:t>
      </w:r>
      <w:r w:rsidR="00AC4A4A" w:rsidRPr="00AF2924">
        <w:rPr>
          <w:rFonts w:ascii="ITC Avant Garde" w:hAnsi="ITC Avant Garde"/>
          <w:bCs/>
          <w:color w:val="000000"/>
          <w:lang w:eastAsia="es-MX"/>
        </w:rPr>
        <w:t xml:space="preserve"> los criterios par</w:t>
      </w:r>
      <w:r w:rsidRPr="00AF2924">
        <w:rPr>
          <w:rFonts w:ascii="ITC Avant Garde" w:hAnsi="ITC Avant Garde"/>
          <w:bCs/>
          <w:color w:val="000000"/>
          <w:lang w:eastAsia="es-MX"/>
        </w:rPr>
        <w:t>a</w:t>
      </w:r>
      <w:r w:rsidR="00AC4A4A" w:rsidRPr="00AF2924">
        <w:rPr>
          <w:rFonts w:ascii="ITC Avant Garde" w:hAnsi="ITC Avant Garde"/>
          <w:bCs/>
          <w:color w:val="000000"/>
          <w:lang w:eastAsia="es-MX"/>
        </w:rPr>
        <w:t xml:space="preserve"> definir la</w:t>
      </w:r>
      <w:r w:rsidRPr="00AF2924">
        <w:rPr>
          <w:rFonts w:ascii="ITC Avant Garde" w:hAnsi="ITC Avant Garde"/>
          <w:bCs/>
          <w:color w:val="000000"/>
          <w:lang w:eastAsia="es-MX"/>
        </w:rPr>
        <w:t xml:space="preserve"> </w:t>
      </w:r>
      <w:r w:rsidR="00BF4798" w:rsidRPr="00AF2924">
        <w:rPr>
          <w:rFonts w:ascii="ITC Avant Garde" w:hAnsi="ITC Avant Garde"/>
          <w:bCs/>
          <w:color w:val="000000"/>
          <w:lang w:eastAsia="es-MX"/>
        </w:rPr>
        <w:t xml:space="preserve">cobertura </w:t>
      </w:r>
      <w:r w:rsidR="005673AB" w:rsidRPr="00AF2924">
        <w:rPr>
          <w:rFonts w:ascii="ITC Avant Garde" w:hAnsi="ITC Avant Garde"/>
          <w:bCs/>
          <w:color w:val="000000"/>
          <w:lang w:eastAsia="es-MX"/>
        </w:rPr>
        <w:t>contemplada</w:t>
      </w:r>
      <w:r w:rsidR="0089122D" w:rsidRPr="00AF2924">
        <w:rPr>
          <w:rFonts w:ascii="ITC Avant Garde" w:hAnsi="ITC Avant Garde"/>
          <w:bCs/>
          <w:color w:val="000000"/>
          <w:lang w:eastAsia="es-MX"/>
        </w:rPr>
        <w:t xml:space="preserve"> en la Resolución de Prórroga, </w:t>
      </w:r>
      <w:r w:rsidR="005673AB" w:rsidRPr="00AF2924">
        <w:rPr>
          <w:rFonts w:ascii="ITC Avant Garde" w:hAnsi="ITC Avant Garde"/>
          <w:bCs/>
          <w:color w:val="000000"/>
          <w:lang w:eastAsia="es-MX"/>
        </w:rPr>
        <w:t>fue</w:t>
      </w:r>
      <w:r w:rsidR="00AC4A4A" w:rsidRPr="00AF2924">
        <w:rPr>
          <w:rFonts w:ascii="ITC Avant Garde" w:hAnsi="ITC Avant Garde"/>
          <w:bCs/>
          <w:color w:val="000000"/>
          <w:lang w:eastAsia="es-MX"/>
        </w:rPr>
        <w:t>ron</w:t>
      </w:r>
      <w:r w:rsidR="005673AB" w:rsidRPr="00AF2924">
        <w:rPr>
          <w:rFonts w:ascii="ITC Avant Garde" w:hAnsi="ITC Avant Garde"/>
          <w:bCs/>
          <w:color w:val="000000"/>
          <w:lang w:eastAsia="es-MX"/>
        </w:rPr>
        <w:t xml:space="preserve"> adoptad</w:t>
      </w:r>
      <w:r w:rsidR="00AC4A4A" w:rsidRPr="00AF2924">
        <w:rPr>
          <w:rFonts w:ascii="ITC Avant Garde" w:hAnsi="ITC Avant Garde"/>
          <w:bCs/>
          <w:color w:val="000000"/>
          <w:lang w:eastAsia="es-MX"/>
        </w:rPr>
        <w:t>os</w:t>
      </w:r>
      <w:r w:rsidR="005673AB" w:rsidRPr="00AF2924">
        <w:rPr>
          <w:rFonts w:ascii="ITC Avant Garde" w:hAnsi="ITC Avant Garde"/>
          <w:bCs/>
          <w:color w:val="000000"/>
          <w:lang w:eastAsia="es-MX"/>
        </w:rPr>
        <w:t xml:space="preserve"> </w:t>
      </w:r>
      <w:r w:rsidR="00D64F20" w:rsidRPr="00AF2924">
        <w:rPr>
          <w:rFonts w:ascii="ITC Avant Garde" w:hAnsi="ITC Avant Garde"/>
          <w:bCs/>
          <w:color w:val="000000"/>
          <w:lang w:eastAsia="es-MX"/>
        </w:rPr>
        <w:t xml:space="preserve">por el Pleno del Instituto </w:t>
      </w:r>
      <w:r w:rsidR="0089122D" w:rsidRPr="00AF2924">
        <w:rPr>
          <w:rFonts w:ascii="ITC Avant Garde" w:hAnsi="ITC Avant Garde"/>
          <w:bCs/>
          <w:color w:val="000000"/>
          <w:lang w:eastAsia="es-MX"/>
        </w:rPr>
        <w:t xml:space="preserve">con base en </w:t>
      </w:r>
      <w:r w:rsidR="005673AB" w:rsidRPr="00AF2924">
        <w:rPr>
          <w:rFonts w:ascii="ITC Avant Garde" w:hAnsi="ITC Avant Garde"/>
          <w:bCs/>
          <w:color w:val="000000"/>
          <w:lang w:eastAsia="es-MX"/>
        </w:rPr>
        <w:t xml:space="preserve">el </w:t>
      </w:r>
      <w:r w:rsidR="00BF4798" w:rsidRPr="00AF2924">
        <w:rPr>
          <w:rFonts w:ascii="ITC Avant Garde" w:hAnsi="ITC Avant Garde"/>
          <w:bCs/>
          <w:color w:val="000000"/>
          <w:lang w:eastAsia="es-MX"/>
        </w:rPr>
        <w:t xml:space="preserve">documento </w:t>
      </w:r>
      <w:r w:rsidR="005673AB" w:rsidRPr="00AF2924">
        <w:rPr>
          <w:rFonts w:ascii="ITC Avant Garde" w:hAnsi="ITC Avant Garde"/>
          <w:bCs/>
          <w:color w:val="000000"/>
          <w:lang w:eastAsia="es-MX"/>
        </w:rPr>
        <w:t>denominado “</w:t>
      </w:r>
      <w:r w:rsidR="00BF4798" w:rsidRPr="00AF2924">
        <w:rPr>
          <w:rFonts w:ascii="ITC Avant Garde" w:hAnsi="ITC Avant Garde"/>
          <w:bCs/>
          <w:color w:val="000000"/>
          <w:lang w:eastAsia="es-MX"/>
        </w:rPr>
        <w:t>Delimitación de las Zonas Metropolitanas de México 2010</w:t>
      </w:r>
      <w:r w:rsidR="005673AB" w:rsidRPr="00AF2924">
        <w:rPr>
          <w:rFonts w:ascii="ITC Avant Garde" w:hAnsi="ITC Avant Garde"/>
          <w:bCs/>
          <w:color w:val="000000"/>
          <w:lang w:eastAsia="es-MX"/>
        </w:rPr>
        <w:t>”</w:t>
      </w:r>
      <w:r w:rsidR="00BF4798" w:rsidRPr="00AF2924">
        <w:rPr>
          <w:rFonts w:ascii="ITC Avant Garde" w:hAnsi="ITC Avant Garde"/>
          <w:bCs/>
          <w:color w:val="000000"/>
          <w:lang w:eastAsia="es-MX"/>
        </w:rPr>
        <w:t>,</w:t>
      </w:r>
      <w:r w:rsidR="00D64F20" w:rsidRPr="00AF2924">
        <w:rPr>
          <w:rFonts w:ascii="ITC Avant Garde" w:hAnsi="ITC Avant Garde"/>
          <w:bCs/>
          <w:color w:val="000000"/>
          <w:lang w:eastAsia="es-MX"/>
        </w:rPr>
        <w:t xml:space="preserve"> cuyo objetivo es delimitar las zonas metropolitanas </w:t>
      </w:r>
      <w:r w:rsidR="00EA2D08" w:rsidRPr="00AF2924">
        <w:rPr>
          <w:rFonts w:ascii="ITC Avant Garde" w:hAnsi="ITC Avant Garde"/>
          <w:bCs/>
          <w:color w:val="000000"/>
          <w:lang w:eastAsia="es-MX"/>
        </w:rPr>
        <w:t xml:space="preserve">del país y establecer, a la vez, </w:t>
      </w:r>
      <w:r w:rsidR="00D64F20" w:rsidRPr="00AF2924">
        <w:rPr>
          <w:rFonts w:ascii="ITC Avant Garde" w:hAnsi="ITC Avant Garde"/>
          <w:bCs/>
          <w:color w:val="000000"/>
          <w:lang w:eastAsia="es-MX"/>
        </w:rPr>
        <w:t>un marco de referencia común para fortalecer y mejorar las acciones de los órdenes de gobierno en la planeación y gestión del desarrollo metropolitano</w:t>
      </w:r>
      <w:r w:rsidR="00EA2D08" w:rsidRPr="00AF2924">
        <w:rPr>
          <w:rFonts w:ascii="ITC Avant Garde" w:hAnsi="ITC Avant Garde"/>
          <w:bCs/>
          <w:color w:val="000000"/>
          <w:lang w:eastAsia="es-MX"/>
        </w:rPr>
        <w:t xml:space="preserve">. </w:t>
      </w:r>
      <w:r w:rsidR="00BB600B" w:rsidRPr="00AF2924">
        <w:rPr>
          <w:rFonts w:ascii="ITC Avant Garde" w:hAnsi="ITC Avant Garde"/>
          <w:bCs/>
          <w:color w:val="000000"/>
          <w:lang w:eastAsia="es-MX"/>
        </w:rPr>
        <w:t xml:space="preserve">Dicho </w:t>
      </w:r>
      <w:r w:rsidR="00EA2D08" w:rsidRPr="00AF2924">
        <w:rPr>
          <w:rFonts w:ascii="ITC Avant Garde" w:hAnsi="ITC Avant Garde"/>
          <w:bCs/>
          <w:color w:val="000000"/>
          <w:lang w:eastAsia="es-MX"/>
        </w:rPr>
        <w:t xml:space="preserve">documento </w:t>
      </w:r>
      <w:r w:rsidR="00D64F20" w:rsidRPr="00AF2924">
        <w:rPr>
          <w:rFonts w:ascii="ITC Avant Garde" w:hAnsi="ITC Avant Garde"/>
          <w:bCs/>
          <w:color w:val="000000"/>
          <w:lang w:eastAsia="es-MX"/>
        </w:rPr>
        <w:t>fue</w:t>
      </w:r>
      <w:r w:rsidR="00BF4798" w:rsidRPr="00AF2924">
        <w:rPr>
          <w:rFonts w:ascii="ITC Avant Garde" w:hAnsi="ITC Avant Garde"/>
          <w:bCs/>
          <w:color w:val="000000"/>
          <w:lang w:eastAsia="es-MX"/>
        </w:rPr>
        <w:t xml:space="preserve"> emitido por el Instituto Nacional de Estadística y Geogr</w:t>
      </w:r>
      <w:r w:rsidR="009B27A6" w:rsidRPr="00AF2924">
        <w:rPr>
          <w:rFonts w:ascii="ITC Avant Garde" w:hAnsi="ITC Avant Garde"/>
          <w:bCs/>
          <w:color w:val="000000"/>
          <w:lang w:eastAsia="es-MX"/>
        </w:rPr>
        <w:t>afía</w:t>
      </w:r>
      <w:r w:rsidR="00BF4798" w:rsidRPr="00AF2924">
        <w:rPr>
          <w:rFonts w:ascii="ITC Avant Garde" w:hAnsi="ITC Avant Garde"/>
          <w:bCs/>
          <w:color w:val="000000"/>
          <w:lang w:eastAsia="es-MX"/>
        </w:rPr>
        <w:t>,</w:t>
      </w:r>
      <w:r w:rsidR="00DC427C" w:rsidRPr="00AF2924">
        <w:rPr>
          <w:rFonts w:ascii="ITC Avant Garde" w:hAnsi="ITC Avant Garde"/>
          <w:bCs/>
          <w:color w:val="000000"/>
          <w:lang w:eastAsia="es-MX"/>
        </w:rPr>
        <w:t xml:space="preserve"> </w:t>
      </w:r>
      <w:r w:rsidR="00E93B86" w:rsidRPr="00AF2924">
        <w:rPr>
          <w:rFonts w:ascii="ITC Avant Garde" w:hAnsi="ITC Avant Garde"/>
          <w:bCs/>
          <w:color w:val="000000"/>
          <w:lang w:eastAsia="es-MX"/>
        </w:rPr>
        <w:t>organismo público autónomo que</w:t>
      </w:r>
      <w:r w:rsidR="00DC427C" w:rsidRPr="00AF2924">
        <w:rPr>
          <w:rFonts w:ascii="ITC Avant Garde" w:hAnsi="ITC Avant Garde"/>
          <w:bCs/>
          <w:color w:val="000000"/>
          <w:lang w:eastAsia="es-MX"/>
        </w:rPr>
        <w:t xml:space="preserve"> tiene entre sus atribuciones</w:t>
      </w:r>
      <w:r w:rsidR="00E93B86" w:rsidRPr="00AF2924">
        <w:rPr>
          <w:rFonts w:ascii="ITC Avant Garde" w:hAnsi="ITC Avant Garde"/>
          <w:bCs/>
          <w:color w:val="000000"/>
          <w:lang w:eastAsia="es-MX"/>
        </w:rPr>
        <w:t>,</w:t>
      </w:r>
      <w:r w:rsidR="00DC427C" w:rsidRPr="00AF2924">
        <w:rPr>
          <w:rFonts w:ascii="ITC Avant Garde" w:hAnsi="ITC Avant Garde"/>
          <w:bCs/>
          <w:color w:val="000000"/>
          <w:lang w:eastAsia="es-MX"/>
        </w:rPr>
        <w:t xml:space="preserve"> la de captar y difundir información de México en cuanto al territorio, los recursos, la población y economía</w:t>
      </w:r>
      <w:r w:rsidR="00AC4A4A" w:rsidRPr="00AF2924">
        <w:rPr>
          <w:rFonts w:ascii="ITC Avant Garde" w:hAnsi="ITC Avant Garde"/>
          <w:bCs/>
          <w:color w:val="000000"/>
          <w:lang w:eastAsia="es-MX"/>
        </w:rPr>
        <w:t>.</w:t>
      </w:r>
      <w:r w:rsidR="00DC427C" w:rsidRPr="00AF2924">
        <w:rPr>
          <w:rFonts w:ascii="ITC Avant Garde" w:hAnsi="ITC Avant Garde"/>
          <w:bCs/>
          <w:color w:val="000000"/>
          <w:lang w:eastAsia="es-MX"/>
        </w:rPr>
        <w:t xml:space="preserve"> </w:t>
      </w:r>
    </w:p>
    <w:p w14:paraId="5E30A272" w14:textId="77777777" w:rsidR="00AF2924" w:rsidRPr="00AF2924" w:rsidRDefault="00EA2D08" w:rsidP="00AF2924">
      <w:pPr>
        <w:spacing w:before="240" w:line="240" w:lineRule="auto"/>
        <w:jc w:val="both"/>
        <w:rPr>
          <w:rFonts w:ascii="ITC Avant Garde" w:hAnsi="ITC Avant Garde"/>
          <w:bCs/>
          <w:color w:val="000000"/>
          <w:lang w:eastAsia="es-MX"/>
        </w:rPr>
      </w:pPr>
      <w:r w:rsidRPr="00AF2924">
        <w:rPr>
          <w:rFonts w:ascii="ITC Avant Garde" w:hAnsi="ITC Avant Garde"/>
          <w:bCs/>
          <w:color w:val="000000"/>
          <w:lang w:eastAsia="es-MX"/>
        </w:rPr>
        <w:t xml:space="preserve">Este documento, al definir a las zonas metropolitanas del país, considera </w:t>
      </w:r>
      <w:r w:rsidR="000C2134" w:rsidRPr="00AF2924">
        <w:rPr>
          <w:rFonts w:ascii="ITC Avant Garde" w:hAnsi="ITC Avant Garde"/>
          <w:bCs/>
          <w:color w:val="000000"/>
          <w:lang w:eastAsia="es-MX"/>
        </w:rPr>
        <w:t xml:space="preserve">los siguientes </w:t>
      </w:r>
      <w:r w:rsidR="005E103D" w:rsidRPr="00AF2924">
        <w:rPr>
          <w:rFonts w:ascii="ITC Avant Garde" w:hAnsi="ITC Avant Garde"/>
          <w:bCs/>
          <w:color w:val="000000"/>
          <w:lang w:eastAsia="es-MX"/>
        </w:rPr>
        <w:t>criterios</w:t>
      </w:r>
      <w:r w:rsidR="004342D3" w:rsidRPr="00AF2924">
        <w:rPr>
          <w:rFonts w:ascii="ITC Avant Garde" w:hAnsi="ITC Avant Garde"/>
          <w:bCs/>
          <w:color w:val="000000"/>
          <w:lang w:eastAsia="es-MX"/>
        </w:rPr>
        <w:t>: i) integración funcional por lugar de trabajo; ii) población ocupada en actividades no primarias; iii) densidad media urbana, así como el cumplimiento de algun</w:t>
      </w:r>
      <w:r w:rsidRPr="00AF2924">
        <w:rPr>
          <w:rFonts w:ascii="ITC Avant Garde" w:hAnsi="ITC Avant Garde"/>
          <w:bCs/>
          <w:color w:val="000000"/>
          <w:lang w:eastAsia="es-MX"/>
        </w:rPr>
        <w:t>o de los siguientes aspecto</w:t>
      </w:r>
      <w:r w:rsidR="004342D3" w:rsidRPr="00AF2924">
        <w:rPr>
          <w:rFonts w:ascii="ITC Avant Garde" w:hAnsi="ITC Avant Garde"/>
          <w:bCs/>
          <w:color w:val="000000"/>
          <w:lang w:eastAsia="es-MX"/>
        </w:rPr>
        <w:t>s: i) estar incluidos en la declaratoria de zona conurbada o zona metropolitana correspondiente; ii) estar considerados en el respectivo programa de ordenación de zona conurbada o zona metropolitana, o iii) estar considerados en el Programa Nacional de Desarrollo Urbano y Ordenación del Territorio.</w:t>
      </w:r>
    </w:p>
    <w:p w14:paraId="22811A09" w14:textId="77777777" w:rsidR="00AF2924" w:rsidRPr="00AF2924" w:rsidRDefault="00EA2D08" w:rsidP="00AF2924">
      <w:pPr>
        <w:spacing w:before="240" w:line="240" w:lineRule="auto"/>
        <w:jc w:val="both"/>
        <w:rPr>
          <w:rFonts w:ascii="ITC Avant Garde" w:hAnsi="ITC Avant Garde"/>
          <w:bCs/>
          <w:color w:val="000000"/>
          <w:lang w:eastAsia="es-MX"/>
        </w:rPr>
      </w:pPr>
      <w:r w:rsidRPr="00AF2924">
        <w:rPr>
          <w:rFonts w:ascii="ITC Avant Garde" w:hAnsi="ITC Avant Garde"/>
          <w:bCs/>
          <w:color w:val="000000"/>
          <w:lang w:eastAsia="es-MX"/>
        </w:rPr>
        <w:t xml:space="preserve">Como lo señala la Dirección General de Ingeniería del Espectro y Estudios Técnicos, adscrita a la Unidad de Espectro Radioeléctrico, </w:t>
      </w:r>
      <w:r w:rsidR="001318FD" w:rsidRPr="00AF2924">
        <w:rPr>
          <w:rFonts w:ascii="ITC Avant Garde" w:hAnsi="ITC Avant Garde"/>
          <w:bCs/>
          <w:color w:val="000000"/>
          <w:lang w:eastAsia="es-MX"/>
        </w:rPr>
        <w:t>en su</w:t>
      </w:r>
      <w:r w:rsidRPr="00AF2924">
        <w:rPr>
          <w:rFonts w:ascii="ITC Avant Garde" w:hAnsi="ITC Avant Garde"/>
          <w:bCs/>
          <w:color w:val="000000"/>
          <w:lang w:eastAsia="es-MX"/>
        </w:rPr>
        <w:t xml:space="preserve"> oficio IFT/222/UER/DG-IEET/0153/2017 de fecha 13 de febrero de 2017, </w:t>
      </w:r>
      <w:r w:rsidR="005E103D" w:rsidRPr="00AF2924">
        <w:rPr>
          <w:rFonts w:ascii="ITC Avant Garde" w:hAnsi="ITC Avant Garde"/>
          <w:bCs/>
          <w:color w:val="000000"/>
          <w:lang w:eastAsia="es-MX"/>
        </w:rPr>
        <w:t xml:space="preserve">todos los municipios adicionales </w:t>
      </w:r>
      <w:r w:rsidR="00B1293B" w:rsidRPr="00AF2924">
        <w:rPr>
          <w:rFonts w:ascii="ITC Avant Garde" w:hAnsi="ITC Avant Garde"/>
          <w:bCs/>
          <w:color w:val="000000"/>
          <w:lang w:eastAsia="es-MX"/>
        </w:rPr>
        <w:t>a los contemplados en la Resolución de Prórroga</w:t>
      </w:r>
      <w:r w:rsidR="001318FD" w:rsidRPr="00AF2924">
        <w:rPr>
          <w:rFonts w:ascii="ITC Avant Garde" w:hAnsi="ITC Avant Garde"/>
          <w:bCs/>
          <w:color w:val="000000"/>
          <w:lang w:eastAsia="es-MX"/>
        </w:rPr>
        <w:t xml:space="preserve">, </w:t>
      </w:r>
      <w:r w:rsidR="005E103D" w:rsidRPr="00AF2924">
        <w:rPr>
          <w:rFonts w:ascii="ITC Avant Garde" w:hAnsi="ITC Avant Garde"/>
          <w:bCs/>
          <w:color w:val="000000"/>
          <w:lang w:eastAsia="es-MX"/>
        </w:rPr>
        <w:t>en los que Comunicaciones Radiotel</w:t>
      </w:r>
      <w:r w:rsidR="001318FD" w:rsidRPr="00AF2924">
        <w:rPr>
          <w:rFonts w:ascii="ITC Avant Garde" w:hAnsi="ITC Avant Garde"/>
          <w:bCs/>
          <w:color w:val="000000"/>
          <w:lang w:eastAsia="es-MX"/>
        </w:rPr>
        <w:t>efónicas Peninsulares afirma tener cobertura</w:t>
      </w:r>
      <w:r w:rsidR="005E103D" w:rsidRPr="00AF2924">
        <w:rPr>
          <w:rFonts w:ascii="ITC Avant Garde" w:hAnsi="ITC Avant Garde"/>
          <w:bCs/>
          <w:color w:val="000000"/>
          <w:lang w:eastAsia="es-MX"/>
        </w:rPr>
        <w:t xml:space="preserve"> para la prestación del servicio móvil de radiocomunicación especializada de flotillas</w:t>
      </w:r>
      <w:r w:rsidR="001318FD" w:rsidRPr="00AF2924">
        <w:rPr>
          <w:rFonts w:ascii="ITC Avant Garde" w:hAnsi="ITC Avant Garde"/>
          <w:bCs/>
          <w:color w:val="000000"/>
          <w:lang w:eastAsia="es-MX"/>
        </w:rPr>
        <w:t>,</w:t>
      </w:r>
      <w:r w:rsidRPr="00AF2924">
        <w:rPr>
          <w:rFonts w:ascii="ITC Avant Garde" w:hAnsi="ITC Avant Garde"/>
          <w:bCs/>
          <w:color w:val="000000"/>
          <w:lang w:eastAsia="es-MX"/>
        </w:rPr>
        <w:t xml:space="preserve"> por</w:t>
      </w:r>
      <w:r w:rsidR="001318FD" w:rsidRPr="00AF2924">
        <w:rPr>
          <w:rFonts w:ascii="ITC Avant Garde" w:hAnsi="ITC Avant Garde"/>
          <w:bCs/>
          <w:color w:val="000000"/>
          <w:lang w:eastAsia="es-MX"/>
        </w:rPr>
        <w:t xml:space="preserve"> haber considerado que la Concesión de 1992 le habilitaba para tales fines</w:t>
      </w:r>
      <w:r w:rsidR="005E103D" w:rsidRPr="00AF2924">
        <w:rPr>
          <w:rFonts w:ascii="ITC Avant Garde" w:hAnsi="ITC Avant Garde"/>
          <w:bCs/>
          <w:color w:val="000000"/>
          <w:lang w:eastAsia="es-MX"/>
        </w:rPr>
        <w:t>, no cumplen co</w:t>
      </w:r>
      <w:r w:rsidR="001318FD" w:rsidRPr="00AF2924">
        <w:rPr>
          <w:rFonts w:ascii="ITC Avant Garde" w:hAnsi="ITC Avant Garde"/>
          <w:bCs/>
          <w:color w:val="000000"/>
          <w:lang w:eastAsia="es-MX"/>
        </w:rPr>
        <w:t>n los criterios establecidos por el Instituto Nacional de Estadística y Geografía en el documento “Delimitación de las Zonas Metropolitanas de México 2010”. Por tal situación, no se considera procedente la modificación de la Concesi</w:t>
      </w:r>
      <w:r w:rsidR="00142E9E" w:rsidRPr="00AF2924">
        <w:rPr>
          <w:rFonts w:ascii="ITC Avant Garde" w:hAnsi="ITC Avant Garde"/>
          <w:bCs/>
          <w:color w:val="000000"/>
          <w:lang w:eastAsia="es-MX"/>
        </w:rPr>
        <w:t xml:space="preserve">ón de Espectro Radioeléctrico </w:t>
      </w:r>
      <w:r w:rsidR="001318FD" w:rsidRPr="00AF2924">
        <w:rPr>
          <w:rFonts w:ascii="ITC Avant Garde" w:hAnsi="ITC Avant Garde"/>
          <w:bCs/>
          <w:color w:val="000000"/>
          <w:lang w:eastAsia="es-MX"/>
        </w:rPr>
        <w:t>para la inclusión de los mismos.</w:t>
      </w:r>
    </w:p>
    <w:p w14:paraId="53A68B08" w14:textId="77777777" w:rsidR="00AF2924" w:rsidRPr="00AF2924" w:rsidRDefault="00BB600B" w:rsidP="00AF2924">
      <w:pPr>
        <w:spacing w:before="240" w:line="240" w:lineRule="auto"/>
        <w:jc w:val="both"/>
        <w:rPr>
          <w:rFonts w:ascii="ITC Avant Garde" w:hAnsi="ITC Avant Garde"/>
          <w:bCs/>
          <w:color w:val="000000"/>
          <w:lang w:eastAsia="es-MX"/>
        </w:rPr>
      </w:pPr>
      <w:r w:rsidRPr="00AF2924">
        <w:rPr>
          <w:rFonts w:ascii="ITC Avant Garde" w:hAnsi="ITC Avant Garde"/>
          <w:bCs/>
          <w:color w:val="000000"/>
          <w:lang w:eastAsia="es-MX"/>
        </w:rPr>
        <w:lastRenderedPageBreak/>
        <w:t>No obstante lo anterior</w:t>
      </w:r>
      <w:r w:rsidR="001318FD" w:rsidRPr="00AF2924">
        <w:rPr>
          <w:rFonts w:ascii="ITC Avant Garde" w:hAnsi="ITC Avant Garde"/>
          <w:bCs/>
          <w:color w:val="000000"/>
          <w:lang w:eastAsia="es-MX"/>
        </w:rPr>
        <w:t>, por lo</w:t>
      </w:r>
      <w:r w:rsidR="005E103D" w:rsidRPr="00AF2924">
        <w:rPr>
          <w:rFonts w:ascii="ITC Avant Garde" w:hAnsi="ITC Avant Garde"/>
          <w:bCs/>
          <w:color w:val="000000"/>
          <w:lang w:eastAsia="es-MX"/>
        </w:rPr>
        <w:t xml:space="preserve"> que respecta a</w:t>
      </w:r>
      <w:r w:rsidR="00B05FFA" w:rsidRPr="00AF2924">
        <w:rPr>
          <w:rFonts w:ascii="ITC Avant Garde" w:hAnsi="ITC Avant Garde"/>
          <w:bCs/>
          <w:color w:val="000000"/>
          <w:lang w:eastAsia="es-MX"/>
        </w:rPr>
        <w:t>l M</w:t>
      </w:r>
      <w:r w:rsidR="00DC427C" w:rsidRPr="00AF2924">
        <w:rPr>
          <w:rFonts w:ascii="ITC Avant Garde" w:hAnsi="ITC Avant Garde"/>
          <w:bCs/>
          <w:color w:val="000000"/>
          <w:lang w:eastAsia="es-MX"/>
        </w:rPr>
        <w:t>un</w:t>
      </w:r>
      <w:r w:rsidR="00DB3544" w:rsidRPr="00AF2924">
        <w:rPr>
          <w:rFonts w:ascii="ITC Avant Garde" w:hAnsi="ITC Avant Garde"/>
          <w:bCs/>
          <w:color w:val="000000"/>
          <w:lang w:eastAsia="es-MX"/>
        </w:rPr>
        <w:t>icipio de Puerto Morelos en el E</w:t>
      </w:r>
      <w:r w:rsidR="00DC427C" w:rsidRPr="00AF2924">
        <w:rPr>
          <w:rFonts w:ascii="ITC Avant Garde" w:hAnsi="ITC Avant Garde"/>
          <w:bCs/>
          <w:color w:val="000000"/>
          <w:lang w:eastAsia="es-MX"/>
        </w:rPr>
        <w:t xml:space="preserve">stado de Quintana Roo, </w:t>
      </w:r>
      <w:r w:rsidR="005E103D" w:rsidRPr="00AF2924">
        <w:rPr>
          <w:rFonts w:ascii="ITC Avant Garde" w:hAnsi="ITC Avant Garde"/>
          <w:bCs/>
          <w:color w:val="000000"/>
          <w:lang w:eastAsia="es-MX"/>
        </w:rPr>
        <w:t xml:space="preserve">cabe señalar que dicho municipio </w:t>
      </w:r>
      <w:r w:rsidR="00DC427C" w:rsidRPr="00AF2924">
        <w:rPr>
          <w:rFonts w:ascii="ITC Avant Garde" w:hAnsi="ITC Avant Garde"/>
          <w:bCs/>
          <w:color w:val="000000"/>
          <w:lang w:eastAsia="es-MX"/>
        </w:rPr>
        <w:t xml:space="preserve">fue creado </w:t>
      </w:r>
      <w:r w:rsidR="004B1006" w:rsidRPr="00AF2924">
        <w:rPr>
          <w:rFonts w:ascii="ITC Avant Garde" w:hAnsi="ITC Avant Garde"/>
          <w:bCs/>
          <w:color w:val="000000"/>
          <w:lang w:eastAsia="es-MX"/>
        </w:rPr>
        <w:t>mediante el “</w:t>
      </w:r>
      <w:r w:rsidR="00DC427C" w:rsidRPr="00AF2924">
        <w:rPr>
          <w:rFonts w:ascii="ITC Avant Garde" w:hAnsi="ITC Avant Garde"/>
          <w:bCs/>
          <w:color w:val="000000"/>
          <w:lang w:eastAsia="es-MX"/>
        </w:rPr>
        <w:t>DECRETO NÚMERO: 342 POR EL QUE SE CREA EL MUNICIPIO DE PUERTO MORELOS DEL ESTADO DE QUINTANA ROO</w:t>
      </w:r>
      <w:r w:rsidR="004B1006" w:rsidRPr="00AF2924">
        <w:rPr>
          <w:rFonts w:ascii="ITC Avant Garde" w:hAnsi="ITC Avant Garde"/>
          <w:bCs/>
          <w:color w:val="000000"/>
          <w:lang w:eastAsia="es-MX"/>
        </w:rPr>
        <w:t xml:space="preserve">”, publicado en el Diario Oficial del Estado de Quintana Roo, </w:t>
      </w:r>
      <w:r w:rsidR="005E103D" w:rsidRPr="00AF2924">
        <w:rPr>
          <w:rFonts w:ascii="ITC Avant Garde" w:hAnsi="ITC Avant Garde"/>
          <w:bCs/>
          <w:color w:val="000000"/>
          <w:lang w:eastAsia="es-MX"/>
        </w:rPr>
        <w:t xml:space="preserve">el 6 de noviembre de 2015, </w:t>
      </w:r>
      <w:r w:rsidR="004B1006" w:rsidRPr="00AF2924">
        <w:rPr>
          <w:rFonts w:ascii="ITC Avant Garde" w:hAnsi="ITC Avant Garde"/>
          <w:bCs/>
          <w:color w:val="000000"/>
          <w:lang w:eastAsia="es-MX"/>
        </w:rPr>
        <w:t>es decir, de manera posterior a la emisión del dictamen técnico de la Dirección General de Ingeniería del Espectro y Estudios Técnicos del Instituto</w:t>
      </w:r>
      <w:r w:rsidR="005E103D" w:rsidRPr="00AF2924">
        <w:rPr>
          <w:rFonts w:ascii="ITC Avant Garde" w:hAnsi="ITC Avant Garde"/>
          <w:bCs/>
          <w:color w:val="000000"/>
          <w:lang w:eastAsia="es-MX"/>
        </w:rPr>
        <w:t xml:space="preserve"> antes </w:t>
      </w:r>
      <w:r w:rsidR="00B05FFA" w:rsidRPr="00AF2924">
        <w:rPr>
          <w:rFonts w:ascii="ITC Avant Garde" w:hAnsi="ITC Avant Garde"/>
          <w:bCs/>
          <w:color w:val="000000"/>
          <w:lang w:eastAsia="es-MX"/>
        </w:rPr>
        <w:t>referido, por lo que dicho municipio no fue considerado en la definición de cobertura de la Concesión de Espectro Radioeléctrico</w:t>
      </w:r>
      <w:r w:rsidR="00E93B86" w:rsidRPr="00AF2924">
        <w:rPr>
          <w:rFonts w:ascii="ITC Avant Garde" w:hAnsi="ITC Avant Garde"/>
          <w:bCs/>
          <w:color w:val="000000"/>
          <w:lang w:eastAsia="es-MX"/>
        </w:rPr>
        <w:t xml:space="preserve"> que determinó el Pleno en su momento</w:t>
      </w:r>
      <w:r w:rsidR="004B1006" w:rsidRPr="00AF2924">
        <w:rPr>
          <w:rFonts w:ascii="ITC Avant Garde" w:hAnsi="ITC Avant Garde"/>
          <w:bCs/>
          <w:color w:val="000000"/>
          <w:lang w:eastAsia="es-MX"/>
        </w:rPr>
        <w:t>.</w:t>
      </w:r>
      <w:r w:rsidR="00B05FFA" w:rsidRPr="00AF2924">
        <w:rPr>
          <w:rFonts w:ascii="ITC Avant Garde" w:hAnsi="ITC Avant Garde"/>
          <w:bCs/>
          <w:color w:val="000000"/>
          <w:lang w:eastAsia="es-MX"/>
        </w:rPr>
        <w:t xml:space="preserve"> </w:t>
      </w:r>
    </w:p>
    <w:p w14:paraId="5C6B1030" w14:textId="77777777" w:rsidR="00AF2924" w:rsidRPr="00AF2924" w:rsidRDefault="00142E9E" w:rsidP="00AF2924">
      <w:pPr>
        <w:spacing w:before="240" w:line="240" w:lineRule="auto"/>
        <w:jc w:val="both"/>
        <w:rPr>
          <w:rFonts w:ascii="ITC Avant Garde" w:hAnsi="ITC Avant Garde"/>
          <w:bCs/>
          <w:color w:val="000000"/>
          <w:lang w:eastAsia="es-MX"/>
        </w:rPr>
      </w:pPr>
      <w:r w:rsidRPr="00AF2924">
        <w:rPr>
          <w:rFonts w:ascii="ITC Avant Garde" w:hAnsi="ITC Avant Garde"/>
          <w:bCs/>
          <w:color w:val="000000"/>
          <w:lang w:eastAsia="es-MX"/>
        </w:rPr>
        <w:t>Sin embargo</w:t>
      </w:r>
      <w:r w:rsidR="00B05FFA" w:rsidRPr="00AF2924">
        <w:rPr>
          <w:rFonts w:ascii="ITC Avant Garde" w:hAnsi="ITC Avant Garde"/>
          <w:bCs/>
          <w:color w:val="000000"/>
          <w:lang w:eastAsia="es-MX"/>
        </w:rPr>
        <w:t>, agregar dicho municipio</w:t>
      </w:r>
      <w:r w:rsidRPr="00AF2924">
        <w:rPr>
          <w:rFonts w:ascii="ITC Avant Garde" w:hAnsi="ITC Avant Garde"/>
          <w:bCs/>
          <w:color w:val="000000"/>
          <w:lang w:eastAsia="es-MX"/>
        </w:rPr>
        <w:t xml:space="preserve"> a la cobertura de la Concesión de Espectro Radioeléctrico,</w:t>
      </w:r>
      <w:r w:rsidR="00B05FFA" w:rsidRPr="00AF2924">
        <w:rPr>
          <w:rFonts w:ascii="ITC Avant Garde" w:hAnsi="ITC Avant Garde"/>
          <w:bCs/>
          <w:color w:val="000000"/>
          <w:lang w:eastAsia="es-MX"/>
        </w:rPr>
        <w:t xml:space="preserve"> no </w:t>
      </w:r>
      <w:r w:rsidRPr="00AF2924">
        <w:rPr>
          <w:rFonts w:ascii="ITC Avant Garde" w:hAnsi="ITC Avant Garde"/>
          <w:bCs/>
          <w:color w:val="000000"/>
          <w:lang w:eastAsia="es-MX"/>
        </w:rPr>
        <w:t>implica la adición o reducción</w:t>
      </w:r>
      <w:r w:rsidR="00B05FFA" w:rsidRPr="00AF2924">
        <w:rPr>
          <w:rFonts w:ascii="ITC Avant Garde" w:hAnsi="ITC Avant Garde"/>
          <w:bCs/>
          <w:color w:val="000000"/>
          <w:lang w:eastAsia="es-MX"/>
        </w:rPr>
        <w:t xml:space="preserve"> de territorio a la cobertura previamente contemplada en la Concesión de Espectro Radioeléctrico, sino únicamente oficializa la asignación de</w:t>
      </w:r>
      <w:r w:rsidR="007B6CA0" w:rsidRPr="00AF2924">
        <w:rPr>
          <w:rFonts w:ascii="ITC Avant Garde" w:hAnsi="ITC Avant Garde"/>
          <w:bCs/>
          <w:color w:val="000000"/>
          <w:lang w:eastAsia="es-MX"/>
        </w:rPr>
        <w:t>l Municipio de Puerto Morelos</w:t>
      </w:r>
      <w:r w:rsidR="00B05FFA" w:rsidRPr="00AF2924">
        <w:rPr>
          <w:rFonts w:ascii="ITC Avant Garde" w:hAnsi="ITC Avant Garde"/>
          <w:bCs/>
          <w:color w:val="000000"/>
          <w:lang w:eastAsia="es-MX"/>
        </w:rPr>
        <w:t xml:space="preserve"> a C</w:t>
      </w:r>
      <w:r w:rsidR="007B6CA0" w:rsidRPr="00AF2924">
        <w:rPr>
          <w:rFonts w:ascii="ITC Avant Garde" w:hAnsi="ITC Avant Garde"/>
          <w:bCs/>
          <w:color w:val="000000"/>
          <w:lang w:eastAsia="es-MX"/>
        </w:rPr>
        <w:t xml:space="preserve">omunicaciones </w:t>
      </w:r>
      <w:r w:rsidR="00B05FFA" w:rsidRPr="00AF2924">
        <w:rPr>
          <w:rFonts w:ascii="ITC Avant Garde" w:hAnsi="ITC Avant Garde"/>
          <w:bCs/>
          <w:color w:val="000000"/>
          <w:lang w:eastAsia="es-MX"/>
        </w:rPr>
        <w:t>R</w:t>
      </w:r>
      <w:r w:rsidR="007B6CA0" w:rsidRPr="00AF2924">
        <w:rPr>
          <w:rFonts w:ascii="ITC Avant Garde" w:hAnsi="ITC Avant Garde"/>
          <w:bCs/>
          <w:color w:val="000000"/>
          <w:lang w:eastAsia="es-MX"/>
        </w:rPr>
        <w:t xml:space="preserve">adiotelefónicas </w:t>
      </w:r>
      <w:r w:rsidR="00B05FFA" w:rsidRPr="00AF2924">
        <w:rPr>
          <w:rFonts w:ascii="ITC Avant Garde" w:hAnsi="ITC Avant Garde"/>
          <w:bCs/>
          <w:color w:val="000000"/>
          <w:lang w:eastAsia="es-MX"/>
        </w:rPr>
        <w:t>P</w:t>
      </w:r>
      <w:r w:rsidR="007B6CA0" w:rsidRPr="00AF2924">
        <w:rPr>
          <w:rFonts w:ascii="ITC Avant Garde" w:hAnsi="ITC Avant Garde"/>
          <w:bCs/>
          <w:color w:val="000000"/>
          <w:lang w:eastAsia="es-MX"/>
        </w:rPr>
        <w:t>eninsulares,</w:t>
      </w:r>
      <w:r w:rsidR="00B05FFA" w:rsidRPr="00AF2924">
        <w:rPr>
          <w:rFonts w:ascii="ITC Avant Garde" w:hAnsi="ITC Avant Garde"/>
          <w:bCs/>
          <w:color w:val="000000"/>
          <w:lang w:eastAsia="es-MX"/>
        </w:rPr>
        <w:t xml:space="preserve"> en términos de </w:t>
      </w:r>
      <w:r w:rsidR="007B6CA0" w:rsidRPr="00AF2924">
        <w:rPr>
          <w:rFonts w:ascii="ITC Avant Garde" w:hAnsi="ITC Avant Garde"/>
          <w:bCs/>
          <w:color w:val="000000"/>
          <w:lang w:eastAsia="es-MX"/>
        </w:rPr>
        <w:t xml:space="preserve">la </w:t>
      </w:r>
      <w:r w:rsidR="00B05FFA" w:rsidRPr="00AF2924">
        <w:rPr>
          <w:rFonts w:ascii="ITC Avant Garde" w:hAnsi="ITC Avant Garde"/>
          <w:bCs/>
          <w:color w:val="000000"/>
          <w:lang w:eastAsia="es-MX"/>
        </w:rPr>
        <w:t>cobertura dentro de la Zona Metropolitana de Cancún</w:t>
      </w:r>
      <w:r w:rsidR="007B6CA0" w:rsidRPr="00AF2924">
        <w:rPr>
          <w:rFonts w:ascii="ITC Avant Garde" w:hAnsi="ITC Avant Garde"/>
          <w:bCs/>
          <w:color w:val="000000"/>
          <w:lang w:eastAsia="es-MX"/>
        </w:rPr>
        <w:t>,</w:t>
      </w:r>
      <w:r w:rsidR="00B05FFA" w:rsidRPr="00AF2924">
        <w:rPr>
          <w:rFonts w:ascii="ITC Avant Garde" w:hAnsi="ITC Avant Garde"/>
          <w:bCs/>
          <w:color w:val="000000"/>
          <w:lang w:eastAsia="es-MX"/>
        </w:rPr>
        <w:t xml:space="preserve"> definida en el documento </w:t>
      </w:r>
      <w:r w:rsidR="007B6CA0" w:rsidRPr="00AF2924">
        <w:rPr>
          <w:rFonts w:ascii="ITC Avant Garde" w:hAnsi="ITC Avant Garde"/>
          <w:bCs/>
          <w:color w:val="000000"/>
          <w:lang w:eastAsia="es-MX"/>
        </w:rPr>
        <w:t>“Delimitación de las Zonas Metropolitanas de México 2010”.</w:t>
      </w:r>
      <w:r w:rsidRPr="00AF2924">
        <w:rPr>
          <w:rFonts w:ascii="ITC Avant Garde" w:hAnsi="ITC Avant Garde"/>
          <w:bCs/>
          <w:color w:val="000000"/>
          <w:lang w:eastAsia="es-MX"/>
        </w:rPr>
        <w:t xml:space="preserve"> Por ello, se considera procedente adicionar este municipio a la cobertura establecida en la Concesión de Espectro Radioeléctrico.</w:t>
      </w:r>
    </w:p>
    <w:p w14:paraId="766DDE20" w14:textId="77777777" w:rsidR="00AF2924" w:rsidRPr="00AF2924" w:rsidRDefault="007B6CA0" w:rsidP="00AF2924">
      <w:pPr>
        <w:spacing w:before="240" w:line="240" w:lineRule="auto"/>
        <w:jc w:val="both"/>
        <w:rPr>
          <w:rFonts w:ascii="ITC Avant Garde" w:hAnsi="ITC Avant Garde"/>
          <w:bCs/>
          <w:color w:val="000000"/>
          <w:lang w:eastAsia="es-MX"/>
        </w:rPr>
      </w:pPr>
      <w:r w:rsidRPr="00AF2924">
        <w:rPr>
          <w:rFonts w:ascii="ITC Avant Garde" w:hAnsi="ITC Avant Garde"/>
          <w:bCs/>
          <w:color w:val="000000"/>
          <w:lang w:eastAsia="es-MX"/>
        </w:rPr>
        <w:t>En virtud de todo lo anterior,</w:t>
      </w:r>
      <w:r w:rsidR="00BD1B80" w:rsidRPr="00AF2924">
        <w:rPr>
          <w:rFonts w:ascii="ITC Avant Garde" w:hAnsi="ITC Avant Garde"/>
          <w:bCs/>
          <w:color w:val="000000"/>
          <w:lang w:eastAsia="es-MX"/>
        </w:rPr>
        <w:t xml:space="preserve"> </w:t>
      </w:r>
      <w:r w:rsidR="00E93B86" w:rsidRPr="00AF2924">
        <w:rPr>
          <w:rFonts w:ascii="ITC Avant Garde" w:hAnsi="ITC Avant Garde"/>
          <w:bCs/>
          <w:color w:val="000000"/>
          <w:lang w:eastAsia="es-MX"/>
        </w:rPr>
        <w:t xml:space="preserve">el Pleno de este Instituto </w:t>
      </w:r>
      <w:r w:rsidR="00BD1B80" w:rsidRPr="00AF2924">
        <w:rPr>
          <w:rFonts w:ascii="ITC Avant Garde" w:hAnsi="ITC Avant Garde"/>
          <w:bCs/>
          <w:color w:val="000000"/>
          <w:lang w:eastAsia="es-MX"/>
        </w:rPr>
        <w:t>no considera proc</w:t>
      </w:r>
      <w:r w:rsidR="00B05FFA" w:rsidRPr="00AF2924">
        <w:rPr>
          <w:rFonts w:ascii="ITC Avant Garde" w:hAnsi="ITC Avant Garde"/>
          <w:bCs/>
          <w:color w:val="000000"/>
          <w:lang w:eastAsia="es-MX"/>
        </w:rPr>
        <w:t>edente</w:t>
      </w:r>
      <w:r w:rsidR="00DB3544" w:rsidRPr="00AF2924">
        <w:rPr>
          <w:rFonts w:ascii="ITC Avant Garde" w:hAnsi="ITC Avant Garde"/>
          <w:bCs/>
          <w:color w:val="000000"/>
          <w:lang w:eastAsia="es-MX"/>
        </w:rPr>
        <w:t xml:space="preserve"> la incorporación de los m</w:t>
      </w:r>
      <w:r w:rsidR="00BD1B80" w:rsidRPr="00AF2924">
        <w:rPr>
          <w:rFonts w:ascii="ITC Avant Garde" w:hAnsi="ITC Avant Garde"/>
          <w:bCs/>
          <w:color w:val="000000"/>
          <w:lang w:eastAsia="es-MX"/>
        </w:rPr>
        <w:t>unicipios señalados por Comunicaciones Radiotelefónicas Peninsulares en la Soli</w:t>
      </w:r>
      <w:r w:rsidR="00142E9E" w:rsidRPr="00AF2924">
        <w:rPr>
          <w:rFonts w:ascii="ITC Avant Garde" w:hAnsi="ITC Avant Garde"/>
          <w:bCs/>
          <w:color w:val="000000"/>
          <w:lang w:eastAsia="es-MX"/>
        </w:rPr>
        <w:t>citud de Modificación para los E</w:t>
      </w:r>
      <w:r w:rsidR="00BD1B80" w:rsidRPr="00AF2924">
        <w:rPr>
          <w:rFonts w:ascii="ITC Avant Garde" w:hAnsi="ITC Avant Garde"/>
          <w:bCs/>
          <w:color w:val="000000"/>
          <w:lang w:eastAsia="es-MX"/>
        </w:rPr>
        <w:t>stados de Chiapas, Tabasco y Yucatán</w:t>
      </w:r>
      <w:r w:rsidR="00142E9E" w:rsidRPr="00AF2924">
        <w:rPr>
          <w:rFonts w:ascii="ITC Avant Garde" w:hAnsi="ITC Avant Garde"/>
          <w:bCs/>
          <w:color w:val="000000"/>
          <w:lang w:eastAsia="es-MX"/>
        </w:rPr>
        <w:t xml:space="preserve">. </w:t>
      </w:r>
      <w:r w:rsidR="00BB600B" w:rsidRPr="00AF2924">
        <w:rPr>
          <w:rFonts w:ascii="ITC Avant Garde" w:hAnsi="ITC Avant Garde"/>
          <w:bCs/>
          <w:color w:val="000000"/>
          <w:lang w:eastAsia="es-MX"/>
        </w:rPr>
        <w:t>A pesar de ello</w:t>
      </w:r>
      <w:r w:rsidR="00142E9E" w:rsidRPr="00AF2924">
        <w:rPr>
          <w:rFonts w:ascii="ITC Avant Garde" w:hAnsi="ITC Avant Garde"/>
          <w:bCs/>
          <w:color w:val="000000"/>
          <w:lang w:eastAsia="es-MX"/>
        </w:rPr>
        <w:t xml:space="preserve">, </w:t>
      </w:r>
      <w:r w:rsidR="00B1293B" w:rsidRPr="00AF2924">
        <w:rPr>
          <w:rFonts w:ascii="ITC Avant Garde" w:hAnsi="ITC Avant Garde"/>
          <w:bCs/>
          <w:color w:val="000000"/>
          <w:lang w:eastAsia="es-MX"/>
        </w:rPr>
        <w:t>este Instituto</w:t>
      </w:r>
      <w:r w:rsidR="00E93B86" w:rsidRPr="00AF2924">
        <w:rPr>
          <w:rFonts w:ascii="ITC Avant Garde" w:hAnsi="ITC Avant Garde"/>
          <w:bCs/>
          <w:color w:val="000000"/>
          <w:lang w:eastAsia="es-MX"/>
        </w:rPr>
        <w:t xml:space="preserve"> </w:t>
      </w:r>
      <w:r w:rsidR="00142E9E" w:rsidRPr="00AF2924">
        <w:rPr>
          <w:rFonts w:ascii="ITC Avant Garde" w:hAnsi="ITC Avant Garde"/>
          <w:bCs/>
          <w:color w:val="000000"/>
          <w:lang w:eastAsia="es-MX"/>
        </w:rPr>
        <w:t>si</w:t>
      </w:r>
      <w:r w:rsidR="00BD1B80" w:rsidRPr="00AF2924">
        <w:rPr>
          <w:rFonts w:ascii="ITC Avant Garde" w:hAnsi="ITC Avant Garde"/>
          <w:bCs/>
          <w:color w:val="000000"/>
          <w:lang w:eastAsia="es-MX"/>
        </w:rPr>
        <w:t xml:space="preserve"> considera procedente la modificación a la cobertura de la Concesión de Espectro Radioeléctrico </w:t>
      </w:r>
      <w:r w:rsidR="00B1293B" w:rsidRPr="00AF2924">
        <w:rPr>
          <w:rFonts w:ascii="ITC Avant Garde" w:hAnsi="ITC Avant Garde"/>
          <w:bCs/>
          <w:color w:val="000000"/>
          <w:lang w:eastAsia="es-MX"/>
        </w:rPr>
        <w:t xml:space="preserve">en el estado de Quintana Roo, </w:t>
      </w:r>
      <w:r w:rsidR="00BD1B80" w:rsidRPr="00AF2924">
        <w:rPr>
          <w:rFonts w:ascii="ITC Avant Garde" w:hAnsi="ITC Avant Garde"/>
          <w:bCs/>
          <w:color w:val="000000"/>
          <w:lang w:eastAsia="es-MX"/>
        </w:rPr>
        <w:t xml:space="preserve">consistente en la adición </w:t>
      </w:r>
      <w:r w:rsidRPr="00AF2924">
        <w:rPr>
          <w:rFonts w:ascii="ITC Avant Garde" w:hAnsi="ITC Avant Garde"/>
          <w:bCs/>
          <w:color w:val="000000"/>
          <w:lang w:eastAsia="es-MX"/>
        </w:rPr>
        <w:t>del M</w:t>
      </w:r>
      <w:r w:rsidR="00BD1B80" w:rsidRPr="00AF2924">
        <w:rPr>
          <w:rFonts w:ascii="ITC Avant Garde" w:hAnsi="ITC Avant Garde"/>
          <w:bCs/>
          <w:color w:val="000000"/>
          <w:lang w:eastAsia="es-MX"/>
        </w:rPr>
        <w:t>unicipio de Puerto Morelos</w:t>
      </w:r>
      <w:r w:rsidR="00B1293B" w:rsidRPr="00AF2924">
        <w:rPr>
          <w:rFonts w:ascii="ITC Avant Garde" w:hAnsi="ITC Avant Garde"/>
          <w:bCs/>
          <w:color w:val="000000"/>
          <w:lang w:eastAsia="es-MX"/>
        </w:rPr>
        <w:t xml:space="preserve"> a su Condición 5 “Cobertura de la Concesión de Espectro Radioeléctrico”</w:t>
      </w:r>
      <w:r w:rsidR="00761973" w:rsidRPr="00AF2924">
        <w:rPr>
          <w:rFonts w:ascii="ITC Avant Garde" w:hAnsi="ITC Avant Garde"/>
          <w:bCs/>
          <w:color w:val="000000"/>
          <w:lang w:eastAsia="es-MX"/>
        </w:rPr>
        <w:t>.</w:t>
      </w:r>
    </w:p>
    <w:p w14:paraId="4E595612" w14:textId="77777777" w:rsidR="00AF2924" w:rsidRPr="00AF2924" w:rsidRDefault="004B1006" w:rsidP="00AF2924">
      <w:pPr>
        <w:spacing w:before="240" w:line="240" w:lineRule="auto"/>
        <w:jc w:val="both"/>
        <w:rPr>
          <w:rFonts w:ascii="ITC Avant Garde" w:hAnsi="ITC Avant Garde"/>
          <w:bCs/>
          <w:color w:val="000000"/>
        </w:rPr>
      </w:pPr>
      <w:r w:rsidRPr="00AF2924">
        <w:rPr>
          <w:rFonts w:ascii="ITC Avant Garde" w:hAnsi="ITC Avant Garde"/>
          <w:bCs/>
          <w:color w:val="000000"/>
          <w:lang w:eastAsia="es-MX"/>
        </w:rPr>
        <w:t>Finalmente</w:t>
      </w:r>
      <w:r w:rsidR="003614EB" w:rsidRPr="00AF2924">
        <w:rPr>
          <w:rFonts w:ascii="ITC Avant Garde" w:hAnsi="ITC Avant Garde"/>
          <w:bCs/>
          <w:color w:val="000000"/>
          <w:lang w:eastAsia="es-MX"/>
        </w:rPr>
        <w:t>,</w:t>
      </w:r>
      <w:r w:rsidRPr="00AF2924">
        <w:rPr>
          <w:rFonts w:ascii="ITC Avant Garde" w:hAnsi="ITC Avant Garde"/>
          <w:bCs/>
          <w:color w:val="000000"/>
          <w:lang w:eastAsia="es-MX"/>
        </w:rPr>
        <w:t xml:space="preserve"> </w:t>
      </w:r>
      <w:r w:rsidR="003D5E83" w:rsidRPr="00AF2924">
        <w:rPr>
          <w:rFonts w:ascii="ITC Avant Garde" w:hAnsi="ITC Avant Garde"/>
          <w:bCs/>
          <w:color w:val="000000"/>
          <w:lang w:eastAsia="es-MX"/>
        </w:rPr>
        <w:t>no se omite mencionar que Comunicaciones Radiotelefónicas Peninsulares es también titular de</w:t>
      </w:r>
      <w:r w:rsidR="003614EB" w:rsidRPr="00AF2924">
        <w:rPr>
          <w:rFonts w:ascii="ITC Avant Garde" w:hAnsi="ITC Avant Garde"/>
          <w:bCs/>
          <w:color w:val="000000"/>
          <w:lang w:eastAsia="es-MX"/>
        </w:rPr>
        <w:t xml:space="preserve"> la Concesión Única</w:t>
      </w:r>
      <w:r w:rsidR="003D5E83" w:rsidRPr="00AF2924">
        <w:rPr>
          <w:rFonts w:ascii="ITC Avant Garde" w:hAnsi="ITC Avant Garde"/>
          <w:bCs/>
          <w:color w:val="000000"/>
          <w:lang w:eastAsia="es-MX"/>
        </w:rPr>
        <w:t xml:space="preserve"> señalada en el Antecedente VII de la presente Resolución</w:t>
      </w:r>
      <w:r w:rsidRPr="00AF2924">
        <w:rPr>
          <w:rFonts w:ascii="ITC Avant Garde" w:hAnsi="ITC Avant Garde"/>
          <w:bCs/>
          <w:color w:val="000000"/>
          <w:lang w:eastAsia="es-MX"/>
        </w:rPr>
        <w:t>, la cual se otorgó en el mismo acto</w:t>
      </w:r>
      <w:r w:rsidR="003614EB" w:rsidRPr="00AF2924">
        <w:rPr>
          <w:rFonts w:ascii="ITC Avant Garde" w:hAnsi="ITC Avant Garde"/>
          <w:bCs/>
          <w:color w:val="000000"/>
          <w:lang w:eastAsia="es-MX"/>
        </w:rPr>
        <w:t xml:space="preserve"> </w:t>
      </w:r>
      <w:r w:rsidRPr="00AF2924">
        <w:rPr>
          <w:rFonts w:ascii="ITC Avant Garde" w:hAnsi="ITC Avant Garde"/>
          <w:bCs/>
          <w:color w:val="000000"/>
          <w:lang w:eastAsia="es-MX"/>
        </w:rPr>
        <w:t>administrativo que la Concesión de Espectro Radioeléctrico</w:t>
      </w:r>
      <w:r w:rsidR="00BA473A" w:rsidRPr="00AF2924">
        <w:rPr>
          <w:rFonts w:ascii="ITC Avant Garde" w:hAnsi="ITC Avant Garde"/>
          <w:bCs/>
          <w:color w:val="000000"/>
          <w:lang w:eastAsia="es-MX"/>
        </w:rPr>
        <w:t xml:space="preserve"> y habilita a su titular a prestar cualquier servicio de telecomunicaciones y/o radiodifusión técnicamente factible en el territorio nacional, previa inscripción de los mismos </w:t>
      </w:r>
      <w:r w:rsidR="00DB3544" w:rsidRPr="00AF2924">
        <w:rPr>
          <w:rFonts w:ascii="ITC Avant Garde" w:hAnsi="ITC Avant Garde"/>
          <w:bCs/>
          <w:color w:val="000000"/>
          <w:lang w:eastAsia="es-MX"/>
        </w:rPr>
        <w:t xml:space="preserve">en </w:t>
      </w:r>
      <w:r w:rsidR="00BA473A" w:rsidRPr="00AF2924">
        <w:rPr>
          <w:rFonts w:ascii="ITC Avant Garde" w:hAnsi="ITC Avant Garde"/>
          <w:bCs/>
          <w:color w:val="000000"/>
          <w:lang w:eastAsia="es-MX"/>
        </w:rPr>
        <w:t>el Registro Público de Concesiones</w:t>
      </w:r>
      <w:r w:rsidR="003D5E83" w:rsidRPr="00AF2924">
        <w:rPr>
          <w:rFonts w:ascii="ITC Avant Garde" w:hAnsi="ITC Avant Garde"/>
          <w:bCs/>
          <w:color w:val="000000"/>
          <w:lang w:eastAsia="es-MX"/>
        </w:rPr>
        <w:t>. Dicha Concesión</w:t>
      </w:r>
      <w:r w:rsidR="00EE1A9E" w:rsidRPr="00AF2924">
        <w:rPr>
          <w:rFonts w:ascii="ITC Avant Garde" w:hAnsi="ITC Avant Garde"/>
          <w:bCs/>
          <w:color w:val="000000"/>
          <w:lang w:eastAsia="es-MX"/>
        </w:rPr>
        <w:t xml:space="preserve"> Única</w:t>
      </w:r>
      <w:r w:rsidR="003D5E83" w:rsidRPr="00AF2924">
        <w:rPr>
          <w:rFonts w:ascii="ITC Avant Garde" w:hAnsi="ITC Avant Garde"/>
          <w:bCs/>
          <w:color w:val="000000"/>
          <w:lang w:eastAsia="es-MX"/>
        </w:rPr>
        <w:t xml:space="preserve"> </w:t>
      </w:r>
      <w:r w:rsidR="00B720F7" w:rsidRPr="00AF2924">
        <w:rPr>
          <w:rFonts w:ascii="ITC Avant Garde" w:hAnsi="ITC Avant Garde"/>
          <w:bCs/>
          <w:color w:val="000000"/>
          <w:lang w:eastAsia="es-MX"/>
        </w:rPr>
        <w:t>establece</w:t>
      </w:r>
      <w:r w:rsidRPr="00AF2924">
        <w:rPr>
          <w:rFonts w:ascii="ITC Avant Garde" w:hAnsi="ITC Avant Garde"/>
          <w:bCs/>
          <w:color w:val="000000"/>
          <w:lang w:eastAsia="es-MX"/>
        </w:rPr>
        <w:t xml:space="preserve"> en su Condición 6 “Características Generales del Proyecto”, lo siguiente:</w:t>
      </w:r>
      <w:r w:rsidR="003614EB" w:rsidRPr="00AF2924">
        <w:rPr>
          <w:rFonts w:ascii="ITC Avant Garde" w:hAnsi="ITC Avant Garde"/>
          <w:bCs/>
          <w:color w:val="000000"/>
        </w:rPr>
        <w:t xml:space="preserve"> </w:t>
      </w:r>
    </w:p>
    <w:p w14:paraId="1C3B8907" w14:textId="6FEF6743" w:rsidR="003614EB" w:rsidRPr="00AF2924" w:rsidRDefault="003614EB" w:rsidP="00AF2924">
      <w:pPr>
        <w:pStyle w:val="estilo30"/>
        <w:spacing w:before="240" w:beforeAutospacing="0" w:after="200" w:afterAutospacing="0"/>
        <w:ind w:left="567" w:right="615"/>
        <w:jc w:val="both"/>
        <w:rPr>
          <w:rFonts w:ascii="ITC Avant Garde" w:hAnsi="ITC Avant Garde"/>
          <w:sz w:val="22"/>
          <w:szCs w:val="22"/>
        </w:rPr>
      </w:pPr>
      <w:r w:rsidRPr="00AF2924">
        <w:rPr>
          <w:rFonts w:ascii="ITC Avant Garde" w:hAnsi="ITC Avant Garde"/>
          <w:bCs/>
          <w:sz w:val="18"/>
          <w:szCs w:val="18"/>
        </w:rPr>
        <w:t>“</w:t>
      </w:r>
      <w:r w:rsidRPr="00AF2924">
        <w:rPr>
          <w:rFonts w:ascii="ITC Avant Garde" w:hAnsi="ITC Avant Garde"/>
          <w:b/>
          <w:bCs/>
          <w:sz w:val="18"/>
          <w:szCs w:val="18"/>
        </w:rPr>
        <w:t>6. Características Generales del Proyecto.</w:t>
      </w:r>
      <w:r w:rsidRPr="00AF2924">
        <w:rPr>
          <w:rFonts w:ascii="ITC Avant Garde" w:hAnsi="ITC Avant Garde"/>
          <w:sz w:val="22"/>
          <w:szCs w:val="22"/>
        </w:rPr>
        <w:t xml:space="preserve"> </w:t>
      </w:r>
      <w:r w:rsidRPr="00AF2924">
        <w:rPr>
          <w:rFonts w:ascii="ITC Avant Garde" w:eastAsia="Calibri" w:hAnsi="ITC Avant Garde"/>
          <w:bCs/>
          <w:sz w:val="18"/>
          <w:szCs w:val="18"/>
          <w:lang w:eastAsia="en-US"/>
        </w:rPr>
        <w:t>El concesionario continuará proporcionando el servicio móvil de radiocomunicación especializada de flotillas, con la siguiente cobertura:</w:t>
      </w:r>
    </w:p>
    <w:tbl>
      <w:tblPr>
        <w:tblStyle w:val="Tablaconcuadrcula"/>
        <w:tblW w:w="2310" w:type="pct"/>
        <w:jc w:val="center"/>
        <w:tblLook w:val="04A0" w:firstRow="1" w:lastRow="0" w:firstColumn="1" w:lastColumn="0" w:noHBand="0" w:noVBand="1"/>
        <w:tblCaption w:val="Características Generales del Proyecto"/>
        <w:tblDescription w:val="En una tabla de 2 columnas se proporciona la cobertura por Estado y Municipio."/>
      </w:tblPr>
      <w:tblGrid>
        <w:gridCol w:w="1721"/>
        <w:gridCol w:w="2619"/>
      </w:tblGrid>
      <w:tr w:rsidR="003614EB" w:rsidRPr="00AF2924" w14:paraId="1D60D21A" w14:textId="77777777" w:rsidTr="00AF2924">
        <w:trPr>
          <w:trHeight w:val="529"/>
          <w:tblHeader/>
          <w:jc w:val="center"/>
        </w:trPr>
        <w:tc>
          <w:tcPr>
            <w:tcW w:w="1983" w:type="pct"/>
            <w:shd w:val="clear" w:color="auto" w:fill="BFBFBF" w:themeFill="background1" w:themeFillShade="BF"/>
            <w:vAlign w:val="center"/>
          </w:tcPr>
          <w:p w14:paraId="6BBB8F5A" w14:textId="07B36055" w:rsidR="003614EB" w:rsidRPr="00AF2924" w:rsidRDefault="00AF2924" w:rsidP="00AF2924">
            <w:pPr>
              <w:spacing w:after="0"/>
              <w:jc w:val="center"/>
              <w:rPr>
                <w:rFonts w:ascii="ITC Avant Garde" w:hAnsi="ITC Avant Garde"/>
                <w:b/>
                <w:sz w:val="18"/>
                <w:szCs w:val="18"/>
              </w:rPr>
            </w:pPr>
            <w:r w:rsidRPr="00AF2924">
              <w:rPr>
                <w:rFonts w:ascii="ITC Avant Garde" w:hAnsi="ITC Avant Garde"/>
                <w:b/>
                <w:sz w:val="18"/>
                <w:szCs w:val="18"/>
              </w:rPr>
              <w:t>Cobertura</w:t>
            </w:r>
            <w:r w:rsidRPr="00AF2924">
              <w:rPr>
                <w:rFonts w:ascii="ITC Avant Garde" w:hAnsi="ITC Avant Garde"/>
                <w:b/>
                <w:sz w:val="18"/>
                <w:szCs w:val="18"/>
              </w:rPr>
              <w:t xml:space="preserve"> </w:t>
            </w:r>
            <w:r>
              <w:rPr>
                <w:rFonts w:ascii="ITC Avant Garde" w:hAnsi="ITC Avant Garde"/>
                <w:b/>
                <w:sz w:val="18"/>
                <w:szCs w:val="18"/>
              </w:rPr>
              <w:t xml:space="preserve">por </w:t>
            </w:r>
            <w:r w:rsidR="003614EB" w:rsidRPr="00AF2924">
              <w:rPr>
                <w:rFonts w:ascii="ITC Avant Garde" w:hAnsi="ITC Avant Garde"/>
                <w:b/>
                <w:sz w:val="18"/>
                <w:szCs w:val="18"/>
              </w:rPr>
              <w:t>Estado</w:t>
            </w:r>
          </w:p>
        </w:tc>
        <w:tc>
          <w:tcPr>
            <w:tcW w:w="3017" w:type="pct"/>
            <w:shd w:val="clear" w:color="auto" w:fill="BFBFBF" w:themeFill="background1" w:themeFillShade="BF"/>
            <w:vAlign w:val="center"/>
          </w:tcPr>
          <w:p w14:paraId="157750BB" w14:textId="2D1D30D8" w:rsidR="003614EB" w:rsidRPr="00AF2924" w:rsidRDefault="00AF2924" w:rsidP="00AF2924">
            <w:pPr>
              <w:spacing w:after="0"/>
              <w:jc w:val="center"/>
              <w:rPr>
                <w:rFonts w:ascii="ITC Avant Garde" w:hAnsi="ITC Avant Garde"/>
                <w:b/>
                <w:sz w:val="18"/>
                <w:szCs w:val="18"/>
              </w:rPr>
            </w:pPr>
            <w:r>
              <w:rPr>
                <w:rFonts w:ascii="ITC Avant Garde" w:hAnsi="ITC Avant Garde"/>
                <w:b/>
                <w:sz w:val="18"/>
                <w:szCs w:val="18"/>
              </w:rPr>
              <w:t xml:space="preserve">Cobertura por </w:t>
            </w:r>
            <w:r w:rsidR="003614EB" w:rsidRPr="00AF2924">
              <w:rPr>
                <w:rFonts w:ascii="ITC Avant Garde" w:hAnsi="ITC Avant Garde"/>
                <w:b/>
                <w:sz w:val="18"/>
                <w:szCs w:val="18"/>
              </w:rPr>
              <w:t>Municipios</w:t>
            </w:r>
          </w:p>
        </w:tc>
      </w:tr>
      <w:tr w:rsidR="003614EB" w:rsidRPr="00AF2924" w14:paraId="728A8A2B" w14:textId="77777777" w:rsidTr="00AF2924">
        <w:trPr>
          <w:trHeight w:val="506"/>
          <w:jc w:val="center"/>
        </w:trPr>
        <w:tc>
          <w:tcPr>
            <w:tcW w:w="1983" w:type="pct"/>
          </w:tcPr>
          <w:p w14:paraId="266903D1" w14:textId="77777777" w:rsidR="003614EB" w:rsidRPr="00AF2924" w:rsidRDefault="003614EB" w:rsidP="00AF2924">
            <w:pPr>
              <w:spacing w:after="0"/>
              <w:jc w:val="center"/>
              <w:rPr>
                <w:rFonts w:ascii="ITC Avant Garde" w:hAnsi="ITC Avant Garde"/>
                <w:sz w:val="18"/>
                <w:szCs w:val="18"/>
              </w:rPr>
            </w:pPr>
            <w:r w:rsidRPr="00AF2924">
              <w:rPr>
                <w:rFonts w:ascii="ITC Avant Garde" w:hAnsi="ITC Avant Garde"/>
                <w:sz w:val="18"/>
                <w:szCs w:val="18"/>
              </w:rPr>
              <w:t>Chiapas</w:t>
            </w:r>
          </w:p>
        </w:tc>
        <w:tc>
          <w:tcPr>
            <w:tcW w:w="3017" w:type="pct"/>
          </w:tcPr>
          <w:p w14:paraId="25C430A2" w14:textId="77777777" w:rsidR="003614EB" w:rsidRPr="00AF2924" w:rsidRDefault="003614EB" w:rsidP="00AF2924">
            <w:pPr>
              <w:spacing w:after="0"/>
              <w:rPr>
                <w:rFonts w:ascii="ITC Avant Garde" w:hAnsi="ITC Avant Garde"/>
                <w:color w:val="000000"/>
                <w:sz w:val="18"/>
                <w:szCs w:val="18"/>
              </w:rPr>
            </w:pPr>
            <w:r w:rsidRPr="00AF2924">
              <w:rPr>
                <w:rFonts w:ascii="ITC Avant Garde" w:hAnsi="ITC Avant Garde"/>
                <w:sz w:val="18"/>
                <w:szCs w:val="18"/>
              </w:rPr>
              <w:t>Tuxtla Gutiérrez y Chiapa de Corzo.</w:t>
            </w:r>
          </w:p>
        </w:tc>
      </w:tr>
      <w:tr w:rsidR="003614EB" w:rsidRPr="00AF2924" w14:paraId="42E2F54A" w14:textId="77777777" w:rsidTr="00AF2924">
        <w:trPr>
          <w:trHeight w:val="547"/>
          <w:jc w:val="center"/>
        </w:trPr>
        <w:tc>
          <w:tcPr>
            <w:tcW w:w="1983" w:type="pct"/>
          </w:tcPr>
          <w:p w14:paraId="47E39339" w14:textId="77777777" w:rsidR="003614EB" w:rsidRPr="00AF2924" w:rsidRDefault="003614EB" w:rsidP="00AF2924">
            <w:pPr>
              <w:spacing w:after="0"/>
              <w:jc w:val="center"/>
              <w:rPr>
                <w:rFonts w:ascii="ITC Avant Garde" w:hAnsi="ITC Avant Garde"/>
                <w:sz w:val="18"/>
                <w:szCs w:val="18"/>
              </w:rPr>
            </w:pPr>
            <w:r w:rsidRPr="00AF2924">
              <w:rPr>
                <w:rFonts w:ascii="ITC Avant Garde" w:hAnsi="ITC Avant Garde"/>
                <w:sz w:val="18"/>
                <w:szCs w:val="18"/>
              </w:rPr>
              <w:t>Tabasco</w:t>
            </w:r>
          </w:p>
        </w:tc>
        <w:tc>
          <w:tcPr>
            <w:tcW w:w="3017" w:type="pct"/>
          </w:tcPr>
          <w:p w14:paraId="0093D870" w14:textId="77777777" w:rsidR="003614EB" w:rsidRPr="00AF2924" w:rsidRDefault="003614EB" w:rsidP="00AF2924">
            <w:pPr>
              <w:spacing w:after="0"/>
              <w:rPr>
                <w:rFonts w:ascii="ITC Avant Garde" w:hAnsi="ITC Avant Garde"/>
                <w:color w:val="000000"/>
                <w:sz w:val="18"/>
                <w:szCs w:val="18"/>
              </w:rPr>
            </w:pPr>
            <w:r w:rsidRPr="00AF2924">
              <w:rPr>
                <w:rFonts w:ascii="ITC Avant Garde" w:hAnsi="ITC Avant Garde"/>
                <w:sz w:val="18"/>
                <w:szCs w:val="18"/>
              </w:rPr>
              <w:t>Centro y Nacajuca.</w:t>
            </w:r>
          </w:p>
        </w:tc>
      </w:tr>
      <w:tr w:rsidR="003614EB" w:rsidRPr="00AF2924" w14:paraId="5D2B4FAC" w14:textId="77777777" w:rsidTr="00AF2924">
        <w:trPr>
          <w:trHeight w:val="201"/>
          <w:jc w:val="center"/>
        </w:trPr>
        <w:tc>
          <w:tcPr>
            <w:tcW w:w="1983" w:type="pct"/>
          </w:tcPr>
          <w:p w14:paraId="17E8DEFE" w14:textId="77777777" w:rsidR="003614EB" w:rsidRPr="00AF2924" w:rsidRDefault="003614EB" w:rsidP="00AF2924">
            <w:pPr>
              <w:spacing w:after="0"/>
              <w:jc w:val="center"/>
              <w:rPr>
                <w:rFonts w:ascii="ITC Avant Garde" w:hAnsi="ITC Avant Garde"/>
                <w:sz w:val="18"/>
                <w:szCs w:val="18"/>
              </w:rPr>
            </w:pPr>
            <w:r w:rsidRPr="00AF2924">
              <w:rPr>
                <w:rFonts w:ascii="ITC Avant Garde" w:hAnsi="ITC Avant Garde"/>
                <w:sz w:val="18"/>
                <w:szCs w:val="18"/>
              </w:rPr>
              <w:t>Yucatán</w:t>
            </w:r>
          </w:p>
        </w:tc>
        <w:tc>
          <w:tcPr>
            <w:tcW w:w="3017" w:type="pct"/>
          </w:tcPr>
          <w:p w14:paraId="5BBF83AC" w14:textId="77777777" w:rsidR="003614EB" w:rsidRPr="00AF2924" w:rsidRDefault="003614EB" w:rsidP="00AF2924">
            <w:pPr>
              <w:spacing w:after="0"/>
              <w:rPr>
                <w:rFonts w:ascii="ITC Avant Garde" w:hAnsi="ITC Avant Garde"/>
                <w:color w:val="000000"/>
                <w:sz w:val="18"/>
                <w:szCs w:val="18"/>
              </w:rPr>
            </w:pPr>
            <w:r w:rsidRPr="00AF2924">
              <w:rPr>
                <w:rFonts w:ascii="ITC Avant Garde" w:hAnsi="ITC Avant Garde"/>
                <w:sz w:val="18"/>
                <w:szCs w:val="18"/>
              </w:rPr>
              <w:t>Mérida, Kanasín, Umán, Ucú y Conkal.</w:t>
            </w:r>
          </w:p>
        </w:tc>
      </w:tr>
      <w:tr w:rsidR="003614EB" w:rsidRPr="00AF2924" w14:paraId="1888FA20" w14:textId="77777777" w:rsidTr="00AF2924">
        <w:trPr>
          <w:trHeight w:val="533"/>
          <w:jc w:val="center"/>
        </w:trPr>
        <w:tc>
          <w:tcPr>
            <w:tcW w:w="1983" w:type="pct"/>
          </w:tcPr>
          <w:p w14:paraId="619C72CB" w14:textId="77777777" w:rsidR="003614EB" w:rsidRPr="00AF2924" w:rsidRDefault="003614EB" w:rsidP="00AF2924">
            <w:pPr>
              <w:spacing w:after="0"/>
              <w:jc w:val="center"/>
              <w:rPr>
                <w:rFonts w:ascii="ITC Avant Garde" w:hAnsi="ITC Avant Garde"/>
                <w:b/>
                <w:sz w:val="18"/>
                <w:szCs w:val="18"/>
              </w:rPr>
            </w:pPr>
            <w:r w:rsidRPr="00AF2924">
              <w:rPr>
                <w:rFonts w:ascii="ITC Avant Garde" w:hAnsi="ITC Avant Garde"/>
                <w:b/>
                <w:sz w:val="18"/>
                <w:szCs w:val="18"/>
              </w:rPr>
              <w:t>Quintana Roo</w:t>
            </w:r>
          </w:p>
        </w:tc>
        <w:tc>
          <w:tcPr>
            <w:tcW w:w="3017" w:type="pct"/>
          </w:tcPr>
          <w:p w14:paraId="49ECB282" w14:textId="77777777" w:rsidR="003614EB" w:rsidRPr="00AF2924" w:rsidRDefault="003614EB" w:rsidP="00AF2924">
            <w:pPr>
              <w:spacing w:after="0"/>
              <w:rPr>
                <w:rFonts w:ascii="ITC Avant Garde" w:hAnsi="ITC Avant Garde"/>
                <w:b/>
                <w:color w:val="000000"/>
                <w:sz w:val="18"/>
                <w:szCs w:val="18"/>
              </w:rPr>
            </w:pPr>
            <w:r w:rsidRPr="00AF2924">
              <w:rPr>
                <w:rFonts w:ascii="ITC Avant Garde" w:hAnsi="ITC Avant Garde"/>
                <w:b/>
                <w:sz w:val="18"/>
                <w:szCs w:val="18"/>
              </w:rPr>
              <w:t>Benito Juárez e Isla Mujeres.</w:t>
            </w:r>
          </w:p>
        </w:tc>
      </w:tr>
    </w:tbl>
    <w:p w14:paraId="640B9BCD" w14:textId="77777777" w:rsidR="00AF2924" w:rsidRPr="00AF2924" w:rsidRDefault="003614EB" w:rsidP="00AF2924">
      <w:pPr>
        <w:pStyle w:val="estilo30"/>
        <w:spacing w:before="240" w:beforeAutospacing="0" w:after="200" w:afterAutospacing="0"/>
        <w:ind w:left="567" w:right="615"/>
        <w:jc w:val="both"/>
        <w:rPr>
          <w:rFonts w:ascii="ITC Avant Garde" w:eastAsia="Calibri" w:hAnsi="ITC Avant Garde"/>
          <w:bCs/>
          <w:sz w:val="18"/>
          <w:szCs w:val="18"/>
          <w:lang w:eastAsia="en-US"/>
        </w:rPr>
      </w:pPr>
      <w:r w:rsidRPr="00AF2924">
        <w:rPr>
          <w:rFonts w:ascii="ITC Avant Garde" w:eastAsia="Calibri" w:hAnsi="ITC Avant Garde"/>
          <w:bCs/>
          <w:sz w:val="18"/>
          <w:szCs w:val="18"/>
          <w:lang w:eastAsia="en-US"/>
        </w:rPr>
        <w:lastRenderedPageBreak/>
        <w:t>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w:t>
      </w:r>
    </w:p>
    <w:p w14:paraId="022A1334" w14:textId="5447DD8F" w:rsidR="00EE1A9E" w:rsidRPr="00AF2924" w:rsidRDefault="003614EB"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Cuando el Concesionario instale, arriende o haga uso de nueva infraestructura activa, infraestructura pasiva, medios de transmisión, derechos de vía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r w:rsidR="00EE1A9E" w:rsidRPr="00AF2924">
        <w:rPr>
          <w:rFonts w:ascii="ITC Avant Garde" w:hAnsi="ITC Avant Garde"/>
          <w:bCs/>
          <w:sz w:val="18"/>
          <w:szCs w:val="18"/>
        </w:rPr>
        <w:t xml:space="preserve"> </w:t>
      </w:r>
    </w:p>
    <w:p w14:paraId="37F32B67" w14:textId="77777777" w:rsidR="00AF2924" w:rsidRPr="00AF2924" w:rsidRDefault="00EE1A9E"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[Énfasis añadido]</w:t>
      </w:r>
    </w:p>
    <w:p w14:paraId="31A274DB" w14:textId="77777777" w:rsidR="00AF2924" w:rsidRPr="00AF2924" w:rsidRDefault="00414ADB" w:rsidP="00AF2924">
      <w:pPr>
        <w:spacing w:before="240" w:line="240" w:lineRule="auto"/>
        <w:jc w:val="both"/>
        <w:rPr>
          <w:rFonts w:ascii="ITC Avant Garde" w:hAnsi="ITC Avant Garde"/>
          <w:bCs/>
          <w:color w:val="000000"/>
          <w:lang w:eastAsia="es-MX"/>
        </w:rPr>
      </w:pPr>
      <w:r w:rsidRPr="00AF2924">
        <w:rPr>
          <w:rFonts w:ascii="ITC Avant Garde" w:hAnsi="ITC Avant Garde"/>
          <w:bCs/>
          <w:color w:val="000000"/>
          <w:lang w:eastAsia="es-MX"/>
        </w:rPr>
        <w:t xml:space="preserve">En tal virtud, </w:t>
      </w:r>
      <w:r w:rsidR="003614EB" w:rsidRPr="00AF2924">
        <w:rPr>
          <w:rFonts w:ascii="ITC Avant Garde" w:hAnsi="ITC Avant Garde"/>
          <w:bCs/>
          <w:color w:val="000000"/>
          <w:lang w:eastAsia="es-MX"/>
        </w:rPr>
        <w:t>se considera</w:t>
      </w:r>
      <w:r w:rsidR="00EE1A9E" w:rsidRPr="00AF2924">
        <w:rPr>
          <w:rFonts w:ascii="ITC Avant Garde" w:hAnsi="ITC Avant Garde"/>
          <w:bCs/>
          <w:color w:val="000000"/>
          <w:lang w:eastAsia="es-MX"/>
        </w:rPr>
        <w:t xml:space="preserve"> necesaria la</w:t>
      </w:r>
      <w:r w:rsidRPr="00AF2924">
        <w:rPr>
          <w:rFonts w:ascii="ITC Avant Garde" w:hAnsi="ITC Avant Garde"/>
          <w:bCs/>
          <w:color w:val="000000"/>
          <w:lang w:eastAsia="es-MX"/>
        </w:rPr>
        <w:t xml:space="preserve"> </w:t>
      </w:r>
      <w:r w:rsidR="008A18EB" w:rsidRPr="00AF2924">
        <w:rPr>
          <w:rFonts w:ascii="ITC Avant Garde" w:hAnsi="ITC Avant Garde"/>
          <w:bCs/>
          <w:color w:val="000000"/>
          <w:lang w:eastAsia="es-MX"/>
        </w:rPr>
        <w:t>inscri</w:t>
      </w:r>
      <w:r w:rsidR="00EE1A9E" w:rsidRPr="00AF2924">
        <w:rPr>
          <w:rFonts w:ascii="ITC Avant Garde" w:hAnsi="ITC Avant Garde"/>
          <w:bCs/>
          <w:color w:val="000000"/>
          <w:lang w:eastAsia="es-MX"/>
        </w:rPr>
        <w:t>pción</w:t>
      </w:r>
      <w:r w:rsidR="008A18EB" w:rsidRPr="00AF2924">
        <w:rPr>
          <w:rFonts w:ascii="ITC Avant Garde" w:hAnsi="ITC Avant Garde"/>
          <w:bCs/>
          <w:color w:val="000000"/>
          <w:lang w:eastAsia="es-MX"/>
        </w:rPr>
        <w:t xml:space="preserve"> en el </w:t>
      </w:r>
      <w:r w:rsidR="00EE1A9E" w:rsidRPr="00AF2924">
        <w:rPr>
          <w:rFonts w:ascii="ITC Avant Garde" w:hAnsi="ITC Avant Garde"/>
          <w:bCs/>
          <w:color w:val="000000"/>
          <w:lang w:eastAsia="es-MX"/>
        </w:rPr>
        <w:t>Registro Público de Concesiones d</w:t>
      </w:r>
      <w:r w:rsidR="008A18EB" w:rsidRPr="00AF2924">
        <w:rPr>
          <w:rFonts w:ascii="ITC Avant Garde" w:hAnsi="ITC Avant Garde"/>
          <w:bCs/>
          <w:color w:val="000000"/>
          <w:lang w:eastAsia="es-MX"/>
        </w:rPr>
        <w:t xml:space="preserve">el </w:t>
      </w:r>
      <w:r w:rsidR="00EE1A9E" w:rsidRPr="00AF2924">
        <w:rPr>
          <w:rFonts w:ascii="ITC Avant Garde" w:hAnsi="ITC Avant Garde"/>
          <w:bCs/>
          <w:color w:val="000000"/>
          <w:lang w:eastAsia="es-MX"/>
        </w:rPr>
        <w:t>Municipio de Puerto Morelos, en e</w:t>
      </w:r>
      <w:r w:rsidR="008A18EB" w:rsidRPr="00AF2924">
        <w:rPr>
          <w:rFonts w:ascii="ITC Avant Garde" w:hAnsi="ITC Avant Garde"/>
          <w:bCs/>
          <w:color w:val="000000"/>
          <w:lang w:eastAsia="es-MX"/>
        </w:rPr>
        <w:t xml:space="preserve">l </w:t>
      </w:r>
      <w:r w:rsidR="00EE1A9E" w:rsidRPr="00AF2924">
        <w:rPr>
          <w:rFonts w:ascii="ITC Avant Garde" w:hAnsi="ITC Avant Garde"/>
          <w:bCs/>
          <w:color w:val="000000"/>
          <w:lang w:eastAsia="es-MX"/>
        </w:rPr>
        <w:t>E</w:t>
      </w:r>
      <w:r w:rsidR="008A18EB" w:rsidRPr="00AF2924">
        <w:rPr>
          <w:rFonts w:ascii="ITC Avant Garde" w:hAnsi="ITC Avant Garde"/>
          <w:bCs/>
          <w:color w:val="000000"/>
          <w:lang w:eastAsia="es-MX"/>
        </w:rPr>
        <w:t xml:space="preserve">stado de Quintana Roo, como parte de la cobertura </w:t>
      </w:r>
      <w:r w:rsidR="00EE1A9E" w:rsidRPr="00AF2924">
        <w:rPr>
          <w:rFonts w:ascii="ITC Avant Garde" w:hAnsi="ITC Avant Garde"/>
          <w:bCs/>
          <w:color w:val="000000"/>
          <w:lang w:eastAsia="es-MX"/>
        </w:rPr>
        <w:t>en donde se ofrece el servicio indicado en la Condición 6 “Características Generales del Proyecto”</w:t>
      </w:r>
      <w:r w:rsidR="008A18EB" w:rsidRPr="00AF2924">
        <w:rPr>
          <w:rFonts w:ascii="ITC Avant Garde" w:hAnsi="ITC Avant Garde"/>
          <w:bCs/>
          <w:color w:val="000000"/>
          <w:lang w:eastAsia="es-MX"/>
        </w:rPr>
        <w:t xml:space="preserve"> </w:t>
      </w:r>
      <w:r w:rsidR="00EE1A9E" w:rsidRPr="00AF2924">
        <w:rPr>
          <w:rFonts w:ascii="ITC Avant Garde" w:hAnsi="ITC Avant Garde"/>
          <w:bCs/>
          <w:color w:val="000000"/>
          <w:lang w:eastAsia="es-MX"/>
        </w:rPr>
        <w:t xml:space="preserve">de </w:t>
      </w:r>
      <w:r w:rsidR="008A18EB" w:rsidRPr="00AF2924">
        <w:rPr>
          <w:rFonts w:ascii="ITC Avant Garde" w:hAnsi="ITC Avant Garde"/>
          <w:bCs/>
          <w:color w:val="000000"/>
          <w:lang w:eastAsia="es-MX"/>
        </w:rPr>
        <w:t>la Concesión Única</w:t>
      </w:r>
      <w:r w:rsidR="00EE1A9E" w:rsidRPr="00AF2924">
        <w:rPr>
          <w:rFonts w:ascii="ITC Avant Garde" w:hAnsi="ITC Avant Garde"/>
          <w:bCs/>
          <w:color w:val="000000"/>
          <w:lang w:eastAsia="es-MX"/>
        </w:rPr>
        <w:t>.</w:t>
      </w:r>
    </w:p>
    <w:p w14:paraId="3474A2AE" w14:textId="77777777" w:rsidR="00AF2924" w:rsidRPr="00AF2924" w:rsidRDefault="009A23E3" w:rsidP="00AF2924">
      <w:pPr>
        <w:spacing w:before="240" w:line="240" w:lineRule="auto"/>
        <w:jc w:val="both"/>
        <w:rPr>
          <w:rFonts w:ascii="ITC Avant Garde" w:hAnsi="ITC Avant Garde"/>
          <w:bCs/>
        </w:rPr>
      </w:pPr>
      <w:r w:rsidRPr="00AF2924">
        <w:rPr>
          <w:rFonts w:ascii="ITC Avant Garde" w:hAnsi="ITC Avant Garde"/>
          <w:bCs/>
        </w:rPr>
        <w:t>Por lo anteriormente señalado, y con fundamento en los artículos 28 párrafo décimo quinto</w:t>
      </w:r>
      <w:r w:rsidR="00811B61" w:rsidRPr="00AF2924">
        <w:rPr>
          <w:rFonts w:ascii="ITC Avant Garde" w:hAnsi="ITC Avant Garde"/>
          <w:bCs/>
        </w:rPr>
        <w:t>, décimo sexto</w:t>
      </w:r>
      <w:r w:rsidRPr="00AF2924">
        <w:rPr>
          <w:rFonts w:ascii="ITC Avant Garde" w:hAnsi="ITC Avant Garde"/>
          <w:bCs/>
        </w:rPr>
        <w:t xml:space="preserve"> y décimo séptimo de la Constitución Política de los Estados Unidos Mexicanos; </w:t>
      </w:r>
      <w:r w:rsidR="001F057F" w:rsidRPr="00AF2924">
        <w:rPr>
          <w:rFonts w:ascii="ITC Avant Garde" w:hAnsi="ITC Avant Garde"/>
          <w:bCs/>
        </w:rPr>
        <w:t xml:space="preserve">6 fracción IV, 7, </w:t>
      </w:r>
      <w:r w:rsidRPr="00AF2924">
        <w:rPr>
          <w:rFonts w:ascii="ITC Avant Garde" w:hAnsi="ITC Avant Garde"/>
          <w:bCs/>
        </w:rPr>
        <w:t>15 fracción IV</w:t>
      </w:r>
      <w:r w:rsidR="00414ADB" w:rsidRPr="00AF2924">
        <w:rPr>
          <w:rFonts w:ascii="ITC Avant Garde" w:hAnsi="ITC Avant Garde"/>
          <w:bCs/>
        </w:rPr>
        <w:t xml:space="preserve"> y</w:t>
      </w:r>
      <w:r w:rsidRPr="00AF2924">
        <w:rPr>
          <w:rFonts w:ascii="ITC Avant Garde" w:hAnsi="ITC Avant Garde"/>
          <w:bCs/>
        </w:rPr>
        <w:t xml:space="preserve"> 17 fracción I</w:t>
      </w:r>
      <w:r w:rsidR="00D077C1" w:rsidRPr="00AF2924">
        <w:rPr>
          <w:rFonts w:ascii="ITC Avant Garde" w:hAnsi="ITC Avant Garde"/>
          <w:bCs/>
        </w:rPr>
        <w:t xml:space="preserve"> </w:t>
      </w:r>
      <w:r w:rsidRPr="00AF2924">
        <w:rPr>
          <w:rFonts w:ascii="ITC Avant Garde" w:hAnsi="ITC Avant Garde"/>
          <w:bCs/>
        </w:rPr>
        <w:t>de la Ley Federal de Telecomunicaciones y Radiodifusión; 35 fracción</w:t>
      </w:r>
      <w:r w:rsidR="00827143" w:rsidRPr="00AF2924">
        <w:rPr>
          <w:rFonts w:ascii="ITC Avant Garde" w:hAnsi="ITC Avant Garde"/>
          <w:bCs/>
        </w:rPr>
        <w:t xml:space="preserve"> I, 36, 38,</w:t>
      </w:r>
      <w:r w:rsidRPr="00AF2924">
        <w:rPr>
          <w:rFonts w:ascii="ITC Avant Garde" w:hAnsi="ITC Avant Garde"/>
          <w:bCs/>
        </w:rPr>
        <w:t xml:space="preserve"> 39</w:t>
      </w:r>
      <w:r w:rsidR="00827143" w:rsidRPr="00AF2924">
        <w:rPr>
          <w:rFonts w:ascii="ITC Avant Garde" w:hAnsi="ITC Avant Garde"/>
          <w:bCs/>
        </w:rPr>
        <w:t xml:space="preserve"> </w:t>
      </w:r>
      <w:r w:rsidR="00827143" w:rsidRPr="00AF2924">
        <w:rPr>
          <w:rFonts w:ascii="ITC Avant Garde" w:hAnsi="ITC Avant Garde"/>
          <w:bCs/>
          <w:color w:val="000000"/>
          <w:lang w:eastAsia="es-MX"/>
        </w:rPr>
        <w:t>y 57 fracción I</w:t>
      </w:r>
      <w:r w:rsidRPr="00AF2924">
        <w:rPr>
          <w:rFonts w:ascii="ITC Avant Garde" w:hAnsi="ITC Avant Garde"/>
          <w:bCs/>
        </w:rPr>
        <w:t xml:space="preserve"> de la Ley Federal de Procedimiento Administrativo; </w:t>
      </w:r>
      <w:r w:rsidR="00F87780" w:rsidRPr="00AF2924">
        <w:rPr>
          <w:rFonts w:ascii="ITC Avant Garde" w:hAnsi="ITC Avant Garde"/>
          <w:bCs/>
        </w:rPr>
        <w:t>1</w:t>
      </w:r>
      <w:r w:rsidRPr="00AF2924">
        <w:rPr>
          <w:rFonts w:ascii="ITC Avant Garde" w:hAnsi="ITC Avant Garde"/>
          <w:bCs/>
        </w:rPr>
        <w:t>, 6 fracción I,</w:t>
      </w:r>
      <w:r w:rsidR="00217CAD" w:rsidRPr="00AF2924">
        <w:rPr>
          <w:rFonts w:ascii="ITC Avant Garde" w:hAnsi="ITC Avant Garde"/>
          <w:bCs/>
        </w:rPr>
        <w:t xml:space="preserve"> </w:t>
      </w:r>
      <w:r w:rsidRPr="00AF2924">
        <w:rPr>
          <w:rFonts w:ascii="ITC Avant Garde" w:hAnsi="ITC Avant Garde"/>
          <w:bCs/>
        </w:rPr>
        <w:t>33 fracción II</w:t>
      </w:r>
      <w:r w:rsidR="006D5CC5" w:rsidRPr="00AF2924">
        <w:rPr>
          <w:rFonts w:ascii="ITC Avant Garde" w:hAnsi="ITC Avant Garde"/>
          <w:bCs/>
        </w:rPr>
        <w:t xml:space="preserve"> y 36</w:t>
      </w:r>
      <w:r w:rsidRPr="00AF2924">
        <w:rPr>
          <w:rFonts w:ascii="ITC Avant Garde" w:hAnsi="ITC Avant Garde"/>
          <w:bCs/>
        </w:rPr>
        <w:t xml:space="preserve"> del Estatuto Orgánico del Instituto</w:t>
      </w:r>
      <w:r w:rsidR="00D077C1" w:rsidRPr="00AF2924">
        <w:rPr>
          <w:rFonts w:ascii="ITC Avant Garde" w:hAnsi="ITC Avant Garde"/>
          <w:bCs/>
        </w:rPr>
        <w:t xml:space="preserve"> Federal de Telecomunicaciones,</w:t>
      </w:r>
      <w:r w:rsidR="003614EB" w:rsidRPr="00AF2924">
        <w:rPr>
          <w:rFonts w:ascii="ITC Avant Garde" w:hAnsi="ITC Avant Garde"/>
          <w:bCs/>
        </w:rPr>
        <w:t xml:space="preserve"> así como en la Condición 5 de</w:t>
      </w:r>
      <w:r w:rsidR="00CE60C3" w:rsidRPr="00AF2924">
        <w:rPr>
          <w:rFonts w:ascii="ITC Avant Garde" w:hAnsi="ITC Avant Garde"/>
          <w:bCs/>
        </w:rPr>
        <w:t>l</w:t>
      </w:r>
      <w:r w:rsidR="003614EB" w:rsidRPr="00AF2924">
        <w:rPr>
          <w:rFonts w:ascii="ITC Avant Garde" w:hAnsi="ITC Avant Garde"/>
          <w:bCs/>
        </w:rPr>
        <w:t xml:space="preserve"> </w:t>
      </w:r>
      <w:r w:rsidR="00CE60C3" w:rsidRPr="00AF2924">
        <w:rPr>
          <w:rFonts w:ascii="ITC Avant Garde" w:hAnsi="ITC Avant Garde"/>
          <w:bCs/>
          <w:color w:val="000000"/>
          <w:lang w:eastAsia="es-MX"/>
        </w:rPr>
        <w:t>título de concesión para usar, aprovechar y explotar bandas de frecuencias del espectro radioeléctrico para uso comercial, otorgado el 13 de junio de 2016 a Radiocomunicaciones Telefónicas Peninsulares, S.A. de C.V.</w:t>
      </w:r>
      <w:r w:rsidR="00DB3544" w:rsidRPr="00AF2924">
        <w:rPr>
          <w:rFonts w:ascii="ITC Avant Garde" w:hAnsi="ITC Avant Garde"/>
          <w:bCs/>
          <w:color w:val="000000"/>
          <w:lang w:eastAsia="es-MX"/>
        </w:rPr>
        <w:t>,</w:t>
      </w:r>
      <w:r w:rsidRPr="00AF2924">
        <w:rPr>
          <w:rFonts w:ascii="ITC Avant Garde" w:hAnsi="ITC Avant Garde"/>
          <w:bCs/>
        </w:rPr>
        <w:t xml:space="preserve"> este órgano autónomo emite los siguientes:</w:t>
      </w:r>
    </w:p>
    <w:p w14:paraId="650D37BE" w14:textId="77777777" w:rsidR="00AF2924" w:rsidRPr="00AF2924" w:rsidRDefault="00E62D71" w:rsidP="00AF2924">
      <w:pPr>
        <w:pStyle w:val="Ttulo2"/>
        <w:spacing w:after="240"/>
        <w:jc w:val="center"/>
        <w:rPr>
          <w:rFonts w:ascii="ITC Avant Garde" w:hAnsi="ITC Avant Garde"/>
          <w:b/>
          <w:color w:val="000000" w:themeColor="text1"/>
          <w:sz w:val="22"/>
          <w:szCs w:val="22"/>
        </w:rPr>
      </w:pPr>
      <w:r w:rsidRPr="00AF2924">
        <w:rPr>
          <w:rFonts w:ascii="ITC Avant Garde" w:hAnsi="ITC Avant Garde"/>
          <w:b/>
          <w:color w:val="000000" w:themeColor="text1"/>
          <w:sz w:val="22"/>
          <w:szCs w:val="22"/>
        </w:rPr>
        <w:t>RESOLUTIVOS</w:t>
      </w:r>
    </w:p>
    <w:p w14:paraId="40434755" w14:textId="77777777" w:rsidR="00AF2924" w:rsidRPr="00AF2924" w:rsidRDefault="003A743E" w:rsidP="00AF2924">
      <w:pPr>
        <w:spacing w:before="240" w:line="240" w:lineRule="auto"/>
        <w:jc w:val="both"/>
        <w:rPr>
          <w:rFonts w:ascii="ITC Avant Garde" w:hAnsi="ITC Avant Garde"/>
          <w:bCs/>
          <w:color w:val="000000"/>
          <w:lang w:eastAsia="es-MX"/>
        </w:rPr>
      </w:pPr>
      <w:r w:rsidRPr="00AF2924">
        <w:rPr>
          <w:rFonts w:ascii="ITC Avant Garde" w:hAnsi="ITC Avant Garde"/>
          <w:b/>
          <w:bCs/>
        </w:rPr>
        <w:t xml:space="preserve">PRIMERO.- </w:t>
      </w:r>
      <w:r w:rsidR="002F60C7" w:rsidRPr="00AF2924">
        <w:rPr>
          <w:rFonts w:ascii="ITC Avant Garde" w:hAnsi="ITC Avant Garde"/>
          <w:bCs/>
        </w:rPr>
        <w:t>Con base en lo establecido en el Considerando Tercero de la presente Resolución, s</w:t>
      </w:r>
      <w:r w:rsidRPr="00AF2924">
        <w:rPr>
          <w:rFonts w:ascii="ITC Avant Garde" w:hAnsi="ITC Avant Garde"/>
          <w:bCs/>
        </w:rPr>
        <w:t xml:space="preserve">e autoriza a </w:t>
      </w:r>
      <w:r w:rsidR="00106EE8" w:rsidRPr="00AF2924">
        <w:rPr>
          <w:rFonts w:ascii="ITC Avant Garde" w:hAnsi="ITC Avant Garde"/>
          <w:bCs/>
          <w:color w:val="000000"/>
          <w:lang w:eastAsia="es-MX"/>
        </w:rPr>
        <w:t>Comunicaciones Radiotelefónicas Peninsulares</w:t>
      </w:r>
      <w:r w:rsidRPr="00AF2924">
        <w:rPr>
          <w:rFonts w:ascii="ITC Avant Garde" w:hAnsi="ITC Avant Garde"/>
          <w:bCs/>
          <w:color w:val="000000"/>
          <w:lang w:eastAsia="es-MX"/>
        </w:rPr>
        <w:t xml:space="preserve">, S. </w:t>
      </w:r>
      <w:r w:rsidR="00A14978" w:rsidRPr="00AF2924">
        <w:rPr>
          <w:rFonts w:ascii="ITC Avant Garde" w:hAnsi="ITC Avant Garde"/>
          <w:bCs/>
          <w:color w:val="000000"/>
          <w:lang w:eastAsia="es-MX"/>
        </w:rPr>
        <w:t>A.</w:t>
      </w:r>
      <w:r w:rsidRPr="00AF2924">
        <w:rPr>
          <w:rFonts w:ascii="ITC Avant Garde" w:hAnsi="ITC Avant Garde"/>
          <w:bCs/>
          <w:color w:val="000000"/>
          <w:lang w:eastAsia="es-MX"/>
        </w:rPr>
        <w:t xml:space="preserve"> de C.V.</w:t>
      </w:r>
      <w:r w:rsidRPr="00AF2924">
        <w:rPr>
          <w:rFonts w:ascii="ITC Avant Garde" w:hAnsi="ITC Avant Garde"/>
          <w:bCs/>
        </w:rPr>
        <w:t xml:space="preserve">, la modificación del título de </w:t>
      </w:r>
      <w:r w:rsidR="00D9770A" w:rsidRPr="00AF2924">
        <w:rPr>
          <w:rFonts w:ascii="ITC Avant Garde" w:hAnsi="ITC Avant Garde"/>
          <w:bCs/>
        </w:rPr>
        <w:t xml:space="preserve">concesión </w:t>
      </w:r>
      <w:r w:rsidR="00A14978" w:rsidRPr="00AF2924">
        <w:rPr>
          <w:rFonts w:ascii="ITC Avant Garde" w:hAnsi="ITC Avant Garde"/>
          <w:bCs/>
          <w:color w:val="000000"/>
          <w:lang w:eastAsia="es-MX"/>
        </w:rPr>
        <w:t xml:space="preserve">para usar, aprovechar y explotar bandas de frecuencias del espectro radioeléctrico para uso comercial, </w:t>
      </w:r>
      <w:r w:rsidR="00D9770A" w:rsidRPr="00AF2924">
        <w:rPr>
          <w:rFonts w:ascii="ITC Avant Garde" w:hAnsi="ITC Avant Garde"/>
          <w:bCs/>
          <w:color w:val="000000"/>
          <w:lang w:eastAsia="es-MX"/>
        </w:rPr>
        <w:t>otorgado el 13 de junio de 2016</w:t>
      </w:r>
      <w:r w:rsidR="00435F98" w:rsidRPr="00AF2924">
        <w:rPr>
          <w:rFonts w:ascii="ITC Avant Garde" w:hAnsi="ITC Avant Garde"/>
          <w:bCs/>
          <w:color w:val="000000"/>
          <w:lang w:eastAsia="es-MX"/>
        </w:rPr>
        <w:t xml:space="preserve"> </w:t>
      </w:r>
      <w:r w:rsidR="00A14978" w:rsidRPr="00AF2924">
        <w:rPr>
          <w:rFonts w:ascii="ITC Avant Garde" w:hAnsi="ITC Avant Garde"/>
          <w:bCs/>
          <w:color w:val="000000"/>
          <w:lang w:eastAsia="es-MX"/>
        </w:rPr>
        <w:t xml:space="preserve">para prestar el servicio móvil de radiocomunicación especializada de flotillas, </w:t>
      </w:r>
      <w:r w:rsidR="003F797F" w:rsidRPr="00AF2924">
        <w:rPr>
          <w:rFonts w:ascii="ITC Avant Garde" w:hAnsi="ITC Avant Garde"/>
          <w:bCs/>
          <w:color w:val="000000"/>
          <w:lang w:eastAsia="es-MX"/>
        </w:rPr>
        <w:t>con</w:t>
      </w:r>
      <w:r w:rsidR="00A14978" w:rsidRPr="00AF2924">
        <w:rPr>
          <w:rFonts w:ascii="ITC Avant Garde" w:hAnsi="ITC Avant Garde"/>
          <w:bCs/>
          <w:color w:val="000000"/>
          <w:lang w:eastAsia="es-MX"/>
        </w:rPr>
        <w:t xml:space="preserve"> una vigencia de 20 años contados a partir del 16 de junio de 2007</w:t>
      </w:r>
      <w:r w:rsidRPr="00AF2924">
        <w:rPr>
          <w:rFonts w:ascii="ITC Avant Garde" w:hAnsi="ITC Avant Garde"/>
          <w:bCs/>
          <w:color w:val="000000"/>
          <w:lang w:eastAsia="es-MX"/>
        </w:rPr>
        <w:t xml:space="preserve">, en el sentido de </w:t>
      </w:r>
      <w:r w:rsidR="00D9770A" w:rsidRPr="00AF2924">
        <w:rPr>
          <w:rFonts w:ascii="ITC Avant Garde" w:hAnsi="ITC Avant Garde"/>
          <w:bCs/>
          <w:color w:val="000000"/>
          <w:lang w:eastAsia="es-MX"/>
        </w:rPr>
        <w:t xml:space="preserve">adicionar </w:t>
      </w:r>
      <w:r w:rsidR="00435F98" w:rsidRPr="00AF2924">
        <w:rPr>
          <w:rFonts w:ascii="ITC Avant Garde" w:hAnsi="ITC Avant Garde"/>
          <w:bCs/>
          <w:color w:val="000000"/>
          <w:lang w:eastAsia="es-MX"/>
        </w:rPr>
        <w:t xml:space="preserve">a la Condición 5 “Cobertura de la Concesión de Espectro Radioeléctrico”, </w:t>
      </w:r>
      <w:r w:rsidR="003F797F" w:rsidRPr="00AF2924">
        <w:rPr>
          <w:rFonts w:ascii="ITC Avant Garde" w:hAnsi="ITC Avant Garde"/>
          <w:bCs/>
          <w:color w:val="000000"/>
          <w:lang w:eastAsia="es-MX"/>
        </w:rPr>
        <w:t>el M</w:t>
      </w:r>
      <w:r w:rsidR="00D9770A" w:rsidRPr="00AF2924">
        <w:rPr>
          <w:rFonts w:ascii="ITC Avant Garde" w:hAnsi="ITC Avant Garde"/>
          <w:bCs/>
          <w:color w:val="000000"/>
          <w:lang w:eastAsia="es-MX"/>
        </w:rPr>
        <w:t>uni</w:t>
      </w:r>
      <w:r w:rsidR="003F797F" w:rsidRPr="00AF2924">
        <w:rPr>
          <w:rFonts w:ascii="ITC Avant Garde" w:hAnsi="ITC Avant Garde"/>
          <w:bCs/>
          <w:color w:val="000000"/>
          <w:lang w:eastAsia="es-MX"/>
        </w:rPr>
        <w:t>cipio de Puerto Morelos, en el E</w:t>
      </w:r>
      <w:r w:rsidR="00D9770A" w:rsidRPr="00AF2924">
        <w:rPr>
          <w:rFonts w:ascii="ITC Avant Garde" w:hAnsi="ITC Avant Garde"/>
          <w:bCs/>
          <w:color w:val="000000"/>
          <w:lang w:eastAsia="es-MX"/>
        </w:rPr>
        <w:t>stado de Quintana Roo</w:t>
      </w:r>
      <w:r w:rsidR="00D116BC" w:rsidRPr="00AF2924">
        <w:rPr>
          <w:rFonts w:ascii="ITC Avant Garde" w:hAnsi="ITC Avant Garde"/>
          <w:bCs/>
          <w:color w:val="000000"/>
          <w:lang w:eastAsia="es-MX"/>
        </w:rPr>
        <w:t>, para quedar de la siguiente manera:</w:t>
      </w:r>
    </w:p>
    <w:p w14:paraId="7A5BC3D5" w14:textId="47206158" w:rsidR="00D116BC" w:rsidRPr="00AF2924" w:rsidRDefault="00D116BC" w:rsidP="00AF2924">
      <w:pPr>
        <w:autoSpaceDE w:val="0"/>
        <w:autoSpaceDN w:val="0"/>
        <w:adjustRightInd w:val="0"/>
        <w:spacing w:before="240" w:line="240" w:lineRule="auto"/>
        <w:ind w:left="567" w:right="615"/>
        <w:jc w:val="both"/>
        <w:rPr>
          <w:rFonts w:ascii="ITC Avant Garde" w:hAnsi="ITC Avant Garde"/>
          <w:bCs/>
          <w:sz w:val="18"/>
          <w:szCs w:val="18"/>
        </w:rPr>
      </w:pPr>
      <w:r w:rsidRPr="00AF2924">
        <w:rPr>
          <w:rFonts w:ascii="ITC Avant Garde" w:hAnsi="ITC Avant Garde"/>
          <w:bCs/>
          <w:sz w:val="18"/>
          <w:szCs w:val="18"/>
        </w:rPr>
        <w:t>“</w:t>
      </w:r>
      <w:r w:rsidRPr="00AF2924">
        <w:rPr>
          <w:rFonts w:ascii="ITC Avant Garde" w:hAnsi="ITC Avant Garde"/>
          <w:b/>
          <w:bCs/>
          <w:sz w:val="18"/>
          <w:szCs w:val="18"/>
        </w:rPr>
        <w:t>5. Cobertura de la Concesión de Espectro Radioeléctrico.</w:t>
      </w:r>
      <w:r w:rsidRPr="00AF2924">
        <w:rPr>
          <w:rFonts w:ascii="ITC Avant Garde" w:hAnsi="ITC Avant Garde"/>
          <w:bCs/>
          <w:sz w:val="18"/>
          <w:szCs w:val="18"/>
        </w:rPr>
        <w:t xml:space="preserve"> El concesionario deberá usar, aprovechar y explotar las bandas de frecuencias que ampara la presente Concesión de Espectro Radioeléctrico, exclusivamente en la Cobertura Geográfica que se describe a continuación, de conformidad con el siguiente plan de asignación de cobertura:</w:t>
      </w:r>
    </w:p>
    <w:tbl>
      <w:tblPr>
        <w:tblStyle w:val="Tablaconcuadrcula"/>
        <w:tblW w:w="3295" w:type="pct"/>
        <w:jc w:val="center"/>
        <w:tblLook w:val="04A0" w:firstRow="1" w:lastRow="0" w:firstColumn="1" w:lastColumn="0" w:noHBand="0" w:noVBand="1"/>
        <w:tblCaption w:val="Cobertura de la Concesión de Espectro Radioeléctrico"/>
        <w:tblDescription w:val="En una tabla de 3 columnas se proporciona la conertura por Estado y Municipio y los gruspos de frecuencias asignadas. "/>
      </w:tblPr>
      <w:tblGrid>
        <w:gridCol w:w="1123"/>
        <w:gridCol w:w="2736"/>
        <w:gridCol w:w="2332"/>
      </w:tblGrid>
      <w:tr w:rsidR="00AF2924" w:rsidRPr="00AF2924" w14:paraId="14834D9E" w14:textId="77777777" w:rsidTr="00AF2924">
        <w:trPr>
          <w:trHeight w:val="257"/>
          <w:tblHeader/>
          <w:jc w:val="center"/>
        </w:trPr>
        <w:tc>
          <w:tcPr>
            <w:tcW w:w="907" w:type="pct"/>
            <w:shd w:val="clear" w:color="auto" w:fill="BFBFBF" w:themeFill="background1" w:themeFillShade="BF"/>
            <w:vAlign w:val="center"/>
          </w:tcPr>
          <w:p w14:paraId="33EDB007" w14:textId="5CDA3E4A"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b/>
                <w:sz w:val="18"/>
                <w:szCs w:val="18"/>
              </w:rPr>
              <w:lastRenderedPageBreak/>
              <w:t>Cobertura</w:t>
            </w:r>
            <w:r>
              <w:rPr>
                <w:rFonts w:ascii="ITC Avant Garde" w:eastAsia="Times New Roman" w:hAnsi="ITC Avant Garde"/>
                <w:b/>
                <w:sz w:val="18"/>
                <w:szCs w:val="18"/>
              </w:rPr>
              <w:t xml:space="preserve"> por</w:t>
            </w:r>
            <w:r w:rsidRPr="00AF2924">
              <w:rPr>
                <w:rFonts w:ascii="ITC Avant Garde" w:eastAsia="Times New Roman" w:hAnsi="ITC Avant Garde"/>
                <w:b/>
                <w:sz w:val="18"/>
                <w:szCs w:val="18"/>
              </w:rPr>
              <w:t xml:space="preserve"> Estado</w:t>
            </w:r>
          </w:p>
        </w:tc>
        <w:tc>
          <w:tcPr>
            <w:tcW w:w="2210" w:type="pct"/>
            <w:shd w:val="clear" w:color="auto" w:fill="BFBFBF" w:themeFill="background1" w:themeFillShade="BF"/>
            <w:vAlign w:val="center"/>
          </w:tcPr>
          <w:p w14:paraId="4086D269" w14:textId="3B9474C6" w:rsidR="00AF2924" w:rsidRPr="00AF2924" w:rsidRDefault="00AF2924" w:rsidP="00AF2924">
            <w:pPr>
              <w:spacing w:after="0" w:line="240" w:lineRule="auto"/>
              <w:jc w:val="center"/>
              <w:rPr>
                <w:rFonts w:ascii="ITC Avant Garde" w:eastAsia="Times New Roman" w:hAnsi="ITC Avant Garde"/>
                <w:sz w:val="18"/>
                <w:szCs w:val="18"/>
              </w:rPr>
            </w:pPr>
            <w:r>
              <w:rPr>
                <w:rFonts w:ascii="ITC Avant Garde" w:eastAsia="Times New Roman" w:hAnsi="ITC Avant Garde"/>
                <w:b/>
                <w:sz w:val="18"/>
                <w:szCs w:val="18"/>
              </w:rPr>
              <w:t xml:space="preserve">Cobertura por </w:t>
            </w:r>
            <w:r w:rsidRPr="00AF2924">
              <w:rPr>
                <w:rFonts w:ascii="ITC Avant Garde" w:eastAsia="Times New Roman" w:hAnsi="ITC Avant Garde"/>
                <w:b/>
                <w:sz w:val="18"/>
                <w:szCs w:val="18"/>
              </w:rPr>
              <w:t>Municipios</w:t>
            </w:r>
          </w:p>
        </w:tc>
        <w:tc>
          <w:tcPr>
            <w:tcW w:w="1883" w:type="pct"/>
            <w:shd w:val="clear" w:color="auto" w:fill="BFBFBF" w:themeFill="background1" w:themeFillShade="BF"/>
            <w:vAlign w:val="center"/>
          </w:tcPr>
          <w:p w14:paraId="0F42E622" w14:textId="751DBC8F"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b/>
                <w:sz w:val="18"/>
                <w:szCs w:val="18"/>
              </w:rPr>
              <w:t>Grupos de frecuencia asignados en la banda de 400 MHz</w:t>
            </w:r>
          </w:p>
        </w:tc>
      </w:tr>
      <w:tr w:rsidR="00AF2924" w:rsidRPr="00AF2924" w14:paraId="77E65B1C" w14:textId="77777777" w:rsidTr="00AF2924">
        <w:trPr>
          <w:trHeight w:val="257"/>
          <w:jc w:val="center"/>
        </w:trPr>
        <w:tc>
          <w:tcPr>
            <w:tcW w:w="907" w:type="pct"/>
          </w:tcPr>
          <w:p w14:paraId="2CCD8918"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Chiapas</w:t>
            </w:r>
          </w:p>
        </w:tc>
        <w:tc>
          <w:tcPr>
            <w:tcW w:w="2210" w:type="pct"/>
          </w:tcPr>
          <w:p w14:paraId="64112C9E" w14:textId="77777777" w:rsidR="00AF2924" w:rsidRPr="00AF2924" w:rsidRDefault="00AF2924" w:rsidP="00AF2924">
            <w:pPr>
              <w:spacing w:after="0" w:line="240" w:lineRule="auto"/>
              <w:rPr>
                <w:rFonts w:ascii="ITC Avant Garde" w:eastAsia="Times New Roman" w:hAnsi="ITC Avant Garde"/>
                <w:color w:val="000000"/>
                <w:sz w:val="18"/>
                <w:szCs w:val="18"/>
              </w:rPr>
            </w:pPr>
            <w:r w:rsidRPr="00AF2924">
              <w:rPr>
                <w:rFonts w:ascii="ITC Avant Garde" w:eastAsia="Times New Roman" w:hAnsi="ITC Avant Garde"/>
                <w:sz w:val="18"/>
                <w:szCs w:val="18"/>
              </w:rPr>
              <w:t>Tuxtla Gutiérrez y Chiapa de Corzo.</w:t>
            </w:r>
          </w:p>
        </w:tc>
        <w:tc>
          <w:tcPr>
            <w:tcW w:w="1883" w:type="pct"/>
          </w:tcPr>
          <w:p w14:paraId="01E98D82"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1, 2, 3, 4, 5, 6, 7 y 8</w:t>
            </w:r>
          </w:p>
        </w:tc>
      </w:tr>
      <w:tr w:rsidR="00AF2924" w:rsidRPr="00AF2924" w14:paraId="3AD274FC" w14:textId="77777777" w:rsidTr="00AF2924">
        <w:trPr>
          <w:trHeight w:val="278"/>
          <w:jc w:val="center"/>
        </w:trPr>
        <w:tc>
          <w:tcPr>
            <w:tcW w:w="907" w:type="pct"/>
          </w:tcPr>
          <w:p w14:paraId="5B424BCA"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Tabasco</w:t>
            </w:r>
          </w:p>
        </w:tc>
        <w:tc>
          <w:tcPr>
            <w:tcW w:w="2210" w:type="pct"/>
          </w:tcPr>
          <w:p w14:paraId="196276A7" w14:textId="77777777" w:rsidR="00AF2924" w:rsidRPr="00AF2924" w:rsidRDefault="00AF2924" w:rsidP="00AF2924">
            <w:pPr>
              <w:spacing w:after="0" w:line="240" w:lineRule="auto"/>
              <w:rPr>
                <w:rFonts w:ascii="ITC Avant Garde" w:eastAsia="Times New Roman" w:hAnsi="ITC Avant Garde"/>
                <w:color w:val="000000"/>
                <w:sz w:val="18"/>
                <w:szCs w:val="18"/>
              </w:rPr>
            </w:pPr>
            <w:r w:rsidRPr="00AF2924">
              <w:rPr>
                <w:rFonts w:ascii="ITC Avant Garde" w:eastAsia="Times New Roman" w:hAnsi="ITC Avant Garde"/>
                <w:sz w:val="18"/>
                <w:szCs w:val="18"/>
              </w:rPr>
              <w:t>Centro y Nacajuca.</w:t>
            </w:r>
          </w:p>
        </w:tc>
        <w:tc>
          <w:tcPr>
            <w:tcW w:w="1883" w:type="pct"/>
          </w:tcPr>
          <w:p w14:paraId="716E9837" w14:textId="2D5B2704" w:rsidR="00AF2924" w:rsidRPr="00AF2924" w:rsidRDefault="00AF2924" w:rsidP="00AF2924">
            <w:pPr>
              <w:spacing w:after="0" w:line="240" w:lineRule="auto"/>
              <w:jc w:val="center"/>
              <w:rPr>
                <w:rFonts w:ascii="ITC Avant Garde" w:eastAsia="Times New Roman" w:hAnsi="ITC Avant Garde"/>
                <w:sz w:val="18"/>
                <w:szCs w:val="18"/>
              </w:rPr>
            </w:pPr>
            <w:r w:rsidRPr="00087B40">
              <w:rPr>
                <w:rFonts w:ascii="ITC Avant Garde" w:eastAsia="Times New Roman" w:hAnsi="ITC Avant Garde"/>
                <w:sz w:val="18"/>
                <w:szCs w:val="18"/>
              </w:rPr>
              <w:t>1, 2, 3, 4, 5, 6, 7 y 8</w:t>
            </w:r>
          </w:p>
        </w:tc>
      </w:tr>
      <w:tr w:rsidR="00AF2924" w:rsidRPr="00AF2924" w14:paraId="32528E5E" w14:textId="77777777" w:rsidTr="00AF2924">
        <w:trPr>
          <w:trHeight w:val="102"/>
          <w:jc w:val="center"/>
        </w:trPr>
        <w:tc>
          <w:tcPr>
            <w:tcW w:w="907" w:type="pct"/>
          </w:tcPr>
          <w:p w14:paraId="36DEBCE4"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Yucatán</w:t>
            </w:r>
          </w:p>
        </w:tc>
        <w:tc>
          <w:tcPr>
            <w:tcW w:w="2210" w:type="pct"/>
          </w:tcPr>
          <w:p w14:paraId="1A014C66" w14:textId="77777777" w:rsidR="00AF2924" w:rsidRPr="00AF2924" w:rsidRDefault="00AF2924" w:rsidP="00AF2924">
            <w:pPr>
              <w:spacing w:after="0" w:line="240" w:lineRule="auto"/>
              <w:rPr>
                <w:rFonts w:ascii="ITC Avant Garde" w:eastAsia="Times New Roman" w:hAnsi="ITC Avant Garde"/>
                <w:color w:val="000000"/>
                <w:sz w:val="18"/>
                <w:szCs w:val="18"/>
              </w:rPr>
            </w:pPr>
            <w:r w:rsidRPr="00AF2924">
              <w:rPr>
                <w:rFonts w:ascii="ITC Avant Garde" w:eastAsia="Times New Roman" w:hAnsi="ITC Avant Garde"/>
                <w:sz w:val="18"/>
                <w:szCs w:val="18"/>
              </w:rPr>
              <w:t>Mérida, Kanasín, Umán, Ucú y Conkal.</w:t>
            </w:r>
          </w:p>
        </w:tc>
        <w:tc>
          <w:tcPr>
            <w:tcW w:w="1883" w:type="pct"/>
          </w:tcPr>
          <w:p w14:paraId="3EDCA92A" w14:textId="1CF4917B" w:rsidR="00AF2924" w:rsidRPr="00AF2924" w:rsidRDefault="00AF2924" w:rsidP="00AF2924">
            <w:pPr>
              <w:spacing w:after="0" w:line="240" w:lineRule="auto"/>
              <w:jc w:val="center"/>
              <w:rPr>
                <w:rFonts w:ascii="ITC Avant Garde" w:eastAsia="Times New Roman" w:hAnsi="ITC Avant Garde"/>
                <w:sz w:val="18"/>
                <w:szCs w:val="18"/>
              </w:rPr>
            </w:pPr>
            <w:r w:rsidRPr="00087B40">
              <w:rPr>
                <w:rFonts w:ascii="ITC Avant Garde" w:eastAsia="Times New Roman" w:hAnsi="ITC Avant Garde"/>
                <w:sz w:val="18"/>
                <w:szCs w:val="18"/>
              </w:rPr>
              <w:t>1, 2, 3, 4, 5, 6, 7 y 8</w:t>
            </w:r>
          </w:p>
        </w:tc>
      </w:tr>
      <w:tr w:rsidR="00AF2924" w:rsidRPr="00AF2924" w14:paraId="0CB71025" w14:textId="77777777" w:rsidTr="00AF2924">
        <w:trPr>
          <w:trHeight w:val="268"/>
          <w:jc w:val="center"/>
        </w:trPr>
        <w:tc>
          <w:tcPr>
            <w:tcW w:w="907" w:type="pct"/>
          </w:tcPr>
          <w:p w14:paraId="242C8B62" w14:textId="77777777" w:rsidR="00AF2924" w:rsidRPr="00AF2924" w:rsidRDefault="00AF2924" w:rsidP="00AF2924">
            <w:pPr>
              <w:spacing w:after="0" w:line="240" w:lineRule="auto"/>
              <w:jc w:val="center"/>
              <w:rPr>
                <w:rFonts w:ascii="ITC Avant Garde" w:eastAsia="Times New Roman" w:hAnsi="ITC Avant Garde"/>
                <w:sz w:val="18"/>
                <w:szCs w:val="18"/>
              </w:rPr>
            </w:pPr>
            <w:r w:rsidRPr="00AF2924">
              <w:rPr>
                <w:rFonts w:ascii="ITC Avant Garde" w:eastAsia="Times New Roman" w:hAnsi="ITC Avant Garde"/>
                <w:sz w:val="18"/>
                <w:szCs w:val="18"/>
              </w:rPr>
              <w:t>Quintana Roo</w:t>
            </w:r>
          </w:p>
        </w:tc>
        <w:tc>
          <w:tcPr>
            <w:tcW w:w="2210" w:type="pct"/>
          </w:tcPr>
          <w:p w14:paraId="5BEC0345" w14:textId="3750B913" w:rsidR="00AF2924" w:rsidRPr="00AF2924" w:rsidRDefault="00AF2924" w:rsidP="00AF2924">
            <w:pPr>
              <w:spacing w:after="0" w:line="240" w:lineRule="auto"/>
              <w:rPr>
                <w:rFonts w:ascii="ITC Avant Garde" w:eastAsia="Times New Roman" w:hAnsi="ITC Avant Garde"/>
                <w:color w:val="000000"/>
                <w:sz w:val="18"/>
                <w:szCs w:val="18"/>
              </w:rPr>
            </w:pPr>
            <w:r w:rsidRPr="00AF2924">
              <w:rPr>
                <w:rFonts w:ascii="ITC Avant Garde" w:eastAsia="Times New Roman" w:hAnsi="ITC Avant Garde"/>
                <w:sz w:val="18"/>
                <w:szCs w:val="18"/>
              </w:rPr>
              <w:t>Benito Juárez, Puerto Morelos e Isla Mujeres.</w:t>
            </w:r>
          </w:p>
        </w:tc>
        <w:tc>
          <w:tcPr>
            <w:tcW w:w="1883" w:type="pct"/>
          </w:tcPr>
          <w:p w14:paraId="084651A6" w14:textId="6D7DEB08" w:rsidR="00AF2924" w:rsidRPr="00AF2924" w:rsidRDefault="00AF2924" w:rsidP="00AF2924">
            <w:pPr>
              <w:spacing w:after="0" w:line="240" w:lineRule="auto"/>
              <w:jc w:val="center"/>
              <w:rPr>
                <w:rFonts w:ascii="ITC Avant Garde" w:eastAsia="Times New Roman" w:hAnsi="ITC Avant Garde"/>
                <w:sz w:val="18"/>
                <w:szCs w:val="18"/>
              </w:rPr>
            </w:pPr>
            <w:r w:rsidRPr="00087B40">
              <w:rPr>
                <w:rFonts w:ascii="ITC Avant Garde" w:eastAsia="Times New Roman" w:hAnsi="ITC Avant Garde"/>
                <w:sz w:val="18"/>
                <w:szCs w:val="18"/>
              </w:rPr>
              <w:t>1, 2, 3, 4, 5, 6, 7 y 8</w:t>
            </w:r>
          </w:p>
        </w:tc>
      </w:tr>
    </w:tbl>
    <w:p w14:paraId="594BDDA2" w14:textId="77777777" w:rsidR="00AF2924" w:rsidRPr="00AF2924" w:rsidRDefault="00D116BC" w:rsidP="00AF2924">
      <w:pPr>
        <w:pStyle w:val="estilo30"/>
        <w:spacing w:before="240" w:beforeAutospacing="0" w:after="200" w:afterAutospacing="0"/>
        <w:ind w:left="567" w:right="615"/>
        <w:jc w:val="both"/>
        <w:rPr>
          <w:rFonts w:ascii="ITC Avant Garde" w:eastAsia="Calibri" w:hAnsi="ITC Avant Garde"/>
          <w:bCs/>
          <w:sz w:val="18"/>
          <w:szCs w:val="18"/>
          <w:lang w:eastAsia="en-US"/>
        </w:rPr>
      </w:pPr>
      <w:r w:rsidRPr="00AF2924">
        <w:rPr>
          <w:rFonts w:ascii="ITC Avant Garde" w:eastAsia="Calibri" w:hAnsi="ITC Avant Garde"/>
          <w:bCs/>
          <w:sz w:val="18"/>
          <w:szCs w:val="18"/>
          <w:lang w:eastAsia="en-US"/>
        </w:rPr>
        <w:t>El Concesionario deberá seleccionar los sitios de transmisión, definir patrones de radiación de antenas, potencia radiada aparente, alturas de antenas y distribución de frecuencias asignadas, a efecto de asegurar la cobertura efectiva del servicio en la Cobertura Geográfica señalada en la presente condición.”</w:t>
      </w:r>
    </w:p>
    <w:p w14:paraId="00844A48" w14:textId="77777777" w:rsidR="00AF2924" w:rsidRPr="00AF2924" w:rsidRDefault="008B5406" w:rsidP="00AF2924">
      <w:pPr>
        <w:spacing w:before="240" w:line="240" w:lineRule="auto"/>
        <w:jc w:val="both"/>
        <w:rPr>
          <w:rFonts w:ascii="ITC Avant Garde" w:hAnsi="ITC Avant Garde"/>
          <w:bCs/>
          <w:lang w:val="es-ES_tradnl"/>
        </w:rPr>
      </w:pPr>
      <w:r w:rsidRPr="00AF2924">
        <w:rPr>
          <w:rFonts w:ascii="ITC Avant Garde" w:hAnsi="ITC Avant Garde"/>
          <w:b/>
          <w:bCs/>
        </w:rPr>
        <w:t>SEGUND</w:t>
      </w:r>
      <w:r w:rsidR="00E62D71" w:rsidRPr="00AF2924">
        <w:rPr>
          <w:rFonts w:ascii="ITC Avant Garde" w:hAnsi="ITC Avant Garde"/>
          <w:b/>
          <w:bCs/>
        </w:rPr>
        <w:t xml:space="preserve">O.- </w:t>
      </w:r>
      <w:r w:rsidR="00B720F7" w:rsidRPr="00AF2924">
        <w:rPr>
          <w:rFonts w:ascii="ITC Avant Garde" w:hAnsi="ITC Avant Garde"/>
          <w:bCs/>
        </w:rPr>
        <w:t xml:space="preserve">La presente modificación forma parte integrante del título de concesión referido en el </w:t>
      </w:r>
      <w:r w:rsidR="003F797F" w:rsidRPr="00AF2924">
        <w:rPr>
          <w:rFonts w:ascii="ITC Avant Garde" w:hAnsi="ITC Avant Garde"/>
          <w:bCs/>
        </w:rPr>
        <w:t>Resolutivo Primero</w:t>
      </w:r>
      <w:r w:rsidR="00B720F7" w:rsidRPr="00AF2924">
        <w:rPr>
          <w:rFonts w:ascii="ITC Avant Garde" w:hAnsi="ITC Avant Garde"/>
          <w:bCs/>
        </w:rPr>
        <w:t xml:space="preserve"> de la presente Resolución.</w:t>
      </w:r>
    </w:p>
    <w:p w14:paraId="3709638B" w14:textId="77777777" w:rsidR="00AF2924" w:rsidRPr="00AF2924" w:rsidRDefault="008B5406"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
          <w:bCs/>
        </w:rPr>
        <w:t>TERCERO</w:t>
      </w:r>
      <w:r w:rsidR="00C25FCF" w:rsidRPr="00AF2924">
        <w:rPr>
          <w:rFonts w:ascii="ITC Avant Garde" w:hAnsi="ITC Avant Garde"/>
          <w:bCs/>
        </w:rPr>
        <w:t>.-</w:t>
      </w:r>
      <w:r w:rsidR="001373D9" w:rsidRPr="00AF2924">
        <w:rPr>
          <w:rFonts w:ascii="ITC Avant Garde" w:hAnsi="ITC Avant Garde"/>
          <w:bCs/>
        </w:rPr>
        <w:t xml:space="preserve"> </w:t>
      </w:r>
      <w:r w:rsidR="00B720F7" w:rsidRPr="00AF2924">
        <w:rPr>
          <w:rFonts w:ascii="ITC Avant Garde" w:hAnsi="ITC Avant Garde"/>
          <w:bCs/>
        </w:rPr>
        <w:t xml:space="preserve">Las demás obligaciones establecidas en </w:t>
      </w:r>
      <w:r w:rsidR="003F797F" w:rsidRPr="00AF2924">
        <w:rPr>
          <w:rFonts w:ascii="ITC Avant Garde" w:hAnsi="ITC Avant Garde"/>
          <w:bCs/>
        </w:rPr>
        <w:t xml:space="preserve">el título </w:t>
      </w:r>
      <w:r w:rsidR="00B720F7" w:rsidRPr="00AF2924">
        <w:rPr>
          <w:rFonts w:ascii="ITC Avant Garde" w:hAnsi="ITC Avant Garde"/>
          <w:bCs/>
        </w:rPr>
        <w:t xml:space="preserve">de concesión </w:t>
      </w:r>
      <w:r w:rsidR="003F797F" w:rsidRPr="00AF2924">
        <w:rPr>
          <w:rFonts w:ascii="ITC Avant Garde" w:hAnsi="ITC Avant Garde"/>
          <w:bCs/>
        </w:rPr>
        <w:t xml:space="preserve">antes </w:t>
      </w:r>
      <w:r w:rsidR="00B720F7" w:rsidRPr="00AF2924">
        <w:rPr>
          <w:rFonts w:ascii="ITC Avant Garde" w:hAnsi="ITC Avant Garde"/>
          <w:bCs/>
        </w:rPr>
        <w:t>señalado, subsisten en todos sus términos.</w:t>
      </w:r>
    </w:p>
    <w:p w14:paraId="7754E946" w14:textId="77777777" w:rsidR="00AF2924" w:rsidRPr="00AF2924" w:rsidRDefault="008B5406" w:rsidP="00AF2924">
      <w:pPr>
        <w:autoSpaceDE w:val="0"/>
        <w:autoSpaceDN w:val="0"/>
        <w:adjustRightInd w:val="0"/>
        <w:spacing w:before="240" w:line="240" w:lineRule="auto"/>
        <w:jc w:val="both"/>
        <w:rPr>
          <w:rFonts w:ascii="ITC Avant Garde" w:hAnsi="ITC Avant Garde"/>
          <w:bCs/>
        </w:rPr>
      </w:pPr>
      <w:r w:rsidRPr="00AF2924">
        <w:rPr>
          <w:rFonts w:ascii="ITC Avant Garde" w:hAnsi="ITC Avant Garde"/>
          <w:b/>
          <w:bCs/>
        </w:rPr>
        <w:t>CUART</w:t>
      </w:r>
      <w:r w:rsidR="0035702A" w:rsidRPr="00AF2924">
        <w:rPr>
          <w:rFonts w:ascii="ITC Avant Garde" w:hAnsi="ITC Avant Garde"/>
          <w:b/>
          <w:bCs/>
        </w:rPr>
        <w:t>O</w:t>
      </w:r>
      <w:r w:rsidR="001373D9" w:rsidRPr="00AF2924">
        <w:rPr>
          <w:rFonts w:ascii="ITC Avant Garde" w:hAnsi="ITC Avant Garde"/>
          <w:b/>
          <w:bCs/>
        </w:rPr>
        <w:t>.-</w:t>
      </w:r>
      <w:r w:rsidR="001373D9" w:rsidRPr="00AF2924">
        <w:rPr>
          <w:rFonts w:ascii="ITC Avant Garde" w:hAnsi="ITC Avant Garde"/>
          <w:bCs/>
        </w:rPr>
        <w:t xml:space="preserve"> </w:t>
      </w:r>
      <w:r w:rsidR="00B720F7" w:rsidRPr="00AF2924">
        <w:rPr>
          <w:rFonts w:ascii="ITC Avant Garde" w:hAnsi="ITC Avant Garde"/>
          <w:bCs/>
        </w:rPr>
        <w:t xml:space="preserve">Se instruye a la </w:t>
      </w:r>
      <w:r w:rsidR="00B720F7" w:rsidRPr="00AF2924">
        <w:rPr>
          <w:rFonts w:ascii="ITC Avant Garde" w:hAnsi="ITC Avant Garde"/>
          <w:bCs/>
          <w:lang w:val="es-ES_tradnl"/>
        </w:rPr>
        <w:t xml:space="preserve">Unidad de Concesiones y Servicios a inscribir en el </w:t>
      </w:r>
      <w:r w:rsidR="00B720F7" w:rsidRPr="00AF2924">
        <w:rPr>
          <w:rFonts w:ascii="ITC Avant Garde" w:hAnsi="ITC Avant Garde"/>
          <w:bCs/>
        </w:rPr>
        <w:t>Registro Público de Concesiones</w:t>
      </w:r>
      <w:r w:rsidR="003F797F" w:rsidRPr="00AF2924">
        <w:rPr>
          <w:rFonts w:ascii="ITC Avant Garde" w:hAnsi="ITC Avant Garde"/>
          <w:bCs/>
        </w:rPr>
        <w:t xml:space="preserve"> el M</w:t>
      </w:r>
      <w:r w:rsidR="00B720F7" w:rsidRPr="00AF2924">
        <w:rPr>
          <w:rFonts w:ascii="ITC Avant Garde" w:hAnsi="ITC Avant Garde"/>
          <w:bCs/>
        </w:rPr>
        <w:t xml:space="preserve">unicipio de Puerto Morelos, </w:t>
      </w:r>
      <w:r w:rsidR="00B720F7" w:rsidRPr="00AF2924">
        <w:rPr>
          <w:rFonts w:ascii="ITC Avant Garde" w:hAnsi="ITC Avant Garde"/>
          <w:bCs/>
          <w:color w:val="000000"/>
          <w:lang w:eastAsia="es-MX"/>
        </w:rPr>
        <w:t>como parte de la cobertura de</w:t>
      </w:r>
      <w:r w:rsidR="003F797F" w:rsidRPr="00AF2924">
        <w:rPr>
          <w:rFonts w:ascii="ITC Avant Garde" w:hAnsi="ITC Avant Garde"/>
          <w:bCs/>
          <w:color w:val="000000"/>
          <w:lang w:eastAsia="es-MX"/>
        </w:rPr>
        <w:t>l título de concesión ú</w:t>
      </w:r>
      <w:r w:rsidR="00B720F7" w:rsidRPr="00AF2924">
        <w:rPr>
          <w:rFonts w:ascii="ITC Avant Garde" w:hAnsi="ITC Avant Garde"/>
          <w:bCs/>
          <w:color w:val="000000"/>
          <w:lang w:eastAsia="es-MX"/>
        </w:rPr>
        <w:t>nica</w:t>
      </w:r>
      <w:r w:rsidR="003F797F" w:rsidRPr="00AF2924">
        <w:rPr>
          <w:rFonts w:ascii="ITC Avant Garde" w:hAnsi="ITC Avant Garde"/>
          <w:bCs/>
          <w:color w:val="000000"/>
          <w:lang w:eastAsia="es-MX"/>
        </w:rPr>
        <w:t xml:space="preserve"> para uso comercial referido en el Antecedente VII de la presente Resolución</w:t>
      </w:r>
      <w:r w:rsidR="00B720F7" w:rsidRPr="00AF2924">
        <w:rPr>
          <w:rFonts w:ascii="ITC Avant Garde" w:hAnsi="ITC Avant Garde"/>
          <w:bCs/>
          <w:color w:val="000000"/>
          <w:lang w:eastAsia="es-MX"/>
        </w:rPr>
        <w:t>.</w:t>
      </w:r>
    </w:p>
    <w:p w14:paraId="26A98116" w14:textId="77777777" w:rsidR="00AF2924" w:rsidRPr="00AF2924" w:rsidRDefault="005975F8" w:rsidP="00AF2924">
      <w:pPr>
        <w:spacing w:before="240" w:line="240" w:lineRule="auto"/>
        <w:jc w:val="both"/>
        <w:rPr>
          <w:rFonts w:ascii="ITC Avant Garde" w:hAnsi="ITC Avant Garde"/>
          <w:bCs/>
          <w:color w:val="000000"/>
          <w:lang w:eastAsia="es-MX"/>
        </w:rPr>
      </w:pPr>
      <w:r w:rsidRPr="00AF2924">
        <w:rPr>
          <w:rFonts w:ascii="ITC Avant Garde" w:hAnsi="ITC Avant Garde"/>
          <w:b/>
          <w:bCs/>
        </w:rPr>
        <w:t>QUIN</w:t>
      </w:r>
      <w:r w:rsidR="00712928" w:rsidRPr="00AF2924">
        <w:rPr>
          <w:rFonts w:ascii="ITC Avant Garde" w:hAnsi="ITC Avant Garde"/>
          <w:b/>
          <w:bCs/>
        </w:rPr>
        <w:t>TO</w:t>
      </w:r>
      <w:r w:rsidR="001373D9" w:rsidRPr="00AF2924">
        <w:rPr>
          <w:rFonts w:ascii="ITC Avant Garde" w:hAnsi="ITC Avant Garde"/>
          <w:b/>
          <w:bCs/>
        </w:rPr>
        <w:t>.-</w:t>
      </w:r>
      <w:r w:rsidR="001373D9" w:rsidRPr="00AF2924">
        <w:rPr>
          <w:rFonts w:ascii="ITC Avant Garde" w:eastAsia="Times New Roman" w:hAnsi="ITC Avant Garde"/>
          <w:lang w:val="es-ES" w:eastAsia="es-ES"/>
        </w:rPr>
        <w:t xml:space="preserve"> </w:t>
      </w:r>
      <w:r w:rsidR="00712928" w:rsidRPr="00AF2924">
        <w:rPr>
          <w:rFonts w:ascii="ITC Avant Garde" w:hAnsi="ITC Avant Garde"/>
          <w:bCs/>
          <w:lang w:val="es-ES_tradnl"/>
        </w:rPr>
        <w:t xml:space="preserve">Se instruye a la Unidad de Concesiones y Servicios a notificar a </w:t>
      </w:r>
      <w:r w:rsidR="00106EE8" w:rsidRPr="00AF2924">
        <w:rPr>
          <w:rFonts w:ascii="ITC Avant Garde" w:hAnsi="ITC Avant Garde"/>
          <w:bCs/>
          <w:color w:val="000000"/>
          <w:lang w:eastAsia="es-MX"/>
        </w:rPr>
        <w:t>Comunicaciones Radiotelefónicas Peninsulares</w:t>
      </w:r>
      <w:r w:rsidR="00EF7E75" w:rsidRPr="00AF2924">
        <w:rPr>
          <w:rFonts w:ascii="ITC Avant Garde" w:hAnsi="ITC Avant Garde"/>
          <w:bCs/>
          <w:color w:val="000000"/>
          <w:lang w:eastAsia="es-MX"/>
        </w:rPr>
        <w:t xml:space="preserve">, S. </w:t>
      </w:r>
      <w:r w:rsidR="00C87E25" w:rsidRPr="00AF2924">
        <w:rPr>
          <w:rFonts w:ascii="ITC Avant Garde" w:hAnsi="ITC Avant Garde"/>
          <w:bCs/>
          <w:color w:val="000000"/>
          <w:lang w:eastAsia="es-MX"/>
        </w:rPr>
        <w:t>A.</w:t>
      </w:r>
      <w:r w:rsidR="00EF7E75" w:rsidRPr="00AF2924">
        <w:rPr>
          <w:rFonts w:ascii="ITC Avant Garde" w:hAnsi="ITC Avant Garde"/>
          <w:bCs/>
          <w:color w:val="000000"/>
          <w:lang w:eastAsia="es-MX"/>
        </w:rPr>
        <w:t xml:space="preserve"> de C.V.</w:t>
      </w:r>
      <w:r w:rsidR="00712928" w:rsidRPr="00AF2924">
        <w:rPr>
          <w:rFonts w:ascii="ITC Avant Garde" w:hAnsi="ITC Avant Garde"/>
          <w:bCs/>
          <w:lang w:val="es-ES_tradnl"/>
        </w:rPr>
        <w:t>, el contenido de la presente Resolución</w:t>
      </w:r>
      <w:r w:rsidR="00712928" w:rsidRPr="00AF2924">
        <w:rPr>
          <w:rFonts w:ascii="ITC Avant Garde" w:hAnsi="ITC Avant Garde"/>
          <w:bCs/>
          <w:color w:val="000000"/>
          <w:lang w:eastAsia="es-MX"/>
        </w:rPr>
        <w:t>.</w:t>
      </w:r>
    </w:p>
    <w:p w14:paraId="0F43CBF3" w14:textId="77777777" w:rsidR="00AF2924" w:rsidRPr="00AF2924" w:rsidRDefault="005975F8" w:rsidP="00AF2924">
      <w:pPr>
        <w:spacing w:before="240" w:line="240" w:lineRule="auto"/>
        <w:jc w:val="both"/>
        <w:rPr>
          <w:rFonts w:ascii="ITC Avant Garde" w:hAnsi="ITC Avant Garde"/>
          <w:bCs/>
        </w:rPr>
      </w:pPr>
      <w:r w:rsidRPr="00AF2924">
        <w:rPr>
          <w:rFonts w:ascii="ITC Avant Garde" w:hAnsi="ITC Avant Garde"/>
          <w:b/>
          <w:bCs/>
        </w:rPr>
        <w:t>SEX</w:t>
      </w:r>
      <w:r w:rsidR="00712928" w:rsidRPr="00AF2924">
        <w:rPr>
          <w:rFonts w:ascii="ITC Avant Garde" w:hAnsi="ITC Avant Garde"/>
          <w:b/>
          <w:bCs/>
        </w:rPr>
        <w:t>TO</w:t>
      </w:r>
      <w:r w:rsidR="001373D9" w:rsidRPr="00AF2924">
        <w:rPr>
          <w:rFonts w:ascii="ITC Avant Garde" w:hAnsi="ITC Avant Garde"/>
          <w:b/>
          <w:bCs/>
        </w:rPr>
        <w:t>.-</w:t>
      </w:r>
      <w:r w:rsidR="001373D9" w:rsidRPr="00AF2924">
        <w:rPr>
          <w:rFonts w:ascii="ITC Avant Garde" w:eastAsia="Times New Roman" w:hAnsi="ITC Avant Garde"/>
          <w:b/>
          <w:bCs/>
          <w:lang w:val="es-ES" w:eastAsia="es-ES"/>
        </w:rPr>
        <w:t xml:space="preserve"> </w:t>
      </w:r>
      <w:r w:rsidR="00B720F7" w:rsidRPr="00AF2924">
        <w:rPr>
          <w:rFonts w:ascii="ITC Avant Garde" w:hAnsi="ITC Avant Garde"/>
          <w:bCs/>
        </w:rPr>
        <w:t>Inscríba</w:t>
      </w:r>
      <w:r w:rsidR="001373D9" w:rsidRPr="00AF2924">
        <w:rPr>
          <w:rFonts w:ascii="ITC Avant Garde" w:hAnsi="ITC Avant Garde"/>
          <w:bCs/>
        </w:rPr>
        <w:t>se en el Registro Público de Concesiones la modificaci</w:t>
      </w:r>
      <w:r w:rsidR="00B720F7" w:rsidRPr="00AF2924">
        <w:rPr>
          <w:rFonts w:ascii="ITC Avant Garde" w:hAnsi="ITC Avant Garde"/>
          <w:bCs/>
        </w:rPr>
        <w:t>ó</w:t>
      </w:r>
      <w:r w:rsidR="001373D9" w:rsidRPr="00AF2924">
        <w:rPr>
          <w:rFonts w:ascii="ITC Avant Garde" w:hAnsi="ITC Avant Garde"/>
          <w:bCs/>
        </w:rPr>
        <w:t>n a que se refiere la presente Resolución.</w:t>
      </w:r>
    </w:p>
    <w:p w14:paraId="58F64914" w14:textId="4FC9E42F" w:rsidR="00AF2924" w:rsidRPr="00AF2924" w:rsidRDefault="00792801" w:rsidP="00AF2924">
      <w:pPr>
        <w:pStyle w:val="Prrafodelista"/>
        <w:spacing w:before="240" w:after="200"/>
        <w:ind w:left="0"/>
        <w:jc w:val="both"/>
        <w:rPr>
          <w:rFonts w:ascii="ITC Avant Garde" w:hAnsi="ITC Avant Garde"/>
          <w:sz w:val="10"/>
          <w:lang w:eastAsia="es-MX"/>
        </w:rPr>
      </w:pPr>
      <w:r w:rsidRPr="00AF2924">
        <w:rPr>
          <w:rFonts w:ascii="ITC Avant Garde" w:hAnsi="ITC Avant Garde"/>
          <w:sz w:val="14"/>
        </w:rPr>
        <w:t xml:space="preserve">La presente Resolución fue aprobada por el Pleno del Instituto Federal de Telecomunicaciones en su XX Sesión Ordinaria celebrada el 31 de mayo de 2017, </w:t>
      </w:r>
      <w:r w:rsidRPr="00AF2924">
        <w:rPr>
          <w:rFonts w:ascii="ITC Avant Garde" w:hAnsi="ITC Avant Garde"/>
          <w:bCs/>
          <w:sz w:val="14"/>
        </w:rPr>
        <w:t>por unanimidad</w:t>
      </w:r>
      <w:r w:rsidRPr="00AF2924">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P/IFT/310517/286.</w:t>
      </w:r>
    </w:p>
    <w:p w14:paraId="33E342B4" w14:textId="3FAFDE77" w:rsidR="00EE25F2" w:rsidRPr="00AF2924" w:rsidRDefault="00792801" w:rsidP="00AF2924">
      <w:pPr>
        <w:pStyle w:val="Prrafodelista"/>
        <w:spacing w:before="240" w:after="200"/>
        <w:ind w:left="0"/>
        <w:jc w:val="both"/>
        <w:rPr>
          <w:rFonts w:ascii="ITC Avant Garde" w:hAnsi="ITC Avant Garde"/>
          <w:b/>
          <w:bCs/>
          <w:color w:val="000000"/>
          <w:lang w:eastAsia="es-MX"/>
        </w:rPr>
      </w:pPr>
      <w:r w:rsidRPr="00AF2924">
        <w:rPr>
          <w:rFonts w:ascii="ITC Avant Garde" w:hAnsi="ITC Avant Garde"/>
          <w:sz w:val="14"/>
        </w:rPr>
        <w:t>El Comisionado Presidente Gabriel Oswaldo Contreras Saldívar y el Comisionado Javier Juárez Mojica,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EE25F2" w:rsidRPr="00AF2924" w:rsidSect="001D6C40">
      <w:headerReference w:type="even" r:id="rId9"/>
      <w:footerReference w:type="default" r:id="rId10"/>
      <w:headerReference w:type="first" r:id="rId11"/>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EF87B" w14:textId="77777777" w:rsidR="00A65246" w:rsidRDefault="00A65246" w:rsidP="00072BC8">
      <w:pPr>
        <w:spacing w:after="0" w:line="240" w:lineRule="auto"/>
      </w:pPr>
      <w:r>
        <w:separator/>
      </w:r>
    </w:p>
  </w:endnote>
  <w:endnote w:type="continuationSeparator" w:id="0">
    <w:p w14:paraId="2418D2D3" w14:textId="77777777" w:rsidR="00A65246" w:rsidRDefault="00A6524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D75F" w14:textId="2883FC0D" w:rsidR="00E93B86" w:rsidRPr="004C7979" w:rsidRDefault="00E93B86"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AF2924">
      <w:rPr>
        <w:rFonts w:ascii="ITC Avant Garde" w:hAnsi="ITC Avant Garde" w:cs="Calibri"/>
        <w:noProof/>
        <w:sz w:val="18"/>
        <w:szCs w:val="18"/>
      </w:rPr>
      <w:t>17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4F491" w14:textId="77777777" w:rsidR="00A65246" w:rsidRDefault="00A65246" w:rsidP="00072BC8">
      <w:pPr>
        <w:spacing w:after="0" w:line="240" w:lineRule="auto"/>
      </w:pPr>
      <w:r>
        <w:separator/>
      </w:r>
    </w:p>
  </w:footnote>
  <w:footnote w:type="continuationSeparator" w:id="0">
    <w:p w14:paraId="0BECD798" w14:textId="77777777" w:rsidR="00A65246" w:rsidRDefault="00A65246" w:rsidP="00072BC8">
      <w:pPr>
        <w:spacing w:after="0" w:line="240" w:lineRule="auto"/>
      </w:pPr>
      <w:r>
        <w:continuationSeparator/>
      </w:r>
    </w:p>
  </w:footnote>
  <w:footnote w:id="1">
    <w:p w14:paraId="6114FD59" w14:textId="4A76588B" w:rsidR="00E93B86" w:rsidRPr="00A65C7F" w:rsidRDefault="00E93B86">
      <w:pPr>
        <w:pStyle w:val="Textonotapie"/>
        <w:rPr>
          <w:rFonts w:ascii="ITC Avant Garde Std Bk" w:hAnsi="ITC Avant Garde Std Bk"/>
          <w:i/>
          <w:sz w:val="14"/>
          <w:szCs w:val="14"/>
        </w:rPr>
      </w:pPr>
      <w:r>
        <w:rPr>
          <w:rStyle w:val="Refdenotaalpie"/>
        </w:rPr>
        <w:footnoteRef/>
      </w:r>
      <w:r>
        <w:t xml:space="preserve"> </w:t>
      </w:r>
      <w:r w:rsidRPr="00A65C7F">
        <w:rPr>
          <w:rFonts w:ascii="ITC Avant Garde Std Bk" w:hAnsi="ITC Avant Garde Std Bk"/>
          <w:i/>
          <w:sz w:val="14"/>
          <w:szCs w:val="14"/>
        </w:rPr>
        <w:t>“Delimitación de las Zonas Metropolitanas México 2010”</w:t>
      </w:r>
      <w:r>
        <w:rPr>
          <w:rFonts w:ascii="ITC Avant Garde Std Bk" w:hAnsi="ITC Avant Garde Std Bk"/>
          <w:i/>
          <w:sz w:val="14"/>
          <w:szCs w:val="14"/>
        </w:rPr>
        <w:t xml:space="preserve">, disponible en: </w:t>
      </w:r>
      <w:r w:rsidRPr="00AF2924">
        <w:rPr>
          <w:rFonts w:ascii="ITC Avant Garde Std Bk" w:hAnsi="ITC Avant Garde Std Bk"/>
          <w:sz w:val="14"/>
          <w:szCs w:val="14"/>
        </w:rPr>
        <w:t>http://www.inegi.org.mx/Sistemas/multiarchivos/doc/702825003884/DZM20101.pdf</w:t>
      </w:r>
      <w:r w:rsidRPr="00A65C7F">
        <w:rPr>
          <w:rFonts w:ascii="ITC Avant Garde Std Bk" w:hAnsi="ITC Avant Garde Std Bk"/>
          <w:i/>
          <w:sz w:val="14"/>
          <w:szCs w:val="14"/>
        </w:rPr>
        <w:t xml:space="preserve"> </w:t>
      </w:r>
    </w:p>
  </w:footnote>
  <w:footnote w:id="2">
    <w:p w14:paraId="27557D0E" w14:textId="7249B737" w:rsidR="00E93B86" w:rsidRPr="000E6F2F" w:rsidRDefault="00E93B86">
      <w:pPr>
        <w:pStyle w:val="Textonotapie"/>
        <w:rPr>
          <w:rFonts w:ascii="ITC Avant Garde Std Bk" w:hAnsi="ITC Avant Garde Std Bk"/>
          <w:sz w:val="14"/>
          <w:szCs w:val="14"/>
        </w:rPr>
      </w:pPr>
      <w:r w:rsidRPr="000E6F2F">
        <w:rPr>
          <w:rStyle w:val="Refdenotaalpie"/>
          <w:rFonts w:ascii="ITC Avant Garde Std Bk" w:hAnsi="ITC Avant Garde Std Bk"/>
          <w:sz w:val="14"/>
          <w:szCs w:val="14"/>
        </w:rPr>
        <w:footnoteRef/>
      </w:r>
      <w:r w:rsidRPr="000E6F2F">
        <w:rPr>
          <w:rFonts w:ascii="ITC Avant Garde Std Bk" w:hAnsi="ITC Avant Garde Std Bk"/>
          <w:sz w:val="14"/>
          <w:szCs w:val="14"/>
        </w:rPr>
        <w:t xml:space="preserve"> “Quiénes somos”, consultada el 10 de febrero de 2017, disponible en: </w:t>
      </w:r>
      <w:r w:rsidRPr="00AF2924">
        <w:rPr>
          <w:rFonts w:ascii="ITC Avant Garde Std Bk" w:hAnsi="ITC Avant Garde Std Bk"/>
          <w:sz w:val="14"/>
          <w:szCs w:val="14"/>
        </w:rPr>
        <w:t>http://www.beta.inegi.org.mx/inegi/quienes_somos.html</w:t>
      </w:r>
      <w:r w:rsidRPr="000E6F2F">
        <w:rPr>
          <w:rFonts w:ascii="ITC Avant Garde Std Bk" w:hAnsi="ITC Avant Garde Std Bk"/>
          <w:sz w:val="14"/>
          <w:szCs w:val="14"/>
        </w:rPr>
        <w:t xml:space="preserve"> </w:t>
      </w:r>
    </w:p>
  </w:footnote>
  <w:footnote w:id="3">
    <w:p w14:paraId="038DA59B" w14:textId="49237B72" w:rsidR="00E93B86" w:rsidRDefault="00E93B86">
      <w:pPr>
        <w:pStyle w:val="Textonotapie"/>
      </w:pPr>
      <w:r>
        <w:rPr>
          <w:rStyle w:val="Refdenotaalpie"/>
        </w:rPr>
        <w:footnoteRef/>
      </w:r>
      <w:r>
        <w:t xml:space="preserve"> </w:t>
      </w:r>
      <w:r w:rsidRPr="000E6F2F">
        <w:rPr>
          <w:rFonts w:ascii="ITC Avant Garde Std Bk" w:hAnsi="ITC Avant Garde Std Bk"/>
          <w:sz w:val="14"/>
          <w:szCs w:val="14"/>
        </w:rPr>
        <w:t>“¿Qué hacemos?”, consultada el 10 de febrero de 2017, disponible en:</w:t>
      </w:r>
      <w:r>
        <w:t xml:space="preserve"> </w:t>
      </w:r>
      <w:r w:rsidRPr="00AF2924">
        <w:rPr>
          <w:rFonts w:ascii="ITC Avant Garde Std Bk" w:hAnsi="ITC Avant Garde Std Bk"/>
          <w:sz w:val="14"/>
          <w:szCs w:val="14"/>
        </w:rPr>
        <w:t>http://www.gob.mx/conapo/que-hacemos</w:t>
      </w:r>
      <w:r>
        <w:rPr>
          <w:rFonts w:ascii="ITC Avant Garde Std Bk" w:hAnsi="ITC Avant Garde Std Bk"/>
          <w:sz w:val="14"/>
          <w:szCs w:val="14"/>
        </w:rPr>
        <w:t xml:space="preserve"> </w:t>
      </w:r>
      <w:r w:rsidRPr="000E6F2F">
        <w:rPr>
          <w:rFonts w:ascii="ITC Avant Garde Std Bk" w:hAnsi="ITC Avant Garde Std Bk"/>
          <w:sz w:val="14"/>
          <w:szCs w:val="14"/>
        </w:rPr>
        <w:t xml:space="preserve"> </w:t>
      </w:r>
    </w:p>
  </w:footnote>
  <w:footnote w:id="4">
    <w:p w14:paraId="35A6D553" w14:textId="4A5D124F" w:rsidR="00E93B86" w:rsidRDefault="00E93B86">
      <w:pPr>
        <w:pStyle w:val="Textonotapie"/>
      </w:pPr>
      <w:r>
        <w:rPr>
          <w:rStyle w:val="Refdenotaalpie"/>
        </w:rPr>
        <w:footnoteRef/>
      </w:r>
      <w:r>
        <w:t xml:space="preserve"> </w:t>
      </w:r>
      <w:r w:rsidRPr="000E6F2F">
        <w:rPr>
          <w:rFonts w:ascii="ITC Avant Garde Std Bk" w:hAnsi="ITC Avant Garde Std Bk"/>
          <w:sz w:val="14"/>
          <w:szCs w:val="14"/>
        </w:rPr>
        <w:t>“¿Qué hacemos?”, consultada el 10 de febrero de 2017, disponible en:</w:t>
      </w:r>
      <w:r>
        <w:t xml:space="preserve"> </w:t>
      </w:r>
      <w:r w:rsidRPr="00AF2924">
        <w:rPr>
          <w:rFonts w:ascii="ITC Avant Garde Std Bk" w:hAnsi="ITC Avant Garde Std Bk"/>
          <w:sz w:val="14"/>
          <w:szCs w:val="14"/>
        </w:rPr>
        <w:t>http://www.gob.mx/conapo/que-hacemos</w:t>
      </w:r>
      <w:r>
        <w:rPr>
          <w:rFonts w:ascii="ITC Avant Garde Std Bk" w:hAnsi="ITC Avant Garde Std Bk"/>
          <w:sz w:val="14"/>
          <w:szCs w:val="14"/>
        </w:rPr>
        <w:t xml:space="preserve"> </w:t>
      </w:r>
      <w:r w:rsidRPr="000E6F2F">
        <w:rPr>
          <w:rFonts w:ascii="ITC Avant Garde Std Bk" w:hAnsi="ITC Avant Garde Std Bk"/>
          <w:sz w:val="14"/>
          <w:szCs w:val="14"/>
        </w:rPr>
        <w:t xml:space="preserve"> </w:t>
      </w:r>
    </w:p>
  </w:footnote>
  <w:footnote w:id="5">
    <w:p w14:paraId="4DEC79E4" w14:textId="27932F68" w:rsidR="00E93B86" w:rsidRPr="00327A3E" w:rsidRDefault="00E93B86">
      <w:pPr>
        <w:pStyle w:val="Textonotapie"/>
        <w:rPr>
          <w:rFonts w:ascii="ITC Avant Garde Std Bk" w:hAnsi="ITC Avant Garde Std Bk"/>
          <w:sz w:val="14"/>
          <w:szCs w:val="14"/>
        </w:rPr>
      </w:pPr>
      <w:r w:rsidRPr="00327A3E">
        <w:rPr>
          <w:rStyle w:val="Refdenotaalpie"/>
          <w:rFonts w:ascii="ITC Avant Garde Std Bk" w:hAnsi="ITC Avant Garde Std Bk"/>
        </w:rPr>
        <w:footnoteRef/>
      </w:r>
      <w:r w:rsidRPr="00327A3E">
        <w:rPr>
          <w:rFonts w:ascii="ITC Avant Garde Std Bk" w:hAnsi="ITC Avant Garde Std Bk"/>
        </w:rPr>
        <w:t xml:space="preserve"> </w:t>
      </w:r>
      <w:r w:rsidRPr="00327A3E">
        <w:rPr>
          <w:rFonts w:ascii="ITC Avant Garde Std Bk" w:hAnsi="ITC Avant Garde Std Bk"/>
          <w:sz w:val="14"/>
          <w:szCs w:val="14"/>
        </w:rPr>
        <w:t xml:space="preserve">“Enciclopedia de los municipios y Delegaciones de México”, consultada el 10 de febrero de 2017, disponible en. </w:t>
      </w:r>
      <w:r w:rsidRPr="00AF2924">
        <w:rPr>
          <w:rFonts w:ascii="ITC Avant Garde Std Bk" w:hAnsi="ITC Avant Garde Std Bk"/>
          <w:sz w:val="14"/>
          <w:szCs w:val="14"/>
        </w:rPr>
        <w:t>http://www.inafed.gob.mx/work/enciclopedia/index.html</w:t>
      </w:r>
      <w:r w:rsidRPr="00327A3E">
        <w:rPr>
          <w:rFonts w:ascii="ITC Avant Garde Std Bk" w:hAnsi="ITC Avant Garde Std Bk"/>
          <w:sz w:val="14"/>
          <w:szCs w:val="14"/>
        </w:rPr>
        <w:t xml:space="preserve"> </w:t>
      </w:r>
    </w:p>
  </w:footnote>
  <w:footnote w:id="6">
    <w:p w14:paraId="77F41516" w14:textId="5500A742" w:rsidR="00E93B86" w:rsidRDefault="00E93B86">
      <w:pPr>
        <w:pStyle w:val="Textonotapie"/>
      </w:pPr>
      <w:r>
        <w:rPr>
          <w:rStyle w:val="Refdenotaalpie"/>
        </w:rPr>
        <w:footnoteRef/>
      </w:r>
      <w:r>
        <w:t xml:space="preserve"> </w:t>
      </w:r>
      <w:r w:rsidRPr="00556C30">
        <w:rPr>
          <w:rFonts w:ascii="ITC Avant Garde Std Bk" w:hAnsi="ITC Avant Garde Std Bk"/>
          <w:sz w:val="14"/>
          <w:szCs w:val="14"/>
        </w:rPr>
        <w:t>Véase Anexo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940E" w14:textId="77777777" w:rsidR="00E93B86" w:rsidRDefault="00A65246">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556B" w14:textId="77777777" w:rsidR="00E93B86" w:rsidRPr="000F5E4B" w:rsidRDefault="00A65246">
    <w:pPr>
      <w:pStyle w:val="Encabezado"/>
      <w:rPr>
        <w:b/>
      </w:rPr>
    </w:pPr>
    <w:r>
      <w:rPr>
        <w:b/>
        <w:noProof/>
        <w:lang w:eastAsia="es-MX"/>
      </w:rPr>
      <w:pict w14:anchorId="403C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9C3"/>
    <w:multiLevelType w:val="hybridMultilevel"/>
    <w:tmpl w:val="F8F222AC"/>
    <w:lvl w:ilvl="0" w:tplc="080A0001">
      <w:start w:val="1"/>
      <w:numFmt w:val="bullet"/>
      <w:lvlText w:val=""/>
      <w:lvlJc w:val="left"/>
      <w:pPr>
        <w:ind w:left="1004" w:hanging="360"/>
      </w:pPr>
      <w:rPr>
        <w:rFonts w:ascii="Symbol" w:hAnsi="Symbol" w:hint="default"/>
      </w:rPr>
    </w:lvl>
    <w:lvl w:ilvl="1" w:tplc="8DDEE964">
      <w:numFmt w:val="bullet"/>
      <w:lvlText w:val="•"/>
      <w:lvlJc w:val="left"/>
      <w:pPr>
        <w:ind w:left="1724" w:hanging="360"/>
      </w:pPr>
      <w:rPr>
        <w:rFonts w:ascii="ITC Avant Garde" w:eastAsia="Calibri" w:hAnsi="ITC Avant Garde" w:cs="Times New Roman"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F770536"/>
    <w:multiLevelType w:val="hybridMultilevel"/>
    <w:tmpl w:val="A75C0260"/>
    <w:lvl w:ilvl="0" w:tplc="395043A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04F5B73"/>
    <w:multiLevelType w:val="hybridMultilevel"/>
    <w:tmpl w:val="56FA22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40675"/>
    <w:multiLevelType w:val="hybridMultilevel"/>
    <w:tmpl w:val="D88AAAB2"/>
    <w:lvl w:ilvl="0" w:tplc="33E2E2E6">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DA46F3"/>
    <w:multiLevelType w:val="hybridMultilevel"/>
    <w:tmpl w:val="26A6FB7C"/>
    <w:lvl w:ilvl="0" w:tplc="0450E73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B565D69"/>
    <w:multiLevelType w:val="hybridMultilevel"/>
    <w:tmpl w:val="2FAEA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494432"/>
    <w:multiLevelType w:val="hybridMultilevel"/>
    <w:tmpl w:val="D6A87A50"/>
    <w:lvl w:ilvl="0" w:tplc="41863064">
      <w:start w:val="1"/>
      <w:numFmt w:val="upperRoman"/>
      <w:lvlText w:val="%1."/>
      <w:lvlJc w:val="left"/>
      <w:pPr>
        <w:ind w:left="143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595ACF"/>
    <w:multiLevelType w:val="hybridMultilevel"/>
    <w:tmpl w:val="C4A478BC"/>
    <w:lvl w:ilvl="0" w:tplc="A8F66016">
      <w:start w:val="1"/>
      <w:numFmt w:val="low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861EB2"/>
    <w:multiLevelType w:val="hybridMultilevel"/>
    <w:tmpl w:val="33964B9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34D214A4"/>
    <w:multiLevelType w:val="hybridMultilevel"/>
    <w:tmpl w:val="1B642A32"/>
    <w:lvl w:ilvl="0" w:tplc="D20A81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BC12132"/>
    <w:multiLevelType w:val="hybridMultilevel"/>
    <w:tmpl w:val="6658C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8D3042"/>
    <w:multiLevelType w:val="hybridMultilevel"/>
    <w:tmpl w:val="525636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042141"/>
    <w:multiLevelType w:val="hybridMultilevel"/>
    <w:tmpl w:val="5792E0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6C3A5F"/>
    <w:multiLevelType w:val="hybridMultilevel"/>
    <w:tmpl w:val="A5205C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6E39BE"/>
    <w:multiLevelType w:val="hybridMultilevel"/>
    <w:tmpl w:val="1BB8C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83544C"/>
    <w:multiLevelType w:val="hybridMultilevel"/>
    <w:tmpl w:val="48C8AC1C"/>
    <w:lvl w:ilvl="0" w:tplc="5D7CD336">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472F91"/>
    <w:multiLevelType w:val="hybridMultilevel"/>
    <w:tmpl w:val="0DD63F9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4F320710"/>
    <w:multiLevelType w:val="hybridMultilevel"/>
    <w:tmpl w:val="3A3A1D0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4FD72BD7"/>
    <w:multiLevelType w:val="hybridMultilevel"/>
    <w:tmpl w:val="D52A667E"/>
    <w:lvl w:ilvl="0" w:tplc="5F827174">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52A54DB0"/>
    <w:multiLevelType w:val="hybridMultilevel"/>
    <w:tmpl w:val="0F0236E6"/>
    <w:lvl w:ilvl="0" w:tplc="5C50D00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6120637B"/>
    <w:multiLevelType w:val="hybridMultilevel"/>
    <w:tmpl w:val="C23E439A"/>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B26809"/>
    <w:multiLevelType w:val="hybridMultilevel"/>
    <w:tmpl w:val="F852EAF6"/>
    <w:lvl w:ilvl="0" w:tplc="E62A94B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5C15841"/>
    <w:multiLevelType w:val="hybridMultilevel"/>
    <w:tmpl w:val="DB68E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1404D0"/>
    <w:multiLevelType w:val="hybridMultilevel"/>
    <w:tmpl w:val="8304A7C6"/>
    <w:lvl w:ilvl="0" w:tplc="F724E2A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5A36CC"/>
    <w:multiLevelType w:val="hybridMultilevel"/>
    <w:tmpl w:val="CF9E8864"/>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3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7"/>
  </w:num>
  <w:num w:numId="3">
    <w:abstractNumId w:val="10"/>
  </w:num>
  <w:num w:numId="4">
    <w:abstractNumId w:val="18"/>
  </w:num>
  <w:num w:numId="5">
    <w:abstractNumId w:val="21"/>
  </w:num>
  <w:num w:numId="6">
    <w:abstractNumId w:val="30"/>
  </w:num>
  <w:num w:numId="7">
    <w:abstractNumId w:val="5"/>
  </w:num>
  <w:num w:numId="8">
    <w:abstractNumId w:val="6"/>
  </w:num>
  <w:num w:numId="9">
    <w:abstractNumId w:val="14"/>
  </w:num>
  <w:num w:numId="10">
    <w:abstractNumId w:val="12"/>
  </w:num>
  <w:num w:numId="11">
    <w:abstractNumId w:val="8"/>
  </w:num>
  <w:num w:numId="12">
    <w:abstractNumId w:val="19"/>
  </w:num>
  <w:num w:numId="13">
    <w:abstractNumId w:val="7"/>
  </w:num>
  <w:num w:numId="14">
    <w:abstractNumId w:val="23"/>
  </w:num>
  <w:num w:numId="15">
    <w:abstractNumId w:val="29"/>
  </w:num>
  <w:num w:numId="16">
    <w:abstractNumId w:val="31"/>
  </w:num>
  <w:num w:numId="17">
    <w:abstractNumId w:val="0"/>
  </w:num>
  <w:num w:numId="18">
    <w:abstractNumId w:val="11"/>
  </w:num>
  <w:num w:numId="19">
    <w:abstractNumId w:val="22"/>
  </w:num>
  <w:num w:numId="20">
    <w:abstractNumId w:val="17"/>
  </w:num>
  <w:num w:numId="21">
    <w:abstractNumId w:val="2"/>
  </w:num>
  <w:num w:numId="22">
    <w:abstractNumId w:val="9"/>
  </w:num>
  <w:num w:numId="23">
    <w:abstractNumId w:val="26"/>
  </w:num>
  <w:num w:numId="24">
    <w:abstractNumId w:val="28"/>
  </w:num>
  <w:num w:numId="25">
    <w:abstractNumId w:val="4"/>
  </w:num>
  <w:num w:numId="26">
    <w:abstractNumId w:val="24"/>
  </w:num>
  <w:num w:numId="27">
    <w:abstractNumId w:val="25"/>
  </w:num>
  <w:num w:numId="28">
    <w:abstractNumId w:val="20"/>
  </w:num>
  <w:num w:numId="29">
    <w:abstractNumId w:val="15"/>
  </w:num>
  <w:num w:numId="30">
    <w:abstractNumId w:val="16"/>
  </w:num>
  <w:num w:numId="31">
    <w:abstractNumId w:val="33"/>
  </w:num>
  <w:num w:numId="32">
    <w:abstractNumId w:val="3"/>
  </w:num>
  <w:num w:numId="33">
    <w:abstractNumId w:val="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1E5D"/>
    <w:rsid w:val="000027B2"/>
    <w:rsid w:val="0000290D"/>
    <w:rsid w:val="0000341D"/>
    <w:rsid w:val="00004279"/>
    <w:rsid w:val="00004416"/>
    <w:rsid w:val="00010240"/>
    <w:rsid w:val="0001144F"/>
    <w:rsid w:val="000116D0"/>
    <w:rsid w:val="00011FCA"/>
    <w:rsid w:val="00012C01"/>
    <w:rsid w:val="00012E3D"/>
    <w:rsid w:val="0001395E"/>
    <w:rsid w:val="00014EFF"/>
    <w:rsid w:val="000154B0"/>
    <w:rsid w:val="000173C1"/>
    <w:rsid w:val="00020418"/>
    <w:rsid w:val="00020735"/>
    <w:rsid w:val="000232FB"/>
    <w:rsid w:val="00024F70"/>
    <w:rsid w:val="0002568E"/>
    <w:rsid w:val="00026845"/>
    <w:rsid w:val="0003229B"/>
    <w:rsid w:val="00032F19"/>
    <w:rsid w:val="00033D43"/>
    <w:rsid w:val="00034272"/>
    <w:rsid w:val="000345A0"/>
    <w:rsid w:val="00035FFC"/>
    <w:rsid w:val="00037344"/>
    <w:rsid w:val="00037D31"/>
    <w:rsid w:val="000440C9"/>
    <w:rsid w:val="00044755"/>
    <w:rsid w:val="000448E7"/>
    <w:rsid w:val="0004564C"/>
    <w:rsid w:val="00046AD3"/>
    <w:rsid w:val="00050003"/>
    <w:rsid w:val="000500D9"/>
    <w:rsid w:val="0005265F"/>
    <w:rsid w:val="00052CFA"/>
    <w:rsid w:val="00052F85"/>
    <w:rsid w:val="0005470B"/>
    <w:rsid w:val="00054E73"/>
    <w:rsid w:val="00056093"/>
    <w:rsid w:val="00057FCE"/>
    <w:rsid w:val="0006084F"/>
    <w:rsid w:val="000611AD"/>
    <w:rsid w:val="00062C40"/>
    <w:rsid w:val="00066E53"/>
    <w:rsid w:val="000670A1"/>
    <w:rsid w:val="000674AA"/>
    <w:rsid w:val="000676CB"/>
    <w:rsid w:val="00071026"/>
    <w:rsid w:val="0007143E"/>
    <w:rsid w:val="00071E74"/>
    <w:rsid w:val="00072221"/>
    <w:rsid w:val="000727F0"/>
    <w:rsid w:val="00072BC8"/>
    <w:rsid w:val="00072D11"/>
    <w:rsid w:val="00074BE0"/>
    <w:rsid w:val="00074C09"/>
    <w:rsid w:val="000775ED"/>
    <w:rsid w:val="00077C8A"/>
    <w:rsid w:val="00082D03"/>
    <w:rsid w:val="000833FF"/>
    <w:rsid w:val="000837C7"/>
    <w:rsid w:val="00083B73"/>
    <w:rsid w:val="00085181"/>
    <w:rsid w:val="000851CE"/>
    <w:rsid w:val="00085389"/>
    <w:rsid w:val="00087FC9"/>
    <w:rsid w:val="00090428"/>
    <w:rsid w:val="00092C05"/>
    <w:rsid w:val="00093B98"/>
    <w:rsid w:val="00095840"/>
    <w:rsid w:val="00095CE4"/>
    <w:rsid w:val="000963CB"/>
    <w:rsid w:val="000A22CB"/>
    <w:rsid w:val="000A3E65"/>
    <w:rsid w:val="000A3F27"/>
    <w:rsid w:val="000A4FDC"/>
    <w:rsid w:val="000A71F7"/>
    <w:rsid w:val="000B109B"/>
    <w:rsid w:val="000B1B50"/>
    <w:rsid w:val="000B1DF8"/>
    <w:rsid w:val="000B23DC"/>
    <w:rsid w:val="000B5E58"/>
    <w:rsid w:val="000B69A9"/>
    <w:rsid w:val="000B69C3"/>
    <w:rsid w:val="000B7FD1"/>
    <w:rsid w:val="000C2134"/>
    <w:rsid w:val="000C4251"/>
    <w:rsid w:val="000C435E"/>
    <w:rsid w:val="000C474A"/>
    <w:rsid w:val="000C4C32"/>
    <w:rsid w:val="000C4C55"/>
    <w:rsid w:val="000D224F"/>
    <w:rsid w:val="000D399E"/>
    <w:rsid w:val="000D42F8"/>
    <w:rsid w:val="000D570C"/>
    <w:rsid w:val="000E0090"/>
    <w:rsid w:val="000E1013"/>
    <w:rsid w:val="000E422C"/>
    <w:rsid w:val="000E5A33"/>
    <w:rsid w:val="000E5D5F"/>
    <w:rsid w:val="000E6F2F"/>
    <w:rsid w:val="000E774A"/>
    <w:rsid w:val="000F17CF"/>
    <w:rsid w:val="000F4B80"/>
    <w:rsid w:val="000F4CAC"/>
    <w:rsid w:val="000F4D94"/>
    <w:rsid w:val="000F5AC1"/>
    <w:rsid w:val="000F5E4B"/>
    <w:rsid w:val="00100DE3"/>
    <w:rsid w:val="00103AAE"/>
    <w:rsid w:val="001044FB"/>
    <w:rsid w:val="00106523"/>
    <w:rsid w:val="00106EE8"/>
    <w:rsid w:val="00107899"/>
    <w:rsid w:val="00110B73"/>
    <w:rsid w:val="00112C0E"/>
    <w:rsid w:val="00114E54"/>
    <w:rsid w:val="00116C46"/>
    <w:rsid w:val="0011746E"/>
    <w:rsid w:val="00121BF2"/>
    <w:rsid w:val="0012257F"/>
    <w:rsid w:val="00122A83"/>
    <w:rsid w:val="00122D6D"/>
    <w:rsid w:val="00123B53"/>
    <w:rsid w:val="00125C9F"/>
    <w:rsid w:val="00126E44"/>
    <w:rsid w:val="00130937"/>
    <w:rsid w:val="001318FD"/>
    <w:rsid w:val="00134D90"/>
    <w:rsid w:val="00135DF2"/>
    <w:rsid w:val="001360BC"/>
    <w:rsid w:val="00136C0E"/>
    <w:rsid w:val="001373D9"/>
    <w:rsid w:val="00137407"/>
    <w:rsid w:val="00137A66"/>
    <w:rsid w:val="00142249"/>
    <w:rsid w:val="001425EA"/>
    <w:rsid w:val="00142E9E"/>
    <w:rsid w:val="00144765"/>
    <w:rsid w:val="00144789"/>
    <w:rsid w:val="0014549E"/>
    <w:rsid w:val="001472C4"/>
    <w:rsid w:val="0014766B"/>
    <w:rsid w:val="00147884"/>
    <w:rsid w:val="00150266"/>
    <w:rsid w:val="001503CA"/>
    <w:rsid w:val="0015051F"/>
    <w:rsid w:val="00150EFA"/>
    <w:rsid w:val="00151C5F"/>
    <w:rsid w:val="0015289B"/>
    <w:rsid w:val="00152CF6"/>
    <w:rsid w:val="00153356"/>
    <w:rsid w:val="0015527A"/>
    <w:rsid w:val="00155991"/>
    <w:rsid w:val="001559F5"/>
    <w:rsid w:val="00156524"/>
    <w:rsid w:val="001572A3"/>
    <w:rsid w:val="00161844"/>
    <w:rsid w:val="0016577A"/>
    <w:rsid w:val="00166D3A"/>
    <w:rsid w:val="00167714"/>
    <w:rsid w:val="001711E8"/>
    <w:rsid w:val="00171F67"/>
    <w:rsid w:val="00173AC5"/>
    <w:rsid w:val="0017406A"/>
    <w:rsid w:val="00175BB8"/>
    <w:rsid w:val="00175E4B"/>
    <w:rsid w:val="00176654"/>
    <w:rsid w:val="00177A45"/>
    <w:rsid w:val="00177C12"/>
    <w:rsid w:val="00177FB0"/>
    <w:rsid w:val="001801FE"/>
    <w:rsid w:val="001803A0"/>
    <w:rsid w:val="00180454"/>
    <w:rsid w:val="0018051F"/>
    <w:rsid w:val="001807E6"/>
    <w:rsid w:val="00180C08"/>
    <w:rsid w:val="00181018"/>
    <w:rsid w:val="00183145"/>
    <w:rsid w:val="00183E15"/>
    <w:rsid w:val="00183F4F"/>
    <w:rsid w:val="00184378"/>
    <w:rsid w:val="0018560E"/>
    <w:rsid w:val="0018572D"/>
    <w:rsid w:val="00186829"/>
    <w:rsid w:val="0019097B"/>
    <w:rsid w:val="00192F04"/>
    <w:rsid w:val="001939F7"/>
    <w:rsid w:val="00193FA8"/>
    <w:rsid w:val="001959C2"/>
    <w:rsid w:val="00196114"/>
    <w:rsid w:val="00196EC8"/>
    <w:rsid w:val="001A05E6"/>
    <w:rsid w:val="001A0AC9"/>
    <w:rsid w:val="001A3049"/>
    <w:rsid w:val="001A58D7"/>
    <w:rsid w:val="001A62B7"/>
    <w:rsid w:val="001A64C7"/>
    <w:rsid w:val="001A6B6F"/>
    <w:rsid w:val="001B12B0"/>
    <w:rsid w:val="001B28FA"/>
    <w:rsid w:val="001B2F97"/>
    <w:rsid w:val="001B4476"/>
    <w:rsid w:val="001B4F13"/>
    <w:rsid w:val="001B58A1"/>
    <w:rsid w:val="001B64A8"/>
    <w:rsid w:val="001B67C0"/>
    <w:rsid w:val="001C15FF"/>
    <w:rsid w:val="001C20ED"/>
    <w:rsid w:val="001C52F5"/>
    <w:rsid w:val="001C6C8A"/>
    <w:rsid w:val="001C71A8"/>
    <w:rsid w:val="001C7330"/>
    <w:rsid w:val="001C7352"/>
    <w:rsid w:val="001D0F10"/>
    <w:rsid w:val="001D4B81"/>
    <w:rsid w:val="001D6C04"/>
    <w:rsid w:val="001D6C40"/>
    <w:rsid w:val="001D7300"/>
    <w:rsid w:val="001D7986"/>
    <w:rsid w:val="001D7AC9"/>
    <w:rsid w:val="001D7B26"/>
    <w:rsid w:val="001E0403"/>
    <w:rsid w:val="001E1AFC"/>
    <w:rsid w:val="001E24B1"/>
    <w:rsid w:val="001E285C"/>
    <w:rsid w:val="001E2C33"/>
    <w:rsid w:val="001E3808"/>
    <w:rsid w:val="001E4D6D"/>
    <w:rsid w:val="001E6B62"/>
    <w:rsid w:val="001E6CFE"/>
    <w:rsid w:val="001E7493"/>
    <w:rsid w:val="001E7950"/>
    <w:rsid w:val="001E7E6E"/>
    <w:rsid w:val="001F057F"/>
    <w:rsid w:val="001F0727"/>
    <w:rsid w:val="001F198E"/>
    <w:rsid w:val="001F1ADD"/>
    <w:rsid w:val="001F631A"/>
    <w:rsid w:val="001F666E"/>
    <w:rsid w:val="001F7833"/>
    <w:rsid w:val="001F7889"/>
    <w:rsid w:val="00202DAC"/>
    <w:rsid w:val="00202E7B"/>
    <w:rsid w:val="002031CB"/>
    <w:rsid w:val="0021629B"/>
    <w:rsid w:val="00217CAD"/>
    <w:rsid w:val="00221568"/>
    <w:rsid w:val="002221A1"/>
    <w:rsid w:val="00224AFA"/>
    <w:rsid w:val="002259D2"/>
    <w:rsid w:val="00226245"/>
    <w:rsid w:val="00226F42"/>
    <w:rsid w:val="0022718C"/>
    <w:rsid w:val="0022735C"/>
    <w:rsid w:val="0022796A"/>
    <w:rsid w:val="00227F80"/>
    <w:rsid w:val="0023007D"/>
    <w:rsid w:val="0023075C"/>
    <w:rsid w:val="002315C3"/>
    <w:rsid w:val="002321E5"/>
    <w:rsid w:val="00232954"/>
    <w:rsid w:val="00235B48"/>
    <w:rsid w:val="00235C8B"/>
    <w:rsid w:val="0023752B"/>
    <w:rsid w:val="00243E3F"/>
    <w:rsid w:val="0024406C"/>
    <w:rsid w:val="002500C4"/>
    <w:rsid w:val="002512DD"/>
    <w:rsid w:val="002518F4"/>
    <w:rsid w:val="00254051"/>
    <w:rsid w:val="0025524A"/>
    <w:rsid w:val="0025645F"/>
    <w:rsid w:val="00260C45"/>
    <w:rsid w:val="00262345"/>
    <w:rsid w:val="00264F2E"/>
    <w:rsid w:val="002656A1"/>
    <w:rsid w:val="00266406"/>
    <w:rsid w:val="00266DF0"/>
    <w:rsid w:val="00267C6A"/>
    <w:rsid w:val="00270398"/>
    <w:rsid w:val="00270615"/>
    <w:rsid w:val="00270D17"/>
    <w:rsid w:val="002716B6"/>
    <w:rsid w:val="00272EA9"/>
    <w:rsid w:val="002731B7"/>
    <w:rsid w:val="002733A2"/>
    <w:rsid w:val="00276093"/>
    <w:rsid w:val="00276D2C"/>
    <w:rsid w:val="002779D1"/>
    <w:rsid w:val="00277BFB"/>
    <w:rsid w:val="002808B7"/>
    <w:rsid w:val="00281968"/>
    <w:rsid w:val="00283367"/>
    <w:rsid w:val="00285EE6"/>
    <w:rsid w:val="00286947"/>
    <w:rsid w:val="00286D88"/>
    <w:rsid w:val="002915DF"/>
    <w:rsid w:val="00291D86"/>
    <w:rsid w:val="00292A1D"/>
    <w:rsid w:val="00292FD3"/>
    <w:rsid w:val="002931F7"/>
    <w:rsid w:val="0029348C"/>
    <w:rsid w:val="00296B0B"/>
    <w:rsid w:val="00297017"/>
    <w:rsid w:val="0029791A"/>
    <w:rsid w:val="00297DA0"/>
    <w:rsid w:val="002A1ECC"/>
    <w:rsid w:val="002A3376"/>
    <w:rsid w:val="002A489F"/>
    <w:rsid w:val="002A5345"/>
    <w:rsid w:val="002A5743"/>
    <w:rsid w:val="002A5CD0"/>
    <w:rsid w:val="002A665C"/>
    <w:rsid w:val="002A73A6"/>
    <w:rsid w:val="002A73A8"/>
    <w:rsid w:val="002B0102"/>
    <w:rsid w:val="002B0990"/>
    <w:rsid w:val="002B1754"/>
    <w:rsid w:val="002B35AD"/>
    <w:rsid w:val="002B5CCD"/>
    <w:rsid w:val="002B794C"/>
    <w:rsid w:val="002C35B9"/>
    <w:rsid w:val="002C3B54"/>
    <w:rsid w:val="002C5612"/>
    <w:rsid w:val="002D0F52"/>
    <w:rsid w:val="002D1256"/>
    <w:rsid w:val="002D1B20"/>
    <w:rsid w:val="002D287C"/>
    <w:rsid w:val="002D52BD"/>
    <w:rsid w:val="002D7BD2"/>
    <w:rsid w:val="002E1806"/>
    <w:rsid w:val="002E4549"/>
    <w:rsid w:val="002E4A09"/>
    <w:rsid w:val="002E620E"/>
    <w:rsid w:val="002E6CEC"/>
    <w:rsid w:val="002E6CF3"/>
    <w:rsid w:val="002E772F"/>
    <w:rsid w:val="002F0043"/>
    <w:rsid w:val="002F087C"/>
    <w:rsid w:val="002F0E13"/>
    <w:rsid w:val="002F21AB"/>
    <w:rsid w:val="002F42D9"/>
    <w:rsid w:val="002F60C7"/>
    <w:rsid w:val="002F7A49"/>
    <w:rsid w:val="00300062"/>
    <w:rsid w:val="00303C10"/>
    <w:rsid w:val="003043AE"/>
    <w:rsid w:val="003050F2"/>
    <w:rsid w:val="00305A9E"/>
    <w:rsid w:val="00306582"/>
    <w:rsid w:val="00306A37"/>
    <w:rsid w:val="00306B56"/>
    <w:rsid w:val="00311B0A"/>
    <w:rsid w:val="00311C32"/>
    <w:rsid w:val="003120FF"/>
    <w:rsid w:val="00315BCE"/>
    <w:rsid w:val="00316051"/>
    <w:rsid w:val="003172FD"/>
    <w:rsid w:val="00317C37"/>
    <w:rsid w:val="00317E61"/>
    <w:rsid w:val="00320310"/>
    <w:rsid w:val="003203AE"/>
    <w:rsid w:val="0032128F"/>
    <w:rsid w:val="003229BF"/>
    <w:rsid w:val="00327A3E"/>
    <w:rsid w:val="00327E30"/>
    <w:rsid w:val="00332887"/>
    <w:rsid w:val="003335A6"/>
    <w:rsid w:val="00333B33"/>
    <w:rsid w:val="003349D8"/>
    <w:rsid w:val="00334D4F"/>
    <w:rsid w:val="00335F51"/>
    <w:rsid w:val="00341067"/>
    <w:rsid w:val="00342F03"/>
    <w:rsid w:val="0034579B"/>
    <w:rsid w:val="00345EE1"/>
    <w:rsid w:val="00347BAD"/>
    <w:rsid w:val="003501A4"/>
    <w:rsid w:val="003507F3"/>
    <w:rsid w:val="00350911"/>
    <w:rsid w:val="00350A9F"/>
    <w:rsid w:val="00350C09"/>
    <w:rsid w:val="00351D52"/>
    <w:rsid w:val="00352303"/>
    <w:rsid w:val="00353CD8"/>
    <w:rsid w:val="0035554B"/>
    <w:rsid w:val="003555E9"/>
    <w:rsid w:val="00356B53"/>
    <w:rsid w:val="0035702A"/>
    <w:rsid w:val="003614EB"/>
    <w:rsid w:val="00361FDD"/>
    <w:rsid w:val="003620A6"/>
    <w:rsid w:val="00363D3F"/>
    <w:rsid w:val="00364FBF"/>
    <w:rsid w:val="0036679C"/>
    <w:rsid w:val="00367E1B"/>
    <w:rsid w:val="00371021"/>
    <w:rsid w:val="003720B0"/>
    <w:rsid w:val="003733A5"/>
    <w:rsid w:val="003735EF"/>
    <w:rsid w:val="003739E7"/>
    <w:rsid w:val="00374114"/>
    <w:rsid w:val="00374195"/>
    <w:rsid w:val="00374557"/>
    <w:rsid w:val="003753ED"/>
    <w:rsid w:val="00376AEC"/>
    <w:rsid w:val="0037762D"/>
    <w:rsid w:val="0038070C"/>
    <w:rsid w:val="00380EF8"/>
    <w:rsid w:val="003819BF"/>
    <w:rsid w:val="0038219D"/>
    <w:rsid w:val="00382235"/>
    <w:rsid w:val="00384B29"/>
    <w:rsid w:val="003856FE"/>
    <w:rsid w:val="00385C0C"/>
    <w:rsid w:val="00387BAB"/>
    <w:rsid w:val="00390C9D"/>
    <w:rsid w:val="003919D8"/>
    <w:rsid w:val="00392921"/>
    <w:rsid w:val="0039335F"/>
    <w:rsid w:val="00393A12"/>
    <w:rsid w:val="00393BBA"/>
    <w:rsid w:val="003962FB"/>
    <w:rsid w:val="003965CE"/>
    <w:rsid w:val="003A06D5"/>
    <w:rsid w:val="003A19FB"/>
    <w:rsid w:val="003A1B0D"/>
    <w:rsid w:val="003A2FA7"/>
    <w:rsid w:val="003A438C"/>
    <w:rsid w:val="003A59B8"/>
    <w:rsid w:val="003A73E9"/>
    <w:rsid w:val="003A743E"/>
    <w:rsid w:val="003B0784"/>
    <w:rsid w:val="003B22D6"/>
    <w:rsid w:val="003B2407"/>
    <w:rsid w:val="003B440E"/>
    <w:rsid w:val="003B4BD9"/>
    <w:rsid w:val="003B57DF"/>
    <w:rsid w:val="003B5D6C"/>
    <w:rsid w:val="003C04A2"/>
    <w:rsid w:val="003C1A02"/>
    <w:rsid w:val="003C29D1"/>
    <w:rsid w:val="003C35D1"/>
    <w:rsid w:val="003C4C3A"/>
    <w:rsid w:val="003D160F"/>
    <w:rsid w:val="003D1EDA"/>
    <w:rsid w:val="003D411F"/>
    <w:rsid w:val="003D461C"/>
    <w:rsid w:val="003D5018"/>
    <w:rsid w:val="003D5454"/>
    <w:rsid w:val="003D5CDA"/>
    <w:rsid w:val="003D5E83"/>
    <w:rsid w:val="003D6094"/>
    <w:rsid w:val="003D680E"/>
    <w:rsid w:val="003E0325"/>
    <w:rsid w:val="003E0EA5"/>
    <w:rsid w:val="003E1E59"/>
    <w:rsid w:val="003E4054"/>
    <w:rsid w:val="003E4F3A"/>
    <w:rsid w:val="003E59C1"/>
    <w:rsid w:val="003E5B75"/>
    <w:rsid w:val="003E5D5D"/>
    <w:rsid w:val="003F10FE"/>
    <w:rsid w:val="003F43A1"/>
    <w:rsid w:val="003F43A5"/>
    <w:rsid w:val="003F6566"/>
    <w:rsid w:val="003F6DC0"/>
    <w:rsid w:val="003F797F"/>
    <w:rsid w:val="0040055E"/>
    <w:rsid w:val="00400C76"/>
    <w:rsid w:val="00400E93"/>
    <w:rsid w:val="0040284F"/>
    <w:rsid w:val="00403026"/>
    <w:rsid w:val="00403482"/>
    <w:rsid w:val="00403D64"/>
    <w:rsid w:val="00404405"/>
    <w:rsid w:val="0040665C"/>
    <w:rsid w:val="00410383"/>
    <w:rsid w:val="004125E6"/>
    <w:rsid w:val="00414ADB"/>
    <w:rsid w:val="00415777"/>
    <w:rsid w:val="00415E0A"/>
    <w:rsid w:val="00416030"/>
    <w:rsid w:val="00416051"/>
    <w:rsid w:val="0041777C"/>
    <w:rsid w:val="00420FA3"/>
    <w:rsid w:val="00421810"/>
    <w:rsid w:val="00421AD0"/>
    <w:rsid w:val="00422443"/>
    <w:rsid w:val="00423804"/>
    <w:rsid w:val="00427C38"/>
    <w:rsid w:val="004311D6"/>
    <w:rsid w:val="00431925"/>
    <w:rsid w:val="00431BC9"/>
    <w:rsid w:val="00432053"/>
    <w:rsid w:val="00432DF1"/>
    <w:rsid w:val="004342D3"/>
    <w:rsid w:val="0043430C"/>
    <w:rsid w:val="00435F98"/>
    <w:rsid w:val="004406E9"/>
    <w:rsid w:val="00440F66"/>
    <w:rsid w:val="004424A1"/>
    <w:rsid w:val="0044440A"/>
    <w:rsid w:val="00444DF9"/>
    <w:rsid w:val="00445BA0"/>
    <w:rsid w:val="00446858"/>
    <w:rsid w:val="00447A4C"/>
    <w:rsid w:val="00450951"/>
    <w:rsid w:val="00450A26"/>
    <w:rsid w:val="004511F9"/>
    <w:rsid w:val="004518C5"/>
    <w:rsid w:val="0045237E"/>
    <w:rsid w:val="00453E39"/>
    <w:rsid w:val="00454A27"/>
    <w:rsid w:val="00457674"/>
    <w:rsid w:val="00460750"/>
    <w:rsid w:val="00461DE8"/>
    <w:rsid w:val="004624DC"/>
    <w:rsid w:val="00464AE4"/>
    <w:rsid w:val="00470444"/>
    <w:rsid w:val="00472C48"/>
    <w:rsid w:val="00474F93"/>
    <w:rsid w:val="00475E1F"/>
    <w:rsid w:val="004761B2"/>
    <w:rsid w:val="00476DC9"/>
    <w:rsid w:val="004774AB"/>
    <w:rsid w:val="00477A33"/>
    <w:rsid w:val="0048071F"/>
    <w:rsid w:val="00480BF6"/>
    <w:rsid w:val="00480DDE"/>
    <w:rsid w:val="004829A2"/>
    <w:rsid w:val="00483994"/>
    <w:rsid w:val="004848FF"/>
    <w:rsid w:val="00485050"/>
    <w:rsid w:val="00485093"/>
    <w:rsid w:val="00485404"/>
    <w:rsid w:val="00485E3A"/>
    <w:rsid w:val="00492B77"/>
    <w:rsid w:val="00497909"/>
    <w:rsid w:val="004A05C8"/>
    <w:rsid w:val="004A084F"/>
    <w:rsid w:val="004A100F"/>
    <w:rsid w:val="004A1C34"/>
    <w:rsid w:val="004A1DB6"/>
    <w:rsid w:val="004A2B68"/>
    <w:rsid w:val="004A3211"/>
    <w:rsid w:val="004A3547"/>
    <w:rsid w:val="004A58E3"/>
    <w:rsid w:val="004A71B3"/>
    <w:rsid w:val="004A7A48"/>
    <w:rsid w:val="004B02E9"/>
    <w:rsid w:val="004B06CA"/>
    <w:rsid w:val="004B08AA"/>
    <w:rsid w:val="004B1006"/>
    <w:rsid w:val="004B2B6B"/>
    <w:rsid w:val="004B323F"/>
    <w:rsid w:val="004B3B26"/>
    <w:rsid w:val="004B3DF2"/>
    <w:rsid w:val="004B52B7"/>
    <w:rsid w:val="004B56B1"/>
    <w:rsid w:val="004B5981"/>
    <w:rsid w:val="004B5A48"/>
    <w:rsid w:val="004B5AC7"/>
    <w:rsid w:val="004C00EE"/>
    <w:rsid w:val="004C097F"/>
    <w:rsid w:val="004C09FE"/>
    <w:rsid w:val="004C0BCC"/>
    <w:rsid w:val="004C0E44"/>
    <w:rsid w:val="004C17DC"/>
    <w:rsid w:val="004C1BE8"/>
    <w:rsid w:val="004C21F4"/>
    <w:rsid w:val="004C233F"/>
    <w:rsid w:val="004C249C"/>
    <w:rsid w:val="004C26ED"/>
    <w:rsid w:val="004D28AE"/>
    <w:rsid w:val="004D28BA"/>
    <w:rsid w:val="004D33CC"/>
    <w:rsid w:val="004D3822"/>
    <w:rsid w:val="004D3989"/>
    <w:rsid w:val="004D73FB"/>
    <w:rsid w:val="004D7684"/>
    <w:rsid w:val="004D7A74"/>
    <w:rsid w:val="004E15EF"/>
    <w:rsid w:val="004E266B"/>
    <w:rsid w:val="004E5E55"/>
    <w:rsid w:val="004E787F"/>
    <w:rsid w:val="004F04DD"/>
    <w:rsid w:val="004F0DD5"/>
    <w:rsid w:val="004F10BA"/>
    <w:rsid w:val="004F1332"/>
    <w:rsid w:val="004F4E8E"/>
    <w:rsid w:val="004F5813"/>
    <w:rsid w:val="004F6094"/>
    <w:rsid w:val="004F6E26"/>
    <w:rsid w:val="004F763E"/>
    <w:rsid w:val="0050163C"/>
    <w:rsid w:val="00504FF0"/>
    <w:rsid w:val="005062A1"/>
    <w:rsid w:val="00510452"/>
    <w:rsid w:val="00511A1F"/>
    <w:rsid w:val="00511EFF"/>
    <w:rsid w:val="00511F68"/>
    <w:rsid w:val="0051488F"/>
    <w:rsid w:val="00517429"/>
    <w:rsid w:val="0052087E"/>
    <w:rsid w:val="00520E67"/>
    <w:rsid w:val="00521BB2"/>
    <w:rsid w:val="0052385D"/>
    <w:rsid w:val="00524115"/>
    <w:rsid w:val="00525798"/>
    <w:rsid w:val="00525EB2"/>
    <w:rsid w:val="005266E6"/>
    <w:rsid w:val="00527B0F"/>
    <w:rsid w:val="0053081E"/>
    <w:rsid w:val="00530F3C"/>
    <w:rsid w:val="00531290"/>
    <w:rsid w:val="005316E9"/>
    <w:rsid w:val="00531726"/>
    <w:rsid w:val="00531873"/>
    <w:rsid w:val="00533019"/>
    <w:rsid w:val="005339CF"/>
    <w:rsid w:val="00533A9E"/>
    <w:rsid w:val="00533F26"/>
    <w:rsid w:val="00536371"/>
    <w:rsid w:val="00537226"/>
    <w:rsid w:val="005375DB"/>
    <w:rsid w:val="00537949"/>
    <w:rsid w:val="00537CEB"/>
    <w:rsid w:val="00537FDD"/>
    <w:rsid w:val="00541066"/>
    <w:rsid w:val="00542B97"/>
    <w:rsid w:val="005438F5"/>
    <w:rsid w:val="00543F7C"/>
    <w:rsid w:val="00545262"/>
    <w:rsid w:val="005477D5"/>
    <w:rsid w:val="00547B0F"/>
    <w:rsid w:val="00551EE3"/>
    <w:rsid w:val="00553828"/>
    <w:rsid w:val="0055497B"/>
    <w:rsid w:val="00554FF3"/>
    <w:rsid w:val="00555E7A"/>
    <w:rsid w:val="005568A5"/>
    <w:rsid w:val="00556C30"/>
    <w:rsid w:val="00557DFD"/>
    <w:rsid w:val="00560794"/>
    <w:rsid w:val="00560C50"/>
    <w:rsid w:val="0056245E"/>
    <w:rsid w:val="00562DCA"/>
    <w:rsid w:val="00562E41"/>
    <w:rsid w:val="00563E87"/>
    <w:rsid w:val="00565208"/>
    <w:rsid w:val="005673AB"/>
    <w:rsid w:val="005730EE"/>
    <w:rsid w:val="00575B92"/>
    <w:rsid w:val="00577A20"/>
    <w:rsid w:val="00577DFB"/>
    <w:rsid w:val="00581D6B"/>
    <w:rsid w:val="00581FDE"/>
    <w:rsid w:val="005825B5"/>
    <w:rsid w:val="005840B5"/>
    <w:rsid w:val="00584E1B"/>
    <w:rsid w:val="00586E1E"/>
    <w:rsid w:val="00590290"/>
    <w:rsid w:val="005903DD"/>
    <w:rsid w:val="00593026"/>
    <w:rsid w:val="005962FD"/>
    <w:rsid w:val="00596309"/>
    <w:rsid w:val="005975F8"/>
    <w:rsid w:val="005A0DBE"/>
    <w:rsid w:val="005A0F2E"/>
    <w:rsid w:val="005A1EEA"/>
    <w:rsid w:val="005A1FD9"/>
    <w:rsid w:val="005A4F77"/>
    <w:rsid w:val="005A5075"/>
    <w:rsid w:val="005A54EB"/>
    <w:rsid w:val="005A55D1"/>
    <w:rsid w:val="005B06AC"/>
    <w:rsid w:val="005B0C52"/>
    <w:rsid w:val="005B1EAB"/>
    <w:rsid w:val="005B437A"/>
    <w:rsid w:val="005B6563"/>
    <w:rsid w:val="005B782D"/>
    <w:rsid w:val="005B78D0"/>
    <w:rsid w:val="005C086D"/>
    <w:rsid w:val="005C098B"/>
    <w:rsid w:val="005C15BF"/>
    <w:rsid w:val="005C1B5D"/>
    <w:rsid w:val="005C2982"/>
    <w:rsid w:val="005C3E78"/>
    <w:rsid w:val="005C47FB"/>
    <w:rsid w:val="005C5D2C"/>
    <w:rsid w:val="005C6B7A"/>
    <w:rsid w:val="005D0EC6"/>
    <w:rsid w:val="005D16B2"/>
    <w:rsid w:val="005D1FEA"/>
    <w:rsid w:val="005D33E1"/>
    <w:rsid w:val="005D35A7"/>
    <w:rsid w:val="005D4A72"/>
    <w:rsid w:val="005D5063"/>
    <w:rsid w:val="005D6385"/>
    <w:rsid w:val="005D7D7C"/>
    <w:rsid w:val="005E0907"/>
    <w:rsid w:val="005E103D"/>
    <w:rsid w:val="005E164A"/>
    <w:rsid w:val="005E2857"/>
    <w:rsid w:val="005E37DE"/>
    <w:rsid w:val="005E4149"/>
    <w:rsid w:val="005E462B"/>
    <w:rsid w:val="005E5219"/>
    <w:rsid w:val="005E5BE5"/>
    <w:rsid w:val="005E61C3"/>
    <w:rsid w:val="005E7DF8"/>
    <w:rsid w:val="005F207B"/>
    <w:rsid w:val="005F2A3E"/>
    <w:rsid w:val="005F5B4B"/>
    <w:rsid w:val="005F60D7"/>
    <w:rsid w:val="005F64A1"/>
    <w:rsid w:val="005F6DCC"/>
    <w:rsid w:val="00600E5B"/>
    <w:rsid w:val="00603089"/>
    <w:rsid w:val="006039A8"/>
    <w:rsid w:val="00605640"/>
    <w:rsid w:val="00605A68"/>
    <w:rsid w:val="00605F5E"/>
    <w:rsid w:val="0060626F"/>
    <w:rsid w:val="006066FE"/>
    <w:rsid w:val="00610D72"/>
    <w:rsid w:val="00612150"/>
    <w:rsid w:val="00612D3D"/>
    <w:rsid w:val="006138CC"/>
    <w:rsid w:val="0061589C"/>
    <w:rsid w:val="0062270B"/>
    <w:rsid w:val="00623B3E"/>
    <w:rsid w:val="00623F91"/>
    <w:rsid w:val="00623FFB"/>
    <w:rsid w:val="006251DD"/>
    <w:rsid w:val="00625CA5"/>
    <w:rsid w:val="00626EF3"/>
    <w:rsid w:val="00632357"/>
    <w:rsid w:val="00633B10"/>
    <w:rsid w:val="0063687E"/>
    <w:rsid w:val="006426A4"/>
    <w:rsid w:val="00644702"/>
    <w:rsid w:val="00644755"/>
    <w:rsid w:val="00644F4E"/>
    <w:rsid w:val="00650A09"/>
    <w:rsid w:val="0065150E"/>
    <w:rsid w:val="006527CB"/>
    <w:rsid w:val="0065300C"/>
    <w:rsid w:val="00655179"/>
    <w:rsid w:val="00655C36"/>
    <w:rsid w:val="006560F1"/>
    <w:rsid w:val="00656B4F"/>
    <w:rsid w:val="0065707C"/>
    <w:rsid w:val="0065713A"/>
    <w:rsid w:val="00663967"/>
    <w:rsid w:val="006640BD"/>
    <w:rsid w:val="006651D2"/>
    <w:rsid w:val="00672A5B"/>
    <w:rsid w:val="00672D40"/>
    <w:rsid w:val="0067323D"/>
    <w:rsid w:val="00674E5F"/>
    <w:rsid w:val="00676D4B"/>
    <w:rsid w:val="0067717E"/>
    <w:rsid w:val="0067793F"/>
    <w:rsid w:val="00680A20"/>
    <w:rsid w:val="00682B6A"/>
    <w:rsid w:val="0068412C"/>
    <w:rsid w:val="00685287"/>
    <w:rsid w:val="00686BB4"/>
    <w:rsid w:val="00687AB8"/>
    <w:rsid w:val="006902A6"/>
    <w:rsid w:val="00691FD0"/>
    <w:rsid w:val="00692C27"/>
    <w:rsid w:val="00693010"/>
    <w:rsid w:val="006932CB"/>
    <w:rsid w:val="00693387"/>
    <w:rsid w:val="00694173"/>
    <w:rsid w:val="00697A03"/>
    <w:rsid w:val="00697F26"/>
    <w:rsid w:val="006A0F79"/>
    <w:rsid w:val="006A1937"/>
    <w:rsid w:val="006A1AFE"/>
    <w:rsid w:val="006A26FC"/>
    <w:rsid w:val="006A3FAA"/>
    <w:rsid w:val="006A5887"/>
    <w:rsid w:val="006A5C96"/>
    <w:rsid w:val="006B0037"/>
    <w:rsid w:val="006B1172"/>
    <w:rsid w:val="006B118B"/>
    <w:rsid w:val="006B1519"/>
    <w:rsid w:val="006B191F"/>
    <w:rsid w:val="006B2C4A"/>
    <w:rsid w:val="006B2F4A"/>
    <w:rsid w:val="006B4376"/>
    <w:rsid w:val="006B4AC9"/>
    <w:rsid w:val="006B6504"/>
    <w:rsid w:val="006B72B8"/>
    <w:rsid w:val="006C37D1"/>
    <w:rsid w:val="006C3B33"/>
    <w:rsid w:val="006C7AF9"/>
    <w:rsid w:val="006D21C8"/>
    <w:rsid w:val="006D24AB"/>
    <w:rsid w:val="006D4D1E"/>
    <w:rsid w:val="006D5CC5"/>
    <w:rsid w:val="006D5D50"/>
    <w:rsid w:val="006D752A"/>
    <w:rsid w:val="006E076E"/>
    <w:rsid w:val="006E128E"/>
    <w:rsid w:val="006E1B79"/>
    <w:rsid w:val="006E1D6B"/>
    <w:rsid w:val="006E2BEB"/>
    <w:rsid w:val="006E2C98"/>
    <w:rsid w:val="006E2D8C"/>
    <w:rsid w:val="006E3F74"/>
    <w:rsid w:val="006E74E1"/>
    <w:rsid w:val="006F18DD"/>
    <w:rsid w:val="006F257F"/>
    <w:rsid w:val="006F4F25"/>
    <w:rsid w:val="006F5467"/>
    <w:rsid w:val="006F59FB"/>
    <w:rsid w:val="006F71C2"/>
    <w:rsid w:val="00700C71"/>
    <w:rsid w:val="007030E4"/>
    <w:rsid w:val="00703E6C"/>
    <w:rsid w:val="00705603"/>
    <w:rsid w:val="0070679A"/>
    <w:rsid w:val="00706A3A"/>
    <w:rsid w:val="007076F4"/>
    <w:rsid w:val="00707928"/>
    <w:rsid w:val="00707AA0"/>
    <w:rsid w:val="0071059B"/>
    <w:rsid w:val="00710A03"/>
    <w:rsid w:val="00711548"/>
    <w:rsid w:val="0071165B"/>
    <w:rsid w:val="00712246"/>
    <w:rsid w:val="00712521"/>
    <w:rsid w:val="00712928"/>
    <w:rsid w:val="00714FBE"/>
    <w:rsid w:val="0072029C"/>
    <w:rsid w:val="007202C5"/>
    <w:rsid w:val="00721B32"/>
    <w:rsid w:val="0072207F"/>
    <w:rsid w:val="00722604"/>
    <w:rsid w:val="00722D13"/>
    <w:rsid w:val="00724197"/>
    <w:rsid w:val="00724EBA"/>
    <w:rsid w:val="0072686B"/>
    <w:rsid w:val="00726A64"/>
    <w:rsid w:val="00726BA0"/>
    <w:rsid w:val="00726EB0"/>
    <w:rsid w:val="0073024A"/>
    <w:rsid w:val="0073345E"/>
    <w:rsid w:val="0073457C"/>
    <w:rsid w:val="00734ABF"/>
    <w:rsid w:val="007350D4"/>
    <w:rsid w:val="0073585E"/>
    <w:rsid w:val="00737250"/>
    <w:rsid w:val="007418E7"/>
    <w:rsid w:val="007422FB"/>
    <w:rsid w:val="007430B3"/>
    <w:rsid w:val="0074464F"/>
    <w:rsid w:val="00744AF9"/>
    <w:rsid w:val="007456FF"/>
    <w:rsid w:val="00745ADA"/>
    <w:rsid w:val="0074689A"/>
    <w:rsid w:val="007469E5"/>
    <w:rsid w:val="007475D4"/>
    <w:rsid w:val="00747690"/>
    <w:rsid w:val="007504EE"/>
    <w:rsid w:val="00750D1B"/>
    <w:rsid w:val="00754CAE"/>
    <w:rsid w:val="00760528"/>
    <w:rsid w:val="00760593"/>
    <w:rsid w:val="00760EDF"/>
    <w:rsid w:val="00760FE0"/>
    <w:rsid w:val="00761973"/>
    <w:rsid w:val="007619AB"/>
    <w:rsid w:val="00761C83"/>
    <w:rsid w:val="00762A04"/>
    <w:rsid w:val="00762CF6"/>
    <w:rsid w:val="007631AF"/>
    <w:rsid w:val="00763340"/>
    <w:rsid w:val="007633EE"/>
    <w:rsid w:val="0076395F"/>
    <w:rsid w:val="00764345"/>
    <w:rsid w:val="007660E8"/>
    <w:rsid w:val="007709A8"/>
    <w:rsid w:val="00770BDB"/>
    <w:rsid w:val="00771541"/>
    <w:rsid w:val="007719B8"/>
    <w:rsid w:val="007729C1"/>
    <w:rsid w:val="00773EAC"/>
    <w:rsid w:val="0077468A"/>
    <w:rsid w:val="00774F4E"/>
    <w:rsid w:val="00776D74"/>
    <w:rsid w:val="00777666"/>
    <w:rsid w:val="00777797"/>
    <w:rsid w:val="00777877"/>
    <w:rsid w:val="0078016E"/>
    <w:rsid w:val="0078066F"/>
    <w:rsid w:val="007834F0"/>
    <w:rsid w:val="0078578F"/>
    <w:rsid w:val="00785FF6"/>
    <w:rsid w:val="0078608D"/>
    <w:rsid w:val="007865B6"/>
    <w:rsid w:val="0079033D"/>
    <w:rsid w:val="0079120C"/>
    <w:rsid w:val="00792801"/>
    <w:rsid w:val="007942D6"/>
    <w:rsid w:val="00794DE5"/>
    <w:rsid w:val="00795237"/>
    <w:rsid w:val="007977EF"/>
    <w:rsid w:val="00797EB7"/>
    <w:rsid w:val="007A1603"/>
    <w:rsid w:val="007A1D0E"/>
    <w:rsid w:val="007A2E32"/>
    <w:rsid w:val="007A3687"/>
    <w:rsid w:val="007A6E78"/>
    <w:rsid w:val="007A6F80"/>
    <w:rsid w:val="007B1149"/>
    <w:rsid w:val="007B1AF8"/>
    <w:rsid w:val="007B1FE2"/>
    <w:rsid w:val="007B298B"/>
    <w:rsid w:val="007B2E7C"/>
    <w:rsid w:val="007B366C"/>
    <w:rsid w:val="007B4FE1"/>
    <w:rsid w:val="007B5CD3"/>
    <w:rsid w:val="007B67A2"/>
    <w:rsid w:val="007B6CA0"/>
    <w:rsid w:val="007B75EF"/>
    <w:rsid w:val="007B7D80"/>
    <w:rsid w:val="007C0890"/>
    <w:rsid w:val="007C0D04"/>
    <w:rsid w:val="007C0D2A"/>
    <w:rsid w:val="007C1DBD"/>
    <w:rsid w:val="007C20C8"/>
    <w:rsid w:val="007C255C"/>
    <w:rsid w:val="007C5464"/>
    <w:rsid w:val="007C5BC8"/>
    <w:rsid w:val="007C7A56"/>
    <w:rsid w:val="007D29AB"/>
    <w:rsid w:val="007D3BBA"/>
    <w:rsid w:val="007D55C5"/>
    <w:rsid w:val="007D59C2"/>
    <w:rsid w:val="007D5EE2"/>
    <w:rsid w:val="007D6277"/>
    <w:rsid w:val="007D6788"/>
    <w:rsid w:val="007D71AF"/>
    <w:rsid w:val="007E0AB3"/>
    <w:rsid w:val="007E0B84"/>
    <w:rsid w:val="007E145C"/>
    <w:rsid w:val="007E23B0"/>
    <w:rsid w:val="007E4EFA"/>
    <w:rsid w:val="007E5640"/>
    <w:rsid w:val="007E5CEC"/>
    <w:rsid w:val="007E5DA8"/>
    <w:rsid w:val="007E5E60"/>
    <w:rsid w:val="007E5FFE"/>
    <w:rsid w:val="007E7A52"/>
    <w:rsid w:val="007F237A"/>
    <w:rsid w:val="007F33CB"/>
    <w:rsid w:val="007F47D5"/>
    <w:rsid w:val="007F59C4"/>
    <w:rsid w:val="00800957"/>
    <w:rsid w:val="00800A0D"/>
    <w:rsid w:val="00800D47"/>
    <w:rsid w:val="00801488"/>
    <w:rsid w:val="00801866"/>
    <w:rsid w:val="0080212D"/>
    <w:rsid w:val="00802C32"/>
    <w:rsid w:val="00804013"/>
    <w:rsid w:val="0080622D"/>
    <w:rsid w:val="008068F1"/>
    <w:rsid w:val="00807445"/>
    <w:rsid w:val="00807FBE"/>
    <w:rsid w:val="00811B61"/>
    <w:rsid w:val="00812122"/>
    <w:rsid w:val="00812533"/>
    <w:rsid w:val="00812637"/>
    <w:rsid w:val="00812F92"/>
    <w:rsid w:val="00813639"/>
    <w:rsid w:val="00813D1F"/>
    <w:rsid w:val="008144E9"/>
    <w:rsid w:val="008147F1"/>
    <w:rsid w:val="00817BEA"/>
    <w:rsid w:val="008207A6"/>
    <w:rsid w:val="00820862"/>
    <w:rsid w:val="00822015"/>
    <w:rsid w:val="00822CC4"/>
    <w:rsid w:val="00824E5F"/>
    <w:rsid w:val="00825D43"/>
    <w:rsid w:val="00827143"/>
    <w:rsid w:val="00827272"/>
    <w:rsid w:val="00831F5F"/>
    <w:rsid w:val="008331C3"/>
    <w:rsid w:val="00834BCE"/>
    <w:rsid w:val="00836C66"/>
    <w:rsid w:val="00841B77"/>
    <w:rsid w:val="008423FC"/>
    <w:rsid w:val="0084259E"/>
    <w:rsid w:val="008425DE"/>
    <w:rsid w:val="00845762"/>
    <w:rsid w:val="008464DD"/>
    <w:rsid w:val="00846A5F"/>
    <w:rsid w:val="00847B8F"/>
    <w:rsid w:val="00847E64"/>
    <w:rsid w:val="008507EF"/>
    <w:rsid w:val="00851B88"/>
    <w:rsid w:val="00852A0A"/>
    <w:rsid w:val="00852C0D"/>
    <w:rsid w:val="00854371"/>
    <w:rsid w:val="00855043"/>
    <w:rsid w:val="00855F4D"/>
    <w:rsid w:val="00856778"/>
    <w:rsid w:val="00857C46"/>
    <w:rsid w:val="008606E6"/>
    <w:rsid w:val="00863331"/>
    <w:rsid w:val="00865080"/>
    <w:rsid w:val="008678C2"/>
    <w:rsid w:val="00867E3A"/>
    <w:rsid w:val="00870FAF"/>
    <w:rsid w:val="008723B3"/>
    <w:rsid w:val="00872840"/>
    <w:rsid w:val="00872DCA"/>
    <w:rsid w:val="00873421"/>
    <w:rsid w:val="008746EF"/>
    <w:rsid w:val="008810B4"/>
    <w:rsid w:val="008815FA"/>
    <w:rsid w:val="00881B33"/>
    <w:rsid w:val="00882750"/>
    <w:rsid w:val="008828D8"/>
    <w:rsid w:val="00884284"/>
    <w:rsid w:val="00885454"/>
    <w:rsid w:val="00885669"/>
    <w:rsid w:val="00887C5F"/>
    <w:rsid w:val="00890752"/>
    <w:rsid w:val="00890DB4"/>
    <w:rsid w:val="0089122D"/>
    <w:rsid w:val="008915DA"/>
    <w:rsid w:val="0089183A"/>
    <w:rsid w:val="0089190F"/>
    <w:rsid w:val="00892702"/>
    <w:rsid w:val="008931B5"/>
    <w:rsid w:val="00893CB1"/>
    <w:rsid w:val="0089600A"/>
    <w:rsid w:val="008964DE"/>
    <w:rsid w:val="00896FD7"/>
    <w:rsid w:val="008A0129"/>
    <w:rsid w:val="008A04FC"/>
    <w:rsid w:val="008A0BB9"/>
    <w:rsid w:val="008A0F1D"/>
    <w:rsid w:val="008A18EB"/>
    <w:rsid w:val="008A363B"/>
    <w:rsid w:val="008A5052"/>
    <w:rsid w:val="008A5877"/>
    <w:rsid w:val="008A622F"/>
    <w:rsid w:val="008A65F2"/>
    <w:rsid w:val="008A72DF"/>
    <w:rsid w:val="008A789F"/>
    <w:rsid w:val="008B0146"/>
    <w:rsid w:val="008B04E6"/>
    <w:rsid w:val="008B2DEB"/>
    <w:rsid w:val="008B3B05"/>
    <w:rsid w:val="008B3C2A"/>
    <w:rsid w:val="008B46B7"/>
    <w:rsid w:val="008B5406"/>
    <w:rsid w:val="008B6A26"/>
    <w:rsid w:val="008B6B2A"/>
    <w:rsid w:val="008B7FF6"/>
    <w:rsid w:val="008C1C90"/>
    <w:rsid w:val="008C235A"/>
    <w:rsid w:val="008C3B7E"/>
    <w:rsid w:val="008C4404"/>
    <w:rsid w:val="008C66F1"/>
    <w:rsid w:val="008C6EA5"/>
    <w:rsid w:val="008C754C"/>
    <w:rsid w:val="008D22DC"/>
    <w:rsid w:val="008D319A"/>
    <w:rsid w:val="008D3A3B"/>
    <w:rsid w:val="008D4107"/>
    <w:rsid w:val="008D43C0"/>
    <w:rsid w:val="008D4681"/>
    <w:rsid w:val="008D519C"/>
    <w:rsid w:val="008D79AA"/>
    <w:rsid w:val="008E17EF"/>
    <w:rsid w:val="008E1B1A"/>
    <w:rsid w:val="008E2F50"/>
    <w:rsid w:val="008E396B"/>
    <w:rsid w:val="008E405B"/>
    <w:rsid w:val="008E46F0"/>
    <w:rsid w:val="008E4848"/>
    <w:rsid w:val="008E6392"/>
    <w:rsid w:val="008E7D10"/>
    <w:rsid w:val="008F0F41"/>
    <w:rsid w:val="008F0F92"/>
    <w:rsid w:val="008F137B"/>
    <w:rsid w:val="008F27CD"/>
    <w:rsid w:val="008F318F"/>
    <w:rsid w:val="008F3AB6"/>
    <w:rsid w:val="008F4830"/>
    <w:rsid w:val="008F5111"/>
    <w:rsid w:val="008F5FE1"/>
    <w:rsid w:val="008F6219"/>
    <w:rsid w:val="00901265"/>
    <w:rsid w:val="00901CE3"/>
    <w:rsid w:val="00904AC7"/>
    <w:rsid w:val="0090537E"/>
    <w:rsid w:val="009061F9"/>
    <w:rsid w:val="00906442"/>
    <w:rsid w:val="00906676"/>
    <w:rsid w:val="00906D98"/>
    <w:rsid w:val="00911BFF"/>
    <w:rsid w:val="00912184"/>
    <w:rsid w:val="00912C6D"/>
    <w:rsid w:val="009133DA"/>
    <w:rsid w:val="00913964"/>
    <w:rsid w:val="00913A3C"/>
    <w:rsid w:val="00916A7E"/>
    <w:rsid w:val="009172DE"/>
    <w:rsid w:val="00920E19"/>
    <w:rsid w:val="00921220"/>
    <w:rsid w:val="009216A5"/>
    <w:rsid w:val="00922B55"/>
    <w:rsid w:val="00923643"/>
    <w:rsid w:val="009246C3"/>
    <w:rsid w:val="009249E3"/>
    <w:rsid w:val="00925378"/>
    <w:rsid w:val="00925690"/>
    <w:rsid w:val="0092587C"/>
    <w:rsid w:val="00925B97"/>
    <w:rsid w:val="00927AAA"/>
    <w:rsid w:val="00930132"/>
    <w:rsid w:val="00930A17"/>
    <w:rsid w:val="00931986"/>
    <w:rsid w:val="00933E4F"/>
    <w:rsid w:val="00934AE3"/>
    <w:rsid w:val="009351D8"/>
    <w:rsid w:val="00936CD8"/>
    <w:rsid w:val="00937A48"/>
    <w:rsid w:val="0094032F"/>
    <w:rsid w:val="00940848"/>
    <w:rsid w:val="00941FD0"/>
    <w:rsid w:val="00943727"/>
    <w:rsid w:val="00943829"/>
    <w:rsid w:val="00943C80"/>
    <w:rsid w:val="0094499A"/>
    <w:rsid w:val="00945BBC"/>
    <w:rsid w:val="00950A84"/>
    <w:rsid w:val="00950DE2"/>
    <w:rsid w:val="00952086"/>
    <w:rsid w:val="009529A3"/>
    <w:rsid w:val="00952EA5"/>
    <w:rsid w:val="00954665"/>
    <w:rsid w:val="009554C2"/>
    <w:rsid w:val="009559EF"/>
    <w:rsid w:val="00956773"/>
    <w:rsid w:val="00957776"/>
    <w:rsid w:val="00957AF6"/>
    <w:rsid w:val="009631AE"/>
    <w:rsid w:val="009634EF"/>
    <w:rsid w:val="009649AB"/>
    <w:rsid w:val="00964D05"/>
    <w:rsid w:val="00970221"/>
    <w:rsid w:val="0097230F"/>
    <w:rsid w:val="00972EBC"/>
    <w:rsid w:val="00972ED0"/>
    <w:rsid w:val="00973D9C"/>
    <w:rsid w:val="0097526B"/>
    <w:rsid w:val="00975D11"/>
    <w:rsid w:val="00976F75"/>
    <w:rsid w:val="00977008"/>
    <w:rsid w:val="009773F0"/>
    <w:rsid w:val="00981429"/>
    <w:rsid w:val="009815E2"/>
    <w:rsid w:val="00983868"/>
    <w:rsid w:val="009904FE"/>
    <w:rsid w:val="009914AE"/>
    <w:rsid w:val="0099192C"/>
    <w:rsid w:val="00992DE1"/>
    <w:rsid w:val="00992F2C"/>
    <w:rsid w:val="009931CA"/>
    <w:rsid w:val="009958D3"/>
    <w:rsid w:val="009A0345"/>
    <w:rsid w:val="009A06BE"/>
    <w:rsid w:val="009A0C23"/>
    <w:rsid w:val="009A16BE"/>
    <w:rsid w:val="009A23E3"/>
    <w:rsid w:val="009A2B80"/>
    <w:rsid w:val="009A432F"/>
    <w:rsid w:val="009A6BE2"/>
    <w:rsid w:val="009B1DB2"/>
    <w:rsid w:val="009B27A6"/>
    <w:rsid w:val="009B3B97"/>
    <w:rsid w:val="009B3BA1"/>
    <w:rsid w:val="009B4B1D"/>
    <w:rsid w:val="009B4D94"/>
    <w:rsid w:val="009B5408"/>
    <w:rsid w:val="009B64DC"/>
    <w:rsid w:val="009B7ADF"/>
    <w:rsid w:val="009C1A75"/>
    <w:rsid w:val="009C21A9"/>
    <w:rsid w:val="009C26BB"/>
    <w:rsid w:val="009C2967"/>
    <w:rsid w:val="009C2D6B"/>
    <w:rsid w:val="009C4586"/>
    <w:rsid w:val="009C4B72"/>
    <w:rsid w:val="009C5CBA"/>
    <w:rsid w:val="009C6081"/>
    <w:rsid w:val="009C7EBA"/>
    <w:rsid w:val="009C7FBE"/>
    <w:rsid w:val="009D0085"/>
    <w:rsid w:val="009D2F6F"/>
    <w:rsid w:val="009D3C28"/>
    <w:rsid w:val="009D454B"/>
    <w:rsid w:val="009D6F4E"/>
    <w:rsid w:val="009E0304"/>
    <w:rsid w:val="009E0F2D"/>
    <w:rsid w:val="009E1F2A"/>
    <w:rsid w:val="009E248D"/>
    <w:rsid w:val="009E5B71"/>
    <w:rsid w:val="009E5BC4"/>
    <w:rsid w:val="009F03D0"/>
    <w:rsid w:val="009F0F46"/>
    <w:rsid w:val="009F1735"/>
    <w:rsid w:val="009F1F50"/>
    <w:rsid w:val="009F300E"/>
    <w:rsid w:val="009F31DD"/>
    <w:rsid w:val="009F3718"/>
    <w:rsid w:val="009F4364"/>
    <w:rsid w:val="009F50A6"/>
    <w:rsid w:val="009F520D"/>
    <w:rsid w:val="009F624A"/>
    <w:rsid w:val="009F71B2"/>
    <w:rsid w:val="009F74E8"/>
    <w:rsid w:val="00A000C2"/>
    <w:rsid w:val="00A0116B"/>
    <w:rsid w:val="00A01E40"/>
    <w:rsid w:val="00A0248E"/>
    <w:rsid w:val="00A029C5"/>
    <w:rsid w:val="00A02C17"/>
    <w:rsid w:val="00A040EB"/>
    <w:rsid w:val="00A04F64"/>
    <w:rsid w:val="00A054C0"/>
    <w:rsid w:val="00A10723"/>
    <w:rsid w:val="00A110BB"/>
    <w:rsid w:val="00A11256"/>
    <w:rsid w:val="00A1216B"/>
    <w:rsid w:val="00A13BBB"/>
    <w:rsid w:val="00A14782"/>
    <w:rsid w:val="00A14978"/>
    <w:rsid w:val="00A1531B"/>
    <w:rsid w:val="00A15E3B"/>
    <w:rsid w:val="00A1772C"/>
    <w:rsid w:val="00A17C28"/>
    <w:rsid w:val="00A205AE"/>
    <w:rsid w:val="00A20D8C"/>
    <w:rsid w:val="00A21299"/>
    <w:rsid w:val="00A2130F"/>
    <w:rsid w:val="00A217FD"/>
    <w:rsid w:val="00A226B5"/>
    <w:rsid w:val="00A2353B"/>
    <w:rsid w:val="00A24A56"/>
    <w:rsid w:val="00A25303"/>
    <w:rsid w:val="00A25B54"/>
    <w:rsid w:val="00A26061"/>
    <w:rsid w:val="00A271AD"/>
    <w:rsid w:val="00A27AFC"/>
    <w:rsid w:val="00A27EE6"/>
    <w:rsid w:val="00A31063"/>
    <w:rsid w:val="00A341D1"/>
    <w:rsid w:val="00A36200"/>
    <w:rsid w:val="00A3626C"/>
    <w:rsid w:val="00A365CC"/>
    <w:rsid w:val="00A3726E"/>
    <w:rsid w:val="00A37779"/>
    <w:rsid w:val="00A37CD4"/>
    <w:rsid w:val="00A37ECA"/>
    <w:rsid w:val="00A400C8"/>
    <w:rsid w:val="00A41B73"/>
    <w:rsid w:val="00A45A75"/>
    <w:rsid w:val="00A46082"/>
    <w:rsid w:val="00A47A09"/>
    <w:rsid w:val="00A5087D"/>
    <w:rsid w:val="00A51470"/>
    <w:rsid w:val="00A522BC"/>
    <w:rsid w:val="00A56C1D"/>
    <w:rsid w:val="00A607E8"/>
    <w:rsid w:val="00A627B0"/>
    <w:rsid w:val="00A62937"/>
    <w:rsid w:val="00A62AEA"/>
    <w:rsid w:val="00A63774"/>
    <w:rsid w:val="00A647C3"/>
    <w:rsid w:val="00A6521D"/>
    <w:rsid w:val="00A65246"/>
    <w:rsid w:val="00A65C7F"/>
    <w:rsid w:val="00A65DF6"/>
    <w:rsid w:val="00A65FC0"/>
    <w:rsid w:val="00A66434"/>
    <w:rsid w:val="00A706AA"/>
    <w:rsid w:val="00A72163"/>
    <w:rsid w:val="00A7290B"/>
    <w:rsid w:val="00A7387E"/>
    <w:rsid w:val="00A753B7"/>
    <w:rsid w:val="00A765CB"/>
    <w:rsid w:val="00A767A0"/>
    <w:rsid w:val="00A76AA8"/>
    <w:rsid w:val="00A771B4"/>
    <w:rsid w:val="00A81DEB"/>
    <w:rsid w:val="00A826C1"/>
    <w:rsid w:val="00A8286E"/>
    <w:rsid w:val="00A83A95"/>
    <w:rsid w:val="00A8403A"/>
    <w:rsid w:val="00A862FA"/>
    <w:rsid w:val="00A870C4"/>
    <w:rsid w:val="00A8762E"/>
    <w:rsid w:val="00A87756"/>
    <w:rsid w:val="00A9003C"/>
    <w:rsid w:val="00A909BE"/>
    <w:rsid w:val="00A90D6E"/>
    <w:rsid w:val="00A91E22"/>
    <w:rsid w:val="00A92FBE"/>
    <w:rsid w:val="00A935AC"/>
    <w:rsid w:val="00A94A91"/>
    <w:rsid w:val="00A956D8"/>
    <w:rsid w:val="00A965F9"/>
    <w:rsid w:val="00A9696F"/>
    <w:rsid w:val="00AA140D"/>
    <w:rsid w:val="00AA3823"/>
    <w:rsid w:val="00AA5AA5"/>
    <w:rsid w:val="00AA7C0F"/>
    <w:rsid w:val="00AA7F1F"/>
    <w:rsid w:val="00AB10DB"/>
    <w:rsid w:val="00AB1D22"/>
    <w:rsid w:val="00AB3412"/>
    <w:rsid w:val="00AB351B"/>
    <w:rsid w:val="00AB44ED"/>
    <w:rsid w:val="00AB6457"/>
    <w:rsid w:val="00AC1596"/>
    <w:rsid w:val="00AC27C4"/>
    <w:rsid w:val="00AC2824"/>
    <w:rsid w:val="00AC2C98"/>
    <w:rsid w:val="00AC4A4A"/>
    <w:rsid w:val="00AC7184"/>
    <w:rsid w:val="00AD15BF"/>
    <w:rsid w:val="00AD1B38"/>
    <w:rsid w:val="00AD3C49"/>
    <w:rsid w:val="00AD4541"/>
    <w:rsid w:val="00AD4C88"/>
    <w:rsid w:val="00AD5109"/>
    <w:rsid w:val="00AD5584"/>
    <w:rsid w:val="00AD5F44"/>
    <w:rsid w:val="00AD629C"/>
    <w:rsid w:val="00AD79E7"/>
    <w:rsid w:val="00AE06CE"/>
    <w:rsid w:val="00AE09CA"/>
    <w:rsid w:val="00AE0C3C"/>
    <w:rsid w:val="00AE130D"/>
    <w:rsid w:val="00AE1A21"/>
    <w:rsid w:val="00AE27F2"/>
    <w:rsid w:val="00AE2828"/>
    <w:rsid w:val="00AE39DA"/>
    <w:rsid w:val="00AE4F77"/>
    <w:rsid w:val="00AE686F"/>
    <w:rsid w:val="00AE7753"/>
    <w:rsid w:val="00AF015C"/>
    <w:rsid w:val="00AF052F"/>
    <w:rsid w:val="00AF2924"/>
    <w:rsid w:val="00AF2F11"/>
    <w:rsid w:val="00AF340B"/>
    <w:rsid w:val="00AF3BF0"/>
    <w:rsid w:val="00AF44DE"/>
    <w:rsid w:val="00AF6A82"/>
    <w:rsid w:val="00AF716F"/>
    <w:rsid w:val="00B0115E"/>
    <w:rsid w:val="00B025E8"/>
    <w:rsid w:val="00B034AE"/>
    <w:rsid w:val="00B039A0"/>
    <w:rsid w:val="00B03E6F"/>
    <w:rsid w:val="00B048B6"/>
    <w:rsid w:val="00B048BA"/>
    <w:rsid w:val="00B04D8A"/>
    <w:rsid w:val="00B04EF8"/>
    <w:rsid w:val="00B052A3"/>
    <w:rsid w:val="00B05770"/>
    <w:rsid w:val="00B05FFA"/>
    <w:rsid w:val="00B06120"/>
    <w:rsid w:val="00B11DD6"/>
    <w:rsid w:val="00B1293B"/>
    <w:rsid w:val="00B12BB1"/>
    <w:rsid w:val="00B13CDF"/>
    <w:rsid w:val="00B16238"/>
    <w:rsid w:val="00B165C1"/>
    <w:rsid w:val="00B23BD4"/>
    <w:rsid w:val="00B24592"/>
    <w:rsid w:val="00B24C85"/>
    <w:rsid w:val="00B26703"/>
    <w:rsid w:val="00B26762"/>
    <w:rsid w:val="00B27E1A"/>
    <w:rsid w:val="00B30542"/>
    <w:rsid w:val="00B30A9D"/>
    <w:rsid w:val="00B30AED"/>
    <w:rsid w:val="00B31DBE"/>
    <w:rsid w:val="00B320FD"/>
    <w:rsid w:val="00B32A54"/>
    <w:rsid w:val="00B33129"/>
    <w:rsid w:val="00B34ABC"/>
    <w:rsid w:val="00B36CF1"/>
    <w:rsid w:val="00B377E7"/>
    <w:rsid w:val="00B41256"/>
    <w:rsid w:val="00B41491"/>
    <w:rsid w:val="00B419FA"/>
    <w:rsid w:val="00B435F8"/>
    <w:rsid w:val="00B43CD1"/>
    <w:rsid w:val="00B46212"/>
    <w:rsid w:val="00B504EC"/>
    <w:rsid w:val="00B50B4E"/>
    <w:rsid w:val="00B51993"/>
    <w:rsid w:val="00B5247B"/>
    <w:rsid w:val="00B5399C"/>
    <w:rsid w:val="00B53CB0"/>
    <w:rsid w:val="00B5587F"/>
    <w:rsid w:val="00B60429"/>
    <w:rsid w:val="00B6112A"/>
    <w:rsid w:val="00B61C1B"/>
    <w:rsid w:val="00B645CC"/>
    <w:rsid w:val="00B650EF"/>
    <w:rsid w:val="00B65A5A"/>
    <w:rsid w:val="00B67BE6"/>
    <w:rsid w:val="00B720F7"/>
    <w:rsid w:val="00B73CA0"/>
    <w:rsid w:val="00B7401B"/>
    <w:rsid w:val="00B7554F"/>
    <w:rsid w:val="00B75A2B"/>
    <w:rsid w:val="00B75ADC"/>
    <w:rsid w:val="00B764DE"/>
    <w:rsid w:val="00B7671D"/>
    <w:rsid w:val="00B77B89"/>
    <w:rsid w:val="00B80209"/>
    <w:rsid w:val="00B81A8F"/>
    <w:rsid w:val="00B828FB"/>
    <w:rsid w:val="00B8388F"/>
    <w:rsid w:val="00B85598"/>
    <w:rsid w:val="00B855AF"/>
    <w:rsid w:val="00B8585E"/>
    <w:rsid w:val="00B907CA"/>
    <w:rsid w:val="00B90EBC"/>
    <w:rsid w:val="00B930F6"/>
    <w:rsid w:val="00B938B2"/>
    <w:rsid w:val="00B9405D"/>
    <w:rsid w:val="00B94A8A"/>
    <w:rsid w:val="00B94E9B"/>
    <w:rsid w:val="00B95C13"/>
    <w:rsid w:val="00B9699B"/>
    <w:rsid w:val="00B97798"/>
    <w:rsid w:val="00BA21F0"/>
    <w:rsid w:val="00BA28CD"/>
    <w:rsid w:val="00BA367A"/>
    <w:rsid w:val="00BA36DD"/>
    <w:rsid w:val="00BA473A"/>
    <w:rsid w:val="00BA5A10"/>
    <w:rsid w:val="00BA7884"/>
    <w:rsid w:val="00BB01D5"/>
    <w:rsid w:val="00BB02C6"/>
    <w:rsid w:val="00BB02D2"/>
    <w:rsid w:val="00BB07D7"/>
    <w:rsid w:val="00BB22C6"/>
    <w:rsid w:val="00BB44E2"/>
    <w:rsid w:val="00BB5951"/>
    <w:rsid w:val="00BB5B70"/>
    <w:rsid w:val="00BB600B"/>
    <w:rsid w:val="00BB6B8C"/>
    <w:rsid w:val="00BC0ACF"/>
    <w:rsid w:val="00BC13B9"/>
    <w:rsid w:val="00BC35A4"/>
    <w:rsid w:val="00BC46BB"/>
    <w:rsid w:val="00BC5356"/>
    <w:rsid w:val="00BC5E18"/>
    <w:rsid w:val="00BC6BEB"/>
    <w:rsid w:val="00BC6E08"/>
    <w:rsid w:val="00BC7E10"/>
    <w:rsid w:val="00BD1400"/>
    <w:rsid w:val="00BD1B80"/>
    <w:rsid w:val="00BD26DF"/>
    <w:rsid w:val="00BD28C9"/>
    <w:rsid w:val="00BD2939"/>
    <w:rsid w:val="00BD2EB2"/>
    <w:rsid w:val="00BD3C81"/>
    <w:rsid w:val="00BD3EF1"/>
    <w:rsid w:val="00BD438A"/>
    <w:rsid w:val="00BD5002"/>
    <w:rsid w:val="00BE3074"/>
    <w:rsid w:val="00BE4DCD"/>
    <w:rsid w:val="00BE54B3"/>
    <w:rsid w:val="00BE59E4"/>
    <w:rsid w:val="00BE6098"/>
    <w:rsid w:val="00BE691E"/>
    <w:rsid w:val="00BE7466"/>
    <w:rsid w:val="00BE789D"/>
    <w:rsid w:val="00BF0E90"/>
    <w:rsid w:val="00BF4798"/>
    <w:rsid w:val="00BF4FB1"/>
    <w:rsid w:val="00BF5711"/>
    <w:rsid w:val="00BF5940"/>
    <w:rsid w:val="00BF5B56"/>
    <w:rsid w:val="00BF6AA7"/>
    <w:rsid w:val="00BF6C2B"/>
    <w:rsid w:val="00C004C7"/>
    <w:rsid w:val="00C00884"/>
    <w:rsid w:val="00C00AAD"/>
    <w:rsid w:val="00C00E2A"/>
    <w:rsid w:val="00C032E2"/>
    <w:rsid w:val="00C04C33"/>
    <w:rsid w:val="00C05C6B"/>
    <w:rsid w:val="00C05CEE"/>
    <w:rsid w:val="00C067E3"/>
    <w:rsid w:val="00C10BB6"/>
    <w:rsid w:val="00C115DC"/>
    <w:rsid w:val="00C11B28"/>
    <w:rsid w:val="00C11E7C"/>
    <w:rsid w:val="00C139DF"/>
    <w:rsid w:val="00C14E64"/>
    <w:rsid w:val="00C1627A"/>
    <w:rsid w:val="00C176C7"/>
    <w:rsid w:val="00C179EE"/>
    <w:rsid w:val="00C17A4F"/>
    <w:rsid w:val="00C2123B"/>
    <w:rsid w:val="00C21E0E"/>
    <w:rsid w:val="00C2270B"/>
    <w:rsid w:val="00C22BDF"/>
    <w:rsid w:val="00C24A06"/>
    <w:rsid w:val="00C25FCF"/>
    <w:rsid w:val="00C2694C"/>
    <w:rsid w:val="00C321DB"/>
    <w:rsid w:val="00C33D94"/>
    <w:rsid w:val="00C33FA2"/>
    <w:rsid w:val="00C36111"/>
    <w:rsid w:val="00C3629A"/>
    <w:rsid w:val="00C3698A"/>
    <w:rsid w:val="00C37DA2"/>
    <w:rsid w:val="00C41FBD"/>
    <w:rsid w:val="00C42398"/>
    <w:rsid w:val="00C42A78"/>
    <w:rsid w:val="00C42BF5"/>
    <w:rsid w:val="00C4319E"/>
    <w:rsid w:val="00C43AD2"/>
    <w:rsid w:val="00C44584"/>
    <w:rsid w:val="00C4495D"/>
    <w:rsid w:val="00C45346"/>
    <w:rsid w:val="00C456FC"/>
    <w:rsid w:val="00C46557"/>
    <w:rsid w:val="00C46A8F"/>
    <w:rsid w:val="00C474CC"/>
    <w:rsid w:val="00C50175"/>
    <w:rsid w:val="00C516D4"/>
    <w:rsid w:val="00C54C12"/>
    <w:rsid w:val="00C55022"/>
    <w:rsid w:val="00C57751"/>
    <w:rsid w:val="00C60855"/>
    <w:rsid w:val="00C630FF"/>
    <w:rsid w:val="00C65C97"/>
    <w:rsid w:val="00C66D12"/>
    <w:rsid w:val="00C7098A"/>
    <w:rsid w:val="00C7171B"/>
    <w:rsid w:val="00C72985"/>
    <w:rsid w:val="00C73945"/>
    <w:rsid w:val="00C75413"/>
    <w:rsid w:val="00C775CE"/>
    <w:rsid w:val="00C80515"/>
    <w:rsid w:val="00C80922"/>
    <w:rsid w:val="00C80DC4"/>
    <w:rsid w:val="00C811B1"/>
    <w:rsid w:val="00C83179"/>
    <w:rsid w:val="00C83E51"/>
    <w:rsid w:val="00C844A5"/>
    <w:rsid w:val="00C8771A"/>
    <w:rsid w:val="00C8772A"/>
    <w:rsid w:val="00C87BB0"/>
    <w:rsid w:val="00C87E25"/>
    <w:rsid w:val="00C90316"/>
    <w:rsid w:val="00C96086"/>
    <w:rsid w:val="00C97563"/>
    <w:rsid w:val="00CA0857"/>
    <w:rsid w:val="00CA13A7"/>
    <w:rsid w:val="00CA41DB"/>
    <w:rsid w:val="00CA5F13"/>
    <w:rsid w:val="00CA62D2"/>
    <w:rsid w:val="00CA6C2F"/>
    <w:rsid w:val="00CA7D7F"/>
    <w:rsid w:val="00CB0144"/>
    <w:rsid w:val="00CB14AE"/>
    <w:rsid w:val="00CB14D9"/>
    <w:rsid w:val="00CB2BDD"/>
    <w:rsid w:val="00CB583B"/>
    <w:rsid w:val="00CB6BAA"/>
    <w:rsid w:val="00CB7DB4"/>
    <w:rsid w:val="00CC3480"/>
    <w:rsid w:val="00CC499F"/>
    <w:rsid w:val="00CC4CB6"/>
    <w:rsid w:val="00CC7478"/>
    <w:rsid w:val="00CC78F8"/>
    <w:rsid w:val="00CC7C80"/>
    <w:rsid w:val="00CD0FF2"/>
    <w:rsid w:val="00CD1B93"/>
    <w:rsid w:val="00CD4728"/>
    <w:rsid w:val="00CD4A40"/>
    <w:rsid w:val="00CD4E89"/>
    <w:rsid w:val="00CD5C57"/>
    <w:rsid w:val="00CD723F"/>
    <w:rsid w:val="00CD7CD4"/>
    <w:rsid w:val="00CE0A0D"/>
    <w:rsid w:val="00CE0F87"/>
    <w:rsid w:val="00CE2B4E"/>
    <w:rsid w:val="00CE2F0E"/>
    <w:rsid w:val="00CE41F7"/>
    <w:rsid w:val="00CE461C"/>
    <w:rsid w:val="00CE47E7"/>
    <w:rsid w:val="00CE60C3"/>
    <w:rsid w:val="00CE61C7"/>
    <w:rsid w:val="00CE68F5"/>
    <w:rsid w:val="00CE6DA0"/>
    <w:rsid w:val="00CF01B7"/>
    <w:rsid w:val="00CF0F48"/>
    <w:rsid w:val="00CF20DB"/>
    <w:rsid w:val="00CF3DBB"/>
    <w:rsid w:val="00CF3E99"/>
    <w:rsid w:val="00CF5621"/>
    <w:rsid w:val="00CF5CA1"/>
    <w:rsid w:val="00CF74D1"/>
    <w:rsid w:val="00CF7AB6"/>
    <w:rsid w:val="00CF7E41"/>
    <w:rsid w:val="00D000A2"/>
    <w:rsid w:val="00D0023D"/>
    <w:rsid w:val="00D0256F"/>
    <w:rsid w:val="00D030AA"/>
    <w:rsid w:val="00D04074"/>
    <w:rsid w:val="00D04638"/>
    <w:rsid w:val="00D0491D"/>
    <w:rsid w:val="00D04A17"/>
    <w:rsid w:val="00D0520B"/>
    <w:rsid w:val="00D0580A"/>
    <w:rsid w:val="00D058BF"/>
    <w:rsid w:val="00D06494"/>
    <w:rsid w:val="00D07248"/>
    <w:rsid w:val="00D077C1"/>
    <w:rsid w:val="00D07B84"/>
    <w:rsid w:val="00D07EEB"/>
    <w:rsid w:val="00D10FDE"/>
    <w:rsid w:val="00D11156"/>
    <w:rsid w:val="00D116BC"/>
    <w:rsid w:val="00D11BA4"/>
    <w:rsid w:val="00D11BFB"/>
    <w:rsid w:val="00D11EA4"/>
    <w:rsid w:val="00D1306C"/>
    <w:rsid w:val="00D137E5"/>
    <w:rsid w:val="00D14256"/>
    <w:rsid w:val="00D146D4"/>
    <w:rsid w:val="00D15422"/>
    <w:rsid w:val="00D1618D"/>
    <w:rsid w:val="00D16ECF"/>
    <w:rsid w:val="00D20C54"/>
    <w:rsid w:val="00D2148B"/>
    <w:rsid w:val="00D229D4"/>
    <w:rsid w:val="00D26E3A"/>
    <w:rsid w:val="00D26F95"/>
    <w:rsid w:val="00D30E31"/>
    <w:rsid w:val="00D312E6"/>
    <w:rsid w:val="00D3130A"/>
    <w:rsid w:val="00D314A2"/>
    <w:rsid w:val="00D31D58"/>
    <w:rsid w:val="00D339BA"/>
    <w:rsid w:val="00D34890"/>
    <w:rsid w:val="00D353F2"/>
    <w:rsid w:val="00D35DEB"/>
    <w:rsid w:val="00D363FD"/>
    <w:rsid w:val="00D4008B"/>
    <w:rsid w:val="00D4016B"/>
    <w:rsid w:val="00D4090D"/>
    <w:rsid w:val="00D40A9C"/>
    <w:rsid w:val="00D40E58"/>
    <w:rsid w:val="00D41514"/>
    <w:rsid w:val="00D41E4B"/>
    <w:rsid w:val="00D428A1"/>
    <w:rsid w:val="00D42AEC"/>
    <w:rsid w:val="00D42F00"/>
    <w:rsid w:val="00D4606F"/>
    <w:rsid w:val="00D46A0E"/>
    <w:rsid w:val="00D46B1F"/>
    <w:rsid w:val="00D47050"/>
    <w:rsid w:val="00D4753F"/>
    <w:rsid w:val="00D5008C"/>
    <w:rsid w:val="00D50A2F"/>
    <w:rsid w:val="00D50FCD"/>
    <w:rsid w:val="00D51916"/>
    <w:rsid w:val="00D523E5"/>
    <w:rsid w:val="00D52D39"/>
    <w:rsid w:val="00D52E34"/>
    <w:rsid w:val="00D52E77"/>
    <w:rsid w:val="00D52F47"/>
    <w:rsid w:val="00D54AD8"/>
    <w:rsid w:val="00D55079"/>
    <w:rsid w:val="00D57431"/>
    <w:rsid w:val="00D57D47"/>
    <w:rsid w:val="00D61C5A"/>
    <w:rsid w:val="00D63EBC"/>
    <w:rsid w:val="00D6466A"/>
    <w:rsid w:val="00D64817"/>
    <w:rsid w:val="00D64F20"/>
    <w:rsid w:val="00D667E5"/>
    <w:rsid w:val="00D7060F"/>
    <w:rsid w:val="00D7118C"/>
    <w:rsid w:val="00D72480"/>
    <w:rsid w:val="00D74D09"/>
    <w:rsid w:val="00D76619"/>
    <w:rsid w:val="00D8019C"/>
    <w:rsid w:val="00D80BDB"/>
    <w:rsid w:val="00D817D9"/>
    <w:rsid w:val="00D82A56"/>
    <w:rsid w:val="00D84CAA"/>
    <w:rsid w:val="00D85CF7"/>
    <w:rsid w:val="00D8607E"/>
    <w:rsid w:val="00D86EFA"/>
    <w:rsid w:val="00D917BF"/>
    <w:rsid w:val="00D946FD"/>
    <w:rsid w:val="00D9539B"/>
    <w:rsid w:val="00D9688C"/>
    <w:rsid w:val="00D96DF5"/>
    <w:rsid w:val="00D9770A"/>
    <w:rsid w:val="00DA00E5"/>
    <w:rsid w:val="00DA0C77"/>
    <w:rsid w:val="00DA2AAD"/>
    <w:rsid w:val="00DA48B7"/>
    <w:rsid w:val="00DB0279"/>
    <w:rsid w:val="00DB0D6F"/>
    <w:rsid w:val="00DB11A6"/>
    <w:rsid w:val="00DB1B1D"/>
    <w:rsid w:val="00DB2586"/>
    <w:rsid w:val="00DB2CBA"/>
    <w:rsid w:val="00DB2FDA"/>
    <w:rsid w:val="00DB3544"/>
    <w:rsid w:val="00DB3F69"/>
    <w:rsid w:val="00DB4D97"/>
    <w:rsid w:val="00DB5104"/>
    <w:rsid w:val="00DB58AD"/>
    <w:rsid w:val="00DB65F4"/>
    <w:rsid w:val="00DB7430"/>
    <w:rsid w:val="00DC0B44"/>
    <w:rsid w:val="00DC0BB9"/>
    <w:rsid w:val="00DC1C06"/>
    <w:rsid w:val="00DC2CB8"/>
    <w:rsid w:val="00DC30DD"/>
    <w:rsid w:val="00DC3990"/>
    <w:rsid w:val="00DC406F"/>
    <w:rsid w:val="00DC4227"/>
    <w:rsid w:val="00DC427C"/>
    <w:rsid w:val="00DC5D03"/>
    <w:rsid w:val="00DC6502"/>
    <w:rsid w:val="00DC664D"/>
    <w:rsid w:val="00DC6F45"/>
    <w:rsid w:val="00DC7542"/>
    <w:rsid w:val="00DD0468"/>
    <w:rsid w:val="00DD3C1E"/>
    <w:rsid w:val="00DD596D"/>
    <w:rsid w:val="00DE2198"/>
    <w:rsid w:val="00DE314A"/>
    <w:rsid w:val="00DE4E75"/>
    <w:rsid w:val="00DE6245"/>
    <w:rsid w:val="00DE628B"/>
    <w:rsid w:val="00DE773F"/>
    <w:rsid w:val="00DE7C82"/>
    <w:rsid w:val="00DF0D4D"/>
    <w:rsid w:val="00DF1A0D"/>
    <w:rsid w:val="00DF2C35"/>
    <w:rsid w:val="00DF33E6"/>
    <w:rsid w:val="00DF6AE8"/>
    <w:rsid w:val="00DF6C9A"/>
    <w:rsid w:val="00DF72C1"/>
    <w:rsid w:val="00E008B4"/>
    <w:rsid w:val="00E01A4D"/>
    <w:rsid w:val="00E044CE"/>
    <w:rsid w:val="00E05784"/>
    <w:rsid w:val="00E0705C"/>
    <w:rsid w:val="00E10D2B"/>
    <w:rsid w:val="00E11793"/>
    <w:rsid w:val="00E13581"/>
    <w:rsid w:val="00E13EE4"/>
    <w:rsid w:val="00E151E1"/>
    <w:rsid w:val="00E15976"/>
    <w:rsid w:val="00E166F5"/>
    <w:rsid w:val="00E16F5B"/>
    <w:rsid w:val="00E17C38"/>
    <w:rsid w:val="00E17EBE"/>
    <w:rsid w:val="00E204A3"/>
    <w:rsid w:val="00E20BA1"/>
    <w:rsid w:val="00E23EF9"/>
    <w:rsid w:val="00E24ABB"/>
    <w:rsid w:val="00E24CCA"/>
    <w:rsid w:val="00E24E5F"/>
    <w:rsid w:val="00E26588"/>
    <w:rsid w:val="00E2673D"/>
    <w:rsid w:val="00E27807"/>
    <w:rsid w:val="00E30830"/>
    <w:rsid w:val="00E31A5C"/>
    <w:rsid w:val="00E31E26"/>
    <w:rsid w:val="00E333FF"/>
    <w:rsid w:val="00E33421"/>
    <w:rsid w:val="00E339D0"/>
    <w:rsid w:val="00E34F64"/>
    <w:rsid w:val="00E35820"/>
    <w:rsid w:val="00E3789C"/>
    <w:rsid w:val="00E42E3B"/>
    <w:rsid w:val="00E43047"/>
    <w:rsid w:val="00E4346D"/>
    <w:rsid w:val="00E43829"/>
    <w:rsid w:val="00E449EB"/>
    <w:rsid w:val="00E45440"/>
    <w:rsid w:val="00E46B88"/>
    <w:rsid w:val="00E46E60"/>
    <w:rsid w:val="00E4747E"/>
    <w:rsid w:val="00E4756F"/>
    <w:rsid w:val="00E51ABA"/>
    <w:rsid w:val="00E51DD2"/>
    <w:rsid w:val="00E52796"/>
    <w:rsid w:val="00E53E92"/>
    <w:rsid w:val="00E56230"/>
    <w:rsid w:val="00E5733A"/>
    <w:rsid w:val="00E57EC0"/>
    <w:rsid w:val="00E62A90"/>
    <w:rsid w:val="00E62D71"/>
    <w:rsid w:val="00E6350E"/>
    <w:rsid w:val="00E64EB2"/>
    <w:rsid w:val="00E64F2B"/>
    <w:rsid w:val="00E718F6"/>
    <w:rsid w:val="00E73547"/>
    <w:rsid w:val="00E74419"/>
    <w:rsid w:val="00E75ED9"/>
    <w:rsid w:val="00E76FD6"/>
    <w:rsid w:val="00E80ABC"/>
    <w:rsid w:val="00E82D3D"/>
    <w:rsid w:val="00E83021"/>
    <w:rsid w:val="00E83F3C"/>
    <w:rsid w:val="00E862DB"/>
    <w:rsid w:val="00E90189"/>
    <w:rsid w:val="00E90F73"/>
    <w:rsid w:val="00E90FC1"/>
    <w:rsid w:val="00E93B86"/>
    <w:rsid w:val="00E95967"/>
    <w:rsid w:val="00E97B57"/>
    <w:rsid w:val="00EA0A43"/>
    <w:rsid w:val="00EA0EF2"/>
    <w:rsid w:val="00EA1AA9"/>
    <w:rsid w:val="00EA2D08"/>
    <w:rsid w:val="00EA2F9D"/>
    <w:rsid w:val="00EA32ED"/>
    <w:rsid w:val="00EA344E"/>
    <w:rsid w:val="00EA480E"/>
    <w:rsid w:val="00EA631C"/>
    <w:rsid w:val="00EB1029"/>
    <w:rsid w:val="00EB1733"/>
    <w:rsid w:val="00EB3806"/>
    <w:rsid w:val="00EB38E4"/>
    <w:rsid w:val="00EB3A18"/>
    <w:rsid w:val="00EB4663"/>
    <w:rsid w:val="00EB4D56"/>
    <w:rsid w:val="00EB5293"/>
    <w:rsid w:val="00EB5335"/>
    <w:rsid w:val="00EB6286"/>
    <w:rsid w:val="00EB6DC5"/>
    <w:rsid w:val="00EC1D36"/>
    <w:rsid w:val="00EC29FE"/>
    <w:rsid w:val="00EC30A8"/>
    <w:rsid w:val="00EC52AD"/>
    <w:rsid w:val="00EC5F0F"/>
    <w:rsid w:val="00EC5F27"/>
    <w:rsid w:val="00EC7353"/>
    <w:rsid w:val="00EC7F16"/>
    <w:rsid w:val="00ED1D21"/>
    <w:rsid w:val="00ED28A5"/>
    <w:rsid w:val="00ED4ED6"/>
    <w:rsid w:val="00ED5AF6"/>
    <w:rsid w:val="00ED674B"/>
    <w:rsid w:val="00ED7DD6"/>
    <w:rsid w:val="00EE04BA"/>
    <w:rsid w:val="00EE0ED6"/>
    <w:rsid w:val="00EE0F6C"/>
    <w:rsid w:val="00EE17D7"/>
    <w:rsid w:val="00EE19CD"/>
    <w:rsid w:val="00EE1A9E"/>
    <w:rsid w:val="00EE25F2"/>
    <w:rsid w:val="00EE35AC"/>
    <w:rsid w:val="00EE42F1"/>
    <w:rsid w:val="00EE7657"/>
    <w:rsid w:val="00EE7C64"/>
    <w:rsid w:val="00EF29F3"/>
    <w:rsid w:val="00EF354E"/>
    <w:rsid w:val="00EF370C"/>
    <w:rsid w:val="00EF4739"/>
    <w:rsid w:val="00EF47A4"/>
    <w:rsid w:val="00EF51E9"/>
    <w:rsid w:val="00EF5330"/>
    <w:rsid w:val="00EF54C7"/>
    <w:rsid w:val="00EF5E63"/>
    <w:rsid w:val="00EF6EB7"/>
    <w:rsid w:val="00EF7E75"/>
    <w:rsid w:val="00EF7EF9"/>
    <w:rsid w:val="00F00C9E"/>
    <w:rsid w:val="00F02247"/>
    <w:rsid w:val="00F042D9"/>
    <w:rsid w:val="00F05098"/>
    <w:rsid w:val="00F057B5"/>
    <w:rsid w:val="00F063BA"/>
    <w:rsid w:val="00F06C7F"/>
    <w:rsid w:val="00F1023B"/>
    <w:rsid w:val="00F1069A"/>
    <w:rsid w:val="00F1259F"/>
    <w:rsid w:val="00F13DD3"/>
    <w:rsid w:val="00F15683"/>
    <w:rsid w:val="00F159D0"/>
    <w:rsid w:val="00F17AA8"/>
    <w:rsid w:val="00F209F0"/>
    <w:rsid w:val="00F21ABD"/>
    <w:rsid w:val="00F21F6A"/>
    <w:rsid w:val="00F23172"/>
    <w:rsid w:val="00F23198"/>
    <w:rsid w:val="00F240E2"/>
    <w:rsid w:val="00F24198"/>
    <w:rsid w:val="00F26B2D"/>
    <w:rsid w:val="00F26BEC"/>
    <w:rsid w:val="00F26D58"/>
    <w:rsid w:val="00F3138A"/>
    <w:rsid w:val="00F31839"/>
    <w:rsid w:val="00F31D76"/>
    <w:rsid w:val="00F32A5D"/>
    <w:rsid w:val="00F348AF"/>
    <w:rsid w:val="00F35FF0"/>
    <w:rsid w:val="00F360D2"/>
    <w:rsid w:val="00F37201"/>
    <w:rsid w:val="00F37344"/>
    <w:rsid w:val="00F37799"/>
    <w:rsid w:val="00F4692B"/>
    <w:rsid w:val="00F46F29"/>
    <w:rsid w:val="00F47C55"/>
    <w:rsid w:val="00F50FB0"/>
    <w:rsid w:val="00F51E58"/>
    <w:rsid w:val="00F56B35"/>
    <w:rsid w:val="00F571C6"/>
    <w:rsid w:val="00F62C58"/>
    <w:rsid w:val="00F63461"/>
    <w:rsid w:val="00F63D10"/>
    <w:rsid w:val="00F646A4"/>
    <w:rsid w:val="00F66D46"/>
    <w:rsid w:val="00F6758B"/>
    <w:rsid w:val="00F7266D"/>
    <w:rsid w:val="00F73207"/>
    <w:rsid w:val="00F74059"/>
    <w:rsid w:val="00F74806"/>
    <w:rsid w:val="00F74896"/>
    <w:rsid w:val="00F74EF0"/>
    <w:rsid w:val="00F770A4"/>
    <w:rsid w:val="00F774D4"/>
    <w:rsid w:val="00F7772A"/>
    <w:rsid w:val="00F77F3F"/>
    <w:rsid w:val="00F77FE9"/>
    <w:rsid w:val="00F81C55"/>
    <w:rsid w:val="00F82152"/>
    <w:rsid w:val="00F82573"/>
    <w:rsid w:val="00F85779"/>
    <w:rsid w:val="00F85D93"/>
    <w:rsid w:val="00F8710B"/>
    <w:rsid w:val="00F8714C"/>
    <w:rsid w:val="00F873EC"/>
    <w:rsid w:val="00F87780"/>
    <w:rsid w:val="00F87C0E"/>
    <w:rsid w:val="00F916B6"/>
    <w:rsid w:val="00F94130"/>
    <w:rsid w:val="00F9424C"/>
    <w:rsid w:val="00F96CC7"/>
    <w:rsid w:val="00FA05D4"/>
    <w:rsid w:val="00FA2454"/>
    <w:rsid w:val="00FA5B1B"/>
    <w:rsid w:val="00FA65E8"/>
    <w:rsid w:val="00FB0187"/>
    <w:rsid w:val="00FB2155"/>
    <w:rsid w:val="00FB32C5"/>
    <w:rsid w:val="00FB5542"/>
    <w:rsid w:val="00FB6099"/>
    <w:rsid w:val="00FB6C4A"/>
    <w:rsid w:val="00FB6FD0"/>
    <w:rsid w:val="00FB72ED"/>
    <w:rsid w:val="00FC031C"/>
    <w:rsid w:val="00FC3298"/>
    <w:rsid w:val="00FC3798"/>
    <w:rsid w:val="00FC427A"/>
    <w:rsid w:val="00FC432D"/>
    <w:rsid w:val="00FC45E8"/>
    <w:rsid w:val="00FC69A6"/>
    <w:rsid w:val="00FC6E17"/>
    <w:rsid w:val="00FD0F21"/>
    <w:rsid w:val="00FD2720"/>
    <w:rsid w:val="00FD4F46"/>
    <w:rsid w:val="00FD63BD"/>
    <w:rsid w:val="00FD750B"/>
    <w:rsid w:val="00FE15DC"/>
    <w:rsid w:val="00FE1BF8"/>
    <w:rsid w:val="00FE374B"/>
    <w:rsid w:val="00FE3C6D"/>
    <w:rsid w:val="00FE3F5D"/>
    <w:rsid w:val="00FE483C"/>
    <w:rsid w:val="00FE56DB"/>
    <w:rsid w:val="00FE7975"/>
    <w:rsid w:val="00FF0EA5"/>
    <w:rsid w:val="00FF123D"/>
    <w:rsid w:val="00FF1517"/>
    <w:rsid w:val="00FF1563"/>
    <w:rsid w:val="00FF25B3"/>
    <w:rsid w:val="00FF4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18B050D"/>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AF29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F29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4A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801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016E"/>
    <w:rPr>
      <w:lang w:eastAsia="en-US"/>
    </w:rPr>
  </w:style>
  <w:style w:type="character" w:styleId="Refdenotaalpie">
    <w:name w:val="footnote reference"/>
    <w:basedOn w:val="Fuentedeprrafopredeter"/>
    <w:uiPriority w:val="99"/>
    <w:semiHidden/>
    <w:unhideWhenUsed/>
    <w:rsid w:val="0078016E"/>
    <w:rPr>
      <w:vertAlign w:val="superscript"/>
    </w:rPr>
  </w:style>
  <w:style w:type="character" w:styleId="Hipervnculo">
    <w:name w:val="Hyperlink"/>
    <w:basedOn w:val="Fuentedeprrafopredeter"/>
    <w:uiPriority w:val="99"/>
    <w:unhideWhenUsed/>
    <w:rsid w:val="0078016E"/>
    <w:rPr>
      <w:color w:val="0000FF" w:themeColor="hyperlink"/>
      <w:u w:val="single"/>
    </w:rPr>
  </w:style>
  <w:style w:type="character" w:styleId="Hipervnculovisitado">
    <w:name w:val="FollowedHyperlink"/>
    <w:basedOn w:val="Fuentedeprrafopredeter"/>
    <w:uiPriority w:val="99"/>
    <w:semiHidden/>
    <w:unhideWhenUsed/>
    <w:rsid w:val="0078016E"/>
    <w:rPr>
      <w:color w:val="800080" w:themeColor="followedHyperlink"/>
      <w:u w:val="single"/>
    </w:rPr>
  </w:style>
  <w:style w:type="table" w:styleId="Cuadrculadetablaclara">
    <w:name w:val="Grid Table Light"/>
    <w:basedOn w:val="Tablanormal"/>
    <w:uiPriority w:val="99"/>
    <w:rsid w:val="00464AE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basedOn w:val="Fuentedeprrafopredeter"/>
    <w:link w:val="Prrafodelista"/>
    <w:uiPriority w:val="34"/>
    <w:locked/>
    <w:rsid w:val="00792801"/>
    <w:rPr>
      <w:rFonts w:ascii="Arial" w:eastAsia="Times New Roman" w:hAnsi="Arial"/>
      <w:sz w:val="24"/>
      <w:lang w:val="es-ES" w:eastAsia="es-ES"/>
    </w:rPr>
  </w:style>
  <w:style w:type="character" w:customStyle="1" w:styleId="Ttulo1Car">
    <w:name w:val="Título 1 Car"/>
    <w:basedOn w:val="Fuentedeprrafopredeter"/>
    <w:link w:val="Ttulo1"/>
    <w:uiPriority w:val="9"/>
    <w:rsid w:val="00AF292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AF292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8426">
      <w:bodyDiv w:val="1"/>
      <w:marLeft w:val="0"/>
      <w:marRight w:val="0"/>
      <w:marTop w:val="0"/>
      <w:marBottom w:val="0"/>
      <w:divBdr>
        <w:top w:val="none" w:sz="0" w:space="0" w:color="auto"/>
        <w:left w:val="none" w:sz="0" w:space="0" w:color="auto"/>
        <w:bottom w:val="none" w:sz="0" w:space="0" w:color="auto"/>
        <w:right w:val="none" w:sz="0" w:space="0" w:color="auto"/>
      </w:divBdr>
    </w:div>
    <w:div w:id="605428463">
      <w:bodyDiv w:val="1"/>
      <w:marLeft w:val="0"/>
      <w:marRight w:val="0"/>
      <w:marTop w:val="0"/>
      <w:marBottom w:val="0"/>
      <w:divBdr>
        <w:top w:val="none" w:sz="0" w:space="0" w:color="auto"/>
        <w:left w:val="none" w:sz="0" w:space="0" w:color="auto"/>
        <w:bottom w:val="none" w:sz="0" w:space="0" w:color="auto"/>
        <w:right w:val="none" w:sz="0" w:space="0" w:color="auto"/>
      </w:divBdr>
    </w:div>
    <w:div w:id="1001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A3AE-7691-4A74-B510-00B5D157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7618</Words>
  <Characters>41899</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11</cp:revision>
  <cp:lastPrinted>2015-02-04T02:28:00Z</cp:lastPrinted>
  <dcterms:created xsi:type="dcterms:W3CDTF">2017-06-02T19:07:00Z</dcterms:created>
  <dcterms:modified xsi:type="dcterms:W3CDTF">2017-06-21T15:23:00Z</dcterms:modified>
</cp:coreProperties>
</file>