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5D" w:rsidRPr="00826E5D" w:rsidRDefault="009D3D56" w:rsidP="00826E5D">
      <w:pPr>
        <w:pStyle w:val="Ttulo1"/>
        <w:spacing w:after="240"/>
        <w:jc w:val="both"/>
        <w:rPr>
          <w:rFonts w:ascii="ITC Avant Garde" w:hAnsi="ITC Avant Garde"/>
          <w:b/>
          <w:color w:val="000000" w:themeColor="text1"/>
          <w:sz w:val="22"/>
          <w:szCs w:val="22"/>
          <w:lang w:val="es-MX" w:eastAsia="es-MX"/>
        </w:rPr>
      </w:pPr>
      <w:r w:rsidRPr="00826E5D">
        <w:rPr>
          <w:rFonts w:ascii="ITC Avant Garde" w:hAnsi="ITC Avant Garde"/>
          <w:b/>
          <w:color w:val="000000" w:themeColor="text1"/>
          <w:sz w:val="22"/>
          <w:szCs w:val="22"/>
          <w:lang w:val="es-MX" w:eastAsia="es-MX"/>
        </w:rPr>
        <w:t xml:space="preserve">ACUERDO MEDIANTE EL CUAL EL PLENO DEL INSTITUTO FEDERAL DE TELECOMUNICACIONES EMITE RESPUESTA A LA SOLICITUD DE CONFIRMACIÓN DE CRITERIO PRESENTADA POR </w:t>
      </w:r>
      <w:r w:rsidR="00E80744" w:rsidRPr="00826E5D">
        <w:rPr>
          <w:rFonts w:ascii="ITC Avant Garde" w:hAnsi="ITC Avant Garde"/>
          <w:b/>
          <w:color w:val="000000" w:themeColor="text1"/>
          <w:sz w:val="22"/>
          <w:szCs w:val="22"/>
          <w:lang w:val="es-MX" w:eastAsia="es-MX"/>
        </w:rPr>
        <w:t>HANSAM, S.A</w:t>
      </w:r>
      <w:r w:rsidR="00F219CF" w:rsidRPr="00826E5D">
        <w:rPr>
          <w:rFonts w:ascii="ITC Avant Garde" w:hAnsi="ITC Avant Garde"/>
          <w:b/>
          <w:color w:val="000000" w:themeColor="text1"/>
          <w:sz w:val="22"/>
          <w:szCs w:val="22"/>
          <w:lang w:val="es-MX" w:eastAsia="es-MX"/>
        </w:rPr>
        <w:t>.</w:t>
      </w:r>
      <w:r w:rsidR="00E80744" w:rsidRPr="00826E5D">
        <w:rPr>
          <w:rFonts w:ascii="ITC Avant Garde" w:hAnsi="ITC Avant Garde"/>
          <w:b/>
          <w:color w:val="000000" w:themeColor="text1"/>
          <w:sz w:val="22"/>
          <w:szCs w:val="22"/>
          <w:lang w:val="es-MX" w:eastAsia="es-MX"/>
        </w:rPr>
        <w:t xml:space="preserve"> DE C.V.</w:t>
      </w:r>
      <w:r w:rsidRPr="00826E5D">
        <w:rPr>
          <w:rFonts w:ascii="ITC Avant Garde" w:hAnsi="ITC Avant Garde"/>
          <w:b/>
          <w:color w:val="000000" w:themeColor="text1"/>
          <w:sz w:val="22"/>
          <w:szCs w:val="22"/>
          <w:lang w:val="es-MX" w:eastAsia="es-MX"/>
        </w:rPr>
        <w:t xml:space="preserve">, EN EL SENTIDO DE QUE </w:t>
      </w:r>
      <w:r w:rsidR="00235FC9" w:rsidRPr="00826E5D">
        <w:rPr>
          <w:rFonts w:ascii="ITC Avant Garde" w:hAnsi="ITC Avant Garde"/>
          <w:b/>
          <w:color w:val="000000" w:themeColor="text1"/>
          <w:sz w:val="22"/>
          <w:szCs w:val="22"/>
          <w:lang w:val="es-MX" w:eastAsia="es-MX"/>
        </w:rPr>
        <w:t xml:space="preserve">CON RELACIÓN A LAS OBLIGACIONES ESTABLECIDAS POR EL INSTITUTO AL AGENTE ECONÓMICO PREPONDERANTE EN EL SECTOR TELECOMUNICACIONES, </w:t>
      </w:r>
      <w:r w:rsidR="00E17DC0" w:rsidRPr="00826E5D">
        <w:rPr>
          <w:rFonts w:ascii="ITC Avant Garde" w:hAnsi="ITC Avant Garde"/>
          <w:b/>
          <w:color w:val="000000" w:themeColor="text1"/>
          <w:sz w:val="22"/>
          <w:szCs w:val="22"/>
          <w:lang w:val="es-MX" w:eastAsia="es-MX"/>
        </w:rPr>
        <w:t>LA RED COMPARTIDA PODRÁ</w:t>
      </w:r>
      <w:r w:rsidR="004C1367" w:rsidRPr="00826E5D">
        <w:rPr>
          <w:rFonts w:ascii="ITC Avant Garde" w:hAnsi="ITC Avant Garde"/>
          <w:b/>
          <w:color w:val="000000" w:themeColor="text1"/>
          <w:sz w:val="22"/>
          <w:szCs w:val="22"/>
          <w:lang w:val="es-MX" w:eastAsia="es-MX"/>
        </w:rPr>
        <w:t xml:space="preserve"> CONTRATAR LOS SERVICIOS CONTENIDOS EN </w:t>
      </w:r>
      <w:r w:rsidR="00D7595E" w:rsidRPr="00826E5D">
        <w:rPr>
          <w:rFonts w:ascii="ITC Avant Garde" w:hAnsi="ITC Avant Garde"/>
          <w:b/>
          <w:color w:val="000000" w:themeColor="text1"/>
          <w:sz w:val="22"/>
          <w:szCs w:val="22"/>
          <w:lang w:val="es-MX" w:eastAsia="es-MX"/>
        </w:rPr>
        <w:t>LAS OF</w:t>
      </w:r>
      <w:r w:rsidR="004C1367" w:rsidRPr="00826E5D">
        <w:rPr>
          <w:rFonts w:ascii="ITC Avant Garde" w:hAnsi="ITC Avant Garde"/>
          <w:b/>
          <w:color w:val="000000" w:themeColor="text1"/>
          <w:sz w:val="22"/>
          <w:szCs w:val="22"/>
          <w:lang w:val="es-MX" w:eastAsia="es-MX"/>
        </w:rPr>
        <w:t>ERTAS DE REFERENCIA EMITIDAS POR EL PREPONDERANTE</w:t>
      </w:r>
      <w:r w:rsidR="00945020" w:rsidRPr="00826E5D">
        <w:rPr>
          <w:rFonts w:ascii="ITC Avant Garde" w:hAnsi="ITC Avant Garde"/>
          <w:b/>
          <w:color w:val="000000" w:themeColor="text1"/>
          <w:sz w:val="22"/>
          <w:szCs w:val="22"/>
          <w:lang w:val="es-MX" w:eastAsia="es-MX"/>
        </w:rPr>
        <w:t>, INCLUIDO EL SERVICIO MAYORISTA DE USUARIO VISITANTE.</w:t>
      </w:r>
    </w:p>
    <w:p w:rsidR="00826E5D" w:rsidRPr="00826E5D" w:rsidRDefault="00227ED6" w:rsidP="00826E5D">
      <w:pPr>
        <w:pStyle w:val="Ttulo2"/>
        <w:numPr>
          <w:ilvl w:val="1"/>
          <w:numId w:val="0"/>
        </w:numPr>
        <w:spacing w:after="240"/>
        <w:jc w:val="center"/>
        <w:rPr>
          <w:rFonts w:ascii="ITC Avant Garde" w:hAnsi="ITC Avant Garde"/>
          <w:b/>
          <w:color w:val="000000" w:themeColor="text1"/>
          <w:sz w:val="22"/>
          <w:szCs w:val="22"/>
        </w:rPr>
      </w:pPr>
      <w:r w:rsidRPr="00826E5D">
        <w:rPr>
          <w:rFonts w:ascii="ITC Avant Garde" w:hAnsi="ITC Avant Garde"/>
          <w:b/>
          <w:color w:val="000000" w:themeColor="text1"/>
          <w:sz w:val="22"/>
          <w:szCs w:val="22"/>
        </w:rPr>
        <w:t>ANTECEDENTES</w:t>
      </w:r>
    </w:p>
    <w:p w:rsidR="00826E5D" w:rsidRPr="00826E5D" w:rsidRDefault="00227ED6" w:rsidP="00C52873">
      <w:pPr>
        <w:spacing w:line="276" w:lineRule="auto"/>
        <w:jc w:val="both"/>
        <w:rPr>
          <w:rFonts w:ascii="ITC Avant Garde" w:hAnsi="ITC Avant Garde"/>
          <w:sz w:val="22"/>
          <w:szCs w:val="22"/>
        </w:rPr>
      </w:pPr>
      <w:r w:rsidRPr="00826E5D">
        <w:rPr>
          <w:rFonts w:ascii="ITC Avant Garde" w:hAnsi="ITC Avant Garde"/>
          <w:b/>
          <w:sz w:val="22"/>
          <w:szCs w:val="22"/>
        </w:rPr>
        <w:t>PRIMERO.-</w:t>
      </w:r>
      <w:r w:rsidRPr="00826E5D">
        <w:rPr>
          <w:rFonts w:ascii="ITC Avant Garde" w:hAnsi="ITC Avant Garde"/>
          <w:sz w:val="22"/>
          <w:szCs w:val="22"/>
        </w:rPr>
        <w:t xml:space="preserve"> </w:t>
      </w:r>
      <w:r w:rsidR="00240C39" w:rsidRPr="00826E5D">
        <w:rPr>
          <w:rFonts w:ascii="ITC Avant Garde" w:hAnsi="ITC Avant Garde"/>
          <w:sz w:val="22"/>
          <w:szCs w:val="22"/>
        </w:rPr>
        <w:t>El 29 de enero de 2016</w:t>
      </w:r>
      <w:r w:rsidR="0088105C" w:rsidRPr="00826E5D">
        <w:rPr>
          <w:rFonts w:ascii="ITC Avant Garde" w:hAnsi="ITC Avant Garde"/>
          <w:sz w:val="22"/>
          <w:szCs w:val="22"/>
        </w:rPr>
        <w:t>,</w:t>
      </w:r>
      <w:r w:rsidR="00943E82" w:rsidRPr="00826E5D">
        <w:rPr>
          <w:rFonts w:ascii="ITC Avant Garde" w:hAnsi="ITC Avant Garde"/>
          <w:sz w:val="22"/>
          <w:szCs w:val="22"/>
        </w:rPr>
        <w:t xml:space="preserve"> l</w:t>
      </w:r>
      <w:r w:rsidR="00240C39" w:rsidRPr="00826E5D">
        <w:rPr>
          <w:rFonts w:ascii="ITC Avant Garde" w:hAnsi="ITC Avant Garde"/>
          <w:sz w:val="22"/>
          <w:szCs w:val="22"/>
        </w:rPr>
        <w:t>a Dirección General de Política de Telecomunicaciones y de Radiodifusión de la Secretaría de Comunicaciones y Transporte</w:t>
      </w:r>
      <w:r w:rsidR="00943E82" w:rsidRPr="00826E5D">
        <w:rPr>
          <w:rFonts w:ascii="ITC Avant Garde" w:hAnsi="ITC Avant Garde"/>
          <w:sz w:val="22"/>
          <w:szCs w:val="22"/>
        </w:rPr>
        <w:t xml:space="preserve">s </w:t>
      </w:r>
      <w:r w:rsidR="005942A6" w:rsidRPr="00826E5D">
        <w:rPr>
          <w:rFonts w:ascii="ITC Avant Garde" w:hAnsi="ITC Avant Garde"/>
          <w:sz w:val="22"/>
          <w:szCs w:val="22"/>
        </w:rPr>
        <w:t xml:space="preserve">convocó </w:t>
      </w:r>
      <w:r w:rsidR="002948F8" w:rsidRPr="00826E5D">
        <w:rPr>
          <w:rFonts w:ascii="ITC Avant Garde" w:hAnsi="ITC Avant Garde"/>
          <w:sz w:val="22"/>
          <w:szCs w:val="22"/>
        </w:rPr>
        <w:t>a través de</w:t>
      </w:r>
      <w:r w:rsidR="006E2B7E" w:rsidRPr="00826E5D">
        <w:rPr>
          <w:rFonts w:ascii="ITC Avant Garde" w:hAnsi="ITC Avant Garde"/>
          <w:sz w:val="22"/>
          <w:szCs w:val="22"/>
        </w:rPr>
        <w:t xml:space="preserve"> publicación en</w:t>
      </w:r>
      <w:r w:rsidR="005942A6" w:rsidRPr="00826E5D">
        <w:rPr>
          <w:rFonts w:ascii="ITC Avant Garde" w:hAnsi="ITC Avant Garde"/>
          <w:sz w:val="22"/>
          <w:szCs w:val="22"/>
        </w:rPr>
        <w:t xml:space="preserve"> el Diario Oficial de la Federaci</w:t>
      </w:r>
      <w:r w:rsidR="006E2B7E" w:rsidRPr="00826E5D">
        <w:rPr>
          <w:rFonts w:ascii="ITC Avant Garde" w:hAnsi="ITC Avant Garde"/>
          <w:sz w:val="22"/>
          <w:szCs w:val="22"/>
        </w:rPr>
        <w:t>ón, a toda persona física o moral, nacional o extranjera, a participar en el concurso internacional número APP-</w:t>
      </w:r>
      <w:r w:rsidR="005942A6" w:rsidRPr="00826E5D">
        <w:rPr>
          <w:rFonts w:ascii="ITC Avant Garde" w:hAnsi="ITC Avant Garde"/>
          <w:sz w:val="22"/>
          <w:szCs w:val="22"/>
        </w:rPr>
        <w:t>009000896-E1-2016</w:t>
      </w:r>
      <w:r w:rsidR="006E2B7E" w:rsidRPr="00826E5D">
        <w:rPr>
          <w:rFonts w:ascii="ITC Avant Garde" w:hAnsi="ITC Avant Garde"/>
          <w:sz w:val="22"/>
          <w:szCs w:val="22"/>
        </w:rPr>
        <w:t xml:space="preserve"> para la adjudicación de un proyecto de asociación público-privada, para la instalación y operación de la red pública compartida de telecomunicaciones</w:t>
      </w:r>
      <w:r w:rsidR="00D16A4B" w:rsidRPr="00826E5D">
        <w:rPr>
          <w:rFonts w:ascii="ITC Avant Garde" w:hAnsi="ITC Avant Garde"/>
          <w:sz w:val="22"/>
          <w:szCs w:val="22"/>
        </w:rPr>
        <w:t xml:space="preserve"> (</w:t>
      </w:r>
      <w:r w:rsidR="002948F8" w:rsidRPr="00826E5D">
        <w:rPr>
          <w:rFonts w:ascii="ITC Avant Garde" w:hAnsi="ITC Avant Garde"/>
          <w:sz w:val="22"/>
          <w:szCs w:val="22"/>
        </w:rPr>
        <w:t>en lo sucesivo “</w:t>
      </w:r>
      <w:r w:rsidR="00D16A4B" w:rsidRPr="00826E5D">
        <w:rPr>
          <w:rFonts w:ascii="ITC Avant Garde" w:hAnsi="ITC Avant Garde"/>
          <w:sz w:val="22"/>
          <w:szCs w:val="22"/>
        </w:rPr>
        <w:t>Concurso</w:t>
      </w:r>
      <w:r w:rsidR="002948F8" w:rsidRPr="00826E5D">
        <w:rPr>
          <w:rFonts w:ascii="ITC Avant Garde" w:hAnsi="ITC Avant Garde"/>
          <w:sz w:val="22"/>
          <w:szCs w:val="22"/>
        </w:rPr>
        <w:t>”</w:t>
      </w:r>
      <w:r w:rsidR="00D16A4B" w:rsidRPr="00826E5D">
        <w:rPr>
          <w:rFonts w:ascii="ITC Avant Garde" w:hAnsi="ITC Avant Garde"/>
          <w:sz w:val="22"/>
          <w:szCs w:val="22"/>
        </w:rPr>
        <w:t>)</w:t>
      </w:r>
      <w:r w:rsidR="000F77B2" w:rsidRPr="00826E5D">
        <w:rPr>
          <w:rFonts w:ascii="ITC Avant Garde" w:hAnsi="ITC Avant Garde"/>
          <w:sz w:val="22"/>
          <w:szCs w:val="22"/>
        </w:rPr>
        <w:t>.</w:t>
      </w:r>
    </w:p>
    <w:p w:rsidR="00826E5D" w:rsidRPr="00826E5D" w:rsidRDefault="0088105C" w:rsidP="00C52873">
      <w:pPr>
        <w:spacing w:line="276" w:lineRule="auto"/>
        <w:jc w:val="both"/>
        <w:rPr>
          <w:rFonts w:ascii="ITC Avant Garde" w:hAnsi="ITC Avant Garde"/>
          <w:sz w:val="22"/>
          <w:szCs w:val="22"/>
        </w:rPr>
      </w:pPr>
      <w:r w:rsidRPr="00826E5D">
        <w:rPr>
          <w:rFonts w:ascii="ITC Avant Garde" w:hAnsi="ITC Avant Garde"/>
          <w:b/>
          <w:sz w:val="22"/>
          <w:szCs w:val="22"/>
        </w:rPr>
        <w:t>SEGUNDO.-</w:t>
      </w:r>
      <w:r w:rsidRPr="00826E5D">
        <w:rPr>
          <w:rFonts w:ascii="ITC Avant Garde" w:hAnsi="ITC Avant Garde"/>
          <w:sz w:val="22"/>
          <w:szCs w:val="22"/>
        </w:rPr>
        <w:t xml:space="preserve"> Con fecha 12 de septiembre de 2016, </w:t>
      </w:r>
      <w:r w:rsidR="00873CCA" w:rsidRPr="00826E5D">
        <w:rPr>
          <w:rFonts w:ascii="ITC Avant Garde" w:hAnsi="ITC Avant Garde"/>
          <w:sz w:val="22"/>
          <w:szCs w:val="22"/>
        </w:rPr>
        <w:t>Consorcio CVG, del que formó parte HANSAM, S.A. DE C.V. (en lo sucesivo “HANSAM”), presentó en la oficialía de partes del</w:t>
      </w:r>
      <w:r w:rsidRPr="00826E5D">
        <w:rPr>
          <w:rFonts w:ascii="ITC Avant Garde" w:hAnsi="ITC Avant Garde"/>
          <w:sz w:val="22"/>
          <w:szCs w:val="22"/>
        </w:rPr>
        <w:t xml:space="preserve"> Instituto </w:t>
      </w:r>
      <w:r w:rsidR="00E219A7" w:rsidRPr="00826E5D">
        <w:rPr>
          <w:rFonts w:ascii="ITC Avant Garde" w:hAnsi="ITC Avant Garde"/>
          <w:sz w:val="22"/>
          <w:szCs w:val="22"/>
        </w:rPr>
        <w:t xml:space="preserve">Federal de Telecomunicaciones (en lo sucesivo “IFT” o “Instituto”) </w:t>
      </w:r>
      <w:r w:rsidRPr="00826E5D">
        <w:rPr>
          <w:rFonts w:ascii="ITC Avant Garde" w:hAnsi="ITC Avant Garde"/>
          <w:sz w:val="22"/>
          <w:szCs w:val="22"/>
        </w:rPr>
        <w:t>escr</w:t>
      </w:r>
      <w:r w:rsidR="00873CCA" w:rsidRPr="00826E5D">
        <w:rPr>
          <w:rFonts w:ascii="ITC Avant Garde" w:hAnsi="ITC Avant Garde"/>
          <w:sz w:val="22"/>
          <w:szCs w:val="22"/>
        </w:rPr>
        <w:t>ito mediante el cual solicitó</w:t>
      </w:r>
      <w:r w:rsidRPr="00826E5D">
        <w:rPr>
          <w:rFonts w:ascii="ITC Avant Garde" w:hAnsi="ITC Avant Garde"/>
          <w:sz w:val="22"/>
          <w:szCs w:val="22"/>
        </w:rPr>
        <w:t xml:space="preserve"> opinión favorable en materia de competencia económic</w:t>
      </w:r>
      <w:r w:rsidR="00D16A4B" w:rsidRPr="00826E5D">
        <w:rPr>
          <w:rFonts w:ascii="ITC Avant Garde" w:hAnsi="ITC Avant Garde"/>
          <w:sz w:val="22"/>
          <w:szCs w:val="22"/>
        </w:rPr>
        <w:t>a para participar en el C</w:t>
      </w:r>
      <w:r w:rsidRPr="00826E5D">
        <w:rPr>
          <w:rFonts w:ascii="ITC Avant Garde" w:hAnsi="ITC Avant Garde"/>
          <w:sz w:val="22"/>
          <w:szCs w:val="22"/>
        </w:rPr>
        <w:t>oncurso.</w:t>
      </w:r>
    </w:p>
    <w:p w:rsidR="00826E5D" w:rsidRPr="00826E5D" w:rsidRDefault="0088105C" w:rsidP="00C52873">
      <w:pPr>
        <w:spacing w:line="276" w:lineRule="auto"/>
        <w:jc w:val="both"/>
        <w:rPr>
          <w:rFonts w:ascii="ITC Avant Garde" w:hAnsi="ITC Avant Garde"/>
          <w:sz w:val="22"/>
          <w:szCs w:val="22"/>
        </w:rPr>
      </w:pPr>
      <w:r w:rsidRPr="00826E5D">
        <w:rPr>
          <w:rFonts w:ascii="ITC Avant Garde" w:hAnsi="ITC Avant Garde"/>
          <w:b/>
          <w:sz w:val="22"/>
          <w:szCs w:val="22"/>
        </w:rPr>
        <w:t xml:space="preserve">TERCERO.- </w:t>
      </w:r>
      <w:r w:rsidR="00082CD1" w:rsidRPr="00826E5D">
        <w:rPr>
          <w:rFonts w:ascii="ITC Avant Garde" w:hAnsi="ITC Avant Garde"/>
          <w:sz w:val="22"/>
          <w:szCs w:val="22"/>
        </w:rPr>
        <w:t xml:space="preserve">El 13 de octubre de 2016, </w:t>
      </w:r>
      <w:r w:rsidR="000605C8" w:rsidRPr="00826E5D">
        <w:rPr>
          <w:rFonts w:ascii="ITC Avant Garde" w:hAnsi="ITC Avant Garde"/>
          <w:sz w:val="22"/>
          <w:szCs w:val="22"/>
        </w:rPr>
        <w:t xml:space="preserve">en su XIV sesión extraordinaria, </w:t>
      </w:r>
      <w:r w:rsidR="00082CD1" w:rsidRPr="00826E5D">
        <w:rPr>
          <w:rFonts w:ascii="ITC Avant Garde" w:hAnsi="ITC Avant Garde"/>
          <w:sz w:val="22"/>
          <w:szCs w:val="22"/>
        </w:rPr>
        <w:t>el Pleno del Instituto emitió opinión favorable en materia de competencia económica a la participación de</w:t>
      </w:r>
      <w:r w:rsidR="00D16A4B" w:rsidRPr="00826E5D">
        <w:rPr>
          <w:rFonts w:ascii="ITC Avant Garde" w:hAnsi="ITC Avant Garde"/>
          <w:sz w:val="22"/>
          <w:szCs w:val="22"/>
        </w:rPr>
        <w:t xml:space="preserve"> </w:t>
      </w:r>
      <w:r w:rsidR="000605C8" w:rsidRPr="00826E5D">
        <w:rPr>
          <w:rFonts w:ascii="ITC Avant Garde" w:hAnsi="ITC Avant Garde"/>
          <w:sz w:val="22"/>
          <w:szCs w:val="22"/>
        </w:rPr>
        <w:t>Consorcio CVG</w:t>
      </w:r>
      <w:r w:rsidR="00082CD1" w:rsidRPr="00826E5D">
        <w:rPr>
          <w:rFonts w:ascii="ITC Avant Garde" w:hAnsi="ITC Avant Garde"/>
          <w:sz w:val="22"/>
          <w:szCs w:val="22"/>
        </w:rPr>
        <w:t xml:space="preserve">  en el Concurso</w:t>
      </w:r>
      <w:r w:rsidR="000605C8" w:rsidRPr="00826E5D">
        <w:rPr>
          <w:rFonts w:ascii="ITC Avant Garde" w:hAnsi="ITC Avant Garde"/>
          <w:sz w:val="22"/>
          <w:szCs w:val="22"/>
        </w:rPr>
        <w:t>, en los términos descritos en sus resolutivos.</w:t>
      </w:r>
      <w:r w:rsidR="00082CD1" w:rsidRPr="00826E5D">
        <w:rPr>
          <w:rFonts w:ascii="ITC Avant Garde" w:hAnsi="ITC Avant Garde"/>
          <w:sz w:val="22"/>
          <w:szCs w:val="22"/>
        </w:rPr>
        <w:t xml:space="preserve"> </w:t>
      </w:r>
    </w:p>
    <w:p w:rsidR="00826E5D" w:rsidRPr="00826E5D" w:rsidRDefault="00D16A4B" w:rsidP="00C52873">
      <w:pPr>
        <w:spacing w:line="276" w:lineRule="auto"/>
        <w:jc w:val="both"/>
        <w:rPr>
          <w:rFonts w:ascii="ITC Avant Garde" w:hAnsi="ITC Avant Garde"/>
          <w:sz w:val="22"/>
          <w:szCs w:val="22"/>
        </w:rPr>
      </w:pPr>
      <w:r w:rsidRPr="00826E5D">
        <w:rPr>
          <w:rFonts w:ascii="ITC Avant Garde" w:hAnsi="ITC Avant Garde"/>
          <w:b/>
          <w:sz w:val="22"/>
          <w:szCs w:val="22"/>
        </w:rPr>
        <w:t>CUARTO</w:t>
      </w:r>
      <w:r w:rsidR="00F33078" w:rsidRPr="00826E5D">
        <w:rPr>
          <w:rFonts w:ascii="ITC Avant Garde" w:hAnsi="ITC Avant Garde"/>
          <w:b/>
          <w:sz w:val="22"/>
          <w:szCs w:val="22"/>
        </w:rPr>
        <w:t xml:space="preserve">.- </w:t>
      </w:r>
      <w:r w:rsidR="000B4443" w:rsidRPr="00826E5D">
        <w:rPr>
          <w:rFonts w:ascii="ITC Avant Garde" w:hAnsi="ITC Avant Garde"/>
          <w:sz w:val="22"/>
          <w:szCs w:val="22"/>
        </w:rPr>
        <w:t>El</w:t>
      </w:r>
      <w:r w:rsidR="009C3BC0" w:rsidRPr="00826E5D">
        <w:rPr>
          <w:rFonts w:ascii="ITC Avant Garde" w:hAnsi="ITC Avant Garde"/>
          <w:sz w:val="22"/>
          <w:szCs w:val="22"/>
        </w:rPr>
        <w:t xml:space="preserve"> 14 de octu</w:t>
      </w:r>
      <w:r w:rsidR="000B4443" w:rsidRPr="00826E5D">
        <w:rPr>
          <w:rFonts w:ascii="ITC Avant Garde" w:hAnsi="ITC Avant Garde"/>
          <w:sz w:val="22"/>
          <w:szCs w:val="22"/>
        </w:rPr>
        <w:t>bre de 2016,</w:t>
      </w:r>
      <w:r w:rsidR="009C3BC0" w:rsidRPr="00826E5D">
        <w:rPr>
          <w:rFonts w:ascii="ITC Avant Garde" w:hAnsi="ITC Avant Garde"/>
          <w:sz w:val="22"/>
          <w:szCs w:val="22"/>
        </w:rPr>
        <w:t xml:space="preserve"> HANSAM, a través de su </w:t>
      </w:r>
      <w:r w:rsidR="00E7221F" w:rsidRPr="00826E5D">
        <w:rPr>
          <w:rFonts w:ascii="ITC Avant Garde" w:hAnsi="ITC Avant Garde"/>
          <w:sz w:val="22"/>
          <w:szCs w:val="22"/>
        </w:rPr>
        <w:t xml:space="preserve">apoderada </w:t>
      </w:r>
      <w:r w:rsidR="009C3BC0" w:rsidRPr="00826E5D">
        <w:rPr>
          <w:rFonts w:ascii="ITC Avant Garde" w:hAnsi="ITC Avant Garde"/>
          <w:sz w:val="22"/>
          <w:szCs w:val="22"/>
        </w:rPr>
        <w:t>legal</w:t>
      </w:r>
      <w:r w:rsidR="00D20B27" w:rsidRPr="00826E5D">
        <w:rPr>
          <w:rFonts w:ascii="ITC Avant Garde" w:hAnsi="ITC Avant Garde"/>
          <w:sz w:val="22"/>
          <w:szCs w:val="22"/>
        </w:rPr>
        <w:t>,</w:t>
      </w:r>
      <w:r w:rsidR="009C3BC0" w:rsidRPr="00826E5D">
        <w:rPr>
          <w:rFonts w:ascii="ITC Avant Garde" w:hAnsi="ITC Avant Garde"/>
          <w:sz w:val="22"/>
          <w:szCs w:val="22"/>
        </w:rPr>
        <w:t xml:space="preserve"> solicitó al </w:t>
      </w:r>
      <w:r w:rsidR="000B4443" w:rsidRPr="00826E5D">
        <w:rPr>
          <w:rFonts w:ascii="ITC Avant Garde" w:hAnsi="ITC Avant Garde"/>
          <w:sz w:val="22"/>
          <w:szCs w:val="22"/>
        </w:rPr>
        <w:t xml:space="preserve">Pleno del </w:t>
      </w:r>
      <w:r w:rsidR="00342026" w:rsidRPr="00826E5D">
        <w:rPr>
          <w:rFonts w:ascii="ITC Avant Garde" w:hAnsi="ITC Avant Garde"/>
          <w:sz w:val="22"/>
          <w:szCs w:val="22"/>
        </w:rPr>
        <w:t>IFT la</w:t>
      </w:r>
      <w:r w:rsidR="009C3BC0" w:rsidRPr="00826E5D">
        <w:rPr>
          <w:rFonts w:ascii="ITC Avant Garde" w:hAnsi="ITC Avant Garde"/>
          <w:sz w:val="22"/>
          <w:szCs w:val="22"/>
        </w:rPr>
        <w:t xml:space="preserve"> confirmación de</w:t>
      </w:r>
      <w:r w:rsidR="000B4443" w:rsidRPr="00826E5D">
        <w:rPr>
          <w:rFonts w:ascii="ITC Avant Garde" w:hAnsi="ITC Avant Garde"/>
          <w:sz w:val="22"/>
          <w:szCs w:val="22"/>
        </w:rPr>
        <w:t xml:space="preserve"> </w:t>
      </w:r>
      <w:r w:rsidR="009C3BC0" w:rsidRPr="00826E5D">
        <w:rPr>
          <w:rFonts w:ascii="ITC Avant Garde" w:hAnsi="ITC Avant Garde"/>
          <w:sz w:val="22"/>
          <w:szCs w:val="22"/>
        </w:rPr>
        <w:t>criterio en el sentido de que el Desarrol</w:t>
      </w:r>
      <w:r w:rsidR="00E17DC0" w:rsidRPr="00826E5D">
        <w:rPr>
          <w:rFonts w:ascii="ITC Avant Garde" w:hAnsi="ITC Avant Garde"/>
          <w:sz w:val="22"/>
          <w:szCs w:val="22"/>
        </w:rPr>
        <w:t>lador de la Red Compartida podrá</w:t>
      </w:r>
      <w:r w:rsidR="009C3BC0" w:rsidRPr="00826E5D">
        <w:rPr>
          <w:rFonts w:ascii="ITC Avant Garde" w:hAnsi="ITC Avant Garde"/>
          <w:sz w:val="22"/>
          <w:szCs w:val="22"/>
        </w:rPr>
        <w:t xml:space="preserve"> contratar los servicios</w:t>
      </w:r>
      <w:r w:rsidR="00C95850" w:rsidRPr="00826E5D">
        <w:rPr>
          <w:rFonts w:ascii="ITC Avant Garde" w:hAnsi="ITC Avant Garde"/>
          <w:sz w:val="22"/>
          <w:szCs w:val="22"/>
        </w:rPr>
        <w:t xml:space="preserve"> contenidos en las ofertas de referencia emitidas por el agente económico preponderante en el sector telecomunicaciones, incluido el servicio mayorista de usuario visitante</w:t>
      </w:r>
      <w:r w:rsidR="002D6DD6" w:rsidRPr="00826E5D">
        <w:rPr>
          <w:rFonts w:ascii="ITC Avant Garde" w:hAnsi="ITC Avant Garde"/>
          <w:sz w:val="22"/>
          <w:szCs w:val="22"/>
        </w:rPr>
        <w:t xml:space="preserve"> (en lo sucesivo “Solicitud de confirmación de criterio”)</w:t>
      </w:r>
      <w:r w:rsidR="00C95850" w:rsidRPr="00826E5D">
        <w:rPr>
          <w:rFonts w:ascii="ITC Avant Garde" w:hAnsi="ITC Avant Garde"/>
          <w:sz w:val="22"/>
          <w:szCs w:val="22"/>
        </w:rPr>
        <w:t>.</w:t>
      </w:r>
    </w:p>
    <w:p w:rsidR="00826E5D" w:rsidRPr="00826E5D" w:rsidRDefault="00D16A4B" w:rsidP="00C52873">
      <w:pPr>
        <w:spacing w:line="276" w:lineRule="auto"/>
        <w:jc w:val="both"/>
        <w:rPr>
          <w:rFonts w:ascii="ITC Avant Garde" w:eastAsia="Calibri" w:hAnsi="ITC Avant Garde"/>
          <w:bCs/>
          <w:sz w:val="22"/>
          <w:szCs w:val="22"/>
          <w:lang w:val="es-ES_tradnl" w:eastAsia="en-US"/>
        </w:rPr>
      </w:pPr>
      <w:r w:rsidRPr="00826E5D">
        <w:rPr>
          <w:rFonts w:ascii="ITC Avant Garde" w:hAnsi="ITC Avant Garde"/>
          <w:b/>
          <w:sz w:val="22"/>
          <w:szCs w:val="22"/>
        </w:rPr>
        <w:t>QUINTO</w:t>
      </w:r>
      <w:r w:rsidR="00F33078" w:rsidRPr="00826E5D">
        <w:rPr>
          <w:rFonts w:ascii="ITC Avant Garde" w:hAnsi="ITC Avant Garde"/>
          <w:b/>
          <w:sz w:val="22"/>
          <w:szCs w:val="22"/>
        </w:rPr>
        <w:t xml:space="preserve">.- </w:t>
      </w:r>
      <w:r w:rsidR="002D6DD6" w:rsidRPr="00826E5D">
        <w:rPr>
          <w:rFonts w:ascii="ITC Avant Garde" w:hAnsi="ITC Avant Garde"/>
          <w:sz w:val="22"/>
          <w:szCs w:val="22"/>
        </w:rPr>
        <w:t xml:space="preserve">Mediante oficio </w:t>
      </w:r>
      <w:r w:rsidR="00F33078" w:rsidRPr="00826E5D">
        <w:rPr>
          <w:rFonts w:ascii="ITC Avant Garde" w:eastAsia="Calibri" w:hAnsi="ITC Avant Garde"/>
          <w:bCs/>
          <w:sz w:val="22"/>
          <w:szCs w:val="22"/>
          <w:lang w:val="es-ES_tradnl" w:eastAsia="en-US"/>
        </w:rPr>
        <w:t>IFT/221/UPR/DG-DTR/</w:t>
      </w:r>
      <w:r w:rsidR="002D6DD6" w:rsidRPr="00826E5D">
        <w:rPr>
          <w:rFonts w:ascii="ITC Avant Garde" w:eastAsia="Calibri" w:hAnsi="ITC Avant Garde"/>
          <w:bCs/>
          <w:sz w:val="22"/>
          <w:szCs w:val="22"/>
          <w:lang w:val="es-ES_tradnl" w:eastAsia="en-US"/>
        </w:rPr>
        <w:t>263</w:t>
      </w:r>
      <w:r w:rsidR="00F33078" w:rsidRPr="00826E5D">
        <w:rPr>
          <w:rFonts w:ascii="ITC Avant Garde" w:eastAsia="Calibri" w:hAnsi="ITC Avant Garde"/>
          <w:bCs/>
          <w:sz w:val="22"/>
          <w:szCs w:val="22"/>
          <w:lang w:val="es-ES_tradnl" w:eastAsia="en-US"/>
        </w:rPr>
        <w:t xml:space="preserve">/2016, </w:t>
      </w:r>
      <w:r w:rsidR="002D6DD6" w:rsidRPr="00826E5D">
        <w:rPr>
          <w:rFonts w:ascii="ITC Avant Garde" w:eastAsia="Calibri" w:hAnsi="ITC Avant Garde"/>
          <w:bCs/>
          <w:sz w:val="22"/>
          <w:szCs w:val="22"/>
          <w:lang w:val="es-ES_tradnl" w:eastAsia="en-US"/>
        </w:rPr>
        <w:t xml:space="preserve">recibido el 23 de noviembre de 2016, </w:t>
      </w:r>
      <w:r w:rsidR="00F33078" w:rsidRPr="00826E5D">
        <w:rPr>
          <w:rFonts w:ascii="ITC Avant Garde" w:eastAsia="Calibri" w:hAnsi="ITC Avant Garde"/>
          <w:bCs/>
          <w:sz w:val="22"/>
          <w:szCs w:val="22"/>
          <w:lang w:val="es-ES_tradnl" w:eastAsia="en-US"/>
        </w:rPr>
        <w:t>la Dirección General de Desarrollo de las Telecomunicaciones y la Radiodifusión del IFT, adscrita a la Unidad de Política Regulatoria, emitió opinión a la Dirección General de Consulta Jurídica para coadyuvar en la confirmación de criterio materia del presente Acuerdo</w:t>
      </w:r>
      <w:r w:rsidR="00D10D14" w:rsidRPr="00826E5D">
        <w:rPr>
          <w:rFonts w:ascii="ITC Avant Garde" w:eastAsia="Calibri" w:hAnsi="ITC Avant Garde"/>
          <w:bCs/>
          <w:sz w:val="22"/>
          <w:szCs w:val="22"/>
          <w:lang w:val="es-ES_tradnl" w:eastAsia="en-US"/>
        </w:rPr>
        <w:t>.</w:t>
      </w:r>
    </w:p>
    <w:p w:rsidR="00826E5D" w:rsidRPr="00826E5D" w:rsidRDefault="00D16A4B" w:rsidP="00C52873">
      <w:pPr>
        <w:spacing w:line="276" w:lineRule="auto"/>
        <w:jc w:val="both"/>
        <w:rPr>
          <w:rFonts w:ascii="ITC Avant Garde" w:hAnsi="ITC Avant Garde"/>
          <w:bCs/>
          <w:color w:val="000000"/>
          <w:sz w:val="22"/>
          <w:szCs w:val="22"/>
        </w:rPr>
      </w:pPr>
      <w:r w:rsidRPr="00826E5D">
        <w:rPr>
          <w:rFonts w:ascii="ITC Avant Garde" w:eastAsia="Calibri" w:hAnsi="ITC Avant Garde"/>
          <w:b/>
          <w:bCs/>
          <w:sz w:val="22"/>
          <w:szCs w:val="22"/>
          <w:lang w:val="es-ES_tradnl" w:eastAsia="en-US"/>
        </w:rPr>
        <w:t>SEX</w:t>
      </w:r>
      <w:r w:rsidR="00A9551C" w:rsidRPr="00826E5D">
        <w:rPr>
          <w:rFonts w:ascii="ITC Avant Garde" w:eastAsia="Calibri" w:hAnsi="ITC Avant Garde"/>
          <w:b/>
          <w:bCs/>
          <w:sz w:val="22"/>
          <w:szCs w:val="22"/>
          <w:lang w:val="es-ES_tradnl" w:eastAsia="en-US"/>
        </w:rPr>
        <w:t xml:space="preserve">TO.- </w:t>
      </w:r>
      <w:r w:rsidR="002D6DD6" w:rsidRPr="00826E5D">
        <w:rPr>
          <w:rFonts w:ascii="ITC Avant Garde" w:eastAsia="Calibri" w:hAnsi="ITC Avant Garde"/>
          <w:bCs/>
          <w:sz w:val="22"/>
          <w:szCs w:val="22"/>
          <w:lang w:val="es-ES_tradnl" w:eastAsia="en-US"/>
        </w:rPr>
        <w:t>El 13</w:t>
      </w:r>
      <w:r w:rsidR="00A9551C" w:rsidRPr="00826E5D">
        <w:rPr>
          <w:rFonts w:ascii="ITC Avant Garde" w:eastAsia="Calibri" w:hAnsi="ITC Avant Garde"/>
          <w:bCs/>
          <w:sz w:val="22"/>
          <w:szCs w:val="22"/>
          <w:lang w:val="es-ES_tradnl" w:eastAsia="en-US"/>
        </w:rPr>
        <w:t xml:space="preserve"> de enero de 2017</w:t>
      </w:r>
      <w:r w:rsidR="00342026" w:rsidRPr="00826E5D">
        <w:rPr>
          <w:rFonts w:ascii="ITC Avant Garde" w:eastAsia="Calibri" w:hAnsi="ITC Avant Garde"/>
          <w:bCs/>
          <w:sz w:val="22"/>
          <w:szCs w:val="22"/>
          <w:lang w:val="es-ES_tradnl" w:eastAsia="en-US"/>
        </w:rPr>
        <w:t>, la Dirección General de Consulta Jurídica</w:t>
      </w:r>
      <w:r w:rsidR="002D6DD6" w:rsidRPr="00826E5D">
        <w:rPr>
          <w:rFonts w:ascii="ITC Avant Garde" w:eastAsia="Calibri" w:hAnsi="ITC Avant Garde"/>
          <w:bCs/>
          <w:sz w:val="22"/>
          <w:szCs w:val="22"/>
          <w:lang w:val="es-ES_tradnl" w:eastAsia="en-US"/>
        </w:rPr>
        <w:t xml:space="preserve"> del IFT,</w:t>
      </w:r>
      <w:r w:rsidR="00342026" w:rsidRPr="00826E5D">
        <w:rPr>
          <w:rFonts w:ascii="ITC Avant Garde" w:eastAsia="Calibri" w:hAnsi="ITC Avant Garde"/>
          <w:bCs/>
          <w:sz w:val="22"/>
          <w:szCs w:val="22"/>
          <w:lang w:val="es-ES_tradnl" w:eastAsia="en-US"/>
        </w:rPr>
        <w:t xml:space="preserve"> adscrita a la Unidad de Asuntos Jurídicos, </w:t>
      </w:r>
      <w:r w:rsidR="00B520CD" w:rsidRPr="00826E5D">
        <w:rPr>
          <w:rFonts w:ascii="ITC Avant Garde" w:eastAsia="Calibri" w:hAnsi="ITC Avant Garde"/>
          <w:bCs/>
          <w:sz w:val="22"/>
          <w:szCs w:val="22"/>
          <w:lang w:val="es-ES_tradnl" w:eastAsia="en-US"/>
        </w:rPr>
        <w:t xml:space="preserve">emitió </w:t>
      </w:r>
      <w:r w:rsidR="00342026" w:rsidRPr="00826E5D">
        <w:rPr>
          <w:rFonts w:ascii="ITC Avant Garde" w:eastAsia="Calibri" w:hAnsi="ITC Avant Garde"/>
          <w:bCs/>
          <w:sz w:val="22"/>
          <w:szCs w:val="22"/>
          <w:lang w:val="es-ES_tradnl" w:eastAsia="en-US"/>
        </w:rPr>
        <w:t>el oficio</w:t>
      </w:r>
      <w:r w:rsidR="002D6DD6" w:rsidRPr="00826E5D">
        <w:rPr>
          <w:rFonts w:ascii="ITC Avant Garde" w:eastAsia="Calibri" w:hAnsi="ITC Avant Garde"/>
          <w:bCs/>
          <w:sz w:val="22"/>
          <w:szCs w:val="22"/>
          <w:lang w:val="es-ES_tradnl" w:eastAsia="en-US"/>
        </w:rPr>
        <w:t xml:space="preserve"> IFT/227/UAJ/DG-</w:t>
      </w:r>
      <w:r w:rsidR="002D6DD6" w:rsidRPr="00826E5D">
        <w:rPr>
          <w:rFonts w:ascii="ITC Avant Garde" w:eastAsia="Calibri" w:hAnsi="ITC Avant Garde"/>
          <w:bCs/>
          <w:sz w:val="22"/>
          <w:szCs w:val="22"/>
          <w:lang w:val="es-ES_tradnl" w:eastAsia="en-US"/>
        </w:rPr>
        <w:lastRenderedPageBreak/>
        <w:t>CJ/007/2017</w:t>
      </w:r>
      <w:r w:rsidR="00342026" w:rsidRPr="00826E5D">
        <w:rPr>
          <w:rFonts w:ascii="ITC Avant Garde" w:eastAsia="Calibri" w:hAnsi="ITC Avant Garde"/>
          <w:bCs/>
          <w:sz w:val="22"/>
          <w:szCs w:val="22"/>
          <w:lang w:val="es-ES_tradnl" w:eastAsia="en-US"/>
        </w:rPr>
        <w:t xml:space="preserve">, a través del cual se </w:t>
      </w:r>
      <w:r w:rsidR="007F7AFA" w:rsidRPr="00826E5D">
        <w:rPr>
          <w:rFonts w:ascii="ITC Avant Garde" w:eastAsia="Calibri" w:hAnsi="ITC Avant Garde"/>
          <w:bCs/>
          <w:sz w:val="22"/>
          <w:szCs w:val="22"/>
          <w:lang w:val="es-ES_tradnl" w:eastAsia="en-US"/>
        </w:rPr>
        <w:t>tuvo por presentado el escrito de Solicitud de confirmación de criterio</w:t>
      </w:r>
      <w:r w:rsidR="00B65CFA" w:rsidRPr="00826E5D">
        <w:rPr>
          <w:rFonts w:ascii="ITC Avant Garde" w:eastAsia="Calibri" w:hAnsi="ITC Avant Garde"/>
          <w:bCs/>
          <w:sz w:val="22"/>
          <w:szCs w:val="22"/>
          <w:lang w:val="es-ES_tradnl" w:eastAsia="en-US"/>
        </w:rPr>
        <w:t xml:space="preserve">, por </w:t>
      </w:r>
      <w:r w:rsidR="00B520CD" w:rsidRPr="00826E5D">
        <w:rPr>
          <w:rFonts w:ascii="ITC Avant Garde" w:eastAsia="Calibri" w:hAnsi="ITC Avant Garde"/>
          <w:bCs/>
          <w:sz w:val="22"/>
          <w:szCs w:val="22"/>
          <w:lang w:val="es-ES_tradnl" w:eastAsia="en-US"/>
        </w:rPr>
        <w:t>reconocida la personalidad de la</w:t>
      </w:r>
      <w:r w:rsidR="00B65CFA" w:rsidRPr="00826E5D">
        <w:rPr>
          <w:rFonts w:ascii="ITC Avant Garde" w:eastAsia="Calibri" w:hAnsi="ITC Avant Garde"/>
          <w:bCs/>
          <w:sz w:val="22"/>
          <w:szCs w:val="22"/>
          <w:lang w:val="es-ES_tradnl" w:eastAsia="en-US"/>
        </w:rPr>
        <w:t xml:space="preserve"> apoderada legal</w:t>
      </w:r>
      <w:r w:rsidR="00B520CD" w:rsidRPr="00826E5D">
        <w:rPr>
          <w:rFonts w:ascii="ITC Avant Garde" w:eastAsia="Calibri" w:hAnsi="ITC Avant Garde"/>
          <w:bCs/>
          <w:sz w:val="22"/>
          <w:szCs w:val="22"/>
          <w:lang w:val="es-ES_tradnl" w:eastAsia="en-US"/>
        </w:rPr>
        <w:t xml:space="preserve"> de HANSAM</w:t>
      </w:r>
      <w:r w:rsidR="00B65CFA" w:rsidRPr="00826E5D">
        <w:rPr>
          <w:rFonts w:ascii="ITC Avant Garde" w:eastAsia="Calibri" w:hAnsi="ITC Avant Garde"/>
          <w:bCs/>
          <w:sz w:val="22"/>
          <w:szCs w:val="22"/>
          <w:lang w:val="es-ES_tradnl" w:eastAsia="en-US"/>
        </w:rPr>
        <w:t>, por autorizadas a diversas personas en términos del artículo 19, último párrafo, de la Ley Federal de Procedimiento Administrativo y por señalado domicilio para o</w:t>
      </w:r>
      <w:r w:rsidR="00B520CD" w:rsidRPr="00826E5D">
        <w:rPr>
          <w:rFonts w:ascii="ITC Avant Garde" w:eastAsia="Calibri" w:hAnsi="ITC Avant Garde"/>
          <w:bCs/>
          <w:sz w:val="22"/>
          <w:szCs w:val="22"/>
          <w:lang w:val="es-ES_tradnl" w:eastAsia="en-US"/>
        </w:rPr>
        <w:t>ír</w:t>
      </w:r>
      <w:r w:rsidR="008F1B58" w:rsidRPr="00826E5D">
        <w:rPr>
          <w:rFonts w:ascii="ITC Avant Garde" w:eastAsia="Calibri" w:hAnsi="ITC Avant Garde"/>
          <w:bCs/>
          <w:sz w:val="22"/>
          <w:szCs w:val="22"/>
          <w:lang w:val="es-ES_tradnl" w:eastAsia="en-US"/>
        </w:rPr>
        <w:t xml:space="preserve"> y recibir notificaciones, </w:t>
      </w:r>
      <w:r w:rsidR="00B520CD" w:rsidRPr="00826E5D">
        <w:rPr>
          <w:rFonts w:ascii="ITC Avant Garde" w:eastAsia="Calibri" w:hAnsi="ITC Avant Garde"/>
          <w:bCs/>
          <w:sz w:val="22"/>
          <w:szCs w:val="22"/>
          <w:lang w:val="es-ES_tradnl" w:eastAsia="en-US"/>
        </w:rPr>
        <w:t xml:space="preserve"> que fue notificado a HANSAM en la misma fecha.</w:t>
      </w:r>
      <w:r w:rsidR="00B65CFA" w:rsidRPr="00826E5D">
        <w:rPr>
          <w:rFonts w:ascii="ITC Avant Garde" w:eastAsia="Calibri" w:hAnsi="ITC Avant Garde"/>
          <w:bCs/>
          <w:sz w:val="22"/>
          <w:szCs w:val="22"/>
          <w:lang w:val="es-ES_tradnl" w:eastAsia="en-US"/>
        </w:rPr>
        <w:t xml:space="preserve"> </w:t>
      </w:r>
    </w:p>
    <w:p w:rsidR="00826E5D" w:rsidRPr="00826E5D" w:rsidRDefault="00D16A4B" w:rsidP="00C52873">
      <w:pPr>
        <w:spacing w:line="276" w:lineRule="auto"/>
        <w:jc w:val="both"/>
        <w:rPr>
          <w:rFonts w:ascii="ITC Avant Garde" w:hAnsi="ITC Avant Garde"/>
          <w:sz w:val="22"/>
          <w:szCs w:val="22"/>
        </w:rPr>
      </w:pPr>
      <w:r w:rsidRPr="00826E5D">
        <w:rPr>
          <w:rFonts w:ascii="ITC Avant Garde" w:hAnsi="ITC Avant Garde"/>
          <w:b/>
          <w:sz w:val="22"/>
          <w:szCs w:val="22"/>
        </w:rPr>
        <w:t>SÉPTIMO</w:t>
      </w:r>
      <w:r w:rsidR="00227ED6" w:rsidRPr="00826E5D">
        <w:rPr>
          <w:rFonts w:ascii="ITC Avant Garde" w:hAnsi="ITC Avant Garde"/>
          <w:b/>
          <w:sz w:val="22"/>
          <w:szCs w:val="22"/>
        </w:rPr>
        <w:t>.-</w:t>
      </w:r>
      <w:r w:rsidR="00227ED6" w:rsidRPr="00826E5D">
        <w:rPr>
          <w:rFonts w:ascii="ITC Avant Garde" w:hAnsi="ITC Avant Garde"/>
          <w:sz w:val="22"/>
          <w:szCs w:val="22"/>
        </w:rPr>
        <w:t xml:space="preserve"> </w:t>
      </w:r>
      <w:r w:rsidR="009C3BC0" w:rsidRPr="00826E5D">
        <w:rPr>
          <w:rFonts w:ascii="ITC Avant Garde" w:hAnsi="ITC Avant Garde"/>
          <w:sz w:val="22"/>
          <w:szCs w:val="22"/>
        </w:rPr>
        <w:t xml:space="preserve">La Unidad de Asuntos Jurídicos del IFT, atendiendo a lo dispuesto en los artículos </w:t>
      </w:r>
      <w:r w:rsidR="00E01F06" w:rsidRPr="00826E5D">
        <w:rPr>
          <w:rFonts w:ascii="ITC Avant Garde" w:hAnsi="ITC Avant Garde"/>
          <w:sz w:val="22"/>
          <w:szCs w:val="22"/>
        </w:rPr>
        <w:t xml:space="preserve">52 y 53, fracción </w:t>
      </w:r>
      <w:r w:rsidR="001725FF" w:rsidRPr="00826E5D">
        <w:rPr>
          <w:rFonts w:ascii="ITC Avant Garde" w:hAnsi="ITC Avant Garde"/>
          <w:sz w:val="22"/>
          <w:szCs w:val="22"/>
        </w:rPr>
        <w:t>IX</w:t>
      </w:r>
      <w:r w:rsidR="00BD1C15" w:rsidRPr="00826E5D">
        <w:rPr>
          <w:rFonts w:ascii="ITC Avant Garde" w:hAnsi="ITC Avant Garde"/>
          <w:sz w:val="22"/>
          <w:szCs w:val="22"/>
        </w:rPr>
        <w:t xml:space="preserve"> del Estatuto</w:t>
      </w:r>
      <w:r w:rsidR="000F734F" w:rsidRPr="00826E5D">
        <w:rPr>
          <w:rFonts w:ascii="ITC Avant Garde" w:hAnsi="ITC Avant Garde"/>
          <w:sz w:val="22"/>
          <w:szCs w:val="22"/>
        </w:rPr>
        <w:t xml:space="preserve"> Orgánico del IFT (en lo sucesivo “Estatuto”)</w:t>
      </w:r>
      <w:r w:rsidR="00F04BC7" w:rsidRPr="00826E5D">
        <w:rPr>
          <w:rFonts w:ascii="ITC Avant Garde" w:hAnsi="ITC Avant Garde"/>
          <w:sz w:val="22"/>
          <w:szCs w:val="22"/>
        </w:rPr>
        <w:t>,</w:t>
      </w:r>
      <w:r w:rsidR="008F1B58" w:rsidRPr="00826E5D">
        <w:rPr>
          <w:rFonts w:ascii="ITC Avant Garde" w:hAnsi="ITC Avant Garde"/>
          <w:sz w:val="22"/>
          <w:szCs w:val="22"/>
        </w:rPr>
        <w:t xml:space="preserve"> elaboró y </w:t>
      </w:r>
      <w:r w:rsidR="00625579" w:rsidRPr="00826E5D">
        <w:rPr>
          <w:rFonts w:ascii="ITC Avant Garde" w:hAnsi="ITC Avant Garde"/>
          <w:sz w:val="22"/>
          <w:szCs w:val="22"/>
        </w:rPr>
        <w:t xml:space="preserve">propuso </w:t>
      </w:r>
      <w:r w:rsidR="00BD1C15" w:rsidRPr="00826E5D">
        <w:rPr>
          <w:rFonts w:ascii="ITC Avant Garde" w:hAnsi="ITC Avant Garde"/>
          <w:sz w:val="22"/>
          <w:szCs w:val="22"/>
        </w:rPr>
        <w:t>al Pleno el criterio de interpretación materia del presente Acuerdo.</w:t>
      </w:r>
    </w:p>
    <w:p w:rsidR="00826E5D" w:rsidRPr="00826E5D" w:rsidRDefault="00227ED6" w:rsidP="00826E5D">
      <w:pPr>
        <w:pStyle w:val="Ttulo2"/>
        <w:numPr>
          <w:ilvl w:val="1"/>
          <w:numId w:val="0"/>
        </w:numPr>
        <w:spacing w:after="240"/>
        <w:jc w:val="center"/>
        <w:rPr>
          <w:rFonts w:ascii="ITC Avant Garde" w:hAnsi="ITC Avant Garde"/>
          <w:b/>
          <w:color w:val="000000" w:themeColor="text1"/>
          <w:sz w:val="22"/>
          <w:szCs w:val="22"/>
        </w:rPr>
      </w:pPr>
      <w:r w:rsidRPr="00826E5D">
        <w:rPr>
          <w:rFonts w:ascii="ITC Avant Garde" w:hAnsi="ITC Avant Garde"/>
          <w:b/>
          <w:color w:val="000000" w:themeColor="text1"/>
          <w:sz w:val="22"/>
          <w:szCs w:val="22"/>
        </w:rPr>
        <w:t>CONSIDERANDO</w:t>
      </w:r>
    </w:p>
    <w:p w:rsidR="00826E5D" w:rsidRPr="00826E5D" w:rsidRDefault="00227ED6" w:rsidP="00C52873">
      <w:pPr>
        <w:spacing w:line="276" w:lineRule="auto"/>
        <w:jc w:val="both"/>
        <w:rPr>
          <w:rFonts w:ascii="ITC Avant Garde" w:hAnsi="ITC Avant Garde"/>
          <w:bCs/>
          <w:color w:val="000000"/>
          <w:sz w:val="22"/>
          <w:szCs w:val="22"/>
        </w:rPr>
      </w:pPr>
      <w:r w:rsidRPr="00826E5D">
        <w:rPr>
          <w:rFonts w:ascii="ITC Avant Garde" w:hAnsi="ITC Avant Garde"/>
          <w:b/>
          <w:bCs/>
          <w:color w:val="000000"/>
          <w:sz w:val="22"/>
          <w:szCs w:val="22"/>
        </w:rPr>
        <w:t>PRIMERO.- Competencia del IFT.-</w:t>
      </w:r>
      <w:r w:rsidR="007A444F" w:rsidRPr="00826E5D">
        <w:rPr>
          <w:rFonts w:ascii="ITC Avant Garde" w:hAnsi="ITC Avant Garde"/>
          <w:bCs/>
          <w:color w:val="000000"/>
          <w:sz w:val="22"/>
          <w:szCs w:val="22"/>
        </w:rPr>
        <w:t xml:space="preserve"> D</w:t>
      </w:r>
      <w:r w:rsidRPr="00826E5D">
        <w:rPr>
          <w:rFonts w:ascii="ITC Avant Garde" w:hAnsi="ITC Avant Garde"/>
          <w:bCs/>
          <w:color w:val="000000"/>
          <w:sz w:val="22"/>
          <w:szCs w:val="22"/>
        </w:rPr>
        <w:t xml:space="preserve">e conformidad con lo establecido en el </w:t>
      </w:r>
      <w:r w:rsidR="00035551" w:rsidRPr="00826E5D">
        <w:rPr>
          <w:rFonts w:ascii="ITC Avant Garde" w:hAnsi="ITC Avant Garde"/>
          <w:bCs/>
          <w:color w:val="000000"/>
          <w:sz w:val="22"/>
          <w:szCs w:val="22"/>
        </w:rPr>
        <w:t xml:space="preserve">párrafo </w:t>
      </w:r>
      <w:r w:rsidRPr="00826E5D">
        <w:rPr>
          <w:rFonts w:ascii="ITC Avant Garde" w:hAnsi="ITC Avant Garde"/>
          <w:bCs/>
          <w:color w:val="000000"/>
          <w:sz w:val="22"/>
          <w:szCs w:val="22"/>
        </w:rPr>
        <w:t xml:space="preserve">décimo quinto del artículo 28 </w:t>
      </w:r>
      <w:r w:rsidR="00432A47" w:rsidRPr="00826E5D">
        <w:rPr>
          <w:rFonts w:ascii="ITC Avant Garde" w:hAnsi="ITC Avant Garde"/>
          <w:bCs/>
          <w:color w:val="000000"/>
          <w:sz w:val="22"/>
          <w:szCs w:val="22"/>
        </w:rPr>
        <w:t xml:space="preserve">de la Constitución </w:t>
      </w:r>
      <w:r w:rsidR="008470B7" w:rsidRPr="00826E5D">
        <w:rPr>
          <w:rFonts w:ascii="ITC Avant Garde" w:hAnsi="ITC Avant Garde"/>
          <w:bCs/>
          <w:color w:val="000000"/>
          <w:sz w:val="22"/>
          <w:szCs w:val="22"/>
        </w:rPr>
        <w:t>Política de los Estados Un</w:t>
      </w:r>
      <w:r w:rsidR="00D10D14" w:rsidRPr="00826E5D">
        <w:rPr>
          <w:rFonts w:ascii="ITC Avant Garde" w:hAnsi="ITC Avant Garde"/>
          <w:bCs/>
          <w:color w:val="000000"/>
          <w:sz w:val="22"/>
          <w:szCs w:val="22"/>
        </w:rPr>
        <w:t>idos M</w:t>
      </w:r>
      <w:r w:rsidR="00432A47" w:rsidRPr="00826E5D">
        <w:rPr>
          <w:rFonts w:ascii="ITC Avant Garde" w:hAnsi="ITC Avant Garde"/>
          <w:bCs/>
          <w:color w:val="000000"/>
          <w:sz w:val="22"/>
          <w:szCs w:val="22"/>
        </w:rPr>
        <w:t xml:space="preserve">exicanos (en lo sucesivo “Constitución”), </w:t>
      </w:r>
      <w:r w:rsidRPr="00826E5D">
        <w:rPr>
          <w:rFonts w:ascii="ITC Avant Garde" w:hAnsi="ITC Avant Garde"/>
          <w:bCs/>
          <w:color w:val="000000"/>
          <w:sz w:val="22"/>
          <w:szCs w:val="22"/>
        </w:rPr>
        <w:t xml:space="preserve">el IFT es un órgano autónomo, con personalidad jurídica y patrimonio propio, que tiene por objeto el desarrollo eficiente de la radiodifusión y las telecomunicaciones, </w:t>
      </w:r>
      <w:r w:rsidR="00035551" w:rsidRPr="00826E5D">
        <w:rPr>
          <w:rFonts w:ascii="ITC Avant Garde" w:hAnsi="ITC Avant Garde"/>
          <w:bCs/>
          <w:color w:val="000000"/>
          <w:sz w:val="22"/>
          <w:szCs w:val="22"/>
        </w:rPr>
        <w:t>conforme a</w:t>
      </w:r>
      <w:r w:rsidRPr="00826E5D">
        <w:rPr>
          <w:rFonts w:ascii="ITC Avant Garde" w:hAnsi="ITC Avant Garde"/>
          <w:bCs/>
          <w:color w:val="000000"/>
          <w:sz w:val="22"/>
          <w:szCs w:val="22"/>
        </w:rPr>
        <w:t xml:space="preserve"> lo dispuesto en la Constitución</w:t>
      </w:r>
      <w:r w:rsidR="00AE58BC" w:rsidRPr="00826E5D">
        <w:rPr>
          <w:rFonts w:ascii="ITC Avant Garde" w:hAnsi="ITC Avant Garde"/>
          <w:bCs/>
          <w:color w:val="000000"/>
          <w:sz w:val="22"/>
          <w:szCs w:val="22"/>
        </w:rPr>
        <w:t xml:space="preserve"> </w:t>
      </w:r>
      <w:r w:rsidRPr="00826E5D">
        <w:rPr>
          <w:rFonts w:ascii="ITC Avant Garde" w:hAnsi="ITC Avant Garde"/>
          <w:bCs/>
          <w:color w:val="000000"/>
          <w:sz w:val="22"/>
          <w:szCs w:val="22"/>
        </w:rPr>
        <w:t>y en los términos que fijen las leyes.</w:t>
      </w:r>
    </w:p>
    <w:p w:rsidR="001643CD" w:rsidRPr="00826E5D" w:rsidRDefault="001643CD"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 xml:space="preserve">En términos de lo dispuesto por </w:t>
      </w:r>
      <w:r w:rsidR="0006521C" w:rsidRPr="00826E5D">
        <w:rPr>
          <w:rFonts w:ascii="ITC Avant Garde" w:hAnsi="ITC Avant Garde"/>
          <w:bCs/>
          <w:color w:val="000000"/>
          <w:sz w:val="22"/>
          <w:szCs w:val="22"/>
        </w:rPr>
        <w:t>el artículo 7 de la</w:t>
      </w:r>
      <w:r w:rsidRPr="00826E5D">
        <w:rPr>
          <w:rFonts w:ascii="ITC Avant Garde" w:hAnsi="ITC Avant Garde"/>
          <w:bCs/>
          <w:color w:val="000000"/>
          <w:sz w:val="22"/>
          <w:szCs w:val="22"/>
        </w:rPr>
        <w:t xml:space="preserve"> </w:t>
      </w:r>
      <w:r w:rsidR="00BE4432" w:rsidRPr="00826E5D">
        <w:rPr>
          <w:rFonts w:ascii="ITC Avant Garde" w:hAnsi="ITC Avant Garde"/>
          <w:bCs/>
          <w:color w:val="000000"/>
          <w:sz w:val="22"/>
          <w:szCs w:val="22"/>
        </w:rPr>
        <w:t>Ley Federal de Telecomunicaciones y Radiodifusión (en lo sucesivo “</w:t>
      </w:r>
      <w:r w:rsidRPr="00826E5D">
        <w:rPr>
          <w:rFonts w:ascii="ITC Avant Garde" w:hAnsi="ITC Avant Garde"/>
          <w:bCs/>
          <w:color w:val="000000"/>
          <w:sz w:val="22"/>
          <w:szCs w:val="22"/>
        </w:rPr>
        <w:t>LFTR</w:t>
      </w:r>
      <w:r w:rsidR="00BE4432" w:rsidRPr="00826E5D">
        <w:rPr>
          <w:rFonts w:ascii="ITC Avant Garde" w:hAnsi="ITC Avant Garde"/>
          <w:bCs/>
          <w:color w:val="000000"/>
          <w:sz w:val="22"/>
          <w:szCs w:val="22"/>
        </w:rPr>
        <w:t>”)</w:t>
      </w:r>
      <w:r w:rsidRPr="00826E5D">
        <w:rPr>
          <w:rFonts w:ascii="ITC Avant Garde" w:hAnsi="ITC Avant Garde"/>
          <w:bCs/>
          <w:color w:val="000000"/>
          <w:sz w:val="22"/>
          <w:szCs w:val="22"/>
        </w:rPr>
        <w:t>, el IFT</w:t>
      </w:r>
      <w:r w:rsidR="0006521C" w:rsidRPr="00826E5D">
        <w:rPr>
          <w:rFonts w:ascii="ITC Avant Garde" w:hAnsi="ITC Avant Garde"/>
          <w:bCs/>
          <w:color w:val="000000"/>
          <w:sz w:val="22"/>
          <w:szCs w:val="22"/>
        </w:rPr>
        <w:t xml:space="preserve"> tiene a su cargo la regulación, promoción y supervisión del </w:t>
      </w:r>
      <w:r w:rsidRPr="00826E5D">
        <w:rPr>
          <w:rFonts w:ascii="ITC Avant Garde" w:hAnsi="ITC Avant Garde"/>
          <w:bCs/>
          <w:color w:val="000000"/>
          <w:sz w:val="22"/>
          <w:szCs w:val="22"/>
        </w:rPr>
        <w:t xml:space="preserve">uso, aprovechamiento y explotación del espectro radioeléctrico, </w:t>
      </w:r>
      <w:r w:rsidR="0006521C" w:rsidRPr="00826E5D">
        <w:rPr>
          <w:rFonts w:ascii="ITC Avant Garde" w:hAnsi="ITC Avant Garde"/>
          <w:bCs/>
          <w:color w:val="000000"/>
          <w:sz w:val="22"/>
          <w:szCs w:val="22"/>
        </w:rPr>
        <w:t xml:space="preserve">los recursos orbitales, los servicios satelitales, </w:t>
      </w:r>
      <w:r w:rsidRPr="00826E5D">
        <w:rPr>
          <w:rFonts w:ascii="ITC Avant Garde" w:hAnsi="ITC Avant Garde"/>
          <w:bCs/>
          <w:color w:val="000000"/>
          <w:sz w:val="22"/>
          <w:szCs w:val="22"/>
        </w:rPr>
        <w:t>las redes</w:t>
      </w:r>
      <w:r w:rsidR="0006521C" w:rsidRPr="00826E5D">
        <w:rPr>
          <w:rFonts w:ascii="ITC Avant Garde" w:hAnsi="ITC Avant Garde"/>
          <w:bCs/>
          <w:color w:val="000000"/>
          <w:sz w:val="22"/>
          <w:szCs w:val="22"/>
        </w:rPr>
        <w:t xml:space="preserve"> públicas de telecomunicaciones y la prestación de los servicios de radiodifusión y de telecomunicaciones, así como del</w:t>
      </w:r>
      <w:r w:rsidRPr="00826E5D">
        <w:rPr>
          <w:rFonts w:ascii="ITC Avant Garde" w:hAnsi="ITC Avant Garde"/>
          <w:bCs/>
          <w:color w:val="000000"/>
          <w:sz w:val="22"/>
          <w:szCs w:val="22"/>
        </w:rPr>
        <w:t xml:space="preserve"> acceso a la infraestructura activa y pasiva</w:t>
      </w:r>
      <w:r w:rsidR="0006521C" w:rsidRPr="00826E5D">
        <w:rPr>
          <w:rFonts w:ascii="ITC Avant Garde" w:hAnsi="ITC Avant Garde"/>
          <w:bCs/>
          <w:color w:val="000000"/>
          <w:sz w:val="22"/>
          <w:szCs w:val="22"/>
        </w:rPr>
        <w:t xml:space="preserve"> y otros insumos esenciales; y es la autoridad en materia de competencia económica en los sectores de radiodifusión y telecomunicaciones</w:t>
      </w:r>
      <w:r w:rsidR="008A3502" w:rsidRPr="00826E5D">
        <w:rPr>
          <w:rFonts w:ascii="ITC Avant Garde" w:hAnsi="ITC Avant Garde"/>
          <w:bCs/>
          <w:color w:val="000000"/>
          <w:sz w:val="22"/>
          <w:szCs w:val="22"/>
        </w:rPr>
        <w:t>,</w:t>
      </w:r>
      <w:r w:rsidR="006A6324" w:rsidRPr="00826E5D">
        <w:rPr>
          <w:rFonts w:ascii="ITC Avant Garde" w:hAnsi="ITC Avant Garde"/>
          <w:bCs/>
          <w:color w:val="000000"/>
          <w:sz w:val="22"/>
          <w:szCs w:val="22"/>
        </w:rPr>
        <w:t xml:space="preserve"> en materia de lineamientos técnicos relativos a la infraestructura y los equipos que se conecten a las redes de telecomunicaciones, así como en materia de homologación y evaluación de la conformidad de dicha infraestructura y equipos</w:t>
      </w:r>
      <w:r w:rsidRPr="00826E5D">
        <w:rPr>
          <w:rFonts w:ascii="ITC Avant Garde" w:hAnsi="ITC Avant Garde"/>
          <w:bCs/>
          <w:color w:val="000000"/>
          <w:sz w:val="22"/>
          <w:szCs w:val="22"/>
        </w:rPr>
        <w:t>.</w:t>
      </w:r>
    </w:p>
    <w:p w:rsidR="00826E5D" w:rsidRPr="00826E5D" w:rsidRDefault="00D47A58"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De acuerdo con lo establecido en los artículos 15, fracción LVII, 16 y 17 de la LFTR, así como 6, fracción XVIII, del Estatuto, e</w:t>
      </w:r>
      <w:r w:rsidR="00227ED6" w:rsidRPr="00826E5D">
        <w:rPr>
          <w:rFonts w:ascii="ITC Avant Garde" w:hAnsi="ITC Avant Garde"/>
          <w:bCs/>
          <w:color w:val="000000"/>
          <w:sz w:val="22"/>
          <w:szCs w:val="22"/>
        </w:rPr>
        <w:t>l Pleno del IFT</w:t>
      </w:r>
      <w:r w:rsidR="008C3DB0" w:rsidRPr="00826E5D">
        <w:rPr>
          <w:rFonts w:ascii="ITC Avant Garde" w:hAnsi="ITC Avant Garde"/>
          <w:bCs/>
          <w:color w:val="000000"/>
          <w:sz w:val="22"/>
          <w:szCs w:val="22"/>
        </w:rPr>
        <w:t xml:space="preserve"> </w:t>
      </w:r>
      <w:r w:rsidR="00227ED6" w:rsidRPr="00826E5D">
        <w:rPr>
          <w:rFonts w:ascii="ITC Avant Garde" w:hAnsi="ITC Avant Garde"/>
          <w:bCs/>
          <w:color w:val="000000"/>
          <w:sz w:val="22"/>
          <w:szCs w:val="22"/>
        </w:rPr>
        <w:t>resulta competente p</w:t>
      </w:r>
      <w:r w:rsidR="006A089C" w:rsidRPr="00826E5D">
        <w:rPr>
          <w:rFonts w:ascii="ITC Avant Garde" w:hAnsi="ITC Avant Garde"/>
          <w:bCs/>
          <w:color w:val="000000"/>
          <w:sz w:val="22"/>
          <w:szCs w:val="22"/>
        </w:rPr>
        <w:t>ara conocer del presente asunto</w:t>
      </w:r>
      <w:r w:rsidR="00227ED6" w:rsidRPr="00826E5D">
        <w:rPr>
          <w:rFonts w:ascii="ITC Avant Garde" w:hAnsi="ITC Avant Garde"/>
          <w:bCs/>
          <w:color w:val="000000"/>
          <w:sz w:val="22"/>
          <w:szCs w:val="22"/>
        </w:rPr>
        <w:t xml:space="preserve"> al tener atribuciones para interpretar la LFTR, así como las disposiciones administrativas en materia de telecomunicaciones y radiodifusión, en el ámbito de sus atribuciones y</w:t>
      </w:r>
      <w:r w:rsidR="006A089C" w:rsidRPr="00826E5D">
        <w:rPr>
          <w:rFonts w:ascii="ITC Avant Garde" w:hAnsi="ITC Avant Garde"/>
          <w:bCs/>
          <w:color w:val="000000"/>
          <w:sz w:val="22"/>
          <w:szCs w:val="22"/>
        </w:rPr>
        <w:t>, en consecuencia,</w:t>
      </w:r>
      <w:r w:rsidR="00227ED6" w:rsidRPr="00826E5D">
        <w:rPr>
          <w:rFonts w:ascii="ITC Avant Garde" w:hAnsi="ITC Avant Garde"/>
          <w:bCs/>
          <w:color w:val="000000"/>
          <w:sz w:val="22"/>
          <w:szCs w:val="22"/>
        </w:rPr>
        <w:t xml:space="preserve"> </w:t>
      </w:r>
      <w:r w:rsidR="002B4F4E" w:rsidRPr="00826E5D">
        <w:rPr>
          <w:rFonts w:ascii="ITC Avant Garde" w:hAnsi="ITC Avant Garde"/>
          <w:bCs/>
          <w:color w:val="000000"/>
          <w:sz w:val="22"/>
          <w:szCs w:val="22"/>
        </w:rPr>
        <w:t xml:space="preserve">para </w:t>
      </w:r>
      <w:r w:rsidR="00227ED6" w:rsidRPr="00826E5D">
        <w:rPr>
          <w:rFonts w:ascii="ITC Avant Garde" w:hAnsi="ITC Avant Garde"/>
          <w:bCs/>
          <w:color w:val="000000"/>
          <w:sz w:val="22"/>
          <w:szCs w:val="22"/>
        </w:rPr>
        <w:t>emitir el presente Acuerdo.</w:t>
      </w:r>
    </w:p>
    <w:p w:rsidR="00826E5D" w:rsidRPr="00826E5D" w:rsidRDefault="00C4762C" w:rsidP="00C52873">
      <w:pPr>
        <w:spacing w:line="276" w:lineRule="auto"/>
        <w:jc w:val="both"/>
        <w:rPr>
          <w:rFonts w:ascii="ITC Avant Garde" w:hAnsi="ITC Avant Garde"/>
          <w:bCs/>
          <w:color w:val="000000"/>
          <w:sz w:val="22"/>
          <w:szCs w:val="22"/>
        </w:rPr>
      </w:pPr>
      <w:r w:rsidRPr="00826E5D">
        <w:rPr>
          <w:rFonts w:ascii="ITC Avant Garde" w:hAnsi="ITC Avant Garde"/>
          <w:b/>
          <w:bCs/>
          <w:color w:val="000000"/>
          <w:sz w:val="22"/>
          <w:szCs w:val="22"/>
        </w:rPr>
        <w:t xml:space="preserve">SEGUNDO.- </w:t>
      </w:r>
      <w:r w:rsidR="00227ED6" w:rsidRPr="00826E5D">
        <w:rPr>
          <w:rFonts w:ascii="ITC Avant Garde" w:hAnsi="ITC Avant Garde"/>
          <w:b/>
          <w:bCs/>
          <w:color w:val="000000"/>
          <w:sz w:val="22"/>
          <w:szCs w:val="22"/>
        </w:rPr>
        <w:t>Solicitud de confirmación de criterio.-</w:t>
      </w:r>
      <w:r w:rsidR="00227ED6" w:rsidRPr="00826E5D">
        <w:rPr>
          <w:rFonts w:ascii="ITC Avant Garde" w:hAnsi="ITC Avant Garde"/>
          <w:bCs/>
          <w:color w:val="000000"/>
          <w:sz w:val="22"/>
          <w:szCs w:val="22"/>
        </w:rPr>
        <w:t xml:space="preserve"> </w:t>
      </w:r>
      <w:r w:rsidR="0052469A" w:rsidRPr="00826E5D">
        <w:rPr>
          <w:rFonts w:ascii="ITC Avant Garde" w:hAnsi="ITC Avant Garde"/>
          <w:bCs/>
          <w:color w:val="000000"/>
          <w:sz w:val="22"/>
          <w:szCs w:val="22"/>
        </w:rPr>
        <w:t>El</w:t>
      </w:r>
      <w:r w:rsidR="005D56D5" w:rsidRPr="00826E5D">
        <w:rPr>
          <w:rFonts w:ascii="ITC Avant Garde" w:hAnsi="ITC Avant Garde"/>
          <w:bCs/>
          <w:color w:val="000000"/>
          <w:sz w:val="22"/>
          <w:szCs w:val="22"/>
        </w:rPr>
        <w:t xml:space="preserve"> 14 de octubre de 2016 HANSAM</w:t>
      </w:r>
      <w:r w:rsidR="005D56D5" w:rsidRPr="00826E5D">
        <w:rPr>
          <w:rFonts w:ascii="ITC Avant Garde" w:hAnsi="ITC Avant Garde"/>
          <w:sz w:val="22"/>
          <w:szCs w:val="22"/>
        </w:rPr>
        <w:t xml:space="preserve">, a través de su </w:t>
      </w:r>
      <w:r w:rsidR="00136D0A" w:rsidRPr="00826E5D">
        <w:rPr>
          <w:rFonts w:ascii="ITC Avant Garde" w:hAnsi="ITC Avant Garde"/>
          <w:sz w:val="22"/>
          <w:szCs w:val="22"/>
        </w:rPr>
        <w:t xml:space="preserve">apoderada </w:t>
      </w:r>
      <w:r w:rsidR="005D56D5" w:rsidRPr="00826E5D">
        <w:rPr>
          <w:rFonts w:ascii="ITC Avant Garde" w:hAnsi="ITC Avant Garde"/>
          <w:sz w:val="22"/>
          <w:szCs w:val="22"/>
        </w:rPr>
        <w:t>legal</w:t>
      </w:r>
      <w:r w:rsidR="00D547FC" w:rsidRPr="00826E5D">
        <w:rPr>
          <w:rFonts w:ascii="ITC Avant Garde" w:hAnsi="ITC Avant Garde"/>
          <w:sz w:val="22"/>
          <w:szCs w:val="22"/>
        </w:rPr>
        <w:t>,</w:t>
      </w:r>
      <w:r w:rsidR="005D56D5" w:rsidRPr="00826E5D">
        <w:rPr>
          <w:rFonts w:ascii="ITC Avant Garde" w:hAnsi="ITC Avant Garde"/>
          <w:sz w:val="22"/>
          <w:szCs w:val="22"/>
        </w:rPr>
        <w:t xml:space="preserve"> solicitó al</w:t>
      </w:r>
      <w:r w:rsidR="00D547FC" w:rsidRPr="00826E5D">
        <w:rPr>
          <w:rFonts w:ascii="ITC Avant Garde" w:hAnsi="ITC Avant Garde"/>
          <w:sz w:val="22"/>
          <w:szCs w:val="22"/>
        </w:rPr>
        <w:t xml:space="preserve"> Pleno del</w:t>
      </w:r>
      <w:r w:rsidR="005D56D5" w:rsidRPr="00826E5D">
        <w:rPr>
          <w:rFonts w:ascii="ITC Avant Garde" w:hAnsi="ITC Avant Garde"/>
          <w:sz w:val="22"/>
          <w:szCs w:val="22"/>
        </w:rPr>
        <w:t xml:space="preserve"> </w:t>
      </w:r>
      <w:r w:rsidR="00C64A3C" w:rsidRPr="00826E5D">
        <w:rPr>
          <w:rFonts w:ascii="ITC Avant Garde" w:hAnsi="ITC Avant Garde"/>
          <w:sz w:val="22"/>
          <w:szCs w:val="22"/>
        </w:rPr>
        <w:t>IFT la</w:t>
      </w:r>
      <w:r w:rsidR="005D56D5" w:rsidRPr="00826E5D">
        <w:rPr>
          <w:rFonts w:ascii="ITC Avant Garde" w:hAnsi="ITC Avant Garde"/>
          <w:sz w:val="22"/>
          <w:szCs w:val="22"/>
        </w:rPr>
        <w:t xml:space="preserve"> confirmación de criterio</w:t>
      </w:r>
      <w:r w:rsidR="00227ED6" w:rsidRPr="00826E5D">
        <w:rPr>
          <w:rFonts w:ascii="ITC Avant Garde" w:hAnsi="ITC Avant Garde"/>
          <w:bCs/>
          <w:color w:val="000000"/>
          <w:sz w:val="22"/>
          <w:szCs w:val="22"/>
        </w:rPr>
        <w:t xml:space="preserve"> </w:t>
      </w:r>
      <w:r w:rsidR="0098681F" w:rsidRPr="00826E5D">
        <w:rPr>
          <w:rFonts w:ascii="ITC Avant Garde" w:hAnsi="ITC Avant Garde"/>
          <w:bCs/>
          <w:color w:val="000000"/>
          <w:sz w:val="22"/>
          <w:szCs w:val="22"/>
        </w:rPr>
        <w:t>en relación a lo siguiente</w:t>
      </w:r>
      <w:r w:rsidR="00227ED6" w:rsidRPr="00826E5D">
        <w:rPr>
          <w:rFonts w:ascii="ITC Avant Garde" w:hAnsi="ITC Avant Garde"/>
          <w:bCs/>
          <w:color w:val="000000"/>
          <w:sz w:val="22"/>
          <w:szCs w:val="22"/>
        </w:rPr>
        <w:t>:</w:t>
      </w:r>
    </w:p>
    <w:p w:rsidR="00227ED6" w:rsidRPr="00826E5D" w:rsidRDefault="00227ED6"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826E5D" w:rsidRPr="00826E5D" w:rsidRDefault="00140241" w:rsidP="00C52873">
      <w:pPr>
        <w:tabs>
          <w:tab w:val="left" w:pos="7513"/>
        </w:tabs>
        <w:spacing w:line="276" w:lineRule="auto"/>
        <w:ind w:left="709" w:right="757" w:firstLine="425"/>
        <w:jc w:val="both"/>
        <w:rPr>
          <w:rFonts w:ascii="ITC Avant Garde" w:hAnsi="ITC Avant Garde"/>
          <w:b/>
          <w:bCs/>
          <w:color w:val="000000"/>
          <w:sz w:val="20"/>
          <w:szCs w:val="20"/>
          <w:lang w:val="es-MX" w:eastAsia="es-MX"/>
        </w:rPr>
      </w:pPr>
      <w:r w:rsidRPr="00826E5D">
        <w:rPr>
          <w:rFonts w:ascii="ITC Avant Garde" w:hAnsi="ITC Avant Garde"/>
          <w:b/>
          <w:bCs/>
          <w:color w:val="000000"/>
          <w:sz w:val="20"/>
          <w:szCs w:val="20"/>
          <w:lang w:val="es-MX" w:eastAsia="es-MX"/>
        </w:rPr>
        <w:t>I. HECHOS QUE DAN MOTIVO A LA PETICIÓN</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lastRenderedPageBreak/>
        <w:t>3. Ley Federal de Telecomunicaciones y Radiodifusión.</w:t>
      </w:r>
      <w:r w:rsidRPr="00826E5D">
        <w:rPr>
          <w:rFonts w:ascii="ITC Avant Garde" w:hAnsi="ITC Avant Garde"/>
          <w:bCs/>
          <w:color w:val="000000"/>
          <w:sz w:val="20"/>
          <w:szCs w:val="20"/>
          <w:lang w:val="es-MX" w:eastAsia="es-MX"/>
        </w:rPr>
        <w:t xml:space="preserve"> Con fecha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(“Decreto de la </w:t>
      </w:r>
      <w:proofErr w:type="spellStart"/>
      <w:r w:rsidRPr="00826E5D">
        <w:rPr>
          <w:rFonts w:ascii="ITC Avant Garde" w:hAnsi="ITC Avant Garde"/>
          <w:bCs/>
          <w:color w:val="000000"/>
          <w:sz w:val="20"/>
          <w:szCs w:val="20"/>
          <w:lang w:val="es-MX" w:eastAsia="es-MX"/>
        </w:rPr>
        <w:t>LFTyR</w:t>
      </w:r>
      <w:proofErr w:type="spellEnd"/>
      <w:r w:rsidRPr="00826E5D">
        <w:rPr>
          <w:rFonts w:ascii="ITC Avant Garde" w:hAnsi="ITC Avant Garde"/>
          <w:bCs/>
          <w:color w:val="000000"/>
          <w:sz w:val="20"/>
          <w:szCs w:val="20"/>
          <w:lang w:val="es-MX" w:eastAsia="es-MX"/>
        </w:rPr>
        <w:t>”).</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En el artículo Décimo Tercero Transitorio del Decreto de la </w:t>
      </w:r>
      <w:proofErr w:type="spellStart"/>
      <w:r w:rsidRPr="00826E5D">
        <w:rPr>
          <w:rFonts w:ascii="ITC Avant Garde" w:hAnsi="ITC Avant Garde"/>
          <w:bCs/>
          <w:color w:val="000000"/>
          <w:sz w:val="20"/>
          <w:szCs w:val="20"/>
          <w:lang w:val="es-MX" w:eastAsia="es-MX"/>
        </w:rPr>
        <w:t>LFTyR</w:t>
      </w:r>
      <w:proofErr w:type="spellEnd"/>
      <w:r w:rsidRPr="00826E5D">
        <w:rPr>
          <w:rFonts w:ascii="ITC Avant Garde" w:hAnsi="ITC Avant Garde"/>
          <w:bCs/>
          <w:color w:val="000000"/>
          <w:sz w:val="20"/>
          <w:szCs w:val="20"/>
          <w:lang w:val="es-MX" w:eastAsia="es-MX"/>
        </w:rPr>
        <w:t xml:space="preserve"> se establece que el Ejecutivo Federal, a través de la Secretaría de Comunicaciones y Transportes, realizará las acciones tendientes a instalar al [sic] Red Compartida y que, en caso de que requiera las bandas de frecuencias del espectro liberado por la transición a la televisión digital terrestre (banda de 700 MHz) para crecer y fortalecer la red compartida, el Instituto la otorgará directamente, siempre y cuando, dicha red se mantenga bajo el control de una entidad o dependencia pública o bajo un esquema de asociación público privada.</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Por su parte, el artículo 142 de la </w:t>
      </w:r>
      <w:proofErr w:type="spellStart"/>
      <w:r w:rsidRPr="00826E5D">
        <w:rPr>
          <w:rFonts w:ascii="ITC Avant Garde" w:hAnsi="ITC Avant Garde"/>
          <w:bCs/>
          <w:color w:val="000000"/>
          <w:sz w:val="20"/>
          <w:szCs w:val="20"/>
          <w:lang w:val="es-MX" w:eastAsia="es-MX"/>
        </w:rPr>
        <w:t>LFTyR</w:t>
      </w:r>
      <w:proofErr w:type="spellEnd"/>
      <w:r w:rsidRPr="00826E5D">
        <w:rPr>
          <w:rFonts w:ascii="ITC Avant Garde" w:hAnsi="ITC Avant Garde"/>
          <w:bCs/>
          <w:color w:val="000000"/>
          <w:sz w:val="20"/>
          <w:szCs w:val="20"/>
          <w:lang w:val="es-MX" w:eastAsia="es-MX"/>
        </w:rPr>
        <w:t xml:space="preserve"> establece que el Instituto asignará directamente 90 MHz de la banda de 700 MHz para la operación y explotación de la Red Compartida, mediante concesión de uso comercial y en los términos previstos por dicha ley.</w:t>
      </w:r>
    </w:p>
    <w:p w:rsidR="00140241"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En la misma línea, </w:t>
      </w:r>
      <w:r w:rsidRPr="00826E5D">
        <w:rPr>
          <w:rFonts w:ascii="ITC Avant Garde" w:hAnsi="ITC Avant Garde"/>
          <w:bCs/>
          <w:color w:val="000000"/>
          <w:sz w:val="20"/>
          <w:szCs w:val="20"/>
          <w:u w:val="single"/>
          <w:lang w:val="es-MX" w:eastAsia="es-MX"/>
        </w:rPr>
        <w:t xml:space="preserve">la </w:t>
      </w:r>
      <w:proofErr w:type="spellStart"/>
      <w:r w:rsidRPr="00826E5D">
        <w:rPr>
          <w:rFonts w:ascii="ITC Avant Garde" w:hAnsi="ITC Avant Garde"/>
          <w:bCs/>
          <w:color w:val="000000"/>
          <w:sz w:val="20"/>
          <w:szCs w:val="20"/>
          <w:u w:val="single"/>
          <w:lang w:val="es-MX" w:eastAsia="es-MX"/>
        </w:rPr>
        <w:t>LFTyR</w:t>
      </w:r>
      <w:proofErr w:type="spellEnd"/>
      <w:r w:rsidRPr="00826E5D">
        <w:rPr>
          <w:rFonts w:ascii="ITC Avant Garde" w:hAnsi="ITC Avant Garde"/>
          <w:bCs/>
          <w:color w:val="000000"/>
          <w:sz w:val="20"/>
          <w:szCs w:val="20"/>
          <w:u w:val="single"/>
          <w:lang w:val="es-MX" w:eastAsia="es-MX"/>
        </w:rPr>
        <w:t xml:space="preserve"> establece que la celebración de acuerdos relativos al servicio de usuario visitante</w:t>
      </w:r>
      <w:r w:rsidRPr="00826E5D">
        <w:rPr>
          <w:rStyle w:val="Refdenotaalpie"/>
          <w:rFonts w:ascii="ITC Avant Garde" w:hAnsi="ITC Avant Garde"/>
          <w:bCs/>
          <w:color w:val="000000"/>
          <w:sz w:val="20"/>
          <w:szCs w:val="20"/>
          <w:lang w:val="es-MX" w:eastAsia="es-MX"/>
        </w:rPr>
        <w:footnoteReference w:id="1"/>
      </w:r>
      <w:r w:rsidRPr="00826E5D">
        <w:rPr>
          <w:rFonts w:ascii="ITC Avant Garde" w:hAnsi="ITC Avant Garde"/>
          <w:bCs/>
          <w:color w:val="000000"/>
          <w:sz w:val="20"/>
          <w:szCs w:val="20"/>
          <w:lang w:val="es-MX" w:eastAsia="es-MX"/>
        </w:rPr>
        <w:t>, servicios de interconexión</w:t>
      </w:r>
      <w:r w:rsidRPr="00826E5D">
        <w:rPr>
          <w:rStyle w:val="Refdenotaalpie"/>
          <w:rFonts w:ascii="ITC Avant Garde" w:hAnsi="ITC Avant Garde"/>
          <w:bCs/>
          <w:color w:val="000000"/>
          <w:sz w:val="20"/>
          <w:szCs w:val="20"/>
          <w:lang w:val="es-MX" w:eastAsia="es-MX"/>
        </w:rPr>
        <w:footnoteReference w:id="2"/>
      </w:r>
      <w:r w:rsidRPr="00826E5D">
        <w:rPr>
          <w:rFonts w:ascii="ITC Avant Garde" w:hAnsi="ITC Avant Garde"/>
          <w:bCs/>
          <w:color w:val="000000"/>
          <w:sz w:val="20"/>
          <w:szCs w:val="20"/>
          <w:lang w:val="es-MX" w:eastAsia="es-MX"/>
        </w:rPr>
        <w:t xml:space="preserve"> y servicios mayoristas</w:t>
      </w:r>
      <w:r w:rsidRPr="00826E5D">
        <w:rPr>
          <w:rStyle w:val="Refdenotaalpie"/>
          <w:rFonts w:ascii="ITC Avant Garde" w:hAnsi="ITC Avant Garde"/>
          <w:bCs/>
          <w:color w:val="000000"/>
          <w:sz w:val="20"/>
          <w:szCs w:val="20"/>
          <w:lang w:val="es-MX" w:eastAsia="es-MX"/>
        </w:rPr>
        <w:footnoteReference w:id="3"/>
      </w:r>
      <w:r w:rsidRPr="00826E5D">
        <w:rPr>
          <w:rFonts w:ascii="ITC Avant Garde" w:hAnsi="ITC Avant Garde"/>
          <w:bCs/>
          <w:color w:val="000000"/>
          <w:sz w:val="20"/>
          <w:szCs w:val="20"/>
          <w:lang w:val="es-MX" w:eastAsia="es-MX"/>
        </w:rPr>
        <w:t xml:space="preserve"> </w:t>
      </w:r>
      <w:r w:rsidRPr="00826E5D">
        <w:rPr>
          <w:rFonts w:ascii="ITC Avant Garde" w:hAnsi="ITC Avant Garde"/>
          <w:bCs/>
          <w:color w:val="000000"/>
          <w:sz w:val="20"/>
          <w:szCs w:val="20"/>
          <w:u w:val="single"/>
          <w:lang w:val="es-MX" w:eastAsia="es-MX"/>
        </w:rPr>
        <w:t>serán de prestación obligatoria para el Agente Económico Preponderante en el Sector Telecomunicaciones y que éste, asimismo, se encuentra obligado a prestar el servicio de usuario visitante de manera temporal y exclusivamente en aquellas zonas en las que el concesionario interesado no cuente con infraestructura o no preste el servicio móvil</w:t>
      </w:r>
      <w:r w:rsidRPr="00826E5D">
        <w:rPr>
          <w:rStyle w:val="Refdenotaalpie"/>
          <w:rFonts w:ascii="ITC Avant Garde" w:hAnsi="ITC Avant Garde"/>
          <w:bCs/>
          <w:color w:val="000000"/>
          <w:sz w:val="20"/>
          <w:szCs w:val="20"/>
          <w:lang w:val="es-MX" w:eastAsia="es-MX"/>
        </w:rPr>
        <w:footnoteReference w:id="4"/>
      </w:r>
      <w:r w:rsidRPr="00826E5D">
        <w:rPr>
          <w:rFonts w:ascii="ITC Avant Garde" w:hAnsi="ITC Avant Garde"/>
          <w:bCs/>
          <w:color w:val="000000"/>
          <w:sz w:val="20"/>
          <w:szCs w:val="20"/>
          <w:lang w:val="es-MX" w:eastAsia="es-MX"/>
        </w:rPr>
        <w:t>.</w:t>
      </w:r>
    </w:p>
    <w:p w:rsidR="00140241" w:rsidRPr="00826E5D" w:rsidRDefault="00140241" w:rsidP="00016A84">
      <w:pPr>
        <w:tabs>
          <w:tab w:val="left" w:pos="7513"/>
        </w:tabs>
        <w:spacing w:line="276" w:lineRule="auto"/>
        <w:ind w:left="709" w:right="757" w:firstLine="284"/>
        <w:jc w:val="right"/>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[Énfasis añadido]</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5. Acceso a las Ofertas de Referencia emitidas por el Agente Económico Preponderante en el Sector de Telecomunicaciones</w:t>
      </w:r>
      <w:r w:rsidRPr="00826E5D">
        <w:rPr>
          <w:rFonts w:ascii="ITC Avant Garde" w:hAnsi="ITC Avant Garde"/>
          <w:bCs/>
          <w:color w:val="000000"/>
          <w:sz w:val="20"/>
          <w:szCs w:val="20"/>
          <w:lang w:val="es-MX" w:eastAsia="es-MX"/>
        </w:rPr>
        <w:t>. De conformidad con la Resolución de Preponderancia, y específicamente en las Ofertas de Referencia emitidas por el Agente Económico Preponderante en el Sector de Telecomunicaciones y aprobadas por ese Instituto, se establece que el acceso a los servicios de telecomunicaciones ahí contemplados se puede realizar por cualquier persona física y/o moral que sean titulares de concesiones de redes públicas de telecomunicaciones otorgadas por el Gobierno Federal para servicios fijos o móviles, así como a titulares de concesiones únicas para prestar servicios públicos de telecomunicaciones.</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lastRenderedPageBreak/>
        <w:t xml:space="preserve">Como se mencionó anteriormente, </w:t>
      </w:r>
      <w:r w:rsidRPr="00826E5D">
        <w:rPr>
          <w:rFonts w:ascii="ITC Avant Garde" w:hAnsi="ITC Avant Garde"/>
          <w:bCs/>
          <w:color w:val="000000"/>
          <w:sz w:val="20"/>
          <w:szCs w:val="20"/>
          <w:u w:val="single"/>
          <w:lang w:val="es-MX" w:eastAsia="es-MX"/>
        </w:rPr>
        <w:t>el Agente Económico Preponderante en el Sector de Telecomunicaciones se encuentra obligado a prestar los servicios de</w:t>
      </w:r>
      <w:r w:rsidRPr="00826E5D">
        <w:rPr>
          <w:rFonts w:ascii="ITC Avant Garde" w:hAnsi="ITC Avant Garde"/>
          <w:bCs/>
          <w:color w:val="000000"/>
          <w:sz w:val="20"/>
          <w:szCs w:val="20"/>
          <w:lang w:val="es-MX" w:eastAsia="es-MX"/>
        </w:rPr>
        <w:t xml:space="preserve">: Compartición de Infraestructura Pasiva, </w:t>
      </w:r>
      <w:r w:rsidRPr="00826E5D">
        <w:rPr>
          <w:rFonts w:ascii="ITC Avant Garde" w:hAnsi="ITC Avant Garde"/>
          <w:bCs/>
          <w:color w:val="000000"/>
          <w:sz w:val="20"/>
          <w:szCs w:val="20"/>
          <w:u w:val="single"/>
          <w:lang w:val="es-MX" w:eastAsia="es-MX"/>
        </w:rPr>
        <w:t>Mayorista de Usuario Visitante</w:t>
      </w:r>
      <w:r w:rsidRPr="00826E5D">
        <w:rPr>
          <w:rFonts w:ascii="ITC Avant Garde" w:hAnsi="ITC Avant Garde"/>
          <w:bCs/>
          <w:color w:val="000000"/>
          <w:sz w:val="20"/>
          <w:szCs w:val="20"/>
          <w:lang w:val="es-MX" w:eastAsia="es-MX"/>
        </w:rPr>
        <w:t>, Comercialización o Renta de servicios por parte de Operadores Móviles Virtuales, Interconexión, Mayorista de Arrendamiento de Enlaces Dedicados, Desagregación del Bucle Local y los Servicios de Reventa de Línea, a cualquier cocesionario de servicios públicos de telecomunicaciones en condiciones no discriminatorias y conforme a los términos y condiciones establecidos en las Ofertas de Referencia emitidas para cada uno de los servicios en específico.</w:t>
      </w:r>
    </w:p>
    <w:p w:rsidR="00826E5D" w:rsidRPr="00826E5D" w:rsidRDefault="00140241" w:rsidP="00C52873">
      <w:pPr>
        <w:tabs>
          <w:tab w:val="left" w:pos="7513"/>
        </w:tabs>
        <w:spacing w:line="276" w:lineRule="auto"/>
        <w:ind w:left="709"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A saber, el Agente Económico Preponderante en el Sector de Telecomunicaciones ha emitido las siguientes ofertas de referencia y convenios marco:</w:t>
      </w:r>
    </w:p>
    <w:p w:rsidR="00140241" w:rsidRPr="00826E5D" w:rsidRDefault="00140241" w:rsidP="00C52873">
      <w:pPr>
        <w:pStyle w:val="Prrafodelista"/>
        <w:numPr>
          <w:ilvl w:val="0"/>
          <w:numId w:val="6"/>
        </w:numPr>
        <w:spacing w:line="276" w:lineRule="auto"/>
        <w:ind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Convenio marco de interconexión para servicios móviles y fijos</w:t>
      </w:r>
    </w:p>
    <w:p w:rsidR="00140241" w:rsidRPr="00826E5D" w:rsidRDefault="00140241" w:rsidP="00C52873">
      <w:pPr>
        <w:pStyle w:val="Prrafodelista"/>
        <w:numPr>
          <w:ilvl w:val="0"/>
          <w:numId w:val="6"/>
        </w:numPr>
        <w:spacing w:line="276" w:lineRule="auto"/>
        <w:ind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Oferta de referencia de enlaces dedicados</w:t>
      </w:r>
    </w:p>
    <w:p w:rsidR="00140241" w:rsidRPr="00826E5D" w:rsidRDefault="00140241" w:rsidP="00C52873">
      <w:pPr>
        <w:pStyle w:val="Prrafodelista"/>
        <w:numPr>
          <w:ilvl w:val="0"/>
          <w:numId w:val="6"/>
        </w:numPr>
        <w:spacing w:line="276" w:lineRule="auto"/>
        <w:ind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Oferta de referencia para el Uso de Infraestructura Pasiva</w:t>
      </w:r>
    </w:p>
    <w:p w:rsidR="00140241" w:rsidRPr="00826E5D" w:rsidRDefault="00140241" w:rsidP="00C52873">
      <w:pPr>
        <w:pStyle w:val="Prrafodelista"/>
        <w:numPr>
          <w:ilvl w:val="0"/>
          <w:numId w:val="6"/>
        </w:numPr>
        <w:spacing w:line="276" w:lineRule="auto"/>
        <w:ind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Oferta de referencia para Operadores Móviles Virtuales</w:t>
      </w:r>
    </w:p>
    <w:p w:rsidR="00140241" w:rsidRPr="00826E5D" w:rsidRDefault="00140241" w:rsidP="00C52873">
      <w:pPr>
        <w:pStyle w:val="Prrafodelista"/>
        <w:numPr>
          <w:ilvl w:val="0"/>
          <w:numId w:val="6"/>
        </w:numPr>
        <w:spacing w:line="276" w:lineRule="auto"/>
        <w:ind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Oferta de Referencia para Usuarios Visitantes en redes móviles</w:t>
      </w:r>
    </w:p>
    <w:p w:rsidR="00826E5D" w:rsidRPr="00826E5D" w:rsidRDefault="00140241" w:rsidP="00C52873">
      <w:pPr>
        <w:pStyle w:val="Prrafodelista"/>
        <w:numPr>
          <w:ilvl w:val="0"/>
          <w:numId w:val="6"/>
        </w:numPr>
        <w:spacing w:line="276" w:lineRule="auto"/>
        <w:ind w:right="757" w:firstLine="425"/>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Oferta de referencia para la Desagregación del Bucle Local</w:t>
      </w:r>
    </w:p>
    <w:p w:rsidR="00826E5D" w:rsidRPr="00826E5D" w:rsidRDefault="00A03EAC" w:rsidP="00C52873">
      <w:pPr>
        <w:tabs>
          <w:tab w:val="left" w:pos="7513"/>
        </w:tabs>
        <w:spacing w:line="276" w:lineRule="auto"/>
        <w:ind w:left="709" w:right="757"/>
        <w:jc w:val="both"/>
        <w:rPr>
          <w:rFonts w:ascii="ITC Avant Garde" w:hAnsi="ITC Avant Garde"/>
          <w:b/>
          <w:bCs/>
          <w:color w:val="000000"/>
          <w:sz w:val="20"/>
          <w:szCs w:val="20"/>
          <w:lang w:val="es-MX" w:eastAsia="es-MX"/>
        </w:rPr>
      </w:pPr>
      <w:r w:rsidRPr="00826E5D">
        <w:rPr>
          <w:rFonts w:ascii="ITC Avant Garde" w:hAnsi="ITC Avant Garde"/>
          <w:b/>
          <w:bCs/>
          <w:color w:val="000000"/>
          <w:sz w:val="20"/>
          <w:szCs w:val="20"/>
          <w:lang w:val="es-MX" w:eastAsia="es-MX"/>
        </w:rPr>
        <w:t>II. OBJETO DE LA CONSULTA</w:t>
      </w:r>
    </w:p>
    <w:p w:rsidR="00826E5D" w:rsidRPr="00826E5D" w:rsidRDefault="006A4B89"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En virtud de lo anterior, el objeto de la consulta que se plantea </w:t>
      </w:r>
      <w:r w:rsidR="00660688" w:rsidRPr="00826E5D">
        <w:rPr>
          <w:rFonts w:ascii="ITC Avant Garde" w:hAnsi="ITC Avant Garde"/>
          <w:bCs/>
          <w:color w:val="000000"/>
          <w:sz w:val="20"/>
          <w:szCs w:val="20"/>
          <w:lang w:val="es-MX" w:eastAsia="es-MX"/>
        </w:rPr>
        <w:t>por medio del p</w:t>
      </w:r>
      <w:r w:rsidR="006D0FE0" w:rsidRPr="00826E5D">
        <w:rPr>
          <w:rFonts w:ascii="ITC Avant Garde" w:hAnsi="ITC Avant Garde"/>
          <w:bCs/>
          <w:color w:val="000000"/>
          <w:sz w:val="20"/>
          <w:szCs w:val="20"/>
          <w:lang w:val="es-MX" w:eastAsia="es-MX"/>
        </w:rPr>
        <w:t>resente escrito se circunscribe a llevar a cabo la interpretación de las disposiciones legales y reglamentarias aplicables sobre los derechos y facultades con las que contará el Desarrollador de la Red Compartida para:</w:t>
      </w:r>
    </w:p>
    <w:p w:rsidR="00826E5D" w:rsidRPr="00826E5D" w:rsidRDefault="006D0FE0"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1.- Determinar si como parte de sus prerrogativas y obligaciones para adquirir o gestionar el uso, por cualquier medio legal, de cualquier bien, activo, servicio o derecho que requiera para la instalación, despliegue, operación, mantenimiento y actualización de la Red Compartida </w:t>
      </w:r>
      <w:r w:rsidRPr="00826E5D">
        <w:rPr>
          <w:rFonts w:ascii="ITC Avant Garde" w:hAnsi="ITC Avant Garde"/>
          <w:bCs/>
          <w:color w:val="000000"/>
          <w:sz w:val="20"/>
          <w:szCs w:val="20"/>
          <w:u w:val="single"/>
          <w:lang w:val="es-MX" w:eastAsia="es-MX"/>
        </w:rPr>
        <w:t>podrá contratar los servicios contenidos en las Ofertas de Referencia emitidas por el Agente Económico Preponderante en el Sector de Telecomunicaciones</w:t>
      </w:r>
      <w:r w:rsidRPr="00826E5D">
        <w:rPr>
          <w:rFonts w:ascii="ITC Avant Garde" w:hAnsi="ITC Avant Garde"/>
          <w:bCs/>
          <w:color w:val="000000"/>
          <w:sz w:val="20"/>
          <w:szCs w:val="20"/>
          <w:lang w:val="es-MX" w:eastAsia="es-MX"/>
        </w:rPr>
        <w:t xml:space="preserve"> para la prestación del Servicio Mayorista de Telecomunicaciones, y </w:t>
      </w:r>
    </w:p>
    <w:p w:rsidR="00295666" w:rsidRPr="00826E5D" w:rsidRDefault="006D0FE0"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2.- </w:t>
      </w:r>
      <w:r w:rsidRPr="00826E5D">
        <w:rPr>
          <w:rFonts w:ascii="ITC Avant Garde" w:hAnsi="ITC Avant Garde"/>
          <w:bCs/>
          <w:color w:val="000000"/>
          <w:sz w:val="20"/>
          <w:szCs w:val="20"/>
          <w:u w:val="single"/>
          <w:lang w:val="es-MX" w:eastAsia="es-MX"/>
        </w:rPr>
        <w:t xml:space="preserve">Dilucidar si </w:t>
      </w:r>
      <w:r w:rsidR="00C64A3C" w:rsidRPr="00826E5D">
        <w:rPr>
          <w:rFonts w:ascii="ITC Avant Garde" w:hAnsi="ITC Avant Garde"/>
          <w:bCs/>
          <w:color w:val="000000"/>
          <w:sz w:val="20"/>
          <w:szCs w:val="20"/>
          <w:u w:val="single"/>
          <w:lang w:val="es-MX" w:eastAsia="es-MX"/>
        </w:rPr>
        <w:t>en relación</w:t>
      </w:r>
      <w:r w:rsidRPr="00826E5D">
        <w:rPr>
          <w:rFonts w:ascii="ITC Avant Garde" w:hAnsi="ITC Avant Garde"/>
          <w:bCs/>
          <w:color w:val="000000"/>
          <w:sz w:val="20"/>
          <w:szCs w:val="20"/>
          <w:u w:val="single"/>
          <w:lang w:val="es-MX" w:eastAsia="es-MX"/>
        </w:rPr>
        <w:t xml:space="preserve"> con las obligaciones establecidas por ese Instituto al Agente Económico Preponderante en el Sector de Telecomunicaciones sobre servicios móviles, contenidas en el Anexo 1 de la Resolución de Preponderancia; el Desarrollador de la Red Pública Compartida podrá contratar Servicios M</w:t>
      </w:r>
      <w:r w:rsidR="00295666" w:rsidRPr="00826E5D">
        <w:rPr>
          <w:rFonts w:ascii="ITC Avant Garde" w:hAnsi="ITC Avant Garde"/>
          <w:bCs/>
          <w:color w:val="000000"/>
          <w:sz w:val="20"/>
          <w:szCs w:val="20"/>
          <w:u w:val="single"/>
          <w:lang w:val="es-MX" w:eastAsia="es-MX"/>
        </w:rPr>
        <w:t>ayoristas de Usuario Visitante</w:t>
      </w:r>
      <w:r w:rsidR="00295666" w:rsidRPr="00826E5D">
        <w:rPr>
          <w:rFonts w:ascii="ITC Avant Garde" w:hAnsi="ITC Avant Garde"/>
          <w:bCs/>
          <w:color w:val="000000"/>
          <w:sz w:val="20"/>
          <w:szCs w:val="20"/>
          <w:lang w:val="es-MX" w:eastAsia="es-MX"/>
        </w:rPr>
        <w:t>.</w:t>
      </w:r>
    </w:p>
    <w:p w:rsidR="00826E5D" w:rsidRPr="00826E5D" w:rsidRDefault="008F6EB3"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826E5D" w:rsidRPr="00826E5D" w:rsidRDefault="000D1B2D"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e) La Oferta de Referencia no prohíbe la prestación de servicios mayoristas</w:t>
      </w:r>
    </w:p>
    <w:p w:rsidR="00826E5D" w:rsidRPr="00826E5D" w:rsidRDefault="000D1B2D"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En el cuerpo y texto de la Oferta de Referencia para la Prestación del Servicio Mayorista de Usuario Visitante no se establece prohibición para prestar esos servicios por parte de la Red Compartida o por usuarios que presten servicios mayoristas.</w:t>
      </w:r>
    </w:p>
    <w:p w:rsidR="000F77B2" w:rsidRPr="00826E5D" w:rsidRDefault="000D1B2D" w:rsidP="000F77B2">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lastRenderedPageBreak/>
        <w:t xml:space="preserve">Dicha prohibición se encuentra contenida en el Convenio de Servicios Mayoristas </w:t>
      </w:r>
      <w:r w:rsidR="00A03EAC" w:rsidRPr="00826E5D">
        <w:rPr>
          <w:rFonts w:ascii="ITC Avant Garde" w:hAnsi="ITC Avant Garde"/>
          <w:bCs/>
          <w:color w:val="000000"/>
          <w:sz w:val="20"/>
          <w:szCs w:val="20"/>
          <w:lang w:val="es-MX" w:eastAsia="es-MX"/>
        </w:rPr>
        <w:t>de Usuario Visitante</w:t>
      </w:r>
      <w:r w:rsidRPr="00826E5D">
        <w:rPr>
          <w:rFonts w:ascii="ITC Avant Garde" w:hAnsi="ITC Avant Garde"/>
          <w:bCs/>
          <w:color w:val="000000"/>
          <w:sz w:val="20"/>
          <w:szCs w:val="20"/>
          <w:lang w:val="es-MX" w:eastAsia="es-MX"/>
        </w:rPr>
        <w:t xml:space="preserve"> y, por lo tanto, se considera que excede indebidamente a las medidas establecidas en el Anexo 1 de la Resolución de Preponderancia Dicho </w:t>
      </w:r>
      <w:r w:rsidR="000F77B2" w:rsidRPr="00826E5D">
        <w:rPr>
          <w:rFonts w:ascii="ITC Avant Garde" w:hAnsi="ITC Avant Garde"/>
          <w:bCs/>
          <w:color w:val="000000"/>
          <w:sz w:val="20"/>
          <w:szCs w:val="20"/>
          <w:lang w:val="es-MX" w:eastAsia="es-MX"/>
        </w:rPr>
        <w:t>convenio establece lo siguiente:</w:t>
      </w:r>
    </w:p>
    <w:p w:rsidR="000F77B2" w:rsidRPr="00826E5D" w:rsidRDefault="000D1B2D" w:rsidP="000F77B2">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 5.2 RESP</w:t>
      </w:r>
      <w:r w:rsidR="000F77B2" w:rsidRPr="00826E5D">
        <w:rPr>
          <w:rFonts w:ascii="ITC Avant Garde" w:hAnsi="ITC Avant Garde"/>
          <w:bCs/>
          <w:color w:val="000000"/>
          <w:sz w:val="20"/>
          <w:szCs w:val="20"/>
          <w:lang w:val="es-MX" w:eastAsia="es-MX"/>
        </w:rPr>
        <w:t>ONSABILIDADES DEL CONCESIONARIO.</w:t>
      </w:r>
    </w:p>
    <w:p w:rsidR="00826E5D" w:rsidRPr="00826E5D" w:rsidRDefault="000D1B2D" w:rsidP="000F77B2">
      <w:pPr>
        <w:tabs>
          <w:tab w:val="left" w:pos="7513"/>
        </w:tabs>
        <w:spacing w:line="276" w:lineRule="auto"/>
        <w:ind w:left="709" w:right="757"/>
        <w:jc w:val="both"/>
        <w:rPr>
          <w:rFonts w:ascii="ITC Avant Garde" w:hAnsi="ITC Avant Garde"/>
          <w:bCs/>
          <w:color w:val="000000"/>
          <w:sz w:val="20"/>
          <w:szCs w:val="20"/>
          <w:lang w:val="es-MX" w:eastAsia="es-MX"/>
        </w:rPr>
      </w:pPr>
      <w:proofErr w:type="gramStart"/>
      <w:r w:rsidRPr="00826E5D">
        <w:rPr>
          <w:rFonts w:ascii="ITC Avant Garde" w:hAnsi="ITC Avant Garde"/>
          <w:bCs/>
          <w:color w:val="000000"/>
          <w:sz w:val="20"/>
          <w:szCs w:val="20"/>
          <w:lang w:val="es-MX" w:eastAsia="es-MX"/>
        </w:rPr>
        <w:t xml:space="preserve">5.2.1 </w:t>
      </w:r>
      <w:r w:rsidR="00A03EAC" w:rsidRPr="00826E5D">
        <w:rPr>
          <w:rFonts w:ascii="ITC Avant Garde" w:hAnsi="ITC Avant Garde"/>
          <w:bCs/>
          <w:color w:val="000000"/>
          <w:sz w:val="20"/>
          <w:szCs w:val="20"/>
          <w:lang w:val="es-MX" w:eastAsia="es-MX"/>
        </w:rPr>
        <w:t>.</w:t>
      </w:r>
      <w:r w:rsidRPr="00826E5D">
        <w:rPr>
          <w:rFonts w:ascii="ITC Avant Garde" w:hAnsi="ITC Avant Garde"/>
          <w:bCs/>
          <w:color w:val="000000"/>
          <w:sz w:val="20"/>
          <w:szCs w:val="20"/>
          <w:lang w:val="es-MX" w:eastAsia="es-MX"/>
        </w:rPr>
        <w:t>..</w:t>
      </w:r>
      <w:proofErr w:type="gramEnd"/>
    </w:p>
    <w:p w:rsidR="00826E5D" w:rsidRPr="00826E5D" w:rsidRDefault="000D1B2D" w:rsidP="00C52873">
      <w:pPr>
        <w:tabs>
          <w:tab w:val="left" w:pos="7513"/>
        </w:tabs>
        <w:spacing w:line="276" w:lineRule="auto"/>
        <w:ind w:left="709" w:right="757"/>
        <w:jc w:val="both"/>
        <w:rPr>
          <w:rFonts w:ascii="ITC Avant Garde" w:hAnsi="ITC Avant Garde"/>
          <w:b/>
          <w:bCs/>
          <w:color w:val="000000"/>
          <w:sz w:val="20"/>
          <w:szCs w:val="20"/>
          <w:lang w:val="es-MX" w:eastAsia="es-MX"/>
        </w:rPr>
      </w:pPr>
      <w:r w:rsidRPr="00826E5D">
        <w:rPr>
          <w:rFonts w:ascii="ITC Avant Garde" w:hAnsi="ITC Avant Garde"/>
          <w:bCs/>
          <w:color w:val="000000"/>
          <w:sz w:val="20"/>
          <w:szCs w:val="20"/>
          <w:lang w:val="es-MX" w:eastAsia="es-MX"/>
        </w:rPr>
        <w:t>5.2.2</w:t>
      </w:r>
      <w:r w:rsidRPr="00826E5D">
        <w:rPr>
          <w:rFonts w:ascii="ITC Avant Garde" w:hAnsi="ITC Avant Garde"/>
          <w:b/>
          <w:bCs/>
          <w:color w:val="000000"/>
          <w:sz w:val="20"/>
          <w:szCs w:val="20"/>
          <w:lang w:val="es-MX" w:eastAsia="es-MX"/>
        </w:rPr>
        <w:t xml:space="preserve"> </w:t>
      </w:r>
      <w:r w:rsidRPr="00826E5D">
        <w:rPr>
          <w:rFonts w:ascii="ITC Avant Garde" w:hAnsi="ITC Avant Garde"/>
          <w:bCs/>
          <w:color w:val="000000"/>
          <w:sz w:val="20"/>
          <w:szCs w:val="20"/>
          <w:lang w:val="es-MX" w:eastAsia="es-MX"/>
        </w:rPr>
        <w:t>El Concesionario deberá abstenerse de manera directa o indirecta de comercializar o intercambiar los Servicios de la Oferta, con operadores de redes y servicios de telecomunicaciones extranjeros o ubicados dentro o fuera del territorio nacional.-</w:t>
      </w:r>
    </w:p>
    <w:p w:rsidR="000D1B2D" w:rsidRPr="00826E5D" w:rsidRDefault="000D1B2D"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Conforme a lo anterior, se estima que el modelo de cláusula 5.2.2 del Convenio de Servicios mayoristas de Usuario Visitante, excede el propósito de la Oferta de Referencia antes señalada y a la propia </w:t>
      </w:r>
      <w:proofErr w:type="spellStart"/>
      <w:r w:rsidRPr="00826E5D">
        <w:rPr>
          <w:rFonts w:ascii="ITC Avant Garde" w:hAnsi="ITC Avant Garde"/>
          <w:bCs/>
          <w:color w:val="000000"/>
          <w:sz w:val="20"/>
          <w:szCs w:val="20"/>
          <w:lang w:val="es-MX" w:eastAsia="es-MX"/>
        </w:rPr>
        <w:t>LFTyR</w:t>
      </w:r>
      <w:proofErr w:type="spellEnd"/>
      <w:r w:rsidRPr="00826E5D">
        <w:rPr>
          <w:rFonts w:ascii="ITC Avant Garde" w:hAnsi="ITC Avant Garde"/>
          <w:bCs/>
          <w:color w:val="000000"/>
          <w:sz w:val="20"/>
          <w:szCs w:val="20"/>
          <w:lang w:val="es-MX" w:eastAsia="es-MX"/>
        </w:rPr>
        <w:t>. Por lo cual, se debe considerar que éstas cláusulas no son aplicables para el Desarrollador de la Red Compartida.</w:t>
      </w:r>
    </w:p>
    <w:p w:rsidR="00826E5D" w:rsidRPr="00826E5D" w:rsidRDefault="000D1B2D"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A03EAC" w:rsidRPr="00826E5D" w:rsidRDefault="00A03EAC"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En conclusión, se solicita al Instituto para que en uso de sus facultades, confirme el criterio que, en atención a los fines para los que se creó la figura de la Red Compartida y a efecto de cumplir con los niveles de cobertura y penetración de servicios de banda ancha en las poblaciones desatendidas, principalmente al inicio del proyecto y en una etapa de maduración de la red, la cláusula 5.2.2 del Convenio de Servicios Mayoristas de Usuario Visitante no es aplicable p</w:t>
      </w:r>
      <w:r w:rsidR="00016A84" w:rsidRPr="00826E5D">
        <w:rPr>
          <w:rFonts w:ascii="ITC Avant Garde" w:hAnsi="ITC Avant Garde"/>
          <w:bCs/>
          <w:color w:val="000000"/>
          <w:sz w:val="20"/>
          <w:szCs w:val="20"/>
          <w:lang w:val="es-MX" w:eastAsia="es-MX"/>
        </w:rPr>
        <w:t>ara el Desarrollador de la Red C</w:t>
      </w:r>
      <w:r w:rsidRPr="00826E5D">
        <w:rPr>
          <w:rFonts w:ascii="ITC Avant Garde" w:hAnsi="ITC Avant Garde"/>
          <w:bCs/>
          <w:color w:val="000000"/>
          <w:sz w:val="20"/>
          <w:szCs w:val="20"/>
          <w:lang w:val="es-MX" w:eastAsia="es-MX"/>
        </w:rPr>
        <w:t>ompartida.</w:t>
      </w:r>
    </w:p>
    <w:p w:rsidR="00826E5D" w:rsidRPr="00826E5D" w:rsidRDefault="00A03EAC"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826E5D" w:rsidRPr="00826E5D" w:rsidRDefault="0098681F"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Por lo anteriormente expuesto y fundado, y con el debido respeto, solicito a ese H. Pleno del Instituto Federal de Telecomunicaciones:</w:t>
      </w:r>
    </w:p>
    <w:p w:rsidR="00826E5D" w:rsidRPr="00826E5D" w:rsidRDefault="0098681F"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PRIMERO. Tenerme por presentada en nombre y representación de HANSAM, S.A. DE C.V. y por acreditada la personalidad con la que me ostento.</w:t>
      </w:r>
    </w:p>
    <w:p w:rsidR="00826E5D" w:rsidRPr="00826E5D" w:rsidRDefault="0098681F" w:rsidP="00C52873">
      <w:pPr>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SEGUNDO. Previos trámites de ley, en uso de sus atribuciones para interpretar la Ley Federal de Telecomunicaciones y Radiodifusión emitir un criterio en relación con los servicios de telecomunicaciones que el Desarrollador de la Red Compartida podrá contratar de las empresas del Agente Económico Preponderante en el Sector de Telecomunicaciones, sobre si:</w:t>
      </w:r>
    </w:p>
    <w:p w:rsidR="00826E5D" w:rsidRPr="00826E5D" w:rsidRDefault="0098681F" w:rsidP="00C52873">
      <w:pPr>
        <w:pStyle w:val="Prrafodelista"/>
        <w:numPr>
          <w:ilvl w:val="0"/>
          <w:numId w:val="4"/>
        </w:numPr>
        <w:tabs>
          <w:tab w:val="left" w:pos="7513"/>
          <w:tab w:val="left" w:pos="8647"/>
        </w:tabs>
        <w:spacing w:line="276" w:lineRule="auto"/>
        <w:ind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El Desarrollador de la Red Compartida, como parte de sus prerrogativas y obligaciones para adquirir o gestionar el uso, por cualquier medio legal</w:t>
      </w:r>
      <w:r w:rsidR="007E6F83" w:rsidRPr="00826E5D">
        <w:rPr>
          <w:rFonts w:ascii="ITC Avant Garde" w:hAnsi="ITC Avant Garde"/>
          <w:bCs/>
          <w:color w:val="000000"/>
          <w:sz w:val="20"/>
          <w:szCs w:val="20"/>
          <w:lang w:val="es-MX" w:eastAsia="es-MX"/>
        </w:rPr>
        <w:t>, de cualquier bien, activo, servicio o derecho que requiera para la instalación, despliegue, operación, mantenimiento y actualización de la Red Compartida; podrá contratar los servicios contenidos en las Ofertas de Referencia emitidas por el Agente Económico Preponderante en el Sector de Telecomunicaciones para la prestación del Servicio Mayorista de Telecomunicaciones, y</w:t>
      </w:r>
    </w:p>
    <w:p w:rsidR="00D76398" w:rsidRPr="00826E5D" w:rsidRDefault="007E6F83" w:rsidP="00C52873">
      <w:pPr>
        <w:pStyle w:val="Prrafodelista"/>
        <w:numPr>
          <w:ilvl w:val="0"/>
          <w:numId w:val="4"/>
        </w:numPr>
        <w:tabs>
          <w:tab w:val="left" w:pos="7513"/>
        </w:tabs>
        <w:spacing w:line="276" w:lineRule="auto"/>
        <w:ind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lastRenderedPageBreak/>
        <w:t>En relación con las obligaciones establecidas por ese Instituto al Agente Económico Preponderante en el Sector de Telecomunicaciones sobre servicios móviles (contenidas en el Anexo 1 de la Resolución de Preponderancia), el Desarrollador de la Red Pública Compartida podrá contratar los Servicios Mayoristas de Usuario Visitante, sin restricción alguna en su carácter de prestador de servicios Mayoristas de Telecomunicaciones.</w:t>
      </w:r>
    </w:p>
    <w:p w:rsidR="00826E5D" w:rsidRPr="00826E5D" w:rsidRDefault="00D76398" w:rsidP="00C52873">
      <w:pPr>
        <w:pStyle w:val="Prrafodelista"/>
        <w:tabs>
          <w:tab w:val="left" w:pos="7513"/>
        </w:tabs>
        <w:spacing w:line="276" w:lineRule="auto"/>
        <w:ind w:left="142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r w:rsidR="007E6F83" w:rsidRPr="00826E5D">
        <w:rPr>
          <w:rFonts w:ascii="ITC Avant Garde" w:hAnsi="ITC Avant Garde"/>
          <w:bCs/>
          <w:color w:val="000000"/>
          <w:sz w:val="20"/>
          <w:szCs w:val="20"/>
          <w:lang w:val="es-MX" w:eastAsia="es-MX"/>
        </w:rPr>
        <w:t xml:space="preserve"> </w:t>
      </w:r>
    </w:p>
    <w:p w:rsidR="00826E5D" w:rsidRPr="00826E5D" w:rsidRDefault="002C4B70" w:rsidP="00C52873">
      <w:pPr>
        <w:spacing w:line="276" w:lineRule="auto"/>
        <w:jc w:val="both"/>
        <w:rPr>
          <w:rFonts w:ascii="ITC Avant Garde" w:hAnsi="ITC Avant Garde"/>
          <w:bCs/>
          <w:color w:val="000000"/>
          <w:sz w:val="22"/>
          <w:szCs w:val="22"/>
        </w:rPr>
      </w:pPr>
      <w:r w:rsidRPr="00826E5D">
        <w:rPr>
          <w:rFonts w:ascii="ITC Avant Garde" w:hAnsi="ITC Avant Garde"/>
          <w:b/>
          <w:bCs/>
          <w:color w:val="000000"/>
          <w:sz w:val="22"/>
          <w:szCs w:val="22"/>
        </w:rPr>
        <w:t>TERCERO.- Marco jurídico y análisis de la solicitud.-</w:t>
      </w:r>
      <w:r w:rsidR="007B6B63" w:rsidRPr="00826E5D">
        <w:rPr>
          <w:rFonts w:ascii="ITC Avant Garde" w:hAnsi="ITC Avant Garde"/>
          <w:bCs/>
          <w:color w:val="000000"/>
          <w:sz w:val="22"/>
          <w:szCs w:val="22"/>
        </w:rPr>
        <w:t xml:space="preserve"> El </w:t>
      </w:r>
      <w:r w:rsidR="002321A5" w:rsidRPr="00826E5D">
        <w:rPr>
          <w:rFonts w:ascii="ITC Avant Garde" w:hAnsi="ITC Avant Garde"/>
          <w:bCs/>
          <w:color w:val="000000"/>
          <w:sz w:val="22"/>
          <w:szCs w:val="22"/>
        </w:rPr>
        <w:t xml:space="preserve">Decreto de </w:t>
      </w:r>
      <w:r w:rsidR="009D762C" w:rsidRPr="00826E5D">
        <w:rPr>
          <w:rFonts w:ascii="ITC Avant Garde" w:hAnsi="ITC Avant Garde"/>
          <w:bCs/>
          <w:color w:val="000000"/>
          <w:sz w:val="22"/>
          <w:szCs w:val="22"/>
        </w:rPr>
        <w:t>r</w:t>
      </w:r>
      <w:r w:rsidR="002321A5" w:rsidRPr="00826E5D">
        <w:rPr>
          <w:rFonts w:ascii="ITC Avant Garde" w:hAnsi="ITC Avant Garde"/>
          <w:bCs/>
          <w:color w:val="000000"/>
          <w:sz w:val="22"/>
          <w:szCs w:val="22"/>
        </w:rPr>
        <w:t xml:space="preserve">eforma </w:t>
      </w:r>
      <w:r w:rsidR="009D762C" w:rsidRPr="00826E5D">
        <w:rPr>
          <w:rFonts w:ascii="ITC Avant Garde" w:hAnsi="ITC Avant Garde"/>
          <w:bCs/>
          <w:color w:val="000000"/>
          <w:sz w:val="22"/>
          <w:szCs w:val="22"/>
        </w:rPr>
        <w:t>c</w:t>
      </w:r>
      <w:r w:rsidR="002321A5" w:rsidRPr="00826E5D">
        <w:rPr>
          <w:rFonts w:ascii="ITC Avant Garde" w:hAnsi="ITC Avant Garde"/>
          <w:bCs/>
          <w:color w:val="000000"/>
          <w:sz w:val="22"/>
          <w:szCs w:val="22"/>
        </w:rPr>
        <w:t xml:space="preserve">onstitucional </w:t>
      </w:r>
      <w:r w:rsidR="00140241" w:rsidRPr="00826E5D">
        <w:rPr>
          <w:rFonts w:ascii="ITC Avant Garde" w:hAnsi="ITC Avant Garde"/>
          <w:bCs/>
          <w:color w:val="000000"/>
          <w:sz w:val="22"/>
          <w:szCs w:val="22"/>
        </w:rPr>
        <w:t>en materia de telecomunicaciones, publicado en el Diario Oficial de la Federación el 11 de junio de 2013 (en lo sucesivo “Decreto de Reforma Constitucional”),</w:t>
      </w:r>
      <w:r w:rsidR="007B6B63" w:rsidRPr="00826E5D">
        <w:rPr>
          <w:rFonts w:ascii="ITC Avant Garde" w:hAnsi="ITC Avant Garde"/>
          <w:bCs/>
          <w:color w:val="000000"/>
          <w:sz w:val="22"/>
          <w:szCs w:val="22"/>
        </w:rPr>
        <w:t xml:space="preserve"> establece en su artículo </w:t>
      </w:r>
      <w:r w:rsidR="007960F2" w:rsidRPr="00826E5D">
        <w:rPr>
          <w:rFonts w:ascii="ITC Avant Garde" w:hAnsi="ITC Avant Garde"/>
          <w:bCs/>
          <w:color w:val="000000"/>
          <w:sz w:val="22"/>
          <w:szCs w:val="22"/>
        </w:rPr>
        <w:t>D</w:t>
      </w:r>
      <w:r w:rsidR="007B6B63" w:rsidRPr="00826E5D">
        <w:rPr>
          <w:rFonts w:ascii="ITC Avant Garde" w:hAnsi="ITC Avant Garde"/>
          <w:bCs/>
          <w:color w:val="000000"/>
          <w:sz w:val="22"/>
          <w:szCs w:val="22"/>
        </w:rPr>
        <w:t xml:space="preserve">écimo </w:t>
      </w:r>
      <w:r w:rsidR="007960F2" w:rsidRPr="00826E5D">
        <w:rPr>
          <w:rFonts w:ascii="ITC Avant Garde" w:hAnsi="ITC Avant Garde"/>
          <w:bCs/>
          <w:color w:val="000000"/>
          <w:sz w:val="22"/>
          <w:szCs w:val="22"/>
        </w:rPr>
        <w:t>S</w:t>
      </w:r>
      <w:r w:rsidR="007B6B63" w:rsidRPr="00826E5D">
        <w:rPr>
          <w:rFonts w:ascii="ITC Avant Garde" w:hAnsi="ITC Avant Garde"/>
          <w:bCs/>
          <w:color w:val="000000"/>
          <w:sz w:val="22"/>
          <w:szCs w:val="22"/>
        </w:rPr>
        <w:t xml:space="preserve">exto </w:t>
      </w:r>
      <w:r w:rsidR="007960F2" w:rsidRPr="00826E5D">
        <w:rPr>
          <w:rFonts w:ascii="ITC Avant Garde" w:hAnsi="ITC Avant Garde"/>
          <w:bCs/>
          <w:color w:val="000000"/>
          <w:sz w:val="22"/>
          <w:szCs w:val="22"/>
        </w:rPr>
        <w:t>T</w:t>
      </w:r>
      <w:r w:rsidR="007B6B63" w:rsidRPr="00826E5D">
        <w:rPr>
          <w:rFonts w:ascii="ITC Avant Garde" w:hAnsi="ITC Avant Garde"/>
          <w:bCs/>
          <w:color w:val="000000"/>
          <w:sz w:val="22"/>
          <w:szCs w:val="22"/>
        </w:rPr>
        <w:t>ransitorio lo siguiente:</w:t>
      </w:r>
    </w:p>
    <w:p w:rsidR="00826E5D" w:rsidRPr="00826E5D" w:rsidRDefault="007B6B63"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DÉCIMO SEXTO</w:t>
      </w:r>
      <w:r w:rsidRPr="00826E5D">
        <w:rPr>
          <w:rFonts w:ascii="ITC Avant Garde" w:hAnsi="ITC Avant Garde"/>
          <w:bCs/>
          <w:color w:val="000000"/>
          <w:sz w:val="20"/>
          <w:szCs w:val="20"/>
          <w:lang w:val="es-MX" w:eastAsia="es-MX"/>
        </w:rPr>
        <w:t>.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rsidR="00826E5D"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I. Iniciará la instalación antes de que concluya el año 2014, y estará en operación antes de que concluya el año 2018;</w:t>
      </w:r>
    </w:p>
    <w:p w:rsidR="00826E5D"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II. 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rsidR="00826E5D"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III. Podrá contemplar inversión pública o privada, identificando las necesidades presupuestales y, en su caso, las previsiones que deba aprobar la Cámara de Diputados;</w:t>
      </w:r>
    </w:p>
    <w:p w:rsidR="00826E5D"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IV. Asegurará que ningún prestador de servicios de telecomunicaciones tenga influencia en la operación de la red;</w:t>
      </w:r>
    </w:p>
    <w:p w:rsidR="00826E5D"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V. Asegurará el acceso a los activos requeridos para la instalación y operación de la red, así como el cumplimiento de su objeto y obligaciones de cobertura, calidad y prestación no discriminatoria de servicios;</w:t>
      </w:r>
    </w:p>
    <w:p w:rsidR="00826E5D"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VI.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rsidR="00B855FF"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lastRenderedPageBreak/>
        <w:t>VII. Promoverá que la política tarifaria de la red compartida fomente la competencia y que asegure la reinversión de utilidades para la actualización, el crecimiento y la cobertura universal.</w:t>
      </w:r>
    </w:p>
    <w:p w:rsidR="00826E5D" w:rsidRPr="00826E5D" w:rsidRDefault="00B855FF"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El Ejecutivo Federal, en el marco del Sistema Nacional de Planeación Democrática, incluirá en los instrumentos programáticos respectivos, las acciones necesarias para el desarrollo de la red a que se refiere este artículo.</w:t>
      </w:r>
    </w:p>
    <w:p w:rsidR="00826E5D" w:rsidRPr="00826E5D" w:rsidRDefault="00BF524C"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 xml:space="preserve">Los artículos </w:t>
      </w:r>
      <w:r w:rsidR="005E476A" w:rsidRPr="00826E5D">
        <w:rPr>
          <w:rFonts w:ascii="ITC Avant Garde" w:hAnsi="ITC Avant Garde"/>
          <w:bCs/>
          <w:color w:val="000000"/>
          <w:sz w:val="22"/>
          <w:szCs w:val="22"/>
        </w:rPr>
        <w:t>3, fracción LXI,</w:t>
      </w:r>
      <w:r w:rsidR="00751127" w:rsidRPr="00826E5D">
        <w:rPr>
          <w:rFonts w:ascii="ITC Avant Garde" w:hAnsi="ITC Avant Garde"/>
          <w:bCs/>
          <w:color w:val="000000"/>
          <w:sz w:val="22"/>
          <w:szCs w:val="22"/>
        </w:rPr>
        <w:t xml:space="preserve"> </w:t>
      </w:r>
      <w:r w:rsidR="00A97253" w:rsidRPr="00826E5D">
        <w:rPr>
          <w:rFonts w:ascii="ITC Avant Garde" w:hAnsi="ITC Avant Garde"/>
          <w:bCs/>
          <w:color w:val="000000"/>
          <w:sz w:val="22"/>
          <w:szCs w:val="22"/>
        </w:rPr>
        <w:t xml:space="preserve">119, 120 y </w:t>
      </w:r>
      <w:r w:rsidRPr="00826E5D">
        <w:rPr>
          <w:rFonts w:ascii="ITC Avant Garde" w:hAnsi="ITC Avant Garde"/>
          <w:bCs/>
          <w:color w:val="000000"/>
          <w:sz w:val="22"/>
          <w:szCs w:val="22"/>
        </w:rPr>
        <w:t>140 a 144</w:t>
      </w:r>
      <w:r w:rsidR="005D2EED" w:rsidRPr="00826E5D">
        <w:rPr>
          <w:rFonts w:ascii="ITC Avant Garde" w:hAnsi="ITC Avant Garde"/>
          <w:bCs/>
          <w:color w:val="000000"/>
          <w:sz w:val="22"/>
          <w:szCs w:val="22"/>
        </w:rPr>
        <w:t xml:space="preserve"> de la </w:t>
      </w:r>
      <w:r w:rsidR="00FC76AE" w:rsidRPr="00826E5D">
        <w:rPr>
          <w:rFonts w:ascii="ITC Avant Garde" w:hAnsi="ITC Avant Garde"/>
          <w:bCs/>
          <w:color w:val="000000"/>
          <w:sz w:val="22"/>
          <w:szCs w:val="22"/>
        </w:rPr>
        <w:t>LFTR</w:t>
      </w:r>
      <w:r w:rsidR="004259D4" w:rsidRPr="00826E5D">
        <w:rPr>
          <w:rFonts w:ascii="ITC Avant Garde" w:hAnsi="ITC Avant Garde"/>
          <w:bCs/>
          <w:color w:val="000000"/>
          <w:sz w:val="22"/>
          <w:szCs w:val="22"/>
        </w:rPr>
        <w:t xml:space="preserve"> </w:t>
      </w:r>
      <w:r w:rsidR="0033571D" w:rsidRPr="00826E5D">
        <w:rPr>
          <w:rFonts w:ascii="ITC Avant Garde" w:hAnsi="ITC Avant Garde"/>
          <w:bCs/>
          <w:color w:val="000000"/>
          <w:sz w:val="22"/>
          <w:szCs w:val="22"/>
        </w:rPr>
        <w:t>dispon</w:t>
      </w:r>
      <w:r w:rsidR="004F494B" w:rsidRPr="00826E5D">
        <w:rPr>
          <w:rFonts w:ascii="ITC Avant Garde" w:hAnsi="ITC Avant Garde"/>
          <w:bCs/>
          <w:color w:val="000000"/>
          <w:sz w:val="22"/>
          <w:szCs w:val="22"/>
        </w:rPr>
        <w:t>e</w:t>
      </w:r>
      <w:r w:rsidR="002E30D0" w:rsidRPr="00826E5D">
        <w:rPr>
          <w:rFonts w:ascii="ITC Avant Garde" w:hAnsi="ITC Avant Garde"/>
          <w:bCs/>
          <w:color w:val="000000"/>
          <w:sz w:val="22"/>
          <w:szCs w:val="22"/>
        </w:rPr>
        <w:t xml:space="preserve">n lo siguiente: </w:t>
      </w:r>
    </w:p>
    <w:p w:rsidR="005E476A" w:rsidRPr="00826E5D" w:rsidRDefault="005E476A"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Artículo 3</w:t>
      </w:r>
      <w:r w:rsidRPr="00826E5D">
        <w:rPr>
          <w:rFonts w:ascii="ITC Avant Garde" w:hAnsi="ITC Avant Garde"/>
          <w:bCs/>
          <w:color w:val="000000"/>
          <w:sz w:val="20"/>
          <w:szCs w:val="20"/>
          <w:lang w:val="es-MX" w:eastAsia="es-MX"/>
        </w:rPr>
        <w:t>. Para los efectos de esta Ley se entenderá por:</w:t>
      </w:r>
    </w:p>
    <w:p w:rsidR="00826E5D" w:rsidRPr="00826E5D" w:rsidRDefault="005E476A"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5E476A" w:rsidRPr="00826E5D" w:rsidRDefault="005E476A"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LXI. Servicio de usuario visitante: El servicio a través del cual los usuarios de una red pública de telecomunicaciones de servicio local móvil, pueden originar o recibir comunicaciones de voz o datos a través de la infraestructura de acceso de otro concesionario de red pública de telecomunicaciones del servicio local móvil, sin necesidad de realizar algún procedimiento adicional, al tratarse de usuarios de otra región local móvil o al estar fuera de la zona de cobertura de su proveedor de servicios móviles;</w:t>
      </w:r>
    </w:p>
    <w:p w:rsidR="00826E5D" w:rsidRPr="00826E5D" w:rsidRDefault="005E476A"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w:t>
      </w:r>
    </w:p>
    <w:p w:rsidR="00826E5D" w:rsidRPr="00826E5D" w:rsidRDefault="00661DC6"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Artículo 119</w:t>
      </w:r>
      <w:r w:rsidRPr="00826E5D">
        <w:rPr>
          <w:rFonts w:ascii="ITC Avant Garde" w:hAnsi="ITC Avant Garde"/>
          <w:bCs/>
          <w:color w:val="000000"/>
          <w:sz w:val="20"/>
          <w:szCs w:val="20"/>
          <w:lang w:val="es-MX" w:eastAsia="es-MX"/>
        </w:rPr>
        <w:t xml:space="preserve">. </w:t>
      </w:r>
      <w:r w:rsidRPr="00826E5D">
        <w:rPr>
          <w:rFonts w:ascii="ITC Avant Garde" w:hAnsi="ITC Avant Garde"/>
          <w:bCs/>
          <w:color w:val="000000"/>
          <w:sz w:val="20"/>
          <w:szCs w:val="20"/>
          <w:u w:val="single"/>
          <w:lang w:val="es-MX" w:eastAsia="es-MX"/>
        </w:rPr>
        <w:t>Los concesionarios que tengan redes públicas de telecomunicaciones que presten servicios móviles, celebrarán libremente acuerdos relativos al servicio de usuario visitante</w:t>
      </w:r>
      <w:r w:rsidRPr="00826E5D">
        <w:rPr>
          <w:rFonts w:ascii="ITC Avant Garde" w:hAnsi="ITC Avant Garde"/>
          <w:bCs/>
          <w:color w:val="000000"/>
          <w:sz w:val="20"/>
          <w:szCs w:val="20"/>
          <w:lang w:val="es-MX" w:eastAsia="es-MX"/>
        </w:rPr>
        <w:t xml:space="preserve"> en los que establezcan los términos y condiciones bajo los cuales se efectuará la conexión entre sus plataformas para originar o recibir comunicaciones de voz y datos. </w:t>
      </w:r>
      <w:r w:rsidRPr="00826E5D">
        <w:rPr>
          <w:rFonts w:ascii="ITC Avant Garde" w:hAnsi="ITC Avant Garde"/>
          <w:bCs/>
          <w:color w:val="000000"/>
          <w:sz w:val="20"/>
          <w:szCs w:val="20"/>
          <w:u w:val="single"/>
          <w:lang w:val="es-MX" w:eastAsia="es-MX"/>
        </w:rPr>
        <w:t>La celebración de dichos acuerdos será obligatoria para el agente económico preponderante en el sector de las telecomunicaciones</w:t>
      </w:r>
      <w:r w:rsidRPr="00826E5D">
        <w:rPr>
          <w:rFonts w:ascii="ITC Avant Garde" w:hAnsi="ITC Avant Garde"/>
          <w:bCs/>
          <w:color w:val="000000"/>
          <w:sz w:val="20"/>
          <w:szCs w:val="20"/>
          <w:lang w:val="es-MX" w:eastAsia="es-MX"/>
        </w:rPr>
        <w:t xml:space="preserve"> o a los agentes económicos con poder sustancial, a quienes se les podrá imponer la obligación de suscribir el acuerdo respectivo dentro de los sesenta días naturales siguientes a la fecha de la solicitud por parte del concesionario interesado.</w:t>
      </w:r>
    </w:p>
    <w:p w:rsidR="00826E5D" w:rsidRPr="00826E5D" w:rsidRDefault="00661DC6"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u w:val="single"/>
          <w:lang w:val="es-MX" w:eastAsia="es-MX"/>
        </w:rPr>
        <w:t>El agente económico preponderante</w:t>
      </w:r>
      <w:r w:rsidRPr="00826E5D">
        <w:rPr>
          <w:rFonts w:ascii="ITC Avant Garde" w:hAnsi="ITC Avant Garde"/>
          <w:bCs/>
          <w:color w:val="000000"/>
          <w:sz w:val="20"/>
          <w:szCs w:val="20"/>
          <w:lang w:val="es-MX" w:eastAsia="es-MX"/>
        </w:rPr>
        <w:t xml:space="preserve"> o con poder sustancial, </w:t>
      </w:r>
      <w:r w:rsidRPr="00826E5D">
        <w:rPr>
          <w:rFonts w:ascii="ITC Avant Garde" w:hAnsi="ITC Avant Garde"/>
          <w:bCs/>
          <w:color w:val="000000"/>
          <w:sz w:val="20"/>
          <w:szCs w:val="20"/>
          <w:u w:val="single"/>
          <w:lang w:val="es-MX" w:eastAsia="es-MX"/>
        </w:rPr>
        <w:t>estará obligado a prestar el servicio de usuario visitante de manera temporal y exclusivamente en aquellas zonas en las que el concesionario interesado no cuente con infraestructura</w:t>
      </w:r>
      <w:r w:rsidRPr="00826E5D">
        <w:rPr>
          <w:rFonts w:ascii="ITC Avant Garde" w:hAnsi="ITC Avant Garde"/>
          <w:bCs/>
          <w:color w:val="000000"/>
          <w:sz w:val="20"/>
          <w:szCs w:val="20"/>
          <w:lang w:val="es-MX" w:eastAsia="es-MX"/>
        </w:rPr>
        <w:t xml:space="preserve"> o no preste el servicio móvil.</w:t>
      </w:r>
    </w:p>
    <w:p w:rsidR="00661DC6" w:rsidRPr="00826E5D" w:rsidRDefault="00661DC6"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En caso de desacuerdo, el Instituto resolverá los términos no convenidos que se susciten respecto del servicio de usuario visitante, buscando, en todo momento, el desarrollo eficiente de las telecomunicaciones. Por lo que respecta al plazo, el Instituto establecerá el tiempo durante el cual estarán sujetos a la obligación de prestar el servicio de usuario visitante, a fin de que dentro de dicho plazo los concesionarios que no tengan infraestructura desplieguen la misma.</w:t>
      </w:r>
    </w:p>
    <w:p w:rsidR="00826E5D" w:rsidRPr="00826E5D" w:rsidRDefault="00661DC6"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Artículo 120</w:t>
      </w:r>
      <w:r w:rsidRPr="00826E5D">
        <w:rPr>
          <w:rFonts w:ascii="ITC Avant Garde" w:hAnsi="ITC Avant Garde"/>
          <w:bCs/>
          <w:color w:val="000000"/>
          <w:sz w:val="20"/>
          <w:szCs w:val="20"/>
          <w:lang w:val="es-MX" w:eastAsia="es-MX"/>
        </w:rPr>
        <w:t xml:space="preserve">. </w:t>
      </w:r>
      <w:r w:rsidRPr="00826E5D">
        <w:rPr>
          <w:rFonts w:ascii="ITC Avant Garde" w:hAnsi="ITC Avant Garde"/>
          <w:bCs/>
          <w:color w:val="000000"/>
          <w:sz w:val="20"/>
          <w:szCs w:val="20"/>
          <w:u w:val="single"/>
          <w:lang w:val="es-MX" w:eastAsia="es-MX"/>
        </w:rPr>
        <w:t>El Instituto regulará los términos, condiciones y tarifas de los servicios de usuario visitante que deberá prestar el agente económico preponderante en el sector de las telecomunicaciones</w:t>
      </w:r>
      <w:r w:rsidRPr="00826E5D">
        <w:rPr>
          <w:rFonts w:ascii="ITC Avant Garde" w:hAnsi="ITC Avant Garde"/>
          <w:bCs/>
          <w:color w:val="000000"/>
          <w:sz w:val="20"/>
          <w:szCs w:val="20"/>
          <w:lang w:val="es-MX" w:eastAsia="es-MX"/>
        </w:rPr>
        <w:t xml:space="preserve"> o los agentes económicos con poder sustancial, a los demás concesionarios de redes </w:t>
      </w:r>
      <w:r w:rsidRPr="00826E5D">
        <w:rPr>
          <w:rFonts w:ascii="ITC Avant Garde" w:hAnsi="ITC Avant Garde"/>
          <w:bCs/>
          <w:color w:val="000000"/>
          <w:sz w:val="20"/>
          <w:szCs w:val="20"/>
          <w:lang w:val="es-MX" w:eastAsia="es-MX"/>
        </w:rPr>
        <w:lastRenderedPageBreak/>
        <w:t>públicas de telecomunicaciones. A tal efecto, el Instituto determinará las tarifas con base en un modelo de costos que propicie competencia efectiva y considere las mejores prácticas internacionales y la participación de los concesionarios en el mercado. Dichas tarifas en ningún caso podrán ser superiores a la menor tarifa que dicho agente registre, ofrezca, aplique o cobre a cualquiera de sus clientes a fin de fomentar la competencia efectiva en el sector de las telecomunicaciones. El agente económico preponderante o los agentes económicos con poder sustancial no podrán discriminar en la provisión de este servicio y la calidad del mismo deberá ser igual a la que reciban sus clientes.</w:t>
      </w:r>
    </w:p>
    <w:p w:rsidR="00826E5D" w:rsidRPr="00826E5D" w:rsidRDefault="00661DC6"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Los concesionarios de redes públicas de telecomunicaciones fijas que celebren acuerdos de comercialización en términos de lo dispuesto en el artículo 270 de esta Ley con un concesionario móvil distinto al que se refiere el párrafo anterior, podrán solicitar directamente en los términos previstos en el citado párrafo, el servicio de usuario visitante con el objeto de complementar los servicios a comercializar. El Instituto establecerá los mecanismos para la operación eficiente de dichos servicios.</w:t>
      </w:r>
    </w:p>
    <w:p w:rsidR="00AA7032" w:rsidRPr="00826E5D" w:rsidRDefault="00AA7032" w:rsidP="00C52873">
      <w:pPr>
        <w:pStyle w:val="Prrafodelista"/>
        <w:tabs>
          <w:tab w:val="left" w:pos="7513"/>
        </w:tabs>
        <w:spacing w:line="276" w:lineRule="auto"/>
        <w:ind w:left="709" w:right="757"/>
        <w:jc w:val="center"/>
        <w:rPr>
          <w:rFonts w:ascii="ITC Avant Garde" w:hAnsi="ITC Avant Garde"/>
          <w:b/>
          <w:bCs/>
          <w:color w:val="000000"/>
          <w:sz w:val="20"/>
          <w:szCs w:val="20"/>
          <w:lang w:val="es-MX" w:eastAsia="es-MX"/>
        </w:rPr>
      </w:pPr>
      <w:r w:rsidRPr="00826E5D">
        <w:rPr>
          <w:rFonts w:ascii="ITC Avant Garde" w:hAnsi="ITC Avant Garde"/>
          <w:b/>
          <w:bCs/>
          <w:color w:val="000000"/>
          <w:sz w:val="20"/>
          <w:szCs w:val="20"/>
          <w:lang w:val="es-MX" w:eastAsia="es-MX"/>
        </w:rPr>
        <w:t>Capítulo V</w:t>
      </w:r>
    </w:p>
    <w:p w:rsidR="00826E5D" w:rsidRPr="00826E5D" w:rsidRDefault="00AA7032" w:rsidP="00C52873">
      <w:pPr>
        <w:pStyle w:val="Prrafodelista"/>
        <w:tabs>
          <w:tab w:val="left" w:pos="7513"/>
        </w:tabs>
        <w:spacing w:line="276" w:lineRule="auto"/>
        <w:ind w:left="709" w:right="757"/>
        <w:jc w:val="center"/>
        <w:rPr>
          <w:rFonts w:ascii="ITC Avant Garde" w:hAnsi="ITC Avant Garde"/>
          <w:b/>
          <w:bCs/>
          <w:color w:val="000000"/>
          <w:sz w:val="20"/>
          <w:szCs w:val="20"/>
          <w:lang w:val="es-MX" w:eastAsia="es-MX"/>
        </w:rPr>
      </w:pPr>
      <w:r w:rsidRPr="00826E5D">
        <w:rPr>
          <w:rFonts w:ascii="ITC Avant Garde" w:hAnsi="ITC Avant Garde"/>
          <w:b/>
          <w:bCs/>
          <w:color w:val="000000"/>
          <w:sz w:val="20"/>
          <w:szCs w:val="20"/>
          <w:lang w:val="es-MX" w:eastAsia="es-MX"/>
        </w:rPr>
        <w:t>De las Redes Públicas de Telecomunicaciones con Participación Pública</w:t>
      </w:r>
    </w:p>
    <w:p w:rsidR="00826E5D"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Artículo 140</w:t>
      </w:r>
      <w:r w:rsidRPr="00826E5D">
        <w:rPr>
          <w:rFonts w:ascii="ITC Avant Garde" w:hAnsi="ITC Avant Garde"/>
          <w:bCs/>
          <w:color w:val="000000"/>
          <w:sz w:val="20"/>
          <w:szCs w:val="20"/>
          <w:lang w:val="es-MX" w:eastAsia="es-MX"/>
        </w:rPr>
        <w:t xml:space="preserve">. Cuando el Instituto otorgue concesiones de uso comercial a entes públicos, aun y cuando se encuentren bajo un esquema de asociación público-privada, éstas tendrán carácter de red compartida mayorista de servicios de telecomunicaciones, en los términos dispuestos por esta Ley. </w:t>
      </w:r>
    </w:p>
    <w:p w:rsidR="00826E5D"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En ningún caso podrán estas redes ofrecer servicios a los usuarios finales. </w:t>
      </w:r>
    </w:p>
    <w:p w:rsidR="00826E5D"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Cuando no hubiere concesionario o autorizado que preste servicios a los usuarios finales en determinada zona geográfica y exista cobertura e infraestructura de las redes mayoristas referidas en los artículos Décimo Quinto y Décimo Sexto del Decreto, el Ejecutivo Federal garantizará, a través del organismo descentralizado denominado Telecomunicaciones de México, de comercializadoras o concesionarios, la prestación de servicios a los usuarios ubicados en las localidades respectivas, hasta en tanto exista otra oferta para los usuarios.</w:t>
      </w:r>
    </w:p>
    <w:p w:rsidR="00826E5D"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Artículo 141</w:t>
      </w:r>
      <w:r w:rsidRPr="00826E5D">
        <w:rPr>
          <w:rFonts w:ascii="ITC Avant Garde" w:hAnsi="ITC Avant Garde"/>
          <w:bCs/>
          <w:color w:val="000000"/>
          <w:sz w:val="20"/>
          <w:szCs w:val="20"/>
          <w:lang w:val="es-MX" w:eastAsia="es-MX"/>
        </w:rPr>
        <w:t>. Los concesionarios con participación pública deberán sujetarse a principios de neutralidad a la competencia cuando sus fines sean comerciales. En todo caso, deberán llevar cuentas separadas de sus actividades de prestación de servicios de telecomunicaciones o radiodifusión. Las concesiones con carácter de red compartida mayorista estarán sujetas a esta Ley y a la Ley Fe</w:t>
      </w:r>
      <w:r w:rsidR="00C427A9" w:rsidRPr="00826E5D">
        <w:rPr>
          <w:rFonts w:ascii="ITC Avant Garde" w:hAnsi="ITC Avant Garde"/>
          <w:bCs/>
          <w:color w:val="000000"/>
          <w:sz w:val="20"/>
          <w:szCs w:val="20"/>
          <w:lang w:val="es-MX" w:eastAsia="es-MX"/>
        </w:rPr>
        <w:t>deral de Competencia Económica.”</w:t>
      </w:r>
    </w:p>
    <w:p w:rsidR="00826E5D"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Artículo 142</w:t>
      </w:r>
      <w:r w:rsidRPr="00826E5D">
        <w:rPr>
          <w:rFonts w:ascii="ITC Avant Garde" w:hAnsi="ITC Avant Garde"/>
          <w:bCs/>
          <w:color w:val="000000"/>
          <w:sz w:val="20"/>
          <w:szCs w:val="20"/>
          <w:lang w:val="es-MX" w:eastAsia="es-MX"/>
        </w:rPr>
        <w:t xml:space="preserve">. El Instituto asignará directamente 90 MHz de la banda 700 MHz para la operación y explotación de una red compartida mayorista, mediante concesión de uso comercial, en los términos establecidos en esta Ley. </w:t>
      </w:r>
    </w:p>
    <w:p w:rsidR="00826E5D"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lastRenderedPageBreak/>
        <w:t>Artículo 143</w:t>
      </w:r>
      <w:r w:rsidRPr="00826E5D">
        <w:rPr>
          <w:rFonts w:ascii="ITC Avant Garde" w:hAnsi="ITC Avant Garde"/>
          <w:bCs/>
          <w:color w:val="000000"/>
          <w:sz w:val="20"/>
          <w:szCs w:val="20"/>
          <w:lang w:val="es-MX" w:eastAsia="es-MX"/>
        </w:rPr>
        <w:t xml:space="preserve">. El título de concesión de una red compartida mayorista incluirá, además de lo dispuesto en el capítulo correspondiente a concesiones de uso comercial, obligaciones de cobertura, calidad y precio y aquellas que determine el Instituto. </w:t>
      </w:r>
    </w:p>
    <w:p w:rsidR="007265E3"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
          <w:bCs/>
          <w:color w:val="000000"/>
          <w:sz w:val="20"/>
          <w:szCs w:val="20"/>
          <w:lang w:val="es-MX" w:eastAsia="es-MX"/>
        </w:rPr>
        <w:t>Artículo 144</w:t>
      </w:r>
      <w:r w:rsidRPr="00826E5D">
        <w:rPr>
          <w:rFonts w:ascii="ITC Avant Garde" w:hAnsi="ITC Avant Garde"/>
          <w:bCs/>
          <w:color w:val="000000"/>
          <w:sz w:val="20"/>
          <w:szCs w:val="20"/>
          <w:lang w:val="es-MX" w:eastAsia="es-MX"/>
        </w:rPr>
        <w:t xml:space="preserve">. Las redes compartidas mayoristas operarán bajo principios de compartición de toda su infraestructura y venta desagregada de todos sus servicios y capacidades. </w:t>
      </w:r>
    </w:p>
    <w:p w:rsidR="00826E5D" w:rsidRPr="00826E5D" w:rsidRDefault="00AA7032"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lang w:val="es-MX" w:eastAsia="es-MX"/>
        </w:rPr>
        <w:t xml:space="preserve">A través de dichas redes se prestarán exclusivamente servicios a las comercializadoras y concesionarios bajo condiciones de no discriminación y a precios competitivos. Los concesionarios que deseen hacer disponible a otros concesionarios la capacidad adquirida de la red compartida, sólo podrán hacerlo si ofrecen las mismas condiciones en que adquirieron dicha capacidad de la red compartida, sin que se entienda que la contraprestación económica está incluida en dichas condiciones. </w:t>
      </w:r>
    </w:p>
    <w:p w:rsidR="00826E5D" w:rsidRPr="00826E5D" w:rsidRDefault="004A0D27" w:rsidP="00C52873">
      <w:pPr>
        <w:pStyle w:val="Prrafodelista"/>
        <w:tabs>
          <w:tab w:val="left" w:pos="7513"/>
        </w:tabs>
        <w:spacing w:line="276" w:lineRule="auto"/>
        <w:ind w:left="709" w:right="757"/>
        <w:jc w:val="both"/>
        <w:rPr>
          <w:rFonts w:ascii="ITC Avant Garde" w:hAnsi="ITC Avant Garde"/>
          <w:bCs/>
          <w:color w:val="000000"/>
          <w:sz w:val="20"/>
          <w:szCs w:val="20"/>
          <w:lang w:val="es-MX" w:eastAsia="es-MX"/>
        </w:rPr>
      </w:pPr>
      <w:r w:rsidRPr="00826E5D">
        <w:rPr>
          <w:rFonts w:ascii="ITC Avant Garde" w:hAnsi="ITC Avant Garde"/>
          <w:bCs/>
          <w:color w:val="000000"/>
          <w:sz w:val="20"/>
          <w:szCs w:val="20"/>
          <w:u w:val="single"/>
          <w:lang w:val="es-MX" w:eastAsia="es-MX"/>
        </w:rPr>
        <w:t>Los concesionarios que operen redes compartidas mayoristas sólo podrán ofrecer acceso a capacidad, infraestructura o servicios al agente económico preponderante del sector de las telecomunicaciones</w:t>
      </w:r>
      <w:r w:rsidRPr="00826E5D">
        <w:rPr>
          <w:rFonts w:ascii="ITC Avant Garde" w:hAnsi="ITC Avant Garde"/>
          <w:bCs/>
          <w:color w:val="000000"/>
          <w:sz w:val="20"/>
          <w:szCs w:val="20"/>
          <w:lang w:val="es-MX" w:eastAsia="es-MX"/>
        </w:rPr>
        <w:t xml:space="preserve"> o declarado con poder sustancial, </w:t>
      </w:r>
      <w:r w:rsidRPr="00826E5D">
        <w:rPr>
          <w:rFonts w:ascii="ITC Avant Garde" w:hAnsi="ITC Avant Garde"/>
          <w:bCs/>
          <w:color w:val="000000"/>
          <w:sz w:val="20"/>
          <w:szCs w:val="20"/>
          <w:u w:val="single"/>
          <w:lang w:val="es-MX" w:eastAsia="es-MX"/>
        </w:rPr>
        <w:t>previa autorización del Instituto</w:t>
      </w:r>
      <w:r w:rsidRPr="00826E5D">
        <w:rPr>
          <w:rFonts w:ascii="ITC Avant Garde" w:hAnsi="ITC Avant Garde"/>
          <w:bCs/>
          <w:color w:val="000000"/>
          <w:sz w:val="20"/>
          <w:szCs w:val="20"/>
          <w:lang w:val="es-MX" w:eastAsia="es-MX"/>
        </w:rPr>
        <w:t>, el cual fijará los términos y condiciones correspondientes.</w:t>
      </w:r>
    </w:p>
    <w:p w:rsidR="00826E5D" w:rsidRPr="00826E5D" w:rsidRDefault="00661DC6"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 xml:space="preserve">De los artículos citados se advierte que </w:t>
      </w:r>
      <w:r w:rsidR="009D762C" w:rsidRPr="00826E5D">
        <w:rPr>
          <w:rFonts w:ascii="ITC Avant Garde" w:hAnsi="ITC Avant Garde"/>
          <w:bCs/>
          <w:color w:val="000000"/>
          <w:sz w:val="22"/>
          <w:szCs w:val="22"/>
        </w:rPr>
        <w:t>no se</w:t>
      </w:r>
      <w:r w:rsidRPr="00826E5D">
        <w:rPr>
          <w:rFonts w:ascii="ITC Avant Garde" w:hAnsi="ITC Avant Garde"/>
          <w:bCs/>
          <w:color w:val="000000"/>
          <w:sz w:val="22"/>
          <w:szCs w:val="22"/>
        </w:rPr>
        <w:t xml:space="preserve"> </w:t>
      </w:r>
      <w:r w:rsidR="00700771" w:rsidRPr="00826E5D">
        <w:rPr>
          <w:rFonts w:ascii="ITC Avant Garde" w:hAnsi="ITC Avant Garde"/>
          <w:bCs/>
          <w:color w:val="000000"/>
          <w:sz w:val="22"/>
          <w:szCs w:val="22"/>
        </w:rPr>
        <w:t>establece</w:t>
      </w:r>
      <w:r w:rsidRPr="00826E5D">
        <w:rPr>
          <w:rFonts w:ascii="ITC Avant Garde" w:hAnsi="ITC Avant Garde"/>
          <w:bCs/>
          <w:color w:val="000000"/>
          <w:sz w:val="22"/>
          <w:szCs w:val="22"/>
        </w:rPr>
        <w:t xml:space="preserve"> restricción para que </w:t>
      </w:r>
      <w:r w:rsidR="00751127" w:rsidRPr="00826E5D">
        <w:rPr>
          <w:rFonts w:ascii="ITC Avant Garde" w:hAnsi="ITC Avant Garde"/>
          <w:bCs/>
          <w:color w:val="000000"/>
          <w:sz w:val="22"/>
          <w:szCs w:val="22"/>
        </w:rPr>
        <w:t xml:space="preserve">las redes compartidas mayoristas de servicios de telecomunicaciones, como lo es </w:t>
      </w:r>
      <w:r w:rsidR="009D762C" w:rsidRPr="00826E5D">
        <w:rPr>
          <w:rFonts w:ascii="ITC Avant Garde" w:hAnsi="ITC Avant Garde"/>
          <w:bCs/>
          <w:color w:val="000000"/>
          <w:sz w:val="22"/>
          <w:szCs w:val="22"/>
        </w:rPr>
        <w:t xml:space="preserve">la red </w:t>
      </w:r>
      <w:r w:rsidRPr="00826E5D">
        <w:rPr>
          <w:rFonts w:ascii="ITC Avant Garde" w:hAnsi="ITC Avant Garde"/>
          <w:bCs/>
          <w:color w:val="000000"/>
          <w:sz w:val="22"/>
          <w:szCs w:val="22"/>
        </w:rPr>
        <w:t>compartida prevista en el artículo Décimo Sexto Transitorio del Decreto de Reforma Constitucional (en lo sucesivo “Red Compartida”),</w:t>
      </w:r>
      <w:r w:rsidR="00A87FD0" w:rsidRPr="00826E5D">
        <w:rPr>
          <w:rFonts w:ascii="ITC Avant Garde" w:hAnsi="ITC Avant Garde"/>
          <w:bCs/>
          <w:color w:val="000000"/>
          <w:sz w:val="22"/>
          <w:szCs w:val="22"/>
        </w:rPr>
        <w:t xml:space="preserve"> </w:t>
      </w:r>
      <w:r w:rsidRPr="00826E5D">
        <w:rPr>
          <w:rFonts w:ascii="ITC Avant Garde" w:hAnsi="ITC Avant Garde"/>
          <w:bCs/>
          <w:color w:val="000000"/>
          <w:sz w:val="22"/>
          <w:szCs w:val="22"/>
        </w:rPr>
        <w:t>contrate</w:t>
      </w:r>
      <w:r w:rsidR="00751127" w:rsidRPr="00826E5D">
        <w:rPr>
          <w:rFonts w:ascii="ITC Avant Garde" w:hAnsi="ITC Avant Garde"/>
          <w:bCs/>
          <w:color w:val="000000"/>
          <w:sz w:val="22"/>
          <w:szCs w:val="22"/>
        </w:rPr>
        <w:t>n</w:t>
      </w:r>
      <w:r w:rsidR="00700771" w:rsidRPr="00826E5D">
        <w:rPr>
          <w:rFonts w:ascii="ITC Avant Garde" w:hAnsi="ITC Avant Garde"/>
          <w:bCs/>
          <w:color w:val="000000"/>
          <w:sz w:val="22"/>
          <w:szCs w:val="22"/>
        </w:rPr>
        <w:t xml:space="preserve"> los servicios</w:t>
      </w:r>
      <w:r w:rsidR="003F38B2" w:rsidRPr="00826E5D">
        <w:rPr>
          <w:rFonts w:ascii="ITC Avant Garde" w:hAnsi="ITC Avant Garde"/>
          <w:bCs/>
          <w:color w:val="000000"/>
          <w:sz w:val="22"/>
          <w:szCs w:val="22"/>
        </w:rPr>
        <w:t xml:space="preserve"> proporcionados por el </w:t>
      </w:r>
      <w:r w:rsidR="00251D9D" w:rsidRPr="00826E5D">
        <w:rPr>
          <w:rFonts w:ascii="ITC Avant Garde" w:hAnsi="ITC Avant Garde"/>
          <w:bCs/>
          <w:color w:val="000000"/>
          <w:sz w:val="22"/>
          <w:szCs w:val="22"/>
        </w:rPr>
        <w:t>agente económico p</w:t>
      </w:r>
      <w:r w:rsidR="003F38B2" w:rsidRPr="00826E5D">
        <w:rPr>
          <w:rFonts w:ascii="ITC Avant Garde" w:hAnsi="ITC Avant Garde"/>
          <w:bCs/>
          <w:color w:val="000000"/>
          <w:sz w:val="22"/>
          <w:szCs w:val="22"/>
        </w:rPr>
        <w:t>reponderante del sector de telecomunicaciones</w:t>
      </w:r>
      <w:r w:rsidR="00251D9D" w:rsidRPr="00826E5D">
        <w:rPr>
          <w:rFonts w:ascii="ITC Avant Garde" w:hAnsi="ITC Avant Garde"/>
          <w:bCs/>
          <w:color w:val="000000"/>
          <w:sz w:val="22"/>
          <w:szCs w:val="22"/>
        </w:rPr>
        <w:t xml:space="preserve"> (AEPT)</w:t>
      </w:r>
      <w:r w:rsidR="003F38B2" w:rsidRPr="00826E5D">
        <w:rPr>
          <w:rFonts w:ascii="ITC Avant Garde" w:hAnsi="ITC Avant Garde"/>
          <w:bCs/>
          <w:color w:val="000000"/>
          <w:sz w:val="22"/>
          <w:szCs w:val="22"/>
        </w:rPr>
        <w:t xml:space="preserve"> </w:t>
      </w:r>
      <w:r w:rsidR="00251D9D" w:rsidRPr="00826E5D">
        <w:rPr>
          <w:rFonts w:ascii="ITC Avant Garde" w:hAnsi="ITC Avant Garde"/>
          <w:bCs/>
          <w:color w:val="000000"/>
          <w:sz w:val="22"/>
          <w:szCs w:val="22"/>
        </w:rPr>
        <w:t xml:space="preserve">que son </w:t>
      </w:r>
      <w:r w:rsidR="003F38B2" w:rsidRPr="00826E5D">
        <w:rPr>
          <w:rFonts w:ascii="ITC Avant Garde" w:hAnsi="ITC Avant Garde"/>
          <w:bCs/>
          <w:color w:val="000000"/>
          <w:sz w:val="22"/>
          <w:szCs w:val="22"/>
        </w:rPr>
        <w:t>puestos a disposición</w:t>
      </w:r>
      <w:r w:rsidR="00251D9D" w:rsidRPr="00826E5D">
        <w:rPr>
          <w:rFonts w:ascii="ITC Avant Garde" w:hAnsi="ITC Avant Garde"/>
          <w:bCs/>
          <w:color w:val="000000"/>
          <w:sz w:val="22"/>
          <w:szCs w:val="22"/>
        </w:rPr>
        <w:t xml:space="preserve"> de los concesionarios</w:t>
      </w:r>
      <w:r w:rsidR="003F38B2" w:rsidRPr="00826E5D">
        <w:rPr>
          <w:rFonts w:ascii="ITC Avant Garde" w:hAnsi="ITC Avant Garde"/>
          <w:bCs/>
          <w:color w:val="000000"/>
          <w:sz w:val="22"/>
          <w:szCs w:val="22"/>
        </w:rPr>
        <w:t xml:space="preserve"> mediante ofertas de referencia</w:t>
      </w:r>
      <w:r w:rsidR="00762196" w:rsidRPr="00826E5D">
        <w:rPr>
          <w:rFonts w:ascii="ITC Avant Garde" w:hAnsi="ITC Avant Garde"/>
          <w:bCs/>
          <w:color w:val="000000"/>
          <w:sz w:val="22"/>
          <w:szCs w:val="22"/>
        </w:rPr>
        <w:t xml:space="preserve">, incluido </w:t>
      </w:r>
      <w:r w:rsidR="00580CF0" w:rsidRPr="00826E5D">
        <w:rPr>
          <w:rFonts w:ascii="ITC Avant Garde" w:hAnsi="ITC Avant Garde"/>
          <w:bCs/>
          <w:color w:val="000000"/>
          <w:sz w:val="22"/>
          <w:szCs w:val="22"/>
        </w:rPr>
        <w:t>el</w:t>
      </w:r>
      <w:r w:rsidR="00762196" w:rsidRPr="00826E5D">
        <w:rPr>
          <w:rFonts w:ascii="ITC Avant Garde" w:hAnsi="ITC Avant Garde"/>
          <w:bCs/>
          <w:color w:val="000000"/>
          <w:sz w:val="22"/>
          <w:szCs w:val="22"/>
        </w:rPr>
        <w:t xml:space="preserve"> servicio mayorista de usuario visitante</w:t>
      </w:r>
      <w:r w:rsidR="003F38B2" w:rsidRPr="00826E5D">
        <w:rPr>
          <w:rFonts w:ascii="ITC Avant Garde" w:hAnsi="ITC Avant Garde"/>
          <w:bCs/>
          <w:color w:val="000000"/>
          <w:sz w:val="22"/>
          <w:szCs w:val="22"/>
        </w:rPr>
        <w:t>.</w:t>
      </w:r>
    </w:p>
    <w:p w:rsidR="00826E5D" w:rsidRPr="00826E5D" w:rsidRDefault="00251D9D"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 xml:space="preserve">A diferencia de </w:t>
      </w:r>
      <w:r w:rsidR="00EB522F" w:rsidRPr="00826E5D">
        <w:rPr>
          <w:rFonts w:ascii="ITC Avant Garde" w:hAnsi="ITC Avant Garde"/>
          <w:bCs/>
          <w:color w:val="000000"/>
          <w:sz w:val="22"/>
          <w:szCs w:val="22"/>
        </w:rPr>
        <w:t xml:space="preserve">lo señalado en el párrafo </w:t>
      </w:r>
      <w:r w:rsidR="000435CC" w:rsidRPr="00826E5D">
        <w:rPr>
          <w:rFonts w:ascii="ITC Avant Garde" w:hAnsi="ITC Avant Garde"/>
          <w:bCs/>
          <w:color w:val="000000"/>
          <w:sz w:val="22"/>
          <w:szCs w:val="22"/>
        </w:rPr>
        <w:t>precedente</w:t>
      </w:r>
      <w:r w:rsidRPr="00826E5D">
        <w:rPr>
          <w:rFonts w:ascii="ITC Avant Garde" w:hAnsi="ITC Avant Garde"/>
          <w:bCs/>
          <w:color w:val="000000"/>
          <w:sz w:val="22"/>
          <w:szCs w:val="22"/>
        </w:rPr>
        <w:t>, el artículo 144, tercer párrafo, de la LFTR establece que para que los concesionarios que operen redes compartidas mayoristas ofrezcan acceso a capacidad, infraestructura o servicios al AEPT, se requerirá la previa autorizaci</w:t>
      </w:r>
      <w:r w:rsidR="007577E7" w:rsidRPr="00826E5D">
        <w:rPr>
          <w:rFonts w:ascii="ITC Avant Garde" w:hAnsi="ITC Avant Garde"/>
          <w:bCs/>
          <w:color w:val="000000"/>
          <w:sz w:val="22"/>
          <w:szCs w:val="22"/>
        </w:rPr>
        <w:t>ón del IFT a efecto de que éste fije los términos y condiciones correspondientes.</w:t>
      </w:r>
      <w:r w:rsidR="004A71D0" w:rsidRPr="00826E5D">
        <w:rPr>
          <w:rFonts w:ascii="ITC Avant Garde" w:hAnsi="ITC Avant Garde"/>
          <w:bCs/>
          <w:color w:val="000000"/>
          <w:sz w:val="22"/>
          <w:szCs w:val="22"/>
        </w:rPr>
        <w:t xml:space="preserve"> </w:t>
      </w:r>
    </w:p>
    <w:p w:rsidR="00826E5D" w:rsidRPr="00826E5D" w:rsidRDefault="006E4F2E"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L</w:t>
      </w:r>
      <w:r w:rsidR="007577E7" w:rsidRPr="00826E5D">
        <w:rPr>
          <w:rFonts w:ascii="ITC Avant Garde" w:hAnsi="ITC Avant Garde"/>
          <w:bCs/>
          <w:color w:val="000000"/>
          <w:sz w:val="22"/>
          <w:szCs w:val="22"/>
        </w:rPr>
        <w:t xml:space="preserve">o anterior encuentra sentido en </w:t>
      </w:r>
      <w:r w:rsidR="00135596" w:rsidRPr="00826E5D">
        <w:rPr>
          <w:rFonts w:ascii="ITC Avant Garde" w:hAnsi="ITC Avant Garde"/>
          <w:bCs/>
          <w:color w:val="000000"/>
          <w:sz w:val="22"/>
          <w:szCs w:val="22"/>
        </w:rPr>
        <w:t xml:space="preserve">el hecho de </w:t>
      </w:r>
      <w:r w:rsidRPr="00826E5D">
        <w:rPr>
          <w:rFonts w:ascii="ITC Avant Garde" w:hAnsi="ITC Avant Garde"/>
          <w:bCs/>
          <w:color w:val="000000"/>
          <w:sz w:val="22"/>
          <w:szCs w:val="22"/>
        </w:rPr>
        <w:t>que el acceso del AEPT a la capacidad, infraestructura o servicios de la Red Compartida podría generar efectos adversos al proceso de c</w:t>
      </w:r>
      <w:r w:rsidR="005E0609" w:rsidRPr="00826E5D">
        <w:rPr>
          <w:rFonts w:ascii="ITC Avant Garde" w:hAnsi="ITC Avant Garde"/>
          <w:bCs/>
          <w:color w:val="000000"/>
          <w:sz w:val="22"/>
          <w:szCs w:val="22"/>
        </w:rPr>
        <w:t>ompetencia y libre concurrencia, situación que la LFTR no prevé que pueda presentarse mediante el acceso de la Red Compartida a la capacidad, infraestructura y servicios del AEPT</w:t>
      </w:r>
      <w:r w:rsidR="00135596" w:rsidRPr="00826E5D">
        <w:rPr>
          <w:rFonts w:ascii="ITC Avant Garde" w:hAnsi="ITC Avant Garde"/>
          <w:bCs/>
          <w:color w:val="000000"/>
          <w:sz w:val="22"/>
          <w:szCs w:val="22"/>
        </w:rPr>
        <w:t>, motivo por el que</w:t>
      </w:r>
      <w:r w:rsidR="001D4062" w:rsidRPr="00826E5D">
        <w:rPr>
          <w:rFonts w:ascii="ITC Avant Garde" w:hAnsi="ITC Avant Garde"/>
          <w:bCs/>
          <w:color w:val="000000"/>
          <w:sz w:val="22"/>
          <w:szCs w:val="22"/>
        </w:rPr>
        <w:t xml:space="preserve"> </w:t>
      </w:r>
      <w:r w:rsidR="001C49B4" w:rsidRPr="00826E5D">
        <w:rPr>
          <w:rFonts w:ascii="ITC Avant Garde" w:hAnsi="ITC Avant Garde"/>
          <w:bCs/>
          <w:color w:val="000000"/>
          <w:sz w:val="22"/>
          <w:szCs w:val="22"/>
        </w:rPr>
        <w:t>para este supuesto</w:t>
      </w:r>
      <w:r w:rsidR="00135596" w:rsidRPr="00826E5D">
        <w:rPr>
          <w:rFonts w:ascii="ITC Avant Garde" w:hAnsi="ITC Avant Garde"/>
          <w:bCs/>
          <w:color w:val="000000"/>
          <w:sz w:val="22"/>
          <w:szCs w:val="22"/>
        </w:rPr>
        <w:t xml:space="preserve"> no prevé autorizaci</w:t>
      </w:r>
      <w:r w:rsidR="00504A9D" w:rsidRPr="00826E5D">
        <w:rPr>
          <w:rFonts w:ascii="ITC Avant Garde" w:hAnsi="ITC Avant Garde"/>
          <w:bCs/>
          <w:color w:val="000000"/>
          <w:sz w:val="22"/>
          <w:szCs w:val="22"/>
        </w:rPr>
        <w:t xml:space="preserve">ón </w:t>
      </w:r>
      <w:r w:rsidR="00FA4173" w:rsidRPr="00826E5D">
        <w:rPr>
          <w:rFonts w:ascii="ITC Avant Garde" w:hAnsi="ITC Avant Garde"/>
          <w:bCs/>
          <w:color w:val="000000"/>
          <w:sz w:val="22"/>
          <w:szCs w:val="22"/>
        </w:rPr>
        <w:t xml:space="preserve">previa </w:t>
      </w:r>
      <w:r w:rsidR="00504A9D" w:rsidRPr="00826E5D">
        <w:rPr>
          <w:rFonts w:ascii="ITC Avant Garde" w:hAnsi="ITC Avant Garde"/>
          <w:bCs/>
          <w:color w:val="000000"/>
          <w:sz w:val="22"/>
          <w:szCs w:val="22"/>
        </w:rPr>
        <w:t>o</w:t>
      </w:r>
      <w:r w:rsidR="00135596" w:rsidRPr="00826E5D">
        <w:rPr>
          <w:rFonts w:ascii="ITC Avant Garde" w:hAnsi="ITC Avant Garde"/>
          <w:bCs/>
          <w:color w:val="000000"/>
          <w:sz w:val="22"/>
          <w:szCs w:val="22"/>
        </w:rPr>
        <w:t xml:space="preserve"> restricción.</w:t>
      </w:r>
    </w:p>
    <w:p w:rsidR="00826E5D" w:rsidRPr="00826E5D" w:rsidRDefault="007024EE"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Por lo que respecta al</w:t>
      </w:r>
      <w:r w:rsidR="002D1E89" w:rsidRPr="00826E5D">
        <w:rPr>
          <w:rFonts w:ascii="ITC Avant Garde" w:hAnsi="ITC Avant Garde"/>
          <w:bCs/>
          <w:color w:val="000000"/>
          <w:sz w:val="22"/>
          <w:szCs w:val="22"/>
        </w:rPr>
        <w:t xml:space="preserve"> servicio de usuario visitante</w:t>
      </w:r>
      <w:r w:rsidRPr="00826E5D">
        <w:rPr>
          <w:rFonts w:ascii="ITC Avant Garde" w:hAnsi="ITC Avant Garde"/>
          <w:bCs/>
          <w:color w:val="000000"/>
          <w:sz w:val="22"/>
          <w:szCs w:val="22"/>
        </w:rPr>
        <w:t>,</w:t>
      </w:r>
      <w:r w:rsidR="002D1E89" w:rsidRPr="00826E5D">
        <w:rPr>
          <w:rFonts w:ascii="ITC Avant Garde" w:hAnsi="ITC Avant Garde"/>
          <w:bCs/>
          <w:color w:val="000000"/>
          <w:sz w:val="22"/>
          <w:szCs w:val="22"/>
        </w:rPr>
        <w:t xml:space="preserve"> es definido por el artículo 3, fracción LXI, de la LFTR como el servicio a través del cual los usuarios de una red pública de telecomunicaciones de servicio local móvil, pueden originar o recibir comunicaciones de voz o datos a través de la infraestructura de acceso de otro </w:t>
      </w:r>
      <w:r w:rsidR="002D1E89" w:rsidRPr="00826E5D">
        <w:rPr>
          <w:rFonts w:ascii="ITC Avant Garde" w:hAnsi="ITC Avant Garde"/>
          <w:bCs/>
          <w:color w:val="000000"/>
          <w:sz w:val="22"/>
          <w:szCs w:val="22"/>
        </w:rPr>
        <w:lastRenderedPageBreak/>
        <w:t>concesionario de red pública de telecomunicaciones del servicio local móvil, sin necesidad de realizar algún procedimiento adicional, al tratarse de usuarios de otra región local móvil o al estar fuera de la zona de cobertura de su proveedor de servicios móviles</w:t>
      </w:r>
      <w:r w:rsidR="00FA4173" w:rsidRPr="00826E5D">
        <w:rPr>
          <w:rFonts w:ascii="ITC Avant Garde" w:hAnsi="ITC Avant Garde"/>
          <w:bCs/>
          <w:color w:val="000000"/>
          <w:sz w:val="22"/>
          <w:szCs w:val="22"/>
        </w:rPr>
        <w:t>.</w:t>
      </w:r>
    </w:p>
    <w:p w:rsidR="00826E5D" w:rsidRPr="00826E5D" w:rsidRDefault="00530ABD"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E</w:t>
      </w:r>
      <w:r w:rsidR="002D1E89" w:rsidRPr="00826E5D">
        <w:rPr>
          <w:rFonts w:ascii="ITC Avant Garde" w:hAnsi="ITC Avant Garde"/>
          <w:bCs/>
          <w:color w:val="000000"/>
          <w:sz w:val="22"/>
          <w:szCs w:val="22"/>
        </w:rPr>
        <w:t>l artículo 119 de la LFTR dispone que, por regla general, los acuerdos relativos al servicio de usuario visitante serán celebrados libremente entre los concesionarios</w:t>
      </w:r>
      <w:r w:rsidRPr="00826E5D">
        <w:rPr>
          <w:rFonts w:ascii="ITC Avant Garde" w:hAnsi="ITC Avant Garde"/>
          <w:bCs/>
          <w:color w:val="000000"/>
          <w:sz w:val="22"/>
          <w:szCs w:val="22"/>
        </w:rPr>
        <w:t xml:space="preserve"> que tengan redes públicas de telecomunicaciones que presten servicios móviles</w:t>
      </w:r>
      <w:r w:rsidR="002D1E89" w:rsidRPr="00826E5D">
        <w:rPr>
          <w:rFonts w:ascii="ITC Avant Garde" w:hAnsi="ITC Avant Garde"/>
          <w:bCs/>
          <w:color w:val="000000"/>
          <w:sz w:val="22"/>
          <w:szCs w:val="22"/>
        </w:rPr>
        <w:t>, pero que tratándose del AEPT, la celebración de dichos acuerdos será obligatoria</w:t>
      </w:r>
      <w:r w:rsidRPr="00826E5D">
        <w:rPr>
          <w:rFonts w:ascii="ITC Avant Garde" w:hAnsi="ITC Avant Garde"/>
          <w:bCs/>
          <w:color w:val="000000"/>
          <w:sz w:val="22"/>
          <w:szCs w:val="22"/>
        </w:rPr>
        <w:t>; y que el AEPT estará obligado a prestar el servicio de usuario visitante de manera temporal y exclusivamente en aquellas zonas en las que el concesionario interesado no cuente con infraestructura.</w:t>
      </w:r>
    </w:p>
    <w:p w:rsidR="00826E5D" w:rsidRPr="00826E5D" w:rsidRDefault="00530ABD"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El artículo 120 de la LFTR establece que el Instituto regulará los términos, condiciones y tarifas</w:t>
      </w:r>
      <w:r w:rsidR="00EB522F" w:rsidRPr="00826E5D">
        <w:rPr>
          <w:rFonts w:ascii="ITC Avant Garde" w:hAnsi="ITC Avant Garde"/>
          <w:bCs/>
          <w:color w:val="000000"/>
          <w:sz w:val="22"/>
          <w:szCs w:val="22"/>
        </w:rPr>
        <w:t xml:space="preserve"> de los servicios de usuario visitante que deberá prestar el AEPT a los demás concesionarios de redes públicas de telecomunicaciones. </w:t>
      </w:r>
    </w:p>
    <w:p w:rsidR="00826E5D" w:rsidRPr="00826E5D" w:rsidRDefault="00B53BEF"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Como puede observarse,</w:t>
      </w:r>
      <w:r w:rsidR="00BB7B74" w:rsidRPr="00826E5D">
        <w:rPr>
          <w:rFonts w:ascii="ITC Avant Garde" w:hAnsi="ITC Avant Garde"/>
          <w:bCs/>
          <w:color w:val="000000"/>
          <w:sz w:val="22"/>
          <w:szCs w:val="22"/>
        </w:rPr>
        <w:t xml:space="preserve"> la LFTR establece una excepción a la regla general</w:t>
      </w:r>
      <w:r w:rsidR="00BF414F" w:rsidRPr="00826E5D">
        <w:rPr>
          <w:rFonts w:ascii="ITC Avant Garde" w:hAnsi="ITC Avant Garde"/>
          <w:bCs/>
          <w:color w:val="000000"/>
          <w:sz w:val="22"/>
          <w:szCs w:val="22"/>
        </w:rPr>
        <w:t>,</w:t>
      </w:r>
      <w:r w:rsidR="00BB7B74" w:rsidRPr="00826E5D">
        <w:rPr>
          <w:rFonts w:ascii="ITC Avant Garde" w:hAnsi="ITC Avant Garde"/>
          <w:bCs/>
          <w:color w:val="000000"/>
          <w:sz w:val="22"/>
          <w:szCs w:val="22"/>
        </w:rPr>
        <w:t xml:space="preserve"> al disponer que para el AEPT la celebración de </w:t>
      </w:r>
      <w:r w:rsidR="00933FC6" w:rsidRPr="00826E5D">
        <w:rPr>
          <w:rFonts w:ascii="ITC Avant Garde" w:hAnsi="ITC Avant Garde"/>
          <w:bCs/>
          <w:color w:val="000000"/>
          <w:sz w:val="22"/>
          <w:szCs w:val="22"/>
        </w:rPr>
        <w:t xml:space="preserve">acuerdos relativos al servicio de usuario visitante </w:t>
      </w:r>
      <w:r w:rsidR="00BB7B74" w:rsidRPr="00826E5D">
        <w:rPr>
          <w:rFonts w:ascii="ITC Avant Garde" w:hAnsi="ITC Avant Garde"/>
          <w:bCs/>
          <w:color w:val="000000"/>
          <w:sz w:val="22"/>
          <w:szCs w:val="22"/>
        </w:rPr>
        <w:t>será obligatoria</w:t>
      </w:r>
      <w:r w:rsidR="00BF414F" w:rsidRPr="00826E5D">
        <w:rPr>
          <w:rFonts w:ascii="ITC Avant Garde" w:hAnsi="ITC Avant Garde"/>
          <w:bCs/>
          <w:color w:val="000000"/>
          <w:sz w:val="22"/>
          <w:szCs w:val="22"/>
        </w:rPr>
        <w:t xml:space="preserve"> cuando </w:t>
      </w:r>
      <w:r w:rsidR="00BB7B74" w:rsidRPr="00826E5D">
        <w:rPr>
          <w:rFonts w:ascii="ITC Avant Garde" w:hAnsi="ITC Avant Garde"/>
          <w:bCs/>
          <w:color w:val="000000"/>
          <w:sz w:val="22"/>
          <w:szCs w:val="22"/>
        </w:rPr>
        <w:t xml:space="preserve">sea solicitado por concesionarios </w:t>
      </w:r>
      <w:r w:rsidR="003E022D" w:rsidRPr="00826E5D">
        <w:rPr>
          <w:rFonts w:ascii="ITC Avant Garde" w:hAnsi="ITC Avant Garde"/>
          <w:bCs/>
          <w:color w:val="000000"/>
          <w:sz w:val="22"/>
          <w:szCs w:val="22"/>
        </w:rPr>
        <w:t>que tengan</w:t>
      </w:r>
      <w:r w:rsidR="00BB7B74" w:rsidRPr="00826E5D">
        <w:rPr>
          <w:rFonts w:ascii="ITC Avant Garde" w:hAnsi="ITC Avant Garde"/>
          <w:bCs/>
          <w:color w:val="000000"/>
          <w:sz w:val="22"/>
          <w:szCs w:val="22"/>
        </w:rPr>
        <w:t xml:space="preserve"> redes públicas de telecomunicaciones.</w:t>
      </w:r>
    </w:p>
    <w:p w:rsidR="00826E5D" w:rsidRPr="00826E5D" w:rsidRDefault="00D10D14"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Ahora bien</w:t>
      </w:r>
      <w:r w:rsidR="00247294" w:rsidRPr="00826E5D">
        <w:rPr>
          <w:rFonts w:ascii="ITC Avant Garde" w:hAnsi="ITC Avant Garde"/>
          <w:bCs/>
          <w:color w:val="000000"/>
          <w:sz w:val="22"/>
          <w:szCs w:val="22"/>
        </w:rPr>
        <w:t>,</w:t>
      </w:r>
      <w:r w:rsidR="005543D3" w:rsidRPr="00826E5D">
        <w:rPr>
          <w:rFonts w:ascii="ITC Avant Garde" w:hAnsi="ITC Avant Garde"/>
          <w:bCs/>
          <w:color w:val="000000"/>
          <w:sz w:val="22"/>
          <w:szCs w:val="22"/>
        </w:rPr>
        <w:t xml:space="preserve"> el Anexo 1 de</w:t>
      </w:r>
      <w:r w:rsidR="00247294" w:rsidRPr="00826E5D">
        <w:rPr>
          <w:rFonts w:ascii="ITC Avant Garde" w:hAnsi="ITC Avant Garde"/>
          <w:bCs/>
          <w:color w:val="000000"/>
          <w:sz w:val="22"/>
          <w:szCs w:val="22"/>
        </w:rPr>
        <w:t xml:space="preserve"> la resolución </w:t>
      </w:r>
      <w:r w:rsidR="006A47B1" w:rsidRPr="00826E5D">
        <w:rPr>
          <w:rFonts w:ascii="ITC Avant Garde" w:hAnsi="ITC Avant Garde"/>
          <w:bCs/>
          <w:color w:val="000000"/>
          <w:sz w:val="22"/>
          <w:szCs w:val="22"/>
        </w:rPr>
        <w:t>aprobada en el acuerdo P/IFT/EXT/270217/119</w:t>
      </w:r>
      <w:r w:rsidR="005543D3" w:rsidRPr="00826E5D">
        <w:rPr>
          <w:rFonts w:ascii="ITC Avant Garde" w:hAnsi="ITC Avant Garde"/>
          <w:bCs/>
          <w:color w:val="000000"/>
          <w:sz w:val="22"/>
          <w:szCs w:val="22"/>
        </w:rPr>
        <w:t xml:space="preserve">, </w:t>
      </w:r>
      <w:r w:rsidR="009468C8" w:rsidRPr="00826E5D">
        <w:rPr>
          <w:rFonts w:ascii="ITC Avant Garde" w:hAnsi="ITC Avant Garde"/>
          <w:bCs/>
          <w:color w:val="000000"/>
          <w:sz w:val="22"/>
          <w:szCs w:val="22"/>
        </w:rPr>
        <w:t xml:space="preserve">de fecha 27 de febrero de 2017, </w:t>
      </w:r>
      <w:r w:rsidR="00247294" w:rsidRPr="00826E5D">
        <w:rPr>
          <w:rFonts w:ascii="ITC Avant Garde" w:hAnsi="ITC Avant Garde"/>
          <w:bCs/>
          <w:color w:val="000000"/>
          <w:sz w:val="22"/>
          <w:szCs w:val="22"/>
        </w:rPr>
        <w:t xml:space="preserve">mediante la cual el Pleno del Instituto suprime, modifica y adiciona las medidas impuestas al AEPT mediante resolución de fecha 6 de marzo de 2014, </w:t>
      </w:r>
      <w:r w:rsidRPr="00826E5D">
        <w:rPr>
          <w:rFonts w:ascii="ITC Avant Garde" w:hAnsi="ITC Avant Garde"/>
          <w:bCs/>
          <w:color w:val="000000"/>
          <w:sz w:val="22"/>
          <w:szCs w:val="22"/>
        </w:rPr>
        <w:t xml:space="preserve">deja intocados los conceptos de Servicio de Usuario Visitante o </w:t>
      </w:r>
      <w:proofErr w:type="spellStart"/>
      <w:r w:rsidRPr="00826E5D">
        <w:rPr>
          <w:rFonts w:ascii="ITC Avant Garde" w:hAnsi="ITC Avant Garde"/>
          <w:bCs/>
          <w:color w:val="000000"/>
          <w:sz w:val="22"/>
          <w:szCs w:val="22"/>
        </w:rPr>
        <w:t>Itinerancia</w:t>
      </w:r>
      <w:proofErr w:type="spellEnd"/>
      <w:r w:rsidRPr="00826E5D">
        <w:rPr>
          <w:rFonts w:ascii="ITC Avant Garde" w:hAnsi="ITC Avant Garde"/>
          <w:bCs/>
          <w:color w:val="000000"/>
          <w:sz w:val="22"/>
          <w:szCs w:val="22"/>
        </w:rPr>
        <w:t xml:space="preserve"> y de Servicio Mayorista de Usuario Visitante, </w:t>
      </w:r>
      <w:r w:rsidR="005543D3" w:rsidRPr="00826E5D">
        <w:rPr>
          <w:rFonts w:ascii="ITC Avant Garde" w:hAnsi="ITC Avant Garde"/>
          <w:bCs/>
          <w:color w:val="000000"/>
          <w:sz w:val="22"/>
          <w:szCs w:val="22"/>
        </w:rPr>
        <w:t>prec</w:t>
      </w:r>
      <w:r w:rsidRPr="00826E5D">
        <w:rPr>
          <w:rFonts w:ascii="ITC Avant Garde" w:hAnsi="ITC Avant Garde"/>
          <w:bCs/>
          <w:color w:val="000000"/>
          <w:sz w:val="22"/>
          <w:szCs w:val="22"/>
        </w:rPr>
        <w:t>isa lo que debe entenderse por Concesionario S</w:t>
      </w:r>
      <w:r w:rsidR="005543D3" w:rsidRPr="00826E5D">
        <w:rPr>
          <w:rFonts w:ascii="ITC Avant Garde" w:hAnsi="ITC Avant Garde"/>
          <w:bCs/>
          <w:color w:val="000000"/>
          <w:sz w:val="22"/>
          <w:szCs w:val="22"/>
        </w:rPr>
        <w:t xml:space="preserve">olicitante e incorpora el concepto de </w:t>
      </w:r>
      <w:r w:rsidRPr="00826E5D">
        <w:rPr>
          <w:rFonts w:ascii="ITC Avant Garde" w:hAnsi="ITC Avant Garde"/>
          <w:bCs/>
          <w:color w:val="000000"/>
          <w:sz w:val="22"/>
          <w:szCs w:val="22"/>
        </w:rPr>
        <w:t>Servicio Mayorista R</w:t>
      </w:r>
      <w:r w:rsidR="005543D3" w:rsidRPr="00826E5D">
        <w:rPr>
          <w:rFonts w:ascii="ITC Avant Garde" w:hAnsi="ITC Avant Garde"/>
          <w:bCs/>
          <w:color w:val="000000"/>
          <w:sz w:val="22"/>
          <w:szCs w:val="22"/>
        </w:rPr>
        <w:t>egulado</w:t>
      </w:r>
      <w:r w:rsidRPr="00826E5D">
        <w:rPr>
          <w:rFonts w:ascii="ITC Avant Garde" w:hAnsi="ITC Avant Garde"/>
          <w:bCs/>
          <w:color w:val="000000"/>
          <w:sz w:val="22"/>
          <w:szCs w:val="22"/>
        </w:rPr>
        <w:t>, conforme a lo siguiente</w:t>
      </w:r>
      <w:r w:rsidR="005543D3" w:rsidRPr="00826E5D">
        <w:rPr>
          <w:rFonts w:ascii="ITC Avant Garde" w:hAnsi="ITC Avant Garde"/>
          <w:bCs/>
          <w:color w:val="000000"/>
          <w:sz w:val="22"/>
          <w:szCs w:val="22"/>
        </w:rPr>
        <w:t>:</w:t>
      </w:r>
    </w:p>
    <w:p w:rsidR="00826E5D" w:rsidRPr="00826E5D" w:rsidRDefault="005543D3" w:rsidP="00C52873">
      <w:pPr>
        <w:spacing w:line="276" w:lineRule="auto"/>
        <w:ind w:left="705" w:right="757"/>
        <w:jc w:val="both"/>
        <w:rPr>
          <w:rFonts w:ascii="ITC Avant Garde" w:hAnsi="ITC Avant Garde"/>
          <w:bCs/>
          <w:color w:val="000000"/>
          <w:sz w:val="20"/>
          <w:szCs w:val="20"/>
        </w:rPr>
      </w:pPr>
      <w:r w:rsidRPr="00826E5D">
        <w:rPr>
          <w:rFonts w:ascii="ITC Avant Garde" w:hAnsi="ITC Avant Garde"/>
          <w:bCs/>
          <w:color w:val="000000"/>
          <w:sz w:val="20"/>
          <w:szCs w:val="20"/>
        </w:rPr>
        <w:t>5) Concesionario Solicitante: Concesionario de telecomunicaciones que solicita servicios mayoristas regulados, acceso y/o accede a la infraestructura de la red del Agente Económico Preponderante a fin de prestar servicios de telecomunicaciones;</w:t>
      </w:r>
    </w:p>
    <w:p w:rsidR="00826E5D" w:rsidRPr="00826E5D" w:rsidRDefault="005543D3" w:rsidP="00C52873">
      <w:pPr>
        <w:spacing w:line="276" w:lineRule="auto"/>
        <w:ind w:left="705" w:right="757"/>
        <w:jc w:val="both"/>
        <w:rPr>
          <w:rFonts w:ascii="ITC Avant Garde" w:hAnsi="ITC Avant Garde"/>
          <w:bCs/>
          <w:color w:val="000000"/>
          <w:sz w:val="20"/>
          <w:szCs w:val="20"/>
        </w:rPr>
      </w:pPr>
      <w:r w:rsidRPr="00826E5D">
        <w:rPr>
          <w:rFonts w:ascii="ITC Avant Garde" w:hAnsi="ITC Avant Garde"/>
          <w:bCs/>
          <w:color w:val="000000"/>
          <w:sz w:val="20"/>
          <w:szCs w:val="20"/>
        </w:rPr>
        <w:t>22.3) Servicio mayorista regulado: Servicio que ofrece el Agente Económico Preponderante al amparo de las Ofertas de Referencia;</w:t>
      </w:r>
    </w:p>
    <w:p w:rsidR="00826E5D" w:rsidRPr="00826E5D" w:rsidRDefault="00496645"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 xml:space="preserve">La referida resolución por la que el Instituto suprime, modifica y adiciona las medidas impuestas al AEPT mediante resolución de fecha 6 de marzo de 2014, también modificó la medida DUODÉCIMA para precisar su sentido y alcance en los siguientes términos: </w:t>
      </w:r>
    </w:p>
    <w:p w:rsidR="00826E5D" w:rsidRPr="00826E5D" w:rsidRDefault="00496645" w:rsidP="00C52873">
      <w:pPr>
        <w:spacing w:line="276" w:lineRule="auto"/>
        <w:ind w:left="705" w:right="757"/>
        <w:jc w:val="both"/>
        <w:rPr>
          <w:rFonts w:ascii="ITC Avant Garde" w:hAnsi="ITC Avant Garde"/>
          <w:bCs/>
          <w:color w:val="000000"/>
          <w:sz w:val="20"/>
          <w:szCs w:val="20"/>
        </w:rPr>
      </w:pPr>
      <w:r w:rsidRPr="00826E5D">
        <w:rPr>
          <w:rFonts w:ascii="ITC Avant Garde" w:hAnsi="ITC Avant Garde"/>
          <w:b/>
          <w:bCs/>
          <w:color w:val="000000"/>
          <w:sz w:val="20"/>
          <w:szCs w:val="20"/>
        </w:rPr>
        <w:t>DUODÉCIMA.-</w:t>
      </w:r>
      <w:r w:rsidRPr="00826E5D">
        <w:rPr>
          <w:rFonts w:ascii="ITC Avant Garde" w:hAnsi="ITC Avant Garde"/>
          <w:bCs/>
          <w:color w:val="000000"/>
          <w:sz w:val="20"/>
          <w:szCs w:val="20"/>
        </w:rPr>
        <w:t xml:space="preserve"> El Agente Económico Preponderante deberá proveer el Servicio Mayorista de Usuario Visitante a los Concesionarios Solicitantes, permitiendo el acceso a todos los elementos de red, recursos asociados, servicios, programas informáticos y los correspondientes sistemas de información que sean necesarios para la prestación de dicho servicio </w:t>
      </w:r>
      <w:r w:rsidRPr="00826E5D">
        <w:rPr>
          <w:rFonts w:ascii="ITC Avant Garde" w:hAnsi="ITC Avant Garde"/>
          <w:bCs/>
          <w:strike/>
          <w:color w:val="000000"/>
          <w:sz w:val="20"/>
          <w:szCs w:val="20"/>
        </w:rPr>
        <w:t xml:space="preserve">a los </w:t>
      </w:r>
      <w:r w:rsidRPr="00826E5D">
        <w:rPr>
          <w:rFonts w:ascii="ITC Avant Garde" w:hAnsi="ITC Avant Garde"/>
          <w:bCs/>
          <w:strike/>
          <w:color w:val="000000"/>
          <w:sz w:val="20"/>
          <w:szCs w:val="20"/>
        </w:rPr>
        <w:lastRenderedPageBreak/>
        <w:t>Usuarios finales del Concesionario Solicitante</w:t>
      </w:r>
      <w:r w:rsidRPr="00826E5D">
        <w:rPr>
          <w:rFonts w:ascii="ITC Avant Garde" w:hAnsi="ITC Avant Garde"/>
          <w:bCs/>
          <w:color w:val="000000"/>
          <w:sz w:val="20"/>
          <w:szCs w:val="20"/>
        </w:rPr>
        <w:t>, los cuales se deberán proporcionar de manera agregada o desagregada según como sean solicitados.</w:t>
      </w:r>
    </w:p>
    <w:p w:rsidR="006B716D" w:rsidRPr="00826E5D" w:rsidRDefault="00496645"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 xml:space="preserve">Como puede observarse, la modificación fue en el sentido </w:t>
      </w:r>
      <w:r w:rsidR="00A767C8" w:rsidRPr="00826E5D">
        <w:rPr>
          <w:rFonts w:ascii="ITC Avant Garde" w:hAnsi="ITC Avant Garde"/>
          <w:bCs/>
          <w:color w:val="000000"/>
          <w:sz w:val="22"/>
          <w:szCs w:val="22"/>
        </w:rPr>
        <w:t xml:space="preserve">de eliminar la porción que señalaba “a los Usuarios finales del Concesionario Solicitante”, con lo que se </w:t>
      </w:r>
      <w:r w:rsidR="009D762C" w:rsidRPr="00826E5D">
        <w:rPr>
          <w:rFonts w:ascii="ITC Avant Garde" w:hAnsi="ITC Avant Garde"/>
          <w:bCs/>
          <w:color w:val="000000"/>
          <w:sz w:val="22"/>
          <w:szCs w:val="22"/>
        </w:rPr>
        <w:t xml:space="preserve">observa </w:t>
      </w:r>
      <w:r w:rsidR="00A767C8" w:rsidRPr="00826E5D">
        <w:rPr>
          <w:rFonts w:ascii="ITC Avant Garde" w:hAnsi="ITC Avant Garde"/>
          <w:bCs/>
          <w:color w:val="000000"/>
          <w:sz w:val="22"/>
          <w:szCs w:val="22"/>
        </w:rPr>
        <w:t xml:space="preserve">que dicha disposición no solo resulta aplicable a concesionarios que presten servicios a usuarios finales, sino que debe entenderse que </w:t>
      </w:r>
      <w:r w:rsidRPr="00826E5D">
        <w:rPr>
          <w:rFonts w:ascii="ITC Avant Garde" w:hAnsi="ITC Avant Garde"/>
          <w:bCs/>
          <w:color w:val="000000"/>
          <w:sz w:val="22"/>
          <w:szCs w:val="22"/>
        </w:rPr>
        <w:t xml:space="preserve">el AEPT debe </w:t>
      </w:r>
      <w:r w:rsidR="00A767C8" w:rsidRPr="00826E5D">
        <w:rPr>
          <w:rFonts w:ascii="ITC Avant Garde" w:hAnsi="ITC Avant Garde"/>
          <w:bCs/>
          <w:color w:val="000000"/>
          <w:sz w:val="22"/>
          <w:szCs w:val="22"/>
        </w:rPr>
        <w:t xml:space="preserve">permitir </w:t>
      </w:r>
      <w:r w:rsidRPr="00826E5D">
        <w:rPr>
          <w:rFonts w:ascii="ITC Avant Garde" w:hAnsi="ITC Avant Garde"/>
          <w:bCs/>
          <w:color w:val="000000"/>
          <w:sz w:val="22"/>
          <w:szCs w:val="22"/>
        </w:rPr>
        <w:t xml:space="preserve">el acceso </w:t>
      </w:r>
      <w:r w:rsidR="00A767C8" w:rsidRPr="00826E5D">
        <w:rPr>
          <w:rFonts w:ascii="ITC Avant Garde" w:hAnsi="ITC Avant Garde"/>
          <w:bCs/>
          <w:color w:val="000000"/>
          <w:sz w:val="22"/>
          <w:szCs w:val="22"/>
        </w:rPr>
        <w:t>que sea necesario para la prestación del servicio mayorista de usuario visitante a los concesionarios solicitantes, entre los que puede estar la Red Compartida.</w:t>
      </w:r>
    </w:p>
    <w:p w:rsidR="00496645" w:rsidRPr="00826E5D" w:rsidRDefault="00A767C8"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 xml:space="preserve"> </w:t>
      </w:r>
    </w:p>
    <w:p w:rsidR="00826E5D" w:rsidRPr="00826E5D" w:rsidRDefault="0037767B" w:rsidP="00C52873">
      <w:pPr>
        <w:spacing w:line="276" w:lineRule="auto"/>
        <w:jc w:val="both"/>
        <w:rPr>
          <w:rFonts w:ascii="ITC Avant Garde" w:eastAsia="Calibri" w:hAnsi="ITC Avant Garde"/>
          <w:bCs/>
          <w:sz w:val="22"/>
          <w:szCs w:val="22"/>
          <w:lang w:val="es-ES_tradnl" w:eastAsia="en-US"/>
        </w:rPr>
      </w:pPr>
      <w:r w:rsidRPr="00826E5D">
        <w:rPr>
          <w:rFonts w:ascii="ITC Avant Garde" w:eastAsia="Calibri" w:hAnsi="ITC Avant Garde"/>
          <w:bCs/>
          <w:sz w:val="22"/>
          <w:szCs w:val="22"/>
          <w:lang w:val="es-ES_tradnl" w:eastAsia="en-US"/>
        </w:rPr>
        <w:t xml:space="preserve">En el mismo orden de ideas, es </w:t>
      </w:r>
      <w:r w:rsidR="007324A7" w:rsidRPr="00826E5D">
        <w:rPr>
          <w:rFonts w:ascii="ITC Avant Garde" w:eastAsia="Calibri" w:hAnsi="ITC Avant Garde"/>
          <w:bCs/>
          <w:sz w:val="22"/>
          <w:szCs w:val="22"/>
          <w:lang w:val="es-ES_tradnl" w:eastAsia="en-US"/>
        </w:rPr>
        <w:t>conveniente</w:t>
      </w:r>
      <w:r w:rsidRPr="00826E5D">
        <w:rPr>
          <w:rFonts w:ascii="ITC Avant Garde" w:eastAsia="Calibri" w:hAnsi="ITC Avant Garde"/>
          <w:bCs/>
          <w:sz w:val="22"/>
          <w:szCs w:val="22"/>
          <w:lang w:val="es-ES_tradnl" w:eastAsia="en-US"/>
        </w:rPr>
        <w:t xml:space="preserve"> precisar que el título de concesión </w:t>
      </w:r>
      <w:r w:rsidR="009D762C" w:rsidRPr="00826E5D">
        <w:rPr>
          <w:rFonts w:ascii="ITC Avant Garde" w:eastAsia="Calibri" w:hAnsi="ITC Avant Garde"/>
          <w:bCs/>
          <w:sz w:val="22"/>
          <w:szCs w:val="22"/>
          <w:lang w:val="es-ES_tradnl" w:eastAsia="en-US"/>
        </w:rPr>
        <w:t>para uso comercial que otorgó el Instituto a la Red Compartida, así como el título de concesión para usar, aprovechar y explotar bandas de frecuencias del espectro radioeléctrico para uso comercial que otorgó el Instituto al Organismo Promotor de Inversiones en Telecomunicaciones</w:t>
      </w:r>
      <w:r w:rsidRPr="00826E5D">
        <w:rPr>
          <w:rFonts w:ascii="ITC Avant Garde" w:eastAsia="Calibri" w:hAnsi="ITC Avant Garde"/>
          <w:bCs/>
          <w:sz w:val="22"/>
          <w:szCs w:val="22"/>
          <w:lang w:val="es-ES_tradnl" w:eastAsia="en-US"/>
        </w:rPr>
        <w:t xml:space="preserve">, </w:t>
      </w:r>
      <w:r w:rsidR="00837962" w:rsidRPr="00826E5D">
        <w:rPr>
          <w:rFonts w:ascii="ITC Avant Garde" w:eastAsia="Calibri" w:hAnsi="ITC Avant Garde"/>
          <w:bCs/>
          <w:sz w:val="22"/>
          <w:szCs w:val="22"/>
          <w:lang w:val="es-ES_tradnl" w:eastAsia="en-US"/>
        </w:rPr>
        <w:t xml:space="preserve">no </w:t>
      </w:r>
      <w:r w:rsidRPr="00826E5D">
        <w:rPr>
          <w:rFonts w:ascii="ITC Avant Garde" w:eastAsia="Calibri" w:hAnsi="ITC Avant Garde"/>
          <w:bCs/>
          <w:sz w:val="22"/>
          <w:szCs w:val="22"/>
          <w:lang w:val="es-ES_tradnl" w:eastAsia="en-US"/>
        </w:rPr>
        <w:t xml:space="preserve">establecen </w:t>
      </w:r>
      <w:r w:rsidR="007324A7" w:rsidRPr="00826E5D">
        <w:rPr>
          <w:rFonts w:ascii="ITC Avant Garde" w:eastAsia="Calibri" w:hAnsi="ITC Avant Garde"/>
          <w:bCs/>
          <w:sz w:val="22"/>
          <w:szCs w:val="22"/>
          <w:lang w:val="es-ES_tradnl" w:eastAsia="en-US"/>
        </w:rPr>
        <w:t xml:space="preserve">restricción para </w:t>
      </w:r>
      <w:r w:rsidRPr="00826E5D">
        <w:rPr>
          <w:rFonts w:ascii="ITC Avant Garde" w:eastAsia="Calibri" w:hAnsi="ITC Avant Garde"/>
          <w:bCs/>
          <w:sz w:val="22"/>
          <w:szCs w:val="22"/>
          <w:lang w:val="es-ES_tradnl" w:eastAsia="en-US"/>
        </w:rPr>
        <w:t xml:space="preserve">que la Red Compartida </w:t>
      </w:r>
      <w:r w:rsidR="007324A7" w:rsidRPr="00826E5D">
        <w:rPr>
          <w:rFonts w:ascii="ITC Avant Garde" w:eastAsia="Calibri" w:hAnsi="ITC Avant Garde"/>
          <w:bCs/>
          <w:sz w:val="22"/>
          <w:szCs w:val="22"/>
          <w:lang w:val="es-ES_tradnl" w:eastAsia="en-US"/>
        </w:rPr>
        <w:t>contrate</w:t>
      </w:r>
      <w:r w:rsidRPr="00826E5D">
        <w:rPr>
          <w:rFonts w:ascii="ITC Avant Garde" w:eastAsia="Calibri" w:hAnsi="ITC Avant Garde"/>
          <w:bCs/>
          <w:sz w:val="22"/>
          <w:szCs w:val="22"/>
          <w:lang w:val="es-ES_tradnl" w:eastAsia="en-US"/>
        </w:rPr>
        <w:t xml:space="preserve"> los servicios </w:t>
      </w:r>
      <w:r w:rsidR="0001559F" w:rsidRPr="00826E5D">
        <w:rPr>
          <w:rFonts w:ascii="ITC Avant Garde" w:eastAsia="Calibri" w:hAnsi="ITC Avant Garde"/>
          <w:bCs/>
          <w:sz w:val="22"/>
          <w:szCs w:val="22"/>
          <w:lang w:val="es-ES_tradnl" w:eastAsia="en-US"/>
        </w:rPr>
        <w:t xml:space="preserve">proporcionados por el </w:t>
      </w:r>
      <w:r w:rsidRPr="00826E5D">
        <w:rPr>
          <w:rFonts w:ascii="ITC Avant Garde" w:eastAsia="Calibri" w:hAnsi="ITC Avant Garde"/>
          <w:bCs/>
          <w:sz w:val="22"/>
          <w:szCs w:val="22"/>
          <w:lang w:val="es-ES_tradnl" w:eastAsia="en-US"/>
        </w:rPr>
        <w:t>AEPT</w:t>
      </w:r>
      <w:r w:rsidR="0001559F" w:rsidRPr="00826E5D">
        <w:rPr>
          <w:rFonts w:ascii="ITC Avant Garde" w:eastAsia="Calibri" w:hAnsi="ITC Avant Garde"/>
          <w:bCs/>
          <w:sz w:val="22"/>
          <w:szCs w:val="22"/>
          <w:lang w:val="es-ES_tradnl" w:eastAsia="en-US"/>
        </w:rPr>
        <w:t xml:space="preserve">, que son puestos a disposición de los concesionarios mediante ofertas de referencia, incluido </w:t>
      </w:r>
      <w:r w:rsidR="00580CF0" w:rsidRPr="00826E5D">
        <w:rPr>
          <w:rFonts w:ascii="ITC Avant Garde" w:eastAsia="Calibri" w:hAnsi="ITC Avant Garde"/>
          <w:bCs/>
          <w:sz w:val="22"/>
          <w:szCs w:val="22"/>
          <w:lang w:val="es-ES_tradnl" w:eastAsia="en-US"/>
        </w:rPr>
        <w:t>el</w:t>
      </w:r>
      <w:r w:rsidR="0001559F" w:rsidRPr="00826E5D">
        <w:rPr>
          <w:rFonts w:ascii="ITC Avant Garde" w:eastAsia="Calibri" w:hAnsi="ITC Avant Garde"/>
          <w:bCs/>
          <w:sz w:val="22"/>
          <w:szCs w:val="22"/>
          <w:lang w:val="es-ES_tradnl" w:eastAsia="en-US"/>
        </w:rPr>
        <w:t xml:space="preserve"> servicio mayorista de usuario visitante</w:t>
      </w:r>
      <w:r w:rsidR="007324A7" w:rsidRPr="00826E5D">
        <w:rPr>
          <w:rFonts w:ascii="ITC Avant Garde" w:eastAsia="Calibri" w:hAnsi="ITC Avant Garde"/>
          <w:bCs/>
          <w:sz w:val="22"/>
          <w:szCs w:val="22"/>
          <w:lang w:val="es-ES_tradnl" w:eastAsia="en-US"/>
        </w:rPr>
        <w:t>.</w:t>
      </w:r>
    </w:p>
    <w:p w:rsidR="00826E5D" w:rsidRPr="00826E5D" w:rsidRDefault="008F4596"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Con lo anterior se confirma que</w:t>
      </w:r>
      <w:r w:rsidR="00837962" w:rsidRPr="00826E5D">
        <w:rPr>
          <w:rFonts w:ascii="ITC Avant Garde" w:hAnsi="ITC Avant Garde"/>
          <w:bCs/>
          <w:color w:val="000000"/>
          <w:sz w:val="22"/>
          <w:szCs w:val="22"/>
        </w:rPr>
        <w:t xml:space="preserve"> en relación a las obligaciones establecidas al AEPT en la resolución aprobada en el acuerdo P/IFT/EXT/270217/119, de fecha 27 de febrero de 2017, mediante la cual el Pleno del Instituto suprime, modifica y adiciona las medidas impuestas al AEPT mediante resolución de fecha 6 de marzo de 2014,</w:t>
      </w:r>
      <w:r w:rsidRPr="00826E5D">
        <w:rPr>
          <w:rFonts w:ascii="ITC Avant Garde" w:hAnsi="ITC Avant Garde"/>
          <w:bCs/>
          <w:color w:val="000000"/>
          <w:sz w:val="22"/>
          <w:szCs w:val="22"/>
        </w:rPr>
        <w:t xml:space="preserve"> la Red Compartida podrá </w:t>
      </w:r>
      <w:r w:rsidRPr="00826E5D">
        <w:rPr>
          <w:rFonts w:ascii="ITC Avant Garde" w:eastAsia="Calibri" w:hAnsi="ITC Avant Garde"/>
          <w:bCs/>
          <w:sz w:val="22"/>
          <w:szCs w:val="22"/>
          <w:lang w:val="es-ES_tradnl" w:eastAsia="en-US"/>
        </w:rPr>
        <w:t xml:space="preserve">contratar los servicios contenidos las ofertas de referencia emitidas por el </w:t>
      </w:r>
      <w:r w:rsidR="00400EB4" w:rsidRPr="00826E5D">
        <w:rPr>
          <w:rFonts w:ascii="ITC Avant Garde" w:eastAsia="Calibri" w:hAnsi="ITC Avant Garde"/>
          <w:bCs/>
          <w:sz w:val="22"/>
          <w:szCs w:val="22"/>
          <w:lang w:val="es-ES_tradnl" w:eastAsia="en-US"/>
        </w:rPr>
        <w:t>AEPT</w:t>
      </w:r>
      <w:r w:rsidRPr="00826E5D">
        <w:rPr>
          <w:rFonts w:ascii="ITC Avant Garde" w:eastAsia="Calibri" w:hAnsi="ITC Avant Garde"/>
          <w:bCs/>
          <w:sz w:val="22"/>
          <w:szCs w:val="22"/>
          <w:lang w:val="es-ES_tradnl" w:eastAsia="en-US"/>
        </w:rPr>
        <w:t>, entre ellos el servicio mayorista</w:t>
      </w:r>
      <w:r w:rsidR="00F4678A" w:rsidRPr="00826E5D">
        <w:rPr>
          <w:rFonts w:ascii="ITC Avant Garde" w:eastAsia="Calibri" w:hAnsi="ITC Avant Garde"/>
          <w:bCs/>
          <w:sz w:val="22"/>
          <w:szCs w:val="22"/>
          <w:lang w:val="es-ES_tradnl" w:eastAsia="en-US"/>
        </w:rPr>
        <w:t xml:space="preserve"> de usuario visitante, </w:t>
      </w:r>
      <w:r w:rsidR="004D7D13" w:rsidRPr="00826E5D">
        <w:rPr>
          <w:rFonts w:ascii="ITC Avant Garde" w:eastAsia="Calibri" w:hAnsi="ITC Avant Garde"/>
          <w:bCs/>
          <w:sz w:val="22"/>
          <w:szCs w:val="22"/>
          <w:lang w:val="es-ES_tradnl" w:eastAsia="en-US"/>
        </w:rPr>
        <w:t>considerando</w:t>
      </w:r>
      <w:r w:rsidR="00F4678A" w:rsidRPr="00826E5D">
        <w:rPr>
          <w:rFonts w:ascii="ITC Avant Garde" w:eastAsia="Calibri" w:hAnsi="ITC Avant Garde"/>
          <w:bCs/>
          <w:sz w:val="22"/>
          <w:szCs w:val="22"/>
          <w:lang w:val="es-ES_tradnl" w:eastAsia="en-US"/>
        </w:rPr>
        <w:t xml:space="preserve"> que en este último caso </w:t>
      </w:r>
      <w:r w:rsidR="004D7D13" w:rsidRPr="00826E5D">
        <w:rPr>
          <w:rFonts w:ascii="ITC Avant Garde" w:eastAsia="Calibri" w:hAnsi="ITC Avant Garde"/>
          <w:bCs/>
          <w:sz w:val="22"/>
          <w:szCs w:val="22"/>
          <w:lang w:val="es-ES_tradnl" w:eastAsia="en-US"/>
        </w:rPr>
        <w:t>el</w:t>
      </w:r>
      <w:r w:rsidR="00F4678A" w:rsidRPr="00826E5D">
        <w:rPr>
          <w:rFonts w:ascii="ITC Avant Garde" w:eastAsia="Calibri" w:hAnsi="ITC Avant Garde"/>
          <w:bCs/>
          <w:sz w:val="22"/>
          <w:szCs w:val="22"/>
          <w:lang w:val="es-ES_tradnl" w:eastAsia="en-US"/>
        </w:rPr>
        <w:t xml:space="preserve"> servicio </w:t>
      </w:r>
      <w:r w:rsidR="00837962" w:rsidRPr="00826E5D">
        <w:rPr>
          <w:rFonts w:ascii="ITC Avant Garde" w:eastAsia="Calibri" w:hAnsi="ITC Avant Garde"/>
          <w:bCs/>
          <w:sz w:val="22"/>
          <w:szCs w:val="22"/>
          <w:lang w:val="es-ES_tradnl" w:eastAsia="en-US"/>
        </w:rPr>
        <w:t>será</w:t>
      </w:r>
      <w:r w:rsidR="00F4678A" w:rsidRPr="00826E5D">
        <w:rPr>
          <w:rFonts w:ascii="ITC Avant Garde" w:eastAsia="Calibri" w:hAnsi="ITC Avant Garde"/>
          <w:bCs/>
          <w:sz w:val="22"/>
          <w:szCs w:val="22"/>
          <w:lang w:val="es-ES_tradnl" w:eastAsia="en-US"/>
        </w:rPr>
        <w:t xml:space="preserve"> prestado </w:t>
      </w:r>
      <w:r w:rsidR="00F4678A" w:rsidRPr="00826E5D">
        <w:rPr>
          <w:rFonts w:ascii="ITC Avant Garde" w:hAnsi="ITC Avant Garde"/>
          <w:bCs/>
          <w:color w:val="000000"/>
          <w:sz w:val="22"/>
          <w:szCs w:val="22"/>
        </w:rPr>
        <w:t>de manera temporal y exclusivamente en aquellas zonas en las que la Red Compartida no cuente con infraestructura</w:t>
      </w:r>
      <w:r w:rsidR="00400EB4" w:rsidRPr="00826E5D">
        <w:rPr>
          <w:rFonts w:ascii="ITC Avant Garde" w:hAnsi="ITC Avant Garde"/>
          <w:bCs/>
          <w:color w:val="000000"/>
          <w:sz w:val="22"/>
          <w:szCs w:val="22"/>
        </w:rPr>
        <w:t xml:space="preserve"> o no preste el servicio móvil</w:t>
      </w:r>
      <w:r w:rsidR="00F4678A" w:rsidRPr="00826E5D">
        <w:rPr>
          <w:rFonts w:ascii="ITC Avant Garde" w:hAnsi="ITC Avant Garde"/>
          <w:bCs/>
          <w:color w:val="000000"/>
          <w:sz w:val="22"/>
          <w:szCs w:val="22"/>
        </w:rPr>
        <w:t xml:space="preserve">. </w:t>
      </w:r>
    </w:p>
    <w:p w:rsidR="00826E5D" w:rsidRPr="00826E5D" w:rsidRDefault="00CF1911"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Sin perjuicio de lo antes expresado</w:t>
      </w:r>
      <w:r w:rsidR="000B27B9" w:rsidRPr="00826E5D">
        <w:rPr>
          <w:rFonts w:ascii="ITC Avant Garde" w:hAnsi="ITC Avant Garde"/>
          <w:bCs/>
          <w:color w:val="000000"/>
          <w:sz w:val="22"/>
          <w:szCs w:val="22"/>
        </w:rPr>
        <w:t>, debe resaltarse que de conformidad con lo establecido en la fracción IV del artículo Décimo Sexto Transitorio del Decreto de Reforma Constitucional, ningún prestador de servicios de telecomunicaciones podrá tener influencia en la operación de la Red Compartida.</w:t>
      </w:r>
    </w:p>
    <w:p w:rsidR="00826E5D" w:rsidRPr="00826E5D" w:rsidRDefault="000B27B9" w:rsidP="00C52873">
      <w:pPr>
        <w:spacing w:line="276" w:lineRule="auto"/>
        <w:jc w:val="both"/>
        <w:rPr>
          <w:rFonts w:ascii="ITC Avant Garde" w:hAnsi="ITC Avant Garde"/>
          <w:bCs/>
          <w:color w:val="000000"/>
          <w:sz w:val="22"/>
          <w:szCs w:val="22"/>
        </w:rPr>
      </w:pPr>
      <w:r w:rsidRPr="00826E5D">
        <w:rPr>
          <w:rFonts w:ascii="ITC Avant Garde" w:hAnsi="ITC Avant Garde"/>
          <w:bCs/>
          <w:color w:val="000000"/>
          <w:sz w:val="22"/>
          <w:szCs w:val="22"/>
        </w:rPr>
        <w:t>En ese sentido, la eventual contratación de servicio</w:t>
      </w:r>
      <w:r w:rsidR="00432219" w:rsidRPr="00826E5D">
        <w:rPr>
          <w:rFonts w:ascii="ITC Avant Garde" w:hAnsi="ITC Avant Garde"/>
          <w:bCs/>
          <w:color w:val="000000"/>
          <w:sz w:val="22"/>
          <w:szCs w:val="22"/>
        </w:rPr>
        <w:t>s</w:t>
      </w:r>
      <w:r w:rsidRPr="00826E5D">
        <w:rPr>
          <w:rFonts w:ascii="ITC Avant Garde" w:hAnsi="ITC Avant Garde"/>
          <w:bCs/>
          <w:color w:val="000000"/>
          <w:sz w:val="22"/>
          <w:szCs w:val="22"/>
        </w:rPr>
        <w:t xml:space="preserve"> por parte de la Red Compartida al AEPT</w:t>
      </w:r>
      <w:r w:rsidR="0037767B" w:rsidRPr="00826E5D">
        <w:rPr>
          <w:rFonts w:ascii="ITC Avant Garde" w:hAnsi="ITC Avant Garde"/>
          <w:bCs/>
          <w:color w:val="000000"/>
          <w:sz w:val="22"/>
          <w:szCs w:val="22"/>
        </w:rPr>
        <w:t>,</w:t>
      </w:r>
      <w:r w:rsidRPr="00826E5D">
        <w:rPr>
          <w:rFonts w:ascii="ITC Avant Garde" w:hAnsi="ITC Avant Garde"/>
          <w:bCs/>
          <w:color w:val="000000"/>
          <w:sz w:val="22"/>
          <w:szCs w:val="22"/>
        </w:rPr>
        <w:t xml:space="preserve"> deberá observar en todo momento lo dispuesto en los Elementos de referencia para identificar ex ante a los agentes económicos impedidos para tener influencia en la operación de la Red Compartida, emitidos por el Pleno del IFT mediante acuerdo aprobado en su II Sesión Extraordinaria celebrada el 28 de enero de 2016 y modificados por el mismo órgano colegiado mediante acuerdo aprobado en su VII Sesión Extraordinaria celebrada el 30 de marzo de 2016.</w:t>
      </w:r>
    </w:p>
    <w:p w:rsidR="00826E5D" w:rsidRPr="00826E5D" w:rsidRDefault="00414BD3" w:rsidP="00C52873">
      <w:pPr>
        <w:spacing w:line="276" w:lineRule="auto"/>
        <w:jc w:val="both"/>
        <w:rPr>
          <w:rFonts w:ascii="ITC Avant Garde" w:eastAsia="Calibri" w:hAnsi="ITC Avant Garde"/>
          <w:bCs/>
          <w:sz w:val="22"/>
          <w:szCs w:val="22"/>
          <w:lang w:val="es-ES_tradnl" w:eastAsia="en-US"/>
        </w:rPr>
      </w:pPr>
      <w:r w:rsidRPr="00826E5D">
        <w:rPr>
          <w:rFonts w:ascii="ITC Avant Garde" w:eastAsia="Calibri" w:hAnsi="ITC Avant Garde"/>
          <w:bCs/>
          <w:sz w:val="22"/>
          <w:szCs w:val="22"/>
          <w:lang w:val="es-ES_tradnl" w:eastAsia="en-US"/>
        </w:rPr>
        <w:lastRenderedPageBreak/>
        <w:t>Por lo que respecta al</w:t>
      </w:r>
      <w:r w:rsidR="00973CC3" w:rsidRPr="00826E5D">
        <w:rPr>
          <w:rFonts w:ascii="ITC Avant Garde" w:eastAsia="Calibri" w:hAnsi="ITC Avant Garde"/>
          <w:bCs/>
          <w:sz w:val="22"/>
          <w:szCs w:val="22"/>
          <w:lang w:val="es-ES_tradnl" w:eastAsia="en-US"/>
        </w:rPr>
        <w:t xml:space="preserve"> planteamiento de HANSAM en el sentido de que se confirme el criterio que, en atención a los fines para los que se creó la figura de la Red Compartida y a efecto de cumplir con los niveles de cobertura y </w:t>
      </w:r>
      <w:r w:rsidR="006B5E74" w:rsidRPr="00826E5D">
        <w:rPr>
          <w:rFonts w:ascii="ITC Avant Garde" w:eastAsia="Calibri" w:hAnsi="ITC Avant Garde"/>
          <w:bCs/>
          <w:sz w:val="22"/>
          <w:szCs w:val="22"/>
          <w:lang w:val="es-ES_tradnl" w:eastAsia="en-US"/>
        </w:rPr>
        <w:t>penetración de servicios de band</w:t>
      </w:r>
      <w:r w:rsidR="00973CC3" w:rsidRPr="00826E5D">
        <w:rPr>
          <w:rFonts w:ascii="ITC Avant Garde" w:eastAsia="Calibri" w:hAnsi="ITC Avant Garde"/>
          <w:bCs/>
          <w:sz w:val="22"/>
          <w:szCs w:val="22"/>
          <w:lang w:val="es-ES_tradnl" w:eastAsia="en-US"/>
        </w:rPr>
        <w:t xml:space="preserve">a ancha en las poblaciones desatendidas, principalmente al inicio del </w:t>
      </w:r>
      <w:r w:rsidR="00CC309D" w:rsidRPr="00826E5D">
        <w:rPr>
          <w:rFonts w:ascii="ITC Avant Garde" w:eastAsia="Calibri" w:hAnsi="ITC Avant Garde"/>
          <w:bCs/>
          <w:sz w:val="22"/>
          <w:szCs w:val="22"/>
          <w:lang w:val="es-ES_tradnl" w:eastAsia="en-US"/>
        </w:rPr>
        <w:t xml:space="preserve">proyecto y en una etapa de maduración de la red, la cláusula 5.2.2 del Convenio de Servicios Mayoristas de Usuario Visitante no es aplicable para el Desarrollador de la Red Compartida, </w:t>
      </w:r>
      <w:r w:rsidR="00EB10AE" w:rsidRPr="00826E5D">
        <w:rPr>
          <w:rFonts w:ascii="ITC Avant Garde" w:eastAsia="Calibri" w:hAnsi="ITC Avant Garde"/>
          <w:bCs/>
          <w:sz w:val="22"/>
          <w:szCs w:val="22"/>
          <w:lang w:val="es-ES_tradnl" w:eastAsia="en-US"/>
        </w:rPr>
        <w:t xml:space="preserve">es necesario precisar que </w:t>
      </w:r>
      <w:r w:rsidR="00D16DDC" w:rsidRPr="00826E5D">
        <w:rPr>
          <w:rFonts w:ascii="ITC Avant Garde" w:eastAsia="Calibri" w:hAnsi="ITC Avant Garde"/>
          <w:bCs/>
          <w:sz w:val="22"/>
          <w:szCs w:val="22"/>
          <w:lang w:val="es-ES_tradnl" w:eastAsia="en-US"/>
        </w:rPr>
        <w:t>la Red Compartida deberá estarse a lo que disponga la oferta de referencia del servicio mayorista de usuario visitante, y su respectivo modelo de convenio, que en su oportunidad apruebe el Pl</w:t>
      </w:r>
      <w:r w:rsidR="006157C5" w:rsidRPr="00826E5D">
        <w:rPr>
          <w:rFonts w:ascii="ITC Avant Garde" w:eastAsia="Calibri" w:hAnsi="ITC Avant Garde"/>
          <w:bCs/>
          <w:sz w:val="22"/>
          <w:szCs w:val="22"/>
          <w:lang w:val="es-ES_tradnl" w:eastAsia="en-US"/>
        </w:rPr>
        <w:t>eno del IFT para los años 2018</w:t>
      </w:r>
      <w:r w:rsidR="00D16DDC" w:rsidRPr="00826E5D">
        <w:rPr>
          <w:rFonts w:ascii="ITC Avant Garde" w:eastAsia="Calibri" w:hAnsi="ITC Avant Garde"/>
          <w:bCs/>
          <w:sz w:val="22"/>
          <w:szCs w:val="22"/>
          <w:lang w:val="es-ES_tradnl" w:eastAsia="en-US"/>
        </w:rPr>
        <w:t xml:space="preserve"> </w:t>
      </w:r>
      <w:r w:rsidR="00DE13E9" w:rsidRPr="00826E5D">
        <w:rPr>
          <w:rFonts w:ascii="ITC Avant Garde" w:eastAsia="Calibri" w:hAnsi="ITC Avant Garde"/>
          <w:bCs/>
          <w:sz w:val="22"/>
          <w:szCs w:val="22"/>
          <w:lang w:val="es-ES_tradnl" w:eastAsia="en-US"/>
        </w:rPr>
        <w:t xml:space="preserve">y subsecuentes, </w:t>
      </w:r>
      <w:r w:rsidR="00D16DDC" w:rsidRPr="00826E5D">
        <w:rPr>
          <w:rFonts w:ascii="ITC Avant Garde" w:eastAsia="Calibri" w:hAnsi="ITC Avant Garde"/>
          <w:bCs/>
          <w:sz w:val="22"/>
          <w:szCs w:val="22"/>
          <w:lang w:val="es-ES_tradnl" w:eastAsia="en-US"/>
        </w:rPr>
        <w:t>toda vez que</w:t>
      </w:r>
      <w:r w:rsidR="00EB10AE" w:rsidRPr="00826E5D">
        <w:rPr>
          <w:rFonts w:ascii="ITC Avant Garde" w:eastAsia="Calibri" w:hAnsi="ITC Avant Garde"/>
          <w:bCs/>
          <w:sz w:val="22"/>
          <w:szCs w:val="22"/>
          <w:lang w:val="es-ES_tradnl" w:eastAsia="en-US"/>
        </w:rPr>
        <w:t xml:space="preserve"> </w:t>
      </w:r>
      <w:r w:rsidR="00D16DDC" w:rsidRPr="00826E5D">
        <w:rPr>
          <w:rFonts w:ascii="ITC Avant Garde" w:eastAsia="Calibri" w:hAnsi="ITC Avant Garde"/>
          <w:bCs/>
          <w:sz w:val="22"/>
          <w:szCs w:val="22"/>
          <w:lang w:val="es-ES_tradnl" w:eastAsia="en-US"/>
        </w:rPr>
        <w:t xml:space="preserve">de conformidad con </w:t>
      </w:r>
      <w:r w:rsidR="000B0006" w:rsidRPr="00826E5D">
        <w:rPr>
          <w:rFonts w:ascii="ITC Avant Garde" w:eastAsia="Calibri" w:hAnsi="ITC Avant Garde"/>
          <w:bCs/>
          <w:sz w:val="22"/>
          <w:szCs w:val="22"/>
          <w:lang w:val="es-ES_tradnl" w:eastAsia="en-US"/>
        </w:rPr>
        <w:t>las bases del concurso internacional número APP-009000896-E1-2016 referida por HANSAM en su escrito</w:t>
      </w:r>
      <w:r w:rsidR="00837962" w:rsidRPr="00826E5D">
        <w:rPr>
          <w:rFonts w:ascii="ITC Avant Garde" w:eastAsia="Calibri" w:hAnsi="ITC Avant Garde"/>
          <w:bCs/>
          <w:sz w:val="22"/>
          <w:szCs w:val="22"/>
          <w:lang w:val="es-ES_tradnl" w:eastAsia="en-US"/>
        </w:rPr>
        <w:t xml:space="preserve">, el título de concesión para uso comercial de la Red Compartida </w:t>
      </w:r>
      <w:r w:rsidR="000B0006" w:rsidRPr="00826E5D">
        <w:rPr>
          <w:rFonts w:ascii="ITC Avant Garde" w:eastAsia="Calibri" w:hAnsi="ITC Avant Garde"/>
          <w:bCs/>
          <w:sz w:val="22"/>
          <w:szCs w:val="22"/>
          <w:lang w:val="es-ES_tradnl" w:eastAsia="en-US"/>
        </w:rPr>
        <w:t>y en consistencia con lo preceptuado por el artículo Décimo Sexto Transitorio del Decreto de Reforma Constitucional, el inicio de operaciones será a más tardar el 31</w:t>
      </w:r>
      <w:r w:rsidR="005D4991" w:rsidRPr="00826E5D">
        <w:rPr>
          <w:rFonts w:ascii="ITC Avant Garde" w:eastAsia="Calibri" w:hAnsi="ITC Avant Garde"/>
          <w:bCs/>
          <w:sz w:val="22"/>
          <w:szCs w:val="22"/>
          <w:lang w:val="es-ES_tradnl" w:eastAsia="en-US"/>
        </w:rPr>
        <w:t>de marzo de 2018</w:t>
      </w:r>
      <w:r w:rsidR="00305D7D" w:rsidRPr="00826E5D">
        <w:rPr>
          <w:rFonts w:ascii="ITC Avant Garde" w:eastAsia="Calibri" w:hAnsi="ITC Avant Garde"/>
          <w:bCs/>
          <w:sz w:val="22"/>
          <w:szCs w:val="22"/>
          <w:lang w:val="es-ES_tradnl" w:eastAsia="en-US"/>
        </w:rPr>
        <w:t>.</w:t>
      </w:r>
    </w:p>
    <w:p w:rsidR="00826E5D" w:rsidRPr="00826E5D" w:rsidRDefault="00414BD3" w:rsidP="00C52873">
      <w:pPr>
        <w:spacing w:line="276" w:lineRule="auto"/>
        <w:jc w:val="both"/>
        <w:rPr>
          <w:rFonts w:ascii="ITC Avant Garde" w:eastAsia="Calibri" w:hAnsi="ITC Avant Garde"/>
          <w:bCs/>
          <w:sz w:val="22"/>
          <w:szCs w:val="22"/>
          <w:lang w:val="es-ES_tradnl" w:eastAsia="en-US"/>
        </w:rPr>
      </w:pPr>
      <w:r w:rsidRPr="00826E5D">
        <w:rPr>
          <w:rFonts w:ascii="ITC Avant Garde" w:eastAsia="Calibri" w:hAnsi="ITC Avant Garde"/>
          <w:bCs/>
          <w:sz w:val="22"/>
          <w:szCs w:val="22"/>
          <w:lang w:val="es-ES_tradnl" w:eastAsia="en-US"/>
        </w:rPr>
        <w:t xml:space="preserve">Por último, es pertinente hacer notar que la condición 3 del título de concesión para uso comercial con carácter de red compartida mayorista de servicios de telecomunicaciones, otorgado por el Instituto en favor de </w:t>
      </w:r>
      <w:proofErr w:type="spellStart"/>
      <w:r w:rsidRPr="00826E5D">
        <w:rPr>
          <w:rFonts w:ascii="ITC Avant Garde" w:eastAsia="Calibri" w:hAnsi="ITC Avant Garde"/>
          <w:bCs/>
          <w:sz w:val="22"/>
          <w:szCs w:val="22"/>
          <w:lang w:val="es-ES_tradnl" w:eastAsia="en-US"/>
        </w:rPr>
        <w:t>Altán</w:t>
      </w:r>
      <w:proofErr w:type="spellEnd"/>
      <w:r w:rsidRPr="00826E5D">
        <w:rPr>
          <w:rFonts w:ascii="ITC Avant Garde" w:eastAsia="Calibri" w:hAnsi="ITC Avant Garde"/>
          <w:bCs/>
          <w:sz w:val="22"/>
          <w:szCs w:val="22"/>
          <w:lang w:val="es-ES_tradnl" w:eastAsia="en-US"/>
        </w:rPr>
        <w:t xml:space="preserve"> Redes, S.A.P.I. de C.V., establece que la concesión se otorga para uso comercial con carácter de red compartida mayorista y confiere el derecho al concesionario para prestar el servicio mayorista de telecomunicaciones a través de la infraestructura asociada a dicha red, en los términos y condiciones que se describen en el título, mediante el uso, aprovechamiento y explotación de la banda de frecuencias del espectro radioeléctrico de 700 MHz concesionada al Organismo Promotor de Inversiones de Telecomunicaciones, con lo que debe entenderse que </w:t>
      </w:r>
      <w:r w:rsidRPr="00826E5D">
        <w:rPr>
          <w:rFonts w:ascii="ITC Avant Garde" w:eastAsia="Calibri" w:hAnsi="ITC Avant Garde"/>
          <w:bCs/>
          <w:sz w:val="22"/>
          <w:szCs w:val="22"/>
          <w:u w:val="single"/>
          <w:lang w:val="es-ES_tradnl" w:eastAsia="en-US"/>
        </w:rPr>
        <w:t>los compromisos de cobertura establecidas en la condición 10.3</w:t>
      </w:r>
      <w:r w:rsidR="00804957" w:rsidRPr="00826E5D">
        <w:rPr>
          <w:rFonts w:ascii="ITC Avant Garde" w:eastAsia="Calibri" w:hAnsi="ITC Avant Garde"/>
          <w:bCs/>
          <w:sz w:val="22"/>
          <w:szCs w:val="22"/>
          <w:u w:val="single"/>
          <w:lang w:val="es-ES_tradnl" w:eastAsia="en-US"/>
        </w:rPr>
        <w:t xml:space="preserve"> del título de concesión con carácter de red compartida mayorista</w:t>
      </w:r>
      <w:r w:rsidRPr="00826E5D">
        <w:rPr>
          <w:rFonts w:ascii="ITC Avant Garde" w:eastAsia="Calibri" w:hAnsi="ITC Avant Garde"/>
          <w:bCs/>
          <w:sz w:val="22"/>
          <w:szCs w:val="22"/>
          <w:u w:val="single"/>
          <w:lang w:val="es-ES_tradnl" w:eastAsia="en-US"/>
        </w:rPr>
        <w:t xml:space="preserve"> se encuentran vinculados al </w:t>
      </w:r>
      <w:r w:rsidR="00804957" w:rsidRPr="00826E5D">
        <w:rPr>
          <w:rFonts w:ascii="ITC Avant Garde" w:eastAsia="Calibri" w:hAnsi="ITC Avant Garde"/>
          <w:bCs/>
          <w:sz w:val="22"/>
          <w:szCs w:val="22"/>
          <w:u w:val="single"/>
          <w:lang w:val="es-ES_tradnl" w:eastAsia="en-US"/>
        </w:rPr>
        <w:t xml:space="preserve">uso del </w:t>
      </w:r>
      <w:r w:rsidRPr="00826E5D">
        <w:rPr>
          <w:rFonts w:ascii="ITC Avant Garde" w:eastAsia="Calibri" w:hAnsi="ITC Avant Garde"/>
          <w:bCs/>
          <w:sz w:val="22"/>
          <w:szCs w:val="22"/>
          <w:u w:val="single"/>
          <w:lang w:val="es-ES_tradnl" w:eastAsia="en-US"/>
        </w:rPr>
        <w:t>espectro radioeléctrico de 700 MHz</w:t>
      </w:r>
      <w:r w:rsidRPr="00826E5D">
        <w:rPr>
          <w:rFonts w:ascii="ITC Avant Garde" w:eastAsia="Calibri" w:hAnsi="ITC Avant Garde"/>
          <w:bCs/>
          <w:sz w:val="22"/>
          <w:szCs w:val="22"/>
          <w:lang w:val="es-ES_tradnl" w:eastAsia="en-US"/>
        </w:rPr>
        <w:t>, por lo que</w:t>
      </w:r>
      <w:r w:rsidR="00804957" w:rsidRPr="00826E5D">
        <w:rPr>
          <w:rFonts w:ascii="ITC Avant Garde" w:eastAsia="Calibri" w:hAnsi="ITC Avant Garde"/>
          <w:bCs/>
          <w:sz w:val="22"/>
          <w:szCs w:val="22"/>
          <w:lang w:val="es-ES_tradnl" w:eastAsia="en-US"/>
        </w:rPr>
        <w:t>,</w:t>
      </w:r>
      <w:r w:rsidRPr="00826E5D">
        <w:rPr>
          <w:rFonts w:ascii="ITC Avant Garde" w:eastAsia="Calibri" w:hAnsi="ITC Avant Garde"/>
          <w:bCs/>
          <w:sz w:val="22"/>
          <w:szCs w:val="22"/>
          <w:lang w:val="es-ES_tradnl" w:eastAsia="en-US"/>
        </w:rPr>
        <w:t xml:space="preserve"> </w:t>
      </w:r>
      <w:r w:rsidR="00804957" w:rsidRPr="00826E5D">
        <w:rPr>
          <w:rFonts w:ascii="ITC Avant Garde" w:eastAsia="Calibri" w:hAnsi="ITC Avant Garde"/>
          <w:bCs/>
          <w:sz w:val="22"/>
          <w:szCs w:val="22"/>
          <w:lang w:val="es-ES_tradnl" w:eastAsia="en-US"/>
        </w:rPr>
        <w:t xml:space="preserve">para efectos de verificar el cumplimiento de las referidas condiciones de cobertura, </w:t>
      </w:r>
      <w:r w:rsidRPr="00826E5D">
        <w:rPr>
          <w:rFonts w:ascii="ITC Avant Garde" w:eastAsia="Calibri" w:hAnsi="ITC Avant Garde"/>
          <w:bCs/>
          <w:sz w:val="22"/>
          <w:szCs w:val="22"/>
          <w:lang w:val="es-ES_tradnl" w:eastAsia="en-US"/>
        </w:rPr>
        <w:t xml:space="preserve">no </w:t>
      </w:r>
      <w:r w:rsidR="00804957" w:rsidRPr="00826E5D">
        <w:rPr>
          <w:rFonts w:ascii="ITC Avant Garde" w:eastAsia="Calibri" w:hAnsi="ITC Avant Garde"/>
          <w:bCs/>
          <w:sz w:val="22"/>
          <w:szCs w:val="22"/>
          <w:lang w:val="es-ES_tradnl" w:eastAsia="en-US"/>
        </w:rPr>
        <w:t xml:space="preserve">se considerará la cobertura que la Red Compartida logre </w:t>
      </w:r>
      <w:r w:rsidR="003E5E47" w:rsidRPr="00826E5D">
        <w:rPr>
          <w:rFonts w:ascii="ITC Avant Garde" w:eastAsia="Calibri" w:hAnsi="ITC Avant Garde"/>
          <w:bCs/>
          <w:sz w:val="22"/>
          <w:szCs w:val="22"/>
          <w:lang w:val="es-ES_tradnl" w:eastAsia="en-US"/>
        </w:rPr>
        <w:t>mediante</w:t>
      </w:r>
      <w:r w:rsidR="00804957" w:rsidRPr="00826E5D">
        <w:rPr>
          <w:rFonts w:ascii="ITC Avant Garde" w:eastAsia="Calibri" w:hAnsi="ITC Avant Garde"/>
          <w:bCs/>
          <w:sz w:val="22"/>
          <w:szCs w:val="22"/>
          <w:lang w:val="es-ES_tradnl" w:eastAsia="en-US"/>
        </w:rPr>
        <w:t xml:space="preserve"> el acceso al servicio mayorista de usuario visitante.</w:t>
      </w:r>
    </w:p>
    <w:p w:rsidR="00826E5D" w:rsidRPr="00826E5D" w:rsidRDefault="00A24A5D" w:rsidP="00C52873">
      <w:pPr>
        <w:spacing w:line="276" w:lineRule="auto"/>
        <w:jc w:val="both"/>
        <w:rPr>
          <w:rFonts w:ascii="ITC Avant Garde" w:eastAsia="Calibri" w:hAnsi="ITC Avant Garde"/>
          <w:bCs/>
          <w:sz w:val="22"/>
          <w:szCs w:val="22"/>
          <w:lang w:val="es-ES_tradnl" w:eastAsia="en-US"/>
        </w:rPr>
      </w:pPr>
      <w:r w:rsidRPr="00826E5D">
        <w:rPr>
          <w:rFonts w:ascii="ITC Avant Garde" w:eastAsia="Calibri" w:hAnsi="ITC Avant Garde"/>
          <w:bCs/>
          <w:sz w:val="22"/>
          <w:szCs w:val="22"/>
          <w:lang w:val="es-ES_tradnl" w:eastAsia="en-US"/>
        </w:rPr>
        <w:t xml:space="preserve">En consistencia con lo anterior, la condición 5 del referido título de concesión establece que el Concesionario deberá comercializar el servicio mayorista de telecomunicaciones a los clientes a través de la infraestructura que sea requerida, así como con los medios de transmisión propios o de terceros con los que cuente el Concesionario de conformidad con la LFTR. En caso de que el Concesionario requiera utilizar bandas de frecuencias del espectro radioeléctrico distintas a las clasificadas como espectro libre, o en su caso, recursos orbitales, deberá obtenerlos conforme a los términos y modalidades establecidos en la ley, considerando que su uso, aprovechamiento o explotación deberá realizarse conforme a lo </w:t>
      </w:r>
      <w:r w:rsidRPr="00826E5D">
        <w:rPr>
          <w:rFonts w:ascii="ITC Avant Garde" w:eastAsia="Calibri" w:hAnsi="ITC Avant Garde"/>
          <w:bCs/>
          <w:sz w:val="22"/>
          <w:szCs w:val="22"/>
          <w:lang w:val="es-ES_tradnl" w:eastAsia="en-US"/>
        </w:rPr>
        <w:lastRenderedPageBreak/>
        <w:t>establecido en el Cuadro Nacional de Atribución de Frecuencias y demás disposiciones legales, reglamentarias y administrativas aplicables.</w:t>
      </w:r>
    </w:p>
    <w:p w:rsidR="00826E5D" w:rsidRPr="00826E5D" w:rsidRDefault="00745A5D" w:rsidP="00C52873">
      <w:pPr>
        <w:spacing w:line="276" w:lineRule="auto"/>
        <w:jc w:val="both"/>
        <w:rPr>
          <w:rFonts w:ascii="ITC Avant Garde" w:eastAsia="Calibri" w:hAnsi="ITC Avant Garde"/>
          <w:bCs/>
          <w:sz w:val="22"/>
          <w:szCs w:val="22"/>
          <w:lang w:val="es-ES_tradnl" w:eastAsia="en-US"/>
        </w:rPr>
      </w:pPr>
      <w:r w:rsidRPr="00826E5D">
        <w:rPr>
          <w:rFonts w:ascii="ITC Avant Garde" w:eastAsia="Calibri" w:hAnsi="ITC Avant Garde"/>
          <w:bCs/>
          <w:sz w:val="22"/>
          <w:szCs w:val="22"/>
          <w:lang w:val="es-ES_tradnl" w:eastAsia="en-US"/>
        </w:rPr>
        <w:t xml:space="preserve">De conformidad con </w:t>
      </w:r>
      <w:r w:rsidR="00C95F70" w:rsidRPr="00826E5D">
        <w:rPr>
          <w:rFonts w:ascii="ITC Avant Garde" w:eastAsia="Calibri" w:hAnsi="ITC Avant Garde"/>
          <w:bCs/>
          <w:sz w:val="22"/>
          <w:szCs w:val="22"/>
          <w:lang w:val="es-ES_tradnl" w:eastAsia="en-US"/>
        </w:rPr>
        <w:t>antes expuesto</w:t>
      </w:r>
      <w:r w:rsidRPr="00826E5D">
        <w:rPr>
          <w:rFonts w:ascii="ITC Avant Garde" w:eastAsia="Calibri" w:hAnsi="ITC Avant Garde"/>
          <w:bCs/>
          <w:sz w:val="22"/>
          <w:szCs w:val="22"/>
          <w:lang w:val="es-ES_tradnl" w:eastAsia="en-US"/>
        </w:rPr>
        <w:t xml:space="preserve"> y con fundamento en lo dispuesto por los artículos 28, párrafo décimo quinto, décimo sexto y décimo séptimo de la Constitución Política de los Estados</w:t>
      </w:r>
      <w:r w:rsidR="00EC6387" w:rsidRPr="00826E5D">
        <w:rPr>
          <w:rFonts w:ascii="ITC Avant Garde" w:eastAsia="Calibri" w:hAnsi="ITC Avant Garde"/>
          <w:bCs/>
          <w:sz w:val="22"/>
          <w:szCs w:val="22"/>
          <w:lang w:val="es-ES_tradnl" w:eastAsia="en-US"/>
        </w:rPr>
        <w:t xml:space="preserve"> </w:t>
      </w:r>
      <w:r w:rsidRPr="00826E5D">
        <w:rPr>
          <w:rFonts w:ascii="ITC Avant Garde" w:eastAsia="Calibri" w:hAnsi="ITC Avant Garde"/>
          <w:bCs/>
          <w:sz w:val="22"/>
          <w:szCs w:val="22"/>
          <w:lang w:val="es-ES_tradnl" w:eastAsia="en-US"/>
        </w:rPr>
        <w:t xml:space="preserve">Unidos Mexicanos; </w:t>
      </w:r>
      <w:r w:rsidR="00AE2FF1" w:rsidRPr="00826E5D">
        <w:rPr>
          <w:rFonts w:ascii="ITC Avant Garde" w:eastAsia="Calibri" w:hAnsi="ITC Avant Garde"/>
          <w:bCs/>
          <w:sz w:val="22"/>
          <w:szCs w:val="22"/>
          <w:lang w:val="es-ES_tradnl" w:eastAsia="en-US"/>
        </w:rPr>
        <w:t>Décimo</w:t>
      </w:r>
      <w:r w:rsidR="00C609E2" w:rsidRPr="00826E5D">
        <w:rPr>
          <w:rFonts w:ascii="ITC Avant Garde" w:eastAsia="Calibri" w:hAnsi="ITC Avant Garde"/>
          <w:bCs/>
          <w:sz w:val="22"/>
          <w:szCs w:val="22"/>
          <w:lang w:val="es-ES_tradnl" w:eastAsia="en-US"/>
        </w:rPr>
        <w:t xml:space="preserve"> S</w:t>
      </w:r>
      <w:r w:rsidR="00AE2FF1" w:rsidRPr="00826E5D">
        <w:rPr>
          <w:rFonts w:ascii="ITC Avant Garde" w:eastAsia="Calibri" w:hAnsi="ITC Avant Garde"/>
          <w:bCs/>
          <w:sz w:val="22"/>
          <w:szCs w:val="22"/>
          <w:lang w:val="es-ES_tradnl" w:eastAsia="en-US"/>
        </w:rPr>
        <w:t>exto</w:t>
      </w:r>
      <w:r w:rsidR="00C609E2" w:rsidRPr="00826E5D">
        <w:rPr>
          <w:rFonts w:ascii="ITC Avant Garde" w:eastAsia="Calibri" w:hAnsi="ITC Avant Garde"/>
          <w:bCs/>
          <w:sz w:val="22"/>
          <w:szCs w:val="22"/>
          <w:lang w:val="es-ES_tradnl" w:eastAsia="en-US"/>
        </w:rPr>
        <w:t xml:space="preserve"> Transitorio del </w:t>
      </w:r>
      <w:r w:rsidR="00C609E2" w:rsidRPr="00826E5D">
        <w:rPr>
          <w:rFonts w:ascii="ITC Avant Garde" w:hAnsi="ITC Avant Garde"/>
          <w:bCs/>
          <w:color w:val="000000"/>
          <w:sz w:val="22"/>
          <w:szCs w:val="22"/>
        </w:rPr>
        <w:t xml:space="preserve">Decreto por el que se reforman y adicionan diversas disposiciones de los artículos 6o., 7o., 27, 28, 73, 78, 94 y 105 de la Constitución Política de los Estados Unidos Mexicanos, en materia de telecomunicaciones; </w:t>
      </w:r>
      <w:r w:rsidR="00194F38" w:rsidRPr="00826E5D">
        <w:rPr>
          <w:rFonts w:ascii="ITC Avant Garde" w:eastAsia="Calibri" w:hAnsi="ITC Avant Garde"/>
          <w:bCs/>
          <w:sz w:val="22"/>
          <w:szCs w:val="22"/>
          <w:lang w:val="es-ES_tradnl" w:eastAsia="en-US"/>
        </w:rPr>
        <w:t>3</w:t>
      </w:r>
      <w:r w:rsidRPr="00826E5D">
        <w:rPr>
          <w:rFonts w:ascii="ITC Avant Garde" w:eastAsia="Calibri" w:hAnsi="ITC Avant Garde"/>
          <w:bCs/>
          <w:sz w:val="22"/>
          <w:szCs w:val="22"/>
          <w:lang w:val="es-ES_tradnl" w:eastAsia="en-US"/>
        </w:rPr>
        <w:t>,</w:t>
      </w:r>
      <w:r w:rsidR="00194F38" w:rsidRPr="00826E5D">
        <w:rPr>
          <w:rFonts w:ascii="ITC Avant Garde" w:eastAsia="Calibri" w:hAnsi="ITC Avant Garde"/>
          <w:bCs/>
          <w:sz w:val="22"/>
          <w:szCs w:val="22"/>
          <w:lang w:val="es-ES_tradnl" w:eastAsia="en-US"/>
        </w:rPr>
        <w:t xml:space="preserve"> fracción LXI,</w:t>
      </w:r>
      <w:r w:rsidRPr="00826E5D">
        <w:rPr>
          <w:rFonts w:ascii="ITC Avant Garde" w:eastAsia="Calibri" w:hAnsi="ITC Avant Garde"/>
          <w:bCs/>
          <w:sz w:val="22"/>
          <w:szCs w:val="22"/>
          <w:lang w:val="es-ES_tradnl" w:eastAsia="en-US"/>
        </w:rPr>
        <w:t xml:space="preserve"> 7, 15, fracción LVII,</w:t>
      </w:r>
      <w:r w:rsidR="00194F38" w:rsidRPr="00826E5D">
        <w:rPr>
          <w:rFonts w:ascii="ITC Avant Garde" w:eastAsia="Calibri" w:hAnsi="ITC Avant Garde"/>
          <w:bCs/>
          <w:sz w:val="22"/>
          <w:szCs w:val="22"/>
          <w:lang w:val="es-ES_tradnl" w:eastAsia="en-US"/>
        </w:rPr>
        <w:t xml:space="preserve"> </w:t>
      </w:r>
      <w:r w:rsidR="00FA31F9" w:rsidRPr="00826E5D">
        <w:rPr>
          <w:rFonts w:ascii="ITC Avant Garde" w:eastAsia="Calibri" w:hAnsi="ITC Avant Garde"/>
          <w:bCs/>
          <w:sz w:val="22"/>
          <w:szCs w:val="22"/>
          <w:lang w:val="es-ES_tradnl" w:eastAsia="en-US"/>
        </w:rPr>
        <w:t xml:space="preserve">16, 17, </w:t>
      </w:r>
      <w:r w:rsidR="00194F38" w:rsidRPr="00826E5D">
        <w:rPr>
          <w:rFonts w:ascii="ITC Avant Garde" w:eastAsia="Calibri" w:hAnsi="ITC Avant Garde"/>
          <w:bCs/>
          <w:sz w:val="22"/>
          <w:szCs w:val="22"/>
          <w:lang w:val="es-ES_tradnl" w:eastAsia="en-US"/>
        </w:rPr>
        <w:t>119, 120,</w:t>
      </w:r>
      <w:r w:rsidRPr="00826E5D">
        <w:rPr>
          <w:rFonts w:ascii="ITC Avant Garde" w:eastAsia="Calibri" w:hAnsi="ITC Avant Garde"/>
          <w:bCs/>
          <w:sz w:val="22"/>
          <w:szCs w:val="22"/>
          <w:lang w:val="es-ES_tradnl" w:eastAsia="en-US"/>
        </w:rPr>
        <w:t xml:space="preserve"> </w:t>
      </w:r>
      <w:r w:rsidR="00C609E2" w:rsidRPr="00826E5D">
        <w:rPr>
          <w:rFonts w:ascii="ITC Avant Garde" w:eastAsia="Calibri" w:hAnsi="ITC Avant Garde"/>
          <w:bCs/>
          <w:sz w:val="22"/>
          <w:szCs w:val="22"/>
          <w:lang w:val="es-ES_tradnl" w:eastAsia="en-US"/>
        </w:rPr>
        <w:t>140</w:t>
      </w:r>
      <w:r w:rsidRPr="00826E5D">
        <w:rPr>
          <w:rFonts w:ascii="ITC Avant Garde" w:eastAsia="Calibri" w:hAnsi="ITC Avant Garde"/>
          <w:bCs/>
          <w:sz w:val="22"/>
          <w:szCs w:val="22"/>
          <w:lang w:val="es-ES_tradnl" w:eastAsia="en-US"/>
        </w:rPr>
        <w:t xml:space="preserve">, </w:t>
      </w:r>
      <w:r w:rsidR="00C609E2" w:rsidRPr="00826E5D">
        <w:rPr>
          <w:rFonts w:ascii="ITC Avant Garde" w:eastAsia="Calibri" w:hAnsi="ITC Avant Garde"/>
          <w:bCs/>
          <w:sz w:val="22"/>
          <w:szCs w:val="22"/>
          <w:lang w:val="es-ES_tradnl" w:eastAsia="en-US"/>
        </w:rPr>
        <w:t xml:space="preserve">141, 142, 143 y 144 </w:t>
      </w:r>
      <w:r w:rsidRPr="00826E5D">
        <w:rPr>
          <w:rFonts w:ascii="ITC Avant Garde" w:eastAsia="Calibri" w:hAnsi="ITC Avant Garde"/>
          <w:bCs/>
          <w:sz w:val="22"/>
          <w:szCs w:val="22"/>
          <w:lang w:val="es-ES_tradnl" w:eastAsia="en-US"/>
        </w:rPr>
        <w:t>de la Ley Federal de Tel</w:t>
      </w:r>
      <w:r w:rsidR="00AF27FF" w:rsidRPr="00826E5D">
        <w:rPr>
          <w:rFonts w:ascii="ITC Avant Garde" w:eastAsia="Calibri" w:hAnsi="ITC Avant Garde"/>
          <w:bCs/>
          <w:sz w:val="22"/>
          <w:szCs w:val="22"/>
          <w:lang w:val="es-ES_tradnl" w:eastAsia="en-US"/>
        </w:rPr>
        <w:t>ecomunicaciones y Radiodifusión, así como</w:t>
      </w:r>
      <w:r w:rsidRPr="00826E5D">
        <w:rPr>
          <w:rFonts w:ascii="ITC Avant Garde" w:eastAsia="Calibri" w:hAnsi="ITC Avant Garde"/>
          <w:bCs/>
          <w:sz w:val="22"/>
          <w:szCs w:val="22"/>
          <w:lang w:val="es-ES_tradnl" w:eastAsia="en-US"/>
        </w:rPr>
        <w:t xml:space="preserve"> 1, 2, 4, fracción </w:t>
      </w:r>
      <w:r w:rsidR="00793E5D" w:rsidRPr="00826E5D">
        <w:rPr>
          <w:rFonts w:ascii="ITC Avant Garde" w:eastAsia="Calibri" w:hAnsi="ITC Avant Garde"/>
          <w:bCs/>
          <w:sz w:val="22"/>
          <w:szCs w:val="22"/>
          <w:lang w:val="es-ES_tradnl" w:eastAsia="en-US"/>
        </w:rPr>
        <w:t>I</w:t>
      </w:r>
      <w:r w:rsidRPr="00826E5D">
        <w:rPr>
          <w:rFonts w:ascii="ITC Avant Garde" w:eastAsia="Calibri" w:hAnsi="ITC Avant Garde"/>
          <w:bCs/>
          <w:sz w:val="22"/>
          <w:szCs w:val="22"/>
          <w:lang w:val="es-ES_tradnl" w:eastAsia="en-US"/>
        </w:rPr>
        <w:t>, y 6,</w:t>
      </w:r>
      <w:r w:rsidR="00EF1E90" w:rsidRPr="00826E5D">
        <w:rPr>
          <w:rFonts w:ascii="ITC Avant Garde" w:eastAsia="Calibri" w:hAnsi="ITC Avant Garde"/>
          <w:bCs/>
          <w:sz w:val="22"/>
          <w:szCs w:val="22"/>
          <w:lang w:val="es-ES_tradnl" w:eastAsia="en-US"/>
        </w:rPr>
        <w:t xml:space="preserve"> </w:t>
      </w:r>
      <w:r w:rsidRPr="00826E5D">
        <w:rPr>
          <w:rFonts w:ascii="ITC Avant Garde" w:eastAsia="Calibri" w:hAnsi="ITC Avant Garde"/>
          <w:bCs/>
          <w:sz w:val="22"/>
          <w:szCs w:val="22"/>
          <w:lang w:val="es-ES_tradnl" w:eastAsia="en-US"/>
        </w:rPr>
        <w:t xml:space="preserve">fracción XVIII, del Estatuto Orgánico del </w:t>
      </w:r>
      <w:r w:rsidR="00EF1E90" w:rsidRPr="00826E5D">
        <w:rPr>
          <w:rFonts w:ascii="ITC Avant Garde" w:eastAsia="Calibri" w:hAnsi="ITC Avant Garde"/>
          <w:bCs/>
          <w:sz w:val="22"/>
          <w:szCs w:val="22"/>
          <w:lang w:val="es-ES_tradnl" w:eastAsia="en-US"/>
        </w:rPr>
        <w:t xml:space="preserve">Instituto Federal </w:t>
      </w:r>
      <w:r w:rsidRPr="00826E5D">
        <w:rPr>
          <w:rFonts w:ascii="ITC Avant Garde" w:eastAsia="Calibri" w:hAnsi="ITC Avant Garde"/>
          <w:bCs/>
          <w:sz w:val="22"/>
          <w:szCs w:val="22"/>
          <w:lang w:val="es-ES_tradnl" w:eastAsia="en-US"/>
        </w:rPr>
        <w:t>de Telecomunicaciones, el Pleno</w:t>
      </w:r>
      <w:r w:rsidR="00EF1E90" w:rsidRPr="00826E5D">
        <w:rPr>
          <w:rFonts w:ascii="ITC Avant Garde" w:eastAsia="Calibri" w:hAnsi="ITC Avant Garde"/>
          <w:bCs/>
          <w:sz w:val="22"/>
          <w:szCs w:val="22"/>
          <w:lang w:val="es-ES_tradnl" w:eastAsia="en-US"/>
        </w:rPr>
        <w:t xml:space="preserve"> </w:t>
      </w:r>
      <w:r w:rsidRPr="00826E5D">
        <w:rPr>
          <w:rFonts w:ascii="ITC Avant Garde" w:eastAsia="Calibri" w:hAnsi="ITC Avant Garde"/>
          <w:bCs/>
          <w:sz w:val="22"/>
          <w:szCs w:val="22"/>
          <w:lang w:val="es-ES_tradnl" w:eastAsia="en-US"/>
        </w:rPr>
        <w:t>emite el siguiente:</w:t>
      </w:r>
    </w:p>
    <w:p w:rsidR="00826E5D" w:rsidRPr="00826E5D" w:rsidRDefault="00227ED6" w:rsidP="00826E5D">
      <w:pPr>
        <w:pStyle w:val="Ttulo2"/>
        <w:numPr>
          <w:ilvl w:val="1"/>
          <w:numId w:val="0"/>
        </w:numPr>
        <w:spacing w:after="240"/>
        <w:jc w:val="center"/>
        <w:rPr>
          <w:rFonts w:ascii="ITC Avant Garde" w:hAnsi="ITC Avant Garde"/>
          <w:b/>
          <w:color w:val="000000" w:themeColor="text1"/>
          <w:sz w:val="22"/>
          <w:szCs w:val="22"/>
        </w:rPr>
      </w:pPr>
      <w:bookmarkStart w:id="0" w:name="_GoBack"/>
      <w:r w:rsidRPr="00826E5D">
        <w:rPr>
          <w:rFonts w:ascii="ITC Avant Garde" w:hAnsi="ITC Avant Garde"/>
          <w:b/>
          <w:color w:val="000000" w:themeColor="text1"/>
          <w:sz w:val="22"/>
          <w:szCs w:val="22"/>
        </w:rPr>
        <w:t>ACUERDO</w:t>
      </w:r>
    </w:p>
    <w:bookmarkEnd w:id="0"/>
    <w:p w:rsidR="00826E5D" w:rsidRPr="00826E5D" w:rsidRDefault="005B33C9" w:rsidP="00C52873">
      <w:pPr>
        <w:spacing w:line="276" w:lineRule="auto"/>
        <w:jc w:val="both"/>
        <w:rPr>
          <w:rFonts w:ascii="ITC Avant Garde" w:eastAsia="Calibri" w:hAnsi="ITC Avant Garde"/>
          <w:bCs/>
          <w:sz w:val="22"/>
          <w:szCs w:val="22"/>
          <w:lang w:val="es-ES_tradnl" w:eastAsia="en-US"/>
        </w:rPr>
      </w:pPr>
      <w:r w:rsidRPr="00826E5D">
        <w:rPr>
          <w:rFonts w:ascii="ITC Avant Garde" w:hAnsi="ITC Avant Garde"/>
          <w:b/>
          <w:bCs/>
          <w:color w:val="000000"/>
          <w:sz w:val="22"/>
          <w:szCs w:val="22"/>
        </w:rPr>
        <w:t>PRIMERO</w:t>
      </w:r>
      <w:r w:rsidR="00112672" w:rsidRPr="00826E5D">
        <w:rPr>
          <w:rFonts w:ascii="ITC Avant Garde" w:hAnsi="ITC Avant Garde"/>
          <w:b/>
          <w:bCs/>
          <w:color w:val="000000"/>
          <w:sz w:val="22"/>
          <w:szCs w:val="22"/>
        </w:rPr>
        <w:t xml:space="preserve">.- </w:t>
      </w:r>
      <w:r w:rsidR="00112672" w:rsidRPr="00826E5D">
        <w:rPr>
          <w:rFonts w:ascii="ITC Avant Garde" w:hAnsi="ITC Avant Garde"/>
          <w:bCs/>
          <w:color w:val="000000"/>
          <w:sz w:val="22"/>
          <w:szCs w:val="22"/>
        </w:rPr>
        <w:t xml:space="preserve">Por las razones expuestas en el </w:t>
      </w:r>
      <w:r w:rsidR="00AD325C" w:rsidRPr="00826E5D">
        <w:rPr>
          <w:rFonts w:ascii="ITC Avant Garde" w:hAnsi="ITC Avant Garde"/>
          <w:bCs/>
          <w:color w:val="000000"/>
          <w:sz w:val="22"/>
          <w:szCs w:val="22"/>
        </w:rPr>
        <w:t xml:space="preserve">CONSIDERANDO TERCERO del </w:t>
      </w:r>
      <w:r w:rsidR="00112672" w:rsidRPr="00826E5D">
        <w:rPr>
          <w:rFonts w:ascii="ITC Avant Garde" w:hAnsi="ITC Avant Garde"/>
          <w:bCs/>
          <w:color w:val="000000"/>
          <w:sz w:val="22"/>
          <w:szCs w:val="22"/>
        </w:rPr>
        <w:t xml:space="preserve">presente </w:t>
      </w:r>
      <w:r w:rsidR="00701154" w:rsidRPr="00826E5D">
        <w:rPr>
          <w:rFonts w:ascii="ITC Avant Garde" w:hAnsi="ITC Avant Garde"/>
          <w:bCs/>
          <w:color w:val="000000"/>
          <w:sz w:val="22"/>
          <w:szCs w:val="22"/>
        </w:rPr>
        <w:t>A</w:t>
      </w:r>
      <w:r w:rsidR="00112672" w:rsidRPr="00826E5D">
        <w:rPr>
          <w:rFonts w:ascii="ITC Avant Garde" w:hAnsi="ITC Avant Garde"/>
          <w:bCs/>
          <w:color w:val="000000"/>
          <w:sz w:val="22"/>
          <w:szCs w:val="22"/>
        </w:rPr>
        <w:t xml:space="preserve">cuerdo, se considera que SÍ es procedente confirmar el criterio solicitado por </w:t>
      </w:r>
      <w:r w:rsidR="00EF1E90" w:rsidRPr="00826E5D">
        <w:rPr>
          <w:rFonts w:ascii="ITC Avant Garde" w:hAnsi="ITC Avant Garde"/>
          <w:bCs/>
          <w:color w:val="000000"/>
          <w:sz w:val="22"/>
          <w:szCs w:val="22"/>
        </w:rPr>
        <w:t>HANSAM, S.A. DE C.V.</w:t>
      </w:r>
      <w:r w:rsidR="00112672" w:rsidRPr="00826E5D">
        <w:rPr>
          <w:rFonts w:ascii="ITC Avant Garde" w:hAnsi="ITC Avant Garde"/>
          <w:bCs/>
          <w:color w:val="000000"/>
          <w:sz w:val="22"/>
          <w:szCs w:val="22"/>
        </w:rPr>
        <w:t xml:space="preserve">, en el sentido de que </w:t>
      </w:r>
      <w:r w:rsidR="000B0006" w:rsidRPr="00826E5D">
        <w:rPr>
          <w:rFonts w:ascii="ITC Avant Garde" w:hAnsi="ITC Avant Garde"/>
          <w:bCs/>
          <w:color w:val="000000"/>
          <w:sz w:val="22"/>
          <w:szCs w:val="22"/>
        </w:rPr>
        <w:t>en relación con las obligaciones establecidas al Agente Económico Preponderante en el Sector Telecomunicaciones sobre servicios móviles</w:t>
      </w:r>
      <w:r w:rsidR="008C1758" w:rsidRPr="00826E5D">
        <w:rPr>
          <w:rFonts w:ascii="ITC Avant Garde" w:hAnsi="ITC Avant Garde"/>
          <w:bCs/>
          <w:color w:val="000000"/>
          <w:sz w:val="22"/>
          <w:szCs w:val="22"/>
        </w:rPr>
        <w:t xml:space="preserve"> en la resolución aprobada en el acuerdo P/IFT/EXT/270217/119, de fecha 27 de febrero de 2017, </w:t>
      </w:r>
      <w:r w:rsidR="00B06531" w:rsidRPr="00826E5D">
        <w:rPr>
          <w:rFonts w:ascii="ITC Avant Garde" w:eastAsia="Calibri" w:hAnsi="ITC Avant Garde"/>
          <w:bCs/>
          <w:sz w:val="22"/>
          <w:szCs w:val="22"/>
          <w:lang w:val="es-ES_tradnl" w:eastAsia="en-US"/>
        </w:rPr>
        <w:t>la Red Compartida</w:t>
      </w:r>
      <w:r w:rsidR="00EF1E90" w:rsidRPr="00826E5D">
        <w:rPr>
          <w:rFonts w:ascii="ITC Avant Garde" w:eastAsia="Calibri" w:hAnsi="ITC Avant Garde"/>
          <w:bCs/>
          <w:sz w:val="22"/>
          <w:szCs w:val="22"/>
          <w:lang w:val="es-ES_tradnl" w:eastAsia="en-US"/>
        </w:rPr>
        <w:t xml:space="preserve"> podrá contratar los servicios contenidos </w:t>
      </w:r>
      <w:r w:rsidR="008D70D9" w:rsidRPr="00826E5D">
        <w:rPr>
          <w:rFonts w:ascii="ITC Avant Garde" w:eastAsia="Calibri" w:hAnsi="ITC Avant Garde"/>
          <w:bCs/>
          <w:sz w:val="22"/>
          <w:szCs w:val="22"/>
          <w:lang w:val="es-ES_tradnl" w:eastAsia="en-US"/>
        </w:rPr>
        <w:t xml:space="preserve">en </w:t>
      </w:r>
      <w:r w:rsidR="00EF1E90" w:rsidRPr="00826E5D">
        <w:rPr>
          <w:rFonts w:ascii="ITC Avant Garde" w:eastAsia="Calibri" w:hAnsi="ITC Avant Garde"/>
          <w:bCs/>
          <w:sz w:val="22"/>
          <w:szCs w:val="22"/>
          <w:lang w:val="es-ES_tradnl" w:eastAsia="en-US"/>
        </w:rPr>
        <w:t xml:space="preserve">las </w:t>
      </w:r>
      <w:r w:rsidR="00E338A6" w:rsidRPr="00826E5D">
        <w:rPr>
          <w:rFonts w:ascii="ITC Avant Garde" w:eastAsia="Calibri" w:hAnsi="ITC Avant Garde"/>
          <w:bCs/>
          <w:sz w:val="22"/>
          <w:szCs w:val="22"/>
          <w:lang w:val="es-ES_tradnl" w:eastAsia="en-US"/>
        </w:rPr>
        <w:t>ofertas de r</w:t>
      </w:r>
      <w:r w:rsidR="00EF1E90" w:rsidRPr="00826E5D">
        <w:rPr>
          <w:rFonts w:ascii="ITC Avant Garde" w:eastAsia="Calibri" w:hAnsi="ITC Avant Garde"/>
          <w:bCs/>
          <w:sz w:val="22"/>
          <w:szCs w:val="22"/>
          <w:lang w:val="es-ES_tradnl" w:eastAsia="en-US"/>
        </w:rPr>
        <w:t xml:space="preserve">eferencia emitidas por el Agente Económico Preponderante en el Sector de Telecomunicaciones, </w:t>
      </w:r>
      <w:r w:rsidR="000820CE" w:rsidRPr="00826E5D">
        <w:rPr>
          <w:rFonts w:ascii="ITC Avant Garde" w:eastAsia="Calibri" w:hAnsi="ITC Avant Garde"/>
          <w:bCs/>
          <w:sz w:val="22"/>
          <w:szCs w:val="22"/>
          <w:lang w:val="es-ES_tradnl" w:eastAsia="en-US"/>
        </w:rPr>
        <w:t>inclui</w:t>
      </w:r>
      <w:r w:rsidR="00701154" w:rsidRPr="00826E5D">
        <w:rPr>
          <w:rFonts w:ascii="ITC Avant Garde" w:eastAsia="Calibri" w:hAnsi="ITC Avant Garde"/>
          <w:bCs/>
          <w:sz w:val="22"/>
          <w:szCs w:val="22"/>
          <w:lang w:val="es-ES_tradnl" w:eastAsia="en-US"/>
        </w:rPr>
        <w:t>do el</w:t>
      </w:r>
      <w:r w:rsidR="00EF1E90" w:rsidRPr="00826E5D">
        <w:rPr>
          <w:rFonts w:ascii="ITC Avant Garde" w:eastAsia="Calibri" w:hAnsi="ITC Avant Garde"/>
          <w:bCs/>
          <w:sz w:val="22"/>
          <w:szCs w:val="22"/>
          <w:lang w:val="es-ES_tradnl" w:eastAsia="en-US"/>
        </w:rPr>
        <w:t xml:space="preserve"> servicio </w:t>
      </w:r>
      <w:r w:rsidR="00E338A6" w:rsidRPr="00826E5D">
        <w:rPr>
          <w:rFonts w:ascii="ITC Avant Garde" w:eastAsia="Calibri" w:hAnsi="ITC Avant Garde"/>
          <w:bCs/>
          <w:sz w:val="22"/>
          <w:szCs w:val="22"/>
          <w:lang w:val="es-ES_tradnl" w:eastAsia="en-US"/>
        </w:rPr>
        <w:t xml:space="preserve">mayorista de usuario visitante, en este último caso </w:t>
      </w:r>
      <w:r w:rsidR="00E338A6" w:rsidRPr="00826E5D">
        <w:rPr>
          <w:rFonts w:ascii="ITC Avant Garde" w:hAnsi="ITC Avant Garde"/>
          <w:bCs/>
          <w:color w:val="000000"/>
          <w:sz w:val="22"/>
          <w:szCs w:val="22"/>
        </w:rPr>
        <w:t>de manera temporal y exclusivamente en aquellas zonas en las que la Red Compartida no cuente con infraestructura</w:t>
      </w:r>
      <w:r w:rsidR="008D70D9" w:rsidRPr="00826E5D">
        <w:rPr>
          <w:rFonts w:ascii="ITC Avant Garde" w:hAnsi="ITC Avant Garde"/>
          <w:bCs/>
          <w:color w:val="000000"/>
          <w:sz w:val="22"/>
          <w:szCs w:val="22"/>
        </w:rPr>
        <w:t xml:space="preserve"> o no preste el servicio móvil</w:t>
      </w:r>
      <w:r w:rsidR="00A24A5D" w:rsidRPr="00826E5D">
        <w:rPr>
          <w:rFonts w:ascii="ITC Avant Garde" w:hAnsi="ITC Avant Garde"/>
          <w:bCs/>
          <w:color w:val="000000"/>
          <w:sz w:val="22"/>
          <w:szCs w:val="22"/>
        </w:rPr>
        <w:t>; sin que</w:t>
      </w:r>
      <w:r w:rsidR="00A24A5D" w:rsidRPr="00826E5D">
        <w:rPr>
          <w:rFonts w:ascii="ITC Avant Garde" w:eastAsia="Calibri" w:hAnsi="ITC Avant Garde"/>
          <w:bCs/>
          <w:sz w:val="22"/>
          <w:szCs w:val="22"/>
          <w:lang w:val="es-ES_tradnl" w:eastAsia="en-US"/>
        </w:rPr>
        <w:t xml:space="preserve"> </w:t>
      </w:r>
      <w:r w:rsidR="002665EC" w:rsidRPr="00826E5D">
        <w:rPr>
          <w:rFonts w:ascii="ITC Avant Garde" w:eastAsia="Calibri" w:hAnsi="ITC Avant Garde"/>
          <w:bCs/>
          <w:sz w:val="22"/>
          <w:szCs w:val="22"/>
          <w:lang w:val="es-ES_tradnl" w:eastAsia="en-US"/>
        </w:rPr>
        <w:t>en la verificación de</w:t>
      </w:r>
      <w:r w:rsidR="00A24A5D" w:rsidRPr="00826E5D">
        <w:rPr>
          <w:rFonts w:ascii="ITC Avant Garde" w:eastAsia="Calibri" w:hAnsi="ITC Avant Garde"/>
          <w:bCs/>
          <w:sz w:val="22"/>
          <w:szCs w:val="22"/>
          <w:lang w:val="es-ES_tradnl" w:eastAsia="en-US"/>
        </w:rPr>
        <w:t xml:space="preserve">l cumplimiento de las </w:t>
      </w:r>
      <w:r w:rsidR="009120E2" w:rsidRPr="00826E5D">
        <w:rPr>
          <w:rFonts w:ascii="ITC Avant Garde" w:eastAsia="Calibri" w:hAnsi="ITC Avant Garde"/>
          <w:bCs/>
          <w:sz w:val="22"/>
          <w:szCs w:val="22"/>
          <w:lang w:val="es-ES_tradnl" w:eastAsia="en-US"/>
        </w:rPr>
        <w:t xml:space="preserve">obligaciones </w:t>
      </w:r>
      <w:r w:rsidR="00A24A5D" w:rsidRPr="00826E5D">
        <w:rPr>
          <w:rFonts w:ascii="ITC Avant Garde" w:eastAsia="Calibri" w:hAnsi="ITC Avant Garde"/>
          <w:bCs/>
          <w:sz w:val="22"/>
          <w:szCs w:val="22"/>
          <w:lang w:val="es-ES_tradnl" w:eastAsia="en-US"/>
        </w:rPr>
        <w:t xml:space="preserve">de cobertura </w:t>
      </w:r>
      <w:r w:rsidR="002665EC" w:rsidRPr="00826E5D">
        <w:rPr>
          <w:rFonts w:ascii="ITC Avant Garde" w:eastAsia="Calibri" w:hAnsi="ITC Avant Garde"/>
          <w:bCs/>
          <w:sz w:val="22"/>
          <w:szCs w:val="22"/>
          <w:lang w:val="es-ES_tradnl" w:eastAsia="en-US"/>
        </w:rPr>
        <w:t xml:space="preserve">de la Red Compartida </w:t>
      </w:r>
      <w:r w:rsidR="00A24A5D" w:rsidRPr="00826E5D">
        <w:rPr>
          <w:rFonts w:ascii="ITC Avant Garde" w:eastAsia="Calibri" w:hAnsi="ITC Avant Garde"/>
          <w:bCs/>
          <w:sz w:val="22"/>
          <w:szCs w:val="22"/>
          <w:lang w:val="es-ES_tradnl" w:eastAsia="en-US"/>
        </w:rPr>
        <w:t xml:space="preserve">se </w:t>
      </w:r>
      <w:r w:rsidR="002665EC" w:rsidRPr="00826E5D">
        <w:rPr>
          <w:rFonts w:ascii="ITC Avant Garde" w:eastAsia="Calibri" w:hAnsi="ITC Avant Garde"/>
          <w:bCs/>
          <w:sz w:val="22"/>
          <w:szCs w:val="22"/>
          <w:lang w:val="es-ES_tradnl" w:eastAsia="en-US"/>
        </w:rPr>
        <w:t xml:space="preserve">tome en cuenta </w:t>
      </w:r>
      <w:r w:rsidR="00A24A5D" w:rsidRPr="00826E5D">
        <w:rPr>
          <w:rFonts w:ascii="ITC Avant Garde" w:eastAsia="Calibri" w:hAnsi="ITC Avant Garde"/>
          <w:bCs/>
          <w:sz w:val="22"/>
          <w:szCs w:val="22"/>
          <w:lang w:val="es-ES_tradnl" w:eastAsia="en-US"/>
        </w:rPr>
        <w:t>la cobertura que logre mediante el acceso al servicio mayorista de usuario visitante.</w:t>
      </w:r>
    </w:p>
    <w:p w:rsidR="00826E5D" w:rsidRPr="00826E5D" w:rsidRDefault="005B33C9" w:rsidP="00C52873">
      <w:pPr>
        <w:spacing w:line="276" w:lineRule="auto"/>
        <w:jc w:val="both"/>
        <w:rPr>
          <w:rFonts w:ascii="ITC Avant Garde" w:hAnsi="ITC Avant Garde"/>
          <w:bCs/>
          <w:color w:val="000000"/>
          <w:sz w:val="22"/>
          <w:szCs w:val="22"/>
        </w:rPr>
      </w:pPr>
      <w:r w:rsidRPr="00826E5D">
        <w:rPr>
          <w:rFonts w:ascii="ITC Avant Garde" w:hAnsi="ITC Avant Garde"/>
          <w:b/>
          <w:bCs/>
          <w:color w:val="000000"/>
          <w:sz w:val="22"/>
          <w:szCs w:val="22"/>
        </w:rPr>
        <w:t>SEGUNDO</w:t>
      </w:r>
      <w:r w:rsidR="00227ED6" w:rsidRPr="00826E5D">
        <w:rPr>
          <w:rFonts w:ascii="ITC Avant Garde" w:hAnsi="ITC Avant Garde"/>
          <w:bCs/>
          <w:color w:val="000000"/>
          <w:sz w:val="22"/>
          <w:szCs w:val="22"/>
        </w:rPr>
        <w:t xml:space="preserve">.- Se instruye al Secretario Técnico del Pleno para que en términos del artículo 177, fracción XII, de la Ley Federal de Telecomunicaciones y Radiodifusión, inscriba </w:t>
      </w:r>
      <w:r w:rsidR="00AF60B6" w:rsidRPr="00826E5D">
        <w:rPr>
          <w:rFonts w:ascii="ITC Avant Garde" w:hAnsi="ITC Avant Garde"/>
          <w:bCs/>
          <w:color w:val="000000"/>
          <w:sz w:val="22"/>
          <w:szCs w:val="22"/>
        </w:rPr>
        <w:t xml:space="preserve">el presente Acuerdo </w:t>
      </w:r>
      <w:r w:rsidR="00227ED6" w:rsidRPr="00826E5D">
        <w:rPr>
          <w:rFonts w:ascii="ITC Avant Garde" w:hAnsi="ITC Avant Garde"/>
          <w:bCs/>
          <w:color w:val="000000"/>
          <w:sz w:val="22"/>
          <w:szCs w:val="22"/>
        </w:rPr>
        <w:t xml:space="preserve">en el Registro </w:t>
      </w:r>
      <w:r w:rsidR="00287CA4" w:rsidRPr="00826E5D">
        <w:rPr>
          <w:rFonts w:ascii="ITC Avant Garde" w:hAnsi="ITC Avant Garde"/>
          <w:bCs/>
          <w:color w:val="000000"/>
          <w:sz w:val="22"/>
          <w:szCs w:val="22"/>
        </w:rPr>
        <w:t>Público de Concesiones</w:t>
      </w:r>
      <w:r w:rsidR="00227ED6" w:rsidRPr="00826E5D">
        <w:rPr>
          <w:rFonts w:ascii="ITC Avant Garde" w:hAnsi="ITC Avant Garde"/>
          <w:bCs/>
          <w:color w:val="000000"/>
          <w:sz w:val="22"/>
          <w:szCs w:val="22"/>
        </w:rPr>
        <w:t>.</w:t>
      </w:r>
    </w:p>
    <w:p w:rsidR="00826E5D" w:rsidRPr="00826E5D" w:rsidRDefault="005B33C9" w:rsidP="00C52873">
      <w:pPr>
        <w:spacing w:line="276" w:lineRule="auto"/>
        <w:jc w:val="both"/>
        <w:rPr>
          <w:rFonts w:ascii="ITC Avant Garde" w:hAnsi="ITC Avant Garde"/>
          <w:bCs/>
          <w:color w:val="000000"/>
          <w:sz w:val="22"/>
          <w:szCs w:val="22"/>
        </w:rPr>
      </w:pPr>
      <w:r w:rsidRPr="00826E5D">
        <w:rPr>
          <w:rFonts w:ascii="ITC Avant Garde" w:hAnsi="ITC Avant Garde"/>
          <w:b/>
          <w:bCs/>
          <w:color w:val="000000"/>
          <w:sz w:val="22"/>
          <w:szCs w:val="22"/>
        </w:rPr>
        <w:t>TERCERO</w:t>
      </w:r>
      <w:r w:rsidR="00227ED6" w:rsidRPr="00826E5D">
        <w:rPr>
          <w:rFonts w:ascii="ITC Avant Garde" w:hAnsi="ITC Avant Garde"/>
          <w:bCs/>
          <w:color w:val="000000"/>
          <w:sz w:val="22"/>
          <w:szCs w:val="22"/>
        </w:rPr>
        <w:t>.- Notifíquese el presente Acuerdo.</w:t>
      </w:r>
    </w:p>
    <w:p w:rsidR="00826E5D" w:rsidRPr="00826E5D" w:rsidRDefault="00B47DDD" w:rsidP="00B47DDD">
      <w:pPr>
        <w:pStyle w:val="Prrafodelista"/>
        <w:ind w:left="0"/>
        <w:jc w:val="both"/>
        <w:rPr>
          <w:rFonts w:ascii="ITC Avant Garde" w:hAnsi="ITC Avant Garde"/>
          <w:sz w:val="14"/>
          <w:szCs w:val="14"/>
          <w:lang w:val="es-MX" w:eastAsia="es-MX"/>
        </w:rPr>
      </w:pPr>
      <w:r w:rsidRPr="00826E5D">
        <w:rPr>
          <w:rFonts w:ascii="ITC Avant Garde" w:hAnsi="ITC Avant Garde"/>
          <w:sz w:val="14"/>
          <w:szCs w:val="14"/>
        </w:rPr>
        <w:t xml:space="preserve">El presente Acuerdo fue aprobado por el Pleno del Instituto Federal de Telecomunicaciones en su XX Sesión Ordinaria celebrada el 31 de mayo de 2017, </w:t>
      </w:r>
      <w:r w:rsidRPr="00826E5D">
        <w:rPr>
          <w:rFonts w:ascii="ITC Avant Garde" w:hAnsi="ITC Avant Garde"/>
          <w:bCs/>
          <w:sz w:val="14"/>
          <w:szCs w:val="14"/>
        </w:rPr>
        <w:t>por unanimidad</w:t>
      </w:r>
      <w:r w:rsidRPr="00826E5D">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P/IFT/310517/278.</w:t>
      </w:r>
    </w:p>
    <w:p w:rsidR="00B47DDD" w:rsidRPr="00826E5D" w:rsidRDefault="00B47DDD" w:rsidP="00826E5D">
      <w:pPr>
        <w:pStyle w:val="Prrafodelista"/>
        <w:ind w:left="0"/>
        <w:jc w:val="both"/>
        <w:rPr>
          <w:rFonts w:ascii="ITC Avant Garde" w:hAnsi="ITC Avant Garde"/>
          <w:sz w:val="14"/>
          <w:szCs w:val="14"/>
        </w:rPr>
      </w:pPr>
      <w:r w:rsidRPr="00826E5D">
        <w:rPr>
          <w:rFonts w:ascii="ITC Avant Garde" w:hAnsi="ITC Avant Garde"/>
          <w:sz w:val="14"/>
          <w:szCs w:val="14"/>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B47DDD" w:rsidRPr="00826E5D" w:rsidSect="00C52873">
      <w:footerReference w:type="default" r:id="rId8"/>
      <w:pgSz w:w="12240" w:h="15840"/>
      <w:pgMar w:top="1985" w:right="1701" w:bottom="1418" w:left="1701"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8F" w:rsidRDefault="00F6328F" w:rsidP="00B86977">
      <w:r>
        <w:separator/>
      </w:r>
    </w:p>
  </w:endnote>
  <w:endnote w:type="continuationSeparator" w:id="0">
    <w:p w:rsidR="00F6328F" w:rsidRDefault="00F6328F" w:rsidP="00B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79161"/>
      <w:docPartObj>
        <w:docPartGallery w:val="Page Numbers (Bottom of Page)"/>
        <w:docPartUnique/>
      </w:docPartObj>
    </w:sdtPr>
    <w:sdtEndPr>
      <w:rPr>
        <w:rFonts w:ascii="ITC Avant Garde" w:hAnsi="ITC Avant Garde"/>
        <w:noProof/>
        <w:sz w:val="20"/>
        <w:szCs w:val="20"/>
      </w:rPr>
    </w:sdtEndPr>
    <w:sdtContent>
      <w:p w:rsidR="00C52873" w:rsidRPr="00C52873" w:rsidRDefault="00C52873">
        <w:pPr>
          <w:pStyle w:val="Piedepgina"/>
          <w:jc w:val="right"/>
          <w:rPr>
            <w:rFonts w:ascii="ITC Avant Garde" w:hAnsi="ITC Avant Garde"/>
            <w:noProof/>
            <w:sz w:val="20"/>
            <w:szCs w:val="20"/>
          </w:rPr>
        </w:pPr>
        <w:r w:rsidRPr="00C52873">
          <w:rPr>
            <w:rFonts w:ascii="ITC Avant Garde" w:hAnsi="ITC Avant Garde"/>
            <w:noProof/>
            <w:sz w:val="20"/>
            <w:szCs w:val="20"/>
          </w:rPr>
          <w:fldChar w:fldCharType="begin"/>
        </w:r>
        <w:r w:rsidRPr="00C52873">
          <w:rPr>
            <w:rFonts w:ascii="ITC Avant Garde" w:hAnsi="ITC Avant Garde"/>
            <w:noProof/>
            <w:sz w:val="20"/>
            <w:szCs w:val="20"/>
          </w:rPr>
          <w:instrText>PAGE   \* MERGEFORMAT</w:instrText>
        </w:r>
        <w:r w:rsidRPr="00C52873">
          <w:rPr>
            <w:rFonts w:ascii="ITC Avant Garde" w:hAnsi="ITC Avant Garde"/>
            <w:noProof/>
            <w:sz w:val="20"/>
            <w:szCs w:val="20"/>
          </w:rPr>
          <w:fldChar w:fldCharType="separate"/>
        </w:r>
        <w:r w:rsidR="00826E5D">
          <w:rPr>
            <w:rFonts w:ascii="ITC Avant Garde" w:hAnsi="ITC Avant Garde"/>
            <w:noProof/>
            <w:sz w:val="20"/>
            <w:szCs w:val="20"/>
          </w:rPr>
          <w:t>11</w:t>
        </w:r>
        <w:r w:rsidRPr="00C52873">
          <w:rPr>
            <w:rFonts w:ascii="ITC Avant Garde" w:hAnsi="ITC Avant Garde"/>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8F" w:rsidRDefault="00F6328F" w:rsidP="00B86977">
      <w:r>
        <w:separator/>
      </w:r>
    </w:p>
  </w:footnote>
  <w:footnote w:type="continuationSeparator" w:id="0">
    <w:p w:rsidR="00F6328F" w:rsidRDefault="00F6328F" w:rsidP="00B86977">
      <w:r>
        <w:continuationSeparator/>
      </w:r>
    </w:p>
  </w:footnote>
  <w:footnote w:id="1">
    <w:p w:rsidR="00140241" w:rsidRPr="00195C0D" w:rsidRDefault="00140241" w:rsidP="00140241">
      <w:pPr>
        <w:pStyle w:val="Textonotapie"/>
        <w:ind w:left="709"/>
        <w:rPr>
          <w:rFonts w:ascii="ITC Avant Garde" w:hAnsi="ITC Avant Garde"/>
          <w:sz w:val="16"/>
          <w:szCs w:val="16"/>
        </w:rPr>
      </w:pPr>
      <w:r w:rsidRPr="00195C0D">
        <w:rPr>
          <w:rStyle w:val="Refdenotaalpie"/>
          <w:rFonts w:ascii="ITC Avant Garde" w:hAnsi="ITC Avant Garde"/>
          <w:sz w:val="16"/>
          <w:szCs w:val="16"/>
        </w:rPr>
        <w:footnoteRef/>
      </w:r>
      <w:r w:rsidRPr="00195C0D">
        <w:rPr>
          <w:rFonts w:ascii="ITC Avant Garde" w:hAnsi="ITC Avant Garde"/>
          <w:sz w:val="16"/>
          <w:szCs w:val="16"/>
        </w:rPr>
        <w:t xml:space="preserve"> </w:t>
      </w:r>
      <w:r w:rsidRPr="00195C0D">
        <w:rPr>
          <w:rFonts w:asciiTheme="minorHAnsi" w:hAnsiTheme="minorHAnsi"/>
          <w:sz w:val="16"/>
          <w:szCs w:val="16"/>
        </w:rPr>
        <w:t xml:space="preserve">Artículo 119 de la </w:t>
      </w:r>
      <w:proofErr w:type="spellStart"/>
      <w:r w:rsidRPr="00195C0D">
        <w:rPr>
          <w:rFonts w:asciiTheme="minorHAnsi" w:hAnsiTheme="minorHAnsi"/>
          <w:sz w:val="16"/>
          <w:szCs w:val="16"/>
        </w:rPr>
        <w:t>LFTyR</w:t>
      </w:r>
      <w:proofErr w:type="spellEnd"/>
      <w:r w:rsidRPr="00195C0D">
        <w:rPr>
          <w:rFonts w:asciiTheme="minorHAnsi" w:hAnsiTheme="minorHAnsi"/>
          <w:sz w:val="16"/>
          <w:szCs w:val="16"/>
        </w:rPr>
        <w:t>.</w:t>
      </w:r>
    </w:p>
  </w:footnote>
  <w:footnote w:id="2">
    <w:p w:rsidR="00140241" w:rsidRPr="00195C0D" w:rsidRDefault="00140241" w:rsidP="00140241">
      <w:pPr>
        <w:pStyle w:val="Textonotapie"/>
        <w:ind w:left="709"/>
        <w:rPr>
          <w:rFonts w:ascii="ITC Avant Garde" w:hAnsi="ITC Avant Garde"/>
          <w:sz w:val="16"/>
          <w:szCs w:val="16"/>
        </w:rPr>
      </w:pPr>
      <w:r w:rsidRPr="00195C0D">
        <w:rPr>
          <w:rStyle w:val="Refdenotaalpie"/>
          <w:rFonts w:ascii="ITC Avant Garde" w:hAnsi="ITC Avant Garde"/>
          <w:sz w:val="16"/>
          <w:szCs w:val="16"/>
        </w:rPr>
        <w:footnoteRef/>
      </w:r>
      <w:r w:rsidRPr="00195C0D">
        <w:rPr>
          <w:rFonts w:ascii="ITC Avant Garde" w:hAnsi="ITC Avant Garde"/>
          <w:sz w:val="16"/>
          <w:szCs w:val="16"/>
        </w:rPr>
        <w:t xml:space="preserve"> </w:t>
      </w:r>
      <w:r w:rsidRPr="00195C0D">
        <w:rPr>
          <w:rFonts w:asciiTheme="minorHAnsi" w:hAnsiTheme="minorHAnsi"/>
          <w:sz w:val="16"/>
          <w:szCs w:val="16"/>
        </w:rPr>
        <w:t xml:space="preserve">Artículo 133 de la </w:t>
      </w:r>
      <w:proofErr w:type="spellStart"/>
      <w:r w:rsidRPr="00195C0D">
        <w:rPr>
          <w:rFonts w:asciiTheme="minorHAnsi" w:hAnsiTheme="minorHAnsi"/>
          <w:sz w:val="16"/>
          <w:szCs w:val="16"/>
        </w:rPr>
        <w:t>LFTyR</w:t>
      </w:r>
      <w:proofErr w:type="spellEnd"/>
      <w:r w:rsidRPr="00195C0D">
        <w:rPr>
          <w:rFonts w:asciiTheme="minorHAnsi" w:hAnsiTheme="minorHAnsi"/>
          <w:sz w:val="16"/>
          <w:szCs w:val="16"/>
        </w:rPr>
        <w:t>.</w:t>
      </w:r>
    </w:p>
  </w:footnote>
  <w:footnote w:id="3">
    <w:p w:rsidR="00140241" w:rsidRPr="00195C0D" w:rsidRDefault="00140241" w:rsidP="00140241">
      <w:pPr>
        <w:pStyle w:val="Textonotapie"/>
        <w:ind w:left="709"/>
        <w:rPr>
          <w:rFonts w:ascii="ITC Avant Garde" w:hAnsi="ITC Avant Garde"/>
          <w:sz w:val="16"/>
          <w:szCs w:val="16"/>
        </w:rPr>
      </w:pPr>
      <w:r w:rsidRPr="00195C0D">
        <w:rPr>
          <w:rStyle w:val="Refdenotaalpie"/>
          <w:rFonts w:ascii="ITC Avant Garde" w:hAnsi="ITC Avant Garde"/>
          <w:sz w:val="16"/>
          <w:szCs w:val="16"/>
        </w:rPr>
        <w:footnoteRef/>
      </w:r>
      <w:r w:rsidRPr="00195C0D">
        <w:rPr>
          <w:rFonts w:ascii="ITC Avant Garde" w:hAnsi="ITC Avant Garde"/>
          <w:sz w:val="16"/>
          <w:szCs w:val="16"/>
        </w:rPr>
        <w:t xml:space="preserve"> </w:t>
      </w:r>
      <w:r w:rsidRPr="00195C0D">
        <w:rPr>
          <w:rFonts w:asciiTheme="minorHAnsi" w:hAnsiTheme="minorHAnsi"/>
          <w:sz w:val="16"/>
          <w:szCs w:val="16"/>
        </w:rPr>
        <w:t xml:space="preserve">Artículos 270 a 272 de la </w:t>
      </w:r>
      <w:proofErr w:type="spellStart"/>
      <w:r w:rsidRPr="00195C0D">
        <w:rPr>
          <w:rFonts w:asciiTheme="minorHAnsi" w:hAnsiTheme="minorHAnsi"/>
          <w:sz w:val="16"/>
          <w:szCs w:val="16"/>
        </w:rPr>
        <w:t>LFTyR</w:t>
      </w:r>
      <w:proofErr w:type="spellEnd"/>
      <w:r w:rsidRPr="00195C0D">
        <w:rPr>
          <w:rFonts w:asciiTheme="minorHAnsi" w:hAnsiTheme="minorHAnsi"/>
          <w:sz w:val="16"/>
          <w:szCs w:val="16"/>
        </w:rPr>
        <w:t>.</w:t>
      </w:r>
    </w:p>
  </w:footnote>
  <w:footnote w:id="4">
    <w:p w:rsidR="00140241" w:rsidRDefault="00140241" w:rsidP="00140241">
      <w:pPr>
        <w:pStyle w:val="Textonotapie"/>
        <w:ind w:left="709"/>
      </w:pPr>
      <w:r w:rsidRPr="00195C0D">
        <w:rPr>
          <w:rStyle w:val="Refdenotaalpie"/>
          <w:rFonts w:ascii="ITC Avant Garde" w:hAnsi="ITC Avant Garde"/>
          <w:sz w:val="16"/>
          <w:szCs w:val="16"/>
        </w:rPr>
        <w:footnoteRef/>
      </w:r>
      <w:r w:rsidRPr="00195C0D">
        <w:rPr>
          <w:rFonts w:ascii="ITC Avant Garde" w:hAnsi="ITC Avant Garde"/>
          <w:sz w:val="16"/>
          <w:szCs w:val="16"/>
        </w:rPr>
        <w:t xml:space="preserve"> </w:t>
      </w:r>
      <w:r w:rsidRPr="00195C0D">
        <w:rPr>
          <w:rFonts w:asciiTheme="minorHAnsi" w:hAnsiTheme="minorHAnsi"/>
          <w:sz w:val="16"/>
          <w:szCs w:val="16"/>
        </w:rPr>
        <w:t xml:space="preserve">Artículo 119 de la </w:t>
      </w:r>
      <w:proofErr w:type="spellStart"/>
      <w:r w:rsidRPr="00195C0D">
        <w:rPr>
          <w:rFonts w:asciiTheme="minorHAnsi" w:hAnsiTheme="minorHAnsi"/>
          <w:sz w:val="16"/>
          <w:szCs w:val="16"/>
        </w:rPr>
        <w:t>LFTyR</w:t>
      </w:r>
      <w:proofErr w:type="spellEnd"/>
      <w:r w:rsidRPr="00195C0D">
        <w:rPr>
          <w:rFonts w:asciiTheme="minorHAnsi" w:hAnsi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4C86"/>
    <w:multiLevelType w:val="hybridMultilevel"/>
    <w:tmpl w:val="E4B699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614D89"/>
    <w:multiLevelType w:val="hybridMultilevel"/>
    <w:tmpl w:val="4F9802AC"/>
    <w:lvl w:ilvl="0" w:tplc="D424162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72251B7"/>
    <w:multiLevelType w:val="hybridMultilevel"/>
    <w:tmpl w:val="777C6286"/>
    <w:lvl w:ilvl="0" w:tplc="E168EBE0">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EB04FDF"/>
    <w:multiLevelType w:val="hybridMultilevel"/>
    <w:tmpl w:val="1A7EDC3A"/>
    <w:lvl w:ilvl="0" w:tplc="ED28D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D32044"/>
    <w:multiLevelType w:val="hybridMultilevel"/>
    <w:tmpl w:val="B5921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3E4E69"/>
    <w:multiLevelType w:val="hybridMultilevel"/>
    <w:tmpl w:val="5C3CC202"/>
    <w:lvl w:ilvl="0" w:tplc="A85ED07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D6"/>
    <w:rsid w:val="0000462A"/>
    <w:rsid w:val="0001083C"/>
    <w:rsid w:val="00011063"/>
    <w:rsid w:val="0001559F"/>
    <w:rsid w:val="00016A84"/>
    <w:rsid w:val="000220D0"/>
    <w:rsid w:val="00035551"/>
    <w:rsid w:val="000424F0"/>
    <w:rsid w:val="000435CC"/>
    <w:rsid w:val="0004550D"/>
    <w:rsid w:val="00056240"/>
    <w:rsid w:val="0006015C"/>
    <w:rsid w:val="000605C8"/>
    <w:rsid w:val="0006521C"/>
    <w:rsid w:val="0006748F"/>
    <w:rsid w:val="0006781E"/>
    <w:rsid w:val="000820CE"/>
    <w:rsid w:val="0008213F"/>
    <w:rsid w:val="00082CD1"/>
    <w:rsid w:val="0009178E"/>
    <w:rsid w:val="0009408F"/>
    <w:rsid w:val="00097B30"/>
    <w:rsid w:val="000A035B"/>
    <w:rsid w:val="000B0006"/>
    <w:rsid w:val="000B27B9"/>
    <w:rsid w:val="000B4443"/>
    <w:rsid w:val="000B458D"/>
    <w:rsid w:val="000C26A9"/>
    <w:rsid w:val="000C401E"/>
    <w:rsid w:val="000D13AD"/>
    <w:rsid w:val="000D1B2D"/>
    <w:rsid w:val="000D3F27"/>
    <w:rsid w:val="000E73ED"/>
    <w:rsid w:val="000F2E4C"/>
    <w:rsid w:val="000F374E"/>
    <w:rsid w:val="000F734F"/>
    <w:rsid w:val="000F762C"/>
    <w:rsid w:val="000F77B2"/>
    <w:rsid w:val="001061CC"/>
    <w:rsid w:val="001064CA"/>
    <w:rsid w:val="00107AF2"/>
    <w:rsid w:val="00112672"/>
    <w:rsid w:val="00123524"/>
    <w:rsid w:val="001300E6"/>
    <w:rsid w:val="00132AC0"/>
    <w:rsid w:val="00133D30"/>
    <w:rsid w:val="00135596"/>
    <w:rsid w:val="00136D0A"/>
    <w:rsid w:val="00140241"/>
    <w:rsid w:val="00140C9F"/>
    <w:rsid w:val="00162718"/>
    <w:rsid w:val="001643CD"/>
    <w:rsid w:val="00164E63"/>
    <w:rsid w:val="0017005E"/>
    <w:rsid w:val="001719E2"/>
    <w:rsid w:val="001725FF"/>
    <w:rsid w:val="00194F38"/>
    <w:rsid w:val="00197DC0"/>
    <w:rsid w:val="001B384F"/>
    <w:rsid w:val="001C0112"/>
    <w:rsid w:val="001C35AE"/>
    <w:rsid w:val="001C49B4"/>
    <w:rsid w:val="001C50DD"/>
    <w:rsid w:val="001D4062"/>
    <w:rsid w:val="001F4541"/>
    <w:rsid w:val="001F5ED3"/>
    <w:rsid w:val="001F641B"/>
    <w:rsid w:val="00227ED6"/>
    <w:rsid w:val="002321A5"/>
    <w:rsid w:val="00235FC9"/>
    <w:rsid w:val="00240C39"/>
    <w:rsid w:val="0024136B"/>
    <w:rsid w:val="00245E92"/>
    <w:rsid w:val="00247294"/>
    <w:rsid w:val="00251D9D"/>
    <w:rsid w:val="002637DC"/>
    <w:rsid w:val="00265F9F"/>
    <w:rsid w:val="002665EC"/>
    <w:rsid w:val="00266A9F"/>
    <w:rsid w:val="0027056E"/>
    <w:rsid w:val="0027155D"/>
    <w:rsid w:val="00280587"/>
    <w:rsid w:val="00287CA4"/>
    <w:rsid w:val="00293364"/>
    <w:rsid w:val="002948F8"/>
    <w:rsid w:val="00295666"/>
    <w:rsid w:val="002A4008"/>
    <w:rsid w:val="002A4CD6"/>
    <w:rsid w:val="002B4F4E"/>
    <w:rsid w:val="002C205D"/>
    <w:rsid w:val="002C4B70"/>
    <w:rsid w:val="002D15A2"/>
    <w:rsid w:val="002D1E89"/>
    <w:rsid w:val="002D6DD6"/>
    <w:rsid w:val="002D734F"/>
    <w:rsid w:val="002E02B2"/>
    <w:rsid w:val="002E30D0"/>
    <w:rsid w:val="00304F99"/>
    <w:rsid w:val="00305D7D"/>
    <w:rsid w:val="003101C8"/>
    <w:rsid w:val="00311F8D"/>
    <w:rsid w:val="003222CC"/>
    <w:rsid w:val="0032311A"/>
    <w:rsid w:val="00326A4B"/>
    <w:rsid w:val="003304C9"/>
    <w:rsid w:val="0033571D"/>
    <w:rsid w:val="00336C15"/>
    <w:rsid w:val="00342026"/>
    <w:rsid w:val="00342D43"/>
    <w:rsid w:val="00347CCD"/>
    <w:rsid w:val="0037272A"/>
    <w:rsid w:val="0037767B"/>
    <w:rsid w:val="003779F9"/>
    <w:rsid w:val="00387F23"/>
    <w:rsid w:val="00396524"/>
    <w:rsid w:val="00397EBE"/>
    <w:rsid w:val="003A4512"/>
    <w:rsid w:val="003C051D"/>
    <w:rsid w:val="003C77C6"/>
    <w:rsid w:val="003C7D29"/>
    <w:rsid w:val="003D4BC0"/>
    <w:rsid w:val="003E022D"/>
    <w:rsid w:val="003E0627"/>
    <w:rsid w:val="003E14F6"/>
    <w:rsid w:val="003E5DBC"/>
    <w:rsid w:val="003E5E47"/>
    <w:rsid w:val="003E7910"/>
    <w:rsid w:val="003F38B2"/>
    <w:rsid w:val="003F55EF"/>
    <w:rsid w:val="00400EB4"/>
    <w:rsid w:val="00401D21"/>
    <w:rsid w:val="004020F8"/>
    <w:rsid w:val="00414BD3"/>
    <w:rsid w:val="00420ED4"/>
    <w:rsid w:val="004259D4"/>
    <w:rsid w:val="0043121D"/>
    <w:rsid w:val="00432219"/>
    <w:rsid w:val="00432A47"/>
    <w:rsid w:val="00432ECE"/>
    <w:rsid w:val="0043422D"/>
    <w:rsid w:val="00446ABF"/>
    <w:rsid w:val="0045415E"/>
    <w:rsid w:val="00455BF7"/>
    <w:rsid w:val="0047014F"/>
    <w:rsid w:val="00471DE4"/>
    <w:rsid w:val="00492AD6"/>
    <w:rsid w:val="0049488A"/>
    <w:rsid w:val="00496645"/>
    <w:rsid w:val="004A0BCA"/>
    <w:rsid w:val="004A0D27"/>
    <w:rsid w:val="004A6448"/>
    <w:rsid w:val="004A71D0"/>
    <w:rsid w:val="004B0D71"/>
    <w:rsid w:val="004C1367"/>
    <w:rsid w:val="004C3CFD"/>
    <w:rsid w:val="004C7BEE"/>
    <w:rsid w:val="004D0503"/>
    <w:rsid w:val="004D3703"/>
    <w:rsid w:val="004D7D13"/>
    <w:rsid w:val="004E1F10"/>
    <w:rsid w:val="004E6826"/>
    <w:rsid w:val="004F4300"/>
    <w:rsid w:val="004F494B"/>
    <w:rsid w:val="00502439"/>
    <w:rsid w:val="00502E00"/>
    <w:rsid w:val="00504A9D"/>
    <w:rsid w:val="005068DF"/>
    <w:rsid w:val="00514754"/>
    <w:rsid w:val="00520D03"/>
    <w:rsid w:val="0052469A"/>
    <w:rsid w:val="00530ABD"/>
    <w:rsid w:val="00533015"/>
    <w:rsid w:val="00542742"/>
    <w:rsid w:val="005454BA"/>
    <w:rsid w:val="00545546"/>
    <w:rsid w:val="005543D3"/>
    <w:rsid w:val="00555E4E"/>
    <w:rsid w:val="00562902"/>
    <w:rsid w:val="0056339D"/>
    <w:rsid w:val="00565A85"/>
    <w:rsid w:val="00570667"/>
    <w:rsid w:val="00570DE2"/>
    <w:rsid w:val="005801E0"/>
    <w:rsid w:val="00580CF0"/>
    <w:rsid w:val="00581114"/>
    <w:rsid w:val="005865F4"/>
    <w:rsid w:val="0058726F"/>
    <w:rsid w:val="005942A6"/>
    <w:rsid w:val="005972EC"/>
    <w:rsid w:val="005B33C9"/>
    <w:rsid w:val="005B3536"/>
    <w:rsid w:val="005B4DA0"/>
    <w:rsid w:val="005C75B6"/>
    <w:rsid w:val="005D1907"/>
    <w:rsid w:val="005D2EED"/>
    <w:rsid w:val="005D4991"/>
    <w:rsid w:val="005D56D5"/>
    <w:rsid w:val="005D6095"/>
    <w:rsid w:val="005E0609"/>
    <w:rsid w:val="005E3471"/>
    <w:rsid w:val="005E476A"/>
    <w:rsid w:val="005F5C9D"/>
    <w:rsid w:val="00611AC1"/>
    <w:rsid w:val="006157C5"/>
    <w:rsid w:val="006173BF"/>
    <w:rsid w:val="00620425"/>
    <w:rsid w:val="006231D6"/>
    <w:rsid w:val="00625579"/>
    <w:rsid w:val="00630DB7"/>
    <w:rsid w:val="00632DA4"/>
    <w:rsid w:val="0063623C"/>
    <w:rsid w:val="00644913"/>
    <w:rsid w:val="006455D1"/>
    <w:rsid w:val="006461F7"/>
    <w:rsid w:val="006474AA"/>
    <w:rsid w:val="00651646"/>
    <w:rsid w:val="006550AD"/>
    <w:rsid w:val="00656E1B"/>
    <w:rsid w:val="00657D5B"/>
    <w:rsid w:val="00660688"/>
    <w:rsid w:val="00661DC6"/>
    <w:rsid w:val="0066319B"/>
    <w:rsid w:val="0066593F"/>
    <w:rsid w:val="00673932"/>
    <w:rsid w:val="006803B9"/>
    <w:rsid w:val="006902A3"/>
    <w:rsid w:val="00695319"/>
    <w:rsid w:val="00697291"/>
    <w:rsid w:val="006A089C"/>
    <w:rsid w:val="006A47B1"/>
    <w:rsid w:val="006A4B89"/>
    <w:rsid w:val="006A6324"/>
    <w:rsid w:val="006B132A"/>
    <w:rsid w:val="006B2881"/>
    <w:rsid w:val="006B5417"/>
    <w:rsid w:val="006B5E74"/>
    <w:rsid w:val="006B6879"/>
    <w:rsid w:val="006B716D"/>
    <w:rsid w:val="006C6618"/>
    <w:rsid w:val="006D0FE0"/>
    <w:rsid w:val="006D5DA5"/>
    <w:rsid w:val="006E2B7E"/>
    <w:rsid w:val="006E4F2E"/>
    <w:rsid w:val="006E76E5"/>
    <w:rsid w:val="006E78EF"/>
    <w:rsid w:val="00700771"/>
    <w:rsid w:val="00701154"/>
    <w:rsid w:val="007024EE"/>
    <w:rsid w:val="00705F24"/>
    <w:rsid w:val="00710209"/>
    <w:rsid w:val="00722F51"/>
    <w:rsid w:val="007265E3"/>
    <w:rsid w:val="007324A7"/>
    <w:rsid w:val="00732B04"/>
    <w:rsid w:val="00740399"/>
    <w:rsid w:val="00742803"/>
    <w:rsid w:val="00745A5D"/>
    <w:rsid w:val="00751127"/>
    <w:rsid w:val="00752F9B"/>
    <w:rsid w:val="007577E7"/>
    <w:rsid w:val="00762196"/>
    <w:rsid w:val="00765DBF"/>
    <w:rsid w:val="00771875"/>
    <w:rsid w:val="00786889"/>
    <w:rsid w:val="007924FB"/>
    <w:rsid w:val="00793E5D"/>
    <w:rsid w:val="007960F2"/>
    <w:rsid w:val="00797131"/>
    <w:rsid w:val="00797CC3"/>
    <w:rsid w:val="007A444F"/>
    <w:rsid w:val="007A584E"/>
    <w:rsid w:val="007B230D"/>
    <w:rsid w:val="007B582C"/>
    <w:rsid w:val="007B6B63"/>
    <w:rsid w:val="007C14F7"/>
    <w:rsid w:val="007C17E0"/>
    <w:rsid w:val="007C24D9"/>
    <w:rsid w:val="007D12F9"/>
    <w:rsid w:val="007D3C82"/>
    <w:rsid w:val="007E6F83"/>
    <w:rsid w:val="007F7AFA"/>
    <w:rsid w:val="00804957"/>
    <w:rsid w:val="00820813"/>
    <w:rsid w:val="00826045"/>
    <w:rsid w:val="00826A36"/>
    <w:rsid w:val="00826E5D"/>
    <w:rsid w:val="00827BF7"/>
    <w:rsid w:val="00834992"/>
    <w:rsid w:val="00836DA2"/>
    <w:rsid w:val="00837962"/>
    <w:rsid w:val="008470B7"/>
    <w:rsid w:val="00857F0A"/>
    <w:rsid w:val="008601D0"/>
    <w:rsid w:val="00861819"/>
    <w:rsid w:val="00862774"/>
    <w:rsid w:val="00863DC8"/>
    <w:rsid w:val="0086582C"/>
    <w:rsid w:val="008717A2"/>
    <w:rsid w:val="0087321A"/>
    <w:rsid w:val="00873CCA"/>
    <w:rsid w:val="00876AFF"/>
    <w:rsid w:val="0088105C"/>
    <w:rsid w:val="00882330"/>
    <w:rsid w:val="0088409B"/>
    <w:rsid w:val="008A2C43"/>
    <w:rsid w:val="008A3240"/>
    <w:rsid w:val="008A3502"/>
    <w:rsid w:val="008B4DBA"/>
    <w:rsid w:val="008C1758"/>
    <w:rsid w:val="008C3DB0"/>
    <w:rsid w:val="008D09C1"/>
    <w:rsid w:val="008D70D9"/>
    <w:rsid w:val="008F1B58"/>
    <w:rsid w:val="008F3919"/>
    <w:rsid w:val="008F4596"/>
    <w:rsid w:val="008F6EB3"/>
    <w:rsid w:val="00904183"/>
    <w:rsid w:val="009078DD"/>
    <w:rsid w:val="0091159C"/>
    <w:rsid w:val="009120E2"/>
    <w:rsid w:val="009326E2"/>
    <w:rsid w:val="00933FC6"/>
    <w:rsid w:val="00936CD7"/>
    <w:rsid w:val="00943E82"/>
    <w:rsid w:val="00945020"/>
    <w:rsid w:val="009468C8"/>
    <w:rsid w:val="00951D79"/>
    <w:rsid w:val="00963763"/>
    <w:rsid w:val="00963CF2"/>
    <w:rsid w:val="009654F1"/>
    <w:rsid w:val="009656FD"/>
    <w:rsid w:val="00973CC3"/>
    <w:rsid w:val="00975079"/>
    <w:rsid w:val="0098681F"/>
    <w:rsid w:val="009871EF"/>
    <w:rsid w:val="00990E4E"/>
    <w:rsid w:val="00993CFE"/>
    <w:rsid w:val="00995117"/>
    <w:rsid w:val="009A75A8"/>
    <w:rsid w:val="009B623A"/>
    <w:rsid w:val="009C0B86"/>
    <w:rsid w:val="009C21A5"/>
    <w:rsid w:val="009C3BC0"/>
    <w:rsid w:val="009D3D56"/>
    <w:rsid w:val="009D762C"/>
    <w:rsid w:val="009E2A5B"/>
    <w:rsid w:val="009F12AB"/>
    <w:rsid w:val="009F2DF3"/>
    <w:rsid w:val="00A00E6C"/>
    <w:rsid w:val="00A03EAC"/>
    <w:rsid w:val="00A24A5D"/>
    <w:rsid w:val="00A27977"/>
    <w:rsid w:val="00A34D5E"/>
    <w:rsid w:val="00A558FE"/>
    <w:rsid w:val="00A746A2"/>
    <w:rsid w:val="00A767C8"/>
    <w:rsid w:val="00A767EA"/>
    <w:rsid w:val="00A849AC"/>
    <w:rsid w:val="00A86A9E"/>
    <w:rsid w:val="00A87676"/>
    <w:rsid w:val="00A87FD0"/>
    <w:rsid w:val="00A912D2"/>
    <w:rsid w:val="00A9551C"/>
    <w:rsid w:val="00A97253"/>
    <w:rsid w:val="00AA3908"/>
    <w:rsid w:val="00AA662B"/>
    <w:rsid w:val="00AA7032"/>
    <w:rsid w:val="00AC03B8"/>
    <w:rsid w:val="00AC78CF"/>
    <w:rsid w:val="00AD2752"/>
    <w:rsid w:val="00AD325C"/>
    <w:rsid w:val="00AD45C4"/>
    <w:rsid w:val="00AD77EA"/>
    <w:rsid w:val="00AE2FF1"/>
    <w:rsid w:val="00AE58BC"/>
    <w:rsid w:val="00AF00CE"/>
    <w:rsid w:val="00AF27FF"/>
    <w:rsid w:val="00AF289A"/>
    <w:rsid w:val="00AF60B6"/>
    <w:rsid w:val="00B06531"/>
    <w:rsid w:val="00B106DF"/>
    <w:rsid w:val="00B10D0B"/>
    <w:rsid w:val="00B2245F"/>
    <w:rsid w:val="00B33A55"/>
    <w:rsid w:val="00B35C09"/>
    <w:rsid w:val="00B43BBF"/>
    <w:rsid w:val="00B43DAA"/>
    <w:rsid w:val="00B44729"/>
    <w:rsid w:val="00B4484F"/>
    <w:rsid w:val="00B47474"/>
    <w:rsid w:val="00B47771"/>
    <w:rsid w:val="00B47DDD"/>
    <w:rsid w:val="00B50D7A"/>
    <w:rsid w:val="00B520CD"/>
    <w:rsid w:val="00B53BEF"/>
    <w:rsid w:val="00B600D0"/>
    <w:rsid w:val="00B63ECE"/>
    <w:rsid w:val="00B65454"/>
    <w:rsid w:val="00B65CFA"/>
    <w:rsid w:val="00B7096F"/>
    <w:rsid w:val="00B855FF"/>
    <w:rsid w:val="00B86977"/>
    <w:rsid w:val="00B93A19"/>
    <w:rsid w:val="00B93C48"/>
    <w:rsid w:val="00BB7B74"/>
    <w:rsid w:val="00BC488B"/>
    <w:rsid w:val="00BD0640"/>
    <w:rsid w:val="00BD1C15"/>
    <w:rsid w:val="00BE1FC8"/>
    <w:rsid w:val="00BE4432"/>
    <w:rsid w:val="00BF414F"/>
    <w:rsid w:val="00BF524C"/>
    <w:rsid w:val="00C01B8E"/>
    <w:rsid w:val="00C0537B"/>
    <w:rsid w:val="00C071F3"/>
    <w:rsid w:val="00C23948"/>
    <w:rsid w:val="00C31D62"/>
    <w:rsid w:val="00C36ABC"/>
    <w:rsid w:val="00C419EE"/>
    <w:rsid w:val="00C427A9"/>
    <w:rsid w:val="00C45408"/>
    <w:rsid w:val="00C46E3B"/>
    <w:rsid w:val="00C46F27"/>
    <w:rsid w:val="00C4762C"/>
    <w:rsid w:val="00C52873"/>
    <w:rsid w:val="00C5446E"/>
    <w:rsid w:val="00C609E2"/>
    <w:rsid w:val="00C63A6C"/>
    <w:rsid w:val="00C64A3C"/>
    <w:rsid w:val="00C70D18"/>
    <w:rsid w:val="00C71BCC"/>
    <w:rsid w:val="00C7446E"/>
    <w:rsid w:val="00C778CA"/>
    <w:rsid w:val="00C86790"/>
    <w:rsid w:val="00C90EE3"/>
    <w:rsid w:val="00C9318E"/>
    <w:rsid w:val="00C95850"/>
    <w:rsid w:val="00C95F70"/>
    <w:rsid w:val="00C96363"/>
    <w:rsid w:val="00CA04AD"/>
    <w:rsid w:val="00CB288D"/>
    <w:rsid w:val="00CB6CBF"/>
    <w:rsid w:val="00CC1EC7"/>
    <w:rsid w:val="00CC309D"/>
    <w:rsid w:val="00CD7CCC"/>
    <w:rsid w:val="00CE5B7C"/>
    <w:rsid w:val="00CF0AA2"/>
    <w:rsid w:val="00CF1911"/>
    <w:rsid w:val="00D013ED"/>
    <w:rsid w:val="00D060A2"/>
    <w:rsid w:val="00D10D14"/>
    <w:rsid w:val="00D14A60"/>
    <w:rsid w:val="00D16A4B"/>
    <w:rsid w:val="00D16DDC"/>
    <w:rsid w:val="00D20B27"/>
    <w:rsid w:val="00D2149D"/>
    <w:rsid w:val="00D274CF"/>
    <w:rsid w:val="00D408C6"/>
    <w:rsid w:val="00D47A58"/>
    <w:rsid w:val="00D547FC"/>
    <w:rsid w:val="00D6548D"/>
    <w:rsid w:val="00D664FD"/>
    <w:rsid w:val="00D73F3D"/>
    <w:rsid w:val="00D7595E"/>
    <w:rsid w:val="00D76398"/>
    <w:rsid w:val="00D77C77"/>
    <w:rsid w:val="00DA661A"/>
    <w:rsid w:val="00DA7E61"/>
    <w:rsid w:val="00DB0AE0"/>
    <w:rsid w:val="00DB1199"/>
    <w:rsid w:val="00DB704D"/>
    <w:rsid w:val="00DC1470"/>
    <w:rsid w:val="00DC2CD5"/>
    <w:rsid w:val="00DD30C1"/>
    <w:rsid w:val="00DD3367"/>
    <w:rsid w:val="00DE13E9"/>
    <w:rsid w:val="00DE58AC"/>
    <w:rsid w:val="00DE5D2F"/>
    <w:rsid w:val="00DF4D75"/>
    <w:rsid w:val="00DF5D21"/>
    <w:rsid w:val="00DF6A47"/>
    <w:rsid w:val="00E004CD"/>
    <w:rsid w:val="00E01F06"/>
    <w:rsid w:val="00E17DC0"/>
    <w:rsid w:val="00E216C2"/>
    <w:rsid w:val="00E219A7"/>
    <w:rsid w:val="00E224FC"/>
    <w:rsid w:val="00E338A6"/>
    <w:rsid w:val="00E368C1"/>
    <w:rsid w:val="00E41901"/>
    <w:rsid w:val="00E474C5"/>
    <w:rsid w:val="00E51890"/>
    <w:rsid w:val="00E7221F"/>
    <w:rsid w:val="00E74FA9"/>
    <w:rsid w:val="00E80744"/>
    <w:rsid w:val="00E82556"/>
    <w:rsid w:val="00E83DE2"/>
    <w:rsid w:val="00E86AFD"/>
    <w:rsid w:val="00EB10AE"/>
    <w:rsid w:val="00EB522F"/>
    <w:rsid w:val="00EB5B21"/>
    <w:rsid w:val="00EC0697"/>
    <w:rsid w:val="00EC3D88"/>
    <w:rsid w:val="00EC40F2"/>
    <w:rsid w:val="00EC6387"/>
    <w:rsid w:val="00ED1CC4"/>
    <w:rsid w:val="00ED4BFC"/>
    <w:rsid w:val="00EE050A"/>
    <w:rsid w:val="00EE1D19"/>
    <w:rsid w:val="00EE1DB2"/>
    <w:rsid w:val="00EE30D2"/>
    <w:rsid w:val="00EF0842"/>
    <w:rsid w:val="00EF1E90"/>
    <w:rsid w:val="00EF631A"/>
    <w:rsid w:val="00EF7A40"/>
    <w:rsid w:val="00F04BC7"/>
    <w:rsid w:val="00F07E40"/>
    <w:rsid w:val="00F1035E"/>
    <w:rsid w:val="00F20547"/>
    <w:rsid w:val="00F219CF"/>
    <w:rsid w:val="00F321E4"/>
    <w:rsid w:val="00F33078"/>
    <w:rsid w:val="00F44085"/>
    <w:rsid w:val="00F4678A"/>
    <w:rsid w:val="00F472A2"/>
    <w:rsid w:val="00F50F54"/>
    <w:rsid w:val="00F51F27"/>
    <w:rsid w:val="00F6328F"/>
    <w:rsid w:val="00F706AA"/>
    <w:rsid w:val="00F82773"/>
    <w:rsid w:val="00F93C74"/>
    <w:rsid w:val="00FA31F9"/>
    <w:rsid w:val="00FA4173"/>
    <w:rsid w:val="00FC76AE"/>
    <w:rsid w:val="00FD191B"/>
    <w:rsid w:val="00FD3898"/>
    <w:rsid w:val="00FE0150"/>
    <w:rsid w:val="00FE0488"/>
    <w:rsid w:val="00FE2D93"/>
    <w:rsid w:val="00FF0703"/>
    <w:rsid w:val="00FF5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70A5CF-63EF-4336-B668-6D0C8534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ED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16A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26E5D"/>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227ED6"/>
    <w:pPr>
      <w:spacing w:before="100" w:beforeAutospacing="1" w:after="100" w:afterAutospacing="1"/>
    </w:pPr>
    <w:rPr>
      <w:lang w:val="es-MX" w:eastAsia="es-MX"/>
    </w:rPr>
  </w:style>
  <w:style w:type="paragraph" w:styleId="Prrafodelista">
    <w:name w:val="List Paragraph"/>
    <w:basedOn w:val="Normal"/>
    <w:link w:val="PrrafodelistaCar"/>
    <w:uiPriority w:val="34"/>
    <w:qFormat/>
    <w:rsid w:val="00227ED6"/>
    <w:pPr>
      <w:ind w:left="720"/>
      <w:contextualSpacing/>
    </w:pPr>
  </w:style>
  <w:style w:type="paragraph" w:styleId="Textodeglobo">
    <w:name w:val="Balloon Text"/>
    <w:basedOn w:val="Normal"/>
    <w:link w:val="TextodegloboCar"/>
    <w:uiPriority w:val="99"/>
    <w:semiHidden/>
    <w:unhideWhenUsed/>
    <w:rsid w:val="004312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21D"/>
    <w:rPr>
      <w:rFonts w:ascii="Segoe UI" w:eastAsia="Times New Roman" w:hAnsi="Segoe UI" w:cs="Segoe UI"/>
      <w:sz w:val="18"/>
      <w:szCs w:val="18"/>
      <w:lang w:val="es-ES" w:eastAsia="es-ES"/>
    </w:rPr>
  </w:style>
  <w:style w:type="paragraph" w:styleId="Sinespaciado">
    <w:name w:val="No Spacing"/>
    <w:uiPriority w:val="1"/>
    <w:qFormat/>
    <w:rsid w:val="005068DF"/>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86977"/>
    <w:pPr>
      <w:tabs>
        <w:tab w:val="center" w:pos="4419"/>
        <w:tab w:val="right" w:pos="8838"/>
      </w:tabs>
    </w:pPr>
  </w:style>
  <w:style w:type="character" w:customStyle="1" w:styleId="EncabezadoCar">
    <w:name w:val="Encabezado Car"/>
    <w:basedOn w:val="Fuentedeprrafopredeter"/>
    <w:link w:val="Encabezado"/>
    <w:uiPriority w:val="99"/>
    <w:rsid w:val="00B869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86977"/>
    <w:pPr>
      <w:tabs>
        <w:tab w:val="center" w:pos="4419"/>
        <w:tab w:val="right" w:pos="8838"/>
      </w:tabs>
    </w:pPr>
  </w:style>
  <w:style w:type="character" w:customStyle="1" w:styleId="PiedepginaCar">
    <w:name w:val="Pie de página Car"/>
    <w:basedOn w:val="Fuentedeprrafopredeter"/>
    <w:link w:val="Piedepgina"/>
    <w:uiPriority w:val="99"/>
    <w:rsid w:val="00B8697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7B6B63"/>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7B6B63"/>
    <w:rPr>
      <w:rFonts w:ascii="Calibri" w:eastAsia="Calibri" w:hAnsi="Calibri" w:cs="Times New Roman"/>
      <w:sz w:val="20"/>
      <w:szCs w:val="20"/>
    </w:rPr>
  </w:style>
  <w:style w:type="character" w:styleId="Refdenotaalpie">
    <w:name w:val="footnote reference"/>
    <w:basedOn w:val="Fuentedeprrafopredeter"/>
    <w:uiPriority w:val="99"/>
    <w:unhideWhenUsed/>
    <w:rsid w:val="007B6B63"/>
    <w:rPr>
      <w:vertAlign w:val="superscript"/>
    </w:rPr>
  </w:style>
  <w:style w:type="character" w:customStyle="1" w:styleId="apple-converted-space">
    <w:name w:val="apple-converted-space"/>
    <w:basedOn w:val="Fuentedeprrafopredeter"/>
    <w:rsid w:val="007B6B63"/>
  </w:style>
  <w:style w:type="paragraph" w:styleId="Textonotaalfinal">
    <w:name w:val="endnote text"/>
    <w:basedOn w:val="Normal"/>
    <w:link w:val="TextonotaalfinalCar"/>
    <w:uiPriority w:val="99"/>
    <w:semiHidden/>
    <w:unhideWhenUsed/>
    <w:rsid w:val="00401D21"/>
    <w:rPr>
      <w:sz w:val="20"/>
      <w:szCs w:val="20"/>
    </w:rPr>
  </w:style>
  <w:style w:type="character" w:customStyle="1" w:styleId="TextonotaalfinalCar">
    <w:name w:val="Texto nota al final Car"/>
    <w:basedOn w:val="Fuentedeprrafopredeter"/>
    <w:link w:val="Textonotaalfinal"/>
    <w:uiPriority w:val="99"/>
    <w:semiHidden/>
    <w:rsid w:val="00401D2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401D21"/>
    <w:rPr>
      <w:vertAlign w:val="superscript"/>
    </w:rPr>
  </w:style>
  <w:style w:type="character" w:styleId="Hipervnculo">
    <w:name w:val="Hyperlink"/>
    <w:basedOn w:val="Fuentedeprrafopredeter"/>
    <w:uiPriority w:val="99"/>
    <w:unhideWhenUsed/>
    <w:rsid w:val="00401D21"/>
    <w:rPr>
      <w:color w:val="0563C1" w:themeColor="hyperlink"/>
      <w:u w:val="single"/>
    </w:rPr>
  </w:style>
  <w:style w:type="character" w:styleId="Hipervnculovisitado">
    <w:name w:val="FollowedHyperlink"/>
    <w:basedOn w:val="Fuentedeprrafopredeter"/>
    <w:uiPriority w:val="99"/>
    <w:semiHidden/>
    <w:unhideWhenUsed/>
    <w:rsid w:val="0037767B"/>
    <w:rPr>
      <w:color w:val="954F72" w:themeColor="followedHyperlink"/>
      <w:u w:val="single"/>
    </w:rPr>
  </w:style>
  <w:style w:type="character" w:styleId="Refdecomentario">
    <w:name w:val="annotation reference"/>
    <w:basedOn w:val="Fuentedeprrafopredeter"/>
    <w:uiPriority w:val="99"/>
    <w:semiHidden/>
    <w:unhideWhenUsed/>
    <w:rsid w:val="00545546"/>
    <w:rPr>
      <w:sz w:val="16"/>
      <w:szCs w:val="16"/>
    </w:rPr>
  </w:style>
  <w:style w:type="paragraph" w:styleId="Textocomentario">
    <w:name w:val="annotation text"/>
    <w:basedOn w:val="Normal"/>
    <w:link w:val="TextocomentarioCar"/>
    <w:uiPriority w:val="99"/>
    <w:semiHidden/>
    <w:unhideWhenUsed/>
    <w:rsid w:val="00545546"/>
    <w:rPr>
      <w:sz w:val="20"/>
      <w:szCs w:val="20"/>
    </w:rPr>
  </w:style>
  <w:style w:type="character" w:customStyle="1" w:styleId="TextocomentarioCar">
    <w:name w:val="Texto comentario Car"/>
    <w:basedOn w:val="Fuentedeprrafopredeter"/>
    <w:link w:val="Textocomentario"/>
    <w:uiPriority w:val="99"/>
    <w:semiHidden/>
    <w:rsid w:val="0054554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45546"/>
    <w:rPr>
      <w:b/>
      <w:bCs/>
    </w:rPr>
  </w:style>
  <w:style w:type="character" w:customStyle="1" w:styleId="AsuntodelcomentarioCar">
    <w:name w:val="Asunto del comentario Car"/>
    <w:basedOn w:val="TextocomentarioCar"/>
    <w:link w:val="Asuntodelcomentario"/>
    <w:uiPriority w:val="99"/>
    <w:semiHidden/>
    <w:rsid w:val="0054554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43E82"/>
    <w:pPr>
      <w:spacing w:after="0" w:line="240" w:lineRule="auto"/>
    </w:pPr>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99"/>
    <w:rsid w:val="00C528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basedOn w:val="Fuentedeprrafopredeter"/>
    <w:link w:val="Prrafodelista"/>
    <w:uiPriority w:val="34"/>
    <w:locked/>
    <w:rsid w:val="00B47DDD"/>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16A84"/>
    <w:rPr>
      <w:rFonts w:asciiTheme="majorHAnsi" w:eastAsiaTheme="majorEastAsia" w:hAnsiTheme="majorHAnsi" w:cstheme="majorBidi"/>
      <w:color w:val="2E74B5" w:themeColor="accent1" w:themeShade="BF"/>
      <w:sz w:val="32"/>
      <w:szCs w:val="32"/>
      <w:lang w:val="es-ES" w:eastAsia="es-ES"/>
    </w:rPr>
  </w:style>
  <w:style w:type="paragraph" w:styleId="Subttulo">
    <w:name w:val="Subtitle"/>
    <w:basedOn w:val="Normal"/>
    <w:next w:val="Normal"/>
    <w:link w:val="SubttuloCar"/>
    <w:uiPriority w:val="11"/>
    <w:qFormat/>
    <w:rsid w:val="00016A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16A84"/>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826E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58052">
      <w:bodyDiv w:val="1"/>
      <w:marLeft w:val="0"/>
      <w:marRight w:val="0"/>
      <w:marTop w:val="0"/>
      <w:marBottom w:val="0"/>
      <w:divBdr>
        <w:top w:val="none" w:sz="0" w:space="0" w:color="auto"/>
        <w:left w:val="none" w:sz="0" w:space="0" w:color="auto"/>
        <w:bottom w:val="none" w:sz="0" w:space="0" w:color="auto"/>
        <w:right w:val="none" w:sz="0" w:space="0" w:color="auto"/>
      </w:divBdr>
      <w:divsChild>
        <w:div w:id="788007660">
          <w:marLeft w:val="0"/>
          <w:marRight w:val="0"/>
          <w:marTop w:val="0"/>
          <w:marBottom w:val="101"/>
          <w:divBdr>
            <w:top w:val="none" w:sz="0" w:space="0" w:color="auto"/>
            <w:left w:val="none" w:sz="0" w:space="0" w:color="auto"/>
            <w:bottom w:val="none" w:sz="0" w:space="0" w:color="auto"/>
            <w:right w:val="none" w:sz="0" w:space="0" w:color="auto"/>
          </w:divBdr>
        </w:div>
        <w:div w:id="218173441">
          <w:marLeft w:val="0"/>
          <w:marRight w:val="0"/>
          <w:marTop w:val="0"/>
          <w:marBottom w:val="101"/>
          <w:divBdr>
            <w:top w:val="none" w:sz="0" w:space="0" w:color="auto"/>
            <w:left w:val="none" w:sz="0" w:space="0" w:color="auto"/>
            <w:bottom w:val="none" w:sz="0" w:space="0" w:color="auto"/>
            <w:right w:val="none" w:sz="0" w:space="0" w:color="auto"/>
          </w:divBdr>
        </w:div>
        <w:div w:id="101002323">
          <w:marLeft w:val="0"/>
          <w:marRight w:val="0"/>
          <w:marTop w:val="0"/>
          <w:marBottom w:val="101"/>
          <w:divBdr>
            <w:top w:val="none" w:sz="0" w:space="0" w:color="auto"/>
            <w:left w:val="none" w:sz="0" w:space="0" w:color="auto"/>
            <w:bottom w:val="none" w:sz="0" w:space="0" w:color="auto"/>
            <w:right w:val="none" w:sz="0" w:space="0" w:color="auto"/>
          </w:divBdr>
        </w:div>
        <w:div w:id="279144877">
          <w:marLeft w:val="0"/>
          <w:marRight w:val="0"/>
          <w:marTop w:val="0"/>
          <w:marBottom w:val="101"/>
          <w:divBdr>
            <w:top w:val="none" w:sz="0" w:space="0" w:color="auto"/>
            <w:left w:val="none" w:sz="0" w:space="0" w:color="auto"/>
            <w:bottom w:val="none" w:sz="0" w:space="0" w:color="auto"/>
            <w:right w:val="none" w:sz="0" w:space="0" w:color="auto"/>
          </w:divBdr>
        </w:div>
        <w:div w:id="1268585644">
          <w:marLeft w:val="0"/>
          <w:marRight w:val="0"/>
          <w:marTop w:val="0"/>
          <w:marBottom w:val="101"/>
          <w:divBdr>
            <w:top w:val="none" w:sz="0" w:space="0" w:color="auto"/>
            <w:left w:val="none" w:sz="0" w:space="0" w:color="auto"/>
            <w:bottom w:val="none" w:sz="0" w:space="0" w:color="auto"/>
            <w:right w:val="none" w:sz="0" w:space="0" w:color="auto"/>
          </w:divBdr>
        </w:div>
        <w:div w:id="495077800">
          <w:marLeft w:val="0"/>
          <w:marRight w:val="0"/>
          <w:marTop w:val="0"/>
          <w:marBottom w:val="101"/>
          <w:divBdr>
            <w:top w:val="none" w:sz="0" w:space="0" w:color="auto"/>
            <w:left w:val="none" w:sz="0" w:space="0" w:color="auto"/>
            <w:bottom w:val="none" w:sz="0" w:space="0" w:color="auto"/>
            <w:right w:val="none" w:sz="0" w:space="0" w:color="auto"/>
          </w:divBdr>
        </w:div>
        <w:div w:id="1535534505">
          <w:marLeft w:val="0"/>
          <w:marRight w:val="0"/>
          <w:marTop w:val="0"/>
          <w:marBottom w:val="101"/>
          <w:divBdr>
            <w:top w:val="none" w:sz="0" w:space="0" w:color="auto"/>
            <w:left w:val="none" w:sz="0" w:space="0" w:color="auto"/>
            <w:bottom w:val="none" w:sz="0" w:space="0" w:color="auto"/>
            <w:right w:val="none" w:sz="0" w:space="0" w:color="auto"/>
          </w:divBdr>
        </w:div>
        <w:div w:id="757096550">
          <w:marLeft w:val="0"/>
          <w:marRight w:val="0"/>
          <w:marTop w:val="0"/>
          <w:marBottom w:val="101"/>
          <w:divBdr>
            <w:top w:val="none" w:sz="0" w:space="0" w:color="auto"/>
            <w:left w:val="none" w:sz="0" w:space="0" w:color="auto"/>
            <w:bottom w:val="none" w:sz="0" w:space="0" w:color="auto"/>
            <w:right w:val="none" w:sz="0" w:space="0" w:color="auto"/>
          </w:divBdr>
        </w:div>
        <w:div w:id="1113669867">
          <w:marLeft w:val="0"/>
          <w:marRight w:val="0"/>
          <w:marTop w:val="0"/>
          <w:marBottom w:val="101"/>
          <w:divBdr>
            <w:top w:val="none" w:sz="0" w:space="0" w:color="auto"/>
            <w:left w:val="none" w:sz="0" w:space="0" w:color="auto"/>
            <w:bottom w:val="none" w:sz="0" w:space="0" w:color="auto"/>
            <w:right w:val="none" w:sz="0" w:space="0" w:color="auto"/>
          </w:divBdr>
        </w:div>
      </w:divsChild>
    </w:div>
    <w:div w:id="574977571">
      <w:bodyDiv w:val="1"/>
      <w:marLeft w:val="0"/>
      <w:marRight w:val="0"/>
      <w:marTop w:val="0"/>
      <w:marBottom w:val="0"/>
      <w:divBdr>
        <w:top w:val="none" w:sz="0" w:space="0" w:color="auto"/>
        <w:left w:val="none" w:sz="0" w:space="0" w:color="auto"/>
        <w:bottom w:val="none" w:sz="0" w:space="0" w:color="auto"/>
        <w:right w:val="none" w:sz="0" w:space="0" w:color="auto"/>
      </w:divBdr>
    </w:div>
    <w:div w:id="1116174319">
      <w:bodyDiv w:val="1"/>
      <w:marLeft w:val="0"/>
      <w:marRight w:val="0"/>
      <w:marTop w:val="0"/>
      <w:marBottom w:val="0"/>
      <w:divBdr>
        <w:top w:val="none" w:sz="0" w:space="0" w:color="auto"/>
        <w:left w:val="none" w:sz="0" w:space="0" w:color="auto"/>
        <w:bottom w:val="none" w:sz="0" w:space="0" w:color="auto"/>
        <w:right w:val="none" w:sz="0" w:space="0" w:color="auto"/>
      </w:divBdr>
    </w:div>
    <w:div w:id="1294676110">
      <w:bodyDiv w:val="1"/>
      <w:marLeft w:val="0"/>
      <w:marRight w:val="0"/>
      <w:marTop w:val="0"/>
      <w:marBottom w:val="0"/>
      <w:divBdr>
        <w:top w:val="none" w:sz="0" w:space="0" w:color="auto"/>
        <w:left w:val="none" w:sz="0" w:space="0" w:color="auto"/>
        <w:bottom w:val="none" w:sz="0" w:space="0" w:color="auto"/>
        <w:right w:val="none" w:sz="0" w:space="0" w:color="auto"/>
      </w:divBdr>
    </w:div>
    <w:div w:id="17388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F1E9-B3D1-4BD6-9D80-3988506B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5583</Words>
  <Characters>30708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Lopez Vargas</dc:creator>
  <cp:keywords/>
  <dc:description/>
  <cp:lastModifiedBy>Maria del Consuelo Gonzalez Moreno</cp:lastModifiedBy>
  <cp:revision>4</cp:revision>
  <cp:lastPrinted>2017-03-28T17:47:00Z</cp:lastPrinted>
  <dcterms:created xsi:type="dcterms:W3CDTF">2017-06-20T22:43:00Z</dcterms:created>
  <dcterms:modified xsi:type="dcterms:W3CDTF">2017-06-21T17:36:00Z</dcterms:modified>
</cp:coreProperties>
</file>